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ind w:left="1" w:right="-1"/>
        <w:jc w:val="center"/>
        <w:rPr>
          <w:rFonts w:hint="eastAsia" w:ascii="宋体" w:hAnsi="宋体"/>
          <w:b/>
          <w:sz w:val="52"/>
          <w:szCs w:val="52"/>
        </w:rPr>
      </w:pPr>
      <w:bookmarkStart w:id="197" w:name="_GoBack"/>
      <w:bookmarkEnd w:id="197"/>
      <w:r>
        <w:rPr>
          <w:rFonts w:hint="eastAsia" w:ascii="宋体" w:hAnsi="宋体"/>
          <w:b/>
          <w:sz w:val="52"/>
          <w:szCs w:val="52"/>
        </w:rPr>
        <w:t>桐乡市公安局无线通信基站及</w:t>
      </w:r>
    </w:p>
    <w:p>
      <w:pPr>
        <w:spacing w:before="120" w:beforeLines="50"/>
        <w:ind w:left="1" w:right="-1"/>
        <w:jc w:val="center"/>
        <w:rPr>
          <w:rFonts w:hint="eastAsia" w:ascii="宋体" w:hAnsi="宋体"/>
          <w:b/>
          <w:sz w:val="52"/>
          <w:szCs w:val="52"/>
        </w:rPr>
      </w:pPr>
      <w:r>
        <w:rPr>
          <w:rFonts w:hint="eastAsia" w:ascii="宋体" w:hAnsi="宋体"/>
          <w:b/>
          <w:sz w:val="52"/>
          <w:szCs w:val="52"/>
        </w:rPr>
        <w:t>机房维保项目</w:t>
      </w:r>
    </w:p>
    <w:p>
      <w:pPr>
        <w:wordWrap w:val="0"/>
        <w:spacing w:before="120" w:beforeLines="50" w:line="1200" w:lineRule="exact"/>
        <w:jc w:val="center"/>
        <w:rPr>
          <w:rFonts w:hint="eastAsia" w:ascii="宋体" w:hAnsi="宋体"/>
          <w:b/>
          <w:sz w:val="84"/>
          <w:szCs w:val="84"/>
        </w:rPr>
      </w:pPr>
    </w:p>
    <w:p>
      <w:pPr>
        <w:wordWrap w:val="0"/>
        <w:spacing w:before="120" w:beforeLines="50" w:line="1200" w:lineRule="exact"/>
        <w:jc w:val="center"/>
        <w:rPr>
          <w:rFonts w:hint="eastAsia" w:ascii="宋体" w:hAnsi="宋体"/>
          <w:b/>
          <w:sz w:val="84"/>
          <w:szCs w:val="84"/>
        </w:rPr>
      </w:pPr>
      <w:r>
        <w:rPr>
          <w:rFonts w:hint="eastAsia" w:ascii="宋体" w:hAnsi="宋体"/>
          <w:b/>
          <w:sz w:val="84"/>
          <w:szCs w:val="84"/>
        </w:rPr>
        <w:t>磋</w:t>
      </w:r>
    </w:p>
    <w:p>
      <w:pPr>
        <w:wordWrap w:val="0"/>
        <w:spacing w:before="120" w:beforeLines="50" w:line="1200" w:lineRule="exact"/>
        <w:jc w:val="center"/>
        <w:rPr>
          <w:rFonts w:hint="eastAsia" w:ascii="宋体" w:hAnsi="宋体"/>
          <w:b/>
          <w:sz w:val="84"/>
          <w:szCs w:val="84"/>
        </w:rPr>
      </w:pPr>
      <w:r>
        <w:rPr>
          <w:rFonts w:hint="eastAsia" w:ascii="宋体" w:hAnsi="宋体"/>
          <w:b/>
          <w:sz w:val="84"/>
          <w:szCs w:val="84"/>
        </w:rPr>
        <w:t>商</w:t>
      </w:r>
    </w:p>
    <w:p>
      <w:pPr>
        <w:wordWrap w:val="0"/>
        <w:spacing w:before="120" w:beforeLines="50" w:line="1200" w:lineRule="exact"/>
        <w:jc w:val="center"/>
        <w:rPr>
          <w:rFonts w:hint="eastAsia" w:ascii="宋体" w:hAnsi="宋体"/>
          <w:b/>
          <w:sz w:val="84"/>
          <w:szCs w:val="84"/>
        </w:rPr>
      </w:pPr>
      <w:r>
        <w:rPr>
          <w:rFonts w:hint="eastAsia" w:ascii="宋体" w:hAnsi="宋体"/>
          <w:b/>
          <w:sz w:val="84"/>
          <w:szCs w:val="84"/>
        </w:rPr>
        <w:t>文</w:t>
      </w:r>
    </w:p>
    <w:p>
      <w:pPr>
        <w:tabs>
          <w:tab w:val="left" w:pos="2100"/>
        </w:tabs>
        <w:wordWrap w:val="0"/>
        <w:spacing w:before="120" w:beforeLines="50" w:line="1200" w:lineRule="exact"/>
        <w:jc w:val="center"/>
        <w:rPr>
          <w:rFonts w:hint="eastAsia" w:ascii="宋体" w:hAnsi="宋体"/>
          <w:b/>
          <w:sz w:val="84"/>
          <w:szCs w:val="84"/>
        </w:rPr>
      </w:pPr>
      <w:r>
        <w:rPr>
          <w:rFonts w:hint="eastAsia" w:ascii="宋体" w:hAnsi="宋体"/>
          <w:b/>
          <w:sz w:val="84"/>
          <w:szCs w:val="84"/>
        </w:rPr>
        <w:t>件</w:t>
      </w:r>
    </w:p>
    <w:p>
      <w:pPr>
        <w:tabs>
          <w:tab w:val="left" w:pos="2100"/>
        </w:tabs>
        <w:wordWrap w:val="0"/>
        <w:spacing w:before="120" w:beforeLines="50" w:line="1200" w:lineRule="exact"/>
        <w:jc w:val="center"/>
        <w:rPr>
          <w:rFonts w:hint="eastAsia" w:hAnsi="宋体"/>
          <w:b/>
          <w:bCs/>
          <w:w w:val="95"/>
          <w:sz w:val="30"/>
          <w:szCs w:val="30"/>
        </w:rPr>
      </w:pPr>
    </w:p>
    <w:p>
      <w:pPr>
        <w:wordWrap w:val="0"/>
        <w:spacing w:line="440" w:lineRule="exact"/>
        <w:ind w:firstLine="275" w:firstLineChars="98"/>
        <w:rPr>
          <w:rFonts w:hint="eastAsia" w:ascii="宋体" w:hAnsi="宋体"/>
          <w:b/>
          <w:spacing w:val="20"/>
          <w:sz w:val="28"/>
          <w:szCs w:val="32"/>
          <w:u w:val="single"/>
        </w:rPr>
      </w:pPr>
      <w:r>
        <w:rPr>
          <w:rFonts w:hint="eastAsia" w:ascii="宋体" w:hAnsi="宋体"/>
          <w:b/>
          <w:sz w:val="28"/>
          <w:szCs w:val="32"/>
        </w:rPr>
        <w:t>招 标 编 号：</w:t>
      </w:r>
      <w:r>
        <w:rPr>
          <w:rFonts w:hint="eastAsia" w:ascii="宋体" w:hAnsi="宋体"/>
          <w:b/>
          <w:spacing w:val="20"/>
          <w:sz w:val="28"/>
          <w:szCs w:val="32"/>
          <w:u w:val="single"/>
        </w:rPr>
        <w:t xml:space="preserve">      浙禾TXCG-2022012            </w:t>
      </w:r>
    </w:p>
    <w:p>
      <w:pPr>
        <w:pStyle w:val="24"/>
        <w:wordWrap w:val="0"/>
        <w:spacing w:before="120" w:beforeLines="50" w:line="440" w:lineRule="exact"/>
        <w:ind w:left="991" w:leftChars="472"/>
        <w:rPr>
          <w:rFonts w:hint="eastAsia"/>
          <w:sz w:val="28"/>
          <w:szCs w:val="30"/>
        </w:rPr>
      </w:pPr>
      <w:r>
        <w:rPr>
          <w:rFonts w:hint="eastAsia"/>
          <w:sz w:val="28"/>
          <w:szCs w:val="30"/>
        </w:rPr>
        <w:t xml:space="preserve">  </w:t>
      </w:r>
    </w:p>
    <w:p>
      <w:pPr>
        <w:wordWrap w:val="0"/>
        <w:spacing w:line="440" w:lineRule="exact"/>
        <w:ind w:firstLine="275" w:firstLineChars="98"/>
        <w:rPr>
          <w:rFonts w:hint="eastAsia" w:ascii="宋体" w:hAnsi="宋体"/>
          <w:b/>
          <w:sz w:val="28"/>
          <w:szCs w:val="32"/>
        </w:rPr>
      </w:pPr>
      <w:r>
        <w:rPr>
          <w:rFonts w:hint="eastAsia" w:ascii="宋体" w:hAnsi="宋体"/>
          <w:b/>
          <w:sz w:val="28"/>
          <w:szCs w:val="32"/>
        </w:rPr>
        <w:t>采 购 单 位：</w:t>
      </w:r>
      <w:r>
        <w:rPr>
          <w:rFonts w:hint="eastAsia" w:ascii="宋体" w:hAnsi="宋体"/>
          <w:b/>
          <w:sz w:val="28"/>
          <w:szCs w:val="32"/>
          <w:u w:val="single"/>
        </w:rPr>
        <w:t xml:space="preserve">           桐乡市公安局           （盖章）</w:t>
      </w:r>
    </w:p>
    <w:p>
      <w:pPr>
        <w:wordWrap w:val="0"/>
        <w:spacing w:line="440" w:lineRule="exact"/>
        <w:ind w:firstLine="984" w:firstLineChars="350"/>
        <w:rPr>
          <w:rFonts w:hint="eastAsia"/>
          <w:b/>
          <w:sz w:val="28"/>
          <w:szCs w:val="32"/>
        </w:rPr>
      </w:pPr>
      <w:r>
        <w:rPr>
          <w:rFonts w:hint="eastAsia"/>
          <w:b/>
          <w:sz w:val="28"/>
          <w:szCs w:val="32"/>
        </w:rPr>
        <w:t xml:space="preserve">  </w:t>
      </w:r>
    </w:p>
    <w:p>
      <w:pPr>
        <w:wordWrap w:val="0"/>
        <w:spacing w:line="440" w:lineRule="exact"/>
        <w:ind w:firstLine="275" w:firstLineChars="98"/>
        <w:rPr>
          <w:rFonts w:hint="eastAsia" w:ascii="宋体" w:hAnsi="宋体"/>
          <w:b/>
          <w:sz w:val="28"/>
          <w:szCs w:val="32"/>
        </w:rPr>
      </w:pPr>
      <w:r>
        <w:rPr>
          <w:rFonts w:hint="eastAsia" w:ascii="宋体" w:hAnsi="宋体"/>
          <w:b/>
          <w:sz w:val="28"/>
          <w:szCs w:val="32"/>
        </w:rPr>
        <w:t>采购代理机构：</w:t>
      </w:r>
      <w:r>
        <w:rPr>
          <w:rFonts w:hint="eastAsia" w:ascii="宋体" w:hAnsi="宋体"/>
          <w:b/>
          <w:sz w:val="28"/>
          <w:szCs w:val="32"/>
          <w:u w:val="single"/>
        </w:rPr>
        <w:t xml:space="preserve">   浙江禾城工程管理有限责任公司  （盖章）</w:t>
      </w:r>
    </w:p>
    <w:p>
      <w:pPr>
        <w:wordWrap w:val="0"/>
        <w:spacing w:line="440" w:lineRule="exact"/>
        <w:rPr>
          <w:rFonts w:hint="eastAsia"/>
        </w:rPr>
      </w:pPr>
    </w:p>
    <w:p>
      <w:pPr>
        <w:tabs>
          <w:tab w:val="left" w:pos="5812"/>
        </w:tabs>
        <w:wordWrap w:val="0"/>
        <w:snapToGrid w:val="0"/>
        <w:spacing w:line="440" w:lineRule="exact"/>
        <w:jc w:val="center"/>
        <w:rPr>
          <w:rFonts w:ascii="宋体" w:hAnsi="宋体"/>
          <w:b/>
          <w:spacing w:val="4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74" w:right="1701" w:bottom="1247" w:left="1701" w:header="851" w:footer="851" w:gutter="0"/>
          <w:pgNumType w:start="0"/>
          <w:cols w:space="720" w:num="1"/>
          <w:titlePg/>
          <w:docGrid w:linePitch="312" w:charSpace="0"/>
        </w:sectPr>
      </w:pPr>
      <w:r>
        <w:rPr>
          <w:rFonts w:hint="eastAsia" w:ascii="宋体" w:hAnsi="宋体"/>
          <w:b/>
          <w:spacing w:val="40"/>
          <w:sz w:val="28"/>
          <w:szCs w:val="28"/>
        </w:rPr>
        <w:t>二○二二年八月</w:t>
      </w:r>
    </w:p>
    <w:p>
      <w:pPr>
        <w:wordWrap w:val="0"/>
        <w:jc w:val="center"/>
        <w:rPr>
          <w:rFonts w:hint="eastAsia" w:ascii="宋体" w:hAnsi="宋体"/>
          <w:b/>
          <w:sz w:val="36"/>
          <w:szCs w:val="36"/>
        </w:rPr>
      </w:pPr>
    </w:p>
    <w:p>
      <w:pPr>
        <w:wordWrap w:val="0"/>
        <w:jc w:val="center"/>
        <w:rPr>
          <w:rFonts w:hint="eastAsia" w:ascii="宋体" w:hAnsi="宋体"/>
          <w:b/>
          <w:sz w:val="36"/>
          <w:szCs w:val="36"/>
        </w:rPr>
      </w:pPr>
      <w:r>
        <w:rPr>
          <w:rFonts w:hint="eastAsia" w:ascii="宋体" w:hAnsi="宋体"/>
          <w:b/>
          <w:sz w:val="36"/>
          <w:szCs w:val="36"/>
        </w:rPr>
        <w:t>目 录</w:t>
      </w:r>
    </w:p>
    <w:p>
      <w:pPr>
        <w:wordWrap w:val="0"/>
        <w:jc w:val="center"/>
        <w:rPr>
          <w:rFonts w:hint="eastAsia" w:ascii="宋体" w:hAnsi="宋体"/>
          <w:sz w:val="36"/>
          <w:szCs w:val="36"/>
        </w:rPr>
      </w:pPr>
    </w:p>
    <w:p>
      <w:pPr>
        <w:pStyle w:val="31"/>
        <w:tabs>
          <w:tab w:val="left" w:pos="840"/>
          <w:tab w:val="right" w:leader="dot" w:pos="8810"/>
        </w:tabs>
        <w:rPr>
          <w:rFonts w:ascii="Calibri" w:hAnsi="Calibri"/>
          <w:b w:val="0"/>
          <w:kern w:val="2"/>
          <w:sz w:val="21"/>
          <w:szCs w:val="22"/>
          <w:lang w:val="en-US" w:eastAsia="zh-CN"/>
        </w:rPr>
      </w:pPr>
      <w:r>
        <w:rPr>
          <w:rFonts w:ascii="宋体" w:hAnsi="宋体"/>
          <w:sz w:val="36"/>
          <w:szCs w:val="36"/>
        </w:rPr>
        <w:fldChar w:fldCharType="begin"/>
      </w:r>
      <w:r>
        <w:rPr>
          <w:rFonts w:ascii="宋体" w:hAnsi="宋体"/>
          <w:sz w:val="36"/>
          <w:szCs w:val="36"/>
        </w:rPr>
        <w:instrText xml:space="preserve"> TOC \o "1-2" \h \z \u </w:instrText>
      </w:r>
      <w:r>
        <w:rPr>
          <w:rFonts w:ascii="宋体" w:hAnsi="宋体"/>
          <w:sz w:val="36"/>
          <w:szCs w:val="36"/>
        </w:rPr>
        <w:fldChar w:fldCharType="separate"/>
      </w:r>
      <w:r>
        <w:rPr>
          <w:rStyle w:val="51"/>
          <w:lang/>
        </w:rPr>
        <w:fldChar w:fldCharType="begin"/>
      </w:r>
      <w:r>
        <w:rPr>
          <w:rStyle w:val="51"/>
          <w:lang/>
        </w:rPr>
        <w:instrText xml:space="preserve"> </w:instrText>
      </w:r>
      <w:r>
        <w:rPr>
          <w:lang/>
        </w:rPr>
        <w:instrText xml:space="preserve">HYPERLINK \l "_Toc111809303"</w:instrText>
      </w:r>
      <w:r>
        <w:rPr>
          <w:rStyle w:val="51"/>
          <w:lang/>
        </w:rPr>
        <w:instrText xml:space="preserve"> </w:instrText>
      </w:r>
      <w:r>
        <w:rPr>
          <w:rStyle w:val="51"/>
          <w:lang/>
        </w:rPr>
        <w:fldChar w:fldCharType="separate"/>
      </w:r>
      <w:r>
        <w:rPr>
          <w:rStyle w:val="51"/>
          <w:rFonts w:hint="eastAsia"/>
          <w:lang w:val="en-US" w:eastAsia="zh-CN"/>
        </w:rPr>
        <w:t>第一章</w:t>
      </w:r>
      <w:r>
        <w:rPr>
          <w:rFonts w:ascii="Calibri" w:hAnsi="Calibri"/>
          <w:b w:val="0"/>
          <w:kern w:val="2"/>
          <w:sz w:val="21"/>
          <w:szCs w:val="22"/>
          <w:lang w:val="en-US" w:eastAsia="zh-CN"/>
        </w:rPr>
        <w:tab/>
      </w:r>
      <w:r>
        <w:rPr>
          <w:rStyle w:val="51"/>
          <w:rFonts w:hint="eastAsia"/>
          <w:lang w:val="en-US" w:eastAsia="zh-CN"/>
        </w:rPr>
        <w:t>竞争性磋商采购公告</w:t>
      </w:r>
      <w:r>
        <w:rPr>
          <w:lang/>
        </w:rPr>
        <w:tab/>
      </w:r>
      <w:r>
        <w:rPr>
          <w:lang/>
        </w:rPr>
        <w:fldChar w:fldCharType="begin"/>
      </w:r>
      <w:r>
        <w:rPr>
          <w:lang/>
        </w:rPr>
        <w:instrText xml:space="preserve"> PAGEREF _Toc111809303 \h </w:instrText>
      </w:r>
      <w:r>
        <w:rPr>
          <w:lang/>
        </w:rPr>
        <w:fldChar w:fldCharType="separate"/>
      </w:r>
      <w:r>
        <w:rPr>
          <w:lang/>
        </w:rPr>
        <w:t>2</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"_Toc111809304"</w:instrText>
      </w:r>
      <w:r>
        <w:rPr>
          <w:rStyle w:val="51"/>
          <w:lang/>
        </w:rPr>
        <w:instrText xml:space="preserve"> </w:instrText>
      </w:r>
      <w:r>
        <w:rPr>
          <w:rStyle w:val="51"/>
          <w:lang/>
        </w:rPr>
        <w:fldChar w:fldCharType="separate"/>
      </w:r>
      <w:r>
        <w:rPr>
          <w:rStyle w:val="51"/>
          <w:rFonts w:hint="eastAsia"/>
          <w:lang w:val="en-US" w:eastAsia="zh-CN"/>
        </w:rPr>
        <w:t>第二章</w:t>
      </w:r>
      <w:r>
        <w:rPr>
          <w:rStyle w:val="51"/>
          <w:lang w:val="en-US" w:eastAsia="zh-CN"/>
        </w:rPr>
        <w:t xml:space="preserve">  </w:t>
      </w:r>
      <w:r>
        <w:rPr>
          <w:rStyle w:val="51"/>
          <w:rFonts w:hint="eastAsia"/>
          <w:lang w:val="en-US" w:eastAsia="zh-CN"/>
        </w:rPr>
        <w:t>竞争性磋商须知</w:t>
      </w:r>
      <w:r>
        <w:rPr>
          <w:lang/>
        </w:rPr>
        <w:tab/>
      </w:r>
      <w:r>
        <w:rPr>
          <w:lang/>
        </w:rPr>
        <w:fldChar w:fldCharType="begin"/>
      </w:r>
      <w:r>
        <w:rPr>
          <w:lang/>
        </w:rPr>
        <w:instrText xml:space="preserve"> PAGEREF _Toc111809304 \h </w:instrText>
      </w:r>
      <w:r>
        <w:rPr>
          <w:lang/>
        </w:rPr>
        <w:fldChar w:fldCharType="separate"/>
      </w:r>
      <w:r>
        <w:rPr>
          <w:lang/>
        </w:rPr>
        <w:t>5</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"_Toc111809305"</w:instrText>
      </w:r>
      <w:r>
        <w:rPr>
          <w:rStyle w:val="51"/>
          <w:lang/>
        </w:rPr>
        <w:instrText xml:space="preserve"> </w:instrText>
      </w:r>
      <w:r>
        <w:rPr>
          <w:rStyle w:val="51"/>
          <w:lang/>
        </w:rPr>
        <w:fldChar w:fldCharType="separate"/>
      </w:r>
      <w:r>
        <w:rPr>
          <w:rStyle w:val="51"/>
          <w:rFonts w:hint="eastAsia"/>
          <w:lang w:val="en-US" w:eastAsia="zh-CN"/>
        </w:rPr>
        <w:t>第三章</w:t>
      </w:r>
      <w:r>
        <w:rPr>
          <w:rStyle w:val="51"/>
          <w:lang w:val="en-US" w:eastAsia="zh-CN"/>
        </w:rPr>
        <w:t xml:space="preserve">  </w:t>
      </w:r>
      <w:r>
        <w:rPr>
          <w:rStyle w:val="51"/>
          <w:rFonts w:hint="eastAsia"/>
          <w:lang w:val="en-US" w:eastAsia="zh-CN"/>
        </w:rPr>
        <w:t>招标项目需求</w:t>
      </w:r>
      <w:r>
        <w:rPr>
          <w:lang/>
        </w:rPr>
        <w:tab/>
      </w:r>
      <w:r>
        <w:rPr>
          <w:lang/>
        </w:rPr>
        <w:fldChar w:fldCharType="begin"/>
      </w:r>
      <w:r>
        <w:rPr>
          <w:lang/>
        </w:rPr>
        <w:instrText xml:space="preserve"> PAGEREF _Toc111809305 \h </w:instrText>
      </w:r>
      <w:r>
        <w:rPr>
          <w:lang/>
        </w:rPr>
        <w:fldChar w:fldCharType="separate"/>
      </w:r>
      <w:r>
        <w:rPr>
          <w:lang/>
        </w:rPr>
        <w:t>8</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"_Toc111809306"</w:instrText>
      </w:r>
      <w:r>
        <w:rPr>
          <w:rStyle w:val="51"/>
          <w:lang/>
        </w:rPr>
        <w:instrText xml:space="preserve"> </w:instrText>
      </w:r>
      <w:r>
        <w:rPr>
          <w:rStyle w:val="51"/>
          <w:lang/>
        </w:rPr>
        <w:fldChar w:fldCharType="separate"/>
      </w:r>
      <w:r>
        <w:rPr>
          <w:rStyle w:val="51"/>
          <w:rFonts w:hint="eastAsia" w:ascii="宋体" w:hAnsi="宋体"/>
          <w:b/>
          <w:bCs/>
          <w:iCs/>
          <w:lang/>
        </w:rPr>
        <w:t>分包</w:t>
      </w:r>
      <w:r>
        <w:rPr>
          <w:rStyle w:val="51"/>
          <w:rFonts w:ascii="宋体" w:hAnsi="宋体"/>
          <w:b/>
          <w:bCs/>
          <w:iCs/>
          <w:lang/>
        </w:rPr>
        <w:t>1</w:t>
      </w:r>
      <w:r>
        <w:rPr>
          <w:rStyle w:val="51"/>
          <w:rFonts w:hint="eastAsia" w:ascii="宋体" w:hAnsi="宋体"/>
          <w:b/>
          <w:bCs/>
          <w:iCs/>
          <w:lang/>
        </w:rPr>
        <w:t>：</w:t>
      </w:r>
      <w:r>
        <w:rPr>
          <w:lang/>
        </w:rPr>
        <w:tab/>
      </w:r>
      <w:r>
        <w:rPr>
          <w:lang/>
        </w:rPr>
        <w:fldChar w:fldCharType="begin"/>
      </w:r>
      <w:r>
        <w:rPr>
          <w:lang/>
        </w:rPr>
        <w:instrText xml:space="preserve"> PAGEREF _Toc111809306 \h </w:instrText>
      </w:r>
      <w:r>
        <w:rPr>
          <w:lang/>
        </w:rPr>
        <w:fldChar w:fldCharType="separate"/>
      </w:r>
      <w:r>
        <w:rPr>
          <w:lang/>
        </w:rPr>
        <w:t>8</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"_Toc111809307"</w:instrText>
      </w:r>
      <w:r>
        <w:rPr>
          <w:rStyle w:val="51"/>
          <w:lang/>
        </w:rPr>
        <w:instrText xml:space="preserve"> </w:instrText>
      </w:r>
      <w:r>
        <w:rPr>
          <w:rStyle w:val="51"/>
          <w:lang/>
        </w:rPr>
        <w:fldChar w:fldCharType="separate"/>
      </w:r>
      <w:r>
        <w:rPr>
          <w:rStyle w:val="51"/>
          <w:rFonts w:hint="eastAsia" w:ascii="宋体" w:hAnsi="宋体"/>
          <w:b/>
          <w:kern w:val="0"/>
          <w:lang/>
        </w:rPr>
        <w:t>一、维护设备主要清单</w:t>
      </w:r>
      <w:r>
        <w:rPr>
          <w:lang/>
        </w:rPr>
        <w:tab/>
      </w:r>
      <w:r>
        <w:rPr>
          <w:lang/>
        </w:rPr>
        <w:fldChar w:fldCharType="begin"/>
      </w:r>
      <w:r>
        <w:rPr>
          <w:lang/>
        </w:rPr>
        <w:instrText xml:space="preserve"> PAGEREF _Toc111809307 \h </w:instrText>
      </w:r>
      <w:r>
        <w:rPr>
          <w:lang/>
        </w:rPr>
        <w:fldChar w:fldCharType="separate"/>
      </w:r>
      <w:r>
        <w:rPr>
          <w:lang/>
        </w:rPr>
        <w:t>8</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"_Toc111809308"</w:instrText>
      </w:r>
      <w:r>
        <w:rPr>
          <w:rStyle w:val="51"/>
          <w:lang/>
        </w:rPr>
        <w:instrText xml:space="preserve"> </w:instrText>
      </w:r>
      <w:r>
        <w:rPr>
          <w:rStyle w:val="51"/>
          <w:lang/>
        </w:rPr>
        <w:fldChar w:fldCharType="separate"/>
      </w:r>
      <w:r>
        <w:rPr>
          <w:rStyle w:val="51"/>
          <w:rFonts w:hint="eastAsia" w:ascii="宋体" w:hAnsi="宋体"/>
          <w:b/>
          <w:kern w:val="0"/>
          <w:lang/>
        </w:rPr>
        <w:t>二、维护要求</w:t>
      </w:r>
      <w:r>
        <w:rPr>
          <w:lang/>
        </w:rPr>
        <w:tab/>
      </w:r>
      <w:r>
        <w:rPr>
          <w:lang/>
        </w:rPr>
        <w:fldChar w:fldCharType="begin"/>
      </w:r>
      <w:r>
        <w:rPr>
          <w:lang/>
        </w:rPr>
        <w:instrText xml:space="preserve"> PAGEREF _Toc111809308 \h </w:instrText>
      </w:r>
      <w:r>
        <w:rPr>
          <w:lang/>
        </w:rPr>
        <w:fldChar w:fldCharType="separate"/>
      </w:r>
      <w:r>
        <w:rPr>
          <w:lang/>
        </w:rPr>
        <w:t>8</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"_Toc111809309"</w:instrText>
      </w:r>
      <w:r>
        <w:rPr>
          <w:rStyle w:val="51"/>
          <w:lang/>
        </w:rPr>
        <w:instrText xml:space="preserve"> </w:instrText>
      </w:r>
      <w:r>
        <w:rPr>
          <w:rStyle w:val="51"/>
          <w:lang/>
        </w:rPr>
        <w:fldChar w:fldCharType="separate"/>
      </w:r>
      <w:r>
        <w:rPr>
          <w:rStyle w:val="51"/>
          <w:rFonts w:hint="eastAsia" w:ascii="宋体" w:hAnsi="宋体"/>
          <w:b/>
          <w:kern w:val="0"/>
          <w:lang/>
        </w:rPr>
        <w:t>三、其他保障要求</w:t>
      </w:r>
      <w:r>
        <w:rPr>
          <w:lang/>
        </w:rPr>
        <w:tab/>
      </w:r>
      <w:r>
        <w:rPr>
          <w:lang/>
        </w:rPr>
        <w:fldChar w:fldCharType="begin"/>
      </w:r>
      <w:r>
        <w:rPr>
          <w:lang/>
        </w:rPr>
        <w:instrText xml:space="preserve"> PAGEREF _Toc111809309 \h </w:instrText>
      </w:r>
      <w:r>
        <w:rPr>
          <w:lang/>
        </w:rPr>
        <w:fldChar w:fldCharType="separate"/>
      </w:r>
      <w:r>
        <w:rPr>
          <w:lang/>
        </w:rPr>
        <w:t>10</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"_Toc111809310"</w:instrText>
      </w:r>
      <w:r>
        <w:rPr>
          <w:rStyle w:val="51"/>
          <w:lang/>
        </w:rPr>
        <w:instrText xml:space="preserve"> </w:instrText>
      </w:r>
      <w:r>
        <w:rPr>
          <w:rStyle w:val="51"/>
          <w:lang/>
        </w:rPr>
        <w:fldChar w:fldCharType="separate"/>
      </w:r>
      <w:r>
        <w:rPr>
          <w:rStyle w:val="51"/>
          <w:rFonts w:hint="eastAsia" w:ascii="宋体" w:hAnsi="宋体"/>
          <w:b/>
          <w:kern w:val="0"/>
          <w:lang/>
        </w:rPr>
        <w:t>五、付款方式</w:t>
      </w:r>
      <w:r>
        <w:rPr>
          <w:lang/>
        </w:rPr>
        <w:tab/>
      </w:r>
      <w:r>
        <w:rPr>
          <w:lang/>
        </w:rPr>
        <w:fldChar w:fldCharType="begin"/>
      </w:r>
      <w:r>
        <w:rPr>
          <w:lang/>
        </w:rPr>
        <w:instrText xml:space="preserve"> PAGEREF _Toc111809310 \h </w:instrText>
      </w:r>
      <w:r>
        <w:rPr>
          <w:lang/>
        </w:rPr>
        <w:fldChar w:fldCharType="separate"/>
      </w:r>
      <w:r>
        <w:rPr>
          <w:lang/>
        </w:rPr>
        <w:t>10</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"_Toc111809311"</w:instrText>
      </w:r>
      <w:r>
        <w:rPr>
          <w:rStyle w:val="51"/>
          <w:lang/>
        </w:rPr>
        <w:instrText xml:space="preserve"> </w:instrText>
      </w:r>
      <w:r>
        <w:rPr>
          <w:rStyle w:val="51"/>
          <w:lang/>
        </w:rPr>
        <w:fldChar w:fldCharType="separate"/>
      </w:r>
      <w:r>
        <w:rPr>
          <w:rStyle w:val="51"/>
          <w:rFonts w:hint="eastAsia" w:ascii="宋体" w:hAnsi="宋体"/>
          <w:b/>
          <w:bCs/>
          <w:iCs/>
          <w:lang/>
        </w:rPr>
        <w:t>分包</w:t>
      </w:r>
      <w:r>
        <w:rPr>
          <w:rStyle w:val="51"/>
          <w:rFonts w:ascii="宋体" w:hAnsi="宋体"/>
          <w:b/>
          <w:bCs/>
          <w:iCs/>
          <w:lang/>
        </w:rPr>
        <w:t>2</w:t>
      </w:r>
      <w:r>
        <w:rPr>
          <w:rStyle w:val="51"/>
          <w:rFonts w:hint="eastAsia" w:ascii="宋体" w:hAnsi="宋体"/>
          <w:b/>
          <w:bCs/>
          <w:iCs/>
          <w:lang/>
        </w:rPr>
        <w:t>：机房维保服务内容</w:t>
      </w:r>
      <w:r>
        <w:rPr>
          <w:lang/>
        </w:rPr>
        <w:tab/>
      </w:r>
      <w:r>
        <w:rPr>
          <w:lang/>
        </w:rPr>
        <w:fldChar w:fldCharType="begin"/>
      </w:r>
      <w:r>
        <w:rPr>
          <w:lang/>
        </w:rPr>
        <w:instrText xml:space="preserve"> PAGEREF _Toc111809311 \h </w:instrText>
      </w:r>
      <w:r>
        <w:rPr>
          <w:lang/>
        </w:rPr>
        <w:fldChar w:fldCharType="separate"/>
      </w:r>
      <w:r>
        <w:rPr>
          <w:lang/>
        </w:rPr>
        <w:t>11</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"_Toc111809312"</w:instrText>
      </w:r>
      <w:r>
        <w:rPr>
          <w:rStyle w:val="51"/>
          <w:lang/>
        </w:rPr>
        <w:instrText xml:space="preserve"> </w:instrText>
      </w:r>
      <w:r>
        <w:rPr>
          <w:rStyle w:val="51"/>
          <w:lang/>
        </w:rPr>
        <w:fldChar w:fldCharType="separate"/>
      </w:r>
      <w:r>
        <w:rPr>
          <w:rStyle w:val="51"/>
          <w:rFonts w:hint="eastAsia" w:ascii="宋体" w:hAnsi="宋体"/>
          <w:b/>
          <w:kern w:val="0"/>
          <w:lang/>
        </w:rPr>
        <w:t>一、维护设备主要清单</w:t>
      </w:r>
      <w:r>
        <w:rPr>
          <w:lang/>
        </w:rPr>
        <w:tab/>
      </w:r>
      <w:r>
        <w:rPr>
          <w:lang/>
        </w:rPr>
        <w:fldChar w:fldCharType="begin"/>
      </w:r>
      <w:r>
        <w:rPr>
          <w:lang/>
        </w:rPr>
        <w:instrText xml:space="preserve"> PAGEREF _Toc111809312 \h </w:instrText>
      </w:r>
      <w:r>
        <w:rPr>
          <w:lang/>
        </w:rPr>
        <w:fldChar w:fldCharType="separate"/>
      </w:r>
      <w:r>
        <w:rPr>
          <w:lang/>
        </w:rPr>
        <w:t>11</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"_Toc111809313"</w:instrText>
      </w:r>
      <w:r>
        <w:rPr>
          <w:rStyle w:val="51"/>
          <w:lang/>
        </w:rPr>
        <w:instrText xml:space="preserve"> </w:instrText>
      </w:r>
      <w:r>
        <w:rPr>
          <w:rStyle w:val="51"/>
          <w:lang/>
        </w:rPr>
        <w:fldChar w:fldCharType="separate"/>
      </w:r>
      <w:r>
        <w:rPr>
          <w:rStyle w:val="51"/>
          <w:rFonts w:hint="eastAsia" w:ascii="宋体" w:hAnsi="宋体"/>
          <w:b/>
          <w:kern w:val="0"/>
          <w:lang/>
        </w:rPr>
        <w:t>二、维保服务要求</w:t>
      </w:r>
      <w:r>
        <w:rPr>
          <w:lang/>
        </w:rPr>
        <w:tab/>
      </w:r>
      <w:r>
        <w:rPr>
          <w:lang/>
        </w:rPr>
        <w:fldChar w:fldCharType="begin"/>
      </w:r>
      <w:r>
        <w:rPr>
          <w:lang/>
        </w:rPr>
        <w:instrText xml:space="preserve"> PAGEREF _Toc111809313 \h </w:instrText>
      </w:r>
      <w:r>
        <w:rPr>
          <w:lang/>
        </w:rPr>
        <w:fldChar w:fldCharType="separate"/>
      </w:r>
      <w:r>
        <w:rPr>
          <w:lang/>
        </w:rPr>
        <w:t>11</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"_Toc111809314"</w:instrText>
      </w:r>
      <w:r>
        <w:rPr>
          <w:rStyle w:val="51"/>
          <w:lang/>
        </w:rPr>
        <w:instrText xml:space="preserve"> </w:instrText>
      </w:r>
      <w:r>
        <w:rPr>
          <w:rStyle w:val="51"/>
          <w:lang/>
        </w:rPr>
        <w:fldChar w:fldCharType="separate"/>
      </w:r>
      <w:r>
        <w:rPr>
          <w:rStyle w:val="51"/>
          <w:rFonts w:hint="eastAsia" w:ascii="宋体" w:hAnsi="宋体"/>
          <w:b/>
          <w:kern w:val="0"/>
          <w:lang/>
        </w:rPr>
        <w:t>三、服务期限</w:t>
      </w:r>
      <w:r>
        <w:rPr>
          <w:lang/>
        </w:rPr>
        <w:tab/>
      </w:r>
      <w:r>
        <w:rPr>
          <w:lang/>
        </w:rPr>
        <w:fldChar w:fldCharType="begin"/>
      </w:r>
      <w:r>
        <w:rPr>
          <w:lang/>
        </w:rPr>
        <w:instrText xml:space="preserve"> PAGEREF _Toc111809314 \h </w:instrText>
      </w:r>
      <w:r>
        <w:rPr>
          <w:lang/>
        </w:rPr>
        <w:fldChar w:fldCharType="separate"/>
      </w:r>
      <w:r>
        <w:rPr>
          <w:lang/>
        </w:rPr>
        <w:t>16</w:t>
      </w:r>
      <w:r>
        <w:rPr>
          <w:lang/>
        </w:rPr>
        <w:fldChar w:fldCharType="end"/>
      </w:r>
      <w:r>
        <w:rPr>
          <w:rStyle w:val="51"/>
          <w:lang/>
        </w:rPr>
        <w:fldChar w:fldCharType="end"/>
      </w:r>
    </w:p>
    <w:p>
      <w:pPr>
        <w:pStyle w:val="36"/>
        <w:tabs>
          <w:tab w:val="right" w:leader="dot" w:pos="8810"/>
        </w:tabs>
        <w:rPr>
          <w:rFonts w:ascii="Calibri" w:hAnsi="Calibri"/>
          <w:szCs w:val="22"/>
          <w:lang/>
        </w:rPr>
      </w:pPr>
      <w:r>
        <w:rPr>
          <w:rStyle w:val="51"/>
          <w:lang/>
        </w:rPr>
        <w:fldChar w:fldCharType="begin"/>
      </w:r>
      <w:r>
        <w:rPr>
          <w:rStyle w:val="51"/>
          <w:lang/>
        </w:rPr>
        <w:instrText xml:space="preserve"> </w:instrText>
      </w:r>
      <w:r>
        <w:rPr>
          <w:lang/>
        </w:rPr>
        <w:instrText xml:space="preserve">HYPERLINK \l "_Toc111809315"</w:instrText>
      </w:r>
      <w:r>
        <w:rPr>
          <w:rStyle w:val="51"/>
          <w:lang/>
        </w:rPr>
        <w:instrText xml:space="preserve"> </w:instrText>
      </w:r>
      <w:r>
        <w:rPr>
          <w:rStyle w:val="51"/>
          <w:lang/>
        </w:rPr>
        <w:fldChar w:fldCharType="separate"/>
      </w:r>
      <w:r>
        <w:rPr>
          <w:rStyle w:val="51"/>
          <w:rFonts w:hint="eastAsia" w:ascii="宋体" w:hAnsi="宋体"/>
          <w:b/>
          <w:kern w:val="0"/>
          <w:lang/>
        </w:rPr>
        <w:t>四、付款方式</w:t>
      </w:r>
      <w:r>
        <w:rPr>
          <w:lang/>
        </w:rPr>
        <w:tab/>
      </w:r>
      <w:r>
        <w:rPr>
          <w:lang/>
        </w:rPr>
        <w:fldChar w:fldCharType="begin"/>
      </w:r>
      <w:r>
        <w:rPr>
          <w:lang/>
        </w:rPr>
        <w:instrText xml:space="preserve"> PAGEREF _Toc111809315 \h </w:instrText>
      </w:r>
      <w:r>
        <w:rPr>
          <w:lang/>
        </w:rPr>
        <w:fldChar w:fldCharType="separate"/>
      </w:r>
      <w:r>
        <w:rPr>
          <w:lang/>
        </w:rPr>
        <w:t>16</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"_Toc111809316"</w:instrText>
      </w:r>
      <w:r>
        <w:rPr>
          <w:rStyle w:val="51"/>
          <w:lang/>
        </w:rPr>
        <w:instrText xml:space="preserve"> </w:instrText>
      </w:r>
      <w:r>
        <w:rPr>
          <w:rStyle w:val="51"/>
          <w:lang/>
        </w:rPr>
        <w:fldChar w:fldCharType="separate"/>
      </w:r>
      <w:r>
        <w:rPr>
          <w:rStyle w:val="51"/>
          <w:rFonts w:hint="eastAsia"/>
          <w:lang/>
        </w:rPr>
        <w:t>第</w:t>
      </w:r>
      <w:r>
        <w:rPr>
          <w:rStyle w:val="51"/>
          <w:rFonts w:hint="eastAsia"/>
          <w:lang w:eastAsia="zh-CN"/>
        </w:rPr>
        <w:t>四</w:t>
      </w:r>
      <w:r>
        <w:rPr>
          <w:rStyle w:val="51"/>
          <w:rFonts w:hint="eastAsia"/>
          <w:lang/>
        </w:rPr>
        <w:t>章</w:t>
      </w:r>
      <w:r>
        <w:rPr>
          <w:rStyle w:val="51"/>
          <w:lang/>
        </w:rPr>
        <w:t xml:space="preserve">  </w:t>
      </w:r>
      <w:r>
        <w:rPr>
          <w:rStyle w:val="51"/>
          <w:rFonts w:hint="eastAsia"/>
          <w:lang/>
        </w:rPr>
        <w:t>竞争性磋商方法和程序</w:t>
      </w:r>
      <w:r>
        <w:rPr>
          <w:lang/>
        </w:rPr>
        <w:tab/>
      </w:r>
      <w:r>
        <w:rPr>
          <w:lang/>
        </w:rPr>
        <w:fldChar w:fldCharType="begin"/>
      </w:r>
      <w:r>
        <w:rPr>
          <w:lang/>
        </w:rPr>
        <w:instrText xml:space="preserve"> PAGEREF _Toc111809316 \h </w:instrText>
      </w:r>
      <w:r>
        <w:rPr>
          <w:lang/>
        </w:rPr>
        <w:fldChar w:fldCharType="separate"/>
      </w:r>
      <w:r>
        <w:rPr>
          <w:lang/>
        </w:rPr>
        <w:t>17</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"_Toc111809317"</w:instrText>
      </w:r>
      <w:r>
        <w:rPr>
          <w:rStyle w:val="51"/>
          <w:lang/>
        </w:rPr>
        <w:instrText xml:space="preserve"> </w:instrText>
      </w:r>
      <w:r>
        <w:rPr>
          <w:rStyle w:val="51"/>
          <w:lang/>
        </w:rPr>
        <w:fldChar w:fldCharType="separate"/>
      </w:r>
      <w:r>
        <w:rPr>
          <w:rStyle w:val="51"/>
          <w:rFonts w:hint="eastAsia"/>
          <w:lang w:val="en-US" w:eastAsia="zh-CN"/>
        </w:rPr>
        <w:t>第五章</w:t>
      </w:r>
      <w:r>
        <w:rPr>
          <w:rStyle w:val="51"/>
          <w:lang w:val="en-US" w:eastAsia="zh-CN"/>
        </w:rPr>
        <w:t xml:space="preserve">  </w:t>
      </w:r>
      <w:r>
        <w:rPr>
          <w:rStyle w:val="51"/>
          <w:rFonts w:hint="eastAsia"/>
          <w:lang w:val="en-US" w:eastAsia="zh-CN"/>
        </w:rPr>
        <w:t>政府采购合同</w:t>
      </w:r>
      <w:r>
        <w:rPr>
          <w:lang/>
        </w:rPr>
        <w:tab/>
      </w:r>
      <w:r>
        <w:rPr>
          <w:lang/>
        </w:rPr>
        <w:fldChar w:fldCharType="begin"/>
      </w:r>
      <w:r>
        <w:rPr>
          <w:lang/>
        </w:rPr>
        <w:instrText xml:space="preserve"> PAGEREF _Toc111809317 \h </w:instrText>
      </w:r>
      <w:r>
        <w:rPr>
          <w:lang/>
        </w:rPr>
        <w:fldChar w:fldCharType="separate"/>
      </w:r>
      <w:r>
        <w:rPr>
          <w:lang/>
        </w:rPr>
        <w:t>22</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"_Toc111809318"</w:instrText>
      </w:r>
      <w:r>
        <w:rPr>
          <w:rStyle w:val="51"/>
          <w:lang/>
        </w:rPr>
        <w:instrText xml:space="preserve"> </w:instrText>
      </w:r>
      <w:r>
        <w:rPr>
          <w:rStyle w:val="51"/>
          <w:lang/>
        </w:rPr>
        <w:fldChar w:fldCharType="separate"/>
      </w:r>
      <w:r>
        <w:rPr>
          <w:rStyle w:val="51"/>
          <w:rFonts w:hint="eastAsia"/>
          <w:lang w:val="en-US" w:eastAsia="zh-CN"/>
        </w:rPr>
        <w:t>第六章　相关格式</w:t>
      </w:r>
      <w:r>
        <w:rPr>
          <w:lang/>
        </w:rPr>
        <w:tab/>
      </w:r>
      <w:r>
        <w:rPr>
          <w:lang/>
        </w:rPr>
        <w:fldChar w:fldCharType="begin"/>
      </w:r>
      <w:r>
        <w:rPr>
          <w:lang/>
        </w:rPr>
        <w:instrText xml:space="preserve"> PAGEREF _Toc111809318 \h </w:instrText>
      </w:r>
      <w:r>
        <w:rPr>
          <w:lang/>
        </w:rPr>
        <w:fldChar w:fldCharType="separate"/>
      </w:r>
      <w:r>
        <w:rPr>
          <w:lang/>
        </w:rPr>
        <w:t>24</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"_Toc111809319"</w:instrText>
      </w:r>
      <w:r>
        <w:rPr>
          <w:rStyle w:val="51"/>
          <w:lang/>
        </w:rPr>
        <w:instrText xml:space="preserve"> </w:instrText>
      </w:r>
      <w:r>
        <w:rPr>
          <w:rStyle w:val="51"/>
          <w:lang/>
        </w:rPr>
        <w:fldChar w:fldCharType="separate"/>
      </w:r>
      <w:r>
        <w:rPr>
          <w:rStyle w:val="51"/>
          <w:rFonts w:hint="eastAsia" w:ascii="宋体" w:hAnsi="宋体"/>
          <w:bCs/>
          <w:iCs/>
          <w:lang/>
        </w:rPr>
        <w:t>一、投标文件封面格式</w:t>
      </w:r>
      <w:r>
        <w:rPr>
          <w:lang/>
        </w:rPr>
        <w:tab/>
      </w:r>
      <w:r>
        <w:rPr>
          <w:lang/>
        </w:rPr>
        <w:fldChar w:fldCharType="begin"/>
      </w:r>
      <w:r>
        <w:rPr>
          <w:lang/>
        </w:rPr>
        <w:instrText xml:space="preserve"> PAGEREF _Toc111809319 \h </w:instrText>
      </w:r>
      <w:r>
        <w:rPr>
          <w:lang/>
        </w:rPr>
        <w:fldChar w:fldCharType="separate"/>
      </w:r>
      <w:r>
        <w:rPr>
          <w:lang/>
        </w:rPr>
        <w:t>24</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"_Toc111809320"</w:instrText>
      </w:r>
      <w:r>
        <w:rPr>
          <w:rStyle w:val="51"/>
          <w:lang/>
        </w:rPr>
        <w:instrText xml:space="preserve"> </w:instrText>
      </w:r>
      <w:r>
        <w:rPr>
          <w:rStyle w:val="51"/>
          <w:lang/>
        </w:rPr>
        <w:fldChar w:fldCharType="separate"/>
      </w:r>
      <w:r>
        <w:rPr>
          <w:rStyle w:val="51"/>
          <w:rFonts w:hint="eastAsia" w:ascii="宋体" w:hAnsi="宋体"/>
          <w:bCs/>
          <w:iCs/>
          <w:lang/>
        </w:rPr>
        <w:t>二、资格文件参考格式</w:t>
      </w:r>
      <w:r>
        <w:rPr>
          <w:lang/>
        </w:rPr>
        <w:tab/>
      </w:r>
      <w:r>
        <w:rPr>
          <w:lang/>
        </w:rPr>
        <w:fldChar w:fldCharType="begin"/>
      </w:r>
      <w:r>
        <w:rPr>
          <w:lang/>
        </w:rPr>
        <w:instrText xml:space="preserve"> PAGEREF _Toc111809320 \h </w:instrText>
      </w:r>
      <w:r>
        <w:rPr>
          <w:lang/>
        </w:rPr>
        <w:fldChar w:fldCharType="separate"/>
      </w:r>
      <w:r>
        <w:rPr>
          <w:lang/>
        </w:rPr>
        <w:t>25</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"_Toc111809321"</w:instrText>
      </w:r>
      <w:r>
        <w:rPr>
          <w:rStyle w:val="51"/>
          <w:lang/>
        </w:rPr>
        <w:instrText xml:space="preserve"> </w:instrText>
      </w:r>
      <w:r>
        <w:rPr>
          <w:rStyle w:val="51"/>
          <w:lang/>
        </w:rPr>
        <w:fldChar w:fldCharType="separate"/>
      </w:r>
      <w:r>
        <w:rPr>
          <w:rStyle w:val="51"/>
          <w:rFonts w:hint="eastAsia" w:ascii="宋体" w:hAnsi="宋体"/>
          <w:bCs/>
          <w:iCs/>
          <w:lang/>
        </w:rPr>
        <w:t>三、技术商务文件参考格式</w:t>
      </w:r>
      <w:r>
        <w:rPr>
          <w:lang/>
        </w:rPr>
        <w:tab/>
      </w:r>
      <w:r>
        <w:rPr>
          <w:lang/>
        </w:rPr>
        <w:fldChar w:fldCharType="begin"/>
      </w:r>
      <w:r>
        <w:rPr>
          <w:lang/>
        </w:rPr>
        <w:instrText xml:space="preserve"> PAGEREF _Toc111809321 \h </w:instrText>
      </w:r>
      <w:r>
        <w:rPr>
          <w:lang/>
        </w:rPr>
        <w:fldChar w:fldCharType="separate"/>
      </w:r>
      <w:r>
        <w:rPr>
          <w:lang/>
        </w:rPr>
        <w:t>28</w:t>
      </w:r>
      <w:r>
        <w:rPr>
          <w:lang/>
        </w:rPr>
        <w:fldChar w:fldCharType="end"/>
      </w:r>
      <w:r>
        <w:rPr>
          <w:rStyle w:val="51"/>
          <w:lang/>
        </w:rPr>
        <w:fldChar w:fldCharType="end"/>
      </w:r>
    </w:p>
    <w:p>
      <w:pPr>
        <w:pStyle w:val="31"/>
        <w:tabs>
          <w:tab w:val="right" w:leader="dot" w:pos="8810"/>
        </w:tabs>
        <w:rPr>
          <w:rFonts w:ascii="Calibri" w:hAnsi="Calibri"/>
          <w:b w:val="0"/>
          <w:kern w:val="2"/>
          <w:sz w:val="21"/>
          <w:szCs w:val="22"/>
          <w:lang w:val="en-US" w:eastAsia="zh-CN"/>
        </w:rPr>
      </w:pPr>
      <w:r>
        <w:rPr>
          <w:rStyle w:val="51"/>
          <w:lang/>
        </w:rPr>
        <w:fldChar w:fldCharType="begin"/>
      </w:r>
      <w:r>
        <w:rPr>
          <w:rStyle w:val="51"/>
          <w:lang/>
        </w:rPr>
        <w:instrText xml:space="preserve"> </w:instrText>
      </w:r>
      <w:r>
        <w:rPr>
          <w:lang/>
        </w:rPr>
        <w:instrText xml:space="preserve">HYPERLINK \l "_Toc111809322"</w:instrText>
      </w:r>
      <w:r>
        <w:rPr>
          <w:rStyle w:val="51"/>
          <w:lang/>
        </w:rPr>
        <w:instrText xml:space="preserve"> </w:instrText>
      </w:r>
      <w:r>
        <w:rPr>
          <w:rStyle w:val="51"/>
          <w:lang/>
        </w:rPr>
        <w:fldChar w:fldCharType="separate"/>
      </w:r>
      <w:r>
        <w:rPr>
          <w:rStyle w:val="51"/>
          <w:rFonts w:hint="eastAsia" w:ascii="宋体" w:hAnsi="宋体"/>
          <w:bCs/>
          <w:iCs/>
          <w:lang/>
        </w:rPr>
        <w:t>四、报价文件参考格式</w:t>
      </w:r>
      <w:r>
        <w:rPr>
          <w:lang/>
        </w:rPr>
        <w:tab/>
      </w:r>
      <w:r>
        <w:rPr>
          <w:lang/>
        </w:rPr>
        <w:fldChar w:fldCharType="begin"/>
      </w:r>
      <w:r>
        <w:rPr>
          <w:lang/>
        </w:rPr>
        <w:instrText xml:space="preserve"> PAGEREF _Toc111809322 \h </w:instrText>
      </w:r>
      <w:r>
        <w:rPr>
          <w:lang/>
        </w:rPr>
        <w:fldChar w:fldCharType="separate"/>
      </w:r>
      <w:r>
        <w:rPr>
          <w:lang/>
        </w:rPr>
        <w:t>29</w:t>
      </w:r>
      <w:r>
        <w:rPr>
          <w:lang/>
        </w:rPr>
        <w:fldChar w:fldCharType="end"/>
      </w:r>
      <w:r>
        <w:rPr>
          <w:rStyle w:val="51"/>
          <w:lang/>
        </w:rPr>
        <w:fldChar w:fldCharType="end"/>
      </w:r>
    </w:p>
    <w:p>
      <w:pPr>
        <w:tabs>
          <w:tab w:val="left" w:pos="840"/>
        </w:tabs>
        <w:wordWrap w:val="0"/>
        <w:spacing w:line="360" w:lineRule="auto"/>
        <w:rPr>
          <w:rFonts w:hint="eastAsia" w:ascii="宋体" w:hAnsi="宋体"/>
          <w:szCs w:val="21"/>
        </w:rPr>
      </w:pPr>
      <w:r>
        <w:rPr>
          <w:rFonts w:ascii="宋体" w:hAnsi="宋体"/>
          <w:szCs w:val="21"/>
        </w:rPr>
        <w:fldChar w:fldCharType="end"/>
      </w:r>
    </w:p>
    <w:p>
      <w:pPr>
        <w:numPr>
          <w:ilvl w:val="0"/>
          <w:numId w:val="7"/>
        </w:numPr>
        <w:wordWrap w:val="0"/>
        <w:jc w:val="center"/>
        <w:rPr>
          <w:rStyle w:val="53"/>
          <w:rFonts w:hint="eastAsia"/>
          <w:sz w:val="36"/>
          <w:szCs w:val="36"/>
        </w:rPr>
      </w:pPr>
      <w:r>
        <w:rPr>
          <w:rFonts w:hAnsi="宋体"/>
          <w:b/>
          <w:szCs w:val="21"/>
        </w:rPr>
        <w:br w:type="page"/>
      </w:r>
      <w:bookmarkStart w:id="0" w:name="_Toc111809303"/>
      <w:bookmarkStart w:id="1" w:name="_Toc3582"/>
      <w:bookmarkStart w:id="2" w:name="_Toc30336"/>
      <w:bookmarkStart w:id="3" w:name="_Toc8759"/>
      <w:bookmarkStart w:id="4" w:name="_Toc9092"/>
      <w:r>
        <w:rPr>
          <w:rStyle w:val="53"/>
          <w:rFonts w:hint="eastAsia"/>
          <w:sz w:val="36"/>
          <w:szCs w:val="36"/>
        </w:rPr>
        <w:t>竞争性磋商采购公告</w:t>
      </w:r>
      <w:bookmarkEnd w:id="0"/>
      <w:bookmarkEnd w:id="1"/>
      <w:bookmarkEnd w:id="2"/>
      <w:bookmarkEnd w:id="3"/>
      <w:bookmarkEnd w:id="4"/>
    </w:p>
    <w:p>
      <w:pPr>
        <w:spacing w:line="400" w:lineRule="exact"/>
        <w:ind w:firstLine="480" w:firstLineChars="200"/>
        <w:rPr>
          <w:rFonts w:hint="eastAsia" w:ascii="宋体" w:hAnsi="宋体"/>
          <w:sz w:val="24"/>
        </w:rPr>
      </w:pPr>
      <w:bookmarkStart w:id="5" w:name="_Toc177870534"/>
      <w:r>
        <w:rPr>
          <w:rFonts w:hint="eastAsia" w:ascii="宋体" w:hAnsi="宋体"/>
          <w:sz w:val="24"/>
        </w:rPr>
        <w:t>根据《中华人民共和国政府采购法》</w:t>
      </w:r>
      <w:r>
        <w:rPr>
          <w:rFonts w:hint="eastAsia" w:ascii="宋体" w:hAnsi="宋体"/>
          <w:szCs w:val="21"/>
        </w:rPr>
        <w:t>、</w:t>
      </w:r>
      <w:r>
        <w:rPr>
          <w:rFonts w:hint="eastAsia" w:ascii="宋体" w:hAnsi="宋体" w:cs="Arial"/>
          <w:sz w:val="28"/>
          <w:szCs w:val="28"/>
        </w:rPr>
        <w:t>《</w:t>
      </w:r>
      <w:r>
        <w:rPr>
          <w:rFonts w:hint="eastAsia" w:ascii="宋体" w:hAnsi="宋体"/>
          <w:sz w:val="24"/>
        </w:rPr>
        <w:t>政府采购竞争性磋商采购方式管理暂行办法》等有关规定，</w:t>
      </w:r>
      <w:r>
        <w:rPr>
          <w:rFonts w:hint="eastAsia" w:ascii="宋体" w:hAnsi="宋体"/>
          <w:sz w:val="24"/>
          <w:u w:val="single"/>
        </w:rPr>
        <w:t xml:space="preserve">浙江禾城工程管理有限责任公司 </w:t>
      </w:r>
      <w:r>
        <w:rPr>
          <w:rFonts w:hint="eastAsia" w:ascii="宋体" w:hAnsi="宋体"/>
          <w:spacing w:val="20"/>
          <w:sz w:val="24"/>
        </w:rPr>
        <w:t>受</w:t>
      </w:r>
      <w:r>
        <w:rPr>
          <w:rFonts w:hint="eastAsia" w:ascii="宋体" w:hAnsi="宋体"/>
          <w:sz w:val="24"/>
          <w:u w:val="single"/>
        </w:rPr>
        <w:t>桐乡市公安局</w:t>
      </w:r>
      <w:r>
        <w:rPr>
          <w:rFonts w:hint="eastAsia" w:ascii="宋体" w:hAnsi="宋体"/>
          <w:sz w:val="24"/>
        </w:rPr>
        <w:t>的委托，就下列项目进行竞争性磋商，欢迎符合要求的投标人前来投标。</w:t>
      </w:r>
    </w:p>
    <w:p>
      <w:pPr>
        <w:spacing w:line="400" w:lineRule="exact"/>
        <w:ind w:firstLine="482" w:firstLineChars="200"/>
        <w:rPr>
          <w:rFonts w:hint="eastAsia" w:ascii="宋体" w:hAnsi="宋体"/>
          <w:b/>
          <w:sz w:val="24"/>
        </w:rPr>
      </w:pPr>
      <w:r>
        <w:rPr>
          <w:rFonts w:hint="eastAsia" w:ascii="宋体" w:hAnsi="宋体"/>
          <w:b/>
          <w:sz w:val="24"/>
        </w:rPr>
        <w:t>一、招标编号</w:t>
      </w:r>
      <w:r>
        <w:rPr>
          <w:rFonts w:hint="eastAsia" w:ascii="宋体" w:hAnsi="宋体"/>
          <w:sz w:val="24"/>
        </w:rPr>
        <w:t>：</w:t>
      </w:r>
      <w:r>
        <w:rPr>
          <w:rFonts w:hint="eastAsia" w:ascii="宋体" w:hAnsi="宋体"/>
          <w:b/>
          <w:sz w:val="24"/>
        </w:rPr>
        <w:t>浙禾TXCG-2022012</w:t>
      </w:r>
    </w:p>
    <w:p>
      <w:pPr>
        <w:spacing w:line="400" w:lineRule="exact"/>
        <w:ind w:left="2123" w:leftChars="224" w:hanging="1653" w:hangingChars="686"/>
        <w:rPr>
          <w:rFonts w:hint="eastAsia" w:ascii="宋体"/>
          <w:b/>
          <w:sz w:val="24"/>
        </w:rPr>
      </w:pPr>
      <w:r>
        <w:rPr>
          <w:rFonts w:hint="eastAsia" w:ascii="宋体"/>
          <w:b/>
          <w:sz w:val="24"/>
        </w:rPr>
        <w:t>二、项目名称</w:t>
      </w:r>
      <w:r>
        <w:rPr>
          <w:rFonts w:hint="eastAsia" w:ascii="宋体"/>
          <w:sz w:val="24"/>
        </w:rPr>
        <w:t>：</w:t>
      </w:r>
      <w:r>
        <w:rPr>
          <w:rFonts w:hint="eastAsia" w:ascii="宋体"/>
          <w:b/>
          <w:spacing w:val="-4"/>
          <w:sz w:val="24"/>
        </w:rPr>
        <w:t>桐乡市公安局无线通信基站及机房维保项目</w:t>
      </w:r>
    </w:p>
    <w:p>
      <w:pPr>
        <w:spacing w:line="400" w:lineRule="exact"/>
        <w:ind w:firstLine="482" w:firstLineChars="200"/>
        <w:rPr>
          <w:rFonts w:hint="eastAsia" w:ascii="宋体" w:hAnsi="宋体"/>
          <w:b/>
          <w:sz w:val="24"/>
        </w:rPr>
      </w:pPr>
      <w:r>
        <w:rPr>
          <w:rFonts w:hint="eastAsia" w:ascii="宋体" w:hAnsi="宋体"/>
          <w:b/>
          <w:sz w:val="24"/>
        </w:rPr>
        <w:t>三、采购组织类型</w:t>
      </w:r>
      <w:r>
        <w:rPr>
          <w:rFonts w:hint="eastAsia" w:ascii="宋体" w:hAnsi="宋体"/>
          <w:sz w:val="24"/>
        </w:rPr>
        <w:t>：</w:t>
      </w:r>
      <w:r>
        <w:rPr>
          <w:rFonts w:hint="eastAsia" w:ascii="宋体" w:hAnsi="宋体"/>
          <w:b/>
          <w:sz w:val="24"/>
        </w:rPr>
        <w:t>分散委托采购</w:t>
      </w:r>
    </w:p>
    <w:p>
      <w:pPr>
        <w:tabs>
          <w:tab w:val="right" w:pos="8504"/>
        </w:tabs>
        <w:spacing w:line="400" w:lineRule="exact"/>
        <w:ind w:firstLine="482" w:firstLineChars="200"/>
        <w:rPr>
          <w:rFonts w:hint="eastAsia" w:ascii="宋体" w:hAnsi="宋体"/>
          <w:b/>
          <w:sz w:val="24"/>
        </w:rPr>
      </w:pPr>
      <w:r>
        <w:rPr>
          <w:rFonts w:hint="eastAsia" w:ascii="宋体" w:hAnsi="宋体"/>
          <w:b/>
          <w:sz w:val="24"/>
        </w:rPr>
        <w:t>四、采购方式：</w:t>
      </w:r>
      <w:r>
        <w:rPr>
          <w:rFonts w:hint="eastAsia" w:ascii="宋体" w:hAnsi="宋体"/>
          <w:sz w:val="24"/>
        </w:rPr>
        <w:t>竞争性磋商</w:t>
      </w:r>
      <w:r>
        <w:rPr>
          <w:rFonts w:ascii="宋体" w:hAnsi="宋体"/>
          <w:b/>
          <w:sz w:val="24"/>
        </w:rPr>
        <w:tab/>
      </w:r>
    </w:p>
    <w:p>
      <w:pPr>
        <w:pStyle w:val="123"/>
        <w:spacing w:line="400" w:lineRule="exact"/>
        <w:ind w:right="-113" w:rightChars="-54" w:firstLine="472" w:firstLineChars="196"/>
        <w:jc w:val="both"/>
        <w:rPr>
          <w:rFonts w:hint="eastAsia" w:ascii="宋体" w:hAnsi="Times New Roman" w:eastAsia="宋体" w:cs="Times New Roman"/>
          <w:b/>
          <w:sz w:val="24"/>
          <w:szCs w:val="24"/>
        </w:rPr>
      </w:pPr>
      <w:r>
        <w:rPr>
          <w:rFonts w:hint="eastAsia" w:ascii="宋体" w:eastAsia="宋体"/>
          <w:b/>
          <w:sz w:val="24"/>
        </w:rPr>
        <w:t>五、</w:t>
      </w:r>
      <w:r>
        <w:rPr>
          <w:rFonts w:hint="eastAsia" w:ascii="宋体" w:hAnsi="Times New Roman" w:eastAsia="宋体" w:cs="Times New Roman"/>
          <w:b/>
          <w:sz w:val="24"/>
          <w:szCs w:val="24"/>
        </w:rPr>
        <w:t>采购内容：350兆数字集群通信系统维护及机房运维</w:t>
      </w:r>
      <w:r>
        <w:rPr>
          <w:rFonts w:hint="eastAsia" w:ascii="宋体" w:hAnsi="Times New Roman" w:eastAsia="宋体" w:cs="Times New Roman"/>
          <w:sz w:val="24"/>
          <w:szCs w:val="24"/>
        </w:rPr>
        <w:t>(详见招标项目需求)</w:t>
      </w:r>
      <w:r>
        <w:rPr>
          <w:rFonts w:hint="eastAsia" w:ascii="宋体" w:hAnsi="Times New Roman" w:eastAsia="宋体" w:cs="Times New Roman"/>
          <w:b/>
          <w:sz w:val="24"/>
          <w:szCs w:val="24"/>
        </w:rPr>
        <w:t>。</w:t>
      </w:r>
    </w:p>
    <w:p>
      <w:pPr>
        <w:pStyle w:val="123"/>
        <w:spacing w:line="400" w:lineRule="exact"/>
        <w:ind w:right="-113" w:rightChars="-54" w:firstLine="472" w:firstLineChars="196"/>
        <w:jc w:val="both"/>
        <w:rPr>
          <w:rFonts w:hint="eastAsia" w:ascii="宋体" w:eastAsia="宋体" w:cs="Times New Roman"/>
          <w:b/>
          <w:sz w:val="24"/>
          <w:szCs w:val="24"/>
        </w:rPr>
      </w:pPr>
      <w:r>
        <w:rPr>
          <w:rFonts w:hint="eastAsia" w:ascii="宋体" w:eastAsia="宋体" w:cs="Times New Roman"/>
          <w:b/>
          <w:sz w:val="24"/>
          <w:szCs w:val="24"/>
        </w:rPr>
        <w:t>共分为两个分包，总预算价¥610000元，大写:人民币陆拾万元整。（分包1预算价：¥437000元；分包2预算价：¥173000元）</w:t>
      </w:r>
    </w:p>
    <w:p>
      <w:pPr>
        <w:spacing w:line="400" w:lineRule="exact"/>
        <w:ind w:firstLine="482" w:firstLineChars="200"/>
        <w:rPr>
          <w:rFonts w:hint="eastAsia" w:ascii="宋体" w:hAnsi="宋体"/>
          <w:b/>
          <w:sz w:val="24"/>
        </w:rPr>
      </w:pPr>
      <w:r>
        <w:rPr>
          <w:rFonts w:hint="eastAsia" w:ascii="宋体" w:hAnsi="宋体"/>
          <w:b/>
          <w:sz w:val="24"/>
        </w:rPr>
        <w:t>六、投标人应具备的资格要求：</w:t>
      </w:r>
    </w:p>
    <w:p>
      <w:pPr>
        <w:spacing w:line="400" w:lineRule="exact"/>
        <w:ind w:right="-113" w:rightChars="-54" w:firstLine="480" w:firstLineChars="200"/>
        <w:rPr>
          <w:rFonts w:hint="eastAsia" w:ascii="宋体" w:hAnsi="宋体"/>
          <w:sz w:val="24"/>
        </w:rPr>
      </w:pPr>
      <w:r>
        <w:rPr>
          <w:rFonts w:hint="eastAsia" w:ascii="宋体" w:hAnsi="宋体"/>
          <w:sz w:val="24"/>
        </w:rPr>
        <w:t>1.</w:t>
      </w:r>
      <w:r>
        <w:rPr>
          <w:rFonts w:hint="eastAsia"/>
        </w:rPr>
        <w:t xml:space="preserve"> </w:t>
      </w:r>
      <w:r>
        <w:rPr>
          <w:rFonts w:hint="eastAsia" w:ascii="宋体" w:hAnsi="宋体"/>
          <w:sz w:val="24"/>
        </w:rPr>
        <w:t>符合《中华人民共和国政府采购法》第二十二条要求：</w:t>
      </w:r>
    </w:p>
    <w:p>
      <w:pPr>
        <w:spacing w:line="400" w:lineRule="exact"/>
        <w:ind w:right="-113" w:rightChars="-54" w:firstLine="480" w:firstLineChars="200"/>
        <w:rPr>
          <w:rFonts w:hint="eastAsia" w:ascii="宋体" w:hAnsi="宋体"/>
          <w:sz w:val="24"/>
        </w:rPr>
      </w:pPr>
      <w:r>
        <w:rPr>
          <w:rFonts w:hint="eastAsia" w:ascii="宋体" w:hAnsi="宋体"/>
          <w:sz w:val="24"/>
        </w:rPr>
        <w:t>（一） 具有独立承担民事责任的能力；</w:t>
      </w:r>
    </w:p>
    <w:p>
      <w:pPr>
        <w:spacing w:line="400" w:lineRule="exact"/>
        <w:ind w:right="-113" w:rightChars="-54" w:firstLine="480" w:firstLineChars="200"/>
        <w:rPr>
          <w:rFonts w:hint="eastAsia" w:ascii="宋体" w:hAnsi="宋体"/>
          <w:sz w:val="24"/>
        </w:rPr>
      </w:pPr>
      <w:r>
        <w:rPr>
          <w:rFonts w:hint="eastAsia" w:ascii="宋体" w:hAnsi="宋体"/>
          <w:sz w:val="24"/>
        </w:rPr>
        <w:t>（二） 具有良好的商业信誉和健全的财务会计制度；</w:t>
      </w:r>
    </w:p>
    <w:p>
      <w:pPr>
        <w:spacing w:line="400" w:lineRule="exact"/>
        <w:ind w:right="-113" w:rightChars="-54" w:firstLine="480" w:firstLineChars="200"/>
        <w:rPr>
          <w:rFonts w:hint="eastAsia" w:ascii="宋体" w:hAnsi="宋体"/>
          <w:sz w:val="24"/>
        </w:rPr>
      </w:pPr>
      <w:r>
        <w:rPr>
          <w:rFonts w:hint="eastAsia" w:ascii="宋体" w:hAnsi="宋体"/>
          <w:sz w:val="24"/>
        </w:rPr>
        <w:t>（三） 具有履行合同所必需的设备和专业技术能力；</w:t>
      </w:r>
    </w:p>
    <w:p>
      <w:pPr>
        <w:spacing w:line="400" w:lineRule="exact"/>
        <w:ind w:right="-113" w:rightChars="-54" w:firstLine="480" w:firstLineChars="200"/>
        <w:rPr>
          <w:rFonts w:hint="eastAsia" w:ascii="宋体" w:hAnsi="宋体"/>
          <w:sz w:val="24"/>
        </w:rPr>
      </w:pPr>
      <w:r>
        <w:rPr>
          <w:rFonts w:hint="eastAsia" w:ascii="宋体" w:hAnsi="宋体"/>
          <w:sz w:val="24"/>
        </w:rPr>
        <w:t>（四） 有依法缴纳税收和社会保障资金的良好记录；</w:t>
      </w:r>
    </w:p>
    <w:p>
      <w:pPr>
        <w:spacing w:line="400" w:lineRule="exact"/>
        <w:ind w:right="-113" w:rightChars="-54" w:firstLine="480" w:firstLineChars="200"/>
        <w:rPr>
          <w:rFonts w:hint="eastAsia" w:ascii="宋体" w:hAnsi="宋体"/>
          <w:sz w:val="24"/>
        </w:rPr>
      </w:pPr>
      <w:r>
        <w:rPr>
          <w:rFonts w:hint="eastAsia" w:ascii="宋体" w:hAnsi="宋体"/>
          <w:sz w:val="24"/>
        </w:rPr>
        <w:t>（五） 参加政府采购活动前三年内，在经营活动中没有重大违法记录；</w:t>
      </w:r>
    </w:p>
    <w:p>
      <w:pPr>
        <w:spacing w:line="400" w:lineRule="exact"/>
        <w:ind w:right="-113" w:rightChars="-54" w:firstLine="480" w:firstLineChars="200"/>
        <w:rPr>
          <w:rFonts w:hint="eastAsia" w:ascii="宋体" w:hAnsi="宋体"/>
          <w:sz w:val="24"/>
        </w:rPr>
      </w:pPr>
      <w:r>
        <w:rPr>
          <w:rFonts w:hint="eastAsia" w:ascii="宋体" w:hAnsi="宋体"/>
          <w:sz w:val="24"/>
        </w:rPr>
        <w:t>（六） 法律、行政法规规定的其他条件。</w:t>
      </w:r>
    </w:p>
    <w:p>
      <w:pPr>
        <w:spacing w:line="400" w:lineRule="exact"/>
        <w:ind w:right="-113" w:rightChars="-54" w:firstLine="464" w:firstLineChars="200"/>
        <w:rPr>
          <w:rFonts w:hint="eastAsia" w:ascii="宋体" w:hAnsi="宋体"/>
          <w:spacing w:val="-4"/>
          <w:sz w:val="24"/>
        </w:rPr>
      </w:pPr>
      <w:r>
        <w:rPr>
          <w:rFonts w:hint="eastAsia" w:ascii="宋体" w:hAnsi="宋体"/>
          <w:spacing w:val="-4"/>
          <w:sz w:val="24"/>
        </w:rPr>
        <w:t>2、未被列入“信用中国”网站(www.creditchina.gov.cn)和中国政府采购网(www.ccgp.gov.cn)渠道的信用记录失信被执行人、重大税收违法案件当事人名单、政府采购严重违法失信行为记录名单。</w:t>
      </w:r>
    </w:p>
    <w:p>
      <w:pPr>
        <w:spacing w:line="400" w:lineRule="exact"/>
        <w:ind w:right="-113" w:rightChars="-54" w:firstLine="464" w:firstLineChars="200"/>
        <w:rPr>
          <w:rFonts w:hint="eastAsia" w:ascii="宋体" w:hAnsi="宋体"/>
          <w:spacing w:val="-4"/>
          <w:sz w:val="24"/>
        </w:rPr>
      </w:pPr>
      <w:r>
        <w:rPr>
          <w:rFonts w:hint="eastAsia" w:ascii="宋体" w:hAnsi="宋体"/>
          <w:spacing w:val="-4"/>
          <w:sz w:val="24"/>
        </w:rPr>
        <w:t>3、落实政府采购政策需满足的资格要求：1.本项目仅面向中小企业采购；2.监狱、戒毒所企业和残疾人福利性单位视同中小企业，允许参加本次投标。划分标准按照《关于印发中小企业划型标准规定的通知》（工信部联企业[2011]300号）规定，本项目属于其他未列明行业。</w:t>
      </w:r>
    </w:p>
    <w:p>
      <w:pPr>
        <w:spacing w:line="400" w:lineRule="exact"/>
        <w:ind w:right="-113" w:rightChars="-54" w:firstLine="464" w:firstLineChars="200"/>
        <w:rPr>
          <w:rFonts w:hint="eastAsia" w:ascii="宋体" w:hAnsi="宋体"/>
          <w:spacing w:val="-4"/>
          <w:sz w:val="24"/>
        </w:rPr>
      </w:pPr>
      <w:r>
        <w:rPr>
          <w:rFonts w:hint="eastAsia" w:ascii="宋体" w:hAnsi="宋体"/>
          <w:spacing w:val="-4"/>
          <w:sz w:val="24"/>
        </w:rPr>
        <w:t>4、本项目拒绝联合体投标。</w:t>
      </w:r>
    </w:p>
    <w:p>
      <w:pPr>
        <w:spacing w:line="400" w:lineRule="exact"/>
        <w:ind w:right="-113" w:rightChars="-54" w:firstLine="482" w:firstLineChars="200"/>
        <w:rPr>
          <w:rFonts w:hint="eastAsia" w:ascii="宋体" w:hAnsi="宋体"/>
          <w:b/>
          <w:sz w:val="24"/>
        </w:rPr>
      </w:pPr>
      <w:r>
        <w:rPr>
          <w:rFonts w:hint="eastAsia" w:ascii="宋体" w:hAnsi="宋体"/>
          <w:b/>
          <w:sz w:val="24"/>
        </w:rPr>
        <w:t>七、投标报名：</w:t>
      </w:r>
    </w:p>
    <w:p>
      <w:pPr>
        <w:spacing w:line="400" w:lineRule="exact"/>
        <w:ind w:right="-113" w:rightChars="-54" w:firstLine="480" w:firstLineChars="200"/>
        <w:rPr>
          <w:rFonts w:hint="eastAsia" w:ascii="宋体" w:hAnsi="宋体"/>
          <w:sz w:val="24"/>
        </w:rPr>
      </w:pPr>
      <w:r>
        <w:rPr>
          <w:rFonts w:hint="eastAsia" w:ascii="宋体" w:hAnsi="宋体"/>
          <w:sz w:val="24"/>
        </w:rPr>
        <w:t>1、采购文件获取：本项目实行网上获取，不接受现场获取，未经网上报名，其投标文件将被拒绝。获取网址：政府采购云平台http://zfcg.czt.zj.gov.cn/（“政采云用户”登录后进行报名）</w:t>
      </w:r>
    </w:p>
    <w:p>
      <w:pPr>
        <w:spacing w:line="400" w:lineRule="exact"/>
        <w:ind w:right="-113" w:rightChars="-54" w:firstLine="480" w:firstLineChars="200"/>
        <w:rPr>
          <w:rFonts w:hint="eastAsia" w:ascii="宋体" w:hAnsi="宋体"/>
          <w:sz w:val="24"/>
        </w:rPr>
      </w:pPr>
      <w:r>
        <w:rPr>
          <w:rFonts w:hint="eastAsia" w:ascii="宋体" w:hAnsi="宋体"/>
          <w:sz w:val="24"/>
        </w:rPr>
        <w:t>说明：</w:t>
      </w:r>
    </w:p>
    <w:p>
      <w:pPr>
        <w:spacing w:line="400" w:lineRule="exact"/>
        <w:ind w:right="-113" w:rightChars="-54" w:firstLine="480" w:firstLineChars="200"/>
        <w:rPr>
          <w:rFonts w:hint="eastAsia" w:ascii="宋体" w:hAnsi="宋体"/>
          <w:spacing w:val="-9"/>
          <w:sz w:val="24"/>
        </w:rPr>
      </w:pPr>
      <w:r>
        <w:rPr>
          <w:rFonts w:hint="eastAsia" w:ascii="宋体" w:hAnsi="宋体"/>
          <w:sz w:val="24"/>
        </w:rPr>
        <w:t>①</w:t>
      </w:r>
      <w:r>
        <w:rPr>
          <w:rFonts w:hint="eastAsia" w:ascii="宋体" w:hAnsi="宋体"/>
          <w:spacing w:val="-9"/>
          <w:sz w:val="24"/>
        </w:rPr>
        <w:t>政府采购云平台http://zfcg.czt.zj.gov.cn/（“政采云用户”登录后进行获取）。</w:t>
      </w:r>
    </w:p>
    <w:p>
      <w:pPr>
        <w:spacing w:line="400" w:lineRule="exact"/>
        <w:ind w:right="-113" w:rightChars="-54" w:firstLine="480" w:firstLineChars="200"/>
        <w:rPr>
          <w:rFonts w:hint="eastAsia" w:ascii="宋体" w:hAnsi="宋体"/>
          <w:sz w:val="24"/>
        </w:rPr>
      </w:pPr>
      <w:r>
        <w:rPr>
          <w:rFonts w:hint="eastAsia" w:ascii="宋体" w:hAnsi="宋体"/>
          <w:sz w:val="24"/>
        </w:rPr>
        <w:t>②未在注册的供应商：可在浙江政府采购网完成供应商注册后再行获取文件。</w:t>
      </w:r>
    </w:p>
    <w:p>
      <w:pPr>
        <w:spacing w:line="400" w:lineRule="exact"/>
        <w:ind w:right="-113" w:rightChars="-54" w:firstLine="480" w:firstLineChars="200"/>
        <w:rPr>
          <w:rFonts w:hint="eastAsia" w:ascii="宋体" w:hAnsi="宋体"/>
          <w:sz w:val="24"/>
        </w:rPr>
      </w:pPr>
      <w:r>
        <w:rPr>
          <w:rFonts w:hint="eastAsia" w:ascii="宋体" w:hAnsi="宋体"/>
          <w:sz w:val="24"/>
        </w:rPr>
        <w:t>注册地址：https://middle.zcygov.cn/v-settle-front/registry 。</w:t>
      </w:r>
    </w:p>
    <w:p>
      <w:pPr>
        <w:spacing w:line="400" w:lineRule="exact"/>
        <w:ind w:right="-113" w:rightChars="-54" w:firstLine="480" w:firstLineChars="200"/>
        <w:rPr>
          <w:rFonts w:hint="eastAsia" w:ascii="宋体" w:hAnsi="宋体"/>
          <w:sz w:val="24"/>
        </w:rPr>
      </w:pPr>
      <w:r>
        <w:rPr>
          <w:rFonts w:hint="eastAsia" w:ascii="宋体" w:hAnsi="宋体"/>
          <w:sz w:val="24"/>
        </w:rPr>
        <w:t>2、获取时间：公告发布之日起至投标文件递交截止时间前。</w:t>
      </w:r>
    </w:p>
    <w:p>
      <w:pPr>
        <w:spacing w:line="400" w:lineRule="exact"/>
        <w:ind w:right="-113" w:rightChars="-54" w:firstLine="480" w:firstLineChars="200"/>
        <w:rPr>
          <w:rFonts w:hint="eastAsia" w:ascii="宋体" w:hAnsi="宋体"/>
          <w:sz w:val="24"/>
        </w:rPr>
      </w:pPr>
      <w:r>
        <w:rPr>
          <w:rFonts w:hint="eastAsia" w:ascii="宋体" w:hAnsi="宋体"/>
          <w:sz w:val="24"/>
        </w:rPr>
        <w:t>3、网上获取采购文件时应填写正确的信息。</w:t>
      </w:r>
    </w:p>
    <w:p>
      <w:pPr>
        <w:spacing w:line="400" w:lineRule="exact"/>
        <w:ind w:right="-113" w:rightChars="-54" w:firstLine="482" w:firstLineChars="200"/>
        <w:rPr>
          <w:rFonts w:hint="eastAsia" w:ascii="宋体" w:hAnsi="宋体"/>
          <w:b/>
          <w:sz w:val="24"/>
        </w:rPr>
      </w:pPr>
      <w:r>
        <w:rPr>
          <w:rFonts w:hint="eastAsia" w:ascii="宋体" w:hAnsi="宋体"/>
          <w:b/>
          <w:sz w:val="24"/>
        </w:rPr>
        <w:t>八、投标说明</w:t>
      </w:r>
    </w:p>
    <w:p>
      <w:pPr>
        <w:spacing w:line="400" w:lineRule="exact"/>
        <w:ind w:right="-113" w:rightChars="-54" w:firstLine="480" w:firstLineChars="200"/>
        <w:rPr>
          <w:rFonts w:hint="eastAsia" w:ascii="宋体" w:hAnsi="宋体"/>
          <w:sz w:val="24"/>
        </w:rPr>
      </w:pPr>
      <w:r>
        <w:rPr>
          <w:rFonts w:hint="eastAsia" w:ascii="宋体" w:hAnsi="宋体"/>
          <w:sz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400" w:lineRule="exact"/>
        <w:ind w:right="-113" w:rightChars="-54" w:firstLine="480" w:firstLineChars="200"/>
        <w:rPr>
          <w:rFonts w:hint="eastAsia" w:ascii="宋体" w:hAnsi="宋体"/>
          <w:sz w:val="24"/>
        </w:rPr>
      </w:pPr>
      <w:r>
        <w:rPr>
          <w:rFonts w:hint="eastAsia" w:ascii="宋体" w:hAnsi="宋体"/>
          <w:sz w:val="24"/>
        </w:rPr>
        <w:t>2.投标人应在开标前完成CA数字证书办理。（办理流程详见：《CA管理操作指南》https://service.zcygov.cn/#/knowledges/cm2eqWwBFdiHxlNd_otq/lwV6GXABiyELHE-oVMj3?keyword=ca，完成CA数字证书办理预计一周左右，建议各投标人抓紧时间办理；</w:t>
      </w:r>
    </w:p>
    <w:p>
      <w:pPr>
        <w:spacing w:line="400" w:lineRule="exact"/>
        <w:ind w:right="-113" w:rightChars="-54" w:firstLine="480" w:firstLineChars="200"/>
        <w:rPr>
          <w:rFonts w:hint="eastAsia" w:ascii="宋体" w:hAnsi="宋体"/>
          <w:sz w:val="24"/>
        </w:rPr>
      </w:pPr>
      <w:r>
        <w:rPr>
          <w:rFonts w:hint="eastAsia" w:ascii="宋体" w:hAnsi="宋体"/>
          <w:sz w:val="24"/>
        </w:rPr>
        <w:t>3.投标人通过政采云平台电子投标工具制作投标文件，电子投标工具请供应商自行前往浙江省政府采购网下载并安装（下载网址：</w:t>
      </w:r>
      <w:r>
        <w:rPr>
          <w:rFonts w:ascii="宋体" w:hAnsi="宋体"/>
          <w:sz w:val="24"/>
        </w:rPr>
        <w:fldChar w:fldCharType="begin"/>
      </w:r>
      <w:r>
        <w:rPr>
          <w:rFonts w:ascii="宋体" w:hAnsi="宋体"/>
          <w:sz w:val="24"/>
        </w:rPr>
        <w:instrText xml:space="preserve"> HYPERLINK "http://zfcg.czt.zj.gov.cn/download/index.html?_=1571296580459&amp;tdsourcetag=s_pcqq_aiomsg" </w:instrText>
      </w:r>
      <w:r>
        <w:rPr>
          <w:rFonts w:ascii="宋体" w:hAnsi="宋体"/>
          <w:sz w:val="24"/>
        </w:rPr>
        <w:fldChar w:fldCharType="separate"/>
      </w:r>
      <w:r>
        <w:rPr>
          <w:rFonts w:ascii="宋体" w:hAnsi="宋体"/>
          <w:sz w:val="24"/>
        </w:rPr>
        <w:t>http://zfcg.czt.zj.gov.cn/download/index.html?_=1571296580459&amp;tdsourcetag=s_pcqq_aiomsg</w:t>
      </w:r>
      <w:r>
        <w:rPr>
          <w:rFonts w:ascii="宋体" w:hAnsi="宋体"/>
          <w:sz w:val="24"/>
        </w:rPr>
        <w:fldChar w:fldCharType="end"/>
      </w:r>
      <w:r>
        <w:rPr>
          <w:rFonts w:hint="eastAsia" w:ascii="宋体" w:hAnsi="宋体"/>
          <w:sz w:val="24"/>
        </w:rPr>
        <w:t xml:space="preserve"> ）。</w:t>
      </w:r>
    </w:p>
    <w:p>
      <w:pPr>
        <w:spacing w:line="400" w:lineRule="exact"/>
        <w:ind w:right="-113" w:rightChars="-54" w:firstLine="480" w:firstLineChars="200"/>
        <w:rPr>
          <w:rFonts w:hint="eastAsia" w:ascii="宋体" w:hAnsi="宋体"/>
          <w:sz w:val="24"/>
        </w:rPr>
      </w:pPr>
      <w:r>
        <w:rPr>
          <w:rFonts w:hint="eastAsia" w:ascii="宋体" w:hAnsi="宋体"/>
          <w:sz w:val="24"/>
        </w:rPr>
        <w:t>4.投标文件制作及电子招投标具体流程详见“政府采购项目电子交易管理操作指南-供应商”（请投标供应商登录“政采云”平台政府采购电子卖场后，点击链接https://service.zcygov.cn/#/knowledges/CW1EtGwBFdiHxlNd6I3m/6IMVAG0BFdiHxlNdQ8Na）以获取最新操作指南。</w:t>
      </w:r>
    </w:p>
    <w:p>
      <w:pPr>
        <w:spacing w:line="400" w:lineRule="exact"/>
        <w:ind w:right="-113" w:rightChars="-54" w:firstLine="482" w:firstLineChars="200"/>
        <w:rPr>
          <w:rFonts w:hint="eastAsia" w:ascii="宋体" w:hAnsi="宋体"/>
          <w:sz w:val="24"/>
        </w:rPr>
      </w:pPr>
      <w:r>
        <w:rPr>
          <w:rFonts w:hint="eastAsia" w:ascii="宋体" w:hAnsi="宋体"/>
          <w:b/>
          <w:sz w:val="24"/>
        </w:rPr>
        <w:t>九、投标截止时间和地点：</w:t>
      </w:r>
    </w:p>
    <w:p>
      <w:pPr>
        <w:spacing w:line="400" w:lineRule="exact"/>
        <w:ind w:right="-113" w:rightChars="-54" w:firstLine="480" w:firstLineChars="200"/>
        <w:rPr>
          <w:rFonts w:hint="eastAsia" w:ascii="宋体" w:hAnsi="宋体"/>
          <w:sz w:val="24"/>
        </w:rPr>
      </w:pPr>
      <w:r>
        <w:rPr>
          <w:rFonts w:hint="eastAsia" w:ascii="宋体" w:hAnsi="宋体"/>
          <w:sz w:val="24"/>
        </w:rPr>
        <w:t>1.投标截止时间：2022年8月29日14时00时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400" w:lineRule="exact"/>
        <w:ind w:right="-113" w:rightChars="-54" w:firstLine="480" w:firstLineChars="200"/>
        <w:rPr>
          <w:rFonts w:hint="eastAsia" w:ascii="宋体" w:hAnsi="宋体"/>
          <w:sz w:val="24"/>
        </w:rPr>
      </w:pPr>
      <w:r>
        <w:rPr>
          <w:rFonts w:hint="eastAsia" w:ascii="宋体" w:hAnsi="宋体"/>
          <w:sz w:val="24"/>
        </w:rPr>
        <w:t>2.为确保采购项目顺利实施，避免因解密失败导致投标人投标无效，投标人可在投标截止时间2022年8月29日14:00时前将在政采云平台上最后生成的具备电子签章的备份电子标文件（以U盘为载体，投标人应当确保U盘能够打开运行并正常使用）装袋密封后邮寄或直接送达至浙江禾城工程管理有限责任公司，密封袋上需注明投标人名称、项目名称以及法定代表人或其委托代理人签名，密封袋上有接缝处均需加盖单位公章和法定代表人印章（送达地址：桐乡市茅盾东路182号，收件人：朱女士，联系电话：0573-88180989，如在开标过程中出现解密失败情况，以备份文件作为替代投标文件，如投标人未按照规定时间及要求提供有效备份文件，同时政采云上投标文件解密失败的，将导致投标无效。邮寄公司统一采用EMS或顺丰，快递费用由投标供应商承担，如投标供应商选择快递费到付，代理机构将拒签并退回。</w:t>
      </w:r>
    </w:p>
    <w:p>
      <w:pPr>
        <w:spacing w:line="400" w:lineRule="exact"/>
        <w:ind w:firstLine="482" w:firstLineChars="200"/>
        <w:rPr>
          <w:rFonts w:hint="eastAsia" w:ascii="宋体" w:hAnsi="宋体"/>
          <w:sz w:val="24"/>
        </w:rPr>
      </w:pPr>
      <w:r>
        <w:rPr>
          <w:rFonts w:hint="eastAsia" w:ascii="宋体" w:hAnsi="宋体"/>
          <w:b/>
          <w:sz w:val="24"/>
        </w:rPr>
        <w:t>十、</w:t>
      </w:r>
      <w:r>
        <w:rPr>
          <w:rFonts w:hint="eastAsia" w:ascii="宋体" w:hAnsi="宋体"/>
          <w:b/>
          <w:bCs/>
          <w:sz w:val="24"/>
        </w:rPr>
        <w:t>本次磋商不设磋商保证金</w:t>
      </w:r>
      <w:r>
        <w:rPr>
          <w:rFonts w:hint="eastAsia" w:ascii="宋体" w:hAnsi="宋体"/>
          <w:sz w:val="24"/>
        </w:rPr>
        <w:t>。</w:t>
      </w:r>
    </w:p>
    <w:p>
      <w:pPr>
        <w:spacing w:line="400" w:lineRule="exact"/>
        <w:ind w:right="-113" w:rightChars="-54" w:firstLine="482" w:firstLineChars="200"/>
        <w:rPr>
          <w:rFonts w:hint="eastAsia" w:ascii="宋体" w:hAnsi="宋体"/>
          <w:b/>
          <w:sz w:val="24"/>
        </w:rPr>
      </w:pPr>
      <w:r>
        <w:rPr>
          <w:rFonts w:hint="eastAsia" w:ascii="宋体" w:hAnsi="宋体"/>
          <w:b/>
          <w:sz w:val="24"/>
        </w:rPr>
        <w:t>十一、质疑和投诉：</w:t>
      </w:r>
    </w:p>
    <w:p>
      <w:pPr>
        <w:spacing w:line="400" w:lineRule="exact"/>
        <w:ind w:firstLine="480" w:firstLineChars="200"/>
        <w:rPr>
          <w:rFonts w:hint="eastAsia" w:ascii="宋体" w:hAnsi="宋体"/>
          <w:sz w:val="24"/>
        </w:rPr>
      </w:pPr>
      <w:r>
        <w:rPr>
          <w:rFonts w:hint="eastAsia" w:ascii="宋体" w:hAnsi="宋体"/>
          <w:sz w:val="24"/>
        </w:rPr>
        <w:t>投标人如认为招标文件、采购过程和中标结果使自身的合法权益受到损害的，可以在知道或者应知其权益受到损害之日起七个工作日内，以书面形式向采购人或采购代理机构提出质疑；投标人对采购人或采购代理机构的质疑答复不满意或者采购人、采购代理机构未在规定时间内作出答复的，可以在答复期满后十五个工作日内向桐乡市财政局政府采购监管科投诉（联系人：沈先生；0573-88022840、88020161）。</w:t>
      </w:r>
    </w:p>
    <w:p>
      <w:pPr>
        <w:spacing w:line="400" w:lineRule="exact"/>
        <w:ind w:right="-113" w:rightChars="-54" w:firstLine="482" w:firstLineChars="200"/>
        <w:rPr>
          <w:rFonts w:hint="eastAsia" w:ascii="宋体" w:hAnsi="宋体"/>
          <w:b/>
          <w:sz w:val="24"/>
        </w:rPr>
      </w:pPr>
      <w:r>
        <w:rPr>
          <w:rFonts w:hint="eastAsia" w:ascii="宋体" w:hAnsi="宋体"/>
          <w:b/>
          <w:sz w:val="24"/>
        </w:rPr>
        <w:t>十二、开标时间及地点：</w:t>
      </w:r>
    </w:p>
    <w:p>
      <w:pPr>
        <w:spacing w:line="400" w:lineRule="exact"/>
        <w:ind w:right="-113" w:rightChars="-54" w:firstLine="482" w:firstLineChars="200"/>
        <w:rPr>
          <w:rFonts w:hint="eastAsia" w:ascii="宋体" w:hAnsi="宋体"/>
          <w:b/>
          <w:sz w:val="24"/>
        </w:rPr>
      </w:pPr>
      <w:r>
        <w:rPr>
          <w:rFonts w:hint="eastAsia" w:ascii="宋体" w:hAnsi="宋体"/>
          <w:b/>
          <w:sz w:val="24"/>
        </w:rPr>
        <w:t>开标时间：2022年8月29日14:00时</w:t>
      </w:r>
    </w:p>
    <w:p>
      <w:pPr>
        <w:spacing w:line="400" w:lineRule="exact"/>
        <w:ind w:firstLine="482" w:firstLineChars="200"/>
        <w:rPr>
          <w:rFonts w:hint="eastAsia" w:ascii="宋体" w:hAnsi="宋体"/>
          <w:b/>
          <w:sz w:val="24"/>
        </w:rPr>
      </w:pPr>
      <w:r>
        <w:rPr>
          <w:rFonts w:hint="eastAsia" w:ascii="宋体" w:hAnsi="宋体"/>
          <w:b/>
          <w:sz w:val="24"/>
        </w:rPr>
        <w:t>开标地点：浙江禾城工程管理有限责任公司（桐乡市茅盾东路182号）</w:t>
      </w:r>
    </w:p>
    <w:p>
      <w:pPr>
        <w:spacing w:line="400" w:lineRule="exact"/>
        <w:ind w:firstLine="482" w:firstLineChars="200"/>
        <w:rPr>
          <w:rFonts w:ascii="宋体" w:hAnsi="宋体"/>
          <w:b/>
          <w:sz w:val="24"/>
        </w:rPr>
      </w:pPr>
      <w:r>
        <w:rPr>
          <w:rFonts w:hint="eastAsia" w:ascii="宋体" w:hAnsi="宋体"/>
          <w:b/>
          <w:sz w:val="24"/>
        </w:rPr>
        <w:t xml:space="preserve">十三、公告发布媒体 </w:t>
      </w:r>
    </w:p>
    <w:p>
      <w:pPr>
        <w:spacing w:line="400" w:lineRule="exact"/>
        <w:ind w:firstLine="480" w:firstLineChars="200"/>
      </w:pPr>
      <w:r>
        <w:rPr>
          <w:rFonts w:hint="eastAsia" w:ascii="宋体" w:hAnsi="宋体"/>
          <w:sz w:val="24"/>
        </w:rPr>
        <w:t>浙江政府采购网(</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http://www.zjzfcg.gov.cn</w:instrText>
      </w:r>
      <w:r>
        <w:rPr>
          <w:rFonts w:ascii="宋体" w:hAnsi="宋体"/>
          <w:sz w:val="24"/>
        </w:rPr>
        <w:instrText xml:space="preserve">" </w:instrText>
      </w:r>
      <w:r>
        <w:rPr>
          <w:rFonts w:ascii="宋体" w:hAnsi="宋体"/>
          <w:sz w:val="24"/>
        </w:rPr>
        <w:fldChar w:fldCharType="separate"/>
      </w:r>
      <w:r>
        <w:rPr>
          <w:rStyle w:val="51"/>
          <w:rFonts w:hint="eastAsia" w:ascii="宋体" w:hAnsi="宋体"/>
          <w:color w:val="auto"/>
          <w:sz w:val="24"/>
        </w:rPr>
        <w:t>http://www.zjzfcg.gov.cn</w:t>
      </w:r>
      <w:r>
        <w:rPr>
          <w:rFonts w:ascii="宋体" w:hAnsi="宋体"/>
          <w:sz w:val="24"/>
        </w:rPr>
        <w:fldChar w:fldCharType="end"/>
      </w:r>
      <w:r>
        <w:rPr>
          <w:rFonts w:hint="eastAsia" w:ascii="宋体" w:hAnsi="宋体"/>
          <w:sz w:val="24"/>
        </w:rPr>
        <w:t>)</w:t>
      </w:r>
    </w:p>
    <w:p>
      <w:pPr>
        <w:spacing w:line="400" w:lineRule="exact"/>
        <w:ind w:firstLine="482" w:firstLineChars="200"/>
        <w:rPr>
          <w:rFonts w:hint="eastAsia" w:ascii="宋体" w:hAnsi="宋体"/>
          <w:sz w:val="24"/>
        </w:rPr>
      </w:pPr>
      <w:r>
        <w:rPr>
          <w:rFonts w:ascii="宋体" w:hAnsi="宋体"/>
          <w:b/>
          <w:sz w:val="24"/>
        </w:rPr>
        <w:t>十</w:t>
      </w:r>
      <w:r>
        <w:rPr>
          <w:rFonts w:hint="eastAsia" w:ascii="宋体" w:hAnsi="宋体"/>
          <w:b/>
          <w:sz w:val="24"/>
        </w:rPr>
        <w:t>四</w:t>
      </w:r>
      <w:r>
        <w:rPr>
          <w:rFonts w:ascii="宋体" w:hAnsi="宋体"/>
          <w:b/>
          <w:sz w:val="24"/>
        </w:rPr>
        <w:t>、 其他事项：</w:t>
      </w:r>
      <w:r>
        <w:rPr>
          <w:rFonts w:ascii="宋体" w:hAnsi="宋体"/>
          <w:sz w:val="24"/>
        </w:rPr>
        <w:t xml:space="preserve">本采购项目，中标人与采购人签订的政府采购合同适用于桐乡市政府采购贷款政策，简称“政采贷”，具体内容可参阅各银行政府采购贷款流程：http://tx.jxzbtb.cn/zxfw/005010/20191217/106895f3-0871-4959-804d-30ac7ef5274a.html </w:t>
      </w:r>
    </w:p>
    <w:p>
      <w:pPr>
        <w:spacing w:line="400" w:lineRule="exact"/>
        <w:ind w:firstLine="482" w:firstLineChars="200"/>
        <w:rPr>
          <w:rFonts w:hint="eastAsia" w:ascii="宋体" w:hAnsi="宋体"/>
          <w:b/>
          <w:sz w:val="24"/>
        </w:rPr>
      </w:pPr>
      <w:r>
        <w:rPr>
          <w:rFonts w:hint="eastAsia" w:ascii="宋体" w:hAnsi="宋体"/>
          <w:b/>
          <w:sz w:val="24"/>
        </w:rPr>
        <w:t>十五、项目联系人：</w:t>
      </w:r>
    </w:p>
    <w:p>
      <w:pPr>
        <w:spacing w:line="400" w:lineRule="exact"/>
        <w:ind w:right="-113" w:rightChars="-54" w:firstLine="480" w:firstLineChars="200"/>
        <w:rPr>
          <w:rFonts w:hint="eastAsia" w:ascii="宋体" w:hAnsi="宋体"/>
          <w:sz w:val="24"/>
        </w:rPr>
      </w:pPr>
      <w:r>
        <w:rPr>
          <w:rFonts w:hint="eastAsia" w:ascii="宋体" w:hAnsi="宋体"/>
          <w:sz w:val="24"/>
        </w:rPr>
        <w:t>1、采购人：桐乡市公安局</w:t>
      </w:r>
    </w:p>
    <w:p>
      <w:pPr>
        <w:spacing w:line="400" w:lineRule="exact"/>
        <w:ind w:right="-113" w:rightChars="-54" w:firstLine="840" w:firstLineChars="350"/>
        <w:rPr>
          <w:rFonts w:hint="eastAsia" w:ascii="宋体" w:hAnsi="宋体"/>
          <w:sz w:val="24"/>
        </w:rPr>
      </w:pPr>
      <w:r>
        <w:rPr>
          <w:rFonts w:hint="eastAsia" w:ascii="宋体" w:hAnsi="宋体"/>
          <w:sz w:val="24"/>
        </w:rPr>
        <w:t>地址：</w:t>
      </w:r>
      <w:r>
        <w:rPr>
          <w:rFonts w:hint="eastAsia" w:ascii="宋体" w:hAnsi="宋体"/>
          <w:sz w:val="24"/>
        </w:rPr>
        <w:tab/>
      </w:r>
      <w:r>
        <w:rPr>
          <w:rFonts w:hint="eastAsia" w:ascii="宋体" w:hAnsi="宋体"/>
          <w:sz w:val="24"/>
        </w:rPr>
        <w:t>桐乡市梧桐街道利民路1110号</w:t>
      </w:r>
    </w:p>
    <w:p>
      <w:pPr>
        <w:spacing w:line="380" w:lineRule="exact"/>
        <w:ind w:right="-113" w:rightChars="-54" w:firstLine="840" w:firstLineChars="350"/>
        <w:rPr>
          <w:rFonts w:ascii="宋体" w:hAnsi="宋体"/>
          <w:sz w:val="24"/>
        </w:rPr>
      </w:pPr>
      <w:r>
        <w:rPr>
          <w:rFonts w:hint="eastAsia" w:ascii="宋体" w:hAnsi="宋体"/>
          <w:sz w:val="24"/>
        </w:rPr>
        <w:t xml:space="preserve">联系人：陈先生        </w:t>
      </w:r>
    </w:p>
    <w:p>
      <w:pPr>
        <w:spacing w:line="400" w:lineRule="exact"/>
        <w:ind w:firstLine="840" w:firstLineChars="350"/>
        <w:rPr>
          <w:rFonts w:hint="eastAsia" w:ascii="宋体" w:hAnsi="宋体"/>
          <w:sz w:val="24"/>
        </w:rPr>
      </w:pPr>
      <w:r>
        <w:rPr>
          <w:rFonts w:hint="eastAsia" w:ascii="宋体" w:hAnsi="宋体"/>
          <w:sz w:val="24"/>
        </w:rPr>
        <w:t>联系电话：0573-88025215</w:t>
      </w:r>
    </w:p>
    <w:p>
      <w:pPr>
        <w:spacing w:line="400" w:lineRule="exact"/>
        <w:ind w:firstLine="480" w:firstLineChars="200"/>
        <w:rPr>
          <w:rFonts w:hint="eastAsia" w:ascii="宋体" w:hAnsi="宋体"/>
          <w:sz w:val="24"/>
        </w:rPr>
      </w:pPr>
      <w:r>
        <w:rPr>
          <w:rFonts w:hint="eastAsia" w:ascii="宋体" w:hAnsi="宋体"/>
          <w:sz w:val="24"/>
        </w:rPr>
        <w:t>2、招标代理机构：浙江禾城工程管理有限责任公司</w:t>
      </w:r>
    </w:p>
    <w:p>
      <w:pPr>
        <w:spacing w:line="400" w:lineRule="exact"/>
        <w:ind w:firstLine="840" w:firstLineChars="350"/>
        <w:rPr>
          <w:rFonts w:hint="eastAsia" w:ascii="宋体" w:hAnsi="宋体"/>
          <w:sz w:val="24"/>
        </w:rPr>
      </w:pPr>
      <w:r>
        <w:rPr>
          <w:rFonts w:hint="eastAsia" w:ascii="宋体" w:hAnsi="宋体"/>
          <w:sz w:val="24"/>
        </w:rPr>
        <w:t>地址：浙江省桐乡市茅盾东路182号</w:t>
      </w:r>
    </w:p>
    <w:p>
      <w:pPr>
        <w:spacing w:line="400" w:lineRule="exact"/>
        <w:ind w:firstLine="840" w:firstLineChars="350"/>
        <w:rPr>
          <w:rFonts w:hint="eastAsia" w:ascii="宋体" w:hAnsi="宋体"/>
          <w:sz w:val="24"/>
        </w:rPr>
      </w:pPr>
      <w:r>
        <w:rPr>
          <w:rFonts w:hint="eastAsia" w:ascii="宋体" w:hAnsi="宋体"/>
          <w:sz w:val="24"/>
        </w:rPr>
        <w:t xml:space="preserve">联系人：朱女士        </w:t>
      </w:r>
    </w:p>
    <w:p>
      <w:pPr>
        <w:spacing w:line="400" w:lineRule="exact"/>
        <w:ind w:firstLine="840" w:firstLineChars="350"/>
        <w:rPr>
          <w:rFonts w:hint="eastAsia" w:ascii="宋体" w:hAnsi="宋体"/>
          <w:sz w:val="24"/>
        </w:rPr>
      </w:pPr>
      <w:r>
        <w:rPr>
          <w:rFonts w:hint="eastAsia" w:ascii="宋体" w:hAnsi="宋体"/>
          <w:sz w:val="24"/>
        </w:rPr>
        <w:t>联系电话：15990317189</w:t>
      </w:r>
    </w:p>
    <w:p>
      <w:pPr>
        <w:spacing w:line="400" w:lineRule="exact"/>
        <w:ind w:firstLine="840" w:firstLineChars="350"/>
        <w:rPr>
          <w:rFonts w:hint="eastAsia" w:ascii="宋体" w:hAnsi="宋体"/>
          <w:sz w:val="24"/>
        </w:rPr>
      </w:pPr>
      <w:r>
        <w:rPr>
          <w:rFonts w:hint="eastAsia" w:ascii="宋体" w:hAnsi="宋体"/>
          <w:sz w:val="24"/>
        </w:rPr>
        <w:t xml:space="preserve">传真及电话：0573-88180989 </w:t>
      </w:r>
    </w:p>
    <w:p>
      <w:pPr>
        <w:spacing w:line="400" w:lineRule="exact"/>
        <w:ind w:right="-113" w:rightChars="-54" w:firstLine="840" w:firstLineChars="350"/>
        <w:rPr>
          <w:rFonts w:hint="eastAsia" w:ascii="宋体" w:hAnsi="宋体"/>
          <w:sz w:val="24"/>
        </w:rPr>
      </w:pPr>
      <w:r>
        <w:rPr>
          <w:rFonts w:ascii="宋体" w:hAnsi="宋体"/>
          <w:sz w:val="24"/>
        </w:rPr>
        <w:t>质疑联系人：</w:t>
      </w:r>
      <w:r>
        <w:rPr>
          <w:rFonts w:hint="eastAsia" w:ascii="宋体" w:hAnsi="宋体"/>
          <w:sz w:val="24"/>
        </w:rPr>
        <w:t>施先生</w:t>
      </w:r>
    </w:p>
    <w:p>
      <w:pPr>
        <w:spacing w:line="400" w:lineRule="exact"/>
        <w:ind w:right="-113" w:rightChars="-54" w:firstLine="840" w:firstLineChars="350"/>
        <w:rPr>
          <w:rFonts w:hint="eastAsia" w:ascii="宋体" w:hAnsi="宋体"/>
          <w:sz w:val="24"/>
        </w:rPr>
      </w:pPr>
      <w:r>
        <w:rPr>
          <w:rFonts w:hint="eastAsia" w:ascii="宋体" w:hAnsi="宋体"/>
          <w:sz w:val="24"/>
        </w:rPr>
        <w:t>质疑联系电话：18258302092</w:t>
      </w:r>
    </w:p>
    <w:p>
      <w:pPr>
        <w:spacing w:line="400" w:lineRule="exact"/>
        <w:ind w:firstLine="480" w:firstLineChars="200"/>
        <w:rPr>
          <w:rFonts w:hint="eastAsia" w:ascii="宋体" w:hAnsi="宋体"/>
          <w:sz w:val="24"/>
        </w:rPr>
      </w:pPr>
      <w:r>
        <w:rPr>
          <w:rFonts w:hint="eastAsia" w:ascii="宋体" w:hAnsi="宋体"/>
          <w:sz w:val="24"/>
        </w:rPr>
        <w:t xml:space="preserve">3、同级政府采购监督管理部门名称：桐乡市财政局 </w:t>
      </w:r>
    </w:p>
    <w:p>
      <w:pPr>
        <w:spacing w:line="400" w:lineRule="exact"/>
        <w:ind w:firstLine="840" w:firstLineChars="350"/>
        <w:rPr>
          <w:rFonts w:hint="eastAsia" w:ascii="宋体" w:hAnsi="宋体"/>
          <w:sz w:val="24"/>
        </w:rPr>
      </w:pPr>
      <w:r>
        <w:rPr>
          <w:rFonts w:hint="eastAsia" w:ascii="宋体" w:hAnsi="宋体"/>
          <w:sz w:val="24"/>
        </w:rPr>
        <w:t xml:space="preserve">联系人：沈先生 </w:t>
      </w:r>
    </w:p>
    <w:p>
      <w:pPr>
        <w:spacing w:line="400" w:lineRule="exact"/>
        <w:ind w:firstLine="840" w:firstLineChars="350"/>
        <w:rPr>
          <w:rFonts w:hint="eastAsia" w:ascii="宋体" w:hAnsi="宋体"/>
          <w:sz w:val="24"/>
        </w:rPr>
      </w:pPr>
      <w:r>
        <w:rPr>
          <w:rFonts w:hint="eastAsia" w:ascii="宋体" w:hAnsi="宋体"/>
          <w:sz w:val="24"/>
        </w:rPr>
        <w:t>监督投诉电话：0573-88022840</w:t>
      </w:r>
    </w:p>
    <w:p>
      <w:pPr>
        <w:spacing w:line="400" w:lineRule="exact"/>
        <w:ind w:firstLine="480" w:firstLineChars="200"/>
        <w:jc w:val="right"/>
        <w:rPr>
          <w:rFonts w:hint="eastAsia" w:ascii="宋体" w:hAnsi="宋体"/>
          <w:sz w:val="24"/>
          <w:highlight w:val="yellow"/>
        </w:rPr>
      </w:pPr>
      <w:r>
        <w:rPr>
          <w:rFonts w:hint="eastAsia" w:ascii="宋体" w:hAnsi="宋体"/>
          <w:sz w:val="24"/>
        </w:rPr>
        <w:t xml:space="preserve">                                               2022年8月19日</w:t>
      </w:r>
    </w:p>
    <w:p>
      <w:pPr>
        <w:wordWrap w:val="0"/>
        <w:spacing w:line="480" w:lineRule="exact"/>
        <w:jc w:val="center"/>
        <w:rPr>
          <w:rFonts w:hint="eastAsia"/>
          <w:b/>
          <w:szCs w:val="21"/>
        </w:rPr>
      </w:pPr>
      <w:r>
        <w:rPr>
          <w:b/>
          <w:szCs w:val="21"/>
        </w:rPr>
        <w:br w:type="page"/>
      </w:r>
      <w:bookmarkStart w:id="6" w:name="_Toc111809304"/>
      <w:r>
        <w:rPr>
          <w:rStyle w:val="53"/>
          <w:rFonts w:hint="eastAsia"/>
          <w:sz w:val="36"/>
          <w:szCs w:val="36"/>
        </w:rPr>
        <w:t>第二章  竞争性磋商须知</w:t>
      </w:r>
      <w:bookmarkEnd w:id="6"/>
    </w:p>
    <w:p>
      <w:pPr>
        <w:wordWrap w:val="0"/>
        <w:snapToGrid w:val="0"/>
        <w:spacing w:line="440" w:lineRule="exact"/>
        <w:rPr>
          <w:rFonts w:ascii="宋体" w:hAnsi="宋体"/>
          <w:b/>
          <w:spacing w:val="20"/>
          <w:sz w:val="24"/>
        </w:rPr>
      </w:pPr>
      <w:r>
        <w:rPr>
          <w:rFonts w:hint="eastAsia" w:ascii="宋体" w:hAnsi="宋体"/>
          <w:b/>
          <w:spacing w:val="20"/>
          <w:sz w:val="24"/>
        </w:rPr>
        <w:t>1、总则</w:t>
      </w:r>
    </w:p>
    <w:p>
      <w:pPr>
        <w:wordWrap w:val="0"/>
        <w:snapToGrid w:val="0"/>
        <w:spacing w:line="440" w:lineRule="exact"/>
        <w:ind w:left="420" w:leftChars="200"/>
        <w:rPr>
          <w:rFonts w:ascii="宋体" w:hAnsi="宋体"/>
          <w:sz w:val="24"/>
        </w:rPr>
      </w:pPr>
      <w:r>
        <w:rPr>
          <w:rFonts w:hint="eastAsia" w:ascii="宋体" w:hAnsi="宋体"/>
          <w:sz w:val="24"/>
        </w:rPr>
        <w:t>1.1定义</w:t>
      </w:r>
    </w:p>
    <w:p>
      <w:pPr>
        <w:wordWrap w:val="0"/>
        <w:snapToGrid w:val="0"/>
        <w:spacing w:line="440" w:lineRule="exact"/>
        <w:ind w:firstLine="630"/>
        <w:rPr>
          <w:rFonts w:ascii="宋体" w:hAnsi="宋体"/>
          <w:sz w:val="24"/>
        </w:rPr>
      </w:pPr>
      <w:r>
        <w:rPr>
          <w:rFonts w:hint="eastAsia" w:ascii="宋体" w:hAnsi="宋体"/>
          <w:sz w:val="24"/>
        </w:rPr>
        <w:t>1.1.1“采购代理机构”指组织本次采购活动的浙江禾城工程管理有限责任公司；</w:t>
      </w:r>
    </w:p>
    <w:p>
      <w:pPr>
        <w:wordWrap w:val="0"/>
        <w:snapToGrid w:val="0"/>
        <w:spacing w:line="440" w:lineRule="exact"/>
        <w:ind w:firstLine="630"/>
        <w:rPr>
          <w:rFonts w:ascii="宋体" w:hAnsi="宋体"/>
          <w:sz w:val="24"/>
        </w:rPr>
      </w:pPr>
      <w:r>
        <w:rPr>
          <w:rFonts w:hint="eastAsia" w:ascii="宋体" w:hAnsi="宋体"/>
          <w:sz w:val="24"/>
        </w:rPr>
        <w:t>1.1.2“响应方”指参与本次采购活动的供应商；</w:t>
      </w:r>
    </w:p>
    <w:p>
      <w:pPr>
        <w:wordWrap w:val="0"/>
        <w:snapToGrid w:val="0"/>
        <w:spacing w:line="440" w:lineRule="exact"/>
        <w:ind w:left="210" w:firstLine="420"/>
        <w:rPr>
          <w:rFonts w:ascii="宋体" w:hAnsi="宋体"/>
          <w:b/>
          <w:bCs/>
          <w:sz w:val="24"/>
        </w:rPr>
      </w:pPr>
      <w:r>
        <w:rPr>
          <w:rFonts w:hint="eastAsia" w:ascii="宋体" w:hAnsi="宋体"/>
          <w:sz w:val="24"/>
        </w:rPr>
        <w:t>1.1.3“采购人”指本项目的采购单位（即业主）</w:t>
      </w:r>
      <w:r>
        <w:rPr>
          <w:rFonts w:hint="eastAsia" w:ascii="宋体" w:hAnsi="宋体"/>
          <w:bCs/>
          <w:sz w:val="24"/>
        </w:rPr>
        <w:t>。</w:t>
      </w:r>
    </w:p>
    <w:p>
      <w:pPr>
        <w:wordWrap w:val="0"/>
        <w:spacing w:line="440" w:lineRule="exact"/>
        <w:jc w:val="left"/>
        <w:rPr>
          <w:rFonts w:hint="eastAsia" w:ascii="宋体" w:hAnsi="宋体"/>
          <w:sz w:val="24"/>
        </w:rPr>
      </w:pPr>
      <w:r>
        <w:rPr>
          <w:rFonts w:hint="eastAsia" w:ascii="宋体" w:hAnsi="宋体"/>
          <w:sz w:val="24"/>
        </w:rPr>
        <w:t xml:space="preserve">   1.2无论磋商过程和结果如何，响应方自行承担参加磋商的全部费用。</w:t>
      </w:r>
    </w:p>
    <w:p>
      <w:pPr>
        <w:wordWrap w:val="0"/>
        <w:spacing w:line="440" w:lineRule="exact"/>
        <w:ind w:firstLine="360" w:firstLineChars="150"/>
        <w:jc w:val="left"/>
        <w:rPr>
          <w:rFonts w:hint="eastAsia" w:ascii="宋体" w:hAnsi="宋体" w:cs="宋体"/>
          <w:b/>
          <w:bCs/>
          <w:color w:val="000000"/>
          <w:kern w:val="0"/>
          <w:sz w:val="24"/>
        </w:rPr>
      </w:pPr>
      <w:r>
        <w:rPr>
          <w:rFonts w:hint="eastAsia" w:ascii="宋体" w:hAnsi="宋体"/>
          <w:sz w:val="24"/>
        </w:rPr>
        <w:t>1.3</w:t>
      </w:r>
      <w:r>
        <w:rPr>
          <w:rFonts w:hint="eastAsia" w:ascii="宋体" w:hAnsi="宋体" w:cs="宋体"/>
          <w:b/>
          <w:bCs/>
          <w:color w:val="000000"/>
          <w:kern w:val="0"/>
          <w:sz w:val="24"/>
        </w:rPr>
        <w:t>本项目分2个分包，投标人可自选分包。本项目设预算控制价，投标人报价不得超预算控制价，否则将被作无效响应处理。各分包预算控制价及采购单位联系方式见下表：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843"/>
        <w:gridCol w:w="18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09" w:type="dxa"/>
            <w:noWrap w:val="0"/>
            <w:vAlign w:val="center"/>
          </w:tcPr>
          <w:p>
            <w:pPr>
              <w:snapToGrid w:val="0"/>
              <w:spacing w:line="400" w:lineRule="exact"/>
              <w:jc w:val="center"/>
              <w:rPr>
                <w:rFonts w:hint="eastAsia" w:ascii="宋体" w:hAnsi="宋体" w:cs="Arial"/>
                <w:sz w:val="24"/>
              </w:rPr>
            </w:pPr>
            <w:r>
              <w:rPr>
                <w:rFonts w:hint="eastAsia" w:ascii="宋体" w:hAnsi="宋体" w:cs="Arial"/>
                <w:sz w:val="24"/>
              </w:rPr>
              <w:t>分包</w:t>
            </w:r>
          </w:p>
        </w:tc>
        <w:tc>
          <w:tcPr>
            <w:tcW w:w="1843" w:type="dxa"/>
            <w:tcBorders>
              <w:bottom w:val="single" w:color="000000" w:sz="4" w:space="0"/>
              <w:right w:val="single" w:color="000000" w:sz="4" w:space="0"/>
            </w:tcBorders>
            <w:noWrap w:val="0"/>
            <w:vAlign w:val="center"/>
          </w:tcPr>
          <w:p>
            <w:pPr>
              <w:snapToGrid w:val="0"/>
              <w:spacing w:line="400" w:lineRule="exact"/>
              <w:jc w:val="center"/>
              <w:rPr>
                <w:rFonts w:ascii="宋体" w:hAnsi="宋体" w:cs="Arial"/>
                <w:sz w:val="24"/>
              </w:rPr>
            </w:pPr>
            <w:r>
              <w:rPr>
                <w:rFonts w:hint="eastAsia" w:ascii="宋体" w:hAnsi="宋体" w:cs="Arial"/>
                <w:sz w:val="24"/>
              </w:rPr>
              <w:t>内容</w:t>
            </w:r>
          </w:p>
        </w:tc>
        <w:tc>
          <w:tcPr>
            <w:tcW w:w="1843" w:type="dxa"/>
            <w:tcBorders>
              <w:left w:val="single" w:color="000000" w:sz="4" w:space="0"/>
            </w:tcBorders>
            <w:noWrap w:val="0"/>
            <w:vAlign w:val="center"/>
          </w:tcPr>
          <w:p>
            <w:pPr>
              <w:snapToGrid w:val="0"/>
              <w:spacing w:line="400" w:lineRule="exact"/>
              <w:jc w:val="center"/>
              <w:rPr>
                <w:rFonts w:ascii="宋体" w:hAnsi="宋体" w:cs="Arial"/>
                <w:sz w:val="24"/>
              </w:rPr>
            </w:pPr>
            <w:r>
              <w:rPr>
                <w:rFonts w:hint="eastAsia" w:ascii="宋体" w:hAnsi="宋体" w:cs="Arial"/>
                <w:sz w:val="24"/>
              </w:rPr>
              <w:t>采购单位</w:t>
            </w:r>
          </w:p>
        </w:tc>
        <w:tc>
          <w:tcPr>
            <w:tcW w:w="1842" w:type="dxa"/>
            <w:noWrap w:val="0"/>
            <w:vAlign w:val="center"/>
          </w:tcPr>
          <w:p>
            <w:pPr>
              <w:snapToGrid w:val="0"/>
              <w:spacing w:line="400" w:lineRule="exact"/>
              <w:jc w:val="center"/>
              <w:rPr>
                <w:rFonts w:ascii="宋体" w:hAnsi="宋体" w:cs="Arial"/>
                <w:sz w:val="24"/>
              </w:rPr>
            </w:pPr>
            <w:r>
              <w:rPr>
                <w:rFonts w:hint="eastAsia" w:ascii="宋体" w:hAnsi="宋体" w:cs="Arial"/>
                <w:sz w:val="24"/>
              </w:rPr>
              <w:t>联系方式</w:t>
            </w:r>
          </w:p>
        </w:tc>
        <w:tc>
          <w:tcPr>
            <w:tcW w:w="2268" w:type="dxa"/>
            <w:noWrap w:val="0"/>
            <w:vAlign w:val="center"/>
          </w:tcPr>
          <w:p>
            <w:pPr>
              <w:snapToGrid w:val="0"/>
              <w:spacing w:line="400" w:lineRule="exact"/>
              <w:jc w:val="center"/>
              <w:rPr>
                <w:rFonts w:ascii="宋体" w:hAnsi="宋体" w:cs="Arial"/>
                <w:sz w:val="24"/>
              </w:rPr>
            </w:pPr>
            <w:r>
              <w:rPr>
                <w:rFonts w:hint="eastAsia" w:ascii="宋体" w:hAnsi="宋体" w:cs="Arial"/>
                <w:sz w:val="24"/>
              </w:rPr>
              <w:t>预算控制价（万元）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9" w:type="dxa"/>
            <w:noWrap w:val="0"/>
            <w:vAlign w:val="center"/>
          </w:tcPr>
          <w:p>
            <w:pPr>
              <w:snapToGrid w:val="0"/>
              <w:spacing w:line="400" w:lineRule="exact"/>
              <w:jc w:val="center"/>
              <w:rPr>
                <w:rFonts w:hint="eastAsia" w:ascii="宋体" w:hAnsi="宋体" w:cs="Arial"/>
                <w:sz w:val="24"/>
              </w:rPr>
            </w:pPr>
            <w:r>
              <w:rPr>
                <w:rFonts w:hint="eastAsia" w:ascii="宋体" w:hAnsi="宋体" w:cs="Arial"/>
                <w:sz w:val="24"/>
              </w:rPr>
              <w:t>1</w:t>
            </w:r>
          </w:p>
        </w:tc>
        <w:tc>
          <w:tcPr>
            <w:tcW w:w="1843" w:type="dxa"/>
            <w:tcBorders>
              <w:top w:val="single" w:color="000000" w:sz="4" w:space="0"/>
              <w:bottom w:val="single" w:color="000000" w:sz="4" w:space="0"/>
              <w:right w:val="single" w:color="000000" w:sz="4" w:space="0"/>
            </w:tcBorders>
            <w:noWrap w:val="0"/>
            <w:vAlign w:val="center"/>
          </w:tcPr>
          <w:p>
            <w:pPr>
              <w:snapToGrid w:val="0"/>
              <w:spacing w:line="400" w:lineRule="exact"/>
              <w:jc w:val="center"/>
              <w:rPr>
                <w:rFonts w:ascii="宋体" w:hAnsi="宋体" w:cs="Arial"/>
                <w:sz w:val="24"/>
              </w:rPr>
            </w:pPr>
            <w:r>
              <w:rPr>
                <w:rFonts w:hint="eastAsia" w:ascii="宋体" w:hAnsi="宋体" w:cs="Arial"/>
                <w:sz w:val="24"/>
              </w:rPr>
              <w:t>350兆数字集群通信系统维护</w:t>
            </w:r>
          </w:p>
        </w:tc>
        <w:tc>
          <w:tcPr>
            <w:tcW w:w="1843" w:type="dxa"/>
            <w:tcBorders>
              <w:left w:val="single" w:color="000000" w:sz="4" w:space="0"/>
            </w:tcBorders>
            <w:noWrap w:val="0"/>
            <w:vAlign w:val="center"/>
          </w:tcPr>
          <w:p>
            <w:pPr>
              <w:snapToGrid w:val="0"/>
              <w:spacing w:line="400" w:lineRule="exact"/>
              <w:jc w:val="center"/>
              <w:rPr>
                <w:rFonts w:ascii="宋体" w:hAnsi="宋体" w:cs="Arial"/>
                <w:sz w:val="24"/>
              </w:rPr>
            </w:pPr>
            <w:r>
              <w:rPr>
                <w:rFonts w:hint="eastAsia" w:ascii="宋体" w:hAnsi="宋体" w:cs="Arial"/>
                <w:sz w:val="24"/>
              </w:rPr>
              <w:t>桐乡市公安局</w:t>
            </w:r>
          </w:p>
        </w:tc>
        <w:tc>
          <w:tcPr>
            <w:tcW w:w="1842" w:type="dxa"/>
            <w:noWrap w:val="0"/>
            <w:vAlign w:val="center"/>
          </w:tcPr>
          <w:p>
            <w:pPr>
              <w:snapToGrid w:val="0"/>
              <w:spacing w:line="400" w:lineRule="exact"/>
              <w:jc w:val="center"/>
              <w:rPr>
                <w:rFonts w:ascii="宋体" w:hAnsi="宋体" w:cs="Arial"/>
                <w:color w:val="0000FF"/>
                <w:sz w:val="24"/>
              </w:rPr>
            </w:pPr>
            <w:r>
              <w:rPr>
                <w:rFonts w:hint="eastAsia" w:ascii="宋体" w:hAnsi="宋体" w:cs="Arial"/>
                <w:sz w:val="24"/>
              </w:rPr>
              <w:t>0573-</w:t>
            </w:r>
            <w:r>
              <w:rPr>
                <w:rFonts w:hint="eastAsia" w:ascii="宋体" w:hAnsi="宋体"/>
                <w:sz w:val="24"/>
              </w:rPr>
              <w:t>88025215</w:t>
            </w:r>
          </w:p>
        </w:tc>
        <w:tc>
          <w:tcPr>
            <w:tcW w:w="2268" w:type="dxa"/>
            <w:noWrap w:val="0"/>
            <w:vAlign w:val="center"/>
          </w:tcPr>
          <w:p>
            <w:pPr>
              <w:snapToGrid w:val="0"/>
              <w:spacing w:line="400" w:lineRule="exact"/>
              <w:jc w:val="center"/>
              <w:rPr>
                <w:rFonts w:ascii="宋体" w:hAnsi="宋体" w:cs="Arial"/>
                <w:sz w:val="24"/>
              </w:rPr>
            </w:pPr>
            <w:r>
              <w:rPr>
                <w:rFonts w:hint="eastAsia" w:ascii="宋体" w:hAnsi="宋体" w:cs="Arial"/>
                <w:sz w:val="24"/>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9" w:type="dxa"/>
            <w:noWrap w:val="0"/>
            <w:vAlign w:val="top"/>
          </w:tcPr>
          <w:p>
            <w:pPr>
              <w:snapToGrid w:val="0"/>
              <w:spacing w:line="400" w:lineRule="exact"/>
              <w:jc w:val="center"/>
              <w:rPr>
                <w:rFonts w:hint="eastAsia" w:ascii="宋体" w:hAnsi="宋体" w:cs="Arial"/>
                <w:sz w:val="24"/>
              </w:rPr>
            </w:pPr>
            <w:r>
              <w:rPr>
                <w:rFonts w:hint="eastAsia" w:ascii="宋体" w:hAnsi="宋体" w:cs="Arial"/>
                <w:sz w:val="24"/>
              </w:rPr>
              <w:t>2</w:t>
            </w:r>
          </w:p>
        </w:tc>
        <w:tc>
          <w:tcPr>
            <w:tcW w:w="1843" w:type="dxa"/>
            <w:tcBorders>
              <w:top w:val="single" w:color="000000" w:sz="4" w:space="0"/>
              <w:right w:val="single" w:color="000000" w:sz="4" w:space="0"/>
            </w:tcBorders>
            <w:noWrap w:val="0"/>
            <w:vAlign w:val="top"/>
          </w:tcPr>
          <w:p>
            <w:pPr>
              <w:snapToGrid w:val="0"/>
              <w:spacing w:line="400" w:lineRule="exact"/>
              <w:jc w:val="center"/>
              <w:rPr>
                <w:rFonts w:hint="eastAsia" w:ascii="宋体" w:hAnsi="宋体" w:cs="Arial"/>
                <w:sz w:val="24"/>
              </w:rPr>
            </w:pPr>
            <w:r>
              <w:rPr>
                <w:rFonts w:hint="eastAsia" w:ascii="宋体" w:hAnsi="宋体" w:cs="Arial"/>
                <w:sz w:val="24"/>
              </w:rPr>
              <w:t>机房运维</w:t>
            </w:r>
          </w:p>
        </w:tc>
        <w:tc>
          <w:tcPr>
            <w:tcW w:w="1843" w:type="dxa"/>
            <w:tcBorders>
              <w:left w:val="single" w:color="000000" w:sz="4" w:space="0"/>
            </w:tcBorders>
            <w:noWrap w:val="0"/>
            <w:vAlign w:val="top"/>
          </w:tcPr>
          <w:p>
            <w:pPr>
              <w:snapToGrid w:val="0"/>
              <w:spacing w:line="400" w:lineRule="exact"/>
              <w:jc w:val="center"/>
              <w:rPr>
                <w:rFonts w:hint="eastAsia" w:ascii="宋体" w:hAnsi="宋体" w:cs="Arial"/>
                <w:sz w:val="24"/>
              </w:rPr>
            </w:pPr>
            <w:r>
              <w:rPr>
                <w:rFonts w:hint="eastAsia" w:ascii="宋体" w:hAnsi="宋体" w:cs="Arial"/>
                <w:sz w:val="24"/>
              </w:rPr>
              <w:t>桐乡市公安局</w:t>
            </w:r>
          </w:p>
        </w:tc>
        <w:tc>
          <w:tcPr>
            <w:tcW w:w="1842" w:type="dxa"/>
            <w:noWrap w:val="0"/>
            <w:vAlign w:val="top"/>
          </w:tcPr>
          <w:p>
            <w:pPr>
              <w:snapToGrid w:val="0"/>
              <w:spacing w:line="400" w:lineRule="exact"/>
              <w:jc w:val="center"/>
              <w:rPr>
                <w:rFonts w:hint="eastAsia" w:ascii="宋体" w:hAnsi="宋体" w:cs="Arial"/>
                <w:sz w:val="24"/>
              </w:rPr>
            </w:pPr>
            <w:r>
              <w:rPr>
                <w:rFonts w:hint="eastAsia" w:ascii="宋体" w:hAnsi="宋体" w:cs="Arial"/>
                <w:sz w:val="24"/>
              </w:rPr>
              <w:t>0573-</w:t>
            </w:r>
            <w:r>
              <w:rPr>
                <w:rFonts w:hint="eastAsia" w:ascii="宋体" w:hAnsi="宋体"/>
                <w:sz w:val="24"/>
              </w:rPr>
              <w:t>88025215</w:t>
            </w:r>
          </w:p>
        </w:tc>
        <w:tc>
          <w:tcPr>
            <w:tcW w:w="2268" w:type="dxa"/>
            <w:noWrap w:val="0"/>
            <w:vAlign w:val="top"/>
          </w:tcPr>
          <w:p>
            <w:pPr>
              <w:snapToGrid w:val="0"/>
              <w:spacing w:line="400" w:lineRule="exact"/>
              <w:jc w:val="center"/>
              <w:rPr>
                <w:rFonts w:ascii="宋体" w:hAnsi="宋体" w:cs="Arial"/>
                <w:sz w:val="24"/>
              </w:rPr>
            </w:pPr>
            <w:r>
              <w:rPr>
                <w:rFonts w:hint="eastAsia" w:ascii="宋体" w:hAnsi="宋体" w:cs="Arial"/>
                <w:sz w:val="24"/>
              </w:rPr>
              <w:t>17.3</w:t>
            </w:r>
          </w:p>
        </w:tc>
      </w:tr>
    </w:tbl>
    <w:p>
      <w:pPr>
        <w:wordWrap w:val="0"/>
        <w:spacing w:line="440" w:lineRule="exact"/>
        <w:ind w:firstLine="420"/>
        <w:rPr>
          <w:rFonts w:ascii="宋体" w:hAnsi="宋体"/>
          <w:snapToGrid w:val="0"/>
          <w:kern w:val="0"/>
          <w:sz w:val="24"/>
        </w:rPr>
      </w:pPr>
      <w:r>
        <w:rPr>
          <w:rFonts w:hint="eastAsia" w:ascii="宋体" w:hAnsi="宋体"/>
          <w:snapToGrid w:val="0"/>
          <w:kern w:val="0"/>
          <w:sz w:val="24"/>
        </w:rPr>
        <w:t>1.4磋商文件中的要求响应方应尽可能响应，如因其余指标重大偏离且经评标委员会认定有实质性影响的将作无效投标（响应）处理。</w:t>
      </w:r>
    </w:p>
    <w:p>
      <w:pPr>
        <w:wordWrap w:val="0"/>
        <w:spacing w:line="440" w:lineRule="exact"/>
        <w:rPr>
          <w:rFonts w:ascii="宋体" w:hAnsi="宋体"/>
          <w:b/>
          <w:spacing w:val="20"/>
          <w:sz w:val="24"/>
        </w:rPr>
      </w:pPr>
      <w:r>
        <w:rPr>
          <w:rFonts w:hint="eastAsia" w:ascii="宋体" w:hAnsi="宋体"/>
          <w:b/>
          <w:spacing w:val="20"/>
          <w:sz w:val="24"/>
        </w:rPr>
        <w:t>2、竞争性磋商文件的释疑和变更</w:t>
      </w:r>
    </w:p>
    <w:p>
      <w:pPr>
        <w:wordWrap w:val="0"/>
        <w:spacing w:line="440" w:lineRule="exact"/>
        <w:ind w:firstLine="480"/>
        <w:rPr>
          <w:rFonts w:ascii="宋体" w:hAnsi="宋体"/>
          <w:sz w:val="24"/>
        </w:rPr>
      </w:pPr>
      <w:r>
        <w:rPr>
          <w:rFonts w:hint="eastAsia" w:ascii="宋体" w:hAnsi="宋体"/>
          <w:sz w:val="24"/>
        </w:rPr>
        <w:t>2.1 竞争性磋商文件的释疑</w:t>
      </w:r>
    </w:p>
    <w:p>
      <w:pPr>
        <w:wordWrap w:val="0"/>
        <w:spacing w:line="440" w:lineRule="exact"/>
        <w:jc w:val="left"/>
        <w:rPr>
          <w:rFonts w:hint="eastAsia" w:ascii="宋体" w:hAnsi="宋体"/>
          <w:b/>
          <w:sz w:val="24"/>
        </w:rPr>
      </w:pPr>
      <w:r>
        <w:rPr>
          <w:rFonts w:hint="eastAsia" w:ascii="宋体" w:hAnsi="宋体"/>
          <w:sz w:val="24"/>
        </w:rPr>
        <w:t xml:space="preserve">    投标人如认为竞争性磋商文件、采购过程和中标结果使自身的合法权益受到损害的，可以在知道或者应知其权益受到损害之日起七个工作日内，以书面形式向采购人或采购代理机构提出质疑；投标人对采购人或采购代理机构的质疑答复不满意或者采购人、采购代理机构未在规定时间内作出答复的，可以在答复期满后十五个工作日内向桐乡市财政局政府采购监管科投诉（联系人：沈先生；0573-88022840、88020161）。</w:t>
      </w:r>
    </w:p>
    <w:p>
      <w:pPr>
        <w:wordWrap w:val="0"/>
        <w:snapToGrid w:val="0"/>
        <w:spacing w:line="440" w:lineRule="exact"/>
        <w:rPr>
          <w:rFonts w:ascii="宋体" w:hAnsi="宋体"/>
          <w:b/>
          <w:spacing w:val="20"/>
          <w:sz w:val="24"/>
        </w:rPr>
      </w:pPr>
      <w:r>
        <w:rPr>
          <w:rFonts w:hint="eastAsia" w:ascii="宋体" w:hAnsi="宋体"/>
          <w:b/>
          <w:spacing w:val="20"/>
          <w:sz w:val="24"/>
        </w:rPr>
        <w:t>3、磋商响应文件编制及其他要求</w:t>
      </w:r>
    </w:p>
    <w:p>
      <w:pPr>
        <w:wordWrap w:val="0"/>
        <w:snapToGrid w:val="0"/>
        <w:spacing w:line="440" w:lineRule="exact"/>
        <w:ind w:firstLine="480"/>
        <w:rPr>
          <w:rFonts w:ascii="宋体" w:hAnsi="宋体"/>
          <w:sz w:val="24"/>
        </w:rPr>
      </w:pPr>
      <w:r>
        <w:rPr>
          <w:rFonts w:hint="eastAsia" w:ascii="宋体" w:hAnsi="宋体"/>
          <w:sz w:val="24"/>
        </w:rPr>
        <w:t>3.1 磋商响应文件的组成</w:t>
      </w:r>
    </w:p>
    <w:p>
      <w:pPr>
        <w:wordWrap w:val="0"/>
        <w:snapToGrid w:val="0"/>
        <w:spacing w:line="440" w:lineRule="exact"/>
        <w:ind w:firstLine="480"/>
        <w:rPr>
          <w:rFonts w:hint="eastAsia" w:ascii="宋体" w:hAnsi="宋体"/>
          <w:sz w:val="24"/>
        </w:rPr>
      </w:pPr>
      <w:r>
        <w:rPr>
          <w:rFonts w:hint="eastAsia" w:ascii="宋体" w:hAnsi="宋体"/>
          <w:sz w:val="24"/>
        </w:rPr>
        <w:t xml:space="preserve">磋商响应文件主要由以下材料组成。响应方应认真阅读和理解竞争性磋商文件，并按竞争性磋商文件的要求编制磋商响应文件。磋商响应文件应对竞争性磋商文件作实质性响应，并保证所提供资料的真实性。 </w:t>
      </w:r>
    </w:p>
    <w:p>
      <w:pPr>
        <w:wordWrap w:val="0"/>
        <w:snapToGrid w:val="0"/>
        <w:spacing w:line="440" w:lineRule="exact"/>
        <w:ind w:firstLine="480"/>
        <w:rPr>
          <w:rFonts w:hint="eastAsia" w:ascii="宋体" w:hAnsi="宋体"/>
          <w:b/>
          <w:sz w:val="24"/>
        </w:rPr>
      </w:pPr>
      <w:r>
        <w:rPr>
          <w:rFonts w:hint="eastAsia" w:ascii="宋体" w:hAnsi="宋体"/>
          <w:b/>
          <w:sz w:val="24"/>
        </w:rPr>
        <w:t>3.2 磋商响应文件组成（以下材料中磋商文件如有附件的，请按附件格式递交）：</w:t>
      </w:r>
    </w:p>
    <w:p>
      <w:pPr>
        <w:widowControl/>
        <w:snapToGrid w:val="0"/>
        <w:spacing w:line="400" w:lineRule="exact"/>
        <w:ind w:firstLine="472" w:firstLineChars="196"/>
        <w:jc w:val="left"/>
        <w:rPr>
          <w:rFonts w:hint="eastAsia" w:ascii="宋体" w:hAnsi="宋体" w:cs="宋体"/>
          <w:b/>
          <w:kern w:val="0"/>
          <w:sz w:val="24"/>
        </w:rPr>
      </w:pPr>
      <w:r>
        <w:rPr>
          <w:rFonts w:hint="eastAsia" w:ascii="宋体" w:hAnsi="宋体" w:cs="宋体"/>
          <w:b/>
          <w:kern w:val="0"/>
          <w:sz w:val="24"/>
        </w:rPr>
        <w:t>【资格文件】包括（但不限于）下列部份</w:t>
      </w:r>
    </w:p>
    <w:p>
      <w:pPr>
        <w:widowControl/>
        <w:numPr>
          <w:ilvl w:val="0"/>
          <w:numId w:val="8"/>
        </w:numPr>
        <w:snapToGrid w:val="0"/>
        <w:spacing w:line="400" w:lineRule="exact"/>
        <w:jc w:val="left"/>
        <w:rPr>
          <w:rFonts w:hint="eastAsia" w:ascii="宋体" w:hAnsi="宋体" w:cs="宋体"/>
          <w:kern w:val="0"/>
          <w:sz w:val="24"/>
        </w:rPr>
      </w:pPr>
      <w:r>
        <w:rPr>
          <w:rFonts w:hint="eastAsia" w:ascii="宋体" w:hAnsi="宋体" w:cs="宋体"/>
          <w:kern w:val="0"/>
          <w:sz w:val="24"/>
        </w:rPr>
        <w:t>投标函；</w:t>
      </w:r>
    </w:p>
    <w:p>
      <w:pPr>
        <w:widowControl/>
        <w:numPr>
          <w:ilvl w:val="0"/>
          <w:numId w:val="8"/>
        </w:numPr>
        <w:snapToGrid w:val="0"/>
        <w:spacing w:line="400" w:lineRule="exact"/>
        <w:jc w:val="left"/>
        <w:rPr>
          <w:rFonts w:hint="eastAsia" w:ascii="宋体" w:hAnsi="宋体" w:cs="宋体"/>
          <w:kern w:val="0"/>
          <w:sz w:val="24"/>
        </w:rPr>
      </w:pPr>
      <w:r>
        <w:rPr>
          <w:rFonts w:hint="eastAsia" w:ascii="宋体" w:hAnsi="宋体" w:cs="宋体"/>
          <w:kern w:val="0"/>
          <w:sz w:val="24"/>
        </w:rPr>
        <w:t>有效的营业执照、税务登记证、组织机构代码、社保代码，或“三证合一”（“五证合一”）的营业执照复印件；</w:t>
      </w:r>
    </w:p>
    <w:p>
      <w:pPr>
        <w:widowControl/>
        <w:numPr>
          <w:ilvl w:val="0"/>
          <w:numId w:val="8"/>
        </w:numPr>
        <w:snapToGrid w:val="0"/>
        <w:spacing w:line="400" w:lineRule="exact"/>
        <w:jc w:val="left"/>
        <w:rPr>
          <w:rFonts w:hint="eastAsia" w:ascii="宋体" w:hAnsi="宋体" w:cs="宋体"/>
          <w:kern w:val="0"/>
          <w:sz w:val="24"/>
        </w:rPr>
      </w:pPr>
      <w:r>
        <w:rPr>
          <w:rFonts w:hint="eastAsia" w:ascii="宋体" w:hAnsi="宋体" w:cs="宋体"/>
          <w:kern w:val="0"/>
          <w:sz w:val="24"/>
        </w:rPr>
        <w:t>符合参加政府采购活动应当具备的一般条件的承诺函；</w:t>
      </w:r>
    </w:p>
    <w:p>
      <w:pPr>
        <w:widowControl/>
        <w:numPr>
          <w:ilvl w:val="0"/>
          <w:numId w:val="8"/>
        </w:numPr>
        <w:snapToGrid w:val="0"/>
        <w:spacing w:line="400" w:lineRule="exact"/>
        <w:jc w:val="left"/>
        <w:rPr>
          <w:rFonts w:hint="eastAsia" w:ascii="宋体" w:hAnsi="宋体" w:cs="宋体"/>
          <w:kern w:val="0"/>
          <w:sz w:val="24"/>
        </w:rPr>
      </w:pPr>
      <w:r>
        <w:rPr>
          <w:rFonts w:hint="eastAsia" w:ascii="宋体" w:hAnsi="宋体" w:cs="宋体"/>
          <w:kern w:val="0"/>
          <w:sz w:val="24"/>
        </w:rPr>
        <w:t>分支机构参与投标的，须提供总公司（总机构）的《营业执照》复印件及总公司（总机构）的授权书（格式自拟）；</w:t>
      </w:r>
    </w:p>
    <w:p>
      <w:pPr>
        <w:widowControl/>
        <w:numPr>
          <w:ilvl w:val="0"/>
          <w:numId w:val="8"/>
        </w:numPr>
        <w:snapToGrid w:val="0"/>
        <w:jc w:val="left"/>
        <w:rPr>
          <w:rFonts w:hint="eastAsia" w:ascii="宋体" w:hAnsi="宋体" w:cs="宋体"/>
          <w:kern w:val="0"/>
          <w:sz w:val="24"/>
        </w:rPr>
      </w:pPr>
      <w:r>
        <w:rPr>
          <w:rFonts w:hint="eastAsia" w:ascii="宋体" w:hAnsi="宋体" w:cs="宋体"/>
          <w:kern w:val="0"/>
          <w:sz w:val="24"/>
        </w:rPr>
        <w:t>法定代表人（负责人）授权委托书,如是法定代表人参加投标的，提供法定代表人身份证复印件。</w:t>
      </w:r>
    </w:p>
    <w:p>
      <w:pPr>
        <w:widowControl/>
        <w:snapToGrid w:val="0"/>
        <w:spacing w:line="400" w:lineRule="exact"/>
        <w:ind w:left="567"/>
        <w:jc w:val="left"/>
        <w:rPr>
          <w:rFonts w:hint="eastAsia" w:ascii="宋体" w:hAnsi="宋体" w:cs="宋体"/>
          <w:b/>
          <w:kern w:val="0"/>
          <w:sz w:val="24"/>
        </w:rPr>
      </w:pPr>
      <w:r>
        <w:rPr>
          <w:rFonts w:hint="eastAsia" w:ascii="宋体" w:hAnsi="宋体" w:cs="宋体"/>
          <w:b/>
          <w:kern w:val="0"/>
          <w:sz w:val="24"/>
        </w:rPr>
        <w:t>【技术商务文件】包括（但不限于）下列部份</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kern w:val="0"/>
          <w:sz w:val="24"/>
        </w:rPr>
        <w:t>投标文件目录；</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kern w:val="0"/>
          <w:sz w:val="24"/>
        </w:rPr>
        <w:t>项目总体实施方案；</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kern w:val="0"/>
          <w:sz w:val="24"/>
        </w:rPr>
        <w:t xml:space="preserve">上一月（以招标文件发出时间为准）财务报表复印件； </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kern w:val="0"/>
          <w:sz w:val="24"/>
        </w:rPr>
        <w:t>相关部门出具的企业纳税情况和社保基金缴纳情况证明材料；</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kern w:val="0"/>
          <w:sz w:val="24"/>
        </w:rPr>
        <w:t>服务承诺书；</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bCs/>
          <w:kern w:val="0"/>
          <w:sz w:val="24"/>
        </w:rPr>
        <w:t>履行合同所需的设备、专业技术能力的证明材料和案例</w:t>
      </w:r>
      <w:r>
        <w:rPr>
          <w:rFonts w:hint="eastAsia" w:ascii="宋体" w:hAnsi="宋体" w:cs="宋体"/>
          <w:kern w:val="0"/>
          <w:sz w:val="24"/>
        </w:rPr>
        <w:t>；</w:t>
      </w:r>
    </w:p>
    <w:p>
      <w:pPr>
        <w:widowControl/>
        <w:numPr>
          <w:ilvl w:val="3"/>
          <w:numId w:val="9"/>
        </w:numPr>
        <w:snapToGrid w:val="0"/>
        <w:spacing w:line="400" w:lineRule="exact"/>
        <w:jc w:val="left"/>
        <w:rPr>
          <w:rFonts w:ascii="宋体" w:hAnsi="宋体" w:cs="宋体"/>
          <w:kern w:val="0"/>
          <w:sz w:val="24"/>
        </w:rPr>
      </w:pPr>
      <w:r>
        <w:rPr>
          <w:rFonts w:hint="eastAsia" w:ascii="宋体" w:hAnsi="宋体" w:cs="宋体"/>
          <w:kern w:val="0"/>
          <w:sz w:val="24"/>
        </w:rPr>
        <w:t>针对本项目的技术力量配备，投入项目组成员汇总表；</w:t>
      </w:r>
    </w:p>
    <w:p>
      <w:pPr>
        <w:widowControl/>
        <w:numPr>
          <w:ilvl w:val="3"/>
          <w:numId w:val="9"/>
        </w:numPr>
        <w:snapToGrid w:val="0"/>
        <w:spacing w:line="400" w:lineRule="exact"/>
        <w:jc w:val="left"/>
        <w:rPr>
          <w:rFonts w:ascii="宋体" w:hAnsi="宋体" w:cs="宋体"/>
          <w:bCs/>
          <w:kern w:val="0"/>
          <w:sz w:val="24"/>
        </w:rPr>
      </w:pPr>
      <w:r>
        <w:rPr>
          <w:rFonts w:hint="eastAsia" w:ascii="宋体" w:hAnsi="宋体" w:cs="宋体"/>
          <w:kern w:val="0"/>
          <w:sz w:val="24"/>
        </w:rPr>
        <w:t>针对本项目的完整实施方案，包括项目组织机构和各部分项目进度计划等；</w:t>
      </w:r>
    </w:p>
    <w:p>
      <w:pPr>
        <w:widowControl/>
        <w:numPr>
          <w:ilvl w:val="3"/>
          <w:numId w:val="9"/>
        </w:numPr>
        <w:snapToGrid w:val="0"/>
        <w:spacing w:line="400" w:lineRule="exact"/>
        <w:jc w:val="left"/>
        <w:rPr>
          <w:rFonts w:ascii="宋体" w:hAnsi="宋体" w:cs="宋体"/>
          <w:bCs/>
          <w:kern w:val="0"/>
          <w:sz w:val="24"/>
        </w:rPr>
      </w:pPr>
      <w:r>
        <w:rPr>
          <w:rFonts w:hint="eastAsia" w:ascii="宋体" w:hAnsi="宋体" w:cs="宋体"/>
          <w:kern w:val="0"/>
          <w:sz w:val="24"/>
        </w:rPr>
        <w:t>投标人认为需要的其他技术商务资料</w:t>
      </w:r>
      <w:r>
        <w:rPr>
          <w:rFonts w:hint="eastAsia" w:ascii="宋体" w:hAnsi="宋体" w:cs="宋体"/>
          <w:bCs/>
          <w:kern w:val="0"/>
          <w:sz w:val="24"/>
        </w:rPr>
        <w:t>（请参考评标办法中条款）。</w:t>
      </w:r>
    </w:p>
    <w:p>
      <w:pPr>
        <w:widowControl/>
        <w:snapToGrid w:val="0"/>
        <w:spacing w:line="400" w:lineRule="exact"/>
        <w:ind w:left="567"/>
        <w:jc w:val="left"/>
        <w:rPr>
          <w:rFonts w:hint="eastAsia" w:ascii="宋体" w:hAnsi="宋体" w:cs="宋体"/>
          <w:b/>
          <w:kern w:val="0"/>
          <w:sz w:val="24"/>
        </w:rPr>
      </w:pPr>
      <w:r>
        <w:rPr>
          <w:rFonts w:hint="eastAsia" w:ascii="宋体" w:hAnsi="宋体" w:cs="宋体"/>
          <w:b/>
          <w:kern w:val="0"/>
          <w:sz w:val="24"/>
        </w:rPr>
        <w:t>【报价文件】包括（但不限于）下列部份</w:t>
      </w:r>
    </w:p>
    <w:p>
      <w:pPr>
        <w:widowControl/>
        <w:numPr>
          <w:ilvl w:val="3"/>
          <w:numId w:val="10"/>
        </w:numPr>
        <w:tabs>
          <w:tab w:val="left" w:pos="993"/>
        </w:tabs>
        <w:snapToGrid w:val="0"/>
        <w:spacing w:line="400" w:lineRule="exact"/>
        <w:jc w:val="left"/>
        <w:rPr>
          <w:rFonts w:hint="eastAsia" w:ascii="宋体" w:hAnsi="宋体" w:cs="宋体"/>
          <w:kern w:val="0"/>
          <w:sz w:val="24"/>
        </w:rPr>
      </w:pPr>
      <w:r>
        <w:rPr>
          <w:rFonts w:hint="eastAsia" w:ascii="宋体" w:hAnsi="宋体" w:cs="宋体"/>
          <w:kern w:val="0"/>
          <w:sz w:val="24"/>
        </w:rPr>
        <w:t xml:space="preserve">初次报价一览表； </w:t>
      </w:r>
    </w:p>
    <w:p>
      <w:pPr>
        <w:widowControl/>
        <w:numPr>
          <w:ilvl w:val="3"/>
          <w:numId w:val="10"/>
        </w:numPr>
        <w:tabs>
          <w:tab w:val="left" w:pos="993"/>
        </w:tabs>
        <w:snapToGrid w:val="0"/>
        <w:spacing w:line="400" w:lineRule="exact"/>
        <w:jc w:val="left"/>
        <w:rPr>
          <w:rFonts w:hint="eastAsia" w:ascii="宋体" w:hAnsi="宋体" w:cs="宋体"/>
          <w:kern w:val="0"/>
          <w:sz w:val="24"/>
        </w:rPr>
      </w:pPr>
      <w:r>
        <w:rPr>
          <w:rFonts w:hint="eastAsia" w:ascii="宋体" w:hAnsi="宋体" w:cs="宋体"/>
          <w:kern w:val="0"/>
          <w:sz w:val="24"/>
        </w:rPr>
        <w:t>《中小企业声明函》；</w:t>
      </w:r>
    </w:p>
    <w:p>
      <w:pPr>
        <w:widowControl/>
        <w:numPr>
          <w:ilvl w:val="3"/>
          <w:numId w:val="10"/>
        </w:numPr>
        <w:tabs>
          <w:tab w:val="left" w:pos="993"/>
        </w:tabs>
        <w:snapToGrid w:val="0"/>
        <w:spacing w:line="400" w:lineRule="exact"/>
        <w:jc w:val="left"/>
        <w:rPr>
          <w:rFonts w:hint="eastAsia" w:ascii="宋体" w:hAnsi="宋体" w:cs="宋体"/>
          <w:kern w:val="0"/>
          <w:sz w:val="24"/>
        </w:rPr>
      </w:pPr>
      <w:r>
        <w:rPr>
          <w:rFonts w:hint="eastAsia" w:ascii="宋体" w:hAnsi="宋体" w:cs="宋体"/>
          <w:kern w:val="0"/>
          <w:sz w:val="24"/>
        </w:rPr>
        <w:t>监狱和戒毒企业应提供由省级以上监狱管理局、戒毒管理局（含新疆生产建设兵团）出具的属于监狱企业的证明文件；</w:t>
      </w:r>
    </w:p>
    <w:p>
      <w:pPr>
        <w:widowControl/>
        <w:numPr>
          <w:ilvl w:val="3"/>
          <w:numId w:val="10"/>
        </w:numPr>
        <w:tabs>
          <w:tab w:val="left" w:pos="993"/>
        </w:tabs>
        <w:snapToGrid w:val="0"/>
        <w:spacing w:line="400" w:lineRule="exact"/>
        <w:jc w:val="left"/>
        <w:rPr>
          <w:rFonts w:hint="eastAsia" w:ascii="宋体" w:hAnsi="宋体" w:cs="宋体"/>
          <w:kern w:val="0"/>
          <w:sz w:val="24"/>
        </w:rPr>
      </w:pPr>
      <w:r>
        <w:rPr>
          <w:rFonts w:hint="eastAsia" w:ascii="宋体" w:hAnsi="宋体" w:cs="宋体"/>
          <w:bCs/>
          <w:kern w:val="0"/>
          <w:sz w:val="24"/>
        </w:rPr>
        <w:t>残疾人福利性单位应提供残疾人福利性单位声明函。</w:t>
      </w:r>
    </w:p>
    <w:p>
      <w:pPr>
        <w:wordWrap w:val="0"/>
        <w:snapToGrid w:val="0"/>
        <w:spacing w:line="440" w:lineRule="exact"/>
        <w:rPr>
          <w:rFonts w:ascii="宋体" w:hAnsi="宋体"/>
          <w:b/>
          <w:spacing w:val="20"/>
          <w:sz w:val="24"/>
        </w:rPr>
      </w:pPr>
      <w:r>
        <w:rPr>
          <w:rFonts w:hint="eastAsia" w:ascii="宋体" w:hAnsi="宋体"/>
          <w:b/>
          <w:spacing w:val="20"/>
          <w:sz w:val="24"/>
        </w:rPr>
        <w:t>4、电子投标文件制作及传输递交:</w:t>
      </w:r>
    </w:p>
    <w:p>
      <w:pPr>
        <w:tabs>
          <w:tab w:val="left" w:pos="420"/>
          <w:tab w:val="left" w:pos="1418"/>
        </w:tabs>
        <w:wordWrap w:val="0"/>
        <w:autoSpaceDE w:val="0"/>
        <w:autoSpaceDN w:val="0"/>
        <w:adjustRightInd w:val="0"/>
        <w:snapToGrid w:val="0"/>
        <w:spacing w:before="31" w:beforeLines="10" w:line="440" w:lineRule="exact"/>
        <w:textAlignment w:val="bottom"/>
        <w:rPr>
          <w:rFonts w:ascii="宋体" w:hAnsi="宋体"/>
          <w:sz w:val="24"/>
        </w:rPr>
      </w:pPr>
      <w:r>
        <w:rPr>
          <w:rFonts w:hint="eastAsia" w:ascii="宋体" w:hAnsi="宋体"/>
          <w:sz w:val="24"/>
        </w:rPr>
        <w:t>（1）电子投标文件，按“政府采购项目电子交易管理操作指南-供应商”（请投标供应商登录“政采云</w:t>
      </w:r>
      <w:r>
        <w:rPr>
          <w:rFonts w:ascii="宋体" w:hAnsi="宋体"/>
          <w:sz w:val="24"/>
        </w:rPr>
        <w:t>”</w:t>
      </w:r>
      <w:r>
        <w:rPr>
          <w:rFonts w:hint="eastAsia" w:ascii="宋体" w:hAnsi="宋体"/>
          <w:sz w:val="24"/>
        </w:rPr>
        <w:t>平台政府采购电子卖场后，点击链接https://service.zcygov.cn/#/knowledges/CW1EtGwBFdiHxlNd6I3m/6IMVAG0BFdiHxlNdQ8Na以获取最新操作指南）及本招标文件要求制作并递交。</w:t>
      </w:r>
    </w:p>
    <w:p>
      <w:pPr>
        <w:tabs>
          <w:tab w:val="left" w:pos="420"/>
          <w:tab w:val="left" w:pos="1418"/>
        </w:tabs>
        <w:wordWrap w:val="0"/>
        <w:autoSpaceDE w:val="0"/>
        <w:autoSpaceDN w:val="0"/>
        <w:adjustRightInd w:val="0"/>
        <w:snapToGrid w:val="0"/>
        <w:spacing w:before="31" w:beforeLines="10" w:line="440" w:lineRule="exact"/>
        <w:textAlignment w:val="bottom"/>
        <w:rPr>
          <w:rFonts w:ascii="宋体" w:hAnsi="宋体"/>
          <w:sz w:val="24"/>
        </w:rPr>
      </w:pPr>
      <w:r>
        <w:rPr>
          <w:rFonts w:hint="eastAsia" w:ascii="宋体" w:hAnsi="宋体"/>
          <w:sz w:val="24"/>
        </w:rPr>
        <w:t>（2）投标人应当在投标截止时间（2022年8月29日14时00分）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tabs>
          <w:tab w:val="left" w:pos="420"/>
          <w:tab w:val="left" w:pos="1418"/>
        </w:tabs>
        <w:wordWrap w:val="0"/>
        <w:autoSpaceDE w:val="0"/>
        <w:autoSpaceDN w:val="0"/>
        <w:adjustRightInd w:val="0"/>
        <w:snapToGrid w:val="0"/>
        <w:spacing w:before="31" w:beforeLines="10" w:line="440" w:lineRule="exact"/>
        <w:textAlignment w:val="bottom"/>
        <w:rPr>
          <w:rFonts w:ascii="宋体" w:hAnsi="宋体"/>
          <w:sz w:val="24"/>
        </w:rPr>
      </w:pPr>
      <w:r>
        <w:rPr>
          <w:rFonts w:hint="eastAsia" w:ascii="宋体" w:hAnsi="宋体"/>
          <w:sz w:val="24"/>
        </w:rPr>
        <w:t>（3）为确保采购项目顺利实施，避免因解密失败导致投标人投标无效，投标人可在投标截止时间2022年8月29日14:00时前将在政采云平台上最后生成的具备电子签章的备份电子标文件（以U盘为载体，投标人应当确保U盘能够打开运行并正常使用）装袋密封后邮寄或直接送达至浙江禾城工程管理有限责任公司，密封袋上需注明投标人名称、项目名称以及法定代表人或其委托代理人签名，密封袋上有接缝处均需加盖单位公章和法定代表人印章（送达地址：桐乡市茅盾东路182号，收件人：朱女士，联系电话：0573-88180989，如在开标过程中出现解密失败情况，以备份文件作为替代投标文件，如投标人未按照规定时间及要求提供有效备份文件，同时政采云上投标文件解密失败的，将导致投标无效。邮寄公司统一采用EMS或顺丰，快递费用由投标供应商承担，如投标供应商选择快递费到付，代理机构将拒签并退回。</w:t>
      </w:r>
    </w:p>
    <w:p>
      <w:pPr>
        <w:wordWrap w:val="0"/>
        <w:snapToGrid w:val="0"/>
        <w:spacing w:line="440" w:lineRule="exact"/>
        <w:rPr>
          <w:rFonts w:ascii="宋体" w:hAnsi="宋体"/>
          <w:b/>
          <w:spacing w:val="20"/>
          <w:sz w:val="24"/>
        </w:rPr>
      </w:pPr>
      <w:r>
        <w:rPr>
          <w:rFonts w:hint="eastAsia" w:ascii="宋体" w:hAnsi="宋体"/>
          <w:b/>
          <w:spacing w:val="20"/>
          <w:sz w:val="24"/>
        </w:rPr>
        <w:t>5、磋商有效期</w:t>
      </w:r>
    </w:p>
    <w:p>
      <w:pPr>
        <w:wordWrap w:val="0"/>
        <w:snapToGrid w:val="0"/>
        <w:spacing w:line="440" w:lineRule="exact"/>
        <w:ind w:firstLine="120" w:firstLineChars="50"/>
        <w:rPr>
          <w:rFonts w:ascii="宋体" w:hAnsi="宋体"/>
          <w:sz w:val="24"/>
        </w:rPr>
      </w:pPr>
      <w:r>
        <w:rPr>
          <w:rFonts w:hint="eastAsia" w:ascii="宋体" w:hAnsi="宋体"/>
          <w:sz w:val="24"/>
        </w:rPr>
        <w:t>（1）磋商响应文件从磋商之日起，有效期为90天。</w:t>
      </w:r>
    </w:p>
    <w:p>
      <w:pPr>
        <w:wordWrap w:val="0"/>
        <w:snapToGrid w:val="0"/>
        <w:spacing w:line="440" w:lineRule="exact"/>
        <w:ind w:firstLine="120" w:firstLineChars="50"/>
        <w:rPr>
          <w:rFonts w:ascii="宋体" w:hAnsi="宋体"/>
          <w:sz w:val="24"/>
        </w:rPr>
      </w:pPr>
      <w:r>
        <w:rPr>
          <w:rFonts w:hint="eastAsia" w:ascii="宋体" w:hAnsi="宋体"/>
          <w:sz w:val="24"/>
        </w:rPr>
        <w:t>（2）特殊情况下，磋商方可与响应方协商延长磋商响应文件的有效期并书面确认。</w:t>
      </w:r>
    </w:p>
    <w:p>
      <w:pPr>
        <w:wordWrap w:val="0"/>
        <w:snapToGrid w:val="0"/>
        <w:spacing w:line="440" w:lineRule="exact"/>
        <w:ind w:firstLine="120" w:firstLineChars="50"/>
        <w:rPr>
          <w:rFonts w:ascii="宋体" w:hAnsi="宋体"/>
          <w:b/>
          <w:spacing w:val="20"/>
          <w:sz w:val="24"/>
        </w:rPr>
      </w:pPr>
      <w:r>
        <w:rPr>
          <w:rFonts w:hint="eastAsia" w:ascii="宋体" w:hAnsi="宋体"/>
          <w:sz w:val="24"/>
        </w:rPr>
        <w:t>（3）响应方可拒绝接受延期要求，同意延长有效期的响应方不能修改磋商响应文件。</w:t>
      </w:r>
    </w:p>
    <w:p>
      <w:pPr>
        <w:wordWrap w:val="0"/>
        <w:snapToGrid w:val="0"/>
        <w:spacing w:line="440" w:lineRule="exact"/>
        <w:rPr>
          <w:rFonts w:hint="eastAsia" w:ascii="宋体" w:hAnsi="宋体"/>
          <w:b/>
          <w:sz w:val="24"/>
        </w:rPr>
      </w:pPr>
      <w:r>
        <w:rPr>
          <w:rFonts w:hint="eastAsia" w:ascii="宋体" w:hAnsi="宋体"/>
          <w:b/>
          <w:sz w:val="24"/>
        </w:rPr>
        <w:t>6、中标单位纸质投标文件递交要求：</w:t>
      </w:r>
    </w:p>
    <w:p>
      <w:pPr>
        <w:wordWrap w:val="0"/>
        <w:snapToGrid w:val="0"/>
        <w:spacing w:line="440" w:lineRule="exact"/>
        <w:ind w:firstLine="472" w:firstLineChars="196"/>
        <w:rPr>
          <w:rFonts w:hint="eastAsia" w:ascii="宋体" w:hAnsi="宋体"/>
          <w:b/>
          <w:sz w:val="24"/>
        </w:rPr>
      </w:pPr>
      <w:r>
        <w:rPr>
          <w:rFonts w:hint="eastAsia" w:ascii="宋体" w:hAnsi="宋体"/>
          <w:b/>
          <w:sz w:val="24"/>
        </w:rPr>
        <w:t>中标单位需在中标通知书发出之日起七个工作日内，邮寄送达招标代理公司与电子投标文件内容一致的纸质投标文件一正两副，邮寄公司统一采用EMS或顺丰，快递费用由中标供应商承担。邮寄地址为（浙江禾城工程管理有限责任公司（桐乡市茅盾东路182号），朱女士，0573-88180989，15990317189）</w:t>
      </w:r>
    </w:p>
    <w:p>
      <w:pPr>
        <w:wordWrap w:val="0"/>
        <w:snapToGrid w:val="0"/>
        <w:spacing w:line="440" w:lineRule="exact"/>
        <w:rPr>
          <w:rFonts w:hint="eastAsia" w:ascii="宋体" w:hAnsi="宋体"/>
          <w:b/>
          <w:sz w:val="24"/>
        </w:rPr>
      </w:pPr>
      <w:r>
        <w:rPr>
          <w:rFonts w:hint="eastAsia" w:ascii="宋体" w:hAnsi="宋体"/>
          <w:b/>
          <w:sz w:val="24"/>
        </w:rPr>
        <w:t>7、招标代理费</w:t>
      </w:r>
    </w:p>
    <w:p>
      <w:pPr>
        <w:spacing w:line="440" w:lineRule="exact"/>
        <w:ind w:left="424" w:leftChars="202"/>
        <w:rPr>
          <w:rFonts w:hint="eastAsia" w:ascii="宋体" w:hAnsi="宋体"/>
          <w:b/>
          <w:sz w:val="24"/>
        </w:rPr>
      </w:pPr>
      <w:r>
        <w:rPr>
          <w:rFonts w:hint="eastAsia" w:ascii="宋体" w:hAnsi="宋体"/>
          <w:b/>
          <w:sz w:val="24"/>
        </w:rPr>
        <w:t>招标代理费: 分包1招标代理费用经商定为¥6555元。分包2招标代理费用经商定为¥4000元。由中标单位在领取中标通知书时直接支付给招标代理单位。</w:t>
      </w:r>
    </w:p>
    <w:p>
      <w:pPr>
        <w:spacing w:line="440" w:lineRule="exact"/>
        <w:ind w:left="424" w:leftChars="202"/>
        <w:rPr>
          <w:rFonts w:hint="eastAsia" w:ascii="宋体" w:hAnsi="宋体"/>
          <w:sz w:val="24"/>
        </w:rPr>
      </w:pPr>
      <w:r>
        <w:rPr>
          <w:rFonts w:ascii="宋体" w:hAnsi="宋体"/>
          <w:sz w:val="24"/>
        </w:rPr>
        <w:t>账户名称：</w:t>
      </w:r>
      <w:r>
        <w:rPr>
          <w:rFonts w:hint="eastAsia" w:ascii="宋体" w:hAnsi="宋体"/>
          <w:sz w:val="24"/>
        </w:rPr>
        <w:t>浙江禾城工程管理有限责任公司桐乡分公司</w:t>
      </w:r>
    </w:p>
    <w:p>
      <w:pPr>
        <w:spacing w:line="440" w:lineRule="exact"/>
        <w:ind w:left="424" w:leftChars="202"/>
        <w:rPr>
          <w:rFonts w:hint="eastAsia" w:ascii="宋体" w:hAnsi="宋体"/>
          <w:sz w:val="24"/>
        </w:rPr>
      </w:pPr>
      <w:r>
        <w:rPr>
          <w:rFonts w:hint="eastAsia" w:ascii="宋体" w:hAnsi="宋体" w:cs="宋体"/>
          <w:kern w:val="0"/>
          <w:sz w:val="24"/>
        </w:rPr>
        <w:t>开户银行：</w:t>
      </w:r>
      <w:r>
        <w:rPr>
          <w:rFonts w:hint="eastAsia" w:ascii="宋体" w:hAnsi="宋体"/>
          <w:sz w:val="24"/>
        </w:rPr>
        <w:t>建行桐乡城西支行</w:t>
      </w:r>
    </w:p>
    <w:p>
      <w:pPr>
        <w:spacing w:line="440" w:lineRule="exact"/>
        <w:ind w:left="424" w:leftChars="202"/>
        <w:rPr>
          <w:rFonts w:hint="eastAsia" w:ascii="宋体" w:hAnsi="宋体" w:cs="宋体"/>
          <w:kern w:val="0"/>
          <w:sz w:val="24"/>
        </w:rPr>
      </w:pPr>
      <w:r>
        <w:rPr>
          <w:rFonts w:hint="eastAsia" w:ascii="宋体" w:hAnsi="宋体"/>
          <w:sz w:val="24"/>
        </w:rPr>
        <w:t>账    号：</w:t>
      </w:r>
      <w:r>
        <w:rPr>
          <w:rFonts w:hint="eastAsia" w:ascii="宋体" w:hAnsi="宋体" w:cs="宋体"/>
          <w:kern w:val="0"/>
          <w:sz w:val="24"/>
        </w:rPr>
        <w:t>33050163724000000023</w:t>
      </w:r>
    </w:p>
    <w:p>
      <w:pPr>
        <w:wordWrap w:val="0"/>
        <w:snapToGrid w:val="0"/>
        <w:spacing w:line="440" w:lineRule="exact"/>
        <w:ind w:left="424" w:leftChars="202"/>
        <w:rPr>
          <w:rFonts w:hint="eastAsia" w:ascii="宋体" w:hAnsi="宋体"/>
          <w:b/>
          <w:spacing w:val="20"/>
          <w:sz w:val="24"/>
        </w:rPr>
      </w:pPr>
      <w:r>
        <w:rPr>
          <w:rFonts w:hint="eastAsia" w:ascii="宋体" w:hAnsi="宋体"/>
          <w:sz w:val="24"/>
        </w:rPr>
        <w:t>联系人及电话：朱女士，0573-88180989,15990317189</w:t>
      </w:r>
    </w:p>
    <w:p>
      <w:pPr>
        <w:wordWrap w:val="0"/>
        <w:snapToGrid w:val="0"/>
        <w:spacing w:line="440" w:lineRule="exact"/>
        <w:rPr>
          <w:rFonts w:hint="eastAsia" w:ascii="宋体" w:hAnsi="宋体"/>
          <w:b/>
          <w:spacing w:val="20"/>
          <w:sz w:val="24"/>
        </w:rPr>
      </w:pPr>
    </w:p>
    <w:p>
      <w:pPr>
        <w:wordWrap w:val="0"/>
        <w:snapToGrid w:val="0"/>
        <w:spacing w:line="440" w:lineRule="exact"/>
        <w:rPr>
          <w:rFonts w:hint="eastAsia" w:ascii="宋体" w:hAnsi="宋体"/>
          <w:b/>
          <w:spacing w:val="20"/>
          <w:sz w:val="24"/>
        </w:rPr>
      </w:pPr>
    </w:p>
    <w:p>
      <w:pPr>
        <w:wordWrap w:val="0"/>
        <w:snapToGrid w:val="0"/>
        <w:spacing w:line="440" w:lineRule="exact"/>
        <w:rPr>
          <w:rFonts w:hint="eastAsia" w:ascii="宋体" w:hAnsi="宋体"/>
          <w:b/>
          <w:spacing w:val="20"/>
          <w:sz w:val="24"/>
        </w:rPr>
      </w:pPr>
    </w:p>
    <w:p>
      <w:pPr>
        <w:wordWrap w:val="0"/>
        <w:snapToGrid w:val="0"/>
        <w:spacing w:line="440" w:lineRule="exact"/>
        <w:rPr>
          <w:rFonts w:hint="eastAsia" w:ascii="宋体" w:hAnsi="宋体"/>
          <w:b/>
          <w:spacing w:val="20"/>
          <w:sz w:val="24"/>
        </w:rPr>
      </w:pPr>
    </w:p>
    <w:p>
      <w:pPr>
        <w:wordWrap w:val="0"/>
        <w:snapToGrid w:val="0"/>
        <w:spacing w:line="440" w:lineRule="exact"/>
        <w:rPr>
          <w:rFonts w:hint="eastAsia" w:ascii="宋体" w:hAnsi="宋体"/>
          <w:b/>
          <w:spacing w:val="20"/>
          <w:sz w:val="24"/>
        </w:rPr>
      </w:pPr>
    </w:p>
    <w:p>
      <w:pPr>
        <w:wordWrap w:val="0"/>
        <w:snapToGrid w:val="0"/>
        <w:spacing w:line="440" w:lineRule="exact"/>
        <w:rPr>
          <w:rFonts w:hint="eastAsia" w:ascii="宋体" w:hAnsi="宋体"/>
          <w:b/>
          <w:spacing w:val="20"/>
          <w:sz w:val="24"/>
        </w:rPr>
      </w:pPr>
    </w:p>
    <w:p>
      <w:pPr>
        <w:wordWrap w:val="0"/>
        <w:snapToGrid w:val="0"/>
        <w:spacing w:line="440" w:lineRule="exact"/>
        <w:rPr>
          <w:rFonts w:hint="eastAsia" w:ascii="宋体" w:hAnsi="宋体"/>
          <w:b/>
          <w:spacing w:val="20"/>
          <w:sz w:val="24"/>
        </w:rPr>
      </w:pPr>
    </w:p>
    <w:p>
      <w:pPr>
        <w:wordWrap w:val="0"/>
        <w:spacing w:line="480" w:lineRule="exact"/>
        <w:jc w:val="center"/>
        <w:rPr>
          <w:rFonts w:hint="eastAsia" w:ascii="Cambria" w:hAnsi="Cambria"/>
          <w:b/>
          <w:bCs/>
          <w:sz w:val="32"/>
          <w:szCs w:val="32"/>
        </w:rPr>
      </w:pPr>
      <w:bookmarkStart w:id="7" w:name="_Toc111809305"/>
      <w:r>
        <w:rPr>
          <w:rStyle w:val="53"/>
          <w:rFonts w:hint="eastAsia"/>
          <w:sz w:val="36"/>
          <w:szCs w:val="36"/>
        </w:rPr>
        <w:t>第三章  招标项目需求</w:t>
      </w:r>
      <w:bookmarkEnd w:id="7"/>
      <w:r>
        <w:rPr>
          <w:rFonts w:hint="eastAsia"/>
        </w:rPr>
        <w:t xml:space="preserve"> </w:t>
      </w:r>
    </w:p>
    <w:p>
      <w:pPr>
        <w:keepNext/>
        <w:spacing w:line="400" w:lineRule="exact"/>
        <w:outlineLvl w:val="1"/>
        <w:rPr>
          <w:rFonts w:hint="eastAsia" w:ascii="宋体" w:hAnsi="宋体"/>
          <w:b/>
          <w:bCs/>
          <w:iCs/>
          <w:sz w:val="28"/>
        </w:rPr>
      </w:pPr>
      <w:bookmarkStart w:id="8" w:name="_Toc111809306"/>
      <w:bookmarkStart w:id="9" w:name="_Toc80112190"/>
      <w:bookmarkStart w:id="10" w:name="_Toc71364579"/>
      <w:bookmarkStart w:id="11" w:name="_Toc80112191"/>
      <w:bookmarkStart w:id="12" w:name="_Toc3379555"/>
      <w:bookmarkStart w:id="13" w:name="_Toc492804048"/>
      <w:bookmarkStart w:id="14" w:name="_Toc2575078"/>
      <w:bookmarkStart w:id="15" w:name="_Toc19176521"/>
      <w:r>
        <w:rPr>
          <w:rFonts w:hint="eastAsia" w:ascii="宋体" w:hAnsi="宋体"/>
          <w:b/>
          <w:bCs/>
          <w:iCs/>
          <w:sz w:val="28"/>
        </w:rPr>
        <w:t>分包1：</w:t>
      </w:r>
      <w:bookmarkEnd w:id="8"/>
      <w:bookmarkEnd w:id="9"/>
    </w:p>
    <w:p>
      <w:pPr>
        <w:keepNext/>
        <w:adjustRightInd w:val="0"/>
        <w:snapToGrid w:val="0"/>
        <w:spacing w:line="400" w:lineRule="exact"/>
        <w:ind w:left="576" w:hanging="576"/>
        <w:textAlignment w:val="baseline"/>
        <w:outlineLvl w:val="1"/>
        <w:rPr>
          <w:rFonts w:hint="eastAsia" w:ascii="宋体" w:hAnsi="宋体"/>
          <w:b/>
          <w:kern w:val="0"/>
          <w:sz w:val="24"/>
        </w:rPr>
      </w:pPr>
      <w:bookmarkStart w:id="16" w:name="_Toc111809307"/>
      <w:r>
        <w:rPr>
          <w:rFonts w:hint="eastAsia" w:ascii="宋体" w:hAnsi="宋体"/>
          <w:b/>
          <w:kern w:val="0"/>
          <w:sz w:val="24"/>
        </w:rPr>
        <w:t>一、维护设备主要清单</w:t>
      </w:r>
      <w:bookmarkEnd w:id="10"/>
      <w:bookmarkEnd w:id="11"/>
      <w:bookmarkEnd w:id="16"/>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586"/>
        <w:gridCol w:w="1662"/>
        <w:gridCol w:w="5168"/>
        <w:gridCol w:w="625"/>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ind w:left="-88" w:leftChars="-42" w:right="-107" w:rightChars="-51"/>
              <w:jc w:val="left"/>
              <w:rPr>
                <w:rFonts w:ascii="宋体" w:hAnsi="宋体" w:cs="宋体"/>
                <w:color w:val="000000"/>
                <w:kern w:val="0"/>
                <w:sz w:val="24"/>
              </w:rPr>
            </w:pPr>
            <w:bookmarkStart w:id="17" w:name="_Toc71364580"/>
            <w:r>
              <w:rPr>
                <w:rFonts w:hint="eastAsia" w:ascii="宋体" w:hAnsi="宋体" w:cs="宋体"/>
                <w:color w:val="000000"/>
                <w:kern w:val="0"/>
                <w:sz w:val="24"/>
              </w:rPr>
              <w:t>序号</w:t>
            </w:r>
          </w:p>
        </w:tc>
        <w:tc>
          <w:tcPr>
            <w:tcW w:w="1662" w:type="dxa"/>
            <w:shd w:val="clear" w:color="auto" w:fill="FFFFFF"/>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项目名称</w:t>
            </w:r>
          </w:p>
        </w:tc>
        <w:tc>
          <w:tcPr>
            <w:tcW w:w="5168" w:type="dxa"/>
            <w:shd w:val="clear" w:color="auto" w:fill="FFFFFF"/>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技术参数</w:t>
            </w:r>
          </w:p>
        </w:tc>
        <w:tc>
          <w:tcPr>
            <w:tcW w:w="625" w:type="dxa"/>
            <w:shd w:val="clear" w:color="auto" w:fill="FFFFFF"/>
            <w:noWrap w:val="0"/>
            <w:vAlign w:val="center"/>
          </w:tcPr>
          <w:p>
            <w:pPr>
              <w:widowControl/>
              <w:spacing w:line="360" w:lineRule="exact"/>
              <w:ind w:left="-139" w:leftChars="-66" w:right="-160" w:rightChars="-76"/>
              <w:jc w:val="center"/>
              <w:rPr>
                <w:rFonts w:ascii="宋体" w:hAnsi="宋体" w:cs="宋体"/>
                <w:color w:val="000000"/>
                <w:kern w:val="0"/>
                <w:sz w:val="24"/>
              </w:rPr>
            </w:pPr>
            <w:r>
              <w:rPr>
                <w:rFonts w:hint="eastAsia" w:ascii="宋体" w:hAnsi="宋体" w:cs="宋体"/>
                <w:color w:val="000000"/>
                <w:kern w:val="0"/>
                <w:sz w:val="24"/>
              </w:rPr>
              <w:t>单位</w:t>
            </w:r>
          </w:p>
        </w:tc>
        <w:tc>
          <w:tcPr>
            <w:tcW w:w="661" w:type="dxa"/>
            <w:shd w:val="clear" w:color="auto" w:fill="FFFFFF"/>
            <w:noWrap w:val="0"/>
            <w:vAlign w:val="center"/>
          </w:tcPr>
          <w:p>
            <w:pPr>
              <w:widowControl/>
              <w:spacing w:line="360" w:lineRule="exact"/>
              <w:ind w:left="-139" w:leftChars="-66" w:right="-160" w:rightChars="-76"/>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梧桐基站（4载波）维护</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维护设备含：数字信道机4台、天馈系统1套、数字集群控制器1台、数字信道控制器2台、双路信道机电源1台、合路器1台、分路器1台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2</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濮院基站</w:t>
            </w:r>
          </w:p>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（3载波）</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数字信道机3台、天馈系统1套、数字集群控制器1台、数字信道控制器2台、双路信道机电源1台、合路器1台、分路器1台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3</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乌镇备用基站（4载波）</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数字信道机4台、天馈系统1套、数字集群控制器1台、数字信道控制器2台、双路信道机电源1台、合路器1台、分路器1台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4</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乌镇同播基站（16载波）</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数字信道机16台、数字集群控制器2台、合路器4台，分路器4台，双工器4台，天馈系统4套</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5</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龙翔基站</w:t>
            </w:r>
          </w:p>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（4载波）</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数字信道机4台、天馈系统1套、数字集群控制器1台、数字信道控制器2台、双路信道机电源1台、合路器1台、分路器1台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6</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崇福基站</w:t>
            </w:r>
          </w:p>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（3载波）</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数字信道机3台、天馈系统1套、数字集群控制器1台、数字信道控制器2台、双路信道机电源1台、合路器1台、分路器1台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7</w:t>
            </w:r>
          </w:p>
        </w:tc>
        <w:tc>
          <w:tcPr>
            <w:tcW w:w="1662"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洲泉基站</w:t>
            </w:r>
          </w:p>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（2载波）</w:t>
            </w:r>
          </w:p>
        </w:tc>
        <w:tc>
          <w:tcPr>
            <w:tcW w:w="5168" w:type="dxa"/>
            <w:shd w:val="clear" w:color="auto" w:fill="FFFFFF"/>
            <w:noWrap w:val="0"/>
            <w:vAlign w:val="center"/>
          </w:tcPr>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数字信道机2台、天馈系统1套、数字集群控制器1台、数字信道控制器1台、双路信道机电源1台、合路器1台、分路器1台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wBefore w:w="0" w:type="dxa"/>
          <w:wAfter w:w="0" w:type="dxa"/>
          <w:jc w:val="center"/>
        </w:trPr>
        <w:tc>
          <w:tcPr>
            <w:tcW w:w="586"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8</w:t>
            </w:r>
          </w:p>
        </w:tc>
        <w:tc>
          <w:tcPr>
            <w:tcW w:w="1662" w:type="dxa"/>
            <w:shd w:val="clear" w:color="auto" w:fill="FFFFFF"/>
            <w:noWrap w:val="0"/>
            <w:vAlign w:val="center"/>
          </w:tcPr>
          <w:p>
            <w:pPr>
              <w:widowControl/>
              <w:tabs>
                <w:tab w:val="left" w:pos="520"/>
              </w:tabs>
              <w:spacing w:line="360" w:lineRule="exact"/>
              <w:jc w:val="left"/>
              <w:rPr>
                <w:rFonts w:hint="eastAsia" w:ascii="宋体" w:hAnsi="宋体" w:cs="宋体"/>
                <w:color w:val="000000"/>
                <w:kern w:val="0"/>
                <w:sz w:val="24"/>
              </w:rPr>
            </w:pPr>
            <w:r>
              <w:rPr>
                <w:rFonts w:hint="eastAsia" w:ascii="宋体" w:hAnsi="宋体" w:cs="宋体"/>
                <w:color w:val="000000"/>
                <w:kern w:val="0"/>
                <w:sz w:val="24"/>
              </w:rPr>
              <w:t>屠甸汇丰基站维护（4载波）</w:t>
            </w:r>
          </w:p>
        </w:tc>
        <w:tc>
          <w:tcPr>
            <w:tcW w:w="5168" w:type="dxa"/>
            <w:shd w:val="clear" w:color="auto" w:fill="FFFFFF"/>
            <w:noWrap w:val="0"/>
            <w:vAlign w:val="center"/>
          </w:tcPr>
          <w:p>
            <w:pPr>
              <w:widowControl/>
              <w:tabs>
                <w:tab w:val="left" w:pos="1603"/>
              </w:tabs>
              <w:spacing w:line="360" w:lineRule="exact"/>
              <w:jc w:val="left"/>
              <w:rPr>
                <w:rFonts w:hint="eastAsia" w:ascii="宋体" w:hAnsi="宋体" w:cs="宋体"/>
                <w:color w:val="000000"/>
                <w:kern w:val="0"/>
                <w:sz w:val="24"/>
              </w:rPr>
            </w:pPr>
            <w:r>
              <w:rPr>
                <w:rFonts w:hint="eastAsia" w:ascii="宋体" w:hAnsi="宋体" w:cs="宋体"/>
                <w:color w:val="000000"/>
                <w:kern w:val="0"/>
                <w:sz w:val="24"/>
              </w:rPr>
              <w:t>数字信道机4台、天馈系统1套、数字集群控制器1台、数字信道控制器2台、双路信道机电源1台、合路器1台、分路器1台</w:t>
            </w:r>
          </w:p>
        </w:tc>
        <w:tc>
          <w:tcPr>
            <w:tcW w:w="625"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661" w:type="dxa"/>
            <w:shd w:val="clear" w:color="auto" w:fill="FFFFFF"/>
            <w:noWrap w:val="0"/>
            <w:vAlign w:val="center"/>
          </w:tcPr>
          <w:p>
            <w:pPr>
              <w:widowControl/>
              <w:spacing w:line="360" w:lineRule="exact"/>
              <w:jc w:val="center"/>
              <w:rPr>
                <w:rFonts w:hint="eastAsia" w:ascii="宋体" w:hAnsi="宋体" w:cs="宋体"/>
                <w:color w:val="000000"/>
                <w:kern w:val="0"/>
                <w:sz w:val="24"/>
              </w:rPr>
            </w:pPr>
            <w:r>
              <w:rPr>
                <w:rFonts w:hint="eastAsia" w:ascii="宋体" w:hAnsi="宋体" w:cs="宋体"/>
                <w:color w:val="000000"/>
                <w:kern w:val="0"/>
                <w:sz w:val="24"/>
              </w:rPr>
              <w:t>1</w:t>
            </w:r>
          </w:p>
        </w:tc>
      </w:tr>
    </w:tbl>
    <w:p>
      <w:pPr>
        <w:tabs>
          <w:tab w:val="left" w:pos="420"/>
        </w:tabs>
        <w:adjustRightInd w:val="0"/>
        <w:snapToGrid w:val="0"/>
        <w:spacing w:line="440" w:lineRule="exact"/>
        <w:ind w:firstLine="472" w:firstLineChars="196"/>
        <w:rPr>
          <w:rFonts w:hint="eastAsia" w:ascii="宋体" w:hAnsi="宋体" w:cs="仿宋"/>
          <w:b/>
          <w:bCs/>
          <w:sz w:val="24"/>
        </w:rPr>
      </w:pPr>
      <w:r>
        <w:rPr>
          <w:rFonts w:hint="eastAsia" w:ascii="宋体" w:hAnsi="宋体" w:cs="仿宋"/>
          <w:b/>
          <w:bCs/>
          <w:sz w:val="24"/>
          <w:lang w:val="zh-CN"/>
        </w:rPr>
        <w:t>因本项目为维护项目，投标人需提供原有设备厂家出具的授权书及质保函，并要求本次提供的备品备件能够确保与原有设备无缝对接。</w:t>
      </w:r>
    </w:p>
    <w:p>
      <w:pPr>
        <w:keepNext/>
        <w:adjustRightInd w:val="0"/>
        <w:snapToGrid w:val="0"/>
        <w:spacing w:line="440" w:lineRule="exact"/>
        <w:ind w:left="576" w:hanging="576"/>
        <w:textAlignment w:val="baseline"/>
        <w:outlineLvl w:val="1"/>
        <w:rPr>
          <w:rFonts w:hint="eastAsia" w:ascii="宋体" w:hAnsi="宋体"/>
          <w:b/>
          <w:kern w:val="0"/>
          <w:sz w:val="24"/>
        </w:rPr>
      </w:pPr>
      <w:bookmarkStart w:id="18" w:name="_Toc80112192"/>
      <w:bookmarkStart w:id="19" w:name="_Toc111809308"/>
      <w:r>
        <w:rPr>
          <w:rFonts w:hint="eastAsia" w:ascii="宋体" w:hAnsi="宋体"/>
          <w:b/>
          <w:kern w:val="0"/>
          <w:sz w:val="24"/>
        </w:rPr>
        <w:t>二、维护要求</w:t>
      </w:r>
      <w:bookmarkEnd w:id="17"/>
      <w:bookmarkEnd w:id="18"/>
      <w:bookmarkEnd w:id="19"/>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1、维护单位在合同期内，必须对各个PDT数字集群基站进行每月一次例行检测工作。在各类小长假前对乌镇、濮院、高桥等重点区域开展巡检检测。检测主要内容包括但不限于：各项指标进行检测、调整、保养、清洁、遇到故障的检修等。</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2、维护单位需制作季度检测手册，内容较为详细地对各检测PDT数字集群基站的检测指标和现场情况进行记录，并采用现场手写方式。手册一式两份，每季度结束后提供给甲方。</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3、合同期内，使用单位若有对原PDT数字集群基站架设位置感到不满，服务公司须派工程人员进行协助选址及架设调整，并提供相应地技术咨询服务。</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4、维护公司必须配备经验丰富的系统维护人员对PDT数字集群基站设备进行维护和必要地调整，服务主要包括：系统调整优化；故障检测定位；故障排除恢复；软件版本升级；部件更换维修；技术保障工作。保证应有的通讯效果，服务内容具体如下：</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（1）系统维护备件（包括：整机、模块、部件、配件、线缆及随机软件等）必须为原厂商的产品，而且是全新的，不得使用任何非原装、旧的产品。</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（2）更新维护设备的备件必须提供一年的保修期（人为原因及不可抗力造成的故障除外）。</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3）提供“1年7×24小时保修维护服务，包含7×24小时的电话技术支持和现场技术支持”级别的服务；在收到用户的报障后，在30分钟内做出响应。确定远程无法解决情况下，承诺在安排高级别认证工程师4小时内赶到现场提供维修服务。一般故障保证在到达现场后4小时内处理，并清除。</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（4）维保期内，对于发生故障的设备，除现场备件外，4小时内从备件库提供备品备件到场用于问题定位和系统恢复。</w:t>
      </w:r>
    </w:p>
    <w:p>
      <w:pPr>
        <w:tabs>
          <w:tab w:val="left" w:pos="420"/>
        </w:tabs>
        <w:adjustRightInd w:val="0"/>
        <w:snapToGrid w:val="0"/>
        <w:spacing w:line="440" w:lineRule="exact"/>
        <w:ind w:firstLine="470" w:firstLineChars="196"/>
        <w:rPr>
          <w:rFonts w:ascii="宋体" w:hAnsi="宋体" w:cs="仿宋"/>
          <w:sz w:val="24"/>
        </w:rPr>
      </w:pPr>
      <w:r>
        <w:rPr>
          <w:rFonts w:hint="eastAsia" w:ascii="宋体" w:hAnsi="宋体" w:cs="仿宋"/>
          <w:sz w:val="24"/>
        </w:rPr>
        <w:t>（5）▲投标人需提供全新数字信道机一台（与现使用设备可无缝对接）、四合一合路器一台、一分八分路器一台、双工器一台、天馈系统一套，放在甲方仓库中，在系统发生故障的时候可以及时得到备件保障，投标人需对此提供承诺书。</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（6）维保期内，提供所有基站中所有设备的检测服务以及天馈系统更换服务，另免费更换甲方2套天馈系统，机房环境检测整理服务、设备的清洁服务每季度一次。</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（7）维保期内，提供甲方单位所有对讲机的写频服务。</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（8）维保期内，提供甲方单位管辖区域内所有基站信号覆盖范围的测试，盲区的鉴定，终端设备语音通话质量的测试。</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（9）供系统培训服务和终端使用操作服务，每年不低于2次</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（10）对甲方单位所有基站系统软件的升级服务。</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（11）提供便携式终端1台，对基站设备进行管理维护，便携式终端品牌不限，但应不低于以下参数性能：14.2英寸、11代酷睿i7、内存 16G、硬盘 512G、 电池容量</w:t>
      </w:r>
      <w:r>
        <w:rPr>
          <w:rFonts w:ascii="宋体" w:hAnsi="宋体" w:cs="仿宋"/>
          <w:sz w:val="24"/>
        </w:rPr>
        <w:t>60Wh</w:t>
      </w:r>
      <w:r>
        <w:rPr>
          <w:rFonts w:hint="eastAsia" w:ascii="宋体" w:hAnsi="宋体" w:cs="仿宋"/>
          <w:sz w:val="24"/>
        </w:rPr>
        <w:t>、</w:t>
      </w:r>
      <w:r>
        <w:rPr>
          <w:rFonts w:ascii="宋体" w:hAnsi="宋体" w:cs="仿宋"/>
          <w:sz w:val="24"/>
        </w:rPr>
        <w:t xml:space="preserve"> 续航时间&gt;8小时</w:t>
      </w:r>
      <w:r>
        <w:rPr>
          <w:rFonts w:hint="eastAsia" w:ascii="宋体" w:hAnsi="宋体" w:cs="仿宋"/>
          <w:sz w:val="24"/>
        </w:rPr>
        <w:t>、</w:t>
      </w:r>
      <w:r>
        <w:rPr>
          <w:rFonts w:ascii="宋体" w:hAnsi="宋体" w:cs="仿宋"/>
          <w:sz w:val="24"/>
        </w:rPr>
        <w:t xml:space="preserve"> 多点触控</w:t>
      </w:r>
      <w:r>
        <w:rPr>
          <w:rFonts w:hint="eastAsia" w:ascii="宋体" w:hAnsi="宋体" w:cs="仿宋"/>
          <w:sz w:val="24"/>
        </w:rPr>
        <w:t>、屏幕分辨率</w:t>
      </w:r>
      <w:r>
        <w:rPr>
          <w:rFonts w:ascii="宋体" w:hAnsi="宋体" w:cs="仿宋"/>
          <w:sz w:val="24"/>
        </w:rPr>
        <w:t>3120*2080</w:t>
      </w:r>
      <w:r>
        <w:rPr>
          <w:rFonts w:hint="eastAsia" w:ascii="宋体" w:hAnsi="宋体" w:cs="仿宋"/>
          <w:sz w:val="24"/>
        </w:rPr>
        <w:t>。</w:t>
      </w:r>
    </w:p>
    <w:p>
      <w:pPr>
        <w:keepNext/>
        <w:adjustRightInd w:val="0"/>
        <w:snapToGrid w:val="0"/>
        <w:spacing w:line="440" w:lineRule="exact"/>
        <w:ind w:left="576" w:hanging="576"/>
        <w:textAlignment w:val="baseline"/>
        <w:outlineLvl w:val="1"/>
        <w:rPr>
          <w:rFonts w:hint="eastAsia" w:ascii="宋体" w:hAnsi="宋体"/>
          <w:b/>
          <w:kern w:val="0"/>
          <w:sz w:val="24"/>
        </w:rPr>
      </w:pPr>
      <w:bookmarkStart w:id="20" w:name="_Toc111809309"/>
      <w:bookmarkStart w:id="21" w:name="_Toc80112193"/>
      <w:r>
        <w:rPr>
          <w:rFonts w:hint="eastAsia" w:ascii="宋体" w:hAnsi="宋体"/>
          <w:b/>
          <w:kern w:val="0"/>
          <w:sz w:val="24"/>
        </w:rPr>
        <w:t>三、其他保障要求</w:t>
      </w:r>
      <w:bookmarkEnd w:id="20"/>
      <w:bookmarkEnd w:id="21"/>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由于桐乡地理位置特殊，各类安保工作频繁，在举办世界互联网大会会议等各类安保期间，主动派遣技术工程师到达现场24小时保障，在甲方的指挥下，开展各类工作。主要内容为：现场指挥部及部分重点区域无线通信设备的覆盖，在放置的同时，测试信号的强弱，通话对讲测试后，话音清楚，保障现场指挥部的无线通讯设备正常使用。</w:t>
      </w:r>
    </w:p>
    <w:p>
      <w:pPr>
        <w:tabs>
          <w:tab w:val="left" w:pos="420"/>
        </w:tabs>
        <w:adjustRightInd w:val="0"/>
        <w:snapToGrid w:val="0"/>
        <w:spacing w:line="440" w:lineRule="exact"/>
        <w:ind w:firstLine="470" w:firstLineChars="196"/>
        <w:rPr>
          <w:rFonts w:hint="eastAsia" w:ascii="宋体" w:hAnsi="宋体" w:cs="仿宋"/>
          <w:sz w:val="24"/>
        </w:rPr>
      </w:pPr>
      <w:r>
        <w:rPr>
          <w:rFonts w:hint="eastAsia" w:ascii="宋体" w:hAnsi="宋体" w:cs="仿宋"/>
          <w:sz w:val="24"/>
        </w:rPr>
        <w:t>维保期间，各基站的数字信道机、数字集群控制器、数字信道控制器出现正常损坏需进行免费维修，各基站内双路信道电源、玻璃钢全向天线、合路器、分路器等设备出现故障需直接更新相关设备，不能通过维修处理。</w:t>
      </w:r>
    </w:p>
    <w:p>
      <w:pPr>
        <w:tabs>
          <w:tab w:val="left" w:pos="312"/>
        </w:tabs>
        <w:spacing w:line="440" w:lineRule="exact"/>
        <w:jc w:val="left"/>
        <w:rPr>
          <w:rFonts w:ascii="宋体" w:hAnsi="宋体"/>
          <w:b/>
          <w:sz w:val="24"/>
        </w:rPr>
      </w:pPr>
      <w:r>
        <w:rPr>
          <w:rFonts w:hint="eastAsia" w:ascii="宋体" w:hAnsi="宋体"/>
          <w:b/>
          <w:sz w:val="24"/>
        </w:rPr>
        <w:t>四、服务期限</w:t>
      </w:r>
    </w:p>
    <w:p>
      <w:pPr>
        <w:tabs>
          <w:tab w:val="left" w:pos="312"/>
        </w:tabs>
        <w:spacing w:line="440" w:lineRule="exact"/>
        <w:ind w:firstLine="475" w:firstLineChars="197"/>
        <w:rPr>
          <w:rFonts w:ascii="宋体" w:hAnsi="宋体"/>
          <w:b/>
          <w:sz w:val="24"/>
        </w:rPr>
      </w:pPr>
      <w:r>
        <w:rPr>
          <w:rFonts w:hint="eastAsia" w:ascii="宋体" w:hAnsi="宋体"/>
          <w:b/>
          <w:sz w:val="24"/>
        </w:rPr>
        <w:t>本次维护服务项目期限为1年，从合同签订之日算起。</w:t>
      </w:r>
    </w:p>
    <w:p>
      <w:pPr>
        <w:keepNext/>
        <w:adjustRightInd w:val="0"/>
        <w:snapToGrid w:val="0"/>
        <w:spacing w:line="440" w:lineRule="exact"/>
        <w:ind w:left="576" w:hanging="576"/>
        <w:textAlignment w:val="baseline"/>
        <w:outlineLvl w:val="1"/>
        <w:rPr>
          <w:rFonts w:hint="eastAsia" w:ascii="宋体" w:hAnsi="宋体"/>
          <w:b/>
          <w:kern w:val="0"/>
          <w:sz w:val="24"/>
        </w:rPr>
      </w:pPr>
      <w:bookmarkStart w:id="22" w:name="_Toc111809310"/>
      <w:bookmarkStart w:id="23" w:name="_Toc71364583"/>
      <w:bookmarkStart w:id="24" w:name="_Toc80112194"/>
      <w:r>
        <w:rPr>
          <w:rFonts w:hint="eastAsia" w:ascii="宋体" w:hAnsi="宋体"/>
          <w:b/>
          <w:kern w:val="0"/>
          <w:sz w:val="24"/>
        </w:rPr>
        <w:t>五、付款方式</w:t>
      </w:r>
      <w:bookmarkEnd w:id="22"/>
      <w:bookmarkEnd w:id="23"/>
      <w:bookmarkEnd w:id="24"/>
    </w:p>
    <w:p>
      <w:pPr>
        <w:tabs>
          <w:tab w:val="left" w:pos="312"/>
        </w:tabs>
        <w:spacing w:line="440" w:lineRule="exact"/>
        <w:ind w:firstLine="475" w:firstLineChars="197"/>
        <w:rPr>
          <w:rFonts w:hint="eastAsia" w:ascii="宋体" w:hAnsi="宋体"/>
          <w:b/>
          <w:sz w:val="24"/>
        </w:rPr>
      </w:pPr>
      <w:r>
        <w:rPr>
          <w:rFonts w:hint="eastAsia" w:ascii="宋体" w:hAnsi="宋体"/>
          <w:b/>
          <w:sz w:val="24"/>
        </w:rPr>
        <w:t>1）合同生效以及项目具备实施条件并提供发票后7个工作日内，支付中标价的40%；</w:t>
      </w:r>
    </w:p>
    <w:p>
      <w:pPr>
        <w:spacing w:line="440" w:lineRule="exact"/>
        <w:ind w:firstLine="472" w:firstLineChars="196"/>
        <w:rPr>
          <w:rFonts w:hint="eastAsia" w:ascii="宋体" w:hAnsi="宋体"/>
          <w:b/>
          <w:sz w:val="24"/>
        </w:rPr>
      </w:pPr>
      <w:r>
        <w:rPr>
          <w:rFonts w:hint="eastAsia" w:ascii="宋体" w:hAnsi="宋体"/>
          <w:b/>
          <w:sz w:val="24"/>
        </w:rPr>
        <w:t>2）维护期结束后，采购人向中标人支付合同总额的60%。</w:t>
      </w: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spacing w:line="440" w:lineRule="exact"/>
        <w:ind w:firstLine="472" w:firstLineChars="196"/>
        <w:rPr>
          <w:rFonts w:hint="eastAsia" w:ascii="宋体" w:hAnsi="宋体"/>
          <w:b/>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bookmarkEnd w:id="12"/>
    <w:bookmarkEnd w:id="13"/>
    <w:bookmarkEnd w:id="14"/>
    <w:bookmarkEnd w:id="15"/>
    <w:p>
      <w:pPr>
        <w:keepNext/>
        <w:spacing w:line="440" w:lineRule="exact"/>
        <w:outlineLvl w:val="1"/>
        <w:rPr>
          <w:rFonts w:hint="eastAsia" w:ascii="宋体" w:hAnsi="宋体"/>
          <w:b/>
          <w:bCs/>
          <w:iCs/>
          <w:sz w:val="28"/>
        </w:rPr>
      </w:pPr>
      <w:bookmarkStart w:id="25" w:name="_Toc80112195"/>
      <w:bookmarkStart w:id="26" w:name="_Toc111809311"/>
      <w:r>
        <w:rPr>
          <w:rFonts w:hint="eastAsia" w:ascii="宋体" w:hAnsi="宋体"/>
          <w:b/>
          <w:bCs/>
          <w:iCs/>
          <w:sz w:val="28"/>
        </w:rPr>
        <w:t>分包2：</w:t>
      </w:r>
      <w:bookmarkEnd w:id="25"/>
      <w:r>
        <w:rPr>
          <w:rFonts w:hint="eastAsia" w:ascii="宋体" w:hAnsi="宋体"/>
          <w:b/>
          <w:bCs/>
          <w:iCs/>
          <w:sz w:val="28"/>
        </w:rPr>
        <w:t>机房维保服务内容</w:t>
      </w:r>
      <w:bookmarkEnd w:id="26"/>
    </w:p>
    <w:p>
      <w:pPr>
        <w:keepNext/>
        <w:adjustRightInd w:val="0"/>
        <w:snapToGrid w:val="0"/>
        <w:spacing w:line="440" w:lineRule="exact"/>
        <w:ind w:left="576" w:hanging="576"/>
        <w:textAlignment w:val="baseline"/>
        <w:outlineLvl w:val="1"/>
        <w:rPr>
          <w:rFonts w:hint="eastAsia" w:ascii="宋体" w:hAnsi="宋体"/>
          <w:b/>
          <w:kern w:val="0"/>
          <w:sz w:val="24"/>
        </w:rPr>
      </w:pPr>
      <w:bookmarkStart w:id="27" w:name="_Toc80112196"/>
      <w:bookmarkStart w:id="28" w:name="_Toc111809312"/>
      <w:r>
        <w:rPr>
          <w:rFonts w:hint="eastAsia" w:ascii="宋体" w:hAnsi="宋体"/>
          <w:b/>
          <w:kern w:val="0"/>
          <w:sz w:val="24"/>
        </w:rPr>
        <w:t>一、维护设备主要清单</w:t>
      </w:r>
      <w:bookmarkEnd w:id="27"/>
      <w:bookmarkEnd w:id="28"/>
    </w:p>
    <w:tbl>
      <w:tblPr>
        <w:tblStyle w:val="44"/>
        <w:tblW w:w="0" w:type="auto"/>
        <w:jc w:val="center"/>
        <w:tblLayout w:type="fixed"/>
        <w:tblCellMar>
          <w:top w:w="15" w:type="dxa"/>
          <w:left w:w="15" w:type="dxa"/>
          <w:bottom w:w="15" w:type="dxa"/>
          <w:right w:w="15" w:type="dxa"/>
        </w:tblCellMar>
      </w:tblPr>
      <w:tblGrid>
        <w:gridCol w:w="836"/>
        <w:gridCol w:w="3090"/>
        <w:gridCol w:w="1985"/>
        <w:gridCol w:w="1767"/>
      </w:tblGrid>
      <w:tr>
        <w:tblPrEx>
          <w:tblCellMar>
            <w:top w:w="15" w:type="dxa"/>
            <w:left w:w="15" w:type="dxa"/>
            <w:bottom w:w="15" w:type="dxa"/>
            <w:right w:w="15" w:type="dxa"/>
          </w:tblCellMar>
        </w:tblPrEx>
        <w:trPr>
          <w:wBefore w:w="0" w:type="dxa"/>
          <w:wAfter w:w="0" w:type="dxa"/>
          <w:trHeight w:val="148"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b/>
                <w:color w:val="000000"/>
                <w:sz w:val="24"/>
              </w:rPr>
            </w:pPr>
            <w:r>
              <w:rPr>
                <w:rFonts w:hint="eastAsia" w:ascii="宋体" w:hAnsi="宋体" w:cs="宋体"/>
                <w:b/>
                <w:color w:val="000000"/>
                <w:kern w:val="0"/>
                <w:sz w:val="24"/>
                <w:lang w:bidi="ar"/>
              </w:rPr>
              <w:t>需要维保的设备类型</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b/>
                <w:color w:val="000000"/>
                <w:sz w:val="24"/>
              </w:rPr>
            </w:pPr>
            <w:r>
              <w:rPr>
                <w:rFonts w:hint="eastAsia" w:ascii="宋体" w:hAnsi="宋体" w:cs="宋体"/>
                <w:b/>
                <w:color w:val="000000"/>
                <w:kern w:val="0"/>
                <w:sz w:val="24"/>
                <w:lang w:bidi="ar"/>
              </w:rPr>
              <w:t>设备品牌</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b/>
                <w:color w:val="000000"/>
                <w:sz w:val="24"/>
              </w:rPr>
            </w:pPr>
            <w:r>
              <w:rPr>
                <w:rFonts w:hint="eastAsia" w:ascii="宋体" w:hAnsi="宋体" w:cs="宋体"/>
                <w:b/>
                <w:color w:val="000000"/>
                <w:kern w:val="0"/>
                <w:sz w:val="24"/>
                <w:lang w:bidi="ar"/>
              </w:rPr>
              <w:t>设备数量</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安全审计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迪普</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波分复用仪</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科达通信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防火墙</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360网神</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防火墙</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H3C</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防火墙</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天融信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防火墙</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网神</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服务器</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DELL</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103</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服务器</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HP</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服务器</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海康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服务器</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立元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服务器</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联想</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核心交换机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华为</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交换机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DCN</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交换机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H3C</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交换机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华为</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交换机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中兴</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网闸</w:t>
            </w:r>
          </w:p>
        </w:tc>
        <w:tc>
          <w:tcPr>
            <w:tcW w:w="198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exact"/>
              <w:ind w:left="97" w:leftChars="46" w:right="155" w:rightChars="74"/>
              <w:jc w:val="center"/>
              <w:textAlignment w:val="bottom"/>
              <w:rPr>
                <w:rFonts w:ascii="宋体" w:hAnsi="宋体" w:cs="等线"/>
                <w:color w:val="000000"/>
                <w:sz w:val="24"/>
              </w:rPr>
            </w:pPr>
            <w:r>
              <w:rPr>
                <w:rFonts w:hint="eastAsia" w:ascii="宋体" w:hAnsi="宋体" w:cs="等线"/>
                <w:color w:val="000000"/>
                <w:kern w:val="0"/>
                <w:sz w:val="24"/>
                <w:lang w:bidi="ar"/>
              </w:rPr>
              <w:t>合众</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服务器</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其他</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UPS电源模块</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台达</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UPS主机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台达</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UPS主机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山特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UPS电源</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sz w:val="24"/>
              </w:rPr>
            </w:pPr>
            <w:r>
              <w:rPr>
                <w:rFonts w:hint="eastAsia" w:ascii="宋体" w:hAnsi="宋体" w:cs="宋体"/>
                <w:color w:val="000000"/>
                <w:kern w:val="0"/>
                <w:sz w:val="24"/>
                <w:lang w:bidi="ar"/>
              </w:rPr>
              <w:t>易事特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UPS主机</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华为</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r>
      <w:tr>
        <w:tblPrEx>
          <w:tblCellMar>
            <w:top w:w="15" w:type="dxa"/>
            <w:left w:w="15" w:type="dxa"/>
            <w:bottom w:w="15" w:type="dxa"/>
            <w:right w:w="15" w:type="dxa"/>
          </w:tblCellMar>
        </w:tblPrEx>
        <w:trPr>
          <w:wBefore w:w="0" w:type="dxa"/>
          <w:wAfter w:w="0" w:type="dxa"/>
          <w:trHeight w:val="28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right="48" w:rightChars="23"/>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67" w:leftChars="32" w:right="155" w:rightChars="74"/>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精密列头柜</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155" w:rightChars="74"/>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华为</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left="97" w:leftChars="46" w:right="80" w:rightChars="38"/>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r>
    </w:tbl>
    <w:p>
      <w:pPr>
        <w:keepNext/>
        <w:adjustRightInd w:val="0"/>
        <w:snapToGrid w:val="0"/>
        <w:spacing w:line="440" w:lineRule="exact"/>
        <w:ind w:left="576" w:hanging="576"/>
        <w:textAlignment w:val="baseline"/>
        <w:outlineLvl w:val="1"/>
        <w:rPr>
          <w:rFonts w:hint="eastAsia" w:ascii="宋体" w:hAnsi="宋体"/>
          <w:b/>
          <w:kern w:val="0"/>
          <w:sz w:val="24"/>
        </w:rPr>
      </w:pPr>
      <w:bookmarkStart w:id="29" w:name="_Toc80112197"/>
      <w:bookmarkStart w:id="30" w:name="_Toc111809313"/>
      <w:r>
        <w:rPr>
          <w:rFonts w:hint="eastAsia" w:ascii="宋体" w:hAnsi="宋体"/>
          <w:b/>
          <w:kern w:val="0"/>
          <w:sz w:val="24"/>
        </w:rPr>
        <w:t>二、维保服务要求</w:t>
      </w:r>
      <w:bookmarkEnd w:id="29"/>
      <w:bookmarkEnd w:id="30"/>
    </w:p>
    <w:p>
      <w:pPr>
        <w:widowControl/>
        <w:spacing w:line="440" w:lineRule="exact"/>
        <w:ind w:firstLine="482" w:firstLineChars="200"/>
        <w:jc w:val="left"/>
        <w:rPr>
          <w:rFonts w:ascii="宋体" w:hAnsi="宋体" w:cs="宋体"/>
          <w:b/>
          <w:color w:val="000000"/>
          <w:sz w:val="24"/>
        </w:rPr>
      </w:pPr>
      <w:r>
        <w:rPr>
          <w:rFonts w:hint="eastAsia" w:ascii="宋体" w:hAnsi="宋体" w:cs="宋体"/>
          <w:b/>
          <w:color w:val="000000"/>
          <w:sz w:val="24"/>
        </w:rPr>
        <w:t>（一）技术支持服务</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1.1 所维保的核心硬件为配件级服务，即：所有清单内核心硬件出现故障所产生的所有更换配件及维修费用均由投标方负责。如短期内无法修复，投标方需提供同等性能设备为用户应急使用。</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1.2远程响应支持服务</w:t>
      </w:r>
    </w:p>
    <w:p>
      <w:pPr>
        <w:widowControl/>
        <w:spacing w:line="440" w:lineRule="exact"/>
        <w:ind w:firstLine="480" w:firstLineChars="200"/>
        <w:jc w:val="left"/>
        <w:rPr>
          <w:rFonts w:ascii="宋体" w:hAnsi="宋体" w:cs="宋体"/>
          <w:color w:val="000000"/>
          <w:sz w:val="24"/>
        </w:rPr>
      </w:pPr>
      <w:bookmarkStart w:id="31" w:name="_Toc250728196"/>
      <w:bookmarkStart w:id="32" w:name="_Toc250726431"/>
      <w:r>
        <w:rPr>
          <w:rFonts w:hint="eastAsia" w:ascii="宋体" w:hAnsi="宋体" w:cs="宋体"/>
          <w:color w:val="000000"/>
          <w:sz w:val="24"/>
        </w:rPr>
        <w:t>投标人提供365×7×24小时不间断非现场(可以是400电话、e-mail、VPN、QQ等形式)支持服务，通过以上方式直接联络服务商的技术工程师，寻求问题的解决方案、技术文档以及技术指导，提供故障处理案例。</w:t>
      </w:r>
    </w:p>
    <w:p>
      <w:pPr>
        <w:widowControl/>
        <w:spacing w:line="440" w:lineRule="exact"/>
        <w:ind w:firstLine="480" w:firstLineChars="200"/>
        <w:jc w:val="left"/>
        <w:rPr>
          <w:rFonts w:ascii="宋体" w:hAnsi="宋体" w:cs="宋体"/>
          <w:sz w:val="24"/>
        </w:rPr>
      </w:pPr>
      <w:r>
        <w:rPr>
          <w:rFonts w:hint="eastAsia" w:ascii="宋体" w:hAnsi="宋体" w:cs="宋体"/>
          <w:color w:val="000000"/>
          <w:sz w:val="24"/>
        </w:rPr>
        <w:t>投标人在接到招标方故障申告后应</w:t>
      </w:r>
      <w:r>
        <w:rPr>
          <w:rFonts w:hint="eastAsia" w:ascii="宋体" w:hAnsi="宋体" w:cs="宋体"/>
          <w:sz w:val="24"/>
        </w:rPr>
        <w:t>于15分钟内响应，如故障未能在</w:t>
      </w:r>
      <w:r>
        <w:rPr>
          <w:rFonts w:ascii="宋体" w:hAnsi="宋体" w:cs="宋体"/>
          <w:sz w:val="24"/>
        </w:rPr>
        <w:t>30</w:t>
      </w:r>
      <w:r>
        <w:rPr>
          <w:rFonts w:hint="eastAsia" w:ascii="宋体" w:hAnsi="宋体" w:cs="宋体"/>
          <w:sz w:val="24"/>
        </w:rPr>
        <w:t>分钟内通过远程支持得到解决，投标人承诺根据招标方要求派指定服务工程师在2小时内赶到招标方现场，提供不间断故障处理服务。</w:t>
      </w:r>
    </w:p>
    <w:p>
      <w:pPr>
        <w:widowControl/>
        <w:spacing w:line="440" w:lineRule="exact"/>
        <w:ind w:firstLine="480" w:firstLineChars="200"/>
        <w:jc w:val="left"/>
        <w:rPr>
          <w:rFonts w:ascii="宋体" w:hAnsi="宋体" w:cs="宋体"/>
          <w:sz w:val="24"/>
        </w:rPr>
      </w:pPr>
      <w:r>
        <w:rPr>
          <w:rFonts w:hint="eastAsia" w:ascii="宋体" w:hAnsi="宋体" w:cs="宋体"/>
          <w:sz w:val="24"/>
        </w:rPr>
        <w:t>1.</w:t>
      </w:r>
      <w:bookmarkEnd w:id="31"/>
      <w:bookmarkEnd w:id="32"/>
      <w:r>
        <w:rPr>
          <w:rFonts w:hint="eastAsia" w:ascii="宋体" w:hAnsi="宋体" w:cs="宋体"/>
          <w:sz w:val="24"/>
        </w:rPr>
        <w:t>3  应急现场响应支持服务</w:t>
      </w:r>
    </w:p>
    <w:p>
      <w:pPr>
        <w:widowControl/>
        <w:spacing w:line="440" w:lineRule="exact"/>
        <w:ind w:firstLine="480" w:firstLineChars="200"/>
        <w:jc w:val="left"/>
        <w:rPr>
          <w:rFonts w:ascii="宋体" w:hAnsi="宋体" w:cs="宋体"/>
          <w:sz w:val="24"/>
        </w:rPr>
      </w:pPr>
      <w:r>
        <w:rPr>
          <w:rFonts w:hint="eastAsia" w:ascii="宋体" w:hAnsi="宋体" w:cs="宋体"/>
          <w:sz w:val="24"/>
        </w:rPr>
        <w:t>当遇到复杂性问题，需要现场进行综合诊断处理或</w:t>
      </w:r>
      <w:r>
        <w:rPr>
          <w:rFonts w:ascii="宋体" w:hAnsi="宋体" w:cs="宋体"/>
          <w:sz w:val="24"/>
        </w:rPr>
        <w:t>招标方要求提供现场服务的</w:t>
      </w:r>
      <w:r>
        <w:rPr>
          <w:rFonts w:hint="eastAsia" w:ascii="宋体" w:hAnsi="宋体" w:cs="宋体"/>
          <w:sz w:val="24"/>
        </w:rPr>
        <w:t>，要求服务团队人员乃至专家后援服务团队人员在2小时内到达支持现场，同时要求在路途中不中断电话支持以求快速解决问题。服务期内要求现场服务不少于</w:t>
      </w:r>
      <w:r>
        <w:rPr>
          <w:rFonts w:ascii="宋体" w:hAnsi="宋体" w:cs="宋体"/>
          <w:sz w:val="24"/>
        </w:rPr>
        <w:t>4</w:t>
      </w:r>
      <w:r>
        <w:rPr>
          <w:rFonts w:hint="eastAsia" w:ascii="宋体" w:hAnsi="宋体" w:cs="宋体"/>
          <w:sz w:val="24"/>
        </w:rPr>
        <w:t>天。由于公安机房信息具有敏感性，要求中标方提供不少于</w:t>
      </w:r>
      <w:r>
        <w:rPr>
          <w:rFonts w:ascii="宋体" w:hAnsi="宋体" w:cs="宋体"/>
          <w:sz w:val="24"/>
        </w:rPr>
        <w:t>16</w:t>
      </w:r>
      <w:r>
        <w:rPr>
          <w:rFonts w:hint="eastAsia" w:ascii="宋体" w:hAnsi="宋体" w:cs="宋体"/>
          <w:sz w:val="24"/>
        </w:rPr>
        <w:t>G内存的专用的巡检及系统验证便携式计算机，设备存放于公安机房，安装好VMware、WrieShark、postman等相关专用软件，用于各个局机关及各个***驻点等地的巡检，并无偿提供招标方使用不少于</w:t>
      </w:r>
      <w:r>
        <w:rPr>
          <w:rFonts w:ascii="宋体" w:hAnsi="宋体" w:cs="宋体"/>
          <w:sz w:val="24"/>
        </w:rPr>
        <w:t>5</w:t>
      </w:r>
      <w:r>
        <w:rPr>
          <w:rFonts w:hint="eastAsia" w:ascii="宋体" w:hAnsi="宋体" w:cs="宋体"/>
          <w:sz w:val="24"/>
        </w:rPr>
        <w:t>年。</w:t>
      </w:r>
    </w:p>
    <w:p>
      <w:pPr>
        <w:widowControl/>
        <w:spacing w:line="440" w:lineRule="exact"/>
        <w:ind w:firstLine="480" w:firstLineChars="200"/>
        <w:jc w:val="left"/>
        <w:rPr>
          <w:rFonts w:ascii="宋体" w:hAnsi="宋体" w:cs="宋体"/>
          <w:sz w:val="24"/>
        </w:rPr>
      </w:pPr>
      <w:r>
        <w:rPr>
          <w:rFonts w:hint="eastAsia" w:ascii="宋体" w:hAnsi="宋体" w:cs="宋体"/>
          <w:sz w:val="24"/>
        </w:rPr>
        <w:t>1.4  灾难性故障应急支持</w:t>
      </w:r>
    </w:p>
    <w:p>
      <w:pPr>
        <w:widowControl/>
        <w:spacing w:line="440" w:lineRule="exact"/>
        <w:ind w:firstLine="480" w:firstLineChars="200"/>
        <w:jc w:val="left"/>
        <w:rPr>
          <w:rFonts w:ascii="宋体" w:hAnsi="宋体" w:cs="宋体"/>
          <w:sz w:val="24"/>
        </w:rPr>
      </w:pPr>
      <w:r>
        <w:rPr>
          <w:rFonts w:hint="eastAsia" w:ascii="宋体" w:hAnsi="宋体" w:cs="宋体"/>
          <w:sz w:val="24"/>
        </w:rPr>
        <w:t>灾难性故障指由于各种原因引起网络中断、</w:t>
      </w:r>
      <w:r>
        <w:rPr>
          <w:rFonts w:ascii="宋体" w:hAnsi="宋体" w:cs="宋体"/>
          <w:sz w:val="24"/>
        </w:rPr>
        <w:t>设备宕机</w:t>
      </w:r>
      <w:r>
        <w:rPr>
          <w:rFonts w:hint="eastAsia" w:ascii="宋体" w:hAnsi="宋体" w:cs="宋体"/>
          <w:sz w:val="24"/>
        </w:rPr>
        <w:t>的状况。要求服务团队快速恢复各种灾难性故障。要求熟悉招标方的网络架构模式，快速故障恢复。如果确定硬件问题不能通过远程方式解决，现场服务工程师携带相应备件到达到客户现场进行硬件的维修。</w:t>
      </w:r>
    </w:p>
    <w:p>
      <w:pPr>
        <w:widowControl/>
        <w:spacing w:line="440" w:lineRule="exact"/>
        <w:ind w:firstLine="480" w:firstLineChars="200"/>
        <w:jc w:val="left"/>
        <w:rPr>
          <w:rFonts w:ascii="宋体" w:hAnsi="宋体" w:cs="宋体"/>
          <w:sz w:val="24"/>
        </w:rPr>
      </w:pPr>
      <w:r>
        <w:rPr>
          <w:rFonts w:hint="eastAsia" w:ascii="宋体" w:hAnsi="宋体" w:cs="宋体"/>
          <w:sz w:val="24"/>
        </w:rPr>
        <w:t>1.5 设备部件</w:t>
      </w:r>
      <w:r>
        <w:rPr>
          <w:rFonts w:ascii="宋体" w:hAnsi="宋体" w:cs="宋体"/>
          <w:sz w:val="24"/>
        </w:rPr>
        <w:t>服务</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招标方在维保期内发生设备</w:t>
      </w:r>
      <w:r>
        <w:rPr>
          <w:rFonts w:ascii="宋体" w:hAnsi="宋体" w:cs="宋体"/>
          <w:sz w:val="24"/>
        </w:rPr>
        <w:t>故障或</w:t>
      </w:r>
      <w:r>
        <w:rPr>
          <w:rFonts w:hint="eastAsia" w:ascii="宋体" w:hAnsi="宋体" w:cs="宋体"/>
          <w:sz w:val="24"/>
        </w:rPr>
        <w:t>损坏时，投标人负责对损坏的设备进行完整的维修，并更换损坏的部件（必须为原厂商部件），且所有损坏部件的费用均由投标人承担。无法维修的故障设备，应提供与原设备相当的备件进行替换，更换故障设备时，所更换的备件必须为原厂全新产品，与原有设备同一品牌及型号，保证设备的质量、性能以及兼容稳定性。在部件更新后，除硬盘外原损坏部件的产权归属投标人，更新部件的产权归属招标方。</w:t>
      </w:r>
    </w:p>
    <w:p>
      <w:pPr>
        <w:widowControl/>
        <w:spacing w:line="440" w:lineRule="exact"/>
        <w:ind w:firstLine="480" w:firstLineChars="200"/>
        <w:jc w:val="left"/>
        <w:rPr>
          <w:rFonts w:ascii="宋体" w:hAnsi="宋体" w:cs="宋体"/>
          <w:sz w:val="24"/>
        </w:rPr>
      </w:pPr>
      <w:r>
        <w:rPr>
          <w:rFonts w:hint="eastAsia" w:ascii="宋体" w:hAnsi="宋体" w:cs="宋体"/>
          <w:sz w:val="24"/>
        </w:rPr>
        <w:t>1.6 本次网络安全维保设备必须购买原厂商维保，需提供原厂商针对本项目的原厂商1年的质保函原件；其中360网神IPS入侵防御系统既包括硬件的维保,也包括特征库软件的更新；防病毒软件必须包括病毒库的更新。</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1.7  对一些非硬件本身的技术性问题，如网络设置、网络拥堵、网络病毒等，中标方应给业主方提供7×24小时的热线服务和技术指导，包括电话支持服务、远程支持服务。</w:t>
      </w:r>
    </w:p>
    <w:p>
      <w:pPr>
        <w:widowControl/>
        <w:spacing w:line="440" w:lineRule="exact"/>
        <w:ind w:firstLine="480" w:firstLineChars="200"/>
        <w:jc w:val="left"/>
        <w:rPr>
          <w:rFonts w:ascii="宋体" w:hAnsi="宋体" w:cs="宋体"/>
          <w:sz w:val="24"/>
        </w:rPr>
      </w:pPr>
      <w:r>
        <w:rPr>
          <w:rFonts w:hint="eastAsia" w:ascii="宋体" w:hAnsi="宋体" w:cs="宋体"/>
          <w:sz w:val="24"/>
        </w:rPr>
        <w:t>1.8  中标方应从网络的安全性和稳定性等方面进行系统分析，并有义务提供务、现场支持服务等，积极配合业主方解决实际问题。提供相应的技术实施服务，及时调整网络结构、安全策略、服务策略、软件版本升级等配置优化工作，保证用户业务的不间断性；</w:t>
      </w:r>
    </w:p>
    <w:p>
      <w:pPr>
        <w:widowControl/>
        <w:spacing w:line="440" w:lineRule="exact"/>
        <w:ind w:firstLine="482" w:firstLineChars="200"/>
        <w:jc w:val="left"/>
        <w:rPr>
          <w:rFonts w:ascii="宋体" w:hAnsi="宋体" w:cs="宋体"/>
          <w:b/>
          <w:sz w:val="24"/>
        </w:rPr>
      </w:pPr>
      <w:r>
        <w:rPr>
          <w:rFonts w:hint="eastAsia" w:ascii="宋体" w:hAnsi="宋体" w:cs="宋体"/>
          <w:b/>
          <w:sz w:val="24"/>
        </w:rPr>
        <w:t>（二）日常巡检服务</w:t>
      </w:r>
    </w:p>
    <w:p>
      <w:pPr>
        <w:widowControl/>
        <w:spacing w:line="440" w:lineRule="exact"/>
        <w:ind w:firstLine="480" w:firstLineChars="200"/>
        <w:jc w:val="left"/>
        <w:rPr>
          <w:rFonts w:ascii="宋体" w:hAnsi="宋体" w:cs="宋体"/>
          <w:sz w:val="24"/>
        </w:rPr>
      </w:pPr>
      <w:r>
        <w:rPr>
          <w:rFonts w:hint="eastAsia" w:ascii="宋体" w:hAnsi="宋体" w:cs="宋体"/>
          <w:sz w:val="24"/>
        </w:rPr>
        <w:t>1、硬件设备日常运行状况检查，由技术人员提供巡检服务，每周两次；</w:t>
      </w:r>
    </w:p>
    <w:p>
      <w:pPr>
        <w:widowControl/>
        <w:spacing w:line="440" w:lineRule="exact"/>
        <w:ind w:firstLine="480" w:firstLineChars="200"/>
        <w:jc w:val="left"/>
        <w:rPr>
          <w:rFonts w:ascii="宋体" w:hAnsi="宋体" w:cs="宋体"/>
          <w:sz w:val="24"/>
        </w:rPr>
      </w:pPr>
      <w:r>
        <w:rPr>
          <w:rFonts w:hint="eastAsia" w:ascii="宋体" w:hAnsi="宋体" w:cs="宋体"/>
          <w:sz w:val="24"/>
        </w:rPr>
        <w:t>2、收集运行期间的负载情况和其他各性能指标；</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3、提供一年不少于四次的二线服务工程师现场巡检服务，对机房内的主机设备、存储设备、网络设备、安全设备、主机设备操作系统开展巡检，排查设备隐患、故障，并出具巡检报告，若存在隐患则提交优化建议；</w:t>
      </w:r>
    </w:p>
    <w:p>
      <w:pPr>
        <w:widowControl/>
        <w:spacing w:line="440" w:lineRule="exact"/>
        <w:ind w:firstLine="480" w:firstLineChars="200"/>
        <w:jc w:val="left"/>
        <w:rPr>
          <w:rFonts w:ascii="宋体" w:hAnsi="宋体" w:cs="宋体"/>
          <w:sz w:val="24"/>
        </w:rPr>
      </w:pPr>
      <w:r>
        <w:rPr>
          <w:rFonts w:hint="eastAsia" w:ascii="宋体" w:hAnsi="宋体" w:cs="宋体"/>
          <w:sz w:val="24"/>
        </w:rPr>
        <w:t>4、提供一年不少于两次的弱电线缆整理服务，对机房内弱电光纤网线电话线进行整理，提供线路优化建议；</w:t>
      </w:r>
    </w:p>
    <w:p>
      <w:pPr>
        <w:widowControl/>
        <w:spacing w:line="440" w:lineRule="exact"/>
        <w:ind w:firstLine="480" w:firstLineChars="200"/>
        <w:jc w:val="left"/>
        <w:rPr>
          <w:rFonts w:ascii="宋体" w:hAnsi="宋体" w:cs="宋体"/>
          <w:sz w:val="24"/>
        </w:rPr>
      </w:pPr>
      <w:r>
        <w:rPr>
          <w:rFonts w:hint="eastAsia" w:ascii="宋体" w:hAnsi="宋体" w:cs="宋体"/>
          <w:sz w:val="24"/>
        </w:rPr>
        <w:t>5、根据招标方的实际情况，制定合理的运维计划和运维操作手册，完善日常运维文档，并根据日常运维内容提供及时告警。</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6、深度巡检，每一度一次，按照以下内容巡检，并组卷。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9"/>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shd w:val="clear" w:color="auto" w:fill="FFFFFF"/>
            <w:noWrap w:val="0"/>
            <w:vAlign w:val="center"/>
          </w:tcPr>
          <w:p>
            <w:pPr>
              <w:spacing w:line="360" w:lineRule="exact"/>
              <w:jc w:val="center"/>
              <w:rPr>
                <w:rFonts w:ascii="宋体" w:hAnsi="宋体"/>
                <w:b/>
                <w:sz w:val="24"/>
              </w:rPr>
            </w:pPr>
            <w:r>
              <w:rPr>
                <w:rFonts w:hint="eastAsia" w:ascii="宋体" w:hAnsi="宋体"/>
                <w:b/>
                <w:sz w:val="24"/>
              </w:rPr>
              <w:t>序号</w:t>
            </w:r>
          </w:p>
        </w:tc>
        <w:tc>
          <w:tcPr>
            <w:tcW w:w="1819" w:type="dxa"/>
            <w:shd w:val="clear" w:color="auto" w:fill="FFFFFF"/>
            <w:noWrap w:val="0"/>
            <w:vAlign w:val="center"/>
          </w:tcPr>
          <w:p>
            <w:pPr>
              <w:spacing w:line="360" w:lineRule="exact"/>
              <w:jc w:val="center"/>
              <w:rPr>
                <w:rFonts w:ascii="宋体" w:hAnsi="宋体"/>
                <w:b/>
                <w:sz w:val="24"/>
              </w:rPr>
            </w:pPr>
            <w:r>
              <w:rPr>
                <w:rFonts w:hint="eastAsia" w:ascii="宋体" w:hAnsi="宋体"/>
                <w:b/>
                <w:sz w:val="24"/>
              </w:rPr>
              <w:t>项目</w:t>
            </w:r>
          </w:p>
        </w:tc>
        <w:tc>
          <w:tcPr>
            <w:tcW w:w="6145" w:type="dxa"/>
            <w:shd w:val="clear" w:color="auto" w:fill="FFFFFF"/>
            <w:noWrap w:val="0"/>
            <w:vAlign w:val="center"/>
          </w:tcPr>
          <w:p>
            <w:pPr>
              <w:spacing w:line="360" w:lineRule="exact"/>
              <w:jc w:val="center"/>
              <w:rPr>
                <w:rFonts w:ascii="宋体" w:hAnsi="宋体"/>
                <w:b/>
                <w:sz w:val="24"/>
              </w:rPr>
            </w:pPr>
            <w:r>
              <w:rPr>
                <w:rFonts w:hint="eastAsia" w:ascii="宋体" w:hAnsi="宋体"/>
                <w:b/>
                <w:sz w:val="24"/>
              </w:rPr>
              <w:t>巡检内容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1</w:t>
            </w:r>
          </w:p>
        </w:tc>
        <w:tc>
          <w:tcPr>
            <w:tcW w:w="1819" w:type="dxa"/>
            <w:noWrap w:val="0"/>
            <w:vAlign w:val="center"/>
          </w:tcPr>
          <w:p>
            <w:pPr>
              <w:spacing w:line="360" w:lineRule="exact"/>
              <w:jc w:val="center"/>
              <w:rPr>
                <w:rFonts w:ascii="宋体" w:hAnsi="宋体"/>
                <w:sz w:val="24"/>
              </w:rPr>
            </w:pPr>
            <w:r>
              <w:rPr>
                <w:rFonts w:hint="eastAsia" w:ascii="宋体" w:hAnsi="宋体"/>
                <w:sz w:val="24"/>
              </w:rPr>
              <w:t>主机设备巡检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主机的系统主板、CPU（含CPU板）、系统电源及电源线、内存条及内存板、内置磁盘或外置磁盘阵列、各种适配卡、终端及显示器、存储设备，包括与磁盘阵列、磁带库连接的各种线缆，按需要对硬件进行微代码升级，按需要安装补丁程序，操作系统健康检查，系统基本的性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2</w:t>
            </w:r>
          </w:p>
        </w:tc>
        <w:tc>
          <w:tcPr>
            <w:tcW w:w="1819" w:type="dxa"/>
            <w:noWrap w:val="0"/>
            <w:vAlign w:val="center"/>
          </w:tcPr>
          <w:p>
            <w:pPr>
              <w:spacing w:line="360" w:lineRule="exact"/>
              <w:jc w:val="center"/>
              <w:rPr>
                <w:rFonts w:ascii="宋体" w:hAnsi="宋体"/>
                <w:sz w:val="24"/>
              </w:rPr>
            </w:pPr>
            <w:r>
              <w:rPr>
                <w:rFonts w:hint="eastAsia" w:ascii="宋体" w:hAnsi="宋体"/>
                <w:sz w:val="24"/>
              </w:rPr>
              <w:t>存储设备巡检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检查内容包括：存储前后面板指示灯（电源、硬盘、故障、光纤等）检测、电源电压、电源风扇、控制器电池、Raid状态、多路径冗余情况、负载均衡、磁盘使用率、IO状态、逻辑卷状态、磁盘链路状态。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3</w:t>
            </w:r>
          </w:p>
        </w:tc>
        <w:tc>
          <w:tcPr>
            <w:tcW w:w="1819" w:type="dxa"/>
            <w:noWrap w:val="0"/>
            <w:vAlign w:val="center"/>
          </w:tcPr>
          <w:p>
            <w:pPr>
              <w:spacing w:line="360" w:lineRule="exact"/>
              <w:jc w:val="center"/>
              <w:rPr>
                <w:rFonts w:ascii="宋体" w:hAnsi="宋体"/>
                <w:sz w:val="24"/>
              </w:rPr>
            </w:pPr>
            <w:r>
              <w:rPr>
                <w:rFonts w:hint="eastAsia" w:ascii="宋体" w:hAnsi="宋体"/>
                <w:sz w:val="24"/>
              </w:rPr>
              <w:t>网络设备巡检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系统版本、CPU使用率、内存使用率、风扇及电源状态、设备温度、设备基本配置、系统日志、路由状态、接口状态、主备状态、监测网络流量和可用性、设备会话负载、及时发现设备的各种报警信息及网络不安全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4</w:t>
            </w:r>
          </w:p>
        </w:tc>
        <w:tc>
          <w:tcPr>
            <w:tcW w:w="1819" w:type="dxa"/>
            <w:noWrap w:val="0"/>
            <w:vAlign w:val="center"/>
          </w:tcPr>
          <w:p>
            <w:pPr>
              <w:spacing w:line="360" w:lineRule="exact"/>
              <w:jc w:val="center"/>
              <w:rPr>
                <w:rFonts w:ascii="宋体" w:hAnsi="宋体"/>
                <w:sz w:val="24"/>
              </w:rPr>
            </w:pPr>
            <w:r>
              <w:rPr>
                <w:rFonts w:hint="eastAsia" w:ascii="宋体" w:hAnsi="宋体"/>
                <w:sz w:val="24"/>
              </w:rPr>
              <w:t>安全设备巡检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系统版本（特征库/协议库）是否过期、CPU使用率、内存使用率、系统及安全日志检查、磁盘空间、风扇电源状态、网络区域划分是否合理、防火墙策略颗粒度是否符合要求、资源定义是否符合用户要求、安全威胁检查、防攻击功能是否开启、数据流策略是否正常、Bypass功能是否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5</w:t>
            </w:r>
          </w:p>
        </w:tc>
        <w:tc>
          <w:tcPr>
            <w:tcW w:w="1819" w:type="dxa"/>
            <w:noWrap w:val="0"/>
            <w:vAlign w:val="center"/>
          </w:tcPr>
          <w:p>
            <w:pPr>
              <w:spacing w:line="360" w:lineRule="exact"/>
              <w:jc w:val="center"/>
              <w:rPr>
                <w:rFonts w:ascii="宋体" w:hAnsi="宋体"/>
                <w:sz w:val="24"/>
              </w:rPr>
            </w:pPr>
            <w:r>
              <w:rPr>
                <w:rFonts w:hint="eastAsia" w:ascii="宋体" w:hAnsi="宋体"/>
                <w:sz w:val="24"/>
              </w:rPr>
              <w:t>主机设备操作</w:t>
            </w:r>
          </w:p>
          <w:p>
            <w:pPr>
              <w:spacing w:line="360" w:lineRule="exact"/>
              <w:jc w:val="center"/>
              <w:rPr>
                <w:rFonts w:ascii="宋体" w:hAnsi="宋体"/>
                <w:sz w:val="24"/>
              </w:rPr>
            </w:pPr>
            <w:r>
              <w:rPr>
                <w:rFonts w:hint="eastAsia" w:ascii="宋体" w:hAnsi="宋体"/>
                <w:sz w:val="24"/>
              </w:rPr>
              <w:t>系统巡检</w:t>
            </w:r>
          </w:p>
        </w:tc>
        <w:tc>
          <w:tcPr>
            <w:tcW w:w="6145" w:type="dxa"/>
            <w:noWrap w:val="0"/>
            <w:vAlign w:val="center"/>
          </w:tcPr>
          <w:p>
            <w:pPr>
              <w:spacing w:line="360" w:lineRule="exact"/>
              <w:rPr>
                <w:rFonts w:ascii="宋体" w:hAnsi="宋体"/>
                <w:sz w:val="24"/>
              </w:rPr>
            </w:pPr>
            <w:r>
              <w:rPr>
                <w:rFonts w:hint="eastAsia" w:ascii="宋体" w:hAnsi="宋体"/>
                <w:sz w:val="24"/>
              </w:rPr>
              <w:t>Windows操作系统：分析是否有系统故障；检查操作系统中的应用程序、安全、系统日志，日志中是否有错误或告警；系统防病毒软件检查，检查是否安装并且病毒库和引擎是否最新，是否有病毒威胁事件；系统服务检查，检查是否有无关系统服务，根据实际情况关闭相关无关服务；系统注册表检查，检查注册表是否有异常键值，根据实际情况进行优化修复；系统资源检查，检查系统的CPU、内存、磁盘利用率，分析性能瓶颈并给出优化建议；</w:t>
            </w:r>
          </w:p>
          <w:p>
            <w:pPr>
              <w:spacing w:line="360" w:lineRule="exact"/>
              <w:rPr>
                <w:rFonts w:ascii="宋体" w:hAnsi="宋体"/>
                <w:sz w:val="24"/>
              </w:rPr>
            </w:pPr>
            <w:r>
              <w:rPr>
                <w:rFonts w:hint="eastAsia" w:ascii="宋体" w:hAnsi="宋体"/>
                <w:sz w:val="24"/>
              </w:rPr>
              <w:t>Linux操作系统：分析是否有系统故障；检查操作系统中的系统日志，日志中是否有错误或告警；检查双机运行状态、分析日志、双机资源分配；系统资源检查，检查系统的CPU、内存、磁盘利用率，分析性能瓶颈并给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6</w:t>
            </w:r>
          </w:p>
        </w:tc>
        <w:tc>
          <w:tcPr>
            <w:tcW w:w="1819" w:type="dxa"/>
            <w:noWrap w:val="0"/>
            <w:vAlign w:val="center"/>
          </w:tcPr>
          <w:p>
            <w:pPr>
              <w:spacing w:line="360" w:lineRule="exact"/>
              <w:jc w:val="center"/>
              <w:rPr>
                <w:rFonts w:ascii="宋体" w:hAnsi="宋体"/>
                <w:sz w:val="24"/>
              </w:rPr>
            </w:pPr>
            <w:r>
              <w:rPr>
                <w:rFonts w:hint="eastAsia" w:ascii="宋体" w:hAnsi="宋体"/>
                <w:sz w:val="24"/>
              </w:rPr>
              <w:t>备份软件巡检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备份软件所在文件系统的可用空间，检查备份服务器进程，检查备份介质的可用空间，检查备份服务器的配置文件，检查备份服务器的主机解析文件，检查备份服务器调试日志级别设置，检查问题日志报告，检查目录备份（CATALOG），检查备份策略的运行状况，检查策略制定、保留周期的合理性，检查备份策略的运行时间是否正常，检查备份策略的备份数据量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7</w:t>
            </w:r>
          </w:p>
        </w:tc>
        <w:tc>
          <w:tcPr>
            <w:tcW w:w="1819" w:type="dxa"/>
            <w:noWrap w:val="0"/>
            <w:vAlign w:val="center"/>
          </w:tcPr>
          <w:p>
            <w:pPr>
              <w:spacing w:line="360" w:lineRule="exact"/>
              <w:jc w:val="center"/>
              <w:rPr>
                <w:rFonts w:ascii="宋体" w:hAnsi="宋体"/>
                <w:sz w:val="24"/>
              </w:rPr>
            </w:pPr>
            <w:r>
              <w:rPr>
                <w:rFonts w:hint="eastAsia" w:ascii="宋体" w:hAnsi="宋体"/>
                <w:sz w:val="24"/>
              </w:rPr>
              <w:t>虚拟化巡检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检查内容包括：ESXi/ESX检测、VCenter Server登陆及日志检查、HA测试、DRS资源负债均衡检测、CPU使用情况、内存使用情况、检查虚拟化存储空间、检查数据仓库名称、检查虚拟化集群状态、检查Vcenter中的主机状态和性能、检查虚拟机性能信息等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0" w:type="dxa"/>
            <w:noWrap w:val="0"/>
            <w:vAlign w:val="center"/>
          </w:tcPr>
          <w:p>
            <w:pPr>
              <w:spacing w:line="360" w:lineRule="exact"/>
              <w:jc w:val="center"/>
              <w:rPr>
                <w:rFonts w:ascii="宋体" w:hAnsi="宋体"/>
                <w:sz w:val="24"/>
              </w:rPr>
            </w:pPr>
            <w:r>
              <w:rPr>
                <w:rFonts w:hint="eastAsia" w:ascii="宋体" w:hAnsi="宋体"/>
                <w:sz w:val="24"/>
              </w:rPr>
              <w:t>8</w:t>
            </w:r>
          </w:p>
        </w:tc>
        <w:tc>
          <w:tcPr>
            <w:tcW w:w="1819" w:type="dxa"/>
            <w:noWrap w:val="0"/>
            <w:vAlign w:val="center"/>
          </w:tcPr>
          <w:p>
            <w:pPr>
              <w:spacing w:line="360" w:lineRule="exact"/>
              <w:jc w:val="center"/>
              <w:rPr>
                <w:rFonts w:ascii="宋体" w:hAnsi="宋体"/>
                <w:sz w:val="24"/>
              </w:rPr>
            </w:pPr>
            <w:r>
              <w:rPr>
                <w:rFonts w:hint="eastAsia" w:ascii="宋体" w:hAnsi="宋体"/>
                <w:sz w:val="24"/>
              </w:rPr>
              <w:t>数据库巡检</w:t>
            </w:r>
          </w:p>
        </w:tc>
        <w:tc>
          <w:tcPr>
            <w:tcW w:w="6145" w:type="dxa"/>
            <w:noWrap w:val="0"/>
            <w:vAlign w:val="center"/>
          </w:tcPr>
          <w:p>
            <w:pPr>
              <w:spacing w:line="360" w:lineRule="exact"/>
              <w:rPr>
                <w:rFonts w:ascii="宋体" w:hAnsi="宋体"/>
                <w:sz w:val="24"/>
              </w:rPr>
            </w:pPr>
            <w:r>
              <w:rPr>
                <w:rFonts w:hint="eastAsia" w:ascii="宋体" w:hAnsi="宋体"/>
                <w:sz w:val="24"/>
              </w:rPr>
              <w:t>检查内容包括:控制文件状态，检查联机日志文件状态，检查数据文件状态，检查回滚段使用情况，检查用户状态，是否存在失效对象，检查统计分析情况,检查大字段的存储占用，检查表空间的使用状况，检查定时更新数据库统计信息的存储过程是否正确,检查数据库运行状态、运行日志LOG文件检查,版本更新管理，安全备份管理。</w:t>
            </w:r>
          </w:p>
        </w:tc>
      </w:tr>
    </w:tbl>
    <w:p>
      <w:pPr>
        <w:widowControl/>
        <w:spacing w:line="440" w:lineRule="exact"/>
        <w:ind w:firstLine="482" w:firstLineChars="200"/>
        <w:jc w:val="left"/>
        <w:rPr>
          <w:rFonts w:hint="eastAsia" w:ascii="宋体" w:hAnsi="宋体" w:cs="宋体"/>
          <w:b/>
          <w:color w:val="000000"/>
          <w:sz w:val="24"/>
        </w:rPr>
      </w:pPr>
    </w:p>
    <w:p>
      <w:pPr>
        <w:widowControl/>
        <w:spacing w:line="440" w:lineRule="exact"/>
        <w:ind w:firstLine="482" w:firstLineChars="200"/>
        <w:jc w:val="left"/>
        <w:rPr>
          <w:rFonts w:ascii="宋体" w:hAnsi="宋体" w:cs="宋体"/>
          <w:b/>
          <w:color w:val="000000"/>
          <w:sz w:val="24"/>
        </w:rPr>
      </w:pPr>
      <w:r>
        <w:rPr>
          <w:rFonts w:hint="eastAsia" w:ascii="宋体" w:hAnsi="宋体" w:cs="宋体"/>
          <w:b/>
          <w:color w:val="000000"/>
          <w:sz w:val="24"/>
        </w:rPr>
        <w:t>（三）应急故障处理服务</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中标方应根据用户具体应用环境及业务要求，制定出系统在遇到故障时的应急处理预案，提出切实可行的备份切换方案及措施，确保业务能在最短时间内恢复正常。若在规定时间内无法解决，且无法在短时间内恢复系统，则应立即实行应急措施。故障处理完毕后，中标方须提供“故障分析报告”和“故障处理报告”，提交给用户方备案。故障处理时间要求如下：</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1、对于关键性问题（影响用户业务正常运作的故障）</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（1）响应时间：1～15分钟；</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（2）到场时间：2小时内到达现场；</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（3）修复时间：4小时内修复。</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2、对于一般性问题（不影响用户业务正常运作的故障）</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（1）响应时间：1～</w:t>
      </w:r>
      <w:r>
        <w:rPr>
          <w:rFonts w:ascii="宋体" w:hAnsi="宋体" w:cs="宋体"/>
          <w:color w:val="000000"/>
          <w:sz w:val="24"/>
        </w:rPr>
        <w:t>15</w:t>
      </w:r>
      <w:r>
        <w:rPr>
          <w:rFonts w:hint="eastAsia" w:ascii="宋体" w:hAnsi="宋体" w:cs="宋体"/>
          <w:color w:val="000000"/>
          <w:sz w:val="24"/>
        </w:rPr>
        <w:t>分钟；</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（2）到场时间：</w:t>
      </w:r>
      <w:r>
        <w:rPr>
          <w:rFonts w:ascii="宋体" w:hAnsi="宋体" w:cs="宋体"/>
          <w:color w:val="000000"/>
          <w:sz w:val="24"/>
        </w:rPr>
        <w:t>2</w:t>
      </w:r>
      <w:r>
        <w:rPr>
          <w:rFonts w:hint="eastAsia" w:ascii="宋体" w:hAnsi="宋体" w:cs="宋体"/>
          <w:color w:val="000000"/>
          <w:sz w:val="24"/>
        </w:rPr>
        <w:t>小时内到达现场;</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（3）修复时间：</w:t>
      </w:r>
      <w:r>
        <w:rPr>
          <w:rFonts w:ascii="宋体" w:hAnsi="宋体" w:cs="宋体"/>
          <w:color w:val="000000"/>
          <w:sz w:val="24"/>
        </w:rPr>
        <w:t>12</w:t>
      </w:r>
      <w:r>
        <w:rPr>
          <w:rFonts w:hint="eastAsia" w:ascii="宋体" w:hAnsi="宋体" w:cs="宋体"/>
          <w:color w:val="000000"/>
          <w:sz w:val="24"/>
        </w:rPr>
        <w:t>小时内修复。</w:t>
      </w:r>
    </w:p>
    <w:p>
      <w:pPr>
        <w:widowControl/>
        <w:spacing w:line="440" w:lineRule="exact"/>
        <w:ind w:firstLine="482" w:firstLineChars="200"/>
        <w:jc w:val="left"/>
        <w:rPr>
          <w:rFonts w:ascii="宋体" w:hAnsi="宋体" w:cs="宋体"/>
          <w:b/>
          <w:color w:val="000000"/>
          <w:sz w:val="24"/>
        </w:rPr>
      </w:pPr>
      <w:r>
        <w:rPr>
          <w:rFonts w:hint="eastAsia" w:ascii="宋体" w:hAnsi="宋体" w:cs="宋体"/>
          <w:b/>
          <w:color w:val="000000"/>
          <w:sz w:val="24"/>
        </w:rPr>
        <w:t>（四）其他服务内容</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1、性能</w:t>
      </w:r>
      <w:r>
        <w:rPr>
          <w:rFonts w:ascii="宋体" w:hAnsi="宋体" w:cs="宋体"/>
          <w:color w:val="000000"/>
          <w:sz w:val="24"/>
        </w:rPr>
        <w:t>调优</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结合系统定期巡检和招标方重大事件等实际需要，根据招标方提出的具体需求制定性能调优方案，并在招标方的同意下进行性能优化。要求服务团队极为擅长性能优化，具有丰富的性能优化案例和性能优化相关培训课程。提供一年不少于2次的检查优化服务。</w:t>
      </w:r>
    </w:p>
    <w:p>
      <w:pPr>
        <w:widowControl/>
        <w:spacing w:line="440" w:lineRule="exact"/>
        <w:ind w:firstLine="480" w:firstLineChars="200"/>
        <w:jc w:val="left"/>
        <w:rPr>
          <w:rFonts w:ascii="宋体" w:hAnsi="宋体" w:cs="宋体"/>
          <w:color w:val="000000"/>
          <w:sz w:val="24"/>
        </w:rPr>
      </w:pPr>
      <w:r>
        <w:rPr>
          <w:rFonts w:hint="eastAsia" w:ascii="宋体" w:hAnsi="宋体" w:cs="宋体"/>
          <w:color w:val="000000"/>
          <w:sz w:val="24"/>
        </w:rPr>
        <w:t>2、备件支持服务</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维保期间在现场存放服务器硬盘、电源等易损坏备件，在设备发生故障时可以及时得到备件保障。除现场备件外，4小时内从备件库提供备品备件到场用于问题定位和系统恢复。提供所需的全部劳务、硬件部件和维护材料，以及现场备件更换、现场硬件部件测试及相关故障排除，使得系统硬件恢复至正常状态。当发生复杂故障时，需提供与故障所可能涉及到的相关备件，并提供主要备件的冗余，避免备件发生现场DOA（到货即损）的情况而拖延故障的修复时间。</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3、培训服务</w:t>
      </w:r>
    </w:p>
    <w:p>
      <w:pPr>
        <w:widowControl/>
        <w:spacing w:line="440" w:lineRule="exact"/>
        <w:ind w:firstLine="480" w:firstLineChars="200"/>
        <w:jc w:val="left"/>
        <w:rPr>
          <w:rFonts w:ascii="宋体" w:hAnsi="宋体" w:cs="宋体"/>
          <w:sz w:val="24"/>
        </w:rPr>
      </w:pPr>
      <w:r>
        <w:rPr>
          <w:rFonts w:hint="eastAsia" w:ascii="宋体" w:hAnsi="宋体" w:cs="宋体"/>
          <w:sz w:val="24"/>
        </w:rPr>
        <w:t>提供相关设备的原网络厂商技术培训服务不少于一次，其他包含存储、服务器、网络设备等的日常维护操作的培训服务。帮助招标方提高运维水平。</w:t>
      </w:r>
    </w:p>
    <w:p>
      <w:pPr>
        <w:widowControl/>
        <w:spacing w:line="440" w:lineRule="exact"/>
        <w:ind w:firstLine="480" w:firstLineChars="200"/>
        <w:jc w:val="left"/>
        <w:rPr>
          <w:rFonts w:ascii="宋体" w:hAnsi="宋体" w:cs="宋体"/>
          <w:sz w:val="24"/>
        </w:rPr>
      </w:pPr>
      <w:r>
        <w:rPr>
          <w:rFonts w:hint="eastAsia" w:ascii="宋体" w:hAnsi="宋体" w:cs="宋体"/>
          <w:sz w:val="24"/>
        </w:rPr>
        <w:t>4、系统建档服务。由项目负责人统筹整个维保服务交付，服务工程师初检过程中抓取系统软硬件基础信息，并且根据系统初检结果，完成系统建档工作；</w:t>
      </w:r>
    </w:p>
    <w:p>
      <w:pPr>
        <w:numPr>
          <w:ilvl w:val="0"/>
          <w:numId w:val="11"/>
        </w:numPr>
        <w:spacing w:line="440" w:lineRule="exact"/>
        <w:jc w:val="left"/>
        <w:rPr>
          <w:rFonts w:ascii="宋体" w:hAnsi="宋体"/>
          <w:sz w:val="24"/>
        </w:rPr>
      </w:pPr>
      <w:r>
        <w:rPr>
          <w:rFonts w:hint="eastAsia" w:ascii="宋体" w:hAnsi="宋体"/>
          <w:sz w:val="24"/>
        </w:rPr>
        <w:t>设备机柜摆放位置；</w:t>
      </w:r>
    </w:p>
    <w:p>
      <w:pPr>
        <w:numPr>
          <w:ilvl w:val="0"/>
          <w:numId w:val="11"/>
        </w:numPr>
        <w:spacing w:line="440" w:lineRule="exact"/>
        <w:jc w:val="left"/>
        <w:rPr>
          <w:rFonts w:ascii="宋体" w:hAnsi="宋体"/>
          <w:sz w:val="24"/>
        </w:rPr>
      </w:pPr>
      <w:r>
        <w:rPr>
          <w:rFonts w:hint="eastAsia" w:ascii="宋体" w:hAnsi="宋体"/>
          <w:sz w:val="24"/>
        </w:rPr>
        <w:t>主机设备信息：所属部门、厂商、型号、序列号、应用系统模块、操作系统版本（备份和镜像情况）、设备配置情况；</w:t>
      </w:r>
    </w:p>
    <w:p>
      <w:pPr>
        <w:numPr>
          <w:ilvl w:val="0"/>
          <w:numId w:val="11"/>
        </w:numPr>
        <w:spacing w:line="440" w:lineRule="exact"/>
        <w:jc w:val="left"/>
        <w:rPr>
          <w:rFonts w:ascii="宋体" w:hAnsi="宋体"/>
          <w:sz w:val="24"/>
        </w:rPr>
      </w:pPr>
      <w:r>
        <w:rPr>
          <w:rFonts w:hint="eastAsia" w:ascii="宋体" w:hAnsi="宋体"/>
          <w:sz w:val="24"/>
        </w:rPr>
        <w:t>存储设备信息：所属部门、厂商、型号、序列号、应用系统、连接主机（LUN/大小/RAID/HOST）、硬盘详细信息；</w:t>
      </w:r>
    </w:p>
    <w:p>
      <w:pPr>
        <w:numPr>
          <w:ilvl w:val="0"/>
          <w:numId w:val="11"/>
        </w:numPr>
        <w:spacing w:line="440" w:lineRule="exact"/>
        <w:jc w:val="left"/>
        <w:rPr>
          <w:rFonts w:ascii="宋体" w:hAnsi="宋体"/>
          <w:sz w:val="24"/>
        </w:rPr>
      </w:pPr>
      <w:r>
        <w:rPr>
          <w:rFonts w:hint="eastAsia" w:ascii="宋体" w:hAnsi="宋体"/>
          <w:sz w:val="24"/>
        </w:rPr>
        <w:t>网络设备信息：所属部门、厂商、型号、序列号、操作系统版本、管理接口、IP、登陆方式、配置信息；</w:t>
      </w:r>
    </w:p>
    <w:p>
      <w:pPr>
        <w:numPr>
          <w:ilvl w:val="0"/>
          <w:numId w:val="11"/>
        </w:numPr>
        <w:spacing w:line="440" w:lineRule="exact"/>
        <w:jc w:val="left"/>
        <w:rPr>
          <w:rFonts w:ascii="宋体" w:hAnsi="宋体"/>
          <w:sz w:val="24"/>
        </w:rPr>
      </w:pPr>
      <w:r>
        <w:rPr>
          <w:rFonts w:hint="eastAsia" w:ascii="宋体" w:hAnsi="宋体"/>
          <w:sz w:val="24"/>
        </w:rPr>
        <w:t>机房环境信息：精密空调/动力监控系统/UPS系统/视频会议监控系统的品牌型号、参数、物理位置；</w:t>
      </w:r>
    </w:p>
    <w:p>
      <w:pPr>
        <w:numPr>
          <w:ilvl w:val="0"/>
          <w:numId w:val="11"/>
        </w:numPr>
        <w:spacing w:line="440" w:lineRule="exact"/>
        <w:jc w:val="left"/>
        <w:rPr>
          <w:rFonts w:ascii="宋体" w:hAnsi="宋体"/>
          <w:sz w:val="24"/>
        </w:rPr>
      </w:pPr>
      <w:r>
        <w:rPr>
          <w:rFonts w:hint="eastAsia" w:ascii="宋体" w:hAnsi="宋体"/>
          <w:sz w:val="24"/>
        </w:rPr>
        <w:t>数据库软件信息：数据库类型和版本、实例名、业务类型、hosts、IP地址、服务器名称、操作系统平台、存储类型、主机内存、PSU、SGA、PGA、Session、Process、数据量、字符集；</w:t>
      </w:r>
    </w:p>
    <w:p>
      <w:pPr>
        <w:numPr>
          <w:ilvl w:val="0"/>
          <w:numId w:val="11"/>
        </w:numPr>
        <w:spacing w:line="440" w:lineRule="exact"/>
        <w:jc w:val="left"/>
        <w:rPr>
          <w:rFonts w:ascii="宋体" w:hAnsi="宋体"/>
          <w:sz w:val="24"/>
        </w:rPr>
      </w:pPr>
      <w:r>
        <w:rPr>
          <w:rFonts w:hint="eastAsia" w:ascii="宋体" w:hAnsi="宋体"/>
          <w:sz w:val="24"/>
        </w:rPr>
        <w:t>容灾备份信息：软件版本、服务器名称、平台、IP地址、是否配置VVR、是否配置快照、架构、数据镜像保护；</w:t>
      </w:r>
    </w:p>
    <w:p>
      <w:pPr>
        <w:widowControl/>
        <w:spacing w:line="440" w:lineRule="exact"/>
        <w:ind w:firstLine="480" w:firstLineChars="200"/>
        <w:jc w:val="left"/>
        <w:rPr>
          <w:rFonts w:ascii="宋体" w:hAnsi="宋体" w:cs="宋体"/>
          <w:sz w:val="24"/>
        </w:rPr>
      </w:pPr>
      <w:r>
        <w:rPr>
          <w:rFonts w:hint="eastAsia" w:ascii="宋体" w:hAnsi="宋体" w:cs="宋体"/>
          <w:sz w:val="24"/>
        </w:rPr>
        <w:t>5、安全服务。</w:t>
      </w:r>
    </w:p>
    <w:p>
      <w:pPr>
        <w:widowControl/>
        <w:spacing w:line="440" w:lineRule="exact"/>
        <w:ind w:firstLine="480" w:firstLineChars="200"/>
        <w:jc w:val="left"/>
        <w:rPr>
          <w:rFonts w:ascii="宋体" w:hAnsi="宋体" w:cs="宋体"/>
          <w:sz w:val="24"/>
        </w:rPr>
      </w:pPr>
      <w:r>
        <w:rPr>
          <w:rFonts w:hint="eastAsia" w:ascii="宋体" w:hAnsi="宋体" w:cs="宋体"/>
          <w:sz w:val="24"/>
        </w:rPr>
        <w:t>提供包含威胁监测与主动响应服务；每年2次的漏洞扫描服务；每年3个系统的渗透测试服务；7*24小时的应急响应支持；每年2次的应急演练服务</w:t>
      </w:r>
    </w:p>
    <w:p>
      <w:pPr>
        <w:widowControl/>
        <w:spacing w:line="440" w:lineRule="exact"/>
        <w:ind w:firstLine="482" w:firstLineChars="200"/>
        <w:jc w:val="left"/>
        <w:rPr>
          <w:rFonts w:ascii="宋体" w:hAnsi="宋体" w:cs="宋体"/>
          <w:sz w:val="24"/>
        </w:rPr>
      </w:pPr>
      <w:r>
        <w:rPr>
          <w:rFonts w:hint="eastAsia" w:ascii="宋体" w:hAnsi="宋体" w:cs="宋体"/>
          <w:b/>
          <w:sz w:val="24"/>
        </w:rPr>
        <w:t>（五）人员</w:t>
      </w:r>
      <w:r>
        <w:rPr>
          <w:rFonts w:ascii="宋体" w:hAnsi="宋体" w:cs="宋体"/>
          <w:b/>
          <w:sz w:val="24"/>
        </w:rPr>
        <w:t>配备</w:t>
      </w:r>
    </w:p>
    <w:p>
      <w:pPr>
        <w:widowControl/>
        <w:spacing w:line="440" w:lineRule="exact"/>
        <w:ind w:firstLine="480" w:firstLineChars="200"/>
        <w:jc w:val="left"/>
        <w:rPr>
          <w:rFonts w:hint="eastAsia" w:ascii="宋体" w:hAnsi="宋体" w:cs="宋体"/>
          <w:sz w:val="24"/>
        </w:rPr>
      </w:pPr>
      <w:bookmarkStart w:id="33" w:name="_Hlk523903582"/>
      <w:r>
        <w:rPr>
          <w:rFonts w:hint="eastAsia" w:ascii="宋体" w:hAnsi="宋体" w:cs="宋体"/>
          <w:sz w:val="24"/>
        </w:rPr>
        <w:t>投标人根据招标方要求，现场技术支撑人员要求从事网络安全技术支持服务3年以上，并熟悉服务器、存储基础维护技术，能独立解决实际问题。此人员必须相对固定，提高服务效率。</w:t>
      </w:r>
      <w:bookmarkEnd w:id="33"/>
      <w:r>
        <w:rPr>
          <w:rFonts w:hint="eastAsia" w:ascii="宋体" w:hAnsi="宋体" w:cs="宋体"/>
          <w:sz w:val="24"/>
        </w:rPr>
        <w:t>乌镇互联网大会期间，提供华为、华三核心交换机原厂工程师驻场保障不少于3天。</w:t>
      </w:r>
    </w:p>
    <w:p>
      <w:pPr>
        <w:keepNext/>
        <w:adjustRightInd w:val="0"/>
        <w:snapToGrid w:val="0"/>
        <w:spacing w:line="440" w:lineRule="exact"/>
        <w:ind w:left="576" w:hanging="576"/>
        <w:textAlignment w:val="baseline"/>
        <w:outlineLvl w:val="1"/>
        <w:rPr>
          <w:rFonts w:ascii="宋体" w:hAnsi="宋体"/>
          <w:b/>
          <w:kern w:val="0"/>
          <w:sz w:val="24"/>
        </w:rPr>
      </w:pPr>
      <w:bookmarkStart w:id="34" w:name="_Toc80112198"/>
      <w:bookmarkStart w:id="35" w:name="_Toc111809314"/>
      <w:r>
        <w:rPr>
          <w:rFonts w:hint="eastAsia" w:ascii="宋体" w:hAnsi="宋体"/>
          <w:b/>
          <w:kern w:val="0"/>
          <w:sz w:val="24"/>
        </w:rPr>
        <w:t>三、服务期限</w:t>
      </w:r>
      <w:bookmarkEnd w:id="34"/>
      <w:bookmarkEnd w:id="35"/>
    </w:p>
    <w:p>
      <w:pPr>
        <w:widowControl/>
        <w:spacing w:line="440" w:lineRule="exact"/>
        <w:ind w:firstLine="482" w:firstLineChars="200"/>
        <w:jc w:val="left"/>
        <w:rPr>
          <w:rFonts w:ascii="宋体" w:hAnsi="宋体" w:cs="宋体"/>
          <w:b/>
          <w:color w:val="000000"/>
          <w:sz w:val="24"/>
        </w:rPr>
      </w:pPr>
      <w:r>
        <w:rPr>
          <w:rFonts w:hint="eastAsia" w:ascii="宋体" w:hAnsi="宋体" w:cs="宋体"/>
          <w:b/>
          <w:color w:val="000000"/>
          <w:sz w:val="24"/>
        </w:rPr>
        <w:t>本次维护服务项目期限为1年，从合同签订之日算起。</w:t>
      </w:r>
    </w:p>
    <w:p>
      <w:pPr>
        <w:keepNext/>
        <w:adjustRightInd w:val="0"/>
        <w:snapToGrid w:val="0"/>
        <w:spacing w:line="440" w:lineRule="exact"/>
        <w:ind w:left="576" w:hanging="576"/>
        <w:textAlignment w:val="baseline"/>
        <w:outlineLvl w:val="1"/>
        <w:rPr>
          <w:rFonts w:ascii="宋体" w:hAnsi="宋体"/>
          <w:b/>
          <w:kern w:val="0"/>
          <w:sz w:val="24"/>
        </w:rPr>
      </w:pPr>
      <w:bookmarkStart w:id="36" w:name="_Toc111809315"/>
      <w:bookmarkStart w:id="37" w:name="_Toc80112199"/>
      <w:r>
        <w:rPr>
          <w:rFonts w:hint="eastAsia" w:ascii="宋体" w:hAnsi="宋体"/>
          <w:b/>
          <w:kern w:val="0"/>
          <w:sz w:val="24"/>
        </w:rPr>
        <w:t>四、付款方式</w:t>
      </w:r>
      <w:bookmarkEnd w:id="36"/>
      <w:bookmarkEnd w:id="37"/>
    </w:p>
    <w:p>
      <w:pPr>
        <w:widowControl/>
        <w:spacing w:line="440" w:lineRule="exact"/>
        <w:ind w:firstLine="482" w:firstLineChars="200"/>
        <w:jc w:val="left"/>
        <w:rPr>
          <w:rFonts w:ascii="宋体" w:hAnsi="宋体" w:cs="宋体"/>
          <w:b/>
          <w:color w:val="000000"/>
          <w:sz w:val="24"/>
        </w:rPr>
      </w:pPr>
      <w:r>
        <w:rPr>
          <w:rFonts w:hint="eastAsia" w:ascii="宋体" w:hAnsi="宋体" w:cs="宋体"/>
          <w:b/>
          <w:color w:val="000000"/>
          <w:sz w:val="24"/>
        </w:rPr>
        <w:t>本次维保服务费用按</w:t>
      </w:r>
      <w:r>
        <w:rPr>
          <w:rFonts w:ascii="宋体" w:hAnsi="宋体" w:cs="宋体"/>
          <w:b/>
          <w:color w:val="000000"/>
          <w:sz w:val="24"/>
        </w:rPr>
        <w:t>年为单位</w:t>
      </w:r>
      <w:r>
        <w:rPr>
          <w:rFonts w:hint="eastAsia" w:ascii="宋体" w:hAnsi="宋体" w:cs="宋体"/>
          <w:b/>
          <w:color w:val="000000"/>
          <w:sz w:val="24"/>
        </w:rPr>
        <w:t>分</w:t>
      </w:r>
      <w:r>
        <w:rPr>
          <w:rFonts w:ascii="宋体" w:hAnsi="宋体" w:cs="宋体"/>
          <w:b/>
          <w:color w:val="000000"/>
          <w:sz w:val="24"/>
        </w:rPr>
        <w:t>2</w:t>
      </w:r>
      <w:r>
        <w:rPr>
          <w:rFonts w:hint="eastAsia" w:ascii="宋体" w:hAnsi="宋体" w:cs="宋体"/>
          <w:b/>
          <w:color w:val="000000"/>
          <w:sz w:val="24"/>
        </w:rPr>
        <w:t>次支付，合同生效以及项目具备实施条件并提供发票后7个工作日内，支付中标价的40%合同款；服务期满后7个工作日内支付60%的合同款。</w:t>
      </w:r>
    </w:p>
    <w:p>
      <w:pPr>
        <w:spacing w:line="360" w:lineRule="auto"/>
        <w:ind w:right="-113" w:rightChars="-54" w:firstLine="480" w:firstLineChars="200"/>
        <w:rPr>
          <w:rFonts w:hint="eastAsia" w:ascii="宋体" w:hAnsi="宋体"/>
          <w:sz w:val="24"/>
        </w:rPr>
      </w:pPr>
    </w:p>
    <w:p>
      <w:pPr>
        <w:rPr>
          <w:rFonts w:hint="eastAsia"/>
        </w:rPr>
      </w:pPr>
    </w:p>
    <w:p>
      <w:pPr>
        <w:pStyle w:val="2"/>
        <w:numPr>
          <w:ilvl w:val="0"/>
          <w:numId w:val="0"/>
        </w:numPr>
        <w:tabs>
          <w:tab w:val="left" w:pos="0"/>
        </w:tabs>
        <w:wordWrap w:val="0"/>
        <w:snapToGrid w:val="0"/>
        <w:spacing w:line="360" w:lineRule="auto"/>
        <w:jc w:val="center"/>
        <w:rPr>
          <w:rFonts w:hint="eastAsia" w:hAnsi="宋体"/>
          <w:sz w:val="36"/>
          <w:szCs w:val="36"/>
        </w:rPr>
      </w:pPr>
      <w:bookmarkStart w:id="38" w:name="_Toc111809316"/>
      <w:r>
        <w:rPr>
          <w:rStyle w:val="53"/>
          <w:rFonts w:hint="eastAsia"/>
          <w:b/>
          <w:bCs/>
          <w:sz w:val="36"/>
          <w:szCs w:val="36"/>
        </w:rPr>
        <w:t>第</w:t>
      </w:r>
      <w:r>
        <w:rPr>
          <w:rStyle w:val="53"/>
          <w:rFonts w:hint="eastAsia"/>
          <w:b/>
          <w:bCs/>
          <w:sz w:val="36"/>
          <w:szCs w:val="36"/>
          <w:lang w:eastAsia="zh-CN"/>
        </w:rPr>
        <w:t>四</w:t>
      </w:r>
      <w:r>
        <w:rPr>
          <w:rStyle w:val="53"/>
          <w:rFonts w:hint="eastAsia"/>
          <w:b/>
          <w:bCs/>
          <w:sz w:val="36"/>
          <w:szCs w:val="36"/>
        </w:rPr>
        <w:t xml:space="preserve">章  </w:t>
      </w:r>
      <w:bookmarkEnd w:id="5"/>
      <w:r>
        <w:rPr>
          <w:rStyle w:val="53"/>
          <w:rFonts w:hint="eastAsia"/>
          <w:b/>
          <w:bCs/>
          <w:sz w:val="36"/>
          <w:szCs w:val="36"/>
        </w:rPr>
        <w:t>竞争性磋商方法和程序</w:t>
      </w:r>
      <w:bookmarkEnd w:id="38"/>
    </w:p>
    <w:p>
      <w:pPr>
        <w:spacing w:line="440" w:lineRule="exact"/>
        <w:rPr>
          <w:rFonts w:ascii="宋体" w:hAnsi="宋体"/>
          <w:b/>
          <w:sz w:val="24"/>
        </w:rPr>
      </w:pPr>
      <w:bookmarkStart w:id="39" w:name="_Toc182848996"/>
      <w:bookmarkStart w:id="40" w:name="_Toc177870536"/>
      <w:r>
        <w:rPr>
          <w:rFonts w:hint="eastAsia" w:ascii="宋体" w:hAnsi="宋体"/>
          <w:b/>
          <w:sz w:val="24"/>
        </w:rPr>
        <w:t>一、</w:t>
      </w:r>
      <w:bookmarkEnd w:id="39"/>
      <w:r>
        <w:rPr>
          <w:rFonts w:hint="eastAsia" w:ascii="宋体" w:hAnsi="宋体"/>
          <w:b/>
          <w:sz w:val="24"/>
        </w:rPr>
        <w:t>开标</w:t>
      </w:r>
    </w:p>
    <w:p>
      <w:pPr>
        <w:spacing w:line="440" w:lineRule="exact"/>
        <w:ind w:firstLine="460" w:firstLineChars="192"/>
        <w:rPr>
          <w:rFonts w:ascii="宋体" w:hAnsi="宋体"/>
          <w:sz w:val="24"/>
        </w:rPr>
      </w:pPr>
      <w:bookmarkStart w:id="41" w:name="_Toc182848997"/>
      <w:r>
        <w:rPr>
          <w:rFonts w:hint="eastAsia" w:ascii="宋体" w:hAnsi="宋体"/>
          <w:sz w:val="24"/>
        </w:rPr>
        <w:t>需方在竞争性磋商文件规定的时间和地点举行竞争性磋商会议。</w:t>
      </w:r>
      <w:bookmarkEnd w:id="41"/>
    </w:p>
    <w:p>
      <w:pPr>
        <w:spacing w:line="440" w:lineRule="exact"/>
        <w:rPr>
          <w:rFonts w:ascii="宋体" w:hAnsi="宋体"/>
          <w:b/>
          <w:sz w:val="24"/>
        </w:rPr>
      </w:pPr>
      <w:bookmarkStart w:id="42" w:name="_Toc182848999"/>
      <w:r>
        <w:rPr>
          <w:rFonts w:hint="eastAsia" w:ascii="宋体" w:hAnsi="宋体"/>
          <w:b/>
          <w:sz w:val="24"/>
        </w:rPr>
        <w:t>二、磋商小组</w:t>
      </w:r>
      <w:bookmarkEnd w:id="42"/>
    </w:p>
    <w:p>
      <w:pPr>
        <w:spacing w:line="440" w:lineRule="exact"/>
        <w:ind w:firstLine="460" w:firstLineChars="192"/>
        <w:rPr>
          <w:rFonts w:ascii="宋体" w:hAnsi="宋体"/>
          <w:sz w:val="24"/>
        </w:rPr>
      </w:pPr>
      <w:bookmarkStart w:id="43" w:name="_Toc182849000"/>
      <w:r>
        <w:rPr>
          <w:rFonts w:hint="eastAsia" w:ascii="宋体" w:hAnsi="宋体"/>
          <w:sz w:val="24"/>
        </w:rPr>
        <w:t>（一）磋商小组依法由3人（含）以上奇数有关技术、经济等方面的专家和采购人代表组成。</w:t>
      </w:r>
      <w:bookmarkEnd w:id="43"/>
    </w:p>
    <w:p>
      <w:pPr>
        <w:spacing w:line="440" w:lineRule="exact"/>
        <w:ind w:firstLine="460" w:firstLineChars="192"/>
        <w:rPr>
          <w:rFonts w:ascii="宋体" w:hAnsi="宋体"/>
          <w:sz w:val="24"/>
        </w:rPr>
      </w:pPr>
      <w:r>
        <w:rPr>
          <w:rFonts w:hint="eastAsia" w:ascii="宋体" w:hAnsi="宋体"/>
          <w:sz w:val="24"/>
        </w:rPr>
        <w:t>（二）磋商期间，响应方法定代表人或全权代表必须在场，负责解答有关事宜。</w:t>
      </w:r>
    </w:p>
    <w:p>
      <w:pPr>
        <w:spacing w:line="440" w:lineRule="exact"/>
        <w:rPr>
          <w:rFonts w:ascii="宋体" w:hAnsi="宋体"/>
          <w:b/>
          <w:sz w:val="24"/>
        </w:rPr>
      </w:pPr>
      <w:r>
        <w:rPr>
          <w:rFonts w:hint="eastAsia" w:ascii="宋体" w:hAnsi="宋体"/>
          <w:b/>
          <w:sz w:val="24"/>
        </w:rPr>
        <w:t>三、竞争性磋商评审原则与方法</w:t>
      </w:r>
    </w:p>
    <w:p>
      <w:pPr>
        <w:spacing w:line="440" w:lineRule="exact"/>
        <w:ind w:firstLine="460" w:firstLineChars="192"/>
        <w:rPr>
          <w:rFonts w:ascii="宋体" w:hAnsi="宋体"/>
          <w:sz w:val="24"/>
        </w:rPr>
      </w:pPr>
      <w:r>
        <w:rPr>
          <w:rFonts w:hint="eastAsia" w:ascii="宋体" w:hAnsi="宋体"/>
          <w:sz w:val="24"/>
        </w:rPr>
        <w:t>（一）磋商小组将遵循公开、公平、公正的原则，对响应方提供货物或服务的价格、服务方案组织、服务承诺、公司基本情况、履约能力等进行综合分析评审，由磋商小组在符合采购需求的前提下，以提出综合评分最高的响应方作为中标供应商。</w:t>
      </w:r>
    </w:p>
    <w:p>
      <w:pPr>
        <w:spacing w:line="440" w:lineRule="exact"/>
        <w:ind w:firstLine="460" w:firstLineChars="192"/>
        <w:rPr>
          <w:rFonts w:ascii="宋体" w:hAnsi="宋体"/>
          <w:sz w:val="24"/>
        </w:rPr>
      </w:pPr>
      <w:r>
        <w:rPr>
          <w:rFonts w:hint="eastAsia" w:ascii="宋体" w:hAnsi="宋体"/>
          <w:sz w:val="24"/>
        </w:rPr>
        <w:t>（二）客观、公正的对待所有响应方，对所有响应方的评价，均采用相同的程序和标准。</w:t>
      </w:r>
    </w:p>
    <w:p>
      <w:pPr>
        <w:spacing w:line="440" w:lineRule="exact"/>
        <w:ind w:firstLine="460" w:firstLineChars="192"/>
        <w:rPr>
          <w:rFonts w:ascii="宋体" w:hAnsi="宋体"/>
          <w:sz w:val="24"/>
        </w:rPr>
      </w:pPr>
      <w:r>
        <w:rPr>
          <w:rFonts w:hint="eastAsia" w:ascii="宋体" w:hAnsi="宋体"/>
          <w:sz w:val="24"/>
        </w:rPr>
        <w:t>（三）在磋商期间，响应方不得向磋商小组成员询问相关磋商情况，不得进行旨在影响磋商结果的活动，否则将取消其磋商资格。</w:t>
      </w:r>
    </w:p>
    <w:p>
      <w:pPr>
        <w:spacing w:line="440" w:lineRule="exact"/>
        <w:ind w:firstLine="460" w:firstLineChars="192"/>
        <w:rPr>
          <w:rFonts w:ascii="宋体" w:hAnsi="宋体"/>
          <w:sz w:val="24"/>
        </w:rPr>
      </w:pPr>
      <w:r>
        <w:rPr>
          <w:rFonts w:hint="eastAsia" w:ascii="宋体" w:hAnsi="宋体"/>
          <w:sz w:val="24"/>
        </w:rPr>
        <w:t>（四）在磋商过程中，磋商小组成员不得与响应方私下交换意见，在竞争性磋商工作结束后，凡与磋商情况有接触的人不得将磋商情况扩散出磋商小组成员之外。</w:t>
      </w:r>
    </w:p>
    <w:p>
      <w:pPr>
        <w:spacing w:line="440" w:lineRule="exact"/>
        <w:ind w:firstLine="460" w:firstLineChars="192"/>
        <w:rPr>
          <w:rFonts w:ascii="宋体" w:hAnsi="宋体"/>
          <w:sz w:val="24"/>
        </w:rPr>
      </w:pPr>
      <w:r>
        <w:rPr>
          <w:rFonts w:hint="eastAsia" w:ascii="宋体" w:hAnsi="宋体"/>
          <w:sz w:val="24"/>
        </w:rPr>
        <w:t>（五）不向未中标响应方解释未中标原因，不退还磋商响应文件。</w:t>
      </w:r>
    </w:p>
    <w:p>
      <w:pPr>
        <w:spacing w:line="440" w:lineRule="exact"/>
        <w:ind w:firstLine="463" w:firstLineChars="192"/>
        <w:rPr>
          <w:rFonts w:ascii="宋体" w:hAnsi="宋体"/>
          <w:b/>
          <w:sz w:val="24"/>
        </w:rPr>
      </w:pPr>
      <w:r>
        <w:rPr>
          <w:rFonts w:hint="eastAsia" w:ascii="宋体" w:hAnsi="宋体"/>
          <w:b/>
          <w:sz w:val="24"/>
        </w:rPr>
        <w:t>（六）无效响应条款（有以下情况发生的为无效响应）：</w:t>
      </w:r>
    </w:p>
    <w:p>
      <w:pPr>
        <w:pStyle w:val="18"/>
        <w:numPr>
          <w:ilvl w:val="0"/>
          <w:numId w:val="12"/>
        </w:numPr>
        <w:tabs>
          <w:tab w:val="left" w:pos="709"/>
          <w:tab w:val="left" w:pos="993"/>
          <w:tab w:val="clear" w:pos="1320"/>
        </w:tabs>
        <w:spacing w:after="0" w:line="440" w:lineRule="exact"/>
        <w:ind w:left="567" w:right="-334" w:rightChars="-159" w:firstLine="0"/>
        <w:rPr>
          <w:rFonts w:hAnsi="宋体"/>
          <w:b/>
          <w:bCs/>
          <w:sz w:val="24"/>
        </w:rPr>
      </w:pPr>
      <w:r>
        <w:rPr>
          <w:rFonts w:hint="eastAsia" w:hAnsi="宋体"/>
          <w:b/>
          <w:bCs/>
          <w:sz w:val="24"/>
        </w:rPr>
        <w:t>响应文件未按竞争性磋商文件规定要求签署、盖章的；</w:t>
      </w:r>
    </w:p>
    <w:p>
      <w:pPr>
        <w:pStyle w:val="18"/>
        <w:numPr>
          <w:ilvl w:val="0"/>
          <w:numId w:val="12"/>
        </w:numPr>
        <w:tabs>
          <w:tab w:val="left" w:pos="709"/>
          <w:tab w:val="left" w:pos="993"/>
          <w:tab w:val="clear" w:pos="1320"/>
        </w:tabs>
        <w:spacing w:after="0" w:line="440" w:lineRule="exact"/>
        <w:ind w:left="567" w:right="-334" w:rightChars="-159" w:firstLine="0"/>
        <w:rPr>
          <w:rFonts w:hint="eastAsia" w:hAnsi="宋体"/>
          <w:b/>
          <w:bCs/>
          <w:sz w:val="24"/>
        </w:rPr>
      </w:pPr>
      <w:r>
        <w:rPr>
          <w:rFonts w:hint="eastAsia" w:hAnsi="宋体"/>
          <w:b/>
          <w:bCs/>
          <w:sz w:val="24"/>
        </w:rPr>
        <w:t>未按规定提供投标服务清单的；</w:t>
      </w:r>
    </w:p>
    <w:p>
      <w:pPr>
        <w:pStyle w:val="18"/>
        <w:numPr>
          <w:ilvl w:val="0"/>
          <w:numId w:val="12"/>
        </w:numPr>
        <w:tabs>
          <w:tab w:val="left" w:pos="709"/>
          <w:tab w:val="left" w:pos="993"/>
          <w:tab w:val="clear" w:pos="1320"/>
        </w:tabs>
        <w:spacing w:after="0" w:line="440" w:lineRule="exact"/>
        <w:ind w:left="567" w:right="-334" w:rightChars="-159" w:firstLine="0"/>
        <w:rPr>
          <w:rFonts w:hAnsi="宋体"/>
          <w:b/>
          <w:bCs/>
          <w:sz w:val="24"/>
        </w:rPr>
      </w:pPr>
      <w:r>
        <w:rPr>
          <w:rFonts w:hint="eastAsia" w:hAnsi="宋体"/>
          <w:b/>
          <w:bCs/>
          <w:sz w:val="24"/>
        </w:rPr>
        <w:t>提供不确定的、有选择性的技术方案或有附加条件的技术方案的；</w:t>
      </w:r>
    </w:p>
    <w:p>
      <w:pPr>
        <w:pStyle w:val="18"/>
        <w:numPr>
          <w:ilvl w:val="0"/>
          <w:numId w:val="12"/>
        </w:numPr>
        <w:tabs>
          <w:tab w:val="left" w:pos="709"/>
          <w:tab w:val="left" w:pos="993"/>
          <w:tab w:val="clear" w:pos="1320"/>
        </w:tabs>
        <w:spacing w:after="0" w:line="440" w:lineRule="exact"/>
        <w:ind w:left="567" w:right="-334" w:rightChars="-159" w:firstLine="0"/>
        <w:rPr>
          <w:rFonts w:hAnsi="宋体"/>
          <w:b/>
          <w:bCs/>
          <w:sz w:val="24"/>
        </w:rPr>
      </w:pPr>
      <w:r>
        <w:rPr>
          <w:rFonts w:hint="eastAsia" w:hAnsi="宋体"/>
          <w:b/>
          <w:bCs/>
          <w:sz w:val="24"/>
        </w:rPr>
        <w:t>提供不确定的，有选择性的报价或有附加条件的报价的；</w:t>
      </w:r>
    </w:p>
    <w:p>
      <w:pPr>
        <w:pStyle w:val="18"/>
        <w:numPr>
          <w:ilvl w:val="0"/>
          <w:numId w:val="12"/>
        </w:numPr>
        <w:tabs>
          <w:tab w:val="left" w:pos="709"/>
          <w:tab w:val="left" w:pos="993"/>
          <w:tab w:val="clear" w:pos="1320"/>
        </w:tabs>
        <w:spacing w:after="0" w:line="440" w:lineRule="exact"/>
        <w:ind w:left="567" w:right="-334" w:rightChars="-159" w:firstLine="0"/>
        <w:rPr>
          <w:rFonts w:hAnsi="宋体"/>
          <w:b/>
          <w:bCs/>
          <w:sz w:val="24"/>
        </w:rPr>
      </w:pPr>
      <w:r>
        <w:rPr>
          <w:rFonts w:hint="eastAsia" w:hAnsi="宋体"/>
          <w:b/>
          <w:bCs/>
          <w:sz w:val="24"/>
        </w:rPr>
        <w:t>法定代表人授权书上无投标人盖章或无法定代表人签字的；</w:t>
      </w:r>
    </w:p>
    <w:p>
      <w:pPr>
        <w:pStyle w:val="18"/>
        <w:numPr>
          <w:ilvl w:val="0"/>
          <w:numId w:val="12"/>
        </w:numPr>
        <w:tabs>
          <w:tab w:val="left" w:pos="709"/>
          <w:tab w:val="left" w:pos="993"/>
          <w:tab w:val="clear" w:pos="1320"/>
        </w:tabs>
        <w:spacing w:after="0" w:line="440" w:lineRule="exact"/>
        <w:ind w:left="567" w:right="-334" w:rightChars="-159" w:firstLine="0"/>
        <w:rPr>
          <w:rFonts w:hAnsi="宋体"/>
          <w:b/>
          <w:sz w:val="24"/>
        </w:rPr>
      </w:pPr>
      <w:r>
        <w:rPr>
          <w:rFonts w:hint="eastAsia" w:hAnsi="宋体"/>
          <w:b/>
          <w:sz w:val="24"/>
        </w:rPr>
        <w:t>响应方对本项目中所列货物（服务）擅自拆分；</w:t>
      </w:r>
    </w:p>
    <w:p>
      <w:pPr>
        <w:pStyle w:val="18"/>
        <w:numPr>
          <w:ilvl w:val="0"/>
          <w:numId w:val="12"/>
        </w:numPr>
        <w:tabs>
          <w:tab w:val="left" w:pos="709"/>
          <w:tab w:val="left" w:pos="993"/>
          <w:tab w:val="clear" w:pos="1320"/>
        </w:tabs>
        <w:spacing w:after="0" w:line="440" w:lineRule="exact"/>
        <w:ind w:left="567" w:right="-334" w:rightChars="-159" w:firstLine="0"/>
        <w:rPr>
          <w:rFonts w:hAnsi="宋体"/>
          <w:b/>
          <w:sz w:val="24"/>
        </w:rPr>
      </w:pPr>
      <w:r>
        <w:rPr>
          <w:rFonts w:hint="eastAsia" w:hAnsi="宋体"/>
          <w:b/>
          <w:sz w:val="24"/>
        </w:rPr>
        <w:t>响应文件未实质性响应竞争性磋商文件要求的；</w:t>
      </w:r>
    </w:p>
    <w:p>
      <w:pPr>
        <w:pStyle w:val="18"/>
        <w:numPr>
          <w:ilvl w:val="0"/>
          <w:numId w:val="12"/>
        </w:numPr>
        <w:tabs>
          <w:tab w:val="left" w:pos="709"/>
          <w:tab w:val="left" w:pos="993"/>
          <w:tab w:val="clear" w:pos="1320"/>
        </w:tabs>
        <w:spacing w:after="0" w:line="440" w:lineRule="exact"/>
        <w:ind w:left="567" w:right="-334" w:rightChars="-159" w:firstLine="0"/>
        <w:rPr>
          <w:rFonts w:hAnsi="宋体"/>
          <w:b/>
          <w:spacing w:val="-11"/>
          <w:sz w:val="24"/>
        </w:rPr>
      </w:pPr>
      <w:r>
        <w:rPr>
          <w:rFonts w:hint="eastAsia" w:hAnsi="宋体"/>
          <w:b/>
          <w:spacing w:val="-11"/>
          <w:sz w:val="24"/>
        </w:rPr>
        <w:t>在投标有效期内发现投标人及其法定代表人行贿犯罪档案查询证明中有记录的；</w:t>
      </w:r>
    </w:p>
    <w:p>
      <w:pPr>
        <w:pStyle w:val="18"/>
        <w:numPr>
          <w:ilvl w:val="0"/>
          <w:numId w:val="12"/>
        </w:numPr>
        <w:tabs>
          <w:tab w:val="left" w:pos="709"/>
          <w:tab w:val="left" w:pos="993"/>
          <w:tab w:val="clear" w:pos="1320"/>
        </w:tabs>
        <w:spacing w:after="0" w:line="440" w:lineRule="exact"/>
        <w:ind w:left="567" w:right="-334" w:rightChars="-159" w:firstLine="0"/>
        <w:rPr>
          <w:rFonts w:hAnsi="宋体"/>
          <w:b/>
          <w:sz w:val="24"/>
        </w:rPr>
      </w:pPr>
      <w:r>
        <w:rPr>
          <w:rFonts w:hint="eastAsia" w:hAnsi="宋体"/>
          <w:b/>
          <w:bCs/>
          <w:sz w:val="24"/>
        </w:rPr>
        <w:t>不符合法律、法规、竞争性磋商文件规定的其他要求的。</w:t>
      </w:r>
    </w:p>
    <w:p>
      <w:pPr>
        <w:spacing w:line="440" w:lineRule="exact"/>
        <w:rPr>
          <w:rFonts w:ascii="宋体" w:hAnsi="宋体"/>
          <w:b/>
          <w:sz w:val="24"/>
        </w:rPr>
      </w:pPr>
      <w:r>
        <w:rPr>
          <w:rFonts w:hint="eastAsia" w:ascii="宋体" w:hAnsi="宋体"/>
          <w:b/>
          <w:sz w:val="24"/>
        </w:rPr>
        <w:t>四、磋商程序</w:t>
      </w:r>
    </w:p>
    <w:p>
      <w:pPr>
        <w:spacing w:line="440" w:lineRule="exact"/>
        <w:rPr>
          <w:rFonts w:ascii="宋体" w:hAnsi="宋体"/>
          <w:sz w:val="24"/>
        </w:rPr>
      </w:pPr>
      <w:r>
        <w:rPr>
          <w:rFonts w:hint="eastAsia" w:ascii="宋体" w:hAnsi="宋体"/>
          <w:sz w:val="24"/>
        </w:rPr>
        <w:t>（一） 磋商小组审核磋商响应文件及响应方的资格符合性。</w:t>
      </w:r>
    </w:p>
    <w:p>
      <w:pPr>
        <w:spacing w:line="440" w:lineRule="exact"/>
        <w:ind w:firstLine="427" w:firstLineChars="178"/>
        <w:rPr>
          <w:rFonts w:ascii="宋体" w:hAnsi="宋体"/>
          <w:sz w:val="24"/>
        </w:rPr>
      </w:pPr>
      <w:r>
        <w:rPr>
          <w:rFonts w:hint="eastAsia" w:ascii="宋体" w:hAnsi="宋体"/>
          <w:sz w:val="24"/>
        </w:rPr>
        <w:t>依据竞争性磋商文件的规定，从磋商响应文件的有效性、完整性和对竞争性磋商文件的响应程度进行审查，以确定是否对磋商文件的实质性要求作出响应。</w:t>
      </w:r>
    </w:p>
    <w:p>
      <w:pPr>
        <w:spacing w:line="440" w:lineRule="exact"/>
        <w:rPr>
          <w:rFonts w:ascii="宋体" w:hAnsi="宋体"/>
          <w:sz w:val="24"/>
        </w:rPr>
      </w:pPr>
      <w:r>
        <w:rPr>
          <w:rFonts w:hint="eastAsia" w:ascii="宋体" w:hAnsi="宋体"/>
          <w:sz w:val="24"/>
        </w:rPr>
        <w:t>（二）磋商小组汇总并讨论对响应文件的审核情况，确定响应方是否具有磋商资格。</w:t>
      </w:r>
    </w:p>
    <w:p>
      <w:pPr>
        <w:spacing w:line="440" w:lineRule="exact"/>
        <w:rPr>
          <w:rFonts w:ascii="宋体" w:hAnsi="宋体"/>
          <w:sz w:val="24"/>
        </w:rPr>
      </w:pPr>
      <w:r>
        <w:rPr>
          <w:rFonts w:hint="eastAsia" w:ascii="宋体" w:hAnsi="宋体"/>
          <w:sz w:val="24"/>
        </w:rPr>
        <w:t>（三）按迟到者优先的顺序与各响应方进行磋商。</w:t>
      </w:r>
    </w:p>
    <w:p>
      <w:pPr>
        <w:spacing w:line="440" w:lineRule="exact"/>
        <w:ind w:firstLine="460" w:firstLineChars="192"/>
        <w:rPr>
          <w:rFonts w:ascii="宋体" w:hAnsi="宋体"/>
          <w:sz w:val="24"/>
        </w:rPr>
      </w:pPr>
      <w:r>
        <w:rPr>
          <w:rFonts w:hint="eastAsia" w:ascii="宋体" w:hAnsi="宋体"/>
          <w:sz w:val="24"/>
        </w:rPr>
        <w:t>1、响应方介绍公司的基本情况，服务承诺情况等。</w:t>
      </w:r>
    </w:p>
    <w:p>
      <w:pPr>
        <w:spacing w:line="440" w:lineRule="exact"/>
        <w:ind w:firstLine="460" w:firstLineChars="192"/>
        <w:rPr>
          <w:rFonts w:ascii="宋体" w:hAnsi="宋体"/>
          <w:sz w:val="24"/>
        </w:rPr>
      </w:pPr>
      <w:r>
        <w:rPr>
          <w:rFonts w:hint="eastAsia" w:ascii="宋体" w:hAnsi="宋体"/>
          <w:sz w:val="24"/>
        </w:rPr>
        <w:t>2、磋商小组就响应文件的响应情况与响应方展开磋商，并可能对磋商文件的技术、服务要求及合同条款进行修改，并将修改的内容书面通知所有响应方。</w:t>
      </w:r>
    </w:p>
    <w:p>
      <w:pPr>
        <w:spacing w:line="440" w:lineRule="exact"/>
        <w:ind w:firstLine="460" w:firstLineChars="192"/>
        <w:rPr>
          <w:rFonts w:ascii="宋体" w:hAnsi="宋体"/>
          <w:sz w:val="24"/>
        </w:rPr>
      </w:pPr>
      <w:r>
        <w:rPr>
          <w:rFonts w:hint="eastAsia" w:ascii="宋体" w:hAnsi="宋体"/>
          <w:sz w:val="24"/>
        </w:rPr>
        <w:t xml:space="preserve">3、响应方针对磋商文件的修改书面提交相应的响应文件修改并由法定代表人或全权代表签字。 </w:t>
      </w:r>
    </w:p>
    <w:p>
      <w:pPr>
        <w:spacing w:line="440" w:lineRule="exact"/>
        <w:ind w:firstLine="460" w:firstLineChars="192"/>
        <w:rPr>
          <w:rFonts w:hint="eastAsia" w:ascii="宋体" w:hAnsi="宋体"/>
          <w:sz w:val="24"/>
        </w:rPr>
      </w:pPr>
      <w:r>
        <w:rPr>
          <w:rFonts w:hint="eastAsia" w:ascii="宋体" w:hAnsi="宋体"/>
          <w:sz w:val="24"/>
        </w:rPr>
        <w:t>4、磋商小组将根据响应方提交的修改后的响应方案，以少数服从多数的原则投票确定三家或三家以上的响应方在规定时间内进行最后报价，并密封提交。提交最后报价前，响应方也可根据磋商情况退出磋商，放弃报价。提交最后报价的响应方可为两家。</w:t>
      </w:r>
    </w:p>
    <w:p>
      <w:pPr>
        <w:spacing w:line="440" w:lineRule="exact"/>
        <w:ind w:firstLine="460" w:firstLineChars="192"/>
        <w:rPr>
          <w:rFonts w:hint="eastAsia" w:ascii="宋体" w:hAnsi="宋体"/>
          <w:b/>
          <w:sz w:val="24"/>
        </w:rPr>
      </w:pPr>
      <w:r>
        <w:rPr>
          <w:rFonts w:hint="eastAsia" w:ascii="宋体" w:hAnsi="宋体"/>
          <w:sz w:val="24"/>
        </w:rPr>
        <w:t>5、磋商小组采用综合评分法对提交最后报价的响应方进行技术评分。</w:t>
      </w:r>
      <w:bookmarkEnd w:id="40"/>
      <w:bookmarkStart w:id="44" w:name="_Toc170792807"/>
      <w:bookmarkStart w:id="45" w:name="_Toc177870559"/>
      <w:r>
        <w:rPr>
          <w:rFonts w:hint="eastAsia" w:ascii="宋体" w:hAnsi="宋体"/>
          <w:sz w:val="24"/>
        </w:rPr>
        <w:t>技术评分满分为80分，评分细则如下</w:t>
      </w:r>
      <w:r>
        <w:rPr>
          <w:rFonts w:hint="eastAsia" w:ascii="宋体" w:hAnsi="宋体"/>
          <w:b/>
          <w:sz w:val="24"/>
        </w:rPr>
        <w:t>（涉及的证明材料，如无注明，均为投标文件中提供复印件）</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9180" w:type="dxa"/>
            <w:gridSpan w:val="3"/>
            <w:noWrap w:val="0"/>
            <w:vAlign w:val="center"/>
          </w:tcPr>
          <w:p>
            <w:pPr>
              <w:adjustRightInd w:val="0"/>
              <w:spacing w:line="400" w:lineRule="exact"/>
              <w:textAlignment w:val="baseline"/>
              <w:rPr>
                <w:rFonts w:hint="eastAsia" w:ascii="宋体" w:hAnsi="宋体" w:cs="宋体"/>
                <w:b/>
                <w:sz w:val="36"/>
              </w:rPr>
            </w:pPr>
            <w:r>
              <w:rPr>
                <w:rFonts w:hint="eastAsia" w:ascii="宋体" w:hAnsi="宋体" w:cs="宋体"/>
                <w:b/>
                <w:sz w:val="36"/>
              </w:rPr>
              <w:t>分包1评分办法: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noWrap w:val="0"/>
            <w:vAlign w:val="center"/>
          </w:tcPr>
          <w:p>
            <w:pPr>
              <w:adjustRightInd w:val="0"/>
              <w:spacing w:line="400" w:lineRule="exact"/>
              <w:jc w:val="center"/>
              <w:textAlignment w:val="baseline"/>
              <w:rPr>
                <w:rFonts w:hint="eastAsia" w:ascii="宋体" w:hAnsi="宋体" w:cs="宋体"/>
                <w:b/>
                <w:sz w:val="24"/>
              </w:rPr>
            </w:pPr>
            <w:r>
              <w:rPr>
                <w:rFonts w:hint="eastAsia" w:ascii="宋体" w:hAnsi="宋体" w:cs="宋体"/>
                <w:b/>
                <w:sz w:val="24"/>
              </w:rPr>
              <w:t>评分项目</w:t>
            </w:r>
          </w:p>
        </w:tc>
        <w:tc>
          <w:tcPr>
            <w:tcW w:w="6379" w:type="dxa"/>
            <w:noWrap w:val="0"/>
            <w:vAlign w:val="center"/>
          </w:tcPr>
          <w:p>
            <w:pPr>
              <w:adjustRightInd w:val="0"/>
              <w:spacing w:line="400" w:lineRule="exact"/>
              <w:ind w:left="666"/>
              <w:jc w:val="center"/>
              <w:textAlignment w:val="baseline"/>
              <w:rPr>
                <w:rFonts w:hint="eastAsia" w:ascii="宋体" w:hAnsi="宋体" w:cs="宋体"/>
                <w:b/>
                <w:sz w:val="24"/>
              </w:rPr>
            </w:pPr>
            <w:r>
              <w:rPr>
                <w:rFonts w:hint="eastAsia" w:ascii="宋体" w:hAnsi="宋体" w:cs="宋体"/>
                <w:b/>
                <w:sz w:val="24"/>
              </w:rPr>
              <w:t>评  分  标  准  及  细  则</w:t>
            </w:r>
          </w:p>
        </w:tc>
        <w:tc>
          <w:tcPr>
            <w:tcW w:w="992" w:type="dxa"/>
            <w:noWrap w:val="0"/>
            <w:vAlign w:val="center"/>
          </w:tcPr>
          <w:p>
            <w:pPr>
              <w:adjustRightInd w:val="0"/>
              <w:spacing w:line="400" w:lineRule="exact"/>
              <w:jc w:val="center"/>
              <w:textAlignment w:val="baseline"/>
              <w:rPr>
                <w:rFonts w:hint="eastAsia"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对项目的理解和解决方案</w:t>
            </w:r>
          </w:p>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（8分）</w:t>
            </w: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投标人对项目需求的理解和解决方案是否有独到的优势，是否有安全、稳定、成熟可行的方案，确保硬件故障及时排除的对策，方案优化建议的情况等综合打分。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restart"/>
            <w:noWrap w:val="0"/>
            <w:vAlign w:val="center"/>
          </w:tcPr>
          <w:p>
            <w:pPr>
              <w:adjustRightInd w:val="0"/>
              <w:spacing w:line="400" w:lineRule="exact"/>
              <w:ind w:firstLine="31" w:firstLineChars="13"/>
              <w:jc w:val="center"/>
              <w:rPr>
                <w:rFonts w:hint="eastAsia" w:ascii="宋体" w:hAnsi="宋体" w:cs="仿宋_GB2312"/>
                <w:bCs/>
                <w:sz w:val="24"/>
                <w:szCs w:val="22"/>
              </w:rPr>
            </w:pPr>
            <w:r>
              <w:rPr>
                <w:rFonts w:hint="eastAsia" w:ascii="宋体" w:hAnsi="宋体" w:cs="仿宋_GB2312"/>
                <w:bCs/>
                <w:sz w:val="24"/>
                <w:szCs w:val="22"/>
              </w:rPr>
              <w:t>售后服务方案</w:t>
            </w:r>
          </w:p>
          <w:p>
            <w:pPr>
              <w:adjustRightInd w:val="0"/>
              <w:spacing w:line="400" w:lineRule="exact"/>
              <w:ind w:firstLine="31" w:firstLineChars="13"/>
              <w:jc w:val="center"/>
              <w:rPr>
                <w:rFonts w:hint="eastAsia" w:ascii="宋体" w:hAnsi="宋体" w:cs="仿宋_GB2312"/>
                <w:bCs/>
                <w:sz w:val="24"/>
                <w:szCs w:val="22"/>
              </w:rPr>
            </w:pPr>
            <w:r>
              <w:rPr>
                <w:rFonts w:hint="eastAsia" w:ascii="宋体" w:hAnsi="宋体" w:cs="仿宋_GB2312"/>
                <w:bCs/>
                <w:sz w:val="24"/>
                <w:szCs w:val="22"/>
              </w:rPr>
              <w:t>（29分）</w:t>
            </w:r>
          </w:p>
          <w:p>
            <w:pPr>
              <w:adjustRightInd w:val="0"/>
              <w:spacing w:line="400" w:lineRule="exact"/>
              <w:ind w:firstLine="480" w:firstLineChars="200"/>
              <w:jc w:val="center"/>
              <w:rPr>
                <w:rFonts w:hint="eastAsia" w:ascii="宋体" w:hAnsi="宋体" w:cs="仿宋_GB2312"/>
                <w:bCs/>
                <w:sz w:val="24"/>
                <w:szCs w:val="22"/>
              </w:rPr>
            </w:pPr>
          </w:p>
        </w:tc>
        <w:tc>
          <w:tcPr>
            <w:tcW w:w="6379" w:type="dxa"/>
            <w:noWrap w:val="0"/>
            <w:vAlign w:val="center"/>
          </w:tcPr>
          <w:p>
            <w:pPr>
              <w:adjustRightInd w:val="0"/>
              <w:spacing w:line="400" w:lineRule="exact"/>
              <w:rPr>
                <w:rFonts w:ascii="宋体" w:hAnsi="宋体" w:cs="仿宋_GB2312"/>
                <w:bCs/>
                <w:sz w:val="24"/>
                <w:szCs w:val="22"/>
              </w:rPr>
            </w:pPr>
            <w:r>
              <w:rPr>
                <w:rFonts w:hint="eastAsia" w:ascii="宋体" w:hAnsi="宋体" w:cs="仿宋_GB2312"/>
                <w:bCs/>
                <w:sz w:val="24"/>
                <w:szCs w:val="22"/>
              </w:rPr>
              <w:t>1、投标人的维护机构情况，是否具有较强的本地化服务能力，在本项目所在地是否拥有常驻服务和技术支持机构，并配有较强的专业技术队伍，能提供快速的服务响应，专家综合打分。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ind w:firstLine="31" w:firstLineChars="13"/>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2、投标人对类似维护服务的熟悉程度，同类维护案例情况，提供的技术服务方案是否满足采购人的要求，在同等级服务中是否具有优势，其方案的可行性如何，专家综合打分。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ind w:firstLine="31" w:firstLineChars="13"/>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3、投标人对采购人系统硬件资源、业务和数据状况及其他资源、环境的熟悉程度，能否保证现有系统功能的正常运行，设备维护管理及其他服务工作的正常开展及能否在系统交换中心具备技术人员，实时进行设备检查及时排除故障，专家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8" w:hRule="atLeast"/>
        </w:trPr>
        <w:tc>
          <w:tcPr>
            <w:tcW w:w="1809" w:type="dxa"/>
            <w:vMerge w:val="continue"/>
            <w:noWrap w:val="0"/>
            <w:vAlign w:val="center"/>
          </w:tcPr>
          <w:p>
            <w:pPr>
              <w:adjustRightInd w:val="0"/>
              <w:spacing w:line="400" w:lineRule="exact"/>
              <w:ind w:firstLine="31" w:firstLineChars="13"/>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4、投标人是否建立运行服务保障应急预案，方案对系统实施可能遇到的问题及其应对措施的考虑情况，在维保服务期间巡检、故障处理的组织和联系机制的合理性、有效性等，专家综合打分。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1809" w:type="dxa"/>
            <w:vMerge w:val="continue"/>
            <w:noWrap w:val="0"/>
            <w:vAlign w:val="center"/>
          </w:tcPr>
          <w:p>
            <w:pPr>
              <w:adjustRightInd w:val="0"/>
              <w:spacing w:line="400" w:lineRule="exact"/>
              <w:ind w:firstLine="31" w:firstLineChars="13"/>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5、投标人承诺赠送全新信道机一台，供采购人使用并提供承诺书的，得3分。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restart"/>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资质证书</w:t>
            </w:r>
          </w:p>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（6分）</w:t>
            </w: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1、投标人具有涉密信息系统集成乙级及以上资质的，得1分；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2、投标人通过ISO9001质量管理体系认证、ISO14001环境管理体系认证的，每个得1分，共2分；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3、投标人具有系统集成及服务资质二级及以上的得1分；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4、投标人获得国家级高新技术企业证书的得1分；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5、投标人获得AAA级信用等级证书的得1分。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业绩</w:t>
            </w:r>
          </w:p>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(2分)</w:t>
            </w: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提供投标人2019年以来具有同类项目维护案例合同的，每个得1分，最高得2分。（需在投标文件中提供合同或者中标通知书复印件并加盖公章。）</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restart"/>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组织实施方案</w:t>
            </w:r>
          </w:p>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（17分）</w:t>
            </w: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投标方案与需求的吻合程度以及方案的优势情况，包括方案的科学性、可靠性、成熟性、合理性等综合打分；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投标人是否具有完备的管理组织、项目实施规范和管理制度，是否有完善的质量管理体系，并能有效实施；拟投入本项目的管理与作业人员总数、作业设备、软件的综合水平情况，综合打分；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restart"/>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人员配备</w:t>
            </w:r>
          </w:p>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（11分）</w:t>
            </w: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1、项目负责人：拟担任本项目负责人的专业素质、技术能力、经验、资质等情况，是否具有相应项目经理资质证书，是否具有调动投标人各项资源能力，确保100%到位所采取的措施等情况，综合打分；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809" w:type="dxa"/>
            <w:vMerge w:val="continue"/>
            <w:noWrap w:val="0"/>
            <w:vAlign w:val="center"/>
          </w:tcPr>
          <w:p>
            <w:pPr>
              <w:adjustRightInd w:val="0"/>
              <w:spacing w:line="400" w:lineRule="exact"/>
              <w:jc w:val="center"/>
              <w:rPr>
                <w:rFonts w:hint="eastAsia" w:ascii="宋体" w:hAnsi="宋体" w:cs="仿宋_GB2312"/>
                <w:bCs/>
                <w:sz w:val="24"/>
                <w:szCs w:val="22"/>
              </w:rPr>
            </w:pP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rPr>
              <w:t>2、投标人维护团队具有信息系统集成高级项目经理证书的，每个得2分，中级项目经理的每个得1分，最多得5分。证明材料：证书复印件加盖公章。</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4" w:hRule="atLeast"/>
        </w:trPr>
        <w:tc>
          <w:tcPr>
            <w:tcW w:w="1809"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备品备件情况</w:t>
            </w:r>
          </w:p>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（5分）</w:t>
            </w:r>
          </w:p>
        </w:tc>
        <w:tc>
          <w:tcPr>
            <w:tcW w:w="6379" w:type="dxa"/>
            <w:noWrap w:val="0"/>
            <w:vAlign w:val="center"/>
          </w:tcPr>
          <w:p>
            <w:pPr>
              <w:adjustRightInd w:val="0"/>
              <w:spacing w:line="400" w:lineRule="exact"/>
              <w:rPr>
                <w:rFonts w:hint="eastAsia" w:ascii="宋体" w:hAnsi="宋体" w:cs="仿宋_GB2312"/>
                <w:bCs/>
                <w:sz w:val="24"/>
                <w:szCs w:val="22"/>
              </w:rPr>
            </w:pPr>
            <w:r>
              <w:rPr>
                <w:rFonts w:hint="eastAsia" w:ascii="宋体" w:hAnsi="宋体" w:cs="仿宋_GB2312"/>
                <w:bCs/>
                <w:sz w:val="24"/>
                <w:szCs w:val="22"/>
                <w:lang w:val="zh-CN"/>
              </w:rPr>
              <w:t>对投标人提供的系统设备的配件、附件、备品备件的准备和保障措施情况</w:t>
            </w:r>
            <w:r>
              <w:rPr>
                <w:rFonts w:hint="eastAsia" w:ascii="宋体" w:hAnsi="宋体" w:cs="仿宋_GB2312"/>
                <w:bCs/>
                <w:sz w:val="24"/>
                <w:szCs w:val="22"/>
              </w:rPr>
              <w:t>，综合打分。</w:t>
            </w:r>
          </w:p>
        </w:tc>
        <w:tc>
          <w:tcPr>
            <w:tcW w:w="992" w:type="dxa"/>
            <w:noWrap w:val="0"/>
            <w:vAlign w:val="center"/>
          </w:tcPr>
          <w:p>
            <w:pPr>
              <w:adjustRightInd w:val="0"/>
              <w:spacing w:line="400" w:lineRule="exact"/>
              <w:jc w:val="center"/>
              <w:rPr>
                <w:rFonts w:hint="eastAsia" w:ascii="宋体" w:hAnsi="宋体" w:cs="仿宋_GB2312"/>
                <w:bCs/>
                <w:sz w:val="24"/>
                <w:szCs w:val="22"/>
              </w:rPr>
            </w:pPr>
            <w:r>
              <w:rPr>
                <w:rFonts w:hint="eastAsia" w:ascii="宋体" w:hAnsi="宋体" w:cs="仿宋_GB2312"/>
                <w:bCs/>
                <w:sz w:val="24"/>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trPr>
        <w:tc>
          <w:tcPr>
            <w:tcW w:w="1809" w:type="dxa"/>
            <w:noWrap w:val="0"/>
            <w:vAlign w:val="center"/>
          </w:tcPr>
          <w:p>
            <w:pPr>
              <w:adjustRightInd w:val="0"/>
              <w:spacing w:line="320" w:lineRule="exact"/>
              <w:jc w:val="center"/>
              <w:rPr>
                <w:rFonts w:hint="eastAsia" w:ascii="宋体" w:hAnsi="宋体" w:cs="宋体"/>
                <w:sz w:val="24"/>
              </w:rPr>
            </w:pPr>
            <w:r>
              <w:rPr>
                <w:rFonts w:hint="eastAsia" w:ascii="宋体" w:hAnsi="宋体" w:cs="宋体"/>
                <w:sz w:val="24"/>
              </w:rPr>
              <w:t>电子评审情况</w:t>
            </w:r>
          </w:p>
          <w:p>
            <w:pPr>
              <w:adjustRightInd w:val="0"/>
              <w:spacing w:line="320" w:lineRule="exact"/>
              <w:jc w:val="center"/>
              <w:rPr>
                <w:rFonts w:ascii="宋体" w:hAnsi="宋体" w:cs="宋体"/>
                <w:sz w:val="24"/>
              </w:rPr>
            </w:pPr>
            <w:r>
              <w:rPr>
                <w:rFonts w:hint="eastAsia" w:ascii="宋体" w:hAnsi="宋体" w:cs="宋体"/>
                <w:sz w:val="24"/>
              </w:rPr>
              <w:t>（2分）</w:t>
            </w:r>
          </w:p>
        </w:tc>
        <w:tc>
          <w:tcPr>
            <w:tcW w:w="6379" w:type="dxa"/>
            <w:noWrap w:val="0"/>
            <w:vAlign w:val="center"/>
          </w:tcPr>
          <w:p>
            <w:pPr>
              <w:adjustRightInd w:val="0"/>
              <w:spacing w:line="320" w:lineRule="exact"/>
              <w:jc w:val="left"/>
              <w:rPr>
                <w:rFonts w:ascii="宋体" w:hAnsi="宋体" w:cs="宋体"/>
                <w:sz w:val="24"/>
              </w:rPr>
            </w:pPr>
            <w:r>
              <w:rPr>
                <w:rFonts w:ascii="宋体" w:hAnsi="宋体" w:cs="宋体"/>
                <w:sz w:val="24"/>
              </w:rPr>
              <w:t>根据</w:t>
            </w:r>
            <w:r>
              <w:rPr>
                <w:rFonts w:hint="eastAsia" w:ascii="宋体" w:hAnsi="宋体" w:cs="宋体"/>
                <w:sz w:val="24"/>
              </w:rPr>
              <w:t>投标</w:t>
            </w:r>
            <w:r>
              <w:rPr>
                <w:rFonts w:ascii="宋体" w:hAnsi="宋体" w:cs="宋体"/>
                <w:sz w:val="24"/>
              </w:rPr>
              <w:t>文件是否按政采云系统关联编制</w:t>
            </w:r>
            <w:r>
              <w:rPr>
                <w:rFonts w:hint="eastAsia" w:ascii="宋体" w:hAnsi="宋体" w:cs="宋体"/>
                <w:sz w:val="24"/>
              </w:rPr>
              <w:t>，如未关联，本项不得分。</w:t>
            </w:r>
            <w:bookmarkStart w:id="46" w:name="_GoBack"/>
            <w:bookmarkEnd w:id="46"/>
          </w:p>
        </w:tc>
        <w:tc>
          <w:tcPr>
            <w:tcW w:w="992" w:type="dxa"/>
            <w:noWrap w:val="0"/>
            <w:vAlign w:val="center"/>
          </w:tcPr>
          <w:p>
            <w:pPr>
              <w:adjustRightInd w:val="0"/>
              <w:spacing w:line="320" w:lineRule="exact"/>
              <w:jc w:val="center"/>
              <w:rPr>
                <w:rFonts w:ascii="宋体" w:hAnsi="宋体" w:cs="宋体"/>
                <w:sz w:val="24"/>
              </w:rPr>
            </w:pPr>
            <w:r>
              <w:rPr>
                <w:rFonts w:hint="eastAsia" w:ascii="宋体" w:hAnsi="宋体" w:cs="宋体"/>
                <w:sz w:val="24"/>
              </w:rPr>
              <w:t>0-2分</w:t>
            </w:r>
          </w:p>
        </w:tc>
      </w:tr>
    </w:tbl>
    <w:p>
      <w:pPr>
        <w:spacing w:line="400" w:lineRule="exact"/>
        <w:ind w:firstLine="463" w:firstLineChars="192"/>
        <w:rPr>
          <w:rFonts w:hint="eastAsia" w:ascii="宋体" w:hAnsi="宋体"/>
          <w:b/>
          <w:sz w:val="24"/>
        </w:rPr>
      </w:pPr>
    </w:p>
    <w:tbl>
      <w:tblPr>
        <w:tblStyle w:val="44"/>
        <w:tblpPr w:leftFromText="180" w:rightFromText="180" w:vertAnchor="text" w:horzAnchor="margin" w:tblpY="207"/>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80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9038" w:type="dxa"/>
            <w:gridSpan w:val="3"/>
            <w:noWrap w:val="0"/>
            <w:vAlign w:val="center"/>
          </w:tcPr>
          <w:p>
            <w:pPr>
              <w:autoSpaceDE w:val="0"/>
              <w:autoSpaceDN w:val="0"/>
              <w:adjustRightInd w:val="0"/>
              <w:snapToGrid w:val="0"/>
              <w:spacing w:line="400" w:lineRule="exact"/>
              <w:ind w:left="-94" w:leftChars="-45" w:right="-122" w:rightChars="-58"/>
              <w:jc w:val="left"/>
              <w:rPr>
                <w:rFonts w:hint="eastAsia" w:ascii="宋体" w:hAnsi="宋体"/>
                <w:sz w:val="24"/>
              </w:rPr>
            </w:pPr>
            <w:r>
              <w:rPr>
                <w:rFonts w:hint="eastAsia" w:ascii="宋体" w:hAnsi="宋体" w:cs="宋体"/>
                <w:b/>
                <w:sz w:val="36"/>
              </w:rPr>
              <w:t>分包2 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noWrap w:val="0"/>
            <w:vAlign w:val="center"/>
          </w:tcPr>
          <w:p>
            <w:pPr>
              <w:autoSpaceDE w:val="0"/>
              <w:autoSpaceDN w:val="0"/>
              <w:adjustRightInd w:val="0"/>
              <w:spacing w:line="400" w:lineRule="exact"/>
              <w:ind w:firstLine="38" w:firstLineChars="16"/>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6804" w:type="dxa"/>
            <w:noWrap w:val="0"/>
            <w:vAlign w:val="center"/>
          </w:tcPr>
          <w:p>
            <w:pPr>
              <w:autoSpaceDE w:val="0"/>
              <w:autoSpaceDN w:val="0"/>
              <w:adjustRightInd w:val="0"/>
              <w:spacing w:line="400" w:lineRule="exact"/>
              <w:ind w:firstLine="38" w:firstLineChars="16"/>
              <w:jc w:val="center"/>
              <w:rPr>
                <w:rFonts w:hint="eastAsia" w:ascii="宋体" w:hAnsi="宋体" w:cs="宋体"/>
                <w:color w:val="000000"/>
                <w:kern w:val="0"/>
                <w:sz w:val="24"/>
              </w:rPr>
            </w:pPr>
            <w:r>
              <w:rPr>
                <w:rFonts w:hint="eastAsia" w:ascii="宋体" w:hAnsi="宋体" w:cs="宋体"/>
                <w:color w:val="000000"/>
                <w:kern w:val="0"/>
                <w:sz w:val="24"/>
              </w:rPr>
              <w:t>评标细则</w:t>
            </w:r>
          </w:p>
        </w:tc>
        <w:tc>
          <w:tcPr>
            <w:tcW w:w="1275" w:type="dxa"/>
            <w:noWrap w:val="0"/>
            <w:vAlign w:val="center"/>
          </w:tcPr>
          <w:p>
            <w:pPr>
              <w:autoSpaceDE w:val="0"/>
              <w:autoSpaceDN w:val="0"/>
              <w:adjustRightInd w:val="0"/>
              <w:snapToGrid w:val="0"/>
              <w:spacing w:line="400" w:lineRule="exact"/>
              <w:ind w:left="-94" w:leftChars="-45" w:right="-122" w:rightChars="-58"/>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959" w:type="dxa"/>
            <w:noWrap w:val="0"/>
            <w:vAlign w:val="center"/>
          </w:tcPr>
          <w:p>
            <w:pPr>
              <w:autoSpaceDE w:val="0"/>
              <w:autoSpaceDN w:val="0"/>
              <w:adjustRightInd w:val="0"/>
              <w:spacing w:line="400" w:lineRule="exact"/>
              <w:ind w:firstLine="38" w:firstLineChars="16"/>
              <w:jc w:val="center"/>
              <w:rPr>
                <w:rFonts w:hint="eastAsia" w:ascii="宋体" w:hAnsi="宋体" w:cs="宋体"/>
                <w:color w:val="000000"/>
                <w:kern w:val="0"/>
                <w:sz w:val="24"/>
              </w:rPr>
            </w:pPr>
            <w:r>
              <w:rPr>
                <w:rFonts w:hint="eastAsia" w:ascii="宋体" w:hAnsi="宋体" w:cs="宋体"/>
                <w:color w:val="000000"/>
                <w:kern w:val="0"/>
                <w:sz w:val="24"/>
              </w:rPr>
              <w:t>1</w:t>
            </w:r>
          </w:p>
        </w:tc>
        <w:tc>
          <w:tcPr>
            <w:tcW w:w="6804" w:type="dxa"/>
            <w:noWrap w:val="0"/>
            <w:vAlign w:val="center"/>
          </w:tcPr>
          <w:p>
            <w:pPr>
              <w:autoSpaceDE w:val="0"/>
              <w:autoSpaceDN w:val="0"/>
              <w:adjustRightInd w:val="0"/>
              <w:spacing w:line="400" w:lineRule="exact"/>
              <w:ind w:firstLine="38" w:firstLineChars="16"/>
              <w:rPr>
                <w:rFonts w:hint="eastAsia" w:ascii="宋体" w:hAnsi="宋体"/>
                <w:sz w:val="24"/>
              </w:rPr>
            </w:pPr>
            <w:r>
              <w:rPr>
                <w:rFonts w:hint="eastAsia" w:ascii="宋体" w:hAnsi="宋体" w:cs="宋体"/>
                <w:color w:val="000000"/>
                <w:kern w:val="0"/>
                <w:sz w:val="24"/>
              </w:rPr>
              <w:t>项目实施能力</w:t>
            </w:r>
            <w:r>
              <w:rPr>
                <w:rFonts w:hint="eastAsia" w:ascii="宋体" w:hAnsi="宋体"/>
                <w:sz w:val="24"/>
              </w:rPr>
              <w:t>：</w:t>
            </w:r>
            <w:r>
              <w:rPr>
                <w:rFonts w:hint="eastAsia" w:ascii="宋体" w:hAnsi="宋体" w:cs="宋体"/>
                <w:kern w:val="0"/>
                <w:sz w:val="24"/>
              </w:rPr>
              <w:t>综合评估公司经营状况。评委根据投标人提供的有效证明材料进行打分。</w:t>
            </w:r>
          </w:p>
        </w:tc>
        <w:tc>
          <w:tcPr>
            <w:tcW w:w="1275" w:type="dxa"/>
            <w:noWrap w:val="0"/>
            <w:vAlign w:val="center"/>
          </w:tcPr>
          <w:p>
            <w:pPr>
              <w:autoSpaceDE w:val="0"/>
              <w:autoSpaceDN w:val="0"/>
              <w:adjustRightInd w:val="0"/>
              <w:snapToGrid w:val="0"/>
              <w:spacing w:line="400" w:lineRule="exact"/>
              <w:ind w:left="-94" w:leftChars="-45" w:right="-122" w:rightChars="-58"/>
              <w:jc w:val="center"/>
              <w:rPr>
                <w:rFonts w:hint="eastAsia" w:ascii="宋体" w:hAnsi="宋体"/>
                <w:sz w:val="24"/>
              </w:rPr>
            </w:pPr>
            <w:r>
              <w:rPr>
                <w:rFonts w:hint="eastAsia" w:ascii="宋体" w:hAnsi="宋体"/>
                <w:sz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trPr>
        <w:tc>
          <w:tcPr>
            <w:tcW w:w="959" w:type="dxa"/>
            <w:noWrap w:val="0"/>
            <w:vAlign w:val="center"/>
          </w:tcPr>
          <w:p>
            <w:pPr>
              <w:autoSpaceDE w:val="0"/>
              <w:autoSpaceDN w:val="0"/>
              <w:adjustRightInd w:val="0"/>
              <w:spacing w:line="400" w:lineRule="exact"/>
              <w:jc w:val="center"/>
              <w:rPr>
                <w:rFonts w:hint="eastAsia" w:ascii="宋体" w:hAnsi="宋体" w:cs="宋体"/>
                <w:color w:val="000000"/>
                <w:kern w:val="0"/>
                <w:sz w:val="24"/>
              </w:rPr>
            </w:pPr>
            <w:r>
              <w:rPr>
                <w:rFonts w:hint="eastAsia" w:ascii="宋体" w:hAnsi="宋体" w:cs="宋体"/>
                <w:color w:val="000000"/>
                <w:kern w:val="0"/>
                <w:sz w:val="24"/>
              </w:rPr>
              <w:t>2</w:t>
            </w:r>
          </w:p>
        </w:tc>
        <w:tc>
          <w:tcPr>
            <w:tcW w:w="6804" w:type="dxa"/>
            <w:noWrap w:val="0"/>
            <w:vAlign w:val="center"/>
          </w:tcPr>
          <w:p>
            <w:pPr>
              <w:autoSpaceDE w:val="0"/>
              <w:autoSpaceDN w:val="0"/>
              <w:adjustRightInd w:val="0"/>
              <w:spacing w:line="400" w:lineRule="exact"/>
              <w:rPr>
                <w:rFonts w:hint="eastAsia" w:ascii="宋体" w:hAnsi="宋体"/>
                <w:sz w:val="24"/>
              </w:rPr>
            </w:pPr>
            <w:r>
              <w:rPr>
                <w:rFonts w:hint="eastAsia" w:ascii="宋体" w:hAnsi="宋体" w:cs="宋体"/>
                <w:color w:val="000000"/>
                <w:kern w:val="0"/>
                <w:sz w:val="24"/>
              </w:rPr>
              <w:t>服务方案</w:t>
            </w:r>
            <w:r>
              <w:rPr>
                <w:rFonts w:hint="eastAsia" w:ascii="宋体" w:hAnsi="宋体"/>
                <w:sz w:val="24"/>
              </w:rPr>
              <w:t>：</w:t>
            </w:r>
            <w:r>
              <w:rPr>
                <w:rFonts w:hint="eastAsia" w:ascii="宋体" w:hAnsi="宋体" w:cs="宋体"/>
                <w:kern w:val="0"/>
                <w:sz w:val="24"/>
              </w:rPr>
              <w:t>根据投标人对维保的技术服务方案、服务要求的点对点应答、技术服务内容、培训措施、售后服务方案等综合比较酌情打分。</w:t>
            </w:r>
          </w:p>
        </w:tc>
        <w:tc>
          <w:tcPr>
            <w:tcW w:w="1275" w:type="dxa"/>
            <w:noWrap w:val="0"/>
            <w:vAlign w:val="center"/>
          </w:tcPr>
          <w:p>
            <w:pPr>
              <w:autoSpaceDE w:val="0"/>
              <w:autoSpaceDN w:val="0"/>
              <w:adjustRightInd w:val="0"/>
              <w:snapToGrid w:val="0"/>
              <w:spacing w:line="400" w:lineRule="exact"/>
              <w:ind w:left="-94" w:leftChars="-45" w:right="-122" w:rightChars="-58"/>
              <w:jc w:val="center"/>
              <w:rPr>
                <w:rFonts w:hint="eastAsia" w:ascii="宋体" w:hAnsi="宋体"/>
                <w:sz w:val="24"/>
              </w:rPr>
            </w:pPr>
            <w:r>
              <w:rPr>
                <w:rFonts w:hint="eastAsia" w:ascii="宋体" w:hAnsi="宋体"/>
                <w:sz w:val="24"/>
              </w:rPr>
              <w:t>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6" w:hRule="atLeast"/>
        </w:trPr>
        <w:tc>
          <w:tcPr>
            <w:tcW w:w="959" w:type="dxa"/>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6804" w:type="dxa"/>
            <w:noWrap w:val="0"/>
            <w:vAlign w:val="center"/>
          </w:tcPr>
          <w:p>
            <w:pPr>
              <w:snapToGrid w:val="0"/>
              <w:spacing w:line="400" w:lineRule="exact"/>
              <w:rPr>
                <w:rFonts w:ascii="宋体" w:hAnsi="宋体"/>
                <w:sz w:val="24"/>
              </w:rPr>
            </w:pPr>
            <w:r>
              <w:rPr>
                <w:rFonts w:hint="eastAsia" w:ascii="宋体" w:hAnsi="宋体"/>
                <w:sz w:val="24"/>
              </w:rPr>
              <w:t>原厂服务：提供网络安全设备原厂服务证明。</w:t>
            </w:r>
          </w:p>
        </w:tc>
        <w:tc>
          <w:tcPr>
            <w:tcW w:w="1275" w:type="dxa"/>
            <w:noWrap w:val="0"/>
            <w:vAlign w:val="center"/>
          </w:tcPr>
          <w:p>
            <w:pPr>
              <w:autoSpaceDE w:val="0"/>
              <w:autoSpaceDN w:val="0"/>
              <w:adjustRightInd w:val="0"/>
              <w:snapToGrid w:val="0"/>
              <w:spacing w:line="400" w:lineRule="exact"/>
              <w:ind w:left="-94" w:leftChars="-45" w:right="-122" w:rightChars="-58"/>
              <w:jc w:val="center"/>
              <w:rPr>
                <w:rFonts w:ascii="宋体" w:hAnsi="宋体"/>
                <w:sz w:val="24"/>
              </w:rPr>
            </w:pPr>
            <w:r>
              <w:rPr>
                <w:rFonts w:hint="eastAsia" w:ascii="宋体" w:hAnsi="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3" w:hRule="atLeast"/>
        </w:trPr>
        <w:tc>
          <w:tcPr>
            <w:tcW w:w="959" w:type="dxa"/>
            <w:noWrap w:val="0"/>
            <w:vAlign w:val="center"/>
          </w:tcPr>
          <w:p>
            <w:pPr>
              <w:spacing w:line="400" w:lineRule="exact"/>
              <w:jc w:val="center"/>
              <w:rPr>
                <w:rFonts w:hint="eastAsia" w:ascii="宋体" w:hAnsi="宋体" w:cs="宋体"/>
                <w:color w:val="000000"/>
                <w:kern w:val="0"/>
                <w:sz w:val="24"/>
              </w:rPr>
            </w:pPr>
            <w:r>
              <w:rPr>
                <w:rFonts w:hint="eastAsia" w:ascii="宋体" w:hAnsi="宋体" w:cs="宋体"/>
                <w:color w:val="000000"/>
                <w:kern w:val="0"/>
                <w:sz w:val="24"/>
              </w:rPr>
              <w:t>4</w:t>
            </w:r>
          </w:p>
        </w:tc>
        <w:tc>
          <w:tcPr>
            <w:tcW w:w="6804" w:type="dxa"/>
            <w:noWrap w:val="0"/>
            <w:vAlign w:val="center"/>
          </w:tcPr>
          <w:p>
            <w:pPr>
              <w:spacing w:line="400" w:lineRule="exact"/>
              <w:rPr>
                <w:rFonts w:hint="eastAsia" w:ascii="宋体" w:hAnsi="宋体"/>
                <w:sz w:val="24"/>
              </w:rPr>
            </w:pPr>
            <w:r>
              <w:rPr>
                <w:rFonts w:hint="eastAsia" w:ascii="宋体" w:hAnsi="宋体" w:cs="宋体"/>
                <w:color w:val="000000"/>
                <w:kern w:val="0"/>
                <w:sz w:val="24"/>
              </w:rPr>
              <w:t>案例及用户评价情况</w:t>
            </w:r>
            <w:r>
              <w:rPr>
                <w:rFonts w:hint="eastAsia" w:ascii="宋体" w:hAnsi="宋体"/>
                <w:sz w:val="24"/>
              </w:rPr>
              <w:t>：</w:t>
            </w:r>
            <w:r>
              <w:rPr>
                <w:rFonts w:hint="eastAsia" w:ascii="宋体" w:hAnsi="宋体" w:cs="宋体"/>
                <w:color w:val="000000"/>
                <w:kern w:val="0"/>
                <w:sz w:val="24"/>
              </w:rPr>
              <w:t>提供是否具有紧急通讯保障任务能力的证明，</w:t>
            </w:r>
            <w:r>
              <w:rPr>
                <w:rFonts w:hint="eastAsia" w:ascii="宋体" w:hAnsi="宋体"/>
                <w:sz w:val="24"/>
              </w:rPr>
              <w:t>提供业主盖章的复印件。</w:t>
            </w:r>
            <w:r>
              <w:rPr>
                <w:rFonts w:hint="eastAsia" w:ascii="宋体" w:hAnsi="宋体" w:cs="宋体"/>
                <w:kern w:val="0"/>
                <w:sz w:val="24"/>
              </w:rPr>
              <w:t>评委根据投标方提供的证明材料酌情打分。</w:t>
            </w:r>
          </w:p>
        </w:tc>
        <w:tc>
          <w:tcPr>
            <w:tcW w:w="1275" w:type="dxa"/>
            <w:noWrap w:val="0"/>
            <w:vAlign w:val="center"/>
          </w:tcPr>
          <w:p>
            <w:pPr>
              <w:autoSpaceDE w:val="0"/>
              <w:autoSpaceDN w:val="0"/>
              <w:adjustRightInd w:val="0"/>
              <w:spacing w:line="400" w:lineRule="exact"/>
              <w:ind w:left="-94" w:leftChars="-45" w:right="-122" w:rightChars="-58"/>
              <w:jc w:val="center"/>
              <w:rPr>
                <w:rFonts w:ascii="宋体" w:hAnsi="宋体"/>
                <w:sz w:val="24"/>
              </w:rPr>
            </w:pPr>
            <w:r>
              <w:rPr>
                <w:rFonts w:hint="eastAsia" w:ascii="宋体" w:hAnsi="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2" w:hRule="atLeast"/>
        </w:trPr>
        <w:tc>
          <w:tcPr>
            <w:tcW w:w="959" w:type="dxa"/>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6804" w:type="dxa"/>
            <w:noWrap w:val="0"/>
            <w:vAlign w:val="center"/>
          </w:tcPr>
          <w:p>
            <w:pPr>
              <w:snapToGrid w:val="0"/>
              <w:spacing w:line="400" w:lineRule="exact"/>
              <w:rPr>
                <w:rFonts w:hint="eastAsia" w:ascii="宋体" w:hAnsi="宋体"/>
                <w:sz w:val="24"/>
              </w:rPr>
            </w:pPr>
            <w:r>
              <w:rPr>
                <w:rFonts w:hint="eastAsia" w:ascii="宋体" w:hAnsi="宋体"/>
                <w:sz w:val="24"/>
              </w:rPr>
              <w:t>组织实施方案：根据投标人的项目实施、服务响应能力，质量及工期保障措施，对安防工程特殊需求的解决措施及经验、与采购人的配合分工，项目组织措施、安装调试、验收等方案的合理性、科学性、全面性进行综合打分。</w:t>
            </w:r>
          </w:p>
        </w:tc>
        <w:tc>
          <w:tcPr>
            <w:tcW w:w="1275" w:type="dxa"/>
            <w:noWrap w:val="0"/>
            <w:vAlign w:val="center"/>
          </w:tcPr>
          <w:p>
            <w:pPr>
              <w:autoSpaceDE w:val="0"/>
              <w:autoSpaceDN w:val="0"/>
              <w:adjustRightInd w:val="0"/>
              <w:spacing w:line="400" w:lineRule="exact"/>
              <w:ind w:left="-94" w:leftChars="-45" w:right="-122" w:rightChars="-58"/>
              <w:jc w:val="center"/>
              <w:rPr>
                <w:rFonts w:ascii="宋体" w:hAnsi="宋体"/>
                <w:sz w:val="24"/>
              </w:rPr>
            </w:pPr>
            <w:r>
              <w:rPr>
                <w:rFonts w:hint="eastAsia" w:ascii="宋体" w:hAnsi="宋体"/>
                <w:sz w:val="24"/>
              </w:rPr>
              <w:t>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trPr>
        <w:tc>
          <w:tcPr>
            <w:tcW w:w="959" w:type="dxa"/>
            <w:noWrap w:val="0"/>
            <w:vAlign w:val="center"/>
          </w:tcPr>
          <w:p>
            <w:pPr>
              <w:spacing w:line="400" w:lineRule="exact"/>
              <w:jc w:val="center"/>
              <w:rPr>
                <w:rFonts w:hint="eastAsia" w:ascii="宋体" w:hAnsi="宋体"/>
                <w:sz w:val="24"/>
              </w:rPr>
            </w:pPr>
            <w:r>
              <w:rPr>
                <w:rFonts w:hint="eastAsia" w:ascii="宋体" w:hAnsi="宋体"/>
                <w:sz w:val="24"/>
              </w:rPr>
              <w:t>6</w:t>
            </w:r>
          </w:p>
        </w:tc>
        <w:tc>
          <w:tcPr>
            <w:tcW w:w="6804" w:type="dxa"/>
            <w:noWrap w:val="0"/>
            <w:vAlign w:val="center"/>
          </w:tcPr>
          <w:p>
            <w:pPr>
              <w:spacing w:line="400" w:lineRule="exact"/>
              <w:rPr>
                <w:rFonts w:hint="eastAsia" w:ascii="宋体" w:hAnsi="宋体"/>
                <w:sz w:val="24"/>
              </w:rPr>
            </w:pPr>
            <w:r>
              <w:rPr>
                <w:rFonts w:hint="eastAsia" w:ascii="宋体" w:hAnsi="宋体"/>
                <w:sz w:val="24"/>
              </w:rPr>
              <w:t>投入本项目人员情况：投标人拟投入本项目人员</w:t>
            </w:r>
            <w:r>
              <w:rPr>
                <w:rFonts w:hint="eastAsia" w:ascii="宋体" w:hAnsi="宋体" w:cs="宋体"/>
                <w:sz w:val="24"/>
              </w:rPr>
              <w:t>的</w:t>
            </w:r>
            <w:r>
              <w:rPr>
                <w:rFonts w:hint="eastAsia" w:ascii="宋体" w:hAnsi="宋体"/>
                <w:sz w:val="24"/>
              </w:rPr>
              <w:t>水平、经验、能力、获得的荣誉或奖项等情况，提供人员证书复印件及社保缴费证明。</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1" w:hRule="atLeast"/>
        </w:trPr>
        <w:tc>
          <w:tcPr>
            <w:tcW w:w="959" w:type="dxa"/>
            <w:noWrap w:val="0"/>
            <w:vAlign w:val="center"/>
          </w:tcPr>
          <w:p>
            <w:pPr>
              <w:autoSpaceDE w:val="0"/>
              <w:autoSpaceDN w:val="0"/>
              <w:adjustRightInd w:val="0"/>
              <w:spacing w:line="400" w:lineRule="exact"/>
              <w:jc w:val="center"/>
              <w:rPr>
                <w:rFonts w:hint="eastAsia" w:ascii="宋体" w:hAnsi="宋体" w:cs="宋体"/>
                <w:color w:val="000000"/>
                <w:kern w:val="0"/>
                <w:sz w:val="24"/>
              </w:rPr>
            </w:pPr>
            <w:r>
              <w:rPr>
                <w:rFonts w:hint="eastAsia" w:ascii="宋体" w:hAnsi="宋体" w:cs="宋体"/>
                <w:color w:val="000000"/>
                <w:kern w:val="0"/>
                <w:sz w:val="24"/>
              </w:rPr>
              <w:t>7</w:t>
            </w:r>
          </w:p>
        </w:tc>
        <w:tc>
          <w:tcPr>
            <w:tcW w:w="6804" w:type="dxa"/>
            <w:noWrap w:val="0"/>
            <w:vAlign w:val="center"/>
          </w:tcPr>
          <w:p>
            <w:pPr>
              <w:autoSpaceDE w:val="0"/>
              <w:autoSpaceDN w:val="0"/>
              <w:adjustRightInd w:val="0"/>
              <w:spacing w:line="400" w:lineRule="exact"/>
              <w:rPr>
                <w:rFonts w:hint="eastAsia" w:ascii="宋体" w:hAnsi="宋体"/>
                <w:sz w:val="24"/>
              </w:rPr>
            </w:pPr>
            <w:r>
              <w:rPr>
                <w:rFonts w:hint="eastAsia" w:ascii="宋体" w:hAnsi="宋体"/>
                <w:sz w:val="24"/>
              </w:rPr>
              <w:t>服务响应：根据投标人注册地或设立分公司及备件库地址距离采购方的车程，</w:t>
            </w:r>
            <w:r>
              <w:rPr>
                <w:rFonts w:hint="eastAsia" w:ascii="宋体" w:hAnsi="宋体" w:cs="宋体"/>
                <w:kern w:val="0"/>
                <w:sz w:val="24"/>
              </w:rPr>
              <w:t>评委根据投标方提供的资料酌情打分。</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atLeast"/>
        </w:trPr>
        <w:tc>
          <w:tcPr>
            <w:tcW w:w="959" w:type="dxa"/>
            <w:noWrap w:val="0"/>
            <w:vAlign w:val="center"/>
          </w:tcPr>
          <w:p>
            <w:pPr>
              <w:autoSpaceDE w:val="0"/>
              <w:autoSpaceDN w:val="0"/>
              <w:adjustRightInd w:val="0"/>
              <w:spacing w:line="400" w:lineRule="exact"/>
              <w:jc w:val="center"/>
              <w:rPr>
                <w:rFonts w:hint="eastAsia" w:ascii="宋体" w:hAnsi="宋体" w:cs="宋体"/>
                <w:color w:val="000000"/>
                <w:kern w:val="0"/>
                <w:sz w:val="24"/>
              </w:rPr>
            </w:pPr>
            <w:r>
              <w:rPr>
                <w:rFonts w:hint="eastAsia" w:ascii="宋体" w:hAnsi="宋体" w:cs="宋体"/>
                <w:color w:val="000000"/>
                <w:kern w:val="0"/>
                <w:sz w:val="24"/>
              </w:rPr>
              <w:t>8</w:t>
            </w:r>
          </w:p>
        </w:tc>
        <w:tc>
          <w:tcPr>
            <w:tcW w:w="6804" w:type="dxa"/>
            <w:noWrap w:val="0"/>
            <w:vAlign w:val="center"/>
          </w:tcPr>
          <w:p>
            <w:pPr>
              <w:autoSpaceDE w:val="0"/>
              <w:autoSpaceDN w:val="0"/>
              <w:adjustRightInd w:val="0"/>
              <w:spacing w:line="400" w:lineRule="exact"/>
              <w:rPr>
                <w:rFonts w:hint="eastAsia" w:ascii="宋体" w:hAnsi="宋体"/>
                <w:sz w:val="24"/>
              </w:rPr>
            </w:pPr>
            <w:r>
              <w:rPr>
                <w:rFonts w:hint="eastAsia" w:ascii="宋体" w:hAnsi="宋体"/>
                <w:sz w:val="24"/>
              </w:rPr>
              <w:t>应急服务方案：投标人</w:t>
            </w:r>
            <w:r>
              <w:rPr>
                <w:rFonts w:hint="eastAsia" w:ascii="宋体" w:hAnsi="宋体" w:cs="宋体"/>
                <w:color w:val="000000"/>
                <w:kern w:val="0"/>
                <w:sz w:val="24"/>
              </w:rPr>
              <w:t>提供的应急服务方案，</w:t>
            </w:r>
            <w:r>
              <w:rPr>
                <w:rFonts w:hint="eastAsia" w:ascii="宋体" w:hAnsi="宋体"/>
                <w:sz w:val="24"/>
              </w:rPr>
              <w:t>若出现紧急故障是否能在第一时间保证采购方系统的稳定安全运行，</w:t>
            </w:r>
            <w:r>
              <w:rPr>
                <w:rFonts w:hint="eastAsia" w:ascii="宋体" w:hAnsi="宋体" w:cs="宋体"/>
                <w:kern w:val="0"/>
                <w:sz w:val="24"/>
              </w:rPr>
              <w:t>评委根据投标方提供的方案酌情打分。</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trPr>
        <w:tc>
          <w:tcPr>
            <w:tcW w:w="959" w:type="dxa"/>
            <w:noWrap w:val="0"/>
            <w:vAlign w:val="center"/>
          </w:tcPr>
          <w:p>
            <w:pPr>
              <w:autoSpaceDE w:val="0"/>
              <w:autoSpaceDN w:val="0"/>
              <w:adjustRightInd w:val="0"/>
              <w:spacing w:line="400" w:lineRule="exact"/>
              <w:jc w:val="center"/>
              <w:rPr>
                <w:rFonts w:hint="eastAsia" w:ascii="宋体" w:hAnsi="宋体" w:cs="宋体"/>
                <w:color w:val="000000"/>
                <w:kern w:val="0"/>
                <w:sz w:val="24"/>
              </w:rPr>
            </w:pPr>
            <w:r>
              <w:rPr>
                <w:rFonts w:hint="eastAsia" w:ascii="宋体" w:hAnsi="宋体" w:cs="宋体"/>
                <w:color w:val="000000"/>
                <w:kern w:val="0"/>
                <w:sz w:val="24"/>
              </w:rPr>
              <w:t>9</w:t>
            </w:r>
          </w:p>
        </w:tc>
        <w:tc>
          <w:tcPr>
            <w:tcW w:w="6804" w:type="dxa"/>
            <w:noWrap w:val="0"/>
            <w:vAlign w:val="center"/>
          </w:tcPr>
          <w:p>
            <w:pPr>
              <w:adjustRightInd w:val="0"/>
              <w:spacing w:line="400" w:lineRule="exact"/>
              <w:jc w:val="left"/>
              <w:rPr>
                <w:rFonts w:hint="eastAsia" w:ascii="宋体" w:hAnsi="宋体" w:cs="仿宋_GB2312"/>
                <w:bCs/>
                <w:sz w:val="24"/>
                <w:szCs w:val="22"/>
              </w:rPr>
            </w:pPr>
            <w:r>
              <w:rPr>
                <w:rFonts w:hint="eastAsia" w:ascii="宋体" w:hAnsi="宋体" w:cs="仿宋_GB2312"/>
                <w:bCs/>
                <w:sz w:val="24"/>
                <w:szCs w:val="22"/>
              </w:rPr>
              <w:t>备品备件情况：</w:t>
            </w:r>
            <w:r>
              <w:rPr>
                <w:rFonts w:hint="eastAsia" w:ascii="宋体" w:hAnsi="宋体" w:cs="仿宋_GB2312"/>
                <w:bCs/>
                <w:sz w:val="24"/>
                <w:szCs w:val="22"/>
                <w:lang w:val="zh-CN"/>
              </w:rPr>
              <w:t>对投标人提供的系统设备的配件、附件、备品备件的准备和保障措施情况</w:t>
            </w:r>
            <w:r>
              <w:rPr>
                <w:rFonts w:hint="eastAsia" w:ascii="宋体" w:hAnsi="宋体" w:cs="仿宋_GB2312"/>
                <w:bCs/>
                <w:sz w:val="24"/>
                <w:szCs w:val="22"/>
              </w:rPr>
              <w:t>，综合打分。</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noWrap w:val="0"/>
            <w:vAlign w:val="center"/>
          </w:tcPr>
          <w:p>
            <w:pPr>
              <w:autoSpaceDE w:val="0"/>
              <w:autoSpaceDN w:val="0"/>
              <w:adjustRightInd w:val="0"/>
              <w:spacing w:line="400" w:lineRule="exact"/>
              <w:jc w:val="center"/>
              <w:rPr>
                <w:rFonts w:hint="eastAsia" w:ascii="宋体" w:hAnsi="宋体"/>
                <w:sz w:val="24"/>
              </w:rPr>
            </w:pPr>
            <w:r>
              <w:rPr>
                <w:rFonts w:hint="eastAsia" w:ascii="宋体" w:hAnsi="宋体"/>
                <w:sz w:val="24"/>
              </w:rPr>
              <w:t>10</w:t>
            </w:r>
          </w:p>
        </w:tc>
        <w:tc>
          <w:tcPr>
            <w:tcW w:w="6804" w:type="dxa"/>
            <w:noWrap w:val="0"/>
            <w:vAlign w:val="center"/>
          </w:tcPr>
          <w:p>
            <w:pPr>
              <w:autoSpaceDE w:val="0"/>
              <w:autoSpaceDN w:val="0"/>
              <w:adjustRightInd w:val="0"/>
              <w:spacing w:line="400" w:lineRule="exact"/>
              <w:rPr>
                <w:rFonts w:hint="eastAsia" w:ascii="宋体" w:hAnsi="宋体"/>
                <w:sz w:val="24"/>
              </w:rPr>
            </w:pPr>
            <w:r>
              <w:rPr>
                <w:rFonts w:hint="eastAsia" w:ascii="宋体" w:hAnsi="宋体"/>
                <w:sz w:val="24"/>
              </w:rPr>
              <w:t>培训服务：根据投标人提供的技术、培训及服务等综合打分。</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59" w:type="dxa"/>
            <w:noWrap w:val="0"/>
            <w:vAlign w:val="center"/>
          </w:tcPr>
          <w:p>
            <w:pPr>
              <w:autoSpaceDE w:val="0"/>
              <w:autoSpaceDN w:val="0"/>
              <w:adjustRightInd w:val="0"/>
              <w:spacing w:line="400" w:lineRule="exact"/>
              <w:jc w:val="center"/>
              <w:rPr>
                <w:rFonts w:hint="eastAsia" w:ascii="宋体" w:hAnsi="宋体"/>
                <w:sz w:val="24"/>
              </w:rPr>
            </w:pPr>
            <w:r>
              <w:rPr>
                <w:rFonts w:hint="eastAsia" w:ascii="宋体" w:hAnsi="宋体"/>
                <w:sz w:val="24"/>
              </w:rPr>
              <w:t>11</w:t>
            </w:r>
          </w:p>
        </w:tc>
        <w:tc>
          <w:tcPr>
            <w:tcW w:w="6804" w:type="dxa"/>
            <w:noWrap w:val="0"/>
            <w:vAlign w:val="center"/>
          </w:tcPr>
          <w:p>
            <w:pPr>
              <w:autoSpaceDE w:val="0"/>
              <w:autoSpaceDN w:val="0"/>
              <w:adjustRightInd w:val="0"/>
              <w:spacing w:line="400" w:lineRule="exact"/>
              <w:rPr>
                <w:rFonts w:hint="eastAsia" w:ascii="宋体" w:hAnsi="宋体"/>
                <w:sz w:val="24"/>
              </w:rPr>
            </w:pPr>
            <w:r>
              <w:rPr>
                <w:rFonts w:hint="eastAsia" w:ascii="宋体" w:hAnsi="宋体"/>
                <w:sz w:val="24"/>
              </w:rPr>
              <w:t>其他</w:t>
            </w:r>
            <w:r>
              <w:rPr>
                <w:rFonts w:hint="eastAsia" w:ascii="宋体" w:hAnsi="宋体" w:cs="宋体"/>
                <w:color w:val="000000"/>
                <w:kern w:val="0"/>
                <w:sz w:val="24"/>
              </w:rPr>
              <w:t>优惠和承诺：根据投标人的实际优惠和承诺比较。</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trPr>
        <w:tc>
          <w:tcPr>
            <w:tcW w:w="959" w:type="dxa"/>
            <w:noWrap w:val="0"/>
            <w:vAlign w:val="center"/>
          </w:tcPr>
          <w:p>
            <w:pPr>
              <w:autoSpaceDE w:val="0"/>
              <w:autoSpaceDN w:val="0"/>
              <w:adjustRightInd w:val="0"/>
              <w:spacing w:line="400" w:lineRule="exact"/>
              <w:jc w:val="center"/>
              <w:rPr>
                <w:rFonts w:hint="eastAsia" w:ascii="宋体" w:hAnsi="宋体" w:cs="宋体"/>
                <w:color w:val="000000"/>
                <w:kern w:val="0"/>
                <w:sz w:val="24"/>
              </w:rPr>
            </w:pPr>
            <w:r>
              <w:rPr>
                <w:rFonts w:hint="eastAsia" w:ascii="宋体" w:hAnsi="宋体" w:cs="宋体"/>
                <w:color w:val="000000"/>
                <w:kern w:val="0"/>
                <w:sz w:val="24"/>
              </w:rPr>
              <w:t>12</w:t>
            </w:r>
          </w:p>
        </w:tc>
        <w:tc>
          <w:tcPr>
            <w:tcW w:w="6804" w:type="dxa"/>
            <w:noWrap w:val="0"/>
            <w:vAlign w:val="center"/>
          </w:tcPr>
          <w:p>
            <w:pPr>
              <w:adjustRightInd w:val="0"/>
              <w:spacing w:line="320" w:lineRule="exact"/>
              <w:jc w:val="left"/>
              <w:rPr>
                <w:rFonts w:hint="eastAsia" w:ascii="宋体" w:hAnsi="宋体"/>
                <w:sz w:val="24"/>
              </w:rPr>
            </w:pPr>
            <w:r>
              <w:rPr>
                <w:rFonts w:hint="eastAsia" w:ascii="宋体" w:hAnsi="宋体" w:cs="宋体"/>
                <w:sz w:val="24"/>
              </w:rPr>
              <w:t>电子评审情况：</w:t>
            </w:r>
            <w:r>
              <w:rPr>
                <w:rFonts w:ascii="宋体" w:hAnsi="宋体" w:cs="宋体"/>
                <w:sz w:val="24"/>
              </w:rPr>
              <w:t>根据</w:t>
            </w:r>
            <w:r>
              <w:rPr>
                <w:rFonts w:hint="eastAsia" w:ascii="宋体" w:hAnsi="宋体" w:cs="宋体"/>
                <w:sz w:val="24"/>
              </w:rPr>
              <w:t>投标</w:t>
            </w:r>
            <w:r>
              <w:rPr>
                <w:rFonts w:ascii="宋体" w:hAnsi="宋体" w:cs="宋体"/>
                <w:sz w:val="24"/>
              </w:rPr>
              <w:t>文件是否按政采云系统关联编制</w:t>
            </w:r>
            <w:r>
              <w:rPr>
                <w:rFonts w:hint="eastAsia" w:ascii="宋体" w:hAnsi="宋体" w:cs="宋体"/>
                <w:sz w:val="24"/>
              </w:rPr>
              <w:t>，如未关联，本项不得分。</w:t>
            </w:r>
          </w:p>
        </w:tc>
        <w:tc>
          <w:tcPr>
            <w:tcW w:w="1275" w:type="dxa"/>
            <w:noWrap w:val="0"/>
            <w:vAlign w:val="center"/>
          </w:tcPr>
          <w:p>
            <w:pPr>
              <w:autoSpaceDE w:val="0"/>
              <w:autoSpaceDN w:val="0"/>
              <w:adjustRightInd w:val="0"/>
              <w:spacing w:line="400" w:lineRule="exact"/>
              <w:ind w:left="-94" w:leftChars="-45" w:right="-122" w:rightChars="-58"/>
              <w:jc w:val="center"/>
              <w:rPr>
                <w:rFonts w:hint="eastAsia" w:ascii="宋体" w:hAnsi="宋体"/>
                <w:sz w:val="24"/>
              </w:rPr>
            </w:pPr>
            <w:r>
              <w:rPr>
                <w:rFonts w:hint="eastAsia" w:ascii="宋体" w:hAnsi="宋体"/>
                <w:sz w:val="24"/>
              </w:rPr>
              <w:t>0-2分</w:t>
            </w:r>
          </w:p>
        </w:tc>
      </w:tr>
    </w:tbl>
    <w:p>
      <w:pPr>
        <w:spacing w:line="400" w:lineRule="exact"/>
        <w:ind w:firstLine="463" w:firstLineChars="192"/>
        <w:rPr>
          <w:rFonts w:hint="eastAsia" w:ascii="宋体" w:hAnsi="宋体"/>
          <w:b/>
          <w:sz w:val="24"/>
        </w:rPr>
      </w:pPr>
    </w:p>
    <w:p>
      <w:pPr>
        <w:spacing w:line="400" w:lineRule="exact"/>
        <w:ind w:firstLine="463" w:firstLineChars="192"/>
        <w:rPr>
          <w:rFonts w:hint="eastAsia" w:ascii="宋体" w:hAnsi="宋体"/>
          <w:b/>
          <w:sz w:val="24"/>
        </w:rPr>
      </w:pPr>
    </w:p>
    <w:p>
      <w:pPr>
        <w:spacing w:line="400" w:lineRule="exact"/>
        <w:ind w:firstLine="463" w:firstLineChars="192"/>
        <w:rPr>
          <w:rFonts w:ascii="宋体" w:hAnsi="宋体"/>
          <w:sz w:val="24"/>
          <w:szCs w:val="28"/>
        </w:rPr>
      </w:pPr>
      <w:r>
        <w:rPr>
          <w:rFonts w:hint="eastAsia" w:ascii="宋体" w:hAnsi="宋体"/>
          <w:b/>
          <w:sz w:val="24"/>
          <w:szCs w:val="28"/>
        </w:rPr>
        <w:t>注：技术商务为各专家评分的算术平均值</w:t>
      </w:r>
      <w:r>
        <w:rPr>
          <w:rFonts w:hint="eastAsia" w:ascii="宋体" w:hAnsi="宋体"/>
          <w:sz w:val="24"/>
          <w:szCs w:val="28"/>
        </w:rPr>
        <w:t>，评分保留两位小数</w:t>
      </w:r>
      <w:r>
        <w:rPr>
          <w:rFonts w:hint="eastAsia" w:ascii="宋体" w:hAnsi="宋体"/>
          <w:b/>
          <w:sz w:val="24"/>
          <w:szCs w:val="28"/>
        </w:rPr>
        <w:t>。</w:t>
      </w:r>
      <w:r>
        <w:rPr>
          <w:rFonts w:hint="eastAsia" w:ascii="宋体" w:hAnsi="宋体"/>
          <w:sz w:val="24"/>
          <w:szCs w:val="28"/>
        </w:rPr>
        <w:t xml:space="preserve"> </w:t>
      </w:r>
    </w:p>
    <w:p>
      <w:pPr>
        <w:spacing w:line="400" w:lineRule="exact"/>
        <w:ind w:firstLine="460" w:firstLineChars="192"/>
        <w:rPr>
          <w:rFonts w:ascii="宋体" w:hAnsi="宋体"/>
          <w:sz w:val="24"/>
          <w:szCs w:val="28"/>
        </w:rPr>
      </w:pPr>
      <w:r>
        <w:rPr>
          <w:rFonts w:hint="eastAsia" w:ascii="宋体" w:hAnsi="宋体"/>
          <w:sz w:val="24"/>
          <w:szCs w:val="28"/>
        </w:rPr>
        <w:t>6、对响应方宣布技术评分结果后，开启并宣布响应方最后报价。</w:t>
      </w:r>
    </w:p>
    <w:p>
      <w:pPr>
        <w:snapToGrid w:val="0"/>
        <w:spacing w:line="400" w:lineRule="exact"/>
        <w:ind w:right="-334" w:rightChars="-159" w:firstLine="480" w:firstLineChars="200"/>
        <w:rPr>
          <w:rFonts w:ascii="宋体" w:hAnsi="宋体"/>
          <w:sz w:val="24"/>
        </w:rPr>
      </w:pPr>
      <w:r>
        <w:rPr>
          <w:rFonts w:hint="eastAsia" w:ascii="宋体" w:hAnsi="宋体"/>
          <w:sz w:val="24"/>
          <w:szCs w:val="28"/>
        </w:rPr>
        <w:t>7、</w:t>
      </w:r>
      <w:r>
        <w:rPr>
          <w:rFonts w:hint="eastAsia" w:ascii="宋体" w:hAnsi="宋体"/>
          <w:sz w:val="24"/>
        </w:rPr>
        <w:t>计算报价得分。</w:t>
      </w:r>
    </w:p>
    <w:p>
      <w:pPr>
        <w:snapToGrid w:val="0"/>
        <w:spacing w:line="400" w:lineRule="exact"/>
        <w:ind w:right="29" w:rightChars="14" w:firstLine="482" w:firstLineChars="200"/>
        <w:rPr>
          <w:rFonts w:ascii="宋体" w:hAnsi="宋体"/>
          <w:b/>
          <w:sz w:val="24"/>
        </w:rPr>
      </w:pPr>
      <w:r>
        <w:rPr>
          <w:rFonts w:hint="eastAsia" w:ascii="宋体" w:hAnsi="宋体"/>
          <w:b/>
          <w:sz w:val="24"/>
        </w:rPr>
        <w:t>报价分满分为20分，评分方法如下：满足磋商文件要求且最后报价最低的响应方报价作为磋商基准价，其报价得分为满分。其他响应方报价得分按照下列公式计算：报价得分＝（磋商基准价/最后报价）*20</w:t>
      </w:r>
    </w:p>
    <w:p>
      <w:pPr>
        <w:spacing w:line="400" w:lineRule="exact"/>
        <w:ind w:firstLine="460" w:firstLineChars="192"/>
        <w:rPr>
          <w:rFonts w:ascii="宋体" w:hAnsi="宋体"/>
          <w:sz w:val="24"/>
          <w:szCs w:val="28"/>
        </w:rPr>
      </w:pPr>
      <w:r>
        <w:rPr>
          <w:rFonts w:hint="eastAsia" w:ascii="宋体" w:hAnsi="宋体"/>
          <w:sz w:val="24"/>
          <w:szCs w:val="28"/>
        </w:rPr>
        <w:t>如报价中的总价金额与按单价汇总金额不一致的，以单价汇总金额为准；大写金额和小写金额不一致的，以大写金额为准；单价金额小数点有明显错位的，经响应方确认后可以总价为准，并修改单价。如有响应方最后报价超过预算控制价，为无效响应。</w:t>
      </w:r>
    </w:p>
    <w:p>
      <w:pPr>
        <w:spacing w:line="400" w:lineRule="exact"/>
        <w:ind w:firstLine="460" w:firstLineChars="192"/>
        <w:rPr>
          <w:rFonts w:ascii="宋体" w:hAnsi="宋体"/>
          <w:sz w:val="24"/>
          <w:szCs w:val="28"/>
        </w:rPr>
      </w:pPr>
      <w:r>
        <w:rPr>
          <w:rFonts w:hint="eastAsia" w:ascii="宋体" w:hAnsi="宋体"/>
          <w:sz w:val="24"/>
          <w:szCs w:val="28"/>
        </w:rPr>
        <w:t>8、磋商小组依据总分（技术商务分与报价分之和）由高到低的顺序确定总分最高的响应方为中标供应商，并拟制磋商结果报告。</w:t>
      </w:r>
    </w:p>
    <w:p>
      <w:pPr>
        <w:snapToGrid w:val="0"/>
        <w:spacing w:line="400" w:lineRule="exact"/>
        <w:ind w:firstLine="460" w:firstLineChars="192"/>
        <w:rPr>
          <w:rFonts w:ascii="宋体" w:hAnsi="宋体"/>
          <w:sz w:val="24"/>
          <w:szCs w:val="28"/>
        </w:rPr>
      </w:pPr>
      <w:r>
        <w:rPr>
          <w:rFonts w:hint="eastAsia" w:ascii="宋体" w:hAnsi="宋体"/>
          <w:sz w:val="24"/>
          <w:szCs w:val="28"/>
        </w:rPr>
        <w:t>（四）中标及签订协议：</w:t>
      </w:r>
    </w:p>
    <w:p>
      <w:pPr>
        <w:snapToGrid w:val="0"/>
        <w:spacing w:line="400" w:lineRule="exact"/>
        <w:ind w:firstLine="460" w:firstLineChars="192"/>
        <w:rPr>
          <w:rFonts w:ascii="宋体" w:hAnsi="宋体"/>
          <w:sz w:val="24"/>
          <w:szCs w:val="28"/>
        </w:rPr>
      </w:pPr>
      <w:r>
        <w:rPr>
          <w:rFonts w:hint="eastAsia" w:ascii="宋体" w:hAnsi="宋体"/>
          <w:sz w:val="24"/>
          <w:szCs w:val="28"/>
        </w:rPr>
        <w:t>1.磋商结束后，当场宣布磋商最终结果。</w:t>
      </w:r>
    </w:p>
    <w:p>
      <w:pPr>
        <w:snapToGrid w:val="0"/>
        <w:spacing w:line="400" w:lineRule="exact"/>
        <w:ind w:firstLine="460" w:firstLineChars="192"/>
        <w:rPr>
          <w:rFonts w:ascii="宋体" w:hAnsi="宋体"/>
          <w:sz w:val="24"/>
          <w:szCs w:val="28"/>
        </w:rPr>
      </w:pPr>
      <w:r>
        <w:rPr>
          <w:rFonts w:hint="eastAsia" w:ascii="宋体" w:hAnsi="宋体"/>
          <w:sz w:val="24"/>
          <w:szCs w:val="28"/>
        </w:rPr>
        <w:t>2.采购代理机构将磋商结果在指定媒体上进行公示，公示期内如无异议，向中标供应商签发《中标通知书》。在法律规定的质疑期内，中标供应商有违反有关法律法规和本项目要求行为的，则取消其中标资格，本项目中标供应商重新按候选中标供应商顺序确定或重新组织竞争性磋商。</w:t>
      </w:r>
    </w:p>
    <w:p>
      <w:pPr>
        <w:snapToGrid w:val="0"/>
        <w:spacing w:line="400" w:lineRule="exact"/>
        <w:ind w:firstLine="460" w:firstLineChars="192"/>
        <w:rPr>
          <w:rFonts w:hint="eastAsia" w:ascii="宋体" w:hAnsi="宋体"/>
          <w:sz w:val="24"/>
          <w:szCs w:val="28"/>
        </w:rPr>
      </w:pPr>
      <w:r>
        <w:rPr>
          <w:rFonts w:hint="eastAsia" w:ascii="宋体" w:hAnsi="宋体"/>
          <w:sz w:val="24"/>
          <w:szCs w:val="28"/>
        </w:rPr>
        <w:t>3.《中标通知书》、竞争性磋商文件、磋商响应文件等采购文件将作为签订合同的依据。</w:t>
      </w:r>
    </w:p>
    <w:p>
      <w:pPr>
        <w:snapToGrid w:val="0"/>
        <w:spacing w:line="400" w:lineRule="exact"/>
        <w:ind w:firstLine="460" w:firstLineChars="192"/>
        <w:rPr>
          <w:rFonts w:ascii="宋体" w:hAnsi="宋体"/>
          <w:sz w:val="24"/>
          <w:szCs w:val="28"/>
        </w:rPr>
      </w:pPr>
      <w:r>
        <w:rPr>
          <w:rFonts w:hint="eastAsia" w:ascii="宋体" w:hAnsi="宋体"/>
          <w:sz w:val="24"/>
          <w:szCs w:val="28"/>
        </w:rPr>
        <w:t>4.中标供应商在接到《中标通知书》后，违反采购文件有关规定和要求，不履行磋商响应承诺，在规定时间内拒签合同或放弃中标的，则取消该响应方的中标资格，本项目中标供应商重新按候选中标供应商顺序确定，或重新组织竞争性磋商。</w:t>
      </w:r>
    </w:p>
    <w:p>
      <w:pPr>
        <w:pStyle w:val="24"/>
        <w:spacing w:line="400" w:lineRule="exact"/>
        <w:rPr>
          <w:rFonts w:hint="eastAsia" w:hAnsi="宋体"/>
          <w:sz w:val="24"/>
          <w:szCs w:val="28"/>
        </w:rPr>
      </w:pPr>
      <w:r>
        <w:rPr>
          <w:rFonts w:hint="eastAsia" w:hAnsi="宋体"/>
          <w:sz w:val="24"/>
          <w:szCs w:val="28"/>
        </w:rPr>
        <w:t>（五）履约保证金</w:t>
      </w:r>
      <w:r>
        <w:rPr>
          <w:rFonts w:hint="eastAsia" w:hAnsi="宋体"/>
          <w:spacing w:val="20"/>
          <w:sz w:val="24"/>
          <w:szCs w:val="28"/>
        </w:rPr>
        <w:t>：</w:t>
      </w:r>
      <w:bookmarkStart w:id="47" w:name="_Toc123702855"/>
      <w:bookmarkEnd w:id="47"/>
      <w:bookmarkStart w:id="48" w:name="_Toc123715259"/>
      <w:bookmarkEnd w:id="48"/>
      <w:bookmarkStart w:id="49" w:name="_Toc124666029"/>
      <w:bookmarkEnd w:id="49"/>
      <w:bookmarkStart w:id="50" w:name="_Toc123715260"/>
      <w:bookmarkEnd w:id="50"/>
      <w:bookmarkStart w:id="51" w:name="_Toc124649012"/>
      <w:bookmarkEnd w:id="51"/>
      <w:bookmarkStart w:id="52" w:name="_Toc124589346"/>
      <w:bookmarkEnd w:id="52"/>
      <w:bookmarkStart w:id="53" w:name="_Toc123702856"/>
      <w:bookmarkEnd w:id="53"/>
      <w:bookmarkStart w:id="54" w:name="_Toc124649013"/>
      <w:bookmarkEnd w:id="54"/>
      <w:bookmarkStart w:id="55" w:name="_Toc123715262"/>
      <w:bookmarkEnd w:id="55"/>
      <w:bookmarkStart w:id="56" w:name="_Toc124649368"/>
      <w:bookmarkEnd w:id="56"/>
      <w:bookmarkStart w:id="57" w:name="_Toc124666028"/>
      <w:bookmarkEnd w:id="57"/>
      <w:bookmarkStart w:id="58" w:name="_Toc124666025"/>
      <w:bookmarkEnd w:id="58"/>
      <w:bookmarkStart w:id="59" w:name="_Toc124649010"/>
      <w:bookmarkEnd w:id="59"/>
      <w:bookmarkStart w:id="60" w:name="_Toc124648903"/>
      <w:bookmarkEnd w:id="60"/>
      <w:bookmarkStart w:id="61" w:name="_Toc124666030"/>
      <w:bookmarkEnd w:id="61"/>
      <w:bookmarkStart w:id="62" w:name="_Toc123702854"/>
      <w:bookmarkEnd w:id="62"/>
      <w:bookmarkStart w:id="63" w:name="_Toc124648899"/>
      <w:bookmarkEnd w:id="63"/>
      <w:bookmarkStart w:id="64" w:name="_Toc124649015"/>
      <w:bookmarkEnd w:id="64"/>
      <w:bookmarkStart w:id="65" w:name="_Toc124589351"/>
      <w:bookmarkEnd w:id="65"/>
      <w:bookmarkStart w:id="66" w:name="_Toc124589349"/>
      <w:bookmarkEnd w:id="66"/>
      <w:bookmarkStart w:id="67" w:name="_Toc124666027"/>
      <w:bookmarkEnd w:id="67"/>
      <w:bookmarkStart w:id="68" w:name="_Toc123702861"/>
      <w:bookmarkEnd w:id="68"/>
      <w:bookmarkStart w:id="69" w:name="_Toc124648897"/>
      <w:bookmarkEnd w:id="69"/>
      <w:bookmarkStart w:id="70" w:name="_Toc123702859"/>
      <w:bookmarkEnd w:id="70"/>
      <w:bookmarkStart w:id="71" w:name="_Toc123702860"/>
      <w:bookmarkEnd w:id="71"/>
      <w:bookmarkStart w:id="72" w:name="_Toc124666032"/>
      <w:bookmarkEnd w:id="72"/>
      <w:bookmarkStart w:id="73" w:name="_Toc124589347"/>
      <w:bookmarkEnd w:id="73"/>
      <w:bookmarkStart w:id="74" w:name="_Toc124666031"/>
      <w:bookmarkEnd w:id="74"/>
      <w:bookmarkStart w:id="75" w:name="_Toc123715258"/>
      <w:bookmarkEnd w:id="75"/>
      <w:bookmarkStart w:id="76" w:name="_Toc124649372"/>
      <w:bookmarkEnd w:id="76"/>
      <w:bookmarkStart w:id="77" w:name="_Toc124648898"/>
      <w:bookmarkEnd w:id="77"/>
      <w:bookmarkStart w:id="78" w:name="_Toc124649014"/>
      <w:bookmarkEnd w:id="78"/>
      <w:bookmarkStart w:id="79" w:name="_Toc124666026"/>
      <w:bookmarkEnd w:id="79"/>
      <w:bookmarkStart w:id="80" w:name="_Toc124649011"/>
      <w:bookmarkEnd w:id="80"/>
      <w:bookmarkStart w:id="81" w:name="_Toc124666033"/>
      <w:bookmarkEnd w:id="81"/>
      <w:bookmarkStart w:id="82" w:name="_Toc124648896"/>
      <w:bookmarkEnd w:id="82"/>
      <w:bookmarkStart w:id="83" w:name="_Toc124649371"/>
      <w:bookmarkEnd w:id="83"/>
      <w:bookmarkStart w:id="84" w:name="_Toc124589353"/>
      <w:bookmarkEnd w:id="84"/>
      <w:bookmarkStart w:id="85" w:name="_Toc123715263"/>
      <w:bookmarkEnd w:id="85"/>
      <w:bookmarkStart w:id="86" w:name="_Toc123702853"/>
      <w:bookmarkEnd w:id="86"/>
      <w:bookmarkStart w:id="87" w:name="_Toc124649366"/>
      <w:bookmarkEnd w:id="87"/>
      <w:bookmarkStart w:id="88" w:name="_Toc124589348"/>
      <w:bookmarkEnd w:id="88"/>
      <w:bookmarkStart w:id="89" w:name="_Toc124649017"/>
      <w:bookmarkEnd w:id="89"/>
      <w:bookmarkStart w:id="90" w:name="_Toc124649370"/>
      <w:bookmarkEnd w:id="90"/>
      <w:bookmarkStart w:id="91" w:name="_Toc124648901"/>
      <w:bookmarkEnd w:id="91"/>
      <w:bookmarkStart w:id="92" w:name="_Toc124666036"/>
      <w:bookmarkEnd w:id="92"/>
      <w:bookmarkStart w:id="93" w:name="_Toc123702864"/>
      <w:bookmarkEnd w:id="93"/>
      <w:bookmarkStart w:id="94" w:name="_Toc123715267"/>
      <w:bookmarkEnd w:id="94"/>
      <w:bookmarkStart w:id="95" w:name="_Toc124649016"/>
      <w:bookmarkEnd w:id="95"/>
      <w:bookmarkStart w:id="96" w:name="_Toc124649019"/>
      <w:bookmarkEnd w:id="96"/>
      <w:bookmarkStart w:id="97" w:name="_Toc124648905"/>
      <w:bookmarkEnd w:id="97"/>
      <w:bookmarkStart w:id="98" w:name="_Toc124589352"/>
      <w:bookmarkEnd w:id="98"/>
      <w:bookmarkStart w:id="99" w:name="_Toc123715268"/>
      <w:bookmarkEnd w:id="99"/>
      <w:bookmarkStart w:id="100" w:name="_Toc124649373"/>
      <w:bookmarkEnd w:id="100"/>
      <w:bookmarkStart w:id="101" w:name="_Toc124589354"/>
      <w:bookmarkEnd w:id="101"/>
      <w:bookmarkStart w:id="102" w:name="_Toc123715265"/>
      <w:bookmarkEnd w:id="102"/>
      <w:bookmarkStart w:id="103" w:name="_Toc124649020"/>
      <w:bookmarkEnd w:id="103"/>
      <w:bookmarkStart w:id="104" w:name="_Toc123715266"/>
      <w:bookmarkEnd w:id="104"/>
      <w:bookmarkStart w:id="105" w:name="_Toc123715270"/>
      <w:bookmarkEnd w:id="105"/>
      <w:bookmarkStart w:id="106" w:name="_Toc124648900"/>
      <w:bookmarkEnd w:id="106"/>
      <w:bookmarkStart w:id="107" w:name="_Toc124648904"/>
      <w:bookmarkEnd w:id="107"/>
      <w:bookmarkStart w:id="108" w:name="_Toc123702863"/>
      <w:bookmarkEnd w:id="108"/>
      <w:bookmarkStart w:id="109" w:name="_Toc124666034"/>
      <w:bookmarkEnd w:id="109"/>
      <w:bookmarkStart w:id="110" w:name="_Toc124589357"/>
      <w:bookmarkEnd w:id="110"/>
      <w:bookmarkStart w:id="111" w:name="_Toc124648907"/>
      <w:bookmarkEnd w:id="111"/>
      <w:bookmarkStart w:id="112" w:name="_Toc124589359"/>
      <w:bookmarkEnd w:id="112"/>
      <w:bookmarkStart w:id="113" w:name="_Toc124589350"/>
      <w:bookmarkEnd w:id="113"/>
      <w:bookmarkStart w:id="114" w:name="_Toc124589358"/>
      <w:bookmarkEnd w:id="114"/>
      <w:bookmarkStart w:id="115" w:name="_Toc124649018"/>
      <w:bookmarkEnd w:id="115"/>
      <w:bookmarkStart w:id="116" w:name="_Toc123702858"/>
      <w:bookmarkEnd w:id="116"/>
      <w:bookmarkStart w:id="117" w:name="_Toc124649374"/>
      <w:bookmarkEnd w:id="117"/>
      <w:bookmarkStart w:id="118" w:name="_Toc123715264"/>
      <w:bookmarkEnd w:id="118"/>
      <w:bookmarkStart w:id="119" w:name="_Toc124649376"/>
      <w:bookmarkEnd w:id="119"/>
      <w:bookmarkStart w:id="120" w:name="_Toc124649369"/>
      <w:bookmarkEnd w:id="120"/>
      <w:bookmarkStart w:id="121" w:name="_Toc124648902"/>
      <w:bookmarkEnd w:id="121"/>
      <w:bookmarkStart w:id="122" w:name="_Toc123715269"/>
      <w:bookmarkEnd w:id="122"/>
      <w:bookmarkStart w:id="123" w:name="_Toc124649375"/>
      <w:bookmarkEnd w:id="123"/>
      <w:bookmarkStart w:id="124" w:name="_Toc123702869"/>
      <w:bookmarkEnd w:id="124"/>
      <w:bookmarkStart w:id="125" w:name="_Toc124589363"/>
      <w:bookmarkEnd w:id="125"/>
      <w:bookmarkStart w:id="126" w:name="_Toc124649024"/>
      <w:bookmarkEnd w:id="126"/>
      <w:bookmarkStart w:id="127" w:name="_Toc124649022"/>
      <w:bookmarkEnd w:id="127"/>
      <w:bookmarkStart w:id="128" w:name="_Toc124649382"/>
      <w:bookmarkEnd w:id="128"/>
      <w:bookmarkStart w:id="129" w:name="_Toc123715271"/>
      <w:bookmarkEnd w:id="129"/>
      <w:bookmarkStart w:id="130" w:name="_Toc124648908"/>
      <w:bookmarkEnd w:id="130"/>
      <w:bookmarkStart w:id="131" w:name="_Toc124666043"/>
      <w:bookmarkEnd w:id="131"/>
      <w:bookmarkStart w:id="132" w:name="_Toc124648909"/>
      <w:bookmarkEnd w:id="132"/>
      <w:bookmarkStart w:id="133" w:name="_Toc124649021"/>
      <w:bookmarkEnd w:id="133"/>
      <w:bookmarkStart w:id="134" w:name="_Toc124666041"/>
      <w:bookmarkEnd w:id="134"/>
      <w:bookmarkStart w:id="135" w:name="_Toc123702865"/>
      <w:bookmarkEnd w:id="135"/>
      <w:bookmarkStart w:id="136" w:name="_Toc124589361"/>
      <w:bookmarkEnd w:id="136"/>
      <w:bookmarkStart w:id="137" w:name="_Toc124648906"/>
      <w:bookmarkEnd w:id="137"/>
      <w:bookmarkStart w:id="138" w:name="_Toc123715274"/>
      <w:bookmarkEnd w:id="138"/>
      <w:bookmarkStart w:id="139" w:name="_Toc124666038"/>
      <w:bookmarkEnd w:id="139"/>
      <w:bookmarkStart w:id="140" w:name="_Toc124649023"/>
      <w:bookmarkEnd w:id="140"/>
      <w:bookmarkStart w:id="141" w:name="_Toc124649380"/>
      <w:bookmarkEnd w:id="141"/>
      <w:bookmarkStart w:id="142" w:name="_Toc123702868"/>
      <w:bookmarkEnd w:id="142"/>
      <w:bookmarkStart w:id="143" w:name="_Toc124589355"/>
      <w:bookmarkEnd w:id="143"/>
      <w:bookmarkStart w:id="144" w:name="_Toc123702870"/>
      <w:bookmarkEnd w:id="144"/>
      <w:bookmarkStart w:id="145" w:name="_Toc124666035"/>
      <w:bookmarkEnd w:id="145"/>
      <w:bookmarkStart w:id="146" w:name="_Toc123702866"/>
      <w:bookmarkEnd w:id="146"/>
      <w:bookmarkStart w:id="147" w:name="_Toc124649379"/>
      <w:bookmarkEnd w:id="147"/>
      <w:bookmarkStart w:id="148" w:name="_Toc124649377"/>
      <w:bookmarkEnd w:id="148"/>
      <w:bookmarkStart w:id="149" w:name="_Toc124666037"/>
      <w:bookmarkEnd w:id="149"/>
      <w:bookmarkStart w:id="150" w:name="_Toc124648910"/>
      <w:bookmarkEnd w:id="150"/>
      <w:bookmarkStart w:id="151" w:name="_Toc123715272"/>
      <w:bookmarkEnd w:id="151"/>
      <w:bookmarkStart w:id="152" w:name="_Toc123702862"/>
      <w:bookmarkEnd w:id="152"/>
      <w:bookmarkStart w:id="153" w:name="_Toc124589356"/>
      <w:bookmarkEnd w:id="153"/>
      <w:bookmarkStart w:id="154" w:name="_Toc123702867"/>
      <w:bookmarkEnd w:id="154"/>
      <w:bookmarkStart w:id="155" w:name="_Toc124589362"/>
      <w:bookmarkEnd w:id="155"/>
      <w:bookmarkStart w:id="156" w:name="_Toc124649025"/>
      <w:bookmarkEnd w:id="156"/>
      <w:bookmarkStart w:id="157" w:name="_Toc124589360"/>
      <w:bookmarkEnd w:id="157"/>
      <w:bookmarkStart w:id="158" w:name="_Toc124666042"/>
      <w:bookmarkEnd w:id="158"/>
      <w:bookmarkStart w:id="159" w:name="_Toc123715257"/>
      <w:bookmarkEnd w:id="159"/>
      <w:bookmarkStart w:id="160" w:name="_Toc124649365"/>
      <w:bookmarkEnd w:id="160"/>
      <w:bookmarkStart w:id="161" w:name="_Toc124648913"/>
      <w:bookmarkEnd w:id="161"/>
      <w:bookmarkStart w:id="162" w:name="_Toc124666040"/>
      <w:bookmarkEnd w:id="162"/>
      <w:bookmarkStart w:id="163" w:name="_Toc123702852"/>
      <w:bookmarkEnd w:id="163"/>
      <w:bookmarkStart w:id="164" w:name="_Toc124649378"/>
      <w:bookmarkEnd w:id="164"/>
      <w:bookmarkStart w:id="165" w:name="_Toc124589345"/>
      <w:bookmarkEnd w:id="165"/>
      <w:bookmarkStart w:id="166" w:name="_Toc124649026"/>
      <w:bookmarkEnd w:id="166"/>
      <w:bookmarkStart w:id="167" w:name="_Toc124666039"/>
      <w:bookmarkEnd w:id="167"/>
      <w:bookmarkStart w:id="168" w:name="_Toc123715275"/>
      <w:bookmarkEnd w:id="168"/>
      <w:bookmarkStart w:id="169" w:name="_Toc123715261"/>
      <w:bookmarkEnd w:id="169"/>
      <w:bookmarkStart w:id="170" w:name="_Toc124649367"/>
      <w:bookmarkEnd w:id="170"/>
      <w:bookmarkStart w:id="171" w:name="_Toc124648912"/>
      <w:bookmarkEnd w:id="171"/>
      <w:bookmarkStart w:id="172" w:name="_Toc124648895"/>
      <w:bookmarkEnd w:id="172"/>
      <w:bookmarkStart w:id="173" w:name="_Toc123715273"/>
      <w:bookmarkEnd w:id="173"/>
      <w:bookmarkStart w:id="174" w:name="_Toc124648911"/>
      <w:bookmarkEnd w:id="174"/>
      <w:bookmarkStart w:id="175" w:name="_Toc124649381"/>
      <w:bookmarkEnd w:id="175"/>
      <w:bookmarkStart w:id="176" w:name="_Toc124649027"/>
      <w:bookmarkEnd w:id="176"/>
      <w:bookmarkStart w:id="177" w:name="_Toc123702857"/>
      <w:bookmarkEnd w:id="177"/>
      <w:bookmarkStart w:id="178" w:name="_Toc124649364"/>
      <w:bookmarkEnd w:id="178"/>
      <w:bookmarkStart w:id="179" w:name="_Toc124649009"/>
      <w:bookmarkEnd w:id="179"/>
    </w:p>
    <w:p>
      <w:pPr>
        <w:snapToGrid w:val="0"/>
        <w:spacing w:line="400" w:lineRule="exact"/>
        <w:ind w:firstLine="460" w:firstLineChars="192"/>
        <w:rPr>
          <w:rFonts w:hint="eastAsia"/>
          <w:sz w:val="24"/>
          <w:szCs w:val="28"/>
        </w:rPr>
      </w:pPr>
      <w:r>
        <w:rPr>
          <w:rFonts w:hint="eastAsia"/>
          <w:sz w:val="24"/>
          <w:szCs w:val="28"/>
        </w:rPr>
        <w:t>本项目不设履约保证金。</w:t>
      </w: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snapToGrid w:val="0"/>
        <w:spacing w:line="360" w:lineRule="exact"/>
        <w:ind w:firstLine="460" w:firstLineChars="192"/>
        <w:rPr>
          <w:rFonts w:hint="eastAsia"/>
          <w:sz w:val="24"/>
          <w:szCs w:val="28"/>
        </w:rPr>
      </w:pPr>
    </w:p>
    <w:p>
      <w:pPr>
        <w:wordWrap w:val="0"/>
        <w:spacing w:line="360" w:lineRule="auto"/>
        <w:jc w:val="center"/>
        <w:rPr>
          <w:rStyle w:val="53"/>
          <w:rFonts w:hint="eastAsia"/>
          <w:bCs w:val="0"/>
          <w:sz w:val="36"/>
          <w:szCs w:val="36"/>
        </w:rPr>
      </w:pPr>
      <w:bookmarkStart w:id="180" w:name="_Toc111809317"/>
      <w:r>
        <w:rPr>
          <w:rStyle w:val="53"/>
          <w:rFonts w:hint="eastAsia"/>
          <w:bCs w:val="0"/>
          <w:sz w:val="36"/>
          <w:szCs w:val="36"/>
        </w:rPr>
        <w:t>第五章  政府采购合同</w:t>
      </w:r>
      <w:bookmarkEnd w:id="180"/>
    </w:p>
    <w:bookmarkEnd w:id="44"/>
    <w:bookmarkEnd w:id="45"/>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kern w:val="0"/>
          <w:sz w:val="24"/>
        </w:rPr>
      </w:pPr>
      <w:r>
        <w:rPr>
          <w:rFonts w:hint="eastAsia" w:ascii="宋体" w:hAnsi="宋体" w:cs="Arial"/>
          <w:b/>
          <w:kern w:val="0"/>
          <w:sz w:val="24"/>
        </w:rPr>
        <w:t>一、通用必备条款部分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合同（项目）编号：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政府采购计划（预算）确认号：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采购人（以下称甲方）：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供应商（以下称乙方）：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采购代理机构：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hint="eastAsia" w:ascii="宋体" w:hAnsi="宋体" w:cs="Arial"/>
          <w:kern w:val="0"/>
          <w:sz w:val="24"/>
        </w:rPr>
      </w:pPr>
      <w:r>
        <w:rPr>
          <w:rFonts w:hint="eastAsia" w:ascii="宋体" w:hAnsi="宋体" w:cs="Arial"/>
          <w:kern w:val="0"/>
          <w:sz w:val="24"/>
        </w:rPr>
        <w:t>采购方式：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ind w:firstLine="480" w:firstLineChars="200"/>
        <w:jc w:val="left"/>
        <w:rPr>
          <w:rFonts w:hint="eastAsia" w:ascii="宋体" w:hAnsi="宋体" w:cs="Arial"/>
          <w:kern w:val="0"/>
          <w:sz w:val="24"/>
        </w:rPr>
      </w:pPr>
      <w:r>
        <w:rPr>
          <w:rFonts w:hint="eastAsia" w:ascii="宋体" w:hAnsi="宋体" w:cs="Arial"/>
          <w:kern w:val="0"/>
          <w:sz w:val="24"/>
        </w:rPr>
        <w:t>根据《中华人民共和国政府采购法》、《中华人民共和国民典法》等法律法规的规定，甲乙双方按照_________________________项目采购结果签订本合同。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第一条 合同组成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本次政府采购活动的相关文件为本合同的组成部分，这些文件包括但不限于：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（1）本合同文本；</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（2）采购文件与采购响应文件；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（3）中标或成交通知书；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组成本合同的所有文件必须为书面形式。政府采购合同备案时，须提供以上（1）、（3）两项，如由社会中介机构代理，须提供代理协议，合同如有变更的，须提供变更协议。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第二条 合同标的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本次采购的__________________________________________________________。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第三条 合同价款</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1、本合同项下货物总价款为（大写）_________人民币，分项价款在“投标货物报价明细表”中明确。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2、本合同总价款含所有税费。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3、本合同付款方式为以下第_________项：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（1）本合同项下的采购资金系甲方自行支付，付款程序为_________；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（2）本合同项下的采购资金须财政直接支付，付款程序为_________；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（3）其他方式：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4、本合同项下的采购资金付款进度按招投标文件规定，未规定时按以下第</w:t>
      </w:r>
      <w:r>
        <w:rPr>
          <w:rFonts w:hint="eastAsia" w:ascii="宋体" w:hAnsi="宋体" w:cs="Arial"/>
          <w:kern w:val="0"/>
          <w:sz w:val="24"/>
          <w:u w:val="single"/>
        </w:rPr>
        <w:t xml:space="preserve">     </w:t>
      </w:r>
      <w:r>
        <w:rPr>
          <w:rFonts w:hint="eastAsia" w:ascii="宋体" w:hAnsi="宋体" w:cs="Arial"/>
          <w:kern w:val="0"/>
          <w:sz w:val="24"/>
        </w:rPr>
        <w:t>项支付：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（1）一次性付款：乙方合同履行达到_______（条件）时，一次性付款；</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（2）分期付款：________时支付_______；________时支付_______；_________时支付_______；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若收取了履约保证金，则不应重复设置尾款支付条件。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第四条 履约保证金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kern w:val="0"/>
          <w:sz w:val="24"/>
        </w:rPr>
        <w:t>按以下第___项处理：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1、本项目设置履约保证金，乙方应于_________（时间）向甲方提交履约保证金_________元（本合同金额的1%）。履约保证金在_________（时间）退还乙方。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2、本项目不设置履约保证金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第五条 合同的变更和终止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除《政府采购法》第19条、第50条第二款规定的情形外，本合同一经签订，甲乙双方不得擅自终止合同或对合同实质性条款进行变更。确有特殊情况的，须经同级财政部门批准。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第六条 合同的转让与分包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乙方不得擅自部分或全部转让其应履行的合同义务。乙方分包的，应经过甲方书面同意。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b/>
          <w:kern w:val="0"/>
          <w:sz w:val="24"/>
        </w:rPr>
      </w:pPr>
      <w:r>
        <w:rPr>
          <w:rFonts w:hint="eastAsia" w:ascii="宋体" w:hAnsi="宋体" w:cs="Arial"/>
          <w:b/>
          <w:kern w:val="0"/>
          <w:sz w:val="24"/>
        </w:rPr>
        <w:t>第七条 争议的解决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1、因履行本合同引起的或与本合同有关的争议，甲、乙双方应首先通过友好协商解决，如果协商不能解决争议，则采取以下第_________种方式解决争议：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（1）向甲方所在地有管辖权的人民法院提起诉讼；</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kern w:val="0"/>
          <w:sz w:val="24"/>
        </w:rPr>
        <w:t>（2）向_________仲裁委员申请仲裁。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left"/>
        <w:rPr>
          <w:rFonts w:hint="eastAsia" w:ascii="宋体" w:hAnsi="宋体" w:cs="Arial"/>
          <w:kern w:val="0"/>
          <w:sz w:val="24"/>
        </w:rPr>
      </w:pPr>
      <w:r>
        <w:rPr>
          <w:rFonts w:hint="eastAsia" w:ascii="宋体" w:hAnsi="宋体" w:cs="Arial"/>
          <w:b/>
          <w:kern w:val="0"/>
          <w:sz w:val="24"/>
        </w:rPr>
        <w:t xml:space="preserve">第八条 </w:t>
      </w:r>
      <w:r>
        <w:rPr>
          <w:rFonts w:hint="eastAsia" w:ascii="宋体" w:hAnsi="宋体" w:cs="Arial"/>
          <w:b/>
          <w:kern w:val="0"/>
          <w:sz w:val="24"/>
        </w:rPr>
        <w:fldChar w:fldCharType="begin"/>
      </w:r>
      <w:r>
        <w:rPr>
          <w:rFonts w:hint="eastAsia" w:ascii="宋体" w:hAnsi="宋体" w:cs="Arial"/>
          <w:b/>
          <w:kern w:val="0"/>
          <w:sz w:val="24"/>
        </w:rPr>
        <w:instrText xml:space="preserve"> HYPERLINK "http://www.86exp.com/hetong/" </w:instrText>
      </w:r>
      <w:r>
        <w:rPr>
          <w:rFonts w:hint="eastAsia" w:ascii="宋体" w:hAnsi="宋体" w:cs="Arial"/>
          <w:b/>
          <w:kern w:val="0"/>
          <w:sz w:val="24"/>
        </w:rPr>
        <w:fldChar w:fldCharType="separate"/>
      </w:r>
      <w:r>
        <w:rPr>
          <w:rFonts w:hint="eastAsia" w:ascii="宋体" w:hAnsi="宋体" w:cs="Arial"/>
          <w:b/>
          <w:kern w:val="0"/>
          <w:sz w:val="24"/>
        </w:rPr>
        <w:t>合同</w:t>
      </w:r>
      <w:r>
        <w:rPr>
          <w:rFonts w:hint="eastAsia" w:ascii="宋体" w:hAnsi="宋体" w:cs="Arial"/>
          <w:b/>
          <w:kern w:val="0"/>
          <w:sz w:val="24"/>
        </w:rPr>
        <w:fldChar w:fldCharType="end"/>
      </w:r>
      <w:r>
        <w:rPr>
          <w:rFonts w:hint="eastAsia" w:ascii="宋体" w:hAnsi="宋体" w:cs="Arial"/>
          <w:b/>
          <w:kern w:val="0"/>
          <w:sz w:val="24"/>
        </w:rPr>
        <w:t>生效及其他</w:t>
      </w:r>
      <w:r>
        <w:rPr>
          <w:rFonts w:hint="eastAsia" w:ascii="宋体" w:hAnsi="宋体" w:cs="Arial"/>
          <w:kern w:val="0"/>
          <w:sz w:val="24"/>
        </w:rPr>
        <w:br w:type="textWrapping"/>
      </w:r>
      <w:r>
        <w:rPr>
          <w:rFonts w:hint="eastAsia" w:ascii="宋体" w:hAnsi="宋体" w:cs="Arial"/>
          <w:kern w:val="0"/>
          <w:sz w:val="24"/>
        </w:rPr>
        <w:t>1、合同经甲、乙双方代表签章并经代理机构鉴证后即行生效。</w:t>
      </w:r>
      <w:r>
        <w:rPr>
          <w:rFonts w:hint="eastAsia" w:ascii="宋体" w:hAnsi="宋体" w:cs="Arial"/>
          <w:kern w:val="0"/>
          <w:sz w:val="24"/>
        </w:rPr>
        <w:br w:type="textWrapping"/>
      </w:r>
      <w:r>
        <w:rPr>
          <w:rFonts w:hint="eastAsia" w:ascii="宋体" w:hAnsi="宋体" w:cs="Arial"/>
          <w:kern w:val="0"/>
          <w:sz w:val="24"/>
        </w:rPr>
        <w:t>2、本</w:t>
      </w:r>
      <w:r>
        <w:rPr>
          <w:rFonts w:hint="eastAsia" w:ascii="宋体" w:hAnsi="宋体" w:cs="Arial"/>
          <w:kern w:val="0"/>
          <w:sz w:val="24"/>
        </w:rPr>
        <w:fldChar w:fldCharType="begin"/>
      </w:r>
      <w:r>
        <w:rPr>
          <w:rFonts w:hint="eastAsia" w:ascii="宋体" w:hAnsi="宋体" w:cs="Arial"/>
          <w:kern w:val="0"/>
          <w:sz w:val="24"/>
        </w:rPr>
        <w:instrText xml:space="preserve"> HYPERLINK "http://www.86exp.com/hetong/" </w:instrText>
      </w:r>
      <w:r>
        <w:rPr>
          <w:rFonts w:hint="eastAsia" w:ascii="宋体" w:hAnsi="宋体" w:cs="Arial"/>
          <w:kern w:val="0"/>
          <w:sz w:val="24"/>
        </w:rPr>
        <w:fldChar w:fldCharType="separate"/>
      </w:r>
      <w:r>
        <w:rPr>
          <w:rFonts w:hint="eastAsia" w:ascii="宋体" w:hAnsi="宋体" w:cs="Arial"/>
          <w:kern w:val="0"/>
          <w:sz w:val="24"/>
        </w:rPr>
        <w:t>合同</w:t>
      </w:r>
      <w:r>
        <w:rPr>
          <w:rFonts w:hint="eastAsia" w:ascii="宋体" w:hAnsi="宋体" w:cs="Arial"/>
          <w:kern w:val="0"/>
          <w:sz w:val="24"/>
        </w:rPr>
        <w:fldChar w:fldCharType="end"/>
      </w:r>
      <w:r>
        <w:rPr>
          <w:rFonts w:hint="eastAsia" w:ascii="宋体" w:hAnsi="宋体" w:cs="Arial"/>
          <w:kern w:val="0"/>
          <w:sz w:val="24"/>
        </w:rPr>
        <w:t>一式四份，甲乙双方各执一份，一份交代理机构存档，一份报送桐乡市财政局政府采购监管科备案。</w:t>
      </w:r>
      <w:r>
        <w:rPr>
          <w:rFonts w:hint="eastAsia" w:ascii="宋体" w:hAnsi="宋体" w:cs="Arial"/>
          <w:kern w:val="0"/>
          <w:sz w:val="24"/>
        </w:rPr>
        <w:br w:type="textWrapping"/>
      </w:r>
      <w:r>
        <w:rPr>
          <w:rFonts w:hint="eastAsia" w:ascii="宋体" w:hAnsi="宋体" w:cs="Arial"/>
          <w:kern w:val="0"/>
          <w:sz w:val="24"/>
        </w:rPr>
        <w:t>3、本</w:t>
      </w:r>
      <w:r>
        <w:rPr>
          <w:rFonts w:hint="eastAsia" w:ascii="宋体" w:hAnsi="宋体" w:cs="Arial"/>
          <w:kern w:val="0"/>
          <w:sz w:val="24"/>
        </w:rPr>
        <w:fldChar w:fldCharType="begin"/>
      </w:r>
      <w:r>
        <w:rPr>
          <w:rFonts w:hint="eastAsia" w:ascii="宋体" w:hAnsi="宋体" w:cs="Arial"/>
          <w:kern w:val="0"/>
          <w:sz w:val="24"/>
        </w:rPr>
        <w:instrText xml:space="preserve"> HYPERLINK "http://www.86exp.com/hetong/" </w:instrText>
      </w:r>
      <w:r>
        <w:rPr>
          <w:rFonts w:hint="eastAsia" w:ascii="宋体" w:hAnsi="宋体" w:cs="Arial"/>
          <w:kern w:val="0"/>
          <w:sz w:val="24"/>
        </w:rPr>
        <w:fldChar w:fldCharType="separate"/>
      </w:r>
      <w:r>
        <w:rPr>
          <w:rFonts w:hint="eastAsia" w:ascii="宋体" w:hAnsi="宋体" w:cs="Arial"/>
          <w:kern w:val="0"/>
          <w:sz w:val="24"/>
        </w:rPr>
        <w:t>合同</w:t>
      </w:r>
      <w:r>
        <w:rPr>
          <w:rFonts w:hint="eastAsia" w:ascii="宋体" w:hAnsi="宋体" w:cs="Arial"/>
          <w:kern w:val="0"/>
          <w:sz w:val="24"/>
        </w:rPr>
        <w:fldChar w:fldCharType="end"/>
      </w:r>
      <w:r>
        <w:rPr>
          <w:rFonts w:hint="eastAsia" w:ascii="宋体" w:hAnsi="宋体" w:cs="Arial"/>
          <w:kern w:val="0"/>
          <w:sz w:val="24"/>
        </w:rPr>
        <w:t>应按照中华人民共和国的现行法律进行解释。</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center"/>
        <w:rPr>
          <w:rFonts w:hint="eastAsia" w:ascii="宋体" w:hAnsi="宋体" w:cs="Arial"/>
          <w:b/>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jc w:val="center"/>
        <w:rPr>
          <w:rFonts w:hint="eastAsia" w:ascii="宋体" w:hAnsi="宋体" w:cs="Arial"/>
          <w:b/>
          <w:kern w:val="0"/>
          <w:sz w:val="24"/>
        </w:rPr>
      </w:pPr>
      <w:r>
        <w:rPr>
          <w:rFonts w:hint="eastAsia" w:ascii="宋体" w:hAnsi="宋体" w:cs="Arial"/>
          <w:b/>
          <w:kern w:val="0"/>
          <w:sz w:val="24"/>
        </w:rPr>
        <w:t>二、特殊专用条款部分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40" w:lineRule="exact"/>
        <w:rPr>
          <w:rFonts w:hint="eastAsia" w:ascii="宋体" w:hAnsi="宋体" w:cs="Arial"/>
          <w:kern w:val="0"/>
          <w:sz w:val="24"/>
        </w:rPr>
      </w:pPr>
      <w:r>
        <w:rPr>
          <w:rFonts w:hint="eastAsia" w:ascii="宋体" w:hAnsi="宋体" w:cs="Arial"/>
          <w:kern w:val="0"/>
          <w:sz w:val="24"/>
        </w:rPr>
        <w:t>1、本项目供货（调试）完成时间：     年    月    日 前。</w:t>
      </w:r>
    </w:p>
    <w:p>
      <w:pPr>
        <w:adjustRightInd w:val="0"/>
        <w:snapToGrid w:val="0"/>
        <w:spacing w:line="340" w:lineRule="exact"/>
        <w:jc w:val="left"/>
        <w:rPr>
          <w:rFonts w:hint="eastAsia" w:ascii="宋体" w:hAnsi="宋体" w:cs="Arial"/>
          <w:kern w:val="0"/>
          <w:sz w:val="24"/>
        </w:rPr>
      </w:pPr>
      <w:r>
        <w:rPr>
          <w:rFonts w:hint="eastAsia" w:ascii="宋体" w:hAnsi="宋体" w:cs="Arial"/>
          <w:kern w:val="0"/>
          <w:sz w:val="24"/>
        </w:rPr>
        <w:t>2、其他</w:t>
      </w:r>
    </w:p>
    <w:p>
      <w:pPr>
        <w:adjustRightInd w:val="0"/>
        <w:snapToGrid w:val="0"/>
        <w:spacing w:line="340" w:lineRule="exact"/>
        <w:rPr>
          <w:rFonts w:hint="eastAsia" w:hAnsi="宋体" w:cs="Arial"/>
          <w:kern w:val="0"/>
          <w:sz w:val="24"/>
          <w:u w:val="single"/>
        </w:rPr>
      </w:pPr>
      <w:r>
        <w:rPr>
          <w:rFonts w:hint="eastAsia" w:hAnsi="宋体" w:cs="Arial"/>
          <w:kern w:val="0"/>
          <w:sz w:val="24"/>
          <w:u w:val="single"/>
        </w:rPr>
        <w:t xml:space="preserve">                                                                               </w:t>
      </w:r>
    </w:p>
    <w:p>
      <w:pPr>
        <w:adjustRightInd w:val="0"/>
        <w:snapToGrid w:val="0"/>
        <w:spacing w:line="340" w:lineRule="exact"/>
        <w:rPr>
          <w:rFonts w:hint="eastAsia" w:hAnsi="宋体" w:cs="Arial"/>
          <w:kern w:val="0"/>
          <w:sz w:val="24"/>
          <w:u w:val="single"/>
        </w:rPr>
      </w:pPr>
      <w:r>
        <w:rPr>
          <w:rFonts w:hint="eastAsia" w:hAnsi="宋体" w:cs="Arial"/>
          <w:kern w:val="0"/>
          <w:sz w:val="24"/>
          <w:u w:val="single"/>
        </w:rPr>
        <w:t xml:space="preserve">                                                                              </w:t>
      </w:r>
    </w:p>
    <w:p>
      <w:pPr>
        <w:adjustRightInd w:val="0"/>
        <w:snapToGrid w:val="0"/>
        <w:spacing w:line="340" w:lineRule="exact"/>
        <w:rPr>
          <w:rFonts w:hint="eastAsia" w:hAnsi="宋体" w:cs="Arial"/>
          <w:kern w:val="0"/>
          <w:sz w:val="24"/>
          <w:u w:val="single"/>
        </w:rPr>
      </w:pPr>
      <w:r>
        <w:rPr>
          <w:rFonts w:hint="eastAsia" w:hAnsi="宋体" w:cs="Arial"/>
          <w:kern w:val="0"/>
          <w:sz w:val="24"/>
          <w:u w:val="single"/>
        </w:rPr>
        <w:t xml:space="preserve">                                                                              </w:t>
      </w:r>
    </w:p>
    <w:p>
      <w:pPr>
        <w:adjustRightInd w:val="0"/>
        <w:snapToGrid w:val="0"/>
        <w:spacing w:line="340" w:lineRule="exact"/>
        <w:rPr>
          <w:rFonts w:hint="eastAsia" w:ascii="宋体" w:hAnsi="宋体" w:cs="Tahoma"/>
          <w:bCs/>
          <w:sz w:val="24"/>
        </w:rPr>
      </w:pPr>
    </w:p>
    <w:p>
      <w:pPr>
        <w:adjustRightInd w:val="0"/>
        <w:snapToGrid w:val="0"/>
        <w:spacing w:line="340" w:lineRule="exact"/>
        <w:rPr>
          <w:rFonts w:hint="eastAsia" w:ascii="宋体" w:hAnsi="宋体" w:cs="Tahoma"/>
          <w:bCs/>
          <w:sz w:val="24"/>
        </w:rPr>
      </w:pPr>
      <w:r>
        <w:rPr>
          <w:rFonts w:hint="eastAsia" w:ascii="宋体" w:hAnsi="宋体" w:cs="Tahoma"/>
          <w:bCs/>
          <w:sz w:val="24"/>
        </w:rPr>
        <w:fldChar w:fldCharType="begin"/>
      </w:r>
      <w:r>
        <w:rPr>
          <w:rFonts w:hint="eastAsia" w:ascii="宋体" w:hAnsi="宋体" w:cs="Tahoma"/>
          <w:bCs/>
          <w:sz w:val="24"/>
        </w:rPr>
        <w:instrText xml:space="preserve"> HYPERLINK "http://www.86exp.com/hetong/" </w:instrText>
      </w:r>
      <w:r>
        <w:rPr>
          <w:rFonts w:hint="eastAsia" w:ascii="宋体" w:hAnsi="宋体" w:cs="Tahoma"/>
          <w:bCs/>
          <w:sz w:val="24"/>
        </w:rPr>
        <w:fldChar w:fldCharType="separate"/>
      </w:r>
      <w:r>
        <w:rPr>
          <w:rFonts w:hint="eastAsia" w:ascii="宋体" w:hAnsi="宋体" w:cs="Tahoma"/>
          <w:bCs/>
          <w:sz w:val="24"/>
        </w:rPr>
        <w:t>甲方</w:t>
      </w:r>
      <w:r>
        <w:rPr>
          <w:rFonts w:hint="eastAsia" w:ascii="宋体" w:hAnsi="宋体" w:cs="Tahoma"/>
          <w:bCs/>
          <w:sz w:val="24"/>
        </w:rPr>
        <w:fldChar w:fldCharType="end"/>
      </w:r>
      <w:r>
        <w:rPr>
          <w:rFonts w:hint="eastAsia" w:ascii="宋体" w:hAnsi="宋体" w:cs="Tahoma"/>
          <w:bCs/>
          <w:sz w:val="24"/>
        </w:rPr>
        <w:t xml:space="preserve">（采购人）：（盖章）              </w:t>
      </w:r>
      <w:r>
        <w:rPr>
          <w:rFonts w:hint="eastAsia" w:ascii="宋体" w:hAnsi="宋体" w:cs="Tahoma"/>
          <w:bCs/>
          <w:sz w:val="24"/>
        </w:rPr>
        <w:br w:type="textWrapping"/>
      </w:r>
      <w:r>
        <w:rPr>
          <w:rFonts w:hint="eastAsia" w:ascii="宋体" w:hAnsi="宋体" w:cs="Tahoma"/>
          <w:bCs/>
          <w:sz w:val="24"/>
        </w:rPr>
        <w:t>法定（授权）代表：</w:t>
      </w:r>
      <w:r>
        <w:rPr>
          <w:rFonts w:hint="eastAsia" w:ascii="宋体" w:hAnsi="宋体" w:cs="宋体"/>
          <w:bCs/>
          <w:sz w:val="24"/>
        </w:rPr>
        <w:t xml:space="preserve">            </w:t>
      </w:r>
      <w:r>
        <w:rPr>
          <w:rFonts w:hint="eastAsia" w:ascii="宋体" w:hAnsi="宋体" w:cs="Tahoma"/>
          <w:bCs/>
          <w:sz w:val="24"/>
        </w:rPr>
        <w:br w:type="textWrapping"/>
      </w:r>
      <w:r>
        <w:rPr>
          <w:rFonts w:hint="eastAsia" w:ascii="宋体" w:hAnsi="宋体" w:cs="Tahoma"/>
          <w:bCs/>
          <w:sz w:val="24"/>
        </w:rPr>
        <w:t xml:space="preserve">电话：                  </w:t>
      </w:r>
    </w:p>
    <w:p>
      <w:pPr>
        <w:adjustRightInd w:val="0"/>
        <w:snapToGrid w:val="0"/>
        <w:spacing w:line="340" w:lineRule="exact"/>
        <w:rPr>
          <w:rFonts w:hint="eastAsia" w:ascii="宋体" w:hAnsi="宋体" w:cs="Tahoma"/>
          <w:bCs/>
          <w:sz w:val="24"/>
        </w:rPr>
      </w:pPr>
      <w:r>
        <w:rPr>
          <w:rFonts w:hint="eastAsia" w:ascii="宋体" w:hAnsi="宋体" w:cs="Tahoma"/>
          <w:bCs/>
          <w:sz w:val="24"/>
        </w:rPr>
        <w:t xml:space="preserve">单位地址：         </w:t>
      </w:r>
      <w:r>
        <w:rPr>
          <w:rFonts w:hint="eastAsia" w:ascii="宋体" w:hAnsi="宋体" w:cs="Tahoma"/>
          <w:bCs/>
          <w:sz w:val="24"/>
        </w:rPr>
        <w:br w:type="textWrapping"/>
      </w:r>
    </w:p>
    <w:p>
      <w:pPr>
        <w:adjustRightInd w:val="0"/>
        <w:snapToGrid w:val="0"/>
        <w:spacing w:line="340" w:lineRule="exact"/>
        <w:rPr>
          <w:rFonts w:hint="eastAsia" w:ascii="宋体" w:hAnsi="宋体" w:cs="Tahoma"/>
          <w:bCs/>
          <w:sz w:val="24"/>
        </w:rPr>
      </w:pPr>
      <w:r>
        <w:rPr>
          <w:rFonts w:hint="eastAsia" w:ascii="宋体" w:hAnsi="宋体" w:cs="Tahoma"/>
          <w:bCs/>
          <w:sz w:val="24"/>
        </w:rPr>
        <w:fldChar w:fldCharType="begin"/>
      </w:r>
      <w:r>
        <w:rPr>
          <w:rFonts w:hint="eastAsia" w:ascii="宋体" w:hAnsi="宋体" w:cs="Tahoma"/>
          <w:bCs/>
          <w:sz w:val="24"/>
        </w:rPr>
        <w:instrText xml:space="preserve"> HYPERLINK "http://www.86exp.com/hetong/" </w:instrText>
      </w:r>
      <w:r>
        <w:rPr>
          <w:rFonts w:hint="eastAsia" w:ascii="宋体" w:hAnsi="宋体" w:cs="Tahoma"/>
          <w:bCs/>
          <w:sz w:val="24"/>
        </w:rPr>
        <w:fldChar w:fldCharType="separate"/>
      </w:r>
      <w:r>
        <w:rPr>
          <w:rFonts w:hint="eastAsia" w:ascii="宋体" w:hAnsi="宋体" w:cs="Tahoma"/>
          <w:bCs/>
          <w:sz w:val="24"/>
        </w:rPr>
        <w:t>乙方</w:t>
      </w:r>
      <w:r>
        <w:rPr>
          <w:rFonts w:hint="eastAsia" w:ascii="宋体" w:hAnsi="宋体" w:cs="Tahoma"/>
          <w:bCs/>
          <w:sz w:val="24"/>
        </w:rPr>
        <w:fldChar w:fldCharType="end"/>
      </w:r>
      <w:r>
        <w:rPr>
          <w:rFonts w:hint="eastAsia" w:ascii="宋体" w:hAnsi="宋体" w:cs="Tahoma"/>
          <w:bCs/>
          <w:sz w:val="24"/>
        </w:rPr>
        <w:t>（供应商）：（盖章）</w:t>
      </w:r>
    </w:p>
    <w:p>
      <w:pPr>
        <w:adjustRightInd w:val="0"/>
        <w:snapToGrid w:val="0"/>
        <w:spacing w:line="340" w:lineRule="exact"/>
        <w:rPr>
          <w:rFonts w:hint="eastAsia" w:ascii="宋体" w:hAnsi="宋体" w:cs="Tahoma"/>
          <w:bCs/>
          <w:sz w:val="24"/>
        </w:rPr>
      </w:pPr>
      <w:r>
        <w:rPr>
          <w:rFonts w:hint="eastAsia" w:ascii="宋体" w:hAnsi="宋体" w:cs="Tahoma"/>
          <w:bCs/>
          <w:sz w:val="24"/>
        </w:rPr>
        <w:t>法定（授权）代表：</w:t>
      </w:r>
    </w:p>
    <w:p>
      <w:pPr>
        <w:adjustRightInd w:val="0"/>
        <w:snapToGrid w:val="0"/>
        <w:spacing w:line="340" w:lineRule="exact"/>
        <w:rPr>
          <w:rFonts w:hint="eastAsia" w:ascii="宋体" w:hAnsi="宋体" w:cs="Tahoma"/>
          <w:bCs/>
          <w:sz w:val="24"/>
        </w:rPr>
      </w:pPr>
      <w:r>
        <w:rPr>
          <w:rFonts w:hint="eastAsia" w:ascii="宋体" w:hAnsi="宋体" w:cs="Tahoma"/>
          <w:bCs/>
          <w:sz w:val="24"/>
        </w:rPr>
        <w:t>电话：</w:t>
      </w:r>
    </w:p>
    <w:p>
      <w:pPr>
        <w:adjustRightInd w:val="0"/>
        <w:snapToGrid w:val="0"/>
        <w:spacing w:line="340" w:lineRule="exact"/>
        <w:rPr>
          <w:rFonts w:hint="eastAsia" w:ascii="宋体" w:hAnsi="宋体" w:cs="Tahoma"/>
          <w:bCs/>
          <w:sz w:val="24"/>
        </w:rPr>
      </w:pPr>
      <w:r>
        <w:rPr>
          <w:rFonts w:hint="eastAsia" w:ascii="宋体" w:hAnsi="宋体" w:cs="Tahoma"/>
          <w:bCs/>
          <w:sz w:val="24"/>
        </w:rPr>
        <w:t>单位地址：</w:t>
      </w:r>
      <w:r>
        <w:rPr>
          <w:rFonts w:hint="eastAsia" w:ascii="宋体" w:hAnsi="宋体" w:cs="Tahoma"/>
          <w:bCs/>
          <w:sz w:val="24"/>
        </w:rPr>
        <w:br w:type="textWrapping"/>
      </w:r>
    </w:p>
    <w:p>
      <w:pPr>
        <w:adjustRightInd w:val="0"/>
        <w:snapToGrid w:val="0"/>
        <w:spacing w:line="340" w:lineRule="exact"/>
        <w:rPr>
          <w:rFonts w:hint="eastAsia" w:ascii="宋体" w:hAnsi="宋体" w:cs="Tahoma"/>
          <w:bCs/>
          <w:sz w:val="24"/>
        </w:rPr>
      </w:pPr>
      <w:r>
        <w:rPr>
          <w:rFonts w:hint="eastAsia" w:ascii="宋体" w:hAnsi="宋体"/>
          <w:bCs/>
          <w:sz w:val="24"/>
        </w:rPr>
        <w:t>鉴证方：</w:t>
      </w:r>
      <w:r>
        <w:rPr>
          <w:rFonts w:hint="eastAsia" w:ascii="宋体" w:hAnsi="宋体" w:cs="Tahoma"/>
          <w:bCs/>
          <w:sz w:val="24"/>
        </w:rPr>
        <w:t>（盖章）</w:t>
      </w:r>
    </w:p>
    <w:p>
      <w:pPr>
        <w:adjustRightInd w:val="0"/>
        <w:snapToGrid w:val="0"/>
        <w:spacing w:line="340" w:lineRule="exact"/>
        <w:rPr>
          <w:rFonts w:hint="eastAsia" w:ascii="宋体" w:hAnsi="宋体" w:cs="Tahoma"/>
          <w:bCs/>
          <w:sz w:val="24"/>
        </w:rPr>
      </w:pPr>
      <w:r>
        <w:rPr>
          <w:rFonts w:hint="eastAsia" w:ascii="宋体" w:hAnsi="宋体" w:cs="Tahoma"/>
          <w:bCs/>
          <w:sz w:val="24"/>
        </w:rPr>
        <w:t>经办人：</w:t>
      </w:r>
    </w:p>
    <w:p>
      <w:pPr>
        <w:adjustRightInd w:val="0"/>
        <w:snapToGrid w:val="0"/>
        <w:spacing w:line="340" w:lineRule="exact"/>
        <w:rPr>
          <w:rFonts w:hint="eastAsia" w:ascii="宋体" w:hAnsi="宋体" w:cs="Tahoma"/>
          <w:bCs/>
          <w:sz w:val="24"/>
        </w:rPr>
      </w:pPr>
      <w:r>
        <w:rPr>
          <w:rFonts w:hint="eastAsia" w:ascii="宋体" w:hAnsi="宋体" w:cs="Tahoma"/>
          <w:bCs/>
          <w:sz w:val="24"/>
        </w:rPr>
        <w:t>电话：</w:t>
      </w:r>
    </w:p>
    <w:p>
      <w:pPr>
        <w:adjustRightInd w:val="0"/>
        <w:snapToGrid w:val="0"/>
        <w:spacing w:line="340" w:lineRule="exact"/>
        <w:rPr>
          <w:rFonts w:hint="eastAsia" w:ascii="宋体" w:hAnsi="宋体" w:cs="Tahoma"/>
          <w:bCs/>
          <w:sz w:val="24"/>
        </w:rPr>
      </w:pPr>
    </w:p>
    <w:p>
      <w:pPr>
        <w:adjustRightInd w:val="0"/>
        <w:snapToGrid w:val="0"/>
        <w:spacing w:line="340" w:lineRule="exact"/>
        <w:rPr>
          <w:rFonts w:hint="eastAsia" w:ascii="宋体" w:hAnsi="宋体" w:cs="Tahoma"/>
          <w:bCs/>
          <w:sz w:val="24"/>
        </w:rPr>
      </w:pPr>
      <w:r>
        <w:rPr>
          <w:rFonts w:hint="eastAsia" w:ascii="宋体" w:hAnsi="宋体" w:cs="Tahoma"/>
          <w:bCs/>
          <w:sz w:val="24"/>
        </w:rPr>
        <w:t xml:space="preserve">签约日期：      年    月  </w:t>
      </w:r>
      <w:r>
        <w:rPr>
          <w:rFonts w:hint="eastAsia" w:ascii="宋体" w:hAnsi="宋体" w:cs="MingLiU_HKSCS"/>
          <w:bCs/>
          <w:sz w:val="24"/>
        </w:rPr>
        <w:t xml:space="preserve"> </w:t>
      </w:r>
      <w:r>
        <w:rPr>
          <w:rFonts w:hint="eastAsia" w:ascii="宋体" w:hAnsi="宋体" w:cs="楷体_GB2312"/>
          <w:bCs/>
          <w:sz w:val="24"/>
        </w:rPr>
        <w:t>日</w:t>
      </w:r>
    </w:p>
    <w:p>
      <w:pPr>
        <w:adjustRightInd w:val="0"/>
        <w:snapToGrid w:val="0"/>
        <w:spacing w:line="340" w:lineRule="exact"/>
        <w:rPr>
          <w:rFonts w:hint="eastAsia" w:ascii="宋体" w:hAnsi="宋体"/>
          <w:bCs/>
          <w:sz w:val="24"/>
        </w:rPr>
      </w:pPr>
      <w:r>
        <w:rPr>
          <w:rFonts w:hint="eastAsia" w:ascii="宋体" w:hAnsi="宋体"/>
          <w:bCs/>
          <w:sz w:val="24"/>
        </w:rPr>
        <w:t>签约地点：</w:t>
      </w:r>
    </w:p>
    <w:p>
      <w:pPr>
        <w:wordWrap w:val="0"/>
        <w:spacing w:line="360" w:lineRule="auto"/>
        <w:jc w:val="center"/>
        <w:rPr>
          <w:rFonts w:hint="eastAsia" w:ascii="黑体" w:hAnsi="宋体" w:eastAsia="黑体"/>
          <w:b/>
          <w:sz w:val="36"/>
          <w:szCs w:val="36"/>
        </w:rPr>
      </w:pPr>
      <w:bookmarkStart w:id="181" w:name="_Toc111809318"/>
      <w:r>
        <w:rPr>
          <w:rStyle w:val="53"/>
          <w:rFonts w:hint="eastAsia"/>
          <w:sz w:val="36"/>
          <w:szCs w:val="36"/>
        </w:rPr>
        <w:t>第六章　相关格式</w:t>
      </w:r>
      <w:bookmarkEnd w:id="181"/>
    </w:p>
    <w:p>
      <w:pPr>
        <w:widowControl/>
        <w:snapToGrid w:val="0"/>
        <w:jc w:val="center"/>
        <w:outlineLvl w:val="0"/>
        <w:rPr>
          <w:rFonts w:hint="eastAsia" w:ascii="宋体" w:hAnsi="宋体"/>
          <w:b/>
          <w:bCs/>
          <w:iCs/>
          <w:kern w:val="0"/>
          <w:sz w:val="28"/>
          <w:szCs w:val="28"/>
        </w:rPr>
      </w:pPr>
    </w:p>
    <w:p>
      <w:pPr>
        <w:widowControl/>
        <w:snapToGrid w:val="0"/>
        <w:spacing w:line="360" w:lineRule="auto"/>
        <w:jc w:val="center"/>
        <w:outlineLvl w:val="0"/>
        <w:rPr>
          <w:rFonts w:hint="eastAsia" w:ascii="宋体" w:hAnsi="宋体"/>
          <w:b/>
          <w:bCs/>
          <w:iCs/>
          <w:kern w:val="0"/>
          <w:sz w:val="28"/>
          <w:szCs w:val="28"/>
        </w:rPr>
      </w:pPr>
      <w:bookmarkStart w:id="182" w:name="_Toc101973747"/>
      <w:bookmarkStart w:id="183" w:name="_Toc111809319"/>
      <w:r>
        <w:rPr>
          <w:rFonts w:hint="eastAsia" w:ascii="宋体" w:hAnsi="宋体"/>
          <w:b/>
          <w:bCs/>
          <w:iCs/>
          <w:kern w:val="0"/>
          <w:sz w:val="28"/>
          <w:szCs w:val="28"/>
        </w:rPr>
        <w:t>一、投标文件封面格式</w:t>
      </w:r>
      <w:bookmarkEnd w:id="182"/>
      <w:bookmarkEnd w:id="183"/>
    </w:p>
    <w:p>
      <w:pPr>
        <w:widowControl/>
        <w:snapToGrid w:val="0"/>
        <w:spacing w:line="360" w:lineRule="auto"/>
        <w:jc w:val="center"/>
        <w:outlineLvl w:val="0"/>
        <w:rPr>
          <w:rFonts w:hint="eastAsia" w:ascii="宋体" w:hAnsi="宋体"/>
          <w:b/>
          <w:bCs/>
          <w:iCs/>
          <w:kern w:val="0"/>
          <w:sz w:val="28"/>
          <w:szCs w:val="28"/>
        </w:rPr>
      </w:pPr>
    </w:p>
    <w:p>
      <w:pPr>
        <w:widowControl/>
        <w:snapToGrid w:val="0"/>
        <w:spacing w:line="360" w:lineRule="auto"/>
        <w:jc w:val="center"/>
        <w:outlineLvl w:val="0"/>
        <w:rPr>
          <w:rFonts w:hint="eastAsia" w:ascii="宋体" w:hAnsi="宋体"/>
          <w:b/>
          <w:bCs/>
          <w:iCs/>
          <w:kern w:val="0"/>
          <w:sz w:val="28"/>
          <w:szCs w:val="28"/>
        </w:rPr>
      </w:pPr>
    </w:p>
    <w:p>
      <w:pPr>
        <w:widowControl/>
        <w:snapToGrid w:val="0"/>
        <w:spacing w:line="360" w:lineRule="auto"/>
        <w:ind w:firstLine="6440" w:firstLineChars="2300"/>
        <w:jc w:val="left"/>
        <w:rPr>
          <w:rFonts w:hint="eastAsia" w:ascii="宋体" w:hAnsi="宋体"/>
          <w:kern w:val="0"/>
          <w:sz w:val="28"/>
          <w:szCs w:val="28"/>
        </w:rPr>
      </w:pPr>
      <w:r>
        <w:rPr>
          <w:rFonts w:hint="eastAsia" w:ascii="宋体" w:hAnsi="宋体"/>
          <w:kern w:val="0"/>
          <w:sz w:val="28"/>
          <w:szCs w:val="28"/>
          <w:u w:val="single"/>
        </w:rPr>
        <w:t>正本（副本）</w:t>
      </w:r>
    </w:p>
    <w:p>
      <w:pPr>
        <w:widowControl/>
        <w:snapToGrid w:val="0"/>
        <w:spacing w:line="360" w:lineRule="auto"/>
        <w:jc w:val="left"/>
        <w:rPr>
          <w:rFonts w:hint="eastAsia" w:ascii="宋体" w:hAnsi="宋体"/>
          <w:kern w:val="0"/>
          <w:sz w:val="28"/>
          <w:szCs w:val="28"/>
        </w:rPr>
      </w:pPr>
    </w:p>
    <w:p>
      <w:pPr>
        <w:widowControl/>
        <w:snapToGrid w:val="0"/>
        <w:spacing w:line="360" w:lineRule="auto"/>
        <w:ind w:firstLine="1962" w:firstLineChars="698"/>
        <w:jc w:val="left"/>
        <w:rPr>
          <w:rFonts w:hint="eastAsia" w:ascii="宋体" w:hAnsi="宋体"/>
          <w:b/>
          <w:kern w:val="0"/>
          <w:sz w:val="28"/>
          <w:szCs w:val="28"/>
        </w:rPr>
      </w:pPr>
    </w:p>
    <w:p>
      <w:pPr>
        <w:widowControl/>
        <w:snapToGrid w:val="0"/>
        <w:spacing w:line="360" w:lineRule="auto"/>
        <w:jc w:val="center"/>
        <w:rPr>
          <w:rFonts w:hint="eastAsia"/>
          <w:b/>
          <w:bCs/>
          <w:kern w:val="0"/>
          <w:sz w:val="36"/>
          <w:szCs w:val="28"/>
        </w:rPr>
      </w:pPr>
      <w:r>
        <w:rPr>
          <w:rFonts w:hint="eastAsia"/>
          <w:b/>
          <w:bCs/>
          <w:kern w:val="0"/>
          <w:sz w:val="36"/>
          <w:szCs w:val="28"/>
        </w:rPr>
        <w:t>资  格  文  件</w:t>
      </w:r>
    </w:p>
    <w:p>
      <w:pPr>
        <w:widowControl/>
        <w:snapToGrid w:val="0"/>
        <w:spacing w:line="360" w:lineRule="auto"/>
        <w:jc w:val="center"/>
        <w:rPr>
          <w:rFonts w:hint="eastAsia"/>
          <w:b/>
          <w:bCs/>
          <w:kern w:val="0"/>
          <w:sz w:val="36"/>
          <w:szCs w:val="28"/>
        </w:rPr>
      </w:pPr>
      <w:bookmarkStart w:id="184" w:name="_Toc357410801"/>
      <w:r>
        <w:rPr>
          <w:rFonts w:hint="eastAsia"/>
          <w:b/>
          <w:bCs/>
          <w:kern w:val="0"/>
          <w:sz w:val="36"/>
          <w:szCs w:val="28"/>
        </w:rPr>
        <w:t>（技术商务文件、报价文件）</w:t>
      </w:r>
      <w:bookmarkEnd w:id="184"/>
    </w:p>
    <w:p>
      <w:pPr>
        <w:widowControl/>
        <w:snapToGrid w:val="0"/>
        <w:spacing w:line="360" w:lineRule="auto"/>
        <w:ind w:firstLine="1962" w:firstLineChars="698"/>
        <w:jc w:val="left"/>
        <w:rPr>
          <w:rFonts w:hint="eastAsia" w:ascii="宋体" w:hAnsi="宋体"/>
          <w:b/>
          <w:kern w:val="0"/>
          <w:sz w:val="28"/>
          <w:szCs w:val="28"/>
        </w:rPr>
      </w:pPr>
    </w:p>
    <w:p>
      <w:pPr>
        <w:widowControl/>
        <w:snapToGrid w:val="0"/>
        <w:spacing w:line="360" w:lineRule="auto"/>
        <w:ind w:firstLine="1962" w:firstLineChars="698"/>
        <w:jc w:val="left"/>
        <w:rPr>
          <w:rFonts w:hint="eastAsia" w:ascii="宋体" w:hAnsi="宋体"/>
          <w:b/>
          <w:kern w:val="0"/>
          <w:sz w:val="28"/>
          <w:szCs w:val="28"/>
        </w:rPr>
      </w:pPr>
    </w:p>
    <w:p>
      <w:pPr>
        <w:widowControl/>
        <w:snapToGrid w:val="0"/>
        <w:spacing w:line="360" w:lineRule="auto"/>
        <w:ind w:firstLine="1962" w:firstLineChars="698"/>
        <w:jc w:val="left"/>
        <w:rPr>
          <w:rFonts w:hint="eastAsia" w:ascii="宋体" w:hAnsi="宋体"/>
          <w:b/>
          <w:kern w:val="0"/>
          <w:sz w:val="28"/>
          <w:szCs w:val="28"/>
        </w:rPr>
      </w:pPr>
    </w:p>
    <w:p>
      <w:pPr>
        <w:widowControl/>
        <w:snapToGrid w:val="0"/>
        <w:spacing w:line="360" w:lineRule="auto"/>
        <w:ind w:firstLine="1962" w:firstLineChars="698"/>
        <w:jc w:val="left"/>
        <w:rPr>
          <w:rFonts w:hint="eastAsia" w:ascii="宋体" w:hAnsi="宋体"/>
          <w:b/>
          <w:kern w:val="0"/>
          <w:sz w:val="28"/>
          <w:szCs w:val="28"/>
        </w:rPr>
      </w:pPr>
    </w:p>
    <w:p>
      <w:pPr>
        <w:widowControl/>
        <w:snapToGrid w:val="0"/>
        <w:spacing w:line="360" w:lineRule="auto"/>
        <w:jc w:val="left"/>
        <w:rPr>
          <w:rFonts w:hint="eastAsia" w:ascii="宋体" w:hAnsi="宋体"/>
          <w:kern w:val="0"/>
          <w:sz w:val="28"/>
          <w:szCs w:val="28"/>
          <w:u w:val="single"/>
        </w:rPr>
      </w:pPr>
      <w:bookmarkStart w:id="185" w:name="_Toc357410802"/>
      <w:r>
        <w:rPr>
          <w:rFonts w:hint="eastAsia" w:ascii="宋体" w:hAnsi="宋体"/>
          <w:kern w:val="0"/>
          <w:sz w:val="28"/>
          <w:szCs w:val="28"/>
        </w:rPr>
        <w:t>项目名称：</w:t>
      </w:r>
      <w:bookmarkEnd w:id="185"/>
      <w:r>
        <w:rPr>
          <w:rFonts w:hint="eastAsia" w:ascii="宋体" w:hAnsi="宋体"/>
          <w:kern w:val="0"/>
          <w:sz w:val="28"/>
          <w:szCs w:val="28"/>
          <w:u w:val="single"/>
        </w:rPr>
        <w:t xml:space="preserve">                    </w:t>
      </w:r>
    </w:p>
    <w:p>
      <w:pPr>
        <w:widowControl/>
        <w:snapToGrid w:val="0"/>
        <w:spacing w:line="360" w:lineRule="auto"/>
        <w:jc w:val="left"/>
        <w:rPr>
          <w:rFonts w:hint="eastAsia" w:ascii="宋体" w:hAnsi="宋体"/>
          <w:kern w:val="0"/>
          <w:sz w:val="28"/>
          <w:szCs w:val="28"/>
          <w:u w:val="single"/>
        </w:rPr>
      </w:pPr>
      <w:bookmarkStart w:id="186" w:name="_Toc357410803"/>
      <w:r>
        <w:rPr>
          <w:rFonts w:hint="eastAsia" w:ascii="宋体" w:hAnsi="宋体"/>
          <w:kern w:val="0"/>
          <w:sz w:val="28"/>
          <w:szCs w:val="28"/>
        </w:rPr>
        <w:t>项目编号：</w:t>
      </w:r>
      <w:bookmarkEnd w:id="186"/>
      <w:r>
        <w:rPr>
          <w:rFonts w:hint="eastAsia" w:ascii="宋体" w:hAnsi="宋体"/>
          <w:kern w:val="0"/>
          <w:sz w:val="28"/>
          <w:szCs w:val="28"/>
          <w:u w:val="single"/>
        </w:rPr>
        <w:t xml:space="preserve">                    </w:t>
      </w:r>
    </w:p>
    <w:p>
      <w:pPr>
        <w:widowControl/>
        <w:snapToGrid w:val="0"/>
        <w:spacing w:line="360" w:lineRule="auto"/>
        <w:jc w:val="left"/>
        <w:rPr>
          <w:rFonts w:hint="eastAsia" w:ascii="宋体" w:hAnsi="宋体"/>
          <w:kern w:val="0"/>
          <w:sz w:val="28"/>
          <w:szCs w:val="28"/>
        </w:rPr>
      </w:pPr>
      <w:bookmarkStart w:id="187" w:name="_Toc357410804"/>
      <w:r>
        <w:rPr>
          <w:rFonts w:hint="eastAsia" w:ascii="宋体" w:hAnsi="宋体"/>
          <w:kern w:val="0"/>
          <w:sz w:val="28"/>
          <w:szCs w:val="28"/>
        </w:rPr>
        <w:t>投标人：</w:t>
      </w:r>
      <w:r>
        <w:rPr>
          <w:rFonts w:hint="eastAsia" w:ascii="宋体" w:hAnsi="宋体"/>
          <w:kern w:val="0"/>
          <w:sz w:val="28"/>
          <w:szCs w:val="28"/>
          <w:u w:val="single"/>
        </w:rPr>
        <w:t xml:space="preserve">                       （盖单位公章）</w:t>
      </w:r>
      <w:bookmarkEnd w:id="187"/>
    </w:p>
    <w:p>
      <w:pPr>
        <w:widowControl/>
        <w:snapToGrid w:val="0"/>
        <w:spacing w:line="360" w:lineRule="auto"/>
        <w:jc w:val="left"/>
        <w:rPr>
          <w:rFonts w:hint="eastAsia" w:ascii="宋体" w:hAnsi="宋体"/>
          <w:kern w:val="0"/>
          <w:sz w:val="28"/>
          <w:szCs w:val="28"/>
        </w:rPr>
      </w:pPr>
      <w:bookmarkStart w:id="188" w:name="_Toc357410805"/>
      <w:r>
        <w:rPr>
          <w:rFonts w:hint="eastAsia" w:ascii="宋体" w:hAnsi="宋体"/>
          <w:kern w:val="0"/>
          <w:sz w:val="28"/>
          <w:szCs w:val="28"/>
        </w:rPr>
        <w:t>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bookmarkEnd w:id="188"/>
      <w:r>
        <w:rPr>
          <w:rFonts w:hint="eastAsia" w:ascii="宋体" w:hAnsi="宋体"/>
          <w:kern w:val="0"/>
          <w:sz w:val="28"/>
          <w:szCs w:val="28"/>
        </w:rPr>
        <w:t xml:space="preserve">        </w:t>
      </w:r>
    </w:p>
    <w:p>
      <w:pPr>
        <w:widowControl/>
        <w:snapToGrid w:val="0"/>
        <w:spacing w:before="156" w:beforeLines="50" w:after="50"/>
        <w:jc w:val="left"/>
        <w:rPr>
          <w:rFonts w:hint="eastAsia"/>
          <w:b/>
          <w:kern w:val="0"/>
          <w:sz w:val="28"/>
          <w:szCs w:val="28"/>
        </w:rPr>
      </w:pPr>
    </w:p>
    <w:p>
      <w:pPr>
        <w:widowControl/>
        <w:snapToGrid w:val="0"/>
        <w:spacing w:before="156" w:beforeLines="50" w:after="50"/>
        <w:jc w:val="left"/>
        <w:rPr>
          <w:rFonts w:hint="eastAsia"/>
          <w:b/>
          <w:kern w:val="0"/>
          <w:sz w:val="28"/>
          <w:szCs w:val="28"/>
        </w:rPr>
      </w:pPr>
    </w:p>
    <w:p>
      <w:pPr>
        <w:widowControl/>
        <w:snapToGrid w:val="0"/>
        <w:spacing w:before="156" w:beforeLines="50" w:after="50"/>
        <w:jc w:val="left"/>
        <w:rPr>
          <w:rFonts w:hint="eastAsia"/>
          <w:b/>
          <w:kern w:val="0"/>
          <w:sz w:val="28"/>
          <w:szCs w:val="28"/>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widowControl/>
        <w:snapToGrid w:val="0"/>
        <w:jc w:val="center"/>
        <w:outlineLvl w:val="0"/>
        <w:rPr>
          <w:rFonts w:hint="eastAsia" w:ascii="宋体" w:hAnsi="宋体"/>
          <w:b/>
          <w:bCs/>
          <w:iCs/>
          <w:kern w:val="0"/>
          <w:sz w:val="28"/>
        </w:rPr>
      </w:pPr>
      <w:bookmarkStart w:id="189" w:name="_Toc111809320"/>
      <w:bookmarkStart w:id="190" w:name="_Toc101973748"/>
      <w:r>
        <w:rPr>
          <w:rFonts w:hint="eastAsia" w:ascii="宋体" w:hAnsi="宋体"/>
          <w:b/>
          <w:bCs/>
          <w:iCs/>
          <w:kern w:val="0"/>
          <w:sz w:val="28"/>
        </w:rPr>
        <w:t>二、</w:t>
      </w:r>
      <w:bookmarkStart w:id="191" w:name="资格审查文件"/>
      <w:r>
        <w:rPr>
          <w:rFonts w:hint="eastAsia" w:ascii="宋体" w:hAnsi="宋体"/>
          <w:b/>
          <w:bCs/>
          <w:iCs/>
          <w:kern w:val="0"/>
          <w:sz w:val="28"/>
        </w:rPr>
        <w:t>资格文件</w:t>
      </w:r>
      <w:bookmarkEnd w:id="191"/>
      <w:r>
        <w:rPr>
          <w:rFonts w:hint="eastAsia" w:ascii="宋体" w:hAnsi="宋体"/>
          <w:b/>
          <w:bCs/>
          <w:iCs/>
          <w:kern w:val="0"/>
          <w:sz w:val="28"/>
        </w:rPr>
        <w:t>参考格式</w:t>
      </w:r>
      <w:bookmarkEnd w:id="189"/>
      <w:bookmarkEnd w:id="190"/>
    </w:p>
    <w:p>
      <w:pPr>
        <w:widowControl/>
        <w:snapToGrid w:val="0"/>
        <w:jc w:val="center"/>
        <w:outlineLvl w:val="0"/>
        <w:rPr>
          <w:rFonts w:hint="eastAsia" w:ascii="宋体" w:hAnsi="宋体"/>
          <w:b/>
          <w:bCs/>
          <w:iCs/>
          <w:kern w:val="0"/>
          <w:sz w:val="24"/>
        </w:rPr>
      </w:pPr>
    </w:p>
    <w:p>
      <w:pPr>
        <w:widowControl/>
        <w:snapToGrid w:val="0"/>
        <w:jc w:val="center"/>
        <w:rPr>
          <w:rFonts w:hint="eastAsia" w:ascii="宋体" w:hAnsi="宋体"/>
          <w:bCs/>
          <w:iCs/>
          <w:kern w:val="0"/>
          <w:sz w:val="24"/>
        </w:rPr>
      </w:pPr>
      <w:r>
        <w:rPr>
          <w:rFonts w:hint="eastAsia" w:ascii="宋体" w:hAnsi="宋体"/>
          <w:bCs/>
          <w:iCs/>
          <w:kern w:val="0"/>
          <w:sz w:val="24"/>
        </w:rPr>
        <w:t>1 投标函</w:t>
      </w:r>
    </w:p>
    <w:p>
      <w:pPr>
        <w:widowControl/>
        <w:snapToGrid w:val="0"/>
        <w:ind w:firstLine="3920"/>
        <w:jc w:val="left"/>
        <w:rPr>
          <w:rFonts w:hint="eastAsia" w:ascii="宋体" w:hAnsi="宋体"/>
          <w:kern w:val="0"/>
          <w:sz w:val="24"/>
        </w:rPr>
      </w:pPr>
    </w:p>
    <w:p>
      <w:pPr>
        <w:widowControl/>
        <w:snapToGrid w:val="0"/>
        <w:spacing w:line="360" w:lineRule="auto"/>
        <w:jc w:val="left"/>
        <w:rPr>
          <w:rFonts w:hint="eastAsia" w:ascii="宋体" w:hAnsi="宋体"/>
          <w:kern w:val="0"/>
          <w:sz w:val="24"/>
        </w:rPr>
      </w:pPr>
      <w:r>
        <w:rPr>
          <w:rFonts w:hint="eastAsia" w:ascii="宋体" w:hAnsi="宋体"/>
          <w:kern w:val="0"/>
          <w:sz w:val="24"/>
        </w:rPr>
        <w:t xml:space="preserve">致： </w:t>
      </w:r>
      <w:r>
        <w:rPr>
          <w:rFonts w:hint="eastAsia" w:ascii="宋体" w:hAnsi="宋体"/>
          <w:kern w:val="0"/>
          <w:sz w:val="24"/>
          <w:u w:val="single"/>
        </w:rPr>
        <w:t>桐乡市公安局</w:t>
      </w:r>
      <w:r>
        <w:rPr>
          <w:rFonts w:hint="eastAsia" w:ascii="宋体" w:hAnsi="宋体"/>
          <w:kern w:val="0"/>
          <w:sz w:val="24"/>
        </w:rPr>
        <w:t>：</w:t>
      </w:r>
    </w:p>
    <w:p>
      <w:pPr>
        <w:widowControl/>
        <w:snapToGrid w:val="0"/>
        <w:spacing w:line="360" w:lineRule="auto"/>
        <w:ind w:firstLine="480"/>
        <w:jc w:val="left"/>
        <w:rPr>
          <w:rFonts w:hint="eastAsia" w:ascii="宋体" w:hAnsi="宋体"/>
          <w:kern w:val="0"/>
          <w:sz w:val="24"/>
        </w:rPr>
      </w:pPr>
      <w:r>
        <w:rPr>
          <w:rFonts w:hint="eastAsia" w:ascii="宋体" w:hAnsi="宋体"/>
          <w:kern w:val="0"/>
          <w:sz w:val="24"/>
        </w:rPr>
        <w:t>根据贵方</w:t>
      </w:r>
      <w:r>
        <w:rPr>
          <w:rFonts w:hint="eastAsia" w:ascii="宋体" w:hAnsi="宋体"/>
          <w:kern w:val="0"/>
          <w:sz w:val="24"/>
          <w:u w:val="single"/>
        </w:rPr>
        <w:t xml:space="preserve">         </w:t>
      </w:r>
      <w:r>
        <w:rPr>
          <w:rFonts w:hint="eastAsia" w:ascii="宋体" w:hAnsi="宋体"/>
          <w:b/>
          <w:kern w:val="0"/>
          <w:sz w:val="24"/>
          <w:u w:val="single"/>
        </w:rPr>
        <w:t xml:space="preserve">        </w:t>
      </w:r>
      <w:r>
        <w:rPr>
          <w:rFonts w:hint="eastAsia" w:ascii="宋体" w:hAnsi="宋体"/>
          <w:kern w:val="0"/>
          <w:sz w:val="24"/>
          <w:u w:val="single"/>
        </w:rPr>
        <w:t xml:space="preserve">        </w:t>
      </w:r>
      <w:r>
        <w:rPr>
          <w:rFonts w:hint="eastAsia" w:ascii="宋体" w:hAnsi="宋体"/>
          <w:kern w:val="0"/>
          <w:sz w:val="24"/>
        </w:rPr>
        <w:t>项目的招标公告（项目编号：</w:t>
      </w:r>
      <w:r>
        <w:rPr>
          <w:rFonts w:hint="eastAsia" w:ascii="宋体" w:hAnsi="宋体"/>
          <w:kern w:val="0"/>
          <w:sz w:val="24"/>
          <w:u w:val="single"/>
        </w:rPr>
        <w:t xml:space="preserve">          </w:t>
      </w:r>
      <w:r>
        <w:rPr>
          <w:rFonts w:hint="eastAsia" w:ascii="宋体" w:hAnsi="宋体"/>
          <w:kern w:val="0"/>
          <w:sz w:val="24"/>
        </w:rPr>
        <w:t>），本人经正式授权并代表投标人</w:t>
      </w:r>
      <w:r>
        <w:rPr>
          <w:rFonts w:hint="eastAsia" w:ascii="宋体" w:hAnsi="宋体"/>
          <w:kern w:val="0"/>
          <w:sz w:val="24"/>
          <w:u w:val="single"/>
        </w:rPr>
        <w:t xml:space="preserve">                          </w:t>
      </w:r>
      <w:r>
        <w:rPr>
          <w:rFonts w:hint="eastAsia" w:ascii="宋体" w:hAnsi="宋体"/>
          <w:kern w:val="0"/>
          <w:sz w:val="24"/>
        </w:rPr>
        <w:t>（投标人名称）提交资格文件、技术商务文件、报价文件。</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据此函，签字代表宣布同意如下：</w:t>
      </w:r>
    </w:p>
    <w:p>
      <w:pPr>
        <w:widowControl/>
        <w:snapToGrid w:val="0"/>
        <w:spacing w:line="360" w:lineRule="auto"/>
        <w:ind w:firstLine="480" w:firstLineChars="200"/>
        <w:jc w:val="left"/>
        <w:rPr>
          <w:rFonts w:hint="eastAsia" w:ascii="宋体" w:hAnsi="宋体"/>
          <w:sz w:val="24"/>
        </w:rPr>
      </w:pPr>
      <w:r>
        <w:rPr>
          <w:rFonts w:hint="eastAsia" w:ascii="宋体" w:hAnsi="宋体"/>
          <w:sz w:val="24"/>
        </w:rPr>
        <w:t>1.我方向贵方提交的投标文件、资料都是准确的和真实的。</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2.我方已详细审查招标文件及其修改（如有），以及有关参考资料和附件，并已经了解我方对于招标文件、采购过程、采购结果有依法进行询问、质疑、投诉的权利及相关渠道和要求。</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3. 我方在投标之前已经与贵方进行了沟通，完全理解并接受招标文件的各项规定和要求，对招标文件的合理性、合法性无异议。</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 xml:space="preserve">4.本项目投标有效期自开标之日起 </w:t>
      </w:r>
      <w:r>
        <w:rPr>
          <w:rFonts w:hint="eastAsia" w:ascii="宋体" w:hAnsi="宋体"/>
          <w:kern w:val="0"/>
          <w:sz w:val="24"/>
          <w:u w:val="single"/>
        </w:rPr>
        <w:t>90</w:t>
      </w:r>
      <w:r>
        <w:rPr>
          <w:rFonts w:hint="eastAsia" w:ascii="宋体" w:hAnsi="宋体"/>
          <w:kern w:val="0"/>
          <w:sz w:val="24"/>
        </w:rPr>
        <w:t>日。</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5.如中标，我方将按招标文件、投标文件及政府采购法律、法规的规定履行合同责任和义务。</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6.我方同意按照贵方要求提供与投标有关的数据或资料。</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7.</w:t>
      </w:r>
      <w:r>
        <w:rPr>
          <w:rFonts w:hint="eastAsia" w:ascii="宋体" w:hAnsi="宋体"/>
          <w:b/>
          <w:kern w:val="0"/>
          <w:sz w:val="24"/>
        </w:rPr>
        <w:t>我方参与本项目前三年内的经营活动中没有重大违法记录。</w:t>
      </w:r>
    </w:p>
    <w:p>
      <w:pPr>
        <w:widowControl/>
        <w:snapToGrid w:val="0"/>
        <w:spacing w:line="360" w:lineRule="auto"/>
        <w:ind w:firstLine="480" w:firstLineChars="200"/>
        <w:jc w:val="left"/>
        <w:rPr>
          <w:rFonts w:hint="eastAsia" w:ascii="宋体" w:hAnsi="宋体"/>
          <w:kern w:val="0"/>
          <w:sz w:val="24"/>
        </w:rPr>
      </w:pPr>
      <w:r>
        <w:rPr>
          <w:rFonts w:hint="eastAsia" w:ascii="宋体" w:hAnsi="宋体"/>
          <w:kern w:val="0"/>
          <w:sz w:val="24"/>
        </w:rPr>
        <w:t>8.与本项目投标有关的一切正式往来信函请寄：</w:t>
      </w:r>
    </w:p>
    <w:p>
      <w:pPr>
        <w:widowControl/>
        <w:snapToGrid w:val="0"/>
        <w:spacing w:line="360" w:lineRule="auto"/>
        <w:jc w:val="left"/>
        <w:rPr>
          <w:rFonts w:hint="eastAsia" w:ascii="宋体" w:hAnsi="宋体"/>
          <w:kern w:val="0"/>
          <w:sz w:val="24"/>
          <w:u w:val="single"/>
        </w:rPr>
      </w:pPr>
      <w:r>
        <w:rPr>
          <w:rFonts w:hint="eastAsia" w:ascii="宋体" w:hAnsi="宋体"/>
          <w:kern w:val="0"/>
          <w:sz w:val="24"/>
        </w:rPr>
        <w:t>地址：</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r>
        <w:rPr>
          <w:rFonts w:hint="eastAsia" w:ascii="宋体" w:hAnsi="宋体"/>
          <w:kern w:val="0"/>
          <w:sz w:val="24"/>
        </w:rPr>
        <w:t>邮编：</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u w:val="single"/>
        </w:rPr>
      </w:pPr>
      <w:r>
        <w:rPr>
          <w:rFonts w:hint="eastAsia" w:ascii="宋体" w:hAnsi="宋体"/>
          <w:kern w:val="0"/>
          <w:sz w:val="24"/>
        </w:rPr>
        <w:t>电话：</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r>
        <w:rPr>
          <w:rFonts w:hint="eastAsia" w:ascii="宋体" w:hAnsi="宋体"/>
          <w:kern w:val="0"/>
          <w:sz w:val="24"/>
        </w:rPr>
        <w:t>传真：</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r>
        <w:rPr>
          <w:rFonts w:hint="eastAsia" w:ascii="宋体" w:hAnsi="宋体"/>
          <w:kern w:val="0"/>
          <w:sz w:val="24"/>
        </w:rPr>
        <w:t>开户银行：</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r>
        <w:rPr>
          <w:rFonts w:hint="eastAsia" w:ascii="宋体" w:hAnsi="宋体"/>
          <w:kern w:val="0"/>
          <w:sz w:val="24"/>
        </w:rPr>
        <w:t>银行帐号：</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hint="eastAsia" w:ascii="宋体" w:hAnsi="宋体"/>
          <w:kern w:val="0"/>
          <w:sz w:val="24"/>
        </w:rPr>
      </w:pPr>
      <w:r>
        <w:rPr>
          <w:rFonts w:hint="eastAsia" w:ascii="宋体" w:hAnsi="宋体"/>
          <w:kern w:val="0"/>
          <w:sz w:val="24"/>
        </w:rPr>
        <w:t>投标人（盖章）：</w:t>
      </w:r>
    </w:p>
    <w:p>
      <w:pPr>
        <w:widowControl/>
        <w:snapToGrid w:val="0"/>
        <w:spacing w:line="360" w:lineRule="auto"/>
        <w:jc w:val="left"/>
        <w:rPr>
          <w:rFonts w:hint="eastAsia"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pPr>
        <w:snapToGrid w:val="0"/>
        <w:spacing w:before="156" w:beforeLines="50" w:after="156" w:afterLines="50"/>
        <w:ind w:firstLine="482" w:firstLineChars="200"/>
        <w:rPr>
          <w:rFonts w:hint="eastAsia"/>
          <w:b/>
          <w:sz w:val="24"/>
        </w:rPr>
      </w:pPr>
    </w:p>
    <w:p>
      <w:pPr>
        <w:widowControl/>
        <w:snapToGrid w:val="0"/>
        <w:jc w:val="center"/>
        <w:rPr>
          <w:rFonts w:hint="eastAsia" w:ascii="宋体" w:hAnsi="宋体"/>
          <w:b/>
          <w:kern w:val="0"/>
          <w:sz w:val="24"/>
        </w:rPr>
      </w:pPr>
      <w:r>
        <w:rPr>
          <w:rFonts w:hint="eastAsia" w:ascii="宋体" w:hAnsi="宋体"/>
          <w:b/>
          <w:kern w:val="0"/>
          <w:sz w:val="24"/>
        </w:rPr>
        <w:t>2符合参加政府采购活动应当具备的一般条件的承诺函</w:t>
      </w:r>
    </w:p>
    <w:p>
      <w:pPr>
        <w:widowControl/>
        <w:snapToGrid w:val="0"/>
        <w:jc w:val="center"/>
        <w:rPr>
          <w:rFonts w:hint="eastAsia" w:ascii="宋体" w:hAnsi="宋体"/>
          <w:b/>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kern w:val="0"/>
          <w:sz w:val="24"/>
          <w:szCs w:val="28"/>
        </w:rPr>
      </w:pPr>
      <w:r>
        <w:rPr>
          <w:rFonts w:hint="eastAsia" w:ascii="宋体" w:hAnsi="宋体"/>
          <w:kern w:val="0"/>
          <w:sz w:val="24"/>
          <w:szCs w:val="28"/>
        </w:rPr>
        <w:t>桐乡市公安局</w:t>
      </w:r>
      <w:r>
        <w:rPr>
          <w:rFonts w:hint="eastAsia" w:ascii="宋体" w:hAnsi="宋体" w:cs="宋体"/>
          <w:kern w:val="0"/>
          <w:sz w:val="24"/>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我方参与</w:t>
      </w:r>
      <w:r>
        <w:rPr>
          <w:rFonts w:hint="eastAsia" w:ascii="宋体" w:hAnsi="宋体"/>
          <w:kern w:val="0"/>
          <w:sz w:val="24"/>
          <w:szCs w:val="28"/>
          <w:u w:val="single"/>
        </w:rPr>
        <w:t xml:space="preserve">   （项目名称）   </w:t>
      </w:r>
      <w:r>
        <w:rPr>
          <w:rFonts w:hint="eastAsia" w:ascii="宋体" w:hAnsi="宋体"/>
          <w:kern w:val="0"/>
          <w:sz w:val="24"/>
          <w:szCs w:val="28"/>
        </w:rPr>
        <w:t>项目（项目编号：</w:t>
      </w:r>
      <w:r>
        <w:rPr>
          <w:rFonts w:hint="eastAsia" w:ascii="宋体" w:hAnsi="宋体"/>
          <w:kern w:val="0"/>
          <w:sz w:val="24"/>
          <w:szCs w:val="28"/>
          <w:u w:val="single"/>
        </w:rPr>
        <w:t xml:space="preserve">             </w:t>
      </w:r>
      <w:r>
        <w:rPr>
          <w:rFonts w:hint="eastAsia" w:ascii="宋体" w:hAnsi="宋体"/>
          <w:kern w:val="0"/>
          <w:sz w:val="24"/>
          <w:szCs w:val="28"/>
        </w:rPr>
        <w:t>）</w:t>
      </w:r>
      <w:r>
        <w:rPr>
          <w:rFonts w:hint="eastAsia" w:ascii="宋体" w:hAnsi="宋体" w:cs="宋体"/>
          <w:kern w:val="0"/>
          <w:sz w:val="24"/>
          <w:szCs w:val="28"/>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r>
        <w:rPr>
          <w:rFonts w:hint="eastAsia" w:ascii="宋体" w:hAnsi="宋体" w:cs="宋体"/>
          <w:kern w:val="0"/>
          <w:sz w:val="24"/>
          <w:szCs w:val="28"/>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8"/>
        </w:rPr>
      </w:pPr>
    </w:p>
    <w:p>
      <w:pPr>
        <w:widowControl/>
        <w:snapToGrid w:val="0"/>
        <w:jc w:val="left"/>
        <w:rPr>
          <w:rFonts w:hint="eastAsia" w:ascii="宋体" w:hAnsi="宋体"/>
          <w:kern w:val="0"/>
          <w:sz w:val="24"/>
          <w:szCs w:val="28"/>
        </w:rPr>
      </w:pPr>
      <w:r>
        <w:rPr>
          <w:rFonts w:hint="eastAsia" w:ascii="宋体" w:hAnsi="宋体"/>
          <w:kern w:val="0"/>
          <w:sz w:val="24"/>
          <w:szCs w:val="28"/>
        </w:rPr>
        <w:t>投标人（盖章）：</w:t>
      </w:r>
    </w:p>
    <w:p>
      <w:pPr>
        <w:widowControl/>
        <w:snapToGrid w:val="0"/>
        <w:jc w:val="left"/>
        <w:rPr>
          <w:rFonts w:hint="eastAsia" w:ascii="宋体" w:hAnsi="宋体"/>
          <w:kern w:val="0"/>
          <w:sz w:val="24"/>
          <w:szCs w:val="28"/>
        </w:rPr>
      </w:pPr>
    </w:p>
    <w:p>
      <w:pPr>
        <w:widowControl/>
        <w:snapToGrid w:val="0"/>
        <w:jc w:val="left"/>
        <w:rPr>
          <w:rFonts w:hint="eastAsia" w:ascii="宋体" w:hAnsi="宋体"/>
          <w:kern w:val="0"/>
          <w:sz w:val="24"/>
          <w:szCs w:val="28"/>
        </w:rPr>
      </w:pPr>
      <w:r>
        <w:rPr>
          <w:rFonts w:hint="eastAsia" w:ascii="宋体" w:hAnsi="宋体"/>
          <w:kern w:val="0"/>
          <w:sz w:val="24"/>
          <w:szCs w:val="28"/>
        </w:rPr>
        <w:t>日期:</w:t>
      </w:r>
      <w:r>
        <w:rPr>
          <w:rFonts w:hint="eastAsia" w:ascii="宋体" w:hAnsi="宋体"/>
          <w:kern w:val="0"/>
          <w:sz w:val="24"/>
          <w:szCs w:val="28"/>
          <w:u w:val="single"/>
        </w:rPr>
        <w:t xml:space="preserve">     </w:t>
      </w:r>
      <w:r>
        <w:rPr>
          <w:rFonts w:hint="eastAsia" w:ascii="宋体" w:hAnsi="宋体"/>
          <w:kern w:val="0"/>
          <w:sz w:val="24"/>
          <w:szCs w:val="28"/>
        </w:rPr>
        <w:t>年</w:t>
      </w:r>
      <w:r>
        <w:rPr>
          <w:rFonts w:hint="eastAsia" w:ascii="宋体" w:hAnsi="宋体"/>
          <w:kern w:val="0"/>
          <w:sz w:val="24"/>
          <w:szCs w:val="28"/>
          <w:u w:val="single"/>
        </w:rPr>
        <w:t xml:space="preserve">   </w:t>
      </w:r>
      <w:r>
        <w:rPr>
          <w:rFonts w:hint="eastAsia" w:ascii="宋体" w:hAnsi="宋体"/>
          <w:kern w:val="0"/>
          <w:sz w:val="24"/>
          <w:szCs w:val="28"/>
        </w:rPr>
        <w:t>月</w:t>
      </w:r>
      <w:r>
        <w:rPr>
          <w:rFonts w:hint="eastAsia" w:ascii="宋体" w:hAnsi="宋体"/>
          <w:kern w:val="0"/>
          <w:sz w:val="24"/>
          <w:szCs w:val="28"/>
          <w:u w:val="single"/>
        </w:rPr>
        <w:t xml:space="preserve">   </w:t>
      </w:r>
      <w:r>
        <w:rPr>
          <w:rFonts w:hint="eastAsia" w:ascii="宋体" w:hAnsi="宋体"/>
          <w:kern w:val="0"/>
          <w:sz w:val="24"/>
          <w:szCs w:val="28"/>
        </w:rPr>
        <w:t>日</w:t>
      </w: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r>
        <w:rPr>
          <w:rFonts w:hint="eastAsia" w:ascii="宋体" w:hAnsi="宋体"/>
          <w:b/>
          <w:kern w:val="0"/>
          <w:sz w:val="24"/>
        </w:rPr>
        <w:t>3、法定代表人（负责人）授权书</w:t>
      </w:r>
    </w:p>
    <w:p>
      <w:pPr>
        <w:widowControl/>
        <w:snapToGrid w:val="0"/>
        <w:jc w:val="center"/>
        <w:rPr>
          <w:rFonts w:hint="eastAsia" w:ascii="宋体" w:hAnsi="宋体"/>
          <w:kern w:val="0"/>
          <w:sz w:val="24"/>
        </w:rPr>
      </w:pPr>
    </w:p>
    <w:p>
      <w:pPr>
        <w:widowControl/>
        <w:snapToGrid w:val="0"/>
        <w:spacing w:line="360" w:lineRule="auto"/>
        <w:jc w:val="left"/>
        <w:rPr>
          <w:rFonts w:ascii="宋体" w:hAnsi="宋体"/>
          <w:b/>
          <w:bCs/>
          <w:kern w:val="0"/>
          <w:sz w:val="24"/>
        </w:rPr>
      </w:pPr>
      <w:r>
        <w:rPr>
          <w:rFonts w:hint="eastAsia" w:ascii="宋体" w:hAnsi="宋体"/>
          <w:bCs/>
          <w:kern w:val="0"/>
          <w:sz w:val="24"/>
        </w:rPr>
        <w:t>致</w:t>
      </w:r>
      <w:r>
        <w:rPr>
          <w:rFonts w:hint="eastAsia" w:ascii="宋体" w:hAnsi="宋体"/>
          <w:kern w:val="0"/>
          <w:sz w:val="24"/>
          <w:u w:val="single"/>
        </w:rPr>
        <w:t>桐乡市公安局</w:t>
      </w:r>
      <w:r>
        <w:rPr>
          <w:rFonts w:hint="eastAsia" w:ascii="宋体" w:hAnsi="宋体"/>
          <w:kern w:val="0"/>
          <w:sz w:val="24"/>
        </w:rPr>
        <w:t>：</w:t>
      </w:r>
    </w:p>
    <w:p>
      <w:pPr>
        <w:widowControl/>
        <w:snapToGrid w:val="0"/>
        <w:spacing w:line="360" w:lineRule="auto"/>
        <w:ind w:firstLine="720" w:firstLineChars="300"/>
        <w:jc w:val="left"/>
        <w:rPr>
          <w:rFonts w:ascii="宋体" w:hAnsi="宋体"/>
          <w:kern w:val="0"/>
          <w:sz w:val="24"/>
        </w:rPr>
      </w:pPr>
      <w:r>
        <w:rPr>
          <w:rFonts w:hint="eastAsia" w:ascii="宋体" w:hAnsi="宋体"/>
          <w:kern w:val="0"/>
          <w:sz w:val="24"/>
        </w:rPr>
        <w:t>我</w:t>
      </w:r>
      <w:r>
        <w:rPr>
          <w:rFonts w:hint="eastAsia" w:ascii="宋体" w:hAnsi="宋体"/>
          <w:kern w:val="0"/>
          <w:sz w:val="24"/>
          <w:u w:val="single"/>
        </w:rPr>
        <w:t xml:space="preserve">         </w:t>
      </w:r>
      <w:r>
        <w:rPr>
          <w:rFonts w:hint="eastAsia" w:ascii="宋体" w:hAnsi="宋体"/>
          <w:kern w:val="0"/>
          <w:sz w:val="24"/>
        </w:rPr>
        <w:t>（姓名）系</w:t>
      </w:r>
      <w:r>
        <w:rPr>
          <w:rFonts w:hint="eastAsia" w:ascii="宋体" w:hAnsi="宋体"/>
          <w:kern w:val="0"/>
          <w:sz w:val="24"/>
          <w:u w:val="single"/>
        </w:rPr>
        <w:t xml:space="preserve">                       </w:t>
      </w:r>
      <w:r>
        <w:rPr>
          <w:rFonts w:hint="eastAsia" w:ascii="宋体" w:hAnsi="宋体"/>
          <w:kern w:val="0"/>
          <w:sz w:val="24"/>
        </w:rPr>
        <w:t>（供应商名称）的法定代表人，现授权委托</w:t>
      </w:r>
      <w:r>
        <w:rPr>
          <w:rFonts w:hint="eastAsia" w:ascii="宋体" w:hAnsi="宋体"/>
          <w:kern w:val="0"/>
          <w:sz w:val="24"/>
          <w:u w:val="single"/>
        </w:rPr>
        <w:t xml:space="preserve">         </w:t>
      </w:r>
      <w:r>
        <w:rPr>
          <w:rFonts w:hint="eastAsia" w:ascii="宋体" w:hAnsi="宋体"/>
          <w:kern w:val="0"/>
          <w:sz w:val="24"/>
        </w:rPr>
        <w:t>（姓名）以我方的名义参加</w:t>
      </w:r>
      <w:r>
        <w:rPr>
          <w:rFonts w:hint="eastAsia" w:ascii="宋体" w:hAnsi="宋体"/>
          <w:kern w:val="0"/>
          <w:sz w:val="24"/>
          <w:u w:val="single"/>
        </w:rPr>
        <w:t xml:space="preserve">          （项目名称）</w:t>
      </w:r>
      <w:r>
        <w:rPr>
          <w:rFonts w:hint="eastAsia" w:ascii="宋体" w:hAnsi="宋体"/>
          <w:kern w:val="0"/>
          <w:sz w:val="24"/>
        </w:rPr>
        <w:t>，</w:t>
      </w:r>
      <w:r>
        <w:rPr>
          <w:rFonts w:hint="eastAsia" w:ascii="宋体" w:hAnsi="宋体"/>
          <w:kern w:val="0"/>
          <w:sz w:val="24"/>
          <w:u w:val="single"/>
        </w:rPr>
        <w:t xml:space="preserve">          （项目编号）</w:t>
      </w:r>
      <w:r>
        <w:rPr>
          <w:rFonts w:hint="eastAsia" w:ascii="宋体" w:hAnsi="宋体"/>
          <w:kern w:val="0"/>
          <w:sz w:val="24"/>
        </w:rPr>
        <w:t>的采购活动，并代表我方全权办理针对上述项目的开标、评标、签约等相关具体事务和签署相关文件。</w:t>
      </w:r>
    </w:p>
    <w:p>
      <w:pPr>
        <w:widowControl/>
        <w:snapToGrid w:val="0"/>
        <w:spacing w:line="360" w:lineRule="auto"/>
        <w:jc w:val="left"/>
        <w:rPr>
          <w:rFonts w:ascii="宋体" w:hAnsi="宋体"/>
          <w:kern w:val="0"/>
          <w:sz w:val="24"/>
        </w:rPr>
      </w:pPr>
      <w:r>
        <w:rPr>
          <w:rFonts w:hint="eastAsia" w:ascii="宋体" w:hAnsi="宋体"/>
          <w:kern w:val="0"/>
          <w:sz w:val="24"/>
        </w:rPr>
        <w:t xml:space="preserve">    我方对被授权人的签字事项负全部责任。</w:t>
      </w:r>
    </w:p>
    <w:p>
      <w:pPr>
        <w:widowControl/>
        <w:snapToGrid w:val="0"/>
        <w:spacing w:line="360" w:lineRule="auto"/>
        <w:ind w:firstLine="480"/>
        <w:jc w:val="left"/>
        <w:rPr>
          <w:rFonts w:ascii="宋体" w:hAnsi="宋体"/>
          <w:kern w:val="0"/>
          <w:sz w:val="24"/>
        </w:rPr>
      </w:pPr>
      <w:r>
        <w:rPr>
          <w:rFonts w:hint="eastAsia" w:ascii="宋体" w:hAnsi="宋体"/>
          <w:kern w:val="0"/>
          <w:sz w:val="24"/>
          <w:u w:val="single"/>
        </w:rPr>
        <w:t>在撤销授权的书面通知以前，本授权书一直有效。</w:t>
      </w:r>
      <w:r>
        <w:rPr>
          <w:rFonts w:hint="eastAsia" w:ascii="宋体" w:hAnsi="宋体"/>
          <w:kern w:val="0"/>
          <w:sz w:val="24"/>
        </w:rPr>
        <w:t>被授权人在授权书有效期内签署的所有文件不因授权的撤销而失效。</w:t>
      </w:r>
    </w:p>
    <w:p>
      <w:pPr>
        <w:widowControl/>
        <w:snapToGrid w:val="0"/>
        <w:spacing w:line="360" w:lineRule="auto"/>
        <w:ind w:firstLine="480"/>
        <w:jc w:val="left"/>
        <w:rPr>
          <w:rFonts w:ascii="宋体" w:hAnsi="宋体"/>
          <w:kern w:val="0"/>
          <w:sz w:val="24"/>
        </w:rPr>
      </w:pPr>
      <w:r>
        <w:rPr>
          <w:rFonts w:hint="eastAsia" w:ascii="宋体" w:hAnsi="宋体"/>
          <w:kern w:val="0"/>
          <w:sz w:val="24"/>
        </w:rPr>
        <w:t>被授权人无转委托权，特此委托。</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ascii="宋体" w:hAnsi="宋体"/>
          <w:kern w:val="0"/>
          <w:sz w:val="24"/>
        </w:rPr>
      </w:pPr>
      <w:r>
        <w:rPr>
          <w:rFonts w:hint="eastAsia" w:ascii="宋体" w:hAnsi="宋体"/>
          <w:kern w:val="0"/>
          <w:sz w:val="24"/>
        </w:rPr>
        <w:t>投标人公章：</w:t>
      </w:r>
    </w:p>
    <w:p>
      <w:pPr>
        <w:widowControl/>
        <w:snapToGrid w:val="0"/>
        <w:spacing w:line="360" w:lineRule="auto"/>
        <w:jc w:val="left"/>
        <w:rPr>
          <w:rFonts w:ascii="宋体" w:hAnsi="宋体"/>
          <w:kern w:val="0"/>
          <w:sz w:val="24"/>
        </w:rPr>
      </w:pPr>
    </w:p>
    <w:p>
      <w:pPr>
        <w:widowControl/>
        <w:snapToGrid w:val="0"/>
        <w:spacing w:line="360" w:lineRule="auto"/>
        <w:jc w:val="left"/>
        <w:rPr>
          <w:rFonts w:ascii="宋体" w:hAnsi="宋体"/>
          <w:kern w:val="0"/>
          <w:sz w:val="24"/>
          <w:u w:val="single"/>
        </w:rPr>
      </w:pPr>
      <w:r>
        <w:rPr>
          <w:rFonts w:hint="eastAsia" w:ascii="宋体" w:hAnsi="宋体"/>
          <w:kern w:val="0"/>
          <w:sz w:val="24"/>
        </w:rPr>
        <w:t>法定代表人</w:t>
      </w:r>
      <w:r>
        <w:rPr>
          <w:rFonts w:hint="eastAsia" w:ascii="宋体" w:hAnsi="宋体"/>
          <w:b/>
          <w:kern w:val="0"/>
          <w:sz w:val="24"/>
        </w:rPr>
        <w:t>签字或盖章</w:t>
      </w:r>
      <w:r>
        <w:rPr>
          <w:rFonts w:hint="eastAsia" w:ascii="宋体" w:hAnsi="宋体"/>
          <w:kern w:val="0"/>
          <w:sz w:val="24"/>
        </w:rPr>
        <w:t>：</w:t>
      </w:r>
      <w:r>
        <w:rPr>
          <w:rFonts w:hint="eastAsia" w:ascii="宋体" w:hAnsi="宋体"/>
          <w:kern w:val="0"/>
          <w:sz w:val="24"/>
          <w:u w:val="single"/>
        </w:rPr>
        <w:t xml:space="preserve">               </w:t>
      </w:r>
    </w:p>
    <w:p>
      <w:pPr>
        <w:widowControl/>
        <w:snapToGrid w:val="0"/>
        <w:spacing w:line="360" w:lineRule="auto"/>
        <w:jc w:val="left"/>
        <w:rPr>
          <w:rFonts w:ascii="宋体" w:hAnsi="宋体"/>
          <w:kern w:val="0"/>
          <w:sz w:val="24"/>
          <w:u w:val="single"/>
        </w:rPr>
      </w:pPr>
    </w:p>
    <w:p>
      <w:pPr>
        <w:widowControl/>
        <w:snapToGrid w:val="0"/>
        <w:spacing w:line="360" w:lineRule="auto"/>
        <w:jc w:val="left"/>
        <w:rPr>
          <w:rFonts w:ascii="宋体" w:hAnsi="宋体"/>
          <w:kern w:val="0"/>
          <w:sz w:val="24"/>
        </w:rPr>
      </w:pPr>
      <w:r>
        <w:rPr>
          <w:rFonts w:hint="eastAsia" w:ascii="宋体" w:hAnsi="宋体"/>
          <w:kern w:val="0"/>
          <w:sz w:val="24"/>
        </w:rPr>
        <w:t xml:space="preserve">附：法定代表人身份证（正反面）      </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hint="eastAsia" w:ascii="宋体" w:hAnsi="宋体"/>
          <w:kern w:val="0"/>
          <w:sz w:val="24"/>
        </w:rPr>
      </w:pPr>
    </w:p>
    <w:p>
      <w:pPr>
        <w:widowControl/>
        <w:snapToGrid w:val="0"/>
        <w:spacing w:line="360" w:lineRule="auto"/>
        <w:jc w:val="left"/>
        <w:rPr>
          <w:rFonts w:ascii="宋体" w:hAnsi="宋体"/>
          <w:kern w:val="0"/>
          <w:sz w:val="24"/>
        </w:rPr>
      </w:pPr>
      <w:r>
        <w:rPr>
          <w:rFonts w:hint="eastAsia" w:ascii="宋体" w:hAnsi="宋体"/>
          <w:kern w:val="0"/>
          <w:sz w:val="24"/>
        </w:rPr>
        <w:t>被授权人(代表)姓名：</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ascii="宋体" w:hAnsi="宋体"/>
          <w:kern w:val="0"/>
          <w:sz w:val="24"/>
        </w:rPr>
      </w:pPr>
      <w:r>
        <w:rPr>
          <w:rFonts w:hint="eastAsia" w:ascii="宋体" w:hAnsi="宋体"/>
          <w:kern w:val="0"/>
          <w:sz w:val="24"/>
        </w:rPr>
        <w:t>职务：</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ascii="宋体" w:hAnsi="宋体"/>
          <w:kern w:val="0"/>
          <w:sz w:val="24"/>
        </w:rPr>
      </w:pPr>
      <w:r>
        <w:rPr>
          <w:rFonts w:hint="eastAsia" w:ascii="宋体" w:hAnsi="宋体"/>
          <w:kern w:val="0"/>
          <w:sz w:val="24"/>
        </w:rPr>
        <w:t>附：被授权人身份证（正反面）</w:t>
      </w:r>
    </w:p>
    <w:p>
      <w:pPr>
        <w:widowControl/>
        <w:snapToGrid w:val="0"/>
        <w:spacing w:line="360" w:lineRule="auto"/>
        <w:jc w:val="left"/>
        <w:rPr>
          <w:rFonts w:ascii="宋体" w:hAnsi="宋体"/>
          <w:kern w:val="0"/>
          <w:sz w:val="24"/>
        </w:rPr>
      </w:pPr>
    </w:p>
    <w:p>
      <w:pPr>
        <w:widowControl/>
        <w:snapToGrid w:val="0"/>
        <w:spacing w:line="360" w:lineRule="auto"/>
        <w:jc w:val="left"/>
        <w:rPr>
          <w:rFonts w:ascii="宋体" w:hAnsi="宋体"/>
          <w:kern w:val="0"/>
          <w:sz w:val="24"/>
        </w:rPr>
      </w:pPr>
    </w:p>
    <w:p>
      <w:pPr>
        <w:widowControl/>
        <w:snapToGrid w:val="0"/>
        <w:spacing w:line="360" w:lineRule="auto"/>
        <w:jc w:val="right"/>
        <w:rPr>
          <w:rFonts w:ascii="宋体" w:hAnsi="宋体"/>
          <w:kern w:val="0"/>
          <w:sz w:val="24"/>
        </w:rPr>
      </w:pPr>
      <w:r>
        <w:rPr>
          <w:rFonts w:hint="eastAsia" w:ascii="宋体" w:hAnsi="宋体"/>
          <w:kern w:val="0"/>
          <w:sz w:val="24"/>
        </w:rPr>
        <w:t xml:space="preserve">                                        年    月    日</w:t>
      </w:r>
    </w:p>
    <w:p>
      <w:pPr>
        <w:snapToGrid w:val="0"/>
        <w:spacing w:before="156" w:beforeLines="50" w:after="156" w:afterLines="50"/>
        <w:ind w:firstLine="482" w:firstLineChars="200"/>
        <w:rPr>
          <w:rFonts w:hint="eastAsia"/>
          <w:b/>
          <w:sz w:val="24"/>
        </w:rPr>
      </w:pPr>
    </w:p>
    <w:p>
      <w:pPr>
        <w:widowControl/>
        <w:snapToGrid w:val="0"/>
        <w:jc w:val="center"/>
        <w:outlineLvl w:val="0"/>
        <w:rPr>
          <w:rFonts w:hint="eastAsia" w:ascii="宋体" w:hAnsi="宋体"/>
          <w:b/>
          <w:bCs/>
          <w:iCs/>
          <w:kern w:val="0"/>
          <w:sz w:val="28"/>
        </w:rPr>
      </w:pPr>
      <w:bookmarkStart w:id="192" w:name="_Toc101973749"/>
      <w:bookmarkStart w:id="193" w:name="_Toc111809321"/>
      <w:r>
        <w:rPr>
          <w:rFonts w:hint="eastAsia" w:ascii="宋体" w:hAnsi="宋体"/>
          <w:b/>
          <w:bCs/>
          <w:iCs/>
          <w:kern w:val="0"/>
          <w:sz w:val="28"/>
        </w:rPr>
        <w:t>三、</w:t>
      </w:r>
      <w:bookmarkStart w:id="194" w:name="技术资信文件格式"/>
      <w:r>
        <w:rPr>
          <w:rFonts w:hint="eastAsia" w:ascii="宋体" w:hAnsi="宋体"/>
          <w:b/>
          <w:bCs/>
          <w:iCs/>
          <w:kern w:val="0"/>
          <w:sz w:val="28"/>
        </w:rPr>
        <w:t>技术商务文件参考格式</w:t>
      </w:r>
      <w:bookmarkEnd w:id="192"/>
      <w:bookmarkEnd w:id="193"/>
      <w:bookmarkEnd w:id="194"/>
    </w:p>
    <w:p>
      <w:pPr>
        <w:widowControl/>
        <w:snapToGrid w:val="0"/>
        <w:spacing w:line="360" w:lineRule="auto"/>
        <w:jc w:val="center"/>
        <w:rPr>
          <w:rFonts w:hint="eastAsia" w:ascii="宋体" w:hAnsi="宋体" w:cs="宋体"/>
          <w:kern w:val="0"/>
          <w:sz w:val="24"/>
        </w:rPr>
      </w:pPr>
    </w:p>
    <w:p>
      <w:pPr>
        <w:widowControl/>
        <w:snapToGrid w:val="0"/>
        <w:jc w:val="center"/>
        <w:rPr>
          <w:rFonts w:hint="eastAsia" w:ascii="宋体" w:hAnsi="宋体" w:cs="宋体"/>
          <w:b/>
          <w:kern w:val="0"/>
          <w:sz w:val="24"/>
        </w:rPr>
      </w:pPr>
      <w:r>
        <w:rPr>
          <w:rFonts w:hint="eastAsia" w:ascii="宋体" w:hAnsi="宋体" w:cs="宋体"/>
          <w:b/>
          <w:kern w:val="0"/>
          <w:sz w:val="24"/>
        </w:rPr>
        <w:t>1服务承诺书（投标人可自行编写）</w:t>
      </w:r>
    </w:p>
    <w:p>
      <w:pPr>
        <w:widowControl/>
        <w:tabs>
          <w:tab w:val="left" w:pos="525"/>
        </w:tabs>
        <w:spacing w:line="360" w:lineRule="auto"/>
        <w:ind w:firstLine="482" w:firstLineChars="200"/>
        <w:jc w:val="left"/>
        <w:rPr>
          <w:rFonts w:hint="eastAsia"/>
          <w:b/>
          <w:bCs/>
          <w:i/>
          <w:kern w:val="0"/>
          <w:sz w:val="24"/>
        </w:rPr>
      </w:pPr>
    </w:p>
    <w:p>
      <w:pPr>
        <w:widowControl/>
        <w:tabs>
          <w:tab w:val="left" w:pos="525"/>
        </w:tabs>
        <w:spacing w:line="360" w:lineRule="auto"/>
        <w:ind w:firstLine="482" w:firstLineChars="200"/>
        <w:jc w:val="left"/>
        <w:rPr>
          <w:rFonts w:hint="eastAsia"/>
          <w:b/>
          <w:bCs/>
          <w:i/>
          <w:kern w:val="0"/>
          <w:sz w:val="24"/>
        </w:rPr>
      </w:pPr>
    </w:p>
    <w:p>
      <w:pPr>
        <w:widowControl/>
        <w:tabs>
          <w:tab w:val="left" w:pos="525"/>
        </w:tabs>
        <w:spacing w:line="360" w:lineRule="auto"/>
        <w:ind w:firstLine="480" w:firstLineChars="200"/>
        <w:jc w:val="left"/>
        <w:rPr>
          <w:rFonts w:hint="eastAsia" w:ascii="宋体" w:hAnsi="宋体"/>
          <w:kern w:val="0"/>
          <w:sz w:val="24"/>
        </w:rPr>
      </w:pPr>
      <w:r>
        <w:rPr>
          <w:rFonts w:hint="eastAsia" w:ascii="宋体" w:hAnsi="宋体"/>
          <w:kern w:val="0"/>
          <w:sz w:val="24"/>
        </w:rPr>
        <w:t>1、我公司承诺，一旦我方中标，我们将根据招标文件的规定，提供不低于招标文件要求的服务和相关规定。</w:t>
      </w:r>
    </w:p>
    <w:p>
      <w:pPr>
        <w:widowControl/>
        <w:tabs>
          <w:tab w:val="left" w:pos="525"/>
        </w:tabs>
        <w:spacing w:line="360" w:lineRule="auto"/>
        <w:ind w:firstLine="480" w:firstLineChars="200"/>
        <w:jc w:val="left"/>
        <w:rPr>
          <w:rFonts w:hint="eastAsia" w:ascii="宋体" w:hAnsi="宋体"/>
          <w:kern w:val="0"/>
          <w:sz w:val="24"/>
        </w:rPr>
      </w:pPr>
      <w:r>
        <w:rPr>
          <w:rFonts w:hint="eastAsia" w:ascii="宋体" w:hAnsi="宋体"/>
          <w:kern w:val="0"/>
          <w:sz w:val="24"/>
        </w:rPr>
        <w:t>2、其他服务承诺：</w:t>
      </w:r>
    </w:p>
    <w:p>
      <w:pPr>
        <w:widowControl/>
        <w:snapToGrid w:val="0"/>
        <w:spacing w:line="360" w:lineRule="auto"/>
        <w:jc w:val="left"/>
        <w:rPr>
          <w:rFonts w:hint="eastAsia"/>
          <w:b/>
          <w:bCs/>
          <w:i/>
          <w:kern w:val="0"/>
          <w:sz w:val="24"/>
        </w:rPr>
      </w:pPr>
    </w:p>
    <w:p>
      <w:pPr>
        <w:widowControl/>
        <w:snapToGrid w:val="0"/>
        <w:spacing w:line="360" w:lineRule="auto"/>
        <w:jc w:val="left"/>
        <w:rPr>
          <w:rFonts w:hint="eastAsia"/>
          <w:b/>
          <w:bCs/>
          <w:i/>
          <w:kern w:val="0"/>
          <w:sz w:val="24"/>
        </w:rPr>
      </w:pPr>
    </w:p>
    <w:p>
      <w:pPr>
        <w:widowControl/>
        <w:snapToGrid w:val="0"/>
        <w:spacing w:line="360" w:lineRule="auto"/>
        <w:jc w:val="left"/>
        <w:rPr>
          <w:rFonts w:hint="eastAsia"/>
          <w:b/>
          <w:bCs/>
          <w:i/>
          <w:kern w:val="0"/>
          <w:sz w:val="24"/>
        </w:rPr>
      </w:pPr>
    </w:p>
    <w:p>
      <w:pPr>
        <w:widowControl/>
        <w:snapToGrid w:val="0"/>
        <w:spacing w:line="360" w:lineRule="auto"/>
        <w:jc w:val="left"/>
        <w:rPr>
          <w:rFonts w:hint="eastAsia"/>
          <w:b/>
          <w:bCs/>
          <w:i/>
          <w:kern w:val="0"/>
          <w:sz w:val="24"/>
        </w:rPr>
      </w:pPr>
    </w:p>
    <w:p>
      <w:pPr>
        <w:widowControl/>
        <w:snapToGrid w:val="0"/>
        <w:spacing w:line="360" w:lineRule="auto"/>
        <w:jc w:val="left"/>
        <w:rPr>
          <w:rFonts w:hint="eastAsia"/>
          <w:b/>
          <w:bCs/>
          <w:i/>
          <w:kern w:val="0"/>
          <w:sz w:val="24"/>
        </w:rPr>
      </w:pPr>
    </w:p>
    <w:p>
      <w:pPr>
        <w:widowControl/>
        <w:snapToGrid w:val="0"/>
        <w:spacing w:line="360" w:lineRule="auto"/>
        <w:jc w:val="left"/>
        <w:rPr>
          <w:rFonts w:hint="eastAsia"/>
          <w:b/>
          <w:bCs/>
          <w:i/>
          <w:kern w:val="0"/>
          <w:sz w:val="24"/>
        </w:rPr>
      </w:pPr>
    </w:p>
    <w:p>
      <w:pPr>
        <w:widowControl/>
        <w:snapToGrid w:val="0"/>
        <w:spacing w:line="360" w:lineRule="auto"/>
        <w:jc w:val="left"/>
        <w:rPr>
          <w:rFonts w:hint="eastAsia" w:ascii="宋体" w:hAnsi="宋体"/>
          <w:kern w:val="0"/>
          <w:sz w:val="24"/>
        </w:rPr>
      </w:pPr>
      <w:r>
        <w:rPr>
          <w:rFonts w:hint="eastAsia" w:ascii="宋体" w:hAnsi="宋体"/>
          <w:kern w:val="0"/>
          <w:sz w:val="24"/>
        </w:rPr>
        <w:t>投标人（盖章）：</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hint="eastAsia" w:ascii="宋体" w:hAnsi="宋体"/>
          <w:kern w:val="0"/>
          <w:sz w:val="24"/>
        </w:rPr>
      </w:pPr>
      <w:r>
        <w:rPr>
          <w:rFonts w:hint="eastAsia" w:ascii="宋体" w:hAnsi="宋体"/>
          <w:kern w:val="0"/>
          <w:sz w:val="24"/>
        </w:rPr>
        <w:t xml:space="preserve">                                   </w:t>
      </w:r>
    </w:p>
    <w:p>
      <w:pPr>
        <w:widowControl/>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widowControl/>
        <w:snapToGrid w:val="0"/>
        <w:jc w:val="center"/>
        <w:outlineLvl w:val="0"/>
        <w:rPr>
          <w:rFonts w:hint="eastAsia" w:ascii="宋体" w:hAnsi="宋体"/>
          <w:b/>
          <w:bCs/>
          <w:iCs/>
          <w:kern w:val="0"/>
          <w:sz w:val="28"/>
        </w:rPr>
      </w:pPr>
      <w:bookmarkStart w:id="195" w:name="_Toc111809322"/>
      <w:bookmarkStart w:id="196" w:name="_Toc101973750"/>
      <w:r>
        <w:rPr>
          <w:rFonts w:hint="eastAsia" w:ascii="宋体" w:hAnsi="宋体"/>
          <w:b/>
          <w:bCs/>
          <w:iCs/>
          <w:kern w:val="0"/>
          <w:sz w:val="28"/>
        </w:rPr>
        <w:t>四、报价文件参考格式</w:t>
      </w:r>
      <w:bookmarkEnd w:id="195"/>
      <w:bookmarkEnd w:id="196"/>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r>
        <w:rPr>
          <w:rFonts w:hint="eastAsia" w:ascii="宋体" w:hAnsi="宋体"/>
          <w:b/>
          <w:kern w:val="0"/>
          <w:sz w:val="24"/>
        </w:rPr>
        <w:t>1 初次报价一览表</w:t>
      </w:r>
    </w:p>
    <w:p>
      <w:pPr>
        <w:widowControl/>
        <w:snapToGrid w:val="0"/>
        <w:jc w:val="center"/>
        <w:rPr>
          <w:rFonts w:hint="eastAsia" w:ascii="宋体" w:hAnsi="宋体"/>
          <w:b/>
          <w:kern w:val="0"/>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3"/>
        <w:gridCol w:w="7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07" w:hRule="atLeast"/>
          <w:jc w:val="center"/>
        </w:trPr>
        <w:tc>
          <w:tcPr>
            <w:tcW w:w="1233" w:type="dxa"/>
            <w:tcBorders>
              <w:top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eastAsia="仿宋_GB2312"/>
                <w:b/>
                <w:bCs/>
                <w:sz w:val="24"/>
              </w:rPr>
            </w:pPr>
            <w:r>
              <w:rPr>
                <w:rFonts w:hint="eastAsia" w:ascii="宋体" w:hAnsi="宋体" w:cs="宋体"/>
                <w:b/>
                <w:bCs/>
                <w:sz w:val="24"/>
              </w:rPr>
              <w:t>项目名称</w:t>
            </w:r>
          </w:p>
        </w:tc>
        <w:tc>
          <w:tcPr>
            <w:tcW w:w="7087" w:type="dxa"/>
            <w:tcBorders>
              <w:top w:val="single" w:color="auto" w:sz="4" w:space="0"/>
              <w:left w:val="single" w:color="auto" w:sz="4" w:space="0"/>
              <w:bottom w:val="single" w:color="auto" w:sz="4" w:space="0"/>
            </w:tcBorders>
            <w:noWrap w:val="0"/>
            <w:vAlign w:val="center"/>
          </w:tcPr>
          <w:p>
            <w:pPr>
              <w:snapToGrid w:val="0"/>
              <w:spacing w:line="360" w:lineRule="auto"/>
              <w:jc w:val="left"/>
              <w:rPr>
                <w:rFonts w:hint="eastAsia" w:ascii="宋体" w:hAnsi="宋体" w:cs="宋体"/>
                <w:b/>
                <w:bCs/>
                <w:sz w:val="24"/>
              </w:rPr>
            </w:pPr>
            <w:r>
              <w:rPr>
                <w:rFonts w:hint="eastAsia" w:ascii="宋体" w:hAnsi="宋体" w:cs="宋体"/>
                <w:b/>
                <w:bCs/>
                <w:sz w:val="24"/>
              </w:rPr>
              <w:t>桐乡市公安局无线通信基站及机房维保项目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79" w:hRule="atLeast"/>
          <w:jc w:val="center"/>
        </w:trPr>
        <w:tc>
          <w:tcPr>
            <w:tcW w:w="1233" w:type="dxa"/>
            <w:tcBorders>
              <w:top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
                <w:bCs/>
                <w:sz w:val="24"/>
              </w:rPr>
            </w:pPr>
            <w:r>
              <w:rPr>
                <w:rFonts w:hint="eastAsia" w:ascii="宋体" w:hAnsi="宋体" w:cs="宋体"/>
                <w:b/>
                <w:bCs/>
                <w:sz w:val="24"/>
              </w:rPr>
              <w:t>分包1</w:t>
            </w:r>
          </w:p>
          <w:p>
            <w:pPr>
              <w:snapToGrid w:val="0"/>
              <w:spacing w:line="360" w:lineRule="auto"/>
              <w:jc w:val="center"/>
              <w:rPr>
                <w:rFonts w:hint="eastAsia" w:ascii="宋体" w:hAnsi="宋体" w:cs="宋体"/>
                <w:b/>
                <w:bCs/>
                <w:sz w:val="24"/>
              </w:rPr>
            </w:pPr>
            <w:r>
              <w:rPr>
                <w:rFonts w:hint="eastAsia" w:ascii="宋体" w:hAnsi="宋体" w:cs="宋体"/>
                <w:b/>
                <w:bCs/>
                <w:sz w:val="24"/>
              </w:rPr>
              <w:t>报价</w:t>
            </w:r>
          </w:p>
        </w:tc>
        <w:tc>
          <w:tcPr>
            <w:tcW w:w="7087" w:type="dxa"/>
            <w:tcBorders>
              <w:top w:val="single" w:color="auto" w:sz="4" w:space="0"/>
              <w:left w:val="single" w:color="auto" w:sz="4" w:space="0"/>
              <w:bottom w:val="single" w:color="auto" w:sz="4" w:space="0"/>
            </w:tcBorders>
            <w:noWrap w:val="0"/>
            <w:vAlign w:val="center"/>
          </w:tcPr>
          <w:p>
            <w:pPr>
              <w:snapToGrid w:val="0"/>
              <w:spacing w:line="360" w:lineRule="auto"/>
              <w:jc w:val="left"/>
              <w:rPr>
                <w:rFonts w:hint="eastAsia" w:ascii="宋体" w:hAnsi="宋体" w:cs="宋体"/>
                <w:b/>
                <w:bCs/>
                <w:sz w:val="24"/>
                <w:u w:val="single"/>
              </w:rPr>
            </w:pPr>
            <w:r>
              <w:rPr>
                <w:rFonts w:hint="eastAsia" w:ascii="宋体" w:hAnsi="宋体" w:cs="宋体"/>
                <w:b/>
                <w:bCs/>
                <w:sz w:val="24"/>
              </w:rPr>
              <w:t>大写：人民币</w:t>
            </w:r>
            <w:r>
              <w:rPr>
                <w:rFonts w:hint="eastAsia" w:ascii="宋体" w:hAnsi="宋体" w:cs="宋体"/>
                <w:b/>
                <w:bCs/>
                <w:sz w:val="24"/>
                <w:u w:val="single"/>
              </w:rPr>
              <w:t xml:space="preserve">                      </w:t>
            </w:r>
          </w:p>
          <w:p>
            <w:pPr>
              <w:snapToGrid w:val="0"/>
              <w:spacing w:line="360" w:lineRule="auto"/>
              <w:jc w:val="left"/>
              <w:rPr>
                <w:rFonts w:ascii="宋体" w:hAnsi="宋体" w:cs="宋体"/>
                <w:b/>
                <w:bCs/>
                <w:sz w:val="24"/>
              </w:rPr>
            </w:pPr>
            <w:r>
              <w:rPr>
                <w:rFonts w:hint="eastAsia" w:ascii="宋体" w:hAnsi="宋体" w:cs="宋体"/>
                <w:b/>
                <w:bCs/>
                <w:sz w:val="24"/>
              </w:rPr>
              <w:t>小写：¥</w:t>
            </w:r>
            <w:r>
              <w:rPr>
                <w:rFonts w:hint="eastAsia" w:ascii="宋体" w:hAnsi="宋体" w:cs="宋体"/>
                <w:b/>
                <w:bCs/>
                <w:sz w:val="24"/>
                <w:u w:val="single"/>
              </w:rPr>
              <w:t xml:space="preserve">                     </w:t>
            </w:r>
            <w:r>
              <w:rPr>
                <w:rFonts w:hint="eastAsia" w:ascii="宋体" w:hAnsi="宋体" w:cs="宋体"/>
                <w:b/>
                <w:bCs/>
                <w:sz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7" w:hRule="atLeast"/>
          <w:jc w:val="center"/>
        </w:trPr>
        <w:tc>
          <w:tcPr>
            <w:tcW w:w="1233" w:type="dxa"/>
            <w:tcBorders>
              <w:top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
                <w:bCs/>
                <w:sz w:val="24"/>
              </w:rPr>
            </w:pPr>
            <w:r>
              <w:rPr>
                <w:rFonts w:hint="eastAsia" w:ascii="宋体" w:hAnsi="宋体" w:cs="宋体"/>
                <w:b/>
                <w:bCs/>
                <w:sz w:val="24"/>
              </w:rPr>
              <w:t>分包2</w:t>
            </w:r>
          </w:p>
          <w:p>
            <w:pPr>
              <w:snapToGrid w:val="0"/>
              <w:spacing w:line="360" w:lineRule="auto"/>
              <w:jc w:val="center"/>
              <w:rPr>
                <w:rFonts w:hint="eastAsia" w:ascii="宋体" w:hAnsi="宋体" w:cs="宋体"/>
                <w:b/>
                <w:bCs/>
                <w:sz w:val="24"/>
              </w:rPr>
            </w:pPr>
            <w:r>
              <w:rPr>
                <w:rFonts w:hint="eastAsia" w:ascii="宋体" w:hAnsi="宋体" w:cs="宋体"/>
                <w:b/>
                <w:bCs/>
                <w:sz w:val="24"/>
              </w:rPr>
              <w:t>报价</w:t>
            </w:r>
          </w:p>
        </w:tc>
        <w:tc>
          <w:tcPr>
            <w:tcW w:w="7087" w:type="dxa"/>
            <w:tcBorders>
              <w:top w:val="single" w:color="auto" w:sz="4" w:space="0"/>
              <w:left w:val="single" w:color="auto" w:sz="4" w:space="0"/>
              <w:bottom w:val="single" w:color="auto" w:sz="4" w:space="0"/>
            </w:tcBorders>
            <w:noWrap w:val="0"/>
            <w:vAlign w:val="center"/>
          </w:tcPr>
          <w:p>
            <w:pPr>
              <w:snapToGrid w:val="0"/>
              <w:spacing w:line="360" w:lineRule="auto"/>
              <w:jc w:val="left"/>
              <w:rPr>
                <w:rFonts w:hint="eastAsia" w:ascii="宋体" w:hAnsi="宋体" w:cs="宋体"/>
                <w:b/>
                <w:bCs/>
                <w:sz w:val="24"/>
                <w:u w:val="single"/>
              </w:rPr>
            </w:pPr>
            <w:r>
              <w:rPr>
                <w:rFonts w:hint="eastAsia" w:ascii="宋体" w:hAnsi="宋体" w:cs="宋体"/>
                <w:b/>
                <w:bCs/>
                <w:sz w:val="24"/>
              </w:rPr>
              <w:t>大写：人民币</w:t>
            </w:r>
            <w:r>
              <w:rPr>
                <w:rFonts w:hint="eastAsia" w:ascii="宋体" w:hAnsi="宋体" w:cs="宋体"/>
                <w:b/>
                <w:bCs/>
                <w:sz w:val="24"/>
                <w:u w:val="single"/>
              </w:rPr>
              <w:t xml:space="preserve">                      </w:t>
            </w:r>
          </w:p>
          <w:p>
            <w:pPr>
              <w:snapToGrid w:val="0"/>
              <w:spacing w:line="360" w:lineRule="auto"/>
              <w:jc w:val="left"/>
              <w:rPr>
                <w:rFonts w:ascii="宋体" w:hAnsi="宋体" w:cs="宋体"/>
                <w:b/>
                <w:bCs/>
                <w:sz w:val="24"/>
              </w:rPr>
            </w:pPr>
            <w:r>
              <w:rPr>
                <w:rFonts w:hint="eastAsia" w:ascii="宋体" w:hAnsi="宋体" w:cs="宋体"/>
                <w:b/>
                <w:bCs/>
                <w:sz w:val="24"/>
              </w:rPr>
              <w:t>小写：¥</w:t>
            </w:r>
            <w:r>
              <w:rPr>
                <w:rFonts w:hint="eastAsia" w:ascii="宋体" w:hAnsi="宋体" w:cs="宋体"/>
                <w:b/>
                <w:bCs/>
                <w:sz w:val="24"/>
                <w:u w:val="single"/>
              </w:rPr>
              <w:t xml:space="preserve">                     </w:t>
            </w:r>
            <w:r>
              <w:rPr>
                <w:rFonts w:hint="eastAsia" w:ascii="宋体" w:hAnsi="宋体" w:cs="宋体"/>
                <w:b/>
                <w:bCs/>
                <w:sz w:val="24"/>
              </w:rPr>
              <w:t xml:space="preserve"> 元</w:t>
            </w:r>
          </w:p>
        </w:tc>
      </w:tr>
    </w:tbl>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snapToGrid w:val="0"/>
        <w:spacing w:line="360" w:lineRule="auto"/>
        <w:jc w:val="left"/>
        <w:rPr>
          <w:rFonts w:ascii="宋体" w:hAnsi="宋体"/>
          <w:sz w:val="24"/>
        </w:rPr>
      </w:pPr>
      <w:r>
        <w:rPr>
          <w:rFonts w:hint="eastAsia" w:ascii="宋体" w:hAnsi="宋体"/>
          <w:sz w:val="24"/>
        </w:rPr>
        <w:t>注：1、投标报价必须包含完成该项目所需的一切相关税费。</w:t>
      </w:r>
    </w:p>
    <w:p>
      <w:pPr>
        <w:snapToGrid w:val="0"/>
        <w:spacing w:line="360" w:lineRule="auto"/>
        <w:ind w:firstLine="480" w:firstLineChars="200"/>
        <w:jc w:val="left"/>
        <w:rPr>
          <w:rFonts w:hint="eastAsia" w:ascii="宋体" w:hAnsi="宋体"/>
          <w:bCs/>
          <w:sz w:val="24"/>
        </w:rPr>
      </w:pPr>
      <w:r>
        <w:rPr>
          <w:rFonts w:hint="eastAsia" w:ascii="宋体" w:hAnsi="宋体"/>
          <w:bCs/>
          <w:sz w:val="24"/>
        </w:rPr>
        <w:t>2、本项目分2个分包，可自选分包进行报价。</w:t>
      </w:r>
    </w:p>
    <w:p>
      <w:pPr>
        <w:snapToGrid w:val="0"/>
        <w:spacing w:line="360" w:lineRule="auto"/>
        <w:jc w:val="left"/>
        <w:rPr>
          <w:rFonts w:hint="eastAsia" w:ascii="宋体" w:hAnsi="宋体"/>
          <w:bCs/>
          <w:sz w:val="24"/>
        </w:rPr>
      </w:pPr>
    </w:p>
    <w:p>
      <w:pPr>
        <w:snapToGrid w:val="0"/>
        <w:spacing w:line="360" w:lineRule="auto"/>
        <w:jc w:val="left"/>
        <w:rPr>
          <w:rFonts w:hint="eastAsia" w:ascii="宋体" w:hAnsi="宋体"/>
          <w:sz w:val="24"/>
        </w:rPr>
      </w:pPr>
      <w:r>
        <w:rPr>
          <w:rFonts w:hint="eastAsia" w:ascii="宋体" w:hAnsi="宋体"/>
          <w:bCs/>
          <w:sz w:val="24"/>
        </w:rPr>
        <w:t>投标总报价：</w:t>
      </w:r>
      <w:r>
        <w:rPr>
          <w:rFonts w:hint="eastAsia" w:ascii="宋体" w:hAnsi="宋体"/>
          <w:sz w:val="24"/>
          <w:u w:val="single"/>
        </w:rPr>
        <w:t xml:space="preserve">（小写）                          </w:t>
      </w:r>
      <w:r>
        <w:rPr>
          <w:rFonts w:hint="eastAsia" w:ascii="宋体" w:hAnsi="宋体"/>
          <w:sz w:val="24"/>
        </w:rPr>
        <w:t>元整</w:t>
      </w:r>
    </w:p>
    <w:p>
      <w:pPr>
        <w:snapToGrid w:val="0"/>
        <w:spacing w:line="360" w:lineRule="auto"/>
        <w:jc w:val="left"/>
        <w:rPr>
          <w:rFonts w:hint="eastAsia" w:ascii="宋体" w:hAnsi="宋体"/>
          <w:sz w:val="24"/>
        </w:rPr>
      </w:pPr>
    </w:p>
    <w:p>
      <w:pPr>
        <w:widowControl/>
        <w:snapToGrid w:val="0"/>
        <w:spacing w:line="360" w:lineRule="auto"/>
        <w:ind w:firstLine="1440" w:firstLineChars="600"/>
        <w:jc w:val="left"/>
        <w:rPr>
          <w:rFonts w:hint="eastAsia" w:ascii="宋体" w:hAnsi="宋体"/>
          <w:bCs/>
          <w:kern w:val="0"/>
          <w:sz w:val="24"/>
        </w:rPr>
      </w:pPr>
      <w:r>
        <w:rPr>
          <w:rFonts w:hint="eastAsia" w:ascii="宋体" w:hAnsi="宋体"/>
          <w:bCs/>
          <w:kern w:val="0"/>
          <w:sz w:val="24"/>
          <w:u w:val="single"/>
        </w:rPr>
        <w:t xml:space="preserve">（大写)                          </w:t>
      </w:r>
      <w:r>
        <w:rPr>
          <w:rFonts w:hint="eastAsia" w:ascii="宋体" w:hAnsi="宋体"/>
          <w:bCs/>
          <w:kern w:val="0"/>
          <w:sz w:val="24"/>
        </w:rPr>
        <w:t xml:space="preserve">元整 </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hint="eastAsia" w:ascii="宋体" w:hAnsi="宋体"/>
          <w:kern w:val="0"/>
          <w:sz w:val="24"/>
        </w:rPr>
      </w:pPr>
    </w:p>
    <w:p>
      <w:pPr>
        <w:widowControl/>
        <w:snapToGrid w:val="0"/>
        <w:spacing w:line="360" w:lineRule="auto"/>
        <w:jc w:val="left"/>
        <w:rPr>
          <w:rFonts w:ascii="宋体" w:hAnsi="宋体"/>
          <w:kern w:val="0"/>
          <w:sz w:val="24"/>
        </w:rPr>
      </w:pPr>
      <w:r>
        <w:rPr>
          <w:rFonts w:hint="eastAsia" w:ascii="宋体" w:hAnsi="宋体"/>
          <w:kern w:val="0"/>
          <w:sz w:val="24"/>
        </w:rPr>
        <w:t>投标人（盖章）：</w:t>
      </w:r>
    </w:p>
    <w:p>
      <w:pPr>
        <w:widowControl/>
        <w:snapToGrid w:val="0"/>
        <w:spacing w:line="360" w:lineRule="auto"/>
        <w:jc w:val="left"/>
        <w:rPr>
          <w:rFonts w:hint="eastAsia" w:ascii="宋体" w:hAnsi="宋体"/>
          <w:kern w:val="0"/>
          <w:sz w:val="24"/>
        </w:rPr>
      </w:pPr>
    </w:p>
    <w:p>
      <w:pPr>
        <w:widowControl/>
        <w:snapToGrid w:val="0"/>
        <w:spacing w:line="360" w:lineRule="auto"/>
        <w:jc w:val="left"/>
        <w:rPr>
          <w:rFonts w:hint="eastAsia" w:ascii="宋体" w:hAnsi="宋体"/>
          <w:kern w:val="0"/>
          <w:sz w:val="24"/>
        </w:rPr>
      </w:pPr>
    </w:p>
    <w:p>
      <w:pPr>
        <w:widowControl/>
        <w:snapToGrid w:val="0"/>
        <w:spacing w:line="360" w:lineRule="auto"/>
        <w:jc w:val="left"/>
        <w:rPr>
          <w:rFonts w:hint="eastAsia" w:ascii="宋体" w:hAnsi="宋体"/>
          <w:kern w:val="0"/>
          <w:sz w:val="24"/>
        </w:rPr>
      </w:pPr>
      <w:r>
        <w:rPr>
          <w:rFonts w:hint="eastAsia" w:ascii="宋体" w:hAnsi="宋体"/>
          <w:kern w:val="0"/>
          <w:sz w:val="24"/>
        </w:rPr>
        <w:t>日  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snapToGrid w:val="0"/>
        <w:spacing w:before="156" w:beforeLines="50" w:after="156" w:afterLines="50"/>
        <w:ind w:firstLine="482" w:firstLineChars="200"/>
        <w:rPr>
          <w:rFonts w:hint="eastAsia"/>
          <w:b/>
          <w:sz w:val="24"/>
        </w:rPr>
      </w:pPr>
    </w:p>
    <w:p>
      <w:pPr>
        <w:widowControl/>
        <w:snapToGrid w:val="0"/>
        <w:jc w:val="center"/>
        <w:rPr>
          <w:rFonts w:hint="eastAsia" w:ascii="宋体" w:hAnsi="宋体"/>
          <w:b/>
          <w:kern w:val="0"/>
          <w:sz w:val="24"/>
        </w:rPr>
      </w:pPr>
      <w:r>
        <w:rPr>
          <w:rFonts w:hint="eastAsia" w:ascii="宋体" w:hAnsi="宋体"/>
          <w:b/>
          <w:kern w:val="0"/>
          <w:sz w:val="24"/>
        </w:rPr>
        <w:t>2、中小企业声明函（服务）</w:t>
      </w:r>
    </w:p>
    <w:p>
      <w:pPr>
        <w:widowControl/>
        <w:jc w:val="left"/>
        <w:rPr>
          <w:rFonts w:hint="eastAsia"/>
          <w:kern w:val="0"/>
          <w:sz w:val="24"/>
        </w:rPr>
      </w:pPr>
    </w:p>
    <w:p>
      <w:pPr>
        <w:widowControl/>
        <w:spacing w:line="360" w:lineRule="auto"/>
        <w:ind w:firstLine="480" w:firstLineChars="200"/>
        <w:jc w:val="left"/>
        <w:rPr>
          <w:rFonts w:hint="eastAsia" w:ascii="宋体" w:hAnsi="宋体" w:cs="宋体"/>
          <w:kern w:val="0"/>
          <w:sz w:val="24"/>
        </w:rPr>
      </w:pPr>
      <w:r>
        <w:rPr>
          <w:rFonts w:hint="eastAsia" w:ascii="宋体" w:hAnsi="宋体" w:cs="宋体"/>
          <w:color w:val="000000"/>
          <w:kern w:val="0"/>
          <w:sz w:val="24"/>
          <w:lang w:bidi="ar"/>
        </w:rPr>
        <w:t>本公司郑重声明，根据《政府采购促进中小企业发展管理办法》（财库﹝2020﹞46 号）的规定，本公司参加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采购活动，服务全部由符合政策要求的中小企业承接。相关企业的具体情况如下：</w:t>
      </w:r>
    </w:p>
    <w:p>
      <w:pPr>
        <w:widowControl/>
        <w:spacing w:line="360" w:lineRule="auto"/>
        <w:ind w:firstLine="480" w:firstLineChars="200"/>
        <w:jc w:val="left"/>
        <w:rPr>
          <w:rFonts w:hint="eastAsia" w:ascii="宋体" w:hAnsi="宋体" w:cs="宋体"/>
          <w:kern w:val="0"/>
          <w:sz w:val="24"/>
        </w:rPr>
      </w:pPr>
      <w:r>
        <w:rPr>
          <w:rFonts w:hint="eastAsia" w:ascii="宋体" w:hAnsi="宋体" w:cs="宋体"/>
          <w:color w:val="000000"/>
          <w:kern w:val="0"/>
          <w:sz w:val="24"/>
          <w:lang w:bidi="ar"/>
        </w:rPr>
        <w:t>1.</w:t>
      </w:r>
      <w:r>
        <w:rPr>
          <w:rFonts w:hint="eastAsia" w:ascii="宋体" w:hAnsi="宋体" w:cs="宋体"/>
          <w:color w:val="000000"/>
          <w:kern w:val="0"/>
          <w:sz w:val="24"/>
          <w:u w:val="single"/>
          <w:lang w:bidi="ar"/>
        </w:rPr>
        <w:t xml:space="preserve"> （标的名称）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万元1，属于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hint="eastAsia" w:ascii="宋体" w:hAnsi="宋体" w:cs="宋体"/>
          <w:kern w:val="0"/>
          <w:sz w:val="24"/>
        </w:rPr>
      </w:pPr>
      <w:r>
        <w:rPr>
          <w:rFonts w:hint="eastAsia" w:ascii="宋体" w:hAnsi="宋体" w:cs="宋体"/>
          <w:color w:val="000000"/>
          <w:kern w:val="0"/>
          <w:sz w:val="24"/>
          <w:lang w:bidi="ar"/>
        </w:rPr>
        <w:t>2.</w:t>
      </w:r>
      <w:r>
        <w:rPr>
          <w:rFonts w:hint="eastAsia" w:ascii="宋体" w:hAnsi="宋体" w:cs="宋体"/>
          <w:color w:val="000000"/>
          <w:kern w:val="0"/>
          <w:sz w:val="24"/>
          <w:u w:val="single"/>
          <w:lang w:bidi="ar"/>
        </w:rPr>
        <w:t xml:space="preserve"> （标的名称）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hint="eastAsia" w:ascii="宋体" w:hAnsi="宋体" w:cs="宋体"/>
          <w:kern w:val="0"/>
          <w:sz w:val="24"/>
        </w:rPr>
      </w:pPr>
      <w:r>
        <w:rPr>
          <w:rFonts w:hint="eastAsia" w:ascii="宋体" w:hAnsi="宋体" w:cs="宋体"/>
          <w:color w:val="000000"/>
          <w:kern w:val="0"/>
          <w:sz w:val="24"/>
          <w:lang w:bidi="ar"/>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ind w:firstLine="480" w:firstLineChars="200"/>
        <w:jc w:val="left"/>
        <w:rPr>
          <w:rFonts w:hint="eastAsia" w:ascii="宋体" w:hAnsi="宋体" w:cs="宋体"/>
          <w:color w:val="000000"/>
          <w:kern w:val="0"/>
          <w:sz w:val="24"/>
          <w:lang w:bidi="ar"/>
        </w:rPr>
      </w:pPr>
    </w:p>
    <w:p>
      <w:pPr>
        <w:widowControl/>
        <w:spacing w:line="360" w:lineRule="auto"/>
        <w:ind w:firstLine="3840" w:firstLineChars="1600"/>
        <w:rPr>
          <w:rFonts w:hint="eastAsia" w:ascii="宋体" w:hAnsi="宋体" w:cs="宋体"/>
          <w:color w:val="000000"/>
          <w:kern w:val="0"/>
          <w:sz w:val="24"/>
          <w:lang w:bidi="ar"/>
        </w:rPr>
      </w:pPr>
      <w:r>
        <w:rPr>
          <w:rFonts w:hint="eastAsia" w:ascii="宋体" w:hAnsi="宋体" w:cs="宋体"/>
          <w:color w:val="000000"/>
          <w:kern w:val="0"/>
          <w:sz w:val="24"/>
          <w:lang w:bidi="ar"/>
        </w:rPr>
        <w:t xml:space="preserve">企业名称（盖章）： </w:t>
      </w:r>
    </w:p>
    <w:p>
      <w:pPr>
        <w:widowControl/>
        <w:spacing w:line="360" w:lineRule="auto"/>
        <w:ind w:firstLine="5040" w:firstLineChars="2100"/>
        <w:rPr>
          <w:rFonts w:hint="eastAsia" w:ascii="宋体" w:hAnsi="宋体" w:cs="宋体"/>
          <w:color w:val="000000"/>
          <w:kern w:val="0"/>
          <w:sz w:val="24"/>
          <w:lang w:bidi="ar"/>
        </w:rPr>
      </w:pPr>
      <w:r>
        <w:rPr>
          <w:rFonts w:hint="eastAsia" w:ascii="宋体" w:hAnsi="宋体" w:cs="宋体"/>
          <w:color w:val="000000"/>
          <w:kern w:val="0"/>
          <w:sz w:val="24"/>
          <w:lang w:bidi="ar"/>
        </w:rPr>
        <w:t xml:space="preserve"> 日 期： </w:t>
      </w:r>
    </w:p>
    <w:p>
      <w:pPr>
        <w:widowControl/>
        <w:spacing w:line="360" w:lineRule="auto"/>
        <w:ind w:firstLine="5040" w:firstLineChars="2100"/>
        <w:rPr>
          <w:rFonts w:hint="eastAsia" w:ascii="宋体" w:hAnsi="宋体" w:cs="宋体"/>
          <w:color w:val="000000"/>
          <w:kern w:val="0"/>
          <w:sz w:val="24"/>
          <w:lang w:bidi="ar"/>
        </w:rPr>
      </w:pPr>
    </w:p>
    <w:p>
      <w:pPr>
        <w:widowControl/>
        <w:spacing w:line="360" w:lineRule="auto"/>
        <w:ind w:firstLine="5040" w:firstLineChars="2100"/>
        <w:rPr>
          <w:rFonts w:hint="eastAsia" w:ascii="宋体" w:hAnsi="宋体" w:cs="宋体"/>
          <w:color w:val="000000"/>
          <w:kern w:val="0"/>
          <w:sz w:val="24"/>
          <w:lang w:bidi="ar"/>
        </w:rPr>
      </w:pPr>
    </w:p>
    <w:p>
      <w:pPr>
        <w:widowControl/>
        <w:snapToGrid w:val="0"/>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1从业人员、营业收入、资产总额填报上一年度数据，无上一年度数据的新成立企业可不填报。</w:t>
      </w:r>
    </w:p>
    <w:p>
      <w:pPr>
        <w:widowControl/>
        <w:snapToGri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2本项目对应的中小企业划分标准所属行业为：</w:t>
      </w:r>
      <w:r>
        <w:rPr>
          <w:rFonts w:hint="eastAsia" w:ascii="宋体" w:hAnsi="宋体" w:cs="宋体"/>
          <w:color w:val="000000"/>
          <w:kern w:val="0"/>
          <w:sz w:val="24"/>
          <w:u w:val="single"/>
          <w:lang w:bidi="ar"/>
        </w:rPr>
        <w:t>其他未列明服务业。</w:t>
      </w: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left"/>
        <w:rPr>
          <w:rFonts w:hint="eastAsia" w:ascii="宋体" w:hAnsi="宋体"/>
          <w:b/>
          <w:bCs/>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p>
    <w:p>
      <w:pPr>
        <w:widowControl/>
        <w:snapToGrid w:val="0"/>
        <w:jc w:val="center"/>
        <w:rPr>
          <w:rFonts w:hint="eastAsia" w:ascii="宋体" w:hAnsi="宋体"/>
          <w:b/>
          <w:kern w:val="0"/>
          <w:sz w:val="24"/>
        </w:rPr>
      </w:pPr>
      <w:r>
        <w:rPr>
          <w:rFonts w:hint="eastAsia" w:ascii="宋体" w:hAnsi="宋体"/>
          <w:b/>
          <w:kern w:val="0"/>
          <w:sz w:val="24"/>
        </w:rPr>
        <w:t>3、监狱和戒毒企业证明材料</w:t>
      </w:r>
    </w:p>
    <w:p>
      <w:pPr>
        <w:snapToGrid w:val="0"/>
        <w:jc w:val="center"/>
        <w:rPr>
          <w:rFonts w:hint="eastAsia" w:ascii="宋体" w:hAnsi="宋体"/>
          <w:b/>
          <w:sz w:val="24"/>
          <w:lang w:val="en-GB"/>
        </w:rPr>
      </w:pPr>
    </w:p>
    <w:p>
      <w:pPr>
        <w:widowControl/>
        <w:snapToGrid w:val="0"/>
        <w:ind w:firstLine="480" w:firstLineChars="200"/>
        <w:jc w:val="left"/>
        <w:rPr>
          <w:rFonts w:hint="eastAsia" w:ascii="宋体" w:hAnsi="宋体"/>
          <w:kern w:val="0"/>
          <w:sz w:val="24"/>
        </w:rPr>
      </w:pPr>
      <w:r>
        <w:rPr>
          <w:rFonts w:hint="eastAsia" w:ascii="宋体" w:hAnsi="宋体"/>
          <w:kern w:val="0"/>
          <w:sz w:val="24"/>
        </w:rPr>
        <w:t>监狱和戒毒企业参加投标时应提供由省级以上监狱管理局、戒毒管理局（含新疆生产建设兵团）出具的属于监狱企业的证明文件。</w:t>
      </w: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ind w:firstLine="480" w:firstLineChars="200"/>
        <w:jc w:val="left"/>
        <w:rPr>
          <w:rFonts w:hint="eastAsia" w:ascii="宋体" w:hAnsi="宋体"/>
          <w:kern w:val="0"/>
          <w:sz w:val="24"/>
        </w:rPr>
      </w:pPr>
    </w:p>
    <w:p>
      <w:pPr>
        <w:widowControl/>
        <w:snapToGrid w:val="0"/>
        <w:jc w:val="center"/>
        <w:rPr>
          <w:rFonts w:hint="eastAsia" w:ascii="宋体" w:hAnsi="宋体"/>
          <w:b/>
          <w:spacing w:val="6"/>
          <w:kern w:val="0"/>
          <w:sz w:val="24"/>
        </w:rPr>
      </w:pPr>
    </w:p>
    <w:p>
      <w:pPr>
        <w:widowControl/>
        <w:snapToGrid w:val="0"/>
        <w:jc w:val="center"/>
        <w:rPr>
          <w:rFonts w:hint="eastAsia" w:ascii="宋体" w:hAnsi="宋体"/>
          <w:b/>
          <w:spacing w:val="6"/>
          <w:kern w:val="0"/>
          <w:sz w:val="24"/>
        </w:rPr>
      </w:pPr>
    </w:p>
    <w:p>
      <w:pPr>
        <w:widowControl/>
        <w:snapToGrid w:val="0"/>
        <w:jc w:val="center"/>
        <w:rPr>
          <w:rFonts w:hint="eastAsia" w:ascii="宋体" w:hAnsi="宋体"/>
          <w:b/>
          <w:spacing w:val="6"/>
          <w:kern w:val="0"/>
          <w:sz w:val="24"/>
        </w:rPr>
      </w:pPr>
    </w:p>
    <w:p>
      <w:pPr>
        <w:widowControl/>
        <w:snapToGrid w:val="0"/>
        <w:jc w:val="center"/>
        <w:rPr>
          <w:rFonts w:hint="eastAsia" w:ascii="宋体" w:hAnsi="宋体"/>
          <w:b/>
          <w:kern w:val="0"/>
          <w:sz w:val="24"/>
        </w:rPr>
      </w:pPr>
      <w:r>
        <w:rPr>
          <w:rFonts w:hint="eastAsia" w:ascii="宋体" w:hAnsi="宋体"/>
          <w:b/>
          <w:kern w:val="0"/>
          <w:sz w:val="24"/>
        </w:rPr>
        <w:t>4、残疾人福利性单位声明函</w:t>
      </w:r>
    </w:p>
    <w:p>
      <w:pPr>
        <w:widowControl/>
        <w:snapToGrid w:val="0"/>
        <w:jc w:val="left"/>
        <w:rPr>
          <w:rFonts w:hint="eastAsia" w:ascii="宋体" w:hAnsi="宋体"/>
          <w:b/>
          <w:spacing w:val="6"/>
          <w:kern w:val="0"/>
          <w:sz w:val="24"/>
        </w:rPr>
      </w:pPr>
    </w:p>
    <w:p>
      <w:pPr>
        <w:widowControl/>
        <w:snapToGrid w:val="0"/>
        <w:ind w:firstLine="480" w:firstLineChars="200"/>
        <w:jc w:val="left"/>
        <w:rPr>
          <w:rFonts w:hint="eastAsia" w:ascii="宋体" w:hAnsi="宋体"/>
          <w:kern w:val="0"/>
          <w:sz w:val="24"/>
        </w:rPr>
      </w:pPr>
      <w:r>
        <w:rPr>
          <w:rFonts w:hint="eastAsia" w:ascii="宋体" w:hAnsi="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ind w:firstLine="480" w:firstLineChars="200"/>
        <w:jc w:val="left"/>
        <w:rPr>
          <w:rFonts w:hint="eastAsia" w:ascii="宋体" w:hAnsi="宋体"/>
          <w:kern w:val="0"/>
          <w:sz w:val="24"/>
        </w:rPr>
      </w:pPr>
      <w:r>
        <w:rPr>
          <w:rFonts w:hint="eastAsia" w:ascii="宋体" w:hAnsi="宋体"/>
          <w:kern w:val="0"/>
          <w:sz w:val="24"/>
        </w:rPr>
        <w:t>本单位对上述声明的真实性负责。如有虚假，将依法承担相应责任。</w:t>
      </w:r>
    </w:p>
    <w:p>
      <w:pPr>
        <w:widowControl/>
        <w:snapToGrid w:val="0"/>
        <w:jc w:val="left"/>
        <w:rPr>
          <w:rFonts w:hint="eastAsia" w:ascii="宋体" w:hAnsi="宋体"/>
          <w:kern w:val="0"/>
          <w:sz w:val="24"/>
        </w:rPr>
      </w:pPr>
    </w:p>
    <w:p>
      <w:pPr>
        <w:widowControl/>
        <w:snapToGrid w:val="0"/>
        <w:jc w:val="left"/>
        <w:rPr>
          <w:rFonts w:hint="eastAsia" w:ascii="宋体" w:hAnsi="宋体"/>
          <w:kern w:val="0"/>
          <w:sz w:val="24"/>
        </w:rPr>
      </w:pPr>
    </w:p>
    <w:p>
      <w:pPr>
        <w:widowControl/>
        <w:snapToGrid w:val="0"/>
        <w:jc w:val="left"/>
        <w:rPr>
          <w:rFonts w:ascii="宋体" w:hAnsi="宋体"/>
          <w:kern w:val="0"/>
          <w:sz w:val="24"/>
        </w:rPr>
      </w:pPr>
      <w:r>
        <w:rPr>
          <w:rFonts w:hint="eastAsia" w:ascii="宋体" w:hAnsi="宋体"/>
          <w:kern w:val="0"/>
          <w:sz w:val="24"/>
        </w:rPr>
        <w:t>投标人（盖章）：</w:t>
      </w:r>
    </w:p>
    <w:p>
      <w:pPr>
        <w:widowControl/>
        <w:snapToGrid w:val="0"/>
        <w:jc w:val="left"/>
        <w:rPr>
          <w:rFonts w:hint="eastAsia" w:ascii="宋体" w:hAnsi="宋体"/>
          <w:kern w:val="0"/>
          <w:sz w:val="24"/>
        </w:rPr>
      </w:pPr>
    </w:p>
    <w:p>
      <w:pPr>
        <w:widowControl/>
        <w:snapToGrid w:val="0"/>
        <w:jc w:val="left"/>
        <w:rPr>
          <w:rFonts w:hint="eastAsia" w:ascii="宋体" w:hAnsi="宋体"/>
          <w:kern w:val="0"/>
          <w:sz w:val="24"/>
        </w:rPr>
      </w:pPr>
    </w:p>
    <w:p>
      <w:pPr>
        <w:widowControl/>
        <w:snapToGrid w:val="0"/>
        <w:jc w:val="left"/>
        <w:rPr>
          <w:rFonts w:hint="eastAsia" w:ascii="宋体" w:hAnsi="宋体"/>
          <w:kern w:val="0"/>
          <w:sz w:val="24"/>
        </w:rPr>
      </w:pPr>
      <w:r>
        <w:rPr>
          <w:rFonts w:hint="eastAsia" w:ascii="宋体" w:hAnsi="宋体"/>
          <w:kern w:val="0"/>
          <w:sz w:val="24"/>
        </w:rPr>
        <w:t>日  期：     年     月     日</w:t>
      </w:r>
    </w:p>
    <w:p>
      <w:pPr>
        <w:widowControl/>
        <w:snapToGrid w:val="0"/>
        <w:jc w:val="left"/>
        <w:rPr>
          <w:rFonts w:hint="eastAsia" w:ascii="宋体" w:hAnsi="宋体"/>
          <w:kern w:val="0"/>
          <w:sz w:val="24"/>
        </w:rPr>
      </w:pPr>
    </w:p>
    <w:p>
      <w:pPr>
        <w:snapToGrid w:val="0"/>
        <w:spacing w:before="156" w:beforeLines="50" w:after="156" w:afterLines="50"/>
        <w:ind w:firstLine="482" w:firstLineChars="200"/>
        <w:rPr>
          <w:b/>
          <w:sz w:val="24"/>
        </w:rPr>
      </w:pPr>
    </w:p>
    <w:p>
      <w:pPr>
        <w:wordWrap w:val="0"/>
        <w:snapToGrid w:val="0"/>
        <w:spacing w:before="156" w:beforeLines="50" w:after="156" w:afterLines="50"/>
        <w:ind w:firstLine="482" w:firstLineChars="200"/>
        <w:rPr>
          <w:rFonts w:hint="eastAsia"/>
          <w:b/>
          <w:sz w:val="24"/>
        </w:rPr>
      </w:pPr>
    </w:p>
    <w:p>
      <w:pPr>
        <w:wordWrap w:val="0"/>
        <w:snapToGrid w:val="0"/>
        <w:spacing w:before="156" w:beforeLines="50" w:after="156" w:afterLines="50"/>
        <w:ind w:firstLine="482" w:firstLineChars="200"/>
        <w:rPr>
          <w:rFonts w:hint="eastAsia"/>
          <w:b/>
          <w:sz w:val="24"/>
        </w:rPr>
      </w:pPr>
    </w:p>
    <w:sectPr>
      <w:headerReference r:id="rId10" w:type="first"/>
      <w:footerReference r:id="rId13" w:type="first"/>
      <w:headerReference r:id="rId9" w:type="default"/>
      <w:footerReference r:id="rId11" w:type="default"/>
      <w:footerReference r:id="rId12" w:type="even"/>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Arial Black">
    <w:panose1 w:val="020B0A04020102020204"/>
    <w:charset w:val="00"/>
    <w:family w:val="swiss"/>
    <w:pitch w:val="default"/>
    <w:sig w:usb0="A00002AF" w:usb1="400078FB" w:usb2="00000000" w:usb3="00000000" w:csb0="6000009F" w:csb1="DFD70000"/>
  </w:font>
  <w:font w:name="仿宋吀">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vanish/>
        <w:highlight w:val="yellow"/>
      </w:rPr>
      <w:t>&lt;</w:t>
    </w:r>
    <w:r>
      <w:rPr>
        <w:rFonts w:hint="eastAsia"/>
      </w:rPr>
      <w:t xml:space="preserve">浙江禾城工程管理有限责任公司                     </w:t>
    </w:r>
    <w:r>
      <w:fldChar w:fldCharType="begin"/>
    </w:r>
    <w:r>
      <w:instrText xml:space="preserve"> PAGE   \* MERGEFORMAT </w:instrText>
    </w:r>
    <w:r>
      <w:fldChar w:fldCharType="separate"/>
    </w:r>
    <w:r>
      <w:rPr>
        <w:lang w:val="zh-CN"/>
      </w:rPr>
      <w:t>1</w:t>
    </w:r>
    <w:r>
      <w:fldChar w:fldCharType="end"/>
    </w:r>
    <w:r>
      <w:rPr>
        <w:rFonts w:hint="eastAsia"/>
      </w:rPr>
      <w:t xml:space="preserve">                   联系电话及传真：0573-88180989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vanish/>
        <w:highlight w:val="yellow"/>
      </w:rPr>
      <w:t>&lt;</w:t>
    </w:r>
    <w:r>
      <w:rPr>
        <w:rFonts w:hint="eastAsia"/>
      </w:rPr>
      <w:t xml:space="preserve">浙江禾城工程管理有限责任公司                  </w:t>
    </w:r>
    <w:r>
      <w:fldChar w:fldCharType="begin"/>
    </w:r>
    <w:r>
      <w:instrText xml:space="preserve"> PAGE   \* MERGEFORMAT </w:instrText>
    </w:r>
    <w:r>
      <w:fldChar w:fldCharType="separate"/>
    </w:r>
    <w:r>
      <w:rPr>
        <w:lang w:val="zh-CN"/>
      </w:rPr>
      <w:t>7</w:t>
    </w:r>
    <w:r>
      <w:fldChar w:fldCharType="end"/>
    </w:r>
    <w:r>
      <w:rPr>
        <w:rFonts w:hint="eastAsia"/>
      </w:rPr>
      <w:t xml:space="preserve">              联系电话及传真：0573-88180989</w:t>
    </w:r>
  </w:p>
  <w:p>
    <w:pPr>
      <w:pStyle w:val="2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Pr>
    </w:pPr>
    <w:r>
      <w:fldChar w:fldCharType="begin"/>
    </w:r>
    <w:r>
      <w:rPr>
        <w:rStyle w:val="48"/>
      </w:rPr>
      <w:instrText xml:space="preserve">PAGE  </w:instrText>
    </w:r>
    <w:r>
      <w:fldChar w:fldCharType="end"/>
    </w:r>
  </w:p>
  <w:p>
    <w:pPr>
      <w:pStyle w:val="2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left"/>
      <w:rPr>
        <w:spacing w:val="20"/>
        <w:sz w:val="21"/>
        <w:szCs w:val="21"/>
        <w:u w:val="single"/>
      </w:rPr>
    </w:pPr>
    <w:r>
      <w:rPr>
        <w:rFonts w:hint="eastAsia" w:ascii="宋体" w:hAnsi="宋体"/>
        <w:spacing w:val="20"/>
        <w:sz w:val="21"/>
        <w:szCs w:val="21"/>
        <w:u w:val="single"/>
      </w:rPr>
      <w:t xml:space="preserve">                 </w:t>
    </w:r>
    <w:r>
      <w:rPr>
        <w:rFonts w:hint="eastAsia" w:ascii="宋体" w:hAnsi="宋体"/>
        <w:sz w:val="21"/>
        <w:szCs w:val="21"/>
        <w:u w:val="single"/>
      </w:rPr>
      <w:t>2021年世界互联网大会·乌镇峰会无人机防御项目招标文件</w:t>
    </w:r>
    <w:r>
      <w:rPr>
        <w:rFonts w:hint="eastAsia" w:ascii="宋体" w:hAnsi="宋体"/>
        <w:spacing w:val="20"/>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szCs w:val="21"/>
      </w:rPr>
    </w:pPr>
    <w:r>
      <w:rPr>
        <w:rFonts w:hint="eastAsia" w:ascii="宋体" w:hAnsi="宋体"/>
        <w:sz w:val="21"/>
        <w:szCs w:val="21"/>
      </w:rPr>
      <w:t>桐乡市公安局无线通信基站及机房维保项目 招标文件</w:t>
    </w:r>
    <w:r>
      <w:rPr>
        <w:rFonts w:hint="eastAsia" w:ascii="宋体" w:hAnsi="宋体"/>
        <w:spacing w:val="2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0C932480"/>
    <w:multiLevelType w:val="multilevel"/>
    <w:tmpl w:val="0C932480"/>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lvlText w:val="%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12AA33D8"/>
    <w:multiLevelType w:val="multilevel"/>
    <w:tmpl w:val="12AA33D8"/>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6B032D"/>
    <w:multiLevelType w:val="multilevel"/>
    <w:tmpl w:val="326B032D"/>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410B7675"/>
    <w:multiLevelType w:val="multilevel"/>
    <w:tmpl w:val="410B7675"/>
    <w:lvl w:ilvl="0" w:tentative="0">
      <w:start w:val="1"/>
      <w:numFmt w:val="decimal"/>
      <w:pStyle w:val="2"/>
      <w:isLgl/>
      <w:lvlText w:val="%1"/>
      <w:lvlJc w:val="left"/>
      <w:pPr>
        <w:tabs>
          <w:tab w:val="left" w:pos="1567"/>
        </w:tabs>
        <w:ind w:left="1567"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1572"/>
        </w:tabs>
        <w:ind w:left="1572" w:hanging="720"/>
      </w:pPr>
      <w:rPr>
        <w:rFonts w:hint="eastAsia"/>
      </w:rPr>
    </w:lvl>
    <w:lvl w:ilvl="3" w:tentative="0">
      <w:start w:val="1"/>
      <w:numFmt w:val="decimal"/>
      <w:pStyle w:val="6"/>
      <w:lvlText w:val="%1.%2.%3.%4"/>
      <w:lvlJc w:val="left"/>
      <w:pPr>
        <w:tabs>
          <w:tab w:val="left" w:pos="1599"/>
        </w:tabs>
        <w:ind w:left="1599" w:hanging="864"/>
      </w:pPr>
      <w:rPr>
        <w:rFonts w:hint="eastAsia"/>
      </w:rPr>
    </w:lvl>
    <w:lvl w:ilvl="4" w:tentative="0">
      <w:start w:val="1"/>
      <w:numFmt w:val="decimal"/>
      <w:pStyle w:val="7"/>
      <w:lvlText w:val="%1.%2.%3.%4.%5"/>
      <w:lvlJc w:val="left"/>
      <w:pPr>
        <w:tabs>
          <w:tab w:val="left" w:pos="1860"/>
        </w:tabs>
        <w:ind w:left="1860"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41CF5D43"/>
    <w:multiLevelType w:val="multilevel"/>
    <w:tmpl w:val="41CF5D43"/>
    <w:lvl w:ilvl="0" w:tentative="0">
      <w:start w:val="1"/>
      <w:numFmt w:val="decimal"/>
      <w:lvlText w:val="%1、"/>
      <w:lvlJc w:val="left"/>
      <w:pPr>
        <w:tabs>
          <w:tab w:val="left" w:pos="1320"/>
        </w:tabs>
        <w:ind w:left="1320" w:hanging="720"/>
      </w:pPr>
      <w:rPr>
        <w:rFonts w:hint="eastAsia"/>
      </w:rPr>
    </w:lvl>
    <w:lvl w:ilvl="1" w:tentative="0">
      <w:start w:val="1"/>
      <w:numFmt w:val="japaneseCounting"/>
      <w:lvlText w:val="第%2条"/>
      <w:lvlJc w:val="left"/>
      <w:pPr>
        <w:tabs>
          <w:tab w:val="left" w:pos="2100"/>
        </w:tabs>
        <w:ind w:left="2100" w:hanging="108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44121AA6"/>
    <w:multiLevelType w:val="multilevel"/>
    <w:tmpl w:val="44121AA6"/>
    <w:lvl w:ilvl="0" w:tentative="0">
      <w:start w:val="1"/>
      <w:numFmt w:val="decimal"/>
      <w:pStyle w:val="127"/>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9D13A2"/>
    <w:multiLevelType w:val="multilevel"/>
    <w:tmpl w:val="4B9D13A2"/>
    <w:lvl w:ilvl="0" w:tentative="0">
      <w:start w:val="1"/>
      <w:numFmt w:val="bullet"/>
      <w:pStyle w:val="14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1FF6213"/>
    <w:multiLevelType w:val="multilevel"/>
    <w:tmpl w:val="51FF6213"/>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b w:val="0"/>
      </w:rPr>
    </w:lvl>
    <w:lvl w:ilvl="3" w:tentative="0">
      <w:start w:val="1"/>
      <w:numFmt w:val="decimal"/>
      <w:lvlText w:val="%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7DB0BCD"/>
    <w:multiLevelType w:val="multilevel"/>
    <w:tmpl w:val="67DB0BCD"/>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755585C"/>
    <w:multiLevelType w:val="multilevel"/>
    <w:tmpl w:val="7755585C"/>
    <w:lvl w:ilvl="0" w:tentative="0">
      <w:start w:val="1"/>
      <w:numFmt w:val="bullet"/>
      <w:pStyle w:val="132"/>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8"/>
  </w:num>
  <w:num w:numId="3">
    <w:abstractNumId w:val="0"/>
  </w:num>
  <w:num w:numId="4">
    <w:abstractNumId w:val="6"/>
  </w:num>
  <w:num w:numId="5">
    <w:abstractNumId w:val="11"/>
  </w:num>
  <w:num w:numId="6">
    <w:abstractNumId w:val="7"/>
  </w:num>
  <w:num w:numId="7">
    <w:abstractNumId w:val="2"/>
  </w:num>
  <w:num w:numId="8">
    <w:abstractNumId w:val="3"/>
  </w:num>
  <w:num w:numId="9">
    <w:abstractNumId w:val="9"/>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95"/>
    <w:rsid w:val="0000024E"/>
    <w:rsid w:val="00000401"/>
    <w:rsid w:val="000009DD"/>
    <w:rsid w:val="00000DFB"/>
    <w:rsid w:val="00000FB3"/>
    <w:rsid w:val="000014CE"/>
    <w:rsid w:val="00001B36"/>
    <w:rsid w:val="00001EAA"/>
    <w:rsid w:val="00001F15"/>
    <w:rsid w:val="00002398"/>
    <w:rsid w:val="000024DC"/>
    <w:rsid w:val="00002920"/>
    <w:rsid w:val="00002FF3"/>
    <w:rsid w:val="00003123"/>
    <w:rsid w:val="00003746"/>
    <w:rsid w:val="000039D7"/>
    <w:rsid w:val="00004062"/>
    <w:rsid w:val="0000443D"/>
    <w:rsid w:val="00004E03"/>
    <w:rsid w:val="00005B6A"/>
    <w:rsid w:val="00007774"/>
    <w:rsid w:val="000078EA"/>
    <w:rsid w:val="00007CB9"/>
    <w:rsid w:val="00007CDD"/>
    <w:rsid w:val="00010159"/>
    <w:rsid w:val="00010898"/>
    <w:rsid w:val="00011628"/>
    <w:rsid w:val="0001194C"/>
    <w:rsid w:val="00012082"/>
    <w:rsid w:val="0001236F"/>
    <w:rsid w:val="000129C2"/>
    <w:rsid w:val="00012B35"/>
    <w:rsid w:val="00012F2D"/>
    <w:rsid w:val="0001354F"/>
    <w:rsid w:val="00013E8B"/>
    <w:rsid w:val="00014F9C"/>
    <w:rsid w:val="00015341"/>
    <w:rsid w:val="00016A7D"/>
    <w:rsid w:val="00016EB9"/>
    <w:rsid w:val="00017F4D"/>
    <w:rsid w:val="00020A3B"/>
    <w:rsid w:val="0002163F"/>
    <w:rsid w:val="0002181D"/>
    <w:rsid w:val="00021CC6"/>
    <w:rsid w:val="0002252F"/>
    <w:rsid w:val="00023FBD"/>
    <w:rsid w:val="000242C2"/>
    <w:rsid w:val="00024872"/>
    <w:rsid w:val="00024B81"/>
    <w:rsid w:val="00024C85"/>
    <w:rsid w:val="00024E85"/>
    <w:rsid w:val="00025020"/>
    <w:rsid w:val="000256A5"/>
    <w:rsid w:val="00026E34"/>
    <w:rsid w:val="00027874"/>
    <w:rsid w:val="00027C28"/>
    <w:rsid w:val="00030145"/>
    <w:rsid w:val="000303CE"/>
    <w:rsid w:val="000314D1"/>
    <w:rsid w:val="000319F7"/>
    <w:rsid w:val="00032390"/>
    <w:rsid w:val="0003300B"/>
    <w:rsid w:val="0003373A"/>
    <w:rsid w:val="000339A7"/>
    <w:rsid w:val="00033B9E"/>
    <w:rsid w:val="00034C6F"/>
    <w:rsid w:val="00035B3B"/>
    <w:rsid w:val="000370E4"/>
    <w:rsid w:val="000401C8"/>
    <w:rsid w:val="000408FC"/>
    <w:rsid w:val="00040C84"/>
    <w:rsid w:val="00041284"/>
    <w:rsid w:val="000415E6"/>
    <w:rsid w:val="00041A06"/>
    <w:rsid w:val="00041E27"/>
    <w:rsid w:val="00042084"/>
    <w:rsid w:val="0004251B"/>
    <w:rsid w:val="00042A60"/>
    <w:rsid w:val="00043120"/>
    <w:rsid w:val="0004333E"/>
    <w:rsid w:val="0004659E"/>
    <w:rsid w:val="00050056"/>
    <w:rsid w:val="00051706"/>
    <w:rsid w:val="00051C8E"/>
    <w:rsid w:val="00052A8F"/>
    <w:rsid w:val="00054721"/>
    <w:rsid w:val="00054BFE"/>
    <w:rsid w:val="00055940"/>
    <w:rsid w:val="000567AB"/>
    <w:rsid w:val="00057B9B"/>
    <w:rsid w:val="00057C8D"/>
    <w:rsid w:val="00060DA1"/>
    <w:rsid w:val="00061859"/>
    <w:rsid w:val="00061BA1"/>
    <w:rsid w:val="00062369"/>
    <w:rsid w:val="000623FD"/>
    <w:rsid w:val="00062C6A"/>
    <w:rsid w:val="00063C50"/>
    <w:rsid w:val="00063EA9"/>
    <w:rsid w:val="00064222"/>
    <w:rsid w:val="00064728"/>
    <w:rsid w:val="00065016"/>
    <w:rsid w:val="00065EB7"/>
    <w:rsid w:val="00065F71"/>
    <w:rsid w:val="000661CC"/>
    <w:rsid w:val="000667D2"/>
    <w:rsid w:val="00067761"/>
    <w:rsid w:val="000709B0"/>
    <w:rsid w:val="00072721"/>
    <w:rsid w:val="000729D5"/>
    <w:rsid w:val="000736C9"/>
    <w:rsid w:val="00074071"/>
    <w:rsid w:val="0007423A"/>
    <w:rsid w:val="000744AE"/>
    <w:rsid w:val="00074502"/>
    <w:rsid w:val="0007489F"/>
    <w:rsid w:val="00074E55"/>
    <w:rsid w:val="00074E5F"/>
    <w:rsid w:val="0007533F"/>
    <w:rsid w:val="00076B96"/>
    <w:rsid w:val="00077501"/>
    <w:rsid w:val="0007759B"/>
    <w:rsid w:val="000777D4"/>
    <w:rsid w:val="0007794E"/>
    <w:rsid w:val="0008094C"/>
    <w:rsid w:val="0008133D"/>
    <w:rsid w:val="00081B61"/>
    <w:rsid w:val="00081F2C"/>
    <w:rsid w:val="00082A63"/>
    <w:rsid w:val="000831FE"/>
    <w:rsid w:val="000838D7"/>
    <w:rsid w:val="00083B4B"/>
    <w:rsid w:val="00083F1B"/>
    <w:rsid w:val="00084529"/>
    <w:rsid w:val="00084BD5"/>
    <w:rsid w:val="00085393"/>
    <w:rsid w:val="0008634D"/>
    <w:rsid w:val="00086F30"/>
    <w:rsid w:val="00087BEF"/>
    <w:rsid w:val="00087E0B"/>
    <w:rsid w:val="00090518"/>
    <w:rsid w:val="00091579"/>
    <w:rsid w:val="0009189A"/>
    <w:rsid w:val="00091C56"/>
    <w:rsid w:val="0009224C"/>
    <w:rsid w:val="000941A5"/>
    <w:rsid w:val="0009445C"/>
    <w:rsid w:val="00094A0B"/>
    <w:rsid w:val="000953D9"/>
    <w:rsid w:val="000958DF"/>
    <w:rsid w:val="0009671C"/>
    <w:rsid w:val="0009729A"/>
    <w:rsid w:val="000A07E5"/>
    <w:rsid w:val="000A11EB"/>
    <w:rsid w:val="000A22E3"/>
    <w:rsid w:val="000A264E"/>
    <w:rsid w:val="000A3159"/>
    <w:rsid w:val="000A417E"/>
    <w:rsid w:val="000A435A"/>
    <w:rsid w:val="000A510B"/>
    <w:rsid w:val="000A5849"/>
    <w:rsid w:val="000A5A93"/>
    <w:rsid w:val="000A5CAE"/>
    <w:rsid w:val="000A79D3"/>
    <w:rsid w:val="000A7CAD"/>
    <w:rsid w:val="000B0325"/>
    <w:rsid w:val="000B0D81"/>
    <w:rsid w:val="000B1E34"/>
    <w:rsid w:val="000B2679"/>
    <w:rsid w:val="000B2E80"/>
    <w:rsid w:val="000B30DC"/>
    <w:rsid w:val="000B36F4"/>
    <w:rsid w:val="000B4421"/>
    <w:rsid w:val="000B490C"/>
    <w:rsid w:val="000B4F51"/>
    <w:rsid w:val="000B5407"/>
    <w:rsid w:val="000B56B2"/>
    <w:rsid w:val="000B5E7F"/>
    <w:rsid w:val="000B60F2"/>
    <w:rsid w:val="000B63F7"/>
    <w:rsid w:val="000B6651"/>
    <w:rsid w:val="000B77F3"/>
    <w:rsid w:val="000B7D87"/>
    <w:rsid w:val="000C02BF"/>
    <w:rsid w:val="000C0619"/>
    <w:rsid w:val="000C0B4D"/>
    <w:rsid w:val="000C1688"/>
    <w:rsid w:val="000C16B2"/>
    <w:rsid w:val="000C1788"/>
    <w:rsid w:val="000C18DC"/>
    <w:rsid w:val="000C1FC9"/>
    <w:rsid w:val="000C22A0"/>
    <w:rsid w:val="000C257D"/>
    <w:rsid w:val="000C2969"/>
    <w:rsid w:val="000C2A82"/>
    <w:rsid w:val="000C2AD5"/>
    <w:rsid w:val="000C2EBC"/>
    <w:rsid w:val="000C3CB6"/>
    <w:rsid w:val="000C4991"/>
    <w:rsid w:val="000C4BA4"/>
    <w:rsid w:val="000C4BB6"/>
    <w:rsid w:val="000C50D2"/>
    <w:rsid w:val="000C730B"/>
    <w:rsid w:val="000D08D4"/>
    <w:rsid w:val="000D094D"/>
    <w:rsid w:val="000D0FB8"/>
    <w:rsid w:val="000D10F5"/>
    <w:rsid w:val="000D1965"/>
    <w:rsid w:val="000D2927"/>
    <w:rsid w:val="000D3325"/>
    <w:rsid w:val="000D5879"/>
    <w:rsid w:val="000D5A03"/>
    <w:rsid w:val="000D662B"/>
    <w:rsid w:val="000D6B77"/>
    <w:rsid w:val="000D7C7B"/>
    <w:rsid w:val="000E1034"/>
    <w:rsid w:val="000E1EB6"/>
    <w:rsid w:val="000E2921"/>
    <w:rsid w:val="000E2A99"/>
    <w:rsid w:val="000E35BE"/>
    <w:rsid w:val="000E56A9"/>
    <w:rsid w:val="000E6358"/>
    <w:rsid w:val="000E6390"/>
    <w:rsid w:val="000E66EC"/>
    <w:rsid w:val="000E6A78"/>
    <w:rsid w:val="000E6E43"/>
    <w:rsid w:val="000E73CC"/>
    <w:rsid w:val="000E75E9"/>
    <w:rsid w:val="000E7B10"/>
    <w:rsid w:val="000F1843"/>
    <w:rsid w:val="000F4BE1"/>
    <w:rsid w:val="000F4D20"/>
    <w:rsid w:val="000F5BDE"/>
    <w:rsid w:val="000F7AEE"/>
    <w:rsid w:val="00100205"/>
    <w:rsid w:val="00102220"/>
    <w:rsid w:val="001027DB"/>
    <w:rsid w:val="00102C43"/>
    <w:rsid w:val="0010395A"/>
    <w:rsid w:val="00104D8C"/>
    <w:rsid w:val="00104E7B"/>
    <w:rsid w:val="00105A80"/>
    <w:rsid w:val="0010697F"/>
    <w:rsid w:val="0010730A"/>
    <w:rsid w:val="00107E0A"/>
    <w:rsid w:val="00110390"/>
    <w:rsid w:val="00111DC5"/>
    <w:rsid w:val="00112213"/>
    <w:rsid w:val="001128F8"/>
    <w:rsid w:val="00112C9C"/>
    <w:rsid w:val="0011309A"/>
    <w:rsid w:val="00114020"/>
    <w:rsid w:val="001169F6"/>
    <w:rsid w:val="00116F03"/>
    <w:rsid w:val="001177EC"/>
    <w:rsid w:val="0012060C"/>
    <w:rsid w:val="00120756"/>
    <w:rsid w:val="00120BAD"/>
    <w:rsid w:val="0012177C"/>
    <w:rsid w:val="0012419B"/>
    <w:rsid w:val="00124C3F"/>
    <w:rsid w:val="00124D19"/>
    <w:rsid w:val="00124EE4"/>
    <w:rsid w:val="00125E1F"/>
    <w:rsid w:val="001267A2"/>
    <w:rsid w:val="00127585"/>
    <w:rsid w:val="00127AA8"/>
    <w:rsid w:val="00127C30"/>
    <w:rsid w:val="00131076"/>
    <w:rsid w:val="00131141"/>
    <w:rsid w:val="00131A08"/>
    <w:rsid w:val="00132955"/>
    <w:rsid w:val="00132CC9"/>
    <w:rsid w:val="00133947"/>
    <w:rsid w:val="00133986"/>
    <w:rsid w:val="001339FD"/>
    <w:rsid w:val="00135BBB"/>
    <w:rsid w:val="00135BC7"/>
    <w:rsid w:val="00136761"/>
    <w:rsid w:val="001379CE"/>
    <w:rsid w:val="00137B0B"/>
    <w:rsid w:val="00137D71"/>
    <w:rsid w:val="00140326"/>
    <w:rsid w:val="00140826"/>
    <w:rsid w:val="001411A8"/>
    <w:rsid w:val="00141ADB"/>
    <w:rsid w:val="00141CED"/>
    <w:rsid w:val="0014264C"/>
    <w:rsid w:val="0014321C"/>
    <w:rsid w:val="0014326D"/>
    <w:rsid w:val="0014357C"/>
    <w:rsid w:val="00143B66"/>
    <w:rsid w:val="001440F1"/>
    <w:rsid w:val="00144D5E"/>
    <w:rsid w:val="0014568A"/>
    <w:rsid w:val="00145C64"/>
    <w:rsid w:val="00146052"/>
    <w:rsid w:val="00146D79"/>
    <w:rsid w:val="00146DA2"/>
    <w:rsid w:val="001471AF"/>
    <w:rsid w:val="00147917"/>
    <w:rsid w:val="00147D9F"/>
    <w:rsid w:val="00151A10"/>
    <w:rsid w:val="00151F0A"/>
    <w:rsid w:val="001537FA"/>
    <w:rsid w:val="00153A87"/>
    <w:rsid w:val="0015501D"/>
    <w:rsid w:val="0015537E"/>
    <w:rsid w:val="00155885"/>
    <w:rsid w:val="00156E51"/>
    <w:rsid w:val="00156EE1"/>
    <w:rsid w:val="00156F1A"/>
    <w:rsid w:val="00157582"/>
    <w:rsid w:val="001608DD"/>
    <w:rsid w:val="0016138D"/>
    <w:rsid w:val="00161755"/>
    <w:rsid w:val="00163E3E"/>
    <w:rsid w:val="00163EA7"/>
    <w:rsid w:val="00164697"/>
    <w:rsid w:val="00164E7B"/>
    <w:rsid w:val="00165B1B"/>
    <w:rsid w:val="00165BF6"/>
    <w:rsid w:val="0016653B"/>
    <w:rsid w:val="001670D6"/>
    <w:rsid w:val="001703EA"/>
    <w:rsid w:val="00170AE6"/>
    <w:rsid w:val="00171B20"/>
    <w:rsid w:val="00171C2C"/>
    <w:rsid w:val="001720DF"/>
    <w:rsid w:val="00173137"/>
    <w:rsid w:val="00175855"/>
    <w:rsid w:val="00175ADC"/>
    <w:rsid w:val="00175B74"/>
    <w:rsid w:val="00176521"/>
    <w:rsid w:val="00176B5B"/>
    <w:rsid w:val="00176CA4"/>
    <w:rsid w:val="00177396"/>
    <w:rsid w:val="00177AA0"/>
    <w:rsid w:val="00177AA2"/>
    <w:rsid w:val="0018210F"/>
    <w:rsid w:val="00183462"/>
    <w:rsid w:val="00183E56"/>
    <w:rsid w:val="00184FDE"/>
    <w:rsid w:val="00186938"/>
    <w:rsid w:val="00186BDC"/>
    <w:rsid w:val="00190739"/>
    <w:rsid w:val="00190A51"/>
    <w:rsid w:val="001916B9"/>
    <w:rsid w:val="00192165"/>
    <w:rsid w:val="001922A0"/>
    <w:rsid w:val="001925FD"/>
    <w:rsid w:val="001937E1"/>
    <w:rsid w:val="0019476F"/>
    <w:rsid w:val="0019509E"/>
    <w:rsid w:val="001961A2"/>
    <w:rsid w:val="001961BA"/>
    <w:rsid w:val="001966F1"/>
    <w:rsid w:val="00196E8A"/>
    <w:rsid w:val="00197B84"/>
    <w:rsid w:val="001A0454"/>
    <w:rsid w:val="001A0E21"/>
    <w:rsid w:val="001A16DD"/>
    <w:rsid w:val="001A1750"/>
    <w:rsid w:val="001A1CF7"/>
    <w:rsid w:val="001A2BFC"/>
    <w:rsid w:val="001A3159"/>
    <w:rsid w:val="001A41C0"/>
    <w:rsid w:val="001A471C"/>
    <w:rsid w:val="001A4DBE"/>
    <w:rsid w:val="001A53E6"/>
    <w:rsid w:val="001A5931"/>
    <w:rsid w:val="001A5EAE"/>
    <w:rsid w:val="001A62F8"/>
    <w:rsid w:val="001A6377"/>
    <w:rsid w:val="001A7579"/>
    <w:rsid w:val="001B0274"/>
    <w:rsid w:val="001B05CC"/>
    <w:rsid w:val="001B11AB"/>
    <w:rsid w:val="001B2A35"/>
    <w:rsid w:val="001B3240"/>
    <w:rsid w:val="001B37FA"/>
    <w:rsid w:val="001B4910"/>
    <w:rsid w:val="001B4D9C"/>
    <w:rsid w:val="001B6C35"/>
    <w:rsid w:val="001B77D2"/>
    <w:rsid w:val="001C01C4"/>
    <w:rsid w:val="001C027C"/>
    <w:rsid w:val="001C1A84"/>
    <w:rsid w:val="001C1B8A"/>
    <w:rsid w:val="001C33F4"/>
    <w:rsid w:val="001C3A06"/>
    <w:rsid w:val="001C434D"/>
    <w:rsid w:val="001C4866"/>
    <w:rsid w:val="001C53DF"/>
    <w:rsid w:val="001C56F1"/>
    <w:rsid w:val="001C57FE"/>
    <w:rsid w:val="001C5870"/>
    <w:rsid w:val="001C5F4C"/>
    <w:rsid w:val="001C6C27"/>
    <w:rsid w:val="001C6DA5"/>
    <w:rsid w:val="001C6FEF"/>
    <w:rsid w:val="001C75AE"/>
    <w:rsid w:val="001D0B67"/>
    <w:rsid w:val="001D1474"/>
    <w:rsid w:val="001D1B03"/>
    <w:rsid w:val="001D213C"/>
    <w:rsid w:val="001D2812"/>
    <w:rsid w:val="001D29E2"/>
    <w:rsid w:val="001D35A8"/>
    <w:rsid w:val="001D39B7"/>
    <w:rsid w:val="001D3B51"/>
    <w:rsid w:val="001D518C"/>
    <w:rsid w:val="001D7F47"/>
    <w:rsid w:val="001E0377"/>
    <w:rsid w:val="001E044A"/>
    <w:rsid w:val="001E050B"/>
    <w:rsid w:val="001E14EA"/>
    <w:rsid w:val="001E2C63"/>
    <w:rsid w:val="001E2F45"/>
    <w:rsid w:val="001E5F6A"/>
    <w:rsid w:val="001E72D3"/>
    <w:rsid w:val="001E780A"/>
    <w:rsid w:val="001E7BF9"/>
    <w:rsid w:val="001F099B"/>
    <w:rsid w:val="001F266B"/>
    <w:rsid w:val="001F2AB9"/>
    <w:rsid w:val="001F3F76"/>
    <w:rsid w:val="001F4B42"/>
    <w:rsid w:val="001F5A29"/>
    <w:rsid w:val="001F629D"/>
    <w:rsid w:val="001F6EAA"/>
    <w:rsid w:val="001F7336"/>
    <w:rsid w:val="001F763F"/>
    <w:rsid w:val="001F7935"/>
    <w:rsid w:val="00200E8E"/>
    <w:rsid w:val="00200EEC"/>
    <w:rsid w:val="00202A91"/>
    <w:rsid w:val="00202F52"/>
    <w:rsid w:val="00203442"/>
    <w:rsid w:val="00203D55"/>
    <w:rsid w:val="00203DC7"/>
    <w:rsid w:val="002053F7"/>
    <w:rsid w:val="00206A86"/>
    <w:rsid w:val="0020707E"/>
    <w:rsid w:val="00207A6A"/>
    <w:rsid w:val="0021049C"/>
    <w:rsid w:val="002108CF"/>
    <w:rsid w:val="00211B35"/>
    <w:rsid w:val="00211C9B"/>
    <w:rsid w:val="002124E7"/>
    <w:rsid w:val="00213690"/>
    <w:rsid w:val="00214087"/>
    <w:rsid w:val="00214174"/>
    <w:rsid w:val="002141D7"/>
    <w:rsid w:val="002142D4"/>
    <w:rsid w:val="002144C9"/>
    <w:rsid w:val="00214FB9"/>
    <w:rsid w:val="00215071"/>
    <w:rsid w:val="00215167"/>
    <w:rsid w:val="00215468"/>
    <w:rsid w:val="00216CF4"/>
    <w:rsid w:val="002172DA"/>
    <w:rsid w:val="002175F8"/>
    <w:rsid w:val="0022032F"/>
    <w:rsid w:val="00221609"/>
    <w:rsid w:val="00223D8A"/>
    <w:rsid w:val="0022515D"/>
    <w:rsid w:val="002251AA"/>
    <w:rsid w:val="002256A7"/>
    <w:rsid w:val="00225965"/>
    <w:rsid w:val="00226404"/>
    <w:rsid w:val="00226656"/>
    <w:rsid w:val="002266AF"/>
    <w:rsid w:val="002271E2"/>
    <w:rsid w:val="00227734"/>
    <w:rsid w:val="00227889"/>
    <w:rsid w:val="0023022A"/>
    <w:rsid w:val="002303FF"/>
    <w:rsid w:val="002310F9"/>
    <w:rsid w:val="00231D80"/>
    <w:rsid w:val="00231FFF"/>
    <w:rsid w:val="002321B2"/>
    <w:rsid w:val="002324BA"/>
    <w:rsid w:val="002353C2"/>
    <w:rsid w:val="0023556C"/>
    <w:rsid w:val="00237653"/>
    <w:rsid w:val="00237B77"/>
    <w:rsid w:val="002402AF"/>
    <w:rsid w:val="00240523"/>
    <w:rsid w:val="00240741"/>
    <w:rsid w:val="00242B84"/>
    <w:rsid w:val="0024336B"/>
    <w:rsid w:val="00243582"/>
    <w:rsid w:val="00243960"/>
    <w:rsid w:val="0024403B"/>
    <w:rsid w:val="0024403D"/>
    <w:rsid w:val="0024469A"/>
    <w:rsid w:val="00244899"/>
    <w:rsid w:val="00244F9F"/>
    <w:rsid w:val="00245739"/>
    <w:rsid w:val="00245878"/>
    <w:rsid w:val="002458DA"/>
    <w:rsid w:val="00246022"/>
    <w:rsid w:val="002466AE"/>
    <w:rsid w:val="00247BAF"/>
    <w:rsid w:val="00247C4F"/>
    <w:rsid w:val="002502E0"/>
    <w:rsid w:val="002502EC"/>
    <w:rsid w:val="0025107A"/>
    <w:rsid w:val="002511E6"/>
    <w:rsid w:val="0025168F"/>
    <w:rsid w:val="0025275E"/>
    <w:rsid w:val="002533BF"/>
    <w:rsid w:val="0025364F"/>
    <w:rsid w:val="002538E0"/>
    <w:rsid w:val="002539CC"/>
    <w:rsid w:val="00253AC7"/>
    <w:rsid w:val="0025552D"/>
    <w:rsid w:val="002556DB"/>
    <w:rsid w:val="002557E1"/>
    <w:rsid w:val="00255B6D"/>
    <w:rsid w:val="00256AE3"/>
    <w:rsid w:val="00256DA5"/>
    <w:rsid w:val="00257494"/>
    <w:rsid w:val="00261255"/>
    <w:rsid w:val="00261BD5"/>
    <w:rsid w:val="00261CC4"/>
    <w:rsid w:val="002624D2"/>
    <w:rsid w:val="00264B7D"/>
    <w:rsid w:val="00264D7C"/>
    <w:rsid w:val="002654AC"/>
    <w:rsid w:val="0026588F"/>
    <w:rsid w:val="002661C1"/>
    <w:rsid w:val="002672A2"/>
    <w:rsid w:val="0027047C"/>
    <w:rsid w:val="00270C8A"/>
    <w:rsid w:val="00271C02"/>
    <w:rsid w:val="00271DFB"/>
    <w:rsid w:val="00272059"/>
    <w:rsid w:val="00272925"/>
    <w:rsid w:val="00272EC3"/>
    <w:rsid w:val="0027337F"/>
    <w:rsid w:val="002767E0"/>
    <w:rsid w:val="00277DBB"/>
    <w:rsid w:val="0028052C"/>
    <w:rsid w:val="00280CCE"/>
    <w:rsid w:val="00281222"/>
    <w:rsid w:val="0028130C"/>
    <w:rsid w:val="00282E64"/>
    <w:rsid w:val="00284119"/>
    <w:rsid w:val="002849AB"/>
    <w:rsid w:val="0028632D"/>
    <w:rsid w:val="002864B8"/>
    <w:rsid w:val="00287221"/>
    <w:rsid w:val="00287306"/>
    <w:rsid w:val="0028741B"/>
    <w:rsid w:val="00290856"/>
    <w:rsid w:val="00290EE8"/>
    <w:rsid w:val="0029115A"/>
    <w:rsid w:val="002920CA"/>
    <w:rsid w:val="00293415"/>
    <w:rsid w:val="0029388B"/>
    <w:rsid w:val="002958AF"/>
    <w:rsid w:val="002960AC"/>
    <w:rsid w:val="00296A23"/>
    <w:rsid w:val="00296DF9"/>
    <w:rsid w:val="00297125"/>
    <w:rsid w:val="002A12B2"/>
    <w:rsid w:val="002A4A8B"/>
    <w:rsid w:val="002A5510"/>
    <w:rsid w:val="002A555E"/>
    <w:rsid w:val="002A5CDD"/>
    <w:rsid w:val="002A5E8F"/>
    <w:rsid w:val="002A6348"/>
    <w:rsid w:val="002A706E"/>
    <w:rsid w:val="002A726B"/>
    <w:rsid w:val="002A7B10"/>
    <w:rsid w:val="002B0703"/>
    <w:rsid w:val="002B18BF"/>
    <w:rsid w:val="002B1EE2"/>
    <w:rsid w:val="002B281D"/>
    <w:rsid w:val="002B3115"/>
    <w:rsid w:val="002B436B"/>
    <w:rsid w:val="002B4D9E"/>
    <w:rsid w:val="002B65AE"/>
    <w:rsid w:val="002B6AD8"/>
    <w:rsid w:val="002B71E6"/>
    <w:rsid w:val="002B79EC"/>
    <w:rsid w:val="002B7B3B"/>
    <w:rsid w:val="002C0C19"/>
    <w:rsid w:val="002C11BC"/>
    <w:rsid w:val="002C156D"/>
    <w:rsid w:val="002C1F0E"/>
    <w:rsid w:val="002C232B"/>
    <w:rsid w:val="002C2AF7"/>
    <w:rsid w:val="002C2C79"/>
    <w:rsid w:val="002C2C85"/>
    <w:rsid w:val="002C2DEB"/>
    <w:rsid w:val="002C2EC8"/>
    <w:rsid w:val="002C47FD"/>
    <w:rsid w:val="002C4F7A"/>
    <w:rsid w:val="002C504A"/>
    <w:rsid w:val="002C5076"/>
    <w:rsid w:val="002C5464"/>
    <w:rsid w:val="002C5920"/>
    <w:rsid w:val="002C6B8D"/>
    <w:rsid w:val="002C720E"/>
    <w:rsid w:val="002C7F36"/>
    <w:rsid w:val="002D0B51"/>
    <w:rsid w:val="002D108F"/>
    <w:rsid w:val="002D17D5"/>
    <w:rsid w:val="002D19C8"/>
    <w:rsid w:val="002D1D59"/>
    <w:rsid w:val="002D1F95"/>
    <w:rsid w:val="002D2691"/>
    <w:rsid w:val="002D3D85"/>
    <w:rsid w:val="002D46DB"/>
    <w:rsid w:val="002D4990"/>
    <w:rsid w:val="002D5B9D"/>
    <w:rsid w:val="002D614D"/>
    <w:rsid w:val="002D6ED5"/>
    <w:rsid w:val="002D71F3"/>
    <w:rsid w:val="002D75C8"/>
    <w:rsid w:val="002D76E6"/>
    <w:rsid w:val="002E1138"/>
    <w:rsid w:val="002E125C"/>
    <w:rsid w:val="002E150A"/>
    <w:rsid w:val="002E170E"/>
    <w:rsid w:val="002E1CE3"/>
    <w:rsid w:val="002E304A"/>
    <w:rsid w:val="002E3A1B"/>
    <w:rsid w:val="002E4582"/>
    <w:rsid w:val="002E557A"/>
    <w:rsid w:val="002E608E"/>
    <w:rsid w:val="002E6D12"/>
    <w:rsid w:val="002E706C"/>
    <w:rsid w:val="002E7741"/>
    <w:rsid w:val="002E799A"/>
    <w:rsid w:val="002E7CF0"/>
    <w:rsid w:val="002E7E32"/>
    <w:rsid w:val="002E7FE5"/>
    <w:rsid w:val="002F0CEF"/>
    <w:rsid w:val="002F1550"/>
    <w:rsid w:val="002F1C2A"/>
    <w:rsid w:val="002F1D08"/>
    <w:rsid w:val="002F1D4A"/>
    <w:rsid w:val="002F2066"/>
    <w:rsid w:val="002F26DC"/>
    <w:rsid w:val="002F3471"/>
    <w:rsid w:val="002F38DB"/>
    <w:rsid w:val="002F3B4B"/>
    <w:rsid w:val="002F418A"/>
    <w:rsid w:val="002F46AD"/>
    <w:rsid w:val="002F4C1E"/>
    <w:rsid w:val="002F54D5"/>
    <w:rsid w:val="002F5E32"/>
    <w:rsid w:val="002F6086"/>
    <w:rsid w:val="002F6D6D"/>
    <w:rsid w:val="002F6D99"/>
    <w:rsid w:val="002F7921"/>
    <w:rsid w:val="003006C2"/>
    <w:rsid w:val="00301AD3"/>
    <w:rsid w:val="00302BDD"/>
    <w:rsid w:val="003032E6"/>
    <w:rsid w:val="00304060"/>
    <w:rsid w:val="00304A2F"/>
    <w:rsid w:val="0030534A"/>
    <w:rsid w:val="00305663"/>
    <w:rsid w:val="00305B0F"/>
    <w:rsid w:val="00306548"/>
    <w:rsid w:val="00306C7C"/>
    <w:rsid w:val="0030775E"/>
    <w:rsid w:val="00307AE3"/>
    <w:rsid w:val="00307D55"/>
    <w:rsid w:val="00307D61"/>
    <w:rsid w:val="00310341"/>
    <w:rsid w:val="003109CD"/>
    <w:rsid w:val="00311B20"/>
    <w:rsid w:val="00312857"/>
    <w:rsid w:val="00312956"/>
    <w:rsid w:val="00312F45"/>
    <w:rsid w:val="00312FB3"/>
    <w:rsid w:val="00315C1A"/>
    <w:rsid w:val="00317031"/>
    <w:rsid w:val="003176D4"/>
    <w:rsid w:val="00317717"/>
    <w:rsid w:val="00317965"/>
    <w:rsid w:val="003216CF"/>
    <w:rsid w:val="00322819"/>
    <w:rsid w:val="00323916"/>
    <w:rsid w:val="003244B5"/>
    <w:rsid w:val="0032470A"/>
    <w:rsid w:val="003257DF"/>
    <w:rsid w:val="00326C17"/>
    <w:rsid w:val="00326CB0"/>
    <w:rsid w:val="003271A6"/>
    <w:rsid w:val="003307BB"/>
    <w:rsid w:val="00330C1F"/>
    <w:rsid w:val="00330EF7"/>
    <w:rsid w:val="00331875"/>
    <w:rsid w:val="00331C9D"/>
    <w:rsid w:val="00332122"/>
    <w:rsid w:val="003321A6"/>
    <w:rsid w:val="00332E89"/>
    <w:rsid w:val="003332B2"/>
    <w:rsid w:val="0033440B"/>
    <w:rsid w:val="00334762"/>
    <w:rsid w:val="00334E0A"/>
    <w:rsid w:val="003351AF"/>
    <w:rsid w:val="0033557B"/>
    <w:rsid w:val="00335B1E"/>
    <w:rsid w:val="00335C9A"/>
    <w:rsid w:val="00336084"/>
    <w:rsid w:val="00337149"/>
    <w:rsid w:val="0033733A"/>
    <w:rsid w:val="00337C26"/>
    <w:rsid w:val="00337C94"/>
    <w:rsid w:val="00340767"/>
    <w:rsid w:val="00340841"/>
    <w:rsid w:val="00341BA6"/>
    <w:rsid w:val="00343EED"/>
    <w:rsid w:val="003441FB"/>
    <w:rsid w:val="00344EE9"/>
    <w:rsid w:val="003454B5"/>
    <w:rsid w:val="00345584"/>
    <w:rsid w:val="003462B2"/>
    <w:rsid w:val="00346C90"/>
    <w:rsid w:val="0034726F"/>
    <w:rsid w:val="0035064B"/>
    <w:rsid w:val="003511EE"/>
    <w:rsid w:val="0035165B"/>
    <w:rsid w:val="00351B08"/>
    <w:rsid w:val="0035284C"/>
    <w:rsid w:val="00353020"/>
    <w:rsid w:val="003533E1"/>
    <w:rsid w:val="00353413"/>
    <w:rsid w:val="00353473"/>
    <w:rsid w:val="00354298"/>
    <w:rsid w:val="003569BA"/>
    <w:rsid w:val="003574DE"/>
    <w:rsid w:val="00357E96"/>
    <w:rsid w:val="003601A8"/>
    <w:rsid w:val="00360259"/>
    <w:rsid w:val="00360F9D"/>
    <w:rsid w:val="0036227A"/>
    <w:rsid w:val="00363648"/>
    <w:rsid w:val="00363B99"/>
    <w:rsid w:val="00363DF3"/>
    <w:rsid w:val="00364711"/>
    <w:rsid w:val="00365638"/>
    <w:rsid w:val="00367058"/>
    <w:rsid w:val="00367868"/>
    <w:rsid w:val="00367C43"/>
    <w:rsid w:val="00367CC0"/>
    <w:rsid w:val="003701AC"/>
    <w:rsid w:val="00371988"/>
    <w:rsid w:val="00371BA6"/>
    <w:rsid w:val="00372E9B"/>
    <w:rsid w:val="00372F82"/>
    <w:rsid w:val="00374ABA"/>
    <w:rsid w:val="0037582D"/>
    <w:rsid w:val="003762A1"/>
    <w:rsid w:val="00376655"/>
    <w:rsid w:val="00377AC1"/>
    <w:rsid w:val="00381472"/>
    <w:rsid w:val="00381ACE"/>
    <w:rsid w:val="00381CB7"/>
    <w:rsid w:val="00382666"/>
    <w:rsid w:val="0038531A"/>
    <w:rsid w:val="003857B1"/>
    <w:rsid w:val="00385A8E"/>
    <w:rsid w:val="00385E3E"/>
    <w:rsid w:val="00385E43"/>
    <w:rsid w:val="00385EDD"/>
    <w:rsid w:val="0038631D"/>
    <w:rsid w:val="00386BAF"/>
    <w:rsid w:val="00386E53"/>
    <w:rsid w:val="003872FE"/>
    <w:rsid w:val="003873AF"/>
    <w:rsid w:val="00387E4B"/>
    <w:rsid w:val="003908CC"/>
    <w:rsid w:val="0039092B"/>
    <w:rsid w:val="00391947"/>
    <w:rsid w:val="00391D66"/>
    <w:rsid w:val="00394490"/>
    <w:rsid w:val="00394AE3"/>
    <w:rsid w:val="0039553E"/>
    <w:rsid w:val="00395750"/>
    <w:rsid w:val="00395B14"/>
    <w:rsid w:val="00395B68"/>
    <w:rsid w:val="00397508"/>
    <w:rsid w:val="00397632"/>
    <w:rsid w:val="00397A22"/>
    <w:rsid w:val="003A0821"/>
    <w:rsid w:val="003A116F"/>
    <w:rsid w:val="003A1354"/>
    <w:rsid w:val="003A1F19"/>
    <w:rsid w:val="003A20F3"/>
    <w:rsid w:val="003A234F"/>
    <w:rsid w:val="003A2C68"/>
    <w:rsid w:val="003A2C75"/>
    <w:rsid w:val="003A3A4D"/>
    <w:rsid w:val="003A484E"/>
    <w:rsid w:val="003A55E2"/>
    <w:rsid w:val="003A57B3"/>
    <w:rsid w:val="003A5C0A"/>
    <w:rsid w:val="003A6CBD"/>
    <w:rsid w:val="003A7600"/>
    <w:rsid w:val="003B0999"/>
    <w:rsid w:val="003B24CF"/>
    <w:rsid w:val="003B269D"/>
    <w:rsid w:val="003B296C"/>
    <w:rsid w:val="003B2DBF"/>
    <w:rsid w:val="003B3072"/>
    <w:rsid w:val="003B471D"/>
    <w:rsid w:val="003B4D71"/>
    <w:rsid w:val="003B56B8"/>
    <w:rsid w:val="003B5C87"/>
    <w:rsid w:val="003B6D7B"/>
    <w:rsid w:val="003C06A9"/>
    <w:rsid w:val="003C09AA"/>
    <w:rsid w:val="003C1172"/>
    <w:rsid w:val="003C13FF"/>
    <w:rsid w:val="003C16F7"/>
    <w:rsid w:val="003C1931"/>
    <w:rsid w:val="003C26E7"/>
    <w:rsid w:val="003C3065"/>
    <w:rsid w:val="003C313B"/>
    <w:rsid w:val="003C3145"/>
    <w:rsid w:val="003C37B4"/>
    <w:rsid w:val="003C39EE"/>
    <w:rsid w:val="003C5FA8"/>
    <w:rsid w:val="003C6088"/>
    <w:rsid w:val="003D0591"/>
    <w:rsid w:val="003D0E30"/>
    <w:rsid w:val="003D1D29"/>
    <w:rsid w:val="003D20BB"/>
    <w:rsid w:val="003D2553"/>
    <w:rsid w:val="003D2E36"/>
    <w:rsid w:val="003D435B"/>
    <w:rsid w:val="003D4442"/>
    <w:rsid w:val="003D50F0"/>
    <w:rsid w:val="003D6379"/>
    <w:rsid w:val="003E0380"/>
    <w:rsid w:val="003E0645"/>
    <w:rsid w:val="003E098D"/>
    <w:rsid w:val="003E0B7F"/>
    <w:rsid w:val="003E1400"/>
    <w:rsid w:val="003E14C9"/>
    <w:rsid w:val="003E2145"/>
    <w:rsid w:val="003E3291"/>
    <w:rsid w:val="003E38AB"/>
    <w:rsid w:val="003E3EF1"/>
    <w:rsid w:val="003E62A6"/>
    <w:rsid w:val="003E6354"/>
    <w:rsid w:val="003F069F"/>
    <w:rsid w:val="003F08FC"/>
    <w:rsid w:val="003F148B"/>
    <w:rsid w:val="003F18E8"/>
    <w:rsid w:val="003F33AA"/>
    <w:rsid w:val="003F3578"/>
    <w:rsid w:val="003F361B"/>
    <w:rsid w:val="003F3FC0"/>
    <w:rsid w:val="003F66B6"/>
    <w:rsid w:val="003F6C6E"/>
    <w:rsid w:val="003F6E29"/>
    <w:rsid w:val="003F7090"/>
    <w:rsid w:val="003F74D3"/>
    <w:rsid w:val="003F7E3C"/>
    <w:rsid w:val="00400238"/>
    <w:rsid w:val="00401627"/>
    <w:rsid w:val="00401E5C"/>
    <w:rsid w:val="004026E9"/>
    <w:rsid w:val="00402E33"/>
    <w:rsid w:val="0040434A"/>
    <w:rsid w:val="00405980"/>
    <w:rsid w:val="0040628A"/>
    <w:rsid w:val="0040737F"/>
    <w:rsid w:val="0040774D"/>
    <w:rsid w:val="00407C73"/>
    <w:rsid w:val="004112F5"/>
    <w:rsid w:val="00411489"/>
    <w:rsid w:val="00412359"/>
    <w:rsid w:val="00412AC4"/>
    <w:rsid w:val="00413210"/>
    <w:rsid w:val="00413408"/>
    <w:rsid w:val="004137C7"/>
    <w:rsid w:val="00413D58"/>
    <w:rsid w:val="00414174"/>
    <w:rsid w:val="004145D1"/>
    <w:rsid w:val="004156B5"/>
    <w:rsid w:val="00416B87"/>
    <w:rsid w:val="00416BAE"/>
    <w:rsid w:val="0042035E"/>
    <w:rsid w:val="0042144B"/>
    <w:rsid w:val="004215C1"/>
    <w:rsid w:val="004218F3"/>
    <w:rsid w:val="00421D3B"/>
    <w:rsid w:val="00422C47"/>
    <w:rsid w:val="00423356"/>
    <w:rsid w:val="0042365D"/>
    <w:rsid w:val="0042456B"/>
    <w:rsid w:val="00424C65"/>
    <w:rsid w:val="0042567F"/>
    <w:rsid w:val="0042591D"/>
    <w:rsid w:val="00426741"/>
    <w:rsid w:val="00426807"/>
    <w:rsid w:val="0042723F"/>
    <w:rsid w:val="00427257"/>
    <w:rsid w:val="004273DD"/>
    <w:rsid w:val="00427D80"/>
    <w:rsid w:val="00430B69"/>
    <w:rsid w:val="0043311D"/>
    <w:rsid w:val="0043359F"/>
    <w:rsid w:val="00433739"/>
    <w:rsid w:val="00433AFD"/>
    <w:rsid w:val="00433B04"/>
    <w:rsid w:val="00434379"/>
    <w:rsid w:val="0043737B"/>
    <w:rsid w:val="00437BFC"/>
    <w:rsid w:val="00437E08"/>
    <w:rsid w:val="00437E42"/>
    <w:rsid w:val="00437FA1"/>
    <w:rsid w:val="0044034C"/>
    <w:rsid w:val="00440B7A"/>
    <w:rsid w:val="00441D80"/>
    <w:rsid w:val="00442366"/>
    <w:rsid w:val="00443207"/>
    <w:rsid w:val="00443593"/>
    <w:rsid w:val="00444B38"/>
    <w:rsid w:val="004452A5"/>
    <w:rsid w:val="00446326"/>
    <w:rsid w:val="00446644"/>
    <w:rsid w:val="004469AB"/>
    <w:rsid w:val="00447C40"/>
    <w:rsid w:val="0045022E"/>
    <w:rsid w:val="00451394"/>
    <w:rsid w:val="00451B9A"/>
    <w:rsid w:val="00452A19"/>
    <w:rsid w:val="00453506"/>
    <w:rsid w:val="00454679"/>
    <w:rsid w:val="00456056"/>
    <w:rsid w:val="00456366"/>
    <w:rsid w:val="0045642D"/>
    <w:rsid w:val="00457DE7"/>
    <w:rsid w:val="0046185B"/>
    <w:rsid w:val="00462684"/>
    <w:rsid w:val="00462C42"/>
    <w:rsid w:val="00463567"/>
    <w:rsid w:val="004635FC"/>
    <w:rsid w:val="00463B91"/>
    <w:rsid w:val="00463ED6"/>
    <w:rsid w:val="00463F4B"/>
    <w:rsid w:val="0046439E"/>
    <w:rsid w:val="0046513B"/>
    <w:rsid w:val="0046526A"/>
    <w:rsid w:val="00465AF1"/>
    <w:rsid w:val="00466516"/>
    <w:rsid w:val="0046756C"/>
    <w:rsid w:val="00467B99"/>
    <w:rsid w:val="00467CAB"/>
    <w:rsid w:val="00467E63"/>
    <w:rsid w:val="00472065"/>
    <w:rsid w:val="004722AA"/>
    <w:rsid w:val="00472A6B"/>
    <w:rsid w:val="004761A2"/>
    <w:rsid w:val="004771C6"/>
    <w:rsid w:val="00477E88"/>
    <w:rsid w:val="00480633"/>
    <w:rsid w:val="00480C96"/>
    <w:rsid w:val="004814D5"/>
    <w:rsid w:val="0048207E"/>
    <w:rsid w:val="00482881"/>
    <w:rsid w:val="00482C0F"/>
    <w:rsid w:val="00482CBE"/>
    <w:rsid w:val="004832BD"/>
    <w:rsid w:val="004845BA"/>
    <w:rsid w:val="004854DC"/>
    <w:rsid w:val="00485AAE"/>
    <w:rsid w:val="00486A81"/>
    <w:rsid w:val="004875ED"/>
    <w:rsid w:val="00487C37"/>
    <w:rsid w:val="00491686"/>
    <w:rsid w:val="00492F6F"/>
    <w:rsid w:val="0049348C"/>
    <w:rsid w:val="004934E8"/>
    <w:rsid w:val="004935F5"/>
    <w:rsid w:val="00493A84"/>
    <w:rsid w:val="00495358"/>
    <w:rsid w:val="00495509"/>
    <w:rsid w:val="004965B6"/>
    <w:rsid w:val="004968BC"/>
    <w:rsid w:val="004A0EAC"/>
    <w:rsid w:val="004A2A60"/>
    <w:rsid w:val="004A3408"/>
    <w:rsid w:val="004A35B4"/>
    <w:rsid w:val="004A4229"/>
    <w:rsid w:val="004A63AD"/>
    <w:rsid w:val="004A7A1A"/>
    <w:rsid w:val="004B0249"/>
    <w:rsid w:val="004B1155"/>
    <w:rsid w:val="004B3AF0"/>
    <w:rsid w:val="004B3BB1"/>
    <w:rsid w:val="004B44BC"/>
    <w:rsid w:val="004B5629"/>
    <w:rsid w:val="004B6D31"/>
    <w:rsid w:val="004C1598"/>
    <w:rsid w:val="004C1E94"/>
    <w:rsid w:val="004C21B1"/>
    <w:rsid w:val="004C2B37"/>
    <w:rsid w:val="004C3455"/>
    <w:rsid w:val="004C4C39"/>
    <w:rsid w:val="004C4FC8"/>
    <w:rsid w:val="004C73A9"/>
    <w:rsid w:val="004C7E64"/>
    <w:rsid w:val="004D0D93"/>
    <w:rsid w:val="004D1BCE"/>
    <w:rsid w:val="004D270D"/>
    <w:rsid w:val="004D3105"/>
    <w:rsid w:val="004D3F8E"/>
    <w:rsid w:val="004D5301"/>
    <w:rsid w:val="004D5439"/>
    <w:rsid w:val="004D5556"/>
    <w:rsid w:val="004D6B0C"/>
    <w:rsid w:val="004E0ADE"/>
    <w:rsid w:val="004E11F3"/>
    <w:rsid w:val="004E18AD"/>
    <w:rsid w:val="004E2112"/>
    <w:rsid w:val="004E3BD9"/>
    <w:rsid w:val="004E3E72"/>
    <w:rsid w:val="004E3EEC"/>
    <w:rsid w:val="004E4318"/>
    <w:rsid w:val="004E63DB"/>
    <w:rsid w:val="004E6453"/>
    <w:rsid w:val="004E654B"/>
    <w:rsid w:val="004E71B5"/>
    <w:rsid w:val="004E7946"/>
    <w:rsid w:val="004E7EB6"/>
    <w:rsid w:val="004F0BFD"/>
    <w:rsid w:val="004F23C8"/>
    <w:rsid w:val="004F3147"/>
    <w:rsid w:val="004F3FEC"/>
    <w:rsid w:val="004F4F78"/>
    <w:rsid w:val="004F60E6"/>
    <w:rsid w:val="004F73FC"/>
    <w:rsid w:val="004F7EA8"/>
    <w:rsid w:val="00501088"/>
    <w:rsid w:val="00501851"/>
    <w:rsid w:val="00501BB4"/>
    <w:rsid w:val="00501DAD"/>
    <w:rsid w:val="005033EC"/>
    <w:rsid w:val="00503821"/>
    <w:rsid w:val="0050386A"/>
    <w:rsid w:val="00503DB0"/>
    <w:rsid w:val="00504332"/>
    <w:rsid w:val="00506D8B"/>
    <w:rsid w:val="00507566"/>
    <w:rsid w:val="00510149"/>
    <w:rsid w:val="00510609"/>
    <w:rsid w:val="00510800"/>
    <w:rsid w:val="00512BCA"/>
    <w:rsid w:val="00512C70"/>
    <w:rsid w:val="00513791"/>
    <w:rsid w:val="00514C83"/>
    <w:rsid w:val="00515445"/>
    <w:rsid w:val="005167B7"/>
    <w:rsid w:val="00516BB4"/>
    <w:rsid w:val="00516FD9"/>
    <w:rsid w:val="0051769B"/>
    <w:rsid w:val="00517D8B"/>
    <w:rsid w:val="00520485"/>
    <w:rsid w:val="005205B3"/>
    <w:rsid w:val="005226C9"/>
    <w:rsid w:val="00522EBD"/>
    <w:rsid w:val="0052346E"/>
    <w:rsid w:val="00523D05"/>
    <w:rsid w:val="00524B39"/>
    <w:rsid w:val="005255DD"/>
    <w:rsid w:val="005260BE"/>
    <w:rsid w:val="00526779"/>
    <w:rsid w:val="00526B5A"/>
    <w:rsid w:val="00527401"/>
    <w:rsid w:val="00527AEF"/>
    <w:rsid w:val="00527CDB"/>
    <w:rsid w:val="00527F3A"/>
    <w:rsid w:val="005310AE"/>
    <w:rsid w:val="005316A0"/>
    <w:rsid w:val="005316C0"/>
    <w:rsid w:val="0053295C"/>
    <w:rsid w:val="00532B2C"/>
    <w:rsid w:val="00532C27"/>
    <w:rsid w:val="005330A1"/>
    <w:rsid w:val="0053361D"/>
    <w:rsid w:val="00533812"/>
    <w:rsid w:val="00535E36"/>
    <w:rsid w:val="005371EE"/>
    <w:rsid w:val="0053761F"/>
    <w:rsid w:val="00537646"/>
    <w:rsid w:val="0054008B"/>
    <w:rsid w:val="005406C1"/>
    <w:rsid w:val="00540A4A"/>
    <w:rsid w:val="00540EC7"/>
    <w:rsid w:val="00541FF7"/>
    <w:rsid w:val="00543E53"/>
    <w:rsid w:val="00544252"/>
    <w:rsid w:val="005453D9"/>
    <w:rsid w:val="00545D29"/>
    <w:rsid w:val="00546B86"/>
    <w:rsid w:val="00550DCC"/>
    <w:rsid w:val="005510DD"/>
    <w:rsid w:val="005520FF"/>
    <w:rsid w:val="00552B4A"/>
    <w:rsid w:val="00552BA9"/>
    <w:rsid w:val="00553046"/>
    <w:rsid w:val="0055373E"/>
    <w:rsid w:val="00554BDB"/>
    <w:rsid w:val="005552E4"/>
    <w:rsid w:val="005553B0"/>
    <w:rsid w:val="0055705E"/>
    <w:rsid w:val="005577EC"/>
    <w:rsid w:val="005601D1"/>
    <w:rsid w:val="0056027F"/>
    <w:rsid w:val="005602BB"/>
    <w:rsid w:val="005604C3"/>
    <w:rsid w:val="00560C01"/>
    <w:rsid w:val="00561500"/>
    <w:rsid w:val="0056178F"/>
    <w:rsid w:val="00561A6B"/>
    <w:rsid w:val="0056222B"/>
    <w:rsid w:val="005624B2"/>
    <w:rsid w:val="00562CE6"/>
    <w:rsid w:val="005630A5"/>
    <w:rsid w:val="005634F7"/>
    <w:rsid w:val="005641A6"/>
    <w:rsid w:val="00564990"/>
    <w:rsid w:val="00564F73"/>
    <w:rsid w:val="00565245"/>
    <w:rsid w:val="005652DC"/>
    <w:rsid w:val="0056561E"/>
    <w:rsid w:val="00565B7E"/>
    <w:rsid w:val="00570B57"/>
    <w:rsid w:val="005712F9"/>
    <w:rsid w:val="00571B50"/>
    <w:rsid w:val="00574AAD"/>
    <w:rsid w:val="00574D61"/>
    <w:rsid w:val="00574FC8"/>
    <w:rsid w:val="0057586F"/>
    <w:rsid w:val="00576071"/>
    <w:rsid w:val="00576944"/>
    <w:rsid w:val="00576F19"/>
    <w:rsid w:val="0057773B"/>
    <w:rsid w:val="00577961"/>
    <w:rsid w:val="00577FC1"/>
    <w:rsid w:val="0058016F"/>
    <w:rsid w:val="0058215B"/>
    <w:rsid w:val="00583092"/>
    <w:rsid w:val="00583097"/>
    <w:rsid w:val="00583236"/>
    <w:rsid w:val="00583844"/>
    <w:rsid w:val="00583F24"/>
    <w:rsid w:val="00584C25"/>
    <w:rsid w:val="00584E16"/>
    <w:rsid w:val="00585F04"/>
    <w:rsid w:val="00587F11"/>
    <w:rsid w:val="0059061A"/>
    <w:rsid w:val="00591BBA"/>
    <w:rsid w:val="005925F1"/>
    <w:rsid w:val="00592FEB"/>
    <w:rsid w:val="00593687"/>
    <w:rsid w:val="00594E90"/>
    <w:rsid w:val="00595379"/>
    <w:rsid w:val="005959F4"/>
    <w:rsid w:val="00595A8E"/>
    <w:rsid w:val="00595B2E"/>
    <w:rsid w:val="00596CEA"/>
    <w:rsid w:val="0059745D"/>
    <w:rsid w:val="00597843"/>
    <w:rsid w:val="00597A7A"/>
    <w:rsid w:val="00597BF3"/>
    <w:rsid w:val="005A15C5"/>
    <w:rsid w:val="005A16CD"/>
    <w:rsid w:val="005A1C17"/>
    <w:rsid w:val="005A1F03"/>
    <w:rsid w:val="005A218A"/>
    <w:rsid w:val="005A396E"/>
    <w:rsid w:val="005A3D5C"/>
    <w:rsid w:val="005A541E"/>
    <w:rsid w:val="005A68AC"/>
    <w:rsid w:val="005A70E8"/>
    <w:rsid w:val="005A74E9"/>
    <w:rsid w:val="005B1CA8"/>
    <w:rsid w:val="005B2F6B"/>
    <w:rsid w:val="005B34C1"/>
    <w:rsid w:val="005B37D4"/>
    <w:rsid w:val="005B3F58"/>
    <w:rsid w:val="005B4140"/>
    <w:rsid w:val="005B4CAD"/>
    <w:rsid w:val="005B584E"/>
    <w:rsid w:val="005B5D62"/>
    <w:rsid w:val="005B6A44"/>
    <w:rsid w:val="005B6D65"/>
    <w:rsid w:val="005B7F35"/>
    <w:rsid w:val="005C0BF1"/>
    <w:rsid w:val="005C12B8"/>
    <w:rsid w:val="005C203E"/>
    <w:rsid w:val="005C325D"/>
    <w:rsid w:val="005C34B9"/>
    <w:rsid w:val="005C3582"/>
    <w:rsid w:val="005C4B02"/>
    <w:rsid w:val="005C53FE"/>
    <w:rsid w:val="005C5485"/>
    <w:rsid w:val="005C5817"/>
    <w:rsid w:val="005C585F"/>
    <w:rsid w:val="005C5E94"/>
    <w:rsid w:val="005C6F71"/>
    <w:rsid w:val="005C71C1"/>
    <w:rsid w:val="005C7C72"/>
    <w:rsid w:val="005D0882"/>
    <w:rsid w:val="005D0D14"/>
    <w:rsid w:val="005D111A"/>
    <w:rsid w:val="005D13F7"/>
    <w:rsid w:val="005D17EC"/>
    <w:rsid w:val="005D284D"/>
    <w:rsid w:val="005D2F3F"/>
    <w:rsid w:val="005D315B"/>
    <w:rsid w:val="005D3B56"/>
    <w:rsid w:val="005D556A"/>
    <w:rsid w:val="005D6F41"/>
    <w:rsid w:val="005D70E1"/>
    <w:rsid w:val="005D70EF"/>
    <w:rsid w:val="005E10ED"/>
    <w:rsid w:val="005E13FB"/>
    <w:rsid w:val="005E1889"/>
    <w:rsid w:val="005E1EB7"/>
    <w:rsid w:val="005E1FAD"/>
    <w:rsid w:val="005E20DF"/>
    <w:rsid w:val="005E2D60"/>
    <w:rsid w:val="005E30E2"/>
    <w:rsid w:val="005E4127"/>
    <w:rsid w:val="005E437C"/>
    <w:rsid w:val="005E4E53"/>
    <w:rsid w:val="005E518B"/>
    <w:rsid w:val="005E5EDA"/>
    <w:rsid w:val="005E5FC4"/>
    <w:rsid w:val="005E661F"/>
    <w:rsid w:val="005E686D"/>
    <w:rsid w:val="005E6AB0"/>
    <w:rsid w:val="005E701C"/>
    <w:rsid w:val="005E7705"/>
    <w:rsid w:val="005E7B70"/>
    <w:rsid w:val="005F0A4E"/>
    <w:rsid w:val="005F0B1B"/>
    <w:rsid w:val="005F13F8"/>
    <w:rsid w:val="005F2BA1"/>
    <w:rsid w:val="005F2FFB"/>
    <w:rsid w:val="005F32FB"/>
    <w:rsid w:val="005F35F8"/>
    <w:rsid w:val="005F3C75"/>
    <w:rsid w:val="005F5253"/>
    <w:rsid w:val="005F6450"/>
    <w:rsid w:val="005F6F6C"/>
    <w:rsid w:val="005F7B25"/>
    <w:rsid w:val="005F7E7E"/>
    <w:rsid w:val="006007A8"/>
    <w:rsid w:val="00600D64"/>
    <w:rsid w:val="00600F50"/>
    <w:rsid w:val="006029D0"/>
    <w:rsid w:val="006038D0"/>
    <w:rsid w:val="0060453A"/>
    <w:rsid w:val="00605C73"/>
    <w:rsid w:val="0060625E"/>
    <w:rsid w:val="00607D36"/>
    <w:rsid w:val="00610672"/>
    <w:rsid w:val="00610A98"/>
    <w:rsid w:val="00610B87"/>
    <w:rsid w:val="00610BBA"/>
    <w:rsid w:val="006113D3"/>
    <w:rsid w:val="00612E29"/>
    <w:rsid w:val="0061345E"/>
    <w:rsid w:val="0061389F"/>
    <w:rsid w:val="006139D9"/>
    <w:rsid w:val="00614725"/>
    <w:rsid w:val="006155DE"/>
    <w:rsid w:val="00616A1A"/>
    <w:rsid w:val="006173F9"/>
    <w:rsid w:val="006176ED"/>
    <w:rsid w:val="006178BB"/>
    <w:rsid w:val="00617E39"/>
    <w:rsid w:val="00620954"/>
    <w:rsid w:val="0062102E"/>
    <w:rsid w:val="0062153A"/>
    <w:rsid w:val="0062191C"/>
    <w:rsid w:val="00623042"/>
    <w:rsid w:val="0062351D"/>
    <w:rsid w:val="00624179"/>
    <w:rsid w:val="0062438F"/>
    <w:rsid w:val="00624676"/>
    <w:rsid w:val="006254AF"/>
    <w:rsid w:val="00625B44"/>
    <w:rsid w:val="00626086"/>
    <w:rsid w:val="006261F4"/>
    <w:rsid w:val="00626280"/>
    <w:rsid w:val="00626EBB"/>
    <w:rsid w:val="00627815"/>
    <w:rsid w:val="006301FF"/>
    <w:rsid w:val="00631BFB"/>
    <w:rsid w:val="00632236"/>
    <w:rsid w:val="00632DAC"/>
    <w:rsid w:val="00634237"/>
    <w:rsid w:val="00636356"/>
    <w:rsid w:val="00637208"/>
    <w:rsid w:val="006374F5"/>
    <w:rsid w:val="00637BF9"/>
    <w:rsid w:val="00637D4D"/>
    <w:rsid w:val="006407C8"/>
    <w:rsid w:val="006419CB"/>
    <w:rsid w:val="006432C8"/>
    <w:rsid w:val="00643605"/>
    <w:rsid w:val="00644DFC"/>
    <w:rsid w:val="00645A5A"/>
    <w:rsid w:val="00645B5E"/>
    <w:rsid w:val="00645D5A"/>
    <w:rsid w:val="00645F42"/>
    <w:rsid w:val="006463E2"/>
    <w:rsid w:val="0064682D"/>
    <w:rsid w:val="006471A7"/>
    <w:rsid w:val="006471F0"/>
    <w:rsid w:val="006473F3"/>
    <w:rsid w:val="0064790E"/>
    <w:rsid w:val="00647B82"/>
    <w:rsid w:val="00651314"/>
    <w:rsid w:val="006515FA"/>
    <w:rsid w:val="006518E3"/>
    <w:rsid w:val="006527BA"/>
    <w:rsid w:val="006529C9"/>
    <w:rsid w:val="00653F3F"/>
    <w:rsid w:val="00655832"/>
    <w:rsid w:val="00655C16"/>
    <w:rsid w:val="00655E12"/>
    <w:rsid w:val="00655F82"/>
    <w:rsid w:val="0065681E"/>
    <w:rsid w:val="0065704D"/>
    <w:rsid w:val="006578BC"/>
    <w:rsid w:val="00657F9C"/>
    <w:rsid w:val="0066034E"/>
    <w:rsid w:val="00660C76"/>
    <w:rsid w:val="00662379"/>
    <w:rsid w:val="00663202"/>
    <w:rsid w:val="00663544"/>
    <w:rsid w:val="00663665"/>
    <w:rsid w:val="00663A3C"/>
    <w:rsid w:val="00663AD7"/>
    <w:rsid w:val="00665729"/>
    <w:rsid w:val="00666412"/>
    <w:rsid w:val="006669AF"/>
    <w:rsid w:val="00666F2B"/>
    <w:rsid w:val="00667D89"/>
    <w:rsid w:val="00670372"/>
    <w:rsid w:val="00670FB1"/>
    <w:rsid w:val="006712ED"/>
    <w:rsid w:val="00671B68"/>
    <w:rsid w:val="00671C02"/>
    <w:rsid w:val="00672F37"/>
    <w:rsid w:val="006730DE"/>
    <w:rsid w:val="0067391B"/>
    <w:rsid w:val="00673AB1"/>
    <w:rsid w:val="00673FED"/>
    <w:rsid w:val="0067447D"/>
    <w:rsid w:val="00675545"/>
    <w:rsid w:val="00676873"/>
    <w:rsid w:val="00676D4E"/>
    <w:rsid w:val="00677254"/>
    <w:rsid w:val="006777E4"/>
    <w:rsid w:val="00677DBA"/>
    <w:rsid w:val="00677E0F"/>
    <w:rsid w:val="0068120F"/>
    <w:rsid w:val="00681894"/>
    <w:rsid w:val="00681B9B"/>
    <w:rsid w:val="00682158"/>
    <w:rsid w:val="0068222F"/>
    <w:rsid w:val="00682752"/>
    <w:rsid w:val="00683318"/>
    <w:rsid w:val="006834F2"/>
    <w:rsid w:val="0068365F"/>
    <w:rsid w:val="00683AB2"/>
    <w:rsid w:val="00683DF2"/>
    <w:rsid w:val="0068409C"/>
    <w:rsid w:val="006847F8"/>
    <w:rsid w:val="00684E76"/>
    <w:rsid w:val="0068525A"/>
    <w:rsid w:val="006857FF"/>
    <w:rsid w:val="00685C25"/>
    <w:rsid w:val="00685C57"/>
    <w:rsid w:val="0068622B"/>
    <w:rsid w:val="006870A9"/>
    <w:rsid w:val="006878E0"/>
    <w:rsid w:val="00687A24"/>
    <w:rsid w:val="00687ED4"/>
    <w:rsid w:val="006905DD"/>
    <w:rsid w:val="00692527"/>
    <w:rsid w:val="00692C85"/>
    <w:rsid w:val="00693980"/>
    <w:rsid w:val="00693CA6"/>
    <w:rsid w:val="00694CEE"/>
    <w:rsid w:val="00695268"/>
    <w:rsid w:val="00695584"/>
    <w:rsid w:val="00695A3E"/>
    <w:rsid w:val="00695E21"/>
    <w:rsid w:val="00695ED1"/>
    <w:rsid w:val="00696549"/>
    <w:rsid w:val="0069690A"/>
    <w:rsid w:val="00696F09"/>
    <w:rsid w:val="006A0516"/>
    <w:rsid w:val="006A09E2"/>
    <w:rsid w:val="006A09EC"/>
    <w:rsid w:val="006A0A0C"/>
    <w:rsid w:val="006A18F7"/>
    <w:rsid w:val="006A2D6B"/>
    <w:rsid w:val="006A3590"/>
    <w:rsid w:val="006A3C12"/>
    <w:rsid w:val="006A568A"/>
    <w:rsid w:val="006A59FE"/>
    <w:rsid w:val="006A6843"/>
    <w:rsid w:val="006A6CD8"/>
    <w:rsid w:val="006A6F3B"/>
    <w:rsid w:val="006A762F"/>
    <w:rsid w:val="006B038D"/>
    <w:rsid w:val="006B147B"/>
    <w:rsid w:val="006B251D"/>
    <w:rsid w:val="006B3E83"/>
    <w:rsid w:val="006B5EF7"/>
    <w:rsid w:val="006B6419"/>
    <w:rsid w:val="006B7FCE"/>
    <w:rsid w:val="006C0146"/>
    <w:rsid w:val="006C1BDE"/>
    <w:rsid w:val="006C2D69"/>
    <w:rsid w:val="006C2F59"/>
    <w:rsid w:val="006C3696"/>
    <w:rsid w:val="006C40F5"/>
    <w:rsid w:val="006C4479"/>
    <w:rsid w:val="006C5433"/>
    <w:rsid w:val="006C54B2"/>
    <w:rsid w:val="006C620D"/>
    <w:rsid w:val="006C7366"/>
    <w:rsid w:val="006C755F"/>
    <w:rsid w:val="006C75EA"/>
    <w:rsid w:val="006C78BC"/>
    <w:rsid w:val="006C7E13"/>
    <w:rsid w:val="006D0E7E"/>
    <w:rsid w:val="006D0FE8"/>
    <w:rsid w:val="006D161D"/>
    <w:rsid w:val="006D28DF"/>
    <w:rsid w:val="006D3EC2"/>
    <w:rsid w:val="006D4B8F"/>
    <w:rsid w:val="006D4D8B"/>
    <w:rsid w:val="006D5997"/>
    <w:rsid w:val="006D6312"/>
    <w:rsid w:val="006D70DF"/>
    <w:rsid w:val="006D71B5"/>
    <w:rsid w:val="006D76AA"/>
    <w:rsid w:val="006D7C36"/>
    <w:rsid w:val="006E0134"/>
    <w:rsid w:val="006E01FF"/>
    <w:rsid w:val="006E0365"/>
    <w:rsid w:val="006E08DB"/>
    <w:rsid w:val="006E0A40"/>
    <w:rsid w:val="006E0CEA"/>
    <w:rsid w:val="006E1C93"/>
    <w:rsid w:val="006E1D94"/>
    <w:rsid w:val="006E2A29"/>
    <w:rsid w:val="006E2FF3"/>
    <w:rsid w:val="006E3227"/>
    <w:rsid w:val="006E3FD5"/>
    <w:rsid w:val="006E455D"/>
    <w:rsid w:val="006E4C23"/>
    <w:rsid w:val="006E57FE"/>
    <w:rsid w:val="006E6346"/>
    <w:rsid w:val="006E7E24"/>
    <w:rsid w:val="006F04DE"/>
    <w:rsid w:val="006F20FC"/>
    <w:rsid w:val="006F276E"/>
    <w:rsid w:val="006F4BE4"/>
    <w:rsid w:val="006F5686"/>
    <w:rsid w:val="006F5F08"/>
    <w:rsid w:val="006F69AD"/>
    <w:rsid w:val="006F6EE5"/>
    <w:rsid w:val="006F7494"/>
    <w:rsid w:val="006F794F"/>
    <w:rsid w:val="00700EF5"/>
    <w:rsid w:val="00701340"/>
    <w:rsid w:val="00701DF8"/>
    <w:rsid w:val="007047D4"/>
    <w:rsid w:val="0070533F"/>
    <w:rsid w:val="007062E6"/>
    <w:rsid w:val="007072EF"/>
    <w:rsid w:val="007073A7"/>
    <w:rsid w:val="00707B98"/>
    <w:rsid w:val="00707F3B"/>
    <w:rsid w:val="00710916"/>
    <w:rsid w:val="00710B5C"/>
    <w:rsid w:val="0071100F"/>
    <w:rsid w:val="007124CF"/>
    <w:rsid w:val="0071349B"/>
    <w:rsid w:val="00714040"/>
    <w:rsid w:val="00714334"/>
    <w:rsid w:val="007149E7"/>
    <w:rsid w:val="00715959"/>
    <w:rsid w:val="00717480"/>
    <w:rsid w:val="007216D5"/>
    <w:rsid w:val="007228C9"/>
    <w:rsid w:val="00723947"/>
    <w:rsid w:val="00723B99"/>
    <w:rsid w:val="00723E4D"/>
    <w:rsid w:val="007250B6"/>
    <w:rsid w:val="00726AD4"/>
    <w:rsid w:val="00726BF3"/>
    <w:rsid w:val="00727647"/>
    <w:rsid w:val="00727C6B"/>
    <w:rsid w:val="00730011"/>
    <w:rsid w:val="007301C1"/>
    <w:rsid w:val="00730814"/>
    <w:rsid w:val="007309FF"/>
    <w:rsid w:val="007311C7"/>
    <w:rsid w:val="0073129C"/>
    <w:rsid w:val="00731A51"/>
    <w:rsid w:val="00731BE1"/>
    <w:rsid w:val="00731DD2"/>
    <w:rsid w:val="0073234B"/>
    <w:rsid w:val="007325C3"/>
    <w:rsid w:val="0073287D"/>
    <w:rsid w:val="00733188"/>
    <w:rsid w:val="00733274"/>
    <w:rsid w:val="00734AC1"/>
    <w:rsid w:val="00736D84"/>
    <w:rsid w:val="00736E42"/>
    <w:rsid w:val="007401E8"/>
    <w:rsid w:val="00740666"/>
    <w:rsid w:val="00740B30"/>
    <w:rsid w:val="00741DB3"/>
    <w:rsid w:val="0074207C"/>
    <w:rsid w:val="00742222"/>
    <w:rsid w:val="00742A81"/>
    <w:rsid w:val="0074323F"/>
    <w:rsid w:val="007461A9"/>
    <w:rsid w:val="00747F6F"/>
    <w:rsid w:val="00750607"/>
    <w:rsid w:val="0075092A"/>
    <w:rsid w:val="007512DD"/>
    <w:rsid w:val="007519C6"/>
    <w:rsid w:val="00751B2D"/>
    <w:rsid w:val="0075286B"/>
    <w:rsid w:val="0075373E"/>
    <w:rsid w:val="00753C05"/>
    <w:rsid w:val="00753FF3"/>
    <w:rsid w:val="007543F8"/>
    <w:rsid w:val="0075587B"/>
    <w:rsid w:val="00755ED1"/>
    <w:rsid w:val="0075615E"/>
    <w:rsid w:val="0075633F"/>
    <w:rsid w:val="0075681F"/>
    <w:rsid w:val="00756997"/>
    <w:rsid w:val="0075797D"/>
    <w:rsid w:val="00761616"/>
    <w:rsid w:val="00762055"/>
    <w:rsid w:val="0076277F"/>
    <w:rsid w:val="0076481C"/>
    <w:rsid w:val="00765A94"/>
    <w:rsid w:val="00766B18"/>
    <w:rsid w:val="007673E5"/>
    <w:rsid w:val="007677EB"/>
    <w:rsid w:val="007678EB"/>
    <w:rsid w:val="00770723"/>
    <w:rsid w:val="00770D0A"/>
    <w:rsid w:val="00771400"/>
    <w:rsid w:val="00772166"/>
    <w:rsid w:val="0077274C"/>
    <w:rsid w:val="00772AD1"/>
    <w:rsid w:val="00772FDF"/>
    <w:rsid w:val="0077481B"/>
    <w:rsid w:val="007758BD"/>
    <w:rsid w:val="00775C34"/>
    <w:rsid w:val="00776B04"/>
    <w:rsid w:val="007779EF"/>
    <w:rsid w:val="007803DB"/>
    <w:rsid w:val="0078099E"/>
    <w:rsid w:val="007810A3"/>
    <w:rsid w:val="00781536"/>
    <w:rsid w:val="00783D3F"/>
    <w:rsid w:val="007843AA"/>
    <w:rsid w:val="007848EA"/>
    <w:rsid w:val="00784986"/>
    <w:rsid w:val="00784F00"/>
    <w:rsid w:val="0078578F"/>
    <w:rsid w:val="00785F20"/>
    <w:rsid w:val="00785FC4"/>
    <w:rsid w:val="00786222"/>
    <w:rsid w:val="00786610"/>
    <w:rsid w:val="00786753"/>
    <w:rsid w:val="00787E6B"/>
    <w:rsid w:val="00790537"/>
    <w:rsid w:val="0079078D"/>
    <w:rsid w:val="00791581"/>
    <w:rsid w:val="00791DB7"/>
    <w:rsid w:val="00791EBF"/>
    <w:rsid w:val="0079390F"/>
    <w:rsid w:val="007940DF"/>
    <w:rsid w:val="00795427"/>
    <w:rsid w:val="00796077"/>
    <w:rsid w:val="00796B40"/>
    <w:rsid w:val="00796CC0"/>
    <w:rsid w:val="00796F4A"/>
    <w:rsid w:val="00797B90"/>
    <w:rsid w:val="007A06A7"/>
    <w:rsid w:val="007A1CCB"/>
    <w:rsid w:val="007A24A3"/>
    <w:rsid w:val="007A3E8C"/>
    <w:rsid w:val="007A4BDF"/>
    <w:rsid w:val="007A519B"/>
    <w:rsid w:val="007A539F"/>
    <w:rsid w:val="007A57BD"/>
    <w:rsid w:val="007A5828"/>
    <w:rsid w:val="007A5C2E"/>
    <w:rsid w:val="007A62A9"/>
    <w:rsid w:val="007A68F9"/>
    <w:rsid w:val="007A6984"/>
    <w:rsid w:val="007A7251"/>
    <w:rsid w:val="007A7604"/>
    <w:rsid w:val="007B0291"/>
    <w:rsid w:val="007B0FCF"/>
    <w:rsid w:val="007B1160"/>
    <w:rsid w:val="007B125D"/>
    <w:rsid w:val="007B158D"/>
    <w:rsid w:val="007B1ABD"/>
    <w:rsid w:val="007B1B79"/>
    <w:rsid w:val="007B2033"/>
    <w:rsid w:val="007B433E"/>
    <w:rsid w:val="007B60AD"/>
    <w:rsid w:val="007B730B"/>
    <w:rsid w:val="007C001E"/>
    <w:rsid w:val="007C0024"/>
    <w:rsid w:val="007C07F3"/>
    <w:rsid w:val="007C0E1D"/>
    <w:rsid w:val="007C1C2C"/>
    <w:rsid w:val="007C2D50"/>
    <w:rsid w:val="007C2DD9"/>
    <w:rsid w:val="007C435D"/>
    <w:rsid w:val="007C6141"/>
    <w:rsid w:val="007C63EB"/>
    <w:rsid w:val="007C6AE6"/>
    <w:rsid w:val="007C704D"/>
    <w:rsid w:val="007C7333"/>
    <w:rsid w:val="007C77A1"/>
    <w:rsid w:val="007D0322"/>
    <w:rsid w:val="007D0E59"/>
    <w:rsid w:val="007D15DC"/>
    <w:rsid w:val="007D1BFE"/>
    <w:rsid w:val="007D23A4"/>
    <w:rsid w:val="007D2BA6"/>
    <w:rsid w:val="007D2BD7"/>
    <w:rsid w:val="007D2FE2"/>
    <w:rsid w:val="007D36B0"/>
    <w:rsid w:val="007D3822"/>
    <w:rsid w:val="007D3DDB"/>
    <w:rsid w:val="007D3E7C"/>
    <w:rsid w:val="007D43F0"/>
    <w:rsid w:val="007D50D7"/>
    <w:rsid w:val="007D60E0"/>
    <w:rsid w:val="007D6269"/>
    <w:rsid w:val="007D6FE3"/>
    <w:rsid w:val="007D7B00"/>
    <w:rsid w:val="007D7FA9"/>
    <w:rsid w:val="007E056F"/>
    <w:rsid w:val="007E114E"/>
    <w:rsid w:val="007E1BFB"/>
    <w:rsid w:val="007E275A"/>
    <w:rsid w:val="007E279E"/>
    <w:rsid w:val="007E2A17"/>
    <w:rsid w:val="007E3FA2"/>
    <w:rsid w:val="007E5569"/>
    <w:rsid w:val="007E58F6"/>
    <w:rsid w:val="007E69E4"/>
    <w:rsid w:val="007E6EAB"/>
    <w:rsid w:val="007E7F85"/>
    <w:rsid w:val="007F0251"/>
    <w:rsid w:val="007F0BC1"/>
    <w:rsid w:val="007F0D8A"/>
    <w:rsid w:val="007F0F43"/>
    <w:rsid w:val="007F0FA6"/>
    <w:rsid w:val="007F1440"/>
    <w:rsid w:val="007F244B"/>
    <w:rsid w:val="007F411C"/>
    <w:rsid w:val="007F4289"/>
    <w:rsid w:val="007F5773"/>
    <w:rsid w:val="007F7B13"/>
    <w:rsid w:val="00800355"/>
    <w:rsid w:val="00802688"/>
    <w:rsid w:val="00802B2D"/>
    <w:rsid w:val="00803293"/>
    <w:rsid w:val="00803E36"/>
    <w:rsid w:val="0080448A"/>
    <w:rsid w:val="008044E6"/>
    <w:rsid w:val="00805A93"/>
    <w:rsid w:val="008062F7"/>
    <w:rsid w:val="00806364"/>
    <w:rsid w:val="0080649D"/>
    <w:rsid w:val="00806D03"/>
    <w:rsid w:val="00806EBB"/>
    <w:rsid w:val="00807026"/>
    <w:rsid w:val="00807935"/>
    <w:rsid w:val="00807C0B"/>
    <w:rsid w:val="00807C0E"/>
    <w:rsid w:val="008100CF"/>
    <w:rsid w:val="00810C29"/>
    <w:rsid w:val="0081236D"/>
    <w:rsid w:val="00812482"/>
    <w:rsid w:val="00813586"/>
    <w:rsid w:val="00814F8E"/>
    <w:rsid w:val="00816178"/>
    <w:rsid w:val="008165EC"/>
    <w:rsid w:val="008169EB"/>
    <w:rsid w:val="00816B9F"/>
    <w:rsid w:val="008171E1"/>
    <w:rsid w:val="008178AB"/>
    <w:rsid w:val="00817F8C"/>
    <w:rsid w:val="00820095"/>
    <w:rsid w:val="008214FA"/>
    <w:rsid w:val="008217CC"/>
    <w:rsid w:val="00821FB6"/>
    <w:rsid w:val="008227CE"/>
    <w:rsid w:val="008229B5"/>
    <w:rsid w:val="00822D5A"/>
    <w:rsid w:val="008246E3"/>
    <w:rsid w:val="00825F66"/>
    <w:rsid w:val="0082652D"/>
    <w:rsid w:val="008267D3"/>
    <w:rsid w:val="00826DB7"/>
    <w:rsid w:val="00830016"/>
    <w:rsid w:val="0083085F"/>
    <w:rsid w:val="008308E4"/>
    <w:rsid w:val="00830A71"/>
    <w:rsid w:val="0083195F"/>
    <w:rsid w:val="00831AE3"/>
    <w:rsid w:val="00832B79"/>
    <w:rsid w:val="0083374E"/>
    <w:rsid w:val="008347C0"/>
    <w:rsid w:val="00834FAE"/>
    <w:rsid w:val="00835079"/>
    <w:rsid w:val="00835AD3"/>
    <w:rsid w:val="00835BDE"/>
    <w:rsid w:val="008363E7"/>
    <w:rsid w:val="0083761C"/>
    <w:rsid w:val="00840332"/>
    <w:rsid w:val="00841072"/>
    <w:rsid w:val="00843FDE"/>
    <w:rsid w:val="00844133"/>
    <w:rsid w:val="00844249"/>
    <w:rsid w:val="0084424E"/>
    <w:rsid w:val="008444B5"/>
    <w:rsid w:val="00845014"/>
    <w:rsid w:val="0084538D"/>
    <w:rsid w:val="0084579E"/>
    <w:rsid w:val="008473CB"/>
    <w:rsid w:val="008511F3"/>
    <w:rsid w:val="00852815"/>
    <w:rsid w:val="00852D3F"/>
    <w:rsid w:val="008537A7"/>
    <w:rsid w:val="00853901"/>
    <w:rsid w:val="00853F52"/>
    <w:rsid w:val="00854028"/>
    <w:rsid w:val="0085467D"/>
    <w:rsid w:val="0085490C"/>
    <w:rsid w:val="0085541A"/>
    <w:rsid w:val="00855AE4"/>
    <w:rsid w:val="00855B43"/>
    <w:rsid w:val="00856B5B"/>
    <w:rsid w:val="00857E70"/>
    <w:rsid w:val="00860A99"/>
    <w:rsid w:val="00861865"/>
    <w:rsid w:val="008638A2"/>
    <w:rsid w:val="008646F0"/>
    <w:rsid w:val="0086481A"/>
    <w:rsid w:val="008652A9"/>
    <w:rsid w:val="008655F5"/>
    <w:rsid w:val="0086613C"/>
    <w:rsid w:val="00867260"/>
    <w:rsid w:val="00867695"/>
    <w:rsid w:val="0087053F"/>
    <w:rsid w:val="008711FD"/>
    <w:rsid w:val="0087228F"/>
    <w:rsid w:val="00873147"/>
    <w:rsid w:val="00873AD3"/>
    <w:rsid w:val="00874499"/>
    <w:rsid w:val="0087455A"/>
    <w:rsid w:val="00874624"/>
    <w:rsid w:val="008749AE"/>
    <w:rsid w:val="00875688"/>
    <w:rsid w:val="00876C7D"/>
    <w:rsid w:val="00876D98"/>
    <w:rsid w:val="00877998"/>
    <w:rsid w:val="008802C1"/>
    <w:rsid w:val="00880427"/>
    <w:rsid w:val="008805E9"/>
    <w:rsid w:val="008806AC"/>
    <w:rsid w:val="00881FD9"/>
    <w:rsid w:val="00882C10"/>
    <w:rsid w:val="00884206"/>
    <w:rsid w:val="00884CEE"/>
    <w:rsid w:val="00884D02"/>
    <w:rsid w:val="00884EF0"/>
    <w:rsid w:val="00885A45"/>
    <w:rsid w:val="00885D59"/>
    <w:rsid w:val="00885F21"/>
    <w:rsid w:val="008863A8"/>
    <w:rsid w:val="008869AE"/>
    <w:rsid w:val="00886BE9"/>
    <w:rsid w:val="008903FA"/>
    <w:rsid w:val="008907EC"/>
    <w:rsid w:val="008908FD"/>
    <w:rsid w:val="00890FC1"/>
    <w:rsid w:val="00891708"/>
    <w:rsid w:val="00891D6D"/>
    <w:rsid w:val="00892020"/>
    <w:rsid w:val="00892560"/>
    <w:rsid w:val="00893D8C"/>
    <w:rsid w:val="00893EA1"/>
    <w:rsid w:val="00893EEF"/>
    <w:rsid w:val="00894558"/>
    <w:rsid w:val="00894577"/>
    <w:rsid w:val="008945C8"/>
    <w:rsid w:val="0089600B"/>
    <w:rsid w:val="008969CD"/>
    <w:rsid w:val="00897756"/>
    <w:rsid w:val="008A1890"/>
    <w:rsid w:val="008A18DE"/>
    <w:rsid w:val="008A1CC9"/>
    <w:rsid w:val="008A2CAE"/>
    <w:rsid w:val="008A370C"/>
    <w:rsid w:val="008A374C"/>
    <w:rsid w:val="008A5CCE"/>
    <w:rsid w:val="008A631D"/>
    <w:rsid w:val="008A6A55"/>
    <w:rsid w:val="008A7128"/>
    <w:rsid w:val="008A725F"/>
    <w:rsid w:val="008B0DF7"/>
    <w:rsid w:val="008B12A4"/>
    <w:rsid w:val="008B1F00"/>
    <w:rsid w:val="008B20F7"/>
    <w:rsid w:val="008B2239"/>
    <w:rsid w:val="008B3ACB"/>
    <w:rsid w:val="008B409A"/>
    <w:rsid w:val="008B4453"/>
    <w:rsid w:val="008B49EE"/>
    <w:rsid w:val="008B5603"/>
    <w:rsid w:val="008B67D5"/>
    <w:rsid w:val="008B6DE1"/>
    <w:rsid w:val="008B7484"/>
    <w:rsid w:val="008C132B"/>
    <w:rsid w:val="008C2CB9"/>
    <w:rsid w:val="008C2F03"/>
    <w:rsid w:val="008C3389"/>
    <w:rsid w:val="008C3AA0"/>
    <w:rsid w:val="008C4A3A"/>
    <w:rsid w:val="008C556F"/>
    <w:rsid w:val="008C5CB7"/>
    <w:rsid w:val="008C60AC"/>
    <w:rsid w:val="008C6C2C"/>
    <w:rsid w:val="008C71AC"/>
    <w:rsid w:val="008D17A9"/>
    <w:rsid w:val="008D1C5A"/>
    <w:rsid w:val="008D26B1"/>
    <w:rsid w:val="008D2AF3"/>
    <w:rsid w:val="008D2CA4"/>
    <w:rsid w:val="008D39CC"/>
    <w:rsid w:val="008D3CDF"/>
    <w:rsid w:val="008D4C33"/>
    <w:rsid w:val="008D4C48"/>
    <w:rsid w:val="008D6FC5"/>
    <w:rsid w:val="008D78AB"/>
    <w:rsid w:val="008D792D"/>
    <w:rsid w:val="008D7AD4"/>
    <w:rsid w:val="008D7DDE"/>
    <w:rsid w:val="008E02A5"/>
    <w:rsid w:val="008E0D8B"/>
    <w:rsid w:val="008E17EA"/>
    <w:rsid w:val="008E2301"/>
    <w:rsid w:val="008E248E"/>
    <w:rsid w:val="008E2DAF"/>
    <w:rsid w:val="008E4079"/>
    <w:rsid w:val="008E40D0"/>
    <w:rsid w:val="008E4A17"/>
    <w:rsid w:val="008E5649"/>
    <w:rsid w:val="008E6683"/>
    <w:rsid w:val="008E7685"/>
    <w:rsid w:val="008E79E9"/>
    <w:rsid w:val="008F00BF"/>
    <w:rsid w:val="008F019A"/>
    <w:rsid w:val="008F09BE"/>
    <w:rsid w:val="008F2ECF"/>
    <w:rsid w:val="008F3C53"/>
    <w:rsid w:val="008F4152"/>
    <w:rsid w:val="008F42B8"/>
    <w:rsid w:val="008F500E"/>
    <w:rsid w:val="008F503D"/>
    <w:rsid w:val="008F5A7B"/>
    <w:rsid w:val="008F5FDD"/>
    <w:rsid w:val="008F6489"/>
    <w:rsid w:val="008F669A"/>
    <w:rsid w:val="008F6760"/>
    <w:rsid w:val="008F6A68"/>
    <w:rsid w:val="008F75D5"/>
    <w:rsid w:val="009013B8"/>
    <w:rsid w:val="00901402"/>
    <w:rsid w:val="00901BB4"/>
    <w:rsid w:val="00901FE4"/>
    <w:rsid w:val="009023FF"/>
    <w:rsid w:val="00902DB2"/>
    <w:rsid w:val="00903868"/>
    <w:rsid w:val="00903DE9"/>
    <w:rsid w:val="00903F91"/>
    <w:rsid w:val="00904AC1"/>
    <w:rsid w:val="00904C48"/>
    <w:rsid w:val="00905A15"/>
    <w:rsid w:val="00907B36"/>
    <w:rsid w:val="00907C98"/>
    <w:rsid w:val="0091033E"/>
    <w:rsid w:val="00910D8F"/>
    <w:rsid w:val="00912628"/>
    <w:rsid w:val="00913817"/>
    <w:rsid w:val="009138A5"/>
    <w:rsid w:val="009144D0"/>
    <w:rsid w:val="009150D6"/>
    <w:rsid w:val="00916730"/>
    <w:rsid w:val="009171E4"/>
    <w:rsid w:val="00917481"/>
    <w:rsid w:val="0091794B"/>
    <w:rsid w:val="00917F2D"/>
    <w:rsid w:val="00917F98"/>
    <w:rsid w:val="009209FD"/>
    <w:rsid w:val="00920AFC"/>
    <w:rsid w:val="0092115A"/>
    <w:rsid w:val="009218E7"/>
    <w:rsid w:val="00921B2F"/>
    <w:rsid w:val="00922049"/>
    <w:rsid w:val="00922EAC"/>
    <w:rsid w:val="009232AC"/>
    <w:rsid w:val="00923F88"/>
    <w:rsid w:val="00924527"/>
    <w:rsid w:val="00924DF2"/>
    <w:rsid w:val="0092562D"/>
    <w:rsid w:val="009267C9"/>
    <w:rsid w:val="0092692C"/>
    <w:rsid w:val="00926A7D"/>
    <w:rsid w:val="00927495"/>
    <w:rsid w:val="00927AD9"/>
    <w:rsid w:val="00927E0D"/>
    <w:rsid w:val="009304ED"/>
    <w:rsid w:val="00930742"/>
    <w:rsid w:val="0093075E"/>
    <w:rsid w:val="00931D49"/>
    <w:rsid w:val="00933569"/>
    <w:rsid w:val="00934482"/>
    <w:rsid w:val="00936B41"/>
    <w:rsid w:val="0093723B"/>
    <w:rsid w:val="00941528"/>
    <w:rsid w:val="009424E4"/>
    <w:rsid w:val="00943B77"/>
    <w:rsid w:val="0094512A"/>
    <w:rsid w:val="00945775"/>
    <w:rsid w:val="00945E15"/>
    <w:rsid w:val="00945E6F"/>
    <w:rsid w:val="0094723D"/>
    <w:rsid w:val="0094734F"/>
    <w:rsid w:val="00947BF7"/>
    <w:rsid w:val="00951421"/>
    <w:rsid w:val="00951678"/>
    <w:rsid w:val="009516C4"/>
    <w:rsid w:val="00951F52"/>
    <w:rsid w:val="00951FC3"/>
    <w:rsid w:val="00953B46"/>
    <w:rsid w:val="009540A5"/>
    <w:rsid w:val="00954460"/>
    <w:rsid w:val="009548A5"/>
    <w:rsid w:val="00954CC7"/>
    <w:rsid w:val="00954D92"/>
    <w:rsid w:val="00955556"/>
    <w:rsid w:val="00955A74"/>
    <w:rsid w:val="009560F3"/>
    <w:rsid w:val="009566A1"/>
    <w:rsid w:val="00957571"/>
    <w:rsid w:val="00961025"/>
    <w:rsid w:val="0096108F"/>
    <w:rsid w:val="009611AA"/>
    <w:rsid w:val="00964047"/>
    <w:rsid w:val="009650C8"/>
    <w:rsid w:val="0096532A"/>
    <w:rsid w:val="00966123"/>
    <w:rsid w:val="00966AB6"/>
    <w:rsid w:val="009678A4"/>
    <w:rsid w:val="0097086A"/>
    <w:rsid w:val="009715A4"/>
    <w:rsid w:val="00971C84"/>
    <w:rsid w:val="009723A2"/>
    <w:rsid w:val="00972BE0"/>
    <w:rsid w:val="009739D7"/>
    <w:rsid w:val="00974202"/>
    <w:rsid w:val="0097581E"/>
    <w:rsid w:val="009760D9"/>
    <w:rsid w:val="00976716"/>
    <w:rsid w:val="00977649"/>
    <w:rsid w:val="00977711"/>
    <w:rsid w:val="009804CF"/>
    <w:rsid w:val="00980713"/>
    <w:rsid w:val="00980B99"/>
    <w:rsid w:val="009810F3"/>
    <w:rsid w:val="009812FB"/>
    <w:rsid w:val="0098160D"/>
    <w:rsid w:val="00981926"/>
    <w:rsid w:val="00982D3D"/>
    <w:rsid w:val="00982F78"/>
    <w:rsid w:val="009838FF"/>
    <w:rsid w:val="00983CC2"/>
    <w:rsid w:val="00984044"/>
    <w:rsid w:val="0098489D"/>
    <w:rsid w:val="00984D78"/>
    <w:rsid w:val="00985109"/>
    <w:rsid w:val="009853CC"/>
    <w:rsid w:val="00985548"/>
    <w:rsid w:val="00985593"/>
    <w:rsid w:val="00985C73"/>
    <w:rsid w:val="009866A9"/>
    <w:rsid w:val="00987E54"/>
    <w:rsid w:val="00990910"/>
    <w:rsid w:val="00990ACE"/>
    <w:rsid w:val="00991A83"/>
    <w:rsid w:val="009920FE"/>
    <w:rsid w:val="009923C7"/>
    <w:rsid w:val="00992B22"/>
    <w:rsid w:val="00993113"/>
    <w:rsid w:val="00993B3F"/>
    <w:rsid w:val="009948CA"/>
    <w:rsid w:val="00995568"/>
    <w:rsid w:val="009957EB"/>
    <w:rsid w:val="00995F50"/>
    <w:rsid w:val="00996354"/>
    <w:rsid w:val="009963A4"/>
    <w:rsid w:val="0099692F"/>
    <w:rsid w:val="00996B97"/>
    <w:rsid w:val="00997069"/>
    <w:rsid w:val="009970A2"/>
    <w:rsid w:val="009974CC"/>
    <w:rsid w:val="009A085F"/>
    <w:rsid w:val="009A13DD"/>
    <w:rsid w:val="009A1C3F"/>
    <w:rsid w:val="009A25F3"/>
    <w:rsid w:val="009A31F4"/>
    <w:rsid w:val="009A332A"/>
    <w:rsid w:val="009A35BF"/>
    <w:rsid w:val="009A42DE"/>
    <w:rsid w:val="009A5E81"/>
    <w:rsid w:val="009A66DB"/>
    <w:rsid w:val="009A6BAD"/>
    <w:rsid w:val="009A7519"/>
    <w:rsid w:val="009B05CF"/>
    <w:rsid w:val="009B06CA"/>
    <w:rsid w:val="009B0F6E"/>
    <w:rsid w:val="009B11B8"/>
    <w:rsid w:val="009B175B"/>
    <w:rsid w:val="009B1777"/>
    <w:rsid w:val="009B2B19"/>
    <w:rsid w:val="009B2BB8"/>
    <w:rsid w:val="009B2DFD"/>
    <w:rsid w:val="009B397F"/>
    <w:rsid w:val="009B547A"/>
    <w:rsid w:val="009B5772"/>
    <w:rsid w:val="009B5D61"/>
    <w:rsid w:val="009B65FF"/>
    <w:rsid w:val="009B6C8C"/>
    <w:rsid w:val="009C1AEA"/>
    <w:rsid w:val="009C40D0"/>
    <w:rsid w:val="009C40D1"/>
    <w:rsid w:val="009C4616"/>
    <w:rsid w:val="009C4FB0"/>
    <w:rsid w:val="009C5B56"/>
    <w:rsid w:val="009C5F6D"/>
    <w:rsid w:val="009D15FF"/>
    <w:rsid w:val="009D1694"/>
    <w:rsid w:val="009D1938"/>
    <w:rsid w:val="009D1A79"/>
    <w:rsid w:val="009D2188"/>
    <w:rsid w:val="009D24DF"/>
    <w:rsid w:val="009D27EF"/>
    <w:rsid w:val="009D29B8"/>
    <w:rsid w:val="009D2C63"/>
    <w:rsid w:val="009D3B53"/>
    <w:rsid w:val="009D47FF"/>
    <w:rsid w:val="009D57DC"/>
    <w:rsid w:val="009D5816"/>
    <w:rsid w:val="009D5E73"/>
    <w:rsid w:val="009D5F67"/>
    <w:rsid w:val="009D6DC9"/>
    <w:rsid w:val="009D7A46"/>
    <w:rsid w:val="009E1ECF"/>
    <w:rsid w:val="009E2416"/>
    <w:rsid w:val="009E2B1C"/>
    <w:rsid w:val="009E2F94"/>
    <w:rsid w:val="009E336E"/>
    <w:rsid w:val="009E34CB"/>
    <w:rsid w:val="009E4C9B"/>
    <w:rsid w:val="009E5367"/>
    <w:rsid w:val="009E57E1"/>
    <w:rsid w:val="009E594C"/>
    <w:rsid w:val="009E5F8F"/>
    <w:rsid w:val="009E601A"/>
    <w:rsid w:val="009E62BC"/>
    <w:rsid w:val="009E77A6"/>
    <w:rsid w:val="009F0B34"/>
    <w:rsid w:val="009F19C0"/>
    <w:rsid w:val="009F2487"/>
    <w:rsid w:val="009F2A3F"/>
    <w:rsid w:val="009F3408"/>
    <w:rsid w:val="009F351A"/>
    <w:rsid w:val="009F3836"/>
    <w:rsid w:val="009F4180"/>
    <w:rsid w:val="009F5438"/>
    <w:rsid w:val="009F5AC7"/>
    <w:rsid w:val="00A01117"/>
    <w:rsid w:val="00A025FC"/>
    <w:rsid w:val="00A02F6E"/>
    <w:rsid w:val="00A03CDA"/>
    <w:rsid w:val="00A03F72"/>
    <w:rsid w:val="00A0487E"/>
    <w:rsid w:val="00A069C2"/>
    <w:rsid w:val="00A06DF2"/>
    <w:rsid w:val="00A0795D"/>
    <w:rsid w:val="00A07FAD"/>
    <w:rsid w:val="00A10878"/>
    <w:rsid w:val="00A111A7"/>
    <w:rsid w:val="00A1123C"/>
    <w:rsid w:val="00A1291B"/>
    <w:rsid w:val="00A129B1"/>
    <w:rsid w:val="00A12D3C"/>
    <w:rsid w:val="00A139BE"/>
    <w:rsid w:val="00A13C71"/>
    <w:rsid w:val="00A13CC4"/>
    <w:rsid w:val="00A14561"/>
    <w:rsid w:val="00A151C5"/>
    <w:rsid w:val="00A16BF8"/>
    <w:rsid w:val="00A16E7A"/>
    <w:rsid w:val="00A17914"/>
    <w:rsid w:val="00A20A2A"/>
    <w:rsid w:val="00A22415"/>
    <w:rsid w:val="00A2247D"/>
    <w:rsid w:val="00A236DC"/>
    <w:rsid w:val="00A237BB"/>
    <w:rsid w:val="00A254A2"/>
    <w:rsid w:val="00A25658"/>
    <w:rsid w:val="00A301E8"/>
    <w:rsid w:val="00A302E7"/>
    <w:rsid w:val="00A318DD"/>
    <w:rsid w:val="00A322B6"/>
    <w:rsid w:val="00A32677"/>
    <w:rsid w:val="00A3287F"/>
    <w:rsid w:val="00A332B9"/>
    <w:rsid w:val="00A33B5C"/>
    <w:rsid w:val="00A33CDF"/>
    <w:rsid w:val="00A344CB"/>
    <w:rsid w:val="00A34B44"/>
    <w:rsid w:val="00A357C5"/>
    <w:rsid w:val="00A367BE"/>
    <w:rsid w:val="00A373A0"/>
    <w:rsid w:val="00A37758"/>
    <w:rsid w:val="00A41382"/>
    <w:rsid w:val="00A4194D"/>
    <w:rsid w:val="00A42765"/>
    <w:rsid w:val="00A427B2"/>
    <w:rsid w:val="00A43269"/>
    <w:rsid w:val="00A44496"/>
    <w:rsid w:val="00A46AC6"/>
    <w:rsid w:val="00A50DE4"/>
    <w:rsid w:val="00A50FD4"/>
    <w:rsid w:val="00A52D65"/>
    <w:rsid w:val="00A540FA"/>
    <w:rsid w:val="00A54737"/>
    <w:rsid w:val="00A554A6"/>
    <w:rsid w:val="00A558D7"/>
    <w:rsid w:val="00A55922"/>
    <w:rsid w:val="00A56199"/>
    <w:rsid w:val="00A566DB"/>
    <w:rsid w:val="00A56709"/>
    <w:rsid w:val="00A56BD3"/>
    <w:rsid w:val="00A56C03"/>
    <w:rsid w:val="00A56C7D"/>
    <w:rsid w:val="00A56CD0"/>
    <w:rsid w:val="00A6118F"/>
    <w:rsid w:val="00A6130F"/>
    <w:rsid w:val="00A62023"/>
    <w:rsid w:val="00A62080"/>
    <w:rsid w:val="00A623BF"/>
    <w:rsid w:val="00A62959"/>
    <w:rsid w:val="00A629A1"/>
    <w:rsid w:val="00A63025"/>
    <w:rsid w:val="00A6372F"/>
    <w:rsid w:val="00A6391F"/>
    <w:rsid w:val="00A6399C"/>
    <w:rsid w:val="00A639A3"/>
    <w:rsid w:val="00A63C53"/>
    <w:rsid w:val="00A63EFF"/>
    <w:rsid w:val="00A650B2"/>
    <w:rsid w:val="00A65EC2"/>
    <w:rsid w:val="00A66087"/>
    <w:rsid w:val="00A66A99"/>
    <w:rsid w:val="00A67998"/>
    <w:rsid w:val="00A700DC"/>
    <w:rsid w:val="00A7031E"/>
    <w:rsid w:val="00A7066E"/>
    <w:rsid w:val="00A7204B"/>
    <w:rsid w:val="00A750E1"/>
    <w:rsid w:val="00A75C65"/>
    <w:rsid w:val="00A776B5"/>
    <w:rsid w:val="00A77D9D"/>
    <w:rsid w:val="00A77F6E"/>
    <w:rsid w:val="00A816BD"/>
    <w:rsid w:val="00A824E2"/>
    <w:rsid w:val="00A8279F"/>
    <w:rsid w:val="00A831E4"/>
    <w:rsid w:val="00A83900"/>
    <w:rsid w:val="00A840B6"/>
    <w:rsid w:val="00A848DE"/>
    <w:rsid w:val="00A84AEB"/>
    <w:rsid w:val="00A84BBD"/>
    <w:rsid w:val="00A84C47"/>
    <w:rsid w:val="00A85544"/>
    <w:rsid w:val="00A8561B"/>
    <w:rsid w:val="00A863B5"/>
    <w:rsid w:val="00A921E4"/>
    <w:rsid w:val="00A925FF"/>
    <w:rsid w:val="00A929A9"/>
    <w:rsid w:val="00A929E4"/>
    <w:rsid w:val="00A9317C"/>
    <w:rsid w:val="00A938D7"/>
    <w:rsid w:val="00A93C66"/>
    <w:rsid w:val="00A947D5"/>
    <w:rsid w:val="00A94E46"/>
    <w:rsid w:val="00A95087"/>
    <w:rsid w:val="00A959D2"/>
    <w:rsid w:val="00A96260"/>
    <w:rsid w:val="00A964F8"/>
    <w:rsid w:val="00A96517"/>
    <w:rsid w:val="00A966FD"/>
    <w:rsid w:val="00A96EE8"/>
    <w:rsid w:val="00A976EF"/>
    <w:rsid w:val="00A97A17"/>
    <w:rsid w:val="00AA0122"/>
    <w:rsid w:val="00AA06E4"/>
    <w:rsid w:val="00AA09AC"/>
    <w:rsid w:val="00AA1B00"/>
    <w:rsid w:val="00AA1E8A"/>
    <w:rsid w:val="00AA2407"/>
    <w:rsid w:val="00AA2477"/>
    <w:rsid w:val="00AA28E2"/>
    <w:rsid w:val="00AA2DAB"/>
    <w:rsid w:val="00AA32F9"/>
    <w:rsid w:val="00AA37B0"/>
    <w:rsid w:val="00AA4AFB"/>
    <w:rsid w:val="00AA56EE"/>
    <w:rsid w:val="00AA611B"/>
    <w:rsid w:val="00AA630B"/>
    <w:rsid w:val="00AA6652"/>
    <w:rsid w:val="00AA66B6"/>
    <w:rsid w:val="00AB0AC5"/>
    <w:rsid w:val="00AB146F"/>
    <w:rsid w:val="00AB1E76"/>
    <w:rsid w:val="00AB1FA8"/>
    <w:rsid w:val="00AB23B2"/>
    <w:rsid w:val="00AB2981"/>
    <w:rsid w:val="00AB42D2"/>
    <w:rsid w:val="00AB4D36"/>
    <w:rsid w:val="00AB4D4C"/>
    <w:rsid w:val="00AB4D5A"/>
    <w:rsid w:val="00AB4F8F"/>
    <w:rsid w:val="00AB5A11"/>
    <w:rsid w:val="00AB6901"/>
    <w:rsid w:val="00AB6A33"/>
    <w:rsid w:val="00AB7CFD"/>
    <w:rsid w:val="00AC0B6B"/>
    <w:rsid w:val="00AC1445"/>
    <w:rsid w:val="00AC18D2"/>
    <w:rsid w:val="00AC38B0"/>
    <w:rsid w:val="00AC4179"/>
    <w:rsid w:val="00AC424A"/>
    <w:rsid w:val="00AC44C2"/>
    <w:rsid w:val="00AC4934"/>
    <w:rsid w:val="00AC5227"/>
    <w:rsid w:val="00AC6042"/>
    <w:rsid w:val="00AC651E"/>
    <w:rsid w:val="00AC6BC8"/>
    <w:rsid w:val="00AC7013"/>
    <w:rsid w:val="00AC73D3"/>
    <w:rsid w:val="00AD073C"/>
    <w:rsid w:val="00AD0748"/>
    <w:rsid w:val="00AD1D36"/>
    <w:rsid w:val="00AD2370"/>
    <w:rsid w:val="00AD3433"/>
    <w:rsid w:val="00AD486E"/>
    <w:rsid w:val="00AD48E8"/>
    <w:rsid w:val="00AD5815"/>
    <w:rsid w:val="00AD5912"/>
    <w:rsid w:val="00AD5BA4"/>
    <w:rsid w:val="00AD780A"/>
    <w:rsid w:val="00AE25CE"/>
    <w:rsid w:val="00AE293D"/>
    <w:rsid w:val="00AE314B"/>
    <w:rsid w:val="00AE3503"/>
    <w:rsid w:val="00AE3DB0"/>
    <w:rsid w:val="00AE407C"/>
    <w:rsid w:val="00AE423A"/>
    <w:rsid w:val="00AE42D8"/>
    <w:rsid w:val="00AE4C35"/>
    <w:rsid w:val="00AE50A9"/>
    <w:rsid w:val="00AE5383"/>
    <w:rsid w:val="00AE630A"/>
    <w:rsid w:val="00AE6690"/>
    <w:rsid w:val="00AE7610"/>
    <w:rsid w:val="00AF0683"/>
    <w:rsid w:val="00AF0C69"/>
    <w:rsid w:val="00AF0CED"/>
    <w:rsid w:val="00AF0E0E"/>
    <w:rsid w:val="00AF13B0"/>
    <w:rsid w:val="00AF1469"/>
    <w:rsid w:val="00AF23E9"/>
    <w:rsid w:val="00AF25CE"/>
    <w:rsid w:val="00AF3277"/>
    <w:rsid w:val="00AF35BD"/>
    <w:rsid w:val="00AF44B7"/>
    <w:rsid w:val="00AF64BC"/>
    <w:rsid w:val="00AF6684"/>
    <w:rsid w:val="00AF6C30"/>
    <w:rsid w:val="00AF7A77"/>
    <w:rsid w:val="00B00B08"/>
    <w:rsid w:val="00B01779"/>
    <w:rsid w:val="00B02AC3"/>
    <w:rsid w:val="00B02F89"/>
    <w:rsid w:val="00B031CB"/>
    <w:rsid w:val="00B038DF"/>
    <w:rsid w:val="00B040C0"/>
    <w:rsid w:val="00B050AC"/>
    <w:rsid w:val="00B058AC"/>
    <w:rsid w:val="00B062C7"/>
    <w:rsid w:val="00B06BCF"/>
    <w:rsid w:val="00B10BF6"/>
    <w:rsid w:val="00B10E1E"/>
    <w:rsid w:val="00B1217E"/>
    <w:rsid w:val="00B12548"/>
    <w:rsid w:val="00B13120"/>
    <w:rsid w:val="00B13F05"/>
    <w:rsid w:val="00B145CD"/>
    <w:rsid w:val="00B15A6E"/>
    <w:rsid w:val="00B166CE"/>
    <w:rsid w:val="00B16FF5"/>
    <w:rsid w:val="00B1768D"/>
    <w:rsid w:val="00B17B74"/>
    <w:rsid w:val="00B20CEC"/>
    <w:rsid w:val="00B21B80"/>
    <w:rsid w:val="00B23021"/>
    <w:rsid w:val="00B2434A"/>
    <w:rsid w:val="00B24C1A"/>
    <w:rsid w:val="00B27707"/>
    <w:rsid w:val="00B305B1"/>
    <w:rsid w:val="00B30D1D"/>
    <w:rsid w:val="00B316A3"/>
    <w:rsid w:val="00B31E83"/>
    <w:rsid w:val="00B3360D"/>
    <w:rsid w:val="00B338A6"/>
    <w:rsid w:val="00B33D24"/>
    <w:rsid w:val="00B33F5D"/>
    <w:rsid w:val="00B36BC0"/>
    <w:rsid w:val="00B400C5"/>
    <w:rsid w:val="00B401EE"/>
    <w:rsid w:val="00B404DF"/>
    <w:rsid w:val="00B408B0"/>
    <w:rsid w:val="00B41CCB"/>
    <w:rsid w:val="00B4292C"/>
    <w:rsid w:val="00B43A5D"/>
    <w:rsid w:val="00B449B6"/>
    <w:rsid w:val="00B456B7"/>
    <w:rsid w:val="00B45CF1"/>
    <w:rsid w:val="00B460B8"/>
    <w:rsid w:val="00B47C3A"/>
    <w:rsid w:val="00B50931"/>
    <w:rsid w:val="00B51770"/>
    <w:rsid w:val="00B51BB8"/>
    <w:rsid w:val="00B51BFB"/>
    <w:rsid w:val="00B52665"/>
    <w:rsid w:val="00B5266A"/>
    <w:rsid w:val="00B52AAD"/>
    <w:rsid w:val="00B52BB5"/>
    <w:rsid w:val="00B55FA1"/>
    <w:rsid w:val="00B562D0"/>
    <w:rsid w:val="00B571CB"/>
    <w:rsid w:val="00B57D95"/>
    <w:rsid w:val="00B57E34"/>
    <w:rsid w:val="00B60209"/>
    <w:rsid w:val="00B6077B"/>
    <w:rsid w:val="00B60CD2"/>
    <w:rsid w:val="00B61015"/>
    <w:rsid w:val="00B61936"/>
    <w:rsid w:val="00B63223"/>
    <w:rsid w:val="00B64E2D"/>
    <w:rsid w:val="00B659C1"/>
    <w:rsid w:val="00B705CD"/>
    <w:rsid w:val="00B71074"/>
    <w:rsid w:val="00B717DC"/>
    <w:rsid w:val="00B73892"/>
    <w:rsid w:val="00B73ACD"/>
    <w:rsid w:val="00B73C2F"/>
    <w:rsid w:val="00B747CC"/>
    <w:rsid w:val="00B74F4C"/>
    <w:rsid w:val="00B76893"/>
    <w:rsid w:val="00B802FB"/>
    <w:rsid w:val="00B80372"/>
    <w:rsid w:val="00B817C2"/>
    <w:rsid w:val="00B81D09"/>
    <w:rsid w:val="00B82E1D"/>
    <w:rsid w:val="00B82FC5"/>
    <w:rsid w:val="00B84978"/>
    <w:rsid w:val="00B853C3"/>
    <w:rsid w:val="00B855D3"/>
    <w:rsid w:val="00B8669F"/>
    <w:rsid w:val="00B8690F"/>
    <w:rsid w:val="00B877E8"/>
    <w:rsid w:val="00B8782E"/>
    <w:rsid w:val="00B87C12"/>
    <w:rsid w:val="00B902DB"/>
    <w:rsid w:val="00B90445"/>
    <w:rsid w:val="00B90584"/>
    <w:rsid w:val="00B907D3"/>
    <w:rsid w:val="00B91CC8"/>
    <w:rsid w:val="00B92A4E"/>
    <w:rsid w:val="00B92B76"/>
    <w:rsid w:val="00B93910"/>
    <w:rsid w:val="00B93AC3"/>
    <w:rsid w:val="00B9416B"/>
    <w:rsid w:val="00B94B32"/>
    <w:rsid w:val="00B96A81"/>
    <w:rsid w:val="00B96D67"/>
    <w:rsid w:val="00B97590"/>
    <w:rsid w:val="00BA0045"/>
    <w:rsid w:val="00BA062C"/>
    <w:rsid w:val="00BA0A66"/>
    <w:rsid w:val="00BA0F3C"/>
    <w:rsid w:val="00BA2EF1"/>
    <w:rsid w:val="00BA3250"/>
    <w:rsid w:val="00BA39E6"/>
    <w:rsid w:val="00BA4A7A"/>
    <w:rsid w:val="00BA4AE7"/>
    <w:rsid w:val="00BA52A7"/>
    <w:rsid w:val="00BB09AD"/>
    <w:rsid w:val="00BB128E"/>
    <w:rsid w:val="00BB160E"/>
    <w:rsid w:val="00BB1B39"/>
    <w:rsid w:val="00BB21FC"/>
    <w:rsid w:val="00BB278E"/>
    <w:rsid w:val="00BB449E"/>
    <w:rsid w:val="00BB4FAB"/>
    <w:rsid w:val="00BB500E"/>
    <w:rsid w:val="00BB63B6"/>
    <w:rsid w:val="00BB71D5"/>
    <w:rsid w:val="00BB72E5"/>
    <w:rsid w:val="00BB75C5"/>
    <w:rsid w:val="00BC17C3"/>
    <w:rsid w:val="00BC1A16"/>
    <w:rsid w:val="00BC2871"/>
    <w:rsid w:val="00BC2F75"/>
    <w:rsid w:val="00BC3542"/>
    <w:rsid w:val="00BC3749"/>
    <w:rsid w:val="00BC3B08"/>
    <w:rsid w:val="00BC4506"/>
    <w:rsid w:val="00BC4625"/>
    <w:rsid w:val="00BC50B8"/>
    <w:rsid w:val="00BC5684"/>
    <w:rsid w:val="00BC57F8"/>
    <w:rsid w:val="00BC6187"/>
    <w:rsid w:val="00BC668D"/>
    <w:rsid w:val="00BC784D"/>
    <w:rsid w:val="00BD11D3"/>
    <w:rsid w:val="00BD13D8"/>
    <w:rsid w:val="00BD15B9"/>
    <w:rsid w:val="00BD20CA"/>
    <w:rsid w:val="00BD29EB"/>
    <w:rsid w:val="00BD3E3A"/>
    <w:rsid w:val="00BD3E8E"/>
    <w:rsid w:val="00BD3FBB"/>
    <w:rsid w:val="00BD4BD6"/>
    <w:rsid w:val="00BD513F"/>
    <w:rsid w:val="00BD6483"/>
    <w:rsid w:val="00BE000A"/>
    <w:rsid w:val="00BE0271"/>
    <w:rsid w:val="00BE09A6"/>
    <w:rsid w:val="00BE0A23"/>
    <w:rsid w:val="00BE1488"/>
    <w:rsid w:val="00BE21E2"/>
    <w:rsid w:val="00BE29B9"/>
    <w:rsid w:val="00BE34A4"/>
    <w:rsid w:val="00BE36F0"/>
    <w:rsid w:val="00BE4718"/>
    <w:rsid w:val="00BE5605"/>
    <w:rsid w:val="00BE5C9F"/>
    <w:rsid w:val="00BE6C19"/>
    <w:rsid w:val="00BE77DE"/>
    <w:rsid w:val="00BE7BE8"/>
    <w:rsid w:val="00BF0DC8"/>
    <w:rsid w:val="00BF31E9"/>
    <w:rsid w:val="00BF3331"/>
    <w:rsid w:val="00BF3402"/>
    <w:rsid w:val="00BF48E6"/>
    <w:rsid w:val="00BF4C1E"/>
    <w:rsid w:val="00BF4C52"/>
    <w:rsid w:val="00BF4D32"/>
    <w:rsid w:val="00BF5844"/>
    <w:rsid w:val="00BF607C"/>
    <w:rsid w:val="00BF70BC"/>
    <w:rsid w:val="00BF7440"/>
    <w:rsid w:val="00BF772F"/>
    <w:rsid w:val="00BF7755"/>
    <w:rsid w:val="00C00DBE"/>
    <w:rsid w:val="00C016DA"/>
    <w:rsid w:val="00C019D0"/>
    <w:rsid w:val="00C03911"/>
    <w:rsid w:val="00C03D86"/>
    <w:rsid w:val="00C04684"/>
    <w:rsid w:val="00C05D28"/>
    <w:rsid w:val="00C06C4A"/>
    <w:rsid w:val="00C06D8E"/>
    <w:rsid w:val="00C07757"/>
    <w:rsid w:val="00C07F21"/>
    <w:rsid w:val="00C07F80"/>
    <w:rsid w:val="00C102D0"/>
    <w:rsid w:val="00C1088E"/>
    <w:rsid w:val="00C1232B"/>
    <w:rsid w:val="00C13117"/>
    <w:rsid w:val="00C148DE"/>
    <w:rsid w:val="00C151EA"/>
    <w:rsid w:val="00C153FB"/>
    <w:rsid w:val="00C158FF"/>
    <w:rsid w:val="00C15923"/>
    <w:rsid w:val="00C16B93"/>
    <w:rsid w:val="00C16D2D"/>
    <w:rsid w:val="00C172CB"/>
    <w:rsid w:val="00C17609"/>
    <w:rsid w:val="00C1788A"/>
    <w:rsid w:val="00C17961"/>
    <w:rsid w:val="00C17F41"/>
    <w:rsid w:val="00C200A5"/>
    <w:rsid w:val="00C206FF"/>
    <w:rsid w:val="00C20B67"/>
    <w:rsid w:val="00C22352"/>
    <w:rsid w:val="00C22726"/>
    <w:rsid w:val="00C22ADB"/>
    <w:rsid w:val="00C24F1C"/>
    <w:rsid w:val="00C25871"/>
    <w:rsid w:val="00C26920"/>
    <w:rsid w:val="00C26DD7"/>
    <w:rsid w:val="00C26FAA"/>
    <w:rsid w:val="00C2714E"/>
    <w:rsid w:val="00C302D9"/>
    <w:rsid w:val="00C307DD"/>
    <w:rsid w:val="00C31177"/>
    <w:rsid w:val="00C31478"/>
    <w:rsid w:val="00C3249A"/>
    <w:rsid w:val="00C33404"/>
    <w:rsid w:val="00C33AEF"/>
    <w:rsid w:val="00C34216"/>
    <w:rsid w:val="00C34DE4"/>
    <w:rsid w:val="00C34E37"/>
    <w:rsid w:val="00C35815"/>
    <w:rsid w:val="00C35D52"/>
    <w:rsid w:val="00C361BD"/>
    <w:rsid w:val="00C36D9C"/>
    <w:rsid w:val="00C4349D"/>
    <w:rsid w:val="00C43603"/>
    <w:rsid w:val="00C4513F"/>
    <w:rsid w:val="00C4557D"/>
    <w:rsid w:val="00C461C8"/>
    <w:rsid w:val="00C46760"/>
    <w:rsid w:val="00C46EC2"/>
    <w:rsid w:val="00C47210"/>
    <w:rsid w:val="00C47DC3"/>
    <w:rsid w:val="00C5144A"/>
    <w:rsid w:val="00C52AEB"/>
    <w:rsid w:val="00C52BFA"/>
    <w:rsid w:val="00C53050"/>
    <w:rsid w:val="00C541FB"/>
    <w:rsid w:val="00C54C21"/>
    <w:rsid w:val="00C54EB8"/>
    <w:rsid w:val="00C55681"/>
    <w:rsid w:val="00C55EBB"/>
    <w:rsid w:val="00C56453"/>
    <w:rsid w:val="00C568AF"/>
    <w:rsid w:val="00C56B35"/>
    <w:rsid w:val="00C56E59"/>
    <w:rsid w:val="00C572DE"/>
    <w:rsid w:val="00C6012A"/>
    <w:rsid w:val="00C607AD"/>
    <w:rsid w:val="00C60A41"/>
    <w:rsid w:val="00C60EC1"/>
    <w:rsid w:val="00C60F6F"/>
    <w:rsid w:val="00C61015"/>
    <w:rsid w:val="00C6279C"/>
    <w:rsid w:val="00C62AF1"/>
    <w:rsid w:val="00C62C1F"/>
    <w:rsid w:val="00C64179"/>
    <w:rsid w:val="00C646A7"/>
    <w:rsid w:val="00C64A24"/>
    <w:rsid w:val="00C6522B"/>
    <w:rsid w:val="00C66158"/>
    <w:rsid w:val="00C673ED"/>
    <w:rsid w:val="00C67433"/>
    <w:rsid w:val="00C67595"/>
    <w:rsid w:val="00C707AA"/>
    <w:rsid w:val="00C736A6"/>
    <w:rsid w:val="00C73ED0"/>
    <w:rsid w:val="00C74008"/>
    <w:rsid w:val="00C74739"/>
    <w:rsid w:val="00C752CE"/>
    <w:rsid w:val="00C7566C"/>
    <w:rsid w:val="00C757CD"/>
    <w:rsid w:val="00C75DE4"/>
    <w:rsid w:val="00C76F29"/>
    <w:rsid w:val="00C81510"/>
    <w:rsid w:val="00C819F9"/>
    <w:rsid w:val="00C81E1E"/>
    <w:rsid w:val="00C823B9"/>
    <w:rsid w:val="00C83283"/>
    <w:rsid w:val="00C84785"/>
    <w:rsid w:val="00C84B9F"/>
    <w:rsid w:val="00C854F2"/>
    <w:rsid w:val="00C8585C"/>
    <w:rsid w:val="00C866EC"/>
    <w:rsid w:val="00C866EF"/>
    <w:rsid w:val="00C86F9A"/>
    <w:rsid w:val="00C8732D"/>
    <w:rsid w:val="00C87C37"/>
    <w:rsid w:val="00C87EB1"/>
    <w:rsid w:val="00C9060B"/>
    <w:rsid w:val="00C91878"/>
    <w:rsid w:val="00C9223F"/>
    <w:rsid w:val="00C9277B"/>
    <w:rsid w:val="00C92F4F"/>
    <w:rsid w:val="00C93BB4"/>
    <w:rsid w:val="00C93D0A"/>
    <w:rsid w:val="00C94472"/>
    <w:rsid w:val="00C94BF2"/>
    <w:rsid w:val="00C958BA"/>
    <w:rsid w:val="00C96629"/>
    <w:rsid w:val="00C97356"/>
    <w:rsid w:val="00CA1B89"/>
    <w:rsid w:val="00CA3A61"/>
    <w:rsid w:val="00CA3F8C"/>
    <w:rsid w:val="00CA4039"/>
    <w:rsid w:val="00CA4752"/>
    <w:rsid w:val="00CA4CAD"/>
    <w:rsid w:val="00CA4CED"/>
    <w:rsid w:val="00CA57A2"/>
    <w:rsid w:val="00CA5971"/>
    <w:rsid w:val="00CA61F1"/>
    <w:rsid w:val="00CA64DB"/>
    <w:rsid w:val="00CA786B"/>
    <w:rsid w:val="00CA790A"/>
    <w:rsid w:val="00CA7B08"/>
    <w:rsid w:val="00CA7BC7"/>
    <w:rsid w:val="00CA7C4D"/>
    <w:rsid w:val="00CA7E9C"/>
    <w:rsid w:val="00CB1D17"/>
    <w:rsid w:val="00CB2ADD"/>
    <w:rsid w:val="00CB31C2"/>
    <w:rsid w:val="00CB31DF"/>
    <w:rsid w:val="00CB5C4E"/>
    <w:rsid w:val="00CB6D35"/>
    <w:rsid w:val="00CB78BC"/>
    <w:rsid w:val="00CB7EB1"/>
    <w:rsid w:val="00CB7F5C"/>
    <w:rsid w:val="00CC027E"/>
    <w:rsid w:val="00CC14F5"/>
    <w:rsid w:val="00CC1C76"/>
    <w:rsid w:val="00CC3B16"/>
    <w:rsid w:val="00CC434B"/>
    <w:rsid w:val="00CC4AEC"/>
    <w:rsid w:val="00CC5ADE"/>
    <w:rsid w:val="00CC62FC"/>
    <w:rsid w:val="00CC66B9"/>
    <w:rsid w:val="00CC6A41"/>
    <w:rsid w:val="00CC7615"/>
    <w:rsid w:val="00CC7B89"/>
    <w:rsid w:val="00CD0B04"/>
    <w:rsid w:val="00CD118C"/>
    <w:rsid w:val="00CD2ECE"/>
    <w:rsid w:val="00CD2F06"/>
    <w:rsid w:val="00CD34DC"/>
    <w:rsid w:val="00CD3AF5"/>
    <w:rsid w:val="00CD3B17"/>
    <w:rsid w:val="00CD3BC9"/>
    <w:rsid w:val="00CD4826"/>
    <w:rsid w:val="00CD63A4"/>
    <w:rsid w:val="00CD6E27"/>
    <w:rsid w:val="00CD6ED1"/>
    <w:rsid w:val="00CE0432"/>
    <w:rsid w:val="00CE05F4"/>
    <w:rsid w:val="00CE0BD8"/>
    <w:rsid w:val="00CE0E97"/>
    <w:rsid w:val="00CE1937"/>
    <w:rsid w:val="00CE37A1"/>
    <w:rsid w:val="00CE3AC5"/>
    <w:rsid w:val="00CE456A"/>
    <w:rsid w:val="00CE473D"/>
    <w:rsid w:val="00CE4ACB"/>
    <w:rsid w:val="00CE63EF"/>
    <w:rsid w:val="00CE6847"/>
    <w:rsid w:val="00CE6B85"/>
    <w:rsid w:val="00CE7B0C"/>
    <w:rsid w:val="00CF0AE8"/>
    <w:rsid w:val="00CF12A5"/>
    <w:rsid w:val="00CF1382"/>
    <w:rsid w:val="00CF1BCB"/>
    <w:rsid w:val="00CF29E3"/>
    <w:rsid w:val="00CF43E0"/>
    <w:rsid w:val="00CF44C5"/>
    <w:rsid w:val="00CF4B1E"/>
    <w:rsid w:val="00CF77E7"/>
    <w:rsid w:val="00CF790E"/>
    <w:rsid w:val="00D004E7"/>
    <w:rsid w:val="00D018F7"/>
    <w:rsid w:val="00D0362B"/>
    <w:rsid w:val="00D042D4"/>
    <w:rsid w:val="00D04E67"/>
    <w:rsid w:val="00D051A0"/>
    <w:rsid w:val="00D0532D"/>
    <w:rsid w:val="00D05AE8"/>
    <w:rsid w:val="00D06D23"/>
    <w:rsid w:val="00D0736F"/>
    <w:rsid w:val="00D073F4"/>
    <w:rsid w:val="00D07864"/>
    <w:rsid w:val="00D102C8"/>
    <w:rsid w:val="00D103B1"/>
    <w:rsid w:val="00D106C7"/>
    <w:rsid w:val="00D10E44"/>
    <w:rsid w:val="00D10EC2"/>
    <w:rsid w:val="00D1186C"/>
    <w:rsid w:val="00D11A3B"/>
    <w:rsid w:val="00D12043"/>
    <w:rsid w:val="00D1299D"/>
    <w:rsid w:val="00D13947"/>
    <w:rsid w:val="00D16931"/>
    <w:rsid w:val="00D169F6"/>
    <w:rsid w:val="00D179CD"/>
    <w:rsid w:val="00D17EE4"/>
    <w:rsid w:val="00D2168B"/>
    <w:rsid w:val="00D22153"/>
    <w:rsid w:val="00D22EF2"/>
    <w:rsid w:val="00D23682"/>
    <w:rsid w:val="00D24E1A"/>
    <w:rsid w:val="00D24F0F"/>
    <w:rsid w:val="00D250AD"/>
    <w:rsid w:val="00D25420"/>
    <w:rsid w:val="00D25BA6"/>
    <w:rsid w:val="00D25BBF"/>
    <w:rsid w:val="00D25CDE"/>
    <w:rsid w:val="00D25DF2"/>
    <w:rsid w:val="00D26F3B"/>
    <w:rsid w:val="00D2718D"/>
    <w:rsid w:val="00D27ACC"/>
    <w:rsid w:val="00D3052A"/>
    <w:rsid w:val="00D33229"/>
    <w:rsid w:val="00D3350E"/>
    <w:rsid w:val="00D3514B"/>
    <w:rsid w:val="00D3561E"/>
    <w:rsid w:val="00D36496"/>
    <w:rsid w:val="00D36B90"/>
    <w:rsid w:val="00D37290"/>
    <w:rsid w:val="00D37325"/>
    <w:rsid w:val="00D37474"/>
    <w:rsid w:val="00D37E05"/>
    <w:rsid w:val="00D40F10"/>
    <w:rsid w:val="00D41829"/>
    <w:rsid w:val="00D43D84"/>
    <w:rsid w:val="00D448BB"/>
    <w:rsid w:val="00D44A92"/>
    <w:rsid w:val="00D44D95"/>
    <w:rsid w:val="00D45975"/>
    <w:rsid w:val="00D45D25"/>
    <w:rsid w:val="00D460AC"/>
    <w:rsid w:val="00D50623"/>
    <w:rsid w:val="00D50887"/>
    <w:rsid w:val="00D515F0"/>
    <w:rsid w:val="00D52507"/>
    <w:rsid w:val="00D5284B"/>
    <w:rsid w:val="00D53A67"/>
    <w:rsid w:val="00D53C77"/>
    <w:rsid w:val="00D54F12"/>
    <w:rsid w:val="00D553BE"/>
    <w:rsid w:val="00D56D05"/>
    <w:rsid w:val="00D57296"/>
    <w:rsid w:val="00D604DB"/>
    <w:rsid w:val="00D607C2"/>
    <w:rsid w:val="00D61880"/>
    <w:rsid w:val="00D61BC6"/>
    <w:rsid w:val="00D61F40"/>
    <w:rsid w:val="00D622EC"/>
    <w:rsid w:val="00D628AA"/>
    <w:rsid w:val="00D62CB1"/>
    <w:rsid w:val="00D64AA6"/>
    <w:rsid w:val="00D65A93"/>
    <w:rsid w:val="00D66356"/>
    <w:rsid w:val="00D67482"/>
    <w:rsid w:val="00D675C6"/>
    <w:rsid w:val="00D67604"/>
    <w:rsid w:val="00D67637"/>
    <w:rsid w:val="00D67C25"/>
    <w:rsid w:val="00D70740"/>
    <w:rsid w:val="00D70BF1"/>
    <w:rsid w:val="00D71981"/>
    <w:rsid w:val="00D74F71"/>
    <w:rsid w:val="00D762D2"/>
    <w:rsid w:val="00D76457"/>
    <w:rsid w:val="00D772A5"/>
    <w:rsid w:val="00D777A9"/>
    <w:rsid w:val="00D77FD6"/>
    <w:rsid w:val="00D80457"/>
    <w:rsid w:val="00D80860"/>
    <w:rsid w:val="00D80AD7"/>
    <w:rsid w:val="00D80B6D"/>
    <w:rsid w:val="00D81EB2"/>
    <w:rsid w:val="00D82415"/>
    <w:rsid w:val="00D83C85"/>
    <w:rsid w:val="00D83D03"/>
    <w:rsid w:val="00D84224"/>
    <w:rsid w:val="00D8458A"/>
    <w:rsid w:val="00D8537D"/>
    <w:rsid w:val="00D857FD"/>
    <w:rsid w:val="00D87570"/>
    <w:rsid w:val="00D87868"/>
    <w:rsid w:val="00D87CA1"/>
    <w:rsid w:val="00D90A01"/>
    <w:rsid w:val="00D937A6"/>
    <w:rsid w:val="00D94BA2"/>
    <w:rsid w:val="00D94DA3"/>
    <w:rsid w:val="00D95232"/>
    <w:rsid w:val="00D959C6"/>
    <w:rsid w:val="00D97C3B"/>
    <w:rsid w:val="00DA0708"/>
    <w:rsid w:val="00DA07BC"/>
    <w:rsid w:val="00DA0B6E"/>
    <w:rsid w:val="00DA0BD6"/>
    <w:rsid w:val="00DA2FE8"/>
    <w:rsid w:val="00DA40FE"/>
    <w:rsid w:val="00DA4E5B"/>
    <w:rsid w:val="00DA527D"/>
    <w:rsid w:val="00DA6172"/>
    <w:rsid w:val="00DA688B"/>
    <w:rsid w:val="00DA6AC8"/>
    <w:rsid w:val="00DA7B8E"/>
    <w:rsid w:val="00DB0A5F"/>
    <w:rsid w:val="00DB1CC4"/>
    <w:rsid w:val="00DB26DA"/>
    <w:rsid w:val="00DB2B60"/>
    <w:rsid w:val="00DB2FBC"/>
    <w:rsid w:val="00DB488D"/>
    <w:rsid w:val="00DB4E3B"/>
    <w:rsid w:val="00DB54B6"/>
    <w:rsid w:val="00DB57B1"/>
    <w:rsid w:val="00DB5838"/>
    <w:rsid w:val="00DB63EF"/>
    <w:rsid w:val="00DC0304"/>
    <w:rsid w:val="00DC05C9"/>
    <w:rsid w:val="00DC0794"/>
    <w:rsid w:val="00DC07E6"/>
    <w:rsid w:val="00DC26CC"/>
    <w:rsid w:val="00DC2A7F"/>
    <w:rsid w:val="00DC2F05"/>
    <w:rsid w:val="00DC2FC7"/>
    <w:rsid w:val="00DC31F9"/>
    <w:rsid w:val="00DC39D9"/>
    <w:rsid w:val="00DC6D48"/>
    <w:rsid w:val="00DC70BD"/>
    <w:rsid w:val="00DD0032"/>
    <w:rsid w:val="00DD05CD"/>
    <w:rsid w:val="00DD0632"/>
    <w:rsid w:val="00DD0750"/>
    <w:rsid w:val="00DD0EB3"/>
    <w:rsid w:val="00DD12F6"/>
    <w:rsid w:val="00DD1CB4"/>
    <w:rsid w:val="00DD1E1F"/>
    <w:rsid w:val="00DD1EAA"/>
    <w:rsid w:val="00DD2EC9"/>
    <w:rsid w:val="00DD367E"/>
    <w:rsid w:val="00DD4114"/>
    <w:rsid w:val="00DD503E"/>
    <w:rsid w:val="00DD57E2"/>
    <w:rsid w:val="00DD664A"/>
    <w:rsid w:val="00DD6AC4"/>
    <w:rsid w:val="00DD6E82"/>
    <w:rsid w:val="00DD71F5"/>
    <w:rsid w:val="00DD7944"/>
    <w:rsid w:val="00DD7ABD"/>
    <w:rsid w:val="00DD7B55"/>
    <w:rsid w:val="00DE129B"/>
    <w:rsid w:val="00DE1376"/>
    <w:rsid w:val="00DE15D7"/>
    <w:rsid w:val="00DE1B99"/>
    <w:rsid w:val="00DE1D5A"/>
    <w:rsid w:val="00DE1EB2"/>
    <w:rsid w:val="00DE260A"/>
    <w:rsid w:val="00DE2856"/>
    <w:rsid w:val="00DE30C2"/>
    <w:rsid w:val="00DE3142"/>
    <w:rsid w:val="00DE3775"/>
    <w:rsid w:val="00DE3CF8"/>
    <w:rsid w:val="00DE3D8F"/>
    <w:rsid w:val="00DE3FFE"/>
    <w:rsid w:val="00DE4FEC"/>
    <w:rsid w:val="00DE651B"/>
    <w:rsid w:val="00DE6C05"/>
    <w:rsid w:val="00DF02CF"/>
    <w:rsid w:val="00DF0997"/>
    <w:rsid w:val="00DF131D"/>
    <w:rsid w:val="00DF1492"/>
    <w:rsid w:val="00DF21CD"/>
    <w:rsid w:val="00DF2554"/>
    <w:rsid w:val="00DF2A84"/>
    <w:rsid w:val="00DF2BD0"/>
    <w:rsid w:val="00DF57C1"/>
    <w:rsid w:val="00DF5EE2"/>
    <w:rsid w:val="00DF67B0"/>
    <w:rsid w:val="00DF6996"/>
    <w:rsid w:val="00DF69AE"/>
    <w:rsid w:val="00DF6B9B"/>
    <w:rsid w:val="00DF6BBB"/>
    <w:rsid w:val="00DF7250"/>
    <w:rsid w:val="00DF734B"/>
    <w:rsid w:val="00DF7499"/>
    <w:rsid w:val="00E0048A"/>
    <w:rsid w:val="00E004BE"/>
    <w:rsid w:val="00E00BCE"/>
    <w:rsid w:val="00E01568"/>
    <w:rsid w:val="00E016CC"/>
    <w:rsid w:val="00E02163"/>
    <w:rsid w:val="00E02497"/>
    <w:rsid w:val="00E03A57"/>
    <w:rsid w:val="00E051CF"/>
    <w:rsid w:val="00E0641C"/>
    <w:rsid w:val="00E065A7"/>
    <w:rsid w:val="00E103A0"/>
    <w:rsid w:val="00E105B1"/>
    <w:rsid w:val="00E10FFB"/>
    <w:rsid w:val="00E11ADF"/>
    <w:rsid w:val="00E11CDD"/>
    <w:rsid w:val="00E13831"/>
    <w:rsid w:val="00E15ADE"/>
    <w:rsid w:val="00E16C6C"/>
    <w:rsid w:val="00E17236"/>
    <w:rsid w:val="00E204AE"/>
    <w:rsid w:val="00E20949"/>
    <w:rsid w:val="00E21423"/>
    <w:rsid w:val="00E21E3B"/>
    <w:rsid w:val="00E21EE9"/>
    <w:rsid w:val="00E22095"/>
    <w:rsid w:val="00E22486"/>
    <w:rsid w:val="00E227CC"/>
    <w:rsid w:val="00E23B2F"/>
    <w:rsid w:val="00E23D94"/>
    <w:rsid w:val="00E23DB7"/>
    <w:rsid w:val="00E2409A"/>
    <w:rsid w:val="00E24BB6"/>
    <w:rsid w:val="00E252EE"/>
    <w:rsid w:val="00E25A91"/>
    <w:rsid w:val="00E25B10"/>
    <w:rsid w:val="00E27C67"/>
    <w:rsid w:val="00E3031F"/>
    <w:rsid w:val="00E3131B"/>
    <w:rsid w:val="00E31522"/>
    <w:rsid w:val="00E32D9E"/>
    <w:rsid w:val="00E33393"/>
    <w:rsid w:val="00E336EC"/>
    <w:rsid w:val="00E3379E"/>
    <w:rsid w:val="00E34534"/>
    <w:rsid w:val="00E34862"/>
    <w:rsid w:val="00E35308"/>
    <w:rsid w:val="00E36CA0"/>
    <w:rsid w:val="00E374C5"/>
    <w:rsid w:val="00E37A7B"/>
    <w:rsid w:val="00E37DFC"/>
    <w:rsid w:val="00E406ED"/>
    <w:rsid w:val="00E4185F"/>
    <w:rsid w:val="00E42B30"/>
    <w:rsid w:val="00E43033"/>
    <w:rsid w:val="00E4346A"/>
    <w:rsid w:val="00E4392D"/>
    <w:rsid w:val="00E43E73"/>
    <w:rsid w:val="00E44074"/>
    <w:rsid w:val="00E451A7"/>
    <w:rsid w:val="00E45518"/>
    <w:rsid w:val="00E460D6"/>
    <w:rsid w:val="00E46318"/>
    <w:rsid w:val="00E46731"/>
    <w:rsid w:val="00E4761C"/>
    <w:rsid w:val="00E4766B"/>
    <w:rsid w:val="00E4784B"/>
    <w:rsid w:val="00E47861"/>
    <w:rsid w:val="00E50ADE"/>
    <w:rsid w:val="00E51365"/>
    <w:rsid w:val="00E52527"/>
    <w:rsid w:val="00E525F1"/>
    <w:rsid w:val="00E527D8"/>
    <w:rsid w:val="00E53BFA"/>
    <w:rsid w:val="00E546F0"/>
    <w:rsid w:val="00E55833"/>
    <w:rsid w:val="00E55A4C"/>
    <w:rsid w:val="00E56552"/>
    <w:rsid w:val="00E56C5D"/>
    <w:rsid w:val="00E56DAB"/>
    <w:rsid w:val="00E57C61"/>
    <w:rsid w:val="00E6032E"/>
    <w:rsid w:val="00E60352"/>
    <w:rsid w:val="00E60C16"/>
    <w:rsid w:val="00E6211D"/>
    <w:rsid w:val="00E62300"/>
    <w:rsid w:val="00E62E1B"/>
    <w:rsid w:val="00E632E2"/>
    <w:rsid w:val="00E64383"/>
    <w:rsid w:val="00E643D0"/>
    <w:rsid w:val="00E64715"/>
    <w:rsid w:val="00E657BA"/>
    <w:rsid w:val="00E661D9"/>
    <w:rsid w:val="00E66955"/>
    <w:rsid w:val="00E66C81"/>
    <w:rsid w:val="00E6731A"/>
    <w:rsid w:val="00E6785A"/>
    <w:rsid w:val="00E67C4D"/>
    <w:rsid w:val="00E70AC8"/>
    <w:rsid w:val="00E70CFB"/>
    <w:rsid w:val="00E70D3C"/>
    <w:rsid w:val="00E71A57"/>
    <w:rsid w:val="00E734B7"/>
    <w:rsid w:val="00E735C0"/>
    <w:rsid w:val="00E74FFA"/>
    <w:rsid w:val="00E75C94"/>
    <w:rsid w:val="00E75F08"/>
    <w:rsid w:val="00E76463"/>
    <w:rsid w:val="00E77C7B"/>
    <w:rsid w:val="00E80E16"/>
    <w:rsid w:val="00E8218E"/>
    <w:rsid w:val="00E825DA"/>
    <w:rsid w:val="00E831D7"/>
    <w:rsid w:val="00E83BFB"/>
    <w:rsid w:val="00E841D2"/>
    <w:rsid w:val="00E8455F"/>
    <w:rsid w:val="00E8575A"/>
    <w:rsid w:val="00E8648E"/>
    <w:rsid w:val="00E864C9"/>
    <w:rsid w:val="00E86CB2"/>
    <w:rsid w:val="00E87A2D"/>
    <w:rsid w:val="00E90323"/>
    <w:rsid w:val="00E906D4"/>
    <w:rsid w:val="00E916BA"/>
    <w:rsid w:val="00E93AA3"/>
    <w:rsid w:val="00E96287"/>
    <w:rsid w:val="00E96ABA"/>
    <w:rsid w:val="00E9724F"/>
    <w:rsid w:val="00E978C1"/>
    <w:rsid w:val="00EA1136"/>
    <w:rsid w:val="00EA1F0C"/>
    <w:rsid w:val="00EA27A5"/>
    <w:rsid w:val="00EA2F8B"/>
    <w:rsid w:val="00EA4132"/>
    <w:rsid w:val="00EA522E"/>
    <w:rsid w:val="00EA55D8"/>
    <w:rsid w:val="00EA6445"/>
    <w:rsid w:val="00EA6BB7"/>
    <w:rsid w:val="00EA6BDD"/>
    <w:rsid w:val="00EA78EF"/>
    <w:rsid w:val="00EA7A58"/>
    <w:rsid w:val="00EA7C2E"/>
    <w:rsid w:val="00EB10F2"/>
    <w:rsid w:val="00EB133A"/>
    <w:rsid w:val="00EB19B6"/>
    <w:rsid w:val="00EB1E8C"/>
    <w:rsid w:val="00EB22B7"/>
    <w:rsid w:val="00EB2635"/>
    <w:rsid w:val="00EB27E5"/>
    <w:rsid w:val="00EB2E1C"/>
    <w:rsid w:val="00EB3AB4"/>
    <w:rsid w:val="00EB4B4C"/>
    <w:rsid w:val="00EB683C"/>
    <w:rsid w:val="00EC00EE"/>
    <w:rsid w:val="00EC0364"/>
    <w:rsid w:val="00EC0929"/>
    <w:rsid w:val="00EC119D"/>
    <w:rsid w:val="00EC1962"/>
    <w:rsid w:val="00EC2208"/>
    <w:rsid w:val="00EC23BF"/>
    <w:rsid w:val="00EC2E2F"/>
    <w:rsid w:val="00EC3E45"/>
    <w:rsid w:val="00EC555C"/>
    <w:rsid w:val="00EC63A5"/>
    <w:rsid w:val="00EC754C"/>
    <w:rsid w:val="00ED0207"/>
    <w:rsid w:val="00ED06D5"/>
    <w:rsid w:val="00ED08F8"/>
    <w:rsid w:val="00ED0ED0"/>
    <w:rsid w:val="00ED1654"/>
    <w:rsid w:val="00ED1D98"/>
    <w:rsid w:val="00ED2064"/>
    <w:rsid w:val="00ED2522"/>
    <w:rsid w:val="00ED3ACB"/>
    <w:rsid w:val="00ED41E4"/>
    <w:rsid w:val="00ED4B52"/>
    <w:rsid w:val="00ED611C"/>
    <w:rsid w:val="00ED70A3"/>
    <w:rsid w:val="00ED7B25"/>
    <w:rsid w:val="00EE06C2"/>
    <w:rsid w:val="00EE0E63"/>
    <w:rsid w:val="00EE1AFF"/>
    <w:rsid w:val="00EE24A1"/>
    <w:rsid w:val="00EE53FF"/>
    <w:rsid w:val="00EE5C69"/>
    <w:rsid w:val="00EE6076"/>
    <w:rsid w:val="00EE6520"/>
    <w:rsid w:val="00EE65C9"/>
    <w:rsid w:val="00EE6936"/>
    <w:rsid w:val="00EE6B3F"/>
    <w:rsid w:val="00EF02BD"/>
    <w:rsid w:val="00EF0EA2"/>
    <w:rsid w:val="00EF1B3B"/>
    <w:rsid w:val="00EF1BE1"/>
    <w:rsid w:val="00EF21A7"/>
    <w:rsid w:val="00EF2776"/>
    <w:rsid w:val="00EF2816"/>
    <w:rsid w:val="00EF364A"/>
    <w:rsid w:val="00EF3A78"/>
    <w:rsid w:val="00EF3D4A"/>
    <w:rsid w:val="00EF3FA4"/>
    <w:rsid w:val="00EF4582"/>
    <w:rsid w:val="00EF45A5"/>
    <w:rsid w:val="00EF4657"/>
    <w:rsid w:val="00EF4B1D"/>
    <w:rsid w:val="00EF4C37"/>
    <w:rsid w:val="00EF54AD"/>
    <w:rsid w:val="00EF59F0"/>
    <w:rsid w:val="00EF73D2"/>
    <w:rsid w:val="00F01C92"/>
    <w:rsid w:val="00F0303D"/>
    <w:rsid w:val="00F0371F"/>
    <w:rsid w:val="00F056D5"/>
    <w:rsid w:val="00F058A5"/>
    <w:rsid w:val="00F05ED4"/>
    <w:rsid w:val="00F07388"/>
    <w:rsid w:val="00F07EE8"/>
    <w:rsid w:val="00F10260"/>
    <w:rsid w:val="00F10B41"/>
    <w:rsid w:val="00F113B5"/>
    <w:rsid w:val="00F12106"/>
    <w:rsid w:val="00F12417"/>
    <w:rsid w:val="00F13F4A"/>
    <w:rsid w:val="00F1536C"/>
    <w:rsid w:val="00F15ED8"/>
    <w:rsid w:val="00F164F0"/>
    <w:rsid w:val="00F178C8"/>
    <w:rsid w:val="00F20094"/>
    <w:rsid w:val="00F202F1"/>
    <w:rsid w:val="00F207C0"/>
    <w:rsid w:val="00F214CC"/>
    <w:rsid w:val="00F219DD"/>
    <w:rsid w:val="00F229AA"/>
    <w:rsid w:val="00F22F59"/>
    <w:rsid w:val="00F24452"/>
    <w:rsid w:val="00F24711"/>
    <w:rsid w:val="00F247A2"/>
    <w:rsid w:val="00F24A09"/>
    <w:rsid w:val="00F25178"/>
    <w:rsid w:val="00F25939"/>
    <w:rsid w:val="00F275B0"/>
    <w:rsid w:val="00F277FD"/>
    <w:rsid w:val="00F27C6B"/>
    <w:rsid w:val="00F305A1"/>
    <w:rsid w:val="00F30913"/>
    <w:rsid w:val="00F30A2E"/>
    <w:rsid w:val="00F3139E"/>
    <w:rsid w:val="00F3265D"/>
    <w:rsid w:val="00F3595C"/>
    <w:rsid w:val="00F36DF9"/>
    <w:rsid w:val="00F3733E"/>
    <w:rsid w:val="00F37D72"/>
    <w:rsid w:val="00F37F41"/>
    <w:rsid w:val="00F420C5"/>
    <w:rsid w:val="00F4214E"/>
    <w:rsid w:val="00F42CEC"/>
    <w:rsid w:val="00F43281"/>
    <w:rsid w:val="00F44017"/>
    <w:rsid w:val="00F467A4"/>
    <w:rsid w:val="00F474AF"/>
    <w:rsid w:val="00F479A2"/>
    <w:rsid w:val="00F47BB2"/>
    <w:rsid w:val="00F50E79"/>
    <w:rsid w:val="00F50E8A"/>
    <w:rsid w:val="00F52089"/>
    <w:rsid w:val="00F52F66"/>
    <w:rsid w:val="00F53013"/>
    <w:rsid w:val="00F53BD0"/>
    <w:rsid w:val="00F54B7A"/>
    <w:rsid w:val="00F5506F"/>
    <w:rsid w:val="00F55A54"/>
    <w:rsid w:val="00F56964"/>
    <w:rsid w:val="00F573F0"/>
    <w:rsid w:val="00F57471"/>
    <w:rsid w:val="00F57675"/>
    <w:rsid w:val="00F579FB"/>
    <w:rsid w:val="00F60964"/>
    <w:rsid w:val="00F60A67"/>
    <w:rsid w:val="00F61868"/>
    <w:rsid w:val="00F62EAA"/>
    <w:rsid w:val="00F637FB"/>
    <w:rsid w:val="00F63934"/>
    <w:rsid w:val="00F647CB"/>
    <w:rsid w:val="00F65351"/>
    <w:rsid w:val="00F65561"/>
    <w:rsid w:val="00F655EF"/>
    <w:rsid w:val="00F65D16"/>
    <w:rsid w:val="00F665C7"/>
    <w:rsid w:val="00F66779"/>
    <w:rsid w:val="00F669CF"/>
    <w:rsid w:val="00F67351"/>
    <w:rsid w:val="00F7014A"/>
    <w:rsid w:val="00F715BA"/>
    <w:rsid w:val="00F71AE6"/>
    <w:rsid w:val="00F73479"/>
    <w:rsid w:val="00F7399A"/>
    <w:rsid w:val="00F73D48"/>
    <w:rsid w:val="00F73F51"/>
    <w:rsid w:val="00F7406C"/>
    <w:rsid w:val="00F750A2"/>
    <w:rsid w:val="00F75480"/>
    <w:rsid w:val="00F76477"/>
    <w:rsid w:val="00F7674C"/>
    <w:rsid w:val="00F76B24"/>
    <w:rsid w:val="00F76B4C"/>
    <w:rsid w:val="00F76C77"/>
    <w:rsid w:val="00F77927"/>
    <w:rsid w:val="00F80BB4"/>
    <w:rsid w:val="00F81C74"/>
    <w:rsid w:val="00F82568"/>
    <w:rsid w:val="00F83D6C"/>
    <w:rsid w:val="00F84492"/>
    <w:rsid w:val="00F84E5B"/>
    <w:rsid w:val="00F857AC"/>
    <w:rsid w:val="00F86DD0"/>
    <w:rsid w:val="00F87B92"/>
    <w:rsid w:val="00F900BA"/>
    <w:rsid w:val="00F9140C"/>
    <w:rsid w:val="00F918EE"/>
    <w:rsid w:val="00F92D75"/>
    <w:rsid w:val="00F92E2D"/>
    <w:rsid w:val="00F931B7"/>
    <w:rsid w:val="00F93D09"/>
    <w:rsid w:val="00F94CBC"/>
    <w:rsid w:val="00F9777A"/>
    <w:rsid w:val="00F97923"/>
    <w:rsid w:val="00FA046A"/>
    <w:rsid w:val="00FA0744"/>
    <w:rsid w:val="00FA161C"/>
    <w:rsid w:val="00FA1DDF"/>
    <w:rsid w:val="00FA20C3"/>
    <w:rsid w:val="00FA3C32"/>
    <w:rsid w:val="00FA44C8"/>
    <w:rsid w:val="00FA5372"/>
    <w:rsid w:val="00FA6107"/>
    <w:rsid w:val="00FA61A8"/>
    <w:rsid w:val="00FA6927"/>
    <w:rsid w:val="00FA6ED7"/>
    <w:rsid w:val="00FA7BEE"/>
    <w:rsid w:val="00FA7DBB"/>
    <w:rsid w:val="00FB0F29"/>
    <w:rsid w:val="00FB204D"/>
    <w:rsid w:val="00FB2769"/>
    <w:rsid w:val="00FB369C"/>
    <w:rsid w:val="00FB3E5B"/>
    <w:rsid w:val="00FB4486"/>
    <w:rsid w:val="00FB4FBB"/>
    <w:rsid w:val="00FB5876"/>
    <w:rsid w:val="00FB6E35"/>
    <w:rsid w:val="00FB756D"/>
    <w:rsid w:val="00FB77B8"/>
    <w:rsid w:val="00FB7CD5"/>
    <w:rsid w:val="00FC119D"/>
    <w:rsid w:val="00FC1EF7"/>
    <w:rsid w:val="00FC4AC3"/>
    <w:rsid w:val="00FC4DBB"/>
    <w:rsid w:val="00FC4FBB"/>
    <w:rsid w:val="00FC51F3"/>
    <w:rsid w:val="00FC5823"/>
    <w:rsid w:val="00FC5EB2"/>
    <w:rsid w:val="00FC679C"/>
    <w:rsid w:val="00FC70EC"/>
    <w:rsid w:val="00FD03B4"/>
    <w:rsid w:val="00FD187A"/>
    <w:rsid w:val="00FD32F8"/>
    <w:rsid w:val="00FD4A39"/>
    <w:rsid w:val="00FD4C61"/>
    <w:rsid w:val="00FD5A73"/>
    <w:rsid w:val="00FD63D1"/>
    <w:rsid w:val="00FD6D31"/>
    <w:rsid w:val="00FE089A"/>
    <w:rsid w:val="00FE134D"/>
    <w:rsid w:val="00FE174E"/>
    <w:rsid w:val="00FE23B2"/>
    <w:rsid w:val="00FE3156"/>
    <w:rsid w:val="00FE4548"/>
    <w:rsid w:val="00FE5620"/>
    <w:rsid w:val="00FE5A74"/>
    <w:rsid w:val="00FE5C45"/>
    <w:rsid w:val="00FE6F61"/>
    <w:rsid w:val="00FE72EE"/>
    <w:rsid w:val="00FF091C"/>
    <w:rsid w:val="00FF180F"/>
    <w:rsid w:val="00FF2046"/>
    <w:rsid w:val="00FF20CA"/>
    <w:rsid w:val="00FF3E43"/>
    <w:rsid w:val="00FF41AB"/>
    <w:rsid w:val="00FF5558"/>
    <w:rsid w:val="00FF5D23"/>
    <w:rsid w:val="00FF615D"/>
    <w:rsid w:val="00FF6FE8"/>
    <w:rsid w:val="0875207A"/>
    <w:rsid w:val="091B2D6C"/>
    <w:rsid w:val="0C4A17B3"/>
    <w:rsid w:val="0F340161"/>
    <w:rsid w:val="111C7B4B"/>
    <w:rsid w:val="187535DF"/>
    <w:rsid w:val="1A8C3B1A"/>
    <w:rsid w:val="1FDF74BB"/>
    <w:rsid w:val="227E37E3"/>
    <w:rsid w:val="27B457B1"/>
    <w:rsid w:val="2A4976BF"/>
    <w:rsid w:val="2D0569C4"/>
    <w:rsid w:val="307C0301"/>
    <w:rsid w:val="35795530"/>
    <w:rsid w:val="3B56514A"/>
    <w:rsid w:val="42B43E84"/>
    <w:rsid w:val="436F0776"/>
    <w:rsid w:val="44BE318F"/>
    <w:rsid w:val="451F0644"/>
    <w:rsid w:val="4CE90A61"/>
    <w:rsid w:val="54F24B23"/>
    <w:rsid w:val="5AE557E5"/>
    <w:rsid w:val="5CF45FF0"/>
    <w:rsid w:val="61414E9A"/>
    <w:rsid w:val="63261413"/>
    <w:rsid w:val="67022E0D"/>
    <w:rsid w:val="68BF571D"/>
    <w:rsid w:val="6A6D2E29"/>
    <w:rsid w:val="6AE229FD"/>
    <w:rsid w:val="76EF76C8"/>
    <w:rsid w:val="785F3CCB"/>
    <w:rsid w:val="7DAC50AC"/>
    <w:rsid w:val="7F2B5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3"/>
    <w:qFormat/>
    <w:uiPriority w:val="0"/>
    <w:pPr>
      <w:keepNext/>
      <w:keepLines/>
      <w:numPr>
        <w:ilvl w:val="0"/>
        <w:numId w:val="1"/>
      </w:numPr>
      <w:spacing w:line="560" w:lineRule="exact"/>
      <w:outlineLvl w:val="0"/>
    </w:pPr>
    <w:rPr>
      <w:b/>
      <w:bCs/>
      <w:kern w:val="44"/>
      <w:sz w:val="44"/>
      <w:szCs w:val="28"/>
    </w:rPr>
  </w:style>
  <w:style w:type="paragraph" w:styleId="3">
    <w:name w:val="heading 2"/>
    <w:basedOn w:val="1"/>
    <w:next w:val="1"/>
    <w:link w:val="54"/>
    <w:qFormat/>
    <w:uiPriority w:val="0"/>
    <w:pPr>
      <w:keepNext/>
      <w:numPr>
        <w:ilvl w:val="1"/>
        <w:numId w:val="1"/>
      </w:numPr>
      <w:adjustRightInd w:val="0"/>
      <w:snapToGrid w:val="0"/>
      <w:spacing w:before="120" w:after="120" w:line="360" w:lineRule="auto"/>
      <w:jc w:val="center"/>
      <w:textAlignment w:val="baseline"/>
      <w:outlineLvl w:val="1"/>
    </w:pPr>
    <w:rPr>
      <w:rFonts w:ascii="仿宋_GB2312" w:hAnsi="仿宋_GB2312"/>
      <w:b/>
      <w:kern w:val="0"/>
      <w:sz w:val="30"/>
      <w:szCs w:val="20"/>
    </w:rPr>
  </w:style>
  <w:style w:type="paragraph" w:styleId="4">
    <w:name w:val="heading 3"/>
    <w:basedOn w:val="1"/>
    <w:next w:val="5"/>
    <w:link w:val="55"/>
    <w:qFormat/>
    <w:uiPriority w:val="0"/>
    <w:pPr>
      <w:keepNext/>
      <w:keepLines/>
      <w:numPr>
        <w:ilvl w:val="2"/>
        <w:numId w:val="1"/>
      </w:numPr>
      <w:spacing w:before="260" w:after="260" w:line="360" w:lineRule="auto"/>
      <w:outlineLvl w:val="2"/>
    </w:pPr>
    <w:rPr>
      <w:rFonts w:ascii="仿宋_GB2312" w:eastAsia="仿宋_GB2312"/>
      <w:b/>
      <w:bCs/>
      <w:sz w:val="30"/>
      <w:szCs w:val="20"/>
    </w:rPr>
  </w:style>
  <w:style w:type="paragraph" w:styleId="6">
    <w:name w:val="heading 4"/>
    <w:basedOn w:val="1"/>
    <w:next w:val="1"/>
    <w:link w:val="57"/>
    <w:qFormat/>
    <w:uiPriority w:val="0"/>
    <w:pPr>
      <w:keepNext/>
      <w:keepLines/>
      <w:numPr>
        <w:ilvl w:val="3"/>
        <w:numId w:val="1"/>
      </w:numPr>
      <w:spacing w:before="60" w:after="60" w:line="360" w:lineRule="auto"/>
      <w:jc w:val="left"/>
      <w:outlineLvl w:val="3"/>
    </w:pPr>
    <w:rPr>
      <w:rFonts w:ascii="宋体" w:hAnsi="宋体"/>
      <w:b/>
      <w:sz w:val="24"/>
    </w:rPr>
  </w:style>
  <w:style w:type="paragraph" w:styleId="7">
    <w:name w:val="heading 5"/>
    <w:basedOn w:val="1"/>
    <w:qFormat/>
    <w:uiPriority w:val="0"/>
    <w:pPr>
      <w:widowControl/>
      <w:numPr>
        <w:ilvl w:val="4"/>
        <w:numId w:val="1"/>
      </w:numPr>
      <w:jc w:val="left"/>
      <w:outlineLvl w:val="4"/>
    </w:pPr>
    <w:rPr>
      <w:rFonts w:ascii="宋体" w:hAnsi="宋体" w:cs="宋体"/>
      <w:b/>
      <w:bCs/>
      <w:kern w:val="0"/>
      <w:sz w:val="20"/>
      <w:szCs w:val="20"/>
    </w:rPr>
  </w:style>
  <w:style w:type="paragraph" w:styleId="8">
    <w:name w:val="heading 6"/>
    <w:basedOn w:val="1"/>
    <w:qFormat/>
    <w:uiPriority w:val="0"/>
    <w:pPr>
      <w:widowControl/>
      <w:numPr>
        <w:ilvl w:val="5"/>
        <w:numId w:val="1"/>
      </w:numPr>
      <w:jc w:val="left"/>
      <w:outlineLvl w:val="5"/>
    </w:pPr>
    <w:rPr>
      <w:rFonts w:ascii="宋体" w:hAnsi="宋体" w:cs="宋体"/>
      <w:b/>
      <w:bCs/>
      <w:kern w:val="0"/>
      <w:sz w:val="15"/>
      <w:szCs w:val="15"/>
    </w:rPr>
  </w:style>
  <w:style w:type="paragraph" w:styleId="9">
    <w:name w:val="heading 7"/>
    <w:basedOn w:val="1"/>
    <w:next w:val="1"/>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46">
    <w:name w:val="Default Paragraph Font"/>
    <w:semiHidden/>
    <w:uiPriority w:val="0"/>
  </w:style>
  <w:style w:type="table" w:default="1" w:styleId="44">
    <w:name w:val="Normal Table"/>
    <w:semiHidden/>
    <w:uiPriority w:val="0"/>
    <w:tblPr>
      <w:tblStyle w:val="44"/>
      <w:tblCellMar>
        <w:top w:w="0" w:type="dxa"/>
        <w:left w:w="108" w:type="dxa"/>
        <w:bottom w:w="0" w:type="dxa"/>
        <w:right w:w="108" w:type="dxa"/>
      </w:tblCellMar>
    </w:tblPr>
  </w:style>
  <w:style w:type="paragraph" w:styleId="5">
    <w:name w:val="Normal Indent"/>
    <w:basedOn w:val="1"/>
    <w:link w:val="56"/>
    <w:qFormat/>
    <w:uiPriority w:val="0"/>
    <w:pPr>
      <w:ind w:firstLine="420"/>
    </w:pPr>
    <w:rPr>
      <w:szCs w:val="20"/>
    </w:rPr>
  </w:style>
  <w:style w:type="paragraph" w:styleId="12">
    <w:name w:val="toc 7"/>
    <w:basedOn w:val="1"/>
    <w:next w:val="1"/>
    <w:uiPriority w:val="0"/>
    <w:pPr>
      <w:ind w:left="2520" w:leftChars="1200"/>
    </w:pPr>
  </w:style>
  <w:style w:type="paragraph" w:styleId="13">
    <w:name w:val="List Number"/>
    <w:basedOn w:val="1"/>
    <w:uiPriority w:val="0"/>
    <w:pPr>
      <w:widowControl/>
      <w:numPr>
        <w:ilvl w:val="0"/>
        <w:numId w:val="2"/>
      </w:numPr>
      <w:tabs>
        <w:tab w:val="left" w:pos="454"/>
        <w:tab w:val="clear" w:pos="72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uiPriority w:val="0"/>
    <w:pPr>
      <w:spacing w:line="360" w:lineRule="auto"/>
      <w:ind w:firstLine="964" w:firstLineChars="200"/>
    </w:pPr>
    <w:rPr>
      <w:rFonts w:ascii="宋体"/>
      <w:sz w:val="18"/>
      <w:szCs w:val="18"/>
    </w:rPr>
  </w:style>
  <w:style w:type="paragraph" w:styleId="16">
    <w:name w:val="annotation text"/>
    <w:basedOn w:val="1"/>
    <w:link w:val="58"/>
    <w:qFormat/>
    <w:uiPriority w:val="99"/>
    <w:pPr>
      <w:spacing w:line="360" w:lineRule="auto"/>
      <w:ind w:firstLine="964" w:firstLineChars="200"/>
      <w:jc w:val="left"/>
    </w:pPr>
    <w:rPr>
      <w:sz w:val="24"/>
    </w:rPr>
  </w:style>
  <w:style w:type="paragraph" w:styleId="17">
    <w:name w:val="Body Text 3"/>
    <w:basedOn w:val="1"/>
    <w:link w:val="59"/>
    <w:uiPriority w:val="0"/>
    <w:pPr>
      <w:spacing w:after="120"/>
    </w:pPr>
    <w:rPr>
      <w:sz w:val="16"/>
      <w:szCs w:val="16"/>
    </w:rPr>
  </w:style>
  <w:style w:type="paragraph" w:styleId="18">
    <w:name w:val="Body Text"/>
    <w:basedOn w:val="1"/>
    <w:uiPriority w:val="0"/>
    <w:pPr>
      <w:spacing w:after="120"/>
    </w:pPr>
  </w:style>
  <w:style w:type="paragraph" w:styleId="19">
    <w:name w:val="Body Text Indent"/>
    <w:basedOn w:val="1"/>
    <w:uiPriority w:val="0"/>
    <w:pPr>
      <w:spacing w:line="200" w:lineRule="exact"/>
      <w:ind w:firstLine="301"/>
    </w:pPr>
    <w:rPr>
      <w:rFonts w:ascii="宋体" w:hAnsi="Courier New"/>
      <w:spacing w:val="-4"/>
      <w:sz w:val="18"/>
      <w:szCs w:val="20"/>
    </w:rPr>
  </w:style>
  <w:style w:type="paragraph" w:styleId="20">
    <w:name w:val="List Number 3"/>
    <w:basedOn w:val="1"/>
    <w:uiPriority w:val="0"/>
    <w:pPr>
      <w:numPr>
        <w:ilvl w:val="0"/>
        <w:numId w:val="3"/>
      </w:numPr>
    </w:pPr>
  </w:style>
  <w:style w:type="paragraph" w:styleId="21">
    <w:name w:val="List 2"/>
    <w:basedOn w:val="1"/>
    <w:uiPriority w:val="0"/>
    <w:pPr>
      <w:ind w:left="566" w:hanging="283"/>
      <w:contextualSpacing/>
    </w:pPr>
  </w:style>
  <w:style w:type="paragraph" w:styleId="22">
    <w:name w:val="toc 5"/>
    <w:basedOn w:val="1"/>
    <w:next w:val="1"/>
    <w:uiPriority w:val="0"/>
    <w:pPr>
      <w:ind w:left="1680" w:leftChars="800"/>
    </w:pPr>
  </w:style>
  <w:style w:type="paragraph" w:styleId="23">
    <w:name w:val="toc 3"/>
    <w:basedOn w:val="1"/>
    <w:next w:val="1"/>
    <w:uiPriority w:val="0"/>
    <w:pPr>
      <w:ind w:left="840" w:leftChars="400"/>
    </w:pPr>
  </w:style>
  <w:style w:type="paragraph" w:styleId="24">
    <w:name w:val="Plain Text"/>
    <w:basedOn w:val="1"/>
    <w:link w:val="60"/>
    <w:qFormat/>
    <w:uiPriority w:val="0"/>
    <w:rPr>
      <w:rFonts w:ascii="宋体" w:hAnsi="Courier New"/>
      <w:szCs w:val="20"/>
    </w:rPr>
  </w:style>
  <w:style w:type="paragraph" w:styleId="25">
    <w:name w:val="toc 8"/>
    <w:basedOn w:val="1"/>
    <w:next w:val="1"/>
    <w:uiPriority w:val="0"/>
    <w:pPr>
      <w:ind w:left="2940" w:leftChars="1400"/>
    </w:pPr>
  </w:style>
  <w:style w:type="paragraph" w:styleId="26">
    <w:name w:val="Date"/>
    <w:basedOn w:val="1"/>
    <w:next w:val="1"/>
    <w:uiPriority w:val="0"/>
    <w:pPr>
      <w:ind w:leftChars="2500"/>
    </w:pPr>
    <w:rPr>
      <w:rFonts w:eastAsia="楷体_GB2312"/>
      <w:sz w:val="32"/>
      <w:szCs w:val="20"/>
    </w:rPr>
  </w:style>
  <w:style w:type="paragraph" w:styleId="27">
    <w:name w:val="Body Text Indent 2"/>
    <w:basedOn w:val="1"/>
    <w:link w:val="61"/>
    <w:uiPriority w:val="0"/>
    <w:pPr>
      <w:snapToGrid w:val="0"/>
      <w:ind w:firstLine="542" w:firstLineChars="225"/>
    </w:pPr>
    <w:rPr>
      <w:rFonts w:ascii="仿宋_GB2312" w:hAnsi="宋体"/>
      <w:b/>
      <w:bCs/>
      <w:color w:val="000000"/>
      <w:sz w:val="24"/>
    </w:rPr>
  </w:style>
  <w:style w:type="paragraph" w:styleId="28">
    <w:name w:val="Balloon Text"/>
    <w:basedOn w:val="1"/>
    <w:link w:val="62"/>
    <w:uiPriority w:val="0"/>
    <w:rPr>
      <w:sz w:val="18"/>
      <w:szCs w:val="18"/>
    </w:rPr>
  </w:style>
  <w:style w:type="paragraph" w:styleId="29">
    <w:name w:val="footer"/>
    <w:basedOn w:val="1"/>
    <w:link w:val="63"/>
    <w:uiPriority w:val="99"/>
    <w:pPr>
      <w:tabs>
        <w:tab w:val="center" w:pos="4153"/>
        <w:tab w:val="right" w:pos="8306"/>
      </w:tabs>
      <w:snapToGrid w:val="0"/>
      <w:jc w:val="left"/>
    </w:pPr>
    <w:rPr>
      <w:sz w:val="18"/>
      <w:szCs w:val="18"/>
    </w:rPr>
  </w:style>
  <w:style w:type="paragraph" w:styleId="30">
    <w:name w:val="header"/>
    <w:basedOn w:val="1"/>
    <w:link w:val="64"/>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65"/>
    <w:uiPriority w:val="0"/>
    <w:rPr>
      <w:b/>
      <w:kern w:val="0"/>
      <w:sz w:val="20"/>
      <w:szCs w:val="32"/>
    </w:rPr>
  </w:style>
  <w:style w:type="paragraph" w:styleId="32">
    <w:name w:val="toc 4"/>
    <w:basedOn w:val="1"/>
    <w:next w:val="1"/>
    <w:uiPriority w:val="0"/>
    <w:pPr>
      <w:ind w:left="1260" w:leftChars="600"/>
    </w:pPr>
  </w:style>
  <w:style w:type="paragraph" w:styleId="33">
    <w:name w:val="List"/>
    <w:basedOn w:val="1"/>
    <w:uiPriority w:val="0"/>
    <w:pPr>
      <w:ind w:left="283" w:hanging="283"/>
      <w:contextualSpacing/>
    </w:pPr>
  </w:style>
  <w:style w:type="paragraph" w:styleId="34">
    <w:name w:val="toc 6"/>
    <w:basedOn w:val="1"/>
    <w:next w:val="1"/>
    <w:uiPriority w:val="0"/>
    <w:pPr>
      <w:ind w:left="2100" w:leftChars="1000"/>
    </w:pPr>
  </w:style>
  <w:style w:type="paragraph" w:styleId="35">
    <w:name w:val="Body Text Indent 3"/>
    <w:basedOn w:val="1"/>
    <w:link w:val="66"/>
    <w:uiPriority w:val="0"/>
    <w:pPr>
      <w:snapToGrid w:val="0"/>
      <w:ind w:firstLine="480" w:firstLineChars="200"/>
      <w:jc w:val="left"/>
    </w:pPr>
    <w:rPr>
      <w:rFonts w:ascii="仿宋_GB2312" w:hAnsi="宋体" w:eastAsia="仿宋_GB2312"/>
      <w:color w:val="000000"/>
      <w:sz w:val="24"/>
    </w:rPr>
  </w:style>
  <w:style w:type="paragraph" w:styleId="36">
    <w:name w:val="toc 2"/>
    <w:basedOn w:val="1"/>
    <w:next w:val="1"/>
    <w:link w:val="67"/>
    <w:uiPriority w:val="0"/>
    <w:pPr>
      <w:ind w:left="420" w:leftChars="200"/>
    </w:pPr>
  </w:style>
  <w:style w:type="paragraph" w:styleId="37">
    <w:name w:val="toc 9"/>
    <w:basedOn w:val="1"/>
    <w:next w:val="1"/>
    <w:uiPriority w:val="0"/>
    <w:pPr>
      <w:ind w:left="3360" w:leftChars="1600"/>
    </w:pPr>
  </w:style>
  <w:style w:type="paragraph" w:styleId="38">
    <w:name w:val="Body Text 2"/>
    <w:basedOn w:val="1"/>
    <w:link w:val="68"/>
    <w:uiPriority w:val="0"/>
    <w:pPr>
      <w:widowControl/>
      <w:snapToGrid w:val="0"/>
      <w:spacing w:before="50" w:after="156" w:afterLines="50" w:line="400" w:lineRule="exact"/>
      <w:jc w:val="left"/>
    </w:pPr>
    <w:rPr>
      <w:rFonts w:ascii="宋体" w:hAnsi="宋体"/>
      <w:color w:val="000000"/>
      <w:sz w:val="24"/>
    </w:rPr>
  </w:style>
  <w:style w:type="paragraph" w:styleId="39">
    <w:name w:val="Normal (Web)"/>
    <w:basedOn w:val="1"/>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semiHidden/>
    <w:uiPriority w:val="0"/>
    <w:pPr>
      <w:adjustRightInd w:val="0"/>
      <w:spacing w:line="360" w:lineRule="atLeast"/>
      <w:jc w:val="center"/>
      <w:textAlignment w:val="baseline"/>
    </w:pPr>
    <w:rPr>
      <w:rFonts w:ascii="Arial" w:hAnsi="Arial"/>
      <w:szCs w:val="21"/>
    </w:rPr>
  </w:style>
  <w:style w:type="paragraph" w:styleId="41">
    <w:name w:val="Title"/>
    <w:basedOn w:val="1"/>
    <w:next w:val="1"/>
    <w:link w:val="69"/>
    <w:qFormat/>
    <w:uiPriority w:val="0"/>
    <w:pPr>
      <w:widowControl/>
      <w:spacing w:before="240" w:after="60" w:line="300" w:lineRule="exact"/>
      <w:ind w:firstLine="200" w:firstLineChars="200"/>
      <w:jc w:val="center"/>
      <w:outlineLvl w:val="0"/>
    </w:pPr>
    <w:rPr>
      <w:rFonts w:ascii="Cambria" w:hAnsi="Cambria"/>
      <w:b/>
      <w:bCs/>
      <w:sz w:val="32"/>
      <w:szCs w:val="32"/>
    </w:rPr>
  </w:style>
  <w:style w:type="paragraph" w:styleId="42">
    <w:name w:val="annotation subject"/>
    <w:basedOn w:val="16"/>
    <w:next w:val="16"/>
    <w:uiPriority w:val="0"/>
    <w:pPr>
      <w:adjustRightInd w:val="0"/>
      <w:snapToGrid w:val="0"/>
      <w:spacing w:line="240" w:lineRule="auto"/>
      <w:ind w:firstLine="0" w:firstLineChars="0"/>
    </w:pPr>
    <w:rPr>
      <w:b/>
      <w:bCs/>
    </w:rPr>
  </w:style>
  <w:style w:type="paragraph" w:styleId="43">
    <w:name w:val="Body Text First Indent 2"/>
    <w:basedOn w:val="19"/>
    <w:uiPriority w:val="0"/>
    <w:pPr>
      <w:spacing w:after="120" w:line="360" w:lineRule="auto"/>
      <w:ind w:left="420" w:leftChars="200" w:firstLine="420" w:firstLineChars="200"/>
    </w:pPr>
    <w:rPr>
      <w:rFonts w:ascii="Times New Roman" w:hAnsi="Times New Roman"/>
      <w:spacing w:val="0"/>
      <w:sz w:val="24"/>
      <w:szCs w:val="24"/>
    </w:rPr>
  </w:style>
  <w:style w:type="table" w:styleId="45">
    <w:name w:val="Table Grid"/>
    <w:basedOn w:val="44"/>
    <w:uiPriority w:val="59"/>
    <w:pPr>
      <w:widowControl w:val="0"/>
      <w:jc w:val="both"/>
    </w:p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rFonts w:cs="Times New Roman"/>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1 Char"/>
    <w:link w:val="2"/>
    <w:uiPriority w:val="0"/>
    <w:rPr>
      <w:b/>
      <w:bCs/>
      <w:kern w:val="44"/>
      <w:sz w:val="44"/>
      <w:szCs w:val="28"/>
    </w:rPr>
  </w:style>
  <w:style w:type="character" w:customStyle="1" w:styleId="54">
    <w:name w:val="标题 2 Char"/>
    <w:link w:val="3"/>
    <w:uiPriority w:val="0"/>
    <w:rPr>
      <w:rFonts w:ascii="仿宋_GB2312" w:hAnsi="仿宋_GB2312"/>
      <w:b/>
      <w:sz w:val="30"/>
    </w:rPr>
  </w:style>
  <w:style w:type="character" w:customStyle="1" w:styleId="55">
    <w:name w:val="标题 3 Char"/>
    <w:link w:val="4"/>
    <w:uiPriority w:val="0"/>
    <w:rPr>
      <w:rFonts w:ascii="仿宋_GB2312" w:eastAsia="仿宋_GB2312"/>
      <w:b/>
      <w:bCs/>
      <w:kern w:val="2"/>
      <w:sz w:val="30"/>
    </w:rPr>
  </w:style>
  <w:style w:type="character" w:customStyle="1" w:styleId="56">
    <w:name w:val="正文缩进 Char"/>
    <w:link w:val="5"/>
    <w:uiPriority w:val="0"/>
    <w:rPr>
      <w:kern w:val="2"/>
      <w:sz w:val="21"/>
    </w:rPr>
  </w:style>
  <w:style w:type="character" w:customStyle="1" w:styleId="57">
    <w:name w:val="标题 4 Char"/>
    <w:link w:val="6"/>
    <w:uiPriority w:val="0"/>
    <w:rPr>
      <w:rFonts w:ascii="宋体" w:hAnsi="宋体"/>
      <w:b/>
      <w:kern w:val="2"/>
      <w:sz w:val="24"/>
      <w:szCs w:val="24"/>
    </w:rPr>
  </w:style>
  <w:style w:type="character" w:customStyle="1" w:styleId="58">
    <w:name w:val="批注文字 Char"/>
    <w:link w:val="16"/>
    <w:uiPriority w:val="99"/>
    <w:rPr>
      <w:kern w:val="2"/>
      <w:sz w:val="24"/>
      <w:szCs w:val="24"/>
    </w:rPr>
  </w:style>
  <w:style w:type="character" w:customStyle="1" w:styleId="59">
    <w:name w:val="正文文本 3 Char"/>
    <w:link w:val="17"/>
    <w:uiPriority w:val="0"/>
    <w:rPr>
      <w:kern w:val="2"/>
      <w:sz w:val="16"/>
      <w:szCs w:val="16"/>
    </w:rPr>
  </w:style>
  <w:style w:type="character" w:customStyle="1" w:styleId="60">
    <w:name w:val="纯文本 Char"/>
    <w:link w:val="24"/>
    <w:qFormat/>
    <w:uiPriority w:val="0"/>
    <w:rPr>
      <w:rFonts w:ascii="宋体" w:hAnsi="Courier New"/>
      <w:kern w:val="2"/>
      <w:sz w:val="21"/>
    </w:rPr>
  </w:style>
  <w:style w:type="character" w:customStyle="1" w:styleId="61">
    <w:name w:val="正文文本缩进 2 Char"/>
    <w:link w:val="27"/>
    <w:uiPriority w:val="0"/>
    <w:rPr>
      <w:rFonts w:ascii="仿宋_GB2312" w:hAnsi="宋体" w:cs="Arial"/>
      <w:b/>
      <w:bCs/>
      <w:color w:val="000000"/>
      <w:kern w:val="2"/>
      <w:sz w:val="24"/>
      <w:szCs w:val="24"/>
    </w:rPr>
  </w:style>
  <w:style w:type="character" w:customStyle="1" w:styleId="62">
    <w:name w:val="批注框文本 Char"/>
    <w:link w:val="28"/>
    <w:uiPriority w:val="0"/>
    <w:rPr>
      <w:kern w:val="2"/>
      <w:sz w:val="18"/>
      <w:szCs w:val="18"/>
    </w:rPr>
  </w:style>
  <w:style w:type="character" w:customStyle="1" w:styleId="63">
    <w:name w:val="页脚 Char"/>
    <w:link w:val="29"/>
    <w:uiPriority w:val="99"/>
    <w:rPr>
      <w:kern w:val="2"/>
      <w:sz w:val="18"/>
      <w:szCs w:val="18"/>
    </w:rPr>
  </w:style>
  <w:style w:type="character" w:customStyle="1" w:styleId="64">
    <w:name w:val="页眉 Char"/>
    <w:link w:val="30"/>
    <w:semiHidden/>
    <w:uiPriority w:val="0"/>
    <w:rPr>
      <w:rFonts w:eastAsia="宋体"/>
      <w:kern w:val="2"/>
      <w:sz w:val="18"/>
      <w:szCs w:val="18"/>
      <w:lang w:val="en-US" w:eastAsia="zh-CN" w:bidi="ar-SA"/>
    </w:rPr>
  </w:style>
  <w:style w:type="character" w:customStyle="1" w:styleId="65">
    <w:name w:val="目录 1 Char"/>
    <w:link w:val="31"/>
    <w:uiPriority w:val="0"/>
    <w:rPr>
      <w:rFonts w:ascii="Times New Roman" w:hAnsi="Times New Roman" w:eastAsia="宋体"/>
      <w:b/>
      <w:szCs w:val="32"/>
    </w:rPr>
  </w:style>
  <w:style w:type="character" w:customStyle="1" w:styleId="66">
    <w:name w:val="正文文本缩进 3 Char"/>
    <w:link w:val="35"/>
    <w:uiPriority w:val="0"/>
    <w:rPr>
      <w:rFonts w:ascii="仿宋_GB2312" w:hAnsi="宋体" w:eastAsia="仿宋_GB2312"/>
      <w:color w:val="000000"/>
      <w:kern w:val="2"/>
      <w:sz w:val="24"/>
      <w:szCs w:val="24"/>
    </w:rPr>
  </w:style>
  <w:style w:type="character" w:customStyle="1" w:styleId="67">
    <w:name w:val="目录 2 Char"/>
    <w:link w:val="36"/>
    <w:uiPriority w:val="0"/>
  </w:style>
  <w:style w:type="character" w:customStyle="1" w:styleId="68">
    <w:name w:val="正文文本 2 Char"/>
    <w:link w:val="38"/>
    <w:uiPriority w:val="0"/>
    <w:rPr>
      <w:rFonts w:ascii="宋体" w:hAnsi="宋体"/>
      <w:color w:val="000000"/>
      <w:kern w:val="2"/>
      <w:sz w:val="24"/>
      <w:szCs w:val="24"/>
    </w:rPr>
  </w:style>
  <w:style w:type="character" w:customStyle="1" w:styleId="69">
    <w:name w:val="标题 Char"/>
    <w:link w:val="41"/>
    <w:uiPriority w:val="0"/>
    <w:rPr>
      <w:rFonts w:ascii="Cambria" w:hAnsi="Cambria"/>
      <w:b/>
      <w:bCs/>
      <w:kern w:val="2"/>
      <w:sz w:val="32"/>
      <w:szCs w:val="32"/>
    </w:rPr>
  </w:style>
  <w:style w:type="character" w:customStyle="1" w:styleId="70">
    <w:name w:val="无"/>
    <w:qFormat/>
    <w:uiPriority w:val="99"/>
  </w:style>
  <w:style w:type="character" w:customStyle="1" w:styleId="71">
    <w:name w:val="标题 5 Char"/>
    <w:qFormat/>
    <w:uiPriority w:val="0"/>
    <w:rPr>
      <w:rFonts w:eastAsia="宋体"/>
      <w:b/>
      <w:sz w:val="28"/>
    </w:rPr>
  </w:style>
  <w:style w:type="character" w:customStyle="1" w:styleId="72">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1 Char Char"/>
    <w:uiPriority w:val="0"/>
    <w:rPr>
      <w:rFonts w:ascii="宋体" w:hAnsi="Courier New" w:eastAsia="宋体" w:cs="Times New Roman"/>
      <w:szCs w:val="20"/>
    </w:rPr>
  </w:style>
  <w:style w:type="character" w:customStyle="1" w:styleId="73">
    <w:name w:val="unnamed11"/>
    <w:qFormat/>
    <w:uiPriority w:val="0"/>
    <w:rPr>
      <w:sz w:val="18"/>
      <w:szCs w:val="18"/>
      <w:shd w:val="clear" w:color="auto" w:fill="FFFFFF"/>
    </w:rPr>
  </w:style>
  <w:style w:type="character" w:customStyle="1" w:styleId="74">
    <w:name w:val="标书正文 Char"/>
    <w:link w:val="75"/>
    <w:uiPriority w:val="0"/>
    <w:rPr>
      <w:rFonts w:ascii="宋体" w:hAnsi="宋体" w:eastAsia="宋体"/>
      <w:color w:val="000000"/>
      <w:sz w:val="24"/>
      <w:szCs w:val="24"/>
      <w:lang w:bidi="ar-SA"/>
    </w:rPr>
  </w:style>
  <w:style w:type="paragraph" w:customStyle="1" w:styleId="75">
    <w:name w:val="标书正文"/>
    <w:basedOn w:val="1"/>
    <w:link w:val="74"/>
    <w:qFormat/>
    <w:uiPriority w:val="0"/>
    <w:pPr>
      <w:widowControl/>
      <w:spacing w:line="360" w:lineRule="auto"/>
      <w:ind w:firstLine="200" w:firstLineChars="200"/>
    </w:pPr>
    <w:rPr>
      <w:rFonts w:ascii="宋体" w:hAnsi="宋体"/>
      <w:color w:val="000000"/>
      <w:kern w:val="0"/>
      <w:sz w:val="24"/>
    </w:rPr>
  </w:style>
  <w:style w:type="character" w:customStyle="1" w:styleId="76">
    <w:name w:val="style81"/>
    <w:uiPriority w:val="0"/>
    <w:rPr>
      <w:rFonts w:hint="default" w:ascii="Tahoma" w:hAnsi="Tahoma" w:cs="Tahoma"/>
      <w:color w:val="3A3A3A"/>
      <w:sz w:val="21"/>
      <w:szCs w:val="21"/>
    </w:rPr>
  </w:style>
  <w:style w:type="character" w:customStyle="1" w:styleId="77">
    <w:name w:val="wenzi1"/>
    <w:uiPriority w:val="0"/>
    <w:rPr>
      <w:color w:val="000000"/>
      <w:sz w:val="18"/>
      <w:szCs w:val="18"/>
    </w:rPr>
  </w:style>
  <w:style w:type="character" w:customStyle="1" w:styleId="78">
    <w:name w:val="标题 1 Char Char Char1"/>
    <w:aliases w:val="标题 1 Char Char Char Char Char2,标题 1 Char Char Char Char Char Char1,标题 1 Char Char Char Char Char Char Char Char1,标题 1 Char Char Char Char Char Char Char Char Char,标题 1 Char Char Char Char1,标题 1 Char Char Char Char Char Char Char1"/>
    <w:locked/>
    <w:uiPriority w:val="0"/>
    <w:rPr>
      <w:rFonts w:eastAsia="宋体"/>
      <w:b/>
      <w:bCs/>
      <w:kern w:val="44"/>
      <w:sz w:val="44"/>
      <w:szCs w:val="44"/>
      <w:lang w:val="en-US" w:eastAsia="zh-CN" w:bidi="ar-SA"/>
    </w:rPr>
  </w:style>
  <w:style w:type="character" w:customStyle="1" w:styleId="79">
    <w:name w:val="UNDERRUBRIK 1-2 Char"/>
    <w:aliases w:val="Underrubrik1 Char,prop2 Char,h2 Char,Level 2 Topic Heading Char,2nd level Char,Titre2 Char,l2 Char,2 Char,Header 2 Char,Heading 2 Hidden Char,H2 Char,Title2 Char,sect 1.2 Char,DO NOT USE_h2 Char,chn Char,Heading2 Char,No Number Char"/>
    <w:uiPriority w:val="0"/>
    <w:rPr>
      <w:rFonts w:ascii="Arial" w:hAnsi="Arial" w:eastAsia="黑体" w:cs="Times New Roman"/>
      <w:b/>
      <w:bCs/>
      <w:sz w:val="32"/>
      <w:szCs w:val="32"/>
    </w:rPr>
  </w:style>
  <w:style w:type="character" w:customStyle="1" w:styleId="80">
    <w:name w:val="heading 3 Char"/>
    <w:aliases w:val="H3 Char,l3 Char,CT Char,h3 Char,3rd level Char,Heading 3 - old Char,3 Char,Head 3 Char,level_3 Char,PIM 3 Char,Level 3 Head Char,sect1.2.3 Char,ISO2 Char,L3 Char,sect1.2.31 Char,sect1.2.32 Char,sect1.2.311 Char,sect1.2.33 Char,BOD 0 Char"/>
    <w:qFormat/>
    <w:uiPriority w:val="0"/>
    <w:rPr>
      <w:rFonts w:ascii="Arial Unicode MS" w:hAnsi="Arial Unicode MS" w:eastAsia="黑体"/>
      <w:bCs/>
      <w:sz w:val="30"/>
      <w:szCs w:val="30"/>
      <w:lang w:val="zh-CN"/>
    </w:rPr>
  </w:style>
  <w:style w:type="character" w:customStyle="1" w:styleId="81">
    <w:name w:val="表格正文 Char"/>
    <w:link w:val="82"/>
    <w:uiPriority w:val="0"/>
    <w:rPr>
      <w:rFonts w:ascii="宋体" w:hAnsi="宋体" w:eastAsia="宋体"/>
      <w:kern w:val="2"/>
      <w:sz w:val="21"/>
      <w:szCs w:val="21"/>
      <w:lang w:bidi="ar-SA"/>
    </w:rPr>
  </w:style>
  <w:style w:type="paragraph" w:customStyle="1" w:styleId="82">
    <w:name w:val="表格正文"/>
    <w:basedOn w:val="1"/>
    <w:link w:val="81"/>
    <w:qFormat/>
    <w:uiPriority w:val="0"/>
    <w:rPr>
      <w:rFonts w:ascii="宋体" w:hAnsi="宋体"/>
      <w:szCs w:val="21"/>
    </w:rPr>
  </w:style>
  <w:style w:type="character" w:customStyle="1" w:styleId="83">
    <w:name w:val="表格 Char Char"/>
    <w:link w:val="84"/>
    <w:uiPriority w:val="0"/>
    <w:rPr>
      <w:rFonts w:ascii="宋体" w:hAnsi="宋体" w:eastAsia="宋体"/>
      <w:lang w:val="en-US" w:eastAsia="zh-CN" w:bidi="ar-SA"/>
    </w:rPr>
  </w:style>
  <w:style w:type="paragraph" w:customStyle="1" w:styleId="84">
    <w:name w:val="表格"/>
    <w:basedOn w:val="1"/>
    <w:link w:val="83"/>
    <w:uiPriority w:val="0"/>
    <w:pPr>
      <w:snapToGrid w:val="0"/>
      <w:ind w:firstLine="42" w:firstLineChars="21"/>
    </w:pPr>
    <w:rPr>
      <w:rFonts w:ascii="宋体" w:hAnsi="宋体"/>
      <w:kern w:val="0"/>
      <w:sz w:val="20"/>
      <w:szCs w:val="20"/>
    </w:rPr>
  </w:style>
  <w:style w:type="character" w:customStyle="1" w:styleId="85">
    <w:name w:val="普通文字 Char Char1"/>
    <w:aliases w:val="普通文字 Char Char Char1,普通文字 Char Char Char Char1,普通文字 Char Char Char Char Char,正 文 1 Char,纯文本 Char Char Char Char Char Char Char Char Char Char Char Char Char Char,小 Char,Plain Text Char,Texte Char,普通文字1 Char,普通文字2 Char,普通文字3 Char,0921 Char1"/>
    <w:uiPriority w:val="0"/>
    <w:rPr>
      <w:rFonts w:ascii="宋体" w:hAnsi="Courier New" w:eastAsia="宋体"/>
      <w:kern w:val="2"/>
      <w:sz w:val="21"/>
      <w:lang w:val="en-US" w:eastAsia="zh-CN" w:bidi="ar-SA"/>
    </w:rPr>
  </w:style>
  <w:style w:type="character" w:customStyle="1" w:styleId="86">
    <w:name w:val="UNDERRUBRIK 1-2 Char1"/>
    <w:aliases w:val="Underrubrik1 Char1,prop2 Char1,h2 Char1,Level 2 Topic Heading Char1,2nd level Char1,Titre2 Char1,l2 Char1,2 Char1,Header 2 Char1,Heading 2 Hidden Char1,H2 Char1,Title2 Char1,sect 1.2 Char1,DO NOT USE_h2 Char1,chn Char1,A Char"/>
    <w:locked/>
    <w:uiPriority w:val="0"/>
    <w:rPr>
      <w:rFonts w:ascii="Arial" w:hAnsi="Arial" w:eastAsia="黑体"/>
      <w:b/>
      <w:bCs/>
      <w:kern w:val="2"/>
      <w:sz w:val="32"/>
      <w:szCs w:val="32"/>
      <w:lang w:val="en-US" w:eastAsia="zh-CN" w:bidi="ar-SA"/>
    </w:rPr>
  </w:style>
  <w:style w:type="character" w:customStyle="1" w:styleId="87">
    <w:name w:val="标准正文格式 Char"/>
    <w:link w:val="88"/>
    <w:uiPriority w:val="0"/>
    <w:rPr>
      <w:rFonts w:ascii="宋体" w:eastAsia="仿宋_GB2312" w:cs="宋体"/>
      <w:color w:val="000000"/>
      <w:sz w:val="24"/>
      <w:lang w:val="en-US" w:eastAsia="zh-CN" w:bidi="ar-SA"/>
    </w:rPr>
  </w:style>
  <w:style w:type="paragraph" w:customStyle="1" w:styleId="88">
    <w:name w:val="标准正文格式"/>
    <w:basedOn w:val="1"/>
    <w:link w:val="87"/>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89">
    <w:name w:val="style41"/>
    <w:uiPriority w:val="0"/>
    <w:rPr>
      <w:rFonts w:ascii="Arial" w:hAnsi="Arial" w:cs="Arial"/>
      <w:sz w:val="18"/>
      <w:szCs w:val="18"/>
    </w:rPr>
  </w:style>
  <w:style w:type="character" w:customStyle="1" w:styleId="90">
    <w:name w:val="No Spacing Char"/>
    <w:link w:val="91"/>
    <w:locked/>
    <w:uiPriority w:val="0"/>
    <w:rPr>
      <w:rFonts w:ascii="Calibri" w:hAnsi="Calibri"/>
      <w:sz w:val="22"/>
      <w:szCs w:val="22"/>
      <w:lang w:val="en-US" w:eastAsia="en-US" w:bidi="ar-SA"/>
    </w:rPr>
  </w:style>
  <w:style w:type="paragraph" w:customStyle="1" w:styleId="91">
    <w:name w:val="No Spacing"/>
    <w:link w:val="90"/>
    <w:uiPriority w:val="0"/>
    <w:rPr>
      <w:rFonts w:ascii="Calibri" w:hAnsi="Calibri"/>
      <w:sz w:val="22"/>
      <w:szCs w:val="22"/>
      <w:lang w:val="en-US" w:eastAsia="en-US" w:bidi="ar-SA"/>
    </w:rPr>
  </w:style>
  <w:style w:type="character" w:customStyle="1" w:styleId="92">
    <w:name w:val="标题 Char1"/>
    <w:uiPriority w:val="0"/>
    <w:rPr>
      <w:rFonts w:ascii="Cambria" w:hAnsi="Cambria" w:cs="Times New Roman"/>
      <w:b/>
      <w:bCs/>
      <w:kern w:val="2"/>
      <w:sz w:val="32"/>
      <w:szCs w:val="32"/>
    </w:rPr>
  </w:style>
  <w:style w:type="character" w:customStyle="1" w:styleId="93">
    <w:name w:val="Table Text Char1 Char"/>
    <w:link w:val="94"/>
    <w:uiPriority w:val="0"/>
    <w:rPr>
      <w:rFonts w:ascii="Arial" w:hAnsi="Arial" w:cs="Arial"/>
      <w:kern w:val="2"/>
      <w:sz w:val="18"/>
      <w:szCs w:val="18"/>
      <w:lang w:val="en-US" w:eastAsia="zh-CN" w:bidi="ar-SA"/>
    </w:rPr>
  </w:style>
  <w:style w:type="paragraph" w:customStyle="1" w:styleId="94">
    <w:name w:val="Table Text Char1"/>
    <w:link w:val="93"/>
    <w:uiPriority w:val="0"/>
    <w:pPr>
      <w:snapToGrid w:val="0"/>
      <w:spacing w:before="80" w:after="80"/>
    </w:pPr>
    <w:rPr>
      <w:rFonts w:ascii="Arial" w:hAnsi="Arial" w:cs="Arial"/>
      <w:kern w:val="2"/>
      <w:sz w:val="18"/>
      <w:szCs w:val="18"/>
      <w:lang w:val="en-US" w:eastAsia="zh-CN" w:bidi="ar-SA"/>
    </w:rPr>
  </w:style>
  <w:style w:type="paragraph" w:customStyle="1" w:styleId="95">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大标题"/>
    <w:basedOn w:val="1"/>
    <w:qFormat/>
    <w:uiPriority w:val="0"/>
    <w:pPr>
      <w:autoSpaceDE w:val="0"/>
      <w:autoSpaceDN w:val="0"/>
      <w:adjustRightInd w:val="0"/>
      <w:spacing w:after="560"/>
      <w:jc w:val="center"/>
    </w:pPr>
    <w:rPr>
      <w:rFonts w:ascii="Arial Black" w:hAnsi="Arial Black"/>
      <w:b/>
      <w:kern w:val="0"/>
      <w:sz w:val="56"/>
      <w:szCs w:val="20"/>
    </w:rPr>
  </w:style>
  <w:style w:type="paragraph" w:customStyle="1" w:styleId="97">
    <w:name w:val="xl32"/>
    <w:basedOn w:val="1"/>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98">
    <w:name w:val="1 Char Char Char Char"/>
    <w:basedOn w:val="1"/>
    <w:uiPriority w:val="0"/>
    <w:rPr>
      <w:rFonts w:ascii="Tahoma" w:hAnsi="Tahoma"/>
      <w:sz w:val="24"/>
      <w:szCs w:val="20"/>
    </w:rPr>
  </w:style>
  <w:style w:type="paragraph" w:customStyle="1" w:styleId="99">
    <w:name w:val="缺省文本"/>
    <w:basedOn w:val="1"/>
    <w:uiPriority w:val="0"/>
    <w:pPr>
      <w:autoSpaceDE w:val="0"/>
      <w:autoSpaceDN w:val="0"/>
      <w:adjustRightInd w:val="0"/>
      <w:jc w:val="left"/>
    </w:pPr>
    <w:rPr>
      <w:kern w:val="0"/>
      <w:sz w:val="24"/>
      <w:szCs w:val="20"/>
    </w:rPr>
  </w:style>
  <w:style w:type="paragraph" w:customStyle="1" w:styleId="100">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01">
    <w:name w:val="a1"/>
    <w:basedOn w:val="1"/>
    <w:uiPriority w:val="0"/>
    <w:pPr>
      <w:widowControl/>
      <w:spacing w:after="150"/>
      <w:jc w:val="left"/>
    </w:pPr>
    <w:rPr>
      <w:rFonts w:ascii="宋体" w:hAnsi="宋体" w:cs="宋体"/>
      <w:kern w:val="0"/>
      <w:sz w:val="24"/>
    </w:rPr>
  </w:style>
  <w:style w:type="paragraph" w:customStyle="1" w:styleId="102">
    <w:name w:val="font7"/>
    <w:basedOn w:val="1"/>
    <w:uiPriority w:val="0"/>
    <w:pPr>
      <w:widowControl/>
      <w:spacing w:before="100" w:beforeAutospacing="1" w:after="100" w:afterAutospacing="1"/>
      <w:jc w:val="left"/>
    </w:pPr>
    <w:rPr>
      <w:kern w:val="0"/>
      <w:sz w:val="22"/>
      <w:szCs w:val="22"/>
    </w:rPr>
  </w:style>
  <w:style w:type="paragraph" w:customStyle="1" w:styleId="103">
    <w:name w:val="表内文字"/>
    <w:basedOn w:val="1"/>
    <w:uiPriority w:val="0"/>
    <w:pPr>
      <w:jc w:val="center"/>
    </w:pPr>
    <w:rPr>
      <w:rFonts w:ascii="仿宋_GB2312" w:eastAsia="仿宋_GB2312"/>
      <w:sz w:val="24"/>
    </w:rPr>
  </w:style>
  <w:style w:type="paragraph" w:customStyle="1" w:styleId="10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规划正文"/>
    <w:basedOn w:val="1"/>
    <w:uiPriority w:val="0"/>
    <w:pPr>
      <w:widowControl/>
      <w:suppressAutoHyphens/>
      <w:spacing w:line="360" w:lineRule="auto"/>
      <w:ind w:firstLine="200"/>
      <w:jc w:val="left"/>
    </w:pPr>
    <w:rPr>
      <w:kern w:val="1"/>
      <w:szCs w:val="20"/>
      <w:lang w:eastAsia="ar-SA"/>
    </w:rPr>
  </w:style>
  <w:style w:type="paragraph" w:customStyle="1" w:styleId="106">
    <w:name w:val=" Char"/>
    <w:basedOn w:val="1"/>
    <w:semiHidden/>
    <w:uiPriority w:val="0"/>
    <w:rPr>
      <w:rFonts w:ascii="Tahoma" w:hAnsi="Tahoma"/>
      <w:sz w:val="24"/>
      <w:szCs w:val="20"/>
    </w:rPr>
  </w:style>
  <w:style w:type="paragraph" w:customStyle="1" w:styleId="107">
    <w:name w:val="xl24"/>
    <w:basedOn w:val="1"/>
    <w:uiPriority w:val="0"/>
    <w:pPr>
      <w:widowControl/>
      <w:spacing w:before="100" w:beforeAutospacing="1" w:after="100" w:afterAutospacing="1"/>
      <w:jc w:val="center"/>
      <w:textAlignment w:val="center"/>
    </w:pPr>
    <w:rPr>
      <w:rFonts w:ascii="宋体" w:hAnsi="宋体"/>
      <w:kern w:val="0"/>
      <w:sz w:val="24"/>
    </w:rPr>
  </w:style>
  <w:style w:type="paragraph" w:customStyle="1" w:styleId="108">
    <w:name w:val="样式 样式1 + Times New Roman 五号"/>
    <w:basedOn w:val="1"/>
    <w:next w:val="1"/>
    <w:uiPriority w:val="0"/>
    <w:pPr>
      <w:keepLines/>
      <w:widowControl/>
      <w:spacing w:before="360" w:after="240" w:line="360" w:lineRule="auto"/>
      <w:jc w:val="center"/>
      <w:outlineLvl w:val="0"/>
    </w:pPr>
    <w:rPr>
      <w:rFonts w:eastAsia="黑体"/>
      <w:color w:val="000000"/>
      <w:kern w:val="0"/>
      <w:sz w:val="24"/>
      <w:szCs w:val="20"/>
    </w:rPr>
  </w:style>
  <w:style w:type="paragraph" w:customStyle="1" w:styleId="109">
    <w:name w:val="font9"/>
    <w:basedOn w:val="1"/>
    <w:uiPriority w:val="0"/>
    <w:pPr>
      <w:widowControl/>
      <w:spacing w:before="100" w:beforeAutospacing="1" w:after="100" w:afterAutospacing="1"/>
      <w:jc w:val="left"/>
    </w:pPr>
    <w:rPr>
      <w:kern w:val="0"/>
      <w:sz w:val="24"/>
    </w:rPr>
  </w:style>
  <w:style w:type="paragraph" w:customStyle="1" w:styleId="110">
    <w:name w:val="Default"/>
    <w:uiPriority w:val="0"/>
    <w:pPr>
      <w:widowControl w:val="0"/>
      <w:autoSpaceDE w:val="0"/>
      <w:autoSpaceDN w:val="0"/>
      <w:adjustRightInd w:val="0"/>
    </w:pPr>
    <w:rPr>
      <w:rFonts w:ascii="仿宋吀" w:eastAsia="仿宋吀" w:cs="仿宋吀"/>
      <w:color w:val="000000"/>
      <w:sz w:val="24"/>
      <w:szCs w:val="24"/>
      <w:lang w:val="en-US" w:eastAsia="zh-CN" w:bidi="ar-SA"/>
    </w:rPr>
  </w:style>
  <w:style w:type="paragraph" w:customStyle="1" w:styleId="11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2">
    <w:name w:val="HIK图文"/>
    <w:qFormat/>
    <w:uiPriority w:val="0"/>
    <w:pPr>
      <w:spacing w:line="360" w:lineRule="auto"/>
      <w:jc w:val="center"/>
    </w:pPr>
    <w:rPr>
      <w:rFonts w:ascii="宋体" w:hAnsi="Calibri"/>
      <w:kern w:val="2"/>
      <w:sz w:val="24"/>
      <w:szCs w:val="22"/>
      <w:lang w:val="en-US" w:eastAsia="zh-CN" w:bidi="ar-SA"/>
    </w:rPr>
  </w:style>
  <w:style w:type="paragraph" w:styleId="113">
    <w:name w:val="List Paragraph"/>
    <w:basedOn w:val="1"/>
    <w:qFormat/>
    <w:uiPriority w:val="0"/>
    <w:pPr>
      <w:ind w:firstLine="420" w:firstLineChars="200"/>
    </w:pPr>
    <w:rPr>
      <w:rFonts w:ascii="Calibri" w:hAnsi="Calibri"/>
      <w:szCs w:val="22"/>
    </w:rPr>
  </w:style>
  <w:style w:type="paragraph" w:customStyle="1" w:styleId="114">
    <w:name w:val="xl38"/>
    <w:basedOn w:val="1"/>
    <w:uiPriority w:val="0"/>
    <w:pPr>
      <w:widowControl/>
      <w:pBdr>
        <w:bottom w:val="single" w:color="auto" w:sz="4" w:space="0"/>
      </w:pBdr>
      <w:spacing w:before="100" w:beforeAutospacing="1" w:after="100" w:afterAutospacing="1"/>
      <w:jc w:val="left"/>
    </w:pPr>
    <w:rPr>
      <w:rFonts w:ascii="宋体" w:hAnsi="宋体"/>
      <w:kern w:val="0"/>
      <w:sz w:val="22"/>
      <w:szCs w:val="22"/>
    </w:rPr>
  </w:style>
  <w:style w:type="paragraph" w:customStyle="1" w:styleId="115">
    <w:name w:val="文件标题"/>
    <w:basedOn w:val="1"/>
    <w:uiPriority w:val="0"/>
    <w:pPr>
      <w:autoSpaceDE w:val="0"/>
      <w:autoSpaceDN w:val="0"/>
      <w:adjustRightInd w:val="0"/>
      <w:spacing w:after="240"/>
      <w:jc w:val="center"/>
    </w:pPr>
    <w:rPr>
      <w:rFonts w:ascii="Arial Black" w:hAnsi="Arial Black"/>
      <w:kern w:val="0"/>
      <w:sz w:val="48"/>
      <w:szCs w:val="20"/>
    </w:rPr>
  </w:style>
  <w:style w:type="paragraph" w:customStyle="1" w:styleId="116">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17">
    <w:name w:val="正文_17"/>
    <w:qFormat/>
    <w:uiPriority w:val="0"/>
    <w:pPr>
      <w:widowControl w:val="0"/>
      <w:jc w:val="both"/>
    </w:pPr>
    <w:rPr>
      <w:rFonts w:ascii="Calibri" w:hAnsi="Calibri"/>
      <w:kern w:val="2"/>
      <w:sz w:val="21"/>
      <w:szCs w:val="24"/>
      <w:lang w:val="en-US" w:eastAsia="zh-CN" w:bidi="ar-SA"/>
    </w:rPr>
  </w:style>
  <w:style w:type="paragraph" w:customStyle="1" w:styleId="118">
    <w:name w:val="xl2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xl39"/>
    <w:basedOn w:val="1"/>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20">
    <w:name w:val="style4"/>
    <w:basedOn w:val="1"/>
    <w:uiPriority w:val="0"/>
    <w:pPr>
      <w:widowControl/>
      <w:spacing w:before="100" w:beforeAutospacing="1" w:after="100" w:afterAutospacing="1"/>
      <w:jc w:val="left"/>
    </w:pPr>
    <w:rPr>
      <w:rFonts w:ascii="Arial" w:hAnsi="Arial" w:cs="Arial"/>
      <w:kern w:val="0"/>
      <w:sz w:val="18"/>
      <w:szCs w:val="18"/>
    </w:rPr>
  </w:style>
  <w:style w:type="paragraph" w:customStyle="1" w:styleId="121">
    <w:name w:val="xl34"/>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2">
    <w:name w:val="默认段落字体 Para Char Char Char Char Char Char Char Char Char1 Char Char Char Char"/>
    <w:basedOn w:val="1"/>
    <w:uiPriority w:val="0"/>
    <w:rPr>
      <w:rFonts w:ascii="Tahoma" w:hAnsi="Tahoma"/>
      <w:sz w:val="24"/>
      <w:szCs w:val="20"/>
    </w:rPr>
  </w:style>
  <w:style w:type="paragraph" w:customStyle="1" w:styleId="123">
    <w:name w:val="封面第一行"/>
    <w:basedOn w:val="1"/>
    <w:qFormat/>
    <w:uiPriority w:val="0"/>
    <w:pPr>
      <w:spacing w:line="360" w:lineRule="auto"/>
      <w:jc w:val="center"/>
    </w:pPr>
    <w:rPr>
      <w:rFonts w:ascii="黑体" w:hAnsi="宋体" w:eastAsia="黑体" w:cs="宋体"/>
      <w:sz w:val="56"/>
      <w:szCs w:val="20"/>
    </w:rPr>
  </w:style>
  <w:style w:type="paragraph" w:customStyle="1" w:styleId="124">
    <w:name w:val="正文 A"/>
    <w:uiPriority w:val="99"/>
    <w:pPr>
      <w:widowControl w:val="0"/>
      <w:pBdr>
        <w:top w:val="none" w:color="FFFFFF" w:sz="96" w:space="31"/>
        <w:left w:val="none" w:color="FFFFFF" w:sz="96" w:space="31"/>
        <w:bottom w:val="none" w:color="FFFFFF" w:sz="96" w:space="31"/>
        <w:right w:val="none" w:color="FFFFFF" w:sz="96" w:space="31"/>
      </w:pBdr>
      <w:spacing w:line="360" w:lineRule="auto"/>
      <w:ind w:firstLine="200"/>
      <w:jc w:val="both"/>
    </w:pPr>
    <w:rPr>
      <w:color w:val="000000"/>
      <w:kern w:val="2"/>
      <w:sz w:val="24"/>
      <w:szCs w:val="24"/>
      <w:u w:val="none" w:color="000000"/>
      <w:lang w:val="en-US" w:eastAsia="zh-CN" w:bidi="ar-SA"/>
    </w:rPr>
  </w:style>
  <w:style w:type="paragraph" w:customStyle="1" w:styleId="125">
    <w:name w:val="正文 首行缩进:  2 字符 Char"/>
    <w:basedOn w:val="1"/>
    <w:uiPriority w:val="0"/>
    <w:pPr>
      <w:spacing w:line="360" w:lineRule="auto"/>
      <w:ind w:firstLine="480"/>
    </w:pPr>
    <w:rPr>
      <w:rFonts w:cs="宋体"/>
      <w:sz w:val="24"/>
      <w:szCs w:val="20"/>
    </w:rPr>
  </w:style>
  <w:style w:type="paragraph" w:customStyle="1" w:styleId="126">
    <w:name w:val="样式2"/>
    <w:basedOn w:val="1"/>
    <w:next w:val="1"/>
    <w:uiPriority w:val="0"/>
    <w:pPr>
      <w:keepLines/>
      <w:widowControl/>
      <w:autoSpaceDE w:val="0"/>
      <w:autoSpaceDN w:val="0"/>
      <w:spacing w:before="120" w:after="120" w:line="360" w:lineRule="auto"/>
      <w:jc w:val="center"/>
      <w:outlineLvl w:val="0"/>
    </w:pPr>
    <w:rPr>
      <w:rFonts w:ascii="宋体" w:hAnsi="宋体"/>
      <w:color w:val="000000"/>
      <w:kern w:val="0"/>
      <w:sz w:val="28"/>
      <w:szCs w:val="28"/>
    </w:rPr>
  </w:style>
  <w:style w:type="paragraph" w:customStyle="1" w:styleId="127">
    <w:name w:val="Item Step in Table"/>
    <w:uiPriority w:val="0"/>
    <w:pPr>
      <w:numPr>
        <w:ilvl w:val="0"/>
        <w:numId w:val="4"/>
      </w:numPr>
      <w:spacing w:before="40" w:after="40"/>
      <w:jc w:val="both"/>
    </w:pPr>
    <w:rPr>
      <w:rFonts w:ascii="Arial" w:hAnsi="Arial" w:cs="Arial"/>
      <w:sz w:val="18"/>
      <w:szCs w:val="18"/>
      <w:lang w:val="en-US" w:eastAsia="zh-CN" w:bidi="ar-SA"/>
    </w:rPr>
  </w:style>
  <w:style w:type="paragraph" w:customStyle="1" w:styleId="128">
    <w:name w:val="1"/>
    <w:basedOn w:val="1"/>
    <w:uiPriority w:val="0"/>
    <w:pPr>
      <w:widowControl/>
      <w:spacing w:after="160" w:line="240" w:lineRule="exact"/>
      <w:jc w:val="left"/>
    </w:pPr>
  </w:style>
  <w:style w:type="paragraph" w:customStyle="1" w:styleId="129">
    <w:name w:val="正文段"/>
    <w:basedOn w:val="1"/>
    <w:uiPriority w:val="0"/>
    <w:pPr>
      <w:widowControl/>
      <w:snapToGrid w:val="0"/>
      <w:spacing w:after="50" w:afterLines="50"/>
      <w:ind w:firstLine="200" w:firstLineChars="200"/>
    </w:pPr>
    <w:rPr>
      <w:kern w:val="0"/>
      <w:sz w:val="24"/>
      <w:szCs w:val="20"/>
    </w:rPr>
  </w:style>
  <w:style w:type="paragraph" w:customStyle="1" w:styleId="130">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1">
    <w:name w:val="xl5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32">
    <w:name w:val="Item List in Table"/>
    <w:uiPriority w:val="0"/>
    <w:pPr>
      <w:numPr>
        <w:ilvl w:val="0"/>
        <w:numId w:val="5"/>
      </w:numPr>
      <w:spacing w:before="40" w:after="40"/>
      <w:jc w:val="both"/>
    </w:pPr>
    <w:rPr>
      <w:rFonts w:ascii="Arial" w:hAnsi="Arial" w:cs="Arial"/>
      <w:sz w:val="18"/>
      <w:szCs w:val="18"/>
      <w:lang w:val="en-US" w:eastAsia="zh-CN" w:bidi="ar-SA"/>
    </w:rPr>
  </w:style>
  <w:style w:type="paragraph" w:customStyle="1" w:styleId="133">
    <w:name w:val="xl36"/>
    <w:basedOn w:val="1"/>
    <w:uiPriority w:val="0"/>
    <w:pPr>
      <w:widowControl/>
      <w:spacing w:before="100" w:beforeAutospacing="1" w:after="100" w:afterAutospacing="1"/>
      <w:jc w:val="center"/>
      <w:textAlignment w:val="center"/>
    </w:pPr>
    <w:rPr>
      <w:rFonts w:ascii="宋体" w:hAnsi="宋体"/>
      <w:kern w:val="0"/>
      <w:sz w:val="22"/>
      <w:szCs w:val="22"/>
    </w:rPr>
  </w:style>
  <w:style w:type="paragraph" w:customStyle="1" w:styleId="134">
    <w:name w:val="List Paragraph"/>
    <w:basedOn w:val="1"/>
    <w:qFormat/>
    <w:uiPriority w:val="34"/>
    <w:pPr>
      <w:ind w:firstLine="420" w:firstLineChars="200"/>
    </w:pPr>
  </w:style>
  <w:style w:type="paragraph" w:customStyle="1" w:styleId="135">
    <w:name w:val="xl3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6">
    <w:name w:val=" Char Char Char"/>
    <w:basedOn w:val="1"/>
    <w:uiPriority w:val="0"/>
    <w:rPr>
      <w:rFonts w:ascii="Tahoma" w:hAnsi="Tahoma"/>
      <w:sz w:val="24"/>
      <w:szCs w:val="20"/>
    </w:rPr>
  </w:style>
  <w:style w:type="paragraph" w:customStyle="1" w:styleId="137">
    <w:name w:val="Ê×ÐÐËõ½ø"/>
    <w:basedOn w:val="1"/>
    <w:qFormat/>
    <w:uiPriority w:val="0"/>
    <w:pPr>
      <w:widowControl/>
      <w:numPr>
        <w:ilvl w:val="0"/>
        <w:numId w:val="0"/>
      </w:numPr>
      <w:overflowPunct w:val="0"/>
      <w:autoSpaceDE w:val="0"/>
      <w:autoSpaceDN w:val="0"/>
      <w:adjustRightInd w:val="0"/>
      <w:textAlignment w:val="baseline"/>
    </w:pPr>
    <w:rPr>
      <w:kern w:val="0"/>
      <w:sz w:val="28"/>
      <w:szCs w:val="20"/>
    </w:rPr>
  </w:style>
  <w:style w:type="paragraph" w:customStyle="1" w:styleId="138">
    <w:name w:val="font8"/>
    <w:basedOn w:val="1"/>
    <w:uiPriority w:val="0"/>
    <w:pPr>
      <w:widowControl/>
      <w:spacing w:before="100" w:beforeAutospacing="1" w:after="100" w:afterAutospacing="1"/>
      <w:jc w:val="left"/>
    </w:pPr>
    <w:rPr>
      <w:rFonts w:hint="eastAsia" w:ascii="宋体" w:hAnsi="宋体"/>
      <w:kern w:val="0"/>
      <w:sz w:val="20"/>
      <w:szCs w:val="20"/>
    </w:rPr>
  </w:style>
  <w:style w:type="paragraph" w:styleId="139">
    <w:name w:val=""/>
    <w:basedOn w:val="2"/>
    <w:next w:val="1"/>
    <w:qFormat/>
    <w:uiPriority w:val="0"/>
    <w:pPr>
      <w:widowControl/>
      <w:tabs>
        <w:tab w:val="left" w:pos="0"/>
        <w:tab w:val="clear" w:pos="1567"/>
      </w:tabs>
      <w:spacing w:before="24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140">
    <w:name w:val="列出段落1"/>
    <w:basedOn w:val="1"/>
    <w:qFormat/>
    <w:uiPriority w:val="0"/>
    <w:pPr>
      <w:ind w:firstLine="420" w:firstLineChars="200"/>
    </w:pPr>
    <w:rPr>
      <w:szCs w:val="20"/>
    </w:rPr>
  </w:style>
  <w:style w:type="paragraph" w:customStyle="1" w:styleId="141">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方案正文"/>
    <w:basedOn w:val="5"/>
    <w:uiPriority w:val="0"/>
    <w:pPr>
      <w:spacing w:line="360" w:lineRule="auto"/>
      <w:ind w:firstLine="200" w:firstLineChars="200"/>
    </w:pPr>
    <w:rPr>
      <w:sz w:val="24"/>
      <w:szCs w:val="24"/>
    </w:rPr>
  </w:style>
  <w:style w:type="paragraph" w:customStyle="1" w:styleId="143">
    <w:name w:val=" Char1 Char Char Char Char Char Char"/>
    <w:basedOn w:val="1"/>
    <w:uiPriority w:val="0"/>
    <w:rPr>
      <w:rFonts w:ascii="Tahoma" w:hAnsi="Tahoma"/>
      <w:sz w:val="24"/>
      <w:szCs w:val="20"/>
    </w:rPr>
  </w:style>
  <w:style w:type="paragraph" w:customStyle="1" w:styleId="144">
    <w:name w:val="默认段落字体 Para Char Char Char Char"/>
    <w:basedOn w:val="1"/>
    <w:uiPriority w:val="0"/>
    <w:rPr>
      <w:rFonts w:ascii="Arial" w:hAnsi="Arial" w:cs="Arial"/>
      <w:szCs w:val="21"/>
    </w:rPr>
  </w:style>
  <w:style w:type="paragraph" w:customStyle="1" w:styleId="145">
    <w:name w:val="列表内容"/>
    <w:basedOn w:val="1"/>
    <w:next w:val="1"/>
    <w:uiPriority w:val="0"/>
    <w:pPr>
      <w:widowControl/>
      <w:numPr>
        <w:ilvl w:val="0"/>
        <w:numId w:val="6"/>
      </w:numPr>
      <w:jc w:val="left"/>
    </w:pPr>
    <w:rPr>
      <w:kern w:val="0"/>
      <w:sz w:val="18"/>
    </w:rPr>
  </w:style>
  <w:style w:type="paragraph" w:customStyle="1" w:styleId="146">
    <w:name w:val="xl28"/>
    <w:basedOn w:val="1"/>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47">
    <w:name w:val="首行缩进"/>
    <w:basedOn w:val="1"/>
    <w:uiPriority w:val="0"/>
    <w:pPr>
      <w:numPr>
        <w:ilvl w:val="0"/>
        <w:numId w:val="0"/>
      </w:numPr>
      <w:autoSpaceDE w:val="0"/>
      <w:autoSpaceDN w:val="0"/>
      <w:adjustRightInd w:val="0"/>
      <w:jc w:val="left"/>
    </w:pPr>
    <w:rPr>
      <w:kern w:val="0"/>
      <w:sz w:val="28"/>
      <w:szCs w:val="20"/>
    </w:rPr>
  </w:style>
  <w:style w:type="paragraph" w:customStyle="1" w:styleId="148">
    <w:name w:val="样式标题 2"/>
    <w:basedOn w:val="3"/>
    <w:uiPriority w:val="0"/>
    <w:pPr>
      <w:keepLines/>
      <w:pageBreakBefore/>
      <w:adjustRightInd/>
      <w:snapToGrid/>
      <w:spacing w:before="360" w:after="240" w:line="415" w:lineRule="auto"/>
      <w:ind w:left="578" w:hanging="578"/>
      <w:jc w:val="both"/>
      <w:textAlignment w:val="auto"/>
    </w:pPr>
    <w:rPr>
      <w:rFonts w:ascii="Arial" w:hAnsi="Arial" w:eastAsia="黑体" w:cs="宋体"/>
      <w:bCs/>
      <w:kern w:val="2"/>
      <w:lang w:val="en-US" w:eastAsia="zh-CN"/>
    </w:rPr>
  </w:style>
  <w:style w:type="paragraph" w:customStyle="1" w:styleId="149">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0">
    <w:name w:val="Table Text"/>
    <w:basedOn w:val="1"/>
    <w:uiPriority w:val="0"/>
    <w:rPr>
      <w:sz w:val="18"/>
    </w:rPr>
  </w:style>
  <w:style w:type="paragraph" w:customStyle="1" w:styleId="15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52">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5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4">
    <w:name w:val="样式 首行缩进:  0 字符"/>
    <w:basedOn w:val="1"/>
    <w:uiPriority w:val="0"/>
    <w:pPr>
      <w:spacing w:line="360" w:lineRule="auto"/>
      <w:ind w:firstLine="200" w:firstLineChars="200"/>
    </w:pPr>
    <w:rPr>
      <w:rFonts w:eastAsia="华文中宋" w:cs="宋体"/>
      <w:sz w:val="24"/>
      <w:szCs w:val="20"/>
    </w:rPr>
  </w:style>
  <w:style w:type="paragraph" w:customStyle="1" w:styleId="155">
    <w:name w:val="样式5"/>
    <w:basedOn w:val="1"/>
    <w:uiPriority w:val="0"/>
    <w:pPr>
      <w:spacing w:after="156" w:afterLines="50" w:line="360" w:lineRule="auto"/>
      <w:ind w:left="482" w:firstLine="200" w:firstLineChars="200"/>
      <w:jc w:val="left"/>
    </w:pPr>
    <w:rPr>
      <w:rFonts w:ascii="宋体" w:hAnsi="宋体"/>
      <w:szCs w:val="21"/>
    </w:rPr>
  </w:style>
  <w:style w:type="paragraph" w:customStyle="1" w:styleId="156">
    <w:name w:val="章正文"/>
    <w:basedOn w:val="1"/>
    <w:qFormat/>
    <w:locked/>
    <w:uiPriority w:val="0"/>
    <w:pPr>
      <w:widowControl/>
      <w:spacing w:before="156" w:beforeLines="50" w:after="120" w:line="300" w:lineRule="auto"/>
      <w:ind w:firstLine="480" w:firstLineChars="200"/>
      <w:jc w:val="left"/>
    </w:pPr>
    <w:rPr>
      <w:rFonts w:ascii="Helvetica" w:hAnsi="Helvetica"/>
      <w:kern w:val="0"/>
      <w:sz w:val="24"/>
    </w:rPr>
  </w:style>
  <w:style w:type="table" w:customStyle="1" w:styleId="157">
    <w:name w:val="网格型1"/>
    <w:basedOn w:val="44"/>
    <w:uiPriority w:val="59"/>
    <w:rPr>
      <w:rFonts w:ascii="Calibri" w:hAnsi="Calibri" w:eastAsia="宋体" w:cs="Times New Roman"/>
      <w:kern w:val="2"/>
      <w:sz w:val="21"/>
      <w:szCs w:val="22"/>
    </w:rPr>
    <w:tblPr>
      <w:tblStyle w:val="4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8">
    <w:name w:val="网格型2"/>
    <w:basedOn w:val="44"/>
    <w:qFormat/>
    <w:uiPriority w:val="59"/>
    <w:rPr>
      <w:rFonts w:cs="等线"/>
    </w:r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theme/theme1.xml" Type="http://schemas.openxmlformats.org/officeDocument/2006/relationships/them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微软系统</Company>
  <Pages>33</Pages>
  <Words>3494</Words>
  <Characters>19922</Characters>
  <Lines>166</Lines>
  <Paragraphs>46</Paragraphs>
  <TotalTime>0</TotalTime>
  <ScaleCrop>false</ScaleCrop>
  <LinksUpToDate>false</LinksUpToDate>
  <CharactersWithSpaces>23370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2021-08-26T07:47:00Z</dcterms:created>
  <dc:creator>微软用户</dc:creator>
  <cp:lastModifiedBy>WPS_1701756769</cp:lastModifiedBy>
  <cp:lastPrinted>2021-03-01T05:34:00Z</cp:lastPrinted>
  <dcterms:modified xsi:type="dcterms:W3CDTF">2024-02-23T02:16:17Z</dcterms:modified>
  <cp:revision>31</cp:revision>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80B2B2CC07254AC4A5DA6E66DF4CA56A_13</vt:lpwstr>
  </property>
</Properties>
</file>