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both"/>
        <w:rPr>
          <w:rFonts w:ascii="宋体" w:hAnsi="宋体" w:cs="宋体"/>
          <w:b/>
          <w:bCs/>
          <w:color w:val="auto"/>
          <w:sz w:val="24"/>
          <w:highlight w:val="none"/>
        </w:rPr>
      </w:pPr>
    </w:p>
    <w:p>
      <w:pPr>
        <w:spacing w:line="360" w:lineRule="auto"/>
        <w:jc w:val="center"/>
        <w:rPr>
          <w:rFonts w:hint="eastAsia" w:ascii="宋体" w:hAnsi="宋体" w:cs="宋体"/>
          <w:b/>
          <w:bCs/>
          <w:color w:val="auto"/>
          <w:sz w:val="52"/>
          <w:szCs w:val="52"/>
          <w:highlight w:val="none"/>
          <w:lang w:eastAsia="zh-CN"/>
        </w:rPr>
      </w:pPr>
      <w:r>
        <w:rPr>
          <w:rFonts w:hint="eastAsia" w:ascii="宋体" w:hAnsi="宋体" w:cs="宋体"/>
          <w:b/>
          <w:bCs/>
          <w:color w:val="auto"/>
          <w:sz w:val="52"/>
          <w:szCs w:val="52"/>
          <w:highlight w:val="none"/>
          <w:lang w:eastAsia="zh-CN"/>
        </w:rPr>
        <w:t>嘉兴市特种设备检验检测院2024年</w:t>
      </w:r>
    </w:p>
    <w:p>
      <w:pPr>
        <w:spacing w:line="360" w:lineRule="auto"/>
        <w:jc w:val="center"/>
        <w:rPr>
          <w:rFonts w:hint="eastAsia" w:ascii="宋体" w:hAnsi="宋体" w:cs="宋体"/>
          <w:b/>
          <w:bCs/>
          <w:color w:val="auto"/>
          <w:sz w:val="52"/>
          <w:szCs w:val="52"/>
          <w:highlight w:val="none"/>
          <w:lang w:eastAsia="zh-CN"/>
        </w:rPr>
      </w:pPr>
      <w:r>
        <w:rPr>
          <w:rFonts w:hint="eastAsia" w:ascii="宋体" w:hAnsi="宋体" w:cs="宋体"/>
          <w:b/>
          <w:bCs/>
          <w:color w:val="auto"/>
          <w:sz w:val="52"/>
          <w:szCs w:val="52"/>
          <w:highlight w:val="none"/>
          <w:lang w:eastAsia="zh-CN"/>
        </w:rPr>
        <w:t>检验设备购置项目</w:t>
      </w:r>
    </w:p>
    <w:p>
      <w:pPr>
        <w:pStyle w:val="44"/>
        <w:rPr>
          <w:color w:val="auto"/>
          <w:highlight w:val="none"/>
        </w:rPr>
      </w:pPr>
    </w:p>
    <w:p>
      <w:pPr>
        <w:spacing w:line="700" w:lineRule="exact"/>
        <w:jc w:val="center"/>
        <w:rPr>
          <w:rFonts w:ascii="宋体" w:hAnsi="宋体"/>
          <w:b/>
          <w:bCs/>
          <w:color w:val="auto"/>
          <w:spacing w:val="20"/>
          <w:sz w:val="72"/>
          <w:szCs w:val="44"/>
          <w:highlight w:val="none"/>
        </w:rPr>
      </w:pPr>
      <w:r>
        <w:rPr>
          <w:rFonts w:hint="eastAsia" w:ascii="宋体" w:hAnsi="宋体"/>
          <w:b/>
          <w:bCs/>
          <w:color w:val="auto"/>
          <w:spacing w:val="20"/>
          <w:sz w:val="72"/>
          <w:szCs w:val="44"/>
          <w:highlight w:val="none"/>
        </w:rPr>
        <w:t>公</w:t>
      </w:r>
    </w:p>
    <w:p>
      <w:pPr>
        <w:spacing w:line="700" w:lineRule="exact"/>
        <w:jc w:val="center"/>
        <w:rPr>
          <w:rFonts w:ascii="宋体" w:hAnsi="宋体"/>
          <w:b/>
          <w:bCs/>
          <w:color w:val="auto"/>
          <w:spacing w:val="20"/>
          <w:sz w:val="72"/>
          <w:szCs w:val="44"/>
          <w:highlight w:val="none"/>
        </w:rPr>
      </w:pPr>
    </w:p>
    <w:p>
      <w:pPr>
        <w:spacing w:line="700" w:lineRule="exact"/>
        <w:jc w:val="center"/>
        <w:rPr>
          <w:rFonts w:ascii="宋体" w:hAnsi="宋体"/>
          <w:b/>
          <w:bCs/>
          <w:color w:val="auto"/>
          <w:spacing w:val="20"/>
          <w:sz w:val="72"/>
          <w:szCs w:val="44"/>
          <w:highlight w:val="none"/>
        </w:rPr>
      </w:pPr>
      <w:r>
        <w:rPr>
          <w:rFonts w:hint="eastAsia" w:ascii="宋体" w:hAnsi="宋体"/>
          <w:b/>
          <w:bCs/>
          <w:color w:val="auto"/>
          <w:spacing w:val="20"/>
          <w:sz w:val="72"/>
          <w:szCs w:val="44"/>
          <w:highlight w:val="none"/>
        </w:rPr>
        <w:t>开</w:t>
      </w:r>
    </w:p>
    <w:p>
      <w:pPr>
        <w:spacing w:line="700" w:lineRule="exact"/>
        <w:jc w:val="center"/>
        <w:rPr>
          <w:rFonts w:ascii="宋体" w:hAnsi="宋体"/>
          <w:b/>
          <w:bCs/>
          <w:color w:val="auto"/>
          <w:spacing w:val="20"/>
          <w:sz w:val="72"/>
          <w:szCs w:val="44"/>
          <w:highlight w:val="none"/>
        </w:rPr>
      </w:pPr>
    </w:p>
    <w:p>
      <w:pPr>
        <w:spacing w:line="700" w:lineRule="exact"/>
        <w:jc w:val="center"/>
        <w:rPr>
          <w:rFonts w:ascii="宋体" w:hAnsi="宋体"/>
          <w:b/>
          <w:bCs/>
          <w:color w:val="auto"/>
          <w:spacing w:val="20"/>
          <w:sz w:val="72"/>
          <w:szCs w:val="44"/>
          <w:highlight w:val="none"/>
        </w:rPr>
      </w:pPr>
      <w:r>
        <w:rPr>
          <w:rFonts w:hint="eastAsia" w:ascii="宋体" w:hAnsi="宋体"/>
          <w:b/>
          <w:bCs/>
          <w:color w:val="auto"/>
          <w:spacing w:val="20"/>
          <w:sz w:val="72"/>
          <w:szCs w:val="44"/>
          <w:highlight w:val="none"/>
        </w:rPr>
        <w:t>招</w:t>
      </w:r>
    </w:p>
    <w:p>
      <w:pPr>
        <w:spacing w:line="700" w:lineRule="exact"/>
        <w:ind w:firstLine="4195" w:firstLineChars="550"/>
        <w:jc w:val="center"/>
        <w:rPr>
          <w:rFonts w:ascii="宋体" w:hAnsi="宋体"/>
          <w:b/>
          <w:bCs/>
          <w:color w:val="auto"/>
          <w:spacing w:val="20"/>
          <w:sz w:val="72"/>
          <w:szCs w:val="44"/>
          <w:highlight w:val="none"/>
        </w:rPr>
      </w:pPr>
    </w:p>
    <w:p>
      <w:pPr>
        <w:spacing w:line="700" w:lineRule="exact"/>
        <w:jc w:val="center"/>
        <w:rPr>
          <w:rFonts w:ascii="宋体" w:hAnsi="宋体"/>
          <w:b/>
          <w:bCs/>
          <w:color w:val="auto"/>
          <w:spacing w:val="20"/>
          <w:sz w:val="72"/>
          <w:szCs w:val="44"/>
          <w:highlight w:val="none"/>
        </w:rPr>
      </w:pPr>
      <w:r>
        <w:rPr>
          <w:rFonts w:hint="eastAsia" w:ascii="宋体" w:hAnsi="宋体"/>
          <w:b/>
          <w:bCs/>
          <w:color w:val="auto"/>
          <w:spacing w:val="20"/>
          <w:sz w:val="72"/>
          <w:szCs w:val="44"/>
          <w:highlight w:val="none"/>
        </w:rPr>
        <w:t>标</w:t>
      </w:r>
    </w:p>
    <w:p>
      <w:pPr>
        <w:spacing w:line="700" w:lineRule="exact"/>
        <w:ind w:firstLine="4195" w:firstLineChars="550"/>
        <w:jc w:val="center"/>
        <w:rPr>
          <w:rFonts w:ascii="宋体" w:hAnsi="宋体"/>
          <w:b/>
          <w:bCs/>
          <w:color w:val="auto"/>
          <w:spacing w:val="20"/>
          <w:sz w:val="72"/>
          <w:szCs w:val="44"/>
          <w:highlight w:val="none"/>
        </w:rPr>
      </w:pPr>
    </w:p>
    <w:p>
      <w:pPr>
        <w:spacing w:line="700" w:lineRule="exact"/>
        <w:jc w:val="center"/>
        <w:rPr>
          <w:rFonts w:ascii="宋体" w:hAnsi="宋体"/>
          <w:b/>
          <w:bCs/>
          <w:color w:val="auto"/>
          <w:spacing w:val="20"/>
          <w:sz w:val="72"/>
          <w:szCs w:val="44"/>
          <w:highlight w:val="none"/>
        </w:rPr>
      </w:pPr>
      <w:r>
        <w:rPr>
          <w:rFonts w:hint="eastAsia" w:ascii="宋体" w:hAnsi="宋体"/>
          <w:b/>
          <w:bCs/>
          <w:color w:val="auto"/>
          <w:spacing w:val="20"/>
          <w:sz w:val="72"/>
          <w:szCs w:val="44"/>
          <w:highlight w:val="none"/>
        </w:rPr>
        <w:t>文</w:t>
      </w:r>
    </w:p>
    <w:p>
      <w:pPr>
        <w:spacing w:line="700" w:lineRule="exact"/>
        <w:ind w:firstLine="4195" w:firstLineChars="550"/>
        <w:jc w:val="center"/>
        <w:rPr>
          <w:rFonts w:ascii="宋体" w:hAnsi="宋体"/>
          <w:b/>
          <w:bCs/>
          <w:color w:val="auto"/>
          <w:spacing w:val="20"/>
          <w:sz w:val="72"/>
          <w:szCs w:val="44"/>
          <w:highlight w:val="none"/>
        </w:rPr>
      </w:pPr>
    </w:p>
    <w:p>
      <w:pPr>
        <w:spacing w:line="700" w:lineRule="exact"/>
        <w:jc w:val="center"/>
        <w:rPr>
          <w:rFonts w:ascii="宋体" w:hAnsi="宋体"/>
          <w:b/>
          <w:bCs/>
          <w:color w:val="auto"/>
          <w:spacing w:val="20"/>
          <w:sz w:val="72"/>
          <w:szCs w:val="44"/>
          <w:highlight w:val="none"/>
        </w:rPr>
      </w:pPr>
      <w:r>
        <w:rPr>
          <w:rFonts w:hint="eastAsia" w:ascii="宋体" w:hAnsi="宋体"/>
          <w:b/>
          <w:bCs/>
          <w:color w:val="auto"/>
          <w:spacing w:val="20"/>
          <w:sz w:val="72"/>
          <w:szCs w:val="44"/>
          <w:highlight w:val="none"/>
        </w:rPr>
        <w:t>件</w:t>
      </w:r>
    </w:p>
    <w:p>
      <w:pPr>
        <w:spacing w:line="500" w:lineRule="exact"/>
        <w:ind w:firstLine="643" w:firstLineChars="200"/>
        <w:jc w:val="left"/>
        <w:rPr>
          <w:rFonts w:ascii="宋体" w:hAnsi="宋体"/>
          <w:b/>
          <w:bCs/>
          <w:color w:val="auto"/>
          <w:sz w:val="32"/>
          <w:szCs w:val="32"/>
          <w:highlight w:val="none"/>
        </w:rPr>
      </w:pPr>
    </w:p>
    <w:p>
      <w:pPr>
        <w:spacing w:line="500" w:lineRule="exact"/>
        <w:ind w:firstLine="643" w:firstLineChars="200"/>
        <w:jc w:val="left"/>
        <w:rPr>
          <w:rFonts w:hint="eastAsia" w:ascii="宋体" w:hAnsi="宋体" w:eastAsia="宋体"/>
          <w:b/>
          <w:bCs/>
          <w:color w:val="auto"/>
          <w:sz w:val="32"/>
          <w:szCs w:val="32"/>
          <w:highlight w:val="none"/>
          <w:lang w:eastAsia="zh-CN"/>
        </w:rPr>
      </w:pPr>
      <w:r>
        <w:rPr>
          <w:rFonts w:hint="eastAsia" w:ascii="宋体" w:hAnsi="宋体"/>
          <w:b/>
          <w:bCs/>
          <w:color w:val="auto"/>
          <w:sz w:val="32"/>
          <w:szCs w:val="32"/>
          <w:highlight w:val="none"/>
        </w:rPr>
        <w:t>项目编号：</w:t>
      </w:r>
      <w:r>
        <w:rPr>
          <w:rFonts w:hint="eastAsia" w:ascii="宋体" w:hAnsi="宋体"/>
          <w:b/>
          <w:bCs/>
          <w:color w:val="auto"/>
          <w:sz w:val="32"/>
          <w:szCs w:val="32"/>
          <w:highlight w:val="none"/>
          <w:lang w:eastAsia="zh-CN"/>
        </w:rPr>
        <w:t>JXMYZFCG-2024-013</w:t>
      </w:r>
    </w:p>
    <w:p>
      <w:pPr>
        <w:spacing w:line="500" w:lineRule="exact"/>
        <w:ind w:firstLine="643" w:firstLineChars="200"/>
        <w:jc w:val="left"/>
        <w:rPr>
          <w:rFonts w:ascii="宋体" w:hAnsi="宋体"/>
          <w:b/>
          <w:bCs/>
          <w:color w:val="auto"/>
          <w:sz w:val="32"/>
          <w:szCs w:val="32"/>
          <w:highlight w:val="none"/>
        </w:rPr>
      </w:pPr>
      <w:r>
        <w:rPr>
          <w:rFonts w:hint="eastAsia" w:ascii="宋体" w:hAnsi="宋体"/>
          <w:b/>
          <w:bCs/>
          <w:color w:val="auto"/>
          <w:sz w:val="32"/>
          <w:szCs w:val="32"/>
          <w:highlight w:val="none"/>
        </w:rPr>
        <w:t xml:space="preserve">采购单位：嘉兴市特种设备检验检测院 </w:t>
      </w:r>
    </w:p>
    <w:p>
      <w:pPr>
        <w:spacing w:line="500" w:lineRule="exact"/>
        <w:ind w:firstLine="643" w:firstLineChars="200"/>
        <w:jc w:val="left"/>
        <w:rPr>
          <w:rFonts w:ascii="宋体" w:hAnsi="宋体"/>
          <w:b/>
          <w:bCs/>
          <w:color w:val="auto"/>
          <w:sz w:val="32"/>
          <w:szCs w:val="32"/>
          <w:highlight w:val="none"/>
        </w:rPr>
      </w:pPr>
      <w:r>
        <w:rPr>
          <w:rFonts w:hint="eastAsia" w:ascii="宋体" w:hAnsi="宋体"/>
          <w:b/>
          <w:bCs/>
          <w:color w:val="auto"/>
          <w:sz w:val="32"/>
          <w:szCs w:val="32"/>
          <w:highlight w:val="none"/>
        </w:rPr>
        <w:t>代理机构：嘉兴市明扬工程咨询有限公司</w:t>
      </w:r>
    </w:p>
    <w:p>
      <w:pPr>
        <w:spacing w:line="500" w:lineRule="exact"/>
        <w:ind w:firstLine="643" w:firstLineChars="200"/>
        <w:jc w:val="left"/>
        <w:rPr>
          <w:rFonts w:ascii="宋体" w:hAnsi="宋体"/>
          <w:b/>
          <w:bCs/>
          <w:color w:val="auto"/>
          <w:sz w:val="32"/>
          <w:szCs w:val="32"/>
          <w:highlight w:val="none"/>
        </w:rPr>
      </w:pPr>
      <w:r>
        <w:rPr>
          <w:rFonts w:hint="eastAsia" w:ascii="宋体" w:hAnsi="宋体"/>
          <w:b/>
          <w:bCs/>
          <w:color w:val="auto"/>
          <w:sz w:val="32"/>
          <w:szCs w:val="32"/>
          <w:highlight w:val="none"/>
        </w:rPr>
        <w:t>备案单位：嘉兴市财政局</w:t>
      </w:r>
    </w:p>
    <w:p>
      <w:pPr>
        <w:pStyle w:val="18"/>
        <w:spacing w:before="120" w:beforeLines="50" w:line="500" w:lineRule="exact"/>
        <w:jc w:val="center"/>
        <w:rPr>
          <w:rFonts w:ascii="楷体_GB2312" w:hAnsi="宋体" w:eastAsia="楷体_GB2312"/>
          <w:color w:val="auto"/>
          <w:sz w:val="30"/>
          <w:szCs w:val="30"/>
          <w:highlight w:val="none"/>
        </w:rPr>
      </w:pPr>
      <w:r>
        <w:rPr>
          <w:rFonts w:hint="eastAsia" w:hAnsi="宋体" w:eastAsia="楷体_GB2312"/>
          <w:b/>
          <w:bCs/>
          <w:color w:val="auto"/>
          <w:sz w:val="32"/>
          <w:szCs w:val="32"/>
          <w:highlight w:val="none"/>
        </w:rPr>
        <w:t>202</w:t>
      </w:r>
      <w:r>
        <w:rPr>
          <w:rFonts w:hint="eastAsia" w:hAnsi="宋体" w:eastAsia="楷体_GB2312"/>
          <w:b/>
          <w:bCs/>
          <w:color w:val="auto"/>
          <w:sz w:val="32"/>
          <w:szCs w:val="32"/>
          <w:highlight w:val="none"/>
          <w:lang w:val="en-US" w:eastAsia="zh-CN"/>
        </w:rPr>
        <w:t>4</w:t>
      </w:r>
      <w:r>
        <w:rPr>
          <w:rFonts w:hint="eastAsia" w:hAnsi="宋体" w:eastAsia="楷体_GB2312"/>
          <w:b/>
          <w:bCs/>
          <w:color w:val="auto"/>
          <w:sz w:val="32"/>
          <w:szCs w:val="32"/>
          <w:highlight w:val="none"/>
        </w:rPr>
        <w:t>年</w:t>
      </w:r>
      <w:r>
        <w:rPr>
          <w:rFonts w:hint="eastAsia" w:hAnsi="宋体" w:eastAsia="楷体_GB2312"/>
          <w:b/>
          <w:bCs/>
          <w:color w:val="auto"/>
          <w:sz w:val="32"/>
          <w:szCs w:val="32"/>
          <w:highlight w:val="none"/>
          <w:lang w:val="en-US" w:eastAsia="zh-CN"/>
        </w:rPr>
        <w:t>4</w:t>
      </w:r>
      <w:r>
        <w:rPr>
          <w:rFonts w:hint="eastAsia" w:hAnsi="宋体" w:eastAsia="楷体_GB2312"/>
          <w:b/>
          <w:bCs/>
          <w:color w:val="auto"/>
          <w:sz w:val="32"/>
          <w:szCs w:val="32"/>
          <w:highlight w:val="none"/>
        </w:rPr>
        <w:t>月</w:t>
      </w:r>
    </w:p>
    <w:p>
      <w:pPr>
        <w:rPr>
          <w:color w:val="auto"/>
          <w:highlight w:val="none"/>
        </w:rPr>
      </w:pPr>
    </w:p>
    <w:p>
      <w:pPr>
        <w:pStyle w:val="18"/>
        <w:spacing w:before="120" w:beforeLines="50" w:line="360" w:lineRule="auto"/>
        <w:jc w:val="center"/>
        <w:rPr>
          <w:rFonts w:hAnsi="宋体"/>
          <w:b/>
          <w:color w:val="auto"/>
          <w:sz w:val="48"/>
          <w:szCs w:val="48"/>
          <w:highlight w:val="none"/>
        </w:rPr>
      </w:pPr>
      <w:r>
        <w:rPr>
          <w:rFonts w:hint="eastAsia" w:hAnsi="宋体"/>
          <w:b/>
          <w:color w:val="auto"/>
          <w:sz w:val="48"/>
          <w:szCs w:val="48"/>
          <w:highlight w:val="none"/>
        </w:rPr>
        <w:t>目 录</w:t>
      </w:r>
    </w:p>
    <w:p>
      <w:pPr>
        <w:pStyle w:val="25"/>
        <w:tabs>
          <w:tab w:val="right" w:leader="dot" w:pos="9412"/>
        </w:tabs>
        <w:spacing w:line="560" w:lineRule="exact"/>
        <w:rPr>
          <w:rFonts w:ascii="宋体" w:hAnsi="宋体" w:cs="宋体"/>
          <w:color w:val="auto"/>
          <w:sz w:val="28"/>
          <w:szCs w:val="28"/>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"1-2" \h \z \u </w:instrText>
      </w:r>
      <w:r>
        <w:rPr>
          <w:rFonts w:hint="eastAsia" w:ascii="宋体" w:hAnsi="宋体" w:cs="宋体"/>
          <w:color w:val="auto"/>
          <w:sz w:val="24"/>
          <w:highlight w:val="none"/>
        </w:rPr>
        <w:fldChar w:fldCharType="separate"/>
      </w:r>
      <w:r>
        <w:rPr>
          <w:color w:val="auto"/>
          <w:highlight w:val="none"/>
        </w:rPr>
        <w:fldChar w:fldCharType="begin"/>
      </w:r>
      <w:r>
        <w:rPr>
          <w:color w:val="auto"/>
          <w:highlight w:val="none"/>
        </w:rPr>
        <w:instrText xml:space="preserve"> HYPERLINK \l "_Toc28666" </w:instrText>
      </w:r>
      <w:r>
        <w:rPr>
          <w:color w:val="auto"/>
          <w:highlight w:val="none"/>
        </w:rPr>
        <w:fldChar w:fldCharType="separate"/>
      </w:r>
      <w:r>
        <w:rPr>
          <w:rFonts w:hint="eastAsia" w:ascii="宋体" w:hAnsi="宋体" w:cs="宋体"/>
          <w:color w:val="auto"/>
          <w:sz w:val="28"/>
          <w:szCs w:val="28"/>
          <w:highlight w:val="none"/>
        </w:rPr>
        <w:t>第一章  公开招标采购公告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_Toc28666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5"/>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"_Toc31883" </w:instrText>
      </w:r>
      <w:r>
        <w:rPr>
          <w:color w:val="auto"/>
          <w:highlight w:val="none"/>
        </w:rPr>
        <w:fldChar w:fldCharType="separate"/>
      </w:r>
      <w:r>
        <w:rPr>
          <w:rFonts w:hint="eastAsia" w:ascii="宋体" w:hAnsi="宋体" w:cs="宋体"/>
          <w:color w:val="auto"/>
          <w:sz w:val="28"/>
          <w:szCs w:val="28"/>
          <w:highlight w:val="none"/>
        </w:rPr>
        <w:t>第二章  招标项目需求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_Toc31883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5"/>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"_Toc12463" </w:instrText>
      </w:r>
      <w:r>
        <w:rPr>
          <w:color w:val="auto"/>
          <w:highlight w:val="none"/>
        </w:rPr>
        <w:fldChar w:fldCharType="separate"/>
      </w:r>
      <w:r>
        <w:rPr>
          <w:rFonts w:hint="eastAsia" w:ascii="宋体" w:hAnsi="宋体" w:cs="宋体"/>
          <w:color w:val="auto"/>
          <w:sz w:val="28"/>
          <w:szCs w:val="28"/>
          <w:highlight w:val="none"/>
        </w:rPr>
        <w:t>第三章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_Toc12463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9"/>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"_Toc32301" </w:instrText>
      </w:r>
      <w:r>
        <w:rPr>
          <w:color w:val="auto"/>
          <w:highlight w:val="none"/>
        </w:rPr>
        <w:fldChar w:fldCharType="separate"/>
      </w:r>
      <w:r>
        <w:rPr>
          <w:rFonts w:hint="eastAsia" w:ascii="宋体" w:hAnsi="宋体" w:cs="宋体"/>
          <w:color w:val="auto"/>
          <w:sz w:val="28"/>
          <w:szCs w:val="28"/>
          <w:highlight w:val="none"/>
        </w:rPr>
        <w:t>前附表</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_Toc32301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9"/>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"_Toc12707" </w:instrText>
      </w:r>
      <w:r>
        <w:rPr>
          <w:color w:val="auto"/>
          <w:highlight w:val="none"/>
        </w:rPr>
        <w:fldChar w:fldCharType="separate"/>
      </w:r>
      <w:r>
        <w:rPr>
          <w:rFonts w:hint="eastAsia" w:ascii="宋体" w:hAnsi="宋体" w:cs="宋体"/>
          <w:color w:val="auto"/>
          <w:sz w:val="28"/>
          <w:szCs w:val="28"/>
          <w:highlight w:val="none"/>
        </w:rPr>
        <w:t>一、总  则</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_Toc12707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9"/>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"_Toc30304" </w:instrText>
      </w:r>
      <w:r>
        <w:rPr>
          <w:color w:val="auto"/>
          <w:highlight w:val="none"/>
        </w:rPr>
        <w:fldChar w:fldCharType="separate"/>
      </w:r>
      <w:r>
        <w:rPr>
          <w:rFonts w:hint="eastAsia" w:ascii="宋体" w:hAnsi="宋体" w:cs="宋体"/>
          <w:color w:val="auto"/>
          <w:sz w:val="28"/>
          <w:szCs w:val="28"/>
          <w:highlight w:val="none"/>
        </w:rPr>
        <w:t>二、招标文件</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_Toc30304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9"/>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"_Toc12793" </w:instrText>
      </w:r>
      <w:r>
        <w:rPr>
          <w:color w:val="auto"/>
          <w:highlight w:val="none"/>
        </w:rPr>
        <w:fldChar w:fldCharType="separate"/>
      </w:r>
      <w:r>
        <w:rPr>
          <w:rFonts w:hint="eastAsia" w:ascii="宋体" w:hAnsi="宋体" w:cs="宋体"/>
          <w:color w:val="auto"/>
          <w:sz w:val="28"/>
          <w:szCs w:val="28"/>
          <w:highlight w:val="none"/>
        </w:rPr>
        <w:t>三、投标文件的编制</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_Toc12793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9"/>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"_Toc26367" </w:instrText>
      </w:r>
      <w:r>
        <w:rPr>
          <w:color w:val="auto"/>
          <w:highlight w:val="none"/>
        </w:rPr>
        <w:fldChar w:fldCharType="separate"/>
      </w:r>
      <w:r>
        <w:rPr>
          <w:rFonts w:hint="eastAsia" w:ascii="宋体" w:hAnsi="宋体" w:cs="宋体"/>
          <w:color w:val="auto"/>
          <w:sz w:val="28"/>
          <w:szCs w:val="28"/>
          <w:highlight w:val="none"/>
        </w:rPr>
        <w:t>四、开标</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_Toc26367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9"/>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"_Toc11062" </w:instrText>
      </w:r>
      <w:r>
        <w:rPr>
          <w:color w:val="auto"/>
          <w:highlight w:val="none"/>
        </w:rPr>
        <w:fldChar w:fldCharType="separate"/>
      </w:r>
      <w:r>
        <w:rPr>
          <w:rFonts w:hint="eastAsia" w:ascii="宋体" w:hAnsi="宋体" w:cs="宋体"/>
          <w:color w:val="auto"/>
          <w:sz w:val="28"/>
          <w:szCs w:val="28"/>
          <w:highlight w:val="none"/>
        </w:rPr>
        <w:t>五、评标</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_Toc11062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9"/>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"_Toc20851" </w:instrText>
      </w:r>
      <w:r>
        <w:rPr>
          <w:color w:val="auto"/>
          <w:highlight w:val="none"/>
        </w:rPr>
        <w:fldChar w:fldCharType="separate"/>
      </w:r>
      <w:r>
        <w:rPr>
          <w:rFonts w:hint="eastAsia" w:ascii="宋体" w:hAnsi="宋体" w:cs="宋体"/>
          <w:color w:val="auto"/>
          <w:sz w:val="28"/>
          <w:szCs w:val="28"/>
          <w:highlight w:val="none"/>
        </w:rPr>
        <w:t>六、定标</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_Toc20851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9"/>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"_Toc7621" </w:instrText>
      </w:r>
      <w:r>
        <w:rPr>
          <w:color w:val="auto"/>
          <w:highlight w:val="none"/>
        </w:rPr>
        <w:fldChar w:fldCharType="separate"/>
      </w:r>
      <w:r>
        <w:rPr>
          <w:rFonts w:hint="eastAsia" w:ascii="宋体" w:hAnsi="宋体" w:cs="宋体"/>
          <w:color w:val="auto"/>
          <w:sz w:val="28"/>
          <w:szCs w:val="28"/>
          <w:highlight w:val="none"/>
        </w:rPr>
        <w:t>七、合同授予</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_Toc7621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5"/>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"_Toc29856" </w:instrText>
      </w:r>
      <w:r>
        <w:rPr>
          <w:color w:val="auto"/>
          <w:highlight w:val="none"/>
        </w:rPr>
        <w:fldChar w:fldCharType="separate"/>
      </w:r>
      <w:r>
        <w:rPr>
          <w:rFonts w:hint="eastAsia" w:ascii="宋体" w:hAnsi="宋体" w:cs="宋体"/>
          <w:color w:val="auto"/>
          <w:sz w:val="28"/>
          <w:szCs w:val="28"/>
          <w:highlight w:val="none"/>
        </w:rPr>
        <w:t>第四章</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评标办法及评分标准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_Toc29856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5"/>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"_Toc16143" </w:instrText>
      </w:r>
      <w:r>
        <w:rPr>
          <w:color w:val="auto"/>
          <w:highlight w:val="none"/>
        </w:rPr>
        <w:fldChar w:fldCharType="separate"/>
      </w:r>
      <w:r>
        <w:rPr>
          <w:rFonts w:hint="eastAsia" w:ascii="宋体" w:hAnsi="宋体" w:cs="宋体"/>
          <w:color w:val="auto"/>
          <w:sz w:val="28"/>
          <w:szCs w:val="28"/>
          <w:highlight w:val="none"/>
        </w:rPr>
        <w:t xml:space="preserve">第五章 </w:t>
      </w:r>
      <w:r>
        <w:rPr>
          <w:rFonts w:hint="eastAsia" w:ascii="宋体" w:hAnsi="宋体" w:cs="宋体"/>
          <w:color w:val="auto"/>
          <w:sz w:val="28"/>
          <w:szCs w:val="28"/>
          <w:highlight w:val="none"/>
          <w:lang w:eastAsia="zh-CN"/>
        </w:rPr>
        <w:t>嘉兴市特种设备检验检测院2024年检验设备购置项目</w:t>
      </w:r>
      <w:r>
        <w:rPr>
          <w:rFonts w:hint="eastAsia" w:ascii="宋体" w:hAnsi="宋体" w:cs="宋体"/>
          <w:color w:val="auto"/>
          <w:sz w:val="28"/>
          <w:szCs w:val="28"/>
          <w:highlight w:val="none"/>
        </w:rPr>
        <w:t>政府采购合同（货物）</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_Toc16143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5"/>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"_Toc26552" </w:instrText>
      </w:r>
      <w:r>
        <w:rPr>
          <w:color w:val="auto"/>
          <w:highlight w:val="none"/>
        </w:rPr>
        <w:fldChar w:fldCharType="separate"/>
      </w:r>
      <w:r>
        <w:rPr>
          <w:rFonts w:hint="eastAsia" w:ascii="宋体" w:hAnsi="宋体" w:cs="宋体"/>
          <w:color w:val="auto"/>
          <w:sz w:val="28"/>
          <w:szCs w:val="28"/>
          <w:highlight w:val="none"/>
        </w:rPr>
        <w:t>第六章  投标相关文件格式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_Toc26552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9"/>
        <w:tabs>
          <w:tab w:val="right" w:leader="dot" w:pos="9412"/>
        </w:tabs>
        <w:spacing w:line="560" w:lineRule="exact"/>
        <w:ind w:left="0" w:leftChars="0"/>
        <w:rPr>
          <w:color w:val="auto"/>
          <w:sz w:val="28"/>
          <w:szCs w:val="28"/>
          <w:highlight w:val="none"/>
        </w:rPr>
      </w:pPr>
      <w:bookmarkStart w:id="80" w:name="_GoBack"/>
      <w:bookmarkEnd w:id="80"/>
    </w:p>
    <w:p>
      <w:pPr>
        <w:spacing w:line="480" w:lineRule="auto"/>
        <w:jc w:val="center"/>
        <w:rPr>
          <w:rFonts w:ascii="宋体" w:hAnsi="宋体" w:cs="宋体"/>
          <w:color w:val="auto"/>
          <w:sz w:val="24"/>
          <w:highlight w:val="none"/>
        </w:rPr>
      </w:pPr>
      <w:r>
        <w:rPr>
          <w:rFonts w:hint="eastAsia" w:ascii="宋体" w:hAnsi="宋体" w:cs="宋体"/>
          <w:color w:val="auto"/>
          <w:highlight w:val="none"/>
        </w:rPr>
        <w:fldChar w:fldCharType="end"/>
      </w:r>
    </w:p>
    <w:p>
      <w:pPr>
        <w:spacing w:line="520" w:lineRule="exact"/>
        <w:rPr>
          <w:rFonts w:ascii="宋体" w:hAnsi="宋体"/>
          <w:color w:val="auto"/>
          <w:sz w:val="24"/>
          <w:highlight w:val="none"/>
        </w:rPr>
      </w:pPr>
    </w:p>
    <w:p>
      <w:pPr>
        <w:spacing w:line="520" w:lineRule="exact"/>
        <w:rPr>
          <w:rFonts w:ascii="宋体" w:hAnsi="宋体"/>
          <w:b/>
          <w:color w:val="auto"/>
          <w:sz w:val="24"/>
          <w:highlight w:val="none"/>
        </w:rPr>
      </w:pPr>
    </w:p>
    <w:p>
      <w:pPr>
        <w:spacing w:line="520" w:lineRule="exact"/>
        <w:rPr>
          <w:rFonts w:ascii="宋体" w:hAnsi="宋体"/>
          <w:b/>
          <w:color w:val="auto"/>
          <w:sz w:val="24"/>
          <w:highlight w:val="none"/>
        </w:rPr>
      </w:pPr>
    </w:p>
    <w:p>
      <w:pPr>
        <w:spacing w:line="460" w:lineRule="exact"/>
        <w:outlineLvl w:val="0"/>
        <w:rPr>
          <w:rFonts w:ascii="宋体" w:hAnsi="宋体"/>
          <w:b/>
          <w:color w:val="auto"/>
          <w:sz w:val="32"/>
          <w:szCs w:val="32"/>
          <w:highlight w:val="none"/>
        </w:rPr>
      </w:pPr>
    </w:p>
    <w:p>
      <w:pPr>
        <w:pStyle w:val="28"/>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bookmarkStart w:id="0" w:name="_Toc28666"/>
      <w:r>
        <w:rPr>
          <w:rFonts w:hint="eastAsia" w:ascii="宋体" w:hAnsi="宋体"/>
          <w:b/>
          <w:color w:val="auto"/>
          <w:sz w:val="32"/>
          <w:szCs w:val="32"/>
          <w:highlight w:val="none"/>
        </w:rPr>
        <w:br w:type="page"/>
      </w:r>
    </w:p>
    <w:p>
      <w:pPr>
        <w:spacing w:line="460" w:lineRule="exact"/>
        <w:jc w:val="center"/>
        <w:outlineLvl w:val="0"/>
        <w:rPr>
          <w:rFonts w:ascii="宋体" w:hAnsi="宋体"/>
          <w:b/>
          <w:color w:val="auto"/>
          <w:sz w:val="32"/>
          <w:szCs w:val="32"/>
          <w:highlight w:val="none"/>
        </w:rPr>
      </w:pPr>
      <w:r>
        <w:rPr>
          <w:rFonts w:hint="eastAsia" w:ascii="宋体" w:hAnsi="宋体"/>
          <w:b/>
          <w:color w:val="auto"/>
          <w:sz w:val="32"/>
          <w:szCs w:val="32"/>
          <w:highlight w:val="none"/>
        </w:rPr>
        <w:t>第一章  公开招标采购公告</w:t>
      </w:r>
      <w:bookmarkEnd w:id="0"/>
    </w:p>
    <w:p>
      <w:pPr>
        <w:pStyle w:val="73"/>
        <w:spacing w:afterLines="0" w:line="360" w:lineRule="auto"/>
        <w:ind w:firstLine="420"/>
        <w:jc w:val="left"/>
        <w:rPr>
          <w:rFonts w:ascii="宋体" w:hAnsi="宋体"/>
          <w:color w:val="auto"/>
          <w:sz w:val="21"/>
          <w:szCs w:val="21"/>
          <w:highlight w:val="none"/>
        </w:rPr>
      </w:pPr>
      <w:bookmarkStart w:id="1" w:name="_Toc177870534"/>
      <w:r>
        <w:rPr>
          <w:rFonts w:hint="eastAsia" w:ascii="宋体" w:hAnsi="宋体" w:cs="仿宋_GB2312"/>
          <w:color w:val="auto"/>
          <w:sz w:val="21"/>
          <w:szCs w:val="21"/>
          <w:highlight w:val="none"/>
          <w:lang w:val="zh-CN"/>
        </w:rPr>
        <w:t>根据《中华人民共和国政府采购法》</w:t>
      </w:r>
      <w:r>
        <w:rPr>
          <w:rFonts w:hint="eastAsia" w:hAnsi="宋体"/>
          <w:color w:val="auto"/>
          <w:sz w:val="21"/>
          <w:szCs w:val="18"/>
          <w:highlight w:val="none"/>
        </w:rPr>
        <w:t>《</w:t>
      </w:r>
      <w:r>
        <w:rPr>
          <w:rFonts w:hAnsi="宋体"/>
          <w:color w:val="auto"/>
          <w:sz w:val="21"/>
          <w:szCs w:val="18"/>
          <w:highlight w:val="none"/>
        </w:rPr>
        <w:t>中华人民共和国政府采购法实施条例</w:t>
      </w:r>
      <w:r>
        <w:rPr>
          <w:rFonts w:hint="eastAsia" w:hAnsi="宋体"/>
          <w:color w:val="auto"/>
          <w:sz w:val="21"/>
          <w:szCs w:val="18"/>
          <w:highlight w:val="none"/>
        </w:rPr>
        <w:t>》</w:t>
      </w:r>
      <w:r>
        <w:rPr>
          <w:rFonts w:hAnsi="宋体"/>
          <w:color w:val="auto"/>
          <w:sz w:val="21"/>
          <w:szCs w:val="18"/>
          <w:highlight w:val="none"/>
        </w:rPr>
        <w:t>《政府采购货物和服务招标投标管理办法》</w:t>
      </w:r>
      <w:r>
        <w:rPr>
          <w:rFonts w:hint="eastAsia" w:hAnsi="宋体"/>
          <w:color w:val="auto"/>
          <w:sz w:val="21"/>
          <w:szCs w:val="18"/>
          <w:highlight w:val="none"/>
        </w:rPr>
        <w:t>和《浙江省</w:t>
      </w:r>
      <w:r>
        <w:rPr>
          <w:rFonts w:hAnsi="宋体"/>
          <w:color w:val="auto"/>
          <w:sz w:val="21"/>
          <w:szCs w:val="18"/>
          <w:highlight w:val="none"/>
        </w:rPr>
        <w:t>政府采购项目电子交易管理暂行办法</w:t>
      </w:r>
      <w:r>
        <w:rPr>
          <w:rFonts w:hint="eastAsia" w:hAnsi="宋体"/>
          <w:color w:val="auto"/>
          <w:sz w:val="21"/>
          <w:szCs w:val="18"/>
          <w:highlight w:val="none"/>
        </w:rPr>
        <w:t>》</w:t>
      </w:r>
      <w:r>
        <w:rPr>
          <w:rFonts w:hint="eastAsia" w:ascii="宋体" w:hAnsi="宋体" w:cs="仿宋_GB2312"/>
          <w:color w:val="auto"/>
          <w:sz w:val="21"/>
          <w:szCs w:val="21"/>
          <w:highlight w:val="none"/>
          <w:lang w:val="zh-CN"/>
        </w:rPr>
        <w:t>等有关法律规定，经</w:t>
      </w:r>
      <w:r>
        <w:rPr>
          <w:rFonts w:hint="eastAsia" w:ascii="宋体" w:hAnsi="宋体" w:cs="仿宋_GB2312"/>
          <w:color w:val="auto"/>
          <w:sz w:val="21"/>
          <w:szCs w:val="21"/>
          <w:highlight w:val="none"/>
        </w:rPr>
        <w:t>嘉兴市</w:t>
      </w:r>
      <w:r>
        <w:rPr>
          <w:rFonts w:hint="eastAsia" w:ascii="宋体" w:hAnsi="宋体" w:cs="仿宋_GB2312"/>
          <w:color w:val="auto"/>
          <w:sz w:val="21"/>
          <w:szCs w:val="21"/>
          <w:highlight w:val="none"/>
          <w:lang w:val="zh-CN"/>
        </w:rPr>
        <w:t>财政</w:t>
      </w:r>
      <w:r>
        <w:rPr>
          <w:rFonts w:hint="eastAsia" w:hAnsi="宋体"/>
          <w:color w:val="auto"/>
          <w:sz w:val="21"/>
          <w:szCs w:val="18"/>
          <w:highlight w:val="none"/>
          <w:lang w:val="zh-CN"/>
        </w:rPr>
        <w:t>局</w:t>
      </w:r>
      <w:r>
        <w:rPr>
          <w:rFonts w:hint="eastAsia" w:hAnsi="宋体"/>
          <w:color w:val="auto"/>
          <w:sz w:val="21"/>
          <w:szCs w:val="18"/>
          <w:highlight w:val="none"/>
          <w:lang w:val="en-US" w:eastAsia="zh-CN"/>
        </w:rPr>
        <w:t>[2024]1485号、[2024]1486号</w:t>
      </w:r>
      <w:r>
        <w:rPr>
          <w:rFonts w:hint="eastAsia" w:hAnsi="宋体"/>
          <w:color w:val="auto"/>
          <w:sz w:val="21"/>
          <w:szCs w:val="18"/>
          <w:highlight w:val="none"/>
          <w:lang w:val="zh-CN"/>
        </w:rPr>
        <w:t>确认书</w:t>
      </w:r>
      <w:r>
        <w:rPr>
          <w:rFonts w:hint="eastAsia" w:ascii="宋体" w:hAnsi="宋体" w:cs="仿宋_GB2312"/>
          <w:color w:val="auto"/>
          <w:sz w:val="21"/>
          <w:szCs w:val="21"/>
          <w:highlight w:val="none"/>
          <w:lang w:val="zh-CN"/>
        </w:rPr>
        <w:t>批准，嘉兴市明扬工程咨询有限公司</w:t>
      </w:r>
      <w:r>
        <w:rPr>
          <w:rFonts w:hint="eastAsia" w:ascii="宋体" w:hAnsi="宋体"/>
          <w:color w:val="auto"/>
          <w:sz w:val="21"/>
          <w:szCs w:val="21"/>
          <w:highlight w:val="none"/>
        </w:rPr>
        <w:t>受嘉兴市特种设备检验检测院委托，就</w:t>
      </w:r>
      <w:r>
        <w:rPr>
          <w:rFonts w:hint="eastAsia"/>
          <w:color w:val="auto"/>
          <w:sz w:val="21"/>
          <w:szCs w:val="21"/>
          <w:highlight w:val="none"/>
          <w:lang w:eastAsia="zh-CN"/>
        </w:rPr>
        <w:t>嘉兴市特种设备检验检测院2024年检验设备购置项目</w:t>
      </w:r>
      <w:r>
        <w:rPr>
          <w:rFonts w:hint="eastAsia" w:ascii="宋体" w:hAnsi="宋体"/>
          <w:color w:val="auto"/>
          <w:sz w:val="21"/>
          <w:szCs w:val="21"/>
          <w:highlight w:val="none"/>
        </w:rPr>
        <w:t>进行公开招标，欢迎国内合格的供应商前来投标，现将有关事项公告如下：</w:t>
      </w:r>
    </w:p>
    <w:p>
      <w:pPr>
        <w:pStyle w:val="31"/>
        <w:spacing w:before="0" w:beforeAutospacing="0" w:after="0" w:afterAutospacing="0" w:line="400" w:lineRule="exact"/>
        <w:jc w:val="both"/>
        <w:rPr>
          <w:color w:val="auto"/>
          <w:sz w:val="21"/>
          <w:szCs w:val="21"/>
          <w:highlight w:val="none"/>
        </w:rPr>
      </w:pPr>
      <w:r>
        <w:rPr>
          <w:rStyle w:val="40"/>
          <w:rFonts w:hint="eastAsia"/>
          <w:color w:val="auto"/>
          <w:sz w:val="21"/>
          <w:szCs w:val="21"/>
          <w:highlight w:val="none"/>
        </w:rPr>
        <w:t>一、项目基本情况</w:t>
      </w:r>
    </w:p>
    <w:p>
      <w:pPr>
        <w:pStyle w:val="31"/>
        <w:spacing w:before="0" w:beforeAutospacing="0" w:after="0" w:afterAutospacing="0" w:line="400" w:lineRule="exact"/>
        <w:ind w:firstLine="630"/>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JXMYZFCG-2024-013</w:t>
      </w:r>
      <w:r>
        <w:rPr>
          <w:rFonts w:hint="eastAsia"/>
          <w:color w:val="auto"/>
          <w:sz w:val="21"/>
          <w:szCs w:val="21"/>
          <w:highlight w:val="none"/>
        </w:rPr>
        <w:t> </w:t>
      </w:r>
    </w:p>
    <w:p>
      <w:pPr>
        <w:pStyle w:val="31"/>
        <w:spacing w:before="0" w:beforeAutospacing="0" w:after="0" w:afterAutospacing="0" w:line="400" w:lineRule="exact"/>
        <w:ind w:firstLine="630"/>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嘉兴市特种设备检验检测院2024年检验设备购置项目</w:t>
      </w:r>
    </w:p>
    <w:p>
      <w:pPr>
        <w:pStyle w:val="31"/>
        <w:spacing w:before="0" w:beforeAutospacing="0" w:after="0" w:afterAutospacing="0" w:line="400" w:lineRule="exact"/>
        <w:ind w:firstLine="630"/>
        <w:rPr>
          <w:rFonts w:hint="default" w:eastAsia="宋体"/>
          <w:color w:val="auto"/>
          <w:sz w:val="21"/>
          <w:szCs w:val="21"/>
          <w:highlight w:val="none"/>
          <w:lang w:val="en-US" w:eastAsia="zh-CN"/>
        </w:rPr>
      </w:pPr>
      <w:r>
        <w:rPr>
          <w:rFonts w:hint="eastAsia"/>
          <w:color w:val="auto"/>
          <w:sz w:val="21"/>
          <w:szCs w:val="21"/>
          <w:highlight w:val="none"/>
        </w:rPr>
        <w:t>总预算金额（元）：</w:t>
      </w:r>
      <w:r>
        <w:rPr>
          <w:rFonts w:hint="eastAsia"/>
          <w:color w:val="auto"/>
          <w:sz w:val="21"/>
          <w:szCs w:val="21"/>
          <w:highlight w:val="none"/>
          <w:lang w:val="en-US" w:eastAsia="zh-CN"/>
        </w:rPr>
        <w:t>9450000</w:t>
      </w:r>
    </w:p>
    <w:p>
      <w:pPr>
        <w:pStyle w:val="31"/>
        <w:spacing w:before="0" w:beforeAutospacing="0" w:after="0" w:afterAutospacing="0" w:line="400" w:lineRule="exact"/>
        <w:ind w:firstLine="630"/>
        <w:rPr>
          <w:color w:val="auto"/>
          <w:sz w:val="21"/>
          <w:szCs w:val="21"/>
          <w:highlight w:val="none"/>
        </w:rPr>
      </w:pPr>
      <w:r>
        <w:rPr>
          <w:rFonts w:hint="eastAsia"/>
          <w:color w:val="auto"/>
          <w:sz w:val="21"/>
          <w:szCs w:val="21"/>
          <w:highlight w:val="none"/>
        </w:rPr>
        <w:t>最高限价（元）：</w:t>
      </w:r>
      <w:r>
        <w:rPr>
          <w:rFonts w:hint="eastAsia"/>
          <w:color w:val="auto"/>
          <w:sz w:val="21"/>
          <w:szCs w:val="21"/>
          <w:highlight w:val="none"/>
          <w:lang w:eastAsia="zh-CN"/>
        </w:rPr>
        <w:t>标项</w:t>
      </w:r>
      <w:r>
        <w:rPr>
          <w:rFonts w:hint="eastAsia"/>
          <w:color w:val="auto"/>
          <w:sz w:val="21"/>
          <w:szCs w:val="21"/>
          <w:highlight w:val="none"/>
          <w:lang w:val="en-US" w:eastAsia="zh-CN"/>
        </w:rPr>
        <w:t>一</w:t>
      </w:r>
      <w:r>
        <w:rPr>
          <w:rFonts w:hint="eastAsia"/>
          <w:color w:val="auto"/>
          <w:sz w:val="21"/>
          <w:szCs w:val="21"/>
          <w:highlight w:val="none"/>
          <w:lang w:eastAsia="zh-CN"/>
        </w:rPr>
        <w:t>：819000；标项二：1000000；标项三：820000；标项四：1050000；标项五：1100000；标项六：1250000；标项七：795100；标项八：1005000；标项</w:t>
      </w:r>
      <w:r>
        <w:rPr>
          <w:rFonts w:hint="eastAsia"/>
          <w:color w:val="auto"/>
          <w:sz w:val="21"/>
          <w:szCs w:val="21"/>
          <w:highlight w:val="none"/>
          <w:lang w:val="en-US" w:eastAsia="zh-CN"/>
        </w:rPr>
        <w:t>九</w:t>
      </w:r>
      <w:r>
        <w:rPr>
          <w:rFonts w:hint="eastAsia"/>
          <w:color w:val="auto"/>
          <w:sz w:val="21"/>
          <w:szCs w:val="21"/>
          <w:highlight w:val="none"/>
          <w:lang w:eastAsia="zh-CN"/>
        </w:rPr>
        <w:t>：</w:t>
      </w:r>
      <w:r>
        <w:rPr>
          <w:rFonts w:hint="eastAsia"/>
          <w:color w:val="auto"/>
          <w:sz w:val="21"/>
          <w:szCs w:val="21"/>
          <w:highlight w:val="none"/>
          <w:lang w:val="en-US" w:eastAsia="zh-CN"/>
        </w:rPr>
        <w:t>700000</w:t>
      </w:r>
      <w:r>
        <w:rPr>
          <w:rFonts w:hint="eastAsia"/>
          <w:color w:val="auto"/>
          <w:sz w:val="21"/>
          <w:szCs w:val="21"/>
          <w:highlight w:val="none"/>
          <w:lang w:eastAsia="zh-CN"/>
        </w:rPr>
        <w:t>；标项</w:t>
      </w:r>
      <w:r>
        <w:rPr>
          <w:rFonts w:hint="eastAsia"/>
          <w:color w:val="auto"/>
          <w:sz w:val="21"/>
          <w:szCs w:val="21"/>
          <w:highlight w:val="none"/>
          <w:lang w:val="en-US" w:eastAsia="zh-CN"/>
        </w:rPr>
        <w:t>十</w:t>
      </w:r>
      <w:r>
        <w:rPr>
          <w:rFonts w:hint="eastAsia"/>
          <w:color w:val="auto"/>
          <w:sz w:val="21"/>
          <w:szCs w:val="21"/>
          <w:highlight w:val="none"/>
          <w:lang w:eastAsia="zh-CN"/>
        </w:rPr>
        <w:t>：</w:t>
      </w:r>
      <w:r>
        <w:rPr>
          <w:rFonts w:hint="eastAsia"/>
          <w:color w:val="auto"/>
          <w:sz w:val="21"/>
          <w:szCs w:val="21"/>
          <w:highlight w:val="none"/>
          <w:lang w:val="en-US" w:eastAsia="zh-CN"/>
        </w:rPr>
        <w:t>910900</w:t>
      </w:r>
      <w:r>
        <w:rPr>
          <w:rFonts w:hint="eastAsia"/>
          <w:color w:val="auto"/>
          <w:sz w:val="21"/>
          <w:szCs w:val="21"/>
          <w:highlight w:val="none"/>
        </w:rPr>
        <w:t>。</w:t>
      </w:r>
    </w:p>
    <w:p>
      <w:pPr>
        <w:pStyle w:val="31"/>
        <w:spacing w:before="0" w:beforeAutospacing="0" w:after="0" w:afterAutospacing="0" w:line="400" w:lineRule="exact"/>
        <w:ind w:firstLine="525" w:firstLineChars="250"/>
        <w:rPr>
          <w:rStyle w:val="92"/>
          <w:rFonts w:hint="eastAsia"/>
          <w:color w:val="auto"/>
          <w:sz w:val="21"/>
          <w:szCs w:val="21"/>
          <w:highlight w:val="none"/>
        </w:rPr>
      </w:pPr>
      <w:r>
        <w:rPr>
          <w:rStyle w:val="92"/>
          <w:rFonts w:hint="eastAsia"/>
          <w:color w:val="auto"/>
          <w:sz w:val="21"/>
          <w:szCs w:val="21"/>
          <w:highlight w:val="none"/>
        </w:rPr>
        <w:t>采购需求：</w:t>
      </w:r>
    </w:p>
    <w:tbl>
      <w:tblPr>
        <w:tblStyle w:val="3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4684"/>
        <w:gridCol w:w="905"/>
        <w:gridCol w:w="107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66" w:type="dxa"/>
            <w:noWrap w:val="0"/>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center"/>
              <w:rPr>
                <w:rFonts w:hint="eastAsia" w:ascii="宋体" w:hAnsi="宋体" w:eastAsia="宋体" w:cs="宋体"/>
                <w:b/>
                <w:color w:val="000000"/>
                <w:sz w:val="21"/>
                <w:szCs w:val="21"/>
              </w:rPr>
            </w:pPr>
            <w:r>
              <w:rPr>
                <w:rFonts w:hint="eastAsia" w:ascii="宋体" w:hAnsi="宋体" w:eastAsia="宋体" w:cs="宋体"/>
                <w:b/>
                <w:bCs/>
                <w:color w:val="auto"/>
                <w:kern w:val="0"/>
                <w:sz w:val="21"/>
                <w:szCs w:val="21"/>
                <w:highlight w:val="none"/>
              </w:rPr>
              <w:t>标项序号</w:t>
            </w:r>
          </w:p>
        </w:tc>
        <w:tc>
          <w:tcPr>
            <w:tcW w:w="4684" w:type="dxa"/>
            <w:noWrap w:val="0"/>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center"/>
              <w:rPr>
                <w:rFonts w:hint="eastAsia" w:ascii="宋体" w:hAnsi="宋体" w:eastAsia="宋体" w:cs="宋体"/>
                <w:b/>
                <w:color w:val="000000"/>
                <w:sz w:val="21"/>
                <w:szCs w:val="21"/>
              </w:rPr>
            </w:pPr>
            <w:r>
              <w:rPr>
                <w:rFonts w:hint="eastAsia" w:ascii="宋体" w:hAnsi="宋体" w:eastAsia="宋体" w:cs="宋体"/>
                <w:b/>
                <w:bCs/>
                <w:color w:val="auto"/>
                <w:kern w:val="0"/>
                <w:sz w:val="21"/>
                <w:szCs w:val="21"/>
                <w:highlight w:val="none"/>
                <w:lang w:val="en-US" w:eastAsia="zh-CN"/>
              </w:rPr>
              <w:t>设备</w:t>
            </w:r>
            <w:r>
              <w:rPr>
                <w:rFonts w:hint="eastAsia" w:ascii="宋体" w:hAnsi="宋体" w:eastAsia="宋体" w:cs="宋体"/>
                <w:b/>
                <w:bCs/>
                <w:color w:val="auto"/>
                <w:kern w:val="0"/>
                <w:sz w:val="21"/>
                <w:szCs w:val="21"/>
                <w:highlight w:val="none"/>
              </w:rPr>
              <w:t>名称</w:t>
            </w:r>
          </w:p>
        </w:tc>
        <w:tc>
          <w:tcPr>
            <w:tcW w:w="905" w:type="dxa"/>
            <w:noWrap w:val="0"/>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center"/>
              <w:rPr>
                <w:rFonts w:hint="eastAsia" w:ascii="宋体" w:hAnsi="宋体" w:eastAsia="宋体" w:cs="宋体"/>
                <w:b/>
                <w:color w:val="000000"/>
                <w:sz w:val="21"/>
                <w:szCs w:val="21"/>
              </w:rPr>
            </w:pPr>
            <w:r>
              <w:rPr>
                <w:rFonts w:hint="eastAsia" w:ascii="宋体" w:hAnsi="宋体" w:eastAsia="宋体" w:cs="宋体"/>
                <w:b/>
                <w:bCs/>
                <w:color w:val="auto"/>
                <w:kern w:val="0"/>
                <w:sz w:val="21"/>
                <w:szCs w:val="21"/>
                <w:highlight w:val="none"/>
              </w:rPr>
              <w:t>数量</w:t>
            </w:r>
          </w:p>
        </w:tc>
        <w:tc>
          <w:tcPr>
            <w:tcW w:w="1075" w:type="dxa"/>
            <w:noWrap w:val="0"/>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center"/>
              <w:rPr>
                <w:rFonts w:hint="eastAsia" w:ascii="宋体" w:hAnsi="宋体" w:eastAsia="宋体" w:cs="宋体"/>
                <w:b/>
                <w:color w:val="000000"/>
                <w:sz w:val="21"/>
                <w:szCs w:val="21"/>
              </w:rPr>
            </w:pPr>
            <w:r>
              <w:rPr>
                <w:rFonts w:hint="eastAsia" w:ascii="宋体" w:hAnsi="宋体" w:eastAsia="宋体" w:cs="宋体"/>
                <w:b/>
                <w:bCs/>
                <w:color w:val="auto"/>
                <w:kern w:val="0"/>
                <w:sz w:val="21"/>
                <w:szCs w:val="21"/>
                <w:highlight w:val="none"/>
              </w:rPr>
              <w:t>预算金额(元)</w:t>
            </w:r>
          </w:p>
        </w:tc>
        <w:tc>
          <w:tcPr>
            <w:tcW w:w="1650" w:type="dxa"/>
            <w:noWrap w:val="0"/>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center"/>
              <w:rPr>
                <w:rFonts w:hint="eastAsia" w:ascii="宋体" w:hAnsi="宋体" w:eastAsia="宋体" w:cs="宋体"/>
                <w:b/>
                <w:color w:val="000000"/>
                <w:sz w:val="21"/>
                <w:szCs w:val="21"/>
                <w:lang w:val="en-US" w:eastAsia="zh-CN"/>
              </w:rPr>
            </w:pPr>
            <w:r>
              <w:rPr>
                <w:rFonts w:hint="eastAsia" w:ascii="宋体" w:hAnsi="宋体" w:eastAsia="宋体" w:cs="宋体"/>
                <w:b/>
                <w:bCs/>
                <w:color w:val="auto"/>
                <w:kern w:val="0"/>
                <w:sz w:val="21"/>
                <w:szCs w:val="21"/>
                <w:highlight w:val="none"/>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restart"/>
            <w:noWrap w:val="0"/>
            <w:vAlign w:val="center"/>
          </w:tcPr>
          <w:p>
            <w:pPr>
              <w:widowControl w:val="0"/>
              <w:jc w:val="center"/>
              <w:rPr>
                <w:rFonts w:hint="eastAsia" w:ascii="宋体" w:hAnsi="宋体" w:eastAsia="宋体" w:cs="宋体"/>
                <w:sz w:val="21"/>
                <w:szCs w:val="21"/>
                <w:vertAlign w:val="baseline"/>
              </w:rPr>
            </w:pPr>
            <w:r>
              <w:rPr>
                <w:rFonts w:hint="eastAsia" w:ascii="宋体" w:hAnsi="宋体" w:cs="宋体"/>
                <w:sz w:val="21"/>
                <w:szCs w:val="21"/>
                <w:vertAlign w:val="baseline"/>
                <w:lang w:eastAsia="zh-CN"/>
              </w:rPr>
              <w:t>标项</w:t>
            </w:r>
            <w:r>
              <w:rPr>
                <w:rFonts w:hint="eastAsia" w:ascii="宋体" w:hAnsi="宋体" w:eastAsia="宋体" w:cs="宋体"/>
                <w:sz w:val="21"/>
                <w:szCs w:val="21"/>
                <w:vertAlign w:val="baseline"/>
              </w:rPr>
              <w:t>一</w:t>
            </w: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highlight w:val="none"/>
              </w:rPr>
              <w:t>●电磁超声相控阵检测系统</w:t>
            </w:r>
            <w:r>
              <w:rPr>
                <w:rFonts w:hint="eastAsia" w:ascii="宋体" w:hAnsi="宋体" w:eastAsia="宋体" w:cs="宋体"/>
                <w:sz w:val="21"/>
                <w:szCs w:val="21"/>
                <w:highlight w:val="none"/>
                <w:vertAlign w:val="baseline"/>
                <w:lang w:val="en-US" w:eastAsia="zh-CN"/>
              </w:rPr>
              <w:t>(允许采购进口产品)</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1套</w:t>
            </w:r>
          </w:p>
        </w:tc>
        <w:tc>
          <w:tcPr>
            <w:tcW w:w="1075" w:type="dxa"/>
            <w:vMerge w:val="restart"/>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lang w:eastAsia="zh-CN"/>
              </w:rPr>
              <w:t>819000</w:t>
            </w:r>
          </w:p>
        </w:tc>
        <w:tc>
          <w:tcPr>
            <w:tcW w:w="1650" w:type="dxa"/>
            <w:vMerge w:val="restart"/>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0"/>
                <w:sz w:val="21"/>
                <w:szCs w:val="21"/>
                <w:highlight w:val="none"/>
              </w:rPr>
              <w:t>详见招标文件《第二章  招标项目需求》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便携式制动性能测试仪(允许采购进口产品)</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r>
              <w:rPr>
                <w:rFonts w:hint="eastAsia" w:ascii="宋体" w:hAnsi="宋体" w:eastAsia="宋体" w:cs="宋体"/>
                <w:sz w:val="21"/>
                <w:szCs w:val="21"/>
              </w:rPr>
              <w:t>套</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eastAsia="zh-CN"/>
              </w:rPr>
              <w:t>标项</w:t>
            </w:r>
            <w:r>
              <w:rPr>
                <w:rFonts w:hint="eastAsia" w:ascii="宋体" w:hAnsi="宋体" w:eastAsia="宋体" w:cs="宋体"/>
                <w:sz w:val="21"/>
                <w:szCs w:val="21"/>
                <w:vertAlign w:val="baseline"/>
              </w:rPr>
              <w:t>二</w:t>
            </w: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相控阵检测仪</w:t>
            </w:r>
            <w:r>
              <w:rPr>
                <w:rFonts w:hint="eastAsia" w:ascii="宋体" w:hAnsi="宋体" w:eastAsia="宋体" w:cs="宋体"/>
                <w:sz w:val="21"/>
                <w:szCs w:val="21"/>
                <w:vertAlign w:val="baseline"/>
                <w:lang w:val="en-US" w:eastAsia="zh-CN"/>
              </w:rPr>
              <w:t>(允许采购进口产品)</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套</w:t>
            </w:r>
          </w:p>
        </w:tc>
        <w:tc>
          <w:tcPr>
            <w:tcW w:w="107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lang w:eastAsia="zh-CN"/>
              </w:rPr>
              <w:t>1000000</w:t>
            </w: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noWrap w:val="0"/>
            <w:vAlign w:val="center"/>
          </w:tcPr>
          <w:p>
            <w:pPr>
              <w:widowControl w:val="0"/>
              <w:jc w:val="center"/>
              <w:rPr>
                <w:rFonts w:hint="eastAsia" w:ascii="宋体" w:hAnsi="宋体" w:eastAsia="宋体" w:cs="宋体"/>
                <w:sz w:val="21"/>
                <w:szCs w:val="21"/>
                <w:vertAlign w:val="baseline"/>
              </w:rPr>
            </w:pPr>
            <w:r>
              <w:rPr>
                <w:rFonts w:hint="eastAsia" w:ascii="宋体" w:hAnsi="宋体" w:cs="宋体"/>
                <w:sz w:val="21"/>
                <w:szCs w:val="21"/>
                <w:vertAlign w:val="baseline"/>
                <w:lang w:eastAsia="zh-CN"/>
              </w:rPr>
              <w:t>标项</w:t>
            </w:r>
            <w:r>
              <w:rPr>
                <w:rFonts w:hint="eastAsia" w:ascii="宋体" w:hAnsi="宋体" w:eastAsia="宋体" w:cs="宋体"/>
                <w:sz w:val="21"/>
                <w:szCs w:val="21"/>
                <w:vertAlign w:val="baseline"/>
              </w:rPr>
              <w:t>三</w:t>
            </w: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高温现场金相检测仪(允许采购进口产品)</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eastAsia" w:ascii="宋体" w:hAnsi="宋体" w:eastAsia="宋体" w:cs="宋体"/>
                <w:sz w:val="21"/>
                <w:szCs w:val="21"/>
              </w:rPr>
              <w:t>套</w:t>
            </w:r>
          </w:p>
        </w:tc>
        <w:tc>
          <w:tcPr>
            <w:tcW w:w="107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lang w:eastAsia="zh-CN"/>
              </w:rPr>
              <w:t>820000</w:t>
            </w: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restart"/>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eastAsia="zh-CN"/>
              </w:rPr>
              <w:t>标项</w:t>
            </w:r>
            <w:r>
              <w:rPr>
                <w:rFonts w:hint="eastAsia" w:ascii="宋体" w:hAnsi="宋体" w:eastAsia="宋体" w:cs="宋体"/>
                <w:sz w:val="21"/>
                <w:szCs w:val="21"/>
                <w:vertAlign w:val="baseline"/>
              </w:rPr>
              <w:t>四</w:t>
            </w: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bCs/>
                <w:sz w:val="21"/>
                <w:szCs w:val="21"/>
              </w:rPr>
              <w:t>笔形</w:t>
            </w:r>
            <w:r>
              <w:rPr>
                <w:rFonts w:hint="eastAsia" w:ascii="宋体" w:hAnsi="宋体" w:eastAsia="宋体" w:cs="宋体"/>
                <w:sz w:val="21"/>
                <w:szCs w:val="21"/>
                <w:vertAlign w:val="baseline"/>
              </w:rPr>
              <w:t>电磁超声测厚仪</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套</w:t>
            </w:r>
          </w:p>
        </w:tc>
        <w:tc>
          <w:tcPr>
            <w:tcW w:w="1075" w:type="dxa"/>
            <w:vMerge w:val="restart"/>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1050000</w:t>
            </w: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bCs/>
                <w:sz w:val="21"/>
                <w:szCs w:val="21"/>
              </w:rPr>
              <w:t>掌形</w:t>
            </w:r>
            <w:r>
              <w:rPr>
                <w:rFonts w:hint="eastAsia" w:ascii="宋体" w:hAnsi="宋体" w:eastAsia="宋体" w:cs="宋体"/>
                <w:sz w:val="21"/>
                <w:szCs w:val="21"/>
                <w:vertAlign w:val="baseline"/>
              </w:rPr>
              <w:t>电磁超声测厚仪</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套</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多关节型机器人</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套</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万能迷你智能机器人</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套</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小型智能机器人</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套</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工业机器人</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套</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4684" w:type="dxa"/>
            <w:noWrap w:val="0"/>
            <w:vAlign w:val="center"/>
          </w:tcPr>
          <w:p>
            <w:pPr>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智能搬运机械手</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套</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eastAsia="zh-CN"/>
              </w:rPr>
              <w:t>标项</w:t>
            </w:r>
            <w:r>
              <w:rPr>
                <w:rFonts w:hint="eastAsia" w:ascii="宋体" w:hAnsi="宋体" w:eastAsia="宋体" w:cs="宋体"/>
                <w:sz w:val="21"/>
                <w:szCs w:val="21"/>
                <w:vertAlign w:val="baseline"/>
                <w:lang w:eastAsia="zh-CN"/>
              </w:rPr>
              <w:t>五</w:t>
            </w:r>
          </w:p>
        </w:tc>
        <w:tc>
          <w:tcPr>
            <w:tcW w:w="4684" w:type="dxa"/>
            <w:noWrap w:val="0"/>
            <w:vAlign w:val="center"/>
          </w:tcPr>
          <w:p>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电磁扰动检测设备</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套</w:t>
            </w:r>
          </w:p>
        </w:tc>
        <w:tc>
          <w:tcPr>
            <w:tcW w:w="107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1100000</w:t>
            </w: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restart"/>
            <w:noWrap w:val="0"/>
            <w:vAlign w:val="center"/>
          </w:tcPr>
          <w:p>
            <w:pPr>
              <w:widowControl w:val="0"/>
              <w:jc w:val="center"/>
              <w:rPr>
                <w:rFonts w:hint="eastAsia" w:ascii="宋体" w:hAnsi="宋体" w:eastAsia="宋体" w:cs="宋体"/>
                <w:sz w:val="21"/>
                <w:szCs w:val="21"/>
                <w:vertAlign w:val="baseline"/>
              </w:rPr>
            </w:pPr>
            <w:r>
              <w:rPr>
                <w:rFonts w:hint="eastAsia" w:ascii="宋体" w:hAnsi="宋体" w:cs="宋体"/>
                <w:sz w:val="21"/>
                <w:szCs w:val="21"/>
                <w:vertAlign w:val="baseline"/>
                <w:lang w:eastAsia="zh-CN"/>
              </w:rPr>
              <w:t>标项</w:t>
            </w:r>
            <w:r>
              <w:rPr>
                <w:rFonts w:hint="eastAsia" w:ascii="宋体" w:hAnsi="宋体" w:eastAsia="宋体" w:cs="宋体"/>
                <w:sz w:val="21"/>
                <w:szCs w:val="21"/>
                <w:vertAlign w:val="baseline"/>
                <w:lang w:eastAsia="zh-CN"/>
              </w:rPr>
              <w:t>六</w:t>
            </w: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●交流电磁场（ACFM）检测仪</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套</w:t>
            </w:r>
          </w:p>
        </w:tc>
        <w:tc>
          <w:tcPr>
            <w:tcW w:w="1075" w:type="dxa"/>
            <w:vMerge w:val="restart"/>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1250000</w:t>
            </w: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呼吸阀校验系统</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套</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restart"/>
            <w:noWrap w:val="0"/>
            <w:vAlign w:val="center"/>
          </w:tcPr>
          <w:p>
            <w:pPr>
              <w:widowControl w:val="0"/>
              <w:jc w:val="center"/>
              <w:rPr>
                <w:rFonts w:hint="eastAsia" w:ascii="宋体" w:hAnsi="宋体" w:eastAsia="宋体" w:cs="宋体"/>
                <w:sz w:val="21"/>
                <w:szCs w:val="21"/>
                <w:vertAlign w:val="baseline"/>
              </w:rPr>
            </w:pPr>
            <w:r>
              <w:rPr>
                <w:rFonts w:hint="eastAsia" w:ascii="宋体" w:hAnsi="宋体" w:cs="宋体"/>
                <w:sz w:val="21"/>
                <w:szCs w:val="21"/>
                <w:vertAlign w:val="baseline"/>
                <w:lang w:eastAsia="zh-CN"/>
              </w:rPr>
              <w:t>标项</w:t>
            </w:r>
            <w:r>
              <w:rPr>
                <w:rFonts w:hint="eastAsia" w:ascii="宋体" w:hAnsi="宋体" w:eastAsia="宋体" w:cs="宋体"/>
                <w:sz w:val="21"/>
                <w:szCs w:val="21"/>
                <w:vertAlign w:val="baseline"/>
              </w:rPr>
              <w:t>七</w:t>
            </w:r>
          </w:p>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●脱气氢电导率测定仪</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套</w:t>
            </w:r>
          </w:p>
        </w:tc>
        <w:tc>
          <w:tcPr>
            <w:tcW w:w="1075" w:type="dxa"/>
            <w:vMerge w:val="restart"/>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795100</w:t>
            </w: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一体便携式磁粉仪器</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r>
              <w:rPr>
                <w:rFonts w:hint="eastAsia" w:ascii="宋体" w:hAnsi="宋体" w:eastAsia="宋体" w:cs="宋体"/>
                <w:sz w:val="21"/>
                <w:szCs w:val="21"/>
              </w:rPr>
              <w:t>套</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超声波探伤仪</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eastAsia" w:ascii="宋体" w:hAnsi="宋体" w:eastAsia="宋体" w:cs="宋体"/>
                <w:sz w:val="21"/>
                <w:szCs w:val="21"/>
              </w:rPr>
              <w:t>套</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超声波探伤仪</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套</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304不锈钢超声波检测用模拟试块</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套</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埋地管道泄漏检测仪</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套</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restart"/>
            <w:noWrap w:val="0"/>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标项</w:t>
            </w:r>
            <w:r>
              <w:rPr>
                <w:rFonts w:hint="eastAsia" w:ascii="宋体" w:hAnsi="宋体" w:eastAsia="宋体" w:cs="宋体"/>
                <w:sz w:val="21"/>
                <w:szCs w:val="21"/>
                <w:vertAlign w:val="baseline"/>
                <w:lang w:val="en-US" w:eastAsia="zh-CN"/>
              </w:rPr>
              <w:t>八</w:t>
            </w: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电磁超声测厚仪</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套</w:t>
            </w:r>
          </w:p>
        </w:tc>
        <w:tc>
          <w:tcPr>
            <w:tcW w:w="1075" w:type="dxa"/>
            <w:vMerge w:val="restart"/>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1005000</w:t>
            </w: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电磁超声导波探伤仪</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套</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高速电梯综合性能分析仪</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套</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电梯制动器振动动态性能分析仪</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套</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电梯传动轴承故障分析仪</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套</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noWrap w:val="0"/>
            <w:vAlign w:val="center"/>
          </w:tcPr>
          <w:p>
            <w:pPr>
              <w:widowControl w:val="0"/>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eastAsia="zh-CN"/>
              </w:rPr>
              <w:t>标项</w:t>
            </w:r>
            <w:r>
              <w:rPr>
                <w:rFonts w:hint="eastAsia" w:ascii="宋体" w:hAnsi="宋体" w:eastAsia="宋体" w:cs="宋体"/>
                <w:sz w:val="21"/>
                <w:szCs w:val="21"/>
                <w:vertAlign w:val="baseline"/>
                <w:lang w:eastAsia="zh-CN"/>
              </w:rPr>
              <w:t>九</w:t>
            </w:r>
          </w:p>
        </w:tc>
        <w:tc>
          <w:tcPr>
            <w:tcW w:w="4684" w:type="dxa"/>
            <w:noWrap w:val="0"/>
            <w:vAlign w:val="center"/>
          </w:tcPr>
          <w:p>
            <w:pPr>
              <w:widowControl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超声波残余应力检测分析系统</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套</w:t>
            </w:r>
          </w:p>
        </w:tc>
        <w:tc>
          <w:tcPr>
            <w:tcW w:w="107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700000</w:t>
            </w: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restart"/>
            <w:noWrap w:val="0"/>
            <w:vAlign w:val="center"/>
          </w:tcPr>
          <w:p>
            <w:pPr>
              <w:widowControl w:val="0"/>
              <w:jc w:val="center"/>
              <w:rPr>
                <w:rFonts w:hint="eastAsia" w:ascii="宋体" w:hAnsi="宋体" w:eastAsia="宋体" w:cs="宋体"/>
                <w:sz w:val="21"/>
                <w:szCs w:val="21"/>
                <w:vertAlign w:val="baseline"/>
              </w:rPr>
            </w:pPr>
            <w:r>
              <w:rPr>
                <w:rFonts w:hint="eastAsia" w:ascii="宋体" w:hAnsi="宋体" w:cs="宋体"/>
                <w:sz w:val="21"/>
                <w:szCs w:val="21"/>
                <w:vertAlign w:val="baseline"/>
                <w:lang w:eastAsia="zh-CN"/>
              </w:rPr>
              <w:t>标项</w:t>
            </w:r>
            <w:r>
              <w:rPr>
                <w:rFonts w:hint="eastAsia" w:ascii="宋体" w:hAnsi="宋体" w:eastAsia="宋体" w:cs="宋体"/>
                <w:sz w:val="21"/>
                <w:szCs w:val="21"/>
                <w:vertAlign w:val="baseline"/>
                <w:lang w:eastAsia="zh-CN"/>
              </w:rPr>
              <w:t>十</w:t>
            </w: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便携式浊度仪</w:t>
            </w:r>
          </w:p>
        </w:tc>
        <w:tc>
          <w:tcPr>
            <w:tcW w:w="905" w:type="dxa"/>
            <w:noWrap w:val="0"/>
            <w:vAlign w:val="center"/>
          </w:tcPr>
          <w:p>
            <w:pPr>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cs="宋体"/>
                <w:sz w:val="21"/>
                <w:szCs w:val="21"/>
                <w:vertAlign w:val="baseline"/>
                <w:lang w:val="en-US" w:eastAsia="zh-CN"/>
              </w:rPr>
              <w:t>套</w:t>
            </w:r>
          </w:p>
        </w:tc>
        <w:tc>
          <w:tcPr>
            <w:tcW w:w="1075" w:type="dxa"/>
            <w:vMerge w:val="restart"/>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910900</w:t>
            </w: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硅酸根分析仪</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1台</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声级计</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12台</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接地电阻测试仪</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12台</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绝缘电阻测试仪</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12台</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综合气象仪</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套</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电梯振动及起制动加减速度测量仪</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3台</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限速器动作速度测试设备</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5台</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电梯检验音像记录系统（视频自动剪辑）</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r>
              <w:rPr>
                <w:rFonts w:hint="eastAsia" w:ascii="宋体" w:hAnsi="宋体" w:eastAsia="宋体" w:cs="宋体"/>
                <w:sz w:val="21"/>
                <w:szCs w:val="21"/>
              </w:rPr>
              <w:t>套</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电梯安全钳制动参数测量仪</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1台</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厂车电池与盖板间隙测试仪</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1台</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电梯超载检测仪</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套</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电扶梯运行特性分析仪</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套</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电梯/扶梯测量尺</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r>
              <w:rPr>
                <w:rFonts w:hint="eastAsia" w:ascii="宋体" w:hAnsi="宋体" w:eastAsia="宋体" w:cs="宋体"/>
                <w:sz w:val="21"/>
                <w:szCs w:val="21"/>
              </w:rPr>
              <w:t>套</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6" w:type="dxa"/>
            <w:vMerge w:val="continue"/>
            <w:noWrap w:val="0"/>
            <w:vAlign w:val="center"/>
          </w:tcPr>
          <w:p>
            <w:pPr>
              <w:widowControl w:val="0"/>
              <w:jc w:val="center"/>
              <w:rPr>
                <w:rFonts w:hint="eastAsia" w:ascii="宋体" w:hAnsi="宋体" w:eastAsia="宋体" w:cs="宋体"/>
                <w:sz w:val="21"/>
                <w:szCs w:val="21"/>
                <w:vertAlign w:val="baseline"/>
              </w:rPr>
            </w:pPr>
          </w:p>
        </w:tc>
        <w:tc>
          <w:tcPr>
            <w:tcW w:w="4684"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标牌机</w:t>
            </w:r>
          </w:p>
        </w:tc>
        <w:tc>
          <w:tcPr>
            <w:tcW w:w="905" w:type="dxa"/>
            <w:noWrap w:val="0"/>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rPr>
              <w:t>套</w:t>
            </w:r>
          </w:p>
        </w:tc>
        <w:tc>
          <w:tcPr>
            <w:tcW w:w="1075"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c>
          <w:tcPr>
            <w:tcW w:w="1650" w:type="dxa"/>
            <w:vMerge w:val="continue"/>
            <w:noWrap w:val="0"/>
            <w:vAlign w:val="center"/>
          </w:tcPr>
          <w:p>
            <w:pPr>
              <w:widowControl w:val="0"/>
              <w:jc w:val="center"/>
              <w:rPr>
                <w:rFonts w:hint="eastAsia" w:ascii="宋体" w:hAnsi="宋体" w:eastAsia="宋体" w:cs="宋体"/>
                <w:sz w:val="21"/>
                <w:szCs w:val="21"/>
                <w:vertAlign w:val="baseline"/>
                <w:lang w:val="en-US" w:eastAsia="zh-CN"/>
              </w:rPr>
            </w:pPr>
          </w:p>
        </w:tc>
      </w:tr>
    </w:tbl>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合同履行期限：合同签订之日起</w:t>
      </w:r>
      <w:r>
        <w:rPr>
          <w:rFonts w:hint="eastAsia" w:ascii="宋体" w:hAnsi="宋体" w:cs="宋体"/>
          <w:color w:val="auto"/>
          <w:szCs w:val="21"/>
          <w:highlight w:val="none"/>
          <w:lang w:val="en-US" w:eastAsia="zh-CN"/>
        </w:rPr>
        <w:t>80</w:t>
      </w:r>
      <w:r>
        <w:rPr>
          <w:rFonts w:hint="eastAsia" w:ascii="宋体" w:hAnsi="宋体" w:cs="宋体"/>
          <w:color w:val="auto"/>
          <w:szCs w:val="21"/>
          <w:highlight w:val="none"/>
        </w:rPr>
        <w:t>天内交货。</w:t>
      </w:r>
    </w:p>
    <w:p>
      <w:pPr>
        <w:pStyle w:val="31"/>
        <w:spacing w:before="0" w:beforeAutospacing="0" w:after="0" w:afterAutospacing="0" w:line="400" w:lineRule="exact"/>
        <w:rPr>
          <w:color w:val="auto"/>
          <w:sz w:val="21"/>
          <w:szCs w:val="21"/>
          <w:highlight w:val="none"/>
        </w:rPr>
      </w:pPr>
      <w:r>
        <w:rPr>
          <w:rFonts w:hint="eastAsia"/>
          <w:color w:val="auto"/>
          <w:sz w:val="21"/>
          <w:szCs w:val="21"/>
          <w:highlight w:val="none"/>
        </w:rPr>
        <w:t xml:space="preserve">   </w:t>
      </w:r>
      <w:r>
        <w:rPr>
          <w:rFonts w:hint="eastAsia" w:cs="宋体"/>
          <w:color w:val="auto"/>
          <w:kern w:val="2"/>
          <w:sz w:val="21"/>
          <w:szCs w:val="21"/>
          <w:highlight w:val="none"/>
        </w:rPr>
        <w:t>本项目（否）接受联合体投标。</w:t>
      </w:r>
    </w:p>
    <w:p>
      <w:pPr>
        <w:pStyle w:val="31"/>
        <w:spacing w:before="0" w:beforeAutospacing="0" w:after="0" w:afterAutospacing="0" w:line="400" w:lineRule="exact"/>
        <w:jc w:val="both"/>
        <w:rPr>
          <w:color w:val="auto"/>
          <w:sz w:val="21"/>
          <w:szCs w:val="21"/>
          <w:highlight w:val="none"/>
        </w:rPr>
      </w:pPr>
      <w:r>
        <w:rPr>
          <w:rStyle w:val="40"/>
          <w:rFonts w:hint="eastAsia"/>
          <w:color w:val="auto"/>
          <w:sz w:val="21"/>
          <w:szCs w:val="21"/>
          <w:highlight w:val="none"/>
        </w:rPr>
        <w:t>二、申请人的资格要求：</w:t>
      </w:r>
    </w:p>
    <w:p>
      <w:pPr>
        <w:pStyle w:val="31"/>
        <w:spacing w:before="0" w:beforeAutospacing="0" w:after="0" w:afterAutospacing="0" w:line="400" w:lineRule="exact"/>
        <w:rPr>
          <w:color w:val="auto"/>
          <w:sz w:val="21"/>
          <w:szCs w:val="21"/>
          <w:highlight w:val="none"/>
        </w:rPr>
      </w:pPr>
      <w:r>
        <w:rPr>
          <w:rFonts w:hint="eastAsia"/>
          <w:color w:val="auto"/>
          <w:sz w:val="21"/>
          <w:szCs w:val="21"/>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3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2、落实政府采购政策需满足的资格要求：</w:t>
      </w:r>
    </w:p>
    <w:p>
      <w:pPr>
        <w:pStyle w:val="31"/>
        <w:spacing w:before="0" w:beforeAutospacing="0" w:after="0" w:afterAutospacing="0" w:line="400" w:lineRule="exact"/>
        <w:ind w:firstLine="630" w:firstLineChars="300"/>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lang w:val="en-US" w:eastAsia="zh-CN"/>
        </w:rPr>
        <w:t>标项一、二、三</w:t>
      </w:r>
      <w:r>
        <w:rPr>
          <w:rFonts w:hint="eastAsia"/>
          <w:color w:val="auto"/>
          <w:sz w:val="21"/>
          <w:szCs w:val="21"/>
          <w:highlight w:val="none"/>
        </w:rPr>
        <w:t>落实政府采购政策需满足的资格要求：</w:t>
      </w:r>
      <w:r>
        <w:rPr>
          <w:rFonts w:hint="eastAsia"/>
          <w:color w:val="auto"/>
          <w:sz w:val="21"/>
          <w:szCs w:val="21"/>
          <w:highlight w:val="none"/>
          <w:lang w:val="en-US" w:eastAsia="zh-CN"/>
        </w:rPr>
        <w:t>无。</w:t>
      </w:r>
    </w:p>
    <w:p>
      <w:pPr>
        <w:pStyle w:val="31"/>
        <w:spacing w:before="0" w:beforeAutospacing="0" w:after="0" w:afterAutospacing="0" w:line="400" w:lineRule="exact"/>
        <w:ind w:firstLine="630" w:firstLineChars="300"/>
        <w:rPr>
          <w:rFonts w:hint="default" w:eastAsia="宋体"/>
          <w:color w:val="auto"/>
          <w:sz w:val="21"/>
          <w:szCs w:val="21"/>
          <w:highlight w:val="none"/>
          <w:lang w:val="en-US" w:eastAsia="zh-CN"/>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lang w:val="en-US" w:eastAsia="zh-CN"/>
        </w:rPr>
        <w:t>标项四、五、六、七、八、九、十</w:t>
      </w:r>
      <w:r>
        <w:rPr>
          <w:rFonts w:hint="eastAsia"/>
          <w:color w:val="auto"/>
          <w:sz w:val="21"/>
          <w:szCs w:val="21"/>
          <w:highlight w:val="none"/>
        </w:rPr>
        <w:t>落实政府采购政策需满足的资格要求</w:t>
      </w:r>
      <w:r>
        <w:rPr>
          <w:rFonts w:hint="eastAsia"/>
          <w:color w:val="auto"/>
          <w:sz w:val="21"/>
          <w:szCs w:val="21"/>
          <w:highlight w:val="none"/>
          <w:lang w:eastAsia="zh-CN"/>
        </w:rPr>
        <w:t>：</w:t>
      </w:r>
      <w:r>
        <w:rPr>
          <w:rFonts w:hint="eastAsia"/>
          <w:color w:val="auto"/>
          <w:sz w:val="21"/>
          <w:szCs w:val="21"/>
          <w:highlight w:val="none"/>
          <w:lang w:val="en-US" w:eastAsia="zh-CN"/>
        </w:rPr>
        <w:t>为</w:t>
      </w:r>
      <w:r>
        <w:rPr>
          <w:rFonts w:hint="eastAsia" w:cs="Times New Roman"/>
          <w:color w:val="auto"/>
          <w:sz w:val="21"/>
          <w:szCs w:val="21"/>
          <w:highlight w:val="none"/>
        </w:rPr>
        <w:t>专门面向中小企业采购的项目，供应商须符合工信部联企业[2011]300号</w:t>
      </w:r>
      <w:r>
        <w:rPr>
          <w:rFonts w:hint="eastAsia"/>
          <w:color w:val="auto"/>
          <w:sz w:val="21"/>
          <w:szCs w:val="21"/>
          <w:highlight w:val="none"/>
        </w:rPr>
        <w:t>中小企业划型标准规定</w:t>
      </w:r>
      <w:r>
        <w:rPr>
          <w:rFonts w:hint="eastAsia" w:cs="Times New Roman"/>
          <w:color w:val="auto"/>
          <w:sz w:val="21"/>
          <w:szCs w:val="21"/>
          <w:highlight w:val="none"/>
        </w:rPr>
        <w:t>（监狱企业及残疾人福利性单位视同小型、微型企业）</w:t>
      </w:r>
      <w:r>
        <w:rPr>
          <w:rFonts w:hint="eastAsia"/>
          <w:color w:val="auto"/>
          <w:sz w:val="21"/>
          <w:szCs w:val="21"/>
          <w:highlight w:val="none"/>
        </w:rPr>
        <w:t>。</w:t>
      </w:r>
    </w:p>
    <w:p>
      <w:pPr>
        <w:pStyle w:val="31"/>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3、本项目的特定资格要求：无。</w:t>
      </w:r>
    </w:p>
    <w:p>
      <w:pPr>
        <w:pStyle w:val="31"/>
        <w:spacing w:before="0" w:beforeAutospacing="0" w:after="0" w:afterAutospacing="0" w:line="400" w:lineRule="exact"/>
        <w:jc w:val="both"/>
        <w:rPr>
          <w:rStyle w:val="40"/>
          <w:color w:val="auto"/>
          <w:sz w:val="21"/>
          <w:szCs w:val="21"/>
          <w:highlight w:val="none"/>
        </w:rPr>
      </w:pPr>
      <w:r>
        <w:rPr>
          <w:rStyle w:val="40"/>
          <w:rFonts w:hint="eastAsia"/>
          <w:color w:val="auto"/>
          <w:sz w:val="21"/>
          <w:szCs w:val="21"/>
          <w:highlight w:val="none"/>
        </w:rPr>
        <w:t>三、获取</w:t>
      </w:r>
      <w:r>
        <w:rPr>
          <w:rStyle w:val="40"/>
          <w:rFonts w:hint="eastAsia"/>
          <w:sz w:val="21"/>
          <w:szCs w:val="21"/>
        </w:rPr>
        <w:t>（下载）</w:t>
      </w:r>
      <w:r>
        <w:rPr>
          <w:rStyle w:val="40"/>
          <w:rFonts w:hint="eastAsia"/>
          <w:color w:val="auto"/>
          <w:sz w:val="21"/>
          <w:szCs w:val="21"/>
          <w:highlight w:val="none"/>
        </w:rPr>
        <w:t>招标文件</w:t>
      </w:r>
    </w:p>
    <w:p>
      <w:pPr>
        <w:pStyle w:val="31"/>
        <w:spacing w:before="0" w:beforeAutospacing="0" w:after="0" w:afterAutospacing="0" w:line="400" w:lineRule="exact"/>
        <w:rPr>
          <w:rFonts w:cs="宋体"/>
          <w:color w:val="auto"/>
          <w:sz w:val="21"/>
          <w:szCs w:val="21"/>
          <w:highlight w:val="none"/>
        </w:rPr>
      </w:pPr>
      <w:r>
        <w:rPr>
          <w:rFonts w:hint="eastAsia"/>
          <w:color w:val="auto"/>
          <w:sz w:val="21"/>
          <w:szCs w:val="21"/>
          <w:highlight w:val="none"/>
        </w:rPr>
        <w:t>   </w:t>
      </w:r>
      <w:r>
        <w:rPr>
          <w:rFonts w:hint="eastAsia" w:cs="宋体"/>
          <w:color w:val="auto"/>
          <w:sz w:val="21"/>
          <w:szCs w:val="21"/>
          <w:highlight w:val="none"/>
        </w:rPr>
        <w:t xml:space="preserve"> 时间：</w:t>
      </w:r>
      <w:r>
        <w:rPr>
          <w:rFonts w:hint="eastAsia" w:cs="宋体"/>
          <w:color w:val="auto"/>
          <w:sz w:val="21"/>
          <w:szCs w:val="21"/>
          <w:highlight w:val="none"/>
          <w:u w:val="single"/>
        </w:rPr>
        <w:t> </w:t>
      </w:r>
      <w:r>
        <w:rPr>
          <w:rStyle w:val="93"/>
          <w:rFonts w:hint="eastAsia" w:cs="宋体"/>
          <w:color w:val="auto"/>
          <w:sz w:val="21"/>
          <w:szCs w:val="21"/>
          <w:highlight w:val="none"/>
          <w:u w:val="single"/>
        </w:rPr>
        <w:t>202</w:t>
      </w:r>
      <w:r>
        <w:rPr>
          <w:rStyle w:val="93"/>
          <w:rFonts w:hint="eastAsia" w:cs="宋体"/>
          <w:color w:val="auto"/>
          <w:sz w:val="21"/>
          <w:szCs w:val="21"/>
          <w:highlight w:val="none"/>
          <w:u w:val="single"/>
          <w:lang w:val="en-US" w:eastAsia="zh-CN"/>
        </w:rPr>
        <w:t>4</w:t>
      </w:r>
      <w:r>
        <w:rPr>
          <w:rStyle w:val="93"/>
          <w:rFonts w:hint="eastAsia" w:cs="宋体"/>
          <w:color w:val="auto"/>
          <w:sz w:val="21"/>
          <w:szCs w:val="21"/>
          <w:highlight w:val="none"/>
          <w:u w:val="single"/>
        </w:rPr>
        <w:t>年</w:t>
      </w:r>
      <w:r>
        <w:rPr>
          <w:rStyle w:val="93"/>
          <w:rFonts w:hint="eastAsia" w:cs="宋体"/>
          <w:color w:val="auto"/>
          <w:sz w:val="21"/>
          <w:szCs w:val="21"/>
          <w:highlight w:val="none"/>
          <w:u w:val="single"/>
          <w:lang w:val="en-US" w:eastAsia="zh-CN"/>
        </w:rPr>
        <w:t>4</w:t>
      </w:r>
      <w:r>
        <w:rPr>
          <w:rStyle w:val="93"/>
          <w:rFonts w:hint="eastAsia" w:cs="宋体"/>
          <w:color w:val="auto"/>
          <w:sz w:val="21"/>
          <w:szCs w:val="21"/>
          <w:highlight w:val="none"/>
          <w:u w:val="single"/>
        </w:rPr>
        <w:t>月</w:t>
      </w:r>
      <w:r>
        <w:rPr>
          <w:rStyle w:val="93"/>
          <w:rFonts w:hint="eastAsia" w:cs="宋体"/>
          <w:color w:val="auto"/>
          <w:sz w:val="21"/>
          <w:szCs w:val="21"/>
          <w:highlight w:val="none"/>
          <w:u w:val="single"/>
          <w:lang w:val="en-US" w:eastAsia="zh-CN"/>
        </w:rPr>
        <w:t>2</w:t>
      </w:r>
      <w:r>
        <w:rPr>
          <w:rStyle w:val="93"/>
          <w:rFonts w:hint="eastAsia" w:cs="宋体"/>
          <w:color w:val="auto"/>
          <w:sz w:val="21"/>
          <w:szCs w:val="21"/>
          <w:highlight w:val="none"/>
          <w:u w:val="single"/>
        </w:rPr>
        <w:t>日</w:t>
      </w:r>
      <w:r>
        <w:rPr>
          <w:rFonts w:hint="eastAsia" w:cs="宋体"/>
          <w:color w:val="auto"/>
          <w:sz w:val="21"/>
          <w:szCs w:val="21"/>
          <w:highlight w:val="none"/>
          <w:u w:val="single"/>
        </w:rPr>
        <w:t> </w:t>
      </w:r>
      <w:r>
        <w:rPr>
          <w:rFonts w:hint="eastAsia" w:cs="宋体"/>
          <w:color w:val="auto"/>
          <w:sz w:val="21"/>
          <w:szCs w:val="21"/>
          <w:highlight w:val="none"/>
        </w:rPr>
        <w:t>至</w:t>
      </w:r>
      <w:r>
        <w:rPr>
          <w:rFonts w:hint="eastAsia" w:cs="宋体"/>
          <w:color w:val="auto"/>
          <w:sz w:val="21"/>
          <w:szCs w:val="21"/>
          <w:highlight w:val="none"/>
          <w:u w:val="single"/>
        </w:rPr>
        <w:t> </w:t>
      </w:r>
      <w:r>
        <w:rPr>
          <w:rStyle w:val="93"/>
          <w:rFonts w:hint="eastAsia" w:cs="宋体"/>
          <w:color w:val="auto"/>
          <w:sz w:val="21"/>
          <w:szCs w:val="21"/>
          <w:highlight w:val="none"/>
          <w:u w:val="single"/>
        </w:rPr>
        <w:t>202</w:t>
      </w:r>
      <w:r>
        <w:rPr>
          <w:rStyle w:val="93"/>
          <w:rFonts w:hint="eastAsia" w:cs="宋体"/>
          <w:color w:val="auto"/>
          <w:sz w:val="21"/>
          <w:szCs w:val="21"/>
          <w:highlight w:val="none"/>
          <w:u w:val="single"/>
          <w:lang w:val="en-US" w:eastAsia="zh-CN"/>
        </w:rPr>
        <w:t>4</w:t>
      </w:r>
      <w:r>
        <w:rPr>
          <w:rStyle w:val="93"/>
          <w:rFonts w:hint="eastAsia" w:cs="宋体"/>
          <w:color w:val="auto"/>
          <w:sz w:val="21"/>
          <w:szCs w:val="21"/>
          <w:highlight w:val="none"/>
          <w:u w:val="single"/>
        </w:rPr>
        <w:t>年</w:t>
      </w:r>
      <w:r>
        <w:rPr>
          <w:rStyle w:val="93"/>
          <w:rFonts w:hint="eastAsia" w:cs="宋体"/>
          <w:color w:val="auto"/>
          <w:sz w:val="21"/>
          <w:szCs w:val="21"/>
          <w:highlight w:val="none"/>
          <w:u w:val="single"/>
          <w:lang w:val="en-US" w:eastAsia="zh-CN"/>
        </w:rPr>
        <w:t>4</w:t>
      </w:r>
      <w:r>
        <w:rPr>
          <w:rStyle w:val="93"/>
          <w:rFonts w:hint="eastAsia" w:cs="宋体"/>
          <w:color w:val="auto"/>
          <w:sz w:val="21"/>
          <w:szCs w:val="21"/>
          <w:highlight w:val="none"/>
          <w:u w:val="single"/>
        </w:rPr>
        <w:t>月</w:t>
      </w:r>
      <w:r>
        <w:rPr>
          <w:rStyle w:val="93"/>
          <w:rFonts w:hint="eastAsia" w:cs="宋体"/>
          <w:color w:val="auto"/>
          <w:sz w:val="21"/>
          <w:szCs w:val="21"/>
          <w:highlight w:val="none"/>
          <w:u w:val="single"/>
          <w:lang w:val="en-US" w:eastAsia="zh-CN"/>
        </w:rPr>
        <w:t>23</w:t>
      </w:r>
      <w:r>
        <w:rPr>
          <w:rStyle w:val="93"/>
          <w:rFonts w:hint="eastAsia" w:cs="宋体"/>
          <w:color w:val="auto"/>
          <w:sz w:val="21"/>
          <w:szCs w:val="21"/>
          <w:highlight w:val="none"/>
          <w:u w:val="single"/>
        </w:rPr>
        <w:t>日</w:t>
      </w:r>
      <w:r>
        <w:rPr>
          <w:rFonts w:hint="eastAsia" w:cs="宋体"/>
          <w:color w:val="auto"/>
          <w:sz w:val="21"/>
          <w:szCs w:val="21"/>
          <w:highlight w:val="none"/>
          <w:u w:val="single"/>
        </w:rPr>
        <w:t> </w:t>
      </w:r>
      <w:r>
        <w:rPr>
          <w:rFonts w:hint="eastAsia" w:cs="宋体"/>
          <w:color w:val="auto"/>
          <w:sz w:val="21"/>
          <w:szCs w:val="21"/>
          <w:highlight w:val="none"/>
        </w:rPr>
        <w:t>，每天上午</w:t>
      </w:r>
      <w:r>
        <w:rPr>
          <w:rFonts w:hint="eastAsia" w:cs="宋体"/>
          <w:color w:val="auto"/>
          <w:sz w:val="21"/>
          <w:szCs w:val="21"/>
          <w:highlight w:val="none"/>
          <w:u w:val="single"/>
        </w:rPr>
        <w:t> </w:t>
      </w:r>
      <w:r>
        <w:rPr>
          <w:rStyle w:val="93"/>
          <w:rFonts w:hint="eastAsia" w:cs="宋体"/>
          <w:color w:val="auto"/>
          <w:sz w:val="21"/>
          <w:szCs w:val="21"/>
          <w:highlight w:val="none"/>
          <w:u w:val="single"/>
        </w:rPr>
        <w:t>00:00至12:00</w:t>
      </w:r>
      <w:r>
        <w:rPr>
          <w:rStyle w:val="93"/>
          <w:rFonts w:hint="eastAsia" w:cs="宋体"/>
          <w:color w:val="auto"/>
          <w:sz w:val="21"/>
          <w:szCs w:val="21"/>
          <w:highlight w:val="none"/>
          <w:u w:val="single"/>
          <w:lang w:val="en-US" w:eastAsia="zh-CN"/>
        </w:rPr>
        <w:t xml:space="preserve">  </w:t>
      </w:r>
      <w:r>
        <w:rPr>
          <w:rFonts w:hint="eastAsia" w:cs="宋体"/>
          <w:color w:val="auto"/>
          <w:sz w:val="21"/>
          <w:szCs w:val="21"/>
          <w:highlight w:val="none"/>
        </w:rPr>
        <w:t>，下午</w:t>
      </w:r>
      <w:r>
        <w:rPr>
          <w:rFonts w:hint="eastAsia" w:cs="宋体"/>
          <w:color w:val="auto"/>
          <w:sz w:val="21"/>
          <w:szCs w:val="21"/>
          <w:highlight w:val="none"/>
          <w:u w:val="single"/>
        </w:rPr>
        <w:t> </w:t>
      </w:r>
      <w:r>
        <w:rPr>
          <w:rStyle w:val="93"/>
          <w:rFonts w:hint="eastAsia" w:cs="宋体"/>
          <w:color w:val="auto"/>
          <w:sz w:val="21"/>
          <w:szCs w:val="21"/>
          <w:highlight w:val="none"/>
          <w:u w:val="single"/>
        </w:rPr>
        <w:t>12:00至23:59</w:t>
      </w:r>
      <w:r>
        <w:rPr>
          <w:rFonts w:hint="eastAsia" w:cs="宋体"/>
          <w:color w:val="auto"/>
          <w:sz w:val="21"/>
          <w:szCs w:val="21"/>
          <w:highlight w:val="none"/>
          <w:u w:val="single"/>
        </w:rPr>
        <w:t> </w:t>
      </w:r>
      <w:r>
        <w:rPr>
          <w:rFonts w:hint="eastAsia" w:cs="宋体"/>
          <w:color w:val="auto"/>
          <w:sz w:val="21"/>
          <w:szCs w:val="21"/>
          <w:highlight w:val="none"/>
        </w:rPr>
        <w:t>（北京时间，线上获取法定节假日均可，线下获取文件法定节假日除外）</w:t>
      </w:r>
    </w:p>
    <w:p>
      <w:pPr>
        <w:pStyle w:val="31"/>
        <w:spacing w:before="0" w:beforeAutospacing="0" w:after="0" w:afterAutospacing="0" w:line="400" w:lineRule="exact"/>
        <w:ind w:firstLine="525" w:firstLineChars="250"/>
        <w:rPr>
          <w:rStyle w:val="93"/>
          <w:rFonts w:hint="eastAsia"/>
          <w:color w:val="auto"/>
          <w:sz w:val="21"/>
          <w:szCs w:val="21"/>
          <w:highlight w:val="none"/>
        </w:rPr>
      </w:pPr>
      <w:r>
        <w:rPr>
          <w:rFonts w:hint="eastAsia"/>
          <w:color w:val="auto"/>
          <w:sz w:val="21"/>
          <w:szCs w:val="21"/>
          <w:highlight w:val="none"/>
        </w:rPr>
        <w:t>地点（网址）：</w:t>
      </w:r>
      <w:r>
        <w:rPr>
          <w:rStyle w:val="93"/>
          <w:rFonts w:hint="eastAsia"/>
          <w:color w:val="auto"/>
          <w:sz w:val="21"/>
          <w:szCs w:val="21"/>
          <w:highlight w:val="none"/>
        </w:rPr>
        <w:t>浙江政府采购网https://login.zcygov.cn/login</w:t>
      </w:r>
    </w:p>
    <w:p>
      <w:pPr>
        <w:pStyle w:val="31"/>
        <w:spacing w:before="0" w:beforeAutospacing="0" w:after="0" w:afterAutospacing="0" w:line="400" w:lineRule="exact"/>
        <w:ind w:firstLine="525" w:firstLineChars="250"/>
        <w:rPr>
          <w:rFonts w:hint="eastAsia"/>
          <w:color w:val="auto"/>
          <w:sz w:val="21"/>
          <w:szCs w:val="21"/>
          <w:highlight w:val="none"/>
        </w:rPr>
      </w:pPr>
      <w:r>
        <w:rPr>
          <w:rFonts w:hint="eastAsia"/>
          <w:color w:val="auto"/>
          <w:sz w:val="21"/>
          <w:szCs w:val="21"/>
          <w:highlight w:val="none"/>
        </w:rPr>
        <w:t>方式：</w:t>
      </w:r>
      <w:r>
        <w:rPr>
          <w:rStyle w:val="93"/>
          <w:rFonts w:hint="eastAsia"/>
          <w:color w:val="auto"/>
          <w:sz w:val="21"/>
          <w:szCs w:val="21"/>
          <w:highlight w:val="none"/>
        </w:rPr>
        <w:t>供应商登录政采云平台https://www.zcygov.cn/在线申请获取采购文件（进入“项目采购”应用，在获取采购文件菜单中选择项目，申请获取采购文件）</w:t>
      </w:r>
      <w:r>
        <w:rPr>
          <w:rFonts w:hint="eastAsia"/>
          <w:color w:val="auto"/>
          <w:sz w:val="21"/>
          <w:szCs w:val="21"/>
          <w:highlight w:val="none"/>
        </w:rPr>
        <w:t>。</w:t>
      </w:r>
    </w:p>
    <w:p>
      <w:pPr>
        <w:pStyle w:val="31"/>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售价（元）：0 </w:t>
      </w:r>
    </w:p>
    <w:p>
      <w:pPr>
        <w:pStyle w:val="31"/>
        <w:spacing w:before="0" w:beforeAutospacing="0" w:after="0" w:afterAutospacing="0" w:line="400" w:lineRule="exact"/>
        <w:jc w:val="both"/>
        <w:rPr>
          <w:rStyle w:val="40"/>
          <w:color w:val="auto"/>
          <w:sz w:val="21"/>
          <w:szCs w:val="21"/>
          <w:highlight w:val="none"/>
        </w:rPr>
      </w:pPr>
      <w:r>
        <w:rPr>
          <w:rStyle w:val="40"/>
          <w:rFonts w:hint="eastAsia"/>
          <w:color w:val="auto"/>
          <w:sz w:val="21"/>
          <w:szCs w:val="21"/>
          <w:highlight w:val="none"/>
        </w:rPr>
        <w:t>四、提交投标文件截止时间、开标时间和地点</w:t>
      </w:r>
    </w:p>
    <w:p>
      <w:pPr>
        <w:pStyle w:val="31"/>
        <w:spacing w:before="0" w:beforeAutospacing="0" w:after="0" w:afterAutospacing="0" w:line="400" w:lineRule="exact"/>
        <w:rPr>
          <w:rFonts w:cs="宋体"/>
          <w:color w:val="auto"/>
          <w:sz w:val="21"/>
          <w:szCs w:val="21"/>
          <w:highlight w:val="none"/>
        </w:rPr>
      </w:pPr>
      <w:r>
        <w:rPr>
          <w:rFonts w:hint="eastAsia"/>
          <w:color w:val="auto"/>
          <w:sz w:val="21"/>
          <w:szCs w:val="21"/>
          <w:highlight w:val="none"/>
        </w:rPr>
        <w:t xml:space="preserve">    </w:t>
      </w:r>
      <w:r>
        <w:rPr>
          <w:rFonts w:hint="eastAsia" w:cs="宋体"/>
          <w:color w:val="auto"/>
          <w:sz w:val="21"/>
          <w:szCs w:val="21"/>
          <w:highlight w:val="none"/>
        </w:rPr>
        <w:t>提交投标文件截止时间：</w:t>
      </w:r>
      <w:r>
        <w:rPr>
          <w:rFonts w:hint="eastAsia" w:cs="宋体"/>
          <w:color w:val="auto"/>
          <w:sz w:val="21"/>
          <w:szCs w:val="21"/>
          <w:highlight w:val="none"/>
          <w:u w:val="single"/>
        </w:rPr>
        <w:t> </w:t>
      </w:r>
      <w:r>
        <w:rPr>
          <w:rStyle w:val="93"/>
          <w:rFonts w:hint="eastAsia" w:cs="宋体"/>
          <w:color w:val="auto"/>
          <w:sz w:val="21"/>
          <w:szCs w:val="21"/>
          <w:highlight w:val="none"/>
          <w:u w:val="single"/>
          <w:lang w:eastAsia="zh-CN"/>
        </w:rPr>
        <w:t>202</w:t>
      </w:r>
      <w:r>
        <w:rPr>
          <w:rStyle w:val="93"/>
          <w:rFonts w:hint="eastAsia" w:cs="宋体"/>
          <w:color w:val="auto"/>
          <w:sz w:val="21"/>
          <w:szCs w:val="21"/>
          <w:highlight w:val="none"/>
          <w:u w:val="single"/>
          <w:lang w:val="en-US" w:eastAsia="zh-CN"/>
        </w:rPr>
        <w:t>4</w:t>
      </w:r>
      <w:r>
        <w:rPr>
          <w:rStyle w:val="93"/>
          <w:rFonts w:hint="eastAsia" w:cs="宋体"/>
          <w:color w:val="auto"/>
          <w:sz w:val="21"/>
          <w:szCs w:val="21"/>
          <w:highlight w:val="none"/>
          <w:u w:val="single"/>
          <w:lang w:eastAsia="zh-CN"/>
        </w:rPr>
        <w:t>年</w:t>
      </w:r>
      <w:r>
        <w:rPr>
          <w:rStyle w:val="93"/>
          <w:rFonts w:hint="eastAsia" w:cs="宋体"/>
          <w:color w:val="auto"/>
          <w:sz w:val="21"/>
          <w:szCs w:val="21"/>
          <w:highlight w:val="none"/>
          <w:u w:val="single"/>
          <w:lang w:val="en-US" w:eastAsia="zh-CN"/>
        </w:rPr>
        <w:t>4</w:t>
      </w:r>
      <w:r>
        <w:rPr>
          <w:rStyle w:val="93"/>
          <w:rFonts w:hint="eastAsia" w:cs="宋体"/>
          <w:color w:val="auto"/>
          <w:sz w:val="21"/>
          <w:szCs w:val="21"/>
          <w:highlight w:val="none"/>
          <w:u w:val="single"/>
          <w:lang w:eastAsia="zh-CN"/>
        </w:rPr>
        <w:t>月</w:t>
      </w:r>
      <w:r>
        <w:rPr>
          <w:rStyle w:val="93"/>
          <w:rFonts w:hint="eastAsia" w:cs="宋体"/>
          <w:color w:val="auto"/>
          <w:sz w:val="21"/>
          <w:szCs w:val="21"/>
          <w:highlight w:val="none"/>
          <w:u w:val="single"/>
          <w:lang w:val="en-US" w:eastAsia="zh-CN"/>
        </w:rPr>
        <w:t>23</w:t>
      </w:r>
      <w:r>
        <w:rPr>
          <w:rStyle w:val="93"/>
          <w:rFonts w:hint="eastAsia" w:cs="宋体"/>
          <w:color w:val="auto"/>
          <w:sz w:val="21"/>
          <w:szCs w:val="21"/>
          <w:highlight w:val="none"/>
          <w:u w:val="single"/>
          <w:lang w:eastAsia="zh-CN"/>
        </w:rPr>
        <w:t>日9:</w:t>
      </w:r>
      <w:r>
        <w:rPr>
          <w:rStyle w:val="93"/>
          <w:rFonts w:hint="eastAsia" w:cs="宋体"/>
          <w:color w:val="auto"/>
          <w:sz w:val="21"/>
          <w:szCs w:val="21"/>
          <w:highlight w:val="none"/>
          <w:u w:val="single"/>
          <w:lang w:val="en-US" w:eastAsia="zh-CN"/>
        </w:rPr>
        <w:t>3</w:t>
      </w:r>
      <w:r>
        <w:rPr>
          <w:rStyle w:val="93"/>
          <w:rFonts w:hint="eastAsia" w:cs="宋体"/>
          <w:color w:val="auto"/>
          <w:sz w:val="21"/>
          <w:szCs w:val="21"/>
          <w:highlight w:val="none"/>
          <w:u w:val="single"/>
          <w:lang w:eastAsia="zh-CN"/>
        </w:rPr>
        <w:t>0分</w:t>
      </w:r>
      <w:r>
        <w:rPr>
          <w:rFonts w:hint="eastAsia" w:cs="宋体"/>
          <w:color w:val="auto"/>
          <w:sz w:val="21"/>
          <w:szCs w:val="21"/>
          <w:highlight w:val="none"/>
          <w:u w:val="single"/>
        </w:rPr>
        <w:t> </w:t>
      </w:r>
      <w:r>
        <w:rPr>
          <w:rFonts w:hint="eastAsia" w:cs="宋体"/>
          <w:color w:val="auto"/>
          <w:sz w:val="21"/>
          <w:szCs w:val="21"/>
          <w:highlight w:val="none"/>
        </w:rPr>
        <w:t>（北京时间）</w:t>
      </w:r>
    </w:p>
    <w:p>
      <w:pPr>
        <w:pStyle w:val="31"/>
        <w:spacing w:before="0" w:beforeAutospacing="0" w:after="0" w:afterAutospacing="0" w:line="400" w:lineRule="exact"/>
        <w:rPr>
          <w:rFonts w:cs="宋体"/>
          <w:color w:val="auto"/>
          <w:sz w:val="21"/>
          <w:szCs w:val="21"/>
          <w:highlight w:val="none"/>
        </w:rPr>
      </w:pPr>
      <w:r>
        <w:rPr>
          <w:rFonts w:hint="eastAsia" w:cs="宋体"/>
          <w:color w:val="auto"/>
          <w:sz w:val="21"/>
          <w:szCs w:val="21"/>
          <w:highlight w:val="none"/>
        </w:rPr>
        <w:t>    投标地点（网址）：</w:t>
      </w:r>
      <w:r>
        <w:rPr>
          <w:rFonts w:hint="eastAsia" w:cs="宋体"/>
          <w:color w:val="auto"/>
          <w:sz w:val="21"/>
          <w:szCs w:val="21"/>
          <w:highlight w:val="none"/>
          <w:u w:val="single"/>
        </w:rPr>
        <w:t> </w:t>
      </w:r>
      <w:r>
        <w:rPr>
          <w:rStyle w:val="93"/>
          <w:rFonts w:hint="eastAsia" w:cs="宋体"/>
          <w:color w:val="auto"/>
          <w:sz w:val="21"/>
          <w:szCs w:val="21"/>
          <w:highlight w:val="none"/>
          <w:u w:val="single"/>
        </w:rPr>
        <w:t>“政采云”平台电子投标</w:t>
      </w:r>
      <w:r>
        <w:rPr>
          <w:rFonts w:hint="eastAsia" w:cs="宋体"/>
          <w:color w:val="auto"/>
          <w:sz w:val="21"/>
          <w:szCs w:val="21"/>
          <w:highlight w:val="none"/>
          <w:u w:val="single"/>
        </w:rPr>
        <w:t> </w:t>
      </w:r>
    </w:p>
    <w:p>
      <w:pPr>
        <w:pStyle w:val="31"/>
        <w:spacing w:before="0" w:beforeAutospacing="0" w:after="0" w:afterAutospacing="0" w:line="400" w:lineRule="exact"/>
        <w:rPr>
          <w:rFonts w:cs="宋体"/>
          <w:color w:val="auto"/>
          <w:sz w:val="21"/>
          <w:szCs w:val="21"/>
          <w:highlight w:val="none"/>
        </w:rPr>
      </w:pPr>
      <w:r>
        <w:rPr>
          <w:rFonts w:hint="eastAsia" w:cs="宋体"/>
          <w:color w:val="auto"/>
          <w:sz w:val="21"/>
          <w:szCs w:val="21"/>
          <w:highlight w:val="none"/>
        </w:rPr>
        <w:t>    开标时间：</w:t>
      </w:r>
      <w:r>
        <w:rPr>
          <w:rFonts w:hint="eastAsia" w:cs="宋体"/>
          <w:color w:val="auto"/>
          <w:sz w:val="21"/>
          <w:szCs w:val="21"/>
          <w:highlight w:val="none"/>
          <w:u w:val="single"/>
        </w:rPr>
        <w:t>  </w:t>
      </w:r>
      <w:r>
        <w:rPr>
          <w:rStyle w:val="93"/>
          <w:rFonts w:hint="eastAsia" w:cs="宋体"/>
          <w:color w:val="auto"/>
          <w:sz w:val="21"/>
          <w:szCs w:val="21"/>
          <w:highlight w:val="none"/>
          <w:u w:val="single"/>
          <w:lang w:eastAsia="zh-CN"/>
        </w:rPr>
        <w:t>202</w:t>
      </w:r>
      <w:r>
        <w:rPr>
          <w:rStyle w:val="93"/>
          <w:rFonts w:hint="eastAsia" w:cs="宋体"/>
          <w:color w:val="auto"/>
          <w:sz w:val="21"/>
          <w:szCs w:val="21"/>
          <w:highlight w:val="none"/>
          <w:u w:val="single"/>
          <w:lang w:val="en-US" w:eastAsia="zh-CN"/>
        </w:rPr>
        <w:t>4</w:t>
      </w:r>
      <w:r>
        <w:rPr>
          <w:rStyle w:val="93"/>
          <w:rFonts w:hint="eastAsia" w:cs="宋体"/>
          <w:color w:val="auto"/>
          <w:sz w:val="21"/>
          <w:szCs w:val="21"/>
          <w:highlight w:val="none"/>
          <w:u w:val="single"/>
          <w:lang w:eastAsia="zh-CN"/>
        </w:rPr>
        <w:t>年</w:t>
      </w:r>
      <w:r>
        <w:rPr>
          <w:rStyle w:val="93"/>
          <w:rFonts w:hint="eastAsia" w:cs="宋体"/>
          <w:color w:val="auto"/>
          <w:sz w:val="21"/>
          <w:szCs w:val="21"/>
          <w:highlight w:val="none"/>
          <w:u w:val="single"/>
          <w:lang w:val="en-US" w:eastAsia="zh-CN"/>
        </w:rPr>
        <w:t>4</w:t>
      </w:r>
      <w:r>
        <w:rPr>
          <w:rStyle w:val="93"/>
          <w:rFonts w:hint="eastAsia" w:cs="宋体"/>
          <w:color w:val="auto"/>
          <w:sz w:val="21"/>
          <w:szCs w:val="21"/>
          <w:highlight w:val="none"/>
          <w:u w:val="single"/>
          <w:lang w:eastAsia="zh-CN"/>
        </w:rPr>
        <w:t>月</w:t>
      </w:r>
      <w:r>
        <w:rPr>
          <w:rStyle w:val="93"/>
          <w:rFonts w:hint="eastAsia" w:cs="宋体"/>
          <w:color w:val="auto"/>
          <w:sz w:val="21"/>
          <w:szCs w:val="21"/>
          <w:highlight w:val="none"/>
          <w:u w:val="single"/>
          <w:lang w:val="en-US" w:eastAsia="zh-CN"/>
        </w:rPr>
        <w:t>23</w:t>
      </w:r>
      <w:r>
        <w:rPr>
          <w:rStyle w:val="93"/>
          <w:rFonts w:hint="eastAsia" w:cs="宋体"/>
          <w:color w:val="auto"/>
          <w:sz w:val="21"/>
          <w:szCs w:val="21"/>
          <w:highlight w:val="none"/>
          <w:u w:val="single"/>
          <w:lang w:eastAsia="zh-CN"/>
        </w:rPr>
        <w:t>日9:</w:t>
      </w:r>
      <w:r>
        <w:rPr>
          <w:rStyle w:val="93"/>
          <w:rFonts w:hint="eastAsia" w:cs="宋体"/>
          <w:color w:val="auto"/>
          <w:sz w:val="21"/>
          <w:szCs w:val="21"/>
          <w:highlight w:val="none"/>
          <w:u w:val="single"/>
          <w:lang w:val="en-US" w:eastAsia="zh-CN"/>
        </w:rPr>
        <w:t>3</w:t>
      </w:r>
      <w:r>
        <w:rPr>
          <w:rStyle w:val="93"/>
          <w:rFonts w:hint="eastAsia" w:cs="宋体"/>
          <w:color w:val="auto"/>
          <w:sz w:val="21"/>
          <w:szCs w:val="21"/>
          <w:highlight w:val="none"/>
          <w:u w:val="single"/>
          <w:lang w:eastAsia="zh-CN"/>
        </w:rPr>
        <w:t>0分</w:t>
      </w:r>
      <w:r>
        <w:rPr>
          <w:rFonts w:hint="eastAsia" w:cs="宋体"/>
          <w:color w:val="auto"/>
          <w:sz w:val="21"/>
          <w:szCs w:val="21"/>
          <w:highlight w:val="none"/>
          <w:u w:val="single"/>
        </w:rPr>
        <w:t>  </w:t>
      </w:r>
    </w:p>
    <w:p>
      <w:pPr>
        <w:pStyle w:val="31"/>
        <w:spacing w:before="0" w:beforeAutospacing="0" w:after="0" w:afterAutospacing="0" w:line="400" w:lineRule="exact"/>
        <w:rPr>
          <w:rFonts w:cs="宋体"/>
          <w:color w:val="auto"/>
          <w:sz w:val="21"/>
          <w:szCs w:val="21"/>
          <w:highlight w:val="none"/>
        </w:rPr>
      </w:pPr>
      <w:r>
        <w:rPr>
          <w:rFonts w:hint="eastAsia" w:cs="宋体"/>
          <w:color w:val="auto"/>
          <w:sz w:val="21"/>
          <w:szCs w:val="21"/>
          <w:highlight w:val="none"/>
        </w:rPr>
        <w:t>    开标地点（网址）：嘉兴市公共资源交易中心</w:t>
      </w:r>
      <w:r>
        <w:rPr>
          <w:rFonts w:hint="eastAsia" w:cs="宋体"/>
          <w:color w:val="auto"/>
          <w:sz w:val="21"/>
          <w:szCs w:val="21"/>
          <w:highlight w:val="none"/>
          <w:lang w:eastAsia="zh-CN"/>
        </w:rPr>
        <w:t>评标室</w:t>
      </w:r>
      <w:r>
        <w:rPr>
          <w:rFonts w:hint="eastAsia" w:cs="宋体"/>
          <w:color w:val="auto"/>
          <w:sz w:val="21"/>
          <w:szCs w:val="21"/>
          <w:highlight w:val="none"/>
        </w:rPr>
        <w:t>(嘉兴市广场路350号,蒋水港桥西侧)</w:t>
      </w:r>
    </w:p>
    <w:p>
      <w:pPr>
        <w:pStyle w:val="31"/>
        <w:spacing w:before="0" w:beforeAutospacing="0" w:after="0" w:afterAutospacing="0" w:line="400" w:lineRule="exact"/>
        <w:jc w:val="both"/>
        <w:rPr>
          <w:color w:val="auto"/>
          <w:sz w:val="21"/>
          <w:szCs w:val="21"/>
          <w:highlight w:val="none"/>
        </w:rPr>
      </w:pPr>
      <w:r>
        <w:rPr>
          <w:rStyle w:val="40"/>
          <w:rFonts w:hint="eastAsia"/>
          <w:color w:val="auto"/>
          <w:sz w:val="21"/>
          <w:szCs w:val="21"/>
          <w:highlight w:val="none"/>
        </w:rPr>
        <w:t>五、公告期限</w:t>
      </w:r>
    </w:p>
    <w:p>
      <w:pPr>
        <w:pStyle w:val="31"/>
        <w:spacing w:before="0" w:beforeAutospacing="0" w:after="0" w:afterAutospacing="0" w:line="400" w:lineRule="exact"/>
        <w:rPr>
          <w:color w:val="auto"/>
          <w:sz w:val="21"/>
          <w:szCs w:val="21"/>
          <w:highlight w:val="none"/>
        </w:rPr>
      </w:pPr>
      <w:r>
        <w:rPr>
          <w:rFonts w:hint="eastAsia"/>
          <w:color w:val="auto"/>
          <w:sz w:val="21"/>
          <w:szCs w:val="21"/>
          <w:highlight w:val="none"/>
        </w:rPr>
        <w:t>    自本公告发布之日起5个工作日。</w:t>
      </w:r>
    </w:p>
    <w:p>
      <w:pPr>
        <w:pStyle w:val="31"/>
        <w:spacing w:before="0" w:beforeAutospacing="0" w:after="0" w:afterAutospacing="0" w:line="400" w:lineRule="exact"/>
        <w:jc w:val="both"/>
        <w:rPr>
          <w:color w:val="auto"/>
          <w:sz w:val="21"/>
          <w:szCs w:val="21"/>
          <w:highlight w:val="none"/>
        </w:rPr>
      </w:pPr>
      <w:r>
        <w:rPr>
          <w:rStyle w:val="40"/>
          <w:rFonts w:hint="eastAsia"/>
          <w:color w:val="auto"/>
          <w:sz w:val="21"/>
          <w:szCs w:val="21"/>
          <w:highlight w:val="none"/>
        </w:rPr>
        <w:t>六、其他补充事宜</w:t>
      </w:r>
    </w:p>
    <w:p>
      <w:pPr>
        <w:pStyle w:val="31"/>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1</w:t>
      </w:r>
      <w:r>
        <w:rPr>
          <w:rFonts w:hint="eastAsia"/>
          <w:color w:val="auto"/>
          <w:sz w:val="21"/>
          <w:szCs w:val="21"/>
          <w:highlight w:val="none"/>
          <w:lang w:eastAsia="zh-CN"/>
        </w:rPr>
        <w:t>、</w:t>
      </w:r>
      <w:r>
        <w:rPr>
          <w:rFonts w:hint="eastAsia"/>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color w:val="auto"/>
          <w:sz w:val="21"/>
          <w:szCs w:val="21"/>
          <w:highlight w:val="none"/>
          <w:lang w:eastAsia="zh-CN"/>
        </w:rPr>
        <w:t>、</w:t>
      </w:r>
      <w:r>
        <w:rPr>
          <w:rFonts w:hint="eastAsia"/>
          <w:color w:val="auto"/>
          <w:sz w:val="21"/>
          <w:szCs w:val="21"/>
          <w:highlight w:val="none"/>
          <w:lang w:val="en-US" w:eastAsia="zh-CN"/>
        </w:rPr>
        <w:t>《</w:t>
      </w:r>
      <w:r>
        <w:rPr>
          <w:rFonts w:hint="default"/>
          <w:color w:val="auto"/>
          <w:sz w:val="21"/>
          <w:szCs w:val="21"/>
          <w:highlight w:val="none"/>
          <w:lang w:val="en-US" w:eastAsia="zh-CN"/>
        </w:rPr>
        <w:t>浙江省财政厅关于进一步加大政府采购支持中小企业力度</w:t>
      </w:r>
      <w:r>
        <w:rPr>
          <w:rFonts w:hint="eastAsia"/>
          <w:color w:val="auto"/>
          <w:sz w:val="21"/>
          <w:szCs w:val="21"/>
          <w:highlight w:val="none"/>
          <w:lang w:val="en-US" w:eastAsia="zh-CN"/>
        </w:rPr>
        <w:t xml:space="preserve"> </w:t>
      </w:r>
      <w:r>
        <w:rPr>
          <w:rFonts w:hint="default"/>
          <w:color w:val="auto"/>
          <w:sz w:val="21"/>
          <w:szCs w:val="21"/>
          <w:highlight w:val="none"/>
          <w:lang w:val="en-US" w:eastAsia="zh-CN"/>
        </w:rPr>
        <w:t>助力扎实稳住经济的通知</w:t>
      </w:r>
      <w:r>
        <w:rPr>
          <w:rFonts w:hint="eastAsia"/>
          <w:color w:val="auto"/>
          <w:sz w:val="21"/>
          <w:szCs w:val="21"/>
          <w:highlight w:val="none"/>
          <w:lang w:val="en-US" w:eastAsia="zh-CN"/>
        </w:rPr>
        <w:t>》（</w:t>
      </w:r>
      <w:r>
        <w:rPr>
          <w:rFonts w:hint="default"/>
          <w:color w:val="auto"/>
          <w:sz w:val="21"/>
          <w:szCs w:val="21"/>
          <w:highlight w:val="none"/>
          <w:lang w:val="en-US" w:eastAsia="zh-CN"/>
        </w:rPr>
        <w:t>浙财采监〔2022〕8号</w:t>
      </w:r>
      <w:r>
        <w:rPr>
          <w:rFonts w:hint="eastAsia"/>
          <w:color w:val="auto"/>
          <w:sz w:val="21"/>
          <w:szCs w:val="21"/>
          <w:highlight w:val="none"/>
          <w:lang w:val="en-US" w:eastAsia="zh-CN"/>
        </w:rPr>
        <w:t>）</w:t>
      </w:r>
      <w:r>
        <w:rPr>
          <w:rFonts w:hint="eastAsia"/>
          <w:color w:val="auto"/>
          <w:sz w:val="21"/>
          <w:szCs w:val="21"/>
          <w:highlight w:val="none"/>
        </w:rPr>
        <w:t>已分别于2022年1月29日</w:t>
      </w:r>
      <w:r>
        <w:rPr>
          <w:rFonts w:hint="eastAsia"/>
          <w:color w:val="auto"/>
          <w:sz w:val="21"/>
          <w:szCs w:val="21"/>
          <w:highlight w:val="none"/>
          <w:lang w:eastAsia="zh-CN"/>
        </w:rPr>
        <w:t>、</w:t>
      </w:r>
      <w:r>
        <w:rPr>
          <w:rFonts w:hint="eastAsia"/>
          <w:color w:val="auto"/>
          <w:sz w:val="21"/>
          <w:szCs w:val="21"/>
          <w:highlight w:val="none"/>
        </w:rPr>
        <w:t>2022年2月1日</w:t>
      </w:r>
      <w:r>
        <w:rPr>
          <w:rFonts w:hint="eastAsia"/>
          <w:color w:val="auto"/>
          <w:sz w:val="21"/>
          <w:szCs w:val="21"/>
          <w:highlight w:val="none"/>
          <w:lang w:val="en-US" w:eastAsia="zh-CN"/>
        </w:rPr>
        <w:t>和</w:t>
      </w:r>
      <w:r>
        <w:rPr>
          <w:rFonts w:hint="eastAsia"/>
          <w:color w:val="auto"/>
          <w:sz w:val="21"/>
          <w:szCs w:val="21"/>
          <w:highlight w:val="none"/>
        </w:rPr>
        <w:t>2022年</w:t>
      </w:r>
      <w:r>
        <w:rPr>
          <w:rFonts w:hint="eastAsia"/>
          <w:color w:val="auto"/>
          <w:sz w:val="21"/>
          <w:szCs w:val="21"/>
          <w:highlight w:val="none"/>
          <w:lang w:val="en-US" w:eastAsia="zh-CN"/>
        </w:rPr>
        <w:t>7</w:t>
      </w:r>
      <w:r>
        <w:rPr>
          <w:rFonts w:hint="eastAsia"/>
          <w:color w:val="auto"/>
          <w:sz w:val="21"/>
          <w:szCs w:val="21"/>
          <w:highlight w:val="none"/>
        </w:rPr>
        <w:t>月1日开始实施，此前有关规定与上述文件内容不一致的，按上述文件要求执行。</w:t>
      </w:r>
    </w:p>
    <w:p>
      <w:pPr>
        <w:pStyle w:val="3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lang w:eastAsia="zh-CN"/>
        </w:rPr>
        <w:t>、</w:t>
      </w:r>
      <w:r>
        <w:rPr>
          <w:rFonts w:hint="eastAsia"/>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1"/>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3</w:t>
      </w:r>
      <w:r>
        <w:rPr>
          <w:rFonts w:hint="eastAsia"/>
          <w:color w:val="auto"/>
          <w:sz w:val="21"/>
          <w:szCs w:val="21"/>
          <w:highlight w:val="none"/>
          <w:lang w:eastAsia="zh-CN"/>
        </w:rPr>
        <w:t>、</w:t>
      </w:r>
      <w:r>
        <w:rPr>
          <w:rFonts w:hint="eastAsia"/>
          <w:color w:val="auto"/>
          <w:sz w:val="21"/>
          <w:szCs w:val="21"/>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、本采购项目，中标单位与采购人签订的政府采购合同适用于嘉兴市政府采购贷款政策，简称“政采贷”，具体内容可参阅政府采购贷款流程：</w:t>
      </w:r>
      <w:r>
        <w:rPr>
          <w:rFonts w:hint="eastAsia"/>
          <w:color w:val="auto"/>
          <w:szCs w:val="21"/>
          <w:highlight w:val="none"/>
        </w:rPr>
        <w:fldChar w:fldCharType="begin"/>
      </w:r>
      <w:r>
        <w:rPr>
          <w:rFonts w:hint="eastAsia"/>
          <w:color w:val="auto"/>
          <w:szCs w:val="21"/>
          <w:highlight w:val="none"/>
        </w:rPr>
        <w:instrText xml:space="preserve"> HYPERLINK "http://www.jxzbtb.cn/zxfw/005012/20181016/7e541bf4-ad29-4286-ace8-d12c1b2c54fc.html%E3%80%82" </w:instrText>
      </w:r>
      <w:r>
        <w:rPr>
          <w:rFonts w:hint="eastAsia"/>
          <w:color w:val="auto"/>
          <w:szCs w:val="21"/>
          <w:highlight w:val="none"/>
        </w:rPr>
        <w:fldChar w:fldCharType="separate"/>
      </w:r>
      <w:r>
        <w:rPr>
          <w:rFonts w:hint="eastAsia"/>
          <w:color w:val="auto"/>
          <w:sz w:val="21"/>
          <w:szCs w:val="21"/>
          <w:highlight w:val="none"/>
        </w:rPr>
        <w:t>http://hn.jxzbtb.cn/zxfw/005012/20181016/7e541bf4-ad29-4286-ace8-d12c1b2c54fc.html</w:t>
      </w:r>
      <w:r>
        <w:rPr>
          <w:rFonts w:hint="eastAsia"/>
          <w:color w:val="auto"/>
          <w:szCs w:val="21"/>
          <w:highlight w:val="none"/>
        </w:rPr>
        <w:fldChar w:fldCharType="end"/>
      </w:r>
    </w:p>
    <w:p>
      <w:pPr>
        <w:pStyle w:val="31"/>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rPr>
        <w:t>、投标说明：</w:t>
      </w:r>
    </w:p>
    <w:p>
      <w:pPr>
        <w:pStyle w:val="31"/>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rPr>
        <w:t>.１、本项目按照《浙江省财政厅关于印发浙江省政府采购项目电子交易管理暂行办法的通知》实行电子交易。</w:t>
      </w:r>
    </w:p>
    <w:p>
      <w:pPr>
        <w:pStyle w:val="31"/>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rPr>
        <w:t>.2、供应商注册</w:t>
      </w:r>
    </w:p>
    <w:p>
      <w:pPr>
        <w:pStyle w:val="31"/>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rPr>
        <w:t>.2.1、注册网址：</w:t>
      </w:r>
    </w:p>
    <w:p>
      <w:pPr>
        <w:pStyle w:val="31"/>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rPr>
        <w:t>浙江政府采购网：</w:t>
      </w:r>
      <w:r>
        <w:rPr>
          <w:rFonts w:hint="eastAsia" w:cs="Times New Roman"/>
          <w:color w:val="auto"/>
          <w:sz w:val="21"/>
          <w:szCs w:val="21"/>
          <w:highlight w:val="none"/>
          <w:u w:val="single"/>
        </w:rPr>
        <w:fldChar w:fldCharType="begin"/>
      </w:r>
      <w:r>
        <w:rPr>
          <w:rFonts w:hint="eastAsia" w:cs="Times New Roman"/>
          <w:color w:val="auto"/>
          <w:sz w:val="21"/>
          <w:szCs w:val="21"/>
          <w:highlight w:val="none"/>
          <w:u w:val="single"/>
        </w:rPr>
        <w:instrText xml:space="preserve"> HYPERLINK "https://middle.zcygov.cn/settle-front/" \l "/registry" </w:instrText>
      </w:r>
      <w:r>
        <w:rPr>
          <w:rFonts w:hint="eastAsia" w:cs="Times New Roman"/>
          <w:color w:val="auto"/>
          <w:sz w:val="21"/>
          <w:szCs w:val="21"/>
          <w:highlight w:val="none"/>
          <w:u w:val="single"/>
        </w:rPr>
        <w:fldChar w:fldCharType="separate"/>
      </w:r>
      <w:r>
        <w:rPr>
          <w:rFonts w:hint="eastAsia" w:cs="Times New Roman"/>
          <w:color w:val="auto"/>
          <w:sz w:val="21"/>
          <w:szCs w:val="21"/>
          <w:highlight w:val="none"/>
          <w:u w:val="single"/>
        </w:rPr>
        <w:t>https://middle.zcygov.cn/settle-front/#/registry</w:t>
      </w:r>
      <w:r>
        <w:rPr>
          <w:rFonts w:hint="eastAsia" w:cs="Times New Roman"/>
          <w:color w:val="auto"/>
          <w:sz w:val="21"/>
          <w:szCs w:val="21"/>
          <w:highlight w:val="none"/>
          <w:u w:val="single"/>
        </w:rPr>
        <w:fldChar w:fldCharType="end"/>
      </w:r>
    </w:p>
    <w:p>
      <w:pPr>
        <w:pStyle w:val="31"/>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rPr>
        <w:t>.2.2、供应商按照《浙江省政府采购供应商注册和诚信管理暂行办法》要求执行。</w:t>
      </w:r>
    </w:p>
    <w:p>
      <w:pPr>
        <w:pStyle w:val="31"/>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6</w:t>
      </w:r>
      <w:r>
        <w:rPr>
          <w:rFonts w:hint="eastAsia"/>
          <w:color w:val="auto"/>
          <w:sz w:val="21"/>
          <w:szCs w:val="21"/>
          <w:highlight w:val="none"/>
        </w:rPr>
        <w:t>、投标文件制作注意事项</w:t>
      </w:r>
    </w:p>
    <w:p>
      <w:pPr>
        <w:pStyle w:val="31"/>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6</w:t>
      </w:r>
      <w:r>
        <w:rPr>
          <w:rFonts w:hint="eastAsia"/>
          <w:color w:val="auto"/>
          <w:sz w:val="21"/>
          <w:szCs w:val="21"/>
          <w:highlight w:val="none"/>
        </w:rPr>
        <w:t>.1、供应商将政采云电子交易客户端下载、安装完成后，可通过账号密码或CA登录客户端进行投标文件制作。</w:t>
      </w:r>
      <w:r>
        <w:rPr>
          <w:rFonts w:hint="eastAsia"/>
          <w:color w:val="auto"/>
          <w:sz w:val="21"/>
          <w:szCs w:val="21"/>
          <w:highlight w:val="none"/>
        </w:rPr>
        <w:br w:type="textWrapping"/>
      </w:r>
      <w:r>
        <w:rPr>
          <w:rFonts w:hint="eastAsia"/>
          <w:color w:val="auto"/>
          <w:sz w:val="21"/>
          <w:szCs w:val="21"/>
          <w:highlight w:val="none"/>
        </w:rPr>
        <w:t>　　注：供应商先要申领CA，拿到CA后需要在政采云平台进行绑定，CA相关操作可参考《CA证书办理操作指南》和《CA登录与绑定操作指南》。完成CA数字证书办理在资料齐全的情况下预计7个工作日左右，建议供应商获取招标文件后立即办理。　　　</w:t>
      </w:r>
    </w:p>
    <w:p>
      <w:pPr>
        <w:pStyle w:val="31"/>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6</w:t>
      </w:r>
      <w:r>
        <w:rPr>
          <w:rFonts w:hint="eastAsia"/>
          <w:color w:val="auto"/>
          <w:sz w:val="21"/>
          <w:szCs w:val="21"/>
          <w:highlight w:val="none"/>
        </w:rPr>
        <w:t>.2电子交易操作指南：</w:t>
      </w:r>
      <w:r>
        <w:rPr>
          <w:rFonts w:hint="eastAsia" w:cs="Times New Roman"/>
          <w:color w:val="auto"/>
          <w:sz w:val="21"/>
          <w:szCs w:val="21"/>
          <w:highlight w:val="none"/>
          <w:u w:val="single"/>
        </w:rPr>
        <w:t>https://service.zcygov.cn/#/knowledges/CW1EtGwBFdiHxlNd6I3m/6IMVAG0BFdiHxlNdQ8Na</w:t>
      </w:r>
      <w:r>
        <w:rPr>
          <w:rFonts w:hint="eastAsia"/>
          <w:color w:val="auto"/>
          <w:sz w:val="21"/>
          <w:szCs w:val="21"/>
          <w:highlight w:val="none"/>
        </w:rPr>
        <w:br w:type="textWrapping"/>
      </w:r>
      <w:r>
        <w:rPr>
          <w:rFonts w:hint="eastAsia"/>
          <w:color w:val="auto"/>
          <w:sz w:val="21"/>
          <w:szCs w:val="21"/>
          <w:highlight w:val="none"/>
        </w:rPr>
        <w:t>《CA证书办理操作指南》：</w:t>
      </w:r>
      <w:r>
        <w:rPr>
          <w:rFonts w:hint="eastAsia"/>
          <w:color w:val="auto"/>
          <w:sz w:val="21"/>
          <w:szCs w:val="21"/>
          <w:highlight w:val="none"/>
          <w:u w:val="single"/>
        </w:rPr>
        <w:t>https://service.zcygov.cn/#/knowledges/UgcbC3EBiyELHE-opz1b/lwV6GXABiyELHE-oVMj3</w:t>
      </w:r>
      <w:r>
        <w:rPr>
          <w:rFonts w:hint="eastAsia"/>
          <w:color w:val="auto"/>
          <w:sz w:val="21"/>
          <w:szCs w:val="21"/>
          <w:highlight w:val="none"/>
        </w:rPr>
        <w:br w:type="textWrapping"/>
      </w:r>
      <w:r>
        <w:rPr>
          <w:rFonts w:hint="eastAsia"/>
          <w:color w:val="auto"/>
          <w:sz w:val="21"/>
          <w:szCs w:val="21"/>
          <w:highlight w:val="none"/>
        </w:rPr>
        <w:t>《CA登录与绑定操作指南》：</w:t>
      </w:r>
      <w:r>
        <w:rPr>
          <w:rFonts w:hint="eastAsia"/>
          <w:color w:val="auto"/>
          <w:sz w:val="21"/>
          <w:szCs w:val="21"/>
          <w:highlight w:val="none"/>
          <w:u w:val="single"/>
        </w:rPr>
        <w:t>https://service.zcygov.cn/#/knowledges/UgcbC3EBiyELHE-opz1b/GQcTNXEBiyELHE-oocEg</w:t>
      </w:r>
      <w:r>
        <w:rPr>
          <w:rFonts w:hint="eastAsia"/>
          <w:color w:val="auto"/>
          <w:sz w:val="21"/>
          <w:szCs w:val="21"/>
          <w:highlight w:val="none"/>
        </w:rPr>
        <w:br w:type="textWrapping"/>
      </w:r>
      <w:r>
        <w:rPr>
          <w:rFonts w:hint="eastAsia"/>
          <w:color w:val="auto"/>
          <w:sz w:val="21"/>
          <w:szCs w:val="21"/>
          <w:highlight w:val="none"/>
        </w:rPr>
        <w:t>《CA驱动和申领流程》：</w:t>
      </w:r>
      <w:r>
        <w:rPr>
          <w:rFonts w:hint="eastAsia"/>
          <w:color w:val="auto"/>
          <w:sz w:val="21"/>
          <w:szCs w:val="21"/>
          <w:highlight w:val="none"/>
          <w:u w:val="single"/>
        </w:rPr>
        <w:fldChar w:fldCharType="begin"/>
      </w:r>
      <w:r>
        <w:rPr>
          <w:rFonts w:hint="eastAsia"/>
          <w:color w:val="auto"/>
          <w:sz w:val="21"/>
          <w:szCs w:val="21"/>
          <w:highlight w:val="none"/>
          <w:u w:val="single"/>
        </w:rPr>
        <w:instrText xml:space="preserve"> HYPERLINK "http://zfcg.czt.zj.gov.cn/bidClientTemplate/2019-05-27/12945.html" \t "_blank" </w:instrText>
      </w:r>
      <w:r>
        <w:rPr>
          <w:rFonts w:hint="eastAsia"/>
          <w:color w:val="auto"/>
          <w:sz w:val="21"/>
          <w:szCs w:val="21"/>
          <w:highlight w:val="none"/>
          <w:u w:val="single"/>
        </w:rPr>
        <w:fldChar w:fldCharType="separate"/>
      </w:r>
      <w:r>
        <w:rPr>
          <w:rFonts w:hint="eastAsia"/>
          <w:color w:val="auto"/>
          <w:sz w:val="21"/>
          <w:szCs w:val="21"/>
          <w:highlight w:val="none"/>
          <w:u w:val="single"/>
        </w:rPr>
        <w:t>http://zfcg.czt.zj.gov.cn/bidClientTemplate/2019-05-27/12945.html</w:t>
      </w:r>
      <w:r>
        <w:rPr>
          <w:rFonts w:hint="eastAsia"/>
          <w:color w:val="auto"/>
          <w:sz w:val="21"/>
          <w:szCs w:val="21"/>
          <w:highlight w:val="none"/>
          <w:u w:val="single"/>
        </w:rPr>
        <w:fldChar w:fldCharType="end"/>
      </w:r>
      <w:r>
        <w:rPr>
          <w:rFonts w:hint="eastAsia"/>
          <w:color w:val="auto"/>
          <w:sz w:val="21"/>
          <w:szCs w:val="21"/>
          <w:highlight w:val="none"/>
        </w:rPr>
        <w:br w:type="textWrapping"/>
      </w:r>
      <w:r>
        <w:rPr>
          <w:rFonts w:hint="eastAsia"/>
          <w:color w:val="auto"/>
          <w:sz w:val="21"/>
          <w:szCs w:val="21"/>
          <w:highlight w:val="none"/>
        </w:rPr>
        <w:t>注：ＣＡ证书遗失补办、延期、解锁、质保等业务可以在联连客户端上进行操作；使用政采云投标客户端时，建议使用WIN7及以上操作系统。</w:t>
      </w:r>
    </w:p>
    <w:p>
      <w:pPr>
        <w:pStyle w:val="31"/>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7</w:t>
      </w:r>
      <w:r>
        <w:rPr>
          <w:rFonts w:hint="eastAsia"/>
          <w:color w:val="auto"/>
          <w:sz w:val="21"/>
          <w:szCs w:val="21"/>
          <w:highlight w:val="none"/>
        </w:rPr>
        <w:t>、政采云咨询电话：</w:t>
      </w:r>
      <w:r>
        <w:rPr>
          <w:rFonts w:hint="eastAsia"/>
          <w:color w:val="auto"/>
          <w:sz w:val="21"/>
          <w:szCs w:val="21"/>
          <w:highlight w:val="none"/>
          <w:lang w:eastAsia="zh-CN"/>
        </w:rPr>
        <w:t>95763</w:t>
      </w:r>
      <w:r>
        <w:rPr>
          <w:rFonts w:hint="eastAsia"/>
          <w:color w:val="auto"/>
          <w:sz w:val="21"/>
          <w:szCs w:val="21"/>
          <w:highlight w:val="none"/>
        </w:rPr>
        <w:t>；</w:t>
      </w:r>
    </w:p>
    <w:p>
      <w:pPr>
        <w:pStyle w:val="31"/>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rPr>
        <w:t>政采云平台服务中心：</w:t>
      </w:r>
      <w:r>
        <w:rPr>
          <w:rFonts w:hint="eastAsia"/>
          <w:color w:val="auto"/>
          <w:sz w:val="21"/>
          <w:szCs w:val="21"/>
          <w:highlight w:val="none"/>
          <w:u w:val="single"/>
        </w:rPr>
        <w:fldChar w:fldCharType="begin"/>
      </w:r>
      <w:r>
        <w:rPr>
          <w:rFonts w:hint="eastAsia"/>
          <w:color w:val="auto"/>
          <w:sz w:val="21"/>
          <w:szCs w:val="21"/>
          <w:highlight w:val="none"/>
          <w:u w:val="single"/>
        </w:rPr>
        <w:instrText xml:space="preserve"> HYPERLINK "https://service.zcygov.cn/" \l "/" \t "_blank" </w:instrText>
      </w:r>
      <w:r>
        <w:rPr>
          <w:rFonts w:hint="eastAsia"/>
          <w:color w:val="auto"/>
          <w:sz w:val="21"/>
          <w:szCs w:val="21"/>
          <w:highlight w:val="none"/>
          <w:u w:val="single"/>
        </w:rPr>
        <w:fldChar w:fldCharType="separate"/>
      </w:r>
      <w:r>
        <w:rPr>
          <w:rFonts w:hint="eastAsia"/>
          <w:color w:val="auto"/>
          <w:sz w:val="21"/>
          <w:szCs w:val="21"/>
          <w:highlight w:val="none"/>
          <w:u w:val="single"/>
        </w:rPr>
        <w:t>https://service.zcygov.cn/#/</w:t>
      </w:r>
      <w:r>
        <w:rPr>
          <w:rFonts w:hint="eastAsia"/>
          <w:color w:val="auto"/>
          <w:sz w:val="21"/>
          <w:szCs w:val="21"/>
          <w:highlight w:val="none"/>
          <w:u w:val="single"/>
        </w:rPr>
        <w:fldChar w:fldCharType="end"/>
      </w:r>
    </w:p>
    <w:p>
      <w:pPr>
        <w:pStyle w:val="31"/>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8</w:t>
      </w:r>
      <w:r>
        <w:rPr>
          <w:rFonts w:hint="eastAsia"/>
          <w:color w:val="auto"/>
          <w:sz w:val="21"/>
          <w:szCs w:val="21"/>
          <w:highlight w:val="none"/>
        </w:rPr>
        <w:t>、汇信（ＣＡ）客服电话：400-888-4636</w:t>
      </w:r>
    </w:p>
    <w:p>
      <w:pPr>
        <w:pStyle w:val="31"/>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rPr>
        <w:t>、投标文件提交注意事项：</w:t>
      </w:r>
    </w:p>
    <w:p>
      <w:pPr>
        <w:pStyle w:val="31"/>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rPr>
        <w:t xml:space="preserve">.1、供应商进行电子投标应安装客户端软件，并按照招标文件和电子交易平台的要求编制并加密投标文件。供应商未按规定加密的投标文件，代理机构应当拒收。 </w:t>
      </w:r>
    </w:p>
    <w:p>
      <w:pPr>
        <w:pStyle w:val="31"/>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rPr>
        <w:t xml:space="preserve">.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pPr>
        <w:pStyle w:val="31"/>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rPr>
        <w:t>.3、为确保采购项目顺利实施，避免因解密失败导致供应商投标无效，供应商在电子交易平台传输提交投标文件后，将政采云平台上最后生成的具备电子签章的备份电子投标文件（文件后缀名为.bfbs）1份在投标截止时间前以电子邮件方式发送至采购代理机构联系人电子邮箱28509616@qq.com。 </w:t>
      </w:r>
    </w:p>
    <w:p>
      <w:pPr>
        <w:pStyle w:val="31"/>
        <w:spacing w:before="0" w:beforeAutospacing="0" w:after="0" w:afterAutospacing="0" w:line="400" w:lineRule="exact"/>
        <w:ind w:firstLine="420"/>
        <w:rPr>
          <w:rFonts w:cs="宋体"/>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rPr>
        <w:t>.4、备份电子投标文件制作为非强制性，但如遇供应商电子投标文件解密失败等情况造成无效标，后果由供应商自负。</w:t>
      </w:r>
      <w:r>
        <w:rPr>
          <w:rFonts w:hint="eastAsia" w:cs="宋体"/>
          <w:color w:val="auto"/>
          <w:sz w:val="21"/>
          <w:szCs w:val="21"/>
          <w:highlight w:val="none"/>
        </w:rPr>
        <w:t>　　　　　　　　　　　</w:t>
      </w:r>
    </w:p>
    <w:p>
      <w:pPr>
        <w:pStyle w:val="31"/>
        <w:spacing w:before="0" w:beforeAutospacing="0" w:after="0" w:afterAutospacing="0" w:line="400" w:lineRule="exact"/>
        <w:jc w:val="both"/>
        <w:rPr>
          <w:color w:val="auto"/>
          <w:sz w:val="21"/>
          <w:szCs w:val="21"/>
          <w:highlight w:val="none"/>
        </w:rPr>
      </w:pPr>
      <w:r>
        <w:rPr>
          <w:rStyle w:val="40"/>
          <w:rFonts w:hint="eastAsia"/>
          <w:color w:val="auto"/>
          <w:sz w:val="21"/>
          <w:szCs w:val="21"/>
          <w:highlight w:val="none"/>
        </w:rPr>
        <w:t>七、对本次招标提出询问、质疑、投诉，请按以下方式联系。</w:t>
      </w:r>
      <w:r>
        <w:rPr>
          <w:rFonts w:hint="eastAsia"/>
          <w:color w:val="auto"/>
          <w:sz w:val="21"/>
          <w:szCs w:val="21"/>
          <w:highlight w:val="none"/>
        </w:rPr>
        <w:t>　　　　　　　　　　　　</w:t>
      </w:r>
    </w:p>
    <w:p>
      <w:pPr>
        <w:pStyle w:val="31"/>
        <w:widowControl w:val="0"/>
        <w:spacing w:before="0" w:beforeAutospacing="0" w:after="0" w:afterAutospacing="0" w:line="400" w:lineRule="exact"/>
        <w:ind w:firstLine="630"/>
        <w:rPr>
          <w:rFonts w:hint="eastAsia"/>
          <w:color w:val="auto"/>
          <w:sz w:val="21"/>
          <w:szCs w:val="21"/>
          <w:highlight w:val="none"/>
        </w:rPr>
      </w:pPr>
      <w:r>
        <w:rPr>
          <w:rFonts w:hint="eastAsia"/>
          <w:color w:val="auto"/>
          <w:sz w:val="21"/>
          <w:szCs w:val="21"/>
          <w:highlight w:val="none"/>
        </w:rPr>
        <w:t>1、采购人信息</w:t>
      </w:r>
    </w:p>
    <w:p>
      <w:pPr>
        <w:pStyle w:val="31"/>
        <w:widowControl w:val="0"/>
        <w:spacing w:before="0" w:beforeAutospacing="0" w:after="0" w:afterAutospacing="0" w:line="400" w:lineRule="exact"/>
        <w:ind w:firstLine="630"/>
        <w:rPr>
          <w:rFonts w:hint="eastAsia"/>
          <w:color w:val="auto"/>
          <w:sz w:val="21"/>
          <w:szCs w:val="21"/>
          <w:highlight w:val="none"/>
        </w:rPr>
      </w:pPr>
      <w:r>
        <w:rPr>
          <w:rFonts w:hint="eastAsia"/>
          <w:color w:val="auto"/>
          <w:sz w:val="21"/>
          <w:szCs w:val="21"/>
          <w:highlight w:val="none"/>
        </w:rPr>
        <w:t>名    称：</w:t>
      </w:r>
      <w:r>
        <w:rPr>
          <w:rFonts w:hint="eastAsia"/>
          <w:color w:val="auto"/>
          <w:sz w:val="21"/>
          <w:szCs w:val="21"/>
          <w:highlight w:val="none"/>
          <w:lang w:eastAsia="zh-CN"/>
        </w:rPr>
        <w:t>嘉兴市特种设备检验检测院</w:t>
      </w:r>
      <w:r>
        <w:rPr>
          <w:rFonts w:hint="eastAsia"/>
          <w:color w:val="auto"/>
          <w:sz w:val="21"/>
          <w:szCs w:val="21"/>
          <w:highlight w:val="none"/>
        </w:rPr>
        <w:t xml:space="preserve"> </w:t>
      </w:r>
    </w:p>
    <w:p>
      <w:pPr>
        <w:pStyle w:val="31"/>
        <w:widowControl w:val="0"/>
        <w:spacing w:before="0" w:beforeAutospacing="0" w:after="0" w:afterAutospacing="0" w:line="400" w:lineRule="exact"/>
        <w:ind w:firstLine="630" w:firstLineChars="300"/>
        <w:rPr>
          <w:rFonts w:hint="eastAsia"/>
          <w:color w:val="auto"/>
          <w:sz w:val="21"/>
          <w:szCs w:val="21"/>
          <w:highlight w:val="none"/>
        </w:rPr>
      </w:pPr>
      <w:r>
        <w:rPr>
          <w:rFonts w:hint="eastAsia"/>
          <w:color w:val="auto"/>
          <w:sz w:val="21"/>
          <w:szCs w:val="21"/>
          <w:highlight w:val="none"/>
        </w:rPr>
        <w:t>地    址：浙江省嘉兴市南湖区祝家港路66号</w:t>
      </w:r>
    </w:p>
    <w:p>
      <w:pPr>
        <w:pStyle w:val="31"/>
        <w:widowControl w:val="0"/>
        <w:spacing w:before="0" w:beforeAutospacing="0" w:after="0" w:afterAutospacing="0" w:line="400" w:lineRule="exact"/>
        <w:ind w:firstLine="630" w:firstLineChars="300"/>
        <w:rPr>
          <w:rFonts w:hint="eastAsia"/>
          <w:color w:val="auto"/>
          <w:sz w:val="21"/>
          <w:szCs w:val="21"/>
          <w:highlight w:val="none"/>
        </w:rPr>
      </w:pPr>
      <w:r>
        <w:rPr>
          <w:rFonts w:hint="eastAsia"/>
          <w:color w:val="auto"/>
          <w:sz w:val="21"/>
          <w:szCs w:val="21"/>
          <w:highlight w:val="none"/>
        </w:rPr>
        <w:t>传     真：/  　　</w:t>
      </w:r>
    </w:p>
    <w:p>
      <w:pPr>
        <w:pStyle w:val="31"/>
        <w:keepNext w:val="0"/>
        <w:keepLines w:val="0"/>
        <w:pageBreakBefore w:val="0"/>
        <w:kinsoku/>
        <w:wordWrap/>
        <w:overflowPunct/>
        <w:topLinePunct w:val="0"/>
        <w:autoSpaceDE/>
        <w:autoSpaceDN/>
        <w:bidi w:val="0"/>
        <w:adjustRightInd/>
        <w:spacing w:before="0" w:beforeAutospacing="0" w:after="0" w:afterAutospacing="0" w:line="380" w:lineRule="exact"/>
        <w:textAlignment w:val="auto"/>
        <w:rPr>
          <w:rFonts w:hint="eastAsia"/>
          <w:color w:val="auto"/>
          <w:sz w:val="21"/>
          <w:szCs w:val="21"/>
          <w:highlight w:val="none"/>
        </w:rPr>
      </w:pPr>
      <w:r>
        <w:rPr>
          <w:rFonts w:hint="eastAsia"/>
          <w:color w:val="auto"/>
          <w:sz w:val="21"/>
          <w:szCs w:val="21"/>
          <w:highlight w:val="none"/>
        </w:rPr>
        <w:t>    项目联系人（询问）：</w:t>
      </w:r>
      <w:r>
        <w:rPr>
          <w:rFonts w:hint="eastAsia"/>
          <w:color w:val="auto"/>
          <w:sz w:val="21"/>
          <w:szCs w:val="21"/>
          <w:highlight w:val="none"/>
          <w:lang w:val="en-US" w:eastAsia="zh-CN"/>
        </w:rPr>
        <w:t>江叶峰</w:t>
      </w:r>
      <w:r>
        <w:rPr>
          <w:rStyle w:val="93"/>
          <w:rFonts w:hint="eastAsia"/>
          <w:color w:val="auto"/>
          <w:sz w:val="21"/>
          <w:szCs w:val="21"/>
          <w:highlight w:val="none"/>
        </w:rPr>
        <w:t xml:space="preserve">           </w:t>
      </w:r>
    </w:p>
    <w:p>
      <w:pPr>
        <w:pStyle w:val="31"/>
        <w:keepNext w:val="0"/>
        <w:keepLines w:val="0"/>
        <w:pageBreakBefore w:val="0"/>
        <w:kinsoku/>
        <w:wordWrap/>
        <w:overflowPunct/>
        <w:topLinePunct w:val="0"/>
        <w:autoSpaceDE/>
        <w:autoSpaceDN/>
        <w:bidi w:val="0"/>
        <w:adjustRightInd/>
        <w:spacing w:before="0" w:beforeAutospacing="0" w:after="0" w:afterAutospacing="0" w:line="3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项目联系方式（询问）：0573-82513118</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质疑联系人：祁盈哲                 </w:t>
      </w:r>
    </w:p>
    <w:p>
      <w:pPr>
        <w:pStyle w:val="31"/>
        <w:widowControl w:val="0"/>
        <w:spacing w:before="0" w:beforeAutospacing="0" w:after="0" w:afterAutospacing="0" w:line="400" w:lineRule="exact"/>
        <w:rPr>
          <w:rFonts w:hint="eastAsia"/>
          <w:color w:val="auto"/>
          <w:sz w:val="21"/>
          <w:szCs w:val="21"/>
          <w:highlight w:val="none"/>
        </w:rPr>
      </w:pPr>
      <w:r>
        <w:rPr>
          <w:rFonts w:hint="eastAsia" w:ascii="宋体" w:hAnsi="宋体" w:eastAsia="宋体" w:cs="宋体"/>
          <w:color w:val="auto"/>
          <w:sz w:val="21"/>
          <w:szCs w:val="21"/>
          <w:highlight w:val="none"/>
          <w:lang w:val="en-US" w:eastAsia="zh-CN"/>
        </w:rPr>
        <w:t>    质疑联系方式：0573-82082658</w:t>
      </w:r>
      <w:r>
        <w:rPr>
          <w:rFonts w:hint="eastAsia"/>
          <w:color w:val="auto"/>
          <w:sz w:val="21"/>
          <w:szCs w:val="21"/>
          <w:highlight w:val="none"/>
        </w:rPr>
        <w:br w:type="textWrapping"/>
      </w:r>
      <w:r>
        <w:rPr>
          <w:rFonts w:hint="eastAsia"/>
          <w:color w:val="auto"/>
          <w:sz w:val="21"/>
          <w:szCs w:val="21"/>
          <w:highlight w:val="none"/>
        </w:rPr>
        <w:t>    2、采购代理机构信息</w:t>
      </w:r>
    </w:p>
    <w:p>
      <w:pPr>
        <w:pStyle w:val="31"/>
        <w:spacing w:before="0" w:beforeAutospacing="0" w:after="0" w:afterAutospacing="0" w:line="400" w:lineRule="exact"/>
        <w:rPr>
          <w:color w:val="auto"/>
          <w:sz w:val="21"/>
          <w:szCs w:val="21"/>
          <w:highlight w:val="none"/>
        </w:rPr>
      </w:pPr>
      <w:r>
        <w:rPr>
          <w:rFonts w:hint="eastAsia"/>
          <w:color w:val="auto"/>
          <w:sz w:val="21"/>
          <w:szCs w:val="21"/>
          <w:highlight w:val="none"/>
        </w:rPr>
        <w:t>    名    称：嘉兴市明扬工程咨询有限公司</w:t>
      </w:r>
    </w:p>
    <w:p>
      <w:pPr>
        <w:pStyle w:val="31"/>
        <w:spacing w:before="0" w:beforeAutospacing="0" w:after="0" w:afterAutospacing="0" w:line="400" w:lineRule="exact"/>
        <w:ind w:firstLine="630"/>
        <w:rPr>
          <w:color w:val="auto"/>
          <w:sz w:val="21"/>
          <w:szCs w:val="21"/>
          <w:highlight w:val="none"/>
        </w:rPr>
      </w:pPr>
      <w:r>
        <w:rPr>
          <w:rFonts w:hint="eastAsia"/>
          <w:color w:val="auto"/>
          <w:sz w:val="21"/>
          <w:szCs w:val="21"/>
          <w:highlight w:val="none"/>
        </w:rPr>
        <w:t>地    址：浙江省嘉兴市长水路116号百瑞大厦5</w:t>
      </w:r>
      <w:r>
        <w:rPr>
          <w:rFonts w:hint="eastAsia"/>
          <w:color w:val="auto"/>
          <w:szCs w:val="21"/>
          <w:highlight w:val="none"/>
        </w:rPr>
        <w:t>楼</w:t>
      </w:r>
      <w:r>
        <w:rPr>
          <w:rFonts w:hint="eastAsia"/>
          <w:color w:val="auto"/>
          <w:sz w:val="21"/>
          <w:szCs w:val="21"/>
          <w:highlight w:val="none"/>
        </w:rPr>
        <w:t xml:space="preserve">    </w:t>
      </w:r>
    </w:p>
    <w:p>
      <w:pPr>
        <w:pStyle w:val="31"/>
        <w:spacing w:before="0" w:beforeAutospacing="0" w:after="0" w:afterAutospacing="0" w:line="400" w:lineRule="exact"/>
        <w:ind w:firstLine="630"/>
        <w:rPr>
          <w:color w:val="auto"/>
          <w:sz w:val="21"/>
          <w:szCs w:val="21"/>
          <w:highlight w:val="none"/>
        </w:rPr>
      </w:pPr>
      <w:r>
        <w:rPr>
          <w:rFonts w:hint="eastAsia"/>
          <w:color w:val="auto"/>
          <w:sz w:val="21"/>
          <w:szCs w:val="21"/>
          <w:highlight w:val="none"/>
        </w:rPr>
        <w:t>传     真：0573-89997908</w:t>
      </w:r>
    </w:p>
    <w:p>
      <w:pPr>
        <w:pStyle w:val="31"/>
        <w:spacing w:before="0" w:beforeAutospacing="0" w:after="0" w:afterAutospacing="0" w:line="400" w:lineRule="exact"/>
        <w:rPr>
          <w:color w:val="auto"/>
          <w:sz w:val="21"/>
          <w:szCs w:val="21"/>
          <w:highlight w:val="none"/>
        </w:rPr>
      </w:pPr>
      <w:r>
        <w:rPr>
          <w:rFonts w:hint="eastAsia"/>
          <w:color w:val="auto"/>
          <w:sz w:val="21"/>
          <w:szCs w:val="21"/>
          <w:highlight w:val="none"/>
        </w:rPr>
        <w:t>    项目联系人（询问）：</w:t>
      </w:r>
      <w:r>
        <w:rPr>
          <w:rStyle w:val="93"/>
          <w:rFonts w:hint="eastAsia"/>
          <w:color w:val="auto"/>
          <w:sz w:val="21"/>
          <w:szCs w:val="21"/>
          <w:highlight w:val="none"/>
        </w:rPr>
        <w:t>李闽</w:t>
      </w:r>
    </w:p>
    <w:p>
      <w:pPr>
        <w:pStyle w:val="31"/>
        <w:spacing w:before="0" w:beforeAutospacing="0" w:after="0" w:afterAutospacing="0" w:line="400" w:lineRule="exact"/>
        <w:rPr>
          <w:color w:val="auto"/>
          <w:sz w:val="21"/>
          <w:szCs w:val="21"/>
          <w:highlight w:val="none"/>
        </w:rPr>
      </w:pPr>
      <w:r>
        <w:rPr>
          <w:rFonts w:hint="eastAsia"/>
          <w:color w:val="auto"/>
          <w:sz w:val="21"/>
          <w:szCs w:val="21"/>
          <w:highlight w:val="none"/>
        </w:rPr>
        <w:t>    项目联系方式（询问）：</w:t>
      </w:r>
      <w:r>
        <w:rPr>
          <w:rStyle w:val="93"/>
          <w:rFonts w:hint="eastAsia"/>
          <w:color w:val="auto"/>
          <w:sz w:val="21"/>
          <w:szCs w:val="21"/>
          <w:highlight w:val="none"/>
        </w:rPr>
        <w:t>0573-89997908</w:t>
      </w:r>
      <w:r>
        <w:rPr>
          <w:rFonts w:hint="eastAsia"/>
          <w:color w:val="auto"/>
          <w:sz w:val="21"/>
          <w:szCs w:val="21"/>
          <w:highlight w:val="none"/>
        </w:rPr>
        <w:t>  13757337675</w:t>
      </w:r>
    </w:p>
    <w:p>
      <w:pPr>
        <w:pStyle w:val="31"/>
        <w:spacing w:before="0" w:beforeAutospacing="0" w:after="0" w:afterAutospacing="0" w:line="400" w:lineRule="exact"/>
        <w:rPr>
          <w:color w:val="auto"/>
          <w:sz w:val="21"/>
          <w:szCs w:val="21"/>
          <w:highlight w:val="none"/>
        </w:rPr>
      </w:pPr>
      <w:r>
        <w:rPr>
          <w:rFonts w:hint="eastAsia"/>
          <w:color w:val="auto"/>
          <w:sz w:val="21"/>
          <w:szCs w:val="21"/>
          <w:highlight w:val="none"/>
        </w:rPr>
        <w:t>    质疑联系人：</w:t>
      </w:r>
      <w:r>
        <w:rPr>
          <w:rStyle w:val="93"/>
          <w:rFonts w:hint="eastAsia"/>
          <w:color w:val="auto"/>
          <w:sz w:val="21"/>
          <w:szCs w:val="21"/>
          <w:highlight w:val="none"/>
        </w:rPr>
        <w:t>诸菊妹</w:t>
      </w:r>
      <w:r>
        <w:rPr>
          <w:rFonts w:hint="eastAsia"/>
          <w:color w:val="auto"/>
          <w:sz w:val="21"/>
          <w:szCs w:val="21"/>
          <w:highlight w:val="none"/>
        </w:rPr>
        <w:t> </w:t>
      </w:r>
    </w:p>
    <w:p>
      <w:pPr>
        <w:pStyle w:val="31"/>
        <w:widowControl w:val="0"/>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质疑联系方式：</w:t>
      </w:r>
      <w:r>
        <w:rPr>
          <w:rStyle w:val="93"/>
          <w:rFonts w:hint="eastAsia"/>
          <w:color w:val="auto"/>
          <w:sz w:val="21"/>
          <w:szCs w:val="21"/>
          <w:highlight w:val="none"/>
        </w:rPr>
        <w:t>0573-89997908  15858362909</w:t>
      </w:r>
    </w:p>
    <w:p>
      <w:pPr>
        <w:pStyle w:val="31"/>
        <w:widowControl w:val="0"/>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3、同级政府采购监督管理部门</w:t>
      </w:r>
    </w:p>
    <w:p>
      <w:pPr>
        <w:pStyle w:val="31"/>
        <w:widowControl w:val="0"/>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名    称：嘉兴市财政局</w:t>
      </w:r>
    </w:p>
    <w:p>
      <w:pPr>
        <w:pStyle w:val="31"/>
        <w:widowControl w:val="0"/>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地    址：浙江省嘉兴市南湖区环城西路55号　　</w:t>
      </w:r>
    </w:p>
    <w:p>
      <w:pPr>
        <w:pStyle w:val="31"/>
        <w:widowControl w:val="0"/>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传     真：/ 　   </w:t>
      </w:r>
    </w:p>
    <w:p>
      <w:pPr>
        <w:pStyle w:val="31"/>
        <w:widowControl w:val="0"/>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联  系   人：姚先生</w:t>
      </w:r>
    </w:p>
    <w:p>
      <w:pPr>
        <w:pStyle w:val="31"/>
        <w:widowControl w:val="0"/>
        <w:spacing w:before="0" w:beforeAutospacing="0" w:after="0" w:afterAutospacing="0" w:line="400" w:lineRule="exact"/>
        <w:ind w:firstLine="630" w:firstLineChars="3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监督投诉电话：0573-82031217</w:t>
      </w:r>
    </w:p>
    <w:p>
      <w:pPr>
        <w:snapToGrid w:val="0"/>
        <w:spacing w:line="400" w:lineRule="exact"/>
        <w:jc w:val="left"/>
        <w:rPr>
          <w:rFonts w:ascii="宋体" w:hAnsi="宋体"/>
          <w:color w:val="auto"/>
          <w:kern w:val="0"/>
          <w:szCs w:val="21"/>
          <w:highlight w:val="none"/>
        </w:rPr>
      </w:pPr>
      <w:r>
        <w:rPr>
          <w:rFonts w:hint="eastAsia" w:ascii="宋体" w:hAnsi="宋体"/>
          <w:color w:val="auto"/>
          <w:kern w:val="0"/>
          <w:szCs w:val="21"/>
          <w:highlight w:val="none"/>
        </w:rPr>
        <w:t> </w:t>
      </w:r>
    </w:p>
    <w:p>
      <w:pPr>
        <w:spacing w:line="460" w:lineRule="exact"/>
        <w:jc w:val="center"/>
        <w:outlineLvl w:val="0"/>
        <w:rPr>
          <w:rFonts w:ascii="宋体" w:hAnsi="宋体"/>
          <w:b/>
          <w:color w:val="auto"/>
          <w:sz w:val="32"/>
          <w:szCs w:val="32"/>
          <w:highlight w:val="none"/>
        </w:rPr>
      </w:pPr>
    </w:p>
    <w:p>
      <w:pPr>
        <w:spacing w:line="460" w:lineRule="exact"/>
        <w:jc w:val="center"/>
        <w:outlineLvl w:val="0"/>
        <w:rPr>
          <w:rFonts w:ascii="宋体" w:hAnsi="宋体"/>
          <w:b/>
          <w:color w:val="auto"/>
          <w:sz w:val="32"/>
          <w:szCs w:val="32"/>
          <w:highlight w:val="none"/>
        </w:rPr>
      </w:pPr>
    </w:p>
    <w:p>
      <w:pPr>
        <w:spacing w:line="460" w:lineRule="exact"/>
        <w:jc w:val="center"/>
        <w:outlineLvl w:val="0"/>
        <w:rPr>
          <w:rFonts w:ascii="宋体" w:hAnsi="宋体"/>
          <w:b/>
          <w:color w:val="auto"/>
          <w:sz w:val="32"/>
          <w:szCs w:val="32"/>
          <w:highlight w:val="none"/>
        </w:rPr>
      </w:pPr>
    </w:p>
    <w:p>
      <w:pPr>
        <w:spacing w:line="460" w:lineRule="exact"/>
        <w:jc w:val="center"/>
        <w:outlineLvl w:val="0"/>
        <w:rPr>
          <w:rFonts w:ascii="宋体" w:hAnsi="宋体"/>
          <w:b/>
          <w:color w:val="auto"/>
          <w:sz w:val="32"/>
          <w:szCs w:val="32"/>
          <w:highlight w:val="none"/>
        </w:rPr>
      </w:pPr>
    </w:p>
    <w:p>
      <w:pPr>
        <w:spacing w:line="460" w:lineRule="exact"/>
        <w:jc w:val="center"/>
        <w:outlineLvl w:val="0"/>
        <w:rPr>
          <w:rFonts w:ascii="宋体" w:hAnsi="宋体"/>
          <w:b/>
          <w:color w:val="auto"/>
          <w:sz w:val="32"/>
          <w:szCs w:val="32"/>
          <w:highlight w:val="none"/>
        </w:rPr>
      </w:pPr>
    </w:p>
    <w:p>
      <w:pPr>
        <w:spacing w:line="460" w:lineRule="exact"/>
        <w:jc w:val="center"/>
        <w:outlineLvl w:val="0"/>
        <w:rPr>
          <w:rFonts w:ascii="宋体" w:hAnsi="宋体"/>
          <w:b/>
          <w:color w:val="auto"/>
          <w:sz w:val="32"/>
          <w:szCs w:val="32"/>
          <w:highlight w:val="none"/>
        </w:rPr>
      </w:pPr>
    </w:p>
    <w:p>
      <w:pPr>
        <w:spacing w:line="460" w:lineRule="exact"/>
        <w:jc w:val="center"/>
        <w:outlineLvl w:val="0"/>
        <w:rPr>
          <w:rFonts w:ascii="宋体" w:hAnsi="宋体"/>
          <w:b/>
          <w:color w:val="auto"/>
          <w:sz w:val="32"/>
          <w:szCs w:val="32"/>
          <w:highlight w:val="none"/>
        </w:rPr>
      </w:pPr>
    </w:p>
    <w:p>
      <w:pPr>
        <w:spacing w:line="460" w:lineRule="exact"/>
        <w:jc w:val="center"/>
        <w:outlineLvl w:val="0"/>
        <w:rPr>
          <w:rFonts w:ascii="宋体" w:hAnsi="宋体"/>
          <w:b/>
          <w:color w:val="auto"/>
          <w:sz w:val="32"/>
          <w:szCs w:val="32"/>
          <w:highlight w:val="none"/>
        </w:rPr>
      </w:pPr>
    </w:p>
    <w:p>
      <w:pPr>
        <w:pStyle w:val="28"/>
        <w:rPr>
          <w:rFonts w:ascii="宋体" w:hAnsi="宋体"/>
          <w:b/>
          <w:color w:val="auto"/>
          <w:sz w:val="32"/>
          <w:szCs w:val="32"/>
          <w:highlight w:val="none"/>
        </w:rPr>
      </w:pPr>
    </w:p>
    <w:p>
      <w:pPr>
        <w:rPr>
          <w:rFonts w:ascii="宋体" w:hAnsi="宋体"/>
          <w:b/>
          <w:color w:val="auto"/>
          <w:sz w:val="32"/>
          <w:szCs w:val="32"/>
          <w:highlight w:val="none"/>
        </w:rPr>
      </w:pPr>
    </w:p>
    <w:p>
      <w:pPr>
        <w:pStyle w:val="2"/>
        <w:rPr>
          <w:rFonts w:ascii="宋体" w:hAnsi="宋体"/>
          <w:b/>
          <w:color w:val="auto"/>
          <w:sz w:val="32"/>
          <w:szCs w:val="32"/>
          <w:highlight w:val="none"/>
        </w:rPr>
      </w:pPr>
    </w:p>
    <w:p>
      <w:pPr>
        <w:rPr>
          <w:rFonts w:ascii="宋体" w:hAnsi="宋体"/>
          <w:b/>
          <w:color w:val="auto"/>
          <w:sz w:val="32"/>
          <w:szCs w:val="32"/>
          <w:highlight w:val="none"/>
        </w:rPr>
      </w:pPr>
    </w:p>
    <w:p>
      <w:pPr>
        <w:pStyle w:val="2"/>
      </w:pPr>
    </w:p>
    <w:p>
      <w:pPr>
        <w:pStyle w:val="12"/>
        <w:rPr>
          <w:rFonts w:ascii="宋体" w:hAnsi="宋体"/>
          <w:b/>
          <w:color w:val="auto"/>
          <w:sz w:val="32"/>
          <w:szCs w:val="32"/>
          <w:highlight w:val="none"/>
        </w:rPr>
      </w:pPr>
    </w:p>
    <w:p>
      <w:pPr>
        <w:numPr>
          <w:ilvl w:val="0"/>
          <w:numId w:val="3"/>
        </w:numPr>
        <w:spacing w:line="460" w:lineRule="exact"/>
        <w:jc w:val="center"/>
        <w:outlineLvl w:val="0"/>
        <w:rPr>
          <w:rFonts w:ascii="宋体" w:hAnsi="宋体"/>
          <w:b/>
          <w:color w:val="auto"/>
          <w:sz w:val="32"/>
          <w:szCs w:val="32"/>
          <w:highlight w:val="none"/>
        </w:rPr>
      </w:pPr>
      <w:bookmarkStart w:id="2" w:name="_Toc31883"/>
      <w:r>
        <w:rPr>
          <w:rFonts w:hint="eastAsia" w:ascii="宋体" w:hAnsi="宋体"/>
          <w:b/>
          <w:color w:val="auto"/>
          <w:sz w:val="32"/>
          <w:szCs w:val="32"/>
          <w:highlight w:val="none"/>
        </w:rPr>
        <w:t xml:space="preserve">  招标项目需求</w:t>
      </w:r>
      <w:bookmarkEnd w:id="2"/>
    </w:p>
    <w:p>
      <w:pPr>
        <w:pStyle w:val="18"/>
        <w:snapToGrid w:val="0"/>
        <w:spacing w:line="400" w:lineRule="exact"/>
        <w:ind w:left="422" w:hanging="422" w:hangingChars="200"/>
        <w:rPr>
          <w:rFonts w:hAnsi="宋体" w:cs="宋体"/>
          <w:color w:val="auto"/>
          <w:sz w:val="21"/>
          <w:szCs w:val="21"/>
          <w:highlight w:val="none"/>
        </w:rPr>
      </w:pPr>
      <w:r>
        <w:rPr>
          <w:rFonts w:hint="eastAsia" w:hAnsi="宋体" w:cs="宋体"/>
          <w:b/>
          <w:color w:val="auto"/>
          <w:sz w:val="21"/>
          <w:szCs w:val="21"/>
          <w:highlight w:val="none"/>
        </w:rPr>
        <w:t>一、项目概况：</w:t>
      </w:r>
    </w:p>
    <w:p>
      <w:pPr>
        <w:pStyle w:val="18"/>
        <w:snapToGrid w:val="0"/>
        <w:spacing w:line="40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本次采购项目为</w:t>
      </w:r>
      <w:r>
        <w:rPr>
          <w:rFonts w:hint="eastAsia" w:hAnsi="宋体" w:cs="宋体"/>
          <w:color w:val="auto"/>
          <w:sz w:val="21"/>
          <w:szCs w:val="21"/>
          <w:highlight w:val="none"/>
          <w:lang w:eastAsia="zh-CN"/>
        </w:rPr>
        <w:t>嘉兴市特种设备检验检测院2024年检验设备购置项目</w:t>
      </w:r>
      <w:r>
        <w:rPr>
          <w:rFonts w:hint="eastAsia" w:hAnsi="宋体" w:cs="宋体"/>
          <w:color w:val="auto"/>
          <w:sz w:val="21"/>
          <w:szCs w:val="21"/>
          <w:highlight w:val="none"/>
        </w:rPr>
        <w:t>，投标人应根据招标文件所提出的设备技术规格、参数、数量和服务要求，综合考虑设备的适应性，选择具有最佳性能价格比的设备前来投标。希望投标人以精良的设备、优良的服务和优惠的价格，充分显示自身的竞争实力。</w:t>
      </w:r>
    </w:p>
    <w:p>
      <w:pPr>
        <w:pStyle w:val="18"/>
        <w:snapToGrid w:val="0"/>
        <w:spacing w:line="400" w:lineRule="exact"/>
        <w:ind w:left="360" w:hanging="361" w:hangingChars="171"/>
        <w:rPr>
          <w:rFonts w:hAnsi="宋体" w:cs="宋体"/>
          <w:b/>
          <w:color w:val="auto"/>
          <w:sz w:val="21"/>
          <w:szCs w:val="21"/>
          <w:highlight w:val="none"/>
        </w:rPr>
      </w:pPr>
      <w:r>
        <w:rPr>
          <w:rFonts w:hint="eastAsia" w:hAnsi="宋体" w:cs="宋体"/>
          <w:b/>
          <w:color w:val="auto"/>
          <w:sz w:val="21"/>
          <w:szCs w:val="21"/>
          <w:highlight w:val="none"/>
        </w:rPr>
        <w:t>二、采购内容及要求：</w:t>
      </w:r>
    </w:p>
    <w:p>
      <w:pPr>
        <w:spacing w:line="400" w:lineRule="exact"/>
        <w:rPr>
          <w:rFonts w:ascii="宋体" w:hAnsi="宋体" w:cs="宋体"/>
          <w:b/>
          <w:color w:val="auto"/>
          <w:szCs w:val="21"/>
          <w:highlight w:val="none"/>
        </w:rPr>
      </w:pPr>
      <w:r>
        <w:rPr>
          <w:rFonts w:hint="eastAsia" w:ascii="宋体" w:hAnsi="宋体" w:cs="宋体"/>
          <w:b/>
          <w:bCs/>
          <w:color w:val="auto"/>
          <w:szCs w:val="21"/>
          <w:highlight w:val="none"/>
        </w:rPr>
        <w:t xml:space="preserve">标项一  </w:t>
      </w:r>
      <w:bookmarkStart w:id="3" w:name="OLE_LINK6"/>
      <w:bookmarkStart w:id="4" w:name="OLE_LINK5"/>
      <w:bookmarkStart w:id="5" w:name="OLE_LINK8"/>
      <w:bookmarkStart w:id="6" w:name="OLE_LINK7"/>
      <w:r>
        <w:rPr>
          <w:rFonts w:hint="eastAsia" w:ascii="宋体" w:hAnsi="宋体" w:eastAsia="宋体" w:cs="宋体"/>
          <w:b/>
          <w:color w:val="auto"/>
          <w:szCs w:val="21"/>
          <w:highlight w:val="none"/>
        </w:rPr>
        <w:t xml:space="preserve"> </w:t>
      </w:r>
    </w:p>
    <w:p>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一、名称、规格、性能参数要求如下</w:t>
      </w:r>
    </w:p>
    <w:bookmarkEnd w:id="3"/>
    <w:bookmarkEnd w:id="4"/>
    <w:bookmarkEnd w:id="5"/>
    <w:bookmarkEnd w:id="6"/>
    <w:tbl>
      <w:tblPr>
        <w:tblStyle w:val="37"/>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仪器名称</w:t>
            </w:r>
          </w:p>
        </w:tc>
        <w:tc>
          <w:tcPr>
            <w:tcW w:w="81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电磁超声相控阵检测系统</w:t>
            </w:r>
            <w:r>
              <w:rPr>
                <w:rFonts w:hint="eastAsia" w:ascii="宋体" w:hAnsi="宋体" w:eastAsia="宋体" w:cs="宋体"/>
                <w:sz w:val="21"/>
                <w:szCs w:val="21"/>
                <w:vertAlign w:val="baseline"/>
                <w:lang w:val="en-US" w:eastAsia="zh-CN"/>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1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仪器用途</w:t>
            </w:r>
          </w:p>
        </w:tc>
        <w:tc>
          <w:tcPr>
            <w:tcW w:w="81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用于</w:t>
            </w:r>
            <w:r>
              <w:rPr>
                <w:rFonts w:hint="eastAsia" w:ascii="宋体" w:hAnsi="宋体" w:eastAsia="宋体" w:cs="宋体"/>
                <w:sz w:val="21"/>
                <w:szCs w:val="21"/>
                <w:vertAlign w:val="baseline"/>
                <w:lang w:val="en-US" w:eastAsia="zh-CN"/>
              </w:rPr>
              <w:t>20～800℃压力管道缺陷在线检测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1"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技术指标要求</w:t>
            </w:r>
          </w:p>
        </w:tc>
        <w:tc>
          <w:tcPr>
            <w:tcW w:w="8126"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left="0"/>
              <w:textAlignment w:val="auto"/>
              <w:rPr>
                <w:rFonts w:hint="eastAsia" w:ascii="宋体" w:hAnsi="宋体" w:eastAsia="宋体" w:cs="宋体"/>
                <w:sz w:val="21"/>
                <w:szCs w:val="21"/>
              </w:rPr>
            </w:pPr>
            <w:r>
              <w:rPr>
                <w:rFonts w:hint="eastAsia" w:ascii="宋体" w:hAnsi="宋体" w:eastAsia="宋体" w:cs="宋体"/>
                <w:sz w:val="21"/>
                <w:szCs w:val="21"/>
              </w:rPr>
              <w:t>一、电磁超声相控阵检测系统1套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1、设备名称：电磁超声相控阵检测系统</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2、设备主要技术参数和性能要求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2.1 基本要求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★2.1.1 被检对象温度可以高达650℃</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cs="宋体"/>
                <w:bCs/>
                <w:color w:val="auto"/>
                <w:szCs w:val="21"/>
                <w:highlight w:val="none"/>
              </w:rPr>
              <w:t>▲</w:t>
            </w:r>
            <w:r>
              <w:rPr>
                <w:rFonts w:hint="eastAsia" w:ascii="宋体" w:hAnsi="宋体" w:eastAsia="宋体" w:cs="宋体"/>
                <w:sz w:val="21"/>
                <w:szCs w:val="21"/>
              </w:rPr>
              <w:t>2.1.2 可应用多达4个独立多处理通道</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2.1.3 具有高可靠性、安全性和便利性，易于维护</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cs="宋体"/>
                <w:bCs/>
                <w:color w:val="auto"/>
                <w:szCs w:val="21"/>
                <w:highlight w:val="none"/>
              </w:rPr>
              <w:t>▲</w:t>
            </w:r>
            <w:r>
              <w:rPr>
                <w:rFonts w:hint="eastAsia" w:ascii="宋体" w:hAnsi="宋体" w:eastAsia="宋体" w:cs="宋体"/>
                <w:sz w:val="21"/>
                <w:szCs w:val="21"/>
              </w:rPr>
              <w:t>2.1.4 设备采用模块化设计，具有相控阵、TOFD检测功能</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2.1.5 用于碳钢、不锈钢等材质的管道、容器高温在役腐蚀、测厚和裂纹检测</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2.1.6 仪器必须模块化设计，数据采集、分析软件，采集数据时主机与控制单元分开，可方便地到生产、装配现场，完成检测对象不同部位检测</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2.2　技术参数要求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2.2.1 电磁超声相控阵主机</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2.2.1.1 电磁超声相控阵重量不大于3.9KG；</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2.2.1.2 外形尺寸不大于250 mm x 250mm x 100mm；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2.2.1.3 模块化显示器：显示器尺寸小于等于13英寸，分辨率1366 x 768像素；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2.2.1.4 通道数：4通道；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2.2.1.5 高达15mm的提离时，非接触精确测厚；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★2.2.1.6 焊缝检测(超声TOFD, 相控阵, 常规直束和斜束探头)；</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2.2.1.</w:t>
            </w:r>
            <w:r>
              <w:rPr>
                <w:rFonts w:hint="eastAsia" w:ascii="宋体" w:hAnsi="宋体" w:cs="宋体"/>
                <w:sz w:val="21"/>
                <w:szCs w:val="21"/>
                <w:lang w:val="en-US" w:eastAsia="zh-CN"/>
              </w:rPr>
              <w:t>7</w:t>
            </w:r>
            <w:r>
              <w:rPr>
                <w:rFonts w:hint="eastAsia" w:ascii="宋体" w:hAnsi="宋体" w:eastAsia="宋体" w:cs="宋体"/>
                <w:sz w:val="21"/>
                <w:szCs w:val="21"/>
              </w:rPr>
              <w:t xml:space="preserve"> 非接触式检测，无需耦合剂。不消耗水，水循环上无环境及技术问题；</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2.2.1.</w:t>
            </w:r>
            <w:r>
              <w:rPr>
                <w:rFonts w:hint="eastAsia" w:ascii="宋体" w:hAnsi="宋体" w:cs="宋体"/>
                <w:sz w:val="21"/>
                <w:szCs w:val="21"/>
                <w:lang w:val="en-US" w:eastAsia="zh-CN"/>
              </w:rPr>
              <w:t>8</w:t>
            </w:r>
            <w:r>
              <w:rPr>
                <w:rFonts w:hint="eastAsia" w:ascii="宋体" w:hAnsi="宋体" w:eastAsia="宋体" w:cs="宋体"/>
                <w:sz w:val="21"/>
                <w:szCs w:val="21"/>
              </w:rPr>
              <w:t xml:space="preserve"> 非常高的抗干扰性，依靠UTE软件复杂处理及过滤算法的应用而实现；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2.2.1.</w:t>
            </w:r>
            <w:r>
              <w:rPr>
                <w:rFonts w:hint="eastAsia" w:ascii="宋体" w:hAnsi="宋体" w:cs="宋体"/>
                <w:sz w:val="21"/>
                <w:szCs w:val="21"/>
                <w:lang w:val="en-US" w:eastAsia="zh-CN"/>
              </w:rPr>
              <w:t>9</w:t>
            </w:r>
            <w:r>
              <w:rPr>
                <w:rFonts w:hint="eastAsia" w:ascii="宋体" w:hAnsi="宋体" w:eastAsia="宋体" w:cs="宋体"/>
                <w:sz w:val="21"/>
                <w:szCs w:val="21"/>
              </w:rPr>
              <w:t xml:space="preserve"> EMAT探头的间隙或倾斜几乎不会影响检测结果；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2.2.1.1</w:t>
            </w:r>
            <w:r>
              <w:rPr>
                <w:rFonts w:hint="eastAsia" w:ascii="宋体" w:hAnsi="宋体" w:cs="宋体"/>
                <w:sz w:val="21"/>
                <w:szCs w:val="21"/>
                <w:lang w:val="en-US" w:eastAsia="zh-CN"/>
              </w:rPr>
              <w:t>0</w:t>
            </w:r>
            <w:r>
              <w:rPr>
                <w:rFonts w:hint="eastAsia" w:ascii="宋体" w:hAnsi="宋体" w:eastAsia="宋体" w:cs="宋体"/>
                <w:sz w:val="21"/>
                <w:szCs w:val="21"/>
              </w:rPr>
              <w:t xml:space="preserve"> 可通过涂层检测（油漆、油、塑料、玻璃等等）</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2.2.2 可选超声探头</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2.2.2.1 电磁超声探头，可用于测厚和缺陷检测</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★2.2.2.2 TOFD 探头</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★2.2.2.3 常规超声探头(斜束探头, 直束探头, RT-probes)</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★2.2.2.4 16通道相控阵探头</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2.2.2.5 可以实现A扫、B扫、C扫和S扫。通过使用陀螺式编码器，可以建立B扫和C扫。</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2.2.3 软件</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2.2.3.1 运行软件基于windows,并提供接到其他windows程序的TCP/IP接口；</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2.2.3.2 支持EMAT及压电式探头；</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2.2.3.3 支持TR探头及相控阵列探头；</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2.2.3.4 壁厚检测；</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2.2.3.5 支持平板、带材、钢筋、坯料及管件检测配置；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2.2.3.6 支持以不同检测标准及准则检测物体上多达4个区域</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2.2.3.7 检测设置全方位调节；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2.2.3.8 检测过程实时可视化</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2.2.3.9 每通道的A扫、B扫及C扫；</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2.2.3.10 检测结果在数据库里存有日志记录；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2.2.3.11 设备参数自动调节；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★2.2.3.12 支持以新的设置对检测结果进行重新评估；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2.2.3.13 检测结果自动以PDF格式存储；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2.2.3.14 精度调节窗口；</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2.2.3.15 “通道状态”窗口；</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2.2.3.16 “检测结果”窗口；</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2.2.3.17 “DAC”调节窗口；</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2.2.3.18 A扫动态记忆功能；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★2.3　最低配置要求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2.3.1电磁超声相控阵检测系统主机 1 台</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2.3.2 软件1套</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2.3.3 模块化显示器1台</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2.3.4 探伤扫查器套装1套</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2.3.5 焊缝扫查器套装1套</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2.3.6 数据线1根</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2.3.7 电池1个</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2.3.8 充电器1个</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2.3.9 密钥1个</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2.3.10 说明书</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2.3.11 仪器箱1个</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val="en-US"/>
              </w:rPr>
            </w:pPr>
            <w:r>
              <w:rPr>
                <w:rFonts w:hint="eastAsia" w:ascii="宋体" w:hAnsi="宋体" w:eastAsia="宋体" w:cs="宋体"/>
                <w:sz w:val="21"/>
                <w:szCs w:val="21"/>
              </w:rPr>
              <w:t>2.3.1</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b w:val="0"/>
                <w:bCs w:val="0"/>
                <w:kern w:val="2"/>
                <w:sz w:val="21"/>
                <w:szCs w:val="21"/>
                <w:lang w:val="en-US" w:eastAsia="zh-CN" w:bidi="ar-SA"/>
              </w:rPr>
              <w:t>一体机（主流品牌，商用机，intel i5 12代，内存16G，硬盘512GB SSD  预装正版win10专业版或企业版（有微软授权证书或序列号））18台</w:t>
            </w:r>
            <w:r>
              <w:rPr>
                <w:rFonts w:hint="eastAsia" w:ascii="宋体" w:hAnsi="宋体" w:cs="宋体"/>
                <w:b w:val="0"/>
                <w:bCs w:val="0"/>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备  注</w:t>
            </w:r>
          </w:p>
        </w:tc>
        <w:tc>
          <w:tcPr>
            <w:tcW w:w="8126"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kern w:val="0"/>
                <w:sz w:val="21"/>
                <w:szCs w:val="21"/>
                <w:lang w:eastAsia="zh-CN"/>
              </w:rPr>
              <w:t>计量</w:t>
            </w:r>
            <w:r>
              <w:rPr>
                <w:rFonts w:hint="eastAsia" w:ascii="宋体" w:hAnsi="宋体" w:eastAsia="宋体" w:cs="宋体"/>
                <w:snapToGrid w:val="0"/>
                <w:kern w:val="0"/>
                <w:sz w:val="21"/>
                <w:szCs w:val="21"/>
              </w:rPr>
              <w:t>证书。</w:t>
            </w:r>
          </w:p>
        </w:tc>
      </w:tr>
    </w:tbl>
    <w:p/>
    <w:tbl>
      <w:tblPr>
        <w:tblStyle w:val="37"/>
        <w:tblW w:w="9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7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2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7804"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便携式制动性能测试仪</w:t>
            </w:r>
            <w:r>
              <w:rPr>
                <w:rFonts w:hint="eastAsia" w:ascii="宋体" w:hAnsi="宋体" w:eastAsia="宋体" w:cs="宋体"/>
                <w:sz w:val="21"/>
                <w:szCs w:val="21"/>
                <w:vertAlign w:val="baseline"/>
                <w:lang w:val="en-US" w:eastAsia="zh-CN"/>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2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7804"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7804"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用于场</w:t>
            </w:r>
            <w:r>
              <w:rPr>
                <w:rFonts w:hint="eastAsia" w:ascii="宋体" w:hAnsi="宋体" w:eastAsia="宋体" w:cs="宋体"/>
                <w:sz w:val="21"/>
                <w:szCs w:val="21"/>
                <w:lang w:eastAsia="zh-CN"/>
              </w:rPr>
              <w:t>（厂）</w:t>
            </w:r>
            <w:r>
              <w:rPr>
                <w:rFonts w:hint="eastAsia" w:ascii="宋体" w:hAnsi="宋体" w:eastAsia="宋体" w:cs="宋体"/>
                <w:sz w:val="21"/>
                <w:szCs w:val="21"/>
              </w:rPr>
              <w:t>内车辆制动性能检测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2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7804" w:type="dxa"/>
            <w:tcBorders>
              <w:top w:val="single" w:color="auto" w:sz="4" w:space="0"/>
              <w:left w:val="single" w:color="auto" w:sz="4" w:space="0"/>
              <w:bottom w:val="single" w:color="auto" w:sz="4" w:space="0"/>
              <w:right w:val="single" w:color="auto" w:sz="4" w:space="0"/>
            </w:tcBorders>
            <w:noWra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产品特性：</w:t>
            </w:r>
          </w:p>
          <w:p>
            <w:r>
              <w:rPr>
                <w:rFonts w:hint="eastAsia"/>
              </w:rPr>
              <w:t>1、仪器是便携式的使用方便，可独立完成制动性能测试，不受车型限制可适用于各种车型；仪器轻便，操作便捷可在几分钟内记录所有类别车辆的制动性能和制动不平衡百分比。</w:t>
            </w:r>
          </w:p>
          <w:p>
            <w:r>
              <w:rPr>
                <w:rFonts w:hint="eastAsia"/>
              </w:rPr>
              <w:t>2、仪器可通过测量从大约30km/h的速度到车辆停下来的减速速度来确定制动(脚刹)和手刹的制动效率。</w:t>
            </w:r>
          </w:p>
          <w:p>
            <w:r>
              <w:rPr>
                <w:rFonts w:hint="eastAsia"/>
              </w:rPr>
              <w:t>3、仪器是可用的变体，也可以衡量二级制动器的制动效率。</w:t>
            </w:r>
          </w:p>
          <w:p>
            <w:r>
              <w:rPr>
                <w:rFonts w:hint="eastAsia"/>
              </w:rPr>
              <w:t>4、仪器内部集成补偿算法，可在其位置足够水平时进行制动测试，测试结果显示于LED屏幕上。该单位指示车辆在制动过程中是向左还是向右拉。</w:t>
            </w:r>
          </w:p>
          <w:p>
            <w:r>
              <w:rPr>
                <w:rFonts w:hint="eastAsia"/>
              </w:rPr>
              <w:t>5、测试结果可以在显示面板上查看或下载到 PC 进行保存或打印。在测试时，也可以使用便携式红外打印机打印报告。</w:t>
            </w:r>
          </w:p>
          <w:p>
            <w:r>
              <w:rPr>
                <w:rFonts w:hint="eastAsia"/>
              </w:rPr>
              <w:t>6、该设备使用可充电的锂离子电池组，在一段时间不活动后会自动关机以节省能源。</w:t>
            </w:r>
          </w:p>
          <w:p>
            <w:pPr>
              <w:pageBreakBefore w:val="0"/>
              <w:kinsoku/>
              <w:overflowPunct/>
              <w:topLinePunct w:val="0"/>
              <w:autoSpaceDE/>
              <w:autoSpaceDN/>
              <w:bidi w:val="0"/>
              <w:spacing w:line="32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二、</w:t>
            </w:r>
            <w:r>
              <w:rPr>
                <w:rFonts w:hint="eastAsia" w:ascii="宋体" w:hAnsi="宋体" w:eastAsia="宋体" w:cs="宋体"/>
                <w:b w:val="0"/>
                <w:bCs w:val="0"/>
                <w:sz w:val="21"/>
                <w:szCs w:val="21"/>
              </w:rPr>
              <w:t>技术指标：</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cs="宋体"/>
                <w:bCs/>
                <w:color w:val="auto"/>
                <w:szCs w:val="21"/>
                <w:highlight w:val="none"/>
              </w:rPr>
              <w:t>▲</w:t>
            </w:r>
            <w:r>
              <w:rPr>
                <w:rFonts w:hint="eastAsia" w:ascii="宋体" w:hAnsi="宋体" w:eastAsia="宋体" w:cs="宋体"/>
                <w:sz w:val="21"/>
                <w:szCs w:val="21"/>
                <w:lang w:val="en-US" w:eastAsia="zh-CN"/>
              </w:rPr>
              <w:t>1、</w:t>
            </w:r>
            <w:r>
              <w:rPr>
                <w:rFonts w:hint="eastAsia" w:ascii="宋体" w:hAnsi="宋体" w:eastAsia="宋体" w:cs="宋体"/>
                <w:sz w:val="21"/>
                <w:szCs w:val="21"/>
              </w:rPr>
              <w:t>3轴加速度计，量程±2g</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cs="宋体"/>
                <w:bCs/>
                <w:color w:val="auto"/>
                <w:szCs w:val="21"/>
                <w:highlight w:val="none"/>
              </w:rPr>
              <w:t>▲</w:t>
            </w:r>
            <w:r>
              <w:rPr>
                <w:rFonts w:hint="eastAsia" w:ascii="宋体" w:hAnsi="宋体" w:eastAsia="宋体" w:cs="宋体"/>
                <w:sz w:val="21"/>
                <w:szCs w:val="21"/>
                <w:lang w:val="en-US" w:eastAsia="zh-CN"/>
              </w:rPr>
              <w:t>2、</w:t>
            </w:r>
            <w:r>
              <w:rPr>
                <w:rFonts w:hint="eastAsia" w:ascii="宋体" w:hAnsi="宋体" w:eastAsia="宋体" w:cs="宋体"/>
                <w:sz w:val="21"/>
                <w:szCs w:val="21"/>
              </w:rPr>
              <w:t>测量精度：±0.01g</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抗冲击能力：10,000g</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测量前/后峰值减速</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测量前/后平均减速度</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测量左/右峰值加速度</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车辆拉左/右指示和值</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计算制动效率</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计算停止距离（以米为单位显示，或根据特殊要求显示为英尺）</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计算测试速度（以公里/小时显示，或根据特殊要求显示为英里/小时）</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可用于手刹测试</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rPr>
              <w:t>音频信号</w:t>
            </w:r>
            <w:r>
              <w:rPr>
                <w:rFonts w:hint="eastAsia" w:ascii="宋体" w:hAnsi="宋体" w:eastAsia="宋体" w:cs="宋体"/>
                <w:sz w:val="21"/>
                <w:szCs w:val="21"/>
                <w:lang w:eastAsia="zh-CN"/>
              </w:rPr>
              <w:t>：</w:t>
            </w:r>
            <w:r>
              <w:rPr>
                <w:rFonts w:hint="eastAsia" w:ascii="宋体" w:hAnsi="宋体" w:eastAsia="宋体" w:cs="宋体"/>
                <w:sz w:val="21"/>
                <w:szCs w:val="21"/>
              </w:rPr>
              <w:t>以°C 和°F 为单位测量环境温度</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rPr>
              <w:t>提供电池充电器，带有适合目的地国家/地区的插头</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充满电后可运行约5 小时或约 120 次测试</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15、</w:t>
            </w:r>
            <w:r>
              <w:rPr>
                <w:rFonts w:hint="eastAsia" w:ascii="宋体" w:hAnsi="宋体" w:eastAsia="宋体" w:cs="宋体"/>
                <w:sz w:val="21"/>
                <w:szCs w:val="21"/>
              </w:rPr>
              <w:t>充电 5 分钟后即可使用</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16、</w:t>
            </w:r>
            <w:r>
              <w:rPr>
                <w:rFonts w:hint="eastAsia" w:ascii="宋体" w:hAnsi="宋体" w:eastAsia="宋体" w:cs="宋体"/>
                <w:sz w:val="21"/>
                <w:szCs w:val="21"/>
              </w:rPr>
              <w:t>电池充电指示灯</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17、</w:t>
            </w:r>
            <w:r>
              <w:rPr>
                <w:rFonts w:hint="eastAsia" w:ascii="宋体" w:hAnsi="宋体" w:eastAsia="宋体" w:cs="宋体"/>
                <w:sz w:val="21"/>
                <w:szCs w:val="21"/>
              </w:rPr>
              <w:t>自动电平补偿</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18、</w:t>
            </w:r>
            <w:r>
              <w:rPr>
                <w:rFonts w:hint="eastAsia" w:ascii="宋体" w:hAnsi="宋体" w:eastAsia="宋体" w:cs="宋体"/>
                <w:sz w:val="21"/>
                <w:szCs w:val="21"/>
              </w:rPr>
              <w:t>简单的 LED 指示灯系统</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19、</w:t>
            </w:r>
            <w:r>
              <w:rPr>
                <w:rFonts w:hint="eastAsia" w:ascii="宋体" w:hAnsi="宋体" w:eastAsia="宋体" w:cs="宋体"/>
                <w:sz w:val="21"/>
                <w:szCs w:val="21"/>
              </w:rPr>
              <w:t>使用方便</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20、</w:t>
            </w:r>
            <w:r>
              <w:rPr>
                <w:rFonts w:hint="eastAsia" w:ascii="宋体" w:hAnsi="宋体" w:eastAsia="宋体" w:cs="宋体"/>
                <w:sz w:val="21"/>
                <w:szCs w:val="21"/>
              </w:rPr>
              <w:t>“需要校准”指示器</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21、</w:t>
            </w:r>
            <w:r>
              <w:rPr>
                <w:rFonts w:hint="eastAsia" w:ascii="宋体" w:hAnsi="宋体" w:eastAsia="宋体" w:cs="宋体"/>
                <w:sz w:val="21"/>
                <w:szCs w:val="21"/>
              </w:rPr>
              <w:t>三位数读数</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22、</w:t>
            </w:r>
            <w:r>
              <w:rPr>
                <w:rFonts w:hint="eastAsia" w:ascii="宋体" w:hAnsi="宋体" w:eastAsia="宋体" w:cs="宋体"/>
                <w:sz w:val="21"/>
                <w:szCs w:val="21"/>
              </w:rPr>
              <w:t>显示屏可在阳光下读取</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23、</w:t>
            </w:r>
            <w:r>
              <w:rPr>
                <w:rFonts w:hint="eastAsia" w:ascii="宋体" w:hAnsi="宋体" w:eastAsia="宋体" w:cs="宋体"/>
                <w:sz w:val="21"/>
                <w:szCs w:val="21"/>
              </w:rPr>
              <w:t>内部自诊断</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24、</w:t>
            </w:r>
            <w:r>
              <w:rPr>
                <w:rFonts w:hint="eastAsia" w:ascii="宋体" w:hAnsi="宋体" w:eastAsia="宋体" w:cs="宋体"/>
                <w:sz w:val="21"/>
                <w:szCs w:val="21"/>
              </w:rPr>
              <w:t>测试结果以“g”单位表示，精确到 +/- 0.01g（结果可以以 m/s² 表示）</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25、</w:t>
            </w:r>
            <w:r>
              <w:rPr>
                <w:rFonts w:hint="eastAsia" w:ascii="宋体" w:hAnsi="宋体" w:eastAsia="宋体" w:cs="宋体"/>
                <w:sz w:val="21"/>
                <w:szCs w:val="21"/>
              </w:rPr>
              <w:t>尺寸：约170 x 80 x 35 毫米</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26、</w:t>
            </w:r>
            <w:r>
              <w:rPr>
                <w:rFonts w:hint="eastAsia" w:ascii="宋体" w:hAnsi="宋体" w:eastAsia="宋体" w:cs="宋体"/>
                <w:sz w:val="21"/>
                <w:szCs w:val="21"/>
              </w:rPr>
              <w:t>重量：约0.4kg</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val="en-US"/>
              </w:rPr>
            </w:pPr>
            <w:r>
              <w:rPr>
                <w:rFonts w:hint="eastAsia" w:ascii="宋体" w:hAnsi="宋体" w:eastAsia="宋体" w:cs="宋体"/>
                <w:sz w:val="21"/>
                <w:szCs w:val="21"/>
                <w:lang w:val="en-US" w:eastAsia="zh-CN"/>
              </w:rPr>
              <w:t>三、</w:t>
            </w:r>
            <w:r>
              <w:rPr>
                <w:rFonts w:hint="eastAsia" w:ascii="宋体" w:hAnsi="宋体" w:eastAsia="宋体" w:cs="宋体"/>
                <w:sz w:val="21"/>
                <w:szCs w:val="21"/>
              </w:rPr>
              <w:t>标准配置清单：</w:t>
            </w:r>
            <w:r>
              <w:rPr>
                <w:rFonts w:hint="eastAsia" w:ascii="宋体" w:hAnsi="宋体" w:eastAsia="宋体" w:cs="宋体"/>
                <w:sz w:val="21"/>
                <w:szCs w:val="21"/>
              </w:rPr>
              <w:br w:type="textWrapping"/>
            </w:r>
            <w:r>
              <w:rPr>
                <w:rFonts w:hint="eastAsia" w:ascii="宋体" w:hAnsi="宋体" w:eastAsia="宋体" w:cs="宋体"/>
                <w:sz w:val="21"/>
                <w:szCs w:val="21"/>
              </w:rPr>
              <w:t>主机</w:t>
            </w:r>
            <w:r>
              <w:rPr>
                <w:rFonts w:hint="eastAsia" w:ascii="宋体" w:hAnsi="宋体" w:eastAsia="宋体" w:cs="宋体"/>
                <w:sz w:val="21"/>
                <w:szCs w:val="21"/>
                <w:lang w:val="en-US" w:eastAsia="zh-CN"/>
              </w:rPr>
              <w:t>1台</w:t>
            </w:r>
            <w:r>
              <w:rPr>
                <w:rFonts w:hint="eastAsia" w:ascii="宋体" w:hAnsi="宋体" w:eastAsia="宋体" w:cs="宋体"/>
                <w:sz w:val="21"/>
                <w:szCs w:val="21"/>
              </w:rPr>
              <w:t>，便携</w:t>
            </w:r>
            <w:r>
              <w:rPr>
                <w:rFonts w:hint="eastAsia" w:ascii="宋体" w:hAnsi="宋体" w:eastAsia="宋体" w:cs="宋体"/>
                <w:sz w:val="21"/>
                <w:szCs w:val="21"/>
                <w:lang w:eastAsia="zh-CN"/>
              </w:rPr>
              <w:t>盒</w:t>
            </w:r>
            <w:r>
              <w:rPr>
                <w:rFonts w:hint="eastAsia" w:ascii="宋体" w:hAnsi="宋体" w:eastAsia="宋体" w:cs="宋体"/>
                <w:sz w:val="21"/>
                <w:szCs w:val="21"/>
                <w:lang w:val="en-US" w:eastAsia="zh-CN"/>
              </w:rPr>
              <w:t>1个</w:t>
            </w:r>
            <w:r>
              <w:rPr>
                <w:rFonts w:hint="eastAsia" w:ascii="宋体" w:hAnsi="宋体" w:eastAsia="宋体" w:cs="宋体"/>
                <w:sz w:val="21"/>
                <w:szCs w:val="21"/>
              </w:rPr>
              <w:t>，说明书</w:t>
            </w:r>
            <w:r>
              <w:rPr>
                <w:rFonts w:hint="eastAsia" w:ascii="宋体" w:hAnsi="宋体" w:eastAsia="宋体" w:cs="宋体"/>
                <w:sz w:val="21"/>
                <w:szCs w:val="21"/>
                <w:lang w:val="en-US" w:eastAsia="zh-CN"/>
              </w:rPr>
              <w:t>1份</w:t>
            </w:r>
            <w:r>
              <w:rPr>
                <w:rFonts w:hint="eastAsia" w:ascii="宋体" w:hAnsi="宋体" w:eastAsia="宋体" w:cs="宋体"/>
                <w:sz w:val="21"/>
                <w:szCs w:val="21"/>
              </w:rPr>
              <w:t xml:space="preserve"> ，u盘</w:t>
            </w:r>
            <w:r>
              <w:rPr>
                <w:rFonts w:hint="eastAsia" w:ascii="宋体" w:hAnsi="宋体" w:eastAsia="宋体" w:cs="宋体"/>
                <w:sz w:val="21"/>
                <w:szCs w:val="21"/>
                <w:lang w:val="en-US" w:eastAsia="zh-CN"/>
              </w:rPr>
              <w:t>1个</w:t>
            </w:r>
            <w:r>
              <w:rPr>
                <w:rFonts w:hint="eastAsia" w:ascii="宋体" w:hAnsi="宋体" w:eastAsia="宋体" w:cs="宋体"/>
                <w:sz w:val="21"/>
                <w:szCs w:val="21"/>
              </w:rPr>
              <w:t>，电源线</w:t>
            </w:r>
            <w:r>
              <w:rPr>
                <w:rFonts w:hint="eastAsia" w:ascii="宋体" w:hAnsi="宋体" w:eastAsia="宋体" w:cs="宋体"/>
                <w:sz w:val="21"/>
                <w:szCs w:val="21"/>
                <w:lang w:val="en-US" w:eastAsia="zh-CN"/>
              </w:rPr>
              <w:t>1条</w:t>
            </w:r>
            <w:r>
              <w:rPr>
                <w:rFonts w:hint="eastAsia" w:ascii="宋体" w:hAnsi="宋体" w:eastAsia="宋体" w:cs="宋体"/>
                <w:sz w:val="21"/>
                <w:szCs w:val="21"/>
              </w:rPr>
              <w:t>，充电器</w:t>
            </w:r>
            <w:r>
              <w:rPr>
                <w:rFonts w:hint="eastAsia" w:ascii="宋体" w:hAnsi="宋体" w:eastAsia="宋体" w:cs="宋体"/>
                <w:sz w:val="21"/>
                <w:szCs w:val="21"/>
                <w:lang w:val="en-US" w:eastAsia="zh-CN"/>
              </w:rPr>
              <w:t>1个，计量证书1份。</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四、其他要求：</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rPr>
              <w:t>交货时间和地点</w:t>
            </w:r>
            <w:r>
              <w:rPr>
                <w:rFonts w:hint="eastAsia" w:ascii="宋体" w:hAnsi="宋体" w:eastAsia="宋体" w:cs="宋体"/>
                <w:sz w:val="21"/>
                <w:szCs w:val="21"/>
                <w:lang w:eastAsia="zh-CN"/>
              </w:rPr>
              <w:t>：</w:t>
            </w:r>
            <w:r>
              <w:rPr>
                <w:rFonts w:hint="eastAsia" w:ascii="宋体" w:hAnsi="宋体" w:eastAsia="宋体" w:cs="宋体"/>
                <w:sz w:val="21"/>
                <w:szCs w:val="21"/>
              </w:rPr>
              <w:t>交货时间为合同签订后</w:t>
            </w:r>
            <w:r>
              <w:rPr>
                <w:rFonts w:hint="eastAsia" w:ascii="宋体" w:hAnsi="宋体" w:cs="宋体"/>
                <w:sz w:val="21"/>
                <w:szCs w:val="21"/>
                <w:lang w:val="en-US" w:eastAsia="zh-CN"/>
              </w:rPr>
              <w:t>8</w:t>
            </w:r>
            <w:r>
              <w:rPr>
                <w:rFonts w:hint="eastAsia" w:ascii="宋体" w:hAnsi="宋体" w:eastAsia="宋体" w:cs="宋体"/>
                <w:sz w:val="21"/>
                <w:szCs w:val="21"/>
              </w:rPr>
              <w:t>0天内，</w:t>
            </w:r>
            <w:r>
              <w:rPr>
                <w:rFonts w:hint="eastAsia" w:ascii="宋体" w:hAnsi="宋体" w:eastAsia="宋体" w:cs="宋体"/>
                <w:sz w:val="21"/>
                <w:szCs w:val="21"/>
                <w:lang w:eastAsia="zh-CN"/>
              </w:rPr>
              <w:t>交货地点为采购方指定地点</w:t>
            </w:r>
            <w:r>
              <w:rPr>
                <w:rFonts w:hint="eastAsia" w:ascii="宋体" w:hAnsi="宋体" w:eastAsia="宋体" w:cs="宋体"/>
                <w:sz w:val="21"/>
                <w:szCs w:val="21"/>
                <w:lang w:val="en-US"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eastAsia="zh-CN"/>
              </w:rPr>
              <w:t>培训方案：</w:t>
            </w:r>
            <w:r>
              <w:rPr>
                <w:rFonts w:hint="eastAsia" w:ascii="宋体" w:hAnsi="宋体" w:eastAsia="宋体" w:cs="宋体"/>
                <w:sz w:val="21"/>
                <w:szCs w:val="21"/>
                <w:lang w:val="en-US" w:eastAsia="zh-CN"/>
              </w:rPr>
              <w:t>厂家免费上门安排培训。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2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7804" w:type="dxa"/>
            <w:tcBorders>
              <w:top w:val="single" w:color="auto" w:sz="4" w:space="0"/>
              <w:left w:val="single" w:color="auto" w:sz="4" w:space="0"/>
              <w:bottom w:val="single" w:color="auto" w:sz="4" w:space="0"/>
              <w:right w:val="single" w:color="auto" w:sz="4" w:space="0"/>
            </w:tcBorders>
            <w:noWra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eastAsia="宋体" w:cs="宋体"/>
                <w:snapToGrid w:val="0"/>
                <w:kern w:val="0"/>
                <w:sz w:val="21"/>
                <w:szCs w:val="21"/>
                <w:lang w:eastAsia="zh-CN"/>
              </w:rPr>
              <w:t>计量</w:t>
            </w:r>
            <w:r>
              <w:rPr>
                <w:rFonts w:hint="eastAsia" w:ascii="宋体" w:hAnsi="宋体" w:eastAsia="宋体" w:cs="宋体"/>
                <w:snapToGrid w:val="0"/>
                <w:kern w:val="0"/>
                <w:sz w:val="21"/>
                <w:szCs w:val="21"/>
              </w:rPr>
              <w:t>证书。</w:t>
            </w:r>
          </w:p>
        </w:tc>
      </w:tr>
    </w:tbl>
    <w:p>
      <w:pPr>
        <w:pageBreakBefore w:val="0"/>
        <w:kinsoku/>
        <w:overflowPunct/>
        <w:topLinePunct w:val="0"/>
        <w:autoSpaceDE/>
        <w:autoSpaceDN/>
        <w:bidi w:val="0"/>
        <w:spacing w:line="320" w:lineRule="exact"/>
        <w:rPr>
          <w:rFonts w:hint="eastAsia" w:ascii="宋体" w:hAnsi="宋体" w:eastAsia="宋体" w:cs="宋体"/>
          <w:b/>
          <w:bCs/>
          <w:color w:val="auto"/>
          <w:sz w:val="21"/>
          <w:szCs w:val="21"/>
          <w:highlight w:val="none"/>
        </w:rPr>
      </w:pPr>
    </w:p>
    <w:p>
      <w:pPr>
        <w:pageBreakBefore w:val="0"/>
        <w:kinsoku/>
        <w:overflowPunct/>
        <w:topLinePunct w:val="0"/>
        <w:autoSpaceDE/>
        <w:autoSpaceDN/>
        <w:bidi w:val="0"/>
        <w:spacing w:line="320" w:lineRule="exact"/>
        <w:rPr>
          <w:rFonts w:hint="eastAsia" w:ascii="宋体" w:hAnsi="宋体" w:eastAsia="宋体" w:cs="宋体"/>
          <w:b/>
          <w:bCs/>
          <w:color w:val="auto"/>
          <w:sz w:val="21"/>
          <w:szCs w:val="21"/>
          <w:highlight w:val="none"/>
        </w:rPr>
      </w:pPr>
    </w:p>
    <w:p>
      <w:pPr>
        <w:pageBreakBefore w:val="0"/>
        <w:kinsoku/>
        <w:overflowPunct/>
        <w:topLinePunct w:val="0"/>
        <w:autoSpaceDE/>
        <w:autoSpaceDN/>
        <w:bidi w:val="0"/>
        <w:spacing w:line="320" w:lineRule="exact"/>
        <w:rPr>
          <w:rFonts w:hint="eastAsia" w:ascii="宋体" w:hAnsi="宋体" w:eastAsia="宋体" w:cs="宋体"/>
          <w:b/>
          <w:bCs/>
          <w:color w:val="auto"/>
          <w:sz w:val="21"/>
          <w:szCs w:val="21"/>
          <w:highlight w:val="none"/>
        </w:rPr>
      </w:pPr>
    </w:p>
    <w:p>
      <w:pPr>
        <w:pageBreakBefore w:val="0"/>
        <w:kinsoku/>
        <w:overflowPunct/>
        <w:topLinePunct w:val="0"/>
        <w:autoSpaceDE/>
        <w:autoSpaceDN/>
        <w:bidi w:val="0"/>
        <w:spacing w:line="32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标项二 </w:t>
      </w:r>
    </w:p>
    <w:p>
      <w:pPr>
        <w:pageBreakBefore w:val="0"/>
        <w:kinsoku/>
        <w:overflowPunct/>
        <w:topLinePunct w:val="0"/>
        <w:autoSpaceDE/>
        <w:autoSpaceDN/>
        <w:bidi w:val="0"/>
        <w:spacing w:line="32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一、名称、规格、性能参数要求如下</w:t>
      </w:r>
    </w:p>
    <w:tbl>
      <w:tblPr>
        <w:tblStyle w:val="37"/>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783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相控阵检测仪（</w:t>
            </w:r>
            <w:r>
              <w:rPr>
                <w:rFonts w:hint="eastAsia" w:ascii="宋体" w:hAnsi="宋体" w:eastAsia="宋体" w:cs="宋体"/>
                <w:sz w:val="21"/>
                <w:szCs w:val="21"/>
                <w:vertAlign w:val="baseline"/>
                <w:lang w:val="en-US" w:eastAsia="zh-CN"/>
              </w:rPr>
              <w:t>允许采购进口产品</w:t>
            </w:r>
            <w:r>
              <w:rPr>
                <w:rFonts w:hint="eastAsia" w:ascii="宋体" w:hAnsi="宋体" w:eastAsia="宋体" w:cs="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783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783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用于锅炉、压力容器、储罐等特种设备焊缝及母材的无损检测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7833" w:type="dxa"/>
            <w:tcBorders>
              <w:top w:val="single" w:color="auto" w:sz="4" w:space="0"/>
              <w:left w:val="single" w:color="auto" w:sz="4" w:space="0"/>
              <w:bottom w:val="single" w:color="auto" w:sz="4" w:space="0"/>
              <w:right w:val="single" w:color="auto" w:sz="4" w:space="0"/>
            </w:tcBorders>
            <w:noWra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一、主机要求</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★检测系统需为便携式设备，自带触摸屏用于参数设置及数据采集和存储，尺寸小、重量轻，易于现场携带和操作。系统通道数32：128PR，并可实现64通道的全聚焦。</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cs="宋体"/>
                <w:bCs/>
                <w:color w:val="auto"/>
                <w:szCs w:val="21"/>
                <w:highlight w:val="none"/>
              </w:rPr>
              <w:t>▲</w:t>
            </w:r>
            <w:r>
              <w:rPr>
                <w:rFonts w:hint="eastAsia" w:ascii="宋体" w:hAnsi="宋体" w:eastAsia="宋体" w:cs="宋体"/>
                <w:sz w:val="21"/>
                <w:szCs w:val="21"/>
              </w:rPr>
              <w:t>系统需要具有实时多模式全聚焦技术，能够实时同时采集和显示不少于4种不同模式的全聚焦数据，其中至少包括TT（气孔、夹杂）、TTT（下表面裂纹）、TTTT（坡口未熔合）和TTTTT（上表面裂纹）等模式的数据，并通过全聚焦技术更加直观的显示，一次数据采集即可还原所有类型缺陷的真实形貌。</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★全聚焦系统需能够显示回波强度模拟分布图，通过了解当前设置预估的回波强度，进而利用强回波区域，提高检测分辨率和灵敏度。</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cs="宋体"/>
                <w:bCs/>
                <w:color w:val="auto"/>
                <w:szCs w:val="21"/>
                <w:highlight w:val="none"/>
              </w:rPr>
              <w:t>▲</w:t>
            </w:r>
            <w:r>
              <w:rPr>
                <w:rFonts w:hint="eastAsia" w:ascii="宋体" w:hAnsi="宋体" w:eastAsia="宋体" w:cs="宋体"/>
                <w:sz w:val="21"/>
                <w:szCs w:val="21"/>
              </w:rPr>
              <w:t>系统在全聚焦模式下需能够自动显示振幅保真性（Amplitude Fidelity，AF）预估值，以便捷地了解当前设置是否符合ASME第五卷标准中对全聚焦检测技术AF＜2dB的要求。</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系统在全聚焦模式下需具有包络功能，通过开启包络功能，可使缺陷显示更加直观。</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★系统需同时兼有常规相控阵、TOFD和常规超声等多种检测能力，并且可同时使用常规相控阵和TOFD技术对焊缝进行检测，并能同屏显示相控阵和TOFD的检测数据。</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★检测系统需具有相控阵一收一发功能，能够对不锈钢等高衰减材料焊缝进行有效检测。</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★设备具有不低于IP65防护等级，可以用于现场恶劣工况，需提供第三方测试报告。</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★设备至少具有A，B，C，S等多种显示方式，以及扇扫、线扫及复合扇扫等多种扫查方式，其中复合扇扫结合了扇扫和线扫方法至一个扫查视图中，增大了扇扫的一次覆盖面积。</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机载存储容量：至少64GB的内置SSD，单文件容量需达到25GB或更高。并可通过外置USB扩展存储容量。</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接口：至少1个相控阵接口，2个常规超声通道（含4个UT接口，可同时做2组TOFD或者2组常规超声）</w:t>
            </w:r>
            <w:r>
              <w:rPr>
                <w:rFonts w:hint="eastAsia" w:ascii="宋体" w:hAnsi="宋体" w:cs="宋体"/>
                <w:sz w:val="21"/>
                <w:szCs w:val="21"/>
                <w:lang w:eastAsia="zh-CN"/>
              </w:rPr>
              <w:t>。</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★可以自动识别原厂的各种探头，包括型号、频率等数据</w:t>
            </w:r>
            <w:r>
              <w:rPr>
                <w:rFonts w:hint="eastAsia" w:ascii="宋体" w:hAnsi="宋体" w:cs="宋体"/>
                <w:sz w:val="21"/>
                <w:szCs w:val="21"/>
                <w:lang w:eastAsia="zh-CN"/>
              </w:rPr>
              <w:t>。</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屏幕尺寸：</w:t>
            </w:r>
            <w:r>
              <w:rPr>
                <w:rFonts w:hint="eastAsia" w:ascii="宋体" w:hAnsi="宋体" w:eastAsia="宋体" w:cs="宋体"/>
                <w:sz w:val="21"/>
                <w:szCs w:val="21"/>
                <w:highlight w:val="none"/>
              </w:rPr>
              <w:t>10.6英寸</w:t>
            </w:r>
            <w:r>
              <w:rPr>
                <w:rFonts w:hint="eastAsia" w:ascii="宋体" w:hAnsi="宋体" w:eastAsia="宋体" w:cs="宋体"/>
                <w:sz w:val="21"/>
                <w:szCs w:val="21"/>
              </w:rPr>
              <w:t>，分辨率不低于1280x768像素</w:t>
            </w:r>
            <w:r>
              <w:rPr>
                <w:rFonts w:hint="eastAsia" w:ascii="宋体" w:hAnsi="宋体" w:cs="宋体"/>
                <w:sz w:val="21"/>
                <w:szCs w:val="21"/>
                <w:lang w:eastAsia="zh-CN"/>
              </w:rPr>
              <w:t>。</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设备重量不大于6Kg（含一块电池）</w:t>
            </w:r>
            <w:r>
              <w:rPr>
                <w:rFonts w:hint="eastAsia" w:ascii="宋体" w:hAnsi="宋体" w:cs="宋体"/>
                <w:sz w:val="21"/>
                <w:szCs w:val="21"/>
                <w:lang w:eastAsia="zh-CN"/>
              </w:rPr>
              <w:t>。</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编码器接口：双轴编码器接口，可用于X-Y双轴扫查。</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电池：可同时使用2节锂离子电池供电，具有热插拔功能。</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数字化频率：不低于100MHz</w:t>
            </w:r>
            <w:r>
              <w:rPr>
                <w:rFonts w:hint="eastAsia" w:ascii="宋体" w:hAnsi="宋体" w:cs="宋体"/>
                <w:sz w:val="21"/>
                <w:szCs w:val="21"/>
                <w:lang w:eastAsia="zh-CN"/>
              </w:rPr>
              <w:t>。</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最大脉冲重复频率PRF：不低于20KHz</w:t>
            </w:r>
            <w:r>
              <w:rPr>
                <w:rFonts w:hint="eastAsia" w:ascii="宋体" w:hAnsi="宋体" w:cs="宋体"/>
                <w:sz w:val="21"/>
                <w:szCs w:val="21"/>
                <w:lang w:eastAsia="zh-CN"/>
              </w:rPr>
              <w:t>。</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A扫描波幅高度：至少可读取和记录800%</w:t>
            </w:r>
            <w:r>
              <w:rPr>
                <w:rFonts w:hint="eastAsia" w:ascii="宋体" w:hAnsi="宋体" w:cs="宋体"/>
                <w:sz w:val="21"/>
                <w:szCs w:val="21"/>
                <w:lang w:eastAsia="zh-CN"/>
              </w:rPr>
              <w:t>。</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检波方式：射频、全波、正半波、负半波（相控阵和常规超声模式下都可设置）</w:t>
            </w:r>
            <w:r>
              <w:rPr>
                <w:rFonts w:hint="eastAsia" w:ascii="宋体" w:hAnsi="宋体" w:cs="宋体"/>
                <w:sz w:val="21"/>
                <w:szCs w:val="21"/>
                <w:lang w:eastAsia="zh-CN"/>
              </w:rPr>
              <w:t>。</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脉冲形状：负方波脉冲</w:t>
            </w:r>
            <w:r>
              <w:rPr>
                <w:rFonts w:hint="eastAsia" w:ascii="宋体" w:hAnsi="宋体" w:cs="宋体"/>
                <w:sz w:val="21"/>
                <w:szCs w:val="21"/>
                <w:lang w:eastAsia="zh-CN"/>
              </w:rPr>
              <w:t>。</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增益范围：至少包含相控阵0~80dB，常规超声0~120dB。</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★系统带宽：至少包含相控阵0.2~26.5MHz，常规超声0.25~28MHz</w:t>
            </w:r>
            <w:r>
              <w:rPr>
                <w:rFonts w:hint="eastAsia" w:ascii="宋体" w:hAnsi="宋体" w:cs="宋体"/>
                <w:sz w:val="21"/>
                <w:szCs w:val="21"/>
                <w:lang w:eastAsia="zh-CN"/>
              </w:rPr>
              <w:t>。</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检测方式：具有常规超声、TOFD、相控阵（扇扫、线扫、复合扇扫）、全聚焦（TFM）及耦合监控。</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聚焦法则数量：不少于1024</w:t>
            </w:r>
            <w:r>
              <w:rPr>
                <w:rFonts w:hint="eastAsia" w:ascii="宋体" w:hAnsi="宋体" w:cs="宋体"/>
                <w:sz w:val="21"/>
                <w:szCs w:val="21"/>
                <w:lang w:eastAsia="zh-CN"/>
              </w:rPr>
              <w:t>。</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全聚焦模式：至少包含脉冲回波LL，TT，TT-TT，串列TT-T，LL-L，LT-T，TL-T，TT-L，TTT-TT和TL-L</w:t>
            </w:r>
            <w:r>
              <w:rPr>
                <w:rFonts w:hint="eastAsia" w:ascii="宋体" w:hAnsi="宋体" w:cs="宋体"/>
                <w:sz w:val="21"/>
                <w:szCs w:val="21"/>
                <w:lang w:eastAsia="zh-CN"/>
              </w:rPr>
              <w:t>。</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全聚焦组数量：至少可同时显示4组</w:t>
            </w:r>
            <w:r>
              <w:rPr>
                <w:rFonts w:hint="eastAsia" w:ascii="宋体" w:hAnsi="宋体" w:cs="宋体"/>
                <w:sz w:val="21"/>
                <w:szCs w:val="21"/>
                <w:lang w:eastAsia="zh-CN"/>
              </w:rPr>
              <w:t>。</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★全聚焦图像分辨率：至少1024x1024（1mm点距），且针对每个全聚焦声束组。</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相控阵系统能够链接云端系统，并能够通过云端系统进行系统免费升级。</w:t>
            </w:r>
          </w:p>
          <w:p>
            <w:pPr>
              <w:pageBreakBefore w:val="0"/>
              <w:numPr>
                <w:ilvl w:val="0"/>
                <w:numId w:val="5"/>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可以机载导入CAD文件，并在设置阶段和数据采集阶段都可以显示CAD图纸中工件结构，并与声束相结合</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二、离线分析软件要求</w:t>
            </w:r>
          </w:p>
          <w:p>
            <w:pPr>
              <w:pageBreakBefore w:val="0"/>
              <w:numPr>
                <w:ilvl w:val="0"/>
                <w:numId w:val="6"/>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★免费提供离线分析软件，且无需加密钥匙，一台电脑可同时开启多个数据进行离线分析。</w:t>
            </w:r>
          </w:p>
          <w:p>
            <w:pPr>
              <w:pageBreakBefore w:val="0"/>
              <w:numPr>
                <w:ilvl w:val="0"/>
                <w:numId w:val="6"/>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分析软件需能够离线调整闸门数量、闸门模式（声程或深度），以及闸门位置，能够离线调整相控阵数据的增益，调整范围不小于100dB，可离线添加缺陷信息，并生成检测报告，可离线调整调色板，可以离线导出相控阵C扫数据。</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三、探头配置要求</w:t>
            </w:r>
          </w:p>
          <w:p>
            <w:pPr>
              <w:pageBreakBefore w:val="0"/>
              <w:numPr>
                <w:ilvl w:val="0"/>
                <w:numId w:val="7"/>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双边小径管扫查器    1套</w:t>
            </w:r>
          </w:p>
          <w:p>
            <w:pPr>
              <w:pageBreakBefore w:val="0"/>
              <w:numPr>
                <w:ilvl w:val="0"/>
                <w:numId w:val="7"/>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可以通过不大于12mm的间隙，可以检测21~114mm范围的管道，两个探头之间的距离在0-55mm范围内可调。</w:t>
            </w:r>
          </w:p>
          <w:p>
            <w:pPr>
              <w:pageBreakBefore w:val="0"/>
              <w:numPr>
                <w:ilvl w:val="0"/>
                <w:numId w:val="7"/>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双晶探头（含40mm、25mm焦距楔块各1）   1套</w:t>
            </w:r>
          </w:p>
          <w:p>
            <w:pPr>
              <w:pageBreakBefore w:val="0"/>
              <w:numPr>
                <w:ilvl w:val="0"/>
                <w:numId w:val="7"/>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频率2.25MHz，32晶片发射32晶片接收，晶片间距1mm，楔块纵波角度55度，物理焦距40mm和25mm各一个，不带曲率</w:t>
            </w:r>
            <w:r>
              <w:rPr>
                <w:rFonts w:hint="eastAsia" w:ascii="宋体" w:hAnsi="宋体" w:cs="宋体"/>
                <w:sz w:val="21"/>
                <w:szCs w:val="21"/>
                <w:lang w:eastAsia="zh-CN"/>
              </w:rPr>
              <w:t>。</w:t>
            </w:r>
          </w:p>
          <w:p>
            <w:pPr>
              <w:pageBreakBefore w:val="0"/>
              <w:numPr>
                <w:ilvl w:val="0"/>
                <w:numId w:val="7"/>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自聚焦探头（含楔块）    1套</w:t>
            </w:r>
          </w:p>
          <w:p>
            <w:pPr>
              <w:pageBreakBefore w:val="0"/>
              <w:numPr>
                <w:ilvl w:val="0"/>
                <w:numId w:val="7"/>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探头频率5MHz，16晶片，晶片间距0.5mm，楔块横波角度60°，不带曲率</w:t>
            </w:r>
            <w:r>
              <w:rPr>
                <w:rFonts w:hint="eastAsia" w:ascii="宋体" w:hAnsi="宋体" w:cs="宋体"/>
                <w:sz w:val="21"/>
                <w:szCs w:val="21"/>
                <w:lang w:eastAsia="zh-CN"/>
              </w:rPr>
              <w:t>。</w:t>
            </w:r>
          </w:p>
          <w:p>
            <w:pPr>
              <w:pageBreakBefore w:val="0"/>
              <w:numPr>
                <w:ilvl w:val="0"/>
                <w:numId w:val="7"/>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晶片探头（含楔块）   1套</w:t>
            </w:r>
          </w:p>
          <w:p>
            <w:pPr>
              <w:pageBreakBefore w:val="0"/>
              <w:numPr>
                <w:ilvl w:val="0"/>
                <w:numId w:val="7"/>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5MHz32晶片探头，探头晶片间距0.6mm，楔块横波角度55度，不带曲率</w:t>
            </w:r>
            <w:r>
              <w:rPr>
                <w:rFonts w:hint="eastAsia" w:ascii="宋体" w:hAnsi="宋体" w:cs="宋体"/>
                <w:sz w:val="21"/>
                <w:szCs w:val="21"/>
                <w:lang w:eastAsia="zh-CN"/>
              </w:rPr>
              <w:t>。</w:t>
            </w:r>
          </w:p>
          <w:p>
            <w:pPr>
              <w:pageBreakBefore w:val="0"/>
              <w:numPr>
                <w:ilvl w:val="0"/>
                <w:numId w:val="7"/>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cs="宋体"/>
                <w:sz w:val="21"/>
                <w:szCs w:val="21"/>
                <w:lang w:val="en-US" w:eastAsia="zh-CN"/>
              </w:rPr>
              <w:t>一体机（主流品牌，商用机，intel i5 12代， 内存16G，硬盘512GB SSD  预装正版win10专业版或企业版（有微软授权证书或序列号））</w:t>
            </w:r>
            <w:r>
              <w:rPr>
                <w:rFonts w:hint="eastAsia" w:ascii="宋体" w:hAnsi="宋体" w:eastAsia="宋体" w:cs="宋体"/>
                <w:b w:val="0"/>
                <w:bCs w:val="0"/>
                <w:kern w:val="2"/>
                <w:sz w:val="21"/>
                <w:szCs w:val="21"/>
                <w:lang w:val="en-US" w:eastAsia="zh-CN" w:bidi="ar-SA"/>
              </w:rPr>
              <w:t>15台</w:t>
            </w:r>
            <w:r>
              <w:rPr>
                <w:rFonts w:hint="eastAsia" w:ascii="宋体" w:hAnsi="宋体" w:cs="宋体"/>
                <w:b w:val="0"/>
                <w:bCs w:val="0"/>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7833" w:type="dxa"/>
            <w:tcBorders>
              <w:top w:val="single" w:color="auto" w:sz="4" w:space="0"/>
              <w:left w:val="single" w:color="auto" w:sz="4" w:space="0"/>
              <w:bottom w:val="single" w:color="auto" w:sz="4" w:space="0"/>
              <w:right w:val="single" w:color="auto" w:sz="4" w:space="0"/>
            </w:tcBorders>
            <w:noWra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kern w:val="0"/>
                <w:sz w:val="21"/>
                <w:szCs w:val="21"/>
                <w:lang w:eastAsia="zh-CN"/>
              </w:rPr>
              <w:t>计量</w:t>
            </w:r>
            <w:r>
              <w:rPr>
                <w:rFonts w:hint="eastAsia" w:ascii="宋体" w:hAnsi="宋体" w:eastAsia="宋体" w:cs="宋体"/>
                <w:snapToGrid w:val="0"/>
                <w:kern w:val="0"/>
                <w:sz w:val="21"/>
                <w:szCs w:val="21"/>
              </w:rPr>
              <w:t>证书。</w:t>
            </w:r>
          </w:p>
        </w:tc>
      </w:tr>
    </w:tbl>
    <w:p>
      <w:pPr>
        <w:pageBreakBefore w:val="0"/>
        <w:kinsoku/>
        <w:overflowPunct/>
        <w:topLinePunct w:val="0"/>
        <w:autoSpaceDE/>
        <w:autoSpaceDN/>
        <w:bidi w:val="0"/>
        <w:snapToGrid w:val="0"/>
        <w:spacing w:line="320" w:lineRule="exact"/>
        <w:outlineLvl w:val="0"/>
        <w:rPr>
          <w:rFonts w:hint="eastAsia" w:ascii="宋体" w:hAnsi="宋体" w:eastAsia="宋体" w:cs="宋体"/>
          <w:b/>
          <w:color w:val="auto"/>
          <w:sz w:val="21"/>
          <w:szCs w:val="21"/>
          <w:highlight w:val="none"/>
        </w:rPr>
      </w:pPr>
    </w:p>
    <w:p>
      <w:pPr>
        <w:pageBreakBefore w:val="0"/>
        <w:kinsoku/>
        <w:overflowPunct/>
        <w:topLinePunct w:val="0"/>
        <w:autoSpaceDE/>
        <w:autoSpaceDN/>
        <w:bidi w:val="0"/>
        <w:snapToGrid w:val="0"/>
        <w:spacing w:line="320" w:lineRule="exact"/>
        <w:outlineLvl w:val="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标项三</w:t>
      </w:r>
      <w:r>
        <w:rPr>
          <w:rFonts w:hint="eastAsia" w:ascii="宋体" w:hAnsi="宋体" w:eastAsia="宋体" w:cs="宋体"/>
          <w:b/>
          <w:bCs/>
          <w:color w:val="auto"/>
          <w:sz w:val="21"/>
          <w:szCs w:val="21"/>
          <w:highlight w:val="none"/>
        </w:rPr>
        <w:t xml:space="preserve"> </w:t>
      </w:r>
    </w:p>
    <w:p>
      <w:pPr>
        <w:pageBreakBefore w:val="0"/>
        <w:kinsoku/>
        <w:overflowPunct/>
        <w:topLinePunct w:val="0"/>
        <w:autoSpaceDE/>
        <w:autoSpaceDN/>
        <w:bidi w:val="0"/>
        <w:spacing w:line="320" w:lineRule="exac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一、名称、规格、性能参数要求如下</w:t>
      </w:r>
    </w:p>
    <w:tbl>
      <w:tblPr>
        <w:tblStyle w:val="37"/>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仪器名称</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高温现场金相检测仪（</w:t>
            </w:r>
            <w:r>
              <w:rPr>
                <w:rFonts w:hint="eastAsia" w:ascii="宋体" w:hAnsi="宋体" w:eastAsia="宋体" w:cs="宋体"/>
                <w:sz w:val="21"/>
                <w:szCs w:val="21"/>
                <w:vertAlign w:val="baseline"/>
                <w:lang w:val="en-US" w:eastAsia="zh-CN"/>
              </w:rPr>
              <w:t>允许采购进口产品</w:t>
            </w:r>
            <w:r>
              <w:rPr>
                <w:rFonts w:hint="eastAsia" w:ascii="宋体" w:hAnsi="宋体" w:eastAsia="宋体" w:cs="宋体"/>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数量（套）</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仪器用途</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用于高温环境下的锅炉管道的金相检测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9"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技术指标要求</w:t>
            </w:r>
          </w:p>
        </w:tc>
        <w:tc>
          <w:tcPr>
            <w:tcW w:w="8126" w:type="dxa"/>
            <w:tcBorders>
              <w:top w:val="single" w:color="auto" w:sz="4" w:space="0"/>
              <w:left w:val="single" w:color="auto" w:sz="4" w:space="0"/>
              <w:bottom w:val="single" w:color="auto" w:sz="4" w:space="0"/>
              <w:right w:val="single" w:color="auto" w:sz="4" w:space="0"/>
            </w:tcBorders>
            <w:noWrap/>
            <w:vAlign w:val="top"/>
          </w:tcPr>
          <w:p>
            <w:pPr>
              <w:pageBreakBefore w:val="0"/>
              <w:numPr>
                <w:ilvl w:val="0"/>
                <w:numId w:val="8"/>
              </w:numPr>
              <w:kinsoku/>
              <w:overflowPunct/>
              <w:topLinePunct w:val="0"/>
              <w:autoSpaceDE/>
              <w:autoSpaceDN/>
              <w:bidi w:val="0"/>
              <w:spacing w:line="320" w:lineRule="exact"/>
              <w:ind w:left="0" w:leftChars="0" w:firstLine="0" w:firstLineChars="0"/>
              <w:jc w:val="left"/>
              <w:rPr>
                <w:rFonts w:hint="eastAsia" w:ascii="宋体" w:hAnsi="宋体" w:eastAsia="宋体" w:cs="宋体"/>
                <w:sz w:val="21"/>
                <w:szCs w:val="21"/>
              </w:rPr>
            </w:pPr>
            <w:r>
              <w:rPr>
                <w:rFonts w:hint="eastAsia" w:ascii="宋体" w:hAnsi="宋体" w:cs="宋体"/>
                <w:bCs/>
                <w:color w:val="auto"/>
                <w:szCs w:val="21"/>
                <w:highlight w:val="none"/>
              </w:rPr>
              <w:t>▲</w:t>
            </w:r>
            <w:r>
              <w:rPr>
                <w:rFonts w:hint="eastAsia" w:ascii="宋体" w:hAnsi="宋体" w:eastAsia="宋体" w:cs="宋体"/>
                <w:sz w:val="21"/>
                <w:szCs w:val="21"/>
              </w:rPr>
              <w:t>工作环境：仪器结构经过耐高温设计，确保能在摄氏100度甚至更高温度下工作；</w:t>
            </w:r>
          </w:p>
          <w:p>
            <w:pPr>
              <w:pageBreakBefore w:val="0"/>
              <w:numPr>
                <w:ilvl w:val="0"/>
                <w:numId w:val="8"/>
              </w:numPr>
              <w:kinsoku/>
              <w:overflowPunct/>
              <w:topLinePunct w:val="0"/>
              <w:autoSpaceDE/>
              <w:autoSpaceDN/>
              <w:bidi w:val="0"/>
              <w:spacing w:line="3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★控制系统：采用智能化控制方式，手机智能终端APP遥控操作，并且是XYZ三维全自动，便于操作人员远离高温现场</w:t>
            </w:r>
            <w:r>
              <w:rPr>
                <w:rFonts w:hint="eastAsia" w:ascii="宋体" w:hAnsi="宋体" w:cs="宋体"/>
                <w:sz w:val="21"/>
                <w:szCs w:val="21"/>
                <w:lang w:eastAsia="zh-CN"/>
              </w:rPr>
              <w:t>；</w:t>
            </w:r>
          </w:p>
          <w:p>
            <w:pPr>
              <w:pageBreakBefore w:val="0"/>
              <w:numPr>
                <w:ilvl w:val="0"/>
                <w:numId w:val="8"/>
              </w:numPr>
              <w:kinsoku/>
              <w:overflowPunct/>
              <w:topLinePunct w:val="0"/>
              <w:autoSpaceDE/>
              <w:autoSpaceDN/>
              <w:bidi w:val="0"/>
              <w:spacing w:line="320" w:lineRule="exact"/>
              <w:ind w:left="0" w:leftChars="0" w:firstLine="0" w:firstLineChars="0"/>
              <w:jc w:val="left"/>
              <w:rPr>
                <w:rFonts w:hint="eastAsia" w:ascii="宋体" w:hAnsi="宋体" w:eastAsia="宋体" w:cs="宋体"/>
                <w:sz w:val="21"/>
                <w:szCs w:val="21"/>
              </w:rPr>
            </w:pPr>
            <w:r>
              <w:rPr>
                <w:rFonts w:hint="eastAsia" w:ascii="宋体" w:hAnsi="宋体" w:cs="宋体"/>
                <w:bCs/>
                <w:color w:val="auto"/>
                <w:szCs w:val="21"/>
                <w:highlight w:val="none"/>
              </w:rPr>
              <w:t>▲</w:t>
            </w:r>
            <w:r>
              <w:rPr>
                <w:rFonts w:hint="eastAsia" w:ascii="宋体" w:hAnsi="宋体" w:eastAsia="宋体" w:cs="宋体"/>
                <w:sz w:val="21"/>
                <w:szCs w:val="21"/>
              </w:rPr>
              <w:t>对焦功能：具有智能图像识别功能。一键启动，自动对焦，只需点击一次手机屏幕，自动成像，无需多次点动调节, 自动对焦的行程可以达到22mm；</w:t>
            </w:r>
          </w:p>
          <w:p>
            <w:pPr>
              <w:pageBreakBefore w:val="0"/>
              <w:numPr>
                <w:ilvl w:val="0"/>
                <w:numId w:val="8"/>
              </w:numPr>
              <w:kinsoku/>
              <w:overflowPunct/>
              <w:topLinePunct w:val="0"/>
              <w:autoSpaceDE/>
              <w:autoSpaceDN/>
              <w:bidi w:val="0"/>
              <w:spacing w:line="320" w:lineRule="exact"/>
              <w:ind w:left="0" w:leftChars="0" w:firstLine="0" w:firstLineChars="0"/>
              <w:jc w:val="left"/>
              <w:rPr>
                <w:rFonts w:hint="eastAsia" w:ascii="宋体" w:hAnsi="宋体" w:eastAsia="宋体" w:cs="宋体"/>
                <w:sz w:val="21"/>
                <w:szCs w:val="21"/>
              </w:rPr>
            </w:pPr>
            <w:r>
              <w:rPr>
                <w:rFonts w:hint="eastAsia" w:ascii="宋体" w:hAnsi="宋体" w:cs="宋体"/>
                <w:bCs/>
                <w:color w:val="auto"/>
                <w:szCs w:val="21"/>
                <w:highlight w:val="none"/>
              </w:rPr>
              <w:t>▲</w:t>
            </w:r>
            <w:r>
              <w:rPr>
                <w:rFonts w:hint="eastAsia" w:ascii="宋体" w:hAnsi="宋体" w:eastAsia="宋体" w:cs="宋体"/>
                <w:sz w:val="21"/>
                <w:szCs w:val="21"/>
              </w:rPr>
              <w:t>设备为金相和硬度一体式设计：设备既可以用于现场金相检测，也可以用于现场维氏硬度的自动打点和检测；</w:t>
            </w:r>
          </w:p>
          <w:p>
            <w:pPr>
              <w:pageBreakBefore w:val="0"/>
              <w:numPr>
                <w:ilvl w:val="0"/>
                <w:numId w:val="8"/>
              </w:numPr>
              <w:kinsoku/>
              <w:overflowPunct/>
              <w:topLinePunct w:val="0"/>
              <w:autoSpaceDE/>
              <w:autoSpaceDN/>
              <w:bidi w:val="0"/>
              <w:spacing w:line="3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★硬度加载方式：维氏硬度会自动加载、自动保压，压痕自动识别，适合热影响区的组织判别，且手机屏幕可以自动显示硬度值；</w:t>
            </w:r>
          </w:p>
          <w:p>
            <w:pPr>
              <w:pageBreakBefore w:val="0"/>
              <w:numPr>
                <w:ilvl w:val="0"/>
                <w:numId w:val="8"/>
              </w:numPr>
              <w:kinsoku/>
              <w:overflowPunct/>
              <w:topLinePunct w:val="0"/>
              <w:autoSpaceDE/>
              <w:autoSpaceDN/>
              <w:bidi w:val="0"/>
              <w:spacing w:line="3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★现场自动分析功能：手机上可以进行金相分析；</w:t>
            </w:r>
          </w:p>
          <w:p>
            <w:pPr>
              <w:pageBreakBefore w:val="0"/>
              <w:numPr>
                <w:ilvl w:val="0"/>
                <w:numId w:val="8"/>
              </w:numPr>
              <w:kinsoku/>
              <w:overflowPunct/>
              <w:topLinePunct w:val="0"/>
              <w:autoSpaceDE/>
              <w:autoSpaceDN/>
              <w:bidi w:val="0"/>
              <w:spacing w:line="3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★景深功能：具有智能图像算法功能，超大景深，即使被测物体具有45度斜角，也能成像清晰；对于管道，可以自动识别曲率大小、并根据曲率大小自动生成清晰图像；</w:t>
            </w:r>
          </w:p>
          <w:p>
            <w:pPr>
              <w:pageBreakBefore w:val="0"/>
              <w:numPr>
                <w:ilvl w:val="0"/>
                <w:numId w:val="8"/>
              </w:numPr>
              <w:kinsoku/>
              <w:overflowPunct/>
              <w:topLinePunct w:val="0"/>
              <w:autoSpaceDE/>
              <w:autoSpaceDN/>
              <w:bidi w:val="0"/>
              <w:spacing w:line="3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★防震防抖功能：具有智能图像算法和纠偏纠错功能，可以防震防抖。适合现场有震动的工作环境</w:t>
            </w:r>
            <w:r>
              <w:rPr>
                <w:rFonts w:hint="eastAsia" w:ascii="宋体" w:hAnsi="宋体" w:cs="宋体"/>
                <w:sz w:val="21"/>
                <w:szCs w:val="21"/>
                <w:lang w:eastAsia="zh-CN"/>
              </w:rPr>
              <w:t>；</w:t>
            </w:r>
          </w:p>
          <w:p>
            <w:pPr>
              <w:pageBreakBefore w:val="0"/>
              <w:numPr>
                <w:ilvl w:val="0"/>
                <w:numId w:val="8"/>
              </w:numPr>
              <w:kinsoku/>
              <w:overflowPunct/>
              <w:topLinePunct w:val="0"/>
              <w:autoSpaceDE/>
              <w:autoSpaceDN/>
              <w:bidi w:val="0"/>
              <w:spacing w:line="3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结构设计：电气控制系统、机械传动系统、电源系统、软件系统高度浓缩</w:t>
            </w:r>
            <w:r>
              <w:rPr>
                <w:rFonts w:hint="eastAsia" w:ascii="宋体" w:hAnsi="宋体" w:cs="宋体"/>
                <w:sz w:val="21"/>
                <w:szCs w:val="21"/>
                <w:lang w:eastAsia="zh-CN"/>
              </w:rPr>
              <w:t>；</w:t>
            </w:r>
            <w:r>
              <w:rPr>
                <w:rFonts w:hint="eastAsia" w:ascii="宋体" w:hAnsi="宋体" w:eastAsia="宋体" w:cs="宋体"/>
                <w:sz w:val="21"/>
                <w:szCs w:val="21"/>
              </w:rPr>
              <w:t xml:space="preserve"> </w:t>
            </w:r>
          </w:p>
          <w:p>
            <w:pPr>
              <w:pageBreakBefore w:val="0"/>
              <w:numPr>
                <w:ilvl w:val="0"/>
                <w:numId w:val="8"/>
              </w:numPr>
              <w:kinsoku/>
              <w:overflowPunct/>
              <w:topLinePunct w:val="0"/>
              <w:autoSpaceDE/>
              <w:autoSpaceDN/>
              <w:bidi w:val="0"/>
              <w:spacing w:line="3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★照明方式：LED光源，DC 4.2V，无极调节；主机连续工作40小时；</w:t>
            </w:r>
          </w:p>
          <w:p>
            <w:pPr>
              <w:pageBreakBefore w:val="0"/>
              <w:numPr>
                <w:ilvl w:val="0"/>
                <w:numId w:val="8"/>
              </w:numPr>
              <w:kinsoku/>
              <w:overflowPunct/>
              <w:topLinePunct w:val="0"/>
              <w:autoSpaceDE/>
              <w:autoSpaceDN/>
              <w:bidi w:val="0"/>
              <w:spacing w:line="3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镜头指标：耐高温超大工作距离物镜10X、20X、50X；</w:t>
            </w:r>
          </w:p>
          <w:p>
            <w:pPr>
              <w:pageBreakBefore w:val="0"/>
              <w:numPr>
                <w:ilvl w:val="0"/>
                <w:numId w:val="8"/>
              </w:numPr>
              <w:kinsoku/>
              <w:overflowPunct/>
              <w:topLinePunct w:val="0"/>
              <w:autoSpaceDE/>
              <w:autoSpaceDN/>
              <w:bidi w:val="0"/>
              <w:spacing w:line="3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制样方法和速度：快速机械抛光，无需砂纸、无需电解；3-5分钟制样完成；</w:t>
            </w:r>
          </w:p>
          <w:p>
            <w:pPr>
              <w:pageBreakBefore w:val="0"/>
              <w:numPr>
                <w:ilvl w:val="0"/>
                <w:numId w:val="8"/>
              </w:numPr>
              <w:kinsoku/>
              <w:overflowPunct/>
              <w:topLinePunct w:val="0"/>
              <w:autoSpaceDE/>
              <w:autoSpaceDN/>
              <w:bidi w:val="0"/>
              <w:spacing w:line="3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★微型抛磨机转速和方向大小：手持式钢笔大小，带90度转角，15000转/分，无极调速；</w:t>
            </w:r>
          </w:p>
          <w:p>
            <w:pPr>
              <w:pageBreakBefore w:val="0"/>
              <w:numPr>
                <w:ilvl w:val="0"/>
                <w:numId w:val="8"/>
              </w:numPr>
              <w:kinsoku/>
              <w:overflowPunct/>
              <w:topLinePunct w:val="0"/>
              <w:autoSpaceDE/>
              <w:autoSpaceDN/>
              <w:bidi w:val="0"/>
              <w:spacing w:line="3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抛磨机的拓展功能：具有现场电解腐蚀的功能，便于不锈钢等耐腐蚀材料的现场金相制样；</w:t>
            </w:r>
          </w:p>
          <w:p>
            <w:pPr>
              <w:pageBreakBefore w:val="0"/>
              <w:numPr>
                <w:ilvl w:val="0"/>
                <w:numId w:val="8"/>
              </w:numPr>
              <w:kinsoku/>
              <w:overflowPunct/>
              <w:topLinePunct w:val="0"/>
              <w:autoSpaceDE/>
              <w:autoSpaceDN/>
              <w:bidi w:val="0"/>
              <w:spacing w:line="3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打磨耗材：由专用材料制作，可免去常规金相制样中打磨和抛光工序；</w:t>
            </w:r>
          </w:p>
          <w:p>
            <w:pPr>
              <w:pageBreakBefore w:val="0"/>
              <w:numPr>
                <w:ilvl w:val="0"/>
                <w:numId w:val="8"/>
              </w:numPr>
              <w:kinsoku/>
              <w:overflowPunct/>
              <w:topLinePunct w:val="0"/>
              <w:autoSpaceDE/>
              <w:autoSpaceDN/>
              <w:bidi w:val="0"/>
              <w:spacing w:line="3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微型抛磨机供电方式：直流0-30V</w:t>
            </w:r>
            <w:r>
              <w:rPr>
                <w:rFonts w:hint="eastAsia" w:ascii="宋体" w:hAnsi="宋体" w:cs="宋体"/>
                <w:sz w:val="21"/>
                <w:szCs w:val="21"/>
                <w:lang w:eastAsia="zh-CN"/>
              </w:rPr>
              <w:t>；</w:t>
            </w:r>
            <w:r>
              <w:rPr>
                <w:rFonts w:hint="eastAsia" w:ascii="宋体" w:hAnsi="宋体" w:eastAsia="宋体" w:cs="宋体"/>
                <w:sz w:val="21"/>
                <w:szCs w:val="21"/>
              </w:rPr>
              <w:t xml:space="preserve"> </w:t>
            </w:r>
          </w:p>
          <w:p>
            <w:pPr>
              <w:pageBreakBefore w:val="0"/>
              <w:numPr>
                <w:ilvl w:val="0"/>
                <w:numId w:val="8"/>
              </w:numPr>
              <w:kinsoku/>
              <w:overflowPunct/>
              <w:topLinePunct w:val="0"/>
              <w:autoSpaceDE/>
              <w:autoSpaceDN/>
              <w:bidi w:val="0"/>
              <w:spacing w:line="3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★拋磨机电源容量：保证工作8小时；</w:t>
            </w:r>
          </w:p>
          <w:p>
            <w:pPr>
              <w:pageBreakBefore w:val="0"/>
              <w:numPr>
                <w:ilvl w:val="0"/>
                <w:numId w:val="8"/>
              </w:numPr>
              <w:kinsoku/>
              <w:overflowPunct/>
              <w:topLinePunct w:val="0"/>
              <w:autoSpaceDE/>
              <w:autoSpaceDN/>
              <w:bidi w:val="0"/>
              <w:spacing w:line="3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拋磨机电源工作电压：输入直流33.6V，输出0-30V，无极调节；</w:t>
            </w:r>
          </w:p>
          <w:p>
            <w:pPr>
              <w:pageBreakBefore w:val="0"/>
              <w:numPr>
                <w:ilvl w:val="0"/>
                <w:numId w:val="8"/>
              </w:numPr>
              <w:kinsoku/>
              <w:overflowPunct/>
              <w:topLinePunct w:val="0"/>
              <w:autoSpaceDE/>
              <w:autoSpaceDN/>
              <w:bidi w:val="0"/>
              <w:spacing w:line="3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专用金相打磨盘粒度及尺寸： 120目，直径20mm；</w:t>
            </w:r>
          </w:p>
          <w:p>
            <w:pPr>
              <w:pageBreakBefore w:val="0"/>
              <w:numPr>
                <w:ilvl w:val="0"/>
                <w:numId w:val="8"/>
              </w:numPr>
              <w:kinsoku/>
              <w:overflowPunct/>
              <w:topLinePunct w:val="0"/>
              <w:autoSpaceDE/>
              <w:autoSpaceDN/>
              <w:bidi w:val="0"/>
              <w:spacing w:line="3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专用金相抛光盘粒度及尺寸： 1600目，直径20mm；</w:t>
            </w:r>
          </w:p>
          <w:p>
            <w:pPr>
              <w:pageBreakBefore w:val="0"/>
              <w:numPr>
                <w:ilvl w:val="0"/>
                <w:numId w:val="8"/>
              </w:numPr>
              <w:kinsoku/>
              <w:overflowPunct/>
              <w:topLinePunct w:val="0"/>
              <w:autoSpaceDE/>
              <w:autoSpaceDN/>
              <w:bidi w:val="0"/>
              <w:spacing w:line="3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★采集系统：图像采集采用5G高速无线摄像头，手机作为接收器，采集的图像自带标尺</w:t>
            </w:r>
            <w:r>
              <w:rPr>
                <w:rFonts w:hint="eastAsia" w:ascii="宋体" w:hAnsi="宋体" w:cs="宋体"/>
                <w:sz w:val="21"/>
                <w:szCs w:val="21"/>
                <w:lang w:eastAsia="zh-CN"/>
              </w:rPr>
              <w:t>；</w:t>
            </w:r>
          </w:p>
          <w:p>
            <w:pPr>
              <w:pageBreakBefore w:val="0"/>
              <w:numPr>
                <w:ilvl w:val="0"/>
                <w:numId w:val="8"/>
              </w:numPr>
              <w:kinsoku/>
              <w:overflowPunct/>
              <w:topLinePunct w:val="0"/>
              <w:autoSpaceDE/>
              <w:autoSpaceDN/>
              <w:bidi w:val="0"/>
              <w:spacing w:line="3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★移动行程：X轴行程≥15mm、Y轴行程≥15mm、z轴行程≥15mm；</w:t>
            </w:r>
          </w:p>
          <w:p>
            <w:pPr>
              <w:pageBreakBefore w:val="0"/>
              <w:numPr>
                <w:ilvl w:val="0"/>
                <w:numId w:val="8"/>
              </w:numPr>
              <w:kinsoku/>
              <w:overflowPunct/>
              <w:topLinePunct w:val="0"/>
              <w:autoSpaceDE/>
              <w:autoSpaceDN/>
              <w:bidi w:val="0"/>
              <w:spacing w:line="3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仪器大小：全套仪器小巧轻便，可装载于小包，肩背至高空；</w:t>
            </w:r>
          </w:p>
          <w:p>
            <w:pPr>
              <w:pageBreakBefore w:val="0"/>
              <w:numPr>
                <w:ilvl w:val="0"/>
                <w:numId w:val="8"/>
              </w:numPr>
              <w:kinsoku/>
              <w:overflowPunct/>
              <w:topLinePunct w:val="0"/>
              <w:autoSpaceDE/>
              <w:autoSpaceDN/>
              <w:bidi w:val="0"/>
              <w:spacing w:line="3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证书资料：具有计量机构出具的的校准证书。 </w:t>
            </w:r>
          </w:p>
          <w:p>
            <w:pPr>
              <w:pageBreakBefore w:val="0"/>
              <w:numPr>
                <w:ilvl w:val="0"/>
                <w:numId w:val="8"/>
              </w:numPr>
              <w:kinsoku/>
              <w:overflowPunct/>
              <w:topLinePunct w:val="0"/>
              <w:autoSpaceDE/>
              <w:autoSpaceDN/>
              <w:bidi w:val="0"/>
              <w:spacing w:line="320" w:lineRule="exact"/>
              <w:ind w:left="0" w:leftChars="0" w:firstLine="0" w:firstLineChars="0"/>
              <w:jc w:val="left"/>
              <w:rPr>
                <w:rFonts w:hint="eastAsia" w:ascii="宋体" w:hAnsi="宋体" w:eastAsia="宋体" w:cs="宋体"/>
                <w:sz w:val="21"/>
                <w:szCs w:val="21"/>
              </w:rPr>
            </w:pPr>
            <w:r>
              <w:rPr>
                <w:rFonts w:hint="eastAsia" w:ascii="宋体" w:hAnsi="宋体" w:cs="宋体"/>
                <w:b w:val="0"/>
                <w:bCs w:val="0"/>
                <w:kern w:val="2"/>
                <w:sz w:val="21"/>
                <w:szCs w:val="21"/>
                <w:lang w:val="en-US" w:eastAsia="zh-CN" w:bidi="ar-SA"/>
              </w:rPr>
              <w:t>一体机（主流品牌，商用机，intel i5 12代， 内存16G，硬盘512GB SSD  预装正版win10专业版或企业版（有微软授权证书或序列号））</w:t>
            </w:r>
            <w:r>
              <w:rPr>
                <w:rFonts w:hint="eastAsia" w:ascii="宋体" w:hAnsi="宋体" w:eastAsia="宋体" w:cs="宋体"/>
                <w:b w:val="0"/>
                <w:bCs w:val="0"/>
                <w:kern w:val="2"/>
                <w:sz w:val="21"/>
                <w:szCs w:val="21"/>
                <w:lang w:val="en-US" w:eastAsia="zh-CN" w:bidi="ar-SA"/>
              </w:rPr>
              <w:t>10台</w:t>
            </w:r>
            <w:r>
              <w:rPr>
                <w:rFonts w:hint="eastAsia" w:ascii="宋体" w:hAnsi="宋体" w:cs="宋体"/>
                <w:b w:val="0"/>
                <w:bCs w:val="0"/>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备  注</w:t>
            </w:r>
          </w:p>
        </w:tc>
        <w:tc>
          <w:tcPr>
            <w:tcW w:w="8126" w:type="dxa"/>
            <w:tcBorders>
              <w:top w:val="single" w:color="auto" w:sz="4" w:space="0"/>
              <w:left w:val="single" w:color="auto" w:sz="4" w:space="0"/>
              <w:bottom w:val="single" w:color="auto" w:sz="4" w:space="0"/>
              <w:right w:val="single" w:color="auto" w:sz="4" w:space="0"/>
            </w:tcBorders>
            <w:noWrap/>
          </w:tcPr>
          <w:p>
            <w:pPr>
              <w:pageBreakBefore w:val="0"/>
              <w:kinsoku/>
              <w:overflowPunct/>
              <w:topLinePunct w:val="0"/>
              <w:autoSpaceDE/>
              <w:autoSpaceDN/>
              <w:bidi w:val="0"/>
              <w:spacing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napToGrid w:val="0"/>
                <w:color w:val="auto"/>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color w:val="auto"/>
                <w:kern w:val="0"/>
                <w:sz w:val="21"/>
                <w:szCs w:val="21"/>
              </w:rPr>
              <w:t>证书。</w:t>
            </w:r>
          </w:p>
        </w:tc>
      </w:tr>
    </w:tbl>
    <w:p>
      <w:pPr>
        <w:pageBreakBefore w:val="0"/>
        <w:kinsoku/>
        <w:overflowPunct/>
        <w:topLinePunct w:val="0"/>
        <w:autoSpaceDE/>
        <w:autoSpaceDN/>
        <w:bidi w:val="0"/>
        <w:snapToGrid w:val="0"/>
        <w:spacing w:line="320" w:lineRule="exact"/>
        <w:outlineLvl w:val="0"/>
        <w:rPr>
          <w:rFonts w:hint="eastAsia" w:ascii="宋体" w:hAnsi="宋体" w:eastAsia="宋体" w:cs="宋体"/>
          <w:b/>
          <w:color w:val="auto"/>
          <w:sz w:val="21"/>
          <w:szCs w:val="21"/>
          <w:highlight w:val="none"/>
        </w:rPr>
      </w:pPr>
    </w:p>
    <w:p>
      <w:pPr>
        <w:pageBreakBefore w:val="0"/>
        <w:kinsoku/>
        <w:overflowPunct/>
        <w:topLinePunct w:val="0"/>
        <w:autoSpaceDE/>
        <w:autoSpaceDN/>
        <w:bidi w:val="0"/>
        <w:snapToGrid w:val="0"/>
        <w:spacing w:line="320" w:lineRule="exact"/>
        <w:outlineLvl w:val="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标项四</w:t>
      </w:r>
      <w:r>
        <w:rPr>
          <w:rFonts w:hint="eastAsia" w:ascii="宋体" w:hAnsi="宋体" w:eastAsia="宋体" w:cs="宋体"/>
          <w:b/>
          <w:bCs/>
          <w:color w:val="auto"/>
          <w:sz w:val="21"/>
          <w:szCs w:val="21"/>
          <w:highlight w:val="none"/>
        </w:rPr>
        <w:t xml:space="preserve"> </w:t>
      </w:r>
    </w:p>
    <w:p>
      <w:pPr>
        <w:pageBreakBefore w:val="0"/>
        <w:kinsoku/>
        <w:overflowPunct/>
        <w:topLinePunct w:val="0"/>
        <w:autoSpaceDE/>
        <w:autoSpaceDN/>
        <w:bidi w:val="0"/>
        <w:spacing w:line="320" w:lineRule="exact"/>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rPr>
        <w:t>一、名称、规格、性能参数要求如下</w:t>
      </w:r>
    </w:p>
    <w:tbl>
      <w:tblPr>
        <w:tblStyle w:val="37"/>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笔形电磁超声测厚仪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-40～350℃压力管道在线厚度测量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7"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技术指标要求</w:t>
            </w:r>
          </w:p>
        </w:tc>
        <w:tc>
          <w:tcPr>
            <w:tcW w:w="8126" w:type="dxa"/>
            <w:tcBorders>
              <w:top w:val="single" w:color="auto" w:sz="4" w:space="0"/>
              <w:left w:val="single" w:color="auto" w:sz="4" w:space="0"/>
              <w:bottom w:val="single" w:color="auto" w:sz="4" w:space="0"/>
              <w:right w:val="single" w:color="auto" w:sz="4" w:space="0"/>
            </w:tcBorders>
            <w:noWrap/>
          </w:tcPr>
          <w:p>
            <w:pPr>
              <w:pageBreakBefore w:val="0"/>
              <w:numPr>
                <w:ilvl w:val="0"/>
                <w:numId w:val="9"/>
              </w:numPr>
              <w:kinsoku/>
              <w:overflowPunct/>
              <w:topLinePunct w:val="0"/>
              <w:autoSpaceDE/>
              <w:autoSpaceDN/>
              <w:bidi w:val="0"/>
              <w:spacing w:line="320" w:lineRule="exact"/>
              <w:ind w:left="0"/>
              <w:rPr>
                <w:rFonts w:hint="eastAsia" w:ascii="宋体" w:hAnsi="宋体" w:eastAsia="宋体" w:cs="宋体"/>
                <w:sz w:val="21"/>
                <w:szCs w:val="21"/>
              </w:rPr>
            </w:pPr>
            <w:r>
              <w:rPr>
                <w:rFonts w:hint="eastAsia" w:ascii="宋体" w:hAnsi="宋体" w:eastAsia="宋体" w:cs="宋体"/>
                <w:sz w:val="21"/>
                <w:szCs w:val="21"/>
              </w:rPr>
              <w:t>一、笔形电磁超声测厚仪</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1、技术要求</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1.1设备优质耐用，体积小巧，方便携带</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1.2可无线Wifi连接手机/平板实现远程控制，一人即可完成</w:t>
            </w:r>
            <w:r>
              <w:rPr>
                <w:rFonts w:hint="eastAsia" w:ascii="宋体" w:hAnsi="宋体" w:cs="宋体"/>
                <w:sz w:val="21"/>
                <w:szCs w:val="21"/>
                <w:lang w:val="en-US" w:eastAsia="zh-CN"/>
              </w:rPr>
              <w:t>测</w:t>
            </w:r>
            <w:r>
              <w:rPr>
                <w:rFonts w:hint="eastAsia" w:ascii="宋体" w:hAnsi="宋体" w:eastAsia="宋体" w:cs="宋体"/>
                <w:sz w:val="21"/>
                <w:szCs w:val="21"/>
              </w:rPr>
              <w:t>厚工作</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1.3金属管壁测厚无需打磨和耦合</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★1.4可以在-40℃至350℃温度范围内使用</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cs="宋体"/>
                <w:bCs/>
                <w:color w:val="auto"/>
                <w:szCs w:val="21"/>
                <w:highlight w:val="none"/>
              </w:rPr>
              <w:t>▲</w:t>
            </w:r>
            <w:r>
              <w:rPr>
                <w:rFonts w:hint="eastAsia" w:ascii="宋体" w:hAnsi="宋体" w:eastAsia="宋体" w:cs="宋体"/>
                <w:sz w:val="21"/>
                <w:szCs w:val="21"/>
              </w:rPr>
              <w:t>1.5提高距离：≥4mm</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1.6测厚范围：1.5mm-80mm</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1.7测量精度：±（0.02 + 2.5‰×h）mm（h≤50mm）；±（0.01 + 5‰×h）mm（h＞50mm）；h为工件厚度</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1.8频率范围：2MHz-5MHz</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1.9声波声速调节范围：1000-9999m/s</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1.10可连续工作时间≥6小时</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1.11声波类型：剪切波（横波）</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1.12适用材料：低碳钢、不锈钢、铝合金和钛合金等导电和导磁性材料等</w:t>
            </w:r>
            <w:r>
              <w:rPr>
                <w:rFonts w:hint="eastAsia" w:ascii="宋体" w:hAnsi="宋体" w:cs="宋体"/>
                <w:sz w:val="21"/>
                <w:szCs w:val="21"/>
                <w:lang w:eastAsia="zh-CN"/>
              </w:rPr>
              <w:t>。</w:t>
            </w:r>
          </w:p>
          <w:p>
            <w:pPr>
              <w:pStyle w:val="4"/>
              <w:pageBreakBefore w:val="0"/>
              <w:kinsoku/>
              <w:overflowPunct/>
              <w:topLinePunct w:val="0"/>
              <w:autoSpaceDE/>
              <w:autoSpaceDN/>
              <w:bidi w:val="0"/>
              <w:spacing w:before="0" w:after="0" w:line="320" w:lineRule="exact"/>
              <w:rPr>
                <w:rFonts w:hint="eastAsia" w:ascii="宋体" w:hAnsi="宋体" w:eastAsia="宋体" w:cs="宋体"/>
                <w:b w:val="0"/>
                <w:bCs/>
                <w:sz w:val="21"/>
                <w:szCs w:val="21"/>
                <w:lang w:eastAsia="zh-CN"/>
              </w:rPr>
            </w:pPr>
            <w:r>
              <w:rPr>
                <w:rFonts w:hint="eastAsia" w:ascii="宋体" w:hAnsi="宋体" w:eastAsia="宋体" w:cs="宋体"/>
                <w:b w:val="0"/>
                <w:bCs/>
                <w:sz w:val="21"/>
                <w:szCs w:val="21"/>
              </w:rPr>
              <w:t>2、配置要求</w:t>
            </w:r>
            <w:r>
              <w:rPr>
                <w:rFonts w:hint="eastAsia" w:ascii="宋体" w:hAnsi="宋体" w:eastAsia="宋体" w:cs="宋体"/>
                <w:b w:val="0"/>
                <w:bCs/>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2.1笔形电磁超声测厚仪1台</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2.2平板电脑1台</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2.3标准试块2块</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2.4平面导轮1只</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2.5充电器1个</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2.6高温保护罩1个</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2.7运动手臂包1个</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2.8安全箱1个</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2.9说明书、合格证、保修卡各1张</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b w:val="0"/>
                <w:bCs w:val="0"/>
                <w:kern w:val="2"/>
                <w:sz w:val="21"/>
                <w:szCs w:val="21"/>
                <w:lang w:val="en-US" w:eastAsia="zh-CN" w:bidi="ar-SA"/>
              </w:rPr>
              <w:t xml:space="preserve">2.10 </w:t>
            </w:r>
            <w:r>
              <w:rPr>
                <w:rFonts w:hint="eastAsia" w:ascii="宋体" w:hAnsi="宋体" w:cs="宋体"/>
                <w:b w:val="0"/>
                <w:bCs w:val="0"/>
                <w:kern w:val="2"/>
                <w:sz w:val="21"/>
                <w:szCs w:val="21"/>
                <w:lang w:val="en-US" w:eastAsia="zh-CN" w:bidi="ar-SA"/>
              </w:rPr>
              <w:t>一体机（主流品牌，商用机，intel i5 12代， 内存16G，硬盘512GB SSD  预装正版win10专业版或企业版（有微软授权证书或序列号））</w:t>
            </w:r>
            <w:r>
              <w:rPr>
                <w:rFonts w:hint="eastAsia" w:ascii="宋体" w:hAnsi="宋体" w:eastAsia="宋体" w:cs="宋体"/>
                <w:b w:val="0"/>
                <w:bCs w:val="0"/>
                <w:kern w:val="2"/>
                <w:sz w:val="21"/>
                <w:szCs w:val="21"/>
                <w:lang w:val="en-US" w:eastAsia="zh-CN" w:bidi="ar-SA"/>
              </w:rPr>
              <w:t>1台</w:t>
            </w:r>
            <w:r>
              <w:rPr>
                <w:rFonts w:hint="eastAsia" w:ascii="宋体" w:hAnsi="宋体" w:cs="宋体"/>
                <w:b w:val="0"/>
                <w:bCs w:val="0"/>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126" w:type="dxa"/>
            <w:tcBorders>
              <w:top w:val="single" w:color="auto" w:sz="4" w:space="0"/>
              <w:left w:val="single" w:color="auto" w:sz="4" w:space="0"/>
              <w:bottom w:val="single" w:color="auto" w:sz="4" w:space="0"/>
              <w:right w:val="single" w:color="auto" w:sz="4" w:space="0"/>
            </w:tcBorders>
            <w:noWra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ageBreakBefore w:val="0"/>
        <w:kinsoku/>
        <w:overflowPunct/>
        <w:topLinePunct w:val="0"/>
        <w:autoSpaceDE/>
        <w:autoSpaceDN/>
        <w:bidi w:val="0"/>
        <w:snapToGrid w:val="0"/>
        <w:spacing w:line="320" w:lineRule="exact"/>
        <w:outlineLvl w:val="0"/>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tbl>
      <w:tblPr>
        <w:tblStyle w:val="37"/>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掌形电磁超声测厚仪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-40～800℃压力管道在线厚度测量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8126" w:type="dxa"/>
            <w:tcBorders>
              <w:top w:val="single" w:color="auto" w:sz="4" w:space="0"/>
              <w:left w:val="single" w:color="auto" w:sz="4" w:space="0"/>
              <w:bottom w:val="single" w:color="auto" w:sz="4" w:space="0"/>
              <w:right w:val="single" w:color="auto" w:sz="4" w:space="0"/>
            </w:tcBorders>
            <w:noWrap/>
          </w:tcPr>
          <w:p>
            <w:pPr>
              <w:pageBreakBefore w:val="0"/>
              <w:numPr>
                <w:ilvl w:val="0"/>
                <w:numId w:val="10"/>
              </w:numPr>
              <w:kinsoku/>
              <w:overflowPunct/>
              <w:topLinePunct w:val="0"/>
              <w:autoSpaceDE/>
              <w:autoSpaceDN/>
              <w:bidi w:val="0"/>
              <w:spacing w:line="320" w:lineRule="exact"/>
              <w:ind w:left="0"/>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bCs/>
                <w:sz w:val="21"/>
                <w:szCs w:val="21"/>
              </w:rPr>
              <w:t>掌形电磁超声测厚仪</w:t>
            </w:r>
            <w:r>
              <w:rPr>
                <w:rFonts w:hint="eastAsia" w:ascii="宋体" w:hAnsi="宋体" w:eastAsia="宋体" w:cs="宋体"/>
                <w:sz w:val="21"/>
                <w:szCs w:val="21"/>
              </w:rPr>
              <w:t>1套</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 应用范围：</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★1.1可应用于金属物体的厚度测量，适用范围为 0.6～140mm，无须使用耦合剂</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1.2对金属材料的腐蚀或者侵蚀程度做评估</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cs="宋体"/>
                <w:bCs/>
                <w:color w:val="auto"/>
                <w:szCs w:val="21"/>
                <w:highlight w:val="none"/>
              </w:rPr>
              <w:t>▲</w:t>
            </w:r>
            <w:r>
              <w:rPr>
                <w:rFonts w:hint="eastAsia" w:ascii="宋体" w:hAnsi="宋体" w:eastAsia="宋体" w:cs="宋体"/>
                <w:sz w:val="21"/>
                <w:szCs w:val="21"/>
              </w:rPr>
              <w:t>1.3用于-</w:t>
            </w:r>
            <w:r>
              <w:rPr>
                <w:rFonts w:hint="eastAsia" w:ascii="宋体" w:hAnsi="宋体" w:eastAsia="宋体" w:cs="宋体"/>
                <w:sz w:val="21"/>
                <w:szCs w:val="21"/>
                <w:lang w:val="en-US" w:eastAsia="zh-CN"/>
              </w:rPr>
              <w:t>4</w:t>
            </w:r>
            <w:r>
              <w:rPr>
                <w:rFonts w:hint="eastAsia" w:ascii="宋体" w:hAnsi="宋体" w:eastAsia="宋体" w:cs="宋体"/>
                <w:sz w:val="21"/>
                <w:szCs w:val="21"/>
              </w:rPr>
              <w:t>0-800°C高温管线在线不停车残余厚度测量</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1.4可用于测量铝制零件及铝合金，无须使用耦合剂，电磁超声(EMAT)探头对于接触表面的状态不会过于敏感，在有涂层上或空间狭小部位都可使用。</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 xml:space="preserve">2、工作条件： </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2.1检测金属材料，如：铝制品、碳钢、合金钢、铸钢、马氏体不锈钢等，测量厚度范围0.6～140mm</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2.2 测量精度≤0.01mm</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2.3工件表面：可无需打磨工件表面，无需去除工件表面防腐层和锈蚀</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2.4耦合剂：检测时，工件表面无需涂抹耦合剂</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2.5 可测量的最高温度达800°C</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2.6工作模式：A扫模式(A-Scan模式), B扫模式(B-Scan模式)，数字模式</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3、技术指标</w:t>
            </w:r>
            <w:r>
              <w:rPr>
                <w:rFonts w:hint="eastAsia" w:ascii="宋体" w:hAnsi="宋体" w:cs="宋体"/>
                <w:sz w:val="21"/>
                <w:szCs w:val="21"/>
                <w:lang w:eastAsia="zh-CN"/>
              </w:rPr>
              <w:t>：</w:t>
            </w:r>
            <w:r>
              <w:rPr>
                <w:rFonts w:hint="eastAsia" w:ascii="宋体" w:hAnsi="宋体" w:eastAsia="宋体" w:cs="宋体"/>
                <w:sz w:val="21"/>
                <w:szCs w:val="21"/>
              </w:rPr>
              <w:t xml:space="preserve"> </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3.1 厚度测量范围：0.6~200 mm</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3.2 材料声速范围：1000 - 9999 m/s</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3.3 工作频率范围：3.5MHz</w:t>
            </w:r>
            <w:r>
              <w:rPr>
                <w:rFonts w:hint="eastAsia" w:ascii="宋体" w:hAnsi="宋体" w:cs="宋体"/>
                <w:sz w:val="21"/>
                <w:szCs w:val="21"/>
                <w:lang w:eastAsia="zh-CN"/>
              </w:rPr>
              <w:t>；</w:t>
            </w:r>
            <w:r>
              <w:rPr>
                <w:rFonts w:hint="eastAsia" w:ascii="宋体" w:hAnsi="宋体" w:eastAsia="宋体" w:cs="宋体"/>
                <w:sz w:val="21"/>
                <w:szCs w:val="21"/>
              </w:rPr>
              <w:t xml:space="preserve"> </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3.4 内存储存被测数量:160000个测量值及A-Scan</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3.5 电源供应 (内置可充电式电池)：3000毫安锂电池</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3.6 工作时间(有背光照明下作业时间)：&gt;12 小时</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3.7 工作温度范围：-30°С~+50°С</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highlight w:val="yellow"/>
                <w:lang w:eastAsia="zh-CN"/>
              </w:rPr>
            </w:pPr>
            <w:r>
              <w:rPr>
                <w:rFonts w:hint="eastAsia" w:ascii="宋体" w:hAnsi="宋体" w:eastAsia="宋体" w:cs="宋体"/>
                <w:sz w:val="21"/>
                <w:szCs w:val="21"/>
              </w:rPr>
              <w:t xml:space="preserve">3.8 </w:t>
            </w:r>
            <w:r>
              <w:rPr>
                <w:rFonts w:hint="eastAsia" w:ascii="宋体" w:hAnsi="宋体" w:eastAsia="宋体" w:cs="宋体"/>
                <w:sz w:val="21"/>
                <w:szCs w:val="21"/>
                <w:highlight w:val="none"/>
              </w:rPr>
              <w:t>仪器尺寸：≤250 mm x 115 mm x 40 mm</w:t>
            </w:r>
            <w:r>
              <w:rPr>
                <w:rFonts w:hint="eastAsia" w:ascii="宋体" w:hAnsi="宋体" w:cs="宋体"/>
                <w:sz w:val="21"/>
                <w:szCs w:val="21"/>
                <w:highlight w:val="none"/>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3.9 重量≤750g</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3.10 具在A扫回波模式下，以直线式光标，自动显示厚度数值，并能储存A扫回波与厚度数值画面</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3.11 具设定以已知厚度试块自动校正超声波速的功能</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3.12 可以输入不同材料的超声波速进行校正，以及预设多个材质的声速库，以供使用</w:t>
            </w:r>
            <w:r>
              <w:rPr>
                <w:rFonts w:hint="eastAsia" w:ascii="宋体" w:hAnsi="宋体" w:cs="宋体"/>
                <w:sz w:val="21"/>
                <w:szCs w:val="21"/>
                <w:lang w:eastAsia="zh-CN"/>
              </w:rPr>
              <w:t>；</w:t>
            </w:r>
            <w:r>
              <w:rPr>
                <w:rFonts w:hint="eastAsia" w:ascii="宋体" w:hAnsi="宋体" w:eastAsia="宋体" w:cs="宋体"/>
                <w:sz w:val="21"/>
                <w:szCs w:val="21"/>
              </w:rPr>
              <w:t xml:space="preserve"> </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3.13 在A扫模式下量测，系统优先使用自动(Auto)最佳化模式量测厚度，并可切换至单闸门模式，双闸门模式，并且在Auto最佳化模式下，可自由实时同步调整波速</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3.14 主机质保1年，并永久免费升级</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3.15 与测厚仪一体建置的校正块，便于设备校正</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★3.16 探头与被检工件提离值≥12mm</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3.17 可检测最小曲率半径10mm</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3.18 通用的USB数据接口可充电和把数据传输至电脑端</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3.19 超声波类型:横波</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3.20 温度补偿功能：工件在高温时热涨使声速发生变化检测精度变低，在输入已知温度来补偿工件在高温时发生的变化使检测精度更精准</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4、产品配置要求：</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4.1 电磁超声高温测厚仪主机1台</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4.2 电磁超声探头1个,含连线</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4.3 电池充电器含连接线1根</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4.4 高温手柄1个</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4.5 数据线：USB 数据线1根</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4.6 仪器包</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7 一体机（主流品牌，商用机，intel i5 12代， 内存16G，硬盘512GB SSD  预装正版win10专业版或企业版（有微软授权证书或序列号））</w:t>
            </w:r>
            <w:r>
              <w:rPr>
                <w:rFonts w:hint="eastAsia" w:ascii="宋体" w:hAnsi="宋体" w:eastAsia="宋体" w:cs="宋体"/>
                <w:sz w:val="21"/>
                <w:szCs w:val="21"/>
                <w:lang w:val="en-US" w:eastAsia="zh-CN"/>
              </w:rPr>
              <w:t>1台</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126" w:type="dxa"/>
            <w:tcBorders>
              <w:top w:val="single" w:color="auto" w:sz="4" w:space="0"/>
              <w:left w:val="single" w:color="auto" w:sz="4" w:space="0"/>
              <w:bottom w:val="single" w:color="auto" w:sz="4" w:space="0"/>
              <w:right w:val="single" w:color="auto" w:sz="4" w:space="0"/>
            </w:tcBorders>
            <w:noWra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ageBreakBefore w:val="0"/>
        <w:kinsoku/>
        <w:overflowPunct/>
        <w:topLinePunct w:val="0"/>
        <w:autoSpaceDE/>
        <w:autoSpaceDN/>
        <w:bidi w:val="0"/>
        <w:snapToGrid w:val="0"/>
        <w:spacing w:line="320" w:lineRule="exact"/>
        <w:outlineLvl w:val="0"/>
        <w:rPr>
          <w:rFonts w:hint="eastAsia" w:ascii="宋体" w:hAnsi="宋体" w:eastAsia="宋体" w:cs="宋体"/>
          <w:b/>
          <w:color w:val="auto"/>
          <w:sz w:val="21"/>
          <w:szCs w:val="21"/>
          <w:highlight w:val="none"/>
        </w:rPr>
      </w:pPr>
    </w:p>
    <w:tbl>
      <w:tblPr>
        <w:tblStyle w:val="37"/>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default" w:ascii="宋体" w:hAnsi="宋体" w:eastAsia="宋体" w:cs="宋体"/>
                <w:sz w:val="21"/>
                <w:szCs w:val="21"/>
                <w:lang w:val="en-US"/>
              </w:rPr>
            </w:pPr>
            <w:r>
              <w:rPr>
                <w:rFonts w:hint="eastAsia" w:ascii="宋体" w:hAnsi="宋体" w:eastAsia="宋体" w:cs="宋体"/>
                <w:sz w:val="21"/>
                <w:szCs w:val="21"/>
                <w:vertAlign w:val="baseline"/>
                <w:lang w:val="en-US" w:eastAsia="zh-CN"/>
              </w:rPr>
              <w:t>●3、</w:t>
            </w:r>
            <w:r>
              <w:rPr>
                <w:rFonts w:hint="eastAsia" w:ascii="宋体" w:hAnsi="宋体" w:cs="宋体"/>
                <w:sz w:val="21"/>
                <w:szCs w:val="21"/>
                <w:vertAlign w:val="baseline"/>
                <w:lang w:val="en-US" w:eastAsia="zh-CN"/>
              </w:rPr>
              <w:t>多关节型机器人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PE燃气管道缺陷太赫兹研究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9"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8126" w:type="dxa"/>
            <w:tcBorders>
              <w:top w:val="single" w:color="auto" w:sz="4" w:space="0"/>
              <w:left w:val="single" w:color="auto" w:sz="4" w:space="0"/>
              <w:bottom w:val="single" w:color="auto" w:sz="4" w:space="0"/>
              <w:right w:val="single" w:color="auto" w:sz="4" w:space="0"/>
            </w:tcBorders>
            <w:noWra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一、多关节型</w:t>
            </w:r>
            <w:r>
              <w:rPr>
                <w:rFonts w:hint="eastAsia" w:ascii="宋体" w:hAnsi="宋体" w:cs="宋体"/>
                <w:sz w:val="21"/>
                <w:szCs w:val="21"/>
                <w:lang w:val="en-US" w:eastAsia="zh-CN"/>
              </w:rPr>
              <w:t>机器人</w:t>
            </w:r>
            <w:r>
              <w:rPr>
                <w:rFonts w:hint="eastAsia" w:ascii="宋体" w:hAnsi="宋体" w:eastAsia="宋体" w:cs="宋体"/>
                <w:sz w:val="21"/>
                <w:szCs w:val="21"/>
              </w:rPr>
              <w:t>1套</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1、设备技术参数：</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1.1工作范围≥703mm；</w:t>
            </w:r>
          </w:p>
          <w:p>
            <w:pPr>
              <w:pStyle w:val="4"/>
              <w:pageBreakBefore w:val="0"/>
              <w:kinsoku/>
              <w:overflowPunct/>
              <w:topLinePunct w:val="0"/>
              <w:autoSpaceDE/>
              <w:autoSpaceDN/>
              <w:bidi w:val="0"/>
              <w:spacing w:before="0" w:after="0" w:line="320" w:lineRule="exact"/>
              <w:rPr>
                <w:rFonts w:hint="eastAsia" w:ascii="宋体" w:hAnsi="宋体" w:eastAsia="宋体" w:cs="宋体"/>
                <w:b w:val="0"/>
                <w:bCs w:val="0"/>
                <w:sz w:val="21"/>
                <w:szCs w:val="21"/>
                <w:lang w:eastAsia="zh-CN"/>
              </w:rPr>
            </w:pPr>
            <w:r>
              <w:rPr>
                <w:rFonts w:hint="eastAsia" w:ascii="宋体" w:hAnsi="宋体" w:cs="宋体"/>
                <w:bCs/>
                <w:color w:val="auto"/>
                <w:sz w:val="21"/>
                <w:szCs w:val="21"/>
                <w:highlight w:val="none"/>
              </w:rPr>
              <w:t>▲</w:t>
            </w:r>
            <w:r>
              <w:rPr>
                <w:rFonts w:hint="eastAsia" w:ascii="宋体" w:hAnsi="宋体" w:eastAsia="宋体" w:cs="宋体"/>
                <w:b w:val="0"/>
                <w:bCs w:val="0"/>
                <w:sz w:val="21"/>
                <w:szCs w:val="21"/>
              </w:rPr>
              <w:t>1.2重复定位精度：0.02mm</w:t>
            </w:r>
            <w:r>
              <w:rPr>
                <w:rFonts w:hint="eastAsia" w:ascii="宋体" w:hAnsi="宋体" w:eastAsia="宋体" w:cs="宋体"/>
                <w:b w:val="0"/>
                <w:bCs w:val="0"/>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1.3机器人安装：任意角度</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1.4防护等级：IP40/IP67</w:t>
            </w:r>
            <w:r>
              <w:rPr>
                <w:rFonts w:hint="eastAsia" w:ascii="宋体" w:hAnsi="宋体" w:cs="宋体"/>
                <w:sz w:val="21"/>
                <w:szCs w:val="21"/>
                <w:lang w:eastAsia="zh-CN"/>
              </w:rPr>
              <w:t>；</w:t>
            </w:r>
          </w:p>
          <w:p>
            <w:pPr>
              <w:pStyle w:val="4"/>
              <w:pageBreakBefore w:val="0"/>
              <w:kinsoku/>
              <w:overflowPunct/>
              <w:topLinePunct w:val="0"/>
              <w:autoSpaceDE/>
              <w:autoSpaceDN/>
              <w:bidi w:val="0"/>
              <w:spacing w:before="0" w:after="0" w:line="320" w:lineRule="exac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1.5TCP最大速度≥7.3</w:t>
            </w:r>
            <w:r>
              <w:rPr>
                <w:rFonts w:hint="eastAsia" w:ascii="宋体" w:hAnsi="宋体" w:eastAsia="宋体" w:cs="宋体"/>
                <w:b w:val="0"/>
                <w:bCs w:val="0"/>
                <w:sz w:val="21"/>
                <w:szCs w:val="21"/>
              </w:rPr>
              <w:tab/>
            </w:r>
            <w:r>
              <w:rPr>
                <w:rFonts w:hint="eastAsia" w:ascii="宋体" w:hAnsi="宋体" w:eastAsia="宋体" w:cs="宋体"/>
                <w:b w:val="0"/>
                <w:bCs w:val="0"/>
                <w:sz w:val="21"/>
                <w:szCs w:val="21"/>
              </w:rPr>
              <w:t>m/s</w:t>
            </w:r>
            <w:r>
              <w:rPr>
                <w:rFonts w:hint="eastAsia" w:ascii="宋体" w:hAnsi="宋体" w:eastAsia="宋体" w:cs="宋体"/>
                <w:b w:val="0"/>
                <w:bCs w:val="0"/>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1.6TCP最大加速度≥35m/s*s</w:t>
            </w:r>
            <w:r>
              <w:rPr>
                <w:rFonts w:hint="eastAsia" w:ascii="宋体" w:hAnsi="宋体" w:cs="宋体"/>
                <w:sz w:val="21"/>
                <w:szCs w:val="21"/>
                <w:lang w:eastAsia="zh-CN"/>
              </w:rPr>
              <w:t>；</w:t>
            </w:r>
          </w:p>
          <w:p>
            <w:pPr>
              <w:pStyle w:val="4"/>
              <w:pageBreakBefore w:val="0"/>
              <w:kinsoku/>
              <w:overflowPunct/>
              <w:topLinePunct w:val="0"/>
              <w:autoSpaceDE/>
              <w:autoSpaceDN/>
              <w:bidi w:val="0"/>
              <w:spacing w:before="0" w:after="0" w:line="320" w:lineRule="exac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1.7重量≤52kg</w:t>
            </w:r>
            <w:r>
              <w:rPr>
                <w:rFonts w:hint="eastAsia" w:ascii="宋体" w:hAnsi="宋体" w:eastAsia="宋体" w:cs="宋体"/>
                <w:b w:val="0"/>
                <w:bCs w:val="0"/>
                <w:sz w:val="21"/>
                <w:szCs w:val="21"/>
                <w:lang w:eastAsia="zh-CN"/>
              </w:rPr>
              <w:t>；</w:t>
            </w:r>
          </w:p>
          <w:p>
            <w:pPr>
              <w:pStyle w:val="4"/>
              <w:pageBreakBefore w:val="0"/>
              <w:kinsoku/>
              <w:overflowPunct/>
              <w:topLinePunct w:val="0"/>
              <w:autoSpaceDE/>
              <w:autoSpaceDN/>
              <w:bidi w:val="0"/>
              <w:spacing w:before="0" w:after="0" w:line="320" w:lineRule="exac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★1.8绝对精度选项开启精度：0.13mm</w:t>
            </w:r>
            <w:r>
              <w:rPr>
                <w:rFonts w:hint="eastAsia" w:ascii="宋体" w:hAnsi="宋体" w:eastAsia="宋体" w:cs="宋体"/>
                <w:b w:val="0"/>
                <w:bCs w:val="0"/>
                <w:sz w:val="21"/>
                <w:szCs w:val="21"/>
                <w:lang w:eastAsia="zh-CN"/>
              </w:rPr>
              <w:t>；</w:t>
            </w:r>
          </w:p>
          <w:p>
            <w:pPr>
              <w:pStyle w:val="4"/>
              <w:pageBreakBefore w:val="0"/>
              <w:kinsoku/>
              <w:overflowPunct/>
              <w:topLinePunct w:val="0"/>
              <w:autoSpaceDE/>
              <w:autoSpaceDN/>
              <w:bidi w:val="0"/>
              <w:spacing w:before="0" w:after="0" w:line="320" w:lineRule="exac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1.9有效负载≥7kg</w:t>
            </w:r>
            <w:r>
              <w:rPr>
                <w:rFonts w:hint="eastAsia" w:ascii="宋体" w:hAnsi="宋体" w:eastAsia="宋体" w:cs="宋体"/>
                <w:b w:val="0"/>
                <w:bCs w:val="0"/>
                <w:sz w:val="21"/>
                <w:szCs w:val="21"/>
                <w:lang w:eastAsia="zh-CN"/>
              </w:rPr>
              <w:t>；</w:t>
            </w:r>
          </w:p>
          <w:p>
            <w:pPr>
              <w:pStyle w:val="4"/>
              <w:pageBreakBefore w:val="0"/>
              <w:kinsoku/>
              <w:overflowPunct/>
              <w:topLinePunct w:val="0"/>
              <w:autoSpaceDE/>
              <w:autoSpaceDN/>
              <w:bidi w:val="0"/>
              <w:spacing w:before="0" w:after="0" w:line="320" w:lineRule="exac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1.10手臂负载大于等于0.3kg</w:t>
            </w:r>
            <w:r>
              <w:rPr>
                <w:rFonts w:hint="eastAsia" w:ascii="宋体" w:hAnsi="宋体" w:eastAsia="宋体" w:cs="宋体"/>
                <w:b w:val="0"/>
                <w:bCs w:val="0"/>
                <w:sz w:val="21"/>
                <w:szCs w:val="21"/>
                <w:lang w:eastAsia="zh-CN"/>
              </w:rPr>
              <w:t>；</w:t>
            </w:r>
          </w:p>
          <w:p>
            <w:pPr>
              <w:pStyle w:val="4"/>
              <w:pageBreakBefore w:val="0"/>
              <w:kinsoku/>
              <w:overflowPunct/>
              <w:topLinePunct w:val="0"/>
              <w:autoSpaceDE/>
              <w:autoSpaceDN/>
              <w:bidi w:val="0"/>
              <w:spacing w:before="0" w:after="0" w:line="320" w:lineRule="exac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1.11电源电压：200-600V，50-60Hz</w:t>
            </w:r>
            <w:r>
              <w:rPr>
                <w:rFonts w:hint="eastAsia" w:ascii="宋体" w:hAnsi="宋体" w:eastAsia="宋体" w:cs="宋体"/>
                <w:b w:val="0"/>
                <w:bCs w:val="0"/>
                <w:sz w:val="21"/>
                <w:szCs w:val="21"/>
                <w:lang w:eastAsia="zh-CN"/>
              </w:rPr>
              <w:t>；</w:t>
            </w:r>
          </w:p>
          <w:p>
            <w:pPr>
              <w:pStyle w:val="4"/>
              <w:pageBreakBefore w:val="0"/>
              <w:kinsoku/>
              <w:overflowPunct/>
              <w:topLinePunct w:val="0"/>
              <w:autoSpaceDE/>
              <w:autoSpaceDN/>
              <w:bidi w:val="0"/>
              <w:spacing w:before="0" w:after="0" w:line="320" w:lineRule="exac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1.12功耗≤0.39kW</w:t>
            </w:r>
            <w:r>
              <w:rPr>
                <w:rFonts w:hint="eastAsia" w:ascii="宋体" w:hAnsi="宋体" w:eastAsia="宋体" w:cs="宋体"/>
                <w:b w:val="0"/>
                <w:bCs w:val="0"/>
                <w:sz w:val="21"/>
                <w:szCs w:val="21"/>
                <w:lang w:eastAsia="zh-CN"/>
              </w:rPr>
              <w:t>；</w:t>
            </w:r>
          </w:p>
          <w:p>
            <w:pPr>
              <w:pStyle w:val="4"/>
              <w:pageBreakBefore w:val="0"/>
              <w:kinsoku/>
              <w:overflowPunct/>
              <w:topLinePunct w:val="0"/>
              <w:autoSpaceDE/>
              <w:autoSpaceDN/>
              <w:bidi w:val="0"/>
              <w:spacing w:before="0" w:after="0" w:line="32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1.13操作系统为半开放式，支持用户做出拓展功能。</w:t>
            </w:r>
          </w:p>
          <w:p>
            <w:pPr>
              <w:pStyle w:val="4"/>
              <w:pageBreakBefore w:val="0"/>
              <w:kinsoku/>
              <w:overflowPunct/>
              <w:topLinePunct w:val="0"/>
              <w:autoSpaceDE/>
              <w:autoSpaceDN/>
              <w:bidi w:val="0"/>
              <w:spacing w:before="0" w:after="0" w:line="320" w:lineRule="exac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2、产品配置</w:t>
            </w:r>
            <w:r>
              <w:rPr>
                <w:rFonts w:hint="eastAsia" w:ascii="宋体" w:hAnsi="宋体" w:eastAsia="宋体" w:cs="宋体"/>
                <w:b w:val="0"/>
                <w:bCs w:val="0"/>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2.1机械臂本体1只</w:t>
            </w:r>
            <w:r>
              <w:rPr>
                <w:rFonts w:hint="eastAsia" w:ascii="宋体" w:hAnsi="宋体" w:cs="宋体"/>
                <w:sz w:val="21"/>
                <w:szCs w:val="21"/>
                <w:lang w:eastAsia="zh-CN"/>
              </w:rPr>
              <w:t>；</w:t>
            </w:r>
          </w:p>
          <w:p>
            <w:pPr>
              <w:pStyle w:val="4"/>
              <w:pageBreakBefore w:val="0"/>
              <w:kinsoku/>
              <w:overflowPunct/>
              <w:topLinePunct w:val="0"/>
              <w:autoSpaceDE/>
              <w:autoSpaceDN/>
              <w:bidi w:val="0"/>
              <w:spacing w:before="0" w:after="0" w:line="320" w:lineRule="exac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2.2机械臂主机1只</w:t>
            </w:r>
            <w:r>
              <w:rPr>
                <w:rFonts w:hint="eastAsia" w:ascii="宋体" w:hAnsi="宋体" w:eastAsia="宋体" w:cs="宋体"/>
                <w:b w:val="0"/>
                <w:bCs w:val="0"/>
                <w:sz w:val="21"/>
                <w:szCs w:val="21"/>
                <w:lang w:eastAsia="zh-CN"/>
              </w:rPr>
              <w:t>；</w:t>
            </w:r>
          </w:p>
          <w:p>
            <w:pPr>
              <w:pStyle w:val="4"/>
              <w:pageBreakBefore w:val="0"/>
              <w:kinsoku/>
              <w:overflowPunct/>
              <w:topLinePunct w:val="0"/>
              <w:autoSpaceDE/>
              <w:autoSpaceDN/>
              <w:bidi w:val="0"/>
              <w:spacing w:before="0" w:after="0" w:line="320" w:lineRule="exac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2.3机械臂示教器1套</w:t>
            </w:r>
            <w:r>
              <w:rPr>
                <w:rFonts w:hint="eastAsia" w:ascii="宋体" w:hAnsi="宋体" w:eastAsia="宋体" w:cs="宋体"/>
                <w:b w:val="0"/>
                <w:bCs w:val="0"/>
                <w:sz w:val="21"/>
                <w:szCs w:val="21"/>
                <w:lang w:eastAsia="zh-CN"/>
              </w:rPr>
              <w:t>；</w:t>
            </w:r>
          </w:p>
          <w:p>
            <w:pPr>
              <w:pStyle w:val="4"/>
              <w:pageBreakBefore w:val="0"/>
              <w:kinsoku/>
              <w:overflowPunct/>
              <w:topLinePunct w:val="0"/>
              <w:autoSpaceDE/>
              <w:autoSpaceDN/>
              <w:bidi w:val="0"/>
              <w:spacing w:before="0" w:after="0" w:line="320" w:lineRule="exac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2.4机械臂线缆器件1套</w:t>
            </w:r>
            <w:r>
              <w:rPr>
                <w:rFonts w:hint="eastAsia" w:ascii="宋体" w:hAnsi="宋体" w:eastAsia="宋体" w:cs="宋体"/>
                <w:b w:val="0"/>
                <w:bCs w:val="0"/>
                <w:sz w:val="21"/>
                <w:szCs w:val="21"/>
                <w:lang w:eastAsia="zh-CN"/>
              </w:rPr>
              <w:t>；</w:t>
            </w:r>
          </w:p>
          <w:p>
            <w:pPr>
              <w:pStyle w:val="4"/>
              <w:pageBreakBefore w:val="0"/>
              <w:kinsoku/>
              <w:overflowPunct/>
              <w:topLinePunct w:val="0"/>
              <w:autoSpaceDE/>
              <w:autoSpaceDN/>
              <w:bidi w:val="0"/>
              <w:spacing w:before="0" w:after="0" w:line="320" w:lineRule="exac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2.5绝对精度软件服务1套</w:t>
            </w:r>
            <w:r>
              <w:rPr>
                <w:rFonts w:hint="eastAsia" w:ascii="宋体" w:hAnsi="宋体" w:eastAsia="宋体" w:cs="宋体"/>
                <w:b w:val="0"/>
                <w:bCs w:val="0"/>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val="en-US" w:eastAsia="zh-CN"/>
              </w:rPr>
              <w:t>2.6</w:t>
            </w:r>
            <w:r>
              <w:rPr>
                <w:rFonts w:hint="eastAsia" w:ascii="宋体" w:hAnsi="宋体" w:cs="宋体"/>
                <w:sz w:val="21"/>
                <w:szCs w:val="21"/>
                <w:lang w:val="en-US" w:eastAsia="zh-CN"/>
              </w:rPr>
              <w:t>一体机（主流品牌，商用机，intel i5 12代， 内存16G，硬盘512GB SSD  预装正版win10专业版或企业版（有微软授权证书或序列号））</w:t>
            </w:r>
            <w:r>
              <w:rPr>
                <w:rFonts w:hint="eastAsia" w:ascii="宋体" w:hAnsi="宋体" w:eastAsia="宋体" w:cs="宋体"/>
                <w:sz w:val="21"/>
                <w:szCs w:val="21"/>
                <w:lang w:val="en-US" w:eastAsia="zh-CN"/>
              </w:rPr>
              <w:t>1台</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126"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napToGrid w:val="0"/>
                <w:kern w:val="0"/>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Style w:val="4"/>
        <w:bidi w:val="0"/>
        <w:spacing w:before="0" w:after="0" w:line="240" w:lineRule="auto"/>
        <w:rPr>
          <w:rFonts w:hint="eastAsia"/>
        </w:rPr>
      </w:pPr>
    </w:p>
    <w:tbl>
      <w:tblPr>
        <w:tblStyle w:val="37"/>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default" w:ascii="宋体" w:hAnsi="宋体" w:eastAsia="宋体" w:cs="宋体"/>
                <w:sz w:val="21"/>
                <w:szCs w:val="21"/>
                <w:lang w:val="en-US"/>
              </w:rPr>
            </w:pPr>
            <w:r>
              <w:rPr>
                <w:rFonts w:hint="eastAsia" w:ascii="宋体" w:hAnsi="宋体" w:eastAsia="宋体" w:cs="宋体"/>
                <w:sz w:val="21"/>
                <w:szCs w:val="21"/>
                <w:vertAlign w:val="baseline"/>
                <w:lang w:val="en-US" w:eastAsia="zh-CN"/>
              </w:rPr>
              <w:t>4、</w:t>
            </w:r>
            <w:r>
              <w:rPr>
                <w:rFonts w:hint="eastAsia" w:ascii="宋体" w:hAnsi="宋体" w:cs="宋体"/>
                <w:sz w:val="21"/>
                <w:szCs w:val="21"/>
                <w:lang w:val="en-US" w:eastAsia="zh-CN"/>
              </w:rPr>
              <w:t>万能迷你智能机器人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PE燃气管道缺陷太赫兹研究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1"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8126" w:type="dxa"/>
            <w:tcBorders>
              <w:top w:val="single" w:color="auto" w:sz="4" w:space="0"/>
              <w:left w:val="single" w:color="auto" w:sz="4" w:space="0"/>
              <w:bottom w:val="single" w:color="auto" w:sz="4" w:space="0"/>
              <w:right w:val="single" w:color="auto" w:sz="4" w:space="0"/>
            </w:tcBorders>
            <w:noWrap/>
          </w:tcPr>
          <w:p>
            <w:pPr>
              <w:pageBreakBefore w:val="0"/>
              <w:numPr>
                <w:ilvl w:val="0"/>
                <w:numId w:val="11"/>
              </w:numPr>
              <w:kinsoku/>
              <w:overflowPunct/>
              <w:topLinePunct w:val="0"/>
              <w:autoSpaceDE/>
              <w:autoSpaceDN/>
              <w:bidi w:val="0"/>
              <w:spacing w:line="320" w:lineRule="exact"/>
              <w:ind w:left="0"/>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cs="宋体"/>
                <w:sz w:val="21"/>
                <w:szCs w:val="21"/>
                <w:lang w:val="en-US" w:eastAsia="zh-CN"/>
              </w:rPr>
              <w:t>万能迷你智能机器人</w:t>
            </w:r>
            <w:r>
              <w:rPr>
                <w:rFonts w:hint="eastAsia" w:ascii="宋体" w:hAnsi="宋体" w:eastAsia="宋体" w:cs="宋体"/>
                <w:sz w:val="21"/>
                <w:szCs w:val="21"/>
              </w:rPr>
              <w:t>1套</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1、设备技术参数：</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1.1手臂苗条，灵活度高，可达半径≥911mm；</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1.2机构轻量可顶吊安装或者在加工机械内部安装；</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1.3安装方式：地面安装、倒吊安装、倾斜安装</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1.4手腕部最高运动速度≥4000 mm/s；</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★1.5手腕部最大负载≥7kg</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1.6驱动方式：交流伺服电机驱动</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★1.7重复定位精度：±0.01mm；</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1.8机器人重量≤27k；</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1.9防尘防液等级：符合IP67标准</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1.10输入电源功率：0.5kW（1.2kVA）</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2、产品配置</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2.1机械臂本体1个</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2.2机械臂主机1个</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2.3机械臂示教器1套</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2.4机械臂线缆器件1套</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b w:val="0"/>
                <w:bCs w:val="0"/>
                <w:kern w:val="2"/>
                <w:sz w:val="21"/>
                <w:szCs w:val="21"/>
                <w:lang w:val="en-US" w:eastAsia="zh-CN" w:bidi="ar-SA"/>
              </w:rPr>
              <w:t>2.5</w:t>
            </w:r>
            <w:r>
              <w:rPr>
                <w:rFonts w:hint="eastAsia" w:ascii="宋体" w:hAnsi="宋体" w:cs="宋体"/>
                <w:b w:val="0"/>
                <w:bCs w:val="0"/>
                <w:kern w:val="2"/>
                <w:sz w:val="21"/>
                <w:szCs w:val="21"/>
                <w:lang w:val="en-US" w:eastAsia="zh-CN" w:bidi="ar-SA"/>
              </w:rPr>
              <w:t>一体机（主流品牌，商用机，intel i5 12代， 内存16G，硬盘512GB SSD  预装正版win10专业版或企业版（有微软授权证书或序列号））</w:t>
            </w:r>
            <w:r>
              <w:rPr>
                <w:rFonts w:hint="eastAsia" w:ascii="宋体" w:hAnsi="宋体" w:eastAsia="宋体" w:cs="宋体"/>
                <w:b w:val="0"/>
                <w:bCs w:val="0"/>
                <w:kern w:val="2"/>
                <w:sz w:val="21"/>
                <w:szCs w:val="21"/>
                <w:lang w:val="en-US" w:eastAsia="zh-CN" w:bidi="ar-SA"/>
              </w:rPr>
              <w:t>1台</w:t>
            </w:r>
            <w:r>
              <w:rPr>
                <w:rFonts w:hint="eastAsia" w:ascii="宋体" w:hAnsi="宋体" w:cs="宋体"/>
                <w:b w:val="0"/>
                <w:bCs w:val="0"/>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126"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napToGrid w:val="0"/>
                <w:kern w:val="0"/>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Style w:val="4"/>
        <w:spacing w:before="0" w:after="0" w:line="240" w:lineRule="auto"/>
        <w:rPr>
          <w:rFonts w:hint="eastAsia"/>
        </w:rPr>
      </w:pPr>
    </w:p>
    <w:tbl>
      <w:tblPr>
        <w:tblStyle w:val="37"/>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9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仪器名称</w:t>
            </w:r>
          </w:p>
        </w:tc>
        <w:tc>
          <w:tcPr>
            <w:tcW w:w="801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vertAlign w:val="baseline"/>
                <w:lang w:val="en-US" w:eastAsia="zh-CN"/>
              </w:rPr>
              <w:t>5、小型智能</w:t>
            </w:r>
            <w:r>
              <w:rPr>
                <w:rFonts w:hint="eastAsia" w:ascii="宋体" w:hAnsi="宋体" w:cs="宋体"/>
                <w:sz w:val="21"/>
                <w:szCs w:val="21"/>
                <w:highlight w:val="none"/>
                <w:vertAlign w:val="baseline"/>
                <w:lang w:val="en-US" w:eastAsia="zh-CN"/>
              </w:rPr>
              <w:t>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79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数量（套）</w:t>
            </w:r>
          </w:p>
        </w:tc>
        <w:tc>
          <w:tcPr>
            <w:tcW w:w="801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79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仪器用途</w:t>
            </w:r>
          </w:p>
        </w:tc>
        <w:tc>
          <w:tcPr>
            <w:tcW w:w="801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vertAlign w:val="baseline"/>
                <w:lang w:val="en-US" w:eastAsia="zh-CN"/>
              </w:rPr>
              <w:t>PE燃气管道缺陷太赫兹研究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79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技术指标要求</w:t>
            </w:r>
          </w:p>
        </w:tc>
        <w:tc>
          <w:tcPr>
            <w:tcW w:w="8016" w:type="dxa"/>
            <w:tcBorders>
              <w:top w:val="single" w:color="auto" w:sz="4" w:space="0"/>
              <w:left w:val="single" w:color="auto" w:sz="4" w:space="0"/>
              <w:bottom w:val="single" w:color="auto" w:sz="4" w:space="0"/>
              <w:right w:val="single" w:color="auto" w:sz="4" w:space="0"/>
            </w:tcBorders>
            <w:noWrap/>
          </w:tcPr>
          <w:p>
            <w:pPr>
              <w:pageBreakBefore w:val="0"/>
              <w:numPr>
                <w:ilvl w:val="0"/>
                <w:numId w:val="12"/>
              </w:numPr>
              <w:kinsoku/>
              <w:overflowPunct/>
              <w:topLinePunct w:val="0"/>
              <w:autoSpaceDE/>
              <w:autoSpaceDN/>
              <w:bidi w:val="0"/>
              <w:spacing w:line="320" w:lineRule="exact"/>
              <w:ind w:left="0"/>
              <w:rPr>
                <w:rFonts w:hint="eastAsia" w:ascii="宋体" w:hAnsi="宋体" w:eastAsia="宋体" w:cs="宋体"/>
                <w:sz w:val="21"/>
                <w:szCs w:val="21"/>
                <w:highlight w:val="none"/>
              </w:rPr>
            </w:pPr>
            <w:r>
              <w:rPr>
                <w:rFonts w:hint="eastAsia" w:ascii="宋体" w:hAnsi="宋体" w:eastAsia="宋体" w:cs="宋体"/>
                <w:sz w:val="21"/>
                <w:szCs w:val="21"/>
                <w:highlight w:val="none"/>
              </w:rPr>
              <w:t>一、</w:t>
            </w:r>
            <w:r>
              <w:rPr>
                <w:rFonts w:hint="eastAsia" w:ascii="宋体" w:hAnsi="宋体" w:eastAsia="宋体" w:cs="宋体"/>
                <w:sz w:val="21"/>
                <w:szCs w:val="21"/>
                <w:highlight w:val="none"/>
                <w:vertAlign w:val="baseline"/>
                <w:lang w:val="en-US" w:eastAsia="zh-CN"/>
              </w:rPr>
              <w:t>小型智能</w:t>
            </w:r>
            <w:r>
              <w:rPr>
                <w:rFonts w:hint="eastAsia" w:ascii="宋体" w:hAnsi="宋体" w:cs="宋体"/>
                <w:sz w:val="21"/>
                <w:szCs w:val="21"/>
                <w:highlight w:val="none"/>
                <w:vertAlign w:val="baseline"/>
                <w:lang w:val="en-US" w:eastAsia="zh-CN"/>
              </w:rPr>
              <w:t>机器人</w:t>
            </w:r>
            <w:r>
              <w:rPr>
                <w:rFonts w:hint="eastAsia" w:ascii="宋体" w:hAnsi="宋体" w:eastAsia="宋体" w:cs="宋体"/>
                <w:sz w:val="21"/>
                <w:szCs w:val="21"/>
                <w:highlight w:val="none"/>
              </w:rPr>
              <w:t>1套</w:t>
            </w:r>
          </w:p>
          <w:p>
            <w:pPr>
              <w:pageBreakBefore w:val="0"/>
              <w:kinsoku/>
              <w:overflowPunct/>
              <w:topLinePunct w:val="0"/>
              <w:autoSpaceDE/>
              <w:autoSpaceDN/>
              <w:bidi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1、设备技术参数：</w:t>
            </w:r>
          </w:p>
          <w:p>
            <w:pPr>
              <w:pageBreakBefore w:val="0"/>
              <w:kinsoku/>
              <w:overflowPunct/>
              <w:topLinePunct w:val="0"/>
              <w:autoSpaceDE/>
              <w:autoSpaceDN/>
              <w:bidi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1.1轴数≥6；</w:t>
            </w:r>
          </w:p>
          <w:p>
            <w:pPr>
              <w:pageBreakBefore w:val="0"/>
              <w:kinsoku/>
              <w:overflowPunct/>
              <w:topLinePunct w:val="0"/>
              <w:autoSpaceDE/>
              <w:autoSpaceDN/>
              <w:bidi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★1.2可达半径≥1441mm；</w:t>
            </w:r>
          </w:p>
          <w:p>
            <w:pPr>
              <w:pageBreakBefore w:val="0"/>
              <w:kinsoku/>
              <w:overflowPunct/>
              <w:topLinePunct w:val="0"/>
              <w:autoSpaceDE/>
              <w:autoSpaceDN/>
              <w:bidi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1.3安装方式：地面安装、倒吊安装、倾斜安装；</w:t>
            </w:r>
          </w:p>
          <w:p>
            <w:pPr>
              <w:pageBreakBefore w:val="0"/>
              <w:kinsoku/>
              <w:overflowPunct/>
              <w:topLinePunct w:val="0"/>
              <w:autoSpaceDE/>
              <w:autoSpaceDN/>
              <w:bidi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1.4手腕部最高运动速度≥2000 mm/s；</w:t>
            </w:r>
          </w:p>
          <w:p>
            <w:pPr>
              <w:pageBreakBefore w:val="0"/>
              <w:kinsoku/>
              <w:overflowPunct/>
              <w:topLinePunct w:val="0"/>
              <w:autoSpaceDE/>
              <w:autoSpaceDN/>
              <w:bidi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1.5手腕部最大负载≥12 kg；</w:t>
            </w:r>
          </w:p>
          <w:p>
            <w:pPr>
              <w:pageBreakBefore w:val="0"/>
              <w:kinsoku/>
              <w:overflowPunct/>
              <w:topLinePunct w:val="0"/>
              <w:autoSpaceDE/>
              <w:autoSpaceDN/>
              <w:bidi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1.6驱动方式：交流伺服电机驱动；</w:t>
            </w:r>
          </w:p>
          <w:p>
            <w:pPr>
              <w:pageBreakBefore w:val="0"/>
              <w:kinsoku/>
              <w:overflowPunct/>
              <w:topLinePunct w:val="0"/>
              <w:autoSpaceDE/>
              <w:autoSpaceDN/>
              <w:bidi w:val="0"/>
              <w:spacing w:line="32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★1.7重复定位精度：± 0.04mm</w:t>
            </w:r>
            <w:r>
              <w:rPr>
                <w:rFonts w:hint="eastAsia" w:ascii="宋体" w:hAnsi="宋体" w:cs="宋体"/>
                <w:sz w:val="21"/>
                <w:szCs w:val="21"/>
                <w:highlight w:val="none"/>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1.8重量≤145kg；</w:t>
            </w:r>
          </w:p>
          <w:p>
            <w:pPr>
              <w:pageBreakBefore w:val="0"/>
              <w:kinsoku/>
              <w:overflowPunct/>
              <w:topLinePunct w:val="0"/>
              <w:autoSpaceDE/>
              <w:autoSpaceDN/>
              <w:bidi w:val="0"/>
              <w:spacing w:line="32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1.9输入电源功率：1kW（2kVA）</w:t>
            </w:r>
            <w:r>
              <w:rPr>
                <w:rFonts w:hint="eastAsia" w:ascii="宋体" w:hAnsi="宋体" w:cs="宋体"/>
                <w:sz w:val="21"/>
                <w:szCs w:val="21"/>
                <w:highlight w:val="none"/>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2、产品配置</w:t>
            </w:r>
            <w:r>
              <w:rPr>
                <w:rFonts w:hint="eastAsia" w:ascii="宋体" w:hAnsi="宋体" w:cs="宋体"/>
                <w:sz w:val="21"/>
                <w:szCs w:val="21"/>
                <w:highlight w:val="none"/>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2.1机械臂本体1个</w:t>
            </w:r>
            <w:r>
              <w:rPr>
                <w:rFonts w:hint="eastAsia" w:ascii="宋体" w:hAnsi="宋体" w:cs="宋体"/>
                <w:sz w:val="21"/>
                <w:szCs w:val="21"/>
                <w:highlight w:val="none"/>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2.2机械臂主机1各</w:t>
            </w:r>
            <w:r>
              <w:rPr>
                <w:rFonts w:hint="eastAsia" w:ascii="宋体" w:hAnsi="宋体" w:cs="宋体"/>
                <w:sz w:val="21"/>
                <w:szCs w:val="21"/>
                <w:highlight w:val="none"/>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2.3机械臂示教器1套</w:t>
            </w:r>
            <w:r>
              <w:rPr>
                <w:rFonts w:hint="eastAsia" w:ascii="宋体" w:hAnsi="宋体" w:cs="宋体"/>
                <w:sz w:val="21"/>
                <w:szCs w:val="21"/>
                <w:highlight w:val="none"/>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2.4机械臂线缆器件1套</w:t>
            </w:r>
            <w:r>
              <w:rPr>
                <w:rFonts w:hint="eastAsia" w:ascii="宋体" w:hAnsi="宋体" w:cs="宋体"/>
                <w:sz w:val="21"/>
                <w:szCs w:val="21"/>
                <w:highlight w:val="none"/>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2.5</w:t>
            </w:r>
            <w:r>
              <w:rPr>
                <w:rFonts w:hint="eastAsia" w:ascii="宋体" w:hAnsi="宋体" w:cs="宋体"/>
                <w:sz w:val="21"/>
                <w:szCs w:val="21"/>
                <w:highlight w:val="none"/>
                <w:lang w:val="en-US" w:eastAsia="zh-CN"/>
              </w:rPr>
              <w:t>一体机（主流品牌，商用机，intel i5 12代， 内存16G，硬盘512GB SSD  预装正版win10专业版或企业版（有微软授权证书或序列号））</w:t>
            </w:r>
            <w:r>
              <w:rPr>
                <w:rFonts w:hint="eastAsia" w:ascii="宋体" w:hAnsi="宋体" w:eastAsia="宋体" w:cs="宋体"/>
                <w:b w:val="0"/>
                <w:bCs w:val="0"/>
                <w:kern w:val="2"/>
                <w:sz w:val="21"/>
                <w:szCs w:val="21"/>
                <w:highlight w:val="none"/>
                <w:lang w:val="en-US" w:eastAsia="zh-CN" w:bidi="ar-SA"/>
              </w:rPr>
              <w:t>1台</w:t>
            </w:r>
            <w:r>
              <w:rPr>
                <w:rFonts w:hint="eastAsia" w:ascii="宋体" w:hAnsi="宋体" w:cs="宋体"/>
                <w:b w:val="0"/>
                <w:bCs w:val="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9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rPr>
              <w:t>备  注</w:t>
            </w:r>
          </w:p>
        </w:tc>
        <w:tc>
          <w:tcPr>
            <w:tcW w:w="8016"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ageBreakBefore w:val="0"/>
        <w:kinsoku/>
        <w:overflowPunct/>
        <w:topLinePunct w:val="0"/>
        <w:autoSpaceDE/>
        <w:autoSpaceDN/>
        <w:bidi w:val="0"/>
        <w:snapToGrid w:val="0"/>
        <w:spacing w:line="320" w:lineRule="exact"/>
        <w:outlineLvl w:val="0"/>
        <w:rPr>
          <w:rFonts w:hint="eastAsia" w:ascii="宋体" w:hAnsi="宋体" w:eastAsia="宋体" w:cs="宋体"/>
          <w:b/>
          <w:color w:val="auto"/>
          <w:sz w:val="21"/>
          <w:szCs w:val="21"/>
          <w:highlight w:val="none"/>
        </w:rPr>
      </w:pPr>
    </w:p>
    <w:tbl>
      <w:tblPr>
        <w:tblStyle w:val="37"/>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6、工业机器人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PE燃气管道缺陷太赫兹研究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8126" w:type="dxa"/>
            <w:tcBorders>
              <w:top w:val="single" w:color="auto" w:sz="4" w:space="0"/>
              <w:left w:val="single" w:color="auto" w:sz="4" w:space="0"/>
              <w:bottom w:val="single" w:color="auto" w:sz="4" w:space="0"/>
              <w:right w:val="single" w:color="auto" w:sz="4" w:space="0"/>
            </w:tcBorders>
            <w:noWrap/>
          </w:tcPr>
          <w:p>
            <w:pPr>
              <w:pageBreakBefore w:val="0"/>
              <w:numPr>
                <w:ilvl w:val="0"/>
                <w:numId w:val="13"/>
              </w:numPr>
              <w:kinsoku/>
              <w:overflowPunct/>
              <w:topLinePunct w:val="0"/>
              <w:autoSpaceDE/>
              <w:autoSpaceDN/>
              <w:bidi w:val="0"/>
              <w:spacing w:line="320" w:lineRule="exact"/>
              <w:ind w:left="0"/>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cs="宋体"/>
                <w:sz w:val="21"/>
                <w:szCs w:val="21"/>
                <w:lang w:val="en-US" w:eastAsia="zh-CN"/>
              </w:rPr>
              <w:t>工业</w:t>
            </w:r>
            <w:r>
              <w:rPr>
                <w:rFonts w:hint="eastAsia" w:ascii="宋体" w:hAnsi="宋体" w:eastAsia="宋体" w:cs="宋体"/>
                <w:bCs/>
                <w:sz w:val="21"/>
                <w:szCs w:val="21"/>
              </w:rPr>
              <w:t>机器人</w:t>
            </w:r>
            <w:r>
              <w:rPr>
                <w:rFonts w:hint="eastAsia" w:ascii="宋体" w:hAnsi="宋体" w:eastAsia="宋体" w:cs="宋体"/>
                <w:sz w:val="21"/>
                <w:szCs w:val="21"/>
              </w:rPr>
              <w:t>1套</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1、设备技术参数：</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1.1控制轴数≥6轴；</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1.2手腕可搬运质量≥20kg；</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★1.3重复定位精度：±0.05mm</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1.4本体质量≤220kg</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1.5可达半径≥1722mm</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1.6本体防护等级：IP54/ IP67（ 手腕）</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1.7控制柜防护等级: IP43</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1.8驱动方式：AC伺服驱动</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1.9安装方式：地面、顶吊、壁挂</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2、产品配置</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2.1机械臂本体1个</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2.2机械臂主机1个</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2.3机械臂示教器1套</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2.4机械臂线缆器件1套</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val="en-US" w:eastAsia="zh-CN"/>
              </w:rPr>
              <w:t>2.5</w:t>
            </w:r>
            <w:r>
              <w:rPr>
                <w:rFonts w:hint="eastAsia" w:ascii="宋体" w:hAnsi="宋体" w:cs="宋体"/>
                <w:sz w:val="21"/>
                <w:szCs w:val="21"/>
                <w:lang w:val="en-US" w:eastAsia="zh-CN"/>
              </w:rPr>
              <w:t>一体机（主流品牌，商用机，intel i5 12代， 内存16G，硬盘512GB SSD  预装正版win10专业版或企业版（有微软授权证书或序列号））</w:t>
            </w:r>
            <w:r>
              <w:rPr>
                <w:rFonts w:hint="eastAsia" w:ascii="宋体" w:hAnsi="宋体" w:eastAsia="宋体" w:cs="宋体"/>
                <w:sz w:val="21"/>
                <w:szCs w:val="21"/>
                <w:lang w:val="en-US" w:eastAsia="zh-CN"/>
              </w:rPr>
              <w:t>1台</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126"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napToGrid w:val="0"/>
                <w:kern w:val="0"/>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ageBreakBefore w:val="0"/>
        <w:kinsoku/>
        <w:overflowPunct/>
        <w:topLinePunct w:val="0"/>
        <w:autoSpaceDE/>
        <w:autoSpaceDN/>
        <w:bidi w:val="0"/>
        <w:snapToGrid w:val="0"/>
        <w:spacing w:line="320" w:lineRule="exact"/>
        <w:outlineLvl w:val="0"/>
        <w:rPr>
          <w:rFonts w:hint="eastAsia" w:ascii="宋体" w:hAnsi="宋体" w:eastAsia="宋体" w:cs="宋体"/>
          <w:b/>
          <w:color w:val="auto"/>
          <w:sz w:val="21"/>
          <w:szCs w:val="21"/>
          <w:highlight w:val="none"/>
        </w:rPr>
      </w:pPr>
    </w:p>
    <w:tbl>
      <w:tblPr>
        <w:tblStyle w:val="37"/>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default" w:ascii="宋体" w:hAnsi="宋体" w:eastAsia="宋体" w:cs="宋体"/>
                <w:sz w:val="21"/>
                <w:szCs w:val="21"/>
                <w:lang w:val="en-US"/>
              </w:rPr>
            </w:pPr>
            <w:r>
              <w:rPr>
                <w:rFonts w:hint="eastAsia" w:ascii="宋体" w:hAnsi="宋体" w:eastAsia="宋体" w:cs="宋体"/>
                <w:sz w:val="21"/>
                <w:szCs w:val="21"/>
                <w:vertAlign w:val="baseline"/>
                <w:lang w:val="en-US" w:eastAsia="zh-CN"/>
              </w:rPr>
              <w:t>7、</w:t>
            </w:r>
            <w:r>
              <w:rPr>
                <w:rFonts w:hint="eastAsia" w:ascii="宋体" w:hAnsi="宋体" w:cs="宋体"/>
                <w:sz w:val="21"/>
                <w:szCs w:val="21"/>
                <w:vertAlign w:val="baseline"/>
                <w:lang w:val="en-US" w:eastAsia="zh-CN"/>
              </w:rPr>
              <w:t>智能搬运机械手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PE燃气管道缺陷太赫兹研究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9"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技术指标要求</w:t>
            </w:r>
          </w:p>
        </w:tc>
        <w:tc>
          <w:tcPr>
            <w:tcW w:w="8126" w:type="dxa"/>
            <w:tcBorders>
              <w:top w:val="single" w:color="auto" w:sz="4" w:space="0"/>
              <w:left w:val="single" w:color="auto" w:sz="4" w:space="0"/>
              <w:bottom w:val="single" w:color="auto" w:sz="4" w:space="0"/>
              <w:right w:val="single" w:color="auto" w:sz="4" w:space="0"/>
            </w:tcBorders>
            <w:noWra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cs="宋体"/>
                <w:sz w:val="21"/>
                <w:szCs w:val="21"/>
                <w:lang w:val="en-US" w:eastAsia="zh-CN"/>
              </w:rPr>
              <w:t>智能搬运机械手</w:t>
            </w:r>
            <w:r>
              <w:rPr>
                <w:rFonts w:hint="eastAsia" w:ascii="宋体" w:hAnsi="宋体" w:eastAsia="宋体" w:cs="宋体"/>
                <w:sz w:val="21"/>
                <w:szCs w:val="21"/>
              </w:rPr>
              <w:t>1套</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1、产品性能</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1.1高惯量，可适应多种形态的负载</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1.2集成便捷，支持Profinet、Ethercat等主流总线通讯，便于应用集成</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1.3维护成本低 本体采用模块化设计，保证后续维护更加便捷、成本更低</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2、设备技术参数：</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2.1安装方式：地面安装；</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2.2最大搬运负载≥12kg</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★2.3最大臂展≥1510mm</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2.4本体重量≤170kg</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2.5重复定位精度：±0.03mm</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2.6防护等级：主体部分IP54，手腕部分IP65</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3、产品配置</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3.1机械臂本体1个</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3.2机械臂主机1个</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3.3机械臂示教器1套</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3.4机械臂线缆器件1套</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val="en-US" w:eastAsia="zh-CN"/>
              </w:rPr>
              <w:t>3.5</w:t>
            </w:r>
            <w:r>
              <w:rPr>
                <w:rFonts w:hint="eastAsia" w:ascii="宋体" w:hAnsi="宋体" w:cs="宋体"/>
                <w:sz w:val="21"/>
                <w:szCs w:val="21"/>
                <w:lang w:val="en-US" w:eastAsia="zh-CN"/>
              </w:rPr>
              <w:t>一体机（主流品牌，商用机，intel i5 12代， 内存16G，硬盘512GB SSD  预装正版win10专业版或企业版（有微软授权证书或序列号））</w:t>
            </w:r>
            <w:r>
              <w:rPr>
                <w:rFonts w:hint="eastAsia" w:ascii="宋体" w:hAnsi="宋体" w:eastAsia="宋体" w:cs="宋体"/>
                <w:sz w:val="21"/>
                <w:szCs w:val="21"/>
                <w:lang w:val="en-US" w:eastAsia="zh-CN"/>
              </w:rPr>
              <w:t>1台</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126"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napToGrid w:val="0"/>
                <w:kern w:val="0"/>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ageBreakBefore w:val="0"/>
        <w:kinsoku/>
        <w:overflowPunct/>
        <w:topLinePunct w:val="0"/>
        <w:autoSpaceDE/>
        <w:autoSpaceDN/>
        <w:bidi w:val="0"/>
        <w:snapToGrid w:val="0"/>
        <w:spacing w:line="320" w:lineRule="exact"/>
        <w:outlineLvl w:val="0"/>
        <w:rPr>
          <w:rFonts w:hint="eastAsia" w:ascii="宋体" w:hAnsi="宋体" w:eastAsia="宋体" w:cs="宋体"/>
          <w:b/>
          <w:color w:val="auto"/>
          <w:sz w:val="21"/>
          <w:szCs w:val="21"/>
          <w:highlight w:val="none"/>
        </w:rPr>
      </w:pPr>
    </w:p>
    <w:p>
      <w:pPr>
        <w:pageBreakBefore w:val="0"/>
        <w:kinsoku/>
        <w:overflowPunct/>
        <w:topLinePunct w:val="0"/>
        <w:autoSpaceDE/>
        <w:autoSpaceDN/>
        <w:bidi w:val="0"/>
        <w:snapToGrid w:val="0"/>
        <w:spacing w:line="320" w:lineRule="exact"/>
        <w:outlineLvl w:val="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标项五</w:t>
      </w:r>
      <w:r>
        <w:rPr>
          <w:rFonts w:hint="eastAsia" w:ascii="宋体" w:hAnsi="宋体" w:eastAsia="宋体" w:cs="宋体"/>
          <w:b/>
          <w:bCs/>
          <w:color w:val="auto"/>
          <w:sz w:val="21"/>
          <w:szCs w:val="21"/>
          <w:highlight w:val="none"/>
        </w:rPr>
        <w:t xml:space="preserve"> </w:t>
      </w:r>
    </w:p>
    <w:p>
      <w:pPr>
        <w:pageBreakBefore w:val="0"/>
        <w:kinsoku/>
        <w:overflowPunct/>
        <w:topLinePunct w:val="0"/>
        <w:autoSpaceDE/>
        <w:autoSpaceDN/>
        <w:bidi w:val="0"/>
        <w:spacing w:line="320" w:lineRule="exac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一、名称、规格、性能参数要求如下</w:t>
      </w:r>
    </w:p>
    <w:tbl>
      <w:tblPr>
        <w:tblStyle w:val="37"/>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电磁扰动检测设备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用于</w:t>
            </w:r>
            <w:r>
              <w:rPr>
                <w:rFonts w:hint="eastAsia" w:ascii="宋体" w:hAnsi="宋体" w:eastAsia="宋体" w:cs="宋体"/>
                <w:sz w:val="21"/>
                <w:szCs w:val="21"/>
                <w:vertAlign w:val="baseline"/>
                <w:lang w:val="en-US" w:eastAsia="zh-CN"/>
              </w:rPr>
              <w:t>不打磨检测压力容器埋藏和内表面腐蚀、开裂等缺陷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7"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8126" w:type="dxa"/>
            <w:tcBorders>
              <w:top w:val="single" w:color="auto" w:sz="4" w:space="0"/>
              <w:left w:val="single" w:color="auto" w:sz="4" w:space="0"/>
              <w:bottom w:val="single" w:color="auto" w:sz="4" w:space="0"/>
              <w:right w:val="single" w:color="auto" w:sz="4" w:space="0"/>
            </w:tcBorders>
            <w:noWrap/>
          </w:tcPr>
          <w:p>
            <w:pPr>
              <w:pageBreakBefore w:val="0"/>
              <w:numPr>
                <w:ilvl w:val="0"/>
                <w:numId w:val="14"/>
              </w:numPr>
              <w:kinsoku/>
              <w:overflowPunct/>
              <w:topLinePunct w:val="0"/>
              <w:autoSpaceDE/>
              <w:autoSpaceDN/>
              <w:bidi w:val="0"/>
              <w:spacing w:line="320" w:lineRule="exact"/>
              <w:ind w:left="0"/>
              <w:rPr>
                <w:rFonts w:hint="eastAsia" w:ascii="宋体" w:hAnsi="宋体" w:eastAsia="宋体" w:cs="宋体"/>
                <w:sz w:val="21"/>
                <w:szCs w:val="21"/>
              </w:rPr>
            </w:pPr>
            <w:r>
              <w:rPr>
                <w:rFonts w:hint="eastAsia" w:ascii="宋体" w:hAnsi="宋体" w:eastAsia="宋体" w:cs="宋体"/>
                <w:sz w:val="21"/>
                <w:szCs w:val="21"/>
              </w:rPr>
              <w:t>一、电磁扰动检测设备1套</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1、设备技术参数：</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.1适用范围：</w:t>
            </w:r>
          </w:p>
          <w:p>
            <w:pPr>
              <w:pageBreakBefore w:val="0"/>
              <w:kinsoku/>
              <w:overflowPunct/>
              <w:topLinePunct w:val="0"/>
              <w:autoSpaceDE/>
              <w:autoSpaceDN/>
              <w:bidi w:val="0"/>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铁磁性金属材料，厚度不超过20mm；</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检测功能：</w:t>
            </w:r>
          </w:p>
          <w:p>
            <w:pPr>
              <w:pageBreakBefore w:val="0"/>
              <w:kinsoku/>
              <w:overflowPunct/>
              <w:topLinePunct w:val="0"/>
              <w:autoSpaceDE/>
              <w:autoSpaceDN/>
              <w:bidi w:val="0"/>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不打磨检测外表面、埋藏和内表面腐蚀与开裂等缺陷；</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提离高度（检测表面油漆层厚度）： 2mm；</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cs="宋体"/>
                <w:bCs/>
                <w:color w:val="auto"/>
                <w:sz w:val="21"/>
                <w:szCs w:val="21"/>
                <w:highlight w:val="none"/>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检测灵敏度：</w:t>
            </w:r>
          </w:p>
          <w:p>
            <w:pPr>
              <w:pageBreakBefore w:val="0"/>
              <w:kinsoku/>
              <w:overflowPunct/>
              <w:topLinePunct w:val="0"/>
              <w:autoSpaceDE/>
              <w:autoSpaceDN/>
              <w:bidi w:val="0"/>
              <w:spacing w:line="320" w:lineRule="exact"/>
              <w:ind w:firstLine="630" w:firstLineChars="300"/>
              <w:rPr>
                <w:rFonts w:hint="eastAsia" w:ascii="宋体" w:hAnsi="宋体" w:eastAsia="宋体" w:cs="宋体"/>
                <w:sz w:val="21"/>
                <w:szCs w:val="21"/>
                <w:lang w:eastAsia="zh-CN"/>
              </w:rPr>
            </w:pPr>
            <w:r>
              <w:rPr>
                <w:rFonts w:hint="eastAsia" w:ascii="宋体" w:hAnsi="宋体" w:eastAsia="宋体" w:cs="宋体"/>
                <w:sz w:val="21"/>
                <w:szCs w:val="21"/>
              </w:rPr>
              <w:t>20mm铁磁性金属材料</w:t>
            </w:r>
            <w:r>
              <w:rPr>
                <w:rFonts w:hint="eastAsia" w:ascii="宋体" w:hAnsi="宋体" w:cs="宋体"/>
                <w:sz w:val="21"/>
                <w:szCs w:val="21"/>
                <w:lang w:eastAsia="zh-CN"/>
              </w:rPr>
              <w:t>；</w:t>
            </w:r>
          </w:p>
          <w:p>
            <w:pPr>
              <w:pageBreakBefore w:val="0"/>
              <w:kinsoku/>
              <w:overflowPunct/>
              <w:topLinePunct w:val="0"/>
              <w:autoSpaceDE/>
              <w:autoSpaceDN/>
              <w:bidi w:val="0"/>
              <w:spacing w:line="32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内表面10mm长*2mm宽*2mm高刻槽，或者20%壁厚标准球形孔；</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通道数：2通道，可扩展；</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设备重量：不大于8kg；</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磁化强度：同等腐蚀缺陷漏磁检出条件，饱和磁化的60%；</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显示模式：波形显示、带状图显示；</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显示屏幕：不小于7英寸；</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接口：USB、蓝牙、RS485；</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供电模式：电池；</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连续工作时间：电池供电不小于4小时。</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 xml:space="preserve">2、其它： </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.1提供检测样品一套；</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提供备用电源一套；</w:t>
            </w:r>
          </w:p>
          <w:p>
            <w:pPr>
              <w:pageBreakBefore w:val="0"/>
              <w:kinsoku/>
              <w:overflowPunct/>
              <w:topLinePunct w:val="0"/>
              <w:autoSpaceDE/>
              <w:autoSpaceDN/>
              <w:bidi w:val="0"/>
              <w:spacing w:line="320" w:lineRule="exact"/>
              <w:rPr>
                <w:rFonts w:hint="eastAsia" w:ascii="宋体" w:hAnsi="宋体" w:eastAsia="宋体" w:cs="宋体"/>
                <w:color w:val="auto"/>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auto"/>
                <w:sz w:val="21"/>
                <w:szCs w:val="21"/>
                <w:highlight w:val="none"/>
              </w:rPr>
              <w:t>非自产设备投标商需</w:t>
            </w:r>
            <w:r>
              <w:rPr>
                <w:rFonts w:hint="eastAsia" w:ascii="宋体" w:hAnsi="宋体" w:cs="宋体"/>
                <w:color w:val="auto"/>
                <w:sz w:val="21"/>
                <w:szCs w:val="21"/>
                <w:highlight w:val="none"/>
                <w:lang w:eastAsia="zh-CN"/>
              </w:rPr>
              <w:t>在中标后提供</w:t>
            </w:r>
            <w:r>
              <w:rPr>
                <w:rFonts w:hint="eastAsia" w:ascii="宋体" w:hAnsi="宋体" w:eastAsia="宋体" w:cs="宋体"/>
                <w:color w:val="auto"/>
                <w:sz w:val="21"/>
                <w:szCs w:val="21"/>
                <w:highlight w:val="none"/>
              </w:rPr>
              <w:t>生产厂家针对本</w:t>
            </w:r>
            <w:r>
              <w:rPr>
                <w:rFonts w:hint="eastAsia" w:ascii="宋体" w:hAnsi="宋体" w:cs="宋体"/>
                <w:color w:val="auto"/>
                <w:sz w:val="21"/>
                <w:szCs w:val="21"/>
                <w:highlight w:val="none"/>
                <w:lang w:eastAsia="zh-CN"/>
              </w:rPr>
              <w:t>产品</w:t>
            </w:r>
            <w:r>
              <w:rPr>
                <w:rFonts w:hint="eastAsia" w:ascii="宋体" w:hAnsi="宋体" w:eastAsia="宋体" w:cs="宋体"/>
                <w:color w:val="auto"/>
                <w:sz w:val="21"/>
                <w:szCs w:val="21"/>
                <w:highlight w:val="none"/>
              </w:rPr>
              <w:t>的授权；</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投标商需免费提供培训；</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b w:val="0"/>
                <w:bCs w:val="0"/>
                <w:kern w:val="2"/>
                <w:sz w:val="21"/>
                <w:szCs w:val="21"/>
                <w:lang w:val="en-US" w:eastAsia="zh-CN" w:bidi="ar-SA"/>
              </w:rPr>
              <w:t>2.5</w:t>
            </w:r>
            <w:r>
              <w:rPr>
                <w:rFonts w:hint="eastAsia" w:ascii="宋体" w:hAnsi="宋体" w:cs="宋体"/>
                <w:b w:val="0"/>
                <w:bCs w:val="0"/>
                <w:kern w:val="2"/>
                <w:sz w:val="21"/>
                <w:szCs w:val="21"/>
                <w:lang w:val="en-US" w:eastAsia="zh-CN" w:bidi="ar-SA"/>
              </w:rPr>
              <w:t>一体机（主流品牌，商用机，intel i5 12代， 内存16G，硬盘512GB SSD  预装正版win10专业版或企业版（有微软授权证书或序列号））</w:t>
            </w:r>
            <w:r>
              <w:rPr>
                <w:rFonts w:hint="eastAsia" w:ascii="宋体" w:hAnsi="宋体" w:eastAsia="宋体" w:cs="宋体"/>
                <w:b w:val="0"/>
                <w:bCs w:val="0"/>
                <w:kern w:val="2"/>
                <w:sz w:val="21"/>
                <w:szCs w:val="21"/>
                <w:lang w:val="en-US" w:eastAsia="zh-CN" w:bidi="ar-SA"/>
              </w:rPr>
              <w:t>10台</w:t>
            </w:r>
            <w:r>
              <w:rPr>
                <w:rFonts w:hint="eastAsia" w:ascii="宋体" w:hAnsi="宋体" w:cs="宋体"/>
                <w:b w:val="0"/>
                <w:bCs w:val="0"/>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126"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ageBreakBefore w:val="0"/>
        <w:kinsoku/>
        <w:overflowPunct/>
        <w:topLinePunct w:val="0"/>
        <w:autoSpaceDE/>
        <w:autoSpaceDN/>
        <w:bidi w:val="0"/>
        <w:snapToGrid w:val="0"/>
        <w:spacing w:line="320" w:lineRule="exact"/>
        <w:outlineLvl w:val="0"/>
        <w:rPr>
          <w:rFonts w:hint="eastAsia" w:ascii="宋体" w:hAnsi="宋体" w:eastAsia="宋体" w:cs="宋体"/>
          <w:b/>
          <w:color w:val="auto"/>
          <w:sz w:val="21"/>
          <w:szCs w:val="21"/>
          <w:highlight w:val="none"/>
        </w:rPr>
      </w:pPr>
    </w:p>
    <w:p>
      <w:pPr>
        <w:pageBreakBefore w:val="0"/>
        <w:kinsoku/>
        <w:overflowPunct/>
        <w:topLinePunct w:val="0"/>
        <w:autoSpaceDE/>
        <w:autoSpaceDN/>
        <w:bidi w:val="0"/>
        <w:snapToGrid w:val="0"/>
        <w:spacing w:line="320" w:lineRule="exact"/>
        <w:outlineLvl w:val="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标项六</w:t>
      </w:r>
      <w:r>
        <w:rPr>
          <w:rFonts w:hint="eastAsia" w:ascii="宋体" w:hAnsi="宋体" w:eastAsia="宋体" w:cs="宋体"/>
          <w:b/>
          <w:bCs/>
          <w:color w:val="auto"/>
          <w:sz w:val="21"/>
          <w:szCs w:val="21"/>
          <w:highlight w:val="none"/>
        </w:rPr>
        <w:t xml:space="preserve"> </w:t>
      </w:r>
    </w:p>
    <w:p>
      <w:pPr>
        <w:pageBreakBefore w:val="0"/>
        <w:kinsoku/>
        <w:overflowPunct/>
        <w:topLinePunct w:val="0"/>
        <w:autoSpaceDE/>
        <w:autoSpaceDN/>
        <w:bidi w:val="0"/>
        <w:spacing w:line="320" w:lineRule="exac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一、名称、规格、性能参数要求如下</w:t>
      </w:r>
    </w:p>
    <w:tbl>
      <w:tblPr>
        <w:tblStyle w:val="37"/>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bCs/>
                <w:sz w:val="21"/>
                <w:szCs w:val="21"/>
                <w:lang w:val="en-US" w:eastAsia="zh-CN"/>
              </w:rPr>
              <w:t>●1、交流电磁场</w:t>
            </w:r>
            <w:r>
              <w:rPr>
                <w:rFonts w:hint="eastAsia" w:ascii="宋体" w:hAnsi="宋体" w:eastAsia="宋体" w:cs="宋体"/>
                <w:sz w:val="21"/>
                <w:szCs w:val="21"/>
                <w:vertAlign w:val="baseline"/>
              </w:rPr>
              <w:t>（ACFM）</w:t>
            </w:r>
            <w:r>
              <w:rPr>
                <w:rFonts w:hint="eastAsia" w:ascii="宋体" w:hAnsi="宋体" w:eastAsia="宋体" w:cs="宋体"/>
                <w:bCs/>
                <w:sz w:val="21"/>
                <w:szCs w:val="21"/>
                <w:lang w:val="en-US" w:eastAsia="zh-CN"/>
              </w:rPr>
              <w:t>检测仪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用于</w:t>
            </w:r>
            <w:r>
              <w:rPr>
                <w:rFonts w:hint="eastAsia" w:ascii="宋体" w:hAnsi="宋体" w:eastAsia="宋体" w:cs="宋体"/>
                <w:sz w:val="21"/>
                <w:szCs w:val="21"/>
                <w:lang w:val="en-US" w:eastAsia="zh-CN"/>
              </w:rPr>
              <w:t>导电性材料的表面近表面缺陷的高温检测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3"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8126" w:type="dxa"/>
            <w:tcBorders>
              <w:top w:val="single" w:color="auto" w:sz="4" w:space="0"/>
              <w:left w:val="single" w:color="auto" w:sz="4" w:space="0"/>
              <w:bottom w:val="single" w:color="auto" w:sz="4" w:space="0"/>
              <w:right w:val="single" w:color="auto" w:sz="4" w:space="0"/>
            </w:tcBorders>
            <w:noWra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val="en-US" w:eastAsia="zh-CN"/>
              </w:rPr>
              <w:t>一、</w:t>
            </w:r>
            <w:r>
              <w:rPr>
                <w:rFonts w:hint="eastAsia" w:ascii="宋体" w:hAnsi="宋体" w:eastAsia="宋体" w:cs="宋体"/>
                <w:sz w:val="21"/>
                <w:szCs w:val="21"/>
              </w:rPr>
              <w:t>设备技术参数：</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eastAsia="宋体" w:cs="宋体"/>
                <w:sz w:val="21"/>
                <w:szCs w:val="21"/>
                <w:lang w:val="zh-CN"/>
              </w:rPr>
              <w:t xml:space="preserve">1、适用材料：铁磁性和非铁磁性等所有导电体材料表面及近表面缺陷检测；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eastAsia="宋体" w:cs="宋体"/>
                <w:sz w:val="21"/>
                <w:szCs w:val="21"/>
              </w:rPr>
              <w:t>★</w:t>
            </w:r>
            <w:r>
              <w:rPr>
                <w:rFonts w:hint="eastAsia" w:ascii="宋体" w:hAnsi="宋体" w:eastAsia="宋体" w:cs="宋体"/>
                <w:sz w:val="21"/>
                <w:szCs w:val="21"/>
                <w:lang w:val="zh-CN"/>
              </w:rPr>
              <w:t xml:space="preserve">2、主机系统：主机采用Windows10操作系统，集笔记本电脑、平板电脑两用于一体化设计；可做笔记本电脑使用，检测现场更方便对检测结果分析、处理、出具检测报告；又可做平板电脑使用，现场检测操作更方便快捷；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eastAsia="宋体" w:cs="宋体"/>
                <w:sz w:val="21"/>
                <w:szCs w:val="21"/>
                <w:lang w:val="zh-CN"/>
              </w:rPr>
              <w:t xml:space="preserve">3、显示屏：11.6in多点触控显示屏（长280mm*宽200mm），强光下可清晰显示；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eastAsia="宋体" w:cs="宋体"/>
                <w:sz w:val="21"/>
                <w:szCs w:val="21"/>
                <w:lang w:val="zh-CN"/>
              </w:rPr>
              <w:t xml:space="preserve">4、存储：256GB；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eastAsia="宋体" w:cs="宋体"/>
                <w:sz w:val="21"/>
                <w:szCs w:val="21"/>
              </w:rPr>
              <w:t>★</w:t>
            </w:r>
            <w:r>
              <w:rPr>
                <w:rFonts w:hint="eastAsia" w:ascii="宋体" w:hAnsi="宋体" w:eastAsia="宋体" w:cs="宋体"/>
                <w:sz w:val="21"/>
                <w:szCs w:val="21"/>
                <w:lang w:val="zh-CN"/>
              </w:rPr>
              <w:t xml:space="preserve">5、键盘：LED操作键盘背光灯；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eastAsia="宋体" w:cs="宋体"/>
                <w:sz w:val="21"/>
                <w:szCs w:val="21"/>
              </w:rPr>
              <w:t>★</w:t>
            </w:r>
            <w:r>
              <w:rPr>
                <w:rFonts w:hint="eastAsia" w:ascii="宋体" w:hAnsi="宋体" w:eastAsia="宋体" w:cs="宋体"/>
                <w:sz w:val="21"/>
                <w:szCs w:val="21"/>
                <w:lang w:val="zh-CN"/>
              </w:rPr>
              <w:t xml:space="preserve">6、触控屏：显示屏多点触控、触控板多点触控、USB连接鼠标控制；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eastAsia="宋体" w:cs="宋体"/>
                <w:sz w:val="21"/>
                <w:szCs w:val="21"/>
              </w:rPr>
              <w:t>★</w:t>
            </w:r>
            <w:r>
              <w:rPr>
                <w:rFonts w:hint="eastAsia" w:ascii="宋体" w:hAnsi="宋体" w:eastAsia="宋体" w:cs="宋体"/>
                <w:sz w:val="21"/>
                <w:szCs w:val="21"/>
                <w:lang w:val="zh-CN"/>
              </w:rPr>
              <w:t xml:space="preserve">7、摄像：800万像素高清摄像头；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eastAsia="宋体" w:cs="宋体"/>
                <w:sz w:val="21"/>
                <w:szCs w:val="21"/>
                <w:lang w:val="zh-CN"/>
              </w:rPr>
              <w:t xml:space="preserve">8、连接：蓝牙连接、USB接口连接；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cs="宋体"/>
                <w:bCs/>
                <w:color w:val="auto"/>
                <w:sz w:val="21"/>
                <w:szCs w:val="21"/>
                <w:highlight w:val="none"/>
              </w:rPr>
              <w:t>▲</w:t>
            </w:r>
            <w:r>
              <w:rPr>
                <w:rFonts w:hint="eastAsia" w:ascii="宋体" w:hAnsi="宋体" w:eastAsia="宋体" w:cs="宋体"/>
                <w:sz w:val="21"/>
                <w:szCs w:val="21"/>
                <w:lang w:val="zh-CN"/>
              </w:rPr>
              <w:t>9、检测缺陷大小：长≥3mm、深≥0.5mm；（A1型15\100磁粉试片缺陷；A型、B型渗透试块缺陷可检出），裂纹深度测量范围：0.5mm-35mm</w:t>
            </w:r>
            <w:r>
              <w:rPr>
                <w:rFonts w:hint="eastAsia" w:ascii="宋体" w:hAnsi="宋体" w:cs="宋体"/>
                <w:sz w:val="21"/>
                <w:szCs w:val="21"/>
                <w:lang w:val="zh-CN"/>
              </w:rPr>
              <w:t>；</w:t>
            </w:r>
            <w:r>
              <w:rPr>
                <w:rFonts w:hint="eastAsia" w:ascii="宋体" w:hAnsi="宋体" w:eastAsia="宋体" w:cs="宋体"/>
                <w:sz w:val="21"/>
                <w:szCs w:val="21"/>
                <w:lang w:val="zh-CN"/>
              </w:rPr>
              <w:t xml:space="preserve">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eastAsia="宋体" w:cs="宋体"/>
                <w:sz w:val="21"/>
                <w:szCs w:val="21"/>
              </w:rPr>
              <w:t>★</w:t>
            </w:r>
            <w:r>
              <w:rPr>
                <w:rFonts w:hint="eastAsia" w:ascii="宋体" w:hAnsi="宋体" w:eastAsia="宋体" w:cs="宋体"/>
                <w:sz w:val="21"/>
                <w:szCs w:val="21"/>
                <w:lang w:val="zh-CN"/>
              </w:rPr>
              <w:t xml:space="preserve">10、检测近表面埋深缺陷深度：碳钢3mm、不锈钢5mm、铝10mm；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cs="宋体"/>
                <w:bCs/>
                <w:color w:val="auto"/>
                <w:sz w:val="21"/>
                <w:szCs w:val="21"/>
                <w:highlight w:val="none"/>
              </w:rPr>
              <w:t>▲</w:t>
            </w:r>
            <w:r>
              <w:rPr>
                <w:rFonts w:hint="eastAsia" w:ascii="宋体" w:hAnsi="宋体" w:eastAsia="宋体" w:cs="宋体"/>
                <w:sz w:val="21"/>
                <w:szCs w:val="21"/>
                <w:lang w:val="zh-CN"/>
              </w:rPr>
              <w:t xml:space="preserve">11、穿透涂层厚度：≤10mm（涂层、油漆层、环氧树脂胶层、沥青层等非导电体材料涂层）；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eastAsia="宋体" w:cs="宋体"/>
                <w:sz w:val="21"/>
                <w:szCs w:val="21"/>
                <w:lang w:val="zh-CN"/>
              </w:rPr>
              <w:t xml:space="preserve">12、检出率：≥90%；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eastAsia="宋体" w:cs="宋体"/>
                <w:sz w:val="21"/>
                <w:szCs w:val="21"/>
                <w:lang w:val="zh-CN"/>
              </w:rPr>
              <w:t xml:space="preserve">13、扫查速度：5—40mm/s；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eastAsia="宋体" w:cs="宋体"/>
                <w:sz w:val="21"/>
                <w:szCs w:val="21"/>
                <w:lang w:val="zh-CN"/>
              </w:rPr>
              <w:t xml:space="preserve">14、边缘效应区域：＜20mm；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eastAsia="宋体" w:cs="宋体"/>
                <w:sz w:val="21"/>
                <w:szCs w:val="21"/>
                <w:lang w:val="zh-CN"/>
              </w:rPr>
              <w:t>15、</w:t>
            </w:r>
            <w:r>
              <w:rPr>
                <w:rFonts w:hint="eastAsia" w:ascii="宋体" w:hAnsi="宋体" w:eastAsia="宋体" w:cs="宋体"/>
                <w:sz w:val="21"/>
                <w:szCs w:val="21"/>
                <w:lang w:val="en-US" w:eastAsia="zh-CN"/>
              </w:rPr>
              <w:t>物理</w:t>
            </w:r>
            <w:r>
              <w:rPr>
                <w:rFonts w:hint="eastAsia" w:ascii="宋体" w:hAnsi="宋体" w:eastAsia="宋体" w:cs="宋体"/>
                <w:sz w:val="21"/>
                <w:szCs w:val="21"/>
                <w:lang w:val="zh-CN"/>
              </w:rPr>
              <w:t xml:space="preserve">通道数量：16通道（可扩展32通道、64通道）；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eastAsia="宋体" w:cs="宋体"/>
                <w:sz w:val="21"/>
                <w:szCs w:val="21"/>
                <w:lang w:val="zh-CN"/>
              </w:rPr>
              <w:t xml:space="preserve">16、单次扫查面积：0mm—160mm（取决于探头扫查面积）；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eastAsia="宋体" w:cs="宋体"/>
                <w:sz w:val="21"/>
                <w:szCs w:val="21"/>
              </w:rPr>
              <w:t>★</w:t>
            </w:r>
            <w:r>
              <w:rPr>
                <w:rFonts w:hint="eastAsia" w:ascii="宋体" w:hAnsi="宋体" w:eastAsia="宋体" w:cs="宋体"/>
                <w:sz w:val="21"/>
                <w:szCs w:val="21"/>
                <w:lang w:val="zh-CN"/>
              </w:rPr>
              <w:t>17、兼容探头：</w:t>
            </w:r>
            <w:r>
              <w:rPr>
                <w:rFonts w:hint="eastAsia" w:ascii="宋体" w:hAnsi="宋体" w:eastAsia="宋体" w:cs="宋体"/>
                <w:sz w:val="21"/>
                <w:szCs w:val="21"/>
                <w:lang w:val="en-US" w:eastAsia="zh-CN"/>
              </w:rPr>
              <w:t>7</w:t>
            </w:r>
            <w:r>
              <w:rPr>
                <w:rFonts w:hint="eastAsia" w:ascii="宋体" w:hAnsi="宋体" w:eastAsia="宋体" w:cs="宋体"/>
                <w:sz w:val="21"/>
                <w:szCs w:val="21"/>
                <w:lang w:val="zh-CN"/>
              </w:rPr>
              <w:t>通道阵列探头；</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eastAsia="宋体" w:cs="宋体"/>
                <w:sz w:val="21"/>
                <w:szCs w:val="21"/>
              </w:rPr>
              <w:t>★</w:t>
            </w:r>
            <w:r>
              <w:rPr>
                <w:rFonts w:hint="eastAsia" w:ascii="宋体" w:hAnsi="宋体" w:eastAsia="宋体" w:cs="宋体"/>
                <w:sz w:val="21"/>
                <w:szCs w:val="21"/>
                <w:lang w:val="zh-CN"/>
              </w:rPr>
              <w:t>18、</w:t>
            </w:r>
            <w:r>
              <w:rPr>
                <w:rFonts w:hint="eastAsia" w:ascii="宋体" w:hAnsi="宋体" w:eastAsia="宋体" w:cs="宋体"/>
                <w:sz w:val="21"/>
                <w:szCs w:val="21"/>
                <w:lang w:val="en-US" w:eastAsia="zh-CN"/>
              </w:rPr>
              <w:t>频率范围</w:t>
            </w:r>
            <w:r>
              <w:rPr>
                <w:rFonts w:hint="eastAsia" w:ascii="宋体" w:hAnsi="宋体" w:eastAsia="宋体" w:cs="宋体"/>
                <w:sz w:val="21"/>
                <w:szCs w:val="21"/>
                <w:lang w:val="zh-CN"/>
              </w:rPr>
              <w:t>：常规频率1Khz，支持</w:t>
            </w:r>
            <w:r>
              <w:rPr>
                <w:rFonts w:hint="eastAsia" w:ascii="宋体" w:hAnsi="宋体" w:eastAsia="宋体" w:cs="宋体"/>
                <w:sz w:val="21"/>
                <w:szCs w:val="21"/>
                <w:lang w:val="en-US" w:eastAsia="zh-CN"/>
              </w:rPr>
              <w:t>频率可调</w:t>
            </w:r>
            <w:r>
              <w:rPr>
                <w:rFonts w:hint="eastAsia" w:ascii="宋体" w:hAnsi="宋体" w:eastAsia="宋体" w:cs="宋体"/>
                <w:sz w:val="21"/>
                <w:szCs w:val="21"/>
                <w:lang w:val="zh-CN"/>
              </w:rPr>
              <w:t xml:space="preserve">；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eastAsia="宋体" w:cs="宋体"/>
                <w:sz w:val="21"/>
                <w:szCs w:val="21"/>
              </w:rPr>
              <w:t>★</w:t>
            </w:r>
            <w:r>
              <w:rPr>
                <w:rFonts w:hint="eastAsia" w:ascii="宋体" w:hAnsi="宋体" w:eastAsia="宋体" w:cs="宋体"/>
                <w:sz w:val="21"/>
                <w:szCs w:val="21"/>
                <w:lang w:val="zh-CN"/>
              </w:rPr>
              <w:t>19、检测温度：-20℃—</w:t>
            </w:r>
            <w:r>
              <w:rPr>
                <w:rFonts w:hint="eastAsia" w:ascii="宋体" w:hAnsi="宋体" w:eastAsia="宋体" w:cs="宋体"/>
                <w:sz w:val="21"/>
                <w:szCs w:val="21"/>
                <w:lang w:val="en-US" w:eastAsia="zh-CN"/>
              </w:rPr>
              <w:t>50</w:t>
            </w:r>
            <w:r>
              <w:rPr>
                <w:rFonts w:hint="eastAsia" w:ascii="宋体" w:hAnsi="宋体" w:eastAsia="宋体" w:cs="宋体"/>
                <w:sz w:val="21"/>
                <w:szCs w:val="21"/>
                <w:lang w:val="zh-CN"/>
              </w:rPr>
              <w:t>0℃（</w:t>
            </w:r>
            <w:r>
              <w:rPr>
                <w:rFonts w:hint="eastAsia" w:ascii="宋体" w:hAnsi="宋体" w:eastAsia="宋体" w:cs="宋体"/>
                <w:sz w:val="21"/>
                <w:szCs w:val="21"/>
                <w:lang w:val="en-US" w:eastAsia="zh-CN"/>
              </w:rPr>
              <w:t>适用于高温</w:t>
            </w:r>
            <w:r>
              <w:rPr>
                <w:rFonts w:hint="eastAsia" w:ascii="宋体" w:hAnsi="宋体" w:eastAsia="宋体" w:cs="宋体"/>
                <w:sz w:val="21"/>
                <w:szCs w:val="21"/>
                <w:lang w:val="zh-CN"/>
              </w:rPr>
              <w:t xml:space="preserve">探头）；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eastAsia="宋体" w:cs="宋体"/>
                <w:sz w:val="21"/>
                <w:szCs w:val="21"/>
                <w:lang w:val="zh-CN"/>
              </w:rPr>
              <w:t xml:space="preserve">20、软件数据显示方式：实时检测信号显示、C扫描彩色3D成像模式显示、缺陷自动识别预警显示等多种显示方式选择；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eastAsia="宋体" w:cs="宋体"/>
                <w:sz w:val="21"/>
                <w:szCs w:val="21"/>
                <w:lang w:val="zh-CN"/>
              </w:rPr>
              <w:t xml:space="preserve">21、数据存储内容：参数、C扫描图像、波形曲线；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eastAsia="宋体" w:cs="宋体"/>
                <w:sz w:val="21"/>
                <w:szCs w:val="21"/>
                <w:lang w:val="zh-CN"/>
              </w:rPr>
              <w:t xml:space="preserve">22、检测记录：检测过程可记录、检测结果可记录；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eastAsia="宋体" w:cs="宋体"/>
                <w:sz w:val="21"/>
                <w:szCs w:val="21"/>
                <w:lang w:val="zh-CN"/>
              </w:rPr>
              <w:t xml:space="preserve">23、检测报告：标准版报告格式（可订做报告格式）；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eastAsia="宋体" w:cs="宋体"/>
                <w:sz w:val="21"/>
                <w:szCs w:val="21"/>
                <w:lang w:val="zh-CN"/>
              </w:rPr>
              <w:t xml:space="preserve">24、工作时间：主机内置2块锂电池供电，随时更换续航，可不插电工作4-5小时，可不间断工作；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eastAsia="宋体" w:cs="宋体"/>
                <w:sz w:val="21"/>
                <w:szCs w:val="21"/>
                <w:lang w:val="zh-CN"/>
              </w:rPr>
              <w:t xml:space="preserve">25、工作环境：温度-20℃—50℃  湿度95%；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eastAsia="宋体" w:cs="宋体"/>
                <w:sz w:val="21"/>
                <w:szCs w:val="21"/>
                <w:lang w:val="zh-CN"/>
              </w:rPr>
              <w:t xml:space="preserve">26、防护等级：全镁铝合金机壳，通过IP65防护等级认证；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zh-CN"/>
              </w:rPr>
            </w:pPr>
            <w:r>
              <w:rPr>
                <w:rFonts w:hint="eastAsia" w:ascii="宋体" w:hAnsi="宋体" w:eastAsia="宋体" w:cs="宋体"/>
                <w:sz w:val="21"/>
                <w:szCs w:val="21"/>
                <w:lang w:val="zh-CN"/>
              </w:rPr>
              <w:t>27、主机重量：</w:t>
            </w:r>
            <w:r>
              <w:rPr>
                <w:rFonts w:hint="eastAsia" w:ascii="宋体" w:hAnsi="宋体" w:cs="宋体"/>
                <w:sz w:val="21"/>
                <w:szCs w:val="21"/>
                <w:lang w:val="zh-CN"/>
              </w:rPr>
              <w:t>小于等于</w:t>
            </w:r>
            <w:r>
              <w:rPr>
                <w:rFonts w:hint="eastAsia" w:ascii="宋体" w:hAnsi="宋体" w:eastAsia="宋体" w:cs="宋体"/>
                <w:sz w:val="21"/>
                <w:szCs w:val="21"/>
                <w:highlight w:val="none"/>
                <w:lang w:val="zh-CN"/>
              </w:rPr>
              <w:t>3kg；</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28、配置清单：</w:t>
            </w:r>
            <w:r>
              <w:rPr>
                <w:rFonts w:hint="eastAsia" w:ascii="宋体" w:hAnsi="宋体" w:eastAsia="宋体" w:cs="宋体"/>
                <w:sz w:val="21"/>
                <w:szCs w:val="21"/>
              </w:rPr>
              <w:t>主机（含电池、充电线）</w:t>
            </w:r>
            <w:r>
              <w:rPr>
                <w:rFonts w:hint="eastAsia" w:ascii="宋体" w:hAnsi="宋体" w:eastAsia="宋体" w:cs="宋体"/>
                <w:sz w:val="21"/>
                <w:szCs w:val="21"/>
                <w:lang w:val="en-US" w:eastAsia="zh-CN"/>
              </w:rPr>
              <w:t>1套、</w:t>
            </w:r>
            <w:r>
              <w:rPr>
                <w:rFonts w:hint="eastAsia" w:ascii="宋体" w:hAnsi="宋体" w:eastAsia="宋体" w:cs="宋体"/>
                <w:sz w:val="21"/>
                <w:szCs w:val="21"/>
              </w:rPr>
              <w:t>标准探头</w:t>
            </w:r>
            <w:r>
              <w:rPr>
                <w:rFonts w:hint="eastAsia" w:ascii="宋体" w:hAnsi="宋体" w:eastAsia="宋体" w:cs="宋体"/>
                <w:sz w:val="21"/>
                <w:szCs w:val="21"/>
                <w:lang w:val="en-US" w:eastAsia="zh-CN"/>
              </w:rPr>
              <w:t>1只、</w:t>
            </w:r>
            <w:r>
              <w:rPr>
                <w:rFonts w:hint="eastAsia" w:ascii="宋体" w:hAnsi="宋体" w:eastAsia="宋体" w:cs="宋体"/>
                <w:sz w:val="21"/>
                <w:szCs w:val="21"/>
              </w:rPr>
              <w:t>笔</w:t>
            </w:r>
            <w:r>
              <w:rPr>
                <w:rFonts w:hint="eastAsia" w:ascii="宋体" w:hAnsi="宋体" w:eastAsia="宋体" w:cs="宋体"/>
                <w:sz w:val="21"/>
                <w:szCs w:val="21"/>
                <w:lang w:val="en-US" w:eastAsia="zh-CN"/>
              </w:rPr>
              <w:t>型</w:t>
            </w:r>
            <w:r>
              <w:rPr>
                <w:rFonts w:hint="eastAsia" w:ascii="宋体" w:hAnsi="宋体" w:eastAsia="宋体" w:cs="宋体"/>
                <w:sz w:val="21"/>
                <w:szCs w:val="21"/>
              </w:rPr>
              <w:t>探头</w:t>
            </w:r>
            <w:r>
              <w:rPr>
                <w:rFonts w:hint="eastAsia" w:ascii="宋体" w:hAnsi="宋体" w:eastAsia="宋体" w:cs="宋体"/>
                <w:sz w:val="21"/>
                <w:szCs w:val="21"/>
                <w:lang w:val="en-US" w:eastAsia="zh-CN"/>
              </w:rPr>
              <w:t>1只、</w:t>
            </w:r>
            <w:r>
              <w:rPr>
                <w:rFonts w:hint="eastAsia" w:ascii="宋体" w:hAnsi="宋体" w:eastAsia="宋体" w:cs="宋体"/>
                <w:sz w:val="21"/>
                <w:szCs w:val="21"/>
              </w:rPr>
              <w:t>三阵列探头</w:t>
            </w:r>
            <w:r>
              <w:rPr>
                <w:rFonts w:hint="eastAsia" w:ascii="宋体" w:hAnsi="宋体" w:eastAsia="宋体" w:cs="宋体"/>
                <w:sz w:val="21"/>
                <w:szCs w:val="21"/>
                <w:lang w:val="en-US" w:eastAsia="zh-CN"/>
              </w:rPr>
              <w:t>1只、</w:t>
            </w:r>
            <w:r>
              <w:rPr>
                <w:rFonts w:hint="eastAsia" w:ascii="宋体" w:hAnsi="宋体" w:eastAsia="宋体" w:cs="宋体"/>
                <w:sz w:val="21"/>
                <w:szCs w:val="21"/>
              </w:rPr>
              <w:t>七阵列探头</w:t>
            </w:r>
            <w:r>
              <w:rPr>
                <w:rFonts w:hint="eastAsia" w:ascii="宋体" w:hAnsi="宋体" w:eastAsia="宋体" w:cs="宋体"/>
                <w:sz w:val="21"/>
                <w:szCs w:val="21"/>
                <w:lang w:val="en-US" w:eastAsia="zh-CN"/>
              </w:rPr>
              <w:t>1只、</w:t>
            </w:r>
            <w:r>
              <w:rPr>
                <w:rFonts w:hint="eastAsia" w:ascii="宋体" w:hAnsi="宋体" w:eastAsia="宋体" w:cs="宋体"/>
                <w:sz w:val="21"/>
                <w:szCs w:val="21"/>
              </w:rPr>
              <w:t>打磨探头</w:t>
            </w:r>
            <w:r>
              <w:rPr>
                <w:rFonts w:hint="eastAsia" w:ascii="宋体" w:hAnsi="宋体" w:eastAsia="宋体" w:cs="宋体"/>
                <w:sz w:val="21"/>
                <w:szCs w:val="21"/>
                <w:lang w:val="en-US" w:eastAsia="zh-CN"/>
              </w:rPr>
              <w:t>1只、高温探头1只、</w:t>
            </w:r>
            <w:r>
              <w:rPr>
                <w:rFonts w:hint="eastAsia" w:ascii="宋体" w:hAnsi="宋体" w:eastAsia="宋体" w:cs="宋体"/>
                <w:sz w:val="21"/>
                <w:szCs w:val="21"/>
              </w:rPr>
              <w:t>轮式编码器</w:t>
            </w:r>
            <w:r>
              <w:rPr>
                <w:rFonts w:hint="eastAsia" w:ascii="宋体" w:hAnsi="宋体" w:eastAsia="宋体" w:cs="宋体"/>
                <w:sz w:val="21"/>
                <w:szCs w:val="21"/>
                <w:lang w:val="en-US" w:eastAsia="zh-CN"/>
              </w:rPr>
              <w:t>1只、</w:t>
            </w:r>
            <w:r>
              <w:rPr>
                <w:rFonts w:hint="eastAsia" w:ascii="宋体" w:hAnsi="宋体" w:eastAsia="宋体" w:cs="宋体"/>
                <w:sz w:val="21"/>
                <w:szCs w:val="21"/>
              </w:rPr>
              <w:t>操作手册、合格证、校准证书</w:t>
            </w:r>
            <w:r>
              <w:rPr>
                <w:rFonts w:hint="eastAsia" w:ascii="宋体" w:hAnsi="宋体" w:eastAsia="宋体" w:cs="宋体"/>
                <w:sz w:val="21"/>
                <w:szCs w:val="21"/>
                <w:lang w:val="en-US" w:eastAsia="zh-CN"/>
              </w:rPr>
              <w:t>各1份、</w:t>
            </w:r>
            <w:r>
              <w:rPr>
                <w:rFonts w:hint="eastAsia" w:ascii="宋体" w:hAnsi="宋体" w:eastAsia="宋体" w:cs="宋体"/>
                <w:sz w:val="21"/>
                <w:szCs w:val="21"/>
              </w:rPr>
              <w:t>仪器箱</w:t>
            </w:r>
            <w:r>
              <w:rPr>
                <w:rFonts w:hint="eastAsia" w:ascii="宋体" w:hAnsi="宋体" w:eastAsia="宋体" w:cs="宋体"/>
                <w:sz w:val="21"/>
                <w:szCs w:val="21"/>
                <w:lang w:val="en-US" w:eastAsia="zh-CN"/>
              </w:rPr>
              <w:t>1个。</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二、其他：</w:t>
            </w:r>
          </w:p>
          <w:p>
            <w:pPr>
              <w:pageBreakBefore w:val="0"/>
              <w:numPr>
                <w:ilvl w:val="0"/>
                <w:numId w:val="0"/>
              </w:numPr>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生产商提供不低于3个工作日的培训；</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cs="宋体"/>
                <w:b w:val="0"/>
                <w:bCs w:val="0"/>
                <w:kern w:val="2"/>
                <w:sz w:val="21"/>
                <w:szCs w:val="21"/>
                <w:lang w:val="en-US" w:eastAsia="zh-CN" w:bidi="ar-SA"/>
              </w:rPr>
              <w:t>2、一体机（主流品牌，商用机，intel i5 12代， 内存16G，硬盘512GB SSD  预装正版win10专业版或企业版（有微软授权证书或序列号））</w:t>
            </w:r>
            <w:r>
              <w:rPr>
                <w:rFonts w:hint="eastAsia" w:ascii="宋体" w:hAnsi="宋体" w:eastAsia="宋体" w:cs="宋体"/>
                <w:b w:val="0"/>
                <w:bCs w:val="0"/>
                <w:kern w:val="2"/>
                <w:sz w:val="21"/>
                <w:szCs w:val="21"/>
                <w:lang w:val="en-US" w:eastAsia="zh-CN" w:bidi="ar-SA"/>
              </w:rPr>
              <w:t>10台</w:t>
            </w:r>
            <w:r>
              <w:rPr>
                <w:rFonts w:hint="eastAsia" w:ascii="宋体" w:hAnsi="宋体" w:cs="宋体"/>
                <w:b w:val="0"/>
                <w:bCs w:val="0"/>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126"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Style w:val="4"/>
        <w:pageBreakBefore w:val="0"/>
        <w:kinsoku/>
        <w:overflowPunct/>
        <w:topLinePunct w:val="0"/>
        <w:autoSpaceDE/>
        <w:autoSpaceDN/>
        <w:bidi w:val="0"/>
        <w:spacing w:line="320" w:lineRule="exact"/>
        <w:rPr>
          <w:rFonts w:hint="eastAsia" w:ascii="宋体" w:hAnsi="宋体" w:eastAsia="宋体" w:cs="宋体"/>
          <w:sz w:val="21"/>
          <w:szCs w:val="21"/>
        </w:rPr>
      </w:pPr>
    </w:p>
    <w:tbl>
      <w:tblPr>
        <w:tblStyle w:val="37"/>
        <w:tblW w:w="10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9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9225"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呼吸阀校验系统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9225"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9225"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用于</w:t>
            </w:r>
            <w:r>
              <w:rPr>
                <w:rFonts w:hint="eastAsia" w:ascii="宋体" w:hAnsi="宋体" w:eastAsia="宋体" w:cs="宋体"/>
                <w:sz w:val="21"/>
                <w:szCs w:val="21"/>
                <w:vertAlign w:val="baseline"/>
                <w:lang w:val="en-US" w:eastAsia="zh-CN"/>
              </w:rPr>
              <w:t>常压储罐呼吸阀检测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9225" w:type="dxa"/>
            <w:tcBorders>
              <w:top w:val="single" w:color="auto" w:sz="4" w:space="0"/>
              <w:left w:val="single" w:color="auto" w:sz="4" w:space="0"/>
              <w:bottom w:val="single" w:color="auto" w:sz="4" w:space="0"/>
              <w:right w:val="single" w:color="auto" w:sz="4" w:space="0"/>
            </w:tcBorders>
            <w:noWrap/>
          </w:tcPr>
          <w:p>
            <w:pPr>
              <w:pStyle w:val="4"/>
              <w:pageBreakBefore w:val="0"/>
              <w:kinsoku/>
              <w:overflowPunct/>
              <w:topLinePunct w:val="0"/>
              <w:autoSpaceDE/>
              <w:autoSpaceDN/>
              <w:bidi w:val="0"/>
              <w:spacing w:before="0" w:after="0"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1、呼吸阀校验系统</w:t>
            </w:r>
          </w:p>
          <w:p>
            <w:pPr>
              <w:pageBreakBefore w:val="0"/>
              <w:kinsoku/>
              <w:overflowPunct/>
              <w:topLinePunct w:val="0"/>
              <w:autoSpaceDE/>
              <w:autoSpaceDN/>
              <w:bidi w:val="0"/>
              <w:spacing w:line="320" w:lineRule="exact"/>
              <w:ind w:firstLine="420" w:firstLineChars="2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呼吸阀智能检验平台，平台涉及到网络以及多种硬件和软件，它将汇聚在中心服务器端的各式各样的检验信息（如：图片、文本、数据、网页、对接储罐管理系统等）通过网络（可以是局域网、广域网）按需求迅速、准确地推向分布在各处的检验设备上显示。系统功能包括任务管理、流程管理、检验管理、打印报告、权限管理等功能模块。系统建设需求主要如下：</w:t>
            </w:r>
          </w:p>
          <w:p>
            <w:pPr>
              <w:pageBreakBefore w:val="0"/>
              <w:kinsoku/>
              <w:overflowPunct/>
              <w:topLinePunct w:val="0"/>
              <w:autoSpaceDE/>
              <w:autoSpaceDN/>
              <w:bidi w:val="0"/>
              <w:spacing w:line="320" w:lineRule="exact"/>
              <w:ind w:firstLine="420" w:firstLineChars="2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本系统详细技术要求如下：</w:t>
            </w:r>
          </w:p>
          <w:tbl>
            <w:tblPr>
              <w:tblStyle w:val="37"/>
              <w:tblW w:w="8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6"/>
              <w:gridCol w:w="778"/>
              <w:gridCol w:w="6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blHeader/>
                <w:jc w:val="center"/>
              </w:trPr>
              <w:tc>
                <w:tcPr>
                  <w:tcW w:w="456" w:type="dxa"/>
                  <w:noWrap w:val="0"/>
                  <w:vAlign w:val="center"/>
                </w:tcPr>
                <w:p>
                  <w:pPr>
                    <w:pStyle w:val="13"/>
                    <w:pageBreakBefore w:val="0"/>
                    <w:kinsoku/>
                    <w:overflowPunct/>
                    <w:topLinePunct w:val="0"/>
                    <w:autoSpaceDE/>
                    <w:autoSpaceDN/>
                    <w:bidi w:val="0"/>
                    <w:spacing w:line="320" w:lineRule="exact"/>
                    <w:ind w:left="105" w:leftChars="50" w:right="105" w:rightChars="50" w:firstLine="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序号</w:t>
                  </w:r>
                </w:p>
              </w:tc>
              <w:tc>
                <w:tcPr>
                  <w:tcW w:w="778" w:type="dxa"/>
                  <w:noWrap w:val="0"/>
                  <w:vAlign w:val="center"/>
                </w:tcPr>
                <w:p>
                  <w:pPr>
                    <w:pStyle w:val="13"/>
                    <w:pageBreakBefore w:val="0"/>
                    <w:kinsoku/>
                    <w:overflowPunct/>
                    <w:topLinePunct w:val="0"/>
                    <w:autoSpaceDE/>
                    <w:autoSpaceDN/>
                    <w:bidi w:val="0"/>
                    <w:spacing w:line="320" w:lineRule="exact"/>
                    <w:ind w:left="105" w:leftChars="50" w:right="105" w:rightChars="50" w:firstLine="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功能</w:t>
                  </w:r>
                </w:p>
              </w:tc>
              <w:tc>
                <w:tcPr>
                  <w:tcW w:w="6827" w:type="dxa"/>
                  <w:noWrap w:val="0"/>
                  <w:vAlign w:val="center"/>
                </w:tcPr>
                <w:p>
                  <w:pPr>
                    <w:pStyle w:val="13"/>
                    <w:pageBreakBefore w:val="0"/>
                    <w:kinsoku/>
                    <w:overflowPunct/>
                    <w:topLinePunct w:val="0"/>
                    <w:autoSpaceDE/>
                    <w:autoSpaceDN/>
                    <w:bidi w:val="0"/>
                    <w:spacing w:line="320" w:lineRule="exact"/>
                    <w:ind w:left="105" w:leftChars="50" w:right="105" w:rightChars="50" w:firstLine="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456" w:type="dxa"/>
                  <w:vMerge w:val="restart"/>
                  <w:noWrap w:val="0"/>
                  <w:vAlign w:val="center"/>
                </w:tcPr>
                <w:p>
                  <w:pPr>
                    <w:pStyle w:val="12"/>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w:t>
                  </w:r>
                </w:p>
              </w:tc>
              <w:tc>
                <w:tcPr>
                  <w:tcW w:w="778" w:type="dxa"/>
                  <w:vMerge w:val="restart"/>
                  <w:noWrap w:val="0"/>
                  <w:vAlign w:val="center"/>
                </w:tcPr>
                <w:p>
                  <w:pPr>
                    <w:pStyle w:val="12"/>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客户业务</w:t>
                  </w:r>
                </w:p>
              </w:tc>
              <w:tc>
                <w:tcPr>
                  <w:tcW w:w="6827" w:type="dxa"/>
                  <w:noWrap w:val="0"/>
                  <w:vAlign w:val="center"/>
                </w:tcPr>
                <w:p>
                  <w:pPr>
                    <w:pageBreakBefore w:val="0"/>
                    <w:kinsoku/>
                    <w:overflowPunct/>
                    <w:topLinePunct w:val="0"/>
                    <w:autoSpaceDE/>
                    <w:autoSpaceDN/>
                    <w:bidi w:val="0"/>
                    <w:spacing w:line="320" w:lineRule="exact"/>
                    <w:ind w:left="105" w:leftChars="47" w:right="107" w:rightChars="51" w:hanging="6" w:hangingChars="3"/>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1.1客户可在开发平台上注册系统账号，有安技管理员审批后可以正常登陆系统</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456" w:type="dxa"/>
                  <w:vMerge w:val="continue"/>
                  <w:noWrap w:val="0"/>
                  <w:vAlign w:val="center"/>
                </w:tcPr>
                <w:p>
                  <w:pPr>
                    <w:pStyle w:val="12"/>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778" w:type="dxa"/>
                  <w:vMerge w:val="continue"/>
                  <w:noWrap w:val="0"/>
                  <w:vAlign w:val="center"/>
                </w:tcPr>
                <w:p>
                  <w:pPr>
                    <w:pStyle w:val="12"/>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6827" w:type="dxa"/>
                  <w:noWrap w:val="0"/>
                  <w:vAlign w:val="center"/>
                </w:tcPr>
                <w:p>
                  <w:pPr>
                    <w:pageBreakBefore w:val="0"/>
                    <w:kinsoku/>
                    <w:overflowPunct/>
                    <w:topLinePunct w:val="0"/>
                    <w:autoSpaceDE/>
                    <w:autoSpaceDN/>
                    <w:bidi w:val="0"/>
                    <w:spacing w:line="320" w:lineRule="exact"/>
                    <w:ind w:left="105" w:leftChars="47" w:right="107" w:rightChars="51" w:hanging="6" w:hangingChars="3"/>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1.2设备管理，客户通过设备管理功能维护自己的设备信息，并且填写呼吸阀信息</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456" w:type="dxa"/>
                  <w:vMerge w:val="continue"/>
                  <w:noWrap w:val="0"/>
                  <w:vAlign w:val="center"/>
                </w:tcPr>
                <w:p>
                  <w:pPr>
                    <w:pStyle w:val="12"/>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778" w:type="dxa"/>
                  <w:vMerge w:val="continue"/>
                  <w:noWrap w:val="0"/>
                  <w:vAlign w:val="center"/>
                </w:tcPr>
                <w:p>
                  <w:pPr>
                    <w:pStyle w:val="12"/>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6827" w:type="dxa"/>
                  <w:tcBorders>
                    <w:top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20" w:lineRule="exact"/>
                    <w:ind w:left="105" w:leftChars="47" w:right="107" w:rightChars="51" w:hanging="6" w:hangingChars="3"/>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1.3呼吸阀约检，客户针对呼吸阀信息在系统内提交预约</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456" w:type="dxa"/>
                  <w:vMerge w:val="restart"/>
                  <w:tcBorders>
                    <w:top w:val="single" w:color="auto" w:sz="4" w:space="0"/>
                    <w:left w:val="single" w:color="auto" w:sz="4" w:space="0"/>
                    <w:right w:val="single" w:color="auto" w:sz="4" w:space="0"/>
                  </w:tcBorders>
                  <w:noWrap w:val="0"/>
                  <w:vAlign w:val="center"/>
                </w:tcPr>
                <w:p>
                  <w:pPr>
                    <w:pStyle w:val="12"/>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w:t>
                  </w:r>
                </w:p>
              </w:tc>
              <w:tc>
                <w:tcPr>
                  <w:tcW w:w="778" w:type="dxa"/>
                  <w:vMerge w:val="restart"/>
                  <w:tcBorders>
                    <w:top w:val="single" w:color="auto" w:sz="4" w:space="0"/>
                    <w:left w:val="single" w:color="auto" w:sz="4" w:space="0"/>
                    <w:right w:val="single" w:color="auto" w:sz="4" w:space="0"/>
                  </w:tcBorders>
                  <w:noWrap w:val="0"/>
                  <w:vAlign w:val="center"/>
                </w:tcPr>
                <w:p>
                  <w:pPr>
                    <w:pStyle w:val="4"/>
                    <w:pageBreakBefore w:val="0"/>
                    <w:tabs>
                      <w:tab w:val="left" w:pos="904"/>
                    </w:tabs>
                    <w:kinsoku/>
                    <w:overflowPunct/>
                    <w:topLinePunct w:val="0"/>
                    <w:autoSpaceDE/>
                    <w:autoSpaceDN/>
                    <w:bidi w:val="0"/>
                    <w:spacing w:before="0" w:after="0" w:line="320" w:lineRule="exact"/>
                    <w:jc w:val="center"/>
                    <w:outlineLvl w:val="1"/>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主数据管理</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20" w:lineRule="exact"/>
                    <w:ind w:left="105" w:leftChars="47" w:right="107" w:rightChars="51" w:hanging="6" w:hangingChars="3"/>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2.1客户主数据，系统管理员可修改和维护客户主数据信息</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456" w:type="dxa"/>
                  <w:vMerge w:val="continue"/>
                  <w:tcBorders>
                    <w:left w:val="single" w:color="auto" w:sz="4" w:space="0"/>
                    <w:right w:val="single" w:color="auto" w:sz="4" w:space="0"/>
                  </w:tcBorders>
                  <w:noWrap w:val="0"/>
                  <w:vAlign w:val="center"/>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p>
              </w:tc>
              <w:tc>
                <w:tcPr>
                  <w:tcW w:w="778" w:type="dxa"/>
                  <w:vMerge w:val="continue"/>
                  <w:tcBorders>
                    <w:left w:val="single" w:color="auto" w:sz="4" w:space="0"/>
                    <w:right w:val="single" w:color="auto" w:sz="4" w:space="0"/>
                  </w:tcBorders>
                  <w:noWrap w:val="0"/>
                  <w:vAlign w:val="center"/>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p>
              </w:tc>
              <w:tc>
                <w:tcPr>
                  <w:tcW w:w="6827"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20" w:lineRule="exact"/>
                    <w:ind w:left="105" w:leftChars="47" w:right="107" w:rightChars="51" w:hanging="6" w:hangingChars="3"/>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2.2阀门主数据，由安技受理人员或客户维护阀门主数据，每个阀门数据具有唯一性，以便查看受理、查看调阅历史数据、追溯等。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456" w:type="dxa"/>
                  <w:vMerge w:val="continue"/>
                  <w:tcBorders>
                    <w:left w:val="single" w:color="auto" w:sz="4" w:space="0"/>
                    <w:right w:val="single" w:color="auto" w:sz="4" w:space="0"/>
                  </w:tcBorders>
                  <w:noWrap w:val="0"/>
                  <w:vAlign w:val="center"/>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p>
              </w:tc>
              <w:tc>
                <w:tcPr>
                  <w:tcW w:w="778" w:type="dxa"/>
                  <w:vMerge w:val="continue"/>
                  <w:tcBorders>
                    <w:left w:val="single" w:color="auto" w:sz="4" w:space="0"/>
                    <w:right w:val="single" w:color="auto" w:sz="4" w:space="0"/>
                  </w:tcBorders>
                  <w:noWrap w:val="0"/>
                  <w:vAlign w:val="center"/>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p>
              </w:tc>
              <w:tc>
                <w:tcPr>
                  <w:tcW w:w="6827"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20" w:lineRule="exact"/>
                    <w:ind w:left="105" w:leftChars="47" w:right="107" w:rightChars="51" w:hanging="6" w:hangingChars="3"/>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2.3生产厂商主数据，系统管理员可修改和维护生产厂商主数据信息。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456" w:type="dxa"/>
                  <w:vMerge w:val="restart"/>
                  <w:tcBorders>
                    <w:top w:val="single" w:color="auto" w:sz="4" w:space="0"/>
                    <w:left w:val="single" w:color="auto" w:sz="4" w:space="0"/>
                    <w:right w:val="single" w:color="auto" w:sz="4" w:space="0"/>
                  </w:tcBorders>
                  <w:noWrap w:val="0"/>
                  <w:vAlign w:val="center"/>
                </w:tcPr>
                <w:p>
                  <w:pPr>
                    <w:pStyle w:val="12"/>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w:t>
                  </w:r>
                </w:p>
              </w:tc>
              <w:tc>
                <w:tcPr>
                  <w:tcW w:w="778" w:type="dxa"/>
                  <w:vMerge w:val="restart"/>
                  <w:tcBorders>
                    <w:top w:val="single" w:color="auto" w:sz="4" w:space="0"/>
                    <w:left w:val="single" w:color="auto" w:sz="4" w:space="0"/>
                    <w:right w:val="single" w:color="auto" w:sz="4" w:space="0"/>
                  </w:tcBorders>
                  <w:noWrap w:val="0"/>
                  <w:vAlign w:val="center"/>
                </w:tcPr>
                <w:p>
                  <w:pPr>
                    <w:pStyle w:val="12"/>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任务管理</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20" w:lineRule="exact"/>
                    <w:ind w:left="105" w:leftChars="47" w:right="107" w:rightChars="51" w:hanging="6" w:hangingChars="3"/>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3.1约检任务，管理员查看预约的检验申请快速受理检验任务，也可以驳回申请。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456" w:type="dxa"/>
                  <w:vMerge w:val="continue"/>
                  <w:tcBorders>
                    <w:left w:val="single" w:color="auto" w:sz="4" w:space="0"/>
                    <w:right w:val="single" w:color="auto" w:sz="4" w:space="0"/>
                  </w:tcBorders>
                  <w:noWrap w:val="0"/>
                  <w:vAlign w:val="center"/>
                </w:tcPr>
                <w:p>
                  <w:pPr>
                    <w:pStyle w:val="12"/>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778" w:type="dxa"/>
                  <w:vMerge w:val="continue"/>
                  <w:tcBorders>
                    <w:left w:val="single" w:color="auto" w:sz="4" w:space="0"/>
                    <w:right w:val="single" w:color="auto" w:sz="4" w:space="0"/>
                  </w:tcBorders>
                  <w:noWrap w:val="0"/>
                  <w:vAlign w:val="center"/>
                </w:tcPr>
                <w:p>
                  <w:pPr>
                    <w:pStyle w:val="12"/>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6827"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20" w:lineRule="exact"/>
                    <w:ind w:left="105" w:leftChars="47" w:right="107" w:rightChars="51" w:hanging="6" w:hangingChars="3"/>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3.2任务受理，受理员在受理检验任务时录入受理信息，可以根据预约任务快速受理，受理完成后提交审批流程。已受理的任务可以修改。第一次受理的呼吸阀可绑定二维码等其他标签，便于后续办理检验时使用。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456" w:type="dxa"/>
                  <w:vMerge w:val="continue"/>
                  <w:tcBorders>
                    <w:left w:val="single" w:color="auto" w:sz="4" w:space="0"/>
                    <w:right w:val="single" w:color="auto" w:sz="4" w:space="0"/>
                  </w:tcBorders>
                  <w:noWrap w:val="0"/>
                  <w:vAlign w:val="center"/>
                </w:tcPr>
                <w:p>
                  <w:pPr>
                    <w:pStyle w:val="12"/>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778" w:type="dxa"/>
                  <w:vMerge w:val="continue"/>
                  <w:tcBorders>
                    <w:left w:val="single" w:color="auto" w:sz="4" w:space="0"/>
                    <w:right w:val="single" w:color="auto" w:sz="4" w:space="0"/>
                  </w:tcBorders>
                  <w:noWrap w:val="0"/>
                  <w:vAlign w:val="center"/>
                </w:tcPr>
                <w:p>
                  <w:pPr>
                    <w:pStyle w:val="12"/>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6827"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20" w:lineRule="exact"/>
                    <w:ind w:left="105" w:leftChars="47" w:right="107" w:rightChars="51" w:hanging="6" w:hangingChars="3"/>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3.3待办任务，检验端或领导登录系统后，可审批提交上来的检验审批</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456" w:type="dxa"/>
                  <w:vMerge w:val="continue"/>
                  <w:tcBorders>
                    <w:left w:val="single" w:color="auto" w:sz="4" w:space="0"/>
                    <w:right w:val="single" w:color="auto" w:sz="4" w:space="0"/>
                  </w:tcBorders>
                  <w:noWrap w:val="0"/>
                  <w:vAlign w:val="center"/>
                </w:tcPr>
                <w:p>
                  <w:pPr>
                    <w:pStyle w:val="12"/>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778" w:type="dxa"/>
                  <w:vMerge w:val="continue"/>
                  <w:tcBorders>
                    <w:left w:val="single" w:color="auto" w:sz="4" w:space="0"/>
                    <w:right w:val="single" w:color="auto" w:sz="4" w:space="0"/>
                  </w:tcBorders>
                  <w:noWrap w:val="0"/>
                  <w:vAlign w:val="center"/>
                </w:tcPr>
                <w:p>
                  <w:pPr>
                    <w:pStyle w:val="12"/>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6827"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20" w:lineRule="exact"/>
                    <w:ind w:left="105" w:leftChars="47" w:right="107" w:rightChars="51" w:hanging="6" w:hangingChars="3"/>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3.4已办任务，可浏览已经审批过的所有检验审批历史信息；审批流程可图形化展现。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456" w:type="dxa"/>
                  <w:vMerge w:val="continue"/>
                  <w:tcBorders>
                    <w:left w:val="single" w:color="auto" w:sz="4" w:space="0"/>
                    <w:right w:val="single" w:color="auto" w:sz="4" w:space="0"/>
                  </w:tcBorders>
                  <w:noWrap w:val="0"/>
                  <w:vAlign w:val="center"/>
                </w:tcPr>
                <w:p>
                  <w:pPr>
                    <w:pStyle w:val="12"/>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778" w:type="dxa"/>
                  <w:vMerge w:val="continue"/>
                  <w:tcBorders>
                    <w:left w:val="single" w:color="auto" w:sz="4" w:space="0"/>
                    <w:right w:val="single" w:color="auto" w:sz="4" w:space="0"/>
                  </w:tcBorders>
                  <w:noWrap w:val="0"/>
                  <w:vAlign w:val="center"/>
                </w:tcPr>
                <w:p>
                  <w:pPr>
                    <w:pStyle w:val="12"/>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6827"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20" w:lineRule="exact"/>
                    <w:ind w:left="105" w:leftChars="47" w:right="107" w:rightChars="51" w:hanging="6" w:hangingChars="3"/>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3.5任务跟踪，可跟踪所有流程审批信息。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456" w:type="dxa"/>
                  <w:vMerge w:val="continue"/>
                  <w:tcBorders>
                    <w:left w:val="single" w:color="auto" w:sz="4" w:space="0"/>
                    <w:right w:val="single" w:color="auto" w:sz="4" w:space="0"/>
                  </w:tcBorders>
                  <w:noWrap w:val="0"/>
                  <w:vAlign w:val="center"/>
                </w:tcPr>
                <w:p>
                  <w:pPr>
                    <w:pStyle w:val="12"/>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778" w:type="dxa"/>
                  <w:vMerge w:val="continue"/>
                  <w:tcBorders>
                    <w:left w:val="single" w:color="auto" w:sz="4" w:space="0"/>
                    <w:right w:val="single" w:color="auto" w:sz="4" w:space="0"/>
                  </w:tcBorders>
                  <w:noWrap w:val="0"/>
                  <w:vAlign w:val="center"/>
                </w:tcPr>
                <w:p>
                  <w:pPr>
                    <w:pStyle w:val="12"/>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6827"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20" w:lineRule="exact"/>
                    <w:ind w:left="105" w:leftChars="47" w:right="107" w:rightChars="51" w:hanging="6" w:hangingChars="3"/>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3.6台账查询，查询所有检验完成的任务信息，可导出台账EXCEL</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456" w:type="dxa"/>
                  <w:vMerge w:val="restart"/>
                  <w:tcBorders>
                    <w:left w:val="single" w:color="auto" w:sz="4" w:space="0"/>
                    <w:right w:val="single" w:color="auto" w:sz="4" w:space="0"/>
                  </w:tcBorders>
                  <w:noWrap w:val="0"/>
                  <w:vAlign w:val="center"/>
                </w:tcPr>
                <w:p>
                  <w:pPr>
                    <w:pStyle w:val="12"/>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w:t>
                  </w:r>
                </w:p>
              </w:tc>
              <w:tc>
                <w:tcPr>
                  <w:tcW w:w="778" w:type="dxa"/>
                  <w:vMerge w:val="restart"/>
                  <w:tcBorders>
                    <w:left w:val="single" w:color="auto" w:sz="4" w:space="0"/>
                    <w:right w:val="single" w:color="auto" w:sz="4" w:space="0"/>
                  </w:tcBorders>
                  <w:noWrap w:val="0"/>
                  <w:vAlign w:val="center"/>
                </w:tcPr>
                <w:p>
                  <w:pPr>
                    <w:pStyle w:val="12"/>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领取办理</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20" w:lineRule="exact"/>
                    <w:ind w:left="105" w:leftChars="47" w:right="107" w:rightChars="51" w:hanging="6" w:hangingChars="3"/>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4.1取呼吸阀，查询出所有检验完成的信息，并且领取呼吸阀，系统内做记录，可以打印出检验报告</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456" w:type="dxa"/>
                  <w:vMerge w:val="continue"/>
                  <w:tcBorders>
                    <w:left w:val="single" w:color="auto" w:sz="4" w:space="0"/>
                    <w:right w:val="single" w:color="auto" w:sz="4" w:space="0"/>
                  </w:tcBorders>
                  <w:noWrap w:val="0"/>
                  <w:vAlign w:val="center"/>
                </w:tcPr>
                <w:p>
                  <w:pPr>
                    <w:pStyle w:val="12"/>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778" w:type="dxa"/>
                  <w:vMerge w:val="continue"/>
                  <w:tcBorders>
                    <w:left w:val="single" w:color="auto" w:sz="4" w:space="0"/>
                    <w:right w:val="single" w:color="auto" w:sz="4" w:space="0"/>
                  </w:tcBorders>
                  <w:noWrap w:val="0"/>
                  <w:vAlign w:val="center"/>
                </w:tcPr>
                <w:p>
                  <w:pPr>
                    <w:pStyle w:val="12"/>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6827"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20" w:lineRule="exact"/>
                    <w:ind w:left="105" w:leftChars="47" w:right="107" w:rightChars="51" w:hanging="6" w:hangingChars="3"/>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4.2大厅打印，可根据检验完成的任务打印出检验报告</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456" w:type="dxa"/>
                  <w:tcBorders>
                    <w:left w:val="single" w:color="auto" w:sz="4" w:space="0"/>
                    <w:right w:val="single" w:color="auto" w:sz="4" w:space="0"/>
                  </w:tcBorders>
                  <w:noWrap w:val="0"/>
                  <w:vAlign w:val="center"/>
                </w:tcPr>
                <w:p>
                  <w:pPr>
                    <w:pStyle w:val="12"/>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w:t>
                  </w:r>
                </w:p>
              </w:tc>
              <w:tc>
                <w:tcPr>
                  <w:tcW w:w="778" w:type="dxa"/>
                  <w:tcBorders>
                    <w:left w:val="single" w:color="auto" w:sz="4" w:space="0"/>
                    <w:right w:val="single" w:color="auto" w:sz="4" w:space="0"/>
                  </w:tcBorders>
                  <w:noWrap w:val="0"/>
                  <w:vAlign w:val="center"/>
                </w:tcPr>
                <w:p>
                  <w:pPr>
                    <w:pStyle w:val="12"/>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权限管理</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20" w:lineRule="exact"/>
                    <w:ind w:left="105" w:leftChars="47" w:right="107" w:rightChars="51" w:hanging="6" w:hangingChars="3"/>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5.1系统内可以根据不同角色设置不同权限，检验员权限只能打开检验台。</w:t>
                  </w:r>
                </w:p>
              </w:tc>
            </w:tr>
          </w:tbl>
          <w:p>
            <w:pPr>
              <w:pStyle w:val="4"/>
              <w:keepNext/>
              <w:keepLines/>
              <w:pageBreakBefore w:val="0"/>
              <w:widowControl w:val="0"/>
              <w:kinsoku/>
              <w:wordWrap/>
              <w:overflowPunct/>
              <w:topLinePunct w:val="0"/>
              <w:autoSpaceDE/>
              <w:autoSpaceDN/>
              <w:bidi w:val="0"/>
              <w:adjustRightInd/>
              <w:snapToGrid/>
              <w:spacing w:before="0" w:after="0" w:line="320" w:lineRule="exac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2、呼吸阀检验端</w:t>
            </w:r>
          </w:p>
          <w:p>
            <w:pPr>
              <w:pStyle w:val="35"/>
              <w:pageBreakBefore w:val="0"/>
              <w:widowControl w:val="0"/>
              <w:kinsoku/>
              <w:wordWrap/>
              <w:overflowPunct/>
              <w:topLinePunct w:val="0"/>
              <w:autoSpaceDE/>
              <w:autoSpaceDN/>
              <w:bidi w:val="0"/>
              <w:adjustRightInd/>
              <w:snapToGrid/>
              <w:spacing w:after="0" w:afterLines="0" w:line="320" w:lineRule="exact"/>
              <w:ind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检验员登录系统，显示出检验端界面，系统与传感器做对接，采集实时气压、温度、湿度、气体流量，系统自动根据整定正负压力、保压值、泄漏量等判断出合格还是不合格。</w:t>
            </w:r>
          </w:p>
          <w:tbl>
            <w:tblPr>
              <w:tblStyle w:val="37"/>
              <w:tblW w:w="7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4"/>
              <w:gridCol w:w="934"/>
              <w:gridCol w:w="6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blHeader/>
                <w:jc w:val="center"/>
              </w:trPr>
              <w:tc>
                <w:tcPr>
                  <w:tcW w:w="494" w:type="dxa"/>
                  <w:noWrap w:val="0"/>
                  <w:vAlign w:val="center"/>
                </w:tcPr>
                <w:p>
                  <w:pPr>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序号</w:t>
                  </w:r>
                </w:p>
              </w:tc>
              <w:tc>
                <w:tcPr>
                  <w:tcW w:w="934" w:type="dxa"/>
                  <w:noWrap w:val="0"/>
                  <w:vAlign w:val="center"/>
                </w:tcPr>
                <w:p>
                  <w:pPr>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功能</w:t>
                  </w:r>
                </w:p>
              </w:tc>
              <w:tc>
                <w:tcPr>
                  <w:tcW w:w="6466" w:type="dxa"/>
                  <w:noWrap w:val="0"/>
                  <w:vAlign w:val="center"/>
                </w:tcPr>
                <w:p>
                  <w:pPr>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94" w:type="dxa"/>
                  <w:vMerge w:val="restart"/>
                  <w:noWrap w:val="0"/>
                  <w:vAlign w:val="center"/>
                </w:tcPr>
                <w:p>
                  <w:pPr>
                    <w:pageBreakBefore w:val="0"/>
                    <w:kinsoku/>
                    <w:overflowPunct/>
                    <w:topLinePunct w:val="0"/>
                    <w:autoSpaceDE/>
                    <w:autoSpaceDN/>
                    <w:bidi w:val="0"/>
                    <w:spacing w:after="120" w:line="320" w:lineRule="exact"/>
                    <w:ind w:left="105" w:leftChars="50" w:right="105" w:rightChars="5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w:t>
                  </w:r>
                </w:p>
              </w:tc>
              <w:tc>
                <w:tcPr>
                  <w:tcW w:w="934" w:type="dxa"/>
                  <w:vMerge w:val="restart"/>
                  <w:noWrap w:val="0"/>
                  <w:vAlign w:val="center"/>
                </w:tcPr>
                <w:p>
                  <w:pPr>
                    <w:pageBreakBefore w:val="0"/>
                    <w:kinsoku/>
                    <w:overflowPunct/>
                    <w:topLinePunct w:val="0"/>
                    <w:autoSpaceDE/>
                    <w:autoSpaceDN/>
                    <w:bidi w:val="0"/>
                    <w:spacing w:after="120" w:line="320" w:lineRule="exact"/>
                    <w:ind w:left="105" w:leftChars="50" w:right="105" w:rightChars="5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呼吸阀检验端</w:t>
                  </w:r>
                </w:p>
              </w:tc>
              <w:tc>
                <w:tcPr>
                  <w:tcW w:w="6466" w:type="dxa"/>
                  <w:noWrap w:val="0"/>
                  <w:vAlign w:val="center"/>
                </w:tcPr>
                <w:p>
                  <w:pPr>
                    <w:pageBreakBefore w:val="0"/>
                    <w:kinsoku/>
                    <w:overflowPunct/>
                    <w:topLinePunct w:val="0"/>
                    <w:autoSpaceDE/>
                    <w:autoSpaceDN/>
                    <w:bidi w:val="0"/>
                    <w:spacing w:line="320" w:lineRule="exact"/>
                    <w:ind w:firstLine="140" w:firstLineChars="67"/>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6.1检验员可以根据需求或习惯自如地切换全自动或手动检测。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94" w:type="dxa"/>
                  <w:vMerge w:val="continue"/>
                  <w:noWrap w:val="0"/>
                  <w:vAlign w:val="center"/>
                </w:tcPr>
                <w:p>
                  <w:pPr>
                    <w:pageBreakBefore w:val="0"/>
                    <w:kinsoku/>
                    <w:overflowPunct/>
                    <w:topLinePunct w:val="0"/>
                    <w:autoSpaceDE/>
                    <w:autoSpaceDN/>
                    <w:bidi w:val="0"/>
                    <w:spacing w:after="120"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934" w:type="dxa"/>
                  <w:vMerge w:val="continue"/>
                  <w:noWrap w:val="0"/>
                  <w:vAlign w:val="center"/>
                </w:tcPr>
                <w:p>
                  <w:pPr>
                    <w:pageBreakBefore w:val="0"/>
                    <w:kinsoku/>
                    <w:overflowPunct/>
                    <w:topLinePunct w:val="0"/>
                    <w:autoSpaceDE/>
                    <w:autoSpaceDN/>
                    <w:bidi w:val="0"/>
                    <w:spacing w:after="120"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6466" w:type="dxa"/>
                  <w:noWrap w:val="0"/>
                  <w:vAlign w:val="center"/>
                </w:tcPr>
                <w:p>
                  <w:pPr>
                    <w:pageBreakBefore w:val="0"/>
                    <w:kinsoku/>
                    <w:overflowPunct/>
                    <w:topLinePunct w:val="0"/>
                    <w:autoSpaceDE/>
                    <w:autoSpaceDN/>
                    <w:bidi w:val="0"/>
                    <w:spacing w:line="320" w:lineRule="exact"/>
                    <w:ind w:firstLine="140" w:firstLineChars="67"/>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6.2检验员可以驳回阀门有误信息至受理端。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494" w:type="dxa"/>
                  <w:vMerge w:val="continue"/>
                  <w:noWrap w:val="0"/>
                  <w:vAlign w:val="center"/>
                </w:tcPr>
                <w:p>
                  <w:pPr>
                    <w:pageBreakBefore w:val="0"/>
                    <w:kinsoku/>
                    <w:overflowPunct/>
                    <w:topLinePunct w:val="0"/>
                    <w:autoSpaceDE/>
                    <w:autoSpaceDN/>
                    <w:bidi w:val="0"/>
                    <w:spacing w:after="120"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934" w:type="dxa"/>
                  <w:vMerge w:val="continue"/>
                  <w:noWrap w:val="0"/>
                  <w:vAlign w:val="center"/>
                </w:tcPr>
                <w:p>
                  <w:pPr>
                    <w:pageBreakBefore w:val="0"/>
                    <w:kinsoku/>
                    <w:overflowPunct/>
                    <w:topLinePunct w:val="0"/>
                    <w:autoSpaceDE/>
                    <w:autoSpaceDN/>
                    <w:bidi w:val="0"/>
                    <w:spacing w:after="120"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6466" w:type="dxa"/>
                  <w:tcBorders>
                    <w:top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20" w:lineRule="exact"/>
                    <w:ind w:firstLine="140" w:firstLineChars="67"/>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6.3检验员根据受理员提交过来的待办任务，可选择指定任务开始检验。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494" w:type="dxa"/>
                  <w:vMerge w:val="continue"/>
                  <w:noWrap w:val="0"/>
                  <w:vAlign w:val="center"/>
                </w:tcPr>
                <w:p>
                  <w:pPr>
                    <w:pageBreakBefore w:val="0"/>
                    <w:kinsoku/>
                    <w:overflowPunct/>
                    <w:topLinePunct w:val="0"/>
                    <w:autoSpaceDE/>
                    <w:autoSpaceDN/>
                    <w:bidi w:val="0"/>
                    <w:spacing w:after="120"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934" w:type="dxa"/>
                  <w:vMerge w:val="continue"/>
                  <w:noWrap w:val="0"/>
                  <w:vAlign w:val="center"/>
                </w:tcPr>
                <w:p>
                  <w:pPr>
                    <w:pageBreakBefore w:val="0"/>
                    <w:kinsoku/>
                    <w:overflowPunct/>
                    <w:topLinePunct w:val="0"/>
                    <w:autoSpaceDE/>
                    <w:autoSpaceDN/>
                    <w:bidi w:val="0"/>
                    <w:spacing w:after="120"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6466" w:type="dxa"/>
                  <w:tcBorders>
                    <w:top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20" w:lineRule="exact"/>
                    <w:ind w:firstLine="140" w:firstLineChars="67"/>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6.4检验完成后系统自动生成记录、报告、提交工作流，由领导审核、审批。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494" w:type="dxa"/>
                  <w:vMerge w:val="continue"/>
                  <w:noWrap w:val="0"/>
                  <w:vAlign w:val="center"/>
                </w:tcPr>
                <w:p>
                  <w:pPr>
                    <w:pageBreakBefore w:val="0"/>
                    <w:kinsoku/>
                    <w:overflowPunct/>
                    <w:topLinePunct w:val="0"/>
                    <w:autoSpaceDE/>
                    <w:autoSpaceDN/>
                    <w:bidi w:val="0"/>
                    <w:spacing w:after="120"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934" w:type="dxa"/>
                  <w:vMerge w:val="continue"/>
                  <w:noWrap w:val="0"/>
                  <w:vAlign w:val="center"/>
                </w:tcPr>
                <w:p>
                  <w:pPr>
                    <w:pageBreakBefore w:val="0"/>
                    <w:kinsoku/>
                    <w:overflowPunct/>
                    <w:topLinePunct w:val="0"/>
                    <w:autoSpaceDE/>
                    <w:autoSpaceDN/>
                    <w:bidi w:val="0"/>
                    <w:spacing w:after="120"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6466" w:type="dxa"/>
                  <w:tcBorders>
                    <w:top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20" w:lineRule="exact"/>
                    <w:ind w:firstLine="140" w:firstLineChars="67"/>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6.5检验端动态曲线图能清晰显示检测过程和行为抓取。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94" w:type="dxa"/>
                  <w:vMerge w:val="continue"/>
                  <w:noWrap w:val="0"/>
                  <w:vAlign w:val="center"/>
                </w:tcPr>
                <w:p>
                  <w:pPr>
                    <w:pageBreakBefore w:val="0"/>
                    <w:kinsoku/>
                    <w:overflowPunct/>
                    <w:topLinePunct w:val="0"/>
                    <w:autoSpaceDE/>
                    <w:autoSpaceDN/>
                    <w:bidi w:val="0"/>
                    <w:spacing w:after="120"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934" w:type="dxa"/>
                  <w:vMerge w:val="continue"/>
                  <w:noWrap w:val="0"/>
                  <w:vAlign w:val="center"/>
                </w:tcPr>
                <w:p>
                  <w:pPr>
                    <w:pageBreakBefore w:val="0"/>
                    <w:kinsoku/>
                    <w:overflowPunct/>
                    <w:topLinePunct w:val="0"/>
                    <w:autoSpaceDE/>
                    <w:autoSpaceDN/>
                    <w:bidi w:val="0"/>
                    <w:spacing w:after="120"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6466" w:type="dxa"/>
                  <w:tcBorders>
                    <w:top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20" w:lineRule="exact"/>
                    <w:ind w:firstLine="140" w:firstLineChars="67"/>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6.6传感器要求稳定运行的产品，确保质量可靠。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494" w:type="dxa"/>
                  <w:vMerge w:val="continue"/>
                  <w:noWrap w:val="0"/>
                  <w:vAlign w:val="center"/>
                </w:tcPr>
                <w:p>
                  <w:pPr>
                    <w:pageBreakBefore w:val="0"/>
                    <w:kinsoku/>
                    <w:overflowPunct/>
                    <w:topLinePunct w:val="0"/>
                    <w:autoSpaceDE/>
                    <w:autoSpaceDN/>
                    <w:bidi w:val="0"/>
                    <w:spacing w:after="120"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934" w:type="dxa"/>
                  <w:vMerge w:val="continue"/>
                  <w:noWrap w:val="0"/>
                  <w:vAlign w:val="center"/>
                </w:tcPr>
                <w:p>
                  <w:pPr>
                    <w:pageBreakBefore w:val="0"/>
                    <w:kinsoku/>
                    <w:overflowPunct/>
                    <w:topLinePunct w:val="0"/>
                    <w:autoSpaceDE/>
                    <w:autoSpaceDN/>
                    <w:bidi w:val="0"/>
                    <w:spacing w:after="120" w:line="320" w:lineRule="exact"/>
                    <w:ind w:left="105" w:leftChars="50" w:right="105" w:rightChars="50"/>
                    <w:jc w:val="center"/>
                    <w:rPr>
                      <w:rFonts w:hint="eastAsia" w:ascii="宋体" w:hAnsi="宋体" w:eastAsia="宋体" w:cs="宋体"/>
                      <w:b w:val="0"/>
                      <w:bCs/>
                      <w:kern w:val="2"/>
                      <w:sz w:val="21"/>
                      <w:szCs w:val="21"/>
                      <w:lang w:val="en-US" w:eastAsia="zh-CN" w:bidi="ar-SA"/>
                    </w:rPr>
                  </w:pPr>
                </w:p>
              </w:tc>
              <w:tc>
                <w:tcPr>
                  <w:tcW w:w="6466" w:type="dxa"/>
                  <w:tcBorders>
                    <w:top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spacing w:line="320" w:lineRule="exact"/>
                    <w:ind w:firstLine="140" w:firstLineChars="67"/>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6.7试压台可根据阀门通径大小选择相应密封垫。</w:t>
                  </w:r>
                </w:p>
              </w:tc>
            </w:tr>
          </w:tbl>
          <w:p>
            <w:pPr>
              <w:pStyle w:val="4"/>
              <w:keepNext/>
              <w:keepLines/>
              <w:pageBreakBefore w:val="0"/>
              <w:widowControl w:val="0"/>
              <w:kinsoku/>
              <w:wordWrap/>
              <w:overflowPunct/>
              <w:topLinePunct w:val="0"/>
              <w:autoSpaceDE/>
              <w:autoSpaceDN/>
              <w:bidi w:val="0"/>
              <w:adjustRightInd/>
              <w:snapToGrid/>
              <w:spacing w:before="0" w:after="0" w:line="320" w:lineRule="exac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3、软件模块</w:t>
            </w:r>
          </w:p>
          <w:p>
            <w:pPr>
              <w:pStyle w:val="16"/>
              <w:pageBreakBefore w:val="0"/>
              <w:kinsoku/>
              <w:overflowPunct/>
              <w:topLinePunct w:val="0"/>
              <w:autoSpaceDE/>
              <w:autoSpaceDN/>
              <w:bidi w:val="0"/>
              <w:spacing w:line="320" w:lineRule="exact"/>
              <w:ind w:left="178" w:leftChars="1" w:hanging="176" w:hangingChars="84"/>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3.1 PC端</w:t>
            </w:r>
          </w:p>
          <w:tbl>
            <w:tblPr>
              <w:tblStyle w:val="37"/>
              <w:tblpPr w:leftFromText="180" w:rightFromText="180" w:vertAnchor="text" w:tblpXSpec="center" w:tblpY="1"/>
              <w:tblOverlap w:val="never"/>
              <w:tblW w:w="7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64"/>
              <w:gridCol w:w="5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17" w:type="dxa"/>
                  <w:noWrap w:val="0"/>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序号</w:t>
                  </w:r>
                </w:p>
              </w:tc>
              <w:tc>
                <w:tcPr>
                  <w:tcW w:w="1764" w:type="dxa"/>
                  <w:noWrap/>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功能</w:t>
                  </w:r>
                </w:p>
              </w:tc>
              <w:tc>
                <w:tcPr>
                  <w:tcW w:w="5289" w:type="dxa"/>
                  <w:noWrap/>
                  <w:vAlign w:val="center"/>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17" w:type="dxa"/>
                  <w:vMerge w:val="restart"/>
                  <w:noWrap w:val="0"/>
                  <w:vAlign w:val="center"/>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w:t>
                  </w:r>
                </w:p>
              </w:tc>
              <w:tc>
                <w:tcPr>
                  <w:tcW w:w="1764" w:type="dxa"/>
                  <w:noWrap/>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7.1企业档案</w:t>
                  </w:r>
                </w:p>
              </w:tc>
              <w:tc>
                <w:tcPr>
                  <w:tcW w:w="5289" w:type="dxa"/>
                  <w:noWrap/>
                  <w:vAlign w:val="center"/>
                </w:tcPr>
                <w:p>
                  <w:pPr>
                    <w:pageBreakBefore w:val="0"/>
                    <w:widowControl/>
                    <w:kinsoku/>
                    <w:overflowPunct/>
                    <w:topLinePunct w:val="0"/>
                    <w:autoSpaceDE/>
                    <w:autoSpaceDN/>
                    <w:bidi w:val="0"/>
                    <w:spacing w:line="320" w:lineRule="exact"/>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记录企业基本信息</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17" w:type="dxa"/>
                  <w:vMerge w:val="continue"/>
                  <w:noWrap w:val="0"/>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64" w:type="dxa"/>
                  <w:noWrap/>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7.2呼吸阀档案</w:t>
                  </w:r>
                </w:p>
              </w:tc>
              <w:tc>
                <w:tcPr>
                  <w:tcW w:w="5289" w:type="dxa"/>
                  <w:noWrap/>
                  <w:vAlign w:val="center"/>
                </w:tcPr>
                <w:p>
                  <w:pPr>
                    <w:pageBreakBefore w:val="0"/>
                    <w:widowControl/>
                    <w:kinsoku/>
                    <w:overflowPunct/>
                    <w:topLinePunct w:val="0"/>
                    <w:autoSpaceDE/>
                    <w:autoSpaceDN/>
                    <w:bidi w:val="0"/>
                    <w:spacing w:line="320" w:lineRule="exact"/>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记录呼吸阀基本信息</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17" w:type="dxa"/>
                  <w:vMerge w:val="continue"/>
                  <w:noWrap w:val="0"/>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64" w:type="dxa"/>
                  <w:noWrap/>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7.3制造单位档案</w:t>
                  </w:r>
                </w:p>
              </w:tc>
              <w:tc>
                <w:tcPr>
                  <w:tcW w:w="5289" w:type="dxa"/>
                  <w:noWrap/>
                  <w:vAlign w:val="center"/>
                </w:tcPr>
                <w:p>
                  <w:pPr>
                    <w:pageBreakBefore w:val="0"/>
                    <w:widowControl/>
                    <w:kinsoku/>
                    <w:overflowPunct/>
                    <w:topLinePunct w:val="0"/>
                    <w:autoSpaceDE/>
                    <w:autoSpaceDN/>
                    <w:bidi w:val="0"/>
                    <w:spacing w:line="320" w:lineRule="exact"/>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记录制造单位基本信息</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17" w:type="dxa"/>
                  <w:vMerge w:val="continue"/>
                  <w:noWrap w:val="0"/>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64" w:type="dxa"/>
                  <w:noWrap/>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7.4受理大厅</w:t>
                  </w:r>
                </w:p>
              </w:tc>
              <w:tc>
                <w:tcPr>
                  <w:tcW w:w="5289" w:type="dxa"/>
                  <w:noWrap/>
                  <w:vAlign w:val="center"/>
                </w:tcPr>
                <w:p>
                  <w:pPr>
                    <w:pageBreakBefore w:val="0"/>
                    <w:widowControl/>
                    <w:kinsoku/>
                    <w:overflowPunct/>
                    <w:topLinePunct w:val="0"/>
                    <w:autoSpaceDE/>
                    <w:autoSpaceDN/>
                    <w:bidi w:val="0"/>
                    <w:spacing w:line="320" w:lineRule="exact"/>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登记委托单，记录委托单位信息和呼吸阀信息</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17" w:type="dxa"/>
                  <w:vMerge w:val="continue"/>
                  <w:noWrap w:val="0"/>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64" w:type="dxa"/>
                  <w:noWrap/>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7.5驳回处理</w:t>
                  </w:r>
                </w:p>
              </w:tc>
              <w:tc>
                <w:tcPr>
                  <w:tcW w:w="5289" w:type="dxa"/>
                  <w:noWrap/>
                  <w:vAlign w:val="center"/>
                </w:tcPr>
                <w:p>
                  <w:pPr>
                    <w:pageBreakBefore w:val="0"/>
                    <w:widowControl/>
                    <w:kinsoku/>
                    <w:overflowPunct/>
                    <w:topLinePunct w:val="0"/>
                    <w:autoSpaceDE/>
                    <w:autoSpaceDN/>
                    <w:bidi w:val="0"/>
                    <w:spacing w:line="320" w:lineRule="exact"/>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针对审核审批驳回的呼吸阀信息进行处理</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64" w:type="dxa"/>
                  <w:noWrap/>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7.6打印大厅</w:t>
                  </w:r>
                </w:p>
              </w:tc>
              <w:tc>
                <w:tcPr>
                  <w:tcW w:w="5289" w:type="dxa"/>
                  <w:noWrap/>
                  <w:vAlign w:val="center"/>
                </w:tcPr>
                <w:p>
                  <w:pPr>
                    <w:pageBreakBefore w:val="0"/>
                    <w:widowControl/>
                    <w:kinsoku/>
                    <w:overflowPunct/>
                    <w:topLinePunct w:val="0"/>
                    <w:autoSpaceDE/>
                    <w:autoSpaceDN/>
                    <w:bidi w:val="0"/>
                    <w:spacing w:line="320" w:lineRule="exact"/>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审批通过的呼吸阀校验信息系统自动生成报告和记录，支持在线打印</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17" w:type="dxa"/>
                  <w:vMerge w:val="continue"/>
                  <w:noWrap w:val="0"/>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64" w:type="dxa"/>
                  <w:noWrap/>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7.7归档库</w:t>
                  </w:r>
                </w:p>
              </w:tc>
              <w:tc>
                <w:tcPr>
                  <w:tcW w:w="5289" w:type="dxa"/>
                  <w:noWrap/>
                  <w:vAlign w:val="center"/>
                </w:tcPr>
                <w:p>
                  <w:pPr>
                    <w:pageBreakBefore w:val="0"/>
                    <w:widowControl/>
                    <w:kinsoku/>
                    <w:overflowPunct/>
                    <w:topLinePunct w:val="0"/>
                    <w:autoSpaceDE/>
                    <w:autoSpaceDN/>
                    <w:bidi w:val="0"/>
                    <w:spacing w:line="320" w:lineRule="exact"/>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阀门领取后校验记录自动进入归档库</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64" w:type="dxa"/>
                  <w:noWrap/>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7.8领导审核</w:t>
                  </w:r>
                </w:p>
              </w:tc>
              <w:tc>
                <w:tcPr>
                  <w:tcW w:w="5289" w:type="dxa"/>
                  <w:noWrap/>
                  <w:vAlign w:val="center"/>
                </w:tcPr>
                <w:p>
                  <w:pPr>
                    <w:pageBreakBefore w:val="0"/>
                    <w:widowControl/>
                    <w:kinsoku/>
                    <w:overflowPunct/>
                    <w:topLinePunct w:val="0"/>
                    <w:autoSpaceDE/>
                    <w:autoSpaceDN/>
                    <w:bidi w:val="0"/>
                    <w:spacing w:line="320" w:lineRule="exact"/>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校验后系统自动生成校验报告和校验记录，在线审核</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64" w:type="dxa"/>
                  <w:noWrap/>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7.9领导审批</w:t>
                  </w:r>
                </w:p>
              </w:tc>
              <w:tc>
                <w:tcPr>
                  <w:tcW w:w="5289" w:type="dxa"/>
                  <w:noWrap/>
                  <w:vAlign w:val="center"/>
                </w:tcPr>
                <w:p>
                  <w:pPr>
                    <w:pageBreakBefore w:val="0"/>
                    <w:widowControl/>
                    <w:kinsoku/>
                    <w:overflowPunct/>
                    <w:topLinePunct w:val="0"/>
                    <w:autoSpaceDE/>
                    <w:autoSpaceDN/>
                    <w:bidi w:val="0"/>
                    <w:spacing w:line="320" w:lineRule="exact"/>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校验后系统自动生成校验报告和校验记录，在线审批</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17" w:type="dxa"/>
                  <w:vMerge w:val="continue"/>
                  <w:noWrap w:val="0"/>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64" w:type="dxa"/>
                  <w:noWrap/>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7.10任务跟踪</w:t>
                  </w:r>
                </w:p>
              </w:tc>
              <w:tc>
                <w:tcPr>
                  <w:tcW w:w="5289" w:type="dxa"/>
                  <w:noWrap/>
                  <w:vAlign w:val="center"/>
                </w:tcPr>
                <w:p>
                  <w:pPr>
                    <w:pageBreakBefore w:val="0"/>
                    <w:widowControl/>
                    <w:kinsoku/>
                    <w:overflowPunct/>
                    <w:topLinePunct w:val="0"/>
                    <w:autoSpaceDE/>
                    <w:autoSpaceDN/>
                    <w:bidi w:val="0"/>
                    <w:spacing w:line="320" w:lineRule="exact"/>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支持跟踪呼吸阀业务全流程，可查看详情</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17" w:type="dxa"/>
                  <w:vMerge w:val="continue"/>
                  <w:noWrap w:val="0"/>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64" w:type="dxa"/>
                  <w:noWrap/>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7.11受理统计</w:t>
                  </w:r>
                </w:p>
              </w:tc>
              <w:tc>
                <w:tcPr>
                  <w:tcW w:w="5289" w:type="dxa"/>
                  <w:noWrap/>
                  <w:vAlign w:val="center"/>
                </w:tcPr>
                <w:p>
                  <w:pPr>
                    <w:pageBreakBefore w:val="0"/>
                    <w:widowControl/>
                    <w:kinsoku/>
                    <w:overflowPunct/>
                    <w:topLinePunct w:val="0"/>
                    <w:autoSpaceDE/>
                    <w:autoSpaceDN/>
                    <w:bidi w:val="0"/>
                    <w:spacing w:line="320" w:lineRule="exact"/>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统计所有受理信息报表</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17" w:type="dxa"/>
                  <w:vMerge w:val="continue"/>
                  <w:noWrap w:val="0"/>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64" w:type="dxa"/>
                  <w:noWrap/>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7.12校验统计</w:t>
                  </w:r>
                </w:p>
              </w:tc>
              <w:tc>
                <w:tcPr>
                  <w:tcW w:w="5289" w:type="dxa"/>
                  <w:noWrap/>
                  <w:vAlign w:val="center"/>
                </w:tcPr>
                <w:p>
                  <w:pPr>
                    <w:pageBreakBefore w:val="0"/>
                    <w:widowControl/>
                    <w:kinsoku/>
                    <w:overflowPunct/>
                    <w:topLinePunct w:val="0"/>
                    <w:autoSpaceDE/>
                    <w:autoSpaceDN/>
                    <w:bidi w:val="0"/>
                    <w:spacing w:line="320" w:lineRule="exact"/>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统计所有校验信息报表</w:t>
                  </w:r>
                  <w:r>
                    <w:rPr>
                      <w:rFonts w:hint="eastAsia" w:ascii="宋体" w:hAnsi="宋体" w:cs="宋体"/>
                      <w:b w:val="0"/>
                      <w:bCs/>
                      <w:kern w:val="2"/>
                      <w:sz w:val="21"/>
                      <w:szCs w:val="21"/>
                      <w:lang w:val="en-US" w:eastAsia="zh-CN" w:bidi="ar-SA"/>
                    </w:rPr>
                    <w:t>。</w:t>
                  </w:r>
                </w:p>
              </w:tc>
            </w:tr>
          </w:tbl>
          <w:p>
            <w:pPr>
              <w:pStyle w:val="16"/>
              <w:pageBreakBefore w:val="0"/>
              <w:kinsoku/>
              <w:overflowPunct/>
              <w:topLinePunct w:val="0"/>
              <w:autoSpaceDE/>
              <w:autoSpaceDN/>
              <w:bidi w:val="0"/>
              <w:spacing w:line="320" w:lineRule="exact"/>
              <w:ind w:firstLine="420"/>
              <w:rPr>
                <w:rFonts w:hint="eastAsia" w:ascii="宋体" w:hAnsi="宋体" w:eastAsia="宋体" w:cs="宋体"/>
                <w:b w:val="0"/>
                <w:bCs/>
                <w:kern w:val="2"/>
                <w:sz w:val="21"/>
                <w:szCs w:val="21"/>
                <w:lang w:val="en-US" w:eastAsia="zh-CN" w:bidi="ar-SA"/>
              </w:rPr>
            </w:pPr>
          </w:p>
          <w:p>
            <w:pPr>
              <w:pStyle w:val="16"/>
              <w:pageBreakBefore w:val="0"/>
              <w:kinsoku/>
              <w:overflowPunct/>
              <w:topLinePunct w:val="0"/>
              <w:autoSpaceDE/>
              <w:autoSpaceDN/>
              <w:bidi w:val="0"/>
              <w:spacing w:line="320" w:lineRule="exact"/>
              <w:ind w:firstLine="422"/>
              <w:rPr>
                <w:rFonts w:hint="eastAsia" w:ascii="宋体" w:hAnsi="宋体" w:eastAsia="宋体" w:cs="宋体"/>
                <w:b w:val="0"/>
                <w:bCs/>
                <w:kern w:val="2"/>
                <w:sz w:val="21"/>
                <w:szCs w:val="21"/>
                <w:lang w:val="en-US" w:eastAsia="zh-CN" w:bidi="ar-SA"/>
              </w:rPr>
            </w:pPr>
          </w:p>
          <w:p>
            <w:pPr>
              <w:pStyle w:val="16"/>
              <w:pageBreakBefore w:val="0"/>
              <w:kinsoku/>
              <w:overflowPunct/>
              <w:topLinePunct w:val="0"/>
              <w:autoSpaceDE/>
              <w:autoSpaceDN/>
              <w:bidi w:val="0"/>
              <w:spacing w:line="320" w:lineRule="exact"/>
              <w:ind w:firstLine="422"/>
              <w:rPr>
                <w:rFonts w:hint="eastAsia" w:ascii="宋体" w:hAnsi="宋体" w:eastAsia="宋体" w:cs="宋体"/>
                <w:b w:val="0"/>
                <w:bCs/>
                <w:kern w:val="2"/>
                <w:sz w:val="21"/>
                <w:szCs w:val="21"/>
                <w:lang w:val="en-US" w:eastAsia="zh-CN" w:bidi="ar-SA"/>
              </w:rPr>
            </w:pPr>
          </w:p>
          <w:p>
            <w:pPr>
              <w:pStyle w:val="16"/>
              <w:pageBreakBefore w:val="0"/>
              <w:kinsoku/>
              <w:overflowPunct/>
              <w:topLinePunct w:val="0"/>
              <w:autoSpaceDE/>
              <w:autoSpaceDN/>
              <w:bidi w:val="0"/>
              <w:spacing w:line="320" w:lineRule="exact"/>
              <w:ind w:firstLine="422"/>
              <w:rPr>
                <w:rFonts w:hint="eastAsia" w:ascii="宋体" w:hAnsi="宋体" w:eastAsia="宋体" w:cs="宋体"/>
                <w:b w:val="0"/>
                <w:bCs/>
                <w:kern w:val="2"/>
                <w:sz w:val="21"/>
                <w:szCs w:val="21"/>
                <w:lang w:val="en-US" w:eastAsia="zh-CN" w:bidi="ar-SA"/>
              </w:rPr>
            </w:pPr>
          </w:p>
          <w:p>
            <w:pPr>
              <w:pStyle w:val="16"/>
              <w:pageBreakBefore w:val="0"/>
              <w:kinsoku/>
              <w:overflowPunct/>
              <w:topLinePunct w:val="0"/>
              <w:autoSpaceDE/>
              <w:autoSpaceDN/>
              <w:bidi w:val="0"/>
              <w:spacing w:line="320" w:lineRule="exact"/>
              <w:ind w:firstLine="422"/>
              <w:rPr>
                <w:rFonts w:hint="eastAsia" w:ascii="宋体" w:hAnsi="宋体" w:eastAsia="宋体" w:cs="宋体"/>
                <w:b w:val="0"/>
                <w:bCs/>
                <w:kern w:val="2"/>
                <w:sz w:val="21"/>
                <w:szCs w:val="21"/>
                <w:lang w:val="en-US" w:eastAsia="zh-CN" w:bidi="ar-SA"/>
              </w:rPr>
            </w:pPr>
          </w:p>
          <w:p>
            <w:pPr>
              <w:pStyle w:val="16"/>
              <w:pageBreakBefore w:val="0"/>
              <w:kinsoku/>
              <w:overflowPunct/>
              <w:topLinePunct w:val="0"/>
              <w:autoSpaceDE/>
              <w:autoSpaceDN/>
              <w:bidi w:val="0"/>
              <w:spacing w:line="320" w:lineRule="exact"/>
              <w:ind w:firstLine="422"/>
              <w:rPr>
                <w:rFonts w:hint="eastAsia" w:ascii="宋体" w:hAnsi="宋体" w:eastAsia="宋体" w:cs="宋体"/>
                <w:b w:val="0"/>
                <w:bCs/>
                <w:kern w:val="2"/>
                <w:sz w:val="21"/>
                <w:szCs w:val="21"/>
                <w:lang w:val="en-US" w:eastAsia="zh-CN" w:bidi="ar-SA"/>
              </w:rPr>
            </w:pPr>
          </w:p>
          <w:p>
            <w:pPr>
              <w:pStyle w:val="16"/>
              <w:pageBreakBefore w:val="0"/>
              <w:kinsoku/>
              <w:overflowPunct/>
              <w:topLinePunct w:val="0"/>
              <w:autoSpaceDE/>
              <w:autoSpaceDN/>
              <w:bidi w:val="0"/>
              <w:spacing w:line="320" w:lineRule="exact"/>
              <w:ind w:firstLine="422"/>
              <w:rPr>
                <w:rFonts w:hint="eastAsia" w:ascii="宋体" w:hAnsi="宋体" w:eastAsia="宋体" w:cs="宋体"/>
                <w:b w:val="0"/>
                <w:bCs/>
                <w:kern w:val="2"/>
                <w:sz w:val="21"/>
                <w:szCs w:val="21"/>
                <w:lang w:val="en-US" w:eastAsia="zh-CN" w:bidi="ar-SA"/>
              </w:rPr>
            </w:pPr>
          </w:p>
          <w:p>
            <w:pPr>
              <w:pStyle w:val="16"/>
              <w:pageBreakBefore w:val="0"/>
              <w:kinsoku/>
              <w:overflowPunct/>
              <w:topLinePunct w:val="0"/>
              <w:autoSpaceDE/>
              <w:autoSpaceDN/>
              <w:bidi w:val="0"/>
              <w:spacing w:line="320" w:lineRule="exact"/>
              <w:ind w:firstLine="422"/>
              <w:rPr>
                <w:rFonts w:hint="eastAsia" w:ascii="宋体" w:hAnsi="宋体" w:eastAsia="宋体" w:cs="宋体"/>
                <w:b w:val="0"/>
                <w:bCs/>
                <w:kern w:val="2"/>
                <w:sz w:val="21"/>
                <w:szCs w:val="21"/>
                <w:lang w:val="en-US" w:eastAsia="zh-CN" w:bidi="ar-SA"/>
              </w:rPr>
            </w:pPr>
          </w:p>
          <w:p>
            <w:pPr>
              <w:pStyle w:val="16"/>
              <w:pageBreakBefore w:val="0"/>
              <w:kinsoku/>
              <w:overflowPunct/>
              <w:topLinePunct w:val="0"/>
              <w:autoSpaceDE/>
              <w:autoSpaceDN/>
              <w:bidi w:val="0"/>
              <w:spacing w:line="320" w:lineRule="exact"/>
              <w:ind w:firstLine="422"/>
              <w:rPr>
                <w:rFonts w:hint="eastAsia" w:ascii="宋体" w:hAnsi="宋体" w:eastAsia="宋体" w:cs="宋体"/>
                <w:b w:val="0"/>
                <w:bCs/>
                <w:kern w:val="2"/>
                <w:sz w:val="21"/>
                <w:szCs w:val="21"/>
                <w:lang w:val="en-US" w:eastAsia="zh-CN" w:bidi="ar-SA"/>
              </w:rPr>
            </w:pPr>
          </w:p>
          <w:p>
            <w:pPr>
              <w:pStyle w:val="16"/>
              <w:pageBreakBefore w:val="0"/>
              <w:kinsoku/>
              <w:overflowPunct/>
              <w:topLinePunct w:val="0"/>
              <w:autoSpaceDE/>
              <w:autoSpaceDN/>
              <w:bidi w:val="0"/>
              <w:spacing w:line="320" w:lineRule="exact"/>
              <w:ind w:firstLine="422"/>
              <w:rPr>
                <w:rFonts w:hint="eastAsia" w:ascii="宋体" w:hAnsi="宋体" w:eastAsia="宋体" w:cs="宋体"/>
                <w:b w:val="0"/>
                <w:bCs/>
                <w:kern w:val="2"/>
                <w:sz w:val="21"/>
                <w:szCs w:val="21"/>
                <w:lang w:val="en-US" w:eastAsia="zh-CN" w:bidi="ar-SA"/>
              </w:rPr>
            </w:pPr>
          </w:p>
          <w:p>
            <w:pPr>
              <w:pStyle w:val="16"/>
              <w:pageBreakBefore w:val="0"/>
              <w:kinsoku/>
              <w:overflowPunct/>
              <w:topLinePunct w:val="0"/>
              <w:autoSpaceDE/>
              <w:autoSpaceDN/>
              <w:bidi w:val="0"/>
              <w:spacing w:line="320" w:lineRule="exact"/>
              <w:ind w:firstLine="422"/>
              <w:rPr>
                <w:rFonts w:hint="eastAsia" w:ascii="宋体" w:hAnsi="宋体" w:eastAsia="宋体" w:cs="宋体"/>
                <w:b w:val="0"/>
                <w:bCs/>
                <w:kern w:val="2"/>
                <w:sz w:val="21"/>
                <w:szCs w:val="21"/>
                <w:lang w:val="en-US" w:eastAsia="zh-CN" w:bidi="ar-SA"/>
              </w:rPr>
            </w:pPr>
          </w:p>
          <w:p>
            <w:pPr>
              <w:pStyle w:val="16"/>
              <w:pageBreakBefore w:val="0"/>
              <w:kinsoku/>
              <w:overflowPunct/>
              <w:topLinePunct w:val="0"/>
              <w:autoSpaceDE/>
              <w:autoSpaceDN/>
              <w:bidi w:val="0"/>
              <w:spacing w:line="320" w:lineRule="exact"/>
              <w:ind w:firstLine="422"/>
              <w:rPr>
                <w:rFonts w:hint="eastAsia" w:ascii="宋体" w:hAnsi="宋体" w:eastAsia="宋体" w:cs="宋体"/>
                <w:b w:val="0"/>
                <w:bCs/>
                <w:kern w:val="2"/>
                <w:sz w:val="21"/>
                <w:szCs w:val="21"/>
                <w:lang w:val="en-US" w:eastAsia="zh-CN" w:bidi="ar-SA"/>
              </w:rPr>
            </w:pPr>
          </w:p>
          <w:p>
            <w:pPr>
              <w:pStyle w:val="16"/>
              <w:pageBreakBefore w:val="0"/>
              <w:kinsoku/>
              <w:overflowPunct/>
              <w:topLinePunct w:val="0"/>
              <w:autoSpaceDE/>
              <w:autoSpaceDN/>
              <w:bidi w:val="0"/>
              <w:spacing w:line="320" w:lineRule="exact"/>
              <w:ind w:firstLine="422"/>
              <w:rPr>
                <w:rFonts w:hint="eastAsia" w:ascii="宋体" w:hAnsi="宋体" w:eastAsia="宋体" w:cs="宋体"/>
                <w:b w:val="0"/>
                <w:bCs/>
                <w:kern w:val="2"/>
                <w:sz w:val="21"/>
                <w:szCs w:val="21"/>
                <w:lang w:val="en-US" w:eastAsia="zh-CN" w:bidi="ar-SA"/>
              </w:rPr>
            </w:pPr>
          </w:p>
          <w:p>
            <w:pPr>
              <w:pStyle w:val="16"/>
              <w:pageBreakBefore w:val="0"/>
              <w:kinsoku/>
              <w:overflowPunct/>
              <w:topLinePunct w:val="0"/>
              <w:autoSpaceDE/>
              <w:autoSpaceDN/>
              <w:bidi w:val="0"/>
              <w:spacing w:line="320" w:lineRule="exact"/>
              <w:ind w:firstLine="422"/>
              <w:rPr>
                <w:rFonts w:hint="eastAsia" w:ascii="宋体" w:hAnsi="宋体" w:eastAsia="宋体" w:cs="宋体"/>
                <w:b w:val="0"/>
                <w:bCs/>
                <w:kern w:val="2"/>
                <w:sz w:val="21"/>
                <w:szCs w:val="21"/>
                <w:lang w:val="en-US" w:eastAsia="zh-CN" w:bidi="ar-SA"/>
              </w:rPr>
            </w:pPr>
          </w:p>
          <w:p>
            <w:pPr>
              <w:pStyle w:val="16"/>
              <w:pageBreakBefore w:val="0"/>
              <w:kinsoku/>
              <w:overflowPunct/>
              <w:topLinePunct w:val="0"/>
              <w:autoSpaceDE/>
              <w:autoSpaceDN/>
              <w:bidi w:val="0"/>
              <w:spacing w:line="320" w:lineRule="exact"/>
              <w:ind w:firstLine="422"/>
              <w:rPr>
                <w:rFonts w:hint="eastAsia" w:ascii="宋体" w:hAnsi="宋体" w:eastAsia="宋体" w:cs="宋体"/>
                <w:b w:val="0"/>
                <w:bCs/>
                <w:kern w:val="2"/>
                <w:sz w:val="21"/>
                <w:szCs w:val="21"/>
                <w:lang w:val="en-US" w:eastAsia="zh-CN" w:bidi="ar-SA"/>
              </w:rPr>
            </w:pPr>
          </w:p>
          <w:p>
            <w:pPr>
              <w:pStyle w:val="16"/>
              <w:pageBreakBefore w:val="0"/>
              <w:kinsoku/>
              <w:overflowPunct/>
              <w:topLinePunct w:val="0"/>
              <w:autoSpaceDE/>
              <w:autoSpaceDN/>
              <w:bidi w:val="0"/>
              <w:spacing w:line="320" w:lineRule="exact"/>
              <w:ind w:left="0" w:leftChars="0" w:firstLine="0" w:firstLineChars="0"/>
              <w:rPr>
                <w:rFonts w:hint="eastAsia" w:ascii="宋体" w:hAnsi="宋体" w:eastAsia="宋体" w:cs="宋体"/>
                <w:b w:val="0"/>
                <w:bCs/>
                <w:kern w:val="2"/>
                <w:sz w:val="21"/>
                <w:szCs w:val="21"/>
                <w:lang w:val="en-US" w:eastAsia="zh-CN" w:bidi="ar-SA"/>
              </w:rPr>
            </w:pPr>
          </w:p>
          <w:p>
            <w:pPr>
              <w:pStyle w:val="16"/>
              <w:pageBreakBefore w:val="0"/>
              <w:kinsoku/>
              <w:overflowPunct/>
              <w:topLinePunct w:val="0"/>
              <w:autoSpaceDE/>
              <w:autoSpaceDN/>
              <w:bidi w:val="0"/>
              <w:spacing w:line="320" w:lineRule="exact"/>
              <w:ind w:left="0" w:leftChars="0" w:firstLine="0" w:firstLineChars="0"/>
              <w:rPr>
                <w:rFonts w:hint="eastAsia" w:ascii="宋体" w:hAnsi="宋体" w:eastAsia="宋体" w:cs="宋体"/>
                <w:b w:val="0"/>
                <w:bCs/>
                <w:kern w:val="2"/>
                <w:sz w:val="21"/>
                <w:szCs w:val="21"/>
                <w:lang w:val="en-US" w:eastAsia="zh-CN" w:bidi="ar-SA"/>
              </w:rPr>
            </w:pPr>
          </w:p>
          <w:p>
            <w:pPr>
              <w:pStyle w:val="16"/>
              <w:pageBreakBefore w:val="0"/>
              <w:kinsoku/>
              <w:overflowPunct/>
              <w:topLinePunct w:val="0"/>
              <w:autoSpaceDE/>
              <w:autoSpaceDN/>
              <w:bidi w:val="0"/>
              <w:spacing w:line="320" w:lineRule="exact"/>
              <w:ind w:left="0" w:leftChars="0" w:firstLine="0" w:firstLineChars="0"/>
              <w:rPr>
                <w:rFonts w:hint="eastAsia" w:ascii="宋体" w:hAnsi="宋体" w:eastAsia="宋体" w:cs="宋体"/>
                <w:b w:val="0"/>
                <w:bCs/>
                <w:kern w:val="2"/>
                <w:sz w:val="21"/>
                <w:szCs w:val="21"/>
                <w:lang w:val="en-US" w:eastAsia="zh-CN" w:bidi="ar-SA"/>
              </w:rPr>
            </w:pPr>
          </w:p>
          <w:p>
            <w:pPr>
              <w:pStyle w:val="16"/>
              <w:pageBreakBefore w:val="0"/>
              <w:kinsoku/>
              <w:overflowPunct/>
              <w:topLinePunct w:val="0"/>
              <w:autoSpaceDE/>
              <w:autoSpaceDN/>
              <w:bidi w:val="0"/>
              <w:spacing w:line="320" w:lineRule="exact"/>
              <w:ind w:left="0" w:leftChars="0" w:firstLine="0" w:firstLineChars="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br w:type="page"/>
            </w:r>
            <w:r>
              <w:rPr>
                <w:rFonts w:hint="eastAsia" w:ascii="宋体" w:hAnsi="宋体" w:eastAsia="宋体" w:cs="宋体"/>
                <w:b w:val="0"/>
                <w:bCs/>
                <w:kern w:val="2"/>
                <w:sz w:val="21"/>
                <w:szCs w:val="21"/>
                <w:lang w:val="en-US" w:eastAsia="zh-CN" w:bidi="ar-SA"/>
              </w:rPr>
              <w:t>3.2 校验台嵌入式软件</w:t>
            </w:r>
          </w:p>
          <w:tbl>
            <w:tblPr>
              <w:tblStyle w:val="37"/>
              <w:tblpPr w:leftFromText="180" w:rightFromText="180" w:vertAnchor="text" w:tblpXSpec="center" w:tblpY="1"/>
              <w:tblOverlap w:val="never"/>
              <w:tblW w:w="8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789"/>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7" w:type="dxa"/>
                  <w:noWrap w:val="0"/>
                  <w:vAlign w:val="center"/>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序号</w:t>
                  </w:r>
                </w:p>
              </w:tc>
              <w:tc>
                <w:tcPr>
                  <w:tcW w:w="1789" w:type="dxa"/>
                  <w:noWrap/>
                  <w:vAlign w:val="center"/>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功能</w:t>
                  </w:r>
                </w:p>
              </w:tc>
              <w:tc>
                <w:tcPr>
                  <w:tcW w:w="5711" w:type="dxa"/>
                  <w:noWrap/>
                  <w:vAlign w:val="center"/>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47" w:type="dxa"/>
                  <w:vMerge w:val="restart"/>
                  <w:noWrap w:val="0"/>
                  <w:vAlign w:val="center"/>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w:t>
                  </w:r>
                </w:p>
              </w:tc>
              <w:tc>
                <w:tcPr>
                  <w:tcW w:w="1789" w:type="dxa"/>
                  <w:noWrap/>
                  <w:vAlign w:val="center"/>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8.1呼气校验</w:t>
                  </w:r>
                </w:p>
              </w:tc>
              <w:tc>
                <w:tcPr>
                  <w:tcW w:w="5711" w:type="dxa"/>
                  <w:noWrap/>
                  <w:vAlign w:val="center"/>
                </w:tcPr>
                <w:p>
                  <w:pPr>
                    <w:pageBreakBefore w:val="0"/>
                    <w:widowControl/>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基于《中华人民共和国石油天然气行业标准 SY／T 0511．1—2010》，控制校验台设备启动吸气校验，设备根据整定正压自动判定起跳获取起跳压力。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47" w:type="dxa"/>
                  <w:vMerge w:val="continue"/>
                  <w:noWrap w:val="0"/>
                  <w:vAlign w:val="center"/>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89" w:type="dxa"/>
                  <w:noWrap/>
                  <w:vAlign w:val="center"/>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8.2呼气通气量测试</w:t>
                  </w:r>
                </w:p>
              </w:tc>
              <w:tc>
                <w:tcPr>
                  <w:tcW w:w="5711" w:type="dxa"/>
                  <w:noWrap/>
                  <w:vAlign w:val="center"/>
                </w:tcPr>
                <w:p>
                  <w:pPr>
                    <w:pageBreakBefore w:val="0"/>
                    <w:widowControl/>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基于《中华人民共和国石油天然气行业标准 SY／T 0511．1—2010》，控制校验台设备开启呼气抓取通气量。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47" w:type="dxa"/>
                  <w:vMerge w:val="continue"/>
                  <w:noWrap w:val="0"/>
                  <w:vAlign w:val="center"/>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89" w:type="dxa"/>
                  <w:noWrap/>
                  <w:vAlign w:val="center"/>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b w:val="0"/>
                      <w:bCs/>
                      <w:kern w:val="2"/>
                      <w:sz w:val="21"/>
                      <w:szCs w:val="21"/>
                      <w:lang w:val="en-US" w:eastAsia="zh-CN" w:bidi="ar-SA"/>
                    </w:rPr>
                    <w:t>8.3呼气保压测试</w:t>
                  </w:r>
                </w:p>
              </w:tc>
              <w:tc>
                <w:tcPr>
                  <w:tcW w:w="5711" w:type="dxa"/>
                  <w:noWrap/>
                  <w:vAlign w:val="center"/>
                </w:tcPr>
                <w:p>
                  <w:pPr>
                    <w:pageBreakBefore w:val="0"/>
                    <w:widowControl/>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基于《中华人民共和国石油天然气行业标准 SY／T 0511．1—2010》，控制校验台设备开启呼气持续加压持续采集通气量，判定是否漏气。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7" w:type="dxa"/>
                  <w:vMerge w:val="continue"/>
                  <w:noWrap w:val="0"/>
                  <w:vAlign w:val="center"/>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89" w:type="dxa"/>
                  <w:noWrap/>
                  <w:vAlign w:val="center"/>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8.4吸气校验</w:t>
                  </w:r>
                </w:p>
              </w:tc>
              <w:tc>
                <w:tcPr>
                  <w:tcW w:w="5711" w:type="dxa"/>
                  <w:noWrap/>
                  <w:vAlign w:val="center"/>
                </w:tcPr>
                <w:p>
                  <w:pPr>
                    <w:pageBreakBefore w:val="0"/>
                    <w:widowControl/>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基于《中华人民共和国石油天然气行业标准 SY／T 0511．1—2010》，控制校验台设备启动吸气校验，设备根据整定正压自动判定起跳获取起跳压力。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47" w:type="dxa"/>
                  <w:vMerge w:val="continue"/>
                  <w:noWrap w:val="0"/>
                  <w:vAlign w:val="center"/>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89" w:type="dxa"/>
                  <w:noWrap/>
                  <w:vAlign w:val="center"/>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8.5吸气通气量测试</w:t>
                  </w:r>
                </w:p>
              </w:tc>
              <w:tc>
                <w:tcPr>
                  <w:tcW w:w="5711" w:type="dxa"/>
                  <w:noWrap/>
                  <w:vAlign w:val="center"/>
                </w:tcPr>
                <w:p>
                  <w:pPr>
                    <w:pageBreakBefore w:val="0"/>
                    <w:widowControl/>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基于《中华人民共和国石油天然气行业标准 SY／T 0511．1—2010》，控制校验台设备开启吸气抓取通气量。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47" w:type="dxa"/>
                  <w:vMerge w:val="continue"/>
                  <w:noWrap w:val="0"/>
                  <w:vAlign w:val="center"/>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89" w:type="dxa"/>
                  <w:noWrap/>
                  <w:vAlign w:val="center"/>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8.6吸气保压测试</w:t>
                  </w:r>
                </w:p>
              </w:tc>
              <w:tc>
                <w:tcPr>
                  <w:tcW w:w="5711" w:type="dxa"/>
                  <w:noWrap/>
                  <w:vAlign w:val="center"/>
                </w:tcPr>
                <w:p>
                  <w:pPr>
                    <w:pageBreakBefore w:val="0"/>
                    <w:widowControl/>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基于《中华人民共和国石油天然气行业标准 SY／T 0511．1—2010》，控制校验台设备开启吸气持续加压持续采集通气量，判定是否漏气。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47" w:type="dxa"/>
                  <w:vMerge w:val="continue"/>
                  <w:noWrap w:val="0"/>
                  <w:vAlign w:val="center"/>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89" w:type="dxa"/>
                  <w:noWrap/>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8.7实时压力</w:t>
                  </w:r>
                </w:p>
              </w:tc>
              <w:tc>
                <w:tcPr>
                  <w:tcW w:w="5711" w:type="dxa"/>
                  <w:noWrap/>
                  <w:vAlign w:val="center"/>
                </w:tcPr>
                <w:p>
                  <w:pPr>
                    <w:pageBreakBefore w:val="0"/>
                    <w:widowControl/>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实时显示当前校验台压力</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47" w:type="dxa"/>
                  <w:vMerge w:val="continue"/>
                  <w:noWrap w:val="0"/>
                  <w:vAlign w:val="center"/>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89" w:type="dxa"/>
                  <w:noWrap/>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8.8实时温度</w:t>
                  </w:r>
                </w:p>
              </w:tc>
              <w:tc>
                <w:tcPr>
                  <w:tcW w:w="5711" w:type="dxa"/>
                  <w:noWrap/>
                  <w:vAlign w:val="center"/>
                </w:tcPr>
                <w:p>
                  <w:pPr>
                    <w:pageBreakBefore w:val="0"/>
                    <w:widowControl/>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实时显示当前环境温度</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47" w:type="dxa"/>
                  <w:vMerge w:val="continue"/>
                  <w:noWrap w:val="0"/>
                  <w:vAlign w:val="center"/>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89" w:type="dxa"/>
                  <w:noWrap/>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8.9实时通气量</w:t>
                  </w:r>
                </w:p>
              </w:tc>
              <w:tc>
                <w:tcPr>
                  <w:tcW w:w="5711" w:type="dxa"/>
                  <w:noWrap/>
                  <w:vAlign w:val="center"/>
                </w:tcPr>
                <w:p>
                  <w:pPr>
                    <w:pageBreakBefore w:val="0"/>
                    <w:widowControl/>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实时显示当前校验台通气量</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47" w:type="dxa"/>
                  <w:vMerge w:val="continue"/>
                  <w:noWrap w:val="0"/>
                  <w:vAlign w:val="center"/>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89" w:type="dxa"/>
                  <w:noWrap/>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8.10实时湿度</w:t>
                  </w:r>
                </w:p>
              </w:tc>
              <w:tc>
                <w:tcPr>
                  <w:tcW w:w="5711" w:type="dxa"/>
                  <w:noWrap/>
                  <w:vAlign w:val="center"/>
                </w:tcPr>
                <w:p>
                  <w:pPr>
                    <w:pageBreakBefore w:val="0"/>
                    <w:widowControl/>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实时显示当前环境湿度</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47" w:type="dxa"/>
                  <w:vMerge w:val="continue"/>
                  <w:noWrap w:val="0"/>
                  <w:vAlign w:val="center"/>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89" w:type="dxa"/>
                  <w:noWrap/>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8.11呼吸阀基本信息</w:t>
                  </w:r>
                </w:p>
              </w:tc>
              <w:tc>
                <w:tcPr>
                  <w:tcW w:w="5711" w:type="dxa"/>
                  <w:noWrap/>
                  <w:vAlign w:val="center"/>
                </w:tcPr>
                <w:p>
                  <w:pPr>
                    <w:pageBreakBefore w:val="0"/>
                    <w:widowControl/>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显示当前校验的呼吸阀基本信息</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47" w:type="dxa"/>
                  <w:vMerge w:val="continue"/>
                  <w:noWrap w:val="0"/>
                  <w:vAlign w:val="center"/>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89" w:type="dxa"/>
                  <w:noWrap/>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8.12校验记录列表</w:t>
                  </w:r>
                </w:p>
              </w:tc>
              <w:tc>
                <w:tcPr>
                  <w:tcW w:w="5711" w:type="dxa"/>
                  <w:noWrap/>
                  <w:vAlign w:val="center"/>
                </w:tcPr>
                <w:p>
                  <w:pPr>
                    <w:pageBreakBefore w:val="0"/>
                    <w:widowControl/>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显示待校验的呼吸阀校验任务</w:t>
                  </w:r>
                  <w:r>
                    <w:rPr>
                      <w:rFonts w:hint="eastAsia" w:ascii="宋体" w:hAnsi="宋体" w:cs="宋体"/>
                      <w:b w:val="0"/>
                      <w:bCs/>
                      <w:kern w:val="2"/>
                      <w:sz w:val="21"/>
                      <w:szCs w:val="21"/>
                      <w:lang w:val="en-US" w:eastAsia="zh-CN" w:bidi="ar-SA"/>
                    </w:rPr>
                    <w:t>。</w:t>
                  </w:r>
                </w:p>
              </w:tc>
            </w:tr>
          </w:tbl>
          <w:p>
            <w:pPr>
              <w:pStyle w:val="16"/>
              <w:pageBreakBefore w:val="0"/>
              <w:kinsoku/>
              <w:overflowPunct/>
              <w:topLinePunct w:val="0"/>
              <w:autoSpaceDE/>
              <w:autoSpaceDN/>
              <w:bidi w:val="0"/>
              <w:spacing w:after="156" w:afterLines="50" w:line="320" w:lineRule="exact"/>
              <w:ind w:left="0" w:leftChars="0" w:firstLine="0" w:firstLineChars="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3.3控制软件</w:t>
            </w:r>
          </w:p>
          <w:tbl>
            <w:tblPr>
              <w:tblStyle w:val="37"/>
              <w:tblpPr w:leftFromText="180" w:rightFromText="180" w:vertAnchor="text" w:tblpXSpec="center" w:tblpY="1"/>
              <w:tblOverlap w:val="never"/>
              <w:tblW w:w="7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878"/>
              <w:gridCol w:w="6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47" w:type="dxa"/>
                  <w:noWrap w:val="0"/>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序号</w:t>
                  </w:r>
                </w:p>
              </w:tc>
              <w:tc>
                <w:tcPr>
                  <w:tcW w:w="878" w:type="dxa"/>
                  <w:noWrap/>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功能</w:t>
                  </w:r>
                </w:p>
              </w:tc>
              <w:tc>
                <w:tcPr>
                  <w:tcW w:w="6322" w:type="dxa"/>
                  <w:noWrap/>
                  <w:vAlign w:val="center"/>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功能具备要求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47" w:type="dxa"/>
                  <w:vMerge w:val="restart"/>
                  <w:noWrap w:val="0"/>
                  <w:vAlign w:val="center"/>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w:t>
                  </w:r>
                </w:p>
              </w:tc>
              <w:tc>
                <w:tcPr>
                  <w:tcW w:w="878" w:type="dxa"/>
                  <w:vMerge w:val="restart"/>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检测内容</w:t>
                  </w:r>
                </w:p>
              </w:tc>
              <w:tc>
                <w:tcPr>
                  <w:tcW w:w="6322" w:type="dxa"/>
                  <w:noWrap/>
                  <w:vAlign w:val="center"/>
                </w:tcPr>
                <w:p>
                  <w:pPr>
                    <w:pageBreakBefore w:val="0"/>
                    <w:widowControl/>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9.1手动/自动呼气开启压力测试</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47" w:type="dxa"/>
                  <w:vMerge w:val="continue"/>
                  <w:noWrap w:val="0"/>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878"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6322" w:type="dxa"/>
                  <w:noWrap/>
                  <w:vAlign w:val="center"/>
                </w:tcPr>
                <w:p>
                  <w:pPr>
                    <w:pageBreakBefore w:val="0"/>
                    <w:widowControl/>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9.2手动/自动呼气通气量测试</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47" w:type="dxa"/>
                  <w:vMerge w:val="continue"/>
                  <w:noWrap w:val="0"/>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878"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6322" w:type="dxa"/>
                  <w:noWrap/>
                  <w:vAlign w:val="center"/>
                </w:tcPr>
                <w:p>
                  <w:pPr>
                    <w:pageBreakBefore w:val="0"/>
                    <w:widowControl/>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9.3手动/自动吸气开启压力测试</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47" w:type="dxa"/>
                  <w:vMerge w:val="continue"/>
                  <w:noWrap w:val="0"/>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878"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6322" w:type="dxa"/>
                  <w:noWrap/>
                  <w:vAlign w:val="center"/>
                </w:tcPr>
                <w:p>
                  <w:pPr>
                    <w:pageBreakBefore w:val="0"/>
                    <w:widowControl/>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9.4手动/自动吸气通气量测试</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47" w:type="dxa"/>
                  <w:vMerge w:val="continue"/>
                  <w:noWrap w:val="0"/>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878"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6322" w:type="dxa"/>
                  <w:noWrap/>
                  <w:vAlign w:val="center"/>
                </w:tcPr>
                <w:p>
                  <w:pPr>
                    <w:pageBreakBefore w:val="0"/>
                    <w:widowControl/>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9.5手动/自动保压测试</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47" w:type="dxa"/>
                  <w:vMerge w:val="continue"/>
                  <w:noWrap w:val="0"/>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878"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6322" w:type="dxa"/>
                  <w:noWrap/>
                  <w:vAlign w:val="center"/>
                </w:tcPr>
                <w:p>
                  <w:pPr>
                    <w:pageBreakBefore w:val="0"/>
                    <w:widowControl/>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9.6通气量压降测试</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7" w:type="dxa"/>
                  <w:vMerge w:val="continue"/>
                  <w:noWrap w:val="0"/>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878"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6322" w:type="dxa"/>
                  <w:noWrap/>
                  <w:vAlign w:val="center"/>
                </w:tcPr>
                <w:p>
                  <w:pPr>
                    <w:pageBreakBefore w:val="0"/>
                    <w:widowControl/>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9.7泄漏量测试</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7" w:type="dxa"/>
                  <w:vMerge w:val="continue"/>
                  <w:noWrap w:val="0"/>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878" w:type="dxa"/>
                  <w:vMerge w:val="restart"/>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数据处理</w:t>
                  </w:r>
                </w:p>
              </w:tc>
              <w:tc>
                <w:tcPr>
                  <w:tcW w:w="6322" w:type="dxa"/>
                  <w:noWrap/>
                  <w:vAlign w:val="center"/>
                </w:tcPr>
                <w:p>
                  <w:pPr>
                    <w:pageBreakBefore w:val="0"/>
                    <w:widowControl/>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9.8在线数据监视与读取</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7" w:type="dxa"/>
                  <w:vMerge w:val="continue"/>
                  <w:noWrap w:val="0"/>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878"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6322" w:type="dxa"/>
                  <w:noWrap/>
                  <w:vAlign w:val="center"/>
                </w:tcPr>
                <w:p>
                  <w:pPr>
                    <w:pageBreakBefore w:val="0"/>
                    <w:widowControl/>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9.9离线数据分析</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7" w:type="dxa"/>
                  <w:vMerge w:val="continue"/>
                  <w:noWrap w:val="0"/>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878"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6322" w:type="dxa"/>
                  <w:noWrap/>
                  <w:vAlign w:val="center"/>
                </w:tcPr>
                <w:p>
                  <w:pPr>
                    <w:pageBreakBefore w:val="0"/>
                    <w:widowControl/>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9.10数据报告</w:t>
                  </w:r>
                  <w:r>
                    <w:rPr>
                      <w:rFonts w:hint="eastAsia" w:ascii="宋体" w:hAnsi="宋体" w:cs="宋体"/>
                      <w:b w:val="0"/>
                      <w:bCs/>
                      <w:kern w:val="2"/>
                      <w:sz w:val="21"/>
                      <w:szCs w:val="21"/>
                      <w:lang w:val="en-US" w:eastAsia="zh-CN" w:bidi="ar-SA"/>
                    </w:rPr>
                    <w:t>。</w:t>
                  </w:r>
                </w:p>
              </w:tc>
            </w:tr>
          </w:tbl>
          <w:p>
            <w:pPr>
              <w:pStyle w:val="16"/>
              <w:pageBreakBefore w:val="0"/>
              <w:kinsoku/>
              <w:overflowPunct/>
              <w:topLinePunct w:val="0"/>
              <w:autoSpaceDE/>
              <w:autoSpaceDN/>
              <w:bidi w:val="0"/>
              <w:spacing w:line="320" w:lineRule="exact"/>
              <w:ind w:firstLine="420"/>
              <w:rPr>
                <w:rFonts w:hint="eastAsia" w:ascii="宋体" w:hAnsi="宋体" w:eastAsia="宋体" w:cs="宋体"/>
                <w:b w:val="0"/>
                <w:bCs/>
                <w:kern w:val="2"/>
                <w:sz w:val="21"/>
                <w:szCs w:val="21"/>
                <w:lang w:val="en-US" w:eastAsia="zh-CN" w:bidi="ar-SA"/>
              </w:rPr>
            </w:pPr>
          </w:p>
          <w:p>
            <w:pPr>
              <w:pStyle w:val="4"/>
              <w:pageBreakBefore w:val="0"/>
              <w:kinsoku/>
              <w:overflowPunct/>
              <w:topLinePunct w:val="0"/>
              <w:autoSpaceDE/>
              <w:autoSpaceDN/>
              <w:bidi w:val="0"/>
              <w:spacing w:after="0" w:line="320" w:lineRule="exact"/>
              <w:rPr>
                <w:rFonts w:hint="eastAsia" w:ascii="宋体" w:hAnsi="宋体" w:eastAsia="宋体" w:cs="宋体"/>
                <w:b w:val="0"/>
                <w:bCs/>
                <w:kern w:val="2"/>
                <w:sz w:val="21"/>
                <w:szCs w:val="21"/>
                <w:lang w:val="en-US" w:eastAsia="zh-CN" w:bidi="ar-SA"/>
              </w:rPr>
            </w:pPr>
          </w:p>
          <w:p>
            <w:pPr>
              <w:pStyle w:val="4"/>
              <w:pageBreakBefore w:val="0"/>
              <w:kinsoku/>
              <w:overflowPunct/>
              <w:topLinePunct w:val="0"/>
              <w:autoSpaceDE/>
              <w:autoSpaceDN/>
              <w:bidi w:val="0"/>
              <w:spacing w:after="0" w:line="320" w:lineRule="exact"/>
              <w:rPr>
                <w:rFonts w:hint="eastAsia" w:ascii="宋体" w:hAnsi="宋体" w:eastAsia="宋体" w:cs="宋体"/>
                <w:b w:val="0"/>
                <w:bCs/>
                <w:kern w:val="2"/>
                <w:sz w:val="21"/>
                <w:szCs w:val="21"/>
                <w:lang w:val="en-US" w:eastAsia="zh-CN" w:bidi="ar-SA"/>
              </w:rPr>
            </w:pPr>
          </w:p>
          <w:p>
            <w:pPr>
              <w:pStyle w:val="4"/>
              <w:pageBreakBefore w:val="0"/>
              <w:kinsoku/>
              <w:overflowPunct/>
              <w:topLinePunct w:val="0"/>
              <w:autoSpaceDE/>
              <w:autoSpaceDN/>
              <w:bidi w:val="0"/>
              <w:spacing w:after="0" w:line="320" w:lineRule="exact"/>
              <w:rPr>
                <w:rFonts w:hint="eastAsia" w:ascii="宋体" w:hAnsi="宋体" w:eastAsia="宋体" w:cs="宋体"/>
                <w:b w:val="0"/>
                <w:bCs/>
                <w:kern w:val="2"/>
                <w:sz w:val="21"/>
                <w:szCs w:val="21"/>
                <w:lang w:val="en-US" w:eastAsia="zh-CN" w:bidi="ar-SA"/>
              </w:rPr>
            </w:pPr>
          </w:p>
          <w:p>
            <w:pPr>
              <w:pStyle w:val="4"/>
              <w:pageBreakBefore w:val="0"/>
              <w:kinsoku/>
              <w:overflowPunct/>
              <w:topLinePunct w:val="0"/>
              <w:autoSpaceDE/>
              <w:autoSpaceDN/>
              <w:bidi w:val="0"/>
              <w:spacing w:after="0" w:line="320" w:lineRule="exact"/>
              <w:rPr>
                <w:rFonts w:hint="eastAsia" w:ascii="宋体" w:hAnsi="宋体" w:eastAsia="宋体" w:cs="宋体"/>
                <w:b w:val="0"/>
                <w:bCs/>
                <w:kern w:val="2"/>
                <w:sz w:val="21"/>
                <w:szCs w:val="21"/>
                <w:lang w:val="en-US" w:eastAsia="zh-CN" w:bidi="ar-SA"/>
              </w:rPr>
            </w:pP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320" w:lineRule="exact"/>
              <w:textAlignment w:val="auto"/>
              <w:rPr>
                <w:rFonts w:hint="eastAsia" w:ascii="宋体" w:hAnsi="宋体" w:eastAsia="宋体" w:cs="宋体"/>
                <w:b w:val="0"/>
                <w:bCs/>
                <w:kern w:val="2"/>
                <w:sz w:val="21"/>
                <w:szCs w:val="21"/>
                <w:lang w:val="en-US" w:eastAsia="zh-CN" w:bidi="ar-SA"/>
              </w:rPr>
            </w:pPr>
          </w:p>
          <w:p>
            <w:pPr>
              <w:pStyle w:val="4"/>
              <w:keepNext/>
              <w:keepLines/>
              <w:pageBreakBefore w:val="0"/>
              <w:widowControl w:val="0"/>
              <w:kinsoku/>
              <w:wordWrap/>
              <w:overflowPunct/>
              <w:topLinePunct w:val="0"/>
              <w:autoSpaceDE/>
              <w:autoSpaceDN/>
              <w:bidi w:val="0"/>
              <w:adjustRightInd/>
              <w:snapToGrid/>
              <w:spacing w:before="0" w:after="0" w:line="320" w:lineRule="exact"/>
              <w:textAlignment w:val="auto"/>
              <w:rPr>
                <w:rFonts w:hint="eastAsia" w:ascii="宋体" w:hAnsi="宋体" w:eastAsia="宋体" w:cs="宋体"/>
                <w:b w:val="0"/>
                <w:bCs/>
                <w:kern w:val="2"/>
                <w:sz w:val="21"/>
                <w:szCs w:val="21"/>
                <w:lang w:val="en-US" w:eastAsia="zh-CN" w:bidi="ar-SA"/>
              </w:rPr>
            </w:pPr>
          </w:p>
          <w:p>
            <w:pPr>
              <w:pStyle w:val="4"/>
              <w:keepNext/>
              <w:keepLines/>
              <w:pageBreakBefore w:val="0"/>
              <w:widowControl w:val="0"/>
              <w:kinsoku/>
              <w:wordWrap/>
              <w:overflowPunct/>
              <w:topLinePunct w:val="0"/>
              <w:autoSpaceDE/>
              <w:autoSpaceDN/>
              <w:bidi w:val="0"/>
              <w:adjustRightInd/>
              <w:snapToGrid/>
              <w:spacing w:before="0" w:after="0" w:line="320" w:lineRule="exact"/>
              <w:textAlignment w:val="auto"/>
              <w:rPr>
                <w:rFonts w:hint="eastAsia" w:ascii="宋体" w:hAnsi="宋体" w:eastAsia="宋体" w:cs="宋体"/>
                <w:b w:val="0"/>
                <w:bCs/>
                <w:kern w:val="2"/>
                <w:sz w:val="21"/>
                <w:szCs w:val="21"/>
                <w:lang w:val="en-US" w:eastAsia="zh-CN" w:bidi="ar-SA"/>
              </w:rPr>
            </w:pPr>
          </w:p>
          <w:p>
            <w:pPr>
              <w:pStyle w:val="4"/>
              <w:keepNext/>
              <w:keepLines/>
              <w:pageBreakBefore w:val="0"/>
              <w:widowControl w:val="0"/>
              <w:kinsoku/>
              <w:wordWrap/>
              <w:overflowPunct/>
              <w:topLinePunct w:val="0"/>
              <w:autoSpaceDE/>
              <w:autoSpaceDN/>
              <w:bidi w:val="0"/>
              <w:adjustRightInd/>
              <w:snapToGrid/>
              <w:spacing w:before="0" w:after="0" w:line="320" w:lineRule="exact"/>
              <w:textAlignment w:val="auto"/>
              <w:rPr>
                <w:rFonts w:hint="eastAsia" w:ascii="宋体" w:hAnsi="宋体" w:eastAsia="宋体" w:cs="宋体"/>
                <w:b w:val="0"/>
                <w:bCs/>
                <w:kern w:val="2"/>
                <w:sz w:val="21"/>
                <w:szCs w:val="21"/>
                <w:lang w:val="en-US" w:eastAsia="zh-CN" w:bidi="ar-SA"/>
              </w:rPr>
            </w:pPr>
          </w:p>
          <w:p>
            <w:pPr>
              <w:pStyle w:val="4"/>
              <w:keepNext/>
              <w:keepLines/>
              <w:pageBreakBefore w:val="0"/>
              <w:widowControl w:val="0"/>
              <w:kinsoku/>
              <w:wordWrap/>
              <w:overflowPunct/>
              <w:topLinePunct w:val="0"/>
              <w:autoSpaceDE/>
              <w:autoSpaceDN/>
              <w:bidi w:val="0"/>
              <w:adjustRightInd/>
              <w:snapToGrid/>
              <w:spacing w:before="0" w:after="0" w:line="320" w:lineRule="exact"/>
              <w:textAlignment w:val="auto"/>
              <w:rPr>
                <w:rFonts w:hint="eastAsia" w:ascii="宋体" w:hAnsi="宋体" w:eastAsia="宋体" w:cs="宋体"/>
                <w:b w:val="0"/>
                <w:bCs/>
                <w:kern w:val="2"/>
                <w:sz w:val="21"/>
                <w:szCs w:val="21"/>
                <w:lang w:val="en-US" w:eastAsia="zh-CN" w:bidi="ar-SA"/>
              </w:rPr>
            </w:pPr>
          </w:p>
          <w:p>
            <w:pPr>
              <w:pStyle w:val="4"/>
              <w:keepNext/>
              <w:keepLines/>
              <w:pageBreakBefore w:val="0"/>
              <w:widowControl w:val="0"/>
              <w:kinsoku/>
              <w:wordWrap/>
              <w:overflowPunct/>
              <w:topLinePunct w:val="0"/>
              <w:autoSpaceDE/>
              <w:autoSpaceDN/>
              <w:bidi w:val="0"/>
              <w:adjustRightInd/>
              <w:snapToGrid/>
              <w:spacing w:before="0" w:after="0" w:line="320" w:lineRule="exac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4、软件平台硬件配置</w:t>
            </w:r>
          </w:p>
          <w:tbl>
            <w:tblPr>
              <w:tblStyle w:val="37"/>
              <w:tblpPr w:leftFromText="180" w:rightFromText="180" w:vertAnchor="text" w:tblpXSpec="center" w:tblpY="1"/>
              <w:tblOverlap w:val="never"/>
              <w:tblW w:w="7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700"/>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59" w:type="dxa"/>
                  <w:noWrap/>
                  <w:vAlign w:val="center"/>
                </w:tcPr>
                <w:p>
                  <w:pPr>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序号</w:t>
                  </w:r>
                </w:p>
              </w:tc>
              <w:tc>
                <w:tcPr>
                  <w:tcW w:w="1700" w:type="dxa"/>
                  <w:noWrap w:val="0"/>
                  <w:vAlign w:val="top"/>
                </w:tcPr>
                <w:p>
                  <w:pPr>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模块</w:t>
                  </w:r>
                </w:p>
              </w:tc>
              <w:tc>
                <w:tcPr>
                  <w:tcW w:w="5419" w:type="dxa"/>
                  <w:noWrap/>
                  <w:vAlign w:val="top"/>
                </w:tcPr>
                <w:p>
                  <w:pPr>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9" w:type="dxa"/>
                  <w:vMerge w:val="restart"/>
                  <w:noWrap/>
                  <w:vAlign w:val="center"/>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10</w:t>
                  </w:r>
                </w:p>
              </w:tc>
              <w:tc>
                <w:tcPr>
                  <w:tcW w:w="1700" w:type="dxa"/>
                  <w:noWrap w:val="0"/>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10.1操作系统</w:t>
                  </w:r>
                </w:p>
              </w:tc>
              <w:tc>
                <w:tcPr>
                  <w:tcW w:w="5419" w:type="dxa"/>
                  <w:noWrap/>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LinuxCentOS 7</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9" w:type="dxa"/>
                  <w:vMerge w:val="continue"/>
                  <w:noWrap/>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00" w:type="dxa"/>
                  <w:noWrap w:val="0"/>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10.2数据库</w:t>
                  </w:r>
                </w:p>
              </w:tc>
              <w:tc>
                <w:tcPr>
                  <w:tcW w:w="5419" w:type="dxa"/>
                  <w:noWrap/>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Mysql 5.7或以上</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9" w:type="dxa"/>
                  <w:vMerge w:val="continue"/>
                  <w:noWrap/>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00" w:type="dxa"/>
                  <w:noWrap w:val="0"/>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10.3缓存</w:t>
                  </w:r>
                </w:p>
              </w:tc>
              <w:tc>
                <w:tcPr>
                  <w:tcW w:w="5419" w:type="dxa"/>
                  <w:noWrap/>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Redis 3.2或以上</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9" w:type="dxa"/>
                  <w:vMerge w:val="continue"/>
                  <w:noWrap/>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00" w:type="dxa"/>
                  <w:noWrap w:val="0"/>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10.4硬盘</w:t>
                  </w:r>
                </w:p>
              </w:tc>
              <w:tc>
                <w:tcPr>
                  <w:tcW w:w="5419" w:type="dxa"/>
                  <w:noWrap/>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500G或以上</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9" w:type="dxa"/>
                  <w:vMerge w:val="continue"/>
                  <w:noWrap/>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00" w:type="dxa"/>
                  <w:noWrap w:val="0"/>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10.5 CPU</w:t>
                  </w:r>
                </w:p>
              </w:tc>
              <w:tc>
                <w:tcPr>
                  <w:tcW w:w="5419" w:type="dxa"/>
                  <w:noWrap/>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双核或以上</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9"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1700" w:type="dxa"/>
                  <w:noWrap w:val="0"/>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10.6内存</w:t>
                  </w:r>
                </w:p>
              </w:tc>
              <w:tc>
                <w:tcPr>
                  <w:tcW w:w="5419" w:type="dxa"/>
                  <w:noWrap/>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16G或以上</w:t>
                  </w:r>
                  <w:r>
                    <w:rPr>
                      <w:rFonts w:hint="eastAsia" w:ascii="宋体" w:hAnsi="宋体" w:cs="宋体"/>
                      <w:b w:val="0"/>
                      <w:bCs/>
                      <w:kern w:val="2"/>
                      <w:sz w:val="21"/>
                      <w:szCs w:val="21"/>
                      <w:lang w:val="en-US" w:eastAsia="zh-CN" w:bidi="ar-SA"/>
                    </w:rPr>
                    <w:t>。</w:t>
                  </w:r>
                </w:p>
              </w:tc>
            </w:tr>
          </w:tbl>
          <w:p>
            <w:pPr>
              <w:pStyle w:val="4"/>
              <w:pageBreakBefore w:val="0"/>
              <w:kinsoku/>
              <w:overflowPunct/>
              <w:topLinePunct w:val="0"/>
              <w:autoSpaceDE/>
              <w:autoSpaceDN/>
              <w:bidi w:val="0"/>
              <w:spacing w:before="0" w:after="0" w:line="320" w:lineRule="exact"/>
              <w:rPr>
                <w:rFonts w:hint="eastAsia" w:ascii="宋体" w:hAnsi="宋体" w:eastAsia="宋体" w:cs="宋体"/>
                <w:b w:val="0"/>
                <w:bCs/>
                <w:kern w:val="2"/>
                <w:sz w:val="21"/>
                <w:szCs w:val="21"/>
                <w:lang w:val="en-US" w:eastAsia="zh-CN" w:bidi="ar-SA"/>
              </w:rPr>
            </w:pPr>
          </w:p>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p>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p>
          <w:p>
            <w:pPr>
              <w:pStyle w:val="4"/>
              <w:pageBreakBefore w:val="0"/>
              <w:kinsoku/>
              <w:overflowPunct/>
              <w:topLinePunct w:val="0"/>
              <w:autoSpaceDE/>
              <w:autoSpaceDN/>
              <w:bidi w:val="0"/>
              <w:spacing w:before="0" w:after="0" w:line="320" w:lineRule="exact"/>
              <w:rPr>
                <w:rFonts w:hint="eastAsia" w:ascii="宋体" w:hAnsi="宋体" w:eastAsia="宋体" w:cs="宋体"/>
                <w:b w:val="0"/>
                <w:bCs/>
                <w:kern w:val="2"/>
                <w:sz w:val="21"/>
                <w:szCs w:val="21"/>
                <w:lang w:val="en-US" w:eastAsia="zh-CN" w:bidi="ar-SA"/>
              </w:rPr>
            </w:pPr>
          </w:p>
          <w:p>
            <w:pPr>
              <w:pStyle w:val="4"/>
              <w:pageBreakBefore w:val="0"/>
              <w:kinsoku/>
              <w:overflowPunct/>
              <w:topLinePunct w:val="0"/>
              <w:autoSpaceDE/>
              <w:autoSpaceDN/>
              <w:bidi w:val="0"/>
              <w:spacing w:before="0" w:after="0" w:line="320" w:lineRule="exact"/>
              <w:rPr>
                <w:rFonts w:hint="eastAsia" w:ascii="宋体" w:hAnsi="宋体" w:eastAsia="宋体" w:cs="宋体"/>
                <w:b w:val="0"/>
                <w:bCs/>
                <w:kern w:val="2"/>
                <w:sz w:val="21"/>
                <w:szCs w:val="21"/>
                <w:lang w:val="en-US" w:eastAsia="zh-CN" w:bidi="ar-SA"/>
              </w:rPr>
            </w:pPr>
          </w:p>
          <w:p>
            <w:pPr>
              <w:pStyle w:val="4"/>
              <w:pageBreakBefore w:val="0"/>
              <w:kinsoku/>
              <w:overflowPunct/>
              <w:topLinePunct w:val="0"/>
              <w:autoSpaceDE/>
              <w:autoSpaceDN/>
              <w:bidi w:val="0"/>
              <w:spacing w:before="0" w:after="0" w:line="320" w:lineRule="exact"/>
              <w:rPr>
                <w:rFonts w:hint="eastAsia" w:ascii="宋体" w:hAnsi="宋体" w:eastAsia="宋体" w:cs="宋体"/>
                <w:b w:val="0"/>
                <w:bCs/>
                <w:kern w:val="2"/>
                <w:sz w:val="21"/>
                <w:szCs w:val="21"/>
                <w:lang w:val="en-US" w:eastAsia="zh-CN" w:bidi="ar-SA"/>
              </w:rPr>
            </w:pPr>
          </w:p>
          <w:p>
            <w:pPr>
              <w:pStyle w:val="4"/>
              <w:pageBreakBefore w:val="0"/>
              <w:kinsoku/>
              <w:overflowPunct/>
              <w:topLinePunct w:val="0"/>
              <w:autoSpaceDE/>
              <w:autoSpaceDN/>
              <w:bidi w:val="0"/>
              <w:spacing w:before="0" w:after="0" w:line="320" w:lineRule="exact"/>
              <w:rPr>
                <w:rFonts w:hint="eastAsia" w:ascii="宋体" w:hAnsi="宋体" w:eastAsia="宋体" w:cs="宋体"/>
                <w:b w:val="0"/>
                <w:bCs/>
                <w:kern w:val="2"/>
                <w:sz w:val="21"/>
                <w:szCs w:val="21"/>
                <w:lang w:val="en-US" w:eastAsia="zh-CN" w:bidi="ar-SA"/>
              </w:rPr>
            </w:pPr>
          </w:p>
          <w:p>
            <w:pPr>
              <w:pStyle w:val="4"/>
              <w:pageBreakBefore w:val="0"/>
              <w:kinsoku/>
              <w:overflowPunct/>
              <w:topLinePunct w:val="0"/>
              <w:autoSpaceDE/>
              <w:autoSpaceDN/>
              <w:bidi w:val="0"/>
              <w:spacing w:before="0" w:after="0" w:line="320" w:lineRule="exact"/>
              <w:rPr>
                <w:rFonts w:hint="eastAsia" w:ascii="宋体" w:hAnsi="宋体" w:eastAsia="宋体" w:cs="宋体"/>
                <w:b w:val="0"/>
                <w:bCs/>
                <w:kern w:val="2"/>
                <w:sz w:val="21"/>
                <w:szCs w:val="21"/>
                <w:lang w:val="en-US" w:eastAsia="zh-CN" w:bidi="ar-SA"/>
              </w:rPr>
            </w:pPr>
          </w:p>
          <w:p>
            <w:pPr>
              <w:pStyle w:val="4"/>
              <w:pageBreakBefore w:val="0"/>
              <w:kinsoku/>
              <w:overflowPunct/>
              <w:topLinePunct w:val="0"/>
              <w:autoSpaceDE/>
              <w:autoSpaceDN/>
              <w:bidi w:val="0"/>
              <w:spacing w:before="0" w:after="0"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5、仪器</w:t>
            </w:r>
          </w:p>
          <w:p>
            <w:pPr>
              <w:pageBreakBefore w:val="0"/>
              <w:widowControl/>
              <w:kinsoku/>
              <w:overflowPunct/>
              <w:topLinePunct w:val="0"/>
              <w:autoSpaceDE/>
              <w:autoSpaceDN/>
              <w:bidi w:val="0"/>
              <w:spacing w:line="320" w:lineRule="exact"/>
              <w:jc w:val="left"/>
              <w:textAlignment w:val="baseline"/>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5.1主要仪器技术参数：</w:t>
            </w:r>
          </w:p>
          <w:tbl>
            <w:tblPr>
              <w:tblStyle w:val="37"/>
              <w:tblpPr w:leftFromText="180" w:rightFromText="180" w:vertAnchor="text" w:tblpXSpec="center" w:tblpY="1"/>
              <w:tblOverlap w:val="never"/>
              <w:tblW w:w="7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133"/>
              <w:gridCol w:w="4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96" w:type="dxa"/>
                  <w:noWrap/>
                  <w:vAlign w:val="center"/>
                </w:tcPr>
                <w:p>
                  <w:pPr>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序号</w:t>
                  </w:r>
                </w:p>
              </w:tc>
              <w:tc>
                <w:tcPr>
                  <w:tcW w:w="2133" w:type="dxa"/>
                  <w:noWrap w:val="0"/>
                  <w:vAlign w:val="top"/>
                </w:tcPr>
                <w:p>
                  <w:pPr>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名称</w:t>
                  </w:r>
                </w:p>
              </w:tc>
              <w:tc>
                <w:tcPr>
                  <w:tcW w:w="4920" w:type="dxa"/>
                  <w:noWrap/>
                  <w:vAlign w:val="top"/>
                </w:tcPr>
                <w:p>
                  <w:pPr>
                    <w:pageBreakBefore w:val="0"/>
                    <w:kinsoku/>
                    <w:overflowPunct/>
                    <w:topLinePunct w:val="0"/>
                    <w:autoSpaceDE/>
                    <w:autoSpaceDN/>
                    <w:bidi w:val="0"/>
                    <w:spacing w:line="320" w:lineRule="exact"/>
                    <w:ind w:left="105" w:leftChars="50" w:right="105" w:rightChars="5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96" w:type="dxa"/>
                  <w:vMerge w:val="restart"/>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2133" w:type="dxa"/>
                  <w:noWrap w:val="0"/>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w:t>
                  </w:r>
                  <w:r>
                    <w:rPr>
                      <w:rFonts w:hint="eastAsia" w:ascii="宋体" w:hAnsi="宋体" w:cs="宋体"/>
                      <w:b w:val="0"/>
                      <w:bCs/>
                      <w:kern w:val="2"/>
                      <w:sz w:val="21"/>
                      <w:szCs w:val="21"/>
                      <w:lang w:val="en-US" w:eastAsia="zh-CN" w:bidi="ar-SA"/>
                    </w:rPr>
                    <w:t>1</w:t>
                  </w:r>
                  <w:r>
                    <w:rPr>
                      <w:rFonts w:hint="eastAsia" w:ascii="宋体" w:hAnsi="宋体" w:eastAsia="宋体" w:cs="宋体"/>
                      <w:b w:val="0"/>
                      <w:bCs/>
                      <w:kern w:val="2"/>
                      <w:sz w:val="21"/>
                      <w:szCs w:val="21"/>
                      <w:lang w:val="en-US" w:eastAsia="zh-CN" w:bidi="ar-SA"/>
                    </w:rPr>
                    <w:t>设备尺寸</w:t>
                  </w:r>
                </w:p>
              </w:tc>
              <w:tc>
                <w:tcPr>
                  <w:tcW w:w="4920" w:type="dxa"/>
                  <w:noWrap/>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小于等于2500*1400*900 mm</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96"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2133" w:type="dxa"/>
                  <w:noWrap w:val="0"/>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w:t>
                  </w:r>
                  <w:r>
                    <w:rPr>
                      <w:rFonts w:hint="eastAsia" w:ascii="宋体" w:hAnsi="宋体" w:cs="宋体"/>
                      <w:b w:val="0"/>
                      <w:bCs/>
                      <w:kern w:val="2"/>
                      <w:sz w:val="21"/>
                      <w:szCs w:val="21"/>
                      <w:lang w:val="en-US" w:eastAsia="zh-CN" w:bidi="ar-SA"/>
                    </w:rPr>
                    <w:t>2</w:t>
                  </w:r>
                  <w:r>
                    <w:rPr>
                      <w:rFonts w:hint="eastAsia" w:ascii="宋体" w:hAnsi="宋体" w:eastAsia="宋体" w:cs="宋体"/>
                      <w:b w:val="0"/>
                      <w:bCs/>
                      <w:kern w:val="2"/>
                      <w:sz w:val="21"/>
                      <w:szCs w:val="21"/>
                      <w:lang w:val="en-US" w:eastAsia="zh-CN" w:bidi="ar-SA"/>
                    </w:rPr>
                    <w:t>适用呼吸阀口径</w:t>
                  </w:r>
                </w:p>
              </w:tc>
              <w:tc>
                <w:tcPr>
                  <w:tcW w:w="4920" w:type="dxa"/>
                  <w:noWrap/>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小于等于DN350</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96"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2133" w:type="dxa"/>
                  <w:noWrap w:val="0"/>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w:t>
                  </w:r>
                  <w:r>
                    <w:rPr>
                      <w:rFonts w:hint="eastAsia" w:ascii="宋体" w:hAnsi="宋体" w:cs="宋体"/>
                      <w:b w:val="0"/>
                      <w:bCs/>
                      <w:kern w:val="2"/>
                      <w:sz w:val="21"/>
                      <w:szCs w:val="21"/>
                      <w:lang w:val="en-US" w:eastAsia="zh-CN" w:bidi="ar-SA"/>
                    </w:rPr>
                    <w:t>3</w:t>
                  </w:r>
                  <w:r>
                    <w:rPr>
                      <w:rFonts w:hint="eastAsia" w:ascii="宋体" w:hAnsi="宋体" w:eastAsia="宋体" w:cs="宋体"/>
                      <w:b w:val="0"/>
                      <w:bCs/>
                      <w:kern w:val="2"/>
                      <w:sz w:val="21"/>
                      <w:szCs w:val="21"/>
                      <w:lang w:val="en-US" w:eastAsia="zh-CN" w:bidi="ar-SA"/>
                    </w:rPr>
                    <w:t>压力范围</w:t>
                  </w:r>
                </w:p>
              </w:tc>
              <w:tc>
                <w:tcPr>
                  <w:tcW w:w="4920" w:type="dxa"/>
                  <w:noWrap/>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-1.5KPa～2.5kPa</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96"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2133" w:type="dxa"/>
                  <w:noWrap w:val="0"/>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w:t>
                  </w:r>
                  <w:r>
                    <w:rPr>
                      <w:rFonts w:hint="eastAsia" w:ascii="宋体" w:hAnsi="宋体" w:cs="宋体"/>
                      <w:b w:val="0"/>
                      <w:bCs/>
                      <w:kern w:val="2"/>
                      <w:sz w:val="21"/>
                      <w:szCs w:val="21"/>
                      <w:lang w:val="en-US" w:eastAsia="zh-CN" w:bidi="ar-SA"/>
                    </w:rPr>
                    <w:t>4</w:t>
                  </w:r>
                  <w:r>
                    <w:rPr>
                      <w:rFonts w:hint="eastAsia" w:ascii="宋体" w:hAnsi="宋体" w:eastAsia="宋体" w:cs="宋体"/>
                      <w:b w:val="0"/>
                      <w:bCs/>
                      <w:kern w:val="2"/>
                      <w:sz w:val="21"/>
                      <w:szCs w:val="21"/>
                      <w:lang w:val="en-US" w:eastAsia="zh-CN" w:bidi="ar-SA"/>
                    </w:rPr>
                    <w:t>风量</w:t>
                  </w:r>
                </w:p>
              </w:tc>
              <w:tc>
                <w:tcPr>
                  <w:tcW w:w="4920" w:type="dxa"/>
                  <w:noWrap/>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2800M3³/h</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96"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2133" w:type="dxa"/>
                  <w:noWrap w:val="0"/>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w:t>
                  </w:r>
                  <w:r>
                    <w:rPr>
                      <w:rFonts w:hint="eastAsia" w:ascii="宋体" w:hAnsi="宋体" w:cs="宋体"/>
                      <w:b w:val="0"/>
                      <w:bCs/>
                      <w:kern w:val="2"/>
                      <w:sz w:val="21"/>
                      <w:szCs w:val="21"/>
                      <w:lang w:val="en-US" w:eastAsia="zh-CN" w:bidi="ar-SA"/>
                    </w:rPr>
                    <w:t>5</w:t>
                  </w:r>
                  <w:r>
                    <w:rPr>
                      <w:rFonts w:hint="eastAsia" w:ascii="宋体" w:hAnsi="宋体" w:eastAsia="宋体" w:cs="宋体"/>
                      <w:b w:val="0"/>
                      <w:bCs/>
                      <w:kern w:val="2"/>
                      <w:sz w:val="21"/>
                      <w:szCs w:val="21"/>
                      <w:lang w:val="en-US" w:eastAsia="zh-CN" w:bidi="ar-SA"/>
                    </w:rPr>
                    <w:t>电源电压及功耗</w:t>
                  </w:r>
                </w:p>
              </w:tc>
              <w:tc>
                <w:tcPr>
                  <w:tcW w:w="4920" w:type="dxa"/>
                  <w:noWrap/>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AC220V 4KW</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96"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2133" w:type="dxa"/>
                  <w:noWrap w:val="0"/>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w:t>
                  </w:r>
                  <w:r>
                    <w:rPr>
                      <w:rFonts w:hint="eastAsia" w:ascii="宋体" w:hAnsi="宋体" w:cs="宋体"/>
                      <w:b w:val="0"/>
                      <w:bCs/>
                      <w:kern w:val="2"/>
                      <w:sz w:val="21"/>
                      <w:szCs w:val="21"/>
                      <w:lang w:val="en-US" w:eastAsia="zh-CN" w:bidi="ar-SA"/>
                    </w:rPr>
                    <w:t>6</w:t>
                  </w:r>
                  <w:r>
                    <w:rPr>
                      <w:rFonts w:hint="eastAsia" w:ascii="宋体" w:hAnsi="宋体" w:eastAsia="宋体" w:cs="宋体"/>
                      <w:b w:val="0"/>
                      <w:bCs/>
                      <w:kern w:val="2"/>
                      <w:sz w:val="21"/>
                      <w:szCs w:val="21"/>
                      <w:lang w:val="en-US" w:eastAsia="zh-CN" w:bidi="ar-SA"/>
                    </w:rPr>
                    <w:t>流量精度</w:t>
                  </w:r>
                </w:p>
              </w:tc>
              <w:tc>
                <w:tcPr>
                  <w:tcW w:w="4920" w:type="dxa"/>
                  <w:noWrap/>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96"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2133" w:type="dxa"/>
                  <w:noWrap w:val="0"/>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w:t>
                  </w:r>
                  <w:r>
                    <w:rPr>
                      <w:rFonts w:hint="eastAsia" w:ascii="宋体" w:hAnsi="宋体" w:cs="宋体"/>
                      <w:b w:val="0"/>
                      <w:bCs/>
                      <w:kern w:val="2"/>
                      <w:sz w:val="21"/>
                      <w:szCs w:val="21"/>
                      <w:lang w:val="en-US" w:eastAsia="zh-CN" w:bidi="ar-SA"/>
                    </w:rPr>
                    <w:t>7</w:t>
                  </w:r>
                  <w:r>
                    <w:rPr>
                      <w:rFonts w:hint="eastAsia" w:ascii="宋体" w:hAnsi="宋体" w:eastAsia="宋体" w:cs="宋体"/>
                      <w:b w:val="0"/>
                      <w:bCs/>
                      <w:kern w:val="2"/>
                      <w:sz w:val="21"/>
                      <w:szCs w:val="21"/>
                      <w:lang w:val="en-US" w:eastAsia="zh-CN" w:bidi="ar-SA"/>
                    </w:rPr>
                    <w:t>压力精度</w:t>
                  </w:r>
                </w:p>
              </w:tc>
              <w:tc>
                <w:tcPr>
                  <w:tcW w:w="4920" w:type="dxa"/>
                  <w:noWrap/>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0.1Pa</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96" w:type="dxa"/>
                  <w:vMerge w:val="continue"/>
                  <w:noWrap/>
                  <w:vAlign w:val="center"/>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2133" w:type="dxa"/>
                  <w:noWrap w:val="0"/>
                  <w:vAlign w:val="center"/>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w:t>
                  </w:r>
                  <w:r>
                    <w:rPr>
                      <w:rFonts w:hint="eastAsia" w:ascii="宋体" w:hAnsi="宋体" w:cs="宋体"/>
                      <w:b w:val="0"/>
                      <w:bCs/>
                      <w:kern w:val="2"/>
                      <w:sz w:val="21"/>
                      <w:szCs w:val="21"/>
                      <w:lang w:val="en-US" w:eastAsia="zh-CN" w:bidi="ar-SA"/>
                    </w:rPr>
                    <w:t>8</w:t>
                  </w:r>
                  <w:r>
                    <w:rPr>
                      <w:rFonts w:hint="eastAsia" w:ascii="宋体" w:hAnsi="宋体" w:eastAsia="宋体" w:cs="宋体"/>
                      <w:b w:val="0"/>
                      <w:bCs/>
                      <w:kern w:val="2"/>
                      <w:sz w:val="21"/>
                      <w:szCs w:val="21"/>
                      <w:lang w:val="en-US" w:eastAsia="zh-CN" w:bidi="ar-SA"/>
                    </w:rPr>
                    <w:t>工控机</w:t>
                  </w:r>
                </w:p>
              </w:tc>
              <w:tc>
                <w:tcPr>
                  <w:tcW w:w="4920" w:type="dxa"/>
                  <w:noWrap/>
                  <w:vAlign w:val="center"/>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Win7操作系统，内存:2GB（可升级），接口:LAN、VGA、USB2、HDMI等</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96"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2133" w:type="dxa"/>
                  <w:noWrap w:val="0"/>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w:t>
                  </w:r>
                  <w:r>
                    <w:rPr>
                      <w:rFonts w:hint="eastAsia" w:ascii="宋体" w:hAnsi="宋体" w:cs="宋体"/>
                      <w:b w:val="0"/>
                      <w:bCs/>
                      <w:kern w:val="2"/>
                      <w:sz w:val="21"/>
                      <w:szCs w:val="21"/>
                      <w:lang w:val="en-US" w:eastAsia="zh-CN" w:bidi="ar-SA"/>
                    </w:rPr>
                    <w:t>9</w:t>
                  </w:r>
                  <w:r>
                    <w:rPr>
                      <w:rFonts w:hint="eastAsia" w:ascii="宋体" w:hAnsi="宋体" w:eastAsia="宋体" w:cs="宋体"/>
                      <w:b w:val="0"/>
                      <w:bCs/>
                      <w:kern w:val="2"/>
                      <w:sz w:val="21"/>
                      <w:szCs w:val="21"/>
                      <w:lang w:val="en-US" w:eastAsia="zh-CN" w:bidi="ar-SA"/>
                    </w:rPr>
                    <w:t>显示</w:t>
                  </w:r>
                </w:p>
              </w:tc>
              <w:tc>
                <w:tcPr>
                  <w:tcW w:w="4920" w:type="dxa"/>
                  <w:noWrap/>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电容触摸屏</w:t>
                  </w:r>
                  <w:r>
                    <w:rPr>
                      <w:rFonts w:hint="eastAsia" w:ascii="宋体" w:hAnsi="宋体" w:cs="宋体"/>
                      <w:b w:val="0"/>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96"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2133" w:type="dxa"/>
                  <w:noWrap w:val="0"/>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11.1</w:t>
                  </w:r>
                  <w:r>
                    <w:rPr>
                      <w:rFonts w:hint="eastAsia" w:ascii="宋体" w:hAnsi="宋体" w:cs="宋体"/>
                      <w:b w:val="0"/>
                      <w:bCs/>
                      <w:kern w:val="2"/>
                      <w:sz w:val="21"/>
                      <w:szCs w:val="21"/>
                      <w:lang w:val="en-US" w:eastAsia="zh-CN" w:bidi="ar-SA"/>
                    </w:rPr>
                    <w:t>0</w:t>
                  </w:r>
                  <w:r>
                    <w:rPr>
                      <w:rFonts w:hint="eastAsia" w:ascii="宋体" w:hAnsi="宋体" w:eastAsia="宋体" w:cs="宋体"/>
                      <w:b w:val="0"/>
                      <w:bCs/>
                      <w:kern w:val="2"/>
                      <w:sz w:val="21"/>
                      <w:szCs w:val="21"/>
                      <w:lang w:val="en-US" w:eastAsia="zh-CN" w:bidi="ar-SA"/>
                    </w:rPr>
                    <w:t>服务器</w:t>
                  </w:r>
                </w:p>
              </w:tc>
              <w:tc>
                <w:tcPr>
                  <w:tcW w:w="4920" w:type="dxa"/>
                  <w:noWrap/>
                  <w:vAlign w:val="top"/>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云服务器或其他</w:t>
                  </w:r>
                  <w:r>
                    <w:rPr>
                      <w:rFonts w:hint="eastAsia" w:ascii="宋体" w:hAnsi="宋体" w:cs="宋体"/>
                      <w:b w:val="0"/>
                      <w:bCs/>
                      <w:kern w:val="2"/>
                      <w:sz w:val="21"/>
                      <w:szCs w:val="21"/>
                      <w:lang w:val="en-US" w:eastAsia="zh-CN" w:bidi="ar-SA"/>
                    </w:rPr>
                    <w:t>。</w:t>
                  </w:r>
                </w:p>
              </w:tc>
            </w:tr>
          </w:tbl>
          <w:p>
            <w:pPr>
              <w:pStyle w:val="16"/>
              <w:pageBreakBefore w:val="0"/>
              <w:kinsoku/>
              <w:overflowPunct/>
              <w:topLinePunct w:val="0"/>
              <w:autoSpaceDE/>
              <w:autoSpaceDN/>
              <w:bidi w:val="0"/>
              <w:spacing w:line="320" w:lineRule="exact"/>
              <w:ind w:firstLine="420"/>
              <w:rPr>
                <w:rFonts w:hint="eastAsia" w:ascii="宋体" w:hAnsi="宋体" w:eastAsia="宋体" w:cs="宋体"/>
                <w:b w:val="0"/>
                <w:bCs/>
                <w:kern w:val="2"/>
                <w:sz w:val="21"/>
                <w:szCs w:val="21"/>
                <w:lang w:val="en-US" w:eastAsia="zh-CN" w:bidi="ar-SA"/>
              </w:rPr>
            </w:pPr>
          </w:p>
          <w:p>
            <w:pPr>
              <w:pageBreakBefore w:val="0"/>
              <w:widowControl/>
              <w:kinsoku/>
              <w:overflowPunct/>
              <w:topLinePunct w:val="0"/>
              <w:autoSpaceDE/>
              <w:autoSpaceDN/>
              <w:bidi w:val="0"/>
              <w:spacing w:line="320" w:lineRule="exact"/>
              <w:jc w:val="left"/>
              <w:textAlignment w:val="baseline"/>
              <w:rPr>
                <w:rFonts w:hint="eastAsia" w:ascii="宋体" w:hAnsi="宋体" w:eastAsia="宋体" w:cs="宋体"/>
                <w:b w:val="0"/>
                <w:bCs/>
                <w:kern w:val="2"/>
                <w:sz w:val="21"/>
                <w:szCs w:val="21"/>
                <w:lang w:val="en-US" w:eastAsia="zh-CN" w:bidi="ar-SA"/>
              </w:rPr>
            </w:pPr>
          </w:p>
          <w:p>
            <w:pPr>
              <w:pageBreakBefore w:val="0"/>
              <w:widowControl/>
              <w:kinsoku/>
              <w:overflowPunct/>
              <w:topLinePunct w:val="0"/>
              <w:autoSpaceDE/>
              <w:autoSpaceDN/>
              <w:bidi w:val="0"/>
              <w:spacing w:line="320" w:lineRule="exact"/>
              <w:jc w:val="left"/>
              <w:textAlignment w:val="baseline"/>
              <w:rPr>
                <w:rFonts w:hint="eastAsia" w:ascii="宋体" w:hAnsi="宋体" w:eastAsia="宋体" w:cs="宋体"/>
                <w:b w:val="0"/>
                <w:bCs/>
                <w:kern w:val="2"/>
                <w:sz w:val="21"/>
                <w:szCs w:val="21"/>
                <w:lang w:val="en-US" w:eastAsia="zh-CN" w:bidi="ar-SA"/>
              </w:rPr>
            </w:pPr>
          </w:p>
          <w:p>
            <w:pPr>
              <w:pageBreakBefore w:val="0"/>
              <w:widowControl/>
              <w:kinsoku/>
              <w:overflowPunct/>
              <w:topLinePunct w:val="0"/>
              <w:autoSpaceDE/>
              <w:autoSpaceDN/>
              <w:bidi w:val="0"/>
              <w:spacing w:line="320" w:lineRule="exact"/>
              <w:jc w:val="left"/>
              <w:textAlignment w:val="baseline"/>
              <w:rPr>
                <w:rFonts w:hint="eastAsia" w:ascii="宋体" w:hAnsi="宋体" w:eastAsia="宋体" w:cs="宋体"/>
                <w:b w:val="0"/>
                <w:bCs/>
                <w:kern w:val="2"/>
                <w:sz w:val="21"/>
                <w:szCs w:val="21"/>
                <w:lang w:val="en-US" w:eastAsia="zh-CN" w:bidi="ar-SA"/>
              </w:rPr>
            </w:pPr>
          </w:p>
          <w:p>
            <w:pPr>
              <w:pageBreakBefore w:val="0"/>
              <w:widowControl/>
              <w:kinsoku/>
              <w:overflowPunct/>
              <w:topLinePunct w:val="0"/>
              <w:autoSpaceDE/>
              <w:autoSpaceDN/>
              <w:bidi w:val="0"/>
              <w:spacing w:line="320" w:lineRule="exact"/>
              <w:jc w:val="left"/>
              <w:textAlignment w:val="baseline"/>
              <w:rPr>
                <w:rFonts w:hint="eastAsia" w:ascii="宋体" w:hAnsi="宋体" w:eastAsia="宋体" w:cs="宋体"/>
                <w:b w:val="0"/>
                <w:bCs/>
                <w:kern w:val="2"/>
                <w:sz w:val="21"/>
                <w:szCs w:val="21"/>
                <w:lang w:val="en-US" w:eastAsia="zh-CN" w:bidi="ar-SA"/>
              </w:rPr>
            </w:pPr>
          </w:p>
          <w:p>
            <w:pPr>
              <w:pageBreakBefore w:val="0"/>
              <w:widowControl/>
              <w:kinsoku/>
              <w:overflowPunct/>
              <w:topLinePunct w:val="0"/>
              <w:autoSpaceDE/>
              <w:autoSpaceDN/>
              <w:bidi w:val="0"/>
              <w:spacing w:line="320" w:lineRule="exact"/>
              <w:jc w:val="left"/>
              <w:textAlignment w:val="baseline"/>
              <w:rPr>
                <w:rFonts w:hint="eastAsia" w:ascii="宋体" w:hAnsi="宋体" w:eastAsia="宋体" w:cs="宋体"/>
                <w:b w:val="0"/>
                <w:bCs/>
                <w:kern w:val="2"/>
                <w:sz w:val="21"/>
                <w:szCs w:val="21"/>
                <w:lang w:val="en-US" w:eastAsia="zh-CN" w:bidi="ar-SA"/>
              </w:rPr>
            </w:pPr>
          </w:p>
          <w:p>
            <w:pPr>
              <w:pageBreakBefore w:val="0"/>
              <w:widowControl/>
              <w:kinsoku/>
              <w:overflowPunct/>
              <w:topLinePunct w:val="0"/>
              <w:autoSpaceDE/>
              <w:autoSpaceDN/>
              <w:bidi w:val="0"/>
              <w:spacing w:line="320" w:lineRule="exact"/>
              <w:jc w:val="left"/>
              <w:textAlignment w:val="baseline"/>
              <w:rPr>
                <w:rFonts w:hint="eastAsia" w:ascii="宋体" w:hAnsi="宋体" w:eastAsia="宋体" w:cs="宋体"/>
                <w:b w:val="0"/>
                <w:bCs/>
                <w:kern w:val="2"/>
                <w:sz w:val="21"/>
                <w:szCs w:val="21"/>
                <w:lang w:val="en-US" w:eastAsia="zh-CN" w:bidi="ar-SA"/>
              </w:rPr>
            </w:pPr>
          </w:p>
          <w:p>
            <w:pPr>
              <w:pageBreakBefore w:val="0"/>
              <w:widowControl/>
              <w:kinsoku/>
              <w:overflowPunct/>
              <w:topLinePunct w:val="0"/>
              <w:autoSpaceDE/>
              <w:autoSpaceDN/>
              <w:bidi w:val="0"/>
              <w:spacing w:line="320" w:lineRule="exact"/>
              <w:jc w:val="left"/>
              <w:textAlignment w:val="baseline"/>
              <w:rPr>
                <w:rFonts w:hint="eastAsia" w:ascii="宋体" w:hAnsi="宋体" w:eastAsia="宋体" w:cs="宋体"/>
                <w:b w:val="0"/>
                <w:bCs/>
                <w:kern w:val="2"/>
                <w:sz w:val="21"/>
                <w:szCs w:val="21"/>
                <w:lang w:val="en-US" w:eastAsia="zh-CN" w:bidi="ar-SA"/>
              </w:rPr>
            </w:pPr>
          </w:p>
          <w:p>
            <w:pPr>
              <w:pageBreakBefore w:val="0"/>
              <w:widowControl/>
              <w:kinsoku/>
              <w:overflowPunct/>
              <w:topLinePunct w:val="0"/>
              <w:autoSpaceDE/>
              <w:autoSpaceDN/>
              <w:bidi w:val="0"/>
              <w:spacing w:line="320" w:lineRule="exact"/>
              <w:jc w:val="left"/>
              <w:textAlignment w:val="baseline"/>
              <w:rPr>
                <w:rFonts w:hint="eastAsia" w:ascii="宋体" w:hAnsi="宋体" w:eastAsia="宋体" w:cs="宋体"/>
                <w:b w:val="0"/>
                <w:bCs/>
                <w:kern w:val="2"/>
                <w:sz w:val="21"/>
                <w:szCs w:val="21"/>
                <w:lang w:val="en-US" w:eastAsia="zh-CN" w:bidi="ar-SA"/>
              </w:rPr>
            </w:pPr>
          </w:p>
          <w:p>
            <w:pPr>
              <w:pageBreakBefore w:val="0"/>
              <w:widowControl/>
              <w:kinsoku/>
              <w:overflowPunct/>
              <w:topLinePunct w:val="0"/>
              <w:autoSpaceDE/>
              <w:autoSpaceDN/>
              <w:bidi w:val="0"/>
              <w:spacing w:line="320" w:lineRule="exact"/>
              <w:jc w:val="left"/>
              <w:textAlignment w:val="baseline"/>
              <w:rPr>
                <w:rFonts w:hint="eastAsia" w:ascii="宋体" w:hAnsi="宋体" w:eastAsia="宋体" w:cs="宋体"/>
                <w:b w:val="0"/>
                <w:bCs/>
                <w:kern w:val="2"/>
                <w:sz w:val="21"/>
                <w:szCs w:val="21"/>
                <w:lang w:val="en-US" w:eastAsia="zh-CN" w:bidi="ar-SA"/>
              </w:rPr>
            </w:pPr>
          </w:p>
          <w:p>
            <w:pPr>
              <w:pageBreakBefore w:val="0"/>
              <w:widowControl/>
              <w:kinsoku/>
              <w:overflowPunct/>
              <w:topLinePunct w:val="0"/>
              <w:autoSpaceDE/>
              <w:autoSpaceDN/>
              <w:bidi w:val="0"/>
              <w:spacing w:line="320" w:lineRule="exact"/>
              <w:jc w:val="left"/>
              <w:textAlignment w:val="baseline"/>
              <w:rPr>
                <w:rFonts w:hint="eastAsia" w:ascii="宋体" w:hAnsi="宋体" w:eastAsia="宋体" w:cs="宋体"/>
                <w:b w:val="0"/>
                <w:bCs/>
                <w:kern w:val="2"/>
                <w:sz w:val="21"/>
                <w:szCs w:val="21"/>
                <w:lang w:val="en-US" w:eastAsia="zh-CN" w:bidi="ar-SA"/>
              </w:rPr>
            </w:pPr>
          </w:p>
          <w:p>
            <w:pPr>
              <w:pageBreakBefore w:val="0"/>
              <w:widowControl/>
              <w:kinsoku/>
              <w:overflowPunct/>
              <w:topLinePunct w:val="0"/>
              <w:autoSpaceDE/>
              <w:autoSpaceDN/>
              <w:bidi w:val="0"/>
              <w:spacing w:line="320" w:lineRule="exact"/>
              <w:jc w:val="left"/>
              <w:textAlignment w:val="baseline"/>
              <w:rPr>
                <w:rFonts w:hint="eastAsia" w:ascii="宋体" w:hAnsi="宋体" w:eastAsia="宋体" w:cs="宋体"/>
                <w:b w:val="0"/>
                <w:bCs/>
                <w:kern w:val="2"/>
                <w:sz w:val="21"/>
                <w:szCs w:val="21"/>
                <w:lang w:val="en-US" w:eastAsia="zh-CN" w:bidi="ar-SA"/>
              </w:rPr>
            </w:pPr>
          </w:p>
          <w:p>
            <w:pPr>
              <w:pageBreakBefore w:val="0"/>
              <w:widowControl/>
              <w:kinsoku/>
              <w:overflowPunct/>
              <w:topLinePunct w:val="0"/>
              <w:autoSpaceDE/>
              <w:autoSpaceDN/>
              <w:bidi w:val="0"/>
              <w:spacing w:line="320" w:lineRule="exact"/>
              <w:jc w:val="left"/>
              <w:textAlignment w:val="baseline"/>
              <w:rPr>
                <w:rFonts w:hint="eastAsia" w:ascii="宋体" w:hAnsi="宋体" w:eastAsia="宋体" w:cs="宋体"/>
                <w:b w:val="0"/>
                <w:bCs/>
                <w:kern w:val="2"/>
                <w:sz w:val="21"/>
                <w:szCs w:val="21"/>
                <w:lang w:val="en-US" w:eastAsia="zh-CN" w:bidi="ar-SA"/>
              </w:rPr>
            </w:pPr>
          </w:p>
          <w:p>
            <w:pPr>
              <w:pageBreakBefore w:val="0"/>
              <w:widowControl/>
              <w:kinsoku/>
              <w:overflowPunct/>
              <w:topLinePunct w:val="0"/>
              <w:autoSpaceDE/>
              <w:autoSpaceDN/>
              <w:bidi w:val="0"/>
              <w:spacing w:line="320" w:lineRule="exact"/>
              <w:jc w:val="left"/>
              <w:textAlignment w:val="baseline"/>
              <w:rPr>
                <w:rFonts w:hint="eastAsia" w:ascii="宋体" w:hAnsi="宋体" w:eastAsia="宋体" w:cs="宋体"/>
                <w:b w:val="0"/>
                <w:bCs/>
                <w:kern w:val="2"/>
                <w:sz w:val="21"/>
                <w:szCs w:val="21"/>
                <w:lang w:val="en-US" w:eastAsia="zh-CN" w:bidi="ar-SA"/>
              </w:rPr>
            </w:pPr>
          </w:p>
          <w:p>
            <w:pPr>
              <w:pageBreakBefore w:val="0"/>
              <w:widowControl/>
              <w:kinsoku/>
              <w:overflowPunct/>
              <w:topLinePunct w:val="0"/>
              <w:autoSpaceDE/>
              <w:autoSpaceDN/>
              <w:bidi w:val="0"/>
              <w:spacing w:line="320" w:lineRule="exact"/>
              <w:jc w:val="left"/>
              <w:textAlignment w:val="baseline"/>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5.2仪器配置</w:t>
            </w:r>
          </w:p>
          <w:tbl>
            <w:tblPr>
              <w:tblStyle w:val="37"/>
              <w:tblW w:w="7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395"/>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93" w:type="dxa"/>
                  <w:noWrap/>
                  <w:vAlign w:val="center"/>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序号</w:t>
                  </w:r>
                </w:p>
              </w:tc>
              <w:tc>
                <w:tcPr>
                  <w:tcW w:w="5395" w:type="dxa"/>
                  <w:noWrap/>
                  <w:vAlign w:val="top"/>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内容</w:t>
                  </w:r>
                </w:p>
              </w:tc>
              <w:tc>
                <w:tcPr>
                  <w:tcW w:w="1330" w:type="dxa"/>
                  <w:noWrap/>
                  <w:vAlign w:val="center"/>
                </w:tcPr>
                <w:p>
                  <w:pPr>
                    <w:pageBreakBefore w:val="0"/>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93" w:type="dxa"/>
                  <w:vMerge w:val="restart"/>
                  <w:noWrap/>
                  <w:vAlign w:val="center"/>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w:t>
                  </w:r>
                </w:p>
              </w:tc>
              <w:tc>
                <w:tcPr>
                  <w:tcW w:w="5395" w:type="dxa"/>
                  <w:noWrap/>
                  <w:vAlign w:val="center"/>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12.1电机</w:t>
                  </w:r>
                </w:p>
              </w:tc>
              <w:tc>
                <w:tcPr>
                  <w:tcW w:w="1330" w:type="dxa"/>
                  <w:noWrap/>
                  <w:vAlign w:val="center"/>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93"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5395" w:type="dxa"/>
                  <w:noWrap/>
                  <w:vAlign w:val="center"/>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12.2变频器</w:t>
                  </w:r>
                </w:p>
              </w:tc>
              <w:tc>
                <w:tcPr>
                  <w:tcW w:w="1330" w:type="dxa"/>
                  <w:noWrap/>
                  <w:vAlign w:val="center"/>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93"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5395" w:type="dxa"/>
                  <w:noWrap/>
                  <w:vAlign w:val="center"/>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12.3工控机</w:t>
                  </w:r>
                </w:p>
              </w:tc>
              <w:tc>
                <w:tcPr>
                  <w:tcW w:w="1330" w:type="dxa"/>
                  <w:noWrap/>
                  <w:vAlign w:val="center"/>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93"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5395" w:type="dxa"/>
                  <w:noWrap/>
                  <w:vAlign w:val="center"/>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12.4鼓风机</w:t>
                  </w:r>
                </w:p>
              </w:tc>
              <w:tc>
                <w:tcPr>
                  <w:tcW w:w="1330" w:type="dxa"/>
                  <w:noWrap/>
                  <w:vAlign w:val="center"/>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93"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5395" w:type="dxa"/>
                  <w:noWrap/>
                  <w:vAlign w:val="center"/>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12.5软管</w:t>
                  </w:r>
                </w:p>
              </w:tc>
              <w:tc>
                <w:tcPr>
                  <w:tcW w:w="1330" w:type="dxa"/>
                  <w:noWrap/>
                  <w:vAlign w:val="center"/>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93"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5395" w:type="dxa"/>
                  <w:noWrap/>
                  <w:vAlign w:val="center"/>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12.6电动阀</w:t>
                  </w:r>
                </w:p>
              </w:tc>
              <w:tc>
                <w:tcPr>
                  <w:tcW w:w="1330" w:type="dxa"/>
                  <w:noWrap/>
                  <w:vAlign w:val="center"/>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93"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5395" w:type="dxa"/>
                  <w:noWrap/>
                  <w:vAlign w:val="center"/>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12.7流量计</w:t>
                  </w:r>
                </w:p>
              </w:tc>
              <w:tc>
                <w:tcPr>
                  <w:tcW w:w="1330" w:type="dxa"/>
                  <w:noWrap/>
                  <w:vAlign w:val="center"/>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93"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5395" w:type="dxa"/>
                  <w:noWrap/>
                  <w:vAlign w:val="center"/>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12.8压力传感器</w:t>
                  </w:r>
                </w:p>
              </w:tc>
              <w:tc>
                <w:tcPr>
                  <w:tcW w:w="1330" w:type="dxa"/>
                  <w:noWrap/>
                  <w:vAlign w:val="center"/>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93"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5395" w:type="dxa"/>
                  <w:noWrap/>
                  <w:vAlign w:val="center"/>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12.9 PLC</w:t>
                  </w:r>
                </w:p>
              </w:tc>
              <w:tc>
                <w:tcPr>
                  <w:tcW w:w="1330" w:type="dxa"/>
                  <w:noWrap/>
                  <w:vAlign w:val="center"/>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93"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5395" w:type="dxa"/>
                  <w:noWrap/>
                  <w:vAlign w:val="center"/>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12.10说明书（包括呼吸阀校验系统说明书以及5.2仪器配置表中的其它部件配套说明书）</w:t>
                  </w:r>
                </w:p>
              </w:tc>
              <w:tc>
                <w:tcPr>
                  <w:tcW w:w="1330" w:type="dxa"/>
                  <w:noWrap/>
                  <w:vAlign w:val="center"/>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93"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5395" w:type="dxa"/>
                  <w:noWrap/>
                  <w:vAlign w:val="center"/>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12.11合格证（包括呼吸阀校验系统合格证以及5.2仪器配置表中的其它配套部件出厂合格证）</w:t>
                  </w:r>
                </w:p>
              </w:tc>
              <w:tc>
                <w:tcPr>
                  <w:tcW w:w="1330" w:type="dxa"/>
                  <w:noWrap/>
                  <w:vAlign w:val="center"/>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93" w:type="dxa"/>
                  <w:vMerge w:val="continue"/>
                  <w:noWrap/>
                  <w:vAlign w:val="top"/>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p>
              </w:tc>
              <w:tc>
                <w:tcPr>
                  <w:tcW w:w="5395" w:type="dxa"/>
                  <w:noWrap/>
                  <w:vAlign w:val="center"/>
                </w:tcPr>
                <w:p>
                  <w:pPr>
                    <w:pageBreakBefore w:val="0"/>
                    <w:kinsoku/>
                    <w:overflowPunct/>
                    <w:topLinePunct w:val="0"/>
                    <w:autoSpaceDE/>
                    <w:autoSpaceDN/>
                    <w:bidi w:val="0"/>
                    <w:spacing w:line="320" w:lineRule="exact"/>
                    <w:rPr>
                      <w:rFonts w:hint="eastAsia" w:ascii="宋体" w:hAnsi="宋体" w:eastAsia="宋体" w:cs="宋体"/>
                      <w:b w:val="0"/>
                      <w:bCs/>
                      <w:kern w:val="2"/>
                      <w:sz w:val="21"/>
                      <w:szCs w:val="21"/>
                      <w:lang w:val="en-US" w:eastAsia="zh-CN" w:bidi="ar-SA"/>
                    </w:rPr>
                  </w:pPr>
                  <w:r>
                    <w:rPr>
                      <w:rFonts w:hint="eastAsia" w:ascii="宋体" w:hAnsi="宋体" w:eastAsia="宋体" w:cs="宋体"/>
                      <w:sz w:val="21"/>
                      <w:szCs w:val="21"/>
                      <w:lang w:val="en-US" w:eastAsia="zh-CN"/>
                    </w:rPr>
                    <w:t>12.12</w:t>
                  </w:r>
                  <w:r>
                    <w:rPr>
                      <w:rFonts w:hint="eastAsia" w:ascii="宋体" w:hAnsi="宋体" w:cs="宋体"/>
                      <w:sz w:val="21"/>
                      <w:szCs w:val="21"/>
                      <w:lang w:val="en-US" w:eastAsia="zh-CN"/>
                    </w:rPr>
                    <w:t>一体机（主流品牌，商用机，intel i5 12代， 内存16G，硬盘512GB SSD  预装正版win10专业版或企业版（有微软授权证书或序列号））</w:t>
                  </w:r>
                </w:p>
              </w:tc>
              <w:tc>
                <w:tcPr>
                  <w:tcW w:w="1330" w:type="dxa"/>
                  <w:noWrap/>
                  <w:vAlign w:val="center"/>
                </w:tcPr>
                <w:p>
                  <w:pPr>
                    <w:pageBreakBefore w:val="0"/>
                    <w:widowControl/>
                    <w:kinsoku/>
                    <w:overflowPunct/>
                    <w:topLinePunct w:val="0"/>
                    <w:autoSpaceDE/>
                    <w:autoSpaceDN/>
                    <w:bidi w:val="0"/>
                    <w:spacing w:line="32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sz w:val="21"/>
                      <w:szCs w:val="21"/>
                      <w:lang w:val="en-US" w:eastAsia="zh-CN"/>
                    </w:rPr>
                    <w:t>5台</w:t>
                  </w:r>
                </w:p>
              </w:tc>
            </w:tr>
          </w:tbl>
          <w:p>
            <w:pPr>
              <w:pageBreakBefore w:val="0"/>
              <w:kinsoku/>
              <w:overflowPunct/>
              <w:topLinePunct w:val="0"/>
              <w:autoSpaceDE/>
              <w:autoSpaceDN/>
              <w:bidi w:val="0"/>
              <w:spacing w:line="320" w:lineRule="exact"/>
              <w:ind w:right="-649" w:rightChars="-30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9225"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ageBreakBefore w:val="0"/>
        <w:kinsoku/>
        <w:overflowPunct/>
        <w:topLinePunct w:val="0"/>
        <w:autoSpaceDE/>
        <w:autoSpaceDN/>
        <w:bidi w:val="0"/>
        <w:spacing w:line="320" w:lineRule="exact"/>
        <w:rPr>
          <w:rFonts w:hint="eastAsia" w:ascii="宋体" w:hAnsi="宋体" w:eastAsia="宋体" w:cs="宋体"/>
          <w:sz w:val="21"/>
          <w:szCs w:val="21"/>
        </w:rPr>
      </w:pPr>
    </w:p>
    <w:p>
      <w:pPr>
        <w:pStyle w:val="12"/>
        <w:rPr>
          <w:rFonts w:hint="eastAsia"/>
        </w:rPr>
      </w:pPr>
    </w:p>
    <w:p>
      <w:pPr>
        <w:pageBreakBefore w:val="0"/>
        <w:kinsoku/>
        <w:overflowPunct/>
        <w:topLinePunct w:val="0"/>
        <w:autoSpaceDE/>
        <w:autoSpaceDN/>
        <w:bidi w:val="0"/>
        <w:snapToGrid w:val="0"/>
        <w:spacing w:line="320" w:lineRule="exact"/>
        <w:outlineLvl w:val="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标项</w:t>
      </w:r>
      <w:r>
        <w:rPr>
          <w:rFonts w:hint="eastAsia" w:ascii="宋体" w:hAnsi="宋体" w:eastAsia="宋体" w:cs="宋体"/>
          <w:b/>
          <w:color w:val="auto"/>
          <w:sz w:val="21"/>
          <w:szCs w:val="21"/>
          <w:highlight w:val="none"/>
          <w:lang w:val="en-US" w:eastAsia="zh-CN"/>
        </w:rPr>
        <w:t>七</w:t>
      </w:r>
      <w:r>
        <w:rPr>
          <w:rFonts w:hint="eastAsia" w:ascii="宋体" w:hAnsi="宋体" w:eastAsia="宋体" w:cs="宋体"/>
          <w:b/>
          <w:bCs/>
          <w:color w:val="auto"/>
          <w:sz w:val="21"/>
          <w:szCs w:val="21"/>
          <w:highlight w:val="none"/>
        </w:rPr>
        <w:t xml:space="preserve"> </w:t>
      </w:r>
    </w:p>
    <w:p>
      <w:pPr>
        <w:pageBreakBefore w:val="0"/>
        <w:kinsoku/>
        <w:overflowPunct/>
        <w:topLinePunct w:val="0"/>
        <w:autoSpaceDE/>
        <w:autoSpaceDN/>
        <w:bidi w:val="0"/>
        <w:spacing w:line="32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一、名称、规格、性能参数要求如下</w:t>
      </w:r>
    </w:p>
    <w:tbl>
      <w:tblPr>
        <w:tblStyle w:val="37"/>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783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脱气氢电导率测定仪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783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783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用于锅炉水汽中脱气氢电导率（DCC）的测定，并可同时监测水汽系统水质的电导率、氢电导率、pH等指标</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技术指标要求</w:t>
            </w:r>
          </w:p>
        </w:tc>
        <w:tc>
          <w:tcPr>
            <w:tcW w:w="7833" w:type="dxa"/>
            <w:tcBorders>
              <w:top w:val="single" w:color="auto" w:sz="4" w:space="0"/>
              <w:left w:val="single" w:color="auto" w:sz="4" w:space="0"/>
              <w:bottom w:val="single" w:color="auto" w:sz="4" w:space="0"/>
              <w:right w:val="single" w:color="auto" w:sz="4" w:space="0"/>
            </w:tcBorders>
            <w:noWrap/>
          </w:tcPr>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一、主要技术参数</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1、脱气原理：利用双水脱气膜脱除水中二氧化碳，无需高压及加热，常温常压条件下工作</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★2、脱气效率：＞99%</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3、标物比对：脱气氢电导率的测量值可与标准值进行比对</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4、耗材：氢电导率测量采用电自动再生阳离子交换技术，无需定期更换或再生树脂</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★5、电导率：测量范围0.055～50μS/cm；整机工作误差在±10%以内；</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★6、氢电导率：测量范围0.055～5μS/cm；整机工作误差在±10%以内；</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★7、pH：测量范围：0.00～14.00pH，分辨率为0.01pH，精确度＜±0.05pH；</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cs="宋体"/>
                <w:bCs/>
                <w:color w:val="auto"/>
                <w:sz w:val="21"/>
                <w:szCs w:val="21"/>
                <w:highlight w:val="none"/>
              </w:rPr>
              <w:t>▲</w:t>
            </w:r>
            <w:r>
              <w:rPr>
                <w:rFonts w:hint="eastAsia" w:ascii="宋体" w:hAnsi="宋体" w:eastAsia="宋体" w:cs="宋体"/>
                <w:sz w:val="21"/>
                <w:szCs w:val="21"/>
              </w:rPr>
              <w:t>8、脱气氢电导率：测量范围0.055～2μS/cm；整机工作误差在±10%以内；</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9、响应时间：1s</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10、PH值具有自动计算和实际测量两种模式</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二、产品配置清单</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1、主机  1台</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2、在线过滤滤头  10只</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一体机（主流品牌，商用机，intel i5 12代， 内存16G，硬盘512GB SSD  预装正版win10专业版或企业版（有微软授权证书或序列号））</w:t>
            </w:r>
            <w:r>
              <w:rPr>
                <w:rFonts w:hint="eastAsia" w:ascii="宋体" w:hAnsi="宋体" w:eastAsia="宋体" w:cs="宋体"/>
                <w:sz w:val="21"/>
                <w:szCs w:val="21"/>
                <w:lang w:val="en-US" w:eastAsia="zh-CN"/>
              </w:rPr>
              <w:t>1台</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7833"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p>
    <w:tbl>
      <w:tblPr>
        <w:tblStyle w:val="37"/>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783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一体便携式磁粉仪器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783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color w:val="FF0000"/>
                <w:sz w:val="21"/>
                <w:szCs w:val="21"/>
              </w:rPr>
            </w:pPr>
            <w:r>
              <w:rPr>
                <w:rFonts w:hint="eastAsia" w:ascii="宋体" w:hAnsi="宋体" w:eastAsia="宋体" w:cs="宋体"/>
                <w:bCs/>
                <w:sz w:val="21"/>
                <w:szCs w:val="21"/>
                <w:lang w:val="en-US" w:eastAsia="zh-CN"/>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783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left"/>
              <w:rPr>
                <w:rFonts w:hint="eastAsia" w:ascii="宋体" w:hAnsi="宋体" w:eastAsia="宋体" w:cs="宋体"/>
                <w:sz w:val="21"/>
                <w:szCs w:val="21"/>
              </w:rPr>
            </w:pPr>
            <w:r>
              <w:rPr>
                <w:rFonts w:hint="eastAsia" w:ascii="宋体" w:hAnsi="宋体" w:eastAsia="宋体" w:cs="宋体"/>
                <w:sz w:val="21"/>
                <w:szCs w:val="21"/>
              </w:rPr>
              <w:t>用于承压类特种设备的磁粉探伤。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7833" w:type="dxa"/>
            <w:tcBorders>
              <w:top w:val="single" w:color="auto" w:sz="4" w:space="0"/>
              <w:left w:val="single" w:color="auto" w:sz="4" w:space="0"/>
              <w:bottom w:val="single" w:color="auto" w:sz="4" w:space="0"/>
              <w:right w:val="single" w:color="auto" w:sz="4" w:space="0"/>
            </w:tcBorders>
            <w:noWra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★1、交流提升力≥70N；</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2、综合灵敏度：A1型15/100标准试片人工刻槽显示清晰</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3、尺寸：不大于175mm*175mm*40mm</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4、重量（含电池）：不大于1.65kg</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5、工作时间：不小于3h</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6、电池配备方式：可更换</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7、充电时间：1.5-2h</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8、锂电池组体积：不大于156*30*41</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9、锂电池组重量：不大于0.25kg</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10、黑光辐照度：＞8000µW/cm²</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11、白光强度大于2000lux</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12、具有电量显示器指示，在电池上须有电池电量显示图标，可以实时显示电源电量；</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13、机身须配有两个独立的白光光源和荧光光源，可单独进行一键式变换控制,照度强范围大；</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14、具有手动磁化与自动磁化两种功能，可一键式进行功能切换；</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15、仪器具有双磁化开关，在磁扼上有常规磁化开关，在电池上具备备用磁化开关；</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16、无线连接手机，可全程录像，拍照，存储探伤记录</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17、配置有探伤管理软件，可将探伤记录传到电脑上进行探伤记录管理、打印、回放等</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18、仪器可以智能识别工件进行磁化，按触工件，自动进行磁化，离开工件磁化停止，探伤操作时无需按启动按键进行磁化操作</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7833"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p>
    <w:tbl>
      <w:tblPr>
        <w:tblStyle w:val="37"/>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783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超声波探伤仪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783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783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left"/>
              <w:rPr>
                <w:rFonts w:hint="eastAsia" w:ascii="宋体" w:hAnsi="宋体" w:eastAsia="宋体" w:cs="宋体"/>
                <w:sz w:val="21"/>
                <w:szCs w:val="21"/>
              </w:rPr>
            </w:pPr>
            <w:r>
              <w:rPr>
                <w:rFonts w:hint="eastAsia" w:ascii="宋体" w:hAnsi="宋体" w:eastAsia="宋体" w:cs="宋体"/>
                <w:sz w:val="21"/>
                <w:szCs w:val="21"/>
              </w:rPr>
              <w:t>用于承压类特种设备的超声波检测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7833" w:type="dxa"/>
            <w:tcBorders>
              <w:top w:val="single" w:color="auto" w:sz="4" w:space="0"/>
              <w:left w:val="single" w:color="auto" w:sz="4" w:space="0"/>
              <w:bottom w:val="single" w:color="auto" w:sz="4" w:space="0"/>
              <w:right w:val="single" w:color="auto" w:sz="4" w:space="0"/>
            </w:tcBorders>
            <w:noWrap/>
          </w:tcPr>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一、产品性能要求</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1、发射脉冲电压50～500V可调，发射脉冲为尖脉冲或方波，方波宽度51～850ns可调</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2、工作频率范围0.5~20MHz，灵敏度余量≥70dB</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3、20~2000Hz的脉冲重复频率，步进20Hz，避免探伤过程中出现混响信号</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★4、最高采样速率240MHz，测量分辨率0.1mm</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5、网络通信，实现探伤仪与计算机的实时双向通信和远程控制</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6、具有端点反射法测量焊缝裂纹高度</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7、内置AWS D1.1/D1.5、API 5UE评价标准</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8、通过回波扩展功能可将闸门内回波区域放大到整个屏幕显示</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9、自动增益控制AGC，配合峰值回波、图像冻结功能，快速确定缺陷最高波，探伤更高效</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10、AVG曲线，使用已知平底孔或大平底回波，制作出3条不同当量的曲线</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11、DAC曲线，配合回波比较功能，使不同距离不同波幅的回波定量更简便</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二、主要技术参数</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1、衰减器误差：每12dB ± 1dB</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2、垂直线性误差：≤3%</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3、水平线性误差：≤0.5%</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4、动态范围：≥30 dB</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5、探伤灵敏度余量：≥70 dB（2.5Z20N探头）</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6、远区分辨力：≥26 dB</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7、电噪声电平：≤10%（1 ~ 4MHz）</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8、等效输入噪声：＜80×10-9 V/√Hz</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9、工作频率范围：0.5 ~ 20 MHz，11档可调</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10、脉冲重复频率：20 ~ 2000 Hz，步进20Hz</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11、脉冲电压：50～500 V可调</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12、脉冲宽度：尖脉冲或方波，方波宽度51～850ns可调</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13、薄板分辨力：≤3 mm（5C10N探头）</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14、探测范围：0 ~ 130 00 mm（钢纵波）</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15、脉冲移位：-10 ~ 1000 mm（钢纵波）</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16、探头零点：0 ~ 200μs</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17、材料声速：300 ~ 15000 m/s</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18、阻尼：25、75 、200、1000Ω四档可调</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19、抑制：0 ~ 80%</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20、检波方式：负向检波/正向检波/双向检波/滤波/RF</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21、增益调节：0 ~ 110 dB：分0.5/2/6/12步进调节</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22、自动增益功能：使闸门内回波幅度自动调节到指定幅度，幅度设置：40%/50%/60%/70%/80%/90%/100%</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23、自动校正功能：用于校正材料声速与探头零点，校正模式：声速+零点/声速/零点</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24、角度测量功能：用于测量探头角度</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25、网络投影功能：通过网络在PC软件上显示与仪器一致的画面</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26、测厚功能：专用测厚功能模块，具有多种测厚模式</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27、自动冻结：A/B闸门内信号超过闸门电平后自动冻结</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28、频谱显示：显示A闸门起始位置以后50mm内的信号频谱，快捷掌握探头的波形、频谱和中心频率</w:t>
            </w:r>
            <w:r>
              <w:rPr>
                <w:rFonts w:hint="eastAsia" w:ascii="宋体" w:hAnsi="宋体" w:cs="宋体"/>
                <w:sz w:val="21"/>
                <w:szCs w:val="21"/>
                <w:lang w:eastAsia="zh-CN"/>
              </w:rPr>
              <w:t>。</w:t>
            </w:r>
          </w:p>
          <w:p>
            <w:pPr>
              <w:pageBreakBefore w:val="0"/>
              <w:tabs>
                <w:tab w:val="left" w:pos="420"/>
              </w:tabs>
              <w:kinsoku/>
              <w:overflowPunct/>
              <w:topLinePunct w:val="0"/>
              <w:autoSpaceDE/>
              <w:autoSpaceDN/>
              <w:bidi w:val="0"/>
              <w:spacing w:line="32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29、</w:t>
            </w:r>
            <w:r>
              <w:rPr>
                <w:rFonts w:hint="eastAsia" w:ascii="宋体" w:hAnsi="宋体" w:cs="宋体"/>
                <w:sz w:val="21"/>
                <w:szCs w:val="21"/>
                <w:lang w:val="en-US" w:eastAsia="zh-CN"/>
              </w:rPr>
              <w:t>一体机（主流品牌，商用机，intel i5 12代， 内存16G，硬盘512GB SSD  预装正版win10专业版或企业版（有微软授权证书或序列号））</w:t>
            </w:r>
            <w:r>
              <w:rPr>
                <w:rFonts w:hint="eastAsia" w:ascii="宋体" w:hAnsi="宋体" w:eastAsia="宋体" w:cs="宋体"/>
                <w:sz w:val="21"/>
                <w:szCs w:val="21"/>
                <w:lang w:val="en-US" w:eastAsia="zh-CN"/>
              </w:rPr>
              <w:t>1台</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7833"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p>
    <w:tbl>
      <w:tblPr>
        <w:tblStyle w:val="37"/>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783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超声波探伤仪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783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783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left"/>
              <w:rPr>
                <w:rFonts w:hint="eastAsia" w:ascii="宋体" w:hAnsi="宋体" w:eastAsia="宋体" w:cs="宋体"/>
                <w:sz w:val="21"/>
                <w:szCs w:val="21"/>
              </w:rPr>
            </w:pPr>
            <w:r>
              <w:rPr>
                <w:rFonts w:hint="eastAsia" w:ascii="宋体" w:hAnsi="宋体" w:eastAsia="宋体" w:cs="宋体"/>
                <w:sz w:val="21"/>
                <w:szCs w:val="21"/>
              </w:rPr>
              <w:t>用于承压类特种设备的超声波检测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7833" w:type="dxa"/>
            <w:tcBorders>
              <w:top w:val="single" w:color="auto" w:sz="4" w:space="0"/>
              <w:left w:val="single" w:color="auto" w:sz="4" w:space="0"/>
              <w:bottom w:val="single" w:color="auto" w:sz="4" w:space="0"/>
              <w:right w:val="single" w:color="auto" w:sz="4" w:space="0"/>
            </w:tcBorders>
            <w:noWrap/>
          </w:tcPr>
          <w:p>
            <w:pPr>
              <w:keepLines/>
              <w:pageBreakBefore w:val="0"/>
              <w:suppressLineNumber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一、产品性能要求</w:t>
            </w:r>
            <w:r>
              <w:rPr>
                <w:rFonts w:hint="eastAsia" w:ascii="宋体" w:hAnsi="宋体" w:cs="宋体"/>
                <w:sz w:val="21"/>
                <w:szCs w:val="21"/>
                <w:lang w:eastAsia="zh-CN"/>
              </w:rPr>
              <w:t>：</w:t>
            </w:r>
          </w:p>
          <w:p>
            <w:pPr>
              <w:keepLines/>
              <w:pageBreakBefore w:val="0"/>
              <w:suppressLineNumbers/>
              <w:kinsoku/>
              <w:overflowPunct/>
              <w:topLinePunct w:val="0"/>
              <w:autoSpaceDE/>
              <w:autoSpaceDN/>
              <w:bidi w:val="0"/>
              <w:spacing w:line="320" w:lineRule="exact"/>
              <w:jc w:val="left"/>
              <w:rPr>
                <w:rFonts w:hint="eastAsia" w:ascii="宋体" w:hAnsi="宋体" w:eastAsia="宋体" w:cs="宋体"/>
                <w:sz w:val="21"/>
                <w:szCs w:val="21"/>
              </w:rPr>
            </w:pPr>
            <w:r>
              <w:rPr>
                <w:rFonts w:hint="eastAsia" w:ascii="宋体" w:hAnsi="宋体" w:eastAsia="宋体" w:cs="宋体"/>
                <w:sz w:val="21"/>
                <w:szCs w:val="21"/>
              </w:rPr>
              <w:t>1、独特的3通道设计，可实现TOFD+PE同时扫查；</w:t>
            </w:r>
            <w:r>
              <w:rPr>
                <w:rFonts w:hint="eastAsia" w:ascii="宋体" w:hAnsi="宋体" w:eastAsia="宋体" w:cs="宋体"/>
                <w:sz w:val="21"/>
                <w:szCs w:val="21"/>
              </w:rPr>
              <w:cr/>
            </w:r>
            <w:r>
              <w:rPr>
                <w:rFonts w:hint="eastAsia" w:ascii="宋体" w:hAnsi="宋体" w:eastAsia="宋体" w:cs="宋体"/>
                <w:sz w:val="21"/>
                <w:szCs w:val="21"/>
              </w:rPr>
              <w:t>2、扫查图谱支持现场在线</w:t>
            </w:r>
            <w:r>
              <w:rPr>
                <w:rFonts w:hint="eastAsia" w:ascii="宋体" w:hAnsi="宋体" w:cs="宋体"/>
                <w:sz w:val="21"/>
                <w:szCs w:val="21"/>
                <w:lang w:val="en-US" w:eastAsia="zh-CN"/>
              </w:rPr>
              <w:t>或</w:t>
            </w:r>
            <w:r>
              <w:rPr>
                <w:rFonts w:hint="eastAsia" w:ascii="宋体" w:hAnsi="宋体" w:eastAsia="宋体" w:cs="宋体"/>
                <w:sz w:val="21"/>
                <w:szCs w:val="21"/>
              </w:rPr>
              <w:t>计算机离线分析，两种图谱可同步回放；</w:t>
            </w:r>
            <w:r>
              <w:rPr>
                <w:rFonts w:hint="eastAsia" w:ascii="宋体" w:hAnsi="宋体" w:eastAsia="宋体" w:cs="宋体"/>
                <w:sz w:val="21"/>
                <w:szCs w:val="21"/>
              </w:rPr>
              <w:cr/>
            </w:r>
            <w:r>
              <w:rPr>
                <w:rFonts w:hint="eastAsia" w:ascii="宋体" w:hAnsi="宋体" w:eastAsia="宋体" w:cs="宋体"/>
                <w:sz w:val="21"/>
                <w:szCs w:val="21"/>
              </w:rPr>
              <w:t>3、20个独立探伤通道(可扩展)，多种探伤工艺和标准自动生成，可以自由设置各行业探伤工艺标准；</w:t>
            </w:r>
            <w:r>
              <w:rPr>
                <w:rFonts w:hint="eastAsia" w:ascii="宋体" w:hAnsi="宋体" w:eastAsia="宋体" w:cs="宋体"/>
                <w:sz w:val="21"/>
                <w:szCs w:val="21"/>
              </w:rPr>
              <w:cr/>
            </w:r>
            <w:r>
              <w:rPr>
                <w:rFonts w:hint="eastAsia" w:ascii="宋体" w:hAnsi="宋体" w:eastAsia="宋体" w:cs="宋体"/>
                <w:sz w:val="21"/>
                <w:szCs w:val="21"/>
              </w:rPr>
              <w:t>4、可利用端点衍射波实现缺陷裂纹的自动测高；</w:t>
            </w:r>
          </w:p>
          <w:p>
            <w:pPr>
              <w:keepLines/>
              <w:pageBreakBefore w:val="0"/>
              <w:suppressLineNumber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5、缺陷回波参数（距离 垂直 水平 波幅 Db或当量孔径值）实时显示；多次波探测缺陷的实际深度可直接显示；</w:t>
            </w:r>
            <w:r>
              <w:rPr>
                <w:rFonts w:hint="eastAsia" w:ascii="宋体" w:hAnsi="宋体" w:eastAsia="宋体" w:cs="宋体"/>
                <w:sz w:val="21"/>
                <w:szCs w:val="21"/>
              </w:rPr>
              <w:cr/>
            </w:r>
            <w:r>
              <w:rPr>
                <w:rFonts w:hint="eastAsia" w:ascii="宋体" w:hAnsi="宋体" w:eastAsia="宋体" w:cs="宋体"/>
                <w:sz w:val="21"/>
                <w:szCs w:val="21"/>
              </w:rPr>
              <w:t>6、DAC、AVG曲线自动生成并能分段制作，可进行补偿与修正。 DAC曲线随增益自动浮动,随声程自动扩展,可指定回波的距离波幅补偿；能显示任意孔径的AVG曲线。制作完DAC曲线仪器可自动读取波幅Db值</w:t>
            </w:r>
            <w:r>
              <w:rPr>
                <w:rFonts w:hint="eastAsia" w:ascii="宋体" w:hAnsi="宋体" w:cs="宋体"/>
                <w:sz w:val="21"/>
                <w:szCs w:val="21"/>
                <w:lang w:eastAsia="zh-CN"/>
              </w:rPr>
              <w:t>；</w:t>
            </w:r>
          </w:p>
          <w:p>
            <w:pPr>
              <w:keepLines/>
              <w:pageBreakBefore w:val="0"/>
              <w:suppressLineNumber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7、具有GB/T11345-2013智能评定功能；</w:t>
            </w:r>
            <w:r>
              <w:rPr>
                <w:rFonts w:hint="eastAsia" w:ascii="宋体" w:hAnsi="宋体" w:eastAsia="宋体" w:cs="宋体"/>
                <w:sz w:val="21"/>
                <w:szCs w:val="21"/>
              </w:rPr>
              <w:cr/>
            </w:r>
            <w:r>
              <w:rPr>
                <w:rFonts w:hint="eastAsia" w:ascii="宋体" w:hAnsi="宋体" w:eastAsia="宋体" w:cs="宋体"/>
                <w:sz w:val="21"/>
                <w:szCs w:val="21"/>
              </w:rPr>
              <w:t>8、具有B扫描功能；</w:t>
            </w:r>
            <w:r>
              <w:rPr>
                <w:rFonts w:hint="eastAsia" w:ascii="宋体" w:hAnsi="宋体" w:eastAsia="宋体" w:cs="宋体"/>
                <w:sz w:val="21"/>
                <w:szCs w:val="21"/>
              </w:rPr>
              <w:cr/>
            </w:r>
            <w:r>
              <w:rPr>
                <w:rFonts w:hint="eastAsia" w:ascii="宋体" w:hAnsi="宋体" w:eastAsia="宋体" w:cs="宋体"/>
                <w:sz w:val="21"/>
                <w:szCs w:val="21"/>
              </w:rPr>
              <w:t>9、滤波频带可调，并具有射频显示</w:t>
            </w:r>
            <w:r>
              <w:rPr>
                <w:rFonts w:hint="eastAsia" w:ascii="宋体" w:hAnsi="宋体" w:cs="宋体"/>
                <w:sz w:val="21"/>
                <w:szCs w:val="21"/>
                <w:lang w:eastAsia="zh-CN"/>
              </w:rPr>
              <w:t>。</w:t>
            </w:r>
          </w:p>
          <w:p>
            <w:pPr>
              <w:keepLines/>
              <w:pageBreakBefore w:val="0"/>
              <w:suppressLineNumbers/>
              <w:kinsoku/>
              <w:overflowPunct/>
              <w:topLinePunct w:val="0"/>
              <w:autoSpaceDE/>
              <w:autoSpaceDN/>
              <w:bidi w:val="0"/>
              <w:spacing w:line="320" w:lineRule="exact"/>
              <w:jc w:val="left"/>
              <w:rPr>
                <w:rFonts w:hint="eastAsia" w:ascii="宋体" w:hAnsi="宋体" w:eastAsia="宋体" w:cs="宋体"/>
                <w:sz w:val="21"/>
                <w:szCs w:val="21"/>
              </w:rPr>
            </w:pPr>
            <w:r>
              <w:rPr>
                <w:rFonts w:hint="eastAsia" w:ascii="宋体" w:hAnsi="宋体" w:eastAsia="宋体" w:cs="宋体"/>
                <w:sz w:val="21"/>
                <w:szCs w:val="21"/>
              </w:rPr>
              <w:t>二、主要技术参数：</w:t>
            </w:r>
          </w:p>
          <w:p>
            <w:pPr>
              <w:keepLines/>
              <w:pageBreakBefore w:val="0"/>
              <w:suppressLineNumber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1、通道数：3</w:t>
            </w:r>
            <w:r>
              <w:rPr>
                <w:rFonts w:hint="eastAsia" w:ascii="宋体" w:hAnsi="宋体" w:cs="宋体"/>
                <w:sz w:val="21"/>
                <w:szCs w:val="21"/>
                <w:lang w:eastAsia="zh-CN"/>
              </w:rPr>
              <w:t>；</w:t>
            </w:r>
          </w:p>
          <w:p>
            <w:pPr>
              <w:keepLines/>
              <w:pageBreakBefore w:val="0"/>
              <w:suppressLineNumber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2、频带范围：0.4—20MHz</w:t>
            </w:r>
            <w:r>
              <w:rPr>
                <w:rFonts w:hint="eastAsia" w:ascii="宋体" w:hAnsi="宋体" w:cs="宋体"/>
                <w:sz w:val="21"/>
                <w:szCs w:val="21"/>
                <w:lang w:eastAsia="zh-CN"/>
              </w:rPr>
              <w:t>；</w:t>
            </w:r>
            <w:r>
              <w:rPr>
                <w:rFonts w:hint="eastAsia" w:ascii="宋体" w:hAnsi="宋体" w:eastAsia="宋体" w:cs="宋体"/>
                <w:sz w:val="21"/>
                <w:szCs w:val="21"/>
              </w:rPr>
              <w:cr/>
            </w:r>
            <w:r>
              <w:rPr>
                <w:rFonts w:hint="eastAsia" w:ascii="宋体" w:hAnsi="宋体" w:eastAsia="宋体" w:cs="宋体"/>
                <w:sz w:val="21"/>
                <w:szCs w:val="21"/>
              </w:rPr>
              <w:t>3、采样频率：160MHz（硬件实时采样）</w:t>
            </w:r>
            <w:r>
              <w:rPr>
                <w:rFonts w:hint="eastAsia" w:ascii="宋体" w:hAnsi="宋体" w:cs="宋体"/>
                <w:sz w:val="21"/>
                <w:szCs w:val="21"/>
                <w:lang w:eastAsia="zh-CN"/>
              </w:rPr>
              <w:t>；</w:t>
            </w:r>
          </w:p>
          <w:p>
            <w:pPr>
              <w:keepLines/>
              <w:pageBreakBefore w:val="0"/>
              <w:suppressLineNumber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4、增益范围：120dB，0.1，1.0，2.0，6.0步进</w:t>
            </w:r>
            <w:r>
              <w:rPr>
                <w:rFonts w:hint="eastAsia" w:ascii="宋体" w:hAnsi="宋体" w:cs="宋体"/>
                <w:sz w:val="21"/>
                <w:szCs w:val="21"/>
                <w:lang w:eastAsia="zh-CN"/>
              </w:rPr>
              <w:t>；</w:t>
            </w:r>
            <w:r>
              <w:rPr>
                <w:rFonts w:hint="eastAsia" w:ascii="宋体" w:hAnsi="宋体" w:eastAsia="宋体" w:cs="宋体"/>
                <w:sz w:val="21"/>
                <w:szCs w:val="21"/>
              </w:rPr>
              <w:cr/>
            </w:r>
            <w:r>
              <w:rPr>
                <w:rFonts w:hint="eastAsia" w:ascii="宋体" w:hAnsi="宋体" w:eastAsia="宋体" w:cs="宋体"/>
                <w:sz w:val="21"/>
                <w:szCs w:val="21"/>
              </w:rPr>
              <w:t>5、探测范围：0—10000 mm（钢中纵波）</w:t>
            </w:r>
            <w:r>
              <w:rPr>
                <w:rFonts w:hint="eastAsia" w:ascii="宋体" w:hAnsi="宋体" w:cs="宋体"/>
                <w:sz w:val="21"/>
                <w:szCs w:val="21"/>
                <w:lang w:eastAsia="zh-CN"/>
              </w:rPr>
              <w:t>；</w:t>
            </w:r>
          </w:p>
          <w:p>
            <w:pPr>
              <w:keepLines/>
              <w:pageBreakBefore w:val="0"/>
              <w:suppressLineNumber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6、动态范围：≥40dB</w:t>
            </w:r>
            <w:r>
              <w:rPr>
                <w:rFonts w:hint="eastAsia" w:ascii="宋体" w:hAnsi="宋体" w:cs="宋体"/>
                <w:sz w:val="21"/>
                <w:szCs w:val="21"/>
                <w:lang w:eastAsia="zh-CN"/>
              </w:rPr>
              <w:t>；</w:t>
            </w:r>
            <w:r>
              <w:rPr>
                <w:rFonts w:hint="eastAsia" w:ascii="宋体" w:hAnsi="宋体" w:eastAsia="宋体" w:cs="宋体"/>
                <w:sz w:val="21"/>
                <w:szCs w:val="21"/>
              </w:rPr>
              <w:cr/>
            </w:r>
            <w:r>
              <w:rPr>
                <w:rFonts w:hint="eastAsia" w:ascii="宋体" w:hAnsi="宋体" w:eastAsia="宋体" w:cs="宋体"/>
                <w:sz w:val="21"/>
                <w:szCs w:val="21"/>
              </w:rPr>
              <w:t>7、垂直线性：≤2%</w:t>
            </w:r>
            <w:r>
              <w:rPr>
                <w:rFonts w:hint="eastAsia" w:ascii="宋体" w:hAnsi="宋体" w:cs="宋体"/>
                <w:sz w:val="21"/>
                <w:szCs w:val="21"/>
                <w:lang w:eastAsia="zh-CN"/>
              </w:rPr>
              <w:t>；</w:t>
            </w:r>
          </w:p>
          <w:p>
            <w:pPr>
              <w:keepLines/>
              <w:pageBreakBefore w:val="0"/>
              <w:suppressLineNumber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8、水平线性：≤0.1%</w:t>
            </w:r>
            <w:r>
              <w:rPr>
                <w:rFonts w:hint="eastAsia" w:ascii="宋体" w:hAnsi="宋体" w:cs="宋体"/>
                <w:sz w:val="21"/>
                <w:szCs w:val="21"/>
                <w:lang w:eastAsia="zh-CN"/>
              </w:rPr>
              <w:t>；</w:t>
            </w:r>
            <w:r>
              <w:rPr>
                <w:rFonts w:hint="eastAsia" w:ascii="宋体" w:hAnsi="宋体" w:eastAsia="宋体" w:cs="宋体"/>
                <w:sz w:val="21"/>
                <w:szCs w:val="21"/>
              </w:rPr>
              <w:cr/>
            </w:r>
            <w:r>
              <w:rPr>
                <w:rFonts w:hint="eastAsia" w:ascii="宋体" w:hAnsi="宋体" w:eastAsia="宋体" w:cs="宋体"/>
                <w:sz w:val="21"/>
                <w:szCs w:val="21"/>
              </w:rPr>
              <w:t>9、分 辨 力：≥32dB</w:t>
            </w:r>
            <w:r>
              <w:rPr>
                <w:rFonts w:hint="eastAsia" w:ascii="宋体" w:hAnsi="宋体" w:cs="宋体"/>
                <w:sz w:val="21"/>
                <w:szCs w:val="21"/>
                <w:lang w:eastAsia="zh-CN"/>
              </w:rPr>
              <w:t>；</w:t>
            </w:r>
            <w:r>
              <w:rPr>
                <w:rFonts w:hint="eastAsia" w:ascii="宋体" w:hAnsi="宋体" w:eastAsia="宋体" w:cs="宋体"/>
                <w:sz w:val="21"/>
                <w:szCs w:val="21"/>
              </w:rPr>
              <w:cr/>
            </w:r>
            <w:r>
              <w:rPr>
                <w:rFonts w:hint="eastAsia" w:ascii="宋体" w:hAnsi="宋体" w:eastAsia="宋体" w:cs="宋体"/>
                <w:sz w:val="21"/>
                <w:szCs w:val="21"/>
              </w:rPr>
              <w:t>★10、灵敏度余量：≥65dB（200mm—Ф2平底孔，2.5PФ20）</w:t>
            </w:r>
            <w:r>
              <w:rPr>
                <w:rFonts w:hint="eastAsia" w:ascii="宋体" w:hAnsi="宋体" w:cs="宋体"/>
                <w:sz w:val="21"/>
                <w:szCs w:val="21"/>
                <w:lang w:eastAsia="zh-CN"/>
              </w:rPr>
              <w:t>；</w:t>
            </w:r>
          </w:p>
          <w:p>
            <w:pPr>
              <w:keepLines/>
              <w:pageBreakBefore w:val="0"/>
              <w:suppressLineNumber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11、触发方式：编码器触发（最大分辨率0.25mm）时间触发（最大分辨率5ms）</w:t>
            </w:r>
            <w:r>
              <w:rPr>
                <w:rFonts w:hint="eastAsia" w:ascii="宋体" w:hAnsi="宋体" w:cs="宋体"/>
                <w:sz w:val="21"/>
                <w:szCs w:val="21"/>
                <w:lang w:eastAsia="zh-CN"/>
              </w:rPr>
              <w:t>；</w:t>
            </w:r>
          </w:p>
          <w:p>
            <w:pPr>
              <w:keepLines/>
              <w:pageBreakBefore w:val="0"/>
              <w:suppressLineNumber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12、闸门：进波门（直方门、DAC门）、失波门连续可调</w:t>
            </w:r>
            <w:r>
              <w:rPr>
                <w:rFonts w:hint="eastAsia" w:ascii="宋体" w:hAnsi="宋体" w:cs="宋体"/>
                <w:sz w:val="21"/>
                <w:szCs w:val="21"/>
                <w:lang w:eastAsia="zh-CN"/>
              </w:rPr>
              <w:t>；</w:t>
            </w:r>
          </w:p>
          <w:p>
            <w:pPr>
              <w:keepLines/>
              <w:pageBreakBefore w:val="0"/>
              <w:suppressLineNumber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13、声程位移：0—9800mm（钢中纵波）</w:t>
            </w:r>
            <w:r>
              <w:rPr>
                <w:rFonts w:hint="eastAsia" w:ascii="宋体" w:hAnsi="宋体" w:cs="宋体"/>
                <w:sz w:val="21"/>
                <w:szCs w:val="21"/>
                <w:lang w:eastAsia="zh-CN"/>
              </w:rPr>
              <w:t>；</w:t>
            </w:r>
          </w:p>
          <w:p>
            <w:pPr>
              <w:keepLines/>
              <w:pageBreakBefore w:val="0"/>
              <w:suppressLineNumbers/>
              <w:kinsoku/>
              <w:overflowPunct/>
              <w:topLinePunct w:val="0"/>
              <w:autoSpaceDE/>
              <w:autoSpaceDN/>
              <w:bidi w:val="0"/>
              <w:spacing w:line="320" w:lineRule="exact"/>
              <w:jc w:val="left"/>
              <w:rPr>
                <w:rFonts w:hint="eastAsia" w:ascii="宋体" w:hAnsi="宋体" w:eastAsia="宋体" w:cs="宋体"/>
                <w:sz w:val="21"/>
                <w:szCs w:val="21"/>
                <w:lang w:eastAsia="zh-CN"/>
              </w:rPr>
            </w:pPr>
            <w:r>
              <w:rPr>
                <w:rFonts w:hint="eastAsia" w:ascii="宋体" w:hAnsi="宋体" w:eastAsia="宋体" w:cs="宋体"/>
                <w:sz w:val="21"/>
                <w:szCs w:val="21"/>
              </w:rPr>
              <w:t>14、衰减精度：&lt;±1dB/20dB</w:t>
            </w:r>
            <w:r>
              <w:rPr>
                <w:rFonts w:hint="eastAsia" w:ascii="宋体" w:hAnsi="宋体" w:cs="宋体"/>
                <w:sz w:val="21"/>
                <w:szCs w:val="21"/>
                <w:lang w:eastAsia="zh-CN"/>
              </w:rPr>
              <w:t>；</w:t>
            </w:r>
            <w:r>
              <w:rPr>
                <w:rFonts w:hint="eastAsia" w:ascii="宋体" w:hAnsi="宋体" w:eastAsia="宋体" w:cs="宋体"/>
                <w:sz w:val="21"/>
                <w:szCs w:val="21"/>
              </w:rPr>
              <w:cr/>
            </w:r>
            <w:r>
              <w:rPr>
                <w:rFonts w:hint="eastAsia" w:ascii="宋体" w:hAnsi="宋体" w:eastAsia="宋体" w:cs="宋体"/>
                <w:sz w:val="21"/>
                <w:szCs w:val="21"/>
              </w:rPr>
              <w:t>15、探头方式：单晶、双晶、穿透</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cs="宋体"/>
                <w:sz w:val="21"/>
                <w:szCs w:val="21"/>
                <w:lang w:val="en-US" w:eastAsia="zh-CN"/>
              </w:rPr>
              <w:t>一体机（主流品牌，商用机，intel i5 12代， 内存16G，硬盘512GB SSD  预装正版win10专业版或企业版（有微软授权证书或序列号））</w:t>
            </w:r>
            <w:r>
              <w:rPr>
                <w:rFonts w:hint="eastAsia" w:ascii="宋体" w:hAnsi="宋体" w:eastAsia="宋体" w:cs="宋体"/>
                <w:sz w:val="21"/>
                <w:szCs w:val="21"/>
                <w:lang w:val="en-US" w:eastAsia="zh-CN"/>
              </w:rPr>
              <w:t>1台</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7833"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p>
    <w:tbl>
      <w:tblPr>
        <w:tblStyle w:val="37"/>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783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bCs/>
                <w:sz w:val="21"/>
                <w:szCs w:val="21"/>
                <w:lang w:val="en-US" w:eastAsia="zh-CN"/>
              </w:rPr>
              <w:t>5、</w:t>
            </w:r>
            <w:r>
              <w:rPr>
                <w:rFonts w:hint="eastAsia" w:ascii="宋体" w:hAnsi="宋体" w:eastAsia="宋体" w:cs="宋体"/>
                <w:bCs/>
                <w:sz w:val="21"/>
                <w:szCs w:val="21"/>
              </w:rPr>
              <w:t>304不锈钢超声波检测用模拟试块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783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783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用于超声波仪器的校准和检测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7833" w:type="dxa"/>
            <w:tcBorders>
              <w:top w:val="single" w:color="auto" w:sz="4" w:space="0"/>
              <w:left w:val="single" w:color="auto" w:sz="4" w:space="0"/>
              <w:bottom w:val="single" w:color="auto" w:sz="4" w:space="0"/>
              <w:right w:val="single" w:color="auto" w:sz="4" w:space="0"/>
            </w:tcBorders>
            <w:noWrap/>
          </w:tcPr>
          <w:tbl>
            <w:tblPr>
              <w:tblStyle w:val="37"/>
              <w:tblW w:w="750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4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34"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304不锈钢、</w:t>
                  </w:r>
                  <w:r>
                    <w:rPr>
                      <w:rFonts w:hint="eastAsia" w:ascii="宋体" w:hAnsi="宋体" w:eastAsia="宋体" w:cs="宋体"/>
                      <w:color w:val="333333"/>
                      <w:sz w:val="21"/>
                      <w:szCs w:val="21"/>
                      <w:shd w:val="clear" w:color="auto" w:fill="FFFFFF"/>
                    </w:rPr>
                    <w:t>Φ</w:t>
                  </w:r>
                  <w:r>
                    <w:rPr>
                      <w:rFonts w:hint="eastAsia" w:ascii="宋体" w:hAnsi="宋体" w:eastAsia="宋体" w:cs="宋体"/>
                      <w:bCs/>
                      <w:snapToGrid w:val="0"/>
                      <w:kern w:val="0"/>
                      <w:sz w:val="21"/>
                      <w:szCs w:val="21"/>
                    </w:rPr>
                    <w:t>45*3*300</w:t>
                  </w:r>
                </w:p>
              </w:tc>
              <w:tc>
                <w:tcPr>
                  <w:tcW w:w="4466"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未焊透、根部未熔合(各一处)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34"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304不锈钢、</w:t>
                  </w:r>
                  <w:r>
                    <w:rPr>
                      <w:rFonts w:hint="eastAsia" w:ascii="宋体" w:hAnsi="宋体" w:eastAsia="宋体" w:cs="宋体"/>
                      <w:color w:val="333333"/>
                      <w:sz w:val="21"/>
                      <w:szCs w:val="21"/>
                      <w:shd w:val="clear" w:color="auto" w:fill="FFFFFF"/>
                    </w:rPr>
                    <w:t>Φ</w:t>
                  </w:r>
                  <w:r>
                    <w:rPr>
                      <w:rFonts w:hint="eastAsia" w:ascii="宋体" w:hAnsi="宋体" w:eastAsia="宋体" w:cs="宋体"/>
                      <w:bCs/>
                      <w:snapToGrid w:val="0"/>
                      <w:kern w:val="0"/>
                      <w:sz w:val="21"/>
                      <w:szCs w:val="21"/>
                    </w:rPr>
                    <w:t>57*3.5*300</w:t>
                  </w:r>
                </w:p>
              </w:tc>
              <w:tc>
                <w:tcPr>
                  <w:tcW w:w="4466"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未焊透、根部未熔合(各一处)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34"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304不锈钢、</w:t>
                  </w:r>
                  <w:r>
                    <w:rPr>
                      <w:rFonts w:hint="eastAsia" w:ascii="宋体" w:hAnsi="宋体" w:eastAsia="宋体" w:cs="宋体"/>
                      <w:color w:val="333333"/>
                      <w:sz w:val="21"/>
                      <w:szCs w:val="21"/>
                      <w:shd w:val="clear" w:color="auto" w:fill="FFFFFF"/>
                    </w:rPr>
                    <w:t>Φ</w:t>
                  </w:r>
                  <w:r>
                    <w:rPr>
                      <w:rFonts w:hint="eastAsia" w:ascii="宋体" w:hAnsi="宋体" w:eastAsia="宋体" w:cs="宋体"/>
                      <w:bCs/>
                      <w:snapToGrid w:val="0"/>
                      <w:kern w:val="0"/>
                      <w:sz w:val="21"/>
                      <w:szCs w:val="21"/>
                    </w:rPr>
                    <w:t>60*5*300</w:t>
                  </w:r>
                </w:p>
              </w:tc>
              <w:tc>
                <w:tcPr>
                  <w:tcW w:w="4466"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未焊透、未熔合(各一处）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34"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304不锈钢、</w:t>
                  </w:r>
                  <w:r>
                    <w:rPr>
                      <w:rFonts w:hint="eastAsia" w:ascii="宋体" w:hAnsi="宋体" w:eastAsia="宋体" w:cs="宋体"/>
                      <w:color w:val="333333"/>
                      <w:sz w:val="21"/>
                      <w:szCs w:val="21"/>
                      <w:shd w:val="clear" w:color="auto" w:fill="FFFFFF"/>
                    </w:rPr>
                    <w:t>Φ</w:t>
                  </w:r>
                  <w:r>
                    <w:rPr>
                      <w:rFonts w:hint="eastAsia" w:ascii="宋体" w:hAnsi="宋体" w:eastAsia="宋体" w:cs="宋体"/>
                      <w:bCs/>
                      <w:snapToGrid w:val="0"/>
                      <w:kern w:val="0"/>
                      <w:sz w:val="21"/>
                      <w:szCs w:val="21"/>
                    </w:rPr>
                    <w:t>89*4*300</w:t>
                  </w:r>
                </w:p>
              </w:tc>
              <w:tc>
                <w:tcPr>
                  <w:tcW w:w="4466"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未焊透、根部未融合(各一处)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34"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304不锈钢、</w:t>
                  </w:r>
                  <w:r>
                    <w:rPr>
                      <w:rFonts w:hint="eastAsia" w:ascii="宋体" w:hAnsi="宋体" w:eastAsia="宋体" w:cs="宋体"/>
                      <w:color w:val="333333"/>
                      <w:sz w:val="21"/>
                      <w:szCs w:val="21"/>
                      <w:shd w:val="clear" w:color="auto" w:fill="FFFFFF"/>
                    </w:rPr>
                    <w:t>Φ</w:t>
                  </w:r>
                  <w:r>
                    <w:rPr>
                      <w:rFonts w:hint="eastAsia" w:ascii="宋体" w:hAnsi="宋体" w:eastAsia="宋体" w:cs="宋体"/>
                      <w:bCs/>
                      <w:snapToGrid w:val="0"/>
                      <w:kern w:val="0"/>
                      <w:sz w:val="21"/>
                      <w:szCs w:val="21"/>
                    </w:rPr>
                    <w:t>108*4*300</w:t>
                  </w:r>
                </w:p>
              </w:tc>
              <w:tc>
                <w:tcPr>
                  <w:tcW w:w="4466"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未焊透、根部未融合(各一处)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34"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304不锈钢、</w:t>
                  </w:r>
                  <w:r>
                    <w:rPr>
                      <w:rFonts w:hint="eastAsia" w:ascii="宋体" w:hAnsi="宋体" w:eastAsia="宋体" w:cs="宋体"/>
                      <w:color w:val="333333"/>
                      <w:sz w:val="21"/>
                      <w:szCs w:val="21"/>
                      <w:shd w:val="clear" w:color="auto" w:fill="FFFFFF"/>
                    </w:rPr>
                    <w:t>Φ</w:t>
                  </w:r>
                  <w:r>
                    <w:rPr>
                      <w:rFonts w:hint="eastAsia" w:ascii="宋体" w:hAnsi="宋体" w:eastAsia="宋体" w:cs="宋体"/>
                      <w:bCs/>
                      <w:snapToGrid w:val="0"/>
                      <w:kern w:val="0"/>
                      <w:sz w:val="21"/>
                      <w:szCs w:val="21"/>
                    </w:rPr>
                    <w:t>133*4.5*300</w:t>
                  </w:r>
                </w:p>
              </w:tc>
              <w:tc>
                <w:tcPr>
                  <w:tcW w:w="4466"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根部未熔合、气孔、未焊透(各一处)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34"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304不锈钢、</w:t>
                  </w:r>
                  <w:r>
                    <w:rPr>
                      <w:rFonts w:hint="eastAsia" w:ascii="宋体" w:hAnsi="宋体" w:eastAsia="宋体" w:cs="宋体"/>
                      <w:color w:val="333333"/>
                      <w:sz w:val="21"/>
                      <w:szCs w:val="21"/>
                      <w:shd w:val="clear" w:color="auto" w:fill="FFFFFF"/>
                    </w:rPr>
                    <w:t>Φ</w:t>
                  </w:r>
                  <w:r>
                    <w:rPr>
                      <w:rFonts w:hint="eastAsia" w:ascii="宋体" w:hAnsi="宋体" w:eastAsia="宋体" w:cs="宋体"/>
                      <w:bCs/>
                      <w:snapToGrid w:val="0"/>
                      <w:kern w:val="0"/>
                      <w:sz w:val="21"/>
                      <w:szCs w:val="21"/>
                    </w:rPr>
                    <w:t>159*10*300</w:t>
                  </w:r>
                </w:p>
              </w:tc>
              <w:tc>
                <w:tcPr>
                  <w:tcW w:w="4466"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横裂、夹渣、根部焊瘤、未熔合(各一处)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34"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304不锈钢、</w:t>
                  </w:r>
                  <w:r>
                    <w:rPr>
                      <w:rFonts w:hint="eastAsia" w:ascii="宋体" w:hAnsi="宋体" w:eastAsia="宋体" w:cs="宋体"/>
                      <w:color w:val="333333"/>
                      <w:sz w:val="21"/>
                      <w:szCs w:val="21"/>
                      <w:shd w:val="clear" w:color="auto" w:fill="FFFFFF"/>
                    </w:rPr>
                    <w:t>Φ</w:t>
                  </w:r>
                  <w:r>
                    <w:rPr>
                      <w:rFonts w:hint="eastAsia" w:ascii="宋体" w:hAnsi="宋体" w:eastAsia="宋体" w:cs="宋体"/>
                      <w:bCs/>
                      <w:snapToGrid w:val="0"/>
                      <w:kern w:val="0"/>
                      <w:sz w:val="21"/>
                      <w:szCs w:val="21"/>
                    </w:rPr>
                    <w:t>159*10*300</w:t>
                  </w:r>
                </w:p>
              </w:tc>
              <w:tc>
                <w:tcPr>
                  <w:tcW w:w="4466"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根部咬边、内凹、焊瘤、气孔、未焊透(各一处)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34"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304不锈钢、</w:t>
                  </w:r>
                  <w:r>
                    <w:rPr>
                      <w:rFonts w:hint="eastAsia" w:ascii="宋体" w:hAnsi="宋体" w:eastAsia="宋体" w:cs="宋体"/>
                      <w:color w:val="333333"/>
                      <w:sz w:val="21"/>
                      <w:szCs w:val="21"/>
                      <w:shd w:val="clear" w:color="auto" w:fill="FFFFFF"/>
                    </w:rPr>
                    <w:t>Φ</w:t>
                  </w:r>
                  <w:r>
                    <w:rPr>
                      <w:rFonts w:hint="eastAsia" w:ascii="宋体" w:hAnsi="宋体" w:eastAsia="宋体" w:cs="宋体"/>
                      <w:bCs/>
                      <w:snapToGrid w:val="0"/>
                      <w:kern w:val="0"/>
                      <w:sz w:val="21"/>
                      <w:szCs w:val="21"/>
                    </w:rPr>
                    <w:t>219*6*400</w:t>
                  </w:r>
                </w:p>
              </w:tc>
              <w:tc>
                <w:tcPr>
                  <w:tcW w:w="4466"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夹渣、未焊透、密集气孔（各一处）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34"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304不锈钢、</w:t>
                  </w:r>
                  <w:r>
                    <w:rPr>
                      <w:rFonts w:hint="eastAsia" w:ascii="宋体" w:hAnsi="宋体" w:eastAsia="宋体" w:cs="宋体"/>
                      <w:color w:val="333333"/>
                      <w:sz w:val="21"/>
                      <w:szCs w:val="21"/>
                      <w:shd w:val="clear" w:color="auto" w:fill="FFFFFF"/>
                    </w:rPr>
                    <w:t>Φ</w:t>
                  </w:r>
                  <w:r>
                    <w:rPr>
                      <w:rFonts w:hint="eastAsia" w:ascii="宋体" w:hAnsi="宋体" w:eastAsia="宋体" w:cs="宋体"/>
                      <w:bCs/>
                      <w:snapToGrid w:val="0"/>
                      <w:kern w:val="0"/>
                      <w:sz w:val="21"/>
                      <w:szCs w:val="21"/>
                    </w:rPr>
                    <w:t>273*8*400</w:t>
                  </w:r>
                </w:p>
              </w:tc>
              <w:tc>
                <w:tcPr>
                  <w:tcW w:w="4466"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横向裂纹、表面裂纹、未焊透、未熔合、气孔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34"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304不锈钢、</w:t>
                  </w:r>
                  <w:r>
                    <w:rPr>
                      <w:rFonts w:hint="eastAsia" w:ascii="宋体" w:hAnsi="宋体" w:eastAsia="宋体" w:cs="宋体"/>
                      <w:color w:val="333333"/>
                      <w:sz w:val="21"/>
                      <w:szCs w:val="21"/>
                      <w:shd w:val="clear" w:color="auto" w:fill="FFFFFF"/>
                    </w:rPr>
                    <w:t>Φ</w:t>
                  </w:r>
                  <w:r>
                    <w:rPr>
                      <w:rFonts w:hint="eastAsia" w:ascii="宋体" w:hAnsi="宋体" w:eastAsia="宋体" w:cs="宋体"/>
                      <w:bCs/>
                      <w:snapToGrid w:val="0"/>
                      <w:kern w:val="0"/>
                      <w:sz w:val="21"/>
                      <w:szCs w:val="21"/>
                    </w:rPr>
                    <w:t>377*8*400</w:t>
                  </w:r>
                </w:p>
              </w:tc>
              <w:tc>
                <w:tcPr>
                  <w:tcW w:w="4466"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夹渣、未焊透、未熔合、根部未熔合（各一处）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34"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304不锈钢、V型:400*400*15</w:t>
                  </w:r>
                </w:p>
              </w:tc>
              <w:tc>
                <w:tcPr>
                  <w:tcW w:w="4466"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横裂、未熔合、未焊透、裂纹、夹渣(各一处)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34"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304不锈钢、X型:400*400*30</w:t>
                  </w:r>
                </w:p>
              </w:tc>
              <w:tc>
                <w:tcPr>
                  <w:tcW w:w="4466"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横裂、裂纹、未焊透、裂纹、夹渣(各一处)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34"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304不锈钢、X型:400*400*30</w:t>
                  </w:r>
                </w:p>
              </w:tc>
              <w:tc>
                <w:tcPr>
                  <w:tcW w:w="4466"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裂纹、裂纹、夹渣、气孔（各一处）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34"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304不锈钢、X型:400*400*30</w:t>
                  </w:r>
                </w:p>
              </w:tc>
              <w:tc>
                <w:tcPr>
                  <w:tcW w:w="4466"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裂纹、裂纹、层间未熔合、气孔（各一处）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34"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304不锈钢、X型:400*400*30</w:t>
                  </w:r>
                </w:p>
              </w:tc>
              <w:tc>
                <w:tcPr>
                  <w:tcW w:w="4466"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裂纹、裂纹、未焊透、未融合（各一处）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34"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304不锈钢、X型:400*400*30</w:t>
                  </w:r>
                </w:p>
              </w:tc>
              <w:tc>
                <w:tcPr>
                  <w:tcW w:w="4466"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裂纹、未焊透、未熔合、密集气孔、夹渣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34"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304不锈钢、X型:400*400*30</w:t>
                  </w:r>
                </w:p>
              </w:tc>
              <w:tc>
                <w:tcPr>
                  <w:tcW w:w="4466"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裂纹、未焊透、未熔合、密集气孔、夹渣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34"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304不锈钢、X型:400*400*30</w:t>
                  </w:r>
                </w:p>
              </w:tc>
              <w:tc>
                <w:tcPr>
                  <w:tcW w:w="4466" w:type="dxa"/>
                  <w:shd w:val="clear" w:color="auto" w:fill="auto"/>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裂纹、未焊透、未熔合、密集气孔、夹渣</w:t>
                  </w:r>
                </w:p>
              </w:tc>
            </w:tr>
          </w:tbl>
          <w:p>
            <w:pPr>
              <w:pStyle w:val="4"/>
              <w:pageBreakBefore w:val="0"/>
              <w:kinsoku/>
              <w:overflowPunct/>
              <w:topLinePunct w:val="0"/>
              <w:autoSpaceDE/>
              <w:autoSpaceDN/>
              <w:bidi w:val="0"/>
              <w:spacing w:before="0" w:after="0" w:line="3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7833" w:type="dxa"/>
            <w:tcBorders>
              <w:top w:val="single" w:color="auto" w:sz="4" w:space="0"/>
              <w:left w:val="single" w:color="auto" w:sz="4" w:space="0"/>
              <w:bottom w:val="single" w:color="auto" w:sz="4" w:space="0"/>
              <w:right w:val="single" w:color="auto" w:sz="4" w:space="0"/>
            </w:tcBorders>
            <w:noWrap/>
          </w:tcPr>
          <w:p>
            <w:pPr>
              <w:pageBreakBefore w:val="0"/>
              <w:kinsoku/>
              <w:overflowPunct/>
              <w:topLinePunct w:val="0"/>
              <w:autoSpaceDE/>
              <w:autoSpaceDN/>
              <w:bidi w:val="0"/>
              <w:spacing w:line="320" w:lineRule="exact"/>
              <w:rPr>
                <w:rFonts w:hint="eastAsia" w:ascii="宋体" w:hAnsi="宋体" w:eastAsia="宋体" w:cs="宋体"/>
                <w:snapToGrid w:val="0"/>
                <w:kern w:val="0"/>
                <w:sz w:val="21"/>
                <w:szCs w:val="21"/>
              </w:rPr>
            </w:pPr>
            <w:r>
              <w:rPr>
                <w:rFonts w:hint="eastAsia" w:ascii="宋体" w:hAnsi="宋体" w:eastAsia="宋体" w:cs="宋体"/>
                <w:sz w:val="21"/>
                <w:szCs w:val="21"/>
              </w:rPr>
              <w:t>1、</w:t>
            </w:r>
            <w:r>
              <w:rPr>
                <w:rFonts w:hint="eastAsia" w:ascii="宋体" w:hAnsi="宋体" w:eastAsia="宋体" w:cs="宋体"/>
                <w:bCs/>
                <w:snapToGrid w:val="0"/>
                <w:kern w:val="0"/>
                <w:sz w:val="21"/>
                <w:szCs w:val="21"/>
              </w:rPr>
              <w:t>售后服务为</w:t>
            </w:r>
            <w:r>
              <w:rPr>
                <w:rFonts w:hint="eastAsia" w:ascii="宋体" w:hAnsi="宋体" w:eastAsia="宋体" w:cs="宋体"/>
                <w:snapToGrid w:val="0"/>
                <w:kern w:val="0"/>
                <w:sz w:val="21"/>
                <w:szCs w:val="21"/>
              </w:rPr>
              <w:t>1年。</w:t>
            </w:r>
          </w:p>
        </w:tc>
      </w:tr>
    </w:tbl>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br w:type="page"/>
      </w:r>
    </w:p>
    <w:tbl>
      <w:tblPr>
        <w:tblStyle w:val="37"/>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783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bCs/>
                <w:sz w:val="21"/>
                <w:szCs w:val="21"/>
                <w:lang w:val="en-US" w:eastAsia="zh-CN"/>
              </w:rPr>
              <w:t>6、</w:t>
            </w:r>
            <w:r>
              <w:rPr>
                <w:rFonts w:hint="eastAsia" w:ascii="宋体" w:hAnsi="宋体" w:eastAsia="宋体" w:cs="宋体"/>
                <w:bCs/>
                <w:sz w:val="21"/>
                <w:szCs w:val="21"/>
              </w:rPr>
              <w:t>埋地管道泄漏检测仪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783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color w:val="FF0000"/>
                <w:sz w:val="21"/>
                <w:szCs w:val="21"/>
              </w:rPr>
            </w:pPr>
            <w:r>
              <w:rPr>
                <w:rFonts w:hint="eastAsia" w:ascii="宋体" w:hAnsi="宋体" w:eastAsia="宋体" w:cs="宋体"/>
                <w:bCs/>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783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rPr>
                <w:rFonts w:hint="eastAsia" w:ascii="宋体" w:hAnsi="宋体" w:eastAsia="宋体" w:cs="宋体"/>
                <w:bCs/>
                <w:snapToGrid w:val="0"/>
                <w:kern w:val="0"/>
                <w:sz w:val="21"/>
                <w:szCs w:val="21"/>
                <w:lang w:eastAsia="zh-CN"/>
              </w:rPr>
            </w:pPr>
            <w:r>
              <w:rPr>
                <w:rFonts w:hint="eastAsia" w:ascii="宋体" w:hAnsi="宋体" w:eastAsia="宋体" w:cs="宋体"/>
                <w:bCs/>
                <w:snapToGrid w:val="0"/>
                <w:kern w:val="0"/>
                <w:sz w:val="21"/>
                <w:szCs w:val="21"/>
              </w:rPr>
              <w:t>应用于城镇燃气、石油、石化、油库、气站、油气田等部门气体输配管道的安全检查以及管道维护和泄漏抢险等</w:t>
            </w:r>
            <w:r>
              <w:rPr>
                <w:rFonts w:hint="eastAsia" w:ascii="宋体" w:hAnsi="宋体" w:cs="宋体"/>
                <w:bCs/>
                <w:snapToGrid w:val="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783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一、检测原理及方法：</w:t>
            </w:r>
            <w:r>
              <w:rPr>
                <w:rFonts w:hint="eastAsia" w:ascii="宋体" w:hAnsi="宋体" w:eastAsia="宋体" w:cs="宋体"/>
                <w:sz w:val="21"/>
                <w:szCs w:val="21"/>
              </w:rPr>
              <w:br w:type="textWrapping"/>
            </w:r>
            <w:r>
              <w:rPr>
                <w:rFonts w:hint="eastAsia" w:ascii="宋体" w:hAnsi="宋体" w:eastAsia="宋体" w:cs="宋体"/>
                <w:sz w:val="21"/>
                <w:szCs w:val="21"/>
              </w:rPr>
              <w:t>当含有可燃气体的空气，通过气泵送到传感器时，检测元件的阻值会迅速变大（其阻值变化的大小跟气体的浓度成正比），同时输出一电压信号，经电路放大后送到显示部分，并产生报警信号。</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二、主要技术参数</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1、探测气体：适用于天然气、液化石油气；人工煤气及甲烷类气体</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cs="宋体"/>
                <w:bCs/>
                <w:color w:val="auto"/>
                <w:sz w:val="21"/>
                <w:szCs w:val="21"/>
                <w:highlight w:val="none"/>
              </w:rPr>
              <w:t>▲</w:t>
            </w:r>
            <w:r>
              <w:rPr>
                <w:rFonts w:hint="eastAsia" w:ascii="宋体" w:hAnsi="宋体" w:eastAsia="宋体" w:cs="宋体"/>
                <w:sz w:val="21"/>
                <w:szCs w:val="21"/>
              </w:rPr>
              <w:t>2、灵敏度：在0~1000ppm时，优于50ppm;在1~100%LEL时，优于1%LEL</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★3、检测范围：0~1000ppm，1-100%LEL（自动）</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★4、预热时间：10s</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★5、响应时间：小于10s</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6、音频指示:蜂鸣频率越高表明浓度越高</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7、电池：7.4V可充电锂电池(或12V可充电镍氢电池）</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8、待机时间：大于8h</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9、充电时间：不小于4h</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10环境风速：小于4m/s</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11气体流量：1L/min</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cs="宋体"/>
                <w:sz w:val="21"/>
                <w:szCs w:val="21"/>
                <w:lang w:val="en-US" w:eastAsia="zh-CN"/>
              </w:rPr>
              <w:t>一体机（主流品牌，商用机，intel i5 12代， 内存16G，硬盘512GB SSD  预装正版win10专业版或企业版（有微软授权证书或序列号））</w:t>
            </w:r>
            <w:r>
              <w:rPr>
                <w:rFonts w:hint="eastAsia" w:ascii="宋体" w:hAnsi="宋体" w:eastAsia="宋体" w:cs="宋体"/>
                <w:sz w:val="21"/>
                <w:szCs w:val="21"/>
                <w:lang w:val="en-US" w:eastAsia="zh-CN"/>
              </w:rPr>
              <w:t>1台</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7833"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ageBreakBefore w:val="0"/>
        <w:kinsoku/>
        <w:overflowPunct/>
        <w:topLinePunct w:val="0"/>
        <w:autoSpaceDE/>
        <w:autoSpaceDN/>
        <w:bidi w:val="0"/>
        <w:snapToGrid w:val="0"/>
        <w:spacing w:line="320" w:lineRule="exact"/>
        <w:outlineLvl w:val="0"/>
        <w:rPr>
          <w:rFonts w:hint="eastAsia" w:ascii="宋体" w:hAnsi="宋体" w:eastAsia="宋体" w:cs="宋体"/>
          <w:b/>
          <w:color w:val="auto"/>
          <w:sz w:val="21"/>
          <w:szCs w:val="21"/>
          <w:highlight w:val="none"/>
        </w:rPr>
      </w:pPr>
    </w:p>
    <w:p>
      <w:pPr>
        <w:pageBreakBefore w:val="0"/>
        <w:kinsoku/>
        <w:overflowPunct/>
        <w:topLinePunct w:val="0"/>
        <w:autoSpaceDE/>
        <w:autoSpaceDN/>
        <w:bidi w:val="0"/>
        <w:snapToGrid w:val="0"/>
        <w:spacing w:line="320" w:lineRule="exact"/>
        <w:outlineLvl w:val="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标项</w:t>
      </w:r>
      <w:r>
        <w:rPr>
          <w:rFonts w:hint="eastAsia" w:ascii="宋体" w:hAnsi="宋体" w:eastAsia="宋体" w:cs="宋体"/>
          <w:b/>
          <w:color w:val="auto"/>
          <w:sz w:val="21"/>
          <w:szCs w:val="21"/>
          <w:highlight w:val="none"/>
          <w:lang w:val="en-US" w:eastAsia="zh-CN"/>
        </w:rPr>
        <w:t>八</w:t>
      </w:r>
      <w:r>
        <w:rPr>
          <w:rFonts w:hint="eastAsia" w:ascii="宋体" w:hAnsi="宋体" w:eastAsia="宋体" w:cs="宋体"/>
          <w:b/>
          <w:bCs/>
          <w:color w:val="auto"/>
          <w:sz w:val="21"/>
          <w:szCs w:val="21"/>
          <w:highlight w:val="none"/>
        </w:rPr>
        <w:t xml:space="preserve"> </w:t>
      </w:r>
    </w:p>
    <w:p>
      <w:pPr>
        <w:pageBreakBefore w:val="0"/>
        <w:kinsoku/>
        <w:overflowPunct/>
        <w:topLinePunct w:val="0"/>
        <w:autoSpaceDE/>
        <w:autoSpaceDN/>
        <w:bidi w:val="0"/>
        <w:spacing w:line="320" w:lineRule="exac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一、名称、规格、性能参数要求如下</w:t>
      </w:r>
    </w:p>
    <w:tbl>
      <w:tblPr>
        <w:tblStyle w:val="37"/>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lang w:eastAsia="zh-CN"/>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电磁超声测厚仪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高低温测厚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0"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8126" w:type="dxa"/>
            <w:tcBorders>
              <w:top w:val="single" w:color="auto" w:sz="4" w:space="0"/>
              <w:left w:val="single" w:color="auto" w:sz="4" w:space="0"/>
              <w:bottom w:val="single" w:color="auto" w:sz="4" w:space="0"/>
              <w:right w:val="single" w:color="auto" w:sz="4" w:space="0"/>
            </w:tcBorders>
            <w:noWrap/>
          </w:tcPr>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cs="宋体"/>
                <w:bCs/>
                <w:color w:val="auto"/>
                <w:sz w:val="21"/>
                <w:szCs w:val="21"/>
                <w:highlight w:val="none"/>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测量精度及范围：精</w:t>
            </w:r>
            <w:r>
              <w:rPr>
                <w:rFonts w:hint="eastAsia" w:ascii="宋体" w:hAnsi="宋体" w:eastAsia="宋体" w:cs="宋体"/>
                <w:sz w:val="21"/>
                <w:szCs w:val="21"/>
                <w:lang w:val="en-US" w:eastAsia="zh-CN"/>
              </w:rPr>
              <w:t>度0.01mm</w:t>
            </w:r>
            <w:r>
              <w:rPr>
                <w:rFonts w:hint="eastAsia" w:ascii="宋体" w:hAnsi="宋体" w:eastAsia="宋体" w:cs="宋体"/>
                <w:sz w:val="21"/>
                <w:szCs w:val="21"/>
              </w:rPr>
              <w:t>、范围</w:t>
            </w:r>
            <w:r>
              <w:rPr>
                <w:rFonts w:hint="eastAsia" w:ascii="宋体" w:hAnsi="宋体" w:eastAsia="宋体" w:cs="宋体"/>
                <w:sz w:val="21"/>
                <w:szCs w:val="21"/>
                <w:lang w:val="en-US" w:eastAsia="zh-CN"/>
              </w:rPr>
              <w:t>1.5</w:t>
            </w:r>
            <w:r>
              <w:rPr>
                <w:rFonts w:hint="eastAsia" w:ascii="宋体" w:hAnsi="宋体" w:eastAsia="宋体" w:cs="宋体"/>
                <w:sz w:val="21"/>
                <w:szCs w:val="21"/>
              </w:rPr>
              <w:t>～150 mm</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cs="宋体"/>
                <w:bCs/>
                <w:color w:val="auto"/>
                <w:sz w:val="21"/>
                <w:szCs w:val="21"/>
                <w:highlight w:val="none"/>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探头工作间隙/提离度要求：常温永磁探头≥6mm、高温永磁探头≥2mm、常温脉冲探头≥1mm</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测量不垂直度(换能器/探头相对被测试物体的法线)：±25°</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激发频率：2.0MHz～6.0MHz</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可测工件最小直径≤6mm</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声速范围：1000～9999 m/s、调节增量1 m/s</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闸门功能：自动闸门、手动单闸门、手动双闸门</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显示器：彩色LCD、3.5寸/320×480 pixel</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通信接口：USB2.0</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重量：≤</w:t>
            </w:r>
            <w:r>
              <w:rPr>
                <w:rFonts w:hint="eastAsia" w:ascii="宋体" w:hAnsi="宋体" w:eastAsia="宋体" w:cs="宋体"/>
                <w:sz w:val="21"/>
                <w:szCs w:val="21"/>
                <w:lang w:val="en-US" w:eastAsia="zh-CN"/>
              </w:rPr>
              <w:t>2</w:t>
            </w:r>
            <w:r>
              <w:rPr>
                <w:rFonts w:hint="eastAsia" w:ascii="宋体" w:hAnsi="宋体" w:eastAsia="宋体" w:cs="宋体"/>
                <w:sz w:val="21"/>
                <w:szCs w:val="21"/>
              </w:rPr>
              <w:t>kg</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eastAsia="zh-CN"/>
              </w:rPr>
              <w:t>、</w:t>
            </w:r>
            <w:r>
              <w:rPr>
                <w:rFonts w:hint="eastAsia" w:ascii="宋体" w:hAnsi="宋体" w:eastAsia="宋体" w:cs="宋体"/>
                <w:sz w:val="21"/>
                <w:szCs w:val="21"/>
              </w:rPr>
              <w:t>常温脉冲探头规格：脉冲式电磁铁、磁性吸力≈0N、圆形φ30×高44mm、重量≤60g、线长0.8m；</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eastAsia="zh-CN"/>
              </w:rPr>
              <w:t>、</w:t>
            </w:r>
            <w:r>
              <w:rPr>
                <w:rFonts w:hint="eastAsia" w:ascii="宋体" w:hAnsi="宋体" w:eastAsia="宋体" w:cs="宋体"/>
                <w:sz w:val="21"/>
                <w:szCs w:val="21"/>
              </w:rPr>
              <w:t>常温永磁探头规格：弱性永磁铁、磁性吸附力≤15N、圆形φ30×高44mm、重量≤80g、线长0.8m；</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lang w:eastAsia="zh-CN"/>
              </w:rPr>
              <w:t>、</w:t>
            </w:r>
            <w:r>
              <w:rPr>
                <w:rFonts w:hint="eastAsia" w:ascii="宋体" w:hAnsi="宋体" w:eastAsia="宋体" w:cs="宋体"/>
                <w:sz w:val="21"/>
                <w:szCs w:val="21"/>
              </w:rPr>
              <w:t>高温永磁探头规格：磁性吸附力≤20N、圆形φ45×杆长390mm、重量≤370g、线长0.8m；</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14</w:t>
            </w:r>
            <w:r>
              <w:rPr>
                <w:rFonts w:hint="eastAsia" w:ascii="宋体" w:hAnsi="宋体" w:eastAsia="宋体" w:cs="宋体"/>
                <w:sz w:val="21"/>
                <w:szCs w:val="21"/>
                <w:lang w:eastAsia="zh-CN"/>
              </w:rPr>
              <w:t>、</w:t>
            </w:r>
            <w:r>
              <w:rPr>
                <w:rFonts w:hint="eastAsia" w:ascii="宋体" w:hAnsi="宋体" w:eastAsia="宋体" w:cs="宋体"/>
                <w:sz w:val="21"/>
                <w:szCs w:val="21"/>
              </w:rPr>
              <w:t>工作温度：常温探头-20～+50℃、高温探头-20～+</w:t>
            </w:r>
            <w:r>
              <w:rPr>
                <w:rFonts w:hint="eastAsia" w:ascii="宋体" w:hAnsi="宋体" w:eastAsia="宋体" w:cs="宋体"/>
                <w:sz w:val="21"/>
                <w:szCs w:val="21"/>
                <w:lang w:val="en-US" w:eastAsia="zh-CN"/>
              </w:rPr>
              <w:t>70</w:t>
            </w:r>
            <w:r>
              <w:rPr>
                <w:rFonts w:hint="eastAsia" w:ascii="宋体" w:hAnsi="宋体" w:eastAsia="宋体" w:cs="宋体"/>
                <w:sz w:val="21"/>
                <w:szCs w:val="21"/>
              </w:rPr>
              <w:t>0℃</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cs="宋体"/>
                <w:sz w:val="21"/>
                <w:szCs w:val="21"/>
                <w:lang w:val="en-US" w:eastAsia="zh-CN"/>
              </w:rPr>
              <w:t>一体机（主流品牌，商用机，intel i5 12代， 内存16G，硬盘512GB SSD  预装正版win10专业版或企业版（有微软授权证书或序列号））</w:t>
            </w:r>
            <w:r>
              <w:rPr>
                <w:rFonts w:hint="eastAsia" w:ascii="宋体" w:hAnsi="宋体" w:eastAsia="宋体" w:cs="宋体"/>
                <w:sz w:val="21"/>
                <w:szCs w:val="21"/>
                <w:lang w:val="en-US" w:eastAsia="zh-CN"/>
              </w:rPr>
              <w:t>1台</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126"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ageBreakBefore w:val="0"/>
        <w:kinsoku/>
        <w:overflowPunct/>
        <w:topLinePunct w:val="0"/>
        <w:autoSpaceDE/>
        <w:autoSpaceDN/>
        <w:bidi w:val="0"/>
        <w:snapToGrid w:val="0"/>
        <w:spacing w:line="320" w:lineRule="exact"/>
        <w:outlineLvl w:val="0"/>
        <w:rPr>
          <w:rFonts w:hint="eastAsia" w:ascii="宋体" w:hAnsi="宋体" w:eastAsia="宋体" w:cs="宋体"/>
          <w:b/>
          <w:color w:val="auto"/>
          <w:sz w:val="21"/>
          <w:szCs w:val="21"/>
          <w:highlight w:val="none"/>
        </w:rPr>
      </w:pPr>
    </w:p>
    <w:tbl>
      <w:tblPr>
        <w:tblStyle w:val="37"/>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电磁超声导波探伤仪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高温压力管道缺陷在线检测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7"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8126" w:type="dxa"/>
            <w:tcBorders>
              <w:top w:val="single" w:color="auto" w:sz="4" w:space="0"/>
              <w:left w:val="single" w:color="auto" w:sz="4" w:space="0"/>
              <w:bottom w:val="single" w:color="auto" w:sz="4" w:space="0"/>
              <w:right w:val="single" w:color="auto" w:sz="4" w:space="0"/>
            </w:tcBorders>
            <w:noWrap/>
          </w:tcPr>
          <w:p>
            <w:pPr>
              <w:pStyle w:val="90"/>
              <w:pageBreakBefore w:val="0"/>
              <w:numPr>
                <w:ilvl w:val="0"/>
                <w:numId w:val="15"/>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频率范围：100kHz~1000kHz</w:t>
            </w:r>
            <w:r>
              <w:rPr>
                <w:rFonts w:hint="eastAsia" w:ascii="宋体" w:hAnsi="宋体" w:cs="宋体"/>
                <w:sz w:val="21"/>
                <w:szCs w:val="21"/>
                <w:lang w:eastAsia="zh-CN"/>
              </w:rPr>
              <w:t>；</w:t>
            </w:r>
          </w:p>
          <w:p>
            <w:pPr>
              <w:pStyle w:val="90"/>
              <w:pageBreakBefore w:val="0"/>
              <w:numPr>
                <w:ilvl w:val="0"/>
                <w:numId w:val="15"/>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检测模式：A型脉冲、B扫描成像、SAFT成像</w:t>
            </w:r>
            <w:r>
              <w:rPr>
                <w:rFonts w:hint="eastAsia" w:ascii="宋体" w:hAnsi="宋体" w:cs="宋体"/>
                <w:sz w:val="21"/>
                <w:szCs w:val="21"/>
                <w:lang w:eastAsia="zh-CN"/>
              </w:rPr>
              <w:t>；</w:t>
            </w:r>
          </w:p>
          <w:p>
            <w:pPr>
              <w:pStyle w:val="90"/>
              <w:pageBreakBefore w:val="0"/>
              <w:numPr>
                <w:ilvl w:val="0"/>
                <w:numId w:val="15"/>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工作方式：一发一收，反射式或透射式</w:t>
            </w:r>
            <w:r>
              <w:rPr>
                <w:rFonts w:hint="eastAsia" w:ascii="宋体" w:hAnsi="宋体" w:cs="宋体"/>
                <w:sz w:val="21"/>
                <w:szCs w:val="21"/>
                <w:lang w:eastAsia="zh-CN"/>
              </w:rPr>
              <w:t>；</w:t>
            </w:r>
          </w:p>
          <w:p>
            <w:pPr>
              <w:pStyle w:val="90"/>
              <w:pageBreakBefore w:val="0"/>
              <w:numPr>
                <w:ilvl w:val="0"/>
                <w:numId w:val="15"/>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发射波形：正负脉冲，周期可调</w:t>
            </w:r>
            <w:r>
              <w:rPr>
                <w:rFonts w:hint="eastAsia" w:ascii="宋体" w:hAnsi="宋体" w:cs="宋体"/>
                <w:sz w:val="21"/>
                <w:szCs w:val="21"/>
                <w:lang w:eastAsia="zh-CN"/>
              </w:rPr>
              <w:t>；</w:t>
            </w:r>
          </w:p>
          <w:p>
            <w:pPr>
              <w:pStyle w:val="90"/>
              <w:pageBreakBefore w:val="0"/>
              <w:numPr>
                <w:ilvl w:val="0"/>
                <w:numId w:val="15"/>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cs="宋体"/>
                <w:bCs/>
                <w:color w:val="auto"/>
                <w:sz w:val="21"/>
                <w:szCs w:val="21"/>
                <w:highlight w:val="none"/>
              </w:rPr>
              <w:t>▲</w:t>
            </w:r>
            <w:r>
              <w:rPr>
                <w:rFonts w:hint="eastAsia" w:ascii="宋体" w:hAnsi="宋体" w:eastAsia="宋体" w:cs="宋体"/>
                <w:sz w:val="21"/>
                <w:szCs w:val="21"/>
              </w:rPr>
              <w:t>适配探头：适配常温、高温型SH导波、Lamb波等电磁超声导波探头</w:t>
            </w:r>
            <w:r>
              <w:rPr>
                <w:rFonts w:hint="eastAsia" w:ascii="宋体" w:hAnsi="宋体" w:cs="宋体"/>
                <w:sz w:val="21"/>
                <w:szCs w:val="21"/>
                <w:lang w:eastAsia="zh-CN"/>
              </w:rPr>
              <w:t>；</w:t>
            </w:r>
          </w:p>
          <w:p>
            <w:pPr>
              <w:pStyle w:val="90"/>
              <w:pageBreakBefore w:val="0"/>
              <w:numPr>
                <w:ilvl w:val="0"/>
                <w:numId w:val="15"/>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工作温度：-10℃~40℃</w:t>
            </w:r>
            <w:r>
              <w:rPr>
                <w:rFonts w:hint="eastAsia" w:ascii="宋体" w:hAnsi="宋体" w:cs="宋体"/>
                <w:sz w:val="21"/>
                <w:szCs w:val="21"/>
                <w:lang w:eastAsia="zh-CN"/>
              </w:rPr>
              <w:t>；</w:t>
            </w:r>
          </w:p>
          <w:p>
            <w:pPr>
              <w:pStyle w:val="90"/>
              <w:pageBreakBefore w:val="0"/>
              <w:numPr>
                <w:ilvl w:val="0"/>
                <w:numId w:val="15"/>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其他配置：配备扫查器和编码器</w:t>
            </w:r>
            <w:r>
              <w:rPr>
                <w:rFonts w:hint="eastAsia" w:ascii="宋体" w:hAnsi="宋体" w:cs="宋体"/>
                <w:sz w:val="21"/>
                <w:szCs w:val="21"/>
                <w:lang w:eastAsia="zh-CN"/>
              </w:rPr>
              <w:t>；</w:t>
            </w:r>
          </w:p>
          <w:p>
            <w:pPr>
              <w:pStyle w:val="90"/>
              <w:pageBreakBefore w:val="0"/>
              <w:numPr>
                <w:ilvl w:val="0"/>
                <w:numId w:val="15"/>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通道数：双通道</w:t>
            </w:r>
            <w:r>
              <w:rPr>
                <w:rFonts w:hint="eastAsia" w:ascii="宋体" w:hAnsi="宋体" w:cs="宋体"/>
                <w:sz w:val="21"/>
                <w:szCs w:val="21"/>
                <w:lang w:eastAsia="zh-CN"/>
              </w:rPr>
              <w:t>；</w:t>
            </w:r>
          </w:p>
          <w:p>
            <w:pPr>
              <w:pStyle w:val="90"/>
              <w:pageBreakBefore w:val="0"/>
              <w:numPr>
                <w:ilvl w:val="0"/>
                <w:numId w:val="15"/>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发射电压</w:t>
            </w:r>
            <w:r>
              <w:rPr>
                <w:rFonts w:hint="eastAsia" w:ascii="宋体" w:hAnsi="宋体" w:eastAsia="宋体" w:cs="宋体"/>
                <w:sz w:val="21"/>
                <w:szCs w:val="21"/>
              </w:rPr>
              <w:tab/>
            </w:r>
            <w:r>
              <w:rPr>
                <w:rFonts w:hint="eastAsia" w:ascii="宋体" w:hAnsi="宋体" w:eastAsia="宋体" w:cs="宋体"/>
                <w:sz w:val="21"/>
                <w:szCs w:val="21"/>
              </w:rPr>
              <w:t>：可达1000Vpp可调</w:t>
            </w:r>
            <w:r>
              <w:rPr>
                <w:rFonts w:hint="eastAsia" w:ascii="宋体" w:hAnsi="宋体" w:cs="宋体"/>
                <w:sz w:val="21"/>
                <w:szCs w:val="21"/>
                <w:lang w:eastAsia="zh-CN"/>
              </w:rPr>
              <w:t>；</w:t>
            </w:r>
          </w:p>
          <w:p>
            <w:pPr>
              <w:pStyle w:val="90"/>
              <w:pageBreakBefore w:val="0"/>
              <w:numPr>
                <w:ilvl w:val="0"/>
                <w:numId w:val="15"/>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发射波形：正负脉冲/正脉冲/负脉冲</w:t>
            </w:r>
            <w:r>
              <w:rPr>
                <w:rFonts w:hint="eastAsia" w:ascii="宋体" w:hAnsi="宋体" w:cs="宋体"/>
                <w:sz w:val="21"/>
                <w:szCs w:val="21"/>
                <w:lang w:eastAsia="zh-CN"/>
              </w:rPr>
              <w:t>；</w:t>
            </w:r>
          </w:p>
          <w:p>
            <w:pPr>
              <w:pStyle w:val="90"/>
              <w:pageBreakBefore w:val="0"/>
              <w:numPr>
                <w:ilvl w:val="0"/>
                <w:numId w:val="15"/>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脉冲周期：1-10可调</w:t>
            </w:r>
            <w:r>
              <w:rPr>
                <w:rFonts w:hint="eastAsia" w:ascii="宋体" w:hAnsi="宋体" w:cs="宋体"/>
                <w:sz w:val="21"/>
                <w:szCs w:val="21"/>
                <w:lang w:eastAsia="zh-CN"/>
              </w:rPr>
              <w:t>；</w:t>
            </w:r>
          </w:p>
          <w:p>
            <w:pPr>
              <w:pStyle w:val="90"/>
              <w:pageBreakBefore w:val="0"/>
              <w:numPr>
                <w:ilvl w:val="0"/>
                <w:numId w:val="15"/>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脉冲重复频率：可达100Hz</w:t>
            </w:r>
            <w:r>
              <w:rPr>
                <w:rFonts w:hint="eastAsia" w:ascii="宋体" w:hAnsi="宋体" w:cs="宋体"/>
                <w:sz w:val="21"/>
                <w:szCs w:val="21"/>
                <w:lang w:eastAsia="zh-CN"/>
              </w:rPr>
              <w:t>；</w:t>
            </w:r>
          </w:p>
          <w:p>
            <w:pPr>
              <w:pStyle w:val="90"/>
              <w:pageBreakBefore w:val="0"/>
              <w:numPr>
                <w:ilvl w:val="0"/>
                <w:numId w:val="15"/>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接收增益：30dB～100dB，步进0.1dB</w:t>
            </w:r>
            <w:r>
              <w:rPr>
                <w:rFonts w:hint="eastAsia" w:ascii="宋体" w:hAnsi="宋体" w:cs="宋体"/>
                <w:sz w:val="21"/>
                <w:szCs w:val="21"/>
                <w:lang w:eastAsia="zh-CN"/>
              </w:rPr>
              <w:t>；</w:t>
            </w:r>
          </w:p>
          <w:p>
            <w:pPr>
              <w:pStyle w:val="90"/>
              <w:pageBreakBefore w:val="0"/>
              <w:numPr>
                <w:ilvl w:val="0"/>
                <w:numId w:val="15"/>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平均采集：可达256次</w:t>
            </w:r>
            <w:r>
              <w:rPr>
                <w:rFonts w:hint="eastAsia" w:ascii="宋体" w:hAnsi="宋体" w:cs="宋体"/>
                <w:sz w:val="21"/>
                <w:szCs w:val="21"/>
                <w:lang w:eastAsia="zh-CN"/>
              </w:rPr>
              <w:t>；</w:t>
            </w:r>
          </w:p>
          <w:p>
            <w:pPr>
              <w:pStyle w:val="90"/>
              <w:pageBreakBefore w:val="0"/>
              <w:numPr>
                <w:ilvl w:val="0"/>
                <w:numId w:val="15"/>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采样频率：10-100MHz</w:t>
            </w:r>
            <w:r>
              <w:rPr>
                <w:rFonts w:hint="eastAsia" w:ascii="宋体" w:hAnsi="宋体" w:cs="宋体"/>
                <w:sz w:val="21"/>
                <w:szCs w:val="21"/>
                <w:lang w:eastAsia="zh-CN"/>
              </w:rPr>
              <w:t>；</w:t>
            </w:r>
          </w:p>
          <w:p>
            <w:pPr>
              <w:pStyle w:val="90"/>
              <w:pageBreakBefore w:val="0"/>
              <w:numPr>
                <w:ilvl w:val="0"/>
                <w:numId w:val="15"/>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采样长度：可达10M</w:t>
            </w:r>
            <w:r>
              <w:rPr>
                <w:rFonts w:hint="eastAsia" w:ascii="宋体" w:hAnsi="宋体" w:cs="宋体"/>
                <w:sz w:val="21"/>
                <w:szCs w:val="21"/>
                <w:lang w:eastAsia="zh-CN"/>
              </w:rPr>
              <w:t>；</w:t>
            </w:r>
          </w:p>
          <w:p>
            <w:pPr>
              <w:pStyle w:val="90"/>
              <w:pageBreakBefore w:val="0"/>
              <w:numPr>
                <w:ilvl w:val="0"/>
                <w:numId w:val="15"/>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A/D转换器：100MHz，12位</w:t>
            </w:r>
            <w:r>
              <w:rPr>
                <w:rFonts w:hint="eastAsia" w:ascii="宋体" w:hAnsi="宋体" w:cs="宋体"/>
                <w:sz w:val="21"/>
                <w:szCs w:val="21"/>
                <w:lang w:eastAsia="zh-CN"/>
              </w:rPr>
              <w:t>；</w:t>
            </w:r>
          </w:p>
          <w:p>
            <w:pPr>
              <w:pStyle w:val="90"/>
              <w:pageBreakBefore w:val="0"/>
              <w:numPr>
                <w:ilvl w:val="0"/>
                <w:numId w:val="15"/>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滤波器：模拟滤波器+数字滤波器</w:t>
            </w:r>
            <w:r>
              <w:rPr>
                <w:rFonts w:hint="eastAsia" w:ascii="宋体" w:hAnsi="宋体" w:cs="宋体"/>
                <w:sz w:val="21"/>
                <w:szCs w:val="21"/>
                <w:lang w:eastAsia="zh-CN"/>
              </w:rPr>
              <w:t>；</w:t>
            </w:r>
          </w:p>
          <w:p>
            <w:pPr>
              <w:pStyle w:val="90"/>
              <w:pageBreakBefore w:val="0"/>
              <w:numPr>
                <w:ilvl w:val="0"/>
                <w:numId w:val="15"/>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供电方式：电池供电</w:t>
            </w:r>
            <w:r>
              <w:rPr>
                <w:rFonts w:hint="eastAsia" w:ascii="宋体" w:hAnsi="宋体" w:cs="宋体"/>
                <w:sz w:val="21"/>
                <w:szCs w:val="21"/>
                <w:lang w:eastAsia="zh-CN"/>
              </w:rPr>
              <w:t>；</w:t>
            </w:r>
          </w:p>
          <w:p>
            <w:pPr>
              <w:pageBreakBefore w:val="0"/>
              <w:numPr>
                <w:ilvl w:val="0"/>
                <w:numId w:val="15"/>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其他接口：编码器、USB3.0</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cs="宋体"/>
                <w:sz w:val="21"/>
                <w:szCs w:val="21"/>
                <w:lang w:val="en-US" w:eastAsia="zh-CN"/>
              </w:rPr>
              <w:t>一体机（主流品牌，商用机，intel i5 12代， 内存16G，硬盘512GB SSD  预装正版win10专业版或企业版（有微软授权证书或序列号））</w:t>
            </w:r>
            <w:r>
              <w:rPr>
                <w:rFonts w:hint="eastAsia" w:ascii="宋体" w:hAnsi="宋体" w:eastAsia="宋体" w:cs="宋体"/>
                <w:sz w:val="21"/>
                <w:szCs w:val="21"/>
                <w:lang w:val="en-US" w:eastAsia="zh-CN"/>
              </w:rPr>
              <w:t>2台</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126"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ageBreakBefore w:val="0"/>
        <w:kinsoku/>
        <w:overflowPunct/>
        <w:topLinePunct w:val="0"/>
        <w:autoSpaceDE/>
        <w:autoSpaceDN/>
        <w:bidi w:val="0"/>
        <w:snapToGrid w:val="0"/>
        <w:spacing w:line="320" w:lineRule="exact"/>
        <w:outlineLvl w:val="0"/>
        <w:rPr>
          <w:rFonts w:hint="eastAsia" w:ascii="宋体" w:hAnsi="宋体" w:eastAsia="宋体" w:cs="宋体"/>
          <w:b/>
          <w:color w:val="auto"/>
          <w:sz w:val="21"/>
          <w:szCs w:val="21"/>
          <w:highlight w:val="none"/>
        </w:rPr>
      </w:pPr>
    </w:p>
    <w:tbl>
      <w:tblPr>
        <w:tblStyle w:val="37"/>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3、高速电梯综合性能分析仪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用于监测电梯轿厢及井道内部气压、振动和噪声变化等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8126" w:type="dxa"/>
            <w:tcBorders>
              <w:top w:val="single" w:color="auto" w:sz="4" w:space="0"/>
              <w:left w:val="single" w:color="auto" w:sz="4" w:space="0"/>
              <w:bottom w:val="single" w:color="auto" w:sz="4" w:space="0"/>
              <w:right w:val="single" w:color="auto" w:sz="4" w:space="0"/>
            </w:tcBorders>
            <w:noWrap/>
          </w:tcPr>
          <w:p>
            <w:pPr>
              <w:pageBreakBefore w:val="0"/>
              <w:kinsoku/>
              <w:overflowPunct/>
              <w:topLinePunct w:val="0"/>
              <w:autoSpaceDE/>
              <w:autoSpaceDN/>
              <w:bidi w:val="0"/>
              <w:spacing w:line="32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一、功能要求</w:t>
            </w:r>
            <w:r>
              <w:rPr>
                <w:rFonts w:hint="eastAsia" w:ascii="宋体" w:hAnsi="宋体" w:cs="宋体"/>
                <w:sz w:val="21"/>
                <w:szCs w:val="21"/>
                <w:lang w:val="en-US" w:eastAsia="zh-CN"/>
              </w:rPr>
              <w:t>：</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该检测仪可以针对高速电梯在空载、满载、偏载等大变载工况下，定量分析气动载荷、气动噪声、轿厢的振动与偏移量等关键指标，为优化电梯气动特性、构建数字孪生模型提供依据。</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二、技术参数要求</w:t>
            </w:r>
            <w:r>
              <w:rPr>
                <w:rFonts w:hint="eastAsia" w:ascii="宋体" w:hAnsi="宋体" w:cs="宋体"/>
                <w:sz w:val="21"/>
                <w:szCs w:val="21"/>
                <w:lang w:val="en-US" w:eastAsia="zh-CN"/>
              </w:rPr>
              <w:t>：</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1、传感器参数：</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cs="宋体"/>
                <w:bCs/>
                <w:color w:val="auto"/>
                <w:szCs w:val="21"/>
                <w:highlight w:val="none"/>
              </w:rPr>
              <w:t>▲</w:t>
            </w:r>
            <w:r>
              <w:rPr>
                <w:rFonts w:hint="eastAsia" w:ascii="宋体" w:hAnsi="宋体" w:eastAsia="宋体" w:cs="宋体"/>
                <w:sz w:val="21"/>
                <w:szCs w:val="21"/>
                <w:lang w:val="en-US" w:eastAsia="zh-CN"/>
              </w:rPr>
              <w:t>1.1气压测量范围：300-1100HPa；</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1.2姿态角测量范围：X、Z轴±180度，Y轴±90度；</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1.3姿态角精度：X、Y轴：静态0.05º,动态0.1º，Z轴:0.5º；</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1.4加速度范围：±16g；</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1.5加速度精度：1mg；</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1.6测量维度：触控终端与测量模块均可实现加速度(3轴)、姿态角(3维)和气压(1维)测量，触控终端还可实现噪音测量；</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1.7噪音测量范围：30~130dB，A计权；</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1.8噪音精度：0.1dB；</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1.9数据采集频率：256Hz；</w:t>
            </w:r>
          </w:p>
          <w:p>
            <w:pPr>
              <w:pageBreakBefore w:val="0"/>
              <w:kinsoku/>
              <w:overflowPunct/>
              <w:topLinePunct w:val="0"/>
              <w:autoSpaceDE/>
              <w:autoSpaceDN/>
              <w:bidi w:val="0"/>
              <w:spacing w:line="32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1.10测量模块数据组网方式：Lora，单点通讯距离最大3500米；</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1.11无线通讯功率：发送20dB，接收-138dB。</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2、数据分析参数</w:t>
            </w:r>
            <w:r>
              <w:rPr>
                <w:rFonts w:hint="eastAsia" w:ascii="宋体" w:hAnsi="宋体" w:cs="宋体"/>
                <w:sz w:val="21"/>
                <w:szCs w:val="21"/>
                <w:lang w:val="en-US" w:eastAsia="zh-CN"/>
              </w:rPr>
              <w:t>：</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1.1软件可实现轿厢、井道顶端及底坑的气压、振动和噪音数据的同步数据采集，并以数据与曲线方式显示。</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1.2软件能分析轿厢运行时气压变化，检测气压变化对人体的影响程度，并给出优化轿厢气压建议。</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软件采用多参数可调单势阱模型，利用互相关系数对峰度指标进行约束，构建随机共振自适应检测算法，能够在强噪声下提取出非周期冲击信号，分析轿厢运行时的噪音位置与来源可能性。来源分析包括但不限于反绳轮、导轨、曳引轮等</w:t>
            </w:r>
            <w:r>
              <w:rPr>
                <w:rFonts w:hint="eastAsia" w:ascii="宋体" w:hAnsi="宋体" w:cs="宋体"/>
                <w:sz w:val="21"/>
                <w:szCs w:val="21"/>
                <w:lang w:val="en-US" w:eastAsia="zh-CN"/>
              </w:rPr>
              <w:t>。</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1.4软件实现电梯运行时间、最大速度、起动加速度、制动减速度、X轴峰峰值、Y 轴峰峰值、Z 轴峰峰值、A95 加速度、A95 减速度、X 峰峰 A95、Y 峰峰 A95、Z 峰峰 A95、V95 速度、加加速度、运行距离等指标测量分析，并在测量结果中直接判定以上测量指标的合格与否。</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1.5软件可实现对测量XYZ三轴数据进行RMS、矢量和、ISO、低通滤波和高通滤波的曲线变换，其中低通滤波的截止频率范围为4~127Hz。</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1.6软件可独立实现对XYZ三轴的FFT分析，将时域曲线图形化转成频域曲线，频率范围0~127Hz。</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1.7触控终端一体机参数</w:t>
            </w:r>
            <w:r>
              <w:rPr>
                <w:rFonts w:hint="eastAsia" w:ascii="宋体" w:hAnsi="宋体" w:cs="宋体"/>
                <w:sz w:val="21"/>
                <w:szCs w:val="21"/>
                <w:lang w:val="en-US" w:eastAsia="zh-CN"/>
              </w:rPr>
              <w:t>：</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主频2.0GHz,运行内存：2GB，机身存储:16GB；</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屏幕：7寸3点抗干扰电容式，分辨率1280×800；</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 充电方式：12V,4500mAh,Type-C接口；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定制安卓平板，使用三路专用通讯口，非商用平板及手机，开机可显示LOGO，使用过程中不会出现设备连接确认框等；</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仪器工作湿度：5%～95%，无凝结；</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 仪器工作温度：-10～50℃</w:t>
            </w:r>
            <w:r>
              <w:rPr>
                <w:rFonts w:hint="eastAsia" w:ascii="宋体" w:hAnsi="宋体" w:cs="宋体"/>
                <w:sz w:val="21"/>
                <w:szCs w:val="21"/>
                <w:lang w:val="en-US" w:eastAsia="zh-CN"/>
              </w:rPr>
              <w:t>。</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三、配置要求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触控终端一体机1个(含软件1套)、远程测量主机2个、天线天线2对、充电器1个、蓝牙打印机1个、说明书一套、保修卡一份、合格证一份、出厂检测报告一份、</w:t>
            </w:r>
            <w:r>
              <w:rPr>
                <w:rFonts w:hint="eastAsia" w:ascii="宋体" w:hAnsi="宋体" w:cs="宋体"/>
                <w:sz w:val="21"/>
                <w:szCs w:val="21"/>
                <w:lang w:val="en-US" w:eastAsia="zh-CN"/>
              </w:rPr>
              <w:t>检定机构出具</w:t>
            </w:r>
            <w:r>
              <w:rPr>
                <w:rFonts w:hint="eastAsia" w:ascii="宋体" w:hAnsi="宋体" w:eastAsia="宋体" w:cs="宋体"/>
                <w:sz w:val="21"/>
                <w:szCs w:val="21"/>
                <w:lang w:val="en-US" w:eastAsia="zh-CN"/>
              </w:rPr>
              <w:t>的检定证书1份、仪器箱一个。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126"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ageBreakBefore w:val="0"/>
        <w:kinsoku/>
        <w:overflowPunct/>
        <w:topLinePunct w:val="0"/>
        <w:autoSpaceDE/>
        <w:autoSpaceDN/>
        <w:bidi w:val="0"/>
        <w:snapToGrid w:val="0"/>
        <w:spacing w:line="320" w:lineRule="exact"/>
        <w:outlineLvl w:val="0"/>
        <w:rPr>
          <w:rFonts w:hint="eastAsia" w:ascii="宋体" w:hAnsi="宋体" w:eastAsia="宋体" w:cs="宋体"/>
          <w:b/>
          <w:color w:val="auto"/>
          <w:sz w:val="21"/>
          <w:szCs w:val="21"/>
          <w:highlight w:val="none"/>
        </w:rPr>
      </w:pPr>
    </w:p>
    <w:tbl>
      <w:tblPr>
        <w:tblStyle w:val="37"/>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电梯制动器</w:t>
            </w:r>
            <w:r>
              <w:rPr>
                <w:rFonts w:hint="eastAsia" w:ascii="宋体" w:hAnsi="宋体" w:eastAsia="宋体" w:cs="宋体"/>
                <w:sz w:val="21"/>
                <w:szCs w:val="21"/>
                <w:lang w:val="en-US" w:eastAsia="zh-CN"/>
              </w:rPr>
              <w:t>振动动态性能分析仪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用于检测制动力不足、制动部件失效、制动器磨损、抱闸间隙和左右闸时间差过大等</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8126" w:type="dxa"/>
            <w:tcBorders>
              <w:top w:val="single" w:color="auto" w:sz="4" w:space="0"/>
              <w:left w:val="single" w:color="auto" w:sz="4" w:space="0"/>
              <w:bottom w:val="single" w:color="auto" w:sz="4" w:space="0"/>
              <w:right w:val="single" w:color="auto" w:sz="4" w:space="0"/>
            </w:tcBorders>
            <w:noWrap/>
          </w:tcPr>
          <w:p>
            <w:pPr>
              <w:pageBreakBefore w:val="0"/>
              <w:kinsoku/>
              <w:overflowPunct/>
              <w:topLinePunct w:val="0"/>
              <w:autoSpaceDE/>
              <w:autoSpaceDN/>
              <w:bidi w:val="0"/>
              <w:spacing w:line="32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一、性能要求</w:t>
            </w:r>
            <w:r>
              <w:rPr>
                <w:rFonts w:hint="eastAsia" w:ascii="宋体" w:hAnsi="宋体" w:cs="宋体"/>
                <w:sz w:val="21"/>
                <w:szCs w:val="21"/>
                <w:lang w:val="en-US" w:eastAsia="zh-CN"/>
              </w:rPr>
              <w:t>：</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对电梯制动器制定专属的传感设备，能够准确测出制动力不足、制动部件失效、制动器磨损、抱闸间隙和左右闸时间差过大等细微参数，获取电梯制动器系统化的参数结构关系。既能实现准确测定数值，又能实现实时监测数值变化趋势，并通过神经网络对大数据进行理论化的规律研究与建模，深入探索电梯制动器的变化因素，制定安全防范机制。</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二、技术参数</w:t>
            </w:r>
            <w:r>
              <w:rPr>
                <w:rFonts w:hint="eastAsia" w:ascii="宋体" w:hAnsi="宋体" w:cs="宋体"/>
                <w:sz w:val="21"/>
                <w:szCs w:val="21"/>
                <w:lang w:val="en-US" w:eastAsia="zh-CN"/>
              </w:rPr>
              <w:t>：</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1、制动性能测试：通过采集制动器的振动信号，提取出与制动性能相关的特征参数，如加速度、速度、位移等，实现对制动器制动时间、抱闸间隙等的高精度测试。</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2、故障预警功能：设备可及时发现制动器的潜在故障并具备故障预警功能。当制动力不足时，可以通过测试系统发出预警信息。</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cs="宋体"/>
                <w:bCs/>
                <w:color w:val="auto"/>
                <w:szCs w:val="21"/>
                <w:highlight w:val="none"/>
              </w:rPr>
              <w:t>▲</w:t>
            </w:r>
            <w:r>
              <w:rPr>
                <w:rFonts w:hint="eastAsia" w:ascii="宋体" w:hAnsi="宋体" w:eastAsia="宋体" w:cs="宋体"/>
                <w:sz w:val="21"/>
                <w:szCs w:val="21"/>
                <w:lang w:val="en-US" w:eastAsia="zh-CN"/>
              </w:rPr>
              <w:t>3、智能化分析和管理：通过采用工智和机器学习等技术，对测试数据可进行上传并深度分析，提取出制动器的性能特征和故障模式，为制动器的维护和优化提供决策支持。同时，可以实现制动器的智能化管理，提高电梯系统的整体运行效率和安全性。</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、符合GB/T24474.1-2020标准。具备测量电梯乘运质量、振动分析、频谱分析等功能，并能通过专业软件进行深入的数据查看以及生成分析报告</w:t>
            </w:r>
            <w:r>
              <w:rPr>
                <w:rFonts w:hint="eastAsia" w:ascii="宋体" w:hAnsi="宋体" w:cs="宋体"/>
                <w:sz w:val="21"/>
                <w:szCs w:val="21"/>
                <w:lang w:val="en-US" w:eastAsia="zh-CN"/>
              </w:rPr>
              <w:t>。</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、能够测量电梯启动加速度/制动减速度、速度、提升高度，加加速度和噪音，仪器使用彩色触摸屏操作</w:t>
            </w:r>
            <w:r>
              <w:rPr>
                <w:rFonts w:hint="eastAsia" w:ascii="宋体" w:hAnsi="宋体" w:cs="宋体"/>
                <w:sz w:val="21"/>
                <w:szCs w:val="21"/>
                <w:lang w:val="en-US" w:eastAsia="zh-CN"/>
              </w:rPr>
              <w:t>。</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、能够通过仪器自带的彩色触摸屏，快速查看电梯乘运质量是否符合GB/T10058-2009的要求，并查看电梯的运行速度，提升高度和测试曲线。可以采集噪音并在彩色触摸屏上显示噪音测试结果</w:t>
            </w:r>
            <w:r>
              <w:rPr>
                <w:rFonts w:hint="eastAsia" w:ascii="宋体" w:hAnsi="宋体" w:cs="宋体"/>
                <w:sz w:val="21"/>
                <w:szCs w:val="21"/>
                <w:lang w:val="en-US" w:eastAsia="zh-CN"/>
              </w:rPr>
              <w:t>。</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、软件具有分析测试数据并生成测试曲线功能，具有位移、速度、加速度、加加速度、RMS、频谱分析、加速度矢量和、ISO加权曲线、启动加速度（打印图表）、特殊的振动分析、紧急制动分析等分析功能</w:t>
            </w:r>
            <w:r>
              <w:rPr>
                <w:rFonts w:hint="eastAsia" w:ascii="宋体" w:hAnsi="宋体" w:cs="宋体"/>
                <w:sz w:val="21"/>
                <w:szCs w:val="21"/>
                <w:lang w:val="en-US" w:eastAsia="zh-CN"/>
              </w:rPr>
              <w:t>。</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lang w:val="en-US" w:eastAsia="zh-CN"/>
              </w:rPr>
              <w:t>、曲线上每振动点可按时间或距离为标尺进行查看。</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、软件内置的FFT分析功能，可根据频谱分析定位主曳引轮、涨绳轮、对重侧导靴滚轮、轿厢侧导靴滚轮、曳引机转速等故障。</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.触控终端参数：</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10</w:t>
            </w:r>
            <w:r>
              <w:rPr>
                <w:rFonts w:hint="eastAsia" w:ascii="宋体" w:hAnsi="宋体" w:eastAsia="宋体" w:cs="宋体"/>
                <w:sz w:val="21"/>
                <w:szCs w:val="21"/>
                <w:lang w:val="en-US" w:eastAsia="zh-CN"/>
              </w:rPr>
              <w:t>.1 显示屏：采用7寸IPS电容触摸屏，支持多点电容式触控。</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10</w:t>
            </w:r>
            <w:r>
              <w:rPr>
                <w:rFonts w:hint="eastAsia" w:ascii="宋体" w:hAnsi="宋体" w:eastAsia="宋体" w:cs="宋体"/>
                <w:sz w:val="21"/>
                <w:szCs w:val="21"/>
                <w:lang w:val="en-US" w:eastAsia="zh-CN"/>
              </w:rPr>
              <w:t>.2 处理器：搭载32位ARM-M7处理器，并内置DSP处理器，使其具备强大的数据处理能力和高效的运算速度。CPU最大主频可达480MHz。</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10</w:t>
            </w:r>
            <w:r>
              <w:rPr>
                <w:rFonts w:hint="eastAsia" w:ascii="宋体" w:hAnsi="宋体" w:eastAsia="宋体" w:cs="宋体"/>
                <w:sz w:val="21"/>
                <w:szCs w:val="21"/>
                <w:lang w:val="en-US" w:eastAsia="zh-CN"/>
              </w:rPr>
              <w:t>.3 操作系统：采用FreeRTOS实时操作系统，使得开机即可直接进入测量界面，有效提高设备使用体验，避免卡顿现象的出现。该操作系统与硬件系统紧密结合，可实现更直接地控制硬件，最大化地发挥硬件性能。</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10</w:t>
            </w:r>
            <w:r>
              <w:rPr>
                <w:rFonts w:hint="eastAsia" w:ascii="宋体" w:hAnsi="宋体" w:eastAsia="宋体" w:cs="宋体"/>
                <w:sz w:val="21"/>
                <w:szCs w:val="21"/>
                <w:lang w:val="en-US" w:eastAsia="zh-CN"/>
              </w:rPr>
              <w:t>.4 电池容量：配备5000mAH大容量电池，确保设备在连续运行（屏幕显示）的情况下，使用时间可达24小时以上。</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10</w:t>
            </w:r>
            <w:r>
              <w:rPr>
                <w:rFonts w:hint="eastAsia" w:ascii="宋体" w:hAnsi="宋体" w:eastAsia="宋体" w:cs="宋体"/>
                <w:sz w:val="21"/>
                <w:szCs w:val="21"/>
                <w:lang w:val="en-US" w:eastAsia="zh-CN"/>
              </w:rPr>
              <w:t>.5 所有检测结果存储为文本格式，每条数据独立存储，可保存至少1000条数据。不仅可以在本机实时查看数据，还可以轻松地将数据导入电脑进行详细分析。</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10</w:t>
            </w:r>
            <w:r>
              <w:rPr>
                <w:rFonts w:hint="eastAsia" w:ascii="宋体" w:hAnsi="宋体" w:eastAsia="宋体" w:cs="宋体"/>
                <w:sz w:val="21"/>
                <w:szCs w:val="21"/>
                <w:lang w:val="en-US" w:eastAsia="zh-CN"/>
              </w:rPr>
              <w:t>.6 通过最新的蓝牙5.0技术，设备可以将测量数据与支持蓝牙的智能手机进行快速、便捷的传输，方便用户在手机或平板电脑上查看并保存数据。</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10</w:t>
            </w:r>
            <w:r>
              <w:rPr>
                <w:rFonts w:hint="eastAsia" w:ascii="宋体" w:hAnsi="宋体" w:eastAsia="宋体" w:cs="宋体"/>
                <w:sz w:val="21"/>
                <w:szCs w:val="21"/>
                <w:lang w:val="en-US" w:eastAsia="zh-CN"/>
              </w:rPr>
              <w:t>.7 提供现场测量数据无线蓝牙打印功能，使得测量结果可以以纸质形式随时保存和查阅。</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11</w:t>
            </w:r>
            <w:r>
              <w:rPr>
                <w:rFonts w:hint="eastAsia" w:ascii="宋体" w:hAnsi="宋体" w:eastAsia="宋体" w:cs="宋体"/>
                <w:sz w:val="21"/>
                <w:szCs w:val="21"/>
                <w:lang w:val="en-US" w:eastAsia="zh-CN"/>
              </w:rPr>
              <w:t>.加速度频率范围：0.7-500 Hz</w:t>
            </w:r>
            <w:r>
              <w:rPr>
                <w:rFonts w:hint="eastAsia" w:ascii="宋体" w:hAnsi="宋体" w:cs="宋体"/>
                <w:sz w:val="21"/>
                <w:szCs w:val="21"/>
                <w:lang w:val="en-US" w:eastAsia="zh-CN"/>
              </w:rPr>
              <w:t>。</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12</w:t>
            </w:r>
            <w:r>
              <w:rPr>
                <w:rFonts w:hint="eastAsia" w:ascii="宋体" w:hAnsi="宋体" w:eastAsia="宋体" w:cs="宋体"/>
                <w:sz w:val="21"/>
                <w:szCs w:val="21"/>
                <w:lang w:val="en-US" w:eastAsia="zh-CN"/>
              </w:rPr>
              <w:t>.加速度振幅测量范围：0-20/50/100 mm/s。</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13</w:t>
            </w:r>
            <w:r>
              <w:rPr>
                <w:rFonts w:hint="eastAsia" w:ascii="宋体" w:hAnsi="宋体" w:eastAsia="宋体" w:cs="宋体"/>
                <w:sz w:val="21"/>
                <w:szCs w:val="21"/>
                <w:lang w:val="en-US" w:eastAsia="zh-CN"/>
              </w:rPr>
              <w:t>.软件支持加速度低通、高通滤波方式，用户也可输入曳引轮、反绳轮等的转速信息，软件将自动调整滤波方式以减小测量误差。同时，用户还可以自定义滤波参数，以满足不同设备的实际需求。</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三、配置要求</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 </w:t>
            </w:r>
          </w:p>
          <w:p>
            <w:pPr>
              <w:pageBreakBefore w:val="0"/>
              <w:kinsoku/>
              <w:overflowPunct/>
              <w:topLinePunct w:val="0"/>
              <w:autoSpaceDE/>
              <w:autoSpaceDN/>
              <w:bidi w:val="0"/>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触控终端一体机1个(含软件1套)、振动传感器2个、无线天线2对、充电器1个、蓝牙打印机1个、说明书一套、保修卡一份、合格证一份、出厂检测报告一份、仪器箱一个。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126"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rPr>
          <w:rFonts w:hint="eastAsia"/>
        </w:rPr>
      </w:pPr>
    </w:p>
    <w:tbl>
      <w:tblPr>
        <w:tblStyle w:val="37"/>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8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8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817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5、电梯传动轴承故障分析仪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8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17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78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817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用于分析轴承处振动，并辅助噪音数据等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8" w:hRule="atLeast"/>
        </w:trPr>
        <w:tc>
          <w:tcPr>
            <w:tcW w:w="178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技术指标要求</w:t>
            </w:r>
          </w:p>
        </w:tc>
        <w:tc>
          <w:tcPr>
            <w:tcW w:w="8176" w:type="dxa"/>
            <w:tcBorders>
              <w:top w:val="single" w:color="auto" w:sz="4" w:space="0"/>
              <w:left w:val="single" w:color="auto" w:sz="4" w:space="0"/>
              <w:bottom w:val="single" w:color="auto" w:sz="4" w:space="0"/>
              <w:right w:val="single" w:color="auto" w:sz="4" w:space="0"/>
            </w:tcBorders>
            <w:noWrap/>
          </w:tcPr>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一、性能要求</w:t>
            </w:r>
            <w:r>
              <w:rPr>
                <w:rFonts w:hint="eastAsia" w:ascii="宋体" w:hAnsi="宋体" w:cs="宋体"/>
                <w:sz w:val="21"/>
                <w:szCs w:val="21"/>
                <w:lang w:val="en-US"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能分析轴承处振动，并辅助噪音数据，分析轴承的潜在风险。</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二、技术参数要求</w:t>
            </w:r>
            <w:r>
              <w:rPr>
                <w:rFonts w:hint="eastAsia" w:ascii="宋体" w:hAnsi="宋体" w:cs="宋体"/>
                <w:sz w:val="21"/>
                <w:szCs w:val="21"/>
                <w:lang w:val="en-US"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1、实时监测功能：利用高灵敏度的振动传感器和声音传感器，系统可以实时监测电梯轴承的运行状态，对其振动加速度和异常声进行不间断探测。</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2、数据采集功能：该系统具备强大的数据采集功能，可以从振动传感器和声音传感器中抓取原始数据，经过必要的预处理、分析和特征提取，将有用信息进行储存，以供后续分析和故障诊断使用。</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3、故障预警：通过采用先进的数据分析和神经网络算法，自动学习和识别异常振动模式和声音特征，一旦检测到异常情况，立即发出预警信号，从而为用户提供充足的时间进行维修保养，有效避免故障的发生。</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4、数据分析：采集到的数据可以存储在本地或云端，方便用户进行历史数据的查询、比对和分析。利用这些数据，用户可以评估轴承的性能状态，预测未来的故障趋势，为设备的维护和优化提供决策支持。</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5、触控终端参数：</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 显示屏：采用7寸IPS电容触摸屏，支持多点电容式触控。</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 处理器：搭载32位ARM-M7处理器，并内置DSP处理器，使其具备强大的数据处理能力和高效的运算速度。CPU最大主频可达480MHz。</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 操作系统：采用FreeRTOS实时操作系统，使得开机即可直接进入测量界面，有效提高设备使用体验，避免卡顿现象的出现。该操作系统与硬件系统紧密结合，可实现更直接地控制硬件，最大化地发挥硬件性能。</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 电池容量：配备5000mAH大容量电池，确保设备在连续运行（屏幕显示）的情况下，使用时间可达24小时以上。</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 所有检测结果存储为文本格式，每条数据独立存储，可保存至少1000条数据。不仅可以在本机实时查看数据，还可以轻松地将数据导入电脑进行详细分析。</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 通过最新的蓝牙5.0技术，设备可以将测量数据与支持蓝牙的智能手机进行快速、便捷的传输，方便用户在手机或平板电脑上查看并保存数据。</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5.7 提供现场测量数据无线蓝牙打印功能，使得测量结果可以以纸质形式随时保存和查阅。</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6、加速度频率范围：0.7-500 Hz</w:t>
            </w:r>
            <w:r>
              <w:rPr>
                <w:rFonts w:hint="eastAsia" w:ascii="宋体" w:hAnsi="宋体" w:cs="宋体"/>
                <w:sz w:val="21"/>
                <w:szCs w:val="21"/>
                <w:lang w:val="en-US"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7、加速度振幅测量范围：0-20/50/100 mm/s。</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8、软件支持加速度低通、高通滤波方式，用户也可输入曳引轮、反绳轮等的转速信息，软件将自动调整滤波方式以减小测量误差。同时，用户还可以自定义滤波参数，以满足不同设备的实际需求。</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三、配置要求 </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触控终端一体机1个(含软件1套)、振动传感器8个、无线天线2对、充电器1个、蓝牙打印机1个、说明书一套、保修卡一份、合格证一份、出厂检测报告一份、仪器箱一个。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8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176"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ageBreakBefore w:val="0"/>
        <w:kinsoku/>
        <w:overflowPunct/>
        <w:topLinePunct w:val="0"/>
        <w:autoSpaceDE/>
        <w:autoSpaceDN/>
        <w:bidi w:val="0"/>
        <w:snapToGrid w:val="0"/>
        <w:spacing w:line="320" w:lineRule="exact"/>
        <w:outlineLvl w:val="0"/>
        <w:rPr>
          <w:rFonts w:hint="eastAsia" w:ascii="宋体" w:hAnsi="宋体" w:eastAsia="宋体" w:cs="宋体"/>
          <w:b/>
          <w:color w:val="auto"/>
          <w:sz w:val="21"/>
          <w:szCs w:val="21"/>
          <w:highlight w:val="none"/>
        </w:rPr>
      </w:pPr>
    </w:p>
    <w:p>
      <w:pPr>
        <w:pageBreakBefore w:val="0"/>
        <w:kinsoku/>
        <w:overflowPunct/>
        <w:topLinePunct w:val="0"/>
        <w:autoSpaceDE/>
        <w:autoSpaceDN/>
        <w:bidi w:val="0"/>
        <w:snapToGrid w:val="0"/>
        <w:spacing w:line="320" w:lineRule="exact"/>
        <w:outlineLvl w:val="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标项</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bCs/>
          <w:color w:val="auto"/>
          <w:sz w:val="21"/>
          <w:szCs w:val="21"/>
          <w:highlight w:val="none"/>
        </w:rPr>
        <w:t xml:space="preserve"> </w:t>
      </w:r>
    </w:p>
    <w:tbl>
      <w:tblPr>
        <w:tblStyle w:val="37"/>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bCs/>
                <w:sz w:val="21"/>
                <w:szCs w:val="21"/>
                <w:lang w:val="en-US" w:eastAsia="zh-CN"/>
              </w:rPr>
              <w:t>1、超声波残余应力检测分析系统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可对母材及</w:t>
            </w:r>
            <w:r>
              <w:rPr>
                <w:rFonts w:hint="eastAsia" w:ascii="宋体" w:hAnsi="宋体" w:eastAsia="宋体" w:cs="宋体"/>
                <w:sz w:val="21"/>
                <w:szCs w:val="21"/>
              </w:rPr>
              <w:t>板材对接焊缝等</w:t>
            </w:r>
            <w:r>
              <w:rPr>
                <w:rFonts w:hint="eastAsia" w:ascii="宋体" w:hAnsi="宋体" w:eastAsia="宋体" w:cs="宋体"/>
                <w:sz w:val="21"/>
                <w:szCs w:val="21"/>
                <w:lang w:val="en-US" w:eastAsia="zh-CN"/>
              </w:rPr>
              <w:t>进行</w:t>
            </w:r>
            <w:r>
              <w:rPr>
                <w:rFonts w:hint="eastAsia" w:ascii="宋体" w:hAnsi="宋体" w:eastAsia="宋体" w:cs="宋体"/>
                <w:sz w:val="21"/>
                <w:szCs w:val="21"/>
              </w:rPr>
              <w:t>应力分析和残余应力检测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0"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8126" w:type="dxa"/>
            <w:tcBorders>
              <w:top w:val="single" w:color="auto" w:sz="4" w:space="0"/>
              <w:left w:val="single" w:color="auto" w:sz="4" w:space="0"/>
              <w:bottom w:val="single" w:color="auto" w:sz="4" w:space="0"/>
              <w:right w:val="single" w:color="auto" w:sz="4" w:space="0"/>
            </w:tcBorders>
            <w:noWrap/>
          </w:tcPr>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一、使用范围</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★1、通过超声波可对板材对接焊缝以及母材等应力分析和残余应力检测。检测材料类型：合金钢、碳钢、铝合金、镁合金、钛合金等。</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2、仪器为便携式一体机。</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cs="宋体"/>
                <w:bCs/>
                <w:color w:val="auto"/>
                <w:szCs w:val="21"/>
                <w:highlight w:val="none"/>
              </w:rPr>
              <w:t>▲</w:t>
            </w:r>
            <w:r>
              <w:rPr>
                <w:rFonts w:hint="eastAsia" w:ascii="宋体" w:hAnsi="宋体" w:eastAsia="宋体" w:cs="宋体"/>
                <w:sz w:val="21"/>
                <w:szCs w:val="21"/>
              </w:rPr>
              <w:t>3、主机屏幕尺寸不低于10英寸，分辨率不低于720p的液晶显示屏。可通过触摸屏进行软件操作。主机集成电脑全键盘，可快速输入和记录数据。</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★4、主机接口类型：USB接口，可连接鼠标。</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二、主要</w:t>
            </w:r>
            <w:r>
              <w:rPr>
                <w:rFonts w:hint="eastAsia" w:ascii="宋体" w:hAnsi="宋体" w:eastAsia="宋体" w:cs="宋体"/>
                <w:sz w:val="21"/>
                <w:szCs w:val="21"/>
                <w:lang w:val="en-US" w:eastAsia="zh-CN"/>
              </w:rPr>
              <w:t>技术</w:t>
            </w:r>
            <w:r>
              <w:rPr>
                <w:rFonts w:hint="eastAsia" w:ascii="宋体" w:hAnsi="宋体" w:eastAsia="宋体" w:cs="宋体"/>
                <w:sz w:val="21"/>
                <w:szCs w:val="21"/>
              </w:rPr>
              <w:t>参数：</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★1、采样频率：≥2G赫兹。</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2、支持原始波形数据输出。</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3、检测频率：不低于1次/s。</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★4、超声脉冲宽度：50~150ns；步进宽度：≤15ns。</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★5、可检测工件厚度：2~300mm。</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★6、检测装置总重量：≤10kg。</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★7、硬件部分：检测装置应至少包括以下硬件配置。</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7.1超声波发射结构，用于向材料发射超声波。</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7.2超声波接收结构，用于采集、接收超声波。</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7.3超声波过滤结构，用于对环境噪声等杂音进行有效过滤。</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7.4超声波感应装置，用于超声波发射及返回时间数据的测量，可通过胶粘等简单方式置于待测紧固件上。</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7.5检测装置应配备使用时必须使用的其他工具、备件等硬件。</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★7.6检测装置的采集部分和显示部分为一体式。</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8、软件部分</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8.1软件应用自身算法，可根据实际测试环境的温湿度、噪音等参数，对轴向力计算数据进行修整，保障测试数据的可靠性。</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★8.2软件界面可按实际使用需求设置，单次或持续性地测量残余应力。</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★8.3软件可与硬件联动，进行残余应力的实时监测及显示。</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8.4软件可自动存储监测数据，输出检测报告。</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三、使用环境：</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1、温度：-30℃~55℃。</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2、相对湿度：≤90%。</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3、噪音：≤65dB。</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四、配置</w:t>
            </w:r>
            <w:r>
              <w:rPr>
                <w:rFonts w:hint="eastAsia" w:ascii="宋体" w:hAnsi="宋体" w:eastAsia="宋体" w:cs="宋体"/>
                <w:sz w:val="21"/>
                <w:szCs w:val="21"/>
                <w:lang w:val="en-US" w:eastAsia="zh-CN"/>
              </w:rPr>
              <w:t>情况</w:t>
            </w:r>
            <w:r>
              <w:rPr>
                <w:rFonts w:hint="eastAsia" w:ascii="宋体" w:hAnsi="宋体" w:eastAsia="宋体" w:cs="宋体"/>
                <w:sz w:val="21"/>
                <w:szCs w:val="21"/>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1、定制探头1组、接口线缆1套、随机文件1份（合格证、保修卡、说明书等）、运输箱1个</w:t>
            </w:r>
            <w:r>
              <w:rPr>
                <w:rFonts w:hint="eastAsia" w:ascii="宋体" w:hAnsi="宋体" w:eastAsia="宋体" w:cs="宋体"/>
                <w:sz w:val="21"/>
                <w:szCs w:val="21"/>
                <w:lang w:eastAsia="zh-CN"/>
              </w:rPr>
              <w:t>、</w:t>
            </w:r>
            <w:r>
              <w:rPr>
                <w:rFonts w:hint="eastAsia" w:ascii="宋体" w:hAnsi="宋体" w:cs="宋体"/>
                <w:sz w:val="21"/>
                <w:szCs w:val="21"/>
                <w:lang w:val="en-US" w:eastAsia="zh-CN"/>
              </w:rPr>
              <w:t>一体机（主流品牌，商用机，intel i5 12代， 内存16G，硬盘512GB SSD  预装正版win10专业版或企业版（有微软授权证书或序列号））</w:t>
            </w:r>
            <w:r>
              <w:rPr>
                <w:rFonts w:hint="eastAsia" w:ascii="宋体" w:hAnsi="宋体" w:eastAsia="宋体" w:cs="宋体"/>
                <w:sz w:val="21"/>
                <w:szCs w:val="21"/>
                <w:lang w:val="en-US" w:eastAsia="zh-CN"/>
              </w:rPr>
              <w:t>10台</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126"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ageBreakBefore w:val="0"/>
        <w:kinsoku/>
        <w:overflowPunct/>
        <w:topLinePunct w:val="0"/>
        <w:autoSpaceDE/>
        <w:autoSpaceDN/>
        <w:bidi w:val="0"/>
        <w:snapToGrid w:val="0"/>
        <w:spacing w:line="320" w:lineRule="exact"/>
        <w:outlineLvl w:val="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标项</w:t>
      </w:r>
      <w:r>
        <w:rPr>
          <w:rFonts w:hint="eastAsia" w:ascii="宋体" w:hAnsi="宋体" w:eastAsia="宋体" w:cs="宋体"/>
          <w:b/>
          <w:color w:val="auto"/>
          <w:sz w:val="21"/>
          <w:szCs w:val="21"/>
          <w:highlight w:val="none"/>
          <w:lang w:val="en-US" w:eastAsia="zh-CN"/>
        </w:rPr>
        <w:t>十</w:t>
      </w:r>
      <w:r>
        <w:rPr>
          <w:rFonts w:hint="eastAsia" w:ascii="宋体" w:hAnsi="宋体" w:eastAsia="宋体" w:cs="宋体"/>
          <w:b/>
          <w:bCs/>
          <w:color w:val="auto"/>
          <w:sz w:val="21"/>
          <w:szCs w:val="21"/>
          <w:highlight w:val="none"/>
        </w:rPr>
        <w:t xml:space="preserve"> </w:t>
      </w:r>
    </w:p>
    <w:tbl>
      <w:tblPr>
        <w:tblStyle w:val="37"/>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7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812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1、便携式浊度仪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7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12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812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rPr>
              <w:t>用于</w:t>
            </w:r>
            <w:r>
              <w:rPr>
                <w:rFonts w:hint="eastAsia" w:ascii="宋体" w:hAnsi="宋体" w:eastAsia="宋体" w:cs="宋体"/>
                <w:sz w:val="21"/>
                <w:szCs w:val="21"/>
                <w:lang w:val="en-US" w:eastAsia="zh-CN"/>
              </w:rPr>
              <w:t>水中浑浊度</w:t>
            </w:r>
            <w:r>
              <w:rPr>
                <w:rFonts w:hint="eastAsia" w:ascii="宋体" w:hAnsi="宋体" w:eastAsia="宋体" w:cs="宋体"/>
                <w:sz w:val="21"/>
                <w:szCs w:val="21"/>
              </w:rPr>
              <w:t>检</w:t>
            </w:r>
            <w:r>
              <w:rPr>
                <w:rFonts w:hint="eastAsia" w:ascii="宋体" w:hAnsi="宋体" w:eastAsia="宋体" w:cs="宋体"/>
                <w:sz w:val="21"/>
                <w:szCs w:val="21"/>
                <w:lang w:val="en-US" w:eastAsia="zh-CN"/>
              </w:rPr>
              <w:t>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3" w:hRule="atLeast"/>
        </w:trPr>
        <w:tc>
          <w:tcPr>
            <w:tcW w:w="177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8126" w:type="dxa"/>
            <w:tcBorders>
              <w:top w:val="single" w:color="auto" w:sz="4" w:space="0"/>
              <w:left w:val="single" w:color="auto" w:sz="4" w:space="0"/>
              <w:bottom w:val="single" w:color="auto" w:sz="4" w:space="0"/>
              <w:right w:val="single" w:color="auto" w:sz="4" w:space="0"/>
            </w:tcBorders>
          </w:tcPr>
          <w:p>
            <w:pPr>
              <w:pageBreakBefore w:val="0"/>
              <w:numPr>
                <w:ilvl w:val="0"/>
                <w:numId w:val="16"/>
              </w:numPr>
              <w:kinsoku/>
              <w:overflowPunct/>
              <w:topLinePunct w:val="0"/>
              <w:autoSpaceDE/>
              <w:autoSpaceDN/>
              <w:bidi w:val="0"/>
              <w:spacing w:line="320" w:lineRule="exact"/>
              <w:ind w:left="0"/>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sz w:val="21"/>
                <w:szCs w:val="21"/>
                <w:lang w:val="en-US" w:eastAsia="zh-CN"/>
              </w:rPr>
              <w:t>便携式浊度仪</w:t>
            </w:r>
            <w:r>
              <w:rPr>
                <w:rFonts w:hint="eastAsia" w:ascii="宋体" w:hAnsi="宋体" w:eastAsia="宋体" w:cs="宋体"/>
                <w:sz w:val="21"/>
                <w:szCs w:val="21"/>
              </w:rPr>
              <w:t>1套</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设备技术参数：</w:t>
            </w:r>
          </w:p>
          <w:p>
            <w:pPr>
              <w:pageBreakBefore w:val="0"/>
              <w:numPr>
                <w:ilvl w:val="0"/>
                <w:numId w:val="17"/>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pacing w:val="-2"/>
                <w:sz w:val="21"/>
                <w:szCs w:val="21"/>
              </w:rPr>
              <w:t>符合标准： 满足USEPA 方法180.1 的要求</w:t>
            </w:r>
            <w:r>
              <w:rPr>
                <w:rFonts w:hint="eastAsia" w:ascii="宋体" w:hAnsi="宋体" w:eastAsia="宋体" w:cs="宋体"/>
                <w:sz w:val="21"/>
                <w:szCs w:val="21"/>
              </w:rPr>
              <w:t>；</w:t>
            </w:r>
          </w:p>
          <w:p>
            <w:pPr>
              <w:pageBreakBefore w:val="0"/>
              <w:numPr>
                <w:ilvl w:val="0"/>
                <w:numId w:val="17"/>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pacing w:val="-2"/>
                <w:sz w:val="21"/>
                <w:szCs w:val="21"/>
              </w:rPr>
              <w:t>认证：CE认证</w:t>
            </w:r>
            <w:r>
              <w:rPr>
                <w:rFonts w:hint="eastAsia" w:ascii="宋体" w:hAnsi="宋体" w:eastAsia="宋体" w:cs="宋体"/>
                <w:sz w:val="21"/>
                <w:szCs w:val="21"/>
              </w:rPr>
              <w:t>；</w:t>
            </w:r>
          </w:p>
          <w:p>
            <w:pPr>
              <w:pageBreakBefore w:val="0"/>
              <w:numPr>
                <w:ilvl w:val="0"/>
                <w:numId w:val="17"/>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pacing w:val="-2"/>
                <w:sz w:val="21"/>
                <w:szCs w:val="21"/>
              </w:rPr>
              <w:t>光源：钨灯</w:t>
            </w:r>
            <w:r>
              <w:rPr>
                <w:rFonts w:hint="eastAsia" w:ascii="宋体" w:hAnsi="宋体" w:eastAsia="宋体" w:cs="宋体"/>
                <w:sz w:val="21"/>
                <w:szCs w:val="21"/>
              </w:rPr>
              <w:t>；</w:t>
            </w:r>
          </w:p>
          <w:p>
            <w:pPr>
              <w:pageBreakBefore w:val="0"/>
              <w:numPr>
                <w:ilvl w:val="0"/>
                <w:numId w:val="17"/>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pacing w:val="-2"/>
                <w:sz w:val="21"/>
                <w:szCs w:val="21"/>
              </w:rPr>
              <w:t>检测器：硅光电检测器</w:t>
            </w:r>
            <w:r>
              <w:rPr>
                <w:rFonts w:hint="eastAsia" w:ascii="宋体" w:hAnsi="宋体" w:eastAsia="宋体" w:cs="宋体"/>
                <w:sz w:val="21"/>
                <w:szCs w:val="21"/>
              </w:rPr>
              <w:t>；</w:t>
            </w:r>
          </w:p>
          <w:p>
            <w:pPr>
              <w:pageBreakBefore w:val="0"/>
              <w:numPr>
                <w:ilvl w:val="0"/>
                <w:numId w:val="17"/>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pacing w:val="-2"/>
                <w:sz w:val="21"/>
                <w:szCs w:val="21"/>
              </w:rPr>
              <w:t>测量范围：0~1000 NTU</w:t>
            </w:r>
            <w:r>
              <w:rPr>
                <w:rFonts w:hint="eastAsia" w:ascii="宋体" w:hAnsi="宋体" w:eastAsia="宋体" w:cs="宋体"/>
                <w:sz w:val="21"/>
                <w:szCs w:val="21"/>
              </w:rPr>
              <w:t>；</w:t>
            </w:r>
          </w:p>
          <w:p>
            <w:pPr>
              <w:pageBreakBefore w:val="0"/>
              <w:numPr>
                <w:ilvl w:val="0"/>
                <w:numId w:val="17"/>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pacing w:val="-2"/>
                <w:sz w:val="21"/>
                <w:szCs w:val="21"/>
              </w:rPr>
              <w:t>准确度：读数的±2%+杂散光</w:t>
            </w:r>
            <w:r>
              <w:rPr>
                <w:rFonts w:hint="eastAsia" w:ascii="宋体" w:hAnsi="宋体" w:eastAsia="宋体" w:cs="宋体"/>
                <w:sz w:val="21"/>
                <w:szCs w:val="21"/>
              </w:rPr>
              <w:t>；</w:t>
            </w:r>
          </w:p>
          <w:p>
            <w:pPr>
              <w:pageBreakBefore w:val="0"/>
              <w:numPr>
                <w:ilvl w:val="0"/>
                <w:numId w:val="17"/>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pacing w:val="-2"/>
                <w:sz w:val="21"/>
                <w:szCs w:val="21"/>
              </w:rPr>
              <w:t>可重复性：读数的±1%或者0.01NTU，取大者</w:t>
            </w:r>
            <w:r>
              <w:rPr>
                <w:rFonts w:hint="eastAsia" w:ascii="宋体" w:hAnsi="宋体" w:eastAsia="宋体" w:cs="宋体"/>
                <w:sz w:val="21"/>
                <w:szCs w:val="21"/>
              </w:rPr>
              <w:t>；</w:t>
            </w:r>
          </w:p>
          <w:p>
            <w:pPr>
              <w:pageBreakBefore w:val="0"/>
              <w:numPr>
                <w:ilvl w:val="0"/>
                <w:numId w:val="17"/>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pacing w:val="-2"/>
                <w:sz w:val="21"/>
                <w:szCs w:val="21"/>
              </w:rPr>
              <w:t>分辨率：在最低测量范围时为0.01NTU</w:t>
            </w:r>
            <w:r>
              <w:rPr>
                <w:rFonts w:hint="eastAsia" w:ascii="宋体" w:hAnsi="宋体" w:eastAsia="宋体" w:cs="宋体"/>
                <w:sz w:val="21"/>
                <w:szCs w:val="21"/>
              </w:rPr>
              <w:t>；</w:t>
            </w:r>
          </w:p>
          <w:p>
            <w:pPr>
              <w:pageBreakBefore w:val="0"/>
              <w:numPr>
                <w:ilvl w:val="0"/>
                <w:numId w:val="17"/>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pacing w:val="-2"/>
                <w:sz w:val="21"/>
                <w:szCs w:val="21"/>
              </w:rPr>
              <w:t>杂散光：&lt;0.02NTU</w:t>
            </w:r>
            <w:r>
              <w:rPr>
                <w:rFonts w:hint="eastAsia" w:ascii="宋体" w:hAnsi="宋体" w:eastAsia="宋体" w:cs="宋体"/>
                <w:sz w:val="21"/>
                <w:szCs w:val="21"/>
              </w:rPr>
              <w:t>；</w:t>
            </w:r>
          </w:p>
          <w:p>
            <w:pPr>
              <w:pageBreakBefore w:val="0"/>
              <w:numPr>
                <w:ilvl w:val="0"/>
                <w:numId w:val="17"/>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pacing w:val="-2"/>
                <w:sz w:val="21"/>
                <w:szCs w:val="21"/>
              </w:rPr>
              <w:t>具有信号平均功能</w:t>
            </w:r>
            <w:r>
              <w:rPr>
                <w:rFonts w:hint="eastAsia" w:ascii="宋体" w:hAnsi="宋体" w:eastAsia="宋体" w:cs="宋体"/>
                <w:sz w:val="21"/>
                <w:szCs w:val="21"/>
              </w:rPr>
              <w:t>；</w:t>
            </w:r>
          </w:p>
          <w:p>
            <w:pPr>
              <w:pageBreakBefore w:val="0"/>
              <w:numPr>
                <w:ilvl w:val="0"/>
                <w:numId w:val="17"/>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pacing w:val="-2"/>
                <w:sz w:val="21"/>
                <w:szCs w:val="21"/>
              </w:rPr>
              <w:t>双检测器光学系统，可消除色度、光波动、杂散光等的干扰</w:t>
            </w:r>
            <w:r>
              <w:rPr>
                <w:rFonts w:hint="eastAsia" w:ascii="宋体" w:hAnsi="宋体" w:eastAsia="宋体" w:cs="宋体"/>
                <w:sz w:val="21"/>
                <w:szCs w:val="21"/>
              </w:rPr>
              <w:t>；</w:t>
            </w:r>
          </w:p>
          <w:p>
            <w:pPr>
              <w:pageBreakBefore w:val="0"/>
              <w:numPr>
                <w:ilvl w:val="0"/>
                <w:numId w:val="17"/>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pacing w:val="-2"/>
                <w:sz w:val="21"/>
                <w:szCs w:val="21"/>
              </w:rPr>
              <w:t>具有多种语言选择，其中包括了中文</w:t>
            </w:r>
            <w:r>
              <w:rPr>
                <w:rFonts w:hint="eastAsia" w:ascii="宋体" w:hAnsi="宋体" w:cs="宋体"/>
                <w:sz w:val="21"/>
                <w:szCs w:val="21"/>
                <w:lang w:eastAsia="zh-CN"/>
              </w:rPr>
              <w:t>；</w:t>
            </w:r>
          </w:p>
          <w:p>
            <w:pPr>
              <w:pageBreakBefore w:val="0"/>
              <w:numPr>
                <w:ilvl w:val="0"/>
                <w:numId w:val="17"/>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pacing w:val="-2"/>
                <w:sz w:val="21"/>
                <w:szCs w:val="21"/>
              </w:rPr>
              <w:t>具有屏幕在线帮助指引功能，使校准、验证等更简单</w:t>
            </w:r>
            <w:r>
              <w:rPr>
                <w:rFonts w:hint="eastAsia" w:ascii="宋体" w:hAnsi="宋体" w:cs="宋体"/>
                <w:sz w:val="21"/>
                <w:szCs w:val="21"/>
                <w:lang w:eastAsia="zh-CN"/>
              </w:rPr>
              <w:t>；</w:t>
            </w:r>
          </w:p>
          <w:p>
            <w:pPr>
              <w:pageBreakBefore w:val="0"/>
              <w:numPr>
                <w:ilvl w:val="0"/>
                <w:numId w:val="17"/>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pacing w:val="-2"/>
                <w:sz w:val="21"/>
                <w:szCs w:val="21"/>
              </w:rPr>
              <w:t>USB数据传输，无需软件进行数据下载</w:t>
            </w:r>
            <w:r>
              <w:rPr>
                <w:rFonts w:hint="eastAsia" w:ascii="宋体" w:hAnsi="宋体" w:cs="宋体"/>
                <w:sz w:val="21"/>
                <w:szCs w:val="21"/>
                <w:lang w:eastAsia="zh-CN"/>
              </w:rPr>
              <w:t>；</w:t>
            </w:r>
          </w:p>
          <w:p>
            <w:pPr>
              <w:pageBreakBefore w:val="0"/>
              <w:numPr>
                <w:ilvl w:val="0"/>
                <w:numId w:val="17"/>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pacing w:val="-2"/>
                <w:sz w:val="21"/>
                <w:szCs w:val="21"/>
              </w:rPr>
              <w:t>创新的RST（快速沉淀浊度）模式，即使样品发生快速沉淀，仍然能读出正确的浊度值</w:t>
            </w:r>
            <w:r>
              <w:rPr>
                <w:rFonts w:hint="eastAsia" w:ascii="宋体" w:hAnsi="宋体" w:cs="宋体"/>
                <w:sz w:val="21"/>
                <w:szCs w:val="21"/>
                <w:lang w:eastAsia="zh-CN"/>
              </w:rPr>
              <w:t>；</w:t>
            </w:r>
          </w:p>
          <w:p>
            <w:pPr>
              <w:pageBreakBefore w:val="0"/>
              <w:numPr>
                <w:ilvl w:val="0"/>
                <w:numId w:val="17"/>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pacing w:val="-2"/>
                <w:sz w:val="21"/>
                <w:szCs w:val="21"/>
              </w:rPr>
              <w:t>仪器防护等级：IP67</w:t>
            </w:r>
            <w:r>
              <w:rPr>
                <w:rFonts w:hint="eastAsia" w:ascii="宋体" w:hAnsi="宋体" w:eastAsia="宋体" w:cs="宋体"/>
                <w:sz w:val="21"/>
                <w:szCs w:val="21"/>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 xml:space="preserve">其它： </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pacing w:val="-2"/>
                <w:sz w:val="21"/>
                <w:szCs w:val="21"/>
              </w:rPr>
              <w:t>便携式浊度仪主机</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便携箱、</w:t>
            </w:r>
            <w:r>
              <w:rPr>
                <w:rFonts w:hint="eastAsia" w:ascii="宋体" w:hAnsi="宋体" w:eastAsia="宋体" w:cs="宋体"/>
                <w:spacing w:val="-2"/>
                <w:sz w:val="21"/>
                <w:szCs w:val="21"/>
              </w:rPr>
              <w:t>6个样品池、装在密封小瓶中的StablCal 一级标准液、10NTU的一级验证标准液、硅油、4节碱性电池、用户手册</w:t>
            </w:r>
            <w:r>
              <w:rPr>
                <w:rFonts w:hint="eastAsia" w:ascii="宋体" w:hAnsi="宋体" w:eastAsia="宋体" w:cs="宋体"/>
                <w:sz w:val="21"/>
                <w:szCs w:val="21"/>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rPr>
              <w:t>非自产设备投标商需</w:t>
            </w:r>
            <w:r>
              <w:rPr>
                <w:rFonts w:hint="eastAsia" w:ascii="宋体" w:hAnsi="宋体" w:cs="宋体"/>
                <w:color w:val="auto"/>
                <w:sz w:val="21"/>
                <w:szCs w:val="21"/>
                <w:highlight w:val="none"/>
                <w:lang w:eastAsia="zh-CN"/>
              </w:rPr>
              <w:t>在中标后提供</w:t>
            </w:r>
            <w:r>
              <w:rPr>
                <w:rFonts w:hint="eastAsia" w:ascii="宋体" w:hAnsi="宋体" w:eastAsia="宋体" w:cs="宋体"/>
                <w:color w:val="auto"/>
                <w:sz w:val="21"/>
                <w:szCs w:val="21"/>
                <w:highlight w:val="none"/>
              </w:rPr>
              <w:t>生产厂家针对本</w:t>
            </w:r>
            <w:r>
              <w:rPr>
                <w:rFonts w:hint="eastAsia" w:ascii="宋体" w:hAnsi="宋体" w:cs="宋体"/>
                <w:color w:val="auto"/>
                <w:sz w:val="21"/>
                <w:szCs w:val="21"/>
                <w:highlight w:val="none"/>
                <w:lang w:eastAsia="zh-CN"/>
              </w:rPr>
              <w:t>产品</w:t>
            </w:r>
            <w:r>
              <w:rPr>
                <w:rFonts w:hint="eastAsia" w:ascii="宋体" w:hAnsi="宋体" w:eastAsia="宋体" w:cs="宋体"/>
                <w:color w:val="auto"/>
                <w:sz w:val="21"/>
                <w:szCs w:val="21"/>
                <w:highlight w:val="none"/>
              </w:rPr>
              <w:t>的授权</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7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126" w:type="dxa"/>
            <w:tcBorders>
              <w:top w:val="single" w:color="auto" w:sz="4" w:space="0"/>
              <w:left w:val="single" w:color="auto" w:sz="4" w:space="0"/>
              <w:bottom w:val="single" w:color="auto" w:sz="4" w:space="0"/>
              <w:right w:val="single" w:color="auto" w:sz="4" w:space="0"/>
            </w:tcBorders>
            <w:vAlign w:val="to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Style w:val="4"/>
        <w:spacing w:before="0" w:after="0" w:line="240" w:lineRule="auto"/>
        <w:rPr>
          <w:rFonts w:hint="eastAsia"/>
        </w:rPr>
      </w:pPr>
    </w:p>
    <w:tbl>
      <w:tblPr>
        <w:tblStyle w:val="37"/>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6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809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2、硅酸根分析仪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6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w:t>
            </w:r>
            <w:r>
              <w:rPr>
                <w:rFonts w:hint="eastAsia" w:ascii="宋体" w:hAnsi="宋体" w:eastAsia="宋体" w:cs="宋体"/>
                <w:sz w:val="21"/>
                <w:szCs w:val="21"/>
                <w:lang w:val="en-US" w:eastAsia="zh-CN"/>
              </w:rPr>
              <w:t>台</w:t>
            </w:r>
            <w:r>
              <w:rPr>
                <w:rFonts w:hint="eastAsia" w:ascii="宋体" w:hAnsi="宋体" w:eastAsia="宋体" w:cs="宋体"/>
                <w:sz w:val="21"/>
                <w:szCs w:val="21"/>
              </w:rPr>
              <w:t>）</w:t>
            </w:r>
          </w:p>
        </w:tc>
        <w:tc>
          <w:tcPr>
            <w:tcW w:w="809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6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809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锅炉水质硅含量</w:t>
            </w:r>
            <w:r>
              <w:rPr>
                <w:rFonts w:hint="eastAsia" w:ascii="宋体" w:hAnsi="宋体" w:eastAsia="宋体" w:cs="宋体"/>
                <w:sz w:val="21"/>
                <w:szCs w:val="21"/>
              </w:rPr>
              <w:t>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0" w:hRule="atLeast"/>
        </w:trPr>
        <w:tc>
          <w:tcPr>
            <w:tcW w:w="176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8093" w:type="dxa"/>
            <w:tcBorders>
              <w:top w:val="single" w:color="auto" w:sz="4" w:space="0"/>
              <w:left w:val="single" w:color="auto" w:sz="4" w:space="0"/>
              <w:bottom w:val="single" w:color="auto" w:sz="4" w:space="0"/>
              <w:right w:val="single" w:color="auto" w:sz="4" w:space="0"/>
            </w:tcBorders>
            <w:noWra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设备技术参数：</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硅酸根1台</w:t>
            </w:r>
            <w:r>
              <w:rPr>
                <w:rFonts w:hint="eastAsia" w:ascii="宋体" w:hAnsi="宋体" w:cs="宋体"/>
                <w:sz w:val="21"/>
                <w:szCs w:val="21"/>
                <w:lang w:val="en-US"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vertAlign w:val="baseline"/>
                <w:lang w:val="en-US" w:eastAsia="zh-CN"/>
              </w:rPr>
              <w:t>符合GB/T1576-2008工业锅炉水质GB/T12145-2008电站锅炉水质要求</w:t>
            </w:r>
            <w:r>
              <w:rPr>
                <w:rFonts w:hint="eastAsia" w:ascii="宋体" w:hAnsi="宋体" w:cs="宋体"/>
                <w:sz w:val="21"/>
                <w:szCs w:val="21"/>
                <w:vertAlign w:val="baseline"/>
                <w:lang w:val="en-US" w:eastAsia="zh-CN"/>
              </w:rPr>
              <w:t>；</w:t>
            </w:r>
          </w:p>
          <w:p>
            <w:pPr>
              <w:pageBreakBefore w:val="0"/>
              <w:numPr>
                <w:ilvl w:val="0"/>
                <w:numId w:val="0"/>
              </w:numPr>
              <w:kinsoku/>
              <w:overflowPunct/>
              <w:topLinePunct w:val="0"/>
              <w:autoSpaceDE/>
              <w:autoSpaceDN/>
              <w:bidi w:val="0"/>
              <w:spacing w:line="320" w:lineRule="exact"/>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vertAlign w:val="baseline"/>
                <w:lang w:val="en-US" w:eastAsia="zh-CN"/>
              </w:rPr>
              <w:t>全部采用进口单色冷光源，能量集中，光源稳定，测量准确</w:t>
            </w:r>
            <w:r>
              <w:rPr>
                <w:rFonts w:hint="eastAsia" w:ascii="宋体" w:hAnsi="宋体" w:cs="宋体"/>
                <w:sz w:val="21"/>
                <w:szCs w:val="21"/>
                <w:vertAlign w:val="baseline"/>
                <w:lang w:val="en-US" w:eastAsia="zh-CN"/>
              </w:rPr>
              <w:t>；</w:t>
            </w:r>
          </w:p>
          <w:p>
            <w:pPr>
              <w:pageBreakBefore w:val="0"/>
              <w:kinsoku/>
              <w:overflowPunct/>
              <w:topLinePunct w:val="0"/>
              <w:autoSpaceDE/>
              <w:autoSpaceDN/>
              <w:bidi w:val="0"/>
              <w:spacing w:line="320" w:lineRule="exact"/>
              <w:jc w:val="left"/>
              <w:rPr>
                <w:rFonts w:hint="eastAsia" w:ascii="宋体" w:hAnsi="宋体" w:eastAsia="宋体" w:cs="宋体"/>
                <w:sz w:val="21"/>
                <w:szCs w:val="21"/>
                <w:vertAlign w:val="baseline"/>
                <w:lang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vertAlign w:val="baseline"/>
              </w:rPr>
              <w:t>显示：192×64点阵液晶，可选择显示中文或英文</w:t>
            </w:r>
            <w:r>
              <w:rPr>
                <w:rFonts w:hint="eastAsia" w:ascii="宋体" w:hAnsi="宋体" w:cs="宋体"/>
                <w:sz w:val="21"/>
                <w:szCs w:val="21"/>
                <w:vertAlign w:val="baseline"/>
                <w:lang w:eastAsia="zh-CN"/>
              </w:rPr>
              <w:t>；</w:t>
            </w:r>
          </w:p>
          <w:p>
            <w:pPr>
              <w:pageBreakBefore w:val="0"/>
              <w:kinsoku/>
              <w:overflowPunct/>
              <w:topLinePunct w:val="0"/>
              <w:autoSpaceDE/>
              <w:autoSpaceDN/>
              <w:bidi w:val="0"/>
              <w:spacing w:line="320" w:lineRule="exact"/>
              <w:jc w:val="left"/>
              <w:rPr>
                <w:rFonts w:hint="eastAsia" w:ascii="宋体" w:hAnsi="宋体" w:eastAsia="宋体" w:cs="宋体"/>
                <w:sz w:val="21"/>
                <w:szCs w:val="21"/>
                <w:vertAlign w:val="baseline"/>
                <w:lang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vertAlign w:val="baseline"/>
              </w:rPr>
              <w:t>测量范围：（0～200）μg/L 或（0～2000）μg/L 根据客户要求选量程</w:t>
            </w:r>
            <w:r>
              <w:rPr>
                <w:rFonts w:hint="eastAsia" w:ascii="宋体" w:hAnsi="宋体" w:cs="宋体"/>
                <w:sz w:val="21"/>
                <w:szCs w:val="21"/>
                <w:vertAlign w:val="baseline"/>
                <w:lang w:eastAsia="zh-CN"/>
              </w:rPr>
              <w:t>；</w:t>
            </w:r>
          </w:p>
          <w:p>
            <w:pPr>
              <w:pageBreakBefore w:val="0"/>
              <w:kinsoku/>
              <w:overflowPunct/>
              <w:topLinePunct w:val="0"/>
              <w:autoSpaceDE/>
              <w:autoSpaceDN/>
              <w:bidi w:val="0"/>
              <w:spacing w:line="320" w:lineRule="exact"/>
              <w:jc w:val="left"/>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1.5</w:t>
            </w:r>
            <w:r>
              <w:rPr>
                <w:rFonts w:hint="eastAsia" w:ascii="宋体" w:hAnsi="宋体" w:eastAsia="宋体" w:cs="宋体"/>
                <w:sz w:val="21"/>
                <w:szCs w:val="21"/>
                <w:vertAlign w:val="baseline"/>
              </w:rPr>
              <w:t>仪器示值误差：±2％F.S</w:t>
            </w:r>
            <w:r>
              <w:rPr>
                <w:rFonts w:hint="eastAsia" w:ascii="宋体" w:hAnsi="宋体" w:cs="宋体"/>
                <w:sz w:val="21"/>
                <w:szCs w:val="21"/>
                <w:vertAlign w:val="baseline"/>
                <w:lang w:eastAsia="zh-CN"/>
              </w:rPr>
              <w:t>；</w:t>
            </w:r>
            <w:r>
              <w:rPr>
                <w:rFonts w:hint="eastAsia" w:ascii="宋体" w:hAnsi="宋体" w:eastAsia="宋体" w:cs="宋体"/>
                <w:sz w:val="21"/>
                <w:szCs w:val="21"/>
                <w:vertAlign w:val="baseline"/>
              </w:rPr>
              <w:t xml:space="preserve"> </w:t>
            </w:r>
          </w:p>
          <w:p>
            <w:pPr>
              <w:pageBreakBefore w:val="0"/>
              <w:kinsoku/>
              <w:overflowPunct/>
              <w:topLinePunct w:val="0"/>
              <w:autoSpaceDE/>
              <w:autoSpaceDN/>
              <w:bidi w:val="0"/>
              <w:spacing w:line="320" w:lineRule="exact"/>
              <w:jc w:val="left"/>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1.6</w:t>
            </w:r>
            <w:r>
              <w:rPr>
                <w:rFonts w:hint="eastAsia" w:ascii="宋体" w:hAnsi="宋体" w:eastAsia="宋体" w:cs="宋体"/>
                <w:sz w:val="21"/>
                <w:szCs w:val="21"/>
                <w:vertAlign w:val="baseline"/>
              </w:rPr>
              <w:t>分 辨 率：0.1μg/L</w:t>
            </w:r>
            <w:r>
              <w:rPr>
                <w:rFonts w:hint="eastAsia" w:ascii="宋体" w:hAnsi="宋体" w:cs="宋体"/>
                <w:sz w:val="21"/>
                <w:szCs w:val="21"/>
                <w:vertAlign w:val="baseline"/>
                <w:lang w:eastAsia="zh-CN"/>
              </w:rPr>
              <w:t>；</w:t>
            </w:r>
            <w:r>
              <w:rPr>
                <w:rFonts w:hint="eastAsia" w:ascii="宋体" w:hAnsi="宋体" w:eastAsia="宋体" w:cs="宋体"/>
                <w:sz w:val="21"/>
                <w:szCs w:val="21"/>
                <w:vertAlign w:val="baseline"/>
              </w:rPr>
              <w:t xml:space="preserve"> </w:t>
            </w:r>
          </w:p>
          <w:p>
            <w:pPr>
              <w:pageBreakBefore w:val="0"/>
              <w:kinsoku/>
              <w:overflowPunct/>
              <w:topLinePunct w:val="0"/>
              <w:autoSpaceDE/>
              <w:autoSpaceDN/>
              <w:bidi w:val="0"/>
              <w:spacing w:line="320" w:lineRule="exact"/>
              <w:jc w:val="left"/>
              <w:rPr>
                <w:rFonts w:hint="eastAsia" w:ascii="宋体" w:hAnsi="宋体" w:eastAsia="宋体" w:cs="宋体"/>
                <w:sz w:val="21"/>
                <w:szCs w:val="21"/>
                <w:vertAlign w:val="baseline"/>
                <w:lang w:eastAsia="zh-CN"/>
              </w:rPr>
            </w:pPr>
            <w:r>
              <w:rPr>
                <w:rFonts w:hint="eastAsia" w:ascii="宋体" w:hAnsi="宋体" w:eastAsia="宋体" w:cs="宋体"/>
                <w:sz w:val="21"/>
                <w:szCs w:val="21"/>
                <w:lang w:val="en-US" w:eastAsia="zh-CN"/>
              </w:rPr>
              <w:t>1.7</w:t>
            </w:r>
            <w:r>
              <w:rPr>
                <w:rFonts w:hint="eastAsia" w:ascii="宋体" w:hAnsi="宋体" w:eastAsia="宋体" w:cs="宋体"/>
                <w:sz w:val="21"/>
                <w:szCs w:val="21"/>
                <w:vertAlign w:val="baseline"/>
              </w:rPr>
              <w:t>重 复 性：1％</w:t>
            </w:r>
            <w:r>
              <w:rPr>
                <w:rFonts w:hint="eastAsia" w:ascii="宋体" w:hAnsi="宋体" w:cs="宋体"/>
                <w:sz w:val="21"/>
                <w:szCs w:val="21"/>
                <w:vertAlign w:val="baseline"/>
                <w:lang w:eastAsia="zh-CN"/>
              </w:rPr>
              <w:t>；</w:t>
            </w:r>
          </w:p>
          <w:p>
            <w:pPr>
              <w:pageBreakBefore w:val="0"/>
              <w:kinsoku/>
              <w:overflowPunct/>
              <w:topLinePunct w:val="0"/>
              <w:autoSpaceDE/>
              <w:autoSpaceDN/>
              <w:bidi w:val="0"/>
              <w:spacing w:line="320" w:lineRule="exact"/>
              <w:jc w:val="left"/>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1.8</w:t>
            </w:r>
            <w:r>
              <w:rPr>
                <w:rFonts w:hint="eastAsia" w:ascii="宋体" w:hAnsi="宋体" w:eastAsia="宋体" w:cs="宋体"/>
                <w:sz w:val="21"/>
                <w:szCs w:val="21"/>
                <w:vertAlign w:val="baseline"/>
              </w:rPr>
              <w:t>稳 定 性：±1％F.S／4h</w:t>
            </w:r>
            <w:r>
              <w:rPr>
                <w:rFonts w:hint="eastAsia" w:ascii="宋体" w:hAnsi="宋体" w:cs="宋体"/>
                <w:sz w:val="21"/>
                <w:szCs w:val="21"/>
                <w:vertAlign w:val="baseline"/>
                <w:lang w:eastAsia="zh-CN"/>
              </w:rPr>
              <w:t>；</w:t>
            </w:r>
            <w:r>
              <w:rPr>
                <w:rFonts w:hint="eastAsia" w:ascii="宋体" w:hAnsi="宋体" w:eastAsia="宋体" w:cs="宋体"/>
                <w:sz w:val="21"/>
                <w:szCs w:val="21"/>
                <w:vertAlign w:val="baseline"/>
              </w:rPr>
              <w:t xml:space="preserve"> </w:t>
            </w:r>
          </w:p>
          <w:p>
            <w:pPr>
              <w:pageBreakBefore w:val="0"/>
              <w:kinsoku/>
              <w:overflowPunct/>
              <w:topLinePunct w:val="0"/>
              <w:autoSpaceDE/>
              <w:autoSpaceDN/>
              <w:bidi w:val="0"/>
              <w:spacing w:line="320" w:lineRule="exact"/>
              <w:jc w:val="left"/>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1.9</w:t>
            </w:r>
            <w:r>
              <w:rPr>
                <w:rFonts w:hint="eastAsia" w:ascii="宋体" w:hAnsi="宋体" w:eastAsia="宋体" w:cs="宋体"/>
                <w:sz w:val="21"/>
                <w:szCs w:val="21"/>
                <w:vertAlign w:val="baseline"/>
              </w:rPr>
              <w:t>环境温度：(5～45)℃</w:t>
            </w:r>
            <w:r>
              <w:rPr>
                <w:rFonts w:hint="eastAsia" w:ascii="宋体" w:hAnsi="宋体" w:cs="宋体"/>
                <w:sz w:val="21"/>
                <w:szCs w:val="21"/>
                <w:vertAlign w:val="baseline"/>
                <w:lang w:eastAsia="zh-CN"/>
              </w:rPr>
              <w:t>；</w:t>
            </w:r>
            <w:r>
              <w:rPr>
                <w:rFonts w:hint="eastAsia" w:ascii="宋体" w:hAnsi="宋体" w:eastAsia="宋体" w:cs="宋体"/>
                <w:sz w:val="21"/>
                <w:szCs w:val="21"/>
                <w:vertAlign w:val="baseline"/>
              </w:rPr>
              <w:t xml:space="preserve"> </w:t>
            </w:r>
          </w:p>
          <w:p>
            <w:pPr>
              <w:pageBreakBefore w:val="0"/>
              <w:kinsoku/>
              <w:overflowPunct/>
              <w:topLinePunct w:val="0"/>
              <w:autoSpaceDE/>
              <w:autoSpaceDN/>
              <w:bidi w:val="0"/>
              <w:spacing w:line="320" w:lineRule="exact"/>
              <w:jc w:val="left"/>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1.10</w:t>
            </w:r>
            <w:r>
              <w:rPr>
                <w:rFonts w:hint="eastAsia" w:ascii="宋体" w:hAnsi="宋体" w:eastAsia="宋体" w:cs="宋体"/>
                <w:sz w:val="21"/>
                <w:szCs w:val="21"/>
                <w:vertAlign w:val="baseline"/>
              </w:rPr>
              <w:t>环境湿度：不大于90％RH(无冷凝)</w:t>
            </w:r>
            <w:r>
              <w:rPr>
                <w:rFonts w:hint="eastAsia" w:ascii="宋体" w:hAnsi="宋体" w:cs="宋体"/>
                <w:sz w:val="21"/>
                <w:szCs w:val="21"/>
                <w:vertAlign w:val="baseline"/>
                <w:lang w:eastAsia="zh-CN"/>
              </w:rPr>
              <w:t>；</w:t>
            </w:r>
            <w:r>
              <w:rPr>
                <w:rFonts w:hint="eastAsia" w:ascii="宋体" w:hAnsi="宋体" w:eastAsia="宋体" w:cs="宋体"/>
                <w:sz w:val="21"/>
                <w:szCs w:val="21"/>
                <w:vertAlign w:val="baseline"/>
              </w:rPr>
              <w:t xml:space="preserve"> </w:t>
            </w:r>
          </w:p>
          <w:p>
            <w:pPr>
              <w:pageBreakBefore w:val="0"/>
              <w:kinsoku/>
              <w:overflowPunct/>
              <w:topLinePunct w:val="0"/>
              <w:autoSpaceDE/>
              <w:autoSpaceDN/>
              <w:bidi w:val="0"/>
              <w:spacing w:line="320" w:lineRule="exact"/>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1.11</w:t>
            </w:r>
            <w:r>
              <w:rPr>
                <w:rFonts w:hint="eastAsia" w:ascii="宋体" w:hAnsi="宋体" w:eastAsia="宋体" w:cs="宋体"/>
                <w:sz w:val="21"/>
                <w:szCs w:val="21"/>
                <w:vertAlign w:val="baseline"/>
                <w:lang w:val="en-US" w:eastAsia="zh-CN"/>
              </w:rPr>
              <w:t>可以直接接入实验室管理系统</w:t>
            </w:r>
            <w:r>
              <w:rPr>
                <w:rFonts w:hint="eastAsia" w:ascii="宋体" w:hAnsi="宋体" w:cs="宋体"/>
                <w:sz w:val="21"/>
                <w:szCs w:val="21"/>
                <w:vertAlign w:val="baseline"/>
                <w:lang w:val="en-US"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标准溶液一瓶:60ml</w:t>
            </w:r>
            <w:r>
              <w:rPr>
                <w:rFonts w:hint="eastAsia" w:ascii="宋体" w:hAnsi="宋体" w:cs="宋体"/>
                <w:sz w:val="21"/>
                <w:szCs w:val="21"/>
                <w:lang w:val="en-US"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进样杯一个</w:t>
            </w:r>
            <w:r>
              <w:rPr>
                <w:rFonts w:hint="eastAsia" w:ascii="宋体" w:hAnsi="宋体" w:cs="宋体"/>
                <w:sz w:val="21"/>
                <w:szCs w:val="21"/>
                <w:lang w:val="en-US"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排污管一根</w:t>
            </w:r>
            <w:r>
              <w:rPr>
                <w:rFonts w:hint="eastAsia" w:ascii="宋体" w:hAnsi="宋体" w:cs="宋体"/>
                <w:sz w:val="21"/>
                <w:szCs w:val="21"/>
                <w:lang w:val="en-US"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电源线一根</w:t>
            </w:r>
            <w:r>
              <w:rPr>
                <w:rFonts w:hint="eastAsia" w:ascii="宋体" w:hAnsi="宋体" w:cs="宋体"/>
                <w:sz w:val="21"/>
                <w:szCs w:val="21"/>
                <w:lang w:val="en-US"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二、其他</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免费上门调试安装</w:t>
            </w:r>
            <w:r>
              <w:rPr>
                <w:rFonts w:hint="eastAsia" w:ascii="宋体" w:hAnsi="宋体" w:cs="宋体"/>
                <w:sz w:val="21"/>
                <w:szCs w:val="21"/>
                <w:lang w:val="en-US"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highlight w:val="none"/>
                <w:lang w:val="en-US" w:eastAsia="zh-CN"/>
              </w:rPr>
              <w:t>提供终身免费维护</w:t>
            </w:r>
            <w:r>
              <w:rPr>
                <w:rFonts w:hint="eastAsia" w:ascii="宋体" w:hAnsi="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76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093"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Style w:val="4"/>
        <w:spacing w:before="0" w:after="0" w:line="240" w:lineRule="auto"/>
        <w:rPr>
          <w:rFonts w:hint="eastAsia"/>
        </w:rPr>
      </w:pPr>
    </w:p>
    <w:tbl>
      <w:tblPr>
        <w:tblStyle w:val="37"/>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声级计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用于环境噪声检测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3"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8126" w:type="dxa"/>
            <w:tcBorders>
              <w:top w:val="single" w:color="auto" w:sz="4" w:space="0"/>
              <w:left w:val="single" w:color="auto" w:sz="4" w:space="0"/>
              <w:bottom w:val="single" w:color="auto" w:sz="4" w:space="0"/>
              <w:right w:val="single" w:color="auto" w:sz="4" w:space="0"/>
            </w:tcBorders>
            <w:noWrap/>
          </w:tcPr>
          <w:p>
            <w:pPr>
              <w:pageBreakBefore w:val="0"/>
              <w:numPr>
                <w:ilvl w:val="0"/>
                <w:numId w:val="18"/>
              </w:numPr>
              <w:kinsoku/>
              <w:overflowPunct/>
              <w:topLinePunct w:val="0"/>
              <w:autoSpaceDE/>
              <w:autoSpaceDN/>
              <w:bidi w:val="0"/>
              <w:spacing w:line="240" w:lineRule="auto"/>
              <w:ind w:left="0"/>
              <w:rPr>
                <w:rFonts w:hint="eastAsia" w:ascii="宋体" w:hAnsi="宋体" w:eastAsia="宋体" w:cs="宋体"/>
                <w:sz w:val="21"/>
                <w:szCs w:val="21"/>
              </w:rPr>
            </w:pPr>
            <w:r>
              <w:rPr>
                <w:rFonts w:hint="eastAsia" w:ascii="宋体" w:hAnsi="宋体" w:eastAsia="宋体" w:cs="宋体"/>
                <w:sz w:val="21"/>
                <w:szCs w:val="21"/>
              </w:rPr>
              <w:t>一、声级计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w:t>
            </w:r>
            <w:r>
              <w:rPr>
                <w:rFonts w:hint="eastAsia" w:ascii="宋体" w:hAnsi="宋体" w:eastAsia="宋体" w:cs="宋体"/>
                <w:sz w:val="21"/>
                <w:szCs w:val="21"/>
                <w:lang w:val="en-US" w:eastAsia="zh-CN"/>
              </w:rPr>
              <w:t>2台</w:t>
            </w:r>
          </w:p>
          <w:p>
            <w:pPr>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设备技术参数：</w:t>
            </w:r>
          </w:p>
          <w:p>
            <w:pPr>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特点：普通测量</w:t>
            </w:r>
            <w:r>
              <w:rPr>
                <w:rFonts w:hint="eastAsia" w:ascii="宋体" w:hAnsi="宋体" w:cs="宋体"/>
                <w:sz w:val="21"/>
                <w:szCs w:val="21"/>
                <w:lang w:eastAsia="zh-CN"/>
              </w:rPr>
              <w:t>；</w:t>
            </w:r>
            <w:r>
              <w:rPr>
                <w:rFonts w:hint="eastAsia" w:ascii="宋体" w:hAnsi="宋体" w:eastAsia="宋体" w:cs="宋体"/>
                <w:sz w:val="21"/>
                <w:szCs w:val="21"/>
              </w:rPr>
              <w:t xml:space="preserve"> </w:t>
            </w:r>
          </w:p>
          <w:p>
            <w:pPr>
              <w:pageBreakBefore w:val="0"/>
              <w:kinsoku/>
              <w:overflowPunct/>
              <w:topLinePunct w:val="0"/>
              <w:autoSpaceDE/>
              <w:autoSpaceDN/>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rPr>
              <w:t>测量范围：25dBA~140dBA</w:t>
            </w:r>
            <w:r>
              <w:rPr>
                <w:rFonts w:hint="eastAsia" w:ascii="宋体" w:hAnsi="宋体" w:cs="宋体"/>
                <w:sz w:val="21"/>
                <w:szCs w:val="21"/>
                <w:lang w:eastAsia="zh-CN"/>
              </w:rPr>
              <w:t>；</w:t>
            </w:r>
          </w:p>
          <w:p>
            <w:pPr>
              <w:pageBreakBefore w:val="0"/>
              <w:kinsoku/>
              <w:overflowPunct/>
              <w:topLinePunct w:val="0"/>
              <w:autoSpaceDE/>
              <w:autoSpaceDN/>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rPr>
              <w:t>频率范围：10Hz~20kHz</w:t>
            </w:r>
            <w:r>
              <w:rPr>
                <w:rFonts w:hint="eastAsia" w:ascii="宋体" w:hAnsi="宋体" w:cs="宋体"/>
                <w:sz w:val="21"/>
                <w:szCs w:val="21"/>
                <w:lang w:eastAsia="zh-CN"/>
              </w:rPr>
              <w:t>；</w:t>
            </w:r>
          </w:p>
          <w:p>
            <w:pPr>
              <w:pageBreakBefore w:val="0"/>
              <w:kinsoku/>
              <w:overflowPunct/>
              <w:topLinePunct w:val="0"/>
              <w:autoSpaceDE/>
              <w:autoSpaceDN/>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本底噪声：小于33dBA</w:t>
            </w:r>
            <w:r>
              <w:rPr>
                <w:rFonts w:hint="eastAsia" w:ascii="宋体" w:hAnsi="宋体" w:cs="宋体"/>
                <w:sz w:val="21"/>
                <w:szCs w:val="21"/>
                <w:lang w:eastAsia="zh-CN"/>
              </w:rPr>
              <w:t>；</w:t>
            </w:r>
          </w:p>
          <w:p>
            <w:pPr>
              <w:pageBreakBefore w:val="0"/>
              <w:kinsoku/>
              <w:overflowPunct/>
              <w:topLinePunct w:val="0"/>
              <w:autoSpaceDE/>
              <w:autoSpaceDN/>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1.5</w:t>
            </w:r>
            <w:r>
              <w:rPr>
                <w:rFonts w:hint="eastAsia" w:ascii="宋体" w:hAnsi="宋体" w:eastAsia="宋体" w:cs="宋体"/>
                <w:sz w:val="21"/>
                <w:szCs w:val="21"/>
              </w:rPr>
              <w:t>频率计权：并行（同时）A、C、Z</w:t>
            </w:r>
            <w:r>
              <w:rPr>
                <w:rFonts w:hint="eastAsia" w:ascii="宋体" w:hAnsi="宋体" w:cs="宋体"/>
                <w:sz w:val="21"/>
                <w:szCs w:val="21"/>
                <w:lang w:eastAsia="zh-CN"/>
              </w:rPr>
              <w:t>；</w:t>
            </w:r>
          </w:p>
          <w:p>
            <w:pPr>
              <w:pageBreakBefore w:val="0"/>
              <w:kinsoku/>
              <w:overflowPunct/>
              <w:topLinePunct w:val="0"/>
              <w:autoSpaceDE/>
              <w:autoSpaceDN/>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w:t>
            </w:r>
            <w:r>
              <w:rPr>
                <w:rFonts w:hint="eastAsia" w:ascii="宋体" w:hAnsi="宋体" w:eastAsia="宋体" w:cs="宋体"/>
                <w:sz w:val="21"/>
                <w:szCs w:val="21"/>
              </w:rPr>
              <w:t>时间计权：并行（同时）F、S、I</w:t>
            </w:r>
            <w:r>
              <w:rPr>
                <w:rFonts w:hint="eastAsia" w:ascii="宋体" w:hAnsi="宋体" w:cs="宋体"/>
                <w:sz w:val="21"/>
                <w:szCs w:val="21"/>
                <w:lang w:eastAsia="zh-CN"/>
              </w:rPr>
              <w:t>；</w:t>
            </w:r>
          </w:p>
          <w:p>
            <w:pPr>
              <w:pStyle w:val="25"/>
              <w:pageBreakBefore w:val="0"/>
              <w:kinsoku/>
              <w:overflowPunct/>
              <w:topLinePunct w:val="0"/>
              <w:autoSpaceDE/>
              <w:autoSpaceDN/>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1.7</w:t>
            </w:r>
            <w:r>
              <w:rPr>
                <w:rFonts w:hint="eastAsia" w:ascii="宋体" w:hAnsi="宋体" w:eastAsia="宋体" w:cs="宋体"/>
                <w:sz w:val="21"/>
                <w:szCs w:val="21"/>
              </w:rPr>
              <w:t>显示屏：2.6寸彩屏显示，分辨率240X320，亮度可调节</w:t>
            </w:r>
            <w:r>
              <w:rPr>
                <w:rFonts w:hint="eastAsia" w:ascii="宋体" w:hAnsi="宋体" w:cs="宋体"/>
                <w:sz w:val="21"/>
                <w:szCs w:val="21"/>
                <w:lang w:eastAsia="zh-CN"/>
              </w:rPr>
              <w:t>；</w:t>
            </w:r>
          </w:p>
          <w:p>
            <w:pPr>
              <w:pageBreakBefore w:val="0"/>
              <w:kinsoku/>
              <w:overflowPunct/>
              <w:topLinePunct w:val="0"/>
              <w:autoSpaceDE/>
              <w:autoSpaceDN/>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1.8</w:t>
            </w:r>
            <w:r>
              <w:rPr>
                <w:rFonts w:hint="eastAsia" w:ascii="宋体" w:hAnsi="宋体" w:eastAsia="宋体" w:cs="宋体"/>
                <w:sz w:val="21"/>
                <w:szCs w:val="21"/>
              </w:rPr>
              <w:t>输出接口：AC（交流），DC（直流），RS232、USB</w:t>
            </w:r>
            <w:r>
              <w:rPr>
                <w:rFonts w:hint="eastAsia" w:ascii="宋体" w:hAnsi="宋体" w:cs="宋体"/>
                <w:sz w:val="21"/>
                <w:szCs w:val="21"/>
                <w:lang w:eastAsia="zh-CN"/>
              </w:rPr>
              <w:t>；</w:t>
            </w:r>
          </w:p>
          <w:p>
            <w:pPr>
              <w:pStyle w:val="25"/>
              <w:pageBreakBefore w:val="0"/>
              <w:kinsoku/>
              <w:overflowPunct/>
              <w:topLinePunct w:val="0"/>
              <w:autoSpaceDE/>
              <w:autoSpaceDN/>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1.9</w:t>
            </w:r>
            <w:r>
              <w:rPr>
                <w:rFonts w:hint="eastAsia" w:ascii="宋体" w:hAnsi="宋体" w:eastAsia="宋体" w:cs="宋体"/>
                <w:sz w:val="21"/>
                <w:szCs w:val="21"/>
              </w:rPr>
              <w:t>主要测量指标：Lp、Lmax、Lpeak</w:t>
            </w:r>
            <w:r>
              <w:rPr>
                <w:rFonts w:hint="eastAsia" w:ascii="宋体" w:hAnsi="宋体" w:cs="宋体"/>
                <w:sz w:val="21"/>
                <w:szCs w:val="21"/>
                <w:lang w:eastAsia="zh-CN"/>
              </w:rPr>
              <w:t>；</w:t>
            </w:r>
          </w:p>
          <w:p>
            <w:pPr>
              <w:pageBreakBefore w:val="0"/>
              <w:kinsoku/>
              <w:overflowPunct/>
              <w:topLinePunct w:val="0"/>
              <w:autoSpaceDE/>
              <w:autoSpaceDN/>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1.10</w:t>
            </w:r>
            <w:r>
              <w:rPr>
                <w:rFonts w:hint="eastAsia" w:ascii="宋体" w:hAnsi="宋体" w:eastAsia="宋体" w:cs="宋体"/>
                <w:sz w:val="21"/>
                <w:szCs w:val="21"/>
              </w:rPr>
              <w:t>超限指示：有，限值可设</w:t>
            </w:r>
            <w:r>
              <w:rPr>
                <w:rFonts w:hint="eastAsia" w:ascii="宋体" w:hAnsi="宋体" w:cs="宋体"/>
                <w:sz w:val="21"/>
                <w:szCs w:val="21"/>
                <w:lang w:eastAsia="zh-CN"/>
              </w:rPr>
              <w:t>；</w:t>
            </w:r>
          </w:p>
          <w:p>
            <w:pPr>
              <w:pageBreakBefore w:val="0"/>
              <w:kinsoku/>
              <w:overflowPunct/>
              <w:topLinePunct w:val="0"/>
              <w:autoSpaceDE/>
              <w:autoSpaceDN/>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1.11</w:t>
            </w:r>
            <w:r>
              <w:rPr>
                <w:rFonts w:hint="eastAsia" w:ascii="宋体" w:hAnsi="宋体" w:eastAsia="宋体" w:cs="宋体"/>
                <w:sz w:val="21"/>
                <w:szCs w:val="21"/>
              </w:rPr>
              <w:t>电源：4个（7#）碱性电池</w:t>
            </w:r>
            <w:r>
              <w:rPr>
                <w:rFonts w:hint="eastAsia" w:ascii="宋体" w:hAnsi="宋体" w:cs="宋体"/>
                <w:sz w:val="21"/>
                <w:szCs w:val="21"/>
                <w:lang w:eastAsia="zh-CN"/>
              </w:rPr>
              <w:t>；</w:t>
            </w:r>
          </w:p>
          <w:p>
            <w:pPr>
              <w:pageBreakBefore w:val="0"/>
              <w:kinsoku/>
              <w:overflowPunct/>
              <w:topLinePunct w:val="0"/>
              <w:autoSpaceDE/>
              <w:autoSpaceDN/>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1.12</w:t>
            </w:r>
            <w:r>
              <w:rPr>
                <w:rFonts w:hint="eastAsia" w:ascii="宋体" w:hAnsi="宋体" w:eastAsia="宋体" w:cs="宋体"/>
                <w:sz w:val="21"/>
                <w:szCs w:val="21"/>
              </w:rPr>
              <w:t>外形尺寸：</w:t>
            </w:r>
            <w:r>
              <w:rPr>
                <w:rFonts w:hint="default" w:ascii="Arial" w:hAnsi="Arial" w:eastAsia="宋体" w:cs="Arial"/>
                <w:sz w:val="21"/>
                <w:szCs w:val="21"/>
              </w:rPr>
              <w:t>≤</w:t>
            </w:r>
            <w:r>
              <w:rPr>
                <w:rFonts w:hint="eastAsia" w:ascii="宋体" w:hAnsi="宋体" w:eastAsia="宋体" w:cs="宋体"/>
                <w:sz w:val="21"/>
                <w:szCs w:val="21"/>
              </w:rPr>
              <w:t>220x68x27（mm）</w:t>
            </w:r>
            <w:r>
              <w:rPr>
                <w:rFonts w:hint="eastAsia" w:ascii="宋体" w:hAnsi="宋体" w:cs="宋体"/>
                <w:sz w:val="21"/>
                <w:szCs w:val="21"/>
                <w:lang w:eastAsia="zh-CN"/>
              </w:rPr>
              <w:t>；</w:t>
            </w:r>
          </w:p>
          <w:p>
            <w:pPr>
              <w:pageBreakBefore w:val="0"/>
              <w:kinsoku/>
              <w:overflowPunct/>
              <w:topLinePunct w:val="0"/>
              <w:autoSpaceDE/>
              <w:autoSpaceDN/>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1.13</w:t>
            </w:r>
            <w:r>
              <w:rPr>
                <w:rFonts w:hint="eastAsia" w:ascii="宋体" w:hAnsi="宋体" w:eastAsia="宋体" w:cs="宋体"/>
                <w:sz w:val="21"/>
                <w:szCs w:val="21"/>
              </w:rPr>
              <w:t>使用条件：气温：-20℃~+60℃</w:t>
            </w:r>
            <w:r>
              <w:rPr>
                <w:rFonts w:hint="eastAsia" w:ascii="宋体" w:hAnsi="宋体" w:cs="宋体"/>
                <w:sz w:val="21"/>
                <w:szCs w:val="21"/>
                <w:lang w:eastAsia="zh-CN"/>
              </w:rPr>
              <w:t>。</w:t>
            </w:r>
          </w:p>
          <w:p>
            <w:pPr>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2、仪器</w:t>
            </w:r>
            <w:r>
              <w:rPr>
                <w:rFonts w:hint="eastAsia" w:ascii="宋体" w:hAnsi="宋体" w:eastAsia="宋体" w:cs="宋体"/>
                <w:sz w:val="21"/>
                <w:szCs w:val="21"/>
              </w:rPr>
              <w:t>配置：</w:t>
            </w:r>
          </w:p>
          <w:p>
            <w:pPr>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主机</w:t>
            </w:r>
            <w:r>
              <w:rPr>
                <w:rFonts w:hint="eastAsia" w:ascii="宋体" w:hAnsi="宋体" w:eastAsia="宋体" w:cs="宋体"/>
                <w:sz w:val="21"/>
                <w:szCs w:val="21"/>
                <w:lang w:val="en-US" w:eastAsia="zh-CN"/>
              </w:rPr>
              <w:t>1台，</w:t>
            </w:r>
            <w:r>
              <w:rPr>
                <w:rFonts w:hint="eastAsia" w:ascii="宋体" w:hAnsi="宋体" w:eastAsia="宋体" w:cs="宋体"/>
                <w:sz w:val="21"/>
                <w:szCs w:val="21"/>
                <w:lang w:eastAsia="zh-CN"/>
              </w:rPr>
              <w:t>随机附件</w:t>
            </w:r>
            <w:r>
              <w:rPr>
                <w:rFonts w:hint="eastAsia" w:ascii="宋体" w:hAnsi="宋体" w:eastAsia="宋体" w:cs="宋体"/>
                <w:sz w:val="21"/>
                <w:szCs w:val="21"/>
                <w:lang w:val="en-US" w:eastAsia="zh-CN"/>
              </w:rPr>
              <w:t>1份，</w:t>
            </w:r>
            <w:r>
              <w:rPr>
                <w:rFonts w:hint="eastAsia" w:ascii="宋体" w:hAnsi="宋体" w:eastAsia="宋体" w:cs="宋体"/>
                <w:sz w:val="21"/>
                <w:szCs w:val="21"/>
              </w:rPr>
              <w:t>第三方</w:t>
            </w:r>
            <w:r>
              <w:rPr>
                <w:rFonts w:hint="eastAsia" w:ascii="宋体" w:hAnsi="宋体" w:eastAsia="宋体" w:cs="宋体"/>
                <w:sz w:val="21"/>
                <w:szCs w:val="21"/>
                <w:lang w:eastAsia="zh-CN"/>
              </w:rPr>
              <w:t>计量证书</w:t>
            </w:r>
            <w:r>
              <w:rPr>
                <w:rFonts w:hint="eastAsia" w:ascii="宋体" w:hAnsi="宋体" w:eastAsia="宋体" w:cs="宋体"/>
                <w:sz w:val="21"/>
                <w:szCs w:val="21"/>
                <w:lang w:val="en-US" w:eastAsia="zh-CN"/>
              </w:rPr>
              <w:t>1份</w:t>
            </w:r>
            <w:r>
              <w:rPr>
                <w:rFonts w:hint="eastAsia" w:ascii="宋体" w:hAnsi="宋体" w:eastAsia="宋体" w:cs="宋体"/>
                <w:sz w:val="21"/>
                <w:szCs w:val="21"/>
              </w:rPr>
              <w:t>。</w:t>
            </w:r>
          </w:p>
          <w:p>
            <w:pPr>
              <w:pageBreakBefore w:val="0"/>
              <w:kinsoku/>
              <w:overflowPunct/>
              <w:topLinePunct w:val="0"/>
              <w:autoSpaceDE/>
              <w:autoSpaceDN/>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其他要求：</w:t>
            </w:r>
          </w:p>
          <w:p>
            <w:pPr>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lang w:eastAsia="zh-CN"/>
              </w:rPr>
              <w:t>培训方案：</w:t>
            </w:r>
            <w:r>
              <w:rPr>
                <w:rFonts w:hint="eastAsia" w:ascii="宋体" w:hAnsi="宋体" w:eastAsia="宋体" w:cs="宋体"/>
                <w:sz w:val="21"/>
                <w:szCs w:val="21"/>
                <w:lang w:val="en-US" w:eastAsia="zh-CN"/>
              </w:rPr>
              <w:t>厂家免费上门安排培训。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126"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kern w:val="0"/>
                <w:sz w:val="21"/>
                <w:szCs w:val="21"/>
                <w:lang w:eastAsia="zh-CN"/>
              </w:rPr>
              <w:t>检定</w:t>
            </w:r>
            <w:r>
              <w:rPr>
                <w:rFonts w:hint="eastAsia" w:ascii="宋体" w:hAnsi="宋体" w:eastAsia="宋体" w:cs="宋体"/>
                <w:snapToGrid w:val="0"/>
                <w:kern w:val="0"/>
                <w:sz w:val="21"/>
                <w:szCs w:val="21"/>
              </w:rPr>
              <w:t>证书。</w:t>
            </w:r>
          </w:p>
        </w:tc>
      </w:tr>
    </w:tbl>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br w:type="page"/>
      </w:r>
    </w:p>
    <w:tbl>
      <w:tblPr>
        <w:tblStyle w:val="37"/>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接地电阻测试</w:t>
            </w:r>
            <w:r>
              <w:rPr>
                <w:rFonts w:hint="eastAsia" w:ascii="宋体" w:hAnsi="宋体" w:eastAsia="宋体" w:cs="宋体"/>
                <w:bCs/>
                <w:sz w:val="21"/>
                <w:szCs w:val="21"/>
                <w:highlight w:val="none"/>
              </w:rPr>
              <w:t>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用于仪器设备的接地电阻检测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2"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8126" w:type="dxa"/>
            <w:tcBorders>
              <w:top w:val="single" w:color="auto" w:sz="4" w:space="0"/>
              <w:left w:val="single" w:color="auto" w:sz="4" w:space="0"/>
              <w:bottom w:val="single" w:color="auto" w:sz="4" w:space="0"/>
              <w:right w:val="single" w:color="auto" w:sz="4" w:space="0"/>
            </w:tcBorders>
            <w:noWrap/>
          </w:tcPr>
          <w:p>
            <w:pPr>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一、设备技术参数：</w:t>
            </w:r>
          </w:p>
          <w:p>
            <w:pPr>
              <w:pStyle w:val="90"/>
              <w:pageBreakBefore w:val="0"/>
              <w:numPr>
                <w:ilvl w:val="0"/>
                <w:numId w:val="19"/>
              </w:numPr>
              <w:kinsoku/>
              <w:overflowPunct/>
              <w:topLinePunct w:val="0"/>
              <w:autoSpaceDE/>
              <w:autoSpaceDN/>
              <w:bidi w:val="0"/>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可精确检测接地电阻、土壤电阻率、接地电压、直流电阻和交流电流。</w:t>
            </w:r>
          </w:p>
          <w:p>
            <w:pPr>
              <w:pStyle w:val="90"/>
              <w:pageBreakBefore w:val="0"/>
              <w:numPr>
                <w:ilvl w:val="0"/>
                <w:numId w:val="19"/>
              </w:numPr>
              <w:kinsoku/>
              <w:overflowPunct/>
              <w:topLinePunct w:val="0"/>
              <w:autoSpaceDE/>
              <w:autoSpaceDN/>
              <w:bidi w:val="0"/>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同屏显示辅助电极的电阻值，方便判断由于环境因素带来的测量误差，便于更准确测量接地电阻真实阻值。</w:t>
            </w:r>
          </w:p>
          <w:p>
            <w:pPr>
              <w:pStyle w:val="90"/>
              <w:pageBreakBefore w:val="0"/>
              <w:numPr>
                <w:ilvl w:val="0"/>
                <w:numId w:val="19"/>
              </w:numPr>
              <w:kinsoku/>
              <w:overflowPunct/>
              <w:topLinePunct w:val="0"/>
              <w:autoSpaceDE/>
              <w:autoSpaceDN/>
              <w:bidi w:val="0"/>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大口径电流钳设计，可测量单点和网状接地等复杂接地情况的任意接地电阻值。</w:t>
            </w:r>
          </w:p>
          <w:p>
            <w:pPr>
              <w:pStyle w:val="90"/>
              <w:pageBreakBefore w:val="0"/>
              <w:numPr>
                <w:ilvl w:val="0"/>
                <w:numId w:val="19"/>
              </w:numPr>
              <w:kinsoku/>
              <w:overflowPunct/>
              <w:topLinePunct w:val="0"/>
              <w:autoSpaceDE/>
              <w:autoSpaceDN/>
              <w:bidi w:val="0"/>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精密4线法、3线法和简易2线法、选择法、双钳法测量。</w:t>
            </w:r>
          </w:p>
          <w:p>
            <w:pPr>
              <w:pStyle w:val="90"/>
              <w:pageBreakBefore w:val="0"/>
              <w:numPr>
                <w:ilvl w:val="0"/>
                <w:numId w:val="19"/>
              </w:numPr>
              <w:kinsoku/>
              <w:overflowPunct/>
              <w:topLinePunct w:val="0"/>
              <w:autoSpaceDE/>
              <w:autoSpaceDN/>
              <w:bidi w:val="0"/>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快速滤波技术，具有优秀的抗干扰能力和环境适应能力，重复测试一致性强，确保测量的精确度、稳定性和可靠性。</w:t>
            </w:r>
          </w:p>
          <w:p>
            <w:pPr>
              <w:pStyle w:val="90"/>
              <w:pageBreakBefore w:val="0"/>
              <w:numPr>
                <w:ilvl w:val="0"/>
                <w:numId w:val="19"/>
              </w:numPr>
              <w:kinsoku/>
              <w:overflowPunct/>
              <w:topLinePunct w:val="0"/>
              <w:autoSpaceDE/>
              <w:autoSpaceDN/>
              <w:bidi w:val="0"/>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数据存储功能，可进行500组数据存储。</w:t>
            </w:r>
          </w:p>
          <w:p>
            <w:pPr>
              <w:pStyle w:val="90"/>
              <w:pageBreakBefore w:val="0"/>
              <w:numPr>
                <w:ilvl w:val="0"/>
                <w:numId w:val="19"/>
              </w:numPr>
              <w:kinsoku/>
              <w:overflowPunct/>
              <w:topLinePunct w:val="0"/>
              <w:autoSpaceDE/>
              <w:autoSpaceDN/>
              <w:bidi w:val="0"/>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通过USB数据线上传到PC进行显示分析，输出测试报表。</w:t>
            </w:r>
          </w:p>
          <w:p>
            <w:pPr>
              <w:pStyle w:val="90"/>
              <w:pageBreakBefore w:val="0"/>
              <w:numPr>
                <w:ilvl w:val="0"/>
                <w:numId w:val="19"/>
              </w:numPr>
              <w:kinsoku/>
              <w:overflowPunct/>
              <w:topLinePunct w:val="0"/>
              <w:autoSpaceDE/>
              <w:autoSpaceDN/>
              <w:bidi w:val="0"/>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接地电阻（AC）测量范围：0.00Ω~30.00KΩ</w:t>
            </w:r>
            <w:r>
              <w:rPr>
                <w:rFonts w:hint="eastAsia" w:ascii="宋体" w:hAnsi="宋体" w:cs="宋体"/>
                <w:sz w:val="21"/>
                <w:szCs w:val="21"/>
                <w:lang w:eastAsia="zh-CN"/>
              </w:rPr>
              <w:t>。</w:t>
            </w:r>
          </w:p>
          <w:p>
            <w:pPr>
              <w:pStyle w:val="90"/>
              <w:pageBreakBefore w:val="0"/>
              <w:numPr>
                <w:ilvl w:val="0"/>
                <w:numId w:val="19"/>
              </w:numPr>
              <w:kinsoku/>
              <w:overflowPunct/>
              <w:topLinePunct w:val="0"/>
              <w:autoSpaceDE/>
              <w:autoSpaceDN/>
              <w:bidi w:val="0"/>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测量方式:精密4线、三线法、简易二线、选择法、双钳法测量接地电阻</w:t>
            </w:r>
          </w:p>
          <w:p>
            <w:pPr>
              <w:pStyle w:val="90"/>
              <w:pageBreakBefore w:val="0"/>
              <w:kinsoku/>
              <w:overflowPunct/>
              <w:topLinePunct w:val="0"/>
              <w:autoSpaceDE/>
              <w:autoSpaceDN/>
              <w:bidi w:val="0"/>
              <w:spacing w:line="240" w:lineRule="auto"/>
              <w:ind w:left="360" w:firstLine="0" w:firstLineChars="0"/>
              <w:rPr>
                <w:rFonts w:hint="eastAsia" w:ascii="宋体" w:hAnsi="宋体" w:eastAsia="宋体" w:cs="宋体"/>
                <w:sz w:val="21"/>
                <w:szCs w:val="21"/>
                <w:lang w:eastAsia="zh-CN"/>
              </w:rPr>
            </w:pPr>
            <w:r>
              <w:rPr>
                <w:rFonts w:hint="eastAsia" w:ascii="宋体" w:hAnsi="宋体" w:eastAsia="宋体" w:cs="宋体"/>
                <w:sz w:val="21"/>
                <w:szCs w:val="21"/>
              </w:rPr>
              <w:t>数据传输方式：USB数据传输</w:t>
            </w:r>
            <w:r>
              <w:rPr>
                <w:rFonts w:hint="eastAsia" w:ascii="宋体" w:hAnsi="宋体" w:cs="宋体"/>
                <w:sz w:val="21"/>
                <w:szCs w:val="21"/>
                <w:lang w:eastAsia="zh-CN"/>
              </w:rPr>
              <w:t>。</w:t>
            </w:r>
          </w:p>
          <w:p>
            <w:pPr>
              <w:pageBreakBefore w:val="0"/>
              <w:numPr>
                <w:ilvl w:val="0"/>
                <w:numId w:val="0"/>
              </w:numPr>
              <w:kinsoku/>
              <w:overflowPunct/>
              <w:topLinePunct w:val="0"/>
              <w:autoSpaceDE/>
              <w:autoSpaceDN/>
              <w:bidi w:val="0"/>
              <w:spacing w:line="240" w:lineRule="auto"/>
              <w:ind w:leftChars="0"/>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产品配置：</w:t>
            </w:r>
          </w:p>
          <w:p>
            <w:pPr>
              <w:pageBreakBefore w:val="0"/>
              <w:numPr>
                <w:ilvl w:val="0"/>
                <w:numId w:val="0"/>
              </w:numPr>
              <w:kinsoku/>
              <w:overflowPunct/>
              <w:topLinePunct w:val="0"/>
              <w:autoSpaceDE/>
              <w:autoSpaceDN/>
              <w:bidi w:val="0"/>
              <w:spacing w:line="240" w:lineRule="auto"/>
              <w:ind w:leftChars="0"/>
              <w:rPr>
                <w:rFonts w:hint="eastAsia" w:ascii="宋体" w:hAnsi="宋体" w:eastAsia="宋体" w:cs="宋体"/>
                <w:sz w:val="21"/>
                <w:szCs w:val="21"/>
              </w:rPr>
            </w:pPr>
            <w:r>
              <w:rPr>
                <w:rFonts w:hint="eastAsia" w:ascii="宋体" w:hAnsi="宋体" w:eastAsia="宋体" w:cs="宋体"/>
                <w:sz w:val="21"/>
                <w:szCs w:val="21"/>
              </w:rPr>
              <w:t>主机1台；相关配件1套；操作手册及出厂合格证1套；计量报告1份。</w:t>
            </w:r>
          </w:p>
          <w:p>
            <w:pPr>
              <w:pageBreakBefore w:val="0"/>
              <w:numPr>
                <w:ilvl w:val="0"/>
                <w:numId w:val="0"/>
              </w:numPr>
              <w:kinsoku/>
              <w:overflowPunct/>
              <w:topLinePunct w:val="0"/>
              <w:autoSpaceDE/>
              <w:autoSpaceDN/>
              <w:bidi w:val="0"/>
              <w:spacing w:line="240" w:lineRule="auto"/>
              <w:ind w:leftChars="0"/>
              <w:rPr>
                <w:rFonts w:hint="eastAsia" w:ascii="宋体" w:hAnsi="宋体" w:eastAsia="宋体" w:cs="宋体"/>
                <w:sz w:val="21"/>
                <w:szCs w:val="21"/>
                <w:lang w:eastAsia="zh-CN"/>
              </w:rPr>
            </w:pPr>
            <w:r>
              <w:rPr>
                <w:rFonts w:hint="eastAsia" w:ascii="宋体" w:hAnsi="宋体" w:eastAsia="宋体" w:cs="宋体"/>
                <w:sz w:val="21"/>
                <w:szCs w:val="21"/>
                <w:lang w:eastAsia="zh-CN"/>
              </w:rPr>
              <w:t>三、其他要求：</w:t>
            </w:r>
          </w:p>
          <w:p>
            <w:pPr>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highlight w:val="none"/>
                <w:lang w:eastAsia="zh-CN"/>
              </w:rPr>
              <w:t>培训方案：</w:t>
            </w:r>
            <w:r>
              <w:rPr>
                <w:rFonts w:hint="eastAsia" w:ascii="宋体" w:hAnsi="宋体" w:eastAsia="宋体" w:cs="宋体"/>
                <w:sz w:val="21"/>
                <w:szCs w:val="21"/>
                <w:highlight w:val="none"/>
                <w:lang w:val="en-US" w:eastAsia="zh-CN"/>
              </w:rPr>
              <w:t>厂家免费上门安排培训。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126"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rPr>
          <w:rFonts w:hint="eastAsia"/>
        </w:rPr>
      </w:pPr>
      <w:r>
        <w:rPr>
          <w:rFonts w:hint="eastAsia" w:ascii="宋体" w:hAnsi="宋体" w:eastAsia="宋体" w:cs="宋体"/>
          <w:sz w:val="21"/>
          <w:szCs w:val="21"/>
        </w:rPr>
        <w:br w:type="page"/>
      </w:r>
    </w:p>
    <w:tbl>
      <w:tblPr>
        <w:tblStyle w:val="37"/>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bCs/>
                <w:sz w:val="21"/>
                <w:szCs w:val="21"/>
                <w:lang w:val="en-US" w:eastAsia="zh-CN"/>
              </w:rPr>
              <w:t>5、</w:t>
            </w:r>
            <w:r>
              <w:rPr>
                <w:rFonts w:hint="eastAsia" w:ascii="宋体" w:hAnsi="宋体" w:eastAsia="宋体" w:cs="宋体"/>
                <w:bCs/>
                <w:sz w:val="21"/>
                <w:szCs w:val="21"/>
              </w:rPr>
              <w:t>绝缘电阻</w:t>
            </w:r>
            <w:r>
              <w:rPr>
                <w:rFonts w:hint="eastAsia" w:ascii="宋体" w:hAnsi="宋体" w:eastAsia="宋体" w:cs="宋体"/>
                <w:bCs/>
                <w:sz w:val="21"/>
                <w:szCs w:val="21"/>
                <w:highlight w:val="none"/>
              </w:rPr>
              <w:t>测试仪</w:t>
            </w:r>
            <w:r>
              <w:rPr>
                <w:rFonts w:hint="eastAsia" w:ascii="宋体" w:hAnsi="宋体" w:eastAsia="宋体" w:cs="宋体"/>
                <w:bCs/>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用于</w:t>
            </w:r>
            <w:r>
              <w:rPr>
                <w:rFonts w:hint="eastAsia" w:ascii="宋体" w:hAnsi="宋体" w:eastAsia="宋体" w:cs="宋体"/>
                <w:sz w:val="21"/>
                <w:szCs w:val="21"/>
                <w:lang w:eastAsia="zh-CN"/>
              </w:rPr>
              <w:t>日常检验过程中</w:t>
            </w:r>
            <w:r>
              <w:rPr>
                <w:rFonts w:hint="eastAsia" w:ascii="宋体" w:hAnsi="宋体" w:eastAsia="宋体" w:cs="宋体"/>
                <w:sz w:val="21"/>
                <w:szCs w:val="21"/>
              </w:rPr>
              <w:t>绝缘电阻的检测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8126" w:type="dxa"/>
            <w:tcBorders>
              <w:top w:val="single" w:color="auto" w:sz="4" w:space="0"/>
              <w:left w:val="single" w:color="auto" w:sz="4" w:space="0"/>
              <w:bottom w:val="single" w:color="auto" w:sz="4" w:space="0"/>
              <w:right w:val="single" w:color="auto" w:sz="4" w:space="0"/>
            </w:tcBorders>
            <w:noWrap/>
          </w:tcPr>
          <w:p>
            <w:pPr>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一、设备技术参数：</w:t>
            </w:r>
          </w:p>
          <w:p>
            <w:pPr>
              <w:pStyle w:val="90"/>
              <w:pageBreakBefore w:val="0"/>
              <w:numPr>
                <w:ilvl w:val="0"/>
                <w:numId w:val="20"/>
              </w:numPr>
              <w:kinsoku/>
              <w:overflowPunct/>
              <w:topLinePunct w:val="0"/>
              <w:autoSpaceDE/>
              <w:autoSpaceDN/>
              <w:bidi w:val="0"/>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具有LCD大屏背光显示、数据存储、数据查阅、报警、自动关机等功能。</w:t>
            </w:r>
          </w:p>
          <w:p>
            <w:pPr>
              <w:pStyle w:val="90"/>
              <w:pageBreakBefore w:val="0"/>
              <w:numPr>
                <w:ilvl w:val="0"/>
                <w:numId w:val="20"/>
              </w:numPr>
              <w:kinsoku/>
              <w:overflowPunct/>
              <w:topLinePunct w:val="0"/>
              <w:autoSpaceDE/>
              <w:autoSpaceDN/>
              <w:bidi w:val="0"/>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具备测量交直流电压吸收比和极化指数功能。</w:t>
            </w:r>
          </w:p>
          <w:p>
            <w:pPr>
              <w:pStyle w:val="90"/>
              <w:pageBreakBefore w:val="0"/>
              <w:numPr>
                <w:ilvl w:val="0"/>
                <w:numId w:val="20"/>
              </w:numPr>
              <w:kinsoku/>
              <w:overflowPunct/>
              <w:topLinePunct w:val="0"/>
              <w:autoSpaceDE/>
              <w:autoSpaceDN/>
              <w:bidi w:val="0"/>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具有防震、防尘、防潮结构，是电信、电力、气象、机房、油田、机电安装和维修以及利用电力作为工业动力或能源的工业企业部门必不可少的测量仪表。</w:t>
            </w:r>
          </w:p>
          <w:p>
            <w:pPr>
              <w:pStyle w:val="90"/>
              <w:pageBreakBefore w:val="0"/>
              <w:numPr>
                <w:ilvl w:val="0"/>
                <w:numId w:val="20"/>
              </w:numPr>
              <w:kinsoku/>
              <w:overflowPunct/>
              <w:topLinePunct w:val="0"/>
              <w:autoSpaceDE/>
              <w:autoSpaceDN/>
              <w:bidi w:val="0"/>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仪器特点</w:t>
            </w:r>
            <w:r>
              <w:rPr>
                <w:rFonts w:hint="eastAsia" w:ascii="宋体" w:hAnsi="宋体" w:cs="宋体"/>
                <w:sz w:val="21"/>
                <w:szCs w:val="21"/>
                <w:lang w:eastAsia="zh-CN"/>
              </w:rPr>
              <w:t>：</w:t>
            </w:r>
          </w:p>
          <w:p>
            <w:pPr>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支持0.01MΩ~1000GΩ的绝缘测试；</w:t>
            </w:r>
          </w:p>
          <w:p>
            <w:pPr>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集成6个电压等级，250V、500V、1000V、2500V、5000V、10kV；</w:t>
            </w:r>
          </w:p>
          <w:p>
            <w:pPr>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具有常规交直流电压测量功能；</w:t>
            </w:r>
          </w:p>
          <w:p>
            <w:pPr>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500组数据存储，并可通过USB与上位机连接；</w:t>
            </w:r>
          </w:p>
          <w:p>
            <w:pPr>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专业高效，一键测试极化指数与介质吸收比；</w:t>
            </w:r>
          </w:p>
          <w:p>
            <w:pPr>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LCD背光大屏显示，保证用户在暗处作业的效率；</w:t>
            </w:r>
          </w:p>
          <w:p>
            <w:pPr>
              <w:pStyle w:val="90"/>
              <w:pageBreakBefore w:val="0"/>
              <w:numPr>
                <w:ilvl w:val="0"/>
                <w:numId w:val="20"/>
              </w:numPr>
              <w:kinsoku/>
              <w:overflowPunct/>
              <w:topLinePunct w:val="0"/>
              <w:autoSpaceDE/>
              <w:autoSpaceDN/>
              <w:bidi w:val="0"/>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电压输出：250V、500V、1000V、2500V、5000V、10kV</w:t>
            </w:r>
            <w:r>
              <w:rPr>
                <w:rFonts w:hint="eastAsia" w:ascii="宋体" w:hAnsi="宋体" w:cs="宋体"/>
                <w:sz w:val="21"/>
                <w:szCs w:val="21"/>
                <w:lang w:eastAsia="zh-CN"/>
              </w:rPr>
              <w:t>。</w:t>
            </w:r>
          </w:p>
          <w:p>
            <w:pPr>
              <w:pStyle w:val="90"/>
              <w:pageBreakBefore w:val="0"/>
              <w:numPr>
                <w:ilvl w:val="0"/>
                <w:numId w:val="20"/>
              </w:numPr>
              <w:kinsoku/>
              <w:overflowPunct/>
              <w:topLinePunct w:val="0"/>
              <w:autoSpaceDE/>
              <w:autoSpaceDN/>
              <w:bidi w:val="0"/>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绝缘电阻测量范围：0.01MΩ~1000GΩ</w:t>
            </w:r>
            <w:r>
              <w:rPr>
                <w:rFonts w:hint="eastAsia" w:ascii="宋体" w:hAnsi="宋体" w:cs="宋体"/>
                <w:sz w:val="21"/>
                <w:szCs w:val="21"/>
                <w:lang w:eastAsia="zh-CN"/>
              </w:rPr>
              <w:t>。</w:t>
            </w:r>
          </w:p>
          <w:p>
            <w:pPr>
              <w:pStyle w:val="90"/>
              <w:pageBreakBefore w:val="0"/>
              <w:numPr>
                <w:ilvl w:val="0"/>
                <w:numId w:val="20"/>
              </w:numPr>
              <w:kinsoku/>
              <w:overflowPunct/>
              <w:topLinePunct w:val="0"/>
              <w:autoSpaceDE/>
              <w:autoSpaceDN/>
              <w:bidi w:val="0"/>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交/直流电压测量范围：DC 0.0V~1000V /AC 0.0V~750V</w:t>
            </w:r>
            <w:r>
              <w:rPr>
                <w:rFonts w:hint="eastAsia" w:ascii="宋体" w:hAnsi="宋体" w:cs="宋体"/>
                <w:sz w:val="21"/>
                <w:szCs w:val="21"/>
                <w:lang w:eastAsia="zh-CN"/>
              </w:rPr>
              <w:t>。</w:t>
            </w:r>
          </w:p>
          <w:p>
            <w:pPr>
              <w:pStyle w:val="90"/>
              <w:pageBreakBefore w:val="0"/>
              <w:numPr>
                <w:ilvl w:val="0"/>
                <w:numId w:val="20"/>
              </w:numPr>
              <w:kinsoku/>
              <w:overflowPunct/>
              <w:topLinePunct w:val="0"/>
              <w:autoSpaceDE/>
              <w:autoSpaceDN/>
              <w:bidi w:val="0"/>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数据存储：500</w:t>
            </w:r>
            <w:r>
              <w:rPr>
                <w:rFonts w:hint="eastAsia" w:ascii="宋体" w:hAnsi="宋体" w:cs="宋体"/>
                <w:sz w:val="21"/>
                <w:szCs w:val="21"/>
                <w:lang w:eastAsia="zh-CN"/>
              </w:rPr>
              <w:t>。</w:t>
            </w:r>
          </w:p>
          <w:p>
            <w:pPr>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二、</w:t>
            </w:r>
            <w:r>
              <w:rPr>
                <w:rFonts w:hint="eastAsia" w:ascii="宋体" w:hAnsi="宋体" w:eastAsia="宋体" w:cs="宋体"/>
                <w:sz w:val="21"/>
                <w:szCs w:val="21"/>
              </w:rPr>
              <w:t>产品配置：</w:t>
            </w:r>
          </w:p>
          <w:p>
            <w:pPr>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主机1台；相关配件1套；操作手册及出厂合格证1套；计量报告1份。</w:t>
            </w:r>
          </w:p>
          <w:p>
            <w:pPr>
              <w:pageBreakBefore w:val="0"/>
              <w:kinsoku/>
              <w:overflowPunct/>
              <w:topLinePunct w:val="0"/>
              <w:autoSpaceDE/>
              <w:autoSpaceDN/>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其他要求：</w:t>
            </w:r>
          </w:p>
          <w:p>
            <w:pPr>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lang w:eastAsia="zh-CN"/>
              </w:rPr>
              <w:t>培训方案：</w:t>
            </w:r>
            <w:r>
              <w:rPr>
                <w:rFonts w:hint="eastAsia" w:ascii="宋体" w:hAnsi="宋体" w:eastAsia="宋体" w:cs="宋体"/>
                <w:sz w:val="21"/>
                <w:szCs w:val="21"/>
                <w:lang w:val="en-US" w:eastAsia="zh-CN"/>
              </w:rPr>
              <w:t>厂家免费上门安排培训。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126"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rPr>
          <w:rFonts w:hint="eastAsia"/>
        </w:rPr>
      </w:pPr>
      <w:r>
        <w:rPr>
          <w:rFonts w:hint="eastAsia" w:ascii="宋体" w:hAnsi="宋体" w:eastAsia="宋体" w:cs="宋体"/>
          <w:sz w:val="21"/>
          <w:szCs w:val="21"/>
        </w:rPr>
        <w:br w:type="page"/>
      </w:r>
    </w:p>
    <w:tbl>
      <w:tblPr>
        <w:tblStyle w:val="37"/>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bCs/>
                <w:sz w:val="21"/>
                <w:szCs w:val="21"/>
                <w:lang w:val="en-US" w:eastAsia="zh-CN"/>
              </w:rPr>
              <w:t>6、</w:t>
            </w:r>
            <w:r>
              <w:rPr>
                <w:rFonts w:hint="eastAsia" w:ascii="宋体" w:hAnsi="宋体" w:eastAsia="宋体" w:cs="宋体"/>
                <w:bCs/>
                <w:sz w:val="21"/>
                <w:szCs w:val="21"/>
              </w:rPr>
              <w:t>综合气象仪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起重机现场检验环境的确认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4"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8126" w:type="dxa"/>
            <w:tcBorders>
              <w:top w:val="single" w:color="auto" w:sz="4" w:space="0"/>
              <w:left w:val="single" w:color="auto" w:sz="4" w:space="0"/>
              <w:bottom w:val="single" w:color="auto" w:sz="4" w:space="0"/>
              <w:right w:val="single" w:color="auto" w:sz="4" w:space="0"/>
            </w:tcBorders>
            <w:noWra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设备技术参数：</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风速技术指标</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测量范围：0～30m/s</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rPr>
              <w:t>起动风速：0.8m/s</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rPr>
              <w:t>测量精度：±（0.3+0.03v）m/s（v指示风速）</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风速参数：瞬时风速、平均风速、瞬时风级、平均风级、及其对应浪高</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1.5</w:t>
            </w:r>
            <w:r>
              <w:rPr>
                <w:rFonts w:hint="eastAsia" w:ascii="宋体" w:hAnsi="宋体" w:eastAsia="宋体" w:cs="宋体"/>
                <w:sz w:val="21"/>
                <w:szCs w:val="21"/>
              </w:rPr>
              <w:t>显示分辨率：0.1m/s（风速）1级（风级）0.1m（浪高）</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风向技术指标</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2.1</w:t>
            </w:r>
            <w:r>
              <w:rPr>
                <w:rFonts w:hint="eastAsia" w:ascii="宋体" w:hAnsi="宋体" w:eastAsia="宋体" w:cs="宋体"/>
                <w:sz w:val="21"/>
                <w:szCs w:val="21"/>
              </w:rPr>
              <w:t>测量范围：0～360°，16个方位</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2.2</w:t>
            </w:r>
            <w:r>
              <w:rPr>
                <w:rFonts w:hint="eastAsia" w:ascii="宋体" w:hAnsi="宋体" w:eastAsia="宋体" w:cs="宋体"/>
                <w:sz w:val="21"/>
                <w:szCs w:val="21"/>
              </w:rPr>
              <w:t>起动风速：1.0m/s</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2.3</w:t>
            </w:r>
            <w:r>
              <w:rPr>
                <w:rFonts w:hint="eastAsia" w:ascii="宋体" w:hAnsi="宋体" w:eastAsia="宋体" w:cs="宋体"/>
                <w:sz w:val="21"/>
                <w:szCs w:val="21"/>
              </w:rPr>
              <w:t>测量精度：±1/2方位</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2.4</w:t>
            </w:r>
            <w:r>
              <w:rPr>
                <w:rFonts w:hint="eastAsia" w:ascii="宋体" w:hAnsi="宋体" w:eastAsia="宋体" w:cs="宋体"/>
                <w:sz w:val="21"/>
                <w:szCs w:val="21"/>
              </w:rPr>
              <w:t>风向定北：自动</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数字温湿表参数：</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3.1</w:t>
            </w:r>
            <w:r>
              <w:rPr>
                <w:rFonts w:hint="eastAsia" w:ascii="宋体" w:hAnsi="宋体" w:eastAsia="宋体" w:cs="宋体"/>
                <w:sz w:val="21"/>
                <w:szCs w:val="21"/>
              </w:rPr>
              <w:t>温度测量范围：-30°C～+50°C</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3.2</w:t>
            </w:r>
            <w:r>
              <w:rPr>
                <w:rFonts w:hint="eastAsia" w:ascii="宋体" w:hAnsi="宋体" w:eastAsia="宋体" w:cs="宋体"/>
                <w:sz w:val="21"/>
                <w:szCs w:val="21"/>
              </w:rPr>
              <w:t>温度测量精度：±0.5°C（-10°C～+50°C）；±1°C（-30°C～-10°C）</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3.3</w:t>
            </w:r>
            <w:r>
              <w:rPr>
                <w:rFonts w:hint="eastAsia" w:ascii="宋体" w:hAnsi="宋体" w:eastAsia="宋体" w:cs="宋体"/>
                <w:sz w:val="21"/>
                <w:szCs w:val="21"/>
              </w:rPr>
              <w:t>湿度测量范围：（0～95）%RH</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3.4</w:t>
            </w:r>
            <w:r>
              <w:rPr>
                <w:rFonts w:hint="eastAsia" w:ascii="宋体" w:hAnsi="宋体" w:eastAsia="宋体" w:cs="宋体"/>
                <w:sz w:val="21"/>
                <w:szCs w:val="21"/>
              </w:rPr>
              <w:t>湿度测量精度：±3%RH [(30～90)%RH 23°C±2°C]</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数字式气压表参数：</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4.1</w:t>
            </w:r>
            <w:r>
              <w:rPr>
                <w:rFonts w:hint="eastAsia" w:ascii="宋体" w:hAnsi="宋体" w:eastAsia="宋体" w:cs="宋体"/>
                <w:sz w:val="21"/>
                <w:szCs w:val="21"/>
              </w:rPr>
              <w:t>气压测量范围：1070.0hPa～500.0hPa</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4.2</w:t>
            </w:r>
            <w:r>
              <w:rPr>
                <w:rFonts w:hint="eastAsia" w:ascii="宋体" w:hAnsi="宋体" w:eastAsia="宋体" w:cs="宋体"/>
                <w:sz w:val="21"/>
                <w:szCs w:val="21"/>
              </w:rPr>
              <w:t>气压测量分辨率：0.1 hPa</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4.3</w:t>
            </w:r>
            <w:r>
              <w:rPr>
                <w:rFonts w:hint="eastAsia" w:ascii="宋体" w:hAnsi="宋体" w:eastAsia="宋体" w:cs="宋体"/>
                <w:sz w:val="21"/>
                <w:szCs w:val="21"/>
              </w:rPr>
              <w:t>气压测量精度：±1hPa</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4.4</w:t>
            </w:r>
            <w:r>
              <w:rPr>
                <w:rFonts w:hint="eastAsia" w:ascii="宋体" w:hAnsi="宋体" w:eastAsia="宋体" w:cs="宋体"/>
                <w:sz w:val="21"/>
                <w:szCs w:val="21"/>
              </w:rPr>
              <w:t>使用环境：温度： -15℃～+50℃ 湿度：＜90﹪RH</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4.5</w:t>
            </w:r>
            <w:r>
              <w:rPr>
                <w:rFonts w:hint="eastAsia" w:ascii="宋体" w:hAnsi="宋体" w:eastAsia="宋体" w:cs="宋体"/>
                <w:sz w:val="21"/>
                <w:szCs w:val="21"/>
              </w:rPr>
              <w:t>仪器供电：电压：5.0V～3.3VDC（5号1.5V干电池或5V稳压直流电源）</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4.6耗电：＜7mA（投电状态）；＜2uA（断电状态）</w:t>
            </w:r>
            <w:r>
              <w:rPr>
                <w:rFonts w:hint="eastAsia" w:ascii="宋体" w:hAnsi="宋体" w:cs="宋体"/>
                <w:sz w:val="21"/>
                <w:szCs w:val="21"/>
                <w:lang w:val="en-US"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4.7仪器外形：＜120mm*165mm*50mm</w:t>
            </w:r>
            <w:r>
              <w:rPr>
                <w:rFonts w:hint="eastAsia" w:ascii="宋体" w:hAnsi="宋体" w:cs="宋体"/>
                <w:sz w:val="21"/>
                <w:szCs w:val="21"/>
                <w:lang w:val="en-US"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4.8仪器重量：＜350g（包括电池）</w:t>
            </w:r>
            <w:r>
              <w:rPr>
                <w:rFonts w:hint="eastAsia" w:ascii="宋体" w:hAnsi="宋体" w:cs="宋体"/>
                <w:sz w:val="21"/>
                <w:szCs w:val="21"/>
                <w:lang w:val="en-US" w:eastAsia="zh-CN"/>
              </w:rPr>
              <w:t>。</w:t>
            </w:r>
          </w:p>
          <w:p>
            <w:pPr>
              <w:pageBreakBefore w:val="0"/>
              <w:kinsoku/>
              <w:overflowPunct/>
              <w:topLinePunct w:val="0"/>
              <w:autoSpaceDE/>
              <w:autoSpaceDN/>
              <w:bidi w:val="0"/>
              <w:spacing w:line="32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配置：</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轻便三杯风向风速表1台，便携式数字温湿表1台，数字式气压表1台，产品说明书1份，保修卡1张，合格证1张，第三方检测报告1份。</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其他要求：</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eastAsia="zh-CN"/>
              </w:rPr>
              <w:t>培训方案：</w:t>
            </w:r>
            <w:r>
              <w:rPr>
                <w:rFonts w:hint="eastAsia" w:ascii="宋体" w:hAnsi="宋体" w:eastAsia="宋体" w:cs="宋体"/>
                <w:sz w:val="21"/>
                <w:szCs w:val="21"/>
                <w:lang w:val="en-US" w:eastAsia="zh-CN"/>
              </w:rPr>
              <w:t>厂家免费上门安排培训。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126"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rPr>
          <w:rFonts w:hint="eastAsia" w:ascii="宋体" w:hAnsi="宋体" w:eastAsia="宋体" w:cs="宋体"/>
          <w:sz w:val="21"/>
          <w:szCs w:val="21"/>
        </w:rPr>
      </w:pPr>
    </w:p>
    <w:tbl>
      <w:tblPr>
        <w:tblStyle w:val="37"/>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仪器名称</w:t>
            </w:r>
          </w:p>
        </w:tc>
        <w:tc>
          <w:tcPr>
            <w:tcW w:w="81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bCs/>
                <w:szCs w:val="21"/>
                <w:lang w:val="en-US" w:eastAsia="zh-CN"/>
              </w:rPr>
              <w:t>7、</w:t>
            </w:r>
            <w:r>
              <w:rPr>
                <w:rFonts w:hint="eastAsia" w:ascii="宋体" w:hAnsi="宋体" w:cs="宋体"/>
                <w:bCs/>
                <w:szCs w:val="21"/>
              </w:rPr>
              <w:t>电梯振动及起制动加减速度测量</w:t>
            </w:r>
            <w:r>
              <w:rPr>
                <w:rFonts w:hint="eastAsia" w:ascii="宋体" w:hAnsi="宋体" w:cs="宋体"/>
                <w:bCs/>
                <w:szCs w:val="21"/>
                <w:highlight w:val="none"/>
              </w:rPr>
              <w:t>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 xml:space="preserve"> 数量（套）</w:t>
            </w:r>
          </w:p>
        </w:tc>
        <w:tc>
          <w:tcPr>
            <w:tcW w:w="8126" w:type="dxa"/>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hint="eastAsia" w:ascii="宋体" w:hAnsi="宋体" w:eastAsia="宋体" w:cs="宋体"/>
                <w:szCs w:val="21"/>
                <w:lang w:val="en-US" w:eastAsia="zh-CN"/>
              </w:rPr>
            </w:pPr>
            <w:r>
              <w:rPr>
                <w:rFonts w:hint="eastAsia" w:ascii="宋体" w:hAnsi="宋体" w:cs="宋体"/>
                <w:szCs w:val="21"/>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仪器用途</w:t>
            </w:r>
          </w:p>
        </w:tc>
        <w:tc>
          <w:tcPr>
            <w:tcW w:w="812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用于电梯</w:t>
            </w:r>
            <w:r>
              <w:rPr>
                <w:rFonts w:hint="eastAsia" w:ascii="宋体" w:hAnsi="宋体" w:cs="宋体"/>
                <w:bCs/>
                <w:szCs w:val="21"/>
              </w:rPr>
              <w:t>振动及起制动加减速度</w:t>
            </w:r>
            <w:r>
              <w:rPr>
                <w:rFonts w:hint="eastAsia" w:ascii="宋体" w:hAnsi="宋体" w:cs="宋体"/>
                <w:bCs/>
                <w:szCs w:val="21"/>
                <w:lang w:eastAsia="zh-CN"/>
              </w:rPr>
              <w:t>（</w:t>
            </w:r>
            <w:r>
              <w:rPr>
                <w:rFonts w:hint="eastAsia" w:ascii="宋体" w:hAnsi="宋体" w:cs="宋体"/>
                <w:szCs w:val="21"/>
              </w:rPr>
              <w:t>乘运质量</w:t>
            </w:r>
            <w:r>
              <w:rPr>
                <w:rFonts w:hint="eastAsia" w:ascii="宋体" w:hAnsi="宋体" w:cs="宋体"/>
                <w:bCs/>
                <w:szCs w:val="21"/>
                <w:lang w:eastAsia="zh-CN"/>
              </w:rPr>
              <w:t>）</w:t>
            </w:r>
            <w:r>
              <w:rPr>
                <w:rFonts w:hint="eastAsia" w:ascii="宋体" w:hAnsi="宋体" w:cs="宋体"/>
                <w:szCs w:val="21"/>
              </w:rPr>
              <w:t>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技术指标要求</w:t>
            </w:r>
          </w:p>
        </w:tc>
        <w:tc>
          <w:tcPr>
            <w:tcW w:w="8126" w:type="dxa"/>
            <w:tcBorders>
              <w:top w:val="single" w:color="auto" w:sz="4" w:space="0"/>
              <w:left w:val="single" w:color="auto" w:sz="4" w:space="0"/>
              <w:bottom w:val="single" w:color="auto" w:sz="4" w:space="0"/>
              <w:right w:val="single" w:color="auto" w:sz="4" w:space="0"/>
            </w:tcBorders>
            <w:noWrap/>
          </w:tcPr>
          <w:p>
            <w:pPr>
              <w:numPr>
                <w:ilvl w:val="0"/>
                <w:numId w:val="21"/>
              </w:numPr>
            </w:pPr>
            <w:r>
              <w:rPr>
                <w:rFonts w:hint="eastAsia"/>
              </w:rPr>
              <w:t>电梯振动及起制动加减速度测量仪</w:t>
            </w:r>
            <w:r>
              <w:rPr>
                <w:rFonts w:hint="eastAsia"/>
                <w:lang w:val="en-US" w:eastAsia="zh-CN"/>
              </w:rPr>
              <w:t xml:space="preserve">  3台</w:t>
            </w:r>
          </w:p>
          <w:p>
            <w:r>
              <w:rPr>
                <w:rFonts w:hint="eastAsia"/>
                <w:lang w:val="en-US" w:eastAsia="zh-CN"/>
              </w:rPr>
              <w:t>1、</w:t>
            </w:r>
            <w:r>
              <w:rPr>
                <w:rFonts w:hint="eastAsia"/>
              </w:rPr>
              <w:t>设备技术参数：</w:t>
            </w:r>
          </w:p>
          <w:p>
            <w:pPr>
              <w:rPr>
                <w:rFonts w:hint="eastAsia"/>
              </w:rPr>
            </w:pPr>
            <w:r>
              <w:rPr>
                <w:rFonts w:hint="eastAsia"/>
                <w:lang w:val="en-US" w:eastAsia="zh-CN"/>
              </w:rPr>
              <w:t>1.1</w:t>
            </w:r>
            <w:r>
              <w:rPr>
                <w:rFonts w:hint="eastAsia"/>
              </w:rPr>
              <w:t>采用5寸显示屏一体设计，测量过程中无需使用外部设备进行辅助测量。</w:t>
            </w:r>
          </w:p>
          <w:p>
            <w:pPr>
              <w:rPr>
                <w:rFonts w:hint="eastAsia"/>
              </w:rPr>
            </w:pPr>
            <w:r>
              <w:rPr>
                <w:rFonts w:hint="eastAsia"/>
                <w:lang w:val="en-US" w:eastAsia="zh-CN"/>
              </w:rPr>
              <w:t>1.2</w:t>
            </w:r>
            <w:r>
              <w:rPr>
                <w:rFonts w:hint="eastAsia"/>
              </w:rPr>
              <w:t>通过触摸屏点触控制完成对电梯加减速度的快速检测，检测过程中可实时监测X轴、Y轴、Z轴的振动曲线，测量完成后系统自动生成测量数据并提示超规指标，有效的提高检验人员的检验效率。</w:t>
            </w:r>
          </w:p>
          <w:p>
            <w:pPr>
              <w:rPr>
                <w:rFonts w:hint="eastAsia"/>
              </w:rPr>
            </w:pPr>
            <w:r>
              <w:rPr>
                <w:rFonts w:hint="eastAsia"/>
                <w:lang w:val="en-US" w:eastAsia="zh-CN"/>
              </w:rPr>
              <w:t>1.3</w:t>
            </w:r>
            <w:r>
              <w:rPr>
                <w:rFonts w:hint="eastAsia"/>
              </w:rPr>
              <w:t>具有专用下位机软件使用简单操作便捷，具备测量数据保存、历史测量数据浏览、历史测量数据删除等功能。</w:t>
            </w:r>
          </w:p>
          <w:p>
            <w:pPr>
              <w:rPr>
                <w:rFonts w:hint="eastAsia"/>
              </w:rPr>
            </w:pPr>
            <w:r>
              <w:rPr>
                <w:rFonts w:hint="eastAsia"/>
                <w:lang w:val="en-US" w:eastAsia="zh-CN"/>
              </w:rPr>
              <w:t>1.4</w:t>
            </w:r>
            <w:r>
              <w:rPr>
                <w:rFonts w:hint="eastAsia"/>
              </w:rPr>
              <w:t>所有检测数据均存储在U盘中，即可在本机读取查看，也可导入PC端直接查看测量结果。仪器可选配专用的上位机分析软件对采集的测量数据的进行进一步的分析处理，上位机分析软件可直观显示速度、位移、加速度曲线，并实现多种滤波功能，同时可生成PDF格式检测报告导出查看。</w:t>
            </w:r>
          </w:p>
          <w:p>
            <w:pPr>
              <w:rPr>
                <w:rFonts w:hint="eastAsia"/>
              </w:rPr>
            </w:pPr>
            <w:r>
              <w:rPr>
                <w:rFonts w:hint="eastAsia"/>
                <w:lang w:val="en-US" w:eastAsia="zh-CN"/>
              </w:rPr>
              <w:t>1.5</w:t>
            </w:r>
            <w:r>
              <w:rPr>
                <w:rFonts w:hint="eastAsia"/>
              </w:rPr>
              <w:t>外箱采用高强度箱体，防尘、防摔，适用特检工况。</w:t>
            </w:r>
          </w:p>
          <w:p>
            <w:pPr>
              <w:rPr>
                <w:rFonts w:hint="eastAsia"/>
              </w:rPr>
            </w:pPr>
            <w:r>
              <w:rPr>
                <w:rFonts w:hint="eastAsia"/>
                <w:lang w:val="en-US" w:eastAsia="zh-CN"/>
              </w:rPr>
              <w:t>1.6</w:t>
            </w:r>
            <w:r>
              <w:rPr>
                <w:rFonts w:hint="eastAsia"/>
              </w:rPr>
              <w:t>检测数据可上传到智慧电梯物联网系统平台，由专属账户进行检测数据管理，对电梯运行数据进行采集，通过大量的数据采集，分析电梯正常运行曲线。分析电梯潜在故障，进行故障定位、故障预警。以及实现GIS地理定位；对在用电梯，尤其是老旧电梯安全评估提供技术支撑。</w:t>
            </w:r>
          </w:p>
          <w:p>
            <w:pPr>
              <w:rPr>
                <w:rFonts w:hint="eastAsia"/>
              </w:rPr>
            </w:pPr>
            <w:r>
              <w:rPr>
                <w:rFonts w:hint="eastAsia"/>
                <w:lang w:val="en-US" w:eastAsia="zh-CN"/>
              </w:rPr>
              <w:t>1.7</w:t>
            </w:r>
            <w:r>
              <w:rPr>
                <w:rFonts w:hint="eastAsia"/>
              </w:rPr>
              <w:t>具有缺陷位置标记系统设计。此系统要求简单实用，所做标记鲜明准确。具有缺陷标记、检测数据处理、存储和追溯。</w:t>
            </w:r>
          </w:p>
          <w:p>
            <w:pPr>
              <w:rPr>
                <w:rFonts w:hint="eastAsia" w:eastAsia="宋体"/>
                <w:lang w:eastAsia="zh-CN"/>
              </w:rPr>
            </w:pPr>
            <w:r>
              <w:rPr>
                <w:rFonts w:hint="eastAsia" w:ascii="宋体" w:hAnsi="宋体" w:cs="宋体"/>
                <w:bCs/>
                <w:color w:val="auto"/>
                <w:szCs w:val="21"/>
                <w:highlight w:val="none"/>
              </w:rPr>
              <w:t>▲</w:t>
            </w:r>
            <w:r>
              <w:rPr>
                <w:rFonts w:hint="eastAsia"/>
                <w:lang w:val="en-US" w:eastAsia="zh-CN"/>
              </w:rPr>
              <w:t>1.8</w:t>
            </w:r>
            <w:r>
              <w:rPr>
                <w:rFonts w:hint="eastAsia"/>
              </w:rPr>
              <w:t>测量范围：±4g、测量精度：10mg、采样速率：256Hz、保存测试组次：不少于99999组、输入方式：中文录入检验单位、人员及电梯型号等信息</w:t>
            </w:r>
            <w:r>
              <w:rPr>
                <w:rFonts w:hint="eastAsia"/>
                <w:lang w:eastAsia="zh-CN"/>
              </w:rPr>
              <w:t>。</w:t>
            </w:r>
          </w:p>
          <w:p>
            <w:pPr>
              <w:wordWrap w:val="0"/>
              <w:snapToGrid w:val="0"/>
              <w:spacing w:line="288" w:lineRule="auto"/>
            </w:pPr>
            <w:r>
              <w:rPr>
                <w:rFonts w:hint="eastAsia"/>
                <w:lang w:val="en-US" w:eastAsia="zh-CN"/>
              </w:rPr>
              <w:t>1.9</w:t>
            </w:r>
            <w:r>
              <w:rPr>
                <w:rFonts w:hint="eastAsia" w:ascii="宋体" w:hAnsi="宋体" w:eastAsia="宋体" w:cs="宋体"/>
                <w:szCs w:val="21"/>
              </w:rPr>
              <w:t>配备电梯在线故障预警监控设备</w:t>
            </w:r>
            <w:r>
              <w:rPr>
                <w:rFonts w:hint="eastAsia" w:ascii="宋体" w:hAnsi="宋体" w:cs="宋体"/>
                <w:szCs w:val="21"/>
                <w:lang w:eastAsia="zh-CN"/>
              </w:rPr>
              <w:t>：</w:t>
            </w:r>
            <w:r>
              <w:rPr>
                <w:rFonts w:hint="eastAsia"/>
              </w:rPr>
              <w:t>主机输入方式：中文录入检验单位、人员及型号等信息。</w:t>
            </w:r>
          </w:p>
          <w:p>
            <w:pPr>
              <w:wordWrap w:val="0"/>
              <w:snapToGrid w:val="0"/>
              <w:spacing w:line="288" w:lineRule="auto"/>
              <w:rPr>
                <w:rFonts w:hint="eastAsia" w:ascii="宋体" w:hAnsi="宋体" w:eastAsia="宋体" w:cs="宋体"/>
                <w:szCs w:val="21"/>
              </w:rPr>
            </w:pPr>
            <w:r>
              <w:rPr>
                <w:rFonts w:hint="eastAsia"/>
                <w:lang w:val="en-US" w:eastAsia="zh-CN"/>
              </w:rPr>
              <w:t>1.10</w:t>
            </w:r>
            <w:r>
              <w:rPr>
                <w:rFonts w:hint="eastAsia" w:ascii="宋体" w:hAnsi="宋体" w:eastAsia="宋体" w:cs="宋体"/>
                <w:szCs w:val="21"/>
              </w:rPr>
              <w:t>监控设备屏幕具有电量提示并可在不同区域传输数据，测量主机（带厂家名称）和智慧电梯物联网系统平台专属账户连接，测量主机（带厂家名称）和平台绑定上传数据，主机连接同时平台登陆时输入账号密码，登陆进去后可查看本机数据，自动更新在线离线状态，单位管理，人员角色管理，数据运行图谱，故障列表，故障统计，设备信息编辑与查看此产品的生产厂家信息等功能。</w:t>
            </w:r>
          </w:p>
          <w:p>
            <w:pPr>
              <w:wordWrap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1.11</w:t>
            </w:r>
            <w:r>
              <w:rPr>
                <w:rFonts w:hint="eastAsia" w:ascii="宋体" w:hAnsi="宋体" w:eastAsia="宋体" w:cs="宋体"/>
                <w:szCs w:val="21"/>
              </w:rPr>
              <w:t>监控设备智慧电梯物联网系统平台具有缺陷标记、检测数据处理、存储和追溯。</w:t>
            </w:r>
          </w:p>
          <w:p>
            <w:pPr>
              <w:wordWrap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1.12</w:t>
            </w:r>
            <w:r>
              <w:rPr>
                <w:rFonts w:hint="eastAsia" w:ascii="宋体" w:hAnsi="宋体" w:eastAsia="宋体" w:cs="宋体"/>
                <w:szCs w:val="21"/>
              </w:rPr>
              <w:t>监控设备智慧电梯物联网系统平台的GIS地理定位地图展示。</w:t>
            </w:r>
          </w:p>
          <w:p>
            <w:pPr>
              <w:wordWrap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1.13</w:t>
            </w:r>
            <w:r>
              <w:rPr>
                <w:rFonts w:hint="eastAsia" w:ascii="宋体" w:hAnsi="宋体" w:eastAsia="宋体" w:cs="宋体"/>
                <w:szCs w:val="21"/>
              </w:rPr>
              <w:t>监控设备能在手机微信上和邮箱里显示监控设备报警通知，显示设备名称、报警时间、故障类型。</w:t>
            </w:r>
          </w:p>
          <w:p>
            <w:pPr>
              <w:numPr>
                <w:ilvl w:val="0"/>
                <w:numId w:val="0"/>
              </w:numPr>
              <w:rPr>
                <w:rFonts w:hint="eastAsia" w:eastAsia="宋体"/>
                <w:lang w:eastAsia="zh-CN"/>
              </w:rPr>
            </w:pPr>
            <w:r>
              <w:rPr>
                <w:rFonts w:hint="eastAsia"/>
                <w:lang w:val="en-US" w:eastAsia="zh-CN"/>
              </w:rPr>
              <w:t>1.14</w:t>
            </w:r>
            <w:r>
              <w:rPr>
                <w:rFonts w:hint="eastAsia"/>
              </w:rPr>
              <w:t>内置充电电池电压：12V</w:t>
            </w:r>
            <w:r>
              <w:rPr>
                <w:rFonts w:hint="eastAsia"/>
                <w:lang w:eastAsia="zh-CN"/>
              </w:rPr>
              <w:t>。</w:t>
            </w:r>
          </w:p>
          <w:p>
            <w:pPr>
              <w:numPr>
                <w:ilvl w:val="0"/>
                <w:numId w:val="0"/>
              </w:numPr>
              <w:rPr>
                <w:rFonts w:hint="eastAsia" w:eastAsia="宋体"/>
                <w:lang w:eastAsia="zh-CN"/>
              </w:rPr>
            </w:pPr>
            <w:r>
              <w:rPr>
                <w:rFonts w:hint="eastAsia"/>
                <w:lang w:val="en-US" w:eastAsia="zh-CN"/>
              </w:rPr>
              <w:t>1.15</w:t>
            </w:r>
            <w:r>
              <w:rPr>
                <w:rFonts w:hint="eastAsia"/>
              </w:rPr>
              <w:t>工作环境湿度：≤90% RH，工作环境温度：-10~50℃</w:t>
            </w:r>
            <w:r>
              <w:rPr>
                <w:rFonts w:hint="eastAsia"/>
                <w:lang w:eastAsia="zh-CN"/>
              </w:rPr>
              <w:t>。</w:t>
            </w:r>
          </w:p>
          <w:p>
            <w:pPr>
              <w:rPr>
                <w:rFonts w:hint="eastAsia"/>
              </w:rPr>
            </w:pPr>
            <w:r>
              <w:rPr>
                <w:rFonts w:hint="eastAsia"/>
                <w:lang w:val="en-US" w:eastAsia="zh-CN"/>
              </w:rPr>
              <w:t>2、</w:t>
            </w:r>
            <w:r>
              <w:rPr>
                <w:rFonts w:hint="eastAsia"/>
              </w:rPr>
              <w:t>产品配置：</w:t>
            </w:r>
          </w:p>
          <w:p>
            <w:pPr>
              <w:ind w:firstLine="210" w:firstLineChars="100"/>
              <w:rPr>
                <w:rFonts w:hint="eastAsia"/>
                <w:lang w:eastAsia="zh-CN"/>
              </w:rPr>
            </w:pPr>
            <w:r>
              <w:rPr>
                <w:rFonts w:hint="eastAsia"/>
              </w:rPr>
              <w:t>测量主机1套、</w:t>
            </w:r>
            <w:r>
              <w:rPr>
                <w:rFonts w:hint="eastAsia" w:ascii="宋体" w:hAnsi="宋体" w:eastAsia="宋体" w:cs="宋体"/>
                <w:szCs w:val="21"/>
              </w:rPr>
              <w:t>配备电梯在线故障预警监控设备</w:t>
            </w:r>
            <w:r>
              <w:rPr>
                <w:rFonts w:hint="eastAsia" w:ascii="宋体" w:hAnsi="宋体" w:cs="宋体"/>
                <w:szCs w:val="21"/>
                <w:lang w:val="en-US" w:eastAsia="zh-CN"/>
              </w:rPr>
              <w:t>1台、</w:t>
            </w:r>
            <w:r>
              <w:rPr>
                <w:rFonts w:hint="eastAsia"/>
              </w:rPr>
              <w:t>智慧电梯物联网系统平台账号及密码1套、12V充电器1个、U盘1个、保修卡1份、合格证1份、出厂检验报告1份、第三方计量证书1份</w:t>
            </w:r>
            <w:r>
              <w:rPr>
                <w:rFonts w:hint="eastAsia"/>
                <w:lang w:eastAsia="zh-CN"/>
              </w:rPr>
              <w:t>。</w:t>
            </w:r>
          </w:p>
          <w:p>
            <w:pPr>
              <w:rPr>
                <w:rFonts w:hint="eastAsia" w:ascii="Times New Roman" w:hAnsi="Times New Roman" w:eastAsia="宋体" w:cs="Times New Roman"/>
                <w:lang w:eastAsia="zh-CN"/>
              </w:rPr>
            </w:pPr>
            <w:r>
              <w:rPr>
                <w:rFonts w:hint="eastAsia" w:cs="Times New Roman"/>
                <w:lang w:val="en-US" w:eastAsia="zh-CN"/>
              </w:rPr>
              <w:t>3、</w:t>
            </w:r>
            <w:r>
              <w:rPr>
                <w:rFonts w:hint="eastAsia" w:ascii="Times New Roman" w:hAnsi="Times New Roman" w:eastAsia="宋体" w:cs="Times New Roman"/>
                <w:lang w:eastAsia="zh-CN"/>
              </w:rPr>
              <w:t>其他要求：</w:t>
            </w:r>
          </w:p>
          <w:p>
            <w:pPr>
              <w:rPr>
                <w:rFonts w:hint="eastAsia"/>
                <w:lang w:eastAsia="zh-CN"/>
              </w:rPr>
            </w:pPr>
            <w:r>
              <w:rPr>
                <w:rFonts w:hint="eastAsia" w:ascii="Times New Roman" w:hAnsi="Times New Roman" w:eastAsia="宋体" w:cs="Times New Roman"/>
                <w:lang w:eastAsia="zh-CN"/>
              </w:rPr>
              <w:t>培训方案：</w:t>
            </w:r>
            <w:r>
              <w:rPr>
                <w:rFonts w:hint="eastAsia" w:ascii="Times New Roman" w:hAnsi="Times New Roman" w:eastAsia="宋体" w:cs="Times New Roman"/>
                <w:lang w:val="en-US" w:eastAsia="zh-CN"/>
              </w:rPr>
              <w:t>厂家免费上门安排培训。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ascii="宋体" w:hAnsi="宋体" w:cs="宋体"/>
                <w:szCs w:val="21"/>
              </w:rPr>
            </w:pPr>
            <w:r>
              <w:rPr>
                <w:rFonts w:hint="eastAsia" w:ascii="宋体" w:hAnsi="宋体" w:eastAsia="宋体" w:cs="宋体"/>
                <w:sz w:val="21"/>
                <w:szCs w:val="21"/>
              </w:rPr>
              <w:t>备  注</w:t>
            </w:r>
          </w:p>
        </w:tc>
        <w:tc>
          <w:tcPr>
            <w:tcW w:w="8126"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ascii="宋体" w:hAnsi="宋体" w:cs="宋体"/>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rPr>
          <w:rFonts w:hint="eastAsia"/>
        </w:rPr>
      </w:pPr>
    </w:p>
    <w:tbl>
      <w:tblPr>
        <w:tblStyle w:val="37"/>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bCs/>
                <w:sz w:val="21"/>
                <w:szCs w:val="21"/>
                <w:lang w:val="en-US" w:eastAsia="zh-CN"/>
              </w:rPr>
              <w:t>8、</w:t>
            </w:r>
            <w:r>
              <w:rPr>
                <w:rFonts w:hint="eastAsia" w:ascii="宋体" w:hAnsi="宋体" w:eastAsia="宋体" w:cs="宋体"/>
                <w:bCs/>
                <w:sz w:val="21"/>
                <w:szCs w:val="21"/>
              </w:rPr>
              <w:t>限速器动作速度</w:t>
            </w:r>
            <w:r>
              <w:rPr>
                <w:rFonts w:hint="eastAsia" w:ascii="宋体" w:hAnsi="宋体" w:eastAsia="宋体" w:cs="宋体"/>
                <w:bCs/>
                <w:sz w:val="21"/>
                <w:szCs w:val="21"/>
                <w:highlight w:val="none"/>
              </w:rPr>
              <w:t>测试设备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电梯限速器校验专用设备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9"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8126" w:type="dxa"/>
            <w:tcBorders>
              <w:top w:val="single" w:color="auto" w:sz="4" w:space="0"/>
              <w:left w:val="single" w:color="auto" w:sz="4" w:space="0"/>
              <w:bottom w:val="single" w:color="auto" w:sz="4" w:space="0"/>
              <w:right w:val="single" w:color="auto" w:sz="4" w:space="0"/>
            </w:tcBorders>
            <w:noWra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设备技术参数：</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1、主要针对电梯限速器的电气和机械速度的检验；</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2、可通过触摸屏点触控制完成对限速器的参数录入，支持手写录入信息功能；</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3、在操作界面中输入限速器额定速度后，可自动计算出限速器电气与机械的合格范围并可体现在打印报告中；</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4、检测过程中可实时显示限速器轮盘运行速度曲线；同时根据备检限速器额定速度，曲线上自动显示合格范围界限实时监测测试数据；单次检测完成后直接判定当前检测数据是否在合格范围内，无需保存后判定；</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5、可自由设定驱动电机转动起始速度、加速度满足不同工况要求</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6、打印报告可显示检测时间，显示多组测量数据，显示上下行平均值等多种测试指标；</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7、检测数据直接保存于U盘中，可在下位机实现保存、现场打印，历史数据的浏览、打印及删除等功能；同时亦可离线实现数据导出功能，通过电脑直接读取U盘中保存的测试数据无需上位机软件辅助查看；</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8、检测过程中，操作界面与驱动电机本体皆可实现电机启停控制；</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9、驱动电机采用低压安全电机，带有过压保护功能</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10、测量范围：0.5～6m/s，测量精度：≤1%</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Cs w:val="21"/>
              </w:rPr>
              <w:t>★</w:t>
            </w:r>
            <w:r>
              <w:rPr>
                <w:rFonts w:hint="eastAsia" w:ascii="宋体" w:hAnsi="宋体" w:eastAsia="宋体" w:cs="宋体"/>
                <w:sz w:val="21"/>
                <w:szCs w:val="21"/>
              </w:rPr>
              <w:t>11、显示分辨率：0.001m/s</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12、存储单元：U盘（标配4G，可扩充）</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13、测量主机：7英寸彩色液晶屏，触摸控制</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14、输入方式：中英文录入，手写录入及触控笔录入</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15、外接电源：AC220</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16、驱动电机：24V 8000r/min 直流安全电机，电机参数自由设定</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17、工作环境湿度：≤90% RH</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18、工作环境温度：-10～50℃</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产品配置：</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电梯限速器测量主机1台、电源适配器1个、驱动电机1个、专用连接线一根、U盘（4G）1个、触屏笔1支、磁豆2个、手提式中型仪器箱1个。装箱文件 （使用说明书 1 份、保修卡 1 份、合格证 1份、出厂检验报告 1 份、计量第三方证书1 份、装箱清单 1 份）。</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三、其他要求：</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eastAsia="zh-CN"/>
              </w:rPr>
              <w:t>培训方案：</w:t>
            </w:r>
            <w:r>
              <w:rPr>
                <w:rFonts w:hint="eastAsia" w:ascii="宋体" w:hAnsi="宋体" w:eastAsia="宋体" w:cs="宋体"/>
                <w:sz w:val="21"/>
                <w:szCs w:val="21"/>
                <w:lang w:val="en-US" w:eastAsia="zh-CN"/>
              </w:rPr>
              <w:t>厂家免费上门安排培训。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126"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ageBreakBefore w:val="0"/>
        <w:kinsoku/>
        <w:overflowPunct/>
        <w:topLinePunct w:val="0"/>
        <w:autoSpaceDE/>
        <w:autoSpaceDN/>
        <w:bidi w:val="0"/>
        <w:spacing w:line="320" w:lineRule="exact"/>
        <w:rPr>
          <w:rFonts w:hint="eastAsia" w:ascii="宋体" w:hAnsi="宋体" w:eastAsia="宋体" w:cs="宋体"/>
          <w:sz w:val="21"/>
          <w:szCs w:val="21"/>
        </w:rPr>
      </w:pPr>
    </w:p>
    <w:tbl>
      <w:tblPr>
        <w:tblStyle w:val="37"/>
        <w:tblW w:w="9950"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8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808"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814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9、电梯检验音像记录系统（视频自动剪辑）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08"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14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15套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8"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814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根据新检规要求用于电梯检验的音像记录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808"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8142" w:type="dxa"/>
            <w:tcBorders>
              <w:top w:val="single" w:color="auto" w:sz="4" w:space="0"/>
              <w:left w:val="single" w:color="auto" w:sz="4" w:space="0"/>
              <w:bottom w:val="single" w:color="auto" w:sz="4" w:space="0"/>
              <w:right w:val="single" w:color="auto" w:sz="4" w:space="0"/>
            </w:tcBorders>
            <w:noWrap/>
            <w:vAlign w:val="top"/>
          </w:tcPr>
          <w:p>
            <w:pPr>
              <w:pageBreakBefore w:val="0"/>
              <w:numPr>
                <w:ilvl w:val="0"/>
                <w:numId w:val="22"/>
              </w:numPr>
              <w:kinsoku/>
              <w:overflowPunct/>
              <w:topLinePunct w:val="0"/>
              <w:autoSpaceDE/>
              <w:autoSpaceDN/>
              <w:bidi w:val="0"/>
              <w:spacing w:line="320" w:lineRule="exact"/>
              <w:rPr>
                <w:rFonts w:hint="eastAsia" w:ascii="宋体" w:hAnsi="宋体" w:eastAsia="宋体" w:cs="宋体"/>
                <w:b/>
                <w:bCs/>
                <w:sz w:val="21"/>
                <w:szCs w:val="21"/>
              </w:rPr>
            </w:pPr>
            <w:r>
              <w:rPr>
                <w:rFonts w:hint="eastAsia" w:ascii="宋体" w:hAnsi="宋体" w:eastAsia="宋体" w:cs="宋体"/>
                <w:b/>
                <w:bCs/>
                <w:sz w:val="21"/>
                <w:szCs w:val="21"/>
              </w:rPr>
              <w:t>技术参数</w:t>
            </w:r>
          </w:p>
          <w:p>
            <w:pPr>
              <w:pageBreakBefore w:val="0"/>
              <w:numPr>
                <w:ilvl w:val="0"/>
                <w:numId w:val="23"/>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具有安卓版音像记录专用APP，包括检验类别、注册代码、产品编号、对重缓冲器、缓冲器类型、自动检验地址定位等设置功能</w:t>
            </w:r>
            <w:r>
              <w:rPr>
                <w:rFonts w:hint="eastAsia" w:ascii="宋体" w:hAnsi="宋体" w:eastAsia="宋体" w:cs="宋体"/>
                <w:color w:val="0000FF"/>
                <w:sz w:val="21"/>
                <w:szCs w:val="21"/>
              </w:rPr>
              <w:t>；</w:t>
            </w:r>
          </w:p>
          <w:p>
            <w:pPr>
              <w:pageBreakBefore w:val="0"/>
              <w:numPr>
                <w:ilvl w:val="0"/>
                <w:numId w:val="23"/>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终端APP根据单位分发账户密码权限，可登陆专用APP开展检验检测工作；</w:t>
            </w:r>
          </w:p>
          <w:p>
            <w:pPr>
              <w:pageBreakBefore w:val="0"/>
              <w:numPr>
                <w:ilvl w:val="0"/>
                <w:numId w:val="23"/>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★音像记录专用APP，至少含有音像录像、音像查询、设备列表、个人中心设置，其中音像录像包括有检验人员既名牌识别、轿厢限速器-安全钳试验、曳引能力/125%额载制动试验、缓冲器试验功能；</w:t>
            </w:r>
          </w:p>
          <w:p>
            <w:pPr>
              <w:pageBreakBefore w:val="0"/>
              <w:numPr>
                <w:ilvl w:val="0"/>
                <w:numId w:val="23"/>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cs="宋体"/>
                <w:bCs/>
                <w:color w:val="auto"/>
                <w:szCs w:val="21"/>
                <w:highlight w:val="none"/>
              </w:rPr>
              <w:t>▲</w:t>
            </w:r>
            <w:r>
              <w:rPr>
                <w:rFonts w:hint="eastAsia" w:ascii="宋体" w:hAnsi="宋体" w:eastAsia="宋体" w:cs="宋体"/>
                <w:sz w:val="21"/>
                <w:szCs w:val="21"/>
              </w:rPr>
              <w:t>音像记录专用APP检测界面，可以在轿厢限速器-安全钳试验、曳引能力/125%额载制动试验中，进行1-4个（任意选择数量）音像记录窗口的同步记录，验收时需演示添加视频数量及上传过程(包括过程及合并结果)</w:t>
            </w:r>
            <w:r>
              <w:rPr>
                <w:rFonts w:hint="eastAsia" w:ascii="宋体" w:hAnsi="宋体" w:cs="宋体"/>
                <w:sz w:val="21"/>
                <w:szCs w:val="21"/>
                <w:lang w:eastAsia="zh-CN"/>
              </w:rPr>
              <w:t>；</w:t>
            </w:r>
          </w:p>
          <w:p>
            <w:pPr>
              <w:pageBreakBefore w:val="0"/>
              <w:numPr>
                <w:ilvl w:val="0"/>
                <w:numId w:val="23"/>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★音像记录专用APP，可以将音像记录检测结果实时上传后台和自有服务器；可以选择加密保存至本地，进行记录缓存，后期再批量上传后台，操作灵活；</w:t>
            </w:r>
          </w:p>
          <w:p>
            <w:pPr>
              <w:pageBreakBefore w:val="0"/>
              <w:numPr>
                <w:ilvl w:val="0"/>
                <w:numId w:val="23"/>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音像记录专用APP，其音像查询的功能，可以查看缓存列表及提交审核列表，方便查看记录及管理；同时，缓存音像记录再上传过程中，仍可以对电梯基本信息进行编辑完善，方便后期管理；</w:t>
            </w:r>
          </w:p>
          <w:p>
            <w:pPr>
              <w:pageBreakBefore w:val="0"/>
              <w:numPr>
                <w:ilvl w:val="0"/>
                <w:numId w:val="23"/>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音像记录专用APP，在记录上传过程中，可以查看缓存记录清单；也可以查看上传记录清单，及上传后的后台系统审批环节情况；</w:t>
            </w:r>
          </w:p>
          <w:p>
            <w:pPr>
              <w:pageBreakBefore w:val="0"/>
              <w:numPr>
                <w:ilvl w:val="0"/>
                <w:numId w:val="23"/>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具有智能化管理的音像记录后台（平台），方便检验账号及音像记录管理；</w:t>
            </w:r>
          </w:p>
          <w:p>
            <w:pPr>
              <w:pageBreakBefore w:val="0"/>
              <w:numPr>
                <w:ilvl w:val="0"/>
                <w:numId w:val="23"/>
              </w:numPr>
              <w:kinsoku/>
              <w:overflowPunct/>
              <w:topLinePunct w:val="0"/>
              <w:autoSpaceDE/>
              <w:autoSpaceDN/>
              <w:bidi w:val="0"/>
              <w:spacing w:line="32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sz w:val="21"/>
                <w:szCs w:val="21"/>
              </w:rPr>
              <w:t>智能化管理的音像记录后台（平台），查看视频界面，提供下载、画中画后台播放等功能，便于审核</w:t>
            </w:r>
            <w:r>
              <w:rPr>
                <w:rFonts w:hint="eastAsia" w:ascii="宋体" w:hAnsi="宋体" w:eastAsia="宋体" w:cs="宋体"/>
                <w:color w:val="auto"/>
                <w:sz w:val="21"/>
                <w:szCs w:val="21"/>
              </w:rPr>
              <w:t>查看；</w:t>
            </w:r>
          </w:p>
          <w:p>
            <w:pPr>
              <w:pageBreakBefore w:val="0"/>
              <w:numPr>
                <w:ilvl w:val="0"/>
                <w:numId w:val="23"/>
              </w:numPr>
              <w:kinsoku/>
              <w:overflowPunct/>
              <w:topLinePunct w:val="0"/>
              <w:autoSpaceDE/>
              <w:autoSpaceDN/>
              <w:bidi w:val="0"/>
              <w:spacing w:line="32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智能化管理的音像记录后台（平台），可以根据机构实际情况，设置分发终端APP的账户密码，方便统筹管理与审核；</w:t>
            </w:r>
          </w:p>
          <w:p>
            <w:pPr>
              <w:pageBreakBefore w:val="0"/>
              <w:numPr>
                <w:ilvl w:val="0"/>
                <w:numId w:val="23"/>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终端检验人员可根据单位后台分发账户密码权限，登陆检验人员的音像记录后台（平台），进行其已经检测音像记录工作的管理、审核、查看等工作；</w:t>
            </w:r>
          </w:p>
          <w:p>
            <w:pPr>
              <w:pageBreakBefore w:val="0"/>
              <w:numPr>
                <w:ilvl w:val="0"/>
                <w:numId w:val="23"/>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可对接定制智能化管理的音像记录后台（平台），云端长期存储音像记录；</w:t>
            </w:r>
          </w:p>
          <w:p>
            <w:pPr>
              <w:pageBreakBefore w:val="0"/>
              <w:numPr>
                <w:ilvl w:val="0"/>
                <w:numId w:val="23"/>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智能化管理的音像记录后台（平台），可进行音像记录的查询、回放等操作；</w:t>
            </w:r>
          </w:p>
          <w:p>
            <w:pPr>
              <w:pageBreakBefore w:val="0"/>
              <w:numPr>
                <w:ilvl w:val="0"/>
                <w:numId w:val="23"/>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采用标准的“2+1”音像记录模组方式，标配2个可移动安装的独立摄像头模块，1个安装APP后调用手机摄像头方式，形成三摄特性，独立摄像头模块采用超清广角镜头200万像素；</w:t>
            </w:r>
          </w:p>
          <w:p>
            <w:pPr>
              <w:pageBreakBefore w:val="0"/>
              <w:numPr>
                <w:ilvl w:val="0"/>
                <w:numId w:val="23"/>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独立摄像头模块：F2.6光圈，高解析多层滤光广角定焦镜头。视场角：D127度，焦距：0.3M及以上,调焦距离：2.5m-无限远；</w:t>
            </w:r>
          </w:p>
          <w:p>
            <w:pPr>
              <w:pageBreakBefore w:val="0"/>
              <w:numPr>
                <w:ilvl w:val="0"/>
                <w:numId w:val="23"/>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录影视频：2560*1440P/30、2304x1296P/30、1920x1080P/30、1280x720P/30等高清可选；</w:t>
            </w:r>
          </w:p>
          <w:p>
            <w:pPr>
              <w:pageBreakBefore w:val="0"/>
              <w:numPr>
                <w:ilvl w:val="0"/>
                <w:numId w:val="23"/>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摄像模块电池容量2000mAh，存储卡16G/32G/64G/128G/256G/512G可选；</w:t>
            </w:r>
          </w:p>
          <w:p>
            <w:pPr>
              <w:pageBreakBefore w:val="0"/>
              <w:numPr>
                <w:ilvl w:val="0"/>
                <w:numId w:val="23"/>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镜头畸变所有分辨率下图像几何失真小于13%；</w:t>
            </w:r>
          </w:p>
          <w:p>
            <w:pPr>
              <w:pageBreakBefore w:val="0"/>
              <w:numPr>
                <w:ilvl w:val="0"/>
                <w:numId w:val="23"/>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支持黑暗环境下的，红外拍摄功能，有手动开启及光感自动切换两种模式；</w:t>
            </w:r>
          </w:p>
          <w:p>
            <w:pPr>
              <w:pageBreakBefore w:val="0"/>
              <w:numPr>
                <w:ilvl w:val="0"/>
                <w:numId w:val="23"/>
              </w:numPr>
              <w:kinsoku/>
              <w:overflowPunct/>
              <w:topLinePunct w:val="0"/>
              <w:autoSpaceDE/>
              <w:autoSpaceDN/>
              <w:bidi w:val="0"/>
              <w:spacing w:line="32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sz w:val="21"/>
                <w:szCs w:val="21"/>
              </w:rPr>
              <w:t>支持外置可更换高容量锂电池，3.8V  2000mAh （CQC</w:t>
            </w:r>
            <w:r>
              <w:rPr>
                <w:rFonts w:hint="eastAsia" w:ascii="宋体" w:hAnsi="宋体" w:eastAsia="宋体" w:cs="宋体"/>
                <w:color w:val="auto"/>
                <w:sz w:val="21"/>
                <w:szCs w:val="21"/>
              </w:rPr>
              <w:t>认证）；</w:t>
            </w:r>
          </w:p>
          <w:p>
            <w:pPr>
              <w:pageBreakBefore w:val="0"/>
              <w:numPr>
                <w:ilvl w:val="0"/>
                <w:numId w:val="23"/>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支持实时上传、断点续传和加密暂存上传；</w:t>
            </w:r>
          </w:p>
          <w:p>
            <w:pPr>
              <w:pageBreakBefore w:val="0"/>
              <w:numPr>
                <w:ilvl w:val="0"/>
                <w:numId w:val="23"/>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工作时间：1080P熄屏录像连续时长9小时；</w:t>
            </w:r>
          </w:p>
          <w:p>
            <w:pPr>
              <w:pageBreakBefore w:val="0"/>
              <w:numPr>
                <w:ilvl w:val="0"/>
                <w:numId w:val="23"/>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支持无线通信数据传输，传输过程全程加密；</w:t>
            </w:r>
          </w:p>
          <w:p>
            <w:pPr>
              <w:pageBreakBefore w:val="0"/>
              <w:numPr>
                <w:ilvl w:val="0"/>
                <w:numId w:val="23"/>
              </w:numPr>
              <w:kinsoku/>
              <w:overflowPunct/>
              <w:topLinePunct w:val="0"/>
              <w:autoSpaceDE/>
              <w:autoSpaceDN/>
              <w:bidi w:val="0"/>
              <w:spacing w:line="32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提供定制匹配的磁吸安装底座、真空吸盘模式安装套件</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二、配置清单</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智能音像记录终端1套（2个摄像头）、智能化管理的音像记录后台（平台）1个、安卓版专用APP软件1套，辅助安装基座2套、随机资料1套等</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808"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142"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r>
              <w:rPr>
                <w:rFonts w:hint="eastAsia" w:ascii="宋体" w:hAnsi="宋体" w:eastAsia="宋体" w:cs="宋体"/>
                <w:sz w:val="21"/>
                <w:szCs w:val="21"/>
                <w:highlight w:val="none"/>
              </w:rPr>
              <w:t>如产品有升级更新，免费升级硬件及软件，并提供相关技术支持工作</w:t>
            </w:r>
            <w:r>
              <w:rPr>
                <w:rFonts w:hint="eastAsia" w:ascii="宋体" w:hAnsi="宋体" w:eastAsia="宋体" w:cs="宋体"/>
                <w:sz w:val="21"/>
                <w:szCs w:val="21"/>
                <w:highlight w:val="none"/>
                <w:lang w:eastAsia="zh-CN"/>
              </w:rPr>
              <w:t>。</w:t>
            </w:r>
          </w:p>
        </w:tc>
      </w:tr>
    </w:tbl>
    <w:p>
      <w:pPr>
        <w:pStyle w:val="2"/>
        <w:pageBreakBefore w:val="0"/>
        <w:kinsoku/>
        <w:overflowPunct/>
        <w:topLinePunct w:val="0"/>
        <w:autoSpaceDE/>
        <w:autoSpaceDN/>
        <w:bidi w:val="0"/>
        <w:spacing w:before="0" w:after="0" w:line="240" w:lineRule="auto"/>
        <w:rPr>
          <w:rFonts w:hint="eastAsia" w:ascii="宋体" w:hAnsi="宋体" w:eastAsia="宋体" w:cs="宋体"/>
          <w:sz w:val="21"/>
          <w:szCs w:val="21"/>
        </w:rPr>
      </w:pPr>
    </w:p>
    <w:tbl>
      <w:tblPr>
        <w:tblStyle w:val="37"/>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8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654"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823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bCs/>
                <w:sz w:val="21"/>
                <w:szCs w:val="21"/>
                <w:lang w:val="en-US" w:eastAsia="zh-CN"/>
              </w:rPr>
              <w:t>10、</w:t>
            </w:r>
            <w:r>
              <w:rPr>
                <w:rFonts w:hint="eastAsia" w:ascii="宋体" w:hAnsi="宋体" w:eastAsia="宋体" w:cs="宋体"/>
                <w:bCs/>
                <w:sz w:val="21"/>
                <w:szCs w:val="21"/>
              </w:rPr>
              <w:t>电梯安全钳制动参数测</w:t>
            </w:r>
            <w:r>
              <w:rPr>
                <w:rFonts w:hint="eastAsia" w:ascii="宋体" w:hAnsi="宋体" w:eastAsia="宋体" w:cs="宋体"/>
                <w:bCs/>
                <w:sz w:val="21"/>
                <w:szCs w:val="21"/>
                <w:highlight w:val="none"/>
              </w:rPr>
              <w:t>量仪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654"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23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54"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823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电梯安全钳钳块位移、减速度及制停距离等性能缺陷检测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3" w:hRule="atLeast"/>
        </w:trPr>
        <w:tc>
          <w:tcPr>
            <w:tcW w:w="1654"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8231" w:type="dxa"/>
            <w:tcBorders>
              <w:top w:val="single" w:color="auto" w:sz="4" w:space="0"/>
              <w:left w:val="single" w:color="auto" w:sz="4" w:space="0"/>
              <w:bottom w:val="single" w:color="auto" w:sz="4" w:space="0"/>
              <w:right w:val="single" w:color="auto" w:sz="4" w:space="0"/>
            </w:tcBorders>
            <w:noWrap/>
          </w:tcPr>
          <w:p>
            <w:pPr>
              <w:pageBreakBefore w:val="0"/>
              <w:numPr>
                <w:ilvl w:val="0"/>
                <w:numId w:val="24"/>
              </w:numPr>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设备技术参数：</w:t>
            </w:r>
          </w:p>
          <w:p>
            <w:pPr>
              <w:pStyle w:val="83"/>
              <w:pageBreakBefore w:val="0"/>
              <w:kinsoku/>
              <w:overflowPunct/>
              <w:topLinePunct w:val="0"/>
              <w:autoSpaceDE/>
              <w:autoSpaceDN/>
              <w:bidi w:val="0"/>
              <w:spacing w:line="320" w:lineRule="exact"/>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1、用于电梯安全钳制动参数检测，测量安全钳钳块位移、</w:t>
            </w:r>
            <w:r>
              <w:rPr>
                <w:rFonts w:hint="eastAsia" w:ascii="宋体" w:hAnsi="宋体" w:eastAsia="宋体" w:cs="宋体"/>
                <w:sz w:val="21"/>
                <w:szCs w:val="21"/>
              </w:rPr>
              <w:t>速度、</w:t>
            </w:r>
            <w:r>
              <w:rPr>
                <w:rFonts w:hint="eastAsia" w:ascii="宋体" w:hAnsi="宋体" w:eastAsia="宋体" w:cs="宋体"/>
                <w:bCs/>
                <w:sz w:val="21"/>
                <w:szCs w:val="21"/>
              </w:rPr>
              <w:t>减速度、制停距离及制停时间的专用设备；</w:t>
            </w:r>
          </w:p>
          <w:p>
            <w:pPr>
              <w:pStyle w:val="83"/>
              <w:pageBreakBefore w:val="0"/>
              <w:kinsoku/>
              <w:overflowPunct/>
              <w:topLinePunct w:val="0"/>
              <w:autoSpaceDE/>
              <w:autoSpaceDN/>
              <w:bidi w:val="0"/>
              <w:spacing w:line="320" w:lineRule="exact"/>
              <w:ind w:firstLine="0" w:firstLineChars="0"/>
              <w:jc w:val="left"/>
              <w:rPr>
                <w:rFonts w:hint="eastAsia" w:ascii="宋体" w:hAnsi="宋体" w:eastAsia="宋体" w:cs="宋体"/>
                <w:bCs/>
                <w:sz w:val="21"/>
                <w:szCs w:val="21"/>
              </w:rPr>
            </w:pPr>
            <w:r>
              <w:rPr>
                <w:rFonts w:hint="eastAsia" w:ascii="宋体" w:hAnsi="宋体" w:cs="宋体"/>
                <w:bCs/>
                <w:color w:val="auto"/>
                <w:szCs w:val="21"/>
                <w:highlight w:val="none"/>
              </w:rPr>
              <w:t>▲</w:t>
            </w:r>
            <w:r>
              <w:rPr>
                <w:rFonts w:hint="eastAsia" w:ascii="宋体" w:hAnsi="宋体" w:eastAsia="宋体" w:cs="宋体"/>
                <w:bCs/>
                <w:sz w:val="21"/>
                <w:szCs w:val="21"/>
              </w:rPr>
              <w:t>2、</w:t>
            </w:r>
            <w:r>
              <w:rPr>
                <w:rFonts w:hint="eastAsia" w:ascii="宋体" w:hAnsi="宋体" w:eastAsia="宋体" w:cs="宋体"/>
                <w:sz w:val="21"/>
                <w:szCs w:val="21"/>
              </w:rPr>
              <w:t>测量过程中可实时显示速度位移曲线，制动后受力曲线，同时将</w:t>
            </w:r>
            <w:r>
              <w:rPr>
                <w:rFonts w:hint="eastAsia" w:ascii="宋体" w:hAnsi="宋体" w:eastAsia="宋体" w:cs="宋体"/>
                <w:bCs/>
                <w:sz w:val="21"/>
                <w:szCs w:val="21"/>
              </w:rPr>
              <w:t>位移、</w:t>
            </w:r>
            <w:r>
              <w:rPr>
                <w:rFonts w:hint="eastAsia" w:ascii="宋体" w:hAnsi="宋体" w:eastAsia="宋体" w:cs="宋体"/>
                <w:sz w:val="21"/>
                <w:szCs w:val="21"/>
              </w:rPr>
              <w:t>速度、</w:t>
            </w:r>
            <w:r>
              <w:rPr>
                <w:rFonts w:hint="eastAsia" w:ascii="宋体" w:hAnsi="宋体" w:eastAsia="宋体" w:cs="宋体"/>
                <w:bCs/>
                <w:sz w:val="21"/>
                <w:szCs w:val="21"/>
              </w:rPr>
              <w:t>减速度、制停距离及制停数据提取计算并显示，一次测量即可完成上述相关参数的采集，通过内部集成算法可间接测量2个钳块的位移并直观显示；</w:t>
            </w:r>
          </w:p>
          <w:p>
            <w:pPr>
              <w:pStyle w:val="83"/>
              <w:pageBreakBefore w:val="0"/>
              <w:kinsoku/>
              <w:overflowPunct/>
              <w:topLinePunct w:val="0"/>
              <w:autoSpaceDE/>
              <w:autoSpaceDN/>
              <w:bidi w:val="0"/>
              <w:spacing w:line="320" w:lineRule="exact"/>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3、具有电梯运行舒适性检测功能，即可本机测量亦可联机测量适用于不同测量环境，联机测量时可实现手持终端与测量模块双屏显示，确保数据通讯的实时性；</w:t>
            </w:r>
          </w:p>
          <w:p>
            <w:pPr>
              <w:pStyle w:val="83"/>
              <w:pageBreakBefore w:val="0"/>
              <w:kinsoku/>
              <w:overflowPunct/>
              <w:topLinePunct w:val="0"/>
              <w:autoSpaceDE/>
              <w:autoSpaceDN/>
              <w:bidi w:val="0"/>
              <w:spacing w:line="320" w:lineRule="exact"/>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4、采用安卓系统控制终端无线测量，与测量主机采用无线形式连接，方便便捷；</w:t>
            </w:r>
          </w:p>
          <w:p>
            <w:pPr>
              <w:pStyle w:val="83"/>
              <w:pageBreakBefore w:val="0"/>
              <w:kinsoku/>
              <w:overflowPunct/>
              <w:topLinePunct w:val="0"/>
              <w:autoSpaceDE/>
              <w:autoSpaceDN/>
              <w:bidi w:val="0"/>
              <w:spacing w:line="320" w:lineRule="exact"/>
              <w:ind w:firstLine="0" w:firstLineChars="0"/>
              <w:jc w:val="left"/>
              <w:rPr>
                <w:rFonts w:hint="eastAsia" w:ascii="宋体" w:hAnsi="宋体" w:eastAsia="宋体" w:cs="宋体"/>
                <w:bCs/>
                <w:sz w:val="21"/>
                <w:szCs w:val="21"/>
                <w:lang w:eastAsia="zh-CN"/>
              </w:rPr>
            </w:pPr>
            <w:r>
              <w:rPr>
                <w:rFonts w:hint="eastAsia" w:ascii="宋体" w:hAnsi="宋体" w:eastAsia="宋体" w:cs="宋体"/>
                <w:bCs/>
                <w:sz w:val="21"/>
                <w:szCs w:val="21"/>
              </w:rPr>
              <w:t>5、内部集成频谱分析，可间接测量并提取出电梯安全钳在制动过程中两个钳块共同作用所产生的频域信息，进而分析其振动情况，并通过终端显示</w:t>
            </w:r>
            <w:r>
              <w:rPr>
                <w:rFonts w:hint="eastAsia" w:ascii="宋体" w:hAnsi="宋体" w:cs="宋体"/>
                <w:bCs/>
                <w:sz w:val="21"/>
                <w:szCs w:val="21"/>
                <w:lang w:eastAsia="zh-CN"/>
              </w:rPr>
              <w:t>；</w:t>
            </w:r>
          </w:p>
          <w:p>
            <w:pPr>
              <w:pStyle w:val="83"/>
              <w:pageBreakBefore w:val="0"/>
              <w:kinsoku/>
              <w:overflowPunct/>
              <w:topLinePunct w:val="0"/>
              <w:autoSpaceDE/>
              <w:autoSpaceDN/>
              <w:bidi w:val="0"/>
              <w:spacing w:line="320" w:lineRule="exact"/>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6、配置专用处理软件。可实现数据的采集、检测数据分析、显示、储存、打印、建档等处理一次完成；可实现即时查阅检测数据、波形图表、分析报告等检测结果；</w:t>
            </w:r>
          </w:p>
          <w:p>
            <w:pPr>
              <w:pStyle w:val="83"/>
              <w:pageBreakBefore w:val="0"/>
              <w:kinsoku/>
              <w:overflowPunct/>
              <w:topLinePunct w:val="0"/>
              <w:autoSpaceDE/>
              <w:autoSpaceDN/>
              <w:bidi w:val="0"/>
              <w:spacing w:line="320" w:lineRule="exact"/>
              <w:ind w:firstLine="0" w:firstLineChars="0"/>
              <w:jc w:val="left"/>
              <w:rPr>
                <w:rFonts w:hint="eastAsia" w:ascii="宋体" w:hAnsi="宋体" w:eastAsia="宋体" w:cs="宋体"/>
                <w:bCs/>
                <w:sz w:val="21"/>
                <w:szCs w:val="21"/>
                <w:lang w:eastAsia="zh-CN"/>
              </w:rPr>
            </w:pPr>
            <w:r>
              <w:rPr>
                <w:rFonts w:hint="eastAsia" w:ascii="宋体" w:hAnsi="宋体" w:eastAsia="宋体" w:cs="宋体"/>
                <w:color w:val="000000"/>
                <w:sz w:val="21"/>
                <w:szCs w:val="21"/>
                <w:lang w:bidi="ar"/>
              </w:rPr>
              <w:t>7、可导出Word版检测报告，报告至少包含有：电梯编号、依据标准、测试综合结果、XYZ振动数据、运行特性数据、运行加速度曲线、运行速度曲线、位移曲线、XYZ轴振动频率计权曲线等</w:t>
            </w:r>
            <w:r>
              <w:rPr>
                <w:rFonts w:hint="eastAsia" w:ascii="宋体" w:hAnsi="宋体" w:cs="宋体"/>
                <w:color w:val="000000"/>
                <w:sz w:val="21"/>
                <w:szCs w:val="21"/>
                <w:lang w:eastAsia="zh-CN" w:bidi="ar"/>
              </w:rPr>
              <w:t>；</w:t>
            </w:r>
          </w:p>
          <w:p>
            <w:pPr>
              <w:pStyle w:val="83"/>
              <w:pageBreakBefore w:val="0"/>
              <w:kinsoku/>
              <w:overflowPunct/>
              <w:topLinePunct w:val="0"/>
              <w:autoSpaceDE/>
              <w:autoSpaceDN/>
              <w:bidi w:val="0"/>
              <w:spacing w:line="320" w:lineRule="exact"/>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8、配备符合国家标准的专用锂电池，随机循环充电，使用寿命长；</w:t>
            </w:r>
          </w:p>
          <w:p>
            <w:pPr>
              <w:pStyle w:val="83"/>
              <w:pageBreakBefore w:val="0"/>
              <w:kinsoku/>
              <w:overflowPunct/>
              <w:topLinePunct w:val="0"/>
              <w:autoSpaceDE/>
              <w:autoSpaceDN/>
              <w:bidi w:val="0"/>
              <w:spacing w:line="320" w:lineRule="exact"/>
              <w:ind w:firstLine="0" w:firstLineChars="0"/>
              <w:jc w:val="left"/>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bCs/>
                <w:sz w:val="21"/>
                <w:szCs w:val="21"/>
              </w:rPr>
              <w:t>9、制停减速度分辨率≤0.001m/s2，速度测量精度:≤1%，位移测量精度: &lt;1%，长度测量精度:≤1%，角度测量精度：0.1°；</w:t>
            </w:r>
          </w:p>
          <w:p>
            <w:pPr>
              <w:pStyle w:val="83"/>
              <w:pageBreakBefore w:val="0"/>
              <w:kinsoku/>
              <w:overflowPunct/>
              <w:topLinePunct w:val="0"/>
              <w:autoSpaceDE/>
              <w:autoSpaceDN/>
              <w:bidi w:val="0"/>
              <w:spacing w:line="320" w:lineRule="exact"/>
              <w:ind w:firstLine="0" w:firstLineChars="0"/>
              <w:jc w:val="left"/>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bCs/>
                <w:sz w:val="21"/>
                <w:szCs w:val="21"/>
              </w:rPr>
              <w:t>10、提拉力测量范围：0-5000N，测量精度：1%F.S，分辨率：0.1N；</w:t>
            </w:r>
          </w:p>
          <w:p>
            <w:pPr>
              <w:pStyle w:val="83"/>
              <w:pageBreakBefore w:val="0"/>
              <w:kinsoku/>
              <w:overflowPunct/>
              <w:topLinePunct w:val="0"/>
              <w:autoSpaceDE/>
              <w:autoSpaceDN/>
              <w:bidi w:val="0"/>
              <w:spacing w:line="320" w:lineRule="exact"/>
              <w:ind w:firstLine="0" w:firstLineChars="0"/>
              <w:jc w:val="left"/>
              <w:rPr>
                <w:rFonts w:hint="eastAsia" w:ascii="宋体" w:hAnsi="宋体" w:eastAsia="宋体" w:cs="宋体"/>
                <w:bCs/>
                <w:sz w:val="21"/>
                <w:szCs w:val="21"/>
                <w:lang w:eastAsia="zh-CN"/>
              </w:rPr>
            </w:pPr>
            <w:r>
              <w:rPr>
                <w:rFonts w:hint="eastAsia" w:ascii="宋体" w:hAnsi="宋体" w:eastAsia="宋体" w:cs="宋体"/>
                <w:bCs/>
                <w:sz w:val="21"/>
                <w:szCs w:val="21"/>
              </w:rPr>
              <w:t>11、舒适性检测：可同时测量3轴（X，Y，Z轴）的加速度</w:t>
            </w:r>
            <w:r>
              <w:rPr>
                <w:rFonts w:hint="eastAsia" w:ascii="宋体" w:hAnsi="宋体" w:eastAsia="宋体" w:cs="宋体"/>
                <w:bCs/>
                <w:sz w:val="21"/>
                <w:szCs w:val="21"/>
                <w:lang w:eastAsia="zh-CN"/>
              </w:rPr>
              <w:t>，</w:t>
            </w:r>
            <w:r>
              <w:rPr>
                <w:rFonts w:hint="eastAsia" w:ascii="宋体" w:hAnsi="宋体" w:eastAsia="宋体" w:cs="宋体"/>
                <w:bCs/>
                <w:sz w:val="21"/>
                <w:szCs w:val="21"/>
              </w:rPr>
              <w:t>加速度传感器量程：±2g、加速度传感器采样速率：256Hz、加速度传感器分辨率：±5mg</w:t>
            </w:r>
            <w:r>
              <w:rPr>
                <w:rFonts w:hint="eastAsia" w:ascii="宋体" w:hAnsi="宋体" w:cs="宋体"/>
                <w:bCs/>
                <w:sz w:val="21"/>
                <w:szCs w:val="21"/>
                <w:lang w:eastAsia="zh-CN"/>
              </w:rPr>
              <w:t>；</w:t>
            </w:r>
          </w:p>
          <w:p>
            <w:pPr>
              <w:pStyle w:val="83"/>
              <w:pageBreakBefore w:val="0"/>
              <w:kinsoku/>
              <w:overflowPunct/>
              <w:topLinePunct w:val="0"/>
              <w:autoSpaceDE/>
              <w:autoSpaceDN/>
              <w:bidi w:val="0"/>
              <w:spacing w:line="320" w:lineRule="exact"/>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12、工作电压 : DC 12V；</w:t>
            </w:r>
          </w:p>
          <w:p>
            <w:pPr>
              <w:pStyle w:val="83"/>
              <w:pageBreakBefore w:val="0"/>
              <w:kinsoku/>
              <w:overflowPunct/>
              <w:topLinePunct w:val="0"/>
              <w:autoSpaceDE/>
              <w:autoSpaceDN/>
              <w:bidi w:val="0"/>
              <w:spacing w:line="320" w:lineRule="exact"/>
              <w:ind w:firstLine="0" w:firstLineChars="0"/>
              <w:jc w:val="left"/>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13、</w:t>
            </w:r>
            <w:r>
              <w:rPr>
                <w:rFonts w:hint="eastAsia" w:ascii="宋体" w:hAnsi="宋体" w:eastAsia="宋体" w:cs="宋体"/>
                <w:bCs/>
                <w:sz w:val="21"/>
                <w:szCs w:val="21"/>
              </w:rPr>
              <w:t>工作温度 : -10℃～50℃</w:t>
            </w:r>
            <w:r>
              <w:rPr>
                <w:rFonts w:hint="eastAsia" w:ascii="宋体" w:hAnsi="宋体" w:eastAsia="宋体" w:cs="宋体"/>
                <w:bCs/>
                <w:sz w:val="21"/>
                <w:szCs w:val="21"/>
                <w:lang w:eastAsia="zh-CN"/>
              </w:rPr>
              <w:t>。</w:t>
            </w:r>
          </w:p>
          <w:p>
            <w:pPr>
              <w:pStyle w:val="83"/>
              <w:pageBreakBefore w:val="0"/>
              <w:kinsoku/>
              <w:overflowPunct/>
              <w:topLinePunct w:val="0"/>
              <w:autoSpaceDE/>
              <w:autoSpaceDN/>
              <w:bidi w:val="0"/>
              <w:spacing w:line="320" w:lineRule="exact"/>
              <w:ind w:firstLine="0" w:firstLineChars="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二、</w:t>
            </w:r>
            <w:r>
              <w:rPr>
                <w:rFonts w:hint="eastAsia" w:ascii="宋体" w:hAnsi="宋体" w:eastAsia="宋体" w:cs="宋体"/>
                <w:bCs/>
                <w:sz w:val="21"/>
                <w:szCs w:val="21"/>
              </w:rPr>
              <w:t>产品配置：</w:t>
            </w:r>
          </w:p>
          <w:p>
            <w:pPr>
              <w:pageBreakBefore w:val="0"/>
              <w:kinsoku/>
              <w:overflowPunct/>
              <w:topLinePunct w:val="0"/>
              <w:autoSpaceDE/>
              <w:autoSpaceDN/>
              <w:bidi w:val="0"/>
              <w:spacing w:line="32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安卓系统手持终端及其充电器1套、测量主机1台、速度采集装置1套、受力传感器1套、蓝牙天线1根、12V充电器1个、蓝牙打印机及其充电器1套、使用说明书1份、保修卡1份、合格证1份、出厂检验报告1份、检测报告（第三方）1份、仪器箱1个。</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其他要求：</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highlight w:val="none"/>
                <w:lang w:eastAsia="zh-CN"/>
              </w:rPr>
              <w:t>培训方案：</w:t>
            </w:r>
            <w:r>
              <w:rPr>
                <w:rFonts w:hint="eastAsia" w:ascii="宋体" w:hAnsi="宋体" w:eastAsia="宋体" w:cs="宋体"/>
                <w:sz w:val="21"/>
                <w:szCs w:val="21"/>
                <w:highlight w:val="none"/>
                <w:lang w:val="en-US" w:eastAsia="zh-CN"/>
              </w:rPr>
              <w:t>厂家免费上门安排培训。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654"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231"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ageBreakBefore w:val="0"/>
        <w:kinsoku/>
        <w:overflowPunct/>
        <w:topLinePunct w:val="0"/>
        <w:autoSpaceDE/>
        <w:autoSpaceDN/>
        <w:bidi w:val="0"/>
        <w:spacing w:line="320" w:lineRule="exact"/>
        <w:rPr>
          <w:rFonts w:hint="eastAsia" w:ascii="宋体" w:hAnsi="宋体" w:eastAsia="宋体" w:cs="宋体"/>
          <w:sz w:val="21"/>
          <w:szCs w:val="21"/>
        </w:rPr>
      </w:pPr>
    </w:p>
    <w:tbl>
      <w:tblPr>
        <w:tblStyle w:val="37"/>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仪器名称</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bCs/>
                <w:sz w:val="21"/>
                <w:szCs w:val="21"/>
                <w:lang w:val="en-US" w:eastAsia="zh-CN"/>
              </w:rPr>
              <w:t>11、</w:t>
            </w:r>
            <w:r>
              <w:rPr>
                <w:rFonts w:hint="eastAsia" w:ascii="宋体" w:hAnsi="宋体" w:eastAsia="宋体" w:cs="宋体"/>
                <w:bCs/>
                <w:sz w:val="21"/>
                <w:szCs w:val="21"/>
              </w:rPr>
              <w:t>厂车电池与盖板间隙测试仪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ind w:firstLine="105" w:firstLineChars="50"/>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仪器用途</w:t>
            </w:r>
          </w:p>
        </w:tc>
        <w:tc>
          <w:tcPr>
            <w:tcW w:w="8126"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场内机动车辆电池安全间隙检测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1"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技术指标要求</w:t>
            </w:r>
          </w:p>
        </w:tc>
        <w:tc>
          <w:tcPr>
            <w:tcW w:w="8126" w:type="dxa"/>
            <w:tcBorders>
              <w:top w:val="single" w:color="auto" w:sz="4" w:space="0"/>
              <w:left w:val="single" w:color="auto" w:sz="4" w:space="0"/>
              <w:bottom w:val="single" w:color="auto" w:sz="4" w:space="0"/>
              <w:right w:val="single" w:color="auto" w:sz="4" w:space="0"/>
            </w:tcBorders>
            <w:noWrap/>
          </w:tcPr>
          <w:p>
            <w:pPr>
              <w:pageBreakBefore w:val="0"/>
              <w:numPr>
                <w:ilvl w:val="0"/>
                <w:numId w:val="25"/>
              </w:numPr>
              <w:kinsoku/>
              <w:overflowPunct/>
              <w:topLinePunct w:val="0"/>
              <w:autoSpaceDE/>
              <w:autoSpaceDN/>
              <w:bidi w:val="0"/>
              <w:spacing w:line="320" w:lineRule="exact"/>
              <w:ind w:left="0"/>
              <w:rPr>
                <w:rFonts w:hint="eastAsia" w:ascii="宋体" w:hAnsi="宋体" w:eastAsia="宋体" w:cs="宋体"/>
                <w:sz w:val="21"/>
                <w:szCs w:val="21"/>
              </w:rPr>
            </w:pPr>
            <w:r>
              <w:rPr>
                <w:rFonts w:hint="eastAsia" w:ascii="宋体" w:hAnsi="宋体" w:eastAsia="宋体" w:cs="宋体"/>
                <w:sz w:val="21"/>
                <w:szCs w:val="21"/>
              </w:rPr>
              <w:t>一、设备技术参数：</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1、可进行厂车叉车等电池安全间隙检测在线快速测量，采用无线安卓系统终端即可完成数据检测，操作便捷单人即可完成操作。</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2、内置锂电池，循环充电使用，提高了检测设备的使用寿命，缺电时可使用充电宝临时充电延长使用时间。</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3、提供两种测量形式，以满足不同现场下的测量，引导式操作</w:t>
            </w:r>
            <w:r>
              <w:rPr>
                <w:rFonts w:hint="eastAsia" w:ascii="宋体" w:hAnsi="宋体" w:cs="宋体"/>
                <w:sz w:val="21"/>
                <w:szCs w:val="21"/>
                <w:lang w:val="en-US" w:eastAsia="zh-CN"/>
              </w:rPr>
              <w:t>使</w:t>
            </w:r>
            <w:r>
              <w:rPr>
                <w:rFonts w:hint="eastAsia" w:ascii="宋体" w:hAnsi="宋体" w:eastAsia="宋体" w:cs="宋体"/>
                <w:sz w:val="21"/>
                <w:szCs w:val="21"/>
              </w:rPr>
              <w:t>测量更简便。</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4、采用微型高精度传感器，采样精度高，采样速度快，有效的提高了仪器的测量精度。</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5、测量范围：0.04-1.6m；分辨率：1mm；测量精度：1%</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6、手持式Android系统数据分析系统终端（含检测系统软件）：安卓测试终端，8英寸，运行内存：3GB，内存容量：32GB，分辨率：1280*800，CPU:MTK helio P22T</w:t>
            </w:r>
            <w:r>
              <w:rPr>
                <w:rFonts w:hint="eastAsia" w:ascii="宋体" w:hAnsi="宋体" w:cs="宋体"/>
                <w:sz w:val="21"/>
                <w:szCs w:val="21"/>
                <w:lang w:eastAsia="zh-CN"/>
              </w:rPr>
              <w:t>。</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lang w:val="en-US" w:eastAsia="zh-CN"/>
              </w:rPr>
              <w:t>二、</w:t>
            </w:r>
            <w:r>
              <w:rPr>
                <w:rFonts w:hint="eastAsia" w:ascii="宋体" w:hAnsi="宋体" w:eastAsia="宋体" w:cs="宋体"/>
                <w:sz w:val="21"/>
                <w:szCs w:val="21"/>
              </w:rPr>
              <w:t>产品配置：</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数据分析系统终端（带专用测试软件）1台，叉车电梯安全间隙检测主机1台，充电器1个。配套文件：使用说明书1份、保修卡1份、合格证1份、出厂检验报告1份、检测报告（第三方）1份。</w:t>
            </w:r>
          </w:p>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其他要求：</w:t>
            </w:r>
          </w:p>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highlight w:val="none"/>
                <w:lang w:eastAsia="zh-CN"/>
              </w:rPr>
              <w:t>培训方案：</w:t>
            </w:r>
            <w:r>
              <w:rPr>
                <w:rFonts w:hint="eastAsia" w:ascii="宋体" w:hAnsi="宋体" w:eastAsia="宋体" w:cs="宋体"/>
                <w:sz w:val="21"/>
                <w:szCs w:val="21"/>
                <w:highlight w:val="none"/>
                <w:lang w:val="en-US" w:eastAsia="zh-CN"/>
              </w:rPr>
              <w:t>厂家免费上门安排培训。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126"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Style w:val="2"/>
        <w:rPr>
          <w:rFonts w:hint="eastAsia"/>
        </w:rPr>
      </w:pPr>
    </w:p>
    <w:tbl>
      <w:tblPr>
        <w:tblStyle w:val="37"/>
        <w:tblW w:w="9884" w:type="dxa"/>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8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5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仪器名称</w:t>
            </w:r>
          </w:p>
        </w:tc>
        <w:tc>
          <w:tcPr>
            <w:tcW w:w="8134"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12、</w:t>
            </w:r>
            <w:r>
              <w:rPr>
                <w:rFonts w:hint="eastAsia" w:ascii="宋体" w:hAnsi="宋体" w:eastAsia="宋体" w:cs="宋体"/>
                <w:bCs/>
                <w:sz w:val="21"/>
                <w:szCs w:val="21"/>
              </w:rPr>
              <w:t>电梯超载检测仪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5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134"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仪器用途</w:t>
            </w:r>
          </w:p>
        </w:tc>
        <w:tc>
          <w:tcPr>
            <w:tcW w:w="8134"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用于电梯超载保护功能的验证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75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技术指标要求</w:t>
            </w:r>
          </w:p>
        </w:tc>
        <w:tc>
          <w:tcPr>
            <w:tcW w:w="8134" w:type="dxa"/>
            <w:tcBorders>
              <w:top w:val="single" w:color="auto" w:sz="4" w:space="0"/>
              <w:left w:val="single" w:color="auto" w:sz="4" w:space="0"/>
              <w:bottom w:val="single" w:color="auto" w:sz="4" w:space="0"/>
              <w:right w:val="single" w:color="auto" w:sz="4" w:space="0"/>
            </w:tcBorders>
            <w:noWrap/>
            <w:vAlign w:val="top"/>
          </w:tcPr>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一、功能概述</w:t>
            </w:r>
          </w:p>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1、采用模拟实际载荷的方法对电梯的超载限制器进行检测试验，能适用轿底安装、机房安装、轿顶安装、绳头安装等各种电梯超载限制器的试验检测，不需要砝码等载荷。</w:t>
            </w:r>
          </w:p>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2、无论电梯称重器安装在任何位置，采用任何称重原理都能适用，具有安装使用方便，通用性更强，准确度高，便于携带。</w:t>
            </w:r>
          </w:p>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3、机房和轿顶安装最大能检测5000㎏，轿底安装最大能检测到2000㎏。</w:t>
            </w:r>
          </w:p>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4、可以外接电源，也可以使用所配蓄电池。</w:t>
            </w:r>
          </w:p>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5、可检测、记录并保存电梯超载限制器当前的设定值：电梯实际报警载荷值及占额载的百分比，电梯实际超载动作时载荷值及占额载的百分比，从而判定电梯超载限制器设定值是否有效准确。</w:t>
            </w:r>
          </w:p>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6、可通过配备遥控器对加载和卸载进行控制。</w:t>
            </w:r>
          </w:p>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7、本设备不需要用砝码等载荷模拟实际载荷给电梯超载限制器进行标定，从而解除的租用和搬运重物烦劳工作，能有效降低工作量和检验风险，提高工作效率。</w:t>
            </w:r>
          </w:p>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二、技术参数</w:t>
            </w:r>
          </w:p>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1、超载限制器0-1000㎏      精度1%</w:t>
            </w:r>
            <w:r>
              <w:rPr>
                <w:rFonts w:hint="eastAsia" w:ascii="宋体" w:hAnsi="宋体" w:cs="宋体"/>
                <w:color w:val="000000"/>
                <w:sz w:val="21"/>
                <w:szCs w:val="21"/>
                <w:lang w:eastAsia="zh-CN"/>
              </w:rPr>
              <w:t>；</w:t>
            </w:r>
          </w:p>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2、超载限制器1000-2000㎏   精度2%</w:t>
            </w:r>
            <w:r>
              <w:rPr>
                <w:rFonts w:hint="eastAsia" w:ascii="宋体" w:hAnsi="宋体" w:cs="宋体"/>
                <w:color w:val="000000"/>
                <w:sz w:val="21"/>
                <w:szCs w:val="21"/>
                <w:lang w:eastAsia="zh-CN"/>
              </w:rPr>
              <w:t>；</w:t>
            </w:r>
          </w:p>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3、超载限制器2000-5000㎏   精度3%</w:t>
            </w:r>
            <w:r>
              <w:rPr>
                <w:rFonts w:hint="eastAsia" w:ascii="宋体" w:hAnsi="宋体" w:cs="宋体"/>
                <w:color w:val="000000"/>
                <w:sz w:val="21"/>
                <w:szCs w:val="21"/>
                <w:lang w:eastAsia="zh-CN"/>
              </w:rPr>
              <w:t>；</w:t>
            </w:r>
          </w:p>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4、模拟施加载荷速率(二档)    5mm/s,10mm/s</w:t>
            </w:r>
            <w:r>
              <w:rPr>
                <w:rFonts w:hint="eastAsia" w:ascii="宋体" w:hAnsi="宋体" w:cs="宋体"/>
                <w:color w:val="000000"/>
                <w:sz w:val="21"/>
                <w:szCs w:val="21"/>
                <w:lang w:eastAsia="zh-CN"/>
              </w:rPr>
              <w:t>；</w:t>
            </w:r>
          </w:p>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5、温度：－20 ℃ －60℃</w:t>
            </w:r>
            <w:r>
              <w:rPr>
                <w:rFonts w:hint="eastAsia" w:ascii="宋体" w:hAnsi="宋体" w:cs="宋体"/>
                <w:color w:val="000000"/>
                <w:sz w:val="21"/>
                <w:szCs w:val="21"/>
                <w:lang w:eastAsia="zh-CN"/>
              </w:rPr>
              <w:t>；</w:t>
            </w:r>
          </w:p>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6、显示屏：不小于10英寸触摸屏</w:t>
            </w:r>
            <w:r>
              <w:rPr>
                <w:rFonts w:hint="eastAsia" w:ascii="宋体" w:hAnsi="宋体" w:cs="宋体"/>
                <w:color w:val="000000"/>
                <w:sz w:val="21"/>
                <w:szCs w:val="21"/>
                <w:lang w:eastAsia="zh-CN"/>
              </w:rPr>
              <w:t>；</w:t>
            </w:r>
          </w:p>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7、湿度：0－80%</w:t>
            </w:r>
            <w:r>
              <w:rPr>
                <w:rFonts w:hint="eastAsia" w:ascii="宋体" w:hAnsi="宋体" w:cs="宋体"/>
                <w:color w:val="000000"/>
                <w:sz w:val="21"/>
                <w:szCs w:val="21"/>
                <w:lang w:eastAsia="zh-CN"/>
              </w:rPr>
              <w:t>；</w:t>
            </w:r>
          </w:p>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8、电磁环境：没有强电磁干扰的场所。</w:t>
            </w:r>
          </w:p>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三、主要配置</w:t>
            </w:r>
          </w:p>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1、控制主机（控制装置）1个</w:t>
            </w:r>
            <w:r>
              <w:rPr>
                <w:rFonts w:hint="eastAsia" w:ascii="宋体" w:hAnsi="宋体" w:cs="宋体"/>
                <w:color w:val="000000"/>
                <w:sz w:val="21"/>
                <w:szCs w:val="21"/>
                <w:lang w:eastAsia="zh-CN"/>
              </w:rPr>
              <w:t>；</w:t>
            </w:r>
          </w:p>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2、模拟施加载荷元件2套</w:t>
            </w:r>
            <w:r>
              <w:rPr>
                <w:rFonts w:hint="eastAsia" w:ascii="宋体" w:hAnsi="宋体" w:cs="宋体"/>
                <w:color w:val="000000"/>
                <w:sz w:val="21"/>
                <w:szCs w:val="21"/>
                <w:lang w:eastAsia="zh-CN"/>
              </w:rPr>
              <w:t>；</w:t>
            </w:r>
          </w:p>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3、测量传感器及采集装置2个</w:t>
            </w:r>
            <w:r>
              <w:rPr>
                <w:rFonts w:hint="eastAsia" w:ascii="宋体" w:hAnsi="宋体" w:cs="宋体"/>
                <w:color w:val="000000"/>
                <w:sz w:val="21"/>
                <w:szCs w:val="21"/>
                <w:lang w:eastAsia="zh-CN"/>
              </w:rPr>
              <w:t>；</w:t>
            </w:r>
          </w:p>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4、配套蓄电池 1组</w:t>
            </w:r>
            <w:r>
              <w:rPr>
                <w:rFonts w:hint="eastAsia" w:ascii="宋体" w:hAnsi="宋体" w:cs="宋体"/>
                <w:color w:val="000000"/>
                <w:sz w:val="21"/>
                <w:szCs w:val="21"/>
                <w:lang w:eastAsia="zh-CN"/>
              </w:rPr>
              <w:t>；</w:t>
            </w:r>
          </w:p>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5、相关连接线和充电器等1套</w:t>
            </w:r>
            <w:r>
              <w:rPr>
                <w:rFonts w:hint="eastAsia" w:ascii="宋体" w:hAnsi="宋体" w:cs="宋体"/>
                <w:color w:val="000000"/>
                <w:sz w:val="21"/>
                <w:szCs w:val="21"/>
                <w:lang w:eastAsia="zh-CN"/>
              </w:rPr>
              <w:t>；</w:t>
            </w:r>
          </w:p>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6、遥控器 1个</w:t>
            </w:r>
            <w:r>
              <w:rPr>
                <w:rFonts w:hint="eastAsia" w:ascii="宋体" w:hAnsi="宋体" w:cs="宋体"/>
                <w:color w:val="000000"/>
                <w:sz w:val="21"/>
                <w:szCs w:val="21"/>
                <w:lang w:eastAsia="zh-CN"/>
              </w:rPr>
              <w:t>；</w:t>
            </w:r>
          </w:p>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7、箱体 1个</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50"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134"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color w:val="000000"/>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sz w:val="21"/>
          <w:szCs w:val="21"/>
        </w:rPr>
      </w:pPr>
    </w:p>
    <w:tbl>
      <w:tblPr>
        <w:tblStyle w:val="37"/>
        <w:tblW w:w="9859"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仪器名称</w:t>
            </w:r>
          </w:p>
        </w:tc>
        <w:tc>
          <w:tcPr>
            <w:tcW w:w="81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13、</w:t>
            </w:r>
            <w:r>
              <w:rPr>
                <w:rFonts w:hint="eastAsia" w:ascii="宋体" w:hAnsi="宋体" w:eastAsia="宋体" w:cs="宋体"/>
                <w:bCs/>
                <w:sz w:val="21"/>
                <w:szCs w:val="21"/>
              </w:rPr>
              <w:t>电扶梯运行特性分析仪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1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仪器用途</w:t>
            </w:r>
          </w:p>
        </w:tc>
        <w:tc>
          <w:tcPr>
            <w:tcW w:w="81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根据最新标准用于电梯和扶梯的乘运质量综合测试、分析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技术指标要求</w:t>
            </w:r>
          </w:p>
        </w:tc>
        <w:tc>
          <w:tcPr>
            <w:tcW w:w="8117"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一、技术参数</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20" w:lineRule="exact"/>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sz w:val="21"/>
                <w:szCs w:val="21"/>
              </w:rPr>
              <w:t>符合标准GB/T 24474.1—2020《电梯乘运质量测量 第1部分 电梯》和GB/T 24474.2—2020《电梯乘运质量测量 第2部分 自动扶梯和自动人行道》的技术要求</w:t>
            </w:r>
            <w:r>
              <w:rPr>
                <w:rFonts w:hint="eastAsia" w:ascii="宋体" w:hAnsi="宋体" w:cs="宋体"/>
                <w:sz w:val="21"/>
                <w:szCs w:val="21"/>
                <w:lang w:eastAsia="zh-CN"/>
              </w:rPr>
              <w:t>；</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20" w:lineRule="exact"/>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电梯测试包括乘用质量和制动性能测试；扶梯测试包括乘用质量、制动性能、倾角测试和速度测试</w:t>
            </w:r>
            <w:r>
              <w:rPr>
                <w:rFonts w:hint="eastAsia" w:ascii="宋体" w:hAnsi="宋体" w:eastAsia="宋体" w:cs="宋体"/>
                <w:kern w:val="0"/>
                <w:sz w:val="21"/>
                <w:szCs w:val="21"/>
                <w:lang w:eastAsia="zh-CN"/>
              </w:rPr>
              <w:t>；</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20" w:lineRule="exact"/>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仪器自动生成加加速度曲线、低通滤波曲线、频率计权曲线、快速傅里叶曲线、三轴曲线、噪声曲线等相关曲线图，曲线界面可任意点击显示坐标数据</w:t>
            </w:r>
            <w:r>
              <w:rPr>
                <w:rFonts w:hint="eastAsia" w:ascii="宋体" w:hAnsi="宋体" w:cs="宋体"/>
                <w:kern w:val="0"/>
                <w:sz w:val="21"/>
                <w:szCs w:val="21"/>
                <w:lang w:eastAsia="zh-CN"/>
              </w:rPr>
              <w:t>；</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20" w:lineRule="exact"/>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仪器主机采用安卓平板或手机</w:t>
            </w:r>
            <w:r>
              <w:rPr>
                <w:rFonts w:hint="eastAsia" w:ascii="宋体" w:hAnsi="宋体" w:cs="宋体"/>
                <w:kern w:val="0"/>
                <w:sz w:val="21"/>
                <w:szCs w:val="21"/>
                <w:lang w:eastAsia="zh-CN"/>
              </w:rPr>
              <w:t>；</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20" w:lineRule="exact"/>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主机内置蓝牙，WIFI无线连接模块</w:t>
            </w:r>
            <w:r>
              <w:rPr>
                <w:rFonts w:hint="eastAsia" w:ascii="宋体" w:hAnsi="宋体" w:cs="宋体"/>
                <w:kern w:val="0"/>
                <w:sz w:val="21"/>
                <w:szCs w:val="21"/>
                <w:lang w:eastAsia="zh-CN"/>
              </w:rPr>
              <w:t>；</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20" w:lineRule="exact"/>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专用软件：</w:t>
            </w:r>
            <w:r>
              <w:rPr>
                <w:rFonts w:hint="eastAsia" w:ascii="宋体" w:hAnsi="宋体" w:eastAsia="宋体" w:cs="宋体"/>
                <w:sz w:val="21"/>
                <w:szCs w:val="21"/>
              </w:rPr>
              <w:t>电扶梯乘运质量测量分析软件，可以扩展安装在智能手机等安卓系统终端</w:t>
            </w:r>
            <w:r>
              <w:rPr>
                <w:rFonts w:hint="eastAsia" w:ascii="宋体" w:hAnsi="宋体" w:cs="宋体"/>
                <w:sz w:val="21"/>
                <w:szCs w:val="21"/>
                <w:lang w:eastAsia="zh-CN"/>
              </w:rPr>
              <w:t>；</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20" w:lineRule="exact"/>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工作电压：内置3.7V锂电池，</w:t>
            </w:r>
            <w:r>
              <w:rPr>
                <w:rFonts w:hint="eastAsia" w:ascii="宋体" w:hAnsi="宋体" w:eastAsia="宋体" w:cs="宋体"/>
                <w:sz w:val="21"/>
                <w:szCs w:val="21"/>
              </w:rPr>
              <w:t>具有</w:t>
            </w:r>
            <w:r>
              <w:rPr>
                <w:rFonts w:hint="eastAsia" w:ascii="宋体" w:hAnsi="宋体" w:eastAsia="宋体" w:cs="宋体"/>
                <w:kern w:val="0"/>
                <w:sz w:val="21"/>
                <w:szCs w:val="21"/>
              </w:rPr>
              <w:t>低电量提醒、充电指示功能</w:t>
            </w:r>
            <w:r>
              <w:rPr>
                <w:rFonts w:hint="eastAsia" w:ascii="宋体" w:hAnsi="宋体" w:cs="宋体"/>
                <w:kern w:val="0"/>
                <w:sz w:val="21"/>
                <w:szCs w:val="21"/>
                <w:lang w:eastAsia="zh-CN"/>
              </w:rPr>
              <w:t>；</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20" w:lineRule="exact"/>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传感器：具有高精度三轴加速度传感器（X/Y/Z）、麦克风模块</w:t>
            </w:r>
            <w:r>
              <w:rPr>
                <w:rFonts w:hint="eastAsia" w:ascii="宋体" w:hAnsi="宋体" w:cs="宋体"/>
                <w:kern w:val="0"/>
                <w:sz w:val="21"/>
                <w:szCs w:val="21"/>
                <w:lang w:eastAsia="zh-CN"/>
              </w:rPr>
              <w:t>；</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20" w:lineRule="exact"/>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测量范围：±2g</w:t>
            </w:r>
            <w:r>
              <w:rPr>
                <w:rFonts w:hint="eastAsia" w:ascii="宋体" w:hAnsi="宋体" w:eastAsia="宋体" w:cs="宋体"/>
                <w:sz w:val="21"/>
                <w:szCs w:val="21"/>
              </w:rPr>
              <w:t>（可扩展）</w:t>
            </w:r>
            <w:r>
              <w:rPr>
                <w:rFonts w:hint="eastAsia" w:ascii="宋体" w:hAnsi="宋体" w:cs="宋体"/>
                <w:sz w:val="21"/>
                <w:szCs w:val="21"/>
                <w:lang w:eastAsia="zh-CN"/>
              </w:rPr>
              <w:t>；</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20" w:lineRule="exact"/>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分辨率： 加速度≤0.001m/s2， 速度≤0.001m/s</w:t>
            </w:r>
            <w:r>
              <w:rPr>
                <w:rFonts w:hint="eastAsia" w:ascii="宋体" w:hAnsi="宋体" w:cs="宋体"/>
                <w:kern w:val="0"/>
                <w:sz w:val="21"/>
                <w:szCs w:val="21"/>
                <w:lang w:eastAsia="zh-CN"/>
              </w:rPr>
              <w:t>；</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20" w:lineRule="exact"/>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加速度测量准确度：≤2%</w:t>
            </w:r>
            <w:r>
              <w:rPr>
                <w:rFonts w:hint="eastAsia" w:ascii="宋体" w:hAnsi="宋体" w:cs="宋体"/>
                <w:kern w:val="0"/>
                <w:sz w:val="21"/>
                <w:szCs w:val="21"/>
                <w:lang w:eastAsia="zh-CN"/>
              </w:rPr>
              <w:t>；</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20" w:lineRule="exact"/>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频率响应 ：0-2.4KHZ</w:t>
            </w:r>
            <w:r>
              <w:rPr>
                <w:rFonts w:hint="eastAsia" w:ascii="宋体" w:hAnsi="宋体" w:cs="宋体"/>
                <w:kern w:val="0"/>
                <w:sz w:val="21"/>
                <w:szCs w:val="21"/>
                <w:lang w:eastAsia="zh-CN"/>
              </w:rPr>
              <w:t>；</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20" w:lineRule="exact"/>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可扩展噪声测量：30-130dB，噪声测量准确度：0.5dB</w:t>
            </w:r>
            <w:r>
              <w:rPr>
                <w:rFonts w:hint="eastAsia" w:ascii="宋体" w:hAnsi="宋体" w:cs="宋体"/>
                <w:kern w:val="0"/>
                <w:sz w:val="21"/>
                <w:szCs w:val="21"/>
                <w:lang w:eastAsia="zh-CN"/>
              </w:rPr>
              <w:t>；</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20" w:lineRule="exact"/>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直梯采样频率 500SPS、扶梯采样频率可达3000SPS</w:t>
            </w:r>
            <w:r>
              <w:rPr>
                <w:rFonts w:hint="eastAsia" w:ascii="宋体" w:hAnsi="宋体" w:cs="宋体"/>
                <w:kern w:val="0"/>
                <w:sz w:val="21"/>
                <w:szCs w:val="21"/>
                <w:lang w:eastAsia="zh-CN"/>
              </w:rPr>
              <w:t>；</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20" w:lineRule="exact"/>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一次性完成噪音、速度、高度、加速度、加加速度、V95, A95、振动峰峰值等参数的采集和分析，分析过程符合ISO 18738-2003</w:t>
            </w:r>
            <w:r>
              <w:rPr>
                <w:rFonts w:hint="eastAsia" w:ascii="宋体" w:hAnsi="宋体" w:cs="宋体"/>
                <w:kern w:val="0"/>
                <w:sz w:val="21"/>
                <w:szCs w:val="21"/>
                <w:lang w:eastAsia="zh-CN"/>
              </w:rPr>
              <w:t>；</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20" w:lineRule="exact"/>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现场出具乘运质量测试报告，报告可在线共享、可通过扫码云端下载</w:t>
            </w:r>
            <w:r>
              <w:rPr>
                <w:rFonts w:hint="eastAsia" w:ascii="宋体" w:hAnsi="宋体" w:cs="宋体"/>
                <w:kern w:val="0"/>
                <w:sz w:val="21"/>
                <w:szCs w:val="21"/>
                <w:lang w:eastAsia="zh-CN"/>
              </w:rPr>
              <w:t>；</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20" w:lineRule="exact"/>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仪器主机与乘运质量测量模块采用无线连接方式，操作方便</w:t>
            </w:r>
            <w:r>
              <w:rPr>
                <w:rFonts w:hint="eastAsia" w:ascii="宋体" w:hAnsi="宋体" w:cs="宋体"/>
                <w:kern w:val="0"/>
                <w:sz w:val="21"/>
                <w:szCs w:val="21"/>
                <w:lang w:eastAsia="zh-CN"/>
              </w:rPr>
              <w:t>；</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20" w:lineRule="exact"/>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电扶梯乘运质量测量模块小巧轻便，重量＜1.5kg，体积＜120*80*50mm（含三角支座）</w:t>
            </w:r>
            <w:r>
              <w:rPr>
                <w:rFonts w:hint="eastAsia" w:ascii="宋体" w:hAnsi="宋体" w:cs="宋体"/>
                <w:kern w:val="0"/>
                <w:sz w:val="21"/>
                <w:szCs w:val="21"/>
                <w:lang w:eastAsia="zh-CN"/>
              </w:rPr>
              <w:t>；</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20" w:lineRule="exact"/>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仪器具备开机诊断功能，并提供诊断完成信号灯进行提醒</w:t>
            </w:r>
            <w:r>
              <w:rPr>
                <w:rFonts w:hint="eastAsia" w:ascii="宋体" w:hAnsi="宋体" w:cs="宋体"/>
                <w:kern w:val="0"/>
                <w:sz w:val="21"/>
                <w:szCs w:val="21"/>
                <w:lang w:eastAsia="zh-CN"/>
              </w:rPr>
              <w:t>；</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20" w:lineRule="exact"/>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仪器具备主机与测量模块的组网连接信号灯提醒功能，人机交互良好</w:t>
            </w:r>
            <w:r>
              <w:rPr>
                <w:rFonts w:hint="eastAsia" w:ascii="宋体" w:hAnsi="宋体" w:cs="宋体"/>
                <w:kern w:val="0"/>
                <w:sz w:val="21"/>
                <w:szCs w:val="21"/>
                <w:lang w:eastAsia="zh-CN"/>
              </w:rPr>
              <w:t>；</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20" w:lineRule="exact"/>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仪器具备测试通信监测指示灯，方便了解测量过程通信情况</w:t>
            </w:r>
            <w:r>
              <w:rPr>
                <w:rFonts w:hint="eastAsia" w:ascii="宋体" w:hAnsi="宋体" w:cs="宋体"/>
                <w:kern w:val="0"/>
                <w:sz w:val="21"/>
                <w:szCs w:val="21"/>
                <w:lang w:eastAsia="zh-CN"/>
              </w:rPr>
              <w:t>。</w:t>
            </w:r>
          </w:p>
          <w:p>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二、配置清单</w:t>
            </w:r>
          </w:p>
          <w:p>
            <w:pPr>
              <w:keepNext w:val="0"/>
              <w:keepLines w:val="0"/>
              <w:pageBreakBefore w:val="0"/>
              <w:widowControl w:val="0"/>
              <w:kinsoku/>
              <w:wordWrap/>
              <w:overflowPunct/>
              <w:topLinePunct w:val="0"/>
              <w:autoSpaceDE/>
              <w:autoSpaceDN/>
              <w:bidi w:val="0"/>
              <w:spacing w:before="156" w:beforeLines="50" w:line="320" w:lineRule="exact"/>
              <w:textAlignment w:val="auto"/>
              <w:rPr>
                <w:rFonts w:hint="eastAsia" w:ascii="宋体" w:hAnsi="宋体" w:eastAsia="宋体" w:cs="宋体"/>
                <w:sz w:val="21"/>
                <w:szCs w:val="21"/>
              </w:rPr>
            </w:pPr>
            <w:r>
              <w:rPr>
                <w:rFonts w:hint="eastAsia" w:ascii="宋体" w:hAnsi="宋体" w:eastAsia="宋体" w:cs="宋体"/>
                <w:sz w:val="21"/>
                <w:szCs w:val="21"/>
              </w:rPr>
              <w:t>操控主机（内置专用软件）1套、电扶梯乘运质量测量模块1个、麦克风模块1个、充电线2根、计量证书 1份、随机资料 1套、仪器包（箱）1个等。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4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117"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sz w:val="21"/>
          <w:szCs w:val="21"/>
        </w:rPr>
      </w:pPr>
    </w:p>
    <w:tbl>
      <w:tblPr>
        <w:tblStyle w:val="37"/>
        <w:tblW w:w="980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8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5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仪器名称</w:t>
            </w:r>
          </w:p>
        </w:tc>
        <w:tc>
          <w:tcPr>
            <w:tcW w:w="8058"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14、</w:t>
            </w:r>
            <w:r>
              <w:rPr>
                <w:rFonts w:hint="eastAsia" w:ascii="宋体" w:hAnsi="宋体" w:eastAsia="宋体" w:cs="宋体"/>
                <w:bCs/>
                <w:sz w:val="21"/>
                <w:szCs w:val="21"/>
              </w:rPr>
              <w:t>电梯/扶梯测量尺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5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058"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9</w:t>
            </w:r>
            <w:r>
              <w:rPr>
                <w:rFonts w:hint="eastAsia" w:ascii="宋体" w:hAnsi="宋体" w:eastAsia="宋体" w:cs="宋体"/>
                <w:bCs/>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仪器用途</w:t>
            </w:r>
          </w:p>
        </w:tc>
        <w:tc>
          <w:tcPr>
            <w:tcW w:w="8058"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用于电梯/扶梯关键尺寸的测量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75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技术指标要求</w:t>
            </w:r>
          </w:p>
        </w:tc>
        <w:tc>
          <w:tcPr>
            <w:tcW w:w="8058" w:type="dxa"/>
            <w:tcBorders>
              <w:top w:val="single" w:color="auto" w:sz="4" w:space="0"/>
              <w:left w:val="single" w:color="auto" w:sz="4" w:space="0"/>
              <w:bottom w:val="single" w:color="auto" w:sz="4" w:space="0"/>
              <w:right w:val="single" w:color="auto" w:sz="4" w:space="0"/>
            </w:tcBorders>
            <w:noWrap/>
            <w:vAlign w:val="top"/>
          </w:tcPr>
          <w:p>
            <w:pPr>
              <w:pageBreakBefore w:val="0"/>
              <w:widowControl w:val="0"/>
              <w:numPr>
                <w:ilvl w:val="0"/>
                <w:numId w:val="27"/>
              </w:numPr>
              <w:kinsoku/>
              <w:wordWrap/>
              <w:overflowPunct/>
              <w:topLinePunct w:val="0"/>
              <w:autoSpaceDE/>
              <w:autoSpaceDN/>
              <w:bidi w:val="0"/>
              <w:spacing w:line="320" w:lineRule="exact"/>
              <w:ind w:firstLine="422"/>
              <w:textAlignment w:val="auto"/>
              <w:rPr>
                <w:rFonts w:hint="eastAsia" w:ascii="宋体" w:hAnsi="宋体" w:eastAsia="宋体" w:cs="宋体"/>
                <w:sz w:val="21"/>
                <w:szCs w:val="21"/>
              </w:rPr>
            </w:pPr>
            <w:r>
              <w:rPr>
                <w:rFonts w:hint="eastAsia" w:ascii="宋体" w:hAnsi="宋体" w:eastAsia="宋体" w:cs="宋体"/>
                <w:sz w:val="21"/>
                <w:szCs w:val="21"/>
              </w:rPr>
              <w:t>功能参数</w:t>
            </w:r>
          </w:p>
          <w:p>
            <w:pPr>
              <w:pageBreakBefore w:val="0"/>
              <w:widowControl w:val="0"/>
              <w:numPr>
                <w:ilvl w:val="0"/>
                <w:numId w:val="28"/>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适用于TSG T7001－2009、TSG T7005-2012 电梯和扶梯检规，对门间隙、围裙板间隙、门锁间隙、梳齿啮合度、轿厢层门地坎、轿厢与井道壁、相邻扶手带距离、钢丝绳直径具有量化的测量，具有高集成度、轻巧、高效便捷特点</w:t>
            </w:r>
            <w:r>
              <w:rPr>
                <w:rFonts w:hint="eastAsia" w:ascii="宋体" w:hAnsi="宋体" w:cs="宋体"/>
                <w:sz w:val="21"/>
                <w:szCs w:val="21"/>
                <w:lang w:eastAsia="zh-CN"/>
              </w:rPr>
              <w:t>；</w:t>
            </w:r>
          </w:p>
          <w:p>
            <w:pPr>
              <w:pageBreakBefore w:val="0"/>
              <w:widowControl w:val="0"/>
              <w:numPr>
                <w:ilvl w:val="0"/>
                <w:numId w:val="28"/>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阶梯塞尺对间隙的测量精度：0.05mm；</w:t>
            </w:r>
          </w:p>
          <w:p>
            <w:pPr>
              <w:pageBreakBefore w:val="0"/>
              <w:widowControl w:val="0"/>
              <w:numPr>
                <w:ilvl w:val="0"/>
                <w:numId w:val="28"/>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钢丝绳直径测量精度：0.05mm；</w:t>
            </w:r>
          </w:p>
          <w:p>
            <w:pPr>
              <w:pageBreakBefore w:val="0"/>
              <w:widowControl w:val="0"/>
              <w:numPr>
                <w:ilvl w:val="0"/>
                <w:numId w:val="28"/>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直尺段测量精度：0.1mm；         </w:t>
            </w:r>
          </w:p>
          <w:p>
            <w:pPr>
              <w:pageBreakBefore w:val="0"/>
              <w:widowControl w:val="0"/>
              <w:numPr>
                <w:ilvl w:val="0"/>
                <w:numId w:val="28"/>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斜塞尺测量精度：0.03mm；</w:t>
            </w:r>
          </w:p>
          <w:p>
            <w:pPr>
              <w:pageBreakBefore w:val="0"/>
              <w:widowControl w:val="0"/>
              <w:numPr>
                <w:ilvl w:val="0"/>
                <w:numId w:val="28"/>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可测钢丝绳公称直径序列：</w:t>
            </w:r>
            <w:r>
              <w:rPr>
                <w:rFonts w:hint="eastAsia" w:ascii="宋体" w:hAnsi="宋体" w:eastAsia="宋体" w:cs="宋体"/>
                <w:i/>
                <w:sz w:val="21"/>
                <w:szCs w:val="21"/>
              </w:rPr>
              <w:t>φ</w:t>
            </w:r>
            <w:r>
              <w:rPr>
                <w:rFonts w:hint="eastAsia" w:ascii="宋体" w:hAnsi="宋体" w:eastAsia="宋体" w:cs="宋体"/>
                <w:sz w:val="21"/>
                <w:szCs w:val="21"/>
              </w:rPr>
              <w:t>7-11、</w:t>
            </w:r>
            <w:r>
              <w:rPr>
                <w:rFonts w:hint="eastAsia" w:ascii="宋体" w:hAnsi="宋体" w:eastAsia="宋体" w:cs="宋体"/>
                <w:i/>
                <w:sz w:val="21"/>
                <w:szCs w:val="21"/>
              </w:rPr>
              <w:t>φ</w:t>
            </w:r>
            <w:r>
              <w:rPr>
                <w:rFonts w:hint="eastAsia" w:ascii="宋体" w:hAnsi="宋体" w:eastAsia="宋体" w:cs="宋体"/>
                <w:sz w:val="21"/>
                <w:szCs w:val="21"/>
              </w:rPr>
              <w:t>13、</w:t>
            </w:r>
            <w:r>
              <w:rPr>
                <w:rFonts w:hint="eastAsia" w:ascii="宋体" w:hAnsi="宋体" w:eastAsia="宋体" w:cs="宋体"/>
                <w:i/>
                <w:sz w:val="21"/>
                <w:szCs w:val="21"/>
              </w:rPr>
              <w:t>φ</w:t>
            </w:r>
            <w:r>
              <w:rPr>
                <w:rFonts w:hint="eastAsia" w:ascii="宋体" w:hAnsi="宋体" w:eastAsia="宋体" w:cs="宋体"/>
                <w:sz w:val="21"/>
                <w:szCs w:val="21"/>
              </w:rPr>
              <w:t xml:space="preserve">16mm；                  </w:t>
            </w:r>
          </w:p>
          <w:p>
            <w:pPr>
              <w:pageBreakBefore w:val="0"/>
              <w:widowControl w:val="0"/>
              <w:numPr>
                <w:ilvl w:val="0"/>
                <w:numId w:val="28"/>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斜塞尺可测厚度范围：1~12mm；</w:t>
            </w:r>
          </w:p>
          <w:p>
            <w:pPr>
              <w:pageBreakBefore w:val="0"/>
              <w:widowControl w:val="0"/>
              <w:numPr>
                <w:ilvl w:val="0"/>
                <w:numId w:val="28"/>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阶梯塞尺可测厚度序列：4mm、6mm、8mm、10mm；      </w:t>
            </w:r>
          </w:p>
          <w:p>
            <w:pPr>
              <w:pageBreakBefore w:val="0"/>
              <w:widowControl w:val="0"/>
              <w:numPr>
                <w:ilvl w:val="0"/>
                <w:numId w:val="28"/>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直尺段量程：160mm。</w:t>
            </w:r>
          </w:p>
          <w:p>
            <w:pPr>
              <w:pageBreakBefore w:val="0"/>
              <w:widowControl w:val="0"/>
              <w:numPr>
                <w:ilvl w:val="0"/>
                <w:numId w:val="29"/>
              </w:numPr>
              <w:kinsoku/>
              <w:wordWrap/>
              <w:overflowPunct/>
              <w:topLinePunct w:val="0"/>
              <w:autoSpaceDE/>
              <w:autoSpaceDN/>
              <w:bidi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主要配置</w:t>
            </w:r>
          </w:p>
          <w:p>
            <w:pPr>
              <w:pageBreakBefore w:val="0"/>
              <w:widowControl w:val="0"/>
              <w:kinsoku/>
              <w:wordWrap/>
              <w:overflowPunct/>
              <w:topLinePunct w:val="0"/>
              <w:autoSpaceDE/>
              <w:autoSpaceDN/>
              <w:bidi w:val="0"/>
              <w:spacing w:line="320" w:lineRule="exact"/>
              <w:ind w:firstLine="420" w:firstLineChars="200"/>
              <w:textAlignment w:val="auto"/>
              <w:rPr>
                <w:rFonts w:hint="eastAsia" w:ascii="宋体" w:hAnsi="宋体" w:eastAsia="宋体" w:cs="宋体"/>
                <w:b/>
                <w:sz w:val="21"/>
                <w:szCs w:val="21"/>
                <w:lang w:eastAsia="zh-CN"/>
              </w:rPr>
            </w:pPr>
            <w:r>
              <w:rPr>
                <w:rFonts w:hint="eastAsia" w:ascii="宋体" w:hAnsi="宋体" w:eastAsia="宋体" w:cs="宋体"/>
                <w:sz w:val="21"/>
                <w:szCs w:val="21"/>
              </w:rPr>
              <w:t>尺子一把、说明书一份，合格证一份</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50"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058"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napToGrid w:val="0"/>
                <w:kern w:val="0"/>
                <w:sz w:val="21"/>
                <w:szCs w:val="21"/>
              </w:rPr>
              <w:t>提供设备有效</w:t>
            </w:r>
            <w:r>
              <w:rPr>
                <w:rFonts w:hint="eastAsia" w:ascii="宋体" w:hAnsi="宋体" w:cs="宋体"/>
                <w:snapToGrid w:val="0"/>
                <w:color w:val="auto"/>
                <w:kern w:val="0"/>
                <w:sz w:val="21"/>
                <w:szCs w:val="21"/>
                <w:lang w:eastAsia="zh-CN"/>
              </w:rPr>
              <w:t>计量</w:t>
            </w:r>
            <w:r>
              <w:rPr>
                <w:rFonts w:hint="eastAsia" w:ascii="宋体" w:hAnsi="宋体" w:eastAsia="宋体" w:cs="宋体"/>
                <w:snapToGrid w:val="0"/>
                <w:kern w:val="0"/>
                <w:sz w:val="21"/>
                <w:szCs w:val="21"/>
              </w:rPr>
              <w:t>证书。</w:t>
            </w:r>
          </w:p>
        </w:tc>
      </w:tr>
    </w:tbl>
    <w:p>
      <w:pPr>
        <w:pageBreakBefore w:val="0"/>
        <w:widowControl w:val="0"/>
        <w:kinsoku/>
        <w:wordWrap/>
        <w:overflowPunct/>
        <w:topLinePunct w:val="0"/>
        <w:autoSpaceDE/>
        <w:autoSpaceDN/>
        <w:bidi w:val="0"/>
        <w:spacing w:line="320" w:lineRule="exact"/>
        <w:textAlignment w:val="auto"/>
        <w:rPr>
          <w:rFonts w:hint="eastAsia" w:ascii="宋体" w:hAnsi="宋体" w:eastAsia="宋体" w:cs="宋体"/>
          <w:sz w:val="21"/>
          <w:szCs w:val="21"/>
        </w:rPr>
      </w:pPr>
    </w:p>
    <w:tbl>
      <w:tblPr>
        <w:tblStyle w:val="37"/>
        <w:tblW w:w="9838"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8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5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仪器名称</w:t>
            </w:r>
          </w:p>
        </w:tc>
        <w:tc>
          <w:tcPr>
            <w:tcW w:w="8088"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15、标牌打标机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5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 数量（套）</w:t>
            </w:r>
          </w:p>
        </w:tc>
        <w:tc>
          <w:tcPr>
            <w:tcW w:w="8088"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仪器用途</w:t>
            </w:r>
          </w:p>
        </w:tc>
        <w:tc>
          <w:tcPr>
            <w:tcW w:w="8088"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刻印安全阀校验铭牌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75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技术指标要求</w:t>
            </w:r>
          </w:p>
        </w:tc>
        <w:tc>
          <w:tcPr>
            <w:tcW w:w="8088" w:type="dxa"/>
            <w:tcBorders>
              <w:top w:val="single" w:color="auto" w:sz="4" w:space="0"/>
              <w:left w:val="single" w:color="auto" w:sz="4" w:space="0"/>
              <w:bottom w:val="single" w:color="auto" w:sz="4" w:space="0"/>
              <w:right w:val="single" w:color="auto" w:sz="4" w:space="0"/>
            </w:tcBorders>
            <w:noWrap/>
            <w:vAlign w:val="top"/>
          </w:tcPr>
          <w:p>
            <w:pPr>
              <w:pageBreakBefore w:val="0"/>
              <w:widowControl w:val="0"/>
              <w:numPr>
                <w:ilvl w:val="0"/>
                <w:numId w:val="27"/>
              </w:numPr>
              <w:kinsoku/>
              <w:wordWrap/>
              <w:overflowPunct/>
              <w:topLinePunct w:val="0"/>
              <w:autoSpaceDE/>
              <w:autoSpaceDN/>
              <w:bidi w:val="0"/>
              <w:spacing w:line="320" w:lineRule="exact"/>
              <w:ind w:firstLine="422"/>
              <w:textAlignment w:val="auto"/>
              <w:rPr>
                <w:rFonts w:hint="eastAsia" w:ascii="宋体" w:hAnsi="宋体" w:eastAsia="宋体" w:cs="宋体"/>
                <w:sz w:val="21"/>
                <w:szCs w:val="21"/>
              </w:rPr>
            </w:pPr>
            <w:r>
              <w:rPr>
                <w:rFonts w:hint="eastAsia" w:ascii="宋体" w:hAnsi="宋体" w:eastAsia="宋体" w:cs="宋体"/>
                <w:sz w:val="21"/>
                <w:szCs w:val="21"/>
              </w:rPr>
              <w:t>适用范围</w:t>
            </w:r>
          </w:p>
          <w:p>
            <w:pPr>
              <w:pageBreakBefore w:val="0"/>
              <w:widowControl w:val="0"/>
              <w:numPr>
                <w:ilvl w:val="0"/>
                <w:numId w:val="0"/>
              </w:numPr>
              <w:kinsoku/>
              <w:wordWrap/>
              <w:overflowPunct/>
              <w:topLinePunct w:val="0"/>
              <w:autoSpaceDE/>
              <w:autoSpaceDN/>
              <w:bidi w:val="0"/>
              <w:spacing w:line="320" w:lineRule="exact"/>
              <w:ind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广泛应用于各行业的产品工件上制作编码、流水号或文字图形标记，如汽车或摩托车的车身、车架、底盘、发动机、汽缸及各类机械零部件、机床工具、五金制品、金属管、齿轮、泵体、阀门、紧固件、及各种硬塑制品上打印编号、名称、商标图案等</w:t>
            </w:r>
            <w:r>
              <w:rPr>
                <w:rFonts w:hint="eastAsia" w:ascii="宋体" w:hAnsi="宋体" w:cs="宋体"/>
                <w:sz w:val="21"/>
                <w:szCs w:val="21"/>
                <w:lang w:eastAsia="zh-CN"/>
              </w:rPr>
              <w:t>。</w:t>
            </w:r>
          </w:p>
          <w:p>
            <w:pPr>
              <w:pageBreakBefore w:val="0"/>
              <w:widowControl w:val="0"/>
              <w:numPr>
                <w:ilvl w:val="0"/>
                <w:numId w:val="27"/>
              </w:numPr>
              <w:kinsoku/>
              <w:wordWrap/>
              <w:overflowPunct/>
              <w:topLinePunct w:val="0"/>
              <w:autoSpaceDE/>
              <w:autoSpaceDN/>
              <w:bidi w:val="0"/>
              <w:spacing w:line="320" w:lineRule="exact"/>
              <w:ind w:firstLine="422"/>
              <w:textAlignment w:val="auto"/>
              <w:rPr>
                <w:rFonts w:hint="eastAsia" w:ascii="宋体" w:hAnsi="宋体" w:eastAsia="宋体" w:cs="宋体"/>
                <w:sz w:val="21"/>
                <w:szCs w:val="21"/>
              </w:rPr>
            </w:pPr>
            <w:r>
              <w:rPr>
                <w:rFonts w:hint="eastAsia" w:ascii="宋体" w:hAnsi="宋体" w:eastAsia="宋体" w:cs="宋体"/>
                <w:sz w:val="21"/>
                <w:szCs w:val="21"/>
              </w:rPr>
              <w:t>主要技术参数</w:t>
            </w:r>
          </w:p>
          <w:p>
            <w:pPr>
              <w:pageBreakBefore w:val="0"/>
              <w:widowControl w:val="0"/>
              <w:numPr>
                <w:ilvl w:val="0"/>
                <w:numId w:val="30"/>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打标范围： 120×80/《150×60/200×60(mm)定制》</w:t>
            </w:r>
            <w:r>
              <w:rPr>
                <w:rFonts w:hint="eastAsia" w:ascii="宋体" w:hAnsi="宋体" w:cs="宋体"/>
                <w:sz w:val="21"/>
                <w:szCs w:val="21"/>
                <w:lang w:eastAsia="zh-CN"/>
              </w:rPr>
              <w:t>；</w:t>
            </w:r>
            <w:r>
              <w:rPr>
                <w:rFonts w:hint="eastAsia" w:ascii="宋体" w:hAnsi="宋体" w:eastAsia="宋体" w:cs="宋体"/>
                <w:sz w:val="21"/>
                <w:szCs w:val="21"/>
              </w:rPr>
              <w:t xml:space="preserve"> </w:t>
            </w:r>
          </w:p>
          <w:p>
            <w:pPr>
              <w:pageBreakBefore w:val="0"/>
              <w:widowControl w:val="0"/>
              <w:numPr>
                <w:ilvl w:val="0"/>
                <w:numId w:val="30"/>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打标深度： 0.01～2mm(视材料硬度而定) </w:t>
            </w:r>
            <w:r>
              <w:rPr>
                <w:rFonts w:hint="eastAsia" w:ascii="宋体" w:hAnsi="宋体" w:cs="宋体"/>
                <w:sz w:val="21"/>
                <w:szCs w:val="21"/>
                <w:lang w:eastAsia="zh-CN"/>
              </w:rPr>
              <w:t>；</w:t>
            </w:r>
          </w:p>
          <w:p>
            <w:pPr>
              <w:pageBreakBefore w:val="0"/>
              <w:widowControl w:val="0"/>
              <w:numPr>
                <w:ilvl w:val="0"/>
                <w:numId w:val="30"/>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打标速度： 30～40mm/s </w:t>
            </w:r>
            <w:r>
              <w:rPr>
                <w:rFonts w:hint="eastAsia" w:ascii="宋体" w:hAnsi="宋体" w:cs="宋体"/>
                <w:sz w:val="21"/>
                <w:szCs w:val="21"/>
                <w:lang w:eastAsia="zh-CN"/>
              </w:rPr>
              <w:t>；</w:t>
            </w:r>
          </w:p>
          <w:p>
            <w:pPr>
              <w:pageBreakBefore w:val="0"/>
              <w:widowControl w:val="0"/>
              <w:numPr>
                <w:ilvl w:val="0"/>
                <w:numId w:val="30"/>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整机功率： 120W </w:t>
            </w:r>
            <w:r>
              <w:rPr>
                <w:rFonts w:hint="eastAsia" w:ascii="宋体" w:hAnsi="宋体" w:cs="宋体"/>
                <w:sz w:val="21"/>
                <w:szCs w:val="21"/>
                <w:lang w:eastAsia="zh-CN"/>
              </w:rPr>
              <w:t>；</w:t>
            </w:r>
          </w:p>
          <w:p>
            <w:pPr>
              <w:pageBreakBefore w:val="0"/>
              <w:widowControl w:val="0"/>
              <w:numPr>
                <w:ilvl w:val="0"/>
                <w:numId w:val="30"/>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气压要求： 0.3～0.6Mpa（工业气源或压缩机气源）</w:t>
            </w:r>
            <w:r>
              <w:rPr>
                <w:rFonts w:hint="eastAsia" w:ascii="宋体" w:hAnsi="宋体" w:cs="宋体"/>
                <w:sz w:val="21"/>
                <w:szCs w:val="21"/>
                <w:lang w:eastAsia="zh-CN"/>
              </w:rPr>
              <w:t>；</w:t>
            </w:r>
            <w:r>
              <w:rPr>
                <w:rFonts w:hint="eastAsia" w:ascii="宋体" w:hAnsi="宋体" w:eastAsia="宋体" w:cs="宋体"/>
                <w:sz w:val="21"/>
                <w:szCs w:val="21"/>
              </w:rPr>
              <w:t xml:space="preserve"> </w:t>
            </w:r>
          </w:p>
          <w:p>
            <w:pPr>
              <w:pageBreakBefore w:val="0"/>
              <w:widowControl w:val="0"/>
              <w:numPr>
                <w:ilvl w:val="0"/>
                <w:numId w:val="30"/>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电源要求: 220V±10%50HZ±1% </w:t>
            </w:r>
            <w:r>
              <w:rPr>
                <w:rFonts w:hint="eastAsia" w:ascii="宋体" w:hAnsi="宋体" w:cs="宋体"/>
                <w:sz w:val="21"/>
                <w:szCs w:val="21"/>
                <w:lang w:eastAsia="zh-CN"/>
              </w:rPr>
              <w:t>；</w:t>
            </w:r>
          </w:p>
          <w:p>
            <w:pPr>
              <w:pageBreakBefore w:val="0"/>
              <w:widowControl w:val="0"/>
              <w:numPr>
                <w:ilvl w:val="0"/>
                <w:numId w:val="30"/>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材质硬度: ≤HRA60 </w:t>
            </w:r>
            <w:r>
              <w:rPr>
                <w:rFonts w:hint="eastAsia" w:ascii="宋体" w:hAnsi="宋体" w:cs="宋体"/>
                <w:sz w:val="21"/>
                <w:szCs w:val="21"/>
                <w:lang w:eastAsia="zh-CN"/>
              </w:rPr>
              <w:t>。</w:t>
            </w:r>
          </w:p>
          <w:p>
            <w:pPr>
              <w:pageBreakBefore w:val="0"/>
              <w:widowControl w:val="0"/>
              <w:numPr>
                <w:ilvl w:val="0"/>
                <w:numId w:val="27"/>
              </w:numPr>
              <w:kinsoku/>
              <w:wordWrap/>
              <w:overflowPunct/>
              <w:topLinePunct w:val="0"/>
              <w:autoSpaceDE/>
              <w:autoSpaceDN/>
              <w:bidi w:val="0"/>
              <w:spacing w:line="320" w:lineRule="exact"/>
              <w:ind w:firstLine="422"/>
              <w:textAlignment w:val="auto"/>
              <w:rPr>
                <w:rFonts w:hint="eastAsia" w:ascii="宋体" w:hAnsi="宋体" w:eastAsia="宋体" w:cs="宋体"/>
                <w:sz w:val="21"/>
                <w:szCs w:val="21"/>
              </w:rPr>
            </w:pPr>
            <w:r>
              <w:rPr>
                <w:rFonts w:hint="eastAsia" w:ascii="宋体" w:hAnsi="宋体" w:eastAsia="宋体" w:cs="宋体"/>
                <w:sz w:val="21"/>
                <w:szCs w:val="21"/>
              </w:rPr>
              <w:t>产品配置清单</w:t>
            </w:r>
          </w:p>
          <w:p>
            <w:pPr>
              <w:pageBreakBefore w:val="0"/>
              <w:widowControl w:val="0"/>
              <w:numPr>
                <w:ilvl w:val="0"/>
                <w:numId w:val="31"/>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打标机           1套</w:t>
            </w:r>
            <w:r>
              <w:rPr>
                <w:rFonts w:hint="eastAsia" w:ascii="宋体" w:hAnsi="宋体" w:cs="宋体"/>
                <w:sz w:val="21"/>
                <w:szCs w:val="21"/>
                <w:lang w:eastAsia="zh-CN"/>
              </w:rPr>
              <w:t>；</w:t>
            </w:r>
          </w:p>
          <w:p>
            <w:pPr>
              <w:pageBreakBefore w:val="0"/>
              <w:widowControl w:val="0"/>
              <w:numPr>
                <w:ilvl w:val="0"/>
                <w:numId w:val="31"/>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大电缆           1根</w:t>
            </w:r>
            <w:r>
              <w:rPr>
                <w:rFonts w:hint="eastAsia" w:ascii="宋体" w:hAnsi="宋体" w:cs="宋体"/>
                <w:sz w:val="21"/>
                <w:szCs w:val="21"/>
                <w:lang w:eastAsia="zh-CN"/>
              </w:rPr>
              <w:t>；</w:t>
            </w:r>
          </w:p>
          <w:p>
            <w:pPr>
              <w:pageBreakBefore w:val="0"/>
              <w:widowControl w:val="0"/>
              <w:numPr>
                <w:ilvl w:val="0"/>
                <w:numId w:val="31"/>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电源适配器       1套</w:t>
            </w:r>
            <w:r>
              <w:rPr>
                <w:rFonts w:hint="eastAsia" w:ascii="宋体" w:hAnsi="宋体" w:cs="宋体"/>
                <w:sz w:val="21"/>
                <w:szCs w:val="21"/>
                <w:lang w:eastAsia="zh-CN"/>
              </w:rPr>
              <w:t>；</w:t>
            </w:r>
          </w:p>
          <w:p>
            <w:pPr>
              <w:pageBreakBefore w:val="0"/>
              <w:widowControl w:val="0"/>
              <w:numPr>
                <w:ilvl w:val="0"/>
                <w:numId w:val="31"/>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气动标牌夹具     1套</w:t>
            </w:r>
            <w:r>
              <w:rPr>
                <w:rFonts w:hint="eastAsia" w:ascii="宋体" w:hAnsi="宋体" w:cs="宋体"/>
                <w:sz w:val="21"/>
                <w:szCs w:val="21"/>
                <w:lang w:eastAsia="zh-CN"/>
              </w:rPr>
              <w:t>；</w:t>
            </w:r>
          </w:p>
          <w:p>
            <w:pPr>
              <w:pageBreakBefore w:val="0"/>
              <w:widowControl w:val="0"/>
              <w:numPr>
                <w:ilvl w:val="0"/>
                <w:numId w:val="31"/>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5米USB线       </w:t>
            </w:r>
            <w:r>
              <w:rPr>
                <w:rFonts w:hint="eastAsia" w:ascii="宋体" w:hAnsi="宋体" w:cs="宋体"/>
                <w:sz w:val="21"/>
                <w:szCs w:val="21"/>
                <w:lang w:val="en-US" w:eastAsia="zh-CN"/>
              </w:rPr>
              <w:t xml:space="preserve"> </w:t>
            </w:r>
            <w:r>
              <w:rPr>
                <w:rFonts w:hint="eastAsia" w:ascii="宋体" w:hAnsi="宋体" w:eastAsia="宋体" w:cs="宋体"/>
                <w:sz w:val="21"/>
                <w:szCs w:val="21"/>
              </w:rPr>
              <w:t>1根</w:t>
            </w:r>
            <w:r>
              <w:rPr>
                <w:rFonts w:hint="eastAsia" w:ascii="宋体" w:hAnsi="宋体" w:cs="宋体"/>
                <w:sz w:val="21"/>
                <w:szCs w:val="21"/>
                <w:lang w:eastAsia="zh-CN"/>
              </w:rPr>
              <w:t>；</w:t>
            </w:r>
          </w:p>
          <w:p>
            <w:pPr>
              <w:pageBreakBefore w:val="0"/>
              <w:widowControl w:val="0"/>
              <w:numPr>
                <w:ilvl w:val="0"/>
                <w:numId w:val="31"/>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调压阀           1套</w:t>
            </w:r>
            <w:r>
              <w:rPr>
                <w:rFonts w:hint="eastAsia" w:ascii="宋体" w:hAnsi="宋体" w:cs="宋体"/>
                <w:sz w:val="21"/>
                <w:szCs w:val="21"/>
                <w:lang w:eastAsia="zh-CN"/>
              </w:rPr>
              <w:t>；</w:t>
            </w:r>
          </w:p>
          <w:p>
            <w:pPr>
              <w:pageBreakBefore w:val="0"/>
              <w:widowControl w:val="0"/>
              <w:numPr>
                <w:ilvl w:val="0"/>
                <w:numId w:val="31"/>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出厂合格证明     1份</w:t>
            </w:r>
            <w:r>
              <w:rPr>
                <w:rFonts w:hint="eastAsia" w:ascii="宋体" w:hAnsi="宋体" w:cs="宋体"/>
                <w:sz w:val="21"/>
                <w:szCs w:val="21"/>
                <w:lang w:eastAsia="zh-CN"/>
              </w:rPr>
              <w:t>；</w:t>
            </w:r>
          </w:p>
          <w:p>
            <w:pPr>
              <w:pageBreakBefore w:val="0"/>
              <w:widowControl w:val="0"/>
              <w:numPr>
                <w:ilvl w:val="0"/>
                <w:numId w:val="31"/>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b/>
                <w:sz w:val="21"/>
                <w:szCs w:val="21"/>
              </w:rPr>
            </w:pPr>
            <w:r>
              <w:rPr>
                <w:rFonts w:hint="eastAsia" w:ascii="宋体" w:hAnsi="宋体" w:eastAsia="宋体" w:cs="宋体"/>
                <w:sz w:val="21"/>
                <w:szCs w:val="21"/>
              </w:rPr>
              <w:t>使用说明书       1份</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750"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autoSpaceDE/>
              <w:autoSpaceDN/>
              <w:bidi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c>
          <w:tcPr>
            <w:tcW w:w="8088" w:type="dxa"/>
            <w:tcBorders>
              <w:top w:val="single" w:color="auto" w:sz="4" w:space="0"/>
              <w:left w:val="single" w:color="auto" w:sz="4" w:space="0"/>
              <w:bottom w:val="single" w:color="auto" w:sz="4" w:space="0"/>
              <w:right w:val="single" w:color="auto" w:sz="4" w:space="0"/>
            </w:tcBorders>
            <w:noWrap/>
            <w:vAlign w:val="top"/>
          </w:tcPr>
          <w:p>
            <w:pPr>
              <w:pageBreakBefore w:val="0"/>
              <w:kinsoku/>
              <w:overflowPunct/>
              <w:topLinePunct w:val="0"/>
              <w:autoSpaceDE/>
              <w:autoSpaceDN/>
              <w:bidi w:val="0"/>
              <w:spacing w:line="320" w:lineRule="exact"/>
              <w:rPr>
                <w:rFonts w:hint="eastAsia" w:ascii="宋体" w:hAnsi="宋体" w:eastAsia="宋体" w:cs="宋体"/>
                <w:sz w:val="21"/>
                <w:szCs w:val="21"/>
                <w:lang w:eastAsia="zh-CN"/>
              </w:rPr>
            </w:pPr>
            <w:r>
              <w:rPr>
                <w:rFonts w:hint="eastAsia" w:ascii="宋体" w:hAnsi="宋体" w:cs="宋体"/>
                <w:sz w:val="21"/>
                <w:szCs w:val="21"/>
                <w:lang w:eastAsia="zh-CN"/>
              </w:rPr>
              <w:t>无</w:t>
            </w:r>
          </w:p>
        </w:tc>
      </w:tr>
    </w:tbl>
    <w:p>
      <w:pPr>
        <w:rPr>
          <w:rFonts w:hint="eastAsia"/>
        </w:rPr>
      </w:pPr>
    </w:p>
    <w:p>
      <w:pPr>
        <w:rPr>
          <w:rFonts w:hint="eastAsia"/>
          <w:color w:val="auto"/>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三、其他要求</w:t>
      </w:r>
    </w:p>
    <w:p>
      <w:pPr>
        <w:autoSpaceDE w:val="0"/>
        <w:autoSpaceDN w:val="0"/>
        <w:adjustRightInd w:val="0"/>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1、设备性能参数和配置中带▲的为</w:t>
      </w:r>
      <w:r>
        <w:rPr>
          <w:rFonts w:hint="eastAsia" w:ascii="宋体" w:hAnsi="宋体" w:eastAsia="宋体" w:cs="宋体"/>
          <w:color w:val="auto"/>
          <w:kern w:val="2"/>
          <w:sz w:val="21"/>
          <w:szCs w:val="21"/>
          <w:highlight w:val="none"/>
          <w:lang w:val="en-US" w:eastAsia="zh-CN" w:bidi="ar-SA"/>
        </w:rPr>
        <w:t>实质性要求</w:t>
      </w:r>
      <w:r>
        <w:rPr>
          <w:rFonts w:hint="eastAsia" w:ascii="宋体" w:hAnsi="宋体" w:cs="宋体"/>
          <w:bCs/>
          <w:color w:val="auto"/>
          <w:szCs w:val="21"/>
          <w:highlight w:val="none"/>
        </w:rPr>
        <w:t xml:space="preserve">，必须满足或优于。 </w:t>
      </w:r>
    </w:p>
    <w:p>
      <w:pPr>
        <w:autoSpaceDE w:val="0"/>
        <w:autoSpaceDN w:val="0"/>
        <w:adjustRightInd w:val="0"/>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2、交货地点：</w:t>
      </w:r>
      <w:r>
        <w:rPr>
          <w:rFonts w:hint="eastAsia" w:ascii="宋体" w:hAnsi="宋体" w:cs="宋体"/>
          <w:bCs/>
          <w:color w:val="auto"/>
          <w:szCs w:val="21"/>
          <w:highlight w:val="none"/>
          <w:lang w:eastAsia="zh-CN"/>
        </w:rPr>
        <w:t>采购方指定地点</w:t>
      </w:r>
      <w:r>
        <w:rPr>
          <w:rFonts w:hint="eastAsia" w:ascii="宋体" w:hAnsi="宋体" w:cs="宋体"/>
          <w:bCs/>
          <w:color w:val="auto"/>
          <w:szCs w:val="21"/>
          <w:highlight w:val="none"/>
        </w:rPr>
        <w:t>。</w:t>
      </w:r>
    </w:p>
    <w:p>
      <w:pPr>
        <w:autoSpaceDE w:val="0"/>
        <w:autoSpaceDN w:val="0"/>
        <w:adjustRightInd w:val="0"/>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3、履约保证金：</w:t>
      </w:r>
      <w:r>
        <w:rPr>
          <w:rFonts w:hint="eastAsia" w:ascii="宋体" w:hAnsi="宋体" w:cs="宋体"/>
          <w:bCs/>
          <w:color w:val="auto"/>
          <w:szCs w:val="21"/>
          <w:highlight w:val="none"/>
          <w:lang w:val="en-US" w:eastAsia="zh-CN"/>
        </w:rPr>
        <w:t>无</w:t>
      </w:r>
      <w:r>
        <w:rPr>
          <w:rFonts w:hint="eastAsia" w:ascii="宋体" w:hAnsi="宋体" w:cs="宋体"/>
          <w:bCs/>
          <w:color w:val="auto"/>
          <w:szCs w:val="21"/>
          <w:highlight w:val="none"/>
        </w:rPr>
        <w:t>。</w:t>
      </w:r>
    </w:p>
    <w:p>
      <w:pPr>
        <w:autoSpaceDE w:val="0"/>
        <w:autoSpaceDN w:val="0"/>
        <w:adjustRightInd w:val="0"/>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4、平板</w:t>
      </w:r>
      <w:r>
        <w:rPr>
          <w:rFonts w:hint="eastAsia" w:ascii="宋体" w:hAnsi="宋体" w:cs="宋体"/>
          <w:bCs/>
          <w:color w:val="auto"/>
          <w:szCs w:val="21"/>
          <w:highlight w:val="none"/>
          <w:lang w:val="en-US" w:eastAsia="zh-CN"/>
        </w:rPr>
        <w:t>电脑</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笔记本</w:t>
      </w:r>
      <w:r>
        <w:rPr>
          <w:rFonts w:hint="eastAsia" w:ascii="宋体" w:hAnsi="宋体" w:cs="宋体"/>
          <w:bCs/>
          <w:color w:val="auto"/>
          <w:szCs w:val="21"/>
          <w:highlight w:val="none"/>
        </w:rPr>
        <w:t>电脑纳入政府强制采购产品，供应商投标时提供有效的节能认证证书或投标品牌官网或政府采购官网查询的节能产品截图等有效证明材料。</w:t>
      </w:r>
    </w:p>
    <w:p>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四、质量标准：要求产品货物质量达到国家合格标准。</w:t>
      </w:r>
    </w:p>
    <w:p>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五、商务要求表</w:t>
      </w:r>
    </w:p>
    <w:tbl>
      <w:tblPr>
        <w:tblStyle w:val="37"/>
        <w:tblW w:w="95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68"/>
        <w:gridCol w:w="72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3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721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1年</w:t>
            </w:r>
            <w:r>
              <w:rPr>
                <w:rFonts w:hint="eastAsia" w:ascii="宋体" w:hAnsi="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23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交货期及地点</w:t>
            </w:r>
          </w:p>
        </w:tc>
        <w:tc>
          <w:tcPr>
            <w:tcW w:w="721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交货时间：合同签订之日起</w:t>
            </w:r>
            <w:r>
              <w:rPr>
                <w:rFonts w:hint="eastAsia" w:ascii="宋体" w:hAnsi="宋体" w:cs="宋体"/>
                <w:color w:val="auto"/>
                <w:szCs w:val="21"/>
                <w:highlight w:val="none"/>
                <w:lang w:val="en-US" w:eastAsia="zh-CN"/>
              </w:rPr>
              <w:t>80</w:t>
            </w:r>
            <w:r>
              <w:rPr>
                <w:rFonts w:hint="eastAsia" w:ascii="宋体" w:hAnsi="宋体" w:cs="宋体"/>
                <w:color w:val="auto"/>
                <w:szCs w:val="21"/>
                <w:highlight w:val="none"/>
              </w:rPr>
              <w:t>天内交货。</w:t>
            </w:r>
          </w:p>
          <w:p>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交货地点：</w:t>
            </w:r>
            <w:r>
              <w:rPr>
                <w:rFonts w:hint="eastAsia" w:ascii="宋体" w:hAnsi="宋体" w:cs="宋体"/>
                <w:color w:val="auto"/>
                <w:szCs w:val="21"/>
                <w:highlight w:val="none"/>
                <w:lang w:eastAsia="zh-CN"/>
              </w:rPr>
              <w:t>采购方指定地点</w:t>
            </w:r>
            <w:r>
              <w:rPr>
                <w:rFonts w:hint="eastAsia"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23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交货方案及验收条件</w:t>
            </w:r>
          </w:p>
        </w:tc>
        <w:tc>
          <w:tcPr>
            <w:tcW w:w="721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color w:val="auto"/>
                <w:szCs w:val="21"/>
                <w:highlight w:val="none"/>
              </w:rPr>
            </w:pPr>
            <w:r>
              <w:rPr>
                <w:rStyle w:val="40"/>
                <w:rFonts w:hint="eastAsia" w:ascii="宋体" w:hAnsi="宋体" w:cs="宋体"/>
                <w:b w:val="0"/>
                <w:color w:val="auto"/>
                <w:kern w:val="0"/>
                <w:szCs w:val="21"/>
                <w:highlight w:val="none"/>
              </w:rPr>
              <w:t>由供应商以书面形式向采购单位提交验收申请，采购单位审核验收材料后5个工作日内组织验收。</w:t>
            </w:r>
            <w:r>
              <w:rPr>
                <w:rFonts w:hint="eastAsia" w:ascii="宋体" w:hAnsi="宋体" w:cs="宋体"/>
                <w:color w:val="auto"/>
                <w:szCs w:val="21"/>
                <w:highlight w:val="none"/>
              </w:rPr>
              <w:t>以嘉兴市特种设备检验检测院验收合格后，在验收单上签字确认。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3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付款条件</w:t>
            </w:r>
          </w:p>
        </w:tc>
        <w:tc>
          <w:tcPr>
            <w:tcW w:w="721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bCs/>
                <w:color w:val="auto"/>
                <w:szCs w:val="21"/>
                <w:highlight w:val="none"/>
              </w:rPr>
            </w:pPr>
            <w:r>
              <w:rPr>
                <w:rFonts w:hint="eastAsia" w:ascii="宋体" w:hAnsi="宋体" w:cs="宋体"/>
                <w:color w:val="auto"/>
                <w:szCs w:val="21"/>
                <w:highlight w:val="none"/>
              </w:rPr>
              <w:t>合同签订后</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个工作日内支付合同金额的</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0%，设备安装调试验收合格后支付剩余的合同价款。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23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备品备件及耗材等要求</w:t>
            </w:r>
          </w:p>
        </w:tc>
        <w:tc>
          <w:tcPr>
            <w:tcW w:w="721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color w:val="auto"/>
                <w:szCs w:val="21"/>
                <w:highlight w:val="none"/>
              </w:rPr>
            </w:pPr>
            <w:r>
              <w:rPr>
                <w:rStyle w:val="40"/>
                <w:rFonts w:hint="eastAsia" w:ascii="宋体" w:hAnsi="宋体" w:cs="宋体"/>
                <w:b w:val="0"/>
                <w:color w:val="auto"/>
                <w:kern w:val="0"/>
                <w:szCs w:val="21"/>
                <w:highlight w:val="none"/>
              </w:rPr>
              <w:t>根据技术指标需求中的具体规定，为部分设备提供正常使用所需的耗材及周期更换备品备件。</w:t>
            </w:r>
            <w:r>
              <w:rPr>
                <w:rFonts w:hint="eastAsia" w:ascii="宋体" w:hAnsi="宋体" w:cs="宋体"/>
                <w:color w:val="auto"/>
                <w:szCs w:val="21"/>
                <w:highlight w:val="none"/>
              </w:rPr>
              <w:t>确保配件供应且3年内配件价格不变。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23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kern w:val="0"/>
                <w:szCs w:val="21"/>
                <w:highlight w:val="none"/>
              </w:rPr>
            </w:pPr>
            <w:r>
              <w:rPr>
                <w:rStyle w:val="40"/>
                <w:rFonts w:hint="eastAsia" w:ascii="宋体" w:hAnsi="宋体" w:cs="宋体"/>
                <w:b w:val="0"/>
                <w:color w:val="auto"/>
                <w:kern w:val="0"/>
                <w:szCs w:val="21"/>
                <w:highlight w:val="none"/>
              </w:rPr>
              <w:t>安装调试</w:t>
            </w:r>
          </w:p>
        </w:tc>
        <w:tc>
          <w:tcPr>
            <w:tcW w:w="721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kern w:val="0"/>
                <w:szCs w:val="21"/>
                <w:highlight w:val="none"/>
              </w:rPr>
            </w:pPr>
            <w:r>
              <w:rPr>
                <w:rStyle w:val="40"/>
                <w:rFonts w:hint="eastAsia" w:ascii="宋体" w:hAnsi="宋体" w:cs="宋体"/>
                <w:b w:val="0"/>
                <w:color w:val="auto"/>
                <w:kern w:val="0"/>
                <w:szCs w:val="21"/>
                <w:highlight w:val="none"/>
              </w:rPr>
              <w:t>需有具备相关专业技术人员实施安装调试。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23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kern w:val="0"/>
                <w:szCs w:val="21"/>
                <w:highlight w:val="none"/>
              </w:rPr>
            </w:pPr>
            <w:r>
              <w:rPr>
                <w:rStyle w:val="40"/>
                <w:rFonts w:hint="eastAsia" w:ascii="宋体" w:hAnsi="宋体" w:cs="宋体"/>
                <w:b w:val="0"/>
                <w:color w:val="auto"/>
                <w:kern w:val="0"/>
                <w:szCs w:val="21"/>
                <w:highlight w:val="none"/>
              </w:rPr>
              <w:t>技术服务和培训</w:t>
            </w:r>
          </w:p>
        </w:tc>
        <w:tc>
          <w:tcPr>
            <w:tcW w:w="721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kern w:val="0"/>
                <w:szCs w:val="21"/>
                <w:highlight w:val="none"/>
              </w:rPr>
            </w:pPr>
            <w:r>
              <w:rPr>
                <w:rStyle w:val="40"/>
                <w:rFonts w:hint="eastAsia" w:ascii="宋体" w:hAnsi="宋体" w:cs="宋体"/>
                <w:b w:val="0"/>
                <w:color w:val="auto"/>
                <w:kern w:val="0"/>
                <w:szCs w:val="21"/>
                <w:highlight w:val="none"/>
              </w:rPr>
              <w:t>中标供应商应免费提供安装及现场培训服务，为采购人提供</w:t>
            </w:r>
            <w:r>
              <w:rPr>
                <w:rFonts w:hint="eastAsia" w:ascii="宋体" w:hAnsi="宋体" w:cs="宋体"/>
                <w:color w:val="auto"/>
                <w:szCs w:val="21"/>
                <w:highlight w:val="none"/>
              </w:rPr>
              <w:t>1日仪器操作和日常维护的现场培训</w:t>
            </w:r>
            <w:r>
              <w:rPr>
                <w:rStyle w:val="40"/>
                <w:rFonts w:hint="eastAsia" w:ascii="宋体" w:hAnsi="宋体" w:cs="宋体"/>
                <w:b w:val="0"/>
                <w:color w:val="auto"/>
                <w:kern w:val="0"/>
                <w:szCs w:val="21"/>
                <w:highlight w:val="none"/>
              </w:rPr>
              <w:t>，确保使用者完全会使用及操作为止,并终身免费提供升级服务。（投标时须进行承诺）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7" w:hRule="atLeast"/>
          <w:jc w:val="center"/>
        </w:trPr>
        <w:tc>
          <w:tcPr>
            <w:tcW w:w="23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售后服务保障或维修响应时间要求</w:t>
            </w:r>
          </w:p>
        </w:tc>
        <w:tc>
          <w:tcPr>
            <w:tcW w:w="721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auto"/>
                <w:szCs w:val="21"/>
                <w:highlight w:val="none"/>
              </w:rPr>
            </w:pPr>
            <w:r>
              <w:rPr>
                <w:rFonts w:hint="eastAsia" w:ascii="宋体" w:hAnsi="宋体" w:cs="宋体"/>
                <w:color w:val="auto"/>
                <w:szCs w:val="21"/>
                <w:highlight w:val="none"/>
              </w:rPr>
              <w:t>具有完善的售后服务方案和专业的技术团队，并在48小时内响应并派出专门维修人员到现场维修。 （各标项有说明的按各标项要求，投标时须进行承诺）</w:t>
            </w:r>
          </w:p>
        </w:tc>
      </w:tr>
    </w:tbl>
    <w:p>
      <w:pPr>
        <w:snapToGrid w:val="0"/>
        <w:spacing w:line="440" w:lineRule="exact"/>
        <w:rPr>
          <w:rFonts w:ascii="宋体" w:hAnsi="宋体" w:cs="宋体"/>
          <w:b/>
          <w:color w:val="auto"/>
          <w:szCs w:val="21"/>
          <w:highlight w:val="none"/>
        </w:rPr>
      </w:pPr>
      <w:r>
        <w:rPr>
          <w:rFonts w:hint="eastAsia" w:ascii="宋体" w:hAnsi="宋体" w:cs="宋体"/>
          <w:b/>
          <w:color w:val="auto"/>
          <w:szCs w:val="21"/>
          <w:highlight w:val="none"/>
        </w:rPr>
        <w:t>六、投标人的资信要求表</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7"/>
        <w:gridCol w:w="67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26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质量管理、企业信用要求</w:t>
            </w:r>
          </w:p>
        </w:tc>
        <w:tc>
          <w:tcPr>
            <w:tcW w:w="679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投标产品生产企业的质量管理体系认证、环境管理体系认证；投标单位信用证明和资信证明，具有国家检测部门的质量合格检测（监检）报告。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26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能力或业绩要求</w:t>
            </w:r>
          </w:p>
        </w:tc>
        <w:tc>
          <w:tcPr>
            <w:tcW w:w="6793" w:type="dxa"/>
            <w:tcBorders>
              <w:top w:val="single" w:color="auto" w:sz="4" w:space="0"/>
              <w:left w:val="single" w:color="auto" w:sz="4" w:space="0"/>
              <w:bottom w:val="single" w:color="auto" w:sz="4" w:space="0"/>
              <w:right w:val="single" w:color="auto" w:sz="4" w:space="0"/>
            </w:tcBorders>
            <w:vAlign w:val="center"/>
          </w:tcPr>
          <w:p>
            <w:pPr>
              <w:pStyle w:val="71"/>
              <w:snapToGrid w:val="0"/>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投标人具有投标设备的业绩。</w:t>
            </w:r>
          </w:p>
        </w:tc>
      </w:tr>
    </w:tbl>
    <w:p>
      <w:pPr>
        <w:spacing w:line="460" w:lineRule="exact"/>
        <w:jc w:val="center"/>
        <w:outlineLvl w:val="0"/>
        <w:rPr>
          <w:rFonts w:ascii="宋体" w:hAnsi="宋体"/>
          <w:b/>
          <w:color w:val="auto"/>
          <w:sz w:val="32"/>
          <w:szCs w:val="32"/>
          <w:highlight w:val="none"/>
        </w:rPr>
      </w:pPr>
      <w:bookmarkStart w:id="7" w:name="_Toc12463"/>
    </w:p>
    <w:p>
      <w:pPr>
        <w:spacing w:line="460" w:lineRule="exact"/>
        <w:jc w:val="center"/>
        <w:outlineLvl w:val="0"/>
        <w:rPr>
          <w:rFonts w:ascii="宋体" w:hAnsi="宋体"/>
          <w:b/>
          <w:color w:val="auto"/>
          <w:sz w:val="32"/>
          <w:szCs w:val="32"/>
          <w:highlight w:val="none"/>
        </w:rPr>
      </w:pPr>
    </w:p>
    <w:p>
      <w:pPr>
        <w:spacing w:line="460" w:lineRule="exact"/>
        <w:jc w:val="center"/>
        <w:outlineLvl w:val="0"/>
        <w:rPr>
          <w:rFonts w:ascii="宋体" w:hAnsi="宋体"/>
          <w:b/>
          <w:color w:val="auto"/>
          <w:sz w:val="32"/>
          <w:szCs w:val="32"/>
          <w:highlight w:val="none"/>
        </w:rPr>
      </w:pPr>
    </w:p>
    <w:p>
      <w:pPr>
        <w:spacing w:line="460" w:lineRule="exact"/>
        <w:jc w:val="center"/>
        <w:outlineLvl w:val="0"/>
        <w:rPr>
          <w:rFonts w:ascii="宋体" w:hAnsi="宋体"/>
          <w:b/>
          <w:color w:val="auto"/>
          <w:sz w:val="32"/>
          <w:szCs w:val="32"/>
          <w:highlight w:val="none"/>
        </w:rPr>
      </w:pPr>
    </w:p>
    <w:p>
      <w:pPr>
        <w:spacing w:line="460" w:lineRule="exact"/>
        <w:jc w:val="center"/>
        <w:outlineLvl w:val="0"/>
        <w:rPr>
          <w:rFonts w:ascii="宋体" w:hAnsi="宋体"/>
          <w:b/>
          <w:color w:val="auto"/>
          <w:sz w:val="32"/>
          <w:szCs w:val="32"/>
          <w:highlight w:val="none"/>
        </w:rPr>
      </w:pPr>
    </w:p>
    <w:p>
      <w:pPr>
        <w:pStyle w:val="44"/>
        <w:rPr>
          <w:rFonts w:ascii="宋体" w:hAnsi="宋体"/>
          <w:color w:val="auto"/>
          <w:szCs w:val="32"/>
          <w:highlight w:val="none"/>
        </w:rPr>
      </w:pPr>
    </w:p>
    <w:p>
      <w:pPr>
        <w:pStyle w:val="12"/>
        <w:rPr>
          <w:rFonts w:ascii="宋体" w:hAnsi="宋体"/>
          <w:b/>
          <w:color w:val="auto"/>
          <w:sz w:val="32"/>
          <w:szCs w:val="32"/>
          <w:highlight w:val="none"/>
        </w:rPr>
      </w:pPr>
    </w:p>
    <w:p>
      <w:pPr>
        <w:pStyle w:val="12"/>
        <w:rPr>
          <w:rFonts w:ascii="宋体" w:hAnsi="宋体"/>
          <w:b/>
          <w:color w:val="auto"/>
          <w:sz w:val="32"/>
          <w:szCs w:val="32"/>
          <w:highlight w:val="none"/>
        </w:rPr>
      </w:pPr>
    </w:p>
    <w:p>
      <w:pPr>
        <w:pStyle w:val="12"/>
        <w:rPr>
          <w:rFonts w:ascii="宋体" w:hAnsi="宋体"/>
          <w:b/>
          <w:color w:val="auto"/>
          <w:sz w:val="32"/>
          <w:szCs w:val="32"/>
          <w:highlight w:val="none"/>
        </w:rPr>
      </w:pPr>
    </w:p>
    <w:p>
      <w:pPr>
        <w:pStyle w:val="12"/>
        <w:rPr>
          <w:rFonts w:ascii="宋体" w:hAnsi="宋体"/>
          <w:b/>
          <w:color w:val="auto"/>
          <w:sz w:val="32"/>
          <w:szCs w:val="32"/>
          <w:highlight w:val="none"/>
        </w:rPr>
      </w:pPr>
    </w:p>
    <w:p>
      <w:pPr>
        <w:pStyle w:val="12"/>
        <w:rPr>
          <w:rFonts w:ascii="宋体" w:hAnsi="宋体"/>
          <w:b/>
          <w:color w:val="auto"/>
          <w:sz w:val="32"/>
          <w:szCs w:val="32"/>
          <w:highlight w:val="none"/>
        </w:rPr>
      </w:pPr>
    </w:p>
    <w:p>
      <w:pPr>
        <w:pStyle w:val="12"/>
        <w:rPr>
          <w:rFonts w:ascii="宋体" w:hAnsi="宋体"/>
          <w:b/>
          <w:color w:val="auto"/>
          <w:sz w:val="32"/>
          <w:szCs w:val="32"/>
          <w:highlight w:val="none"/>
        </w:rPr>
      </w:pPr>
    </w:p>
    <w:p>
      <w:pPr>
        <w:spacing w:line="460" w:lineRule="exact"/>
        <w:jc w:val="both"/>
        <w:outlineLvl w:val="0"/>
        <w:rPr>
          <w:rFonts w:hint="eastAsia" w:ascii="宋体" w:hAnsi="宋体"/>
          <w:b/>
          <w:color w:val="auto"/>
          <w:sz w:val="32"/>
          <w:szCs w:val="32"/>
          <w:highlight w:val="none"/>
        </w:rPr>
      </w:pPr>
    </w:p>
    <w:p>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spacing w:line="460" w:lineRule="exact"/>
        <w:jc w:val="center"/>
        <w:outlineLvl w:val="0"/>
        <w:rPr>
          <w:rFonts w:ascii="宋体" w:hAnsi="宋体"/>
          <w:b/>
          <w:color w:val="auto"/>
          <w:sz w:val="32"/>
          <w:szCs w:val="32"/>
          <w:highlight w:val="none"/>
        </w:rPr>
      </w:pPr>
      <w:r>
        <w:rPr>
          <w:rFonts w:hint="eastAsia" w:ascii="宋体" w:hAnsi="宋体"/>
          <w:b/>
          <w:color w:val="auto"/>
          <w:sz w:val="32"/>
          <w:szCs w:val="32"/>
          <w:highlight w:val="none"/>
        </w:rPr>
        <w:t>第三章  投标人须知</w:t>
      </w:r>
      <w:bookmarkEnd w:id="1"/>
      <w:bookmarkEnd w:id="7"/>
    </w:p>
    <w:p>
      <w:pPr>
        <w:spacing w:line="360" w:lineRule="auto"/>
        <w:ind w:firstLine="281" w:firstLineChars="100"/>
        <w:jc w:val="center"/>
        <w:rPr>
          <w:rFonts w:ascii="宋体" w:hAnsi="宋体"/>
          <w:b/>
          <w:bCs/>
          <w:color w:val="auto"/>
          <w:sz w:val="28"/>
          <w:szCs w:val="28"/>
          <w:highlight w:val="none"/>
        </w:rPr>
      </w:pPr>
      <w:bookmarkStart w:id="8" w:name="_Toc177870535"/>
      <w:bookmarkStart w:id="9" w:name="_Toc32301"/>
    </w:p>
    <w:p>
      <w:pPr>
        <w:spacing w:line="360" w:lineRule="auto"/>
        <w:ind w:firstLine="281" w:firstLineChars="100"/>
        <w:jc w:val="center"/>
        <w:rPr>
          <w:rFonts w:ascii="宋体" w:hAnsi="宋体"/>
          <w:b/>
          <w:bCs/>
          <w:color w:val="auto"/>
          <w:sz w:val="28"/>
          <w:szCs w:val="28"/>
          <w:highlight w:val="none"/>
        </w:rPr>
      </w:pPr>
      <w:r>
        <w:rPr>
          <w:rFonts w:hint="eastAsia" w:ascii="宋体" w:hAnsi="宋体"/>
          <w:b/>
          <w:bCs/>
          <w:color w:val="auto"/>
          <w:sz w:val="28"/>
          <w:szCs w:val="28"/>
          <w:highlight w:val="none"/>
        </w:rPr>
        <w:t>电子交易注意事项</w:t>
      </w:r>
    </w:p>
    <w:p>
      <w:pPr>
        <w:spacing w:line="360" w:lineRule="auto"/>
        <w:ind w:firstLine="211" w:firstLineChars="100"/>
        <w:jc w:val="left"/>
        <w:rPr>
          <w:rFonts w:ascii="宋体" w:hAnsi="宋体" w:cs="宋体"/>
          <w:color w:val="auto"/>
          <w:sz w:val="24"/>
          <w:highlight w:val="none"/>
          <w:shd w:val="clear" w:color="auto" w:fill="FFFFFF"/>
        </w:rPr>
      </w:pPr>
      <w:r>
        <w:rPr>
          <w:rFonts w:hint="eastAsia" w:ascii="宋体" w:hAnsi="宋体" w:cs="宋体"/>
          <w:b/>
          <w:bCs/>
          <w:color w:val="auto"/>
          <w:szCs w:val="21"/>
          <w:highlight w:val="none"/>
          <w:shd w:val="clear" w:color="auto" w:fill="FFFFFF"/>
        </w:rPr>
        <w:t>　</w:t>
      </w:r>
      <w:r>
        <w:rPr>
          <w:rFonts w:hint="eastAsia" w:ascii="宋体" w:hAnsi="宋体" w:cs="宋体"/>
          <w:color w:val="auto"/>
          <w:sz w:val="24"/>
          <w:highlight w:val="none"/>
          <w:shd w:val="clear" w:color="auto" w:fill="FFFFFF"/>
        </w:rPr>
        <w:t>政府采购项目电子交易活动适用《浙江省政府采购项目电子交易管理暂行办法》，现将相关注意事项告知如下：</w:t>
      </w:r>
    </w:p>
    <w:p>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　1.采购</w:t>
      </w:r>
      <w:r>
        <w:rPr>
          <w:rFonts w:ascii="宋体" w:hAnsi="宋体" w:cs="宋体"/>
          <w:color w:val="auto"/>
          <w:sz w:val="24"/>
          <w:highlight w:val="none"/>
        </w:rPr>
        <w:t>代理</w:t>
      </w:r>
      <w:r>
        <w:rPr>
          <w:rFonts w:hint="eastAsia" w:ascii="宋体" w:hAnsi="宋体" w:cs="宋体"/>
          <w:color w:val="auto"/>
          <w:sz w:val="24"/>
          <w:highlight w:val="none"/>
        </w:rPr>
        <w:t>机构按照招标文件规定的时间通过电子交易平台组织开标、开启电子投标文件，所有供应商均应当准时在线参加，直至评审结束。</w:t>
      </w:r>
    </w:p>
    <w:p>
      <w:pPr>
        <w:pStyle w:val="31"/>
        <w:spacing w:beforeAutospacing="0" w:afterAutospacing="0" w:line="360" w:lineRule="auto"/>
        <w:ind w:firstLine="240" w:firstLineChars="100"/>
        <w:rPr>
          <w:rFonts w:cs="宋体"/>
          <w:color w:val="auto"/>
          <w:kern w:val="2"/>
          <w:highlight w:val="none"/>
        </w:rPr>
      </w:pPr>
      <w:r>
        <w:rPr>
          <w:rFonts w:hint="eastAsia" w:cs="宋体"/>
          <w:color w:val="auto"/>
          <w:kern w:val="2"/>
          <w:highlight w:val="none"/>
        </w:rPr>
        <w:t>　2. 电子投标文件未按时解密，供应商如提供备份电子投标文件的，以符合要求的备份电子投标文件作为依据，否则视为投标文件撤回。电子投标文件已按时解密的，备份电子投标文件自动失效。</w:t>
      </w:r>
    </w:p>
    <w:p>
      <w:pPr>
        <w:pStyle w:val="31"/>
        <w:spacing w:beforeAutospacing="0" w:afterAutospacing="0" w:line="360" w:lineRule="auto"/>
        <w:ind w:firstLine="240" w:firstLineChars="100"/>
        <w:rPr>
          <w:rFonts w:cs="宋体"/>
          <w:color w:val="auto"/>
          <w:kern w:val="2"/>
          <w:highlight w:val="none"/>
        </w:rPr>
      </w:pPr>
      <w:r>
        <w:rPr>
          <w:rFonts w:hint="eastAsia" w:cs="宋体"/>
          <w:color w:val="auto"/>
          <w:kern w:val="2"/>
          <w:highlight w:val="none"/>
        </w:rPr>
        <w:t>　3. 采购过程中出现以下情形，导致电子交易平台无法正常运行，或者无法保证电子交易的公平、公正和安全时，采购代理机构可中止电子交易活动：</w:t>
      </w:r>
    </w:p>
    <w:p>
      <w:pPr>
        <w:pStyle w:val="31"/>
        <w:spacing w:beforeAutospacing="0" w:afterAutospacing="0" w:line="360" w:lineRule="auto"/>
        <w:ind w:firstLine="645"/>
        <w:rPr>
          <w:rFonts w:cs="宋体"/>
          <w:color w:val="auto"/>
          <w:kern w:val="2"/>
          <w:highlight w:val="none"/>
        </w:rPr>
      </w:pPr>
      <w:r>
        <w:rPr>
          <w:rFonts w:hint="eastAsia" w:cs="宋体"/>
          <w:color w:val="auto"/>
          <w:kern w:val="2"/>
          <w:highlight w:val="none"/>
        </w:rPr>
        <w:t>（一）电子交易平台发生故障而无法登录访问的； </w:t>
      </w:r>
    </w:p>
    <w:p>
      <w:pPr>
        <w:pStyle w:val="31"/>
        <w:spacing w:beforeAutospacing="0" w:afterAutospacing="0" w:line="360" w:lineRule="auto"/>
        <w:ind w:firstLine="645"/>
        <w:rPr>
          <w:rFonts w:cs="宋体"/>
          <w:color w:val="auto"/>
          <w:kern w:val="2"/>
          <w:highlight w:val="none"/>
        </w:rPr>
      </w:pPr>
      <w:r>
        <w:rPr>
          <w:rFonts w:hint="eastAsia" w:cs="宋体"/>
          <w:color w:val="auto"/>
          <w:kern w:val="2"/>
          <w:highlight w:val="none"/>
        </w:rPr>
        <w:t>（二）电子交易平台应用或数据库出现错误，不能进行正常操作的；</w:t>
      </w:r>
    </w:p>
    <w:p>
      <w:pPr>
        <w:pStyle w:val="31"/>
        <w:spacing w:beforeAutospacing="0" w:afterAutospacing="0" w:line="360" w:lineRule="auto"/>
        <w:ind w:firstLine="645"/>
        <w:rPr>
          <w:rFonts w:cs="宋体"/>
          <w:color w:val="auto"/>
          <w:kern w:val="2"/>
          <w:highlight w:val="none"/>
        </w:rPr>
      </w:pPr>
      <w:r>
        <w:rPr>
          <w:rFonts w:hint="eastAsia" w:cs="宋体"/>
          <w:color w:val="auto"/>
          <w:kern w:val="2"/>
          <w:highlight w:val="none"/>
        </w:rPr>
        <w:t>（三）电子交易平台发现严重安全漏洞，有潜在泄密危险的；</w:t>
      </w:r>
    </w:p>
    <w:p>
      <w:pPr>
        <w:pStyle w:val="31"/>
        <w:spacing w:beforeAutospacing="0" w:afterAutospacing="0" w:line="360" w:lineRule="auto"/>
        <w:ind w:firstLine="645"/>
        <w:rPr>
          <w:rFonts w:cs="宋体"/>
          <w:color w:val="auto"/>
          <w:kern w:val="2"/>
          <w:highlight w:val="none"/>
        </w:rPr>
      </w:pPr>
      <w:r>
        <w:rPr>
          <w:rFonts w:hint="eastAsia" w:cs="宋体"/>
          <w:color w:val="auto"/>
          <w:kern w:val="2"/>
          <w:highlight w:val="none"/>
        </w:rPr>
        <w:t>（四）病毒发作导致不能进行正常操作的； </w:t>
      </w:r>
    </w:p>
    <w:p>
      <w:pPr>
        <w:pStyle w:val="31"/>
        <w:spacing w:beforeAutospacing="0" w:afterAutospacing="0" w:line="360" w:lineRule="auto"/>
        <w:ind w:firstLine="645"/>
        <w:rPr>
          <w:rFonts w:cs="宋体"/>
          <w:color w:val="auto"/>
          <w:kern w:val="2"/>
          <w:highlight w:val="none"/>
        </w:rPr>
      </w:pPr>
      <w:r>
        <w:rPr>
          <w:rFonts w:hint="eastAsia" w:cs="宋体"/>
          <w:color w:val="auto"/>
          <w:kern w:val="2"/>
          <w:highlight w:val="none"/>
        </w:rPr>
        <w:t>（五）其他无法保证电子交易的公平、公正和安全的情况。</w:t>
      </w:r>
    </w:p>
    <w:p>
      <w:pPr>
        <w:pStyle w:val="31"/>
        <w:spacing w:beforeAutospacing="0" w:afterAutospacing="0" w:line="360" w:lineRule="auto"/>
        <w:ind w:firstLine="480"/>
        <w:rPr>
          <w:rFonts w:cs="宋体"/>
          <w:color w:val="auto"/>
          <w:kern w:val="2"/>
          <w:highlight w:val="none"/>
        </w:rPr>
      </w:pPr>
      <w:r>
        <w:rPr>
          <w:rFonts w:hint="eastAsia" w:cs="宋体"/>
          <w:color w:val="auto"/>
          <w:kern w:val="2"/>
          <w:highlight w:val="none"/>
        </w:rPr>
        <w:t>出现前款规定情形，不影响采购公平、公正性的，采购</w:t>
      </w:r>
      <w:r>
        <w:rPr>
          <w:rFonts w:cs="宋体"/>
          <w:color w:val="auto"/>
          <w:kern w:val="2"/>
          <w:highlight w:val="none"/>
        </w:rPr>
        <w:t>代理</w:t>
      </w:r>
      <w:r>
        <w:rPr>
          <w:rFonts w:hint="eastAsia" w:cs="宋体"/>
          <w:color w:val="auto"/>
          <w:kern w:val="2"/>
          <w:highlight w:val="none"/>
        </w:rPr>
        <w:t>机构可以待上述情形消除后继续组织电子交易活动，也可以决定某些环节以纸质形式进行；影响或可能影响采购公平、公正性的，应当重新采购。</w:t>
      </w:r>
    </w:p>
    <w:p>
      <w:pPr>
        <w:pStyle w:val="31"/>
        <w:spacing w:beforeAutospacing="0" w:afterAutospacing="0" w:line="360" w:lineRule="auto"/>
        <w:ind w:firstLine="480"/>
        <w:rPr>
          <w:rFonts w:cs="宋体"/>
          <w:color w:val="auto"/>
          <w:highlight w:val="none"/>
          <w:shd w:val="clear" w:color="auto" w:fill="FFFFFF"/>
        </w:rPr>
      </w:pPr>
      <w:r>
        <w:rPr>
          <w:rFonts w:hint="eastAsia" w:cs="宋体"/>
          <w:color w:val="auto"/>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pPr>
        <w:spacing w:before="120" w:beforeLines="50" w:after="120" w:afterLines="50" w:line="400" w:lineRule="exact"/>
        <w:ind w:left="238"/>
        <w:jc w:val="center"/>
        <w:outlineLvl w:val="1"/>
        <w:rPr>
          <w:rFonts w:hint="eastAsia" w:ascii="宋体" w:hAnsi="宋体"/>
          <w:b/>
          <w:color w:val="auto"/>
          <w:sz w:val="28"/>
          <w:szCs w:val="28"/>
          <w:highlight w:val="none"/>
        </w:rPr>
      </w:pPr>
    </w:p>
    <w:p>
      <w:pPr>
        <w:pStyle w:val="2"/>
        <w:rPr>
          <w:rFonts w:hint="eastAsia"/>
          <w:color w:val="auto"/>
        </w:rPr>
      </w:pPr>
    </w:p>
    <w:p>
      <w:pPr>
        <w:spacing w:before="120" w:beforeLines="50" w:after="120" w:afterLines="50" w:line="400" w:lineRule="exact"/>
        <w:ind w:left="238"/>
        <w:jc w:val="center"/>
        <w:outlineLvl w:val="1"/>
        <w:rPr>
          <w:rFonts w:hint="eastAsia" w:ascii="宋体" w:hAnsi="宋体"/>
          <w:b/>
          <w:color w:val="auto"/>
          <w:sz w:val="28"/>
          <w:szCs w:val="28"/>
          <w:highlight w:val="none"/>
        </w:rPr>
      </w:pPr>
    </w:p>
    <w:p>
      <w:pPr>
        <w:spacing w:before="120" w:beforeLines="50" w:after="120" w:afterLines="50" w:line="400" w:lineRule="exact"/>
        <w:ind w:left="238"/>
        <w:jc w:val="center"/>
        <w:outlineLvl w:val="1"/>
        <w:rPr>
          <w:rFonts w:ascii="宋体" w:hAnsi="宋体"/>
          <w:b/>
          <w:color w:val="auto"/>
          <w:sz w:val="28"/>
          <w:szCs w:val="28"/>
          <w:highlight w:val="none"/>
        </w:rPr>
      </w:pPr>
      <w:r>
        <w:rPr>
          <w:rFonts w:hint="eastAsia" w:ascii="宋体" w:hAnsi="宋体"/>
          <w:b/>
          <w:color w:val="auto"/>
          <w:sz w:val="28"/>
          <w:szCs w:val="28"/>
          <w:highlight w:val="none"/>
        </w:rPr>
        <w:t>前附表</w:t>
      </w:r>
      <w:bookmarkEnd w:id="8"/>
      <w:bookmarkEnd w:id="9"/>
    </w:p>
    <w:tbl>
      <w:tblPr>
        <w:tblStyle w:val="37"/>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637" w:type="dxa"/>
            <w:vAlign w:val="center"/>
          </w:tcPr>
          <w:p>
            <w:pPr>
              <w:pStyle w:val="18"/>
              <w:jc w:val="center"/>
              <w:rPr>
                <w:rFonts w:ascii="新宋体" w:hAnsi="新宋体" w:eastAsia="新宋体"/>
                <w:b/>
                <w:bCs/>
                <w:color w:val="auto"/>
                <w:sz w:val="21"/>
                <w:szCs w:val="21"/>
                <w:highlight w:val="none"/>
              </w:rPr>
            </w:pPr>
            <w:r>
              <w:rPr>
                <w:rFonts w:hint="eastAsia" w:ascii="新宋体" w:hAnsi="新宋体" w:eastAsia="新宋体"/>
                <w:b/>
                <w:bCs/>
                <w:color w:val="auto"/>
                <w:sz w:val="21"/>
                <w:szCs w:val="21"/>
                <w:highlight w:val="none"/>
              </w:rPr>
              <w:t>序号</w:t>
            </w:r>
          </w:p>
        </w:tc>
        <w:tc>
          <w:tcPr>
            <w:tcW w:w="8463" w:type="dxa"/>
            <w:vAlign w:val="center"/>
          </w:tcPr>
          <w:p>
            <w:pPr>
              <w:pStyle w:val="18"/>
              <w:jc w:val="center"/>
              <w:rPr>
                <w:rFonts w:ascii="新宋体" w:hAnsi="新宋体" w:eastAsia="新宋体"/>
                <w:b/>
                <w:bCs/>
                <w:color w:val="auto"/>
                <w:sz w:val="21"/>
                <w:szCs w:val="21"/>
                <w:highlight w:val="none"/>
              </w:rPr>
            </w:pPr>
            <w:r>
              <w:rPr>
                <w:rFonts w:hint="eastAsia" w:ascii="新宋体" w:hAnsi="新宋体" w:eastAsia="新宋体"/>
                <w:b/>
                <w:bCs/>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37" w:type="dxa"/>
            <w:vAlign w:val="center"/>
          </w:tcPr>
          <w:p>
            <w:pPr>
              <w:pStyle w:val="18"/>
              <w:spacing w:line="400" w:lineRule="exact"/>
              <w:jc w:val="center"/>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1</w:t>
            </w:r>
          </w:p>
        </w:tc>
        <w:tc>
          <w:tcPr>
            <w:tcW w:w="8463" w:type="dxa"/>
            <w:vAlign w:val="center"/>
          </w:tcPr>
          <w:p>
            <w:pPr>
              <w:spacing w:line="440" w:lineRule="exact"/>
              <w:rPr>
                <w:rFonts w:ascii="宋体" w:hAnsi="宋体" w:cs="仿宋_GB2312"/>
                <w:color w:val="auto"/>
                <w:kern w:val="0"/>
                <w:szCs w:val="21"/>
                <w:highlight w:val="none"/>
                <w:lang w:val="zh-CN"/>
              </w:rPr>
            </w:pPr>
            <w:r>
              <w:rPr>
                <w:rFonts w:hint="eastAsia" w:ascii="宋体" w:hAnsi="宋体" w:cs="仿宋_GB2312"/>
                <w:b/>
                <w:color w:val="auto"/>
                <w:kern w:val="0"/>
                <w:szCs w:val="21"/>
                <w:highlight w:val="none"/>
                <w:lang w:val="zh-CN"/>
              </w:rPr>
              <w:t>项目名称：</w:t>
            </w:r>
            <w:r>
              <w:rPr>
                <w:rFonts w:hint="eastAsia" w:ascii="宋体" w:hAnsi="宋体" w:cs="仿宋_GB2312"/>
                <w:color w:val="auto"/>
                <w:kern w:val="0"/>
                <w:szCs w:val="21"/>
                <w:highlight w:val="none"/>
                <w:lang w:val="zh-CN"/>
              </w:rPr>
              <w:t xml:space="preserve">嘉兴市特种设备检验检测院2024年检验设备购置项目 </w:t>
            </w:r>
          </w:p>
          <w:p>
            <w:pPr>
              <w:pStyle w:val="73"/>
              <w:widowControl w:val="0"/>
              <w:snapToGrid/>
              <w:spacing w:afterLines="0" w:line="320" w:lineRule="exact"/>
              <w:ind w:firstLine="0" w:firstLineChars="0"/>
              <w:rPr>
                <w:rFonts w:ascii="宋体" w:hAnsi="宋体" w:cs="仿宋_GB2312"/>
                <w:color w:val="auto"/>
                <w:sz w:val="21"/>
                <w:szCs w:val="21"/>
                <w:highlight w:val="none"/>
                <w:lang w:val="zh-CN"/>
              </w:rPr>
            </w:pPr>
            <w:r>
              <w:rPr>
                <w:rFonts w:hint="eastAsia" w:ascii="宋体" w:hAnsi="宋体" w:cs="仿宋_GB2312"/>
                <w:b/>
                <w:color w:val="auto"/>
                <w:sz w:val="21"/>
                <w:szCs w:val="21"/>
                <w:highlight w:val="none"/>
                <w:lang w:val="zh-CN"/>
              </w:rPr>
              <w:t>服务最终用户：</w:t>
            </w:r>
            <w:r>
              <w:rPr>
                <w:rFonts w:hint="eastAsia" w:ascii="宋体" w:hAnsi="宋体" w:cs="仿宋_GB2312"/>
                <w:color w:val="auto"/>
                <w:sz w:val="21"/>
                <w:szCs w:val="21"/>
                <w:highlight w:val="none"/>
                <w:lang w:val="zh-CN"/>
              </w:rPr>
              <w:t xml:space="preserve">嘉兴市特种设备检验检测院 </w:t>
            </w:r>
          </w:p>
          <w:p>
            <w:pPr>
              <w:widowControl/>
              <w:spacing w:line="320" w:lineRule="exact"/>
              <w:jc w:val="left"/>
              <w:rPr>
                <w:rFonts w:ascii="宋体" w:hAnsi="宋体" w:cs="仿宋_GB2312"/>
                <w:b/>
                <w:color w:val="auto"/>
                <w:kern w:val="0"/>
                <w:szCs w:val="21"/>
                <w:highlight w:val="none"/>
                <w:lang w:val="zh-CN"/>
              </w:rPr>
            </w:pPr>
            <w:r>
              <w:rPr>
                <w:rFonts w:hint="eastAsia" w:ascii="宋体" w:hAnsi="宋体" w:cs="仿宋_GB2312"/>
                <w:b/>
                <w:color w:val="auto"/>
                <w:kern w:val="0"/>
                <w:szCs w:val="21"/>
                <w:highlight w:val="none"/>
                <w:lang w:val="zh-CN"/>
              </w:rPr>
              <w:t>服务内容及数量（内容、用途、数量、简要技术要求等）:</w:t>
            </w:r>
          </w:p>
          <w:p>
            <w:pPr>
              <w:widowControl/>
              <w:spacing w:line="320" w:lineRule="exact"/>
              <w:jc w:val="left"/>
              <w:rPr>
                <w:rFonts w:ascii="宋体" w:hAnsi="宋体" w:cs="仿宋_GB2312"/>
                <w:b/>
                <w:color w:val="auto"/>
                <w:kern w:val="0"/>
                <w:szCs w:val="21"/>
                <w:highlight w:val="none"/>
                <w:lang w:val="zh-CN"/>
              </w:rPr>
            </w:pPr>
            <w:r>
              <w:rPr>
                <w:rFonts w:hint="eastAsia" w:ascii="宋体" w:hAnsi="宋体" w:cs="仿宋_GB2312"/>
                <w:color w:val="auto"/>
                <w:kern w:val="0"/>
                <w:szCs w:val="21"/>
                <w:highlight w:val="none"/>
                <w:lang w:val="zh-CN"/>
              </w:rPr>
              <w:t>详见第二章招标项目需求。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37" w:type="dxa"/>
            <w:vAlign w:val="center"/>
          </w:tcPr>
          <w:p>
            <w:pPr>
              <w:pStyle w:val="18"/>
              <w:spacing w:line="400" w:lineRule="exact"/>
              <w:jc w:val="center"/>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2</w:t>
            </w:r>
          </w:p>
        </w:tc>
        <w:tc>
          <w:tcPr>
            <w:tcW w:w="8463" w:type="dxa"/>
            <w:vAlign w:val="center"/>
          </w:tcPr>
          <w:p>
            <w:pPr>
              <w:pStyle w:val="73"/>
              <w:widowControl w:val="0"/>
              <w:snapToGrid/>
              <w:spacing w:afterLines="0" w:line="360" w:lineRule="auto"/>
              <w:ind w:firstLine="0" w:firstLineChars="0"/>
              <w:rPr>
                <w:rFonts w:hint="eastAsia" w:ascii="宋体" w:hAnsi="宋体" w:eastAsia="宋体" w:cs="Arial"/>
                <w:color w:val="auto"/>
                <w:sz w:val="21"/>
                <w:szCs w:val="21"/>
                <w:highlight w:val="none"/>
                <w:lang w:eastAsia="zh-CN"/>
              </w:rPr>
            </w:pPr>
            <w:r>
              <w:rPr>
                <w:rFonts w:hint="eastAsia" w:hAnsi="宋体"/>
                <w:b/>
                <w:color w:val="auto"/>
                <w:sz w:val="21"/>
                <w:szCs w:val="21"/>
                <w:highlight w:val="none"/>
              </w:rPr>
              <w:t>项目编号：</w:t>
            </w:r>
            <w:r>
              <w:rPr>
                <w:rFonts w:hint="eastAsia" w:ascii="宋体" w:hAnsi="宋体"/>
                <w:color w:val="auto"/>
                <w:sz w:val="21"/>
                <w:szCs w:val="21"/>
                <w:highlight w:val="none"/>
                <w:lang w:eastAsia="zh-CN"/>
              </w:rPr>
              <w:t>JXMYZFCG-2024-013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637" w:type="dxa"/>
            <w:vAlign w:val="center"/>
          </w:tcPr>
          <w:p>
            <w:pPr>
              <w:pStyle w:val="18"/>
              <w:spacing w:line="400" w:lineRule="exact"/>
              <w:jc w:val="center"/>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3</w:t>
            </w:r>
          </w:p>
        </w:tc>
        <w:tc>
          <w:tcPr>
            <w:tcW w:w="8463" w:type="dxa"/>
            <w:vAlign w:val="center"/>
          </w:tcPr>
          <w:p>
            <w:pPr>
              <w:spacing w:line="360" w:lineRule="exact"/>
              <w:rPr>
                <w:rFonts w:ascii="宋体" w:hAnsi="宋体" w:cs="Arial"/>
                <w:b/>
                <w:bCs/>
                <w:color w:val="auto"/>
                <w:szCs w:val="21"/>
                <w:highlight w:val="none"/>
              </w:rPr>
            </w:pPr>
            <w:r>
              <w:rPr>
                <w:rFonts w:hint="eastAsia" w:ascii="宋体" w:hAnsi="宋体" w:cs="Arial"/>
                <w:b/>
                <w:bCs/>
                <w:color w:val="auto"/>
                <w:szCs w:val="21"/>
                <w:highlight w:val="none"/>
              </w:rPr>
              <w:t>合格投标人的资格要求：</w:t>
            </w:r>
          </w:p>
          <w:p>
            <w:pPr>
              <w:pStyle w:val="31"/>
              <w:spacing w:before="0" w:beforeAutospacing="0" w:after="0" w:afterAutospacing="0" w:line="400" w:lineRule="exact"/>
              <w:ind w:firstLine="630" w:firstLineChars="300"/>
              <w:rPr>
                <w:color w:val="auto"/>
                <w:sz w:val="21"/>
                <w:szCs w:val="21"/>
                <w:highlight w:val="none"/>
              </w:rPr>
            </w:pPr>
            <w:r>
              <w:rPr>
                <w:rFonts w:hint="eastAsia"/>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31"/>
              <w:spacing w:before="0" w:beforeAutospacing="0" w:after="0" w:afterAutospacing="0" w:line="400" w:lineRule="exact"/>
              <w:ind w:firstLine="630" w:firstLineChars="300"/>
              <w:rPr>
                <w:rFonts w:hint="eastAsia"/>
                <w:color w:val="auto"/>
                <w:sz w:val="21"/>
                <w:szCs w:val="21"/>
                <w:highlight w:val="none"/>
              </w:rPr>
            </w:pPr>
            <w:r>
              <w:rPr>
                <w:rFonts w:hint="eastAsia"/>
                <w:color w:val="auto"/>
                <w:sz w:val="21"/>
                <w:szCs w:val="21"/>
                <w:highlight w:val="none"/>
              </w:rPr>
              <w:t>2、落实政府采购政策需满足的资格要求：</w:t>
            </w:r>
          </w:p>
          <w:p>
            <w:pPr>
              <w:pStyle w:val="31"/>
              <w:spacing w:before="0" w:beforeAutospacing="0" w:after="0" w:afterAutospacing="0" w:line="400" w:lineRule="exact"/>
              <w:ind w:firstLine="630" w:firstLineChars="300"/>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lang w:val="en-US" w:eastAsia="zh-CN"/>
              </w:rPr>
              <w:t>标项一、二、三</w:t>
            </w:r>
            <w:r>
              <w:rPr>
                <w:rFonts w:hint="eastAsia"/>
                <w:color w:val="auto"/>
                <w:sz w:val="21"/>
                <w:szCs w:val="21"/>
                <w:highlight w:val="none"/>
              </w:rPr>
              <w:t>落实政府采购政策需满足的资格要求：</w:t>
            </w:r>
            <w:r>
              <w:rPr>
                <w:rFonts w:hint="eastAsia"/>
                <w:color w:val="auto"/>
                <w:sz w:val="21"/>
                <w:szCs w:val="21"/>
                <w:highlight w:val="none"/>
                <w:lang w:val="en-US" w:eastAsia="zh-CN"/>
              </w:rPr>
              <w:t>无。</w:t>
            </w:r>
          </w:p>
          <w:p>
            <w:pPr>
              <w:pStyle w:val="31"/>
              <w:spacing w:before="0" w:beforeAutospacing="0" w:after="0" w:afterAutospacing="0" w:line="400" w:lineRule="exact"/>
              <w:ind w:firstLine="630" w:firstLineChars="300"/>
              <w:rPr>
                <w:rFonts w:hint="default" w:eastAsia="宋体"/>
                <w:color w:val="auto"/>
                <w:sz w:val="21"/>
                <w:szCs w:val="21"/>
                <w:highlight w:val="none"/>
                <w:lang w:val="en-US" w:eastAsia="zh-CN"/>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lang w:val="en-US" w:eastAsia="zh-CN"/>
              </w:rPr>
              <w:t>标项四、五、六、七、八、九、十</w:t>
            </w:r>
            <w:r>
              <w:rPr>
                <w:rFonts w:hint="eastAsia"/>
                <w:color w:val="auto"/>
                <w:sz w:val="21"/>
                <w:szCs w:val="21"/>
                <w:highlight w:val="none"/>
              </w:rPr>
              <w:t>落实政府采购政策需满足的资格要求</w:t>
            </w:r>
            <w:r>
              <w:rPr>
                <w:rFonts w:hint="eastAsia"/>
                <w:color w:val="auto"/>
                <w:sz w:val="21"/>
                <w:szCs w:val="21"/>
                <w:highlight w:val="none"/>
                <w:lang w:eastAsia="zh-CN"/>
              </w:rPr>
              <w:t>：</w:t>
            </w:r>
            <w:r>
              <w:rPr>
                <w:rFonts w:hint="eastAsia"/>
                <w:color w:val="auto"/>
                <w:sz w:val="21"/>
                <w:szCs w:val="21"/>
                <w:highlight w:val="none"/>
                <w:lang w:val="en-US" w:eastAsia="zh-CN"/>
              </w:rPr>
              <w:t>为</w:t>
            </w:r>
            <w:r>
              <w:rPr>
                <w:rFonts w:hint="eastAsia" w:cs="Times New Roman"/>
                <w:color w:val="auto"/>
                <w:sz w:val="21"/>
                <w:szCs w:val="21"/>
                <w:highlight w:val="none"/>
              </w:rPr>
              <w:t>专门面向中小企业采购的项目，供应商须符合工信部联企业[2011]300号</w:t>
            </w:r>
            <w:r>
              <w:rPr>
                <w:rFonts w:hint="eastAsia"/>
                <w:color w:val="auto"/>
                <w:sz w:val="21"/>
                <w:szCs w:val="21"/>
                <w:highlight w:val="none"/>
              </w:rPr>
              <w:t>中小企业划型标准规定</w:t>
            </w:r>
            <w:r>
              <w:rPr>
                <w:rFonts w:hint="eastAsia" w:cs="Times New Roman"/>
                <w:color w:val="auto"/>
                <w:sz w:val="21"/>
                <w:szCs w:val="21"/>
                <w:highlight w:val="none"/>
              </w:rPr>
              <w:t>（监狱企业及残疾人福利性单位视同小型、微型企业）</w:t>
            </w:r>
            <w:r>
              <w:rPr>
                <w:rFonts w:hint="eastAsia"/>
                <w:color w:val="auto"/>
                <w:sz w:val="21"/>
                <w:szCs w:val="21"/>
                <w:highlight w:val="none"/>
              </w:rPr>
              <w:t>。</w:t>
            </w:r>
          </w:p>
          <w:p>
            <w:pPr>
              <w:pStyle w:val="31"/>
              <w:spacing w:before="0" w:beforeAutospacing="0" w:after="0" w:afterAutospacing="0" w:line="400" w:lineRule="exact"/>
              <w:ind w:firstLine="630"/>
              <w:rPr>
                <w:color w:val="auto"/>
                <w:szCs w:val="21"/>
                <w:highlight w:val="none"/>
              </w:rPr>
            </w:pPr>
            <w:r>
              <w:rPr>
                <w:rFonts w:hint="eastAsia"/>
                <w:color w:val="auto"/>
                <w:sz w:val="21"/>
                <w:szCs w:val="21"/>
                <w:highlight w:val="none"/>
              </w:rPr>
              <w:t>3、本项目的特定资格要求：无。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637" w:type="dxa"/>
            <w:vAlign w:val="center"/>
          </w:tcPr>
          <w:p>
            <w:pPr>
              <w:pStyle w:val="18"/>
              <w:spacing w:line="400" w:lineRule="exact"/>
              <w:jc w:val="center"/>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4</w:t>
            </w:r>
          </w:p>
        </w:tc>
        <w:tc>
          <w:tcPr>
            <w:tcW w:w="8463" w:type="dxa"/>
            <w:vAlign w:val="center"/>
          </w:tcPr>
          <w:p>
            <w:pPr>
              <w:spacing w:line="400" w:lineRule="exact"/>
              <w:rPr>
                <w:rFonts w:ascii="宋体" w:hAnsi="宋体"/>
                <w:color w:val="auto"/>
                <w:szCs w:val="21"/>
                <w:highlight w:val="none"/>
              </w:rPr>
            </w:pPr>
            <w:r>
              <w:rPr>
                <w:rFonts w:hint="eastAsia" w:hAnsi="宋体"/>
                <w:b/>
                <w:color w:val="auto"/>
                <w:kern w:val="0"/>
                <w:szCs w:val="21"/>
                <w:highlight w:val="none"/>
              </w:rPr>
              <w:t>招标文件的澄清与修改：</w:t>
            </w:r>
            <w:r>
              <w:rPr>
                <w:rFonts w:hint="eastAsia" w:ascii="宋体" w:hAnsi="宋体" w:cs="宋体"/>
                <w:color w:val="auto"/>
                <w:szCs w:val="21"/>
                <w:highlight w:val="none"/>
              </w:rPr>
              <w:t>投标人应认真阅读本招标文件，发现其中有误或有不合理要求的，投标人必须在知道或者应当知道之日起七个工作日内以书面形式向采购人一次性提出。采购代理机构对已发出的招标文件进行必要澄清、答复、修改或补充的，应当在招标文件要求提交投标文件截止时间十五日前，在浙江政府采购网(http://zfcg.czt.zj.gov.cn/)上发布更正公告，请投标人在投标截止前及时关注。招标文件的澄清、答复、修改或补充，一经在上述媒体发布，即视所有投标人都已经收到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37" w:type="dxa"/>
            <w:vAlign w:val="center"/>
          </w:tcPr>
          <w:p>
            <w:pPr>
              <w:pStyle w:val="18"/>
              <w:spacing w:line="400" w:lineRule="exact"/>
              <w:jc w:val="center"/>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5</w:t>
            </w:r>
          </w:p>
        </w:tc>
        <w:tc>
          <w:tcPr>
            <w:tcW w:w="8463" w:type="dxa"/>
            <w:vAlign w:val="center"/>
          </w:tcPr>
          <w:p>
            <w:pPr>
              <w:pStyle w:val="18"/>
              <w:spacing w:line="320" w:lineRule="exact"/>
              <w:rPr>
                <w:rFonts w:hAnsi="宋体" w:cs="Arial"/>
                <w:color w:val="auto"/>
                <w:sz w:val="21"/>
                <w:szCs w:val="21"/>
                <w:highlight w:val="none"/>
              </w:rPr>
            </w:pPr>
            <w:r>
              <w:rPr>
                <w:rFonts w:hint="eastAsia" w:ascii="Times New Roman" w:hAnsi="宋体"/>
                <w:b/>
                <w:color w:val="auto"/>
                <w:kern w:val="0"/>
                <w:sz w:val="21"/>
                <w:szCs w:val="21"/>
                <w:highlight w:val="none"/>
              </w:rPr>
              <w:t>投标保证金：</w:t>
            </w:r>
            <w:r>
              <w:rPr>
                <w:rFonts w:hint="eastAsia" w:hAnsi="宋体"/>
                <w:b/>
                <w:color w:val="auto"/>
                <w:sz w:val="21"/>
                <w:szCs w:val="21"/>
                <w:highlight w:val="none"/>
              </w:rPr>
              <w:t>无</w:t>
            </w:r>
            <w:r>
              <w:rPr>
                <w:rFonts w:hint="eastAsia" w:hAnsi="宋体" w:cs="Arial"/>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37" w:type="dxa"/>
            <w:vAlign w:val="center"/>
          </w:tcPr>
          <w:p>
            <w:pPr>
              <w:pStyle w:val="18"/>
              <w:spacing w:line="400" w:lineRule="exact"/>
              <w:jc w:val="center"/>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6</w:t>
            </w:r>
          </w:p>
        </w:tc>
        <w:tc>
          <w:tcPr>
            <w:tcW w:w="8463" w:type="dxa"/>
            <w:vAlign w:val="center"/>
          </w:tcPr>
          <w:p>
            <w:pPr>
              <w:pStyle w:val="18"/>
              <w:spacing w:line="320" w:lineRule="exact"/>
              <w:rPr>
                <w:rFonts w:hint="eastAsia" w:ascii="Times New Roman" w:hAnsi="宋体" w:eastAsia="宋体"/>
                <w:b/>
                <w:color w:val="auto"/>
                <w:kern w:val="0"/>
                <w:sz w:val="21"/>
                <w:szCs w:val="21"/>
                <w:highlight w:val="none"/>
                <w:lang w:eastAsia="zh-CN"/>
              </w:rPr>
            </w:pPr>
            <w:r>
              <w:rPr>
                <w:rFonts w:hint="eastAsia" w:ascii="Times New Roman" w:hAnsi="宋体"/>
                <w:b/>
                <w:color w:val="auto"/>
                <w:kern w:val="0"/>
                <w:sz w:val="21"/>
                <w:szCs w:val="21"/>
                <w:highlight w:val="none"/>
              </w:rPr>
              <w:t>履约保证金：</w:t>
            </w:r>
            <w:r>
              <w:rPr>
                <w:rFonts w:hint="eastAsia" w:ascii="Times New Roman" w:hAnsi="宋体"/>
                <w:b/>
                <w:color w:val="auto"/>
                <w:kern w:val="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37" w:type="dxa"/>
            <w:vAlign w:val="center"/>
          </w:tcPr>
          <w:p>
            <w:pPr>
              <w:pStyle w:val="18"/>
              <w:spacing w:line="400" w:lineRule="exact"/>
              <w:jc w:val="center"/>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7</w:t>
            </w:r>
          </w:p>
        </w:tc>
        <w:tc>
          <w:tcPr>
            <w:tcW w:w="8463" w:type="dxa"/>
            <w:vAlign w:val="center"/>
          </w:tcPr>
          <w:p>
            <w:pPr>
              <w:pStyle w:val="18"/>
              <w:spacing w:line="320" w:lineRule="exact"/>
              <w:rPr>
                <w:rFonts w:ascii="Times New Roman" w:hAnsi="宋体"/>
                <w:b/>
                <w:color w:val="auto"/>
                <w:kern w:val="0"/>
                <w:sz w:val="21"/>
                <w:szCs w:val="21"/>
                <w:highlight w:val="none"/>
              </w:rPr>
            </w:pPr>
            <w:r>
              <w:rPr>
                <w:rFonts w:hint="eastAsia"/>
                <w:b/>
                <w:color w:val="auto"/>
                <w:sz w:val="21"/>
                <w:szCs w:val="21"/>
                <w:highlight w:val="none"/>
              </w:rPr>
              <w:t>最高限价</w:t>
            </w:r>
            <w:r>
              <w:rPr>
                <w:rFonts w:hint="eastAsia"/>
                <w:b/>
                <w:color w:val="auto"/>
                <w:sz w:val="21"/>
                <w:szCs w:val="21"/>
                <w:highlight w:val="none"/>
                <w:lang w:eastAsia="zh-CN"/>
              </w:rPr>
              <w:t>：标项一：819000</w:t>
            </w:r>
            <w:r>
              <w:rPr>
                <w:rFonts w:hint="eastAsia"/>
                <w:b/>
                <w:color w:val="auto"/>
                <w:sz w:val="21"/>
                <w:szCs w:val="21"/>
                <w:highlight w:val="none"/>
                <w:lang w:val="en-US" w:eastAsia="zh-CN"/>
              </w:rPr>
              <w:t>元</w:t>
            </w:r>
            <w:r>
              <w:rPr>
                <w:rFonts w:hint="eastAsia"/>
                <w:b/>
                <w:color w:val="auto"/>
                <w:sz w:val="21"/>
                <w:szCs w:val="21"/>
                <w:highlight w:val="none"/>
                <w:lang w:eastAsia="zh-CN"/>
              </w:rPr>
              <w:t>；标项二：1000000</w:t>
            </w:r>
            <w:r>
              <w:rPr>
                <w:rFonts w:hint="eastAsia"/>
                <w:b/>
                <w:color w:val="auto"/>
                <w:sz w:val="21"/>
                <w:szCs w:val="21"/>
                <w:highlight w:val="none"/>
                <w:lang w:val="en-US" w:eastAsia="zh-CN"/>
              </w:rPr>
              <w:t>元</w:t>
            </w:r>
            <w:r>
              <w:rPr>
                <w:rFonts w:hint="eastAsia"/>
                <w:b/>
                <w:color w:val="auto"/>
                <w:sz w:val="21"/>
                <w:szCs w:val="21"/>
                <w:highlight w:val="none"/>
                <w:lang w:eastAsia="zh-CN"/>
              </w:rPr>
              <w:t>；标项三：820000</w:t>
            </w:r>
            <w:r>
              <w:rPr>
                <w:rFonts w:hint="eastAsia"/>
                <w:b/>
                <w:color w:val="auto"/>
                <w:sz w:val="21"/>
                <w:szCs w:val="21"/>
                <w:highlight w:val="none"/>
                <w:lang w:val="en-US" w:eastAsia="zh-CN"/>
              </w:rPr>
              <w:t>元</w:t>
            </w:r>
            <w:r>
              <w:rPr>
                <w:rFonts w:hint="eastAsia"/>
                <w:b/>
                <w:color w:val="auto"/>
                <w:sz w:val="21"/>
                <w:szCs w:val="21"/>
                <w:highlight w:val="none"/>
                <w:lang w:eastAsia="zh-CN"/>
              </w:rPr>
              <w:t>；标项四：1050000</w:t>
            </w:r>
            <w:r>
              <w:rPr>
                <w:rFonts w:hint="eastAsia"/>
                <w:b/>
                <w:color w:val="auto"/>
                <w:sz w:val="21"/>
                <w:szCs w:val="21"/>
                <w:highlight w:val="none"/>
                <w:lang w:val="en-US" w:eastAsia="zh-CN"/>
              </w:rPr>
              <w:t>元</w:t>
            </w:r>
            <w:r>
              <w:rPr>
                <w:rFonts w:hint="eastAsia"/>
                <w:b/>
                <w:color w:val="auto"/>
                <w:sz w:val="21"/>
                <w:szCs w:val="21"/>
                <w:highlight w:val="none"/>
                <w:lang w:eastAsia="zh-CN"/>
              </w:rPr>
              <w:t>；标项五：1100000</w:t>
            </w:r>
            <w:r>
              <w:rPr>
                <w:rFonts w:hint="eastAsia"/>
                <w:b/>
                <w:color w:val="auto"/>
                <w:sz w:val="21"/>
                <w:szCs w:val="21"/>
                <w:highlight w:val="none"/>
                <w:lang w:val="en-US" w:eastAsia="zh-CN"/>
              </w:rPr>
              <w:t>元</w:t>
            </w:r>
            <w:r>
              <w:rPr>
                <w:rFonts w:hint="eastAsia"/>
                <w:b/>
                <w:color w:val="auto"/>
                <w:sz w:val="21"/>
                <w:szCs w:val="21"/>
                <w:highlight w:val="none"/>
                <w:lang w:eastAsia="zh-CN"/>
              </w:rPr>
              <w:t>；标项六：1250000</w:t>
            </w:r>
            <w:r>
              <w:rPr>
                <w:rFonts w:hint="eastAsia"/>
                <w:b/>
                <w:color w:val="auto"/>
                <w:sz w:val="21"/>
                <w:szCs w:val="21"/>
                <w:highlight w:val="none"/>
                <w:lang w:val="en-US" w:eastAsia="zh-CN"/>
              </w:rPr>
              <w:t>元</w:t>
            </w:r>
            <w:r>
              <w:rPr>
                <w:rFonts w:hint="eastAsia"/>
                <w:b/>
                <w:color w:val="auto"/>
                <w:sz w:val="21"/>
                <w:szCs w:val="21"/>
                <w:highlight w:val="none"/>
                <w:lang w:eastAsia="zh-CN"/>
              </w:rPr>
              <w:t>；标项七：795100</w:t>
            </w:r>
            <w:r>
              <w:rPr>
                <w:rFonts w:hint="eastAsia"/>
                <w:b/>
                <w:color w:val="auto"/>
                <w:sz w:val="21"/>
                <w:szCs w:val="21"/>
                <w:highlight w:val="none"/>
                <w:lang w:val="en-US" w:eastAsia="zh-CN"/>
              </w:rPr>
              <w:t>元</w:t>
            </w:r>
            <w:r>
              <w:rPr>
                <w:rFonts w:hint="eastAsia"/>
                <w:b/>
                <w:color w:val="auto"/>
                <w:sz w:val="21"/>
                <w:szCs w:val="21"/>
                <w:highlight w:val="none"/>
                <w:lang w:eastAsia="zh-CN"/>
              </w:rPr>
              <w:t>；标项八：1005000</w:t>
            </w:r>
            <w:r>
              <w:rPr>
                <w:rFonts w:hint="eastAsia"/>
                <w:b/>
                <w:color w:val="auto"/>
                <w:sz w:val="21"/>
                <w:szCs w:val="21"/>
                <w:highlight w:val="none"/>
                <w:lang w:val="en-US" w:eastAsia="zh-CN"/>
              </w:rPr>
              <w:t>元；标项九：700000元；标项十：910900元，</w:t>
            </w:r>
            <w:r>
              <w:rPr>
                <w:rFonts w:hint="eastAsia"/>
                <w:b/>
                <w:color w:val="auto"/>
                <w:sz w:val="21"/>
                <w:szCs w:val="21"/>
                <w:highlight w:val="none"/>
              </w:rPr>
              <w:t>高于最高限价作无效标处理。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37" w:type="dxa"/>
            <w:vAlign w:val="center"/>
          </w:tcPr>
          <w:p>
            <w:pPr>
              <w:pStyle w:val="18"/>
              <w:spacing w:line="400" w:lineRule="exact"/>
              <w:jc w:val="center"/>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8</w:t>
            </w:r>
          </w:p>
        </w:tc>
        <w:tc>
          <w:tcPr>
            <w:tcW w:w="8463" w:type="dxa"/>
            <w:vAlign w:val="center"/>
          </w:tcPr>
          <w:p>
            <w:pPr>
              <w:pStyle w:val="18"/>
              <w:spacing w:line="320" w:lineRule="exact"/>
              <w:rPr>
                <w:rFonts w:ascii="新宋体" w:hAnsi="新宋体" w:eastAsia="新宋体"/>
                <w:color w:val="auto"/>
                <w:sz w:val="21"/>
                <w:szCs w:val="21"/>
                <w:highlight w:val="none"/>
              </w:rPr>
            </w:pPr>
            <w:r>
              <w:rPr>
                <w:rFonts w:hint="eastAsia" w:ascii="Times New Roman" w:hAnsi="宋体"/>
                <w:b/>
                <w:color w:val="auto"/>
                <w:kern w:val="0"/>
                <w:sz w:val="21"/>
                <w:szCs w:val="21"/>
                <w:highlight w:val="none"/>
              </w:rPr>
              <w:t>合同名称：</w:t>
            </w:r>
            <w:r>
              <w:rPr>
                <w:rFonts w:hint="eastAsia" w:hAnsi="宋体"/>
                <w:color w:val="auto"/>
                <w:sz w:val="21"/>
                <w:szCs w:val="21"/>
                <w:highlight w:val="none"/>
              </w:rPr>
              <w:t>《</w:t>
            </w:r>
            <w:r>
              <w:rPr>
                <w:rFonts w:hint="eastAsia" w:hAnsi="宋体" w:cs="仿宋_GB2312"/>
                <w:color w:val="auto"/>
                <w:sz w:val="21"/>
                <w:szCs w:val="21"/>
                <w:highlight w:val="none"/>
                <w:lang w:val="zh-CN"/>
              </w:rPr>
              <w:t>嘉兴市特种设备检验检测院2024年检验设备购置项目</w:t>
            </w:r>
            <w:r>
              <w:rPr>
                <w:rFonts w:hint="eastAsia" w:hAnsi="宋体"/>
                <w:color w:val="auto"/>
                <w:sz w:val="21"/>
                <w:szCs w:val="21"/>
                <w:highlight w:val="none"/>
              </w:rPr>
              <w:t>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37" w:type="dxa"/>
            <w:vAlign w:val="center"/>
          </w:tcPr>
          <w:p>
            <w:pPr>
              <w:pStyle w:val="18"/>
              <w:spacing w:line="400" w:lineRule="exact"/>
              <w:jc w:val="center"/>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9</w:t>
            </w:r>
          </w:p>
        </w:tc>
        <w:tc>
          <w:tcPr>
            <w:tcW w:w="8463" w:type="dxa"/>
            <w:vAlign w:val="center"/>
          </w:tcPr>
          <w:p>
            <w:pPr>
              <w:pStyle w:val="18"/>
              <w:spacing w:line="320" w:lineRule="exact"/>
              <w:rPr>
                <w:rFonts w:ascii="新宋体" w:hAnsi="新宋体" w:eastAsia="新宋体"/>
                <w:color w:val="auto"/>
                <w:sz w:val="21"/>
                <w:szCs w:val="21"/>
                <w:highlight w:val="none"/>
              </w:rPr>
            </w:pPr>
            <w:r>
              <w:rPr>
                <w:rFonts w:hint="eastAsia" w:hAnsi="宋体"/>
                <w:b/>
                <w:color w:val="auto"/>
                <w:sz w:val="21"/>
                <w:szCs w:val="21"/>
                <w:highlight w:val="none"/>
              </w:rPr>
              <w:t>投标有效期：</w:t>
            </w:r>
            <w:r>
              <w:rPr>
                <w:rFonts w:hint="eastAsia" w:hAnsi="宋体"/>
                <w:color w:val="auto"/>
                <w:sz w:val="21"/>
                <w:szCs w:val="21"/>
                <w:highlight w:val="none"/>
              </w:rPr>
              <w:t>自投标截止日起90个日历天。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37" w:type="dxa"/>
            <w:vAlign w:val="center"/>
          </w:tcPr>
          <w:p>
            <w:pPr>
              <w:pStyle w:val="18"/>
              <w:spacing w:line="400" w:lineRule="exact"/>
              <w:jc w:val="center"/>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10</w:t>
            </w:r>
          </w:p>
        </w:tc>
        <w:tc>
          <w:tcPr>
            <w:tcW w:w="8463" w:type="dxa"/>
            <w:vAlign w:val="center"/>
          </w:tcPr>
          <w:p>
            <w:pPr>
              <w:autoSpaceDE w:val="0"/>
              <w:autoSpaceDN w:val="0"/>
              <w:snapToGrid w:val="0"/>
              <w:spacing w:line="360" w:lineRule="exact"/>
              <w:jc w:val="left"/>
              <w:textAlignment w:val="bottom"/>
              <w:rPr>
                <w:color w:val="auto"/>
                <w:highlight w:val="none"/>
              </w:rPr>
            </w:pPr>
            <w:r>
              <w:rPr>
                <w:rFonts w:hint="eastAsia"/>
                <w:color w:val="auto"/>
                <w:highlight w:val="none"/>
              </w:rPr>
              <w:t>投标文件组成：</w:t>
            </w:r>
            <w:r>
              <w:rPr>
                <w:rFonts w:hint="eastAsia"/>
                <w:b/>
                <w:bCs/>
                <w:color w:val="auto"/>
                <w:highlight w:val="none"/>
              </w:rPr>
              <w:t>电子投标文件由资信技术文件及投标报价文件两部份组成，各标项电子投标文件应分标项分别编制</w:t>
            </w:r>
            <w:r>
              <w:rPr>
                <w:rFonts w:hint="eastAsia"/>
                <w:color w:val="auto"/>
                <w:highlight w:val="none"/>
              </w:rPr>
              <w:t>。其中电子投标文件中所须加盖公章部分均采用CA签章。</w:t>
            </w:r>
          </w:p>
          <w:p>
            <w:pPr>
              <w:autoSpaceDE w:val="0"/>
              <w:autoSpaceDN w:val="0"/>
              <w:snapToGrid w:val="0"/>
              <w:spacing w:line="360" w:lineRule="exact"/>
              <w:jc w:val="left"/>
              <w:textAlignment w:val="bottom"/>
              <w:rPr>
                <w:color w:val="auto"/>
                <w:highlight w:val="none"/>
              </w:rPr>
            </w:pPr>
            <w:r>
              <w:rPr>
                <w:rFonts w:hint="eastAsia" w:ascii="宋体" w:hAnsi="宋体" w:cs="宋体"/>
                <w:color w:val="auto"/>
                <w:szCs w:val="21"/>
                <w:highlight w:val="none"/>
              </w:rPr>
              <w:t>注：电子投标文件，按政采云平台供应商项目采购-电子招投标操作指南（网址：</w:t>
            </w:r>
            <w:r>
              <w:rPr>
                <w:color w:val="auto"/>
                <w:highlight w:val="none"/>
              </w:rPr>
              <w:fldChar w:fldCharType="begin"/>
            </w:r>
            <w:r>
              <w:rPr>
                <w:color w:val="auto"/>
                <w:highlight w:val="none"/>
              </w:rPr>
              <w:instrText xml:space="preserve"> HYPERLINK "https://help.zcygov.cn/web/site_2/2018/12-28/2573.html" </w:instrText>
            </w:r>
            <w:r>
              <w:rPr>
                <w:color w:val="auto"/>
                <w:highlight w:val="none"/>
              </w:rPr>
              <w:fldChar w:fldCharType="separate"/>
            </w:r>
            <w:r>
              <w:rPr>
                <w:rFonts w:hint="eastAsia" w:ascii="宋体" w:hAnsi="宋体" w:cs="宋体"/>
                <w:color w:val="auto"/>
                <w:szCs w:val="21"/>
                <w:highlight w:val="none"/>
                <w:lang w:eastAsia="zh-CN"/>
              </w:rPr>
              <w:t>https://service.zcygov.cn/#/knowledges/CW1EtGwBFdiHxlNd6I3m/6IMVAG0BFdiHxlNdQ8Na</w:t>
            </w:r>
            <w:r>
              <w:rPr>
                <w:rFonts w:hint="eastAsia" w:ascii="宋体" w:hAnsi="宋体" w:cs="宋体"/>
                <w:color w:val="auto"/>
                <w:szCs w:val="21"/>
                <w:highlight w:val="none"/>
              </w:rPr>
              <w:fldChar w:fldCharType="end"/>
            </w:r>
            <w:r>
              <w:rPr>
                <w:rFonts w:hint="eastAsia" w:ascii="宋体" w:hAnsi="宋体" w:cs="宋体"/>
                <w:color w:val="auto"/>
                <w:szCs w:val="21"/>
                <w:highlight w:val="none"/>
              </w:rPr>
              <w:t>）及本招标文件要求递交。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7" w:type="dxa"/>
            <w:vAlign w:val="center"/>
          </w:tcPr>
          <w:p>
            <w:pPr>
              <w:pStyle w:val="7"/>
              <w:spacing w:line="400" w:lineRule="exact"/>
              <w:ind w:firstLine="0"/>
              <w:jc w:val="center"/>
              <w:rPr>
                <w:rFonts w:ascii="新宋体" w:hAnsi="新宋体" w:eastAsia="新宋体"/>
                <w:color w:val="auto"/>
                <w:szCs w:val="21"/>
                <w:highlight w:val="none"/>
              </w:rPr>
            </w:pPr>
            <w:r>
              <w:rPr>
                <w:rFonts w:hint="eastAsia" w:ascii="新宋体" w:hAnsi="新宋体" w:eastAsia="新宋体"/>
                <w:color w:val="auto"/>
                <w:szCs w:val="21"/>
                <w:highlight w:val="none"/>
              </w:rPr>
              <w:t>11</w:t>
            </w:r>
          </w:p>
        </w:tc>
        <w:tc>
          <w:tcPr>
            <w:tcW w:w="8463" w:type="dxa"/>
            <w:vAlign w:val="center"/>
          </w:tcPr>
          <w:p>
            <w:pPr>
              <w:spacing w:line="400" w:lineRule="exact"/>
              <w:jc w:val="left"/>
              <w:rPr>
                <w:color w:val="auto"/>
                <w:highlight w:val="none"/>
              </w:rPr>
            </w:pPr>
            <w:r>
              <w:rPr>
                <w:rFonts w:hint="eastAsia"/>
                <w:color w:val="auto"/>
                <w:highlight w:val="none"/>
              </w:rPr>
              <w:t>开标时间：202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4</w:t>
            </w:r>
            <w:r>
              <w:rPr>
                <w:rFonts w:hint="eastAsia"/>
                <w:color w:val="auto"/>
                <w:highlight w:val="none"/>
              </w:rPr>
              <w:t>月</w:t>
            </w:r>
            <w:r>
              <w:rPr>
                <w:rFonts w:hint="eastAsia"/>
                <w:color w:val="auto"/>
                <w:highlight w:val="none"/>
                <w:lang w:val="en-US" w:eastAsia="zh-CN"/>
              </w:rPr>
              <w:t>23</w:t>
            </w:r>
            <w:r>
              <w:rPr>
                <w:rFonts w:hint="eastAsia"/>
                <w:color w:val="auto"/>
                <w:highlight w:val="none"/>
              </w:rPr>
              <w:t>日9时</w:t>
            </w:r>
            <w:r>
              <w:rPr>
                <w:rFonts w:hint="eastAsia"/>
                <w:color w:val="auto"/>
                <w:highlight w:val="none"/>
                <w:lang w:val="en-US" w:eastAsia="zh-CN"/>
              </w:rPr>
              <w:t>3</w:t>
            </w:r>
            <w:r>
              <w:rPr>
                <w:rFonts w:hint="eastAsia"/>
                <w:color w:val="auto"/>
                <w:highlight w:val="none"/>
              </w:rPr>
              <w:t>0分</w:t>
            </w:r>
          </w:p>
          <w:p>
            <w:pPr>
              <w:spacing w:line="400" w:lineRule="exact"/>
              <w:jc w:val="left"/>
              <w:rPr>
                <w:color w:val="auto"/>
                <w:highlight w:val="none"/>
              </w:rPr>
            </w:pPr>
            <w:r>
              <w:rPr>
                <w:rFonts w:hint="eastAsia"/>
                <w:color w:val="auto"/>
                <w:highlight w:val="none"/>
              </w:rPr>
              <w:t>开标地点：</w:t>
            </w:r>
            <w:r>
              <w:rPr>
                <w:rFonts w:hint="eastAsia" w:hAnsi="宋体" w:cs="宋体"/>
                <w:color w:val="auto"/>
                <w:szCs w:val="21"/>
                <w:highlight w:val="none"/>
              </w:rPr>
              <w:t>嘉兴市公共资源交易中心</w:t>
            </w:r>
            <w:r>
              <w:rPr>
                <w:rFonts w:hint="eastAsia" w:hAnsi="宋体" w:cs="宋体"/>
                <w:color w:val="auto"/>
                <w:szCs w:val="21"/>
                <w:highlight w:val="none"/>
                <w:lang w:eastAsia="zh-CN"/>
              </w:rPr>
              <w:t>评标室</w:t>
            </w:r>
            <w:r>
              <w:rPr>
                <w:rFonts w:hint="eastAsia" w:hAnsi="宋体" w:cs="宋体"/>
                <w:color w:val="auto"/>
                <w:szCs w:val="21"/>
                <w:highlight w:val="none"/>
              </w:rPr>
              <w:t>（嘉兴市广场路350号蒋水港桥西侧）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37" w:type="dxa"/>
            <w:vAlign w:val="center"/>
          </w:tcPr>
          <w:p>
            <w:pPr>
              <w:pStyle w:val="7"/>
              <w:spacing w:line="400" w:lineRule="exact"/>
              <w:ind w:firstLine="0"/>
              <w:jc w:val="center"/>
              <w:rPr>
                <w:rFonts w:hint="eastAsia" w:ascii="新宋体" w:hAnsi="新宋体" w:eastAsia="新宋体"/>
                <w:color w:val="auto"/>
                <w:szCs w:val="21"/>
                <w:highlight w:val="none"/>
                <w:lang w:eastAsia="zh-CN"/>
              </w:rPr>
            </w:pPr>
            <w:r>
              <w:rPr>
                <w:rFonts w:hint="eastAsia" w:ascii="新宋体" w:hAnsi="新宋体" w:eastAsia="新宋体"/>
                <w:color w:val="auto"/>
                <w:szCs w:val="21"/>
                <w:highlight w:val="none"/>
              </w:rPr>
              <w:t>1</w:t>
            </w:r>
            <w:r>
              <w:rPr>
                <w:rFonts w:hint="eastAsia" w:ascii="新宋体" w:hAnsi="新宋体" w:eastAsia="新宋体"/>
                <w:color w:val="auto"/>
                <w:szCs w:val="21"/>
                <w:highlight w:val="none"/>
                <w:lang w:val="en-US" w:eastAsia="zh-CN"/>
              </w:rPr>
              <w:t>2</w:t>
            </w:r>
          </w:p>
        </w:tc>
        <w:tc>
          <w:tcPr>
            <w:tcW w:w="8463" w:type="dxa"/>
            <w:vAlign w:val="center"/>
          </w:tcPr>
          <w:p>
            <w:pPr>
              <w:spacing w:before="120" w:beforeLines="50" w:after="120" w:afterLines="50" w:line="260" w:lineRule="exact"/>
              <w:jc w:val="left"/>
              <w:rPr>
                <w:rFonts w:ascii="宋体" w:hAnsi="宋体" w:cs="宋体"/>
                <w:b/>
                <w:color w:val="auto"/>
                <w:szCs w:val="21"/>
                <w:highlight w:val="none"/>
              </w:rPr>
            </w:pPr>
            <w:r>
              <w:rPr>
                <w:rFonts w:hint="eastAsia" w:ascii="宋体" w:hAnsi="宋体" w:cs="宋体"/>
                <w:bCs/>
                <w:color w:val="auto"/>
                <w:szCs w:val="21"/>
                <w:highlight w:val="none"/>
              </w:rPr>
              <w:t>评标办法及评分标准：综合评分法，详见第四章《评标办法及评分标准》。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37" w:type="dxa"/>
            <w:vAlign w:val="center"/>
          </w:tcPr>
          <w:p>
            <w:pPr>
              <w:pStyle w:val="7"/>
              <w:spacing w:line="400" w:lineRule="exact"/>
              <w:ind w:firstLine="0"/>
              <w:jc w:val="center"/>
              <w:rPr>
                <w:rFonts w:hint="eastAsia" w:ascii="新宋体" w:hAnsi="新宋体" w:eastAsia="新宋体"/>
                <w:color w:val="auto"/>
                <w:szCs w:val="21"/>
                <w:highlight w:val="none"/>
                <w:lang w:eastAsia="zh-CN"/>
              </w:rPr>
            </w:pPr>
            <w:r>
              <w:rPr>
                <w:rFonts w:hint="eastAsia" w:ascii="新宋体" w:hAnsi="新宋体" w:eastAsia="新宋体"/>
                <w:color w:val="auto"/>
                <w:szCs w:val="21"/>
                <w:highlight w:val="none"/>
              </w:rPr>
              <w:t>1</w:t>
            </w:r>
            <w:r>
              <w:rPr>
                <w:rFonts w:hint="eastAsia" w:ascii="新宋体" w:hAnsi="新宋体" w:eastAsia="新宋体"/>
                <w:color w:val="auto"/>
                <w:szCs w:val="21"/>
                <w:highlight w:val="none"/>
                <w:lang w:val="en-US" w:eastAsia="zh-CN"/>
              </w:rPr>
              <w:t>3</w:t>
            </w:r>
          </w:p>
        </w:tc>
        <w:tc>
          <w:tcPr>
            <w:tcW w:w="8463" w:type="dxa"/>
            <w:vAlign w:val="center"/>
          </w:tcPr>
          <w:p>
            <w:pPr>
              <w:spacing w:before="120" w:beforeLines="50" w:after="120" w:afterLines="50" w:line="260" w:lineRule="exact"/>
              <w:jc w:val="left"/>
              <w:rPr>
                <w:rFonts w:ascii="宋体" w:hAnsi="宋体" w:cs="宋体"/>
                <w:bCs/>
                <w:color w:val="auto"/>
                <w:szCs w:val="21"/>
                <w:highlight w:val="none"/>
              </w:rPr>
            </w:pPr>
            <w:r>
              <w:rPr>
                <w:rFonts w:hint="eastAsia" w:ascii="宋体" w:hAnsi="宋体" w:cs="宋体"/>
                <w:color w:val="auto"/>
                <w:szCs w:val="21"/>
                <w:highlight w:val="none"/>
              </w:rPr>
              <w:t>评标结果公告：评标结束后2个工作日内，评标结果公告于浙江政府采购网(http://zfcg.czt.zj.gov.cn/)。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37" w:type="dxa"/>
            <w:vAlign w:val="center"/>
          </w:tcPr>
          <w:p>
            <w:pPr>
              <w:pStyle w:val="7"/>
              <w:spacing w:line="400" w:lineRule="exact"/>
              <w:ind w:firstLine="0"/>
              <w:jc w:val="center"/>
              <w:rPr>
                <w:rFonts w:hint="eastAsia" w:ascii="新宋体" w:hAnsi="新宋体" w:eastAsia="新宋体"/>
                <w:color w:val="auto"/>
                <w:szCs w:val="21"/>
                <w:highlight w:val="none"/>
                <w:lang w:eastAsia="zh-CN"/>
              </w:rPr>
            </w:pPr>
            <w:r>
              <w:rPr>
                <w:rFonts w:hint="eastAsia" w:ascii="新宋体" w:hAnsi="新宋体" w:eastAsia="新宋体"/>
                <w:color w:val="auto"/>
                <w:szCs w:val="21"/>
                <w:highlight w:val="none"/>
              </w:rPr>
              <w:t>1</w:t>
            </w:r>
            <w:r>
              <w:rPr>
                <w:rFonts w:hint="eastAsia" w:ascii="新宋体" w:hAnsi="新宋体" w:eastAsia="新宋体"/>
                <w:color w:val="auto"/>
                <w:szCs w:val="21"/>
                <w:highlight w:val="none"/>
                <w:lang w:val="en-US" w:eastAsia="zh-CN"/>
              </w:rPr>
              <w:t>4</w:t>
            </w:r>
          </w:p>
        </w:tc>
        <w:tc>
          <w:tcPr>
            <w:tcW w:w="8463" w:type="dxa"/>
            <w:vAlign w:val="center"/>
          </w:tcPr>
          <w:p>
            <w:pPr>
              <w:pStyle w:val="18"/>
              <w:spacing w:line="320" w:lineRule="exact"/>
              <w:jc w:val="left"/>
              <w:rPr>
                <w:rFonts w:hAnsi="宋体" w:cs="宋体"/>
                <w:b/>
                <w:color w:val="auto"/>
                <w:sz w:val="21"/>
                <w:szCs w:val="21"/>
                <w:highlight w:val="none"/>
              </w:rPr>
            </w:pPr>
            <w:r>
              <w:rPr>
                <w:rFonts w:hint="eastAsia" w:hAnsi="宋体" w:cs="宋体"/>
                <w:color w:val="auto"/>
                <w:sz w:val="21"/>
                <w:szCs w:val="21"/>
                <w:highlight w:val="none"/>
              </w:rPr>
              <w:t>中标公告及中标通知书：中标、成交供应商确定之日起2个工作日内，中标公告发布于浙江政府采购网，公告期限为1个工作日。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37" w:type="dxa"/>
            <w:vAlign w:val="center"/>
          </w:tcPr>
          <w:p>
            <w:pPr>
              <w:pStyle w:val="7"/>
              <w:spacing w:line="400" w:lineRule="exact"/>
              <w:ind w:firstLine="0"/>
              <w:jc w:val="center"/>
              <w:rPr>
                <w:rFonts w:hint="eastAsia" w:ascii="新宋体" w:hAnsi="新宋体" w:eastAsia="新宋体"/>
                <w:color w:val="auto"/>
                <w:szCs w:val="21"/>
                <w:highlight w:val="none"/>
                <w:lang w:eastAsia="zh-CN"/>
              </w:rPr>
            </w:pPr>
            <w:r>
              <w:rPr>
                <w:rFonts w:hint="eastAsia" w:ascii="新宋体" w:hAnsi="新宋体" w:eastAsia="新宋体"/>
                <w:color w:val="auto"/>
                <w:szCs w:val="21"/>
                <w:highlight w:val="none"/>
              </w:rPr>
              <w:t>1</w:t>
            </w:r>
            <w:r>
              <w:rPr>
                <w:rFonts w:hint="eastAsia" w:ascii="新宋体" w:hAnsi="新宋体" w:eastAsia="新宋体"/>
                <w:color w:val="auto"/>
                <w:szCs w:val="21"/>
                <w:highlight w:val="none"/>
                <w:lang w:val="en-US" w:eastAsia="zh-CN"/>
              </w:rPr>
              <w:t>5</w:t>
            </w:r>
          </w:p>
        </w:tc>
        <w:tc>
          <w:tcPr>
            <w:tcW w:w="8463" w:type="dxa"/>
            <w:vAlign w:val="center"/>
          </w:tcPr>
          <w:p>
            <w:pPr>
              <w:spacing w:line="320" w:lineRule="exact"/>
              <w:jc w:val="left"/>
              <w:rPr>
                <w:rFonts w:ascii="宋体" w:hAnsi="宋体" w:cs="宋体"/>
                <w:b/>
                <w:color w:val="auto"/>
                <w:szCs w:val="21"/>
                <w:highlight w:val="none"/>
              </w:rPr>
            </w:pPr>
            <w:r>
              <w:rPr>
                <w:rFonts w:hint="eastAsia" w:ascii="宋体" w:hAnsi="宋体" w:cs="宋体"/>
                <w:color w:val="auto"/>
                <w:szCs w:val="21"/>
                <w:highlight w:val="none"/>
              </w:rPr>
              <w:t>合同公告：本项目政府采购合同将于签订之日起2个工作日内发布于上述媒体，但政府采购合同中涉及国家秘密、商业秘密的内容除外。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37" w:type="dxa"/>
            <w:vAlign w:val="center"/>
          </w:tcPr>
          <w:p>
            <w:pPr>
              <w:pStyle w:val="7"/>
              <w:spacing w:line="400" w:lineRule="exact"/>
              <w:ind w:firstLine="0"/>
              <w:jc w:val="center"/>
              <w:rPr>
                <w:rFonts w:hint="eastAsia" w:ascii="新宋体" w:hAnsi="新宋体" w:eastAsia="新宋体"/>
                <w:color w:val="auto"/>
                <w:szCs w:val="21"/>
                <w:highlight w:val="none"/>
                <w:lang w:eastAsia="zh-CN"/>
              </w:rPr>
            </w:pPr>
            <w:r>
              <w:rPr>
                <w:rFonts w:hint="eastAsia" w:ascii="新宋体" w:hAnsi="新宋体" w:eastAsia="新宋体"/>
                <w:color w:val="auto"/>
                <w:szCs w:val="21"/>
                <w:highlight w:val="none"/>
              </w:rPr>
              <w:t>1</w:t>
            </w:r>
            <w:r>
              <w:rPr>
                <w:rFonts w:hint="eastAsia" w:ascii="新宋体" w:hAnsi="新宋体" w:eastAsia="新宋体"/>
                <w:color w:val="auto"/>
                <w:szCs w:val="21"/>
                <w:highlight w:val="none"/>
                <w:lang w:val="en-US" w:eastAsia="zh-CN"/>
              </w:rPr>
              <w:t>6</w:t>
            </w:r>
          </w:p>
        </w:tc>
        <w:tc>
          <w:tcPr>
            <w:tcW w:w="8463" w:type="dxa"/>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签订合同时间：中标通知书发出后30日内。建议采购人在采购结果质疑期（自采购结果公告之日起七个工作日）后与中标人签订政府采购合同。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37" w:type="dxa"/>
            <w:vAlign w:val="center"/>
          </w:tcPr>
          <w:p>
            <w:pPr>
              <w:pStyle w:val="7"/>
              <w:spacing w:line="400" w:lineRule="exact"/>
              <w:ind w:firstLine="0"/>
              <w:jc w:val="center"/>
              <w:rPr>
                <w:rFonts w:hint="eastAsia" w:ascii="新宋体" w:hAnsi="新宋体" w:eastAsia="新宋体"/>
                <w:color w:val="auto"/>
                <w:szCs w:val="21"/>
                <w:highlight w:val="none"/>
                <w:lang w:eastAsia="zh-CN"/>
              </w:rPr>
            </w:pPr>
            <w:r>
              <w:rPr>
                <w:rFonts w:hint="eastAsia" w:ascii="新宋体" w:hAnsi="新宋体" w:eastAsia="新宋体"/>
                <w:color w:val="auto"/>
                <w:szCs w:val="21"/>
                <w:highlight w:val="none"/>
              </w:rPr>
              <w:t>1</w:t>
            </w:r>
            <w:r>
              <w:rPr>
                <w:rFonts w:hint="eastAsia" w:ascii="新宋体" w:hAnsi="新宋体" w:eastAsia="新宋体"/>
                <w:color w:val="auto"/>
                <w:szCs w:val="21"/>
                <w:highlight w:val="none"/>
                <w:lang w:val="en-US" w:eastAsia="zh-CN"/>
              </w:rPr>
              <w:t>7</w:t>
            </w:r>
          </w:p>
        </w:tc>
        <w:tc>
          <w:tcPr>
            <w:tcW w:w="8463" w:type="dxa"/>
            <w:vAlign w:val="center"/>
          </w:tcPr>
          <w:p>
            <w:pPr>
              <w:spacing w:before="120" w:beforeLines="50" w:after="120" w:afterLines="50"/>
              <w:jc w:val="left"/>
              <w:rPr>
                <w:rFonts w:ascii="宋体" w:hAnsi="宋体" w:cs="宋体"/>
                <w:color w:val="auto"/>
                <w:szCs w:val="21"/>
                <w:highlight w:val="none"/>
              </w:rPr>
            </w:pPr>
            <w:r>
              <w:rPr>
                <w:rFonts w:hint="eastAsia" w:ascii="宋体" w:hAnsi="宋体" w:cs="宋体"/>
                <w:color w:val="auto"/>
                <w:szCs w:val="21"/>
                <w:highlight w:val="none"/>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jc w:val="center"/>
        </w:trPr>
        <w:tc>
          <w:tcPr>
            <w:tcW w:w="637" w:type="dxa"/>
            <w:vAlign w:val="center"/>
          </w:tcPr>
          <w:p>
            <w:pPr>
              <w:pStyle w:val="7"/>
              <w:spacing w:line="400" w:lineRule="exact"/>
              <w:ind w:firstLine="0"/>
              <w:jc w:val="center"/>
              <w:rPr>
                <w:rFonts w:hint="eastAsia" w:ascii="新宋体" w:hAnsi="新宋体" w:eastAsia="新宋体"/>
                <w:color w:val="auto"/>
                <w:szCs w:val="21"/>
                <w:highlight w:val="none"/>
                <w:lang w:eastAsia="zh-CN"/>
              </w:rPr>
            </w:pPr>
            <w:r>
              <w:rPr>
                <w:rFonts w:hint="eastAsia" w:ascii="新宋体" w:hAnsi="新宋体" w:eastAsia="新宋体"/>
                <w:color w:val="auto"/>
                <w:szCs w:val="21"/>
                <w:highlight w:val="none"/>
              </w:rPr>
              <w:t>1</w:t>
            </w:r>
            <w:r>
              <w:rPr>
                <w:rFonts w:hint="eastAsia" w:ascii="新宋体" w:hAnsi="新宋体" w:eastAsia="新宋体"/>
                <w:color w:val="auto"/>
                <w:szCs w:val="21"/>
                <w:highlight w:val="none"/>
                <w:lang w:val="en-US" w:eastAsia="zh-CN"/>
              </w:rPr>
              <w:t>8</w:t>
            </w:r>
          </w:p>
        </w:tc>
        <w:tc>
          <w:tcPr>
            <w:tcW w:w="8463" w:type="dxa"/>
            <w:vAlign w:val="center"/>
          </w:tcPr>
          <w:p>
            <w:pPr>
              <w:pStyle w:val="13"/>
              <w:spacing w:line="400" w:lineRule="exact"/>
              <w:ind w:firstLine="0"/>
              <w:jc w:val="left"/>
              <w:rPr>
                <w:rFonts w:hint="eastAsia" w:ascii="宋体" w:hAnsi="宋体" w:eastAsia="宋体" w:cs="Times New Roman"/>
                <w:color w:val="auto"/>
                <w:spacing w:val="0"/>
                <w:kern w:val="2"/>
                <w:sz w:val="21"/>
                <w:szCs w:val="21"/>
                <w:highlight w:val="none"/>
                <w:lang w:val="en-US" w:eastAsia="zh-CN" w:bidi="ar-SA"/>
              </w:rPr>
            </w:pPr>
            <w:r>
              <w:rPr>
                <w:rFonts w:hint="eastAsia" w:ascii="宋体" w:hAnsi="宋体" w:eastAsia="宋体" w:cs="Times New Roman"/>
                <w:color w:val="auto"/>
                <w:spacing w:val="0"/>
                <w:kern w:val="2"/>
                <w:sz w:val="21"/>
                <w:szCs w:val="21"/>
                <w:highlight w:val="none"/>
                <w:lang w:val="en-US" w:eastAsia="zh-CN" w:bidi="ar-SA"/>
              </w:rPr>
              <w:t>1.根据财库〔2020〕46号和财库〔2022〕19号的相关规定，标项一、二、三在评审时对小型和微型企业的投标报价给予</w:t>
            </w:r>
            <w:r>
              <w:rPr>
                <w:rFonts w:hint="eastAsia" w:hAnsi="宋体" w:cs="Times New Roman"/>
                <w:color w:val="auto"/>
                <w:spacing w:val="0"/>
                <w:kern w:val="2"/>
                <w:sz w:val="21"/>
                <w:szCs w:val="21"/>
                <w:highlight w:val="none"/>
                <w:lang w:val="en-US" w:eastAsia="zh-CN" w:bidi="ar-SA"/>
              </w:rPr>
              <w:t>1</w:t>
            </w:r>
            <w:r>
              <w:rPr>
                <w:rFonts w:hint="eastAsia" w:ascii="宋体" w:hAnsi="宋体" w:eastAsia="宋体" w:cs="Times New Roman"/>
                <w:color w:val="auto"/>
                <w:spacing w:val="0"/>
                <w:kern w:val="2"/>
                <w:sz w:val="21"/>
                <w:szCs w:val="21"/>
                <w:highlight w:val="none"/>
                <w:lang w:val="en-US" w:eastAsia="zh-CN" w:bidi="ar-SA"/>
              </w:rPr>
              <w:t>0%的扣除，取扣除后的价格作为最终投标报价（此最终投标报价仅作为价格分计算）。属于小型和微型企业的，投标文件中必须提供《中小企业声明函》。(注：未提供以上材料的，均不给予价格扣除）</w:t>
            </w:r>
          </w:p>
          <w:p>
            <w:pPr>
              <w:pStyle w:val="13"/>
              <w:spacing w:line="400" w:lineRule="exact"/>
              <w:ind w:firstLine="0"/>
              <w:jc w:val="left"/>
              <w:rPr>
                <w:rFonts w:hint="eastAsia" w:ascii="宋体" w:hAnsi="宋体" w:eastAsia="宋体" w:cs="Times New Roman"/>
                <w:color w:val="auto"/>
                <w:spacing w:val="0"/>
                <w:kern w:val="2"/>
                <w:sz w:val="21"/>
                <w:szCs w:val="21"/>
                <w:highlight w:val="none"/>
                <w:lang w:val="en-US" w:eastAsia="zh-CN" w:bidi="ar-SA"/>
              </w:rPr>
            </w:pPr>
            <w:r>
              <w:rPr>
                <w:rFonts w:hint="eastAsia" w:ascii="宋体" w:hAnsi="宋体" w:eastAsia="宋体" w:cs="Times New Roman"/>
                <w:color w:val="auto"/>
                <w:spacing w:val="0"/>
                <w:kern w:val="2"/>
                <w:sz w:val="21"/>
                <w:szCs w:val="21"/>
                <w:highlight w:val="none"/>
                <w:lang w:val="en-US" w:eastAsia="zh-CN" w:bidi="ar-SA"/>
              </w:rPr>
              <w:t>2.根据财库〔2017〕141号文件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adjustRightInd w:val="0"/>
              <w:snapToGrid w:val="0"/>
              <w:spacing w:line="320" w:lineRule="exact"/>
              <w:rPr>
                <w:rFonts w:hint="eastAsia" w:ascii="宋体" w:hAnsi="宋体" w:eastAsia="宋体" w:cs="Times New Roman"/>
                <w:color w:val="auto"/>
                <w:spacing w:val="0"/>
                <w:kern w:val="2"/>
                <w:sz w:val="21"/>
                <w:szCs w:val="21"/>
                <w:highlight w:val="none"/>
                <w:lang w:val="en-US" w:eastAsia="zh-CN" w:bidi="ar-SA"/>
              </w:rPr>
            </w:pPr>
            <w:r>
              <w:rPr>
                <w:rFonts w:hint="eastAsia" w:ascii="宋体" w:hAnsi="宋体" w:eastAsia="宋体" w:cs="Times New Roman"/>
                <w:color w:val="auto"/>
                <w:spacing w:val="0"/>
                <w:kern w:val="2"/>
                <w:sz w:val="21"/>
                <w:szCs w:val="21"/>
                <w:highlight w:val="none"/>
                <w:lang w:val="en-US" w:eastAsia="zh-CN" w:bidi="ar-SA"/>
              </w:rPr>
              <w:t>3. 监狱企业同视为小型、微型企业，享受小微企业政策扶持。</w:t>
            </w:r>
          </w:p>
          <w:p>
            <w:pPr>
              <w:adjustRightInd w:val="0"/>
              <w:snapToGrid w:val="0"/>
              <w:spacing w:line="320" w:lineRule="exact"/>
              <w:rPr>
                <w:rFonts w:hint="eastAsia" w:ascii="宋体" w:hAnsi="宋体" w:eastAsia="宋体" w:cs="Times New Roman"/>
                <w:color w:val="auto"/>
                <w:spacing w:val="0"/>
                <w:kern w:val="2"/>
                <w:sz w:val="21"/>
                <w:szCs w:val="21"/>
                <w:highlight w:val="none"/>
                <w:lang w:val="en-US" w:eastAsia="zh-CN" w:bidi="ar-SA"/>
              </w:rPr>
            </w:pPr>
            <w:r>
              <w:rPr>
                <w:rFonts w:hint="eastAsia" w:ascii="宋体" w:hAnsi="宋体" w:eastAsia="宋体" w:cs="Times New Roman"/>
                <w:color w:val="auto"/>
                <w:spacing w:val="0"/>
                <w:kern w:val="2"/>
                <w:sz w:val="21"/>
                <w:szCs w:val="21"/>
                <w:highlight w:val="none"/>
                <w:lang w:val="en-US" w:eastAsia="zh-CN" w:bidi="ar-SA"/>
              </w:rPr>
              <w:t>4.说明</w:t>
            </w:r>
          </w:p>
          <w:p>
            <w:pPr>
              <w:adjustRightInd w:val="0"/>
              <w:snapToGrid w:val="0"/>
              <w:spacing w:line="320" w:lineRule="exact"/>
              <w:ind w:firstLine="420" w:firstLineChars="200"/>
              <w:rPr>
                <w:rFonts w:hint="eastAsia" w:ascii="宋体" w:hAnsi="宋体" w:eastAsia="宋体" w:cs="Times New Roman"/>
                <w:color w:val="auto"/>
                <w:spacing w:val="0"/>
                <w:kern w:val="2"/>
                <w:sz w:val="21"/>
                <w:szCs w:val="21"/>
                <w:highlight w:val="none"/>
                <w:lang w:val="en-US" w:eastAsia="zh-CN" w:bidi="ar-SA"/>
              </w:rPr>
            </w:pPr>
            <w:r>
              <w:rPr>
                <w:rFonts w:hint="eastAsia" w:ascii="宋体" w:hAnsi="宋体" w:eastAsia="宋体" w:cs="Times New Roman"/>
                <w:color w:val="auto"/>
                <w:spacing w:val="0"/>
                <w:kern w:val="2"/>
                <w:sz w:val="21"/>
                <w:szCs w:val="21"/>
                <w:highlight w:val="none"/>
                <w:lang w:val="en-US" w:eastAsia="zh-CN" w:bidi="ar-SA"/>
              </w:rPr>
              <w:t>中小企业</w:t>
            </w:r>
          </w:p>
          <w:p>
            <w:pPr>
              <w:adjustRightInd w:val="0"/>
              <w:snapToGrid w:val="0"/>
              <w:spacing w:line="320" w:lineRule="exact"/>
              <w:ind w:firstLine="420" w:firstLineChars="200"/>
              <w:rPr>
                <w:rFonts w:hint="eastAsia" w:ascii="宋体" w:hAnsi="宋体" w:eastAsia="宋体" w:cs="Times New Roman"/>
                <w:color w:val="auto"/>
                <w:spacing w:val="0"/>
                <w:kern w:val="2"/>
                <w:sz w:val="21"/>
                <w:szCs w:val="21"/>
                <w:highlight w:val="none"/>
                <w:lang w:val="en-US" w:eastAsia="zh-CN" w:bidi="ar-SA"/>
              </w:rPr>
            </w:pPr>
            <w:r>
              <w:rPr>
                <w:rFonts w:hint="eastAsia" w:ascii="宋体" w:hAnsi="宋体" w:eastAsia="宋体" w:cs="Times New Roman"/>
                <w:color w:val="auto"/>
                <w:spacing w:val="0"/>
                <w:kern w:val="2"/>
                <w:sz w:val="21"/>
                <w:szCs w:val="21"/>
                <w:highlight w:val="none"/>
                <w:lang w:val="en-US" w:eastAsia="zh-CN" w:bidi="ar-SA"/>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20" w:lineRule="exact"/>
              <w:ind w:firstLine="420" w:firstLineChars="200"/>
              <w:rPr>
                <w:rFonts w:hint="eastAsia" w:ascii="宋体" w:hAnsi="宋体" w:eastAsia="宋体" w:cs="Times New Roman"/>
                <w:color w:val="auto"/>
                <w:spacing w:val="0"/>
                <w:kern w:val="2"/>
                <w:sz w:val="21"/>
                <w:szCs w:val="21"/>
                <w:highlight w:val="none"/>
                <w:lang w:val="en-US" w:eastAsia="zh-CN" w:bidi="ar-SA"/>
              </w:rPr>
            </w:pPr>
            <w:r>
              <w:rPr>
                <w:rFonts w:hint="eastAsia" w:ascii="宋体" w:hAnsi="宋体" w:eastAsia="宋体" w:cs="Times New Roman"/>
                <w:color w:val="auto"/>
                <w:spacing w:val="0"/>
                <w:kern w:val="2"/>
                <w:sz w:val="21"/>
                <w:szCs w:val="21"/>
                <w:highlight w:val="none"/>
                <w:lang w:val="en-US" w:eastAsia="zh-CN" w:bidi="ar-SA"/>
              </w:rPr>
              <w:t>符合中小企业划分标准的个体工商户，在政府采购活动中视同中小企业。</w:t>
            </w:r>
          </w:p>
          <w:p>
            <w:pPr>
              <w:adjustRightInd w:val="0"/>
              <w:snapToGrid w:val="0"/>
              <w:spacing w:line="320" w:lineRule="exact"/>
              <w:ind w:firstLine="420" w:firstLineChars="200"/>
              <w:rPr>
                <w:rFonts w:hint="eastAsia" w:ascii="宋体" w:hAnsi="宋体" w:eastAsia="宋体" w:cs="Times New Roman"/>
                <w:color w:val="auto"/>
                <w:spacing w:val="0"/>
                <w:kern w:val="2"/>
                <w:sz w:val="21"/>
                <w:szCs w:val="21"/>
                <w:highlight w:val="none"/>
                <w:lang w:val="en-US" w:eastAsia="zh-CN" w:bidi="ar-SA"/>
              </w:rPr>
            </w:pPr>
            <w:r>
              <w:rPr>
                <w:rFonts w:hint="eastAsia" w:ascii="宋体" w:hAnsi="宋体" w:eastAsia="宋体" w:cs="Times New Roman"/>
                <w:color w:val="auto"/>
                <w:spacing w:val="0"/>
                <w:kern w:val="2"/>
                <w:sz w:val="21"/>
                <w:szCs w:val="21"/>
                <w:highlight w:val="none"/>
                <w:lang w:val="en-US" w:eastAsia="zh-CN" w:bidi="ar-SA"/>
              </w:rPr>
              <w:t>在政府采购活动中，供应商提供的货物、工程或者服务符合下列情形的，享受本办法规定的中小企业扶持政策：</w:t>
            </w:r>
          </w:p>
          <w:p>
            <w:pPr>
              <w:adjustRightInd w:val="0"/>
              <w:snapToGrid w:val="0"/>
              <w:spacing w:line="320" w:lineRule="exact"/>
              <w:ind w:firstLine="420" w:firstLineChars="200"/>
              <w:rPr>
                <w:rFonts w:hint="eastAsia" w:ascii="宋体" w:hAnsi="宋体" w:eastAsia="宋体" w:cs="Times New Roman"/>
                <w:color w:val="auto"/>
                <w:spacing w:val="0"/>
                <w:kern w:val="2"/>
                <w:sz w:val="21"/>
                <w:szCs w:val="21"/>
                <w:highlight w:val="none"/>
                <w:lang w:val="en-US" w:eastAsia="zh-CN" w:bidi="ar-SA"/>
              </w:rPr>
            </w:pPr>
            <w:r>
              <w:rPr>
                <w:rFonts w:hint="eastAsia" w:ascii="宋体" w:hAnsi="宋体" w:eastAsia="宋体" w:cs="Times New Roman"/>
                <w:color w:val="auto"/>
                <w:spacing w:val="0"/>
                <w:kern w:val="2"/>
                <w:sz w:val="21"/>
                <w:szCs w:val="21"/>
                <w:highlight w:val="none"/>
                <w:lang w:val="en-US" w:eastAsia="zh-CN" w:bidi="ar-SA"/>
              </w:rPr>
              <w:t>(一)在货物采购项目中，货物由中小企业制造，即货物由中小企业生产且使用该中小企业商号或者注册商标；</w:t>
            </w:r>
          </w:p>
          <w:p>
            <w:pPr>
              <w:adjustRightInd w:val="0"/>
              <w:snapToGrid w:val="0"/>
              <w:spacing w:line="320" w:lineRule="exact"/>
              <w:ind w:firstLine="420" w:firstLineChars="200"/>
              <w:rPr>
                <w:rFonts w:hint="eastAsia" w:ascii="宋体" w:hAnsi="宋体" w:eastAsia="宋体" w:cs="Times New Roman"/>
                <w:color w:val="auto"/>
                <w:spacing w:val="0"/>
                <w:kern w:val="2"/>
                <w:sz w:val="21"/>
                <w:szCs w:val="21"/>
                <w:highlight w:val="none"/>
                <w:lang w:val="en-US" w:eastAsia="zh-CN" w:bidi="ar-SA"/>
              </w:rPr>
            </w:pPr>
            <w:r>
              <w:rPr>
                <w:rFonts w:hint="eastAsia" w:ascii="宋体" w:hAnsi="宋体" w:eastAsia="宋体" w:cs="Times New Roman"/>
                <w:color w:val="auto"/>
                <w:spacing w:val="0"/>
                <w:kern w:val="2"/>
                <w:sz w:val="21"/>
                <w:szCs w:val="21"/>
                <w:highlight w:val="none"/>
                <w:lang w:val="en-US" w:eastAsia="zh-CN" w:bidi="ar-SA"/>
              </w:rPr>
              <w:t>(二)在工程采购项目中，工程由中小企业承建，即工程施工单位为中小企业；</w:t>
            </w:r>
          </w:p>
          <w:p>
            <w:pPr>
              <w:adjustRightInd w:val="0"/>
              <w:snapToGrid w:val="0"/>
              <w:spacing w:line="320" w:lineRule="exact"/>
              <w:ind w:firstLine="420" w:firstLineChars="200"/>
              <w:rPr>
                <w:rFonts w:hint="eastAsia" w:ascii="宋体" w:hAnsi="宋体" w:eastAsia="宋体" w:cs="Times New Roman"/>
                <w:color w:val="auto"/>
                <w:spacing w:val="0"/>
                <w:kern w:val="2"/>
                <w:sz w:val="21"/>
                <w:szCs w:val="21"/>
                <w:highlight w:val="none"/>
                <w:lang w:val="en-US" w:eastAsia="zh-CN" w:bidi="ar-SA"/>
              </w:rPr>
            </w:pPr>
            <w:r>
              <w:rPr>
                <w:rFonts w:hint="eastAsia" w:ascii="宋体" w:hAnsi="宋体" w:eastAsia="宋体" w:cs="Times New Roman"/>
                <w:color w:val="auto"/>
                <w:spacing w:val="0"/>
                <w:kern w:val="2"/>
                <w:sz w:val="21"/>
                <w:szCs w:val="21"/>
                <w:highlight w:val="none"/>
                <w:lang w:val="en-US" w:eastAsia="zh-CN" w:bidi="ar-SA"/>
              </w:rPr>
              <w:t>(三)在服务采购项目中，服务由中小企业承接，即提供服务的人员为中小企业依照《中华人民共和国劳动合同法》订立劳动合同的从业人员。</w:t>
            </w:r>
          </w:p>
          <w:p>
            <w:pPr>
              <w:adjustRightInd w:val="0"/>
              <w:snapToGrid w:val="0"/>
              <w:spacing w:line="320" w:lineRule="exact"/>
              <w:ind w:firstLine="420" w:firstLineChars="200"/>
              <w:rPr>
                <w:rFonts w:hint="eastAsia" w:ascii="宋体" w:hAnsi="宋体" w:eastAsia="宋体" w:cs="Times New Roman"/>
                <w:color w:val="auto"/>
                <w:spacing w:val="0"/>
                <w:kern w:val="2"/>
                <w:sz w:val="21"/>
                <w:szCs w:val="21"/>
                <w:highlight w:val="none"/>
                <w:lang w:val="en-US" w:eastAsia="zh-CN" w:bidi="ar-SA"/>
              </w:rPr>
            </w:pPr>
            <w:r>
              <w:rPr>
                <w:rFonts w:hint="eastAsia" w:ascii="宋体" w:hAnsi="宋体" w:eastAsia="宋体" w:cs="Times New Roman"/>
                <w:color w:val="auto"/>
                <w:spacing w:val="0"/>
                <w:kern w:val="2"/>
                <w:sz w:val="21"/>
                <w:szCs w:val="21"/>
                <w:highlight w:val="none"/>
                <w:lang w:val="en-US" w:eastAsia="zh-CN" w:bidi="ar-SA"/>
              </w:rPr>
              <w:t>在货物采购项目中，供应商提供的货物既有中小企业制造货物，也有大型企业制造货物的，不享受本办法规定的中小企业扶持政策。</w:t>
            </w:r>
          </w:p>
          <w:p>
            <w:pPr>
              <w:adjustRightInd w:val="0"/>
              <w:snapToGrid w:val="0"/>
              <w:spacing w:line="320" w:lineRule="exact"/>
              <w:ind w:firstLine="420" w:firstLineChars="200"/>
              <w:rPr>
                <w:rFonts w:hint="eastAsia" w:ascii="宋体" w:hAnsi="宋体" w:eastAsia="宋体" w:cs="Times New Roman"/>
                <w:color w:val="auto"/>
                <w:spacing w:val="0"/>
                <w:kern w:val="2"/>
                <w:sz w:val="21"/>
                <w:szCs w:val="21"/>
                <w:highlight w:val="none"/>
                <w:lang w:val="en-US" w:eastAsia="zh-CN" w:bidi="ar-SA"/>
              </w:rPr>
            </w:pPr>
            <w:r>
              <w:rPr>
                <w:rFonts w:hint="eastAsia" w:ascii="宋体" w:hAnsi="宋体" w:eastAsia="宋体" w:cs="Times New Roman"/>
                <w:color w:val="auto"/>
                <w:spacing w:val="0"/>
                <w:kern w:val="2"/>
                <w:sz w:val="21"/>
                <w:szCs w:val="21"/>
                <w:highlight w:val="none"/>
                <w:lang w:val="en-US" w:eastAsia="zh-CN" w:bidi="ar-SA"/>
              </w:rPr>
              <w:t>以联合体形式参加政府采购活动，联合体各方均为中小企业的，联合体视同中小企业。其中，联合体各方均为小微企业的，联合体视同小微企业。</w:t>
            </w:r>
          </w:p>
          <w:p>
            <w:pPr>
              <w:adjustRightInd w:val="0"/>
              <w:snapToGrid w:val="0"/>
              <w:spacing w:line="320" w:lineRule="exact"/>
              <w:ind w:firstLine="420" w:firstLineChars="200"/>
              <w:rPr>
                <w:rFonts w:hint="eastAsia" w:ascii="宋体" w:hAnsi="宋体" w:eastAsia="宋体" w:cs="Times New Roman"/>
                <w:color w:val="auto"/>
                <w:spacing w:val="0"/>
                <w:kern w:val="2"/>
                <w:sz w:val="21"/>
                <w:szCs w:val="21"/>
                <w:highlight w:val="none"/>
                <w:lang w:val="en-US" w:eastAsia="zh-CN" w:bidi="ar-SA"/>
              </w:rPr>
            </w:pPr>
            <w:r>
              <w:rPr>
                <w:rFonts w:hint="eastAsia" w:ascii="宋体" w:hAnsi="宋体" w:eastAsia="宋体" w:cs="Times New Roman"/>
                <w:color w:val="auto"/>
                <w:spacing w:val="0"/>
                <w:kern w:val="2"/>
                <w:sz w:val="21"/>
                <w:szCs w:val="21"/>
                <w:highlight w:val="none"/>
                <w:lang w:val="en-US" w:eastAsia="zh-CN" w:bidi="ar-SA"/>
              </w:rPr>
              <w:t>残疾人福利性单位</w:t>
            </w:r>
          </w:p>
          <w:p>
            <w:pPr>
              <w:adjustRightInd w:val="0"/>
              <w:snapToGrid w:val="0"/>
              <w:spacing w:line="320" w:lineRule="exact"/>
              <w:ind w:firstLine="420" w:firstLineChars="200"/>
              <w:rPr>
                <w:rFonts w:hint="eastAsia" w:ascii="宋体" w:hAnsi="宋体" w:eastAsia="宋体" w:cs="Times New Roman"/>
                <w:color w:val="auto"/>
                <w:spacing w:val="0"/>
                <w:kern w:val="2"/>
                <w:sz w:val="21"/>
                <w:szCs w:val="21"/>
                <w:highlight w:val="none"/>
                <w:lang w:val="en-US" w:eastAsia="zh-CN" w:bidi="ar-SA"/>
              </w:rPr>
            </w:pPr>
            <w:r>
              <w:rPr>
                <w:rFonts w:hint="eastAsia" w:ascii="宋体" w:hAnsi="宋体" w:eastAsia="宋体" w:cs="Times New Roman"/>
                <w:color w:val="auto"/>
                <w:spacing w:val="0"/>
                <w:kern w:val="2"/>
                <w:sz w:val="21"/>
                <w:szCs w:val="21"/>
                <w:highlight w:val="none"/>
                <w:lang w:val="en-US" w:eastAsia="zh-CN" w:bidi="ar-SA"/>
              </w:rPr>
              <w:t>符合《关于促进残疾人就业政府采购政策的通知》（财库〔2017〕141号）规定的条件并提供《残疾人福利性单位声明函》的残疾人福利性单位视同小型、微型企业，享受预留份额、评审中价格扣除等政府采购促进中小企业发展的政府采购政策。</w:t>
            </w:r>
          </w:p>
          <w:p>
            <w:pPr>
              <w:adjustRightInd w:val="0"/>
              <w:snapToGrid w:val="0"/>
              <w:spacing w:line="320" w:lineRule="exact"/>
              <w:ind w:firstLine="420" w:firstLineChars="200"/>
              <w:rPr>
                <w:rFonts w:hint="eastAsia" w:ascii="宋体" w:hAnsi="宋体" w:eastAsia="宋体" w:cs="Times New Roman"/>
                <w:color w:val="auto"/>
                <w:spacing w:val="0"/>
                <w:kern w:val="2"/>
                <w:sz w:val="21"/>
                <w:szCs w:val="21"/>
                <w:highlight w:val="none"/>
                <w:lang w:val="en-US" w:eastAsia="zh-CN" w:bidi="ar-SA"/>
              </w:rPr>
            </w:pPr>
            <w:r>
              <w:rPr>
                <w:rFonts w:hint="eastAsia" w:ascii="宋体" w:hAnsi="宋体" w:eastAsia="宋体" w:cs="Times New Roman"/>
                <w:color w:val="auto"/>
                <w:spacing w:val="0"/>
                <w:kern w:val="2"/>
                <w:sz w:val="21"/>
                <w:szCs w:val="21"/>
                <w:highlight w:val="none"/>
                <w:lang w:val="en-US" w:eastAsia="zh-CN" w:bidi="ar-SA"/>
              </w:rPr>
              <w:t>监狱企业</w:t>
            </w:r>
          </w:p>
          <w:p>
            <w:pPr>
              <w:adjustRightInd w:val="0"/>
              <w:snapToGrid w:val="0"/>
              <w:spacing w:line="320" w:lineRule="exact"/>
              <w:ind w:firstLine="420" w:firstLineChars="200"/>
              <w:rPr>
                <w:rFonts w:hint="eastAsia" w:ascii="宋体" w:hAnsi="宋体" w:eastAsia="宋体" w:cs="Times New Roman"/>
                <w:color w:val="auto"/>
                <w:spacing w:val="0"/>
                <w:kern w:val="2"/>
                <w:sz w:val="21"/>
                <w:szCs w:val="21"/>
                <w:highlight w:val="none"/>
                <w:lang w:val="en-US" w:eastAsia="zh-CN" w:bidi="ar-SA"/>
              </w:rPr>
            </w:pPr>
            <w:r>
              <w:rPr>
                <w:rFonts w:hint="eastAsia" w:ascii="宋体" w:hAnsi="宋体" w:eastAsia="宋体" w:cs="Times New Roman"/>
                <w:color w:val="auto"/>
                <w:spacing w:val="0"/>
                <w:kern w:val="2"/>
                <w:sz w:val="21"/>
                <w:szCs w:val="21"/>
                <w:highlight w:val="none"/>
                <w:lang w:val="en-US" w:eastAsia="zh-CN" w:bidi="ar-SA"/>
              </w:rPr>
              <w:t>根据《关于政府采购支持监狱企业发展有关问题的通知》（财库[2014]68号）的规定，供应商提供由省级以上监狱管理局、戒毒管理局（含新疆生产建设兵团）出具的属于监狱企业证明文件的，视同为小型和微型企业，享受预留份额、评审中价格扣除等政府采购促进中小企业发展的政府采购政策。</w:t>
            </w:r>
          </w:p>
          <w:p>
            <w:pPr>
              <w:adjustRightInd w:val="0"/>
              <w:snapToGrid w:val="0"/>
              <w:spacing w:line="320" w:lineRule="exact"/>
              <w:rPr>
                <w:rFonts w:hint="eastAsia" w:ascii="宋体" w:hAnsi="宋体" w:eastAsia="宋体" w:cs="Times New Roman"/>
                <w:color w:val="auto"/>
                <w:spacing w:val="0"/>
                <w:kern w:val="2"/>
                <w:sz w:val="21"/>
                <w:szCs w:val="21"/>
                <w:highlight w:val="none"/>
                <w:lang w:val="en-US" w:eastAsia="zh-CN" w:bidi="ar-SA"/>
              </w:rPr>
            </w:pPr>
            <w:r>
              <w:rPr>
                <w:rFonts w:hint="eastAsia" w:ascii="宋体" w:hAnsi="宋体" w:eastAsia="宋体" w:cs="Times New Roman"/>
                <w:color w:val="auto"/>
                <w:spacing w:val="0"/>
                <w:kern w:val="2"/>
                <w:sz w:val="21"/>
                <w:szCs w:val="21"/>
                <w:highlight w:val="none"/>
                <w:lang w:val="en-US" w:eastAsia="zh-CN" w:bidi="ar-SA"/>
              </w:rPr>
              <w:t>5.针对本项目的相关规定</w:t>
            </w:r>
          </w:p>
          <w:p>
            <w:pPr>
              <w:adjustRightInd w:val="0"/>
              <w:snapToGrid w:val="0"/>
              <w:spacing w:line="320" w:lineRule="exact"/>
              <w:ind w:firstLine="422" w:firstLineChars="200"/>
              <w:rPr>
                <w:rFonts w:hint="eastAsia" w:ascii="宋体" w:hAnsi="宋体" w:eastAsia="宋体" w:cs="Times New Roman"/>
                <w:b/>
                <w:bCs/>
                <w:color w:val="auto"/>
                <w:spacing w:val="0"/>
                <w:kern w:val="2"/>
                <w:sz w:val="21"/>
                <w:szCs w:val="21"/>
                <w:highlight w:val="none"/>
                <w:lang w:val="en-US" w:eastAsia="zh-CN" w:bidi="ar-SA"/>
              </w:rPr>
            </w:pPr>
            <w:r>
              <w:rPr>
                <w:rFonts w:hint="eastAsia" w:ascii="宋体" w:hAnsi="宋体" w:eastAsia="宋体" w:cs="Times New Roman"/>
                <w:b/>
                <w:bCs/>
                <w:color w:val="auto"/>
                <w:spacing w:val="0"/>
                <w:kern w:val="2"/>
                <w:sz w:val="21"/>
                <w:szCs w:val="21"/>
                <w:highlight w:val="none"/>
                <w:lang w:val="en-US" w:eastAsia="zh-CN" w:bidi="ar-SA"/>
              </w:rPr>
              <w:t>1.本项目执行对符合规定的小微企业报价给予</w:t>
            </w:r>
            <w:r>
              <w:rPr>
                <w:rFonts w:hint="eastAsia" w:ascii="宋体" w:hAnsi="宋体" w:cs="Times New Roman"/>
                <w:b/>
                <w:bCs/>
                <w:color w:val="auto"/>
                <w:spacing w:val="0"/>
                <w:kern w:val="2"/>
                <w:sz w:val="21"/>
                <w:szCs w:val="21"/>
                <w:highlight w:val="none"/>
                <w:lang w:val="en-US" w:eastAsia="zh-CN" w:bidi="ar-SA"/>
              </w:rPr>
              <w:t>1</w:t>
            </w:r>
            <w:r>
              <w:rPr>
                <w:rFonts w:hint="eastAsia" w:ascii="宋体" w:hAnsi="宋体" w:eastAsia="宋体" w:cs="Times New Roman"/>
                <w:b/>
                <w:bCs/>
                <w:color w:val="auto"/>
                <w:spacing w:val="0"/>
                <w:kern w:val="2"/>
                <w:sz w:val="21"/>
                <w:szCs w:val="21"/>
                <w:highlight w:val="none"/>
                <w:lang w:val="en-US" w:eastAsia="zh-CN" w:bidi="ar-SA"/>
              </w:rPr>
              <w:t>0%的扣除。</w:t>
            </w:r>
          </w:p>
          <w:p>
            <w:pPr>
              <w:pStyle w:val="23"/>
              <w:ind w:firstLine="422" w:firstLineChars="200"/>
              <w:rPr>
                <w:rFonts w:hint="eastAsia" w:ascii="宋体" w:hAnsi="宋体" w:eastAsia="宋体" w:cs="Times New Roman"/>
                <w:color w:val="auto"/>
                <w:spacing w:val="0"/>
                <w:kern w:val="2"/>
                <w:sz w:val="21"/>
                <w:szCs w:val="21"/>
                <w:highlight w:val="none"/>
                <w:lang w:val="en-US" w:eastAsia="zh-CN" w:bidi="ar-SA"/>
              </w:rPr>
            </w:pPr>
            <w:r>
              <w:rPr>
                <w:rFonts w:hint="eastAsia" w:ascii="宋体" w:hAnsi="宋体" w:eastAsia="宋体" w:cs="Times New Roman"/>
                <w:b/>
                <w:bCs/>
                <w:color w:val="auto"/>
                <w:spacing w:val="0"/>
                <w:kern w:val="2"/>
                <w:sz w:val="21"/>
                <w:szCs w:val="21"/>
                <w:highlight w:val="none"/>
                <w:lang w:val="en-US" w:eastAsia="zh-CN" w:bidi="ar-SA"/>
              </w:rPr>
              <w:t>2.本项目采购标的对应的中小企业划分标准所属行业为：工业。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37" w:type="dxa"/>
            <w:vAlign w:val="center"/>
          </w:tcPr>
          <w:p>
            <w:pPr>
              <w:pStyle w:val="7"/>
              <w:spacing w:line="400" w:lineRule="exact"/>
              <w:ind w:firstLine="0"/>
              <w:jc w:val="center"/>
              <w:rPr>
                <w:rFonts w:hint="default" w:ascii="新宋体" w:hAnsi="新宋体" w:eastAsia="新宋体"/>
                <w:color w:val="auto"/>
                <w:szCs w:val="21"/>
                <w:highlight w:val="none"/>
                <w:lang w:val="en-US" w:eastAsia="zh-CN"/>
              </w:rPr>
            </w:pPr>
            <w:r>
              <w:rPr>
                <w:rFonts w:hint="eastAsia" w:ascii="新宋体" w:hAnsi="新宋体" w:eastAsia="新宋体"/>
                <w:color w:val="auto"/>
                <w:szCs w:val="21"/>
                <w:highlight w:val="none"/>
                <w:lang w:val="en-US" w:eastAsia="zh-CN"/>
              </w:rPr>
              <w:t>19</w:t>
            </w:r>
          </w:p>
        </w:tc>
        <w:tc>
          <w:tcPr>
            <w:tcW w:w="8463" w:type="dxa"/>
            <w:vAlign w:val="center"/>
          </w:tcPr>
          <w:p>
            <w:pPr>
              <w:autoSpaceDE w:val="0"/>
              <w:autoSpaceDN w:val="0"/>
              <w:snapToGrid w:val="0"/>
              <w:textAlignment w:val="bottom"/>
              <w:rPr>
                <w:rFonts w:ascii="宋体" w:hAnsi="宋体"/>
                <w:bCs/>
                <w:color w:val="auto"/>
                <w:spacing w:val="-4"/>
                <w:szCs w:val="21"/>
                <w:highlight w:val="none"/>
              </w:rPr>
            </w:pPr>
            <w:r>
              <w:rPr>
                <w:rFonts w:hint="eastAsia" w:ascii="宋体" w:hAnsi="宋体" w:cs="宋体"/>
                <w:color w:val="auto"/>
                <w:szCs w:val="21"/>
                <w:highlight w:val="none"/>
              </w:rPr>
              <w:t>政府采购节能产品、环境标志产品实施品目清单管理：投标产品符合财库〔2019〕9号《关于调整优化节能产品、环境标志产品政府采购执行机制的通知》条件，属于强制采购目录的，投标时需提供有效的认证证书或其他证明材料，不属于强制采购的产品鼓励使用节能产品，予以政策加分；供应商属于小微企业、监狱企业、残疾人福利性单位视为小型、微型企业，享受小微企业政策扶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37" w:type="dxa"/>
            <w:vAlign w:val="center"/>
          </w:tcPr>
          <w:p>
            <w:pPr>
              <w:pStyle w:val="7"/>
              <w:spacing w:line="400" w:lineRule="exact"/>
              <w:ind w:firstLine="0"/>
              <w:jc w:val="center"/>
              <w:rPr>
                <w:rFonts w:hint="eastAsia" w:ascii="新宋体" w:hAnsi="新宋体" w:eastAsia="新宋体"/>
                <w:color w:val="auto"/>
                <w:szCs w:val="21"/>
                <w:highlight w:val="none"/>
                <w:lang w:eastAsia="zh-CN"/>
              </w:rPr>
            </w:pPr>
            <w:r>
              <w:rPr>
                <w:rFonts w:hint="eastAsia" w:ascii="新宋体" w:hAnsi="新宋体" w:eastAsia="新宋体"/>
                <w:color w:val="auto"/>
                <w:szCs w:val="21"/>
                <w:highlight w:val="none"/>
              </w:rPr>
              <w:t>2</w:t>
            </w:r>
            <w:r>
              <w:rPr>
                <w:rFonts w:hint="eastAsia" w:ascii="新宋体" w:hAnsi="新宋体" w:eastAsia="新宋体"/>
                <w:color w:val="auto"/>
                <w:szCs w:val="21"/>
                <w:highlight w:val="none"/>
                <w:lang w:val="en-US" w:eastAsia="zh-CN"/>
              </w:rPr>
              <w:t>0</w:t>
            </w:r>
          </w:p>
        </w:tc>
        <w:tc>
          <w:tcPr>
            <w:tcW w:w="8463" w:type="dxa"/>
            <w:vAlign w:val="center"/>
          </w:tcPr>
          <w:p>
            <w:pPr>
              <w:pStyle w:val="36"/>
              <w:spacing w:line="360" w:lineRule="exact"/>
              <w:ind w:left="0" w:leftChars="0" w:firstLine="0" w:firstLineChars="0"/>
              <w:jc w:val="left"/>
              <w:rPr>
                <w:rFonts w:ascii="宋体" w:hAnsi="宋体" w:cs="宋体"/>
                <w:color w:val="auto"/>
                <w:kern w:val="0"/>
                <w:sz w:val="21"/>
                <w:szCs w:val="21"/>
                <w:highlight w:val="none"/>
              </w:rPr>
            </w:pPr>
            <w:r>
              <w:rPr>
                <w:rFonts w:hint="eastAsia" w:ascii="宋体" w:hAnsi="宋体" w:cs="宋体"/>
                <w:b/>
                <w:color w:val="auto"/>
                <w:sz w:val="21"/>
                <w:szCs w:val="21"/>
                <w:highlight w:val="none"/>
              </w:rPr>
              <w:t>本项目不要求投标人至开标现场，</w:t>
            </w:r>
            <w:r>
              <w:rPr>
                <w:rStyle w:val="89"/>
                <w:rFonts w:hint="default" w:cs="宋体"/>
                <w:b/>
                <w:bCs/>
                <w:color w:val="auto"/>
                <w:kern w:val="0"/>
                <w:highlight w:val="none"/>
              </w:rPr>
              <w:t>但须准时在线参加，直至评审结束。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7" w:type="dxa"/>
            <w:vAlign w:val="center"/>
          </w:tcPr>
          <w:p>
            <w:pPr>
              <w:pStyle w:val="7"/>
              <w:spacing w:line="400" w:lineRule="exact"/>
              <w:ind w:firstLine="0"/>
              <w:jc w:val="center"/>
              <w:rPr>
                <w:rFonts w:hint="default" w:ascii="新宋体" w:hAnsi="新宋体" w:eastAsia="新宋体"/>
                <w:color w:val="auto"/>
                <w:szCs w:val="21"/>
                <w:highlight w:val="none"/>
                <w:lang w:val="en-US" w:eastAsia="zh-CN"/>
              </w:rPr>
            </w:pPr>
            <w:r>
              <w:rPr>
                <w:rFonts w:hint="eastAsia" w:ascii="新宋体" w:hAnsi="新宋体" w:eastAsia="新宋体"/>
                <w:color w:val="auto"/>
                <w:szCs w:val="21"/>
                <w:highlight w:val="none"/>
                <w:lang w:val="en-US" w:eastAsia="zh-CN"/>
              </w:rPr>
              <w:t>21</w:t>
            </w:r>
          </w:p>
        </w:tc>
        <w:tc>
          <w:tcPr>
            <w:tcW w:w="8463" w:type="dxa"/>
            <w:vAlign w:val="center"/>
          </w:tcPr>
          <w:p>
            <w:pPr>
              <w:snapToGrid w:val="0"/>
              <w:spacing w:line="360" w:lineRule="exact"/>
              <w:jc w:val="left"/>
              <w:rPr>
                <w:rFonts w:ascii="宋体" w:hAnsi="宋体" w:cs="宋体"/>
                <w:color w:val="auto"/>
                <w:szCs w:val="21"/>
                <w:highlight w:val="none"/>
              </w:rPr>
            </w:pPr>
            <w:r>
              <w:rPr>
                <w:rStyle w:val="89"/>
                <w:rFonts w:hint="default" w:cs="宋体"/>
                <w:b/>
                <w:bCs/>
                <w:color w:val="auto"/>
                <w:kern w:val="0"/>
                <w:highlight w:val="none"/>
              </w:rPr>
              <w:t>投标人请自行配备电脑及CA</w:t>
            </w:r>
            <w:r>
              <w:rPr>
                <w:rFonts w:hint="eastAsia" w:ascii="宋体" w:hAnsi="宋体" w:cs="宋体"/>
                <w:b/>
                <w:color w:val="auto"/>
                <w:kern w:val="0"/>
                <w:szCs w:val="21"/>
                <w:highlight w:val="none"/>
              </w:rPr>
              <w:t>数字证书</w:t>
            </w:r>
            <w:r>
              <w:rPr>
                <w:rStyle w:val="89"/>
                <w:rFonts w:hint="default" w:cs="宋体"/>
                <w:b/>
                <w:bCs/>
                <w:color w:val="auto"/>
                <w:kern w:val="0"/>
                <w:highlight w:val="none"/>
              </w:rPr>
              <w:t>在招标文件规定时间内完成传输、解密等事宜。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37" w:type="dxa"/>
            <w:vAlign w:val="center"/>
          </w:tcPr>
          <w:p>
            <w:pPr>
              <w:pStyle w:val="7"/>
              <w:spacing w:line="400" w:lineRule="exact"/>
              <w:ind w:firstLine="0"/>
              <w:jc w:val="center"/>
              <w:rPr>
                <w:rFonts w:hint="default" w:ascii="新宋体" w:hAnsi="新宋体" w:eastAsia="新宋体"/>
                <w:color w:val="auto"/>
                <w:szCs w:val="21"/>
                <w:highlight w:val="none"/>
                <w:lang w:val="en-US" w:eastAsia="zh-CN"/>
              </w:rPr>
            </w:pPr>
            <w:r>
              <w:rPr>
                <w:rFonts w:hint="eastAsia" w:ascii="新宋体" w:hAnsi="新宋体" w:eastAsia="新宋体"/>
                <w:color w:val="auto"/>
                <w:szCs w:val="21"/>
                <w:highlight w:val="none"/>
                <w:lang w:val="en-US" w:eastAsia="zh-CN"/>
              </w:rPr>
              <w:t>22</w:t>
            </w:r>
          </w:p>
        </w:tc>
        <w:tc>
          <w:tcPr>
            <w:tcW w:w="8463" w:type="dxa"/>
            <w:vAlign w:val="center"/>
          </w:tcPr>
          <w:p>
            <w:pPr>
              <w:spacing w:before="120" w:beforeLines="50" w:after="120" w:afterLines="50" w:line="320" w:lineRule="exact"/>
              <w:jc w:val="left"/>
              <w:rPr>
                <w:rFonts w:ascii="宋体" w:hAnsi="宋体" w:cs="宋体"/>
                <w:bCs/>
                <w:color w:val="auto"/>
                <w:szCs w:val="21"/>
                <w:highlight w:val="none"/>
              </w:rPr>
            </w:pPr>
            <w:r>
              <w:rPr>
                <w:rFonts w:hint="eastAsia" w:ascii="宋体" w:hAnsi="宋体" w:cs="宋体"/>
                <w:bCs/>
                <w:color w:val="auto"/>
                <w:szCs w:val="21"/>
                <w:highlight w:val="none"/>
              </w:rPr>
              <w:t>解释：本招标文件的解释权属于采购单位。</w:t>
            </w:r>
          </w:p>
        </w:tc>
      </w:tr>
    </w:tbl>
    <w:p>
      <w:pPr>
        <w:spacing w:before="120" w:beforeLines="50" w:after="120" w:afterLines="50" w:line="400" w:lineRule="exact"/>
        <w:ind w:left="238"/>
        <w:jc w:val="center"/>
        <w:outlineLvl w:val="1"/>
        <w:rPr>
          <w:rFonts w:ascii="宋体" w:hAnsi="宋体"/>
          <w:b/>
          <w:color w:val="auto"/>
          <w:sz w:val="28"/>
          <w:szCs w:val="28"/>
          <w:highlight w:val="none"/>
        </w:rPr>
      </w:pPr>
      <w:bookmarkStart w:id="10" w:name="_Toc12707"/>
      <w:bookmarkStart w:id="11" w:name="_Toc177870536"/>
      <w:r>
        <w:rPr>
          <w:rFonts w:hint="eastAsia" w:ascii="宋体" w:hAnsi="宋体"/>
          <w:b/>
          <w:color w:val="auto"/>
          <w:sz w:val="28"/>
          <w:szCs w:val="28"/>
          <w:highlight w:val="none"/>
        </w:rPr>
        <w:t>一、总  则</w:t>
      </w:r>
      <w:bookmarkEnd w:id="10"/>
      <w:bookmarkEnd w:id="11"/>
    </w:p>
    <w:p>
      <w:pPr>
        <w:snapToGrid w:val="0"/>
        <w:spacing w:line="400" w:lineRule="exact"/>
        <w:jc w:val="left"/>
        <w:rPr>
          <w:rFonts w:ascii="宋体" w:hAnsi="宋体"/>
          <w:b/>
          <w:color w:val="auto"/>
          <w:szCs w:val="21"/>
          <w:highlight w:val="none"/>
        </w:rPr>
      </w:pPr>
      <w:bookmarkStart w:id="12" w:name="_Toc177824872"/>
      <w:bookmarkStart w:id="13" w:name="_Toc177824939"/>
      <w:bookmarkStart w:id="14" w:name="_Toc177825120"/>
      <w:bookmarkStart w:id="15" w:name="_Toc177870537"/>
      <w:r>
        <w:rPr>
          <w:rFonts w:hint="eastAsia" w:ascii="宋体" w:hAnsi="宋体"/>
          <w:b/>
          <w:color w:val="auto"/>
          <w:szCs w:val="21"/>
          <w:highlight w:val="none"/>
        </w:rPr>
        <w:t>1. 适用范围</w:t>
      </w:r>
      <w:bookmarkEnd w:id="12"/>
      <w:bookmarkEnd w:id="13"/>
      <w:bookmarkEnd w:id="14"/>
      <w:bookmarkEnd w:id="15"/>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1.1 本招标文件适用于本次所述项目的招标。</w:t>
      </w:r>
    </w:p>
    <w:p>
      <w:pPr>
        <w:snapToGrid w:val="0"/>
        <w:spacing w:line="400" w:lineRule="exact"/>
        <w:jc w:val="left"/>
        <w:rPr>
          <w:rFonts w:ascii="宋体" w:hAnsi="宋体"/>
          <w:b/>
          <w:color w:val="auto"/>
          <w:szCs w:val="21"/>
          <w:highlight w:val="none"/>
        </w:rPr>
      </w:pPr>
      <w:r>
        <w:rPr>
          <w:rFonts w:hint="eastAsia" w:ascii="宋体" w:hAnsi="宋体"/>
          <w:b/>
          <w:color w:val="auto"/>
          <w:szCs w:val="21"/>
          <w:highlight w:val="none"/>
        </w:rPr>
        <w:t>2.相关名词说明</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2.1 潜在投标人领取招标文件后,必须按《</w:t>
      </w:r>
      <w:r>
        <w:rPr>
          <w:rFonts w:hint="eastAsia" w:ascii="宋体" w:hAnsi="宋体"/>
          <w:color w:val="auto"/>
          <w:szCs w:val="21"/>
          <w:highlight w:val="none"/>
          <w:lang w:val="en-US" w:eastAsia="zh-CN"/>
        </w:rPr>
        <w:t>中华人民共和国保守国家秘密</w:t>
      </w:r>
      <w:r>
        <w:rPr>
          <w:rFonts w:hint="eastAsia" w:ascii="宋体" w:hAnsi="宋体"/>
          <w:color w:val="auto"/>
          <w:szCs w:val="21"/>
          <w:highlight w:val="none"/>
        </w:rPr>
        <w:t>法》以及保密工作的相关规定，对招标文件内容应承担保密义务，维护采购人的权益，发生窃、泄密事件潜在投标人应承担相应的法律责任。</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2.2 投标人一旦参与本次采购活动，即被视为接受了本招标文件的所有内容，如有任何异议，均需在答疑截止时间前以书面形式提出。</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2.3 投标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400" w:lineRule="exact"/>
        <w:jc w:val="left"/>
        <w:rPr>
          <w:rFonts w:ascii="宋体" w:hAnsi="宋体"/>
          <w:b/>
          <w:color w:val="auto"/>
          <w:szCs w:val="21"/>
          <w:highlight w:val="none"/>
        </w:rPr>
      </w:pPr>
      <w:bookmarkStart w:id="16" w:name="_Toc177870538"/>
      <w:bookmarkStart w:id="17" w:name="_Toc177825121"/>
      <w:bookmarkStart w:id="18" w:name="_Toc177824873"/>
      <w:bookmarkStart w:id="19" w:name="_Toc177824940"/>
      <w:r>
        <w:rPr>
          <w:rFonts w:hint="eastAsia" w:ascii="宋体" w:hAnsi="宋体"/>
          <w:b/>
          <w:color w:val="auto"/>
          <w:szCs w:val="21"/>
          <w:highlight w:val="none"/>
        </w:rPr>
        <w:t>3.定义</w:t>
      </w:r>
      <w:bookmarkEnd w:id="16"/>
      <w:bookmarkEnd w:id="17"/>
      <w:bookmarkEnd w:id="18"/>
      <w:bookmarkEnd w:id="19"/>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3.1 “招标人或采购人”指嘉兴市特种设备检验检测院。</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3.2 </w:t>
      </w:r>
      <w:r>
        <w:rPr>
          <w:rFonts w:hint="eastAsia" w:ascii="仿宋_GB2312" w:eastAsia="仿宋_GB2312"/>
          <w:color w:val="auto"/>
          <w:sz w:val="24"/>
          <w:highlight w:val="none"/>
        </w:rPr>
        <w:t>“</w:t>
      </w:r>
      <w:r>
        <w:rPr>
          <w:rFonts w:hint="eastAsia" w:ascii="宋体" w:hAnsi="宋体"/>
          <w:color w:val="auto"/>
          <w:szCs w:val="21"/>
          <w:highlight w:val="none"/>
        </w:rPr>
        <w:t>采购代理”指嘉兴市明扬工程咨询有限公司。</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3.3 “投标人”指向招标人提交投标文件的供应商。</w:t>
      </w:r>
    </w:p>
    <w:p>
      <w:pPr>
        <w:snapToGrid w:val="0"/>
        <w:spacing w:line="400" w:lineRule="exact"/>
        <w:jc w:val="left"/>
        <w:rPr>
          <w:rFonts w:ascii="宋体" w:hAnsi="宋体" w:cs="宋体"/>
          <w:color w:val="auto"/>
          <w:kern w:val="0"/>
          <w:szCs w:val="21"/>
          <w:highlight w:val="none"/>
        </w:rPr>
      </w:pPr>
      <w:r>
        <w:rPr>
          <w:rFonts w:hint="eastAsia" w:ascii="宋体" w:hAnsi="宋体"/>
          <w:color w:val="auto"/>
          <w:szCs w:val="21"/>
          <w:highlight w:val="none"/>
        </w:rPr>
        <w:t>3.4 “产品”系指投标人按招标文件规定，</w:t>
      </w:r>
      <w:r>
        <w:rPr>
          <w:rFonts w:ascii="宋体" w:hAnsi="宋体" w:cs="宋体"/>
          <w:color w:val="auto"/>
          <w:kern w:val="0"/>
          <w:szCs w:val="21"/>
          <w:highlight w:val="none"/>
        </w:rPr>
        <w:t>须向</w:t>
      </w:r>
      <w:r>
        <w:rPr>
          <w:rFonts w:hint="eastAsia" w:ascii="宋体" w:hAnsi="宋体" w:cs="宋体"/>
          <w:color w:val="auto"/>
          <w:kern w:val="0"/>
          <w:szCs w:val="21"/>
          <w:highlight w:val="none"/>
        </w:rPr>
        <w:t>采购人</w:t>
      </w:r>
      <w:r>
        <w:rPr>
          <w:rFonts w:ascii="宋体" w:hAnsi="宋体" w:cs="宋体"/>
          <w:color w:val="auto"/>
          <w:kern w:val="0"/>
          <w:szCs w:val="21"/>
          <w:highlight w:val="none"/>
        </w:rPr>
        <w:t>提供的一切设备、</w:t>
      </w:r>
      <w:r>
        <w:rPr>
          <w:color w:val="auto"/>
          <w:szCs w:val="21"/>
          <w:highlight w:val="none"/>
        </w:rPr>
        <w:t>保险、税金、</w:t>
      </w:r>
      <w:r>
        <w:rPr>
          <w:rFonts w:ascii="宋体" w:hAnsi="宋体" w:cs="宋体"/>
          <w:color w:val="auto"/>
          <w:kern w:val="0"/>
          <w:szCs w:val="21"/>
          <w:highlight w:val="none"/>
        </w:rPr>
        <w:t>备品备件、工具、手册及其它有关技术资料和材料。</w:t>
      </w:r>
    </w:p>
    <w:p>
      <w:pPr>
        <w:snapToGrid w:val="0"/>
        <w:spacing w:line="400" w:lineRule="exact"/>
        <w:jc w:val="left"/>
        <w:rPr>
          <w:rFonts w:ascii="宋体" w:hAnsi="宋体"/>
          <w:color w:val="auto"/>
          <w:szCs w:val="21"/>
          <w:highlight w:val="none"/>
        </w:rPr>
      </w:pPr>
      <w:r>
        <w:rPr>
          <w:rFonts w:hint="eastAsia" w:ascii="宋体" w:hAnsi="宋体" w:cs="宋体"/>
          <w:color w:val="auto"/>
          <w:kern w:val="0"/>
          <w:szCs w:val="21"/>
          <w:highlight w:val="none"/>
        </w:rPr>
        <w:t>3.5</w:t>
      </w:r>
      <w:r>
        <w:rPr>
          <w:rFonts w:hint="eastAsia" w:ascii="宋体" w:hAnsi="宋体"/>
          <w:color w:val="auto"/>
          <w:szCs w:val="21"/>
          <w:highlight w:val="none"/>
        </w:rPr>
        <w:t>“服务”系指招标文件里规定投标人须承担的安装、调试、技术协助、校准、培训、维修、技术指导以及其他类似的义务。</w:t>
      </w:r>
      <w:r>
        <w:rPr>
          <w:rFonts w:ascii="宋体" w:hAnsi="宋体" w:cs="宋体"/>
          <w:color w:val="auto"/>
          <w:kern w:val="0"/>
          <w:szCs w:val="21"/>
          <w:highlight w:val="none"/>
        </w:rPr>
        <w:br w:type="textWrapping"/>
      </w:r>
      <w:r>
        <w:rPr>
          <w:rFonts w:hint="eastAsia" w:ascii="宋体" w:hAnsi="宋体"/>
          <w:color w:val="auto"/>
          <w:szCs w:val="21"/>
          <w:highlight w:val="none"/>
        </w:rPr>
        <w:t>3.6 “书面形式”包括信函、传真、电报、电子文档等。</w:t>
      </w:r>
    </w:p>
    <w:p>
      <w:pPr>
        <w:snapToGrid w:val="0"/>
        <w:spacing w:line="400" w:lineRule="exact"/>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 xml:space="preserve">3.7 </w:t>
      </w:r>
      <w:r>
        <w:rPr>
          <w:rFonts w:hint="eastAsia" w:ascii="宋体" w:hAnsi="宋体" w:eastAsia="宋体" w:cs="宋体"/>
          <w:color w:val="auto"/>
          <w:kern w:val="2"/>
          <w:sz w:val="21"/>
          <w:szCs w:val="21"/>
          <w:highlight w:val="none"/>
          <w:lang w:val="en-US" w:eastAsia="zh-CN" w:bidi="ar-SA"/>
        </w:rPr>
        <w:t>“▲”系指实质性要求条款，不满足实质性要求条款的投标文件无效。“●”系指核心产品，“★”系指重要技术参数。</w:t>
      </w:r>
    </w:p>
    <w:p>
      <w:pPr>
        <w:snapToGrid w:val="0"/>
        <w:spacing w:line="400" w:lineRule="exact"/>
        <w:jc w:val="left"/>
        <w:rPr>
          <w:rFonts w:ascii="宋体" w:hAnsi="宋体"/>
          <w:b/>
          <w:color w:val="auto"/>
          <w:szCs w:val="21"/>
          <w:highlight w:val="none"/>
        </w:rPr>
      </w:pPr>
      <w:bookmarkStart w:id="20" w:name="_Toc177870539"/>
      <w:r>
        <w:rPr>
          <w:rFonts w:hint="eastAsia" w:ascii="宋体" w:hAnsi="宋体"/>
          <w:b/>
          <w:color w:val="auto"/>
          <w:szCs w:val="21"/>
          <w:highlight w:val="none"/>
        </w:rPr>
        <w:t>4.招标方式</w:t>
      </w:r>
      <w:bookmarkEnd w:id="20"/>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    本次招标采用公开招标方式进行。</w:t>
      </w:r>
    </w:p>
    <w:p>
      <w:pPr>
        <w:snapToGrid w:val="0"/>
        <w:spacing w:line="400" w:lineRule="exact"/>
        <w:jc w:val="left"/>
        <w:rPr>
          <w:rFonts w:ascii="宋体" w:hAnsi="宋体"/>
          <w:b/>
          <w:color w:val="auto"/>
          <w:szCs w:val="21"/>
          <w:highlight w:val="none"/>
        </w:rPr>
      </w:pPr>
      <w:r>
        <w:rPr>
          <w:rFonts w:hint="eastAsia" w:ascii="宋体" w:hAnsi="宋体"/>
          <w:b/>
          <w:color w:val="auto"/>
          <w:szCs w:val="21"/>
          <w:highlight w:val="none"/>
        </w:rPr>
        <w:t>5.投标委托</w:t>
      </w:r>
    </w:p>
    <w:p>
      <w:pPr>
        <w:pStyle w:val="13"/>
        <w:snapToGrid w:val="0"/>
        <w:spacing w:line="400" w:lineRule="exact"/>
        <w:ind w:firstLine="404" w:firstLineChars="200"/>
        <w:jc w:val="left"/>
        <w:rPr>
          <w:rFonts w:hAnsi="宋体"/>
          <w:color w:val="auto"/>
          <w:sz w:val="21"/>
          <w:szCs w:val="21"/>
          <w:highlight w:val="none"/>
        </w:rPr>
      </w:pPr>
      <w:r>
        <w:rPr>
          <w:rFonts w:hint="eastAsia" w:hAnsi="宋体"/>
          <w:color w:val="auto"/>
          <w:sz w:val="21"/>
          <w:szCs w:val="21"/>
          <w:highlight w:val="none"/>
        </w:rPr>
        <w:t>投标人代表须提供居民身份证。如投标人代表不是法定代表人，须有法定代表人出具的授权委托书。（格式见第六章）。</w:t>
      </w:r>
    </w:p>
    <w:p>
      <w:pPr>
        <w:snapToGrid w:val="0"/>
        <w:spacing w:line="400" w:lineRule="exact"/>
        <w:jc w:val="left"/>
        <w:rPr>
          <w:rFonts w:ascii="宋体" w:hAnsi="宋体"/>
          <w:b/>
          <w:color w:val="auto"/>
          <w:szCs w:val="21"/>
          <w:highlight w:val="none"/>
        </w:rPr>
      </w:pPr>
      <w:bookmarkStart w:id="21" w:name="_Toc177824941"/>
      <w:bookmarkStart w:id="22" w:name="_Toc177870540"/>
      <w:bookmarkStart w:id="23" w:name="_Toc177824874"/>
      <w:bookmarkStart w:id="24" w:name="_Toc177825122"/>
      <w:r>
        <w:rPr>
          <w:rFonts w:hint="eastAsia" w:ascii="宋体" w:hAnsi="宋体"/>
          <w:b/>
          <w:color w:val="auto"/>
          <w:szCs w:val="21"/>
          <w:highlight w:val="none"/>
        </w:rPr>
        <w:t>6.</w:t>
      </w:r>
      <w:bookmarkEnd w:id="21"/>
      <w:bookmarkEnd w:id="22"/>
      <w:bookmarkEnd w:id="23"/>
      <w:bookmarkEnd w:id="24"/>
      <w:r>
        <w:rPr>
          <w:rFonts w:hint="eastAsia" w:ascii="宋体" w:hAnsi="宋体"/>
          <w:b/>
          <w:color w:val="auto"/>
          <w:szCs w:val="21"/>
          <w:highlight w:val="none"/>
        </w:rPr>
        <w:t xml:space="preserve"> 投标费用</w:t>
      </w:r>
    </w:p>
    <w:p>
      <w:pPr>
        <w:snapToGrid w:val="0"/>
        <w:spacing w:line="400" w:lineRule="exact"/>
        <w:ind w:firstLine="315" w:firstLineChars="150"/>
        <w:jc w:val="left"/>
        <w:rPr>
          <w:rFonts w:ascii="宋体" w:hAnsi="宋体"/>
          <w:color w:val="auto"/>
          <w:szCs w:val="21"/>
          <w:highlight w:val="none"/>
        </w:rPr>
      </w:pPr>
      <w:r>
        <w:rPr>
          <w:rFonts w:hint="eastAsia" w:ascii="宋体" w:hAnsi="宋体"/>
          <w:color w:val="auto"/>
          <w:szCs w:val="21"/>
          <w:highlight w:val="none"/>
        </w:rPr>
        <w:t>不论投标结果如何，投标人均应自行承担所有与投标有关的全部费用。</w:t>
      </w:r>
      <w:bookmarkStart w:id="25" w:name="_Toc177870543"/>
    </w:p>
    <w:p>
      <w:pPr>
        <w:pStyle w:val="18"/>
        <w:snapToGrid w:val="0"/>
        <w:spacing w:line="360" w:lineRule="auto"/>
        <w:rPr>
          <w:rFonts w:hAnsi="宋体" w:cs="宋体"/>
          <w:color w:val="auto"/>
          <w:sz w:val="21"/>
          <w:szCs w:val="21"/>
          <w:highlight w:val="none"/>
        </w:rPr>
      </w:pPr>
      <w:r>
        <w:rPr>
          <w:rFonts w:hint="eastAsia" w:hAnsi="宋体" w:cs="宋体"/>
          <w:b/>
          <w:color w:val="auto"/>
          <w:sz w:val="21"/>
          <w:szCs w:val="21"/>
          <w:highlight w:val="none"/>
        </w:rPr>
        <w:t>7.联合体投标</w:t>
      </w:r>
      <w:r>
        <w:rPr>
          <w:rFonts w:hint="eastAsia" w:hAnsi="宋体" w:cs="宋体"/>
          <w:b/>
          <w:color w:val="auto"/>
          <w:sz w:val="21"/>
          <w:szCs w:val="21"/>
          <w:highlight w:val="none"/>
        </w:rPr>
        <w:br w:type="textWrapping"/>
      </w:r>
      <w:r>
        <w:rPr>
          <w:rFonts w:hint="eastAsia" w:hAnsi="宋体" w:cs="宋体"/>
          <w:color w:val="auto"/>
          <w:sz w:val="21"/>
          <w:szCs w:val="21"/>
          <w:highlight w:val="none"/>
        </w:rPr>
        <w:t>本项目不接受联合体投标。</w:t>
      </w:r>
      <w:r>
        <w:rPr>
          <w:rFonts w:hint="eastAsia" w:hAnsi="宋体" w:cs="宋体"/>
          <w:color w:val="auto"/>
          <w:sz w:val="21"/>
          <w:szCs w:val="21"/>
          <w:highlight w:val="none"/>
        </w:rPr>
        <w:br w:type="textWrapping"/>
      </w:r>
      <w:r>
        <w:rPr>
          <w:rFonts w:hint="eastAsia" w:hAnsi="宋体" w:cs="宋体"/>
          <w:b/>
          <w:color w:val="auto"/>
          <w:sz w:val="21"/>
          <w:szCs w:val="21"/>
          <w:highlight w:val="none"/>
        </w:rPr>
        <w:t>8. 转包与分包</w:t>
      </w:r>
      <w:r>
        <w:rPr>
          <w:rFonts w:hint="eastAsia" w:hAnsi="宋体" w:cs="宋体"/>
          <w:b/>
          <w:color w:val="auto"/>
          <w:sz w:val="21"/>
          <w:szCs w:val="21"/>
          <w:highlight w:val="none"/>
        </w:rPr>
        <w:br w:type="textWrapping"/>
      </w:r>
      <w:r>
        <w:rPr>
          <w:rFonts w:hint="eastAsia" w:hAnsi="宋体" w:cs="宋体"/>
          <w:color w:val="auto"/>
          <w:sz w:val="21"/>
          <w:szCs w:val="21"/>
          <w:highlight w:val="none"/>
        </w:rPr>
        <w:t>8.1本项目不允许转包。</w:t>
      </w:r>
      <w:r>
        <w:rPr>
          <w:rFonts w:hint="eastAsia" w:hAnsi="宋体" w:cs="宋体"/>
          <w:color w:val="auto"/>
          <w:sz w:val="21"/>
          <w:szCs w:val="21"/>
          <w:highlight w:val="none"/>
        </w:rPr>
        <w:br w:type="textWrapping"/>
      </w:r>
      <w:r>
        <w:rPr>
          <w:rFonts w:hint="eastAsia" w:hAnsi="宋体" w:cs="宋体"/>
          <w:color w:val="auto"/>
          <w:sz w:val="21"/>
          <w:szCs w:val="21"/>
          <w:highlight w:val="none"/>
        </w:rPr>
        <w:t>8.2本项目不可以分包。</w:t>
      </w:r>
      <w:r>
        <w:rPr>
          <w:rFonts w:hint="eastAsia" w:hAnsi="宋体" w:cs="宋体"/>
          <w:color w:val="auto"/>
          <w:sz w:val="21"/>
          <w:szCs w:val="21"/>
          <w:highlight w:val="none"/>
        </w:rPr>
        <w:br w:type="textWrapping"/>
      </w:r>
      <w:bookmarkEnd w:id="25"/>
      <w:r>
        <w:rPr>
          <w:rFonts w:hint="eastAsia" w:hAnsi="宋体" w:cs="宋体"/>
          <w:b/>
          <w:color w:val="auto"/>
          <w:sz w:val="21"/>
          <w:szCs w:val="21"/>
          <w:highlight w:val="none"/>
        </w:rPr>
        <w:t>9. 特别说明：</w:t>
      </w:r>
      <w:r>
        <w:rPr>
          <w:rFonts w:hint="eastAsia" w:hAnsi="宋体" w:cs="宋体"/>
          <w:b/>
          <w:color w:val="auto"/>
          <w:sz w:val="21"/>
          <w:szCs w:val="21"/>
          <w:highlight w:val="none"/>
        </w:rPr>
        <w:br w:type="textWrapping"/>
      </w:r>
      <w:r>
        <w:rPr>
          <w:rFonts w:hint="eastAsia" w:hAnsi="宋体" w:cs="宋体"/>
          <w:color w:val="auto"/>
          <w:sz w:val="21"/>
          <w:szCs w:val="21"/>
          <w:highlight w:val="none"/>
        </w:rPr>
        <w:t>9.1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8"/>
        <w:snapToGrid w:val="0"/>
        <w:spacing w:line="360" w:lineRule="auto"/>
        <w:rPr>
          <w:rFonts w:hAnsi="宋体" w:cs="宋体"/>
          <w:color w:val="auto"/>
          <w:sz w:val="21"/>
          <w:szCs w:val="21"/>
          <w:highlight w:val="none"/>
        </w:rPr>
      </w:pPr>
      <w:r>
        <w:rPr>
          <w:rFonts w:hint="eastAsia" w:hAnsi="宋体" w:cs="宋体"/>
          <w:color w:val="auto"/>
          <w:sz w:val="21"/>
          <w:szCs w:val="21"/>
          <w:highlight w:val="none"/>
        </w:rPr>
        <w:t>9.2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8"/>
        <w:snapToGrid w:val="0"/>
        <w:spacing w:line="360" w:lineRule="auto"/>
        <w:rPr>
          <w:rFonts w:hAnsi="宋体" w:cs="宋体"/>
          <w:color w:val="auto"/>
          <w:sz w:val="21"/>
          <w:szCs w:val="21"/>
          <w:highlight w:val="none"/>
        </w:rPr>
      </w:pPr>
      <w:r>
        <w:rPr>
          <w:rFonts w:hint="eastAsia" w:hAnsi="宋体" w:cs="宋体"/>
          <w:color w:val="auto"/>
          <w:sz w:val="21"/>
          <w:szCs w:val="21"/>
          <w:highlight w:val="none"/>
        </w:rPr>
        <w:t>9.3非单一产品采购项目，采购人应当根据采购项目技术构成、产品价格比重等合理确定核心产品，并在招标文件中载明。多家投标人提供的核心产品品牌相同的，按前两款规定处理。</w:t>
      </w:r>
    </w:p>
    <w:p>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9.4投标人投标所使用的资格、信誉、荣誉、业绩与企业认证必须为本法人所拥有。投标人投标所使用的采购项目实施人员必须为本法人员工（或必须为本法人或控股公司正式员工）。</w:t>
      </w:r>
      <w:r>
        <w:rPr>
          <w:rFonts w:hint="eastAsia" w:ascii="宋体" w:hAnsi="宋体" w:cs="宋体"/>
          <w:color w:val="auto"/>
          <w:szCs w:val="21"/>
          <w:highlight w:val="none"/>
        </w:rPr>
        <w:br w:type="textWrapping"/>
      </w:r>
      <w:r>
        <w:rPr>
          <w:rFonts w:hint="eastAsia" w:ascii="宋体" w:hAnsi="宋体" w:cs="宋体"/>
          <w:color w:val="auto"/>
          <w:szCs w:val="21"/>
          <w:highlight w:val="none"/>
        </w:rPr>
        <w:t>9.5投标人应仔细阅读招标文件的所有内容，按照招标文件的要求提交投标文件，并对所提供的全部资料的真实性承担法律责任。</w:t>
      </w:r>
      <w:r>
        <w:rPr>
          <w:rFonts w:hint="eastAsia" w:ascii="宋体" w:hAnsi="宋体" w:cs="宋体"/>
          <w:color w:val="auto"/>
          <w:szCs w:val="21"/>
          <w:highlight w:val="none"/>
        </w:rPr>
        <w:br w:type="textWrapping"/>
      </w:r>
      <w:r>
        <w:rPr>
          <w:rFonts w:hint="eastAsia" w:ascii="宋体" w:hAnsi="宋体" w:cs="宋体"/>
          <w:color w:val="auto"/>
          <w:szCs w:val="21"/>
          <w:highlight w:val="none"/>
        </w:rPr>
        <w:t>9.6投标人在投标活动中提供任何虚假材料，其投标无效，并报监管部门查处；中标后发现的，根据《浙江省政府采购供应商注册及诚信管理暂行办法的通知》规定进行处罚；还将依照《中华人民共和国消费者权益保护法》第49条之规定由中标人双倍赔偿采购人，且民事赔偿并不免除违法投标人的行政与刑事责任。</w:t>
      </w:r>
    </w:p>
    <w:p>
      <w:pPr>
        <w:snapToGrid w:val="0"/>
        <w:spacing w:line="400" w:lineRule="exact"/>
        <w:jc w:val="left"/>
        <w:rPr>
          <w:rFonts w:ascii="宋体" w:hAnsi="宋体"/>
          <w:color w:val="auto"/>
          <w:szCs w:val="21"/>
          <w:highlight w:val="none"/>
        </w:rPr>
      </w:pPr>
      <w:r>
        <w:rPr>
          <w:rFonts w:hint="eastAsia" w:ascii="宋体" w:hAnsi="宋体" w:cs="宋体"/>
          <w:b/>
          <w:color w:val="auto"/>
          <w:szCs w:val="21"/>
          <w:highlight w:val="none"/>
        </w:rPr>
        <w:t>10. 质疑和投诉</w:t>
      </w:r>
      <w:r>
        <w:rPr>
          <w:rFonts w:hint="eastAsia" w:ascii="宋体" w:hAnsi="宋体" w:cs="宋体"/>
          <w:b/>
          <w:color w:val="auto"/>
          <w:szCs w:val="21"/>
          <w:highlight w:val="none"/>
        </w:rPr>
        <w:br w:type="textWrapping"/>
      </w:r>
      <w:r>
        <w:rPr>
          <w:rFonts w:hint="eastAsia" w:ascii="宋体" w:hAnsi="宋体"/>
          <w:color w:val="auto"/>
          <w:szCs w:val="21"/>
          <w:highlight w:val="none"/>
        </w:rPr>
        <w:t>10.1投标人认为招标文件、招标过程或中标结果使自己的合法权益受到损害的，可以自收到采购文件之日（发售截止日之后收到采购文件的，以发售截止日为准）或者采购文件公告期限届满之日（公告发布后的第6个工作日）起7个工作日内，以书面形式向采购人和采购代理机构提出质疑。投标人对招标采购单位的质疑答复不满意或者招标采购单位未在规定时间内作出答复的，可以在答复期满后十五个工作日内向同级采购监管部门投诉；</w:t>
      </w:r>
    </w:p>
    <w:p>
      <w:pPr>
        <w:pStyle w:val="18"/>
        <w:snapToGrid w:val="0"/>
        <w:spacing w:line="400" w:lineRule="exact"/>
        <w:rPr>
          <w:rFonts w:hAnsi="宋体"/>
          <w:color w:val="auto"/>
          <w:sz w:val="21"/>
          <w:szCs w:val="21"/>
          <w:highlight w:val="none"/>
        </w:rPr>
      </w:pPr>
      <w:r>
        <w:rPr>
          <w:rFonts w:hint="eastAsia" w:hAnsi="宋体"/>
          <w:color w:val="auto"/>
          <w:sz w:val="21"/>
          <w:szCs w:val="21"/>
          <w:highlight w:val="none"/>
        </w:rPr>
        <w:t>10.2供应商须在法定质疑期内一次性提出针对同一采购程序环节的质疑。</w:t>
      </w:r>
    </w:p>
    <w:p>
      <w:pPr>
        <w:pStyle w:val="18"/>
        <w:snapToGrid w:val="0"/>
        <w:spacing w:line="400" w:lineRule="exact"/>
        <w:rPr>
          <w:rFonts w:hAnsi="宋体"/>
          <w:color w:val="auto"/>
          <w:sz w:val="21"/>
          <w:szCs w:val="21"/>
          <w:highlight w:val="none"/>
        </w:rPr>
      </w:pPr>
      <w:r>
        <w:rPr>
          <w:rFonts w:hint="eastAsia" w:hAnsi="宋体"/>
          <w:color w:val="auto"/>
          <w:sz w:val="21"/>
          <w:szCs w:val="21"/>
          <w:highlight w:val="none"/>
        </w:rPr>
        <w:t>10.3供应商认为采购代理机构在质疑答复程序中启用的调查和复评等程序，在该程序操作过程未明显违反法律禁止性规定时，不得提出疑义。</w:t>
      </w:r>
    </w:p>
    <w:p>
      <w:pPr>
        <w:pStyle w:val="18"/>
        <w:snapToGrid w:val="0"/>
        <w:spacing w:line="400" w:lineRule="exact"/>
        <w:rPr>
          <w:rFonts w:hAnsi="宋体"/>
          <w:color w:val="auto"/>
          <w:sz w:val="21"/>
          <w:szCs w:val="21"/>
          <w:highlight w:val="none"/>
        </w:rPr>
      </w:pPr>
      <w:r>
        <w:rPr>
          <w:rFonts w:hint="eastAsia" w:hAnsi="宋体"/>
          <w:color w:val="auto"/>
          <w:sz w:val="21"/>
          <w:szCs w:val="21"/>
          <w:highlight w:val="none"/>
        </w:rPr>
        <w:t>10.4质疑和投诉应当满足《政府采购质疑和投诉办法》（中华人民共和国财政部令第94号）要求。</w:t>
      </w:r>
    </w:p>
    <w:p>
      <w:pPr>
        <w:spacing w:before="120" w:beforeLines="50" w:after="120" w:afterLines="50" w:line="400" w:lineRule="exact"/>
        <w:ind w:left="238"/>
        <w:jc w:val="center"/>
        <w:outlineLvl w:val="1"/>
        <w:rPr>
          <w:rFonts w:ascii="宋体" w:hAnsi="宋体"/>
          <w:b/>
          <w:color w:val="auto"/>
          <w:sz w:val="28"/>
          <w:szCs w:val="28"/>
          <w:highlight w:val="none"/>
        </w:rPr>
      </w:pPr>
      <w:bookmarkStart w:id="26" w:name="_Toc177870544"/>
      <w:bookmarkStart w:id="27" w:name="_Toc30304"/>
      <w:r>
        <w:rPr>
          <w:rFonts w:hint="eastAsia" w:ascii="宋体" w:hAnsi="宋体"/>
          <w:b/>
          <w:color w:val="auto"/>
          <w:sz w:val="28"/>
          <w:szCs w:val="28"/>
          <w:highlight w:val="none"/>
        </w:rPr>
        <w:t>二、招标文件</w:t>
      </w:r>
      <w:bookmarkEnd w:id="26"/>
      <w:bookmarkEnd w:id="27"/>
    </w:p>
    <w:p>
      <w:pPr>
        <w:spacing w:line="400" w:lineRule="exact"/>
        <w:jc w:val="left"/>
        <w:rPr>
          <w:rFonts w:ascii="宋体" w:hAnsi="宋体"/>
          <w:b/>
          <w:color w:val="auto"/>
          <w:szCs w:val="21"/>
          <w:highlight w:val="none"/>
        </w:rPr>
      </w:pPr>
      <w:r>
        <w:rPr>
          <w:rFonts w:hint="eastAsia" w:ascii="宋体" w:hAnsi="宋体"/>
          <w:b/>
          <w:color w:val="auto"/>
          <w:szCs w:val="21"/>
          <w:highlight w:val="none"/>
        </w:rPr>
        <w:t>1.招标文件的构成</w:t>
      </w:r>
    </w:p>
    <w:p>
      <w:pPr>
        <w:spacing w:line="400" w:lineRule="exact"/>
        <w:jc w:val="left"/>
        <w:rPr>
          <w:rFonts w:ascii="宋体" w:hAnsi="宋体"/>
          <w:color w:val="auto"/>
          <w:szCs w:val="21"/>
          <w:highlight w:val="none"/>
        </w:rPr>
      </w:pPr>
      <w:r>
        <w:rPr>
          <w:rFonts w:hint="eastAsia" w:ascii="宋体" w:hAnsi="宋体"/>
          <w:color w:val="auto"/>
          <w:szCs w:val="21"/>
          <w:highlight w:val="none"/>
        </w:rPr>
        <w:t>1.1公开招标采购公告</w:t>
      </w:r>
    </w:p>
    <w:p>
      <w:pPr>
        <w:spacing w:line="400" w:lineRule="exact"/>
        <w:jc w:val="left"/>
        <w:rPr>
          <w:rFonts w:ascii="宋体" w:hAnsi="宋体"/>
          <w:color w:val="auto"/>
          <w:szCs w:val="21"/>
          <w:highlight w:val="none"/>
        </w:rPr>
      </w:pPr>
      <w:r>
        <w:rPr>
          <w:rFonts w:hint="eastAsia" w:ascii="宋体" w:hAnsi="宋体"/>
          <w:color w:val="auto"/>
          <w:szCs w:val="21"/>
          <w:highlight w:val="none"/>
        </w:rPr>
        <w:t>1.2招标项目需求</w:t>
      </w:r>
    </w:p>
    <w:p>
      <w:pPr>
        <w:spacing w:line="400" w:lineRule="exact"/>
        <w:jc w:val="left"/>
        <w:rPr>
          <w:rFonts w:ascii="宋体" w:hAnsi="宋体"/>
          <w:color w:val="auto"/>
          <w:szCs w:val="21"/>
          <w:highlight w:val="none"/>
        </w:rPr>
      </w:pPr>
      <w:r>
        <w:rPr>
          <w:rFonts w:hint="eastAsia" w:ascii="宋体" w:hAnsi="宋体"/>
          <w:color w:val="auto"/>
          <w:szCs w:val="21"/>
          <w:highlight w:val="none"/>
        </w:rPr>
        <w:t>1.3投标人须知</w:t>
      </w:r>
    </w:p>
    <w:p>
      <w:pPr>
        <w:spacing w:line="400" w:lineRule="exact"/>
        <w:jc w:val="left"/>
        <w:rPr>
          <w:rFonts w:ascii="宋体" w:hAnsi="宋体"/>
          <w:color w:val="auto"/>
          <w:szCs w:val="21"/>
          <w:highlight w:val="none"/>
        </w:rPr>
      </w:pPr>
      <w:r>
        <w:rPr>
          <w:rFonts w:hint="eastAsia" w:ascii="宋体" w:hAnsi="宋体"/>
          <w:color w:val="auto"/>
          <w:szCs w:val="21"/>
          <w:highlight w:val="none"/>
        </w:rPr>
        <w:t>1.4评标办法及评分标准</w:t>
      </w:r>
    </w:p>
    <w:p>
      <w:pPr>
        <w:spacing w:line="400" w:lineRule="exact"/>
        <w:jc w:val="left"/>
        <w:rPr>
          <w:rFonts w:ascii="宋体" w:hAnsi="宋体"/>
          <w:color w:val="auto"/>
          <w:szCs w:val="21"/>
          <w:highlight w:val="none"/>
        </w:rPr>
      </w:pPr>
      <w:r>
        <w:rPr>
          <w:rFonts w:hint="eastAsia" w:ascii="宋体" w:hAnsi="宋体"/>
          <w:color w:val="auto"/>
          <w:szCs w:val="21"/>
          <w:highlight w:val="none"/>
        </w:rPr>
        <w:t>1.5嘉兴市政府采购合同</w:t>
      </w:r>
    </w:p>
    <w:p>
      <w:pPr>
        <w:spacing w:line="400" w:lineRule="exact"/>
        <w:jc w:val="left"/>
        <w:rPr>
          <w:rFonts w:ascii="宋体" w:hAnsi="宋体"/>
          <w:color w:val="auto"/>
          <w:szCs w:val="21"/>
          <w:highlight w:val="none"/>
        </w:rPr>
      </w:pPr>
      <w:r>
        <w:rPr>
          <w:rFonts w:hint="eastAsia" w:ascii="宋体" w:hAnsi="宋体"/>
          <w:color w:val="auto"/>
          <w:szCs w:val="21"/>
          <w:highlight w:val="none"/>
        </w:rPr>
        <w:t>1.6投标相关文件格式</w:t>
      </w:r>
    </w:p>
    <w:p>
      <w:pPr>
        <w:spacing w:line="400" w:lineRule="exact"/>
        <w:jc w:val="left"/>
        <w:rPr>
          <w:rFonts w:ascii="宋体" w:hAnsi="宋体"/>
          <w:color w:val="auto"/>
          <w:szCs w:val="21"/>
          <w:highlight w:val="none"/>
        </w:rPr>
      </w:pPr>
      <w:r>
        <w:rPr>
          <w:rFonts w:hint="eastAsia" w:ascii="宋体" w:hAnsi="宋体"/>
          <w:color w:val="auto"/>
          <w:szCs w:val="21"/>
          <w:highlight w:val="none"/>
        </w:rPr>
        <w:t>1.7本项目招标文件的</w:t>
      </w:r>
      <w:r>
        <w:rPr>
          <w:rFonts w:hint="eastAsia" w:hAnsi="宋体"/>
          <w:color w:val="auto"/>
          <w:szCs w:val="21"/>
          <w:highlight w:val="none"/>
        </w:rPr>
        <w:t>澄清</w:t>
      </w:r>
      <w:r>
        <w:rPr>
          <w:rFonts w:hint="eastAsia" w:ascii="宋体" w:hAnsi="宋体"/>
          <w:color w:val="auto"/>
          <w:szCs w:val="21"/>
          <w:highlight w:val="none"/>
        </w:rPr>
        <w:t>、答复、修改、补充的内容</w:t>
      </w:r>
    </w:p>
    <w:p>
      <w:pPr>
        <w:spacing w:line="460" w:lineRule="exact"/>
        <w:rPr>
          <w:rFonts w:ascii="宋体" w:hAnsi="宋体" w:cs="宋体"/>
          <w:b/>
          <w:color w:val="auto"/>
          <w:szCs w:val="21"/>
          <w:highlight w:val="none"/>
        </w:rPr>
      </w:pPr>
      <w:bookmarkStart w:id="28" w:name="_Toc177870545"/>
      <w:r>
        <w:rPr>
          <w:rFonts w:hint="eastAsia" w:ascii="宋体" w:hAnsi="宋体" w:cs="宋体"/>
          <w:b/>
          <w:color w:val="auto"/>
          <w:szCs w:val="21"/>
          <w:highlight w:val="none"/>
        </w:rPr>
        <w:t>2.投标人的风险</w:t>
      </w:r>
    </w:p>
    <w:p>
      <w:pPr>
        <w:spacing w:line="400" w:lineRule="exact"/>
        <w:jc w:val="left"/>
        <w:rPr>
          <w:rFonts w:ascii="宋体" w:hAnsi="宋体"/>
          <w:color w:val="auto"/>
          <w:szCs w:val="21"/>
          <w:highlight w:val="none"/>
        </w:rPr>
      </w:pPr>
      <w:r>
        <w:rPr>
          <w:rFonts w:hint="eastAsia" w:ascii="宋体" w:hAnsi="宋体"/>
          <w:color w:val="auto"/>
          <w:szCs w:val="21"/>
          <w:highlight w:val="none"/>
        </w:rPr>
        <w:t>2.1投标人没有按照招标文件要求提供全部资料，或者投标人没有对招标文件在各方面作出实质性响应是投标人的风险，并可能导致其投标为无效标。</w:t>
      </w:r>
    </w:p>
    <w:p>
      <w:pPr>
        <w:spacing w:line="460" w:lineRule="exact"/>
        <w:rPr>
          <w:rFonts w:ascii="宋体" w:hAnsi="宋体" w:cs="宋体"/>
          <w:b/>
          <w:color w:val="auto"/>
          <w:szCs w:val="21"/>
          <w:highlight w:val="none"/>
        </w:rPr>
      </w:pPr>
      <w:r>
        <w:rPr>
          <w:rFonts w:hint="eastAsia" w:ascii="宋体" w:hAnsi="宋体" w:cs="宋体"/>
          <w:b/>
          <w:color w:val="auto"/>
          <w:szCs w:val="21"/>
          <w:highlight w:val="none"/>
        </w:rPr>
        <w:t xml:space="preserve">3.招标文件的澄清与修改 </w:t>
      </w:r>
    </w:p>
    <w:p>
      <w:pPr>
        <w:spacing w:line="400" w:lineRule="exact"/>
        <w:jc w:val="left"/>
        <w:rPr>
          <w:rFonts w:ascii="宋体" w:hAnsi="宋体"/>
          <w:color w:val="auto"/>
          <w:szCs w:val="21"/>
          <w:highlight w:val="none"/>
        </w:rPr>
      </w:pPr>
      <w:r>
        <w:rPr>
          <w:rFonts w:hint="eastAsia" w:ascii="宋体" w:hAnsi="宋体"/>
          <w:color w:val="auto"/>
          <w:szCs w:val="21"/>
          <w:highlight w:val="none"/>
        </w:rPr>
        <w:t>3.1 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w:t>
      </w:r>
      <w:r>
        <w:rPr>
          <w:rFonts w:hint="eastAsia" w:ascii="宋体" w:hAnsi="宋体"/>
          <w:bCs/>
          <w:iCs/>
          <w:color w:val="auto"/>
          <w:szCs w:val="21"/>
          <w:highlight w:val="none"/>
        </w:rPr>
        <w:t>http://zfcg.czt.zj.gov.cn/</w:t>
      </w:r>
      <w:r>
        <w:rPr>
          <w:rFonts w:hint="eastAsia" w:ascii="宋体" w:hAnsi="宋体"/>
          <w:color w:val="auto"/>
          <w:szCs w:val="21"/>
          <w:highlight w:val="none"/>
        </w:rPr>
        <w:t>)上发布更正公告，请投标人在投标截止前及时关注。招标文件的澄清、答复、修改或补充，一经在上述媒体发布，即视所有投标人都已经收到相关文件。</w:t>
      </w:r>
    </w:p>
    <w:p>
      <w:pPr>
        <w:spacing w:line="400" w:lineRule="exact"/>
        <w:jc w:val="left"/>
        <w:rPr>
          <w:rFonts w:ascii="宋体" w:hAnsi="宋体"/>
          <w:color w:val="auto"/>
          <w:szCs w:val="21"/>
          <w:highlight w:val="none"/>
        </w:rPr>
      </w:pPr>
      <w:r>
        <w:rPr>
          <w:rFonts w:hint="eastAsia" w:ascii="宋体" w:hAnsi="宋体"/>
          <w:color w:val="auto"/>
          <w:szCs w:val="21"/>
          <w:highlight w:val="none"/>
        </w:rPr>
        <w:t>3.2采购代理机构以公告形式答复投标人要求澄清的问题，但不包含问题来源；除上述媒体发布的答复以外的其他澄清方式及澄清内容均无效。</w:t>
      </w:r>
    </w:p>
    <w:p>
      <w:pPr>
        <w:spacing w:line="400" w:lineRule="exact"/>
        <w:jc w:val="left"/>
        <w:rPr>
          <w:rFonts w:ascii="宋体" w:hAnsi="宋体"/>
          <w:color w:val="auto"/>
          <w:szCs w:val="21"/>
          <w:highlight w:val="none"/>
        </w:rPr>
      </w:pPr>
      <w:r>
        <w:rPr>
          <w:rFonts w:hint="eastAsia" w:ascii="宋体" w:hAnsi="宋体"/>
          <w:color w:val="auto"/>
          <w:szCs w:val="21"/>
          <w:highlight w:val="none"/>
        </w:rPr>
        <w:t>3.3招标文件澄清、答复、修改、补充的内容为招标文件的组成部分。当招标文件与招标文件的答复、澄清、修改、补充通知就同一内容的表述不一致时，以最后发出的文件为准。</w:t>
      </w:r>
    </w:p>
    <w:p>
      <w:pPr>
        <w:spacing w:line="400" w:lineRule="exact"/>
        <w:jc w:val="left"/>
        <w:rPr>
          <w:rFonts w:hAnsi="宋体"/>
          <w:b/>
          <w:color w:val="auto"/>
          <w:sz w:val="30"/>
          <w:szCs w:val="30"/>
          <w:highlight w:val="none"/>
        </w:rPr>
      </w:pPr>
      <w:r>
        <w:rPr>
          <w:rFonts w:hint="eastAsia" w:ascii="宋体" w:hAnsi="宋体"/>
          <w:color w:val="auto"/>
          <w:szCs w:val="21"/>
          <w:highlight w:val="none"/>
        </w:rPr>
        <w:t>3.4招标文件的澄清、答复、修改或补充都应该通过本代理机构以法定形式发布，采购人非通过本机构，不得擅自澄清、答复、修改或补充招标文件。</w:t>
      </w:r>
    </w:p>
    <w:p>
      <w:pPr>
        <w:spacing w:before="120" w:beforeLines="50" w:after="120" w:afterLines="50" w:line="400" w:lineRule="exact"/>
        <w:ind w:left="238"/>
        <w:jc w:val="center"/>
        <w:outlineLvl w:val="1"/>
        <w:rPr>
          <w:rFonts w:ascii="宋体" w:hAnsi="宋体"/>
          <w:b/>
          <w:color w:val="auto"/>
          <w:sz w:val="28"/>
          <w:szCs w:val="28"/>
          <w:highlight w:val="none"/>
        </w:rPr>
      </w:pPr>
      <w:bookmarkStart w:id="29" w:name="_Toc12793"/>
      <w:r>
        <w:rPr>
          <w:rFonts w:hint="eastAsia" w:ascii="宋体" w:hAnsi="宋体"/>
          <w:b/>
          <w:color w:val="auto"/>
          <w:sz w:val="28"/>
          <w:szCs w:val="28"/>
          <w:highlight w:val="none"/>
        </w:rPr>
        <w:t>三、投标文件的编制</w:t>
      </w:r>
      <w:bookmarkEnd w:id="28"/>
      <w:bookmarkEnd w:id="29"/>
    </w:p>
    <w:p>
      <w:pPr>
        <w:pStyle w:val="18"/>
        <w:snapToGrid w:val="0"/>
        <w:spacing w:before="120" w:after="120" w:line="360" w:lineRule="auto"/>
        <w:ind w:firstLine="413" w:firstLineChars="196"/>
        <w:outlineLvl w:val="1"/>
        <w:rPr>
          <w:rFonts w:hAnsi="宋体" w:cs="宋体"/>
          <w:b/>
          <w:color w:val="auto"/>
          <w:sz w:val="21"/>
          <w:szCs w:val="21"/>
          <w:highlight w:val="none"/>
        </w:rPr>
      </w:pPr>
      <w:bookmarkStart w:id="30" w:name="_Toc11312"/>
      <w:bookmarkStart w:id="31" w:name="_Toc177824943"/>
      <w:bookmarkStart w:id="32" w:name="_Toc177825124"/>
      <w:bookmarkStart w:id="33" w:name="_Toc177870546"/>
      <w:bookmarkStart w:id="34" w:name="_Toc177824876"/>
      <w:r>
        <w:rPr>
          <w:rFonts w:hint="eastAsia" w:hAnsi="宋体" w:cs="宋体"/>
          <w:b/>
          <w:color w:val="auto"/>
          <w:sz w:val="21"/>
          <w:szCs w:val="21"/>
          <w:highlight w:val="none"/>
        </w:rPr>
        <w:t>本项目所涉投标文件格式请详见第六章，未给出的格式请自拟。资信技术文件中不得出现报价，否则投标文件将被视为无效。</w:t>
      </w:r>
      <w:bookmarkEnd w:id="30"/>
    </w:p>
    <w:p>
      <w:pPr>
        <w:pStyle w:val="18"/>
        <w:snapToGrid w:val="0"/>
        <w:spacing w:before="120" w:after="120" w:line="360" w:lineRule="auto"/>
        <w:ind w:firstLine="411" w:firstLineChars="196"/>
        <w:outlineLvl w:val="1"/>
        <w:rPr>
          <w:rFonts w:hAnsi="宋体" w:cs="宋体"/>
          <w:b/>
          <w:bCs/>
          <w:color w:val="auto"/>
          <w:sz w:val="21"/>
          <w:szCs w:val="21"/>
          <w:highlight w:val="none"/>
        </w:rPr>
      </w:pPr>
      <w:bookmarkStart w:id="35" w:name="_Toc5946"/>
      <w:r>
        <w:rPr>
          <w:rFonts w:hint="eastAsia" w:hAnsi="宋体" w:cs="宋体"/>
          <w:color w:val="auto"/>
          <w:sz w:val="21"/>
          <w:szCs w:val="21"/>
          <w:highlight w:val="none"/>
        </w:rPr>
        <w:t>电子投标文件按政采云平台供应商电子招投标操作指南（网址：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"https://help.zcygov.cn/web/site_2/2018/12-28/2573.html）及本招标文件规定的格式和顺序编制电子投标文件并进行关联定。建议根据招标文件合格供应商的资格要求、投标文件的编制及评分标准等内容一一关联。" </w:instrText>
      </w:r>
      <w:r>
        <w:rPr>
          <w:color w:val="auto"/>
          <w:highlight w:val="none"/>
        </w:rPr>
        <w:fldChar w:fldCharType="separate"/>
      </w:r>
      <w:r>
        <w:rPr>
          <w:rStyle w:val="42"/>
          <w:rFonts w:hint="eastAsia" w:ascii="宋体" w:hAnsi="宋体" w:eastAsia="宋体" w:cs="宋体"/>
          <w:color w:val="auto"/>
          <w:sz w:val="21"/>
          <w:szCs w:val="21"/>
          <w:highlight w:val="none"/>
          <w:lang w:eastAsia="zh-CN"/>
        </w:rPr>
        <w:t>https://service.zcygov.cn/#/knowledges/CW1EtGwBFdiHxlNd6I3m/6IMVAG0BFdiHxlNdQ8Na</w:t>
      </w:r>
      <w:r>
        <w:rPr>
          <w:rStyle w:val="42"/>
          <w:rFonts w:hint="eastAsia" w:ascii="宋体" w:hAnsi="宋体" w:eastAsia="宋体" w:cs="宋体"/>
          <w:color w:val="auto"/>
          <w:sz w:val="21"/>
          <w:szCs w:val="21"/>
          <w:highlight w:val="none"/>
        </w:rPr>
        <w:t>）及本招标文件规定的格式和顺序编制电子投标文件并进行关联</w:t>
      </w:r>
      <w:r>
        <w:rPr>
          <w:rStyle w:val="42"/>
          <w:rFonts w:hint="eastAsia" w:ascii="宋体" w:hAnsi="宋体" w:eastAsia="宋体" w:cs="宋体"/>
          <w:color w:val="auto"/>
          <w:sz w:val="21"/>
          <w:szCs w:val="21"/>
          <w:highlight w:val="none"/>
          <w:lang w:eastAsia="zh-CN"/>
        </w:rPr>
        <w:t>。</w:t>
      </w:r>
      <w:r>
        <w:rPr>
          <w:rStyle w:val="42"/>
          <w:rFonts w:hint="eastAsia" w:ascii="宋体" w:hAnsi="宋体" w:eastAsia="宋体" w:cs="宋体"/>
          <w:b/>
          <w:bCs/>
          <w:color w:val="auto"/>
          <w:sz w:val="21"/>
          <w:szCs w:val="21"/>
          <w:highlight w:val="none"/>
          <w:lang w:eastAsia="zh-CN"/>
        </w:rPr>
        <w:t>建议根据招标文件合格供应商的资格要求、投标文件的编制及评分标准等内容一一关联。</w:t>
      </w:r>
      <w:r>
        <w:rPr>
          <w:rStyle w:val="42"/>
          <w:rFonts w:hint="eastAsia" w:ascii="宋体" w:hAnsi="宋体" w:eastAsia="宋体" w:cs="宋体"/>
          <w:b/>
          <w:bCs/>
          <w:color w:val="auto"/>
          <w:sz w:val="21"/>
          <w:szCs w:val="21"/>
          <w:highlight w:val="none"/>
          <w:lang w:eastAsia="zh-CN"/>
        </w:rPr>
        <w:fldChar w:fldCharType="end"/>
      </w:r>
    </w:p>
    <w:p>
      <w:pPr>
        <w:pStyle w:val="18"/>
        <w:snapToGrid w:val="0"/>
        <w:spacing w:before="120" w:after="120" w:line="360" w:lineRule="auto"/>
        <w:ind w:firstLine="413" w:firstLineChars="196"/>
        <w:outlineLvl w:val="1"/>
        <w:rPr>
          <w:rFonts w:hAnsi="宋体" w:cs="宋体"/>
          <w:b/>
          <w:color w:val="auto"/>
          <w:sz w:val="21"/>
          <w:szCs w:val="21"/>
          <w:highlight w:val="none"/>
        </w:rPr>
      </w:pPr>
      <w:r>
        <w:rPr>
          <w:rFonts w:hint="eastAsia" w:hAnsi="宋体" w:cs="宋体"/>
          <w:b/>
          <w:color w:val="auto"/>
          <w:sz w:val="21"/>
          <w:szCs w:val="21"/>
          <w:highlight w:val="none"/>
        </w:rPr>
        <w:t>总体要求：</w:t>
      </w:r>
      <w:bookmarkEnd w:id="35"/>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1.投标人应仔细阅读招标文件的所有内容，按本文件的要求提供投标文件，并保证所提供的全部资料的真实性，以使其投标文件对招标文件作出实质性响应，否则，投标文件可能视为无效投标文件。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投标文件及投标人与采购有关的来往通知，函件和文件均应使用中文。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 投标人应按本文件中提供的文件格式、内容和要求制作投标文件。</w:t>
      </w:r>
    </w:p>
    <w:p>
      <w:pPr>
        <w:snapToGrid w:val="0"/>
        <w:spacing w:line="400" w:lineRule="exact"/>
        <w:jc w:val="left"/>
        <w:rPr>
          <w:rFonts w:ascii="宋体" w:hAnsi="宋体"/>
          <w:b/>
          <w:color w:val="auto"/>
          <w:szCs w:val="21"/>
          <w:highlight w:val="none"/>
        </w:rPr>
      </w:pPr>
      <w:r>
        <w:rPr>
          <w:rFonts w:hint="eastAsia" w:ascii="宋体" w:hAnsi="宋体"/>
          <w:b/>
          <w:color w:val="auto"/>
          <w:szCs w:val="21"/>
          <w:highlight w:val="none"/>
        </w:rPr>
        <w:t>1．投标文件的组成</w:t>
      </w:r>
      <w:bookmarkEnd w:id="31"/>
      <w:bookmarkEnd w:id="32"/>
      <w:bookmarkEnd w:id="33"/>
      <w:bookmarkEnd w:id="34"/>
    </w:p>
    <w:p>
      <w:pPr>
        <w:spacing w:line="360" w:lineRule="auto"/>
        <w:ind w:firstLine="422" w:firstLineChars="200"/>
        <w:rPr>
          <w:rFonts w:ascii="宋体" w:hAnsi="宋体" w:cs="宋体"/>
          <w:color w:val="auto"/>
          <w:szCs w:val="21"/>
          <w:highlight w:val="none"/>
        </w:rPr>
      </w:pPr>
      <w:r>
        <w:rPr>
          <w:rFonts w:hint="eastAsia"/>
          <w:b/>
          <w:bCs/>
          <w:color w:val="auto"/>
          <w:highlight w:val="none"/>
        </w:rPr>
        <w:t>电子投标文件由资信技术文件及投标报价文件两部份组成，各标项电子投标文件应分标项分别编制</w:t>
      </w:r>
      <w:r>
        <w:rPr>
          <w:rFonts w:hint="eastAsia" w:ascii="宋体" w:hAnsi="宋体" w:cs="宋体"/>
          <w:color w:val="auto"/>
          <w:szCs w:val="21"/>
          <w:highlight w:val="none"/>
        </w:rPr>
        <w:t>。其中电子投标文件中所须加盖公章部分均采用CA签章。</w:t>
      </w:r>
    </w:p>
    <w:p>
      <w:pPr>
        <w:widowControl/>
        <w:snapToGrid w:val="0"/>
        <w:spacing w:line="400" w:lineRule="exact"/>
        <w:jc w:val="left"/>
        <w:rPr>
          <w:rFonts w:ascii="宋体" w:hAnsi="宋体"/>
          <w:b/>
          <w:bCs/>
          <w:color w:val="auto"/>
          <w:szCs w:val="21"/>
          <w:highlight w:val="none"/>
        </w:rPr>
      </w:pPr>
      <w:r>
        <w:rPr>
          <w:rFonts w:hint="eastAsia" w:ascii="宋体" w:hAnsi="宋体"/>
          <w:b/>
          <w:bCs/>
          <w:color w:val="auto"/>
          <w:szCs w:val="21"/>
          <w:highlight w:val="none"/>
        </w:rPr>
        <w:t>1.1资信技术文件：</w:t>
      </w:r>
    </w:p>
    <w:p>
      <w:pPr>
        <w:spacing w:line="400" w:lineRule="exact"/>
        <w:jc w:val="left"/>
        <w:rPr>
          <w:rFonts w:ascii="宋体" w:hAnsi="宋体"/>
          <w:color w:val="auto"/>
          <w:szCs w:val="21"/>
          <w:highlight w:val="none"/>
        </w:rPr>
      </w:pPr>
      <w:r>
        <w:rPr>
          <w:rFonts w:hint="eastAsia" w:ascii="宋体" w:hAnsi="宋体"/>
          <w:color w:val="auto"/>
          <w:szCs w:val="21"/>
          <w:highlight w:val="none"/>
        </w:rPr>
        <w:t>1.1.1投标声明书；</w:t>
      </w:r>
      <w:r>
        <w:rPr>
          <w:rFonts w:hint="eastAsia"/>
          <w:color w:val="auto"/>
          <w:szCs w:val="21"/>
          <w:highlight w:val="none"/>
        </w:rPr>
        <w:t>（</w:t>
      </w:r>
      <w:r>
        <w:rPr>
          <w:rFonts w:hint="eastAsia" w:ascii="宋体" w:hAnsi="宋体"/>
          <w:color w:val="auto"/>
          <w:szCs w:val="21"/>
          <w:highlight w:val="none"/>
        </w:rPr>
        <w:t>格式见附件1）</w:t>
      </w:r>
    </w:p>
    <w:p>
      <w:pPr>
        <w:spacing w:line="400" w:lineRule="exact"/>
        <w:jc w:val="left"/>
        <w:rPr>
          <w:rFonts w:hAnsi="宋体"/>
          <w:color w:val="auto"/>
          <w:szCs w:val="21"/>
          <w:highlight w:val="none"/>
        </w:rPr>
      </w:pPr>
      <w:r>
        <w:rPr>
          <w:rFonts w:hint="eastAsia" w:ascii="宋体" w:hAnsi="宋体"/>
          <w:color w:val="auto"/>
          <w:szCs w:val="21"/>
          <w:highlight w:val="none"/>
        </w:rPr>
        <w:t>1.1.2</w:t>
      </w:r>
      <w:r>
        <w:rPr>
          <w:rFonts w:hint="eastAsia"/>
          <w:color w:val="auto"/>
          <w:szCs w:val="21"/>
          <w:highlight w:val="none"/>
        </w:rPr>
        <w:t>法定代表人授权委托书；（</w:t>
      </w:r>
      <w:r>
        <w:rPr>
          <w:rFonts w:hint="eastAsia" w:ascii="宋体" w:hAnsi="宋体"/>
          <w:color w:val="auto"/>
          <w:szCs w:val="21"/>
          <w:highlight w:val="none"/>
        </w:rPr>
        <w:t>格式见附</w:t>
      </w:r>
      <w:r>
        <w:rPr>
          <w:rFonts w:hint="eastAsia"/>
          <w:color w:val="auto"/>
          <w:szCs w:val="21"/>
          <w:highlight w:val="none"/>
        </w:rPr>
        <w:t>件2）</w:t>
      </w:r>
    </w:p>
    <w:p>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1.1.3诚信承诺书；（格式见附件3）</w:t>
      </w:r>
    </w:p>
    <w:p>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1.1.4所有资质文件；（格式见附件4）</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投标单位基本情况表、营业执照、</w:t>
      </w:r>
      <w:r>
        <w:rPr>
          <w:rFonts w:hint="eastAsia" w:ascii="宋体" w:hAnsi="宋体" w:cs="宋体"/>
          <w:color w:val="auto"/>
          <w:szCs w:val="21"/>
          <w:highlight w:val="none"/>
        </w:rPr>
        <w:t>符合参加政府采购活动应当具备的一般条件的承诺函</w:t>
      </w:r>
      <w:r>
        <w:rPr>
          <w:rFonts w:hint="eastAsia" w:ascii="宋体" w:hAnsi="宋体"/>
          <w:color w:val="auto"/>
          <w:szCs w:val="21"/>
          <w:highlight w:val="none"/>
        </w:rPr>
        <w:t>、</w:t>
      </w:r>
      <w:r>
        <w:rPr>
          <w:rFonts w:hint="eastAsia" w:ascii="宋体" w:hAnsi="宋体" w:cs="宋体"/>
          <w:color w:val="auto"/>
          <w:szCs w:val="21"/>
          <w:highlight w:val="none"/>
        </w:rPr>
        <w:t>中小企业声明函、残疾人福利性单位声明函、监狱企业证明文件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szCs w:val="21"/>
        </w:rPr>
        <w:t>企业经营状况、</w:t>
      </w:r>
      <w:r>
        <w:rPr>
          <w:rFonts w:hint="eastAsia" w:ascii="宋体" w:hAnsi="宋体"/>
          <w:color w:val="auto"/>
          <w:szCs w:val="21"/>
          <w:highlight w:val="none"/>
        </w:rPr>
        <w:t>优势、有关资信等级证明、荣誉证书和质量认证体系等资料。</w:t>
      </w:r>
    </w:p>
    <w:p>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1.1.5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tabs>
          <w:tab w:val="left" w:pos="840"/>
        </w:tabs>
        <w:autoSpaceDE w:val="0"/>
        <w:autoSpaceDN w:val="0"/>
        <w:adjustRightInd w:val="0"/>
        <w:spacing w:line="440" w:lineRule="exact"/>
        <w:rPr>
          <w:rFonts w:ascii="宋体" w:hAnsi="宋体"/>
          <w:color w:val="auto"/>
          <w:szCs w:val="21"/>
          <w:highlight w:val="none"/>
        </w:rPr>
      </w:pPr>
      <w:r>
        <w:rPr>
          <w:rFonts w:hint="eastAsia" w:ascii="宋体" w:hAnsi="宋体"/>
          <w:color w:val="auto"/>
          <w:szCs w:val="21"/>
          <w:highlight w:val="none"/>
        </w:rPr>
        <w:t>1.1.6提供近三年以来的类似项目业绩。（</w:t>
      </w:r>
      <w:r>
        <w:rPr>
          <w:rFonts w:hint="eastAsia" w:ascii="宋体" w:hAnsi="宋体"/>
          <w:szCs w:val="21"/>
        </w:rPr>
        <w:t>提供加盖有效公章的合同扫描件</w:t>
      </w:r>
      <w:r>
        <w:rPr>
          <w:rFonts w:hint="eastAsia" w:ascii="宋体" w:hAnsi="宋体"/>
          <w:color w:val="auto"/>
          <w:szCs w:val="21"/>
          <w:highlight w:val="none"/>
        </w:rPr>
        <w:t>）</w:t>
      </w:r>
      <w:r>
        <w:rPr>
          <w:rFonts w:hint="eastAsia" w:ascii="宋体" w:hAnsi="宋体" w:cs="Arial"/>
          <w:color w:val="auto"/>
          <w:szCs w:val="21"/>
          <w:highlight w:val="none"/>
        </w:rPr>
        <w:t>（格式见附件5）</w:t>
      </w:r>
    </w:p>
    <w:p>
      <w:pPr>
        <w:snapToGrid w:val="0"/>
        <w:spacing w:line="380" w:lineRule="exact"/>
        <w:rPr>
          <w:rFonts w:ascii="宋体" w:hAnsi="宋体" w:cs="Arial"/>
          <w:color w:val="auto"/>
          <w:szCs w:val="21"/>
          <w:highlight w:val="none"/>
          <w:u w:val="single"/>
        </w:rPr>
      </w:pPr>
      <w:r>
        <w:rPr>
          <w:rFonts w:hint="eastAsia" w:ascii="宋体" w:hAnsi="宋体"/>
          <w:color w:val="auto"/>
          <w:szCs w:val="21"/>
          <w:highlight w:val="none"/>
        </w:rPr>
        <w:t>1.1.7</w:t>
      </w:r>
      <w:r>
        <w:rPr>
          <w:rFonts w:hint="eastAsia" w:ascii="宋体" w:hAnsi="宋体"/>
          <w:color w:val="auto"/>
          <w:szCs w:val="21"/>
          <w:highlight w:val="none"/>
          <w:u w:val="single"/>
        </w:rPr>
        <w:t>设备技术要求及性能：对货物总说明，产品的名称、型号、技术指标，要有完整的配置方案，详细列明所有技术指标（包括所投标产品的品牌（制造厂名称）、规格型号、详细配置、主要技术参数等）,</w:t>
      </w:r>
      <w:r>
        <w:rPr>
          <w:rFonts w:hint="eastAsia" w:ascii="宋体" w:hAnsi="宋体"/>
          <w:b/>
          <w:bCs/>
          <w:color w:val="auto"/>
          <w:szCs w:val="21"/>
          <w:highlight w:val="none"/>
          <w:u w:val="single"/>
        </w:rPr>
        <w:t>项目的核心产品必须明确所投品牌、规格型号及具体技术指标。任何含糊不清的表述对评标结果的影响将是投标人的责任</w:t>
      </w:r>
      <w:r>
        <w:rPr>
          <w:rFonts w:hint="eastAsia" w:ascii="宋体" w:hAnsi="宋体"/>
          <w:color w:val="auto"/>
          <w:szCs w:val="21"/>
          <w:highlight w:val="none"/>
          <w:u w:val="single"/>
        </w:rPr>
        <w:t>。（格式见附件6、7）(不得带有价格）</w:t>
      </w:r>
    </w:p>
    <w:p>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1.1.8技术规格偏离表；（格式见附件8）</w:t>
      </w:r>
    </w:p>
    <w:p>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1.1.9投标人拥有主要装备和检测设施的情况和现状；（格式自拟）</w:t>
      </w:r>
    </w:p>
    <w:p>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1.1.10项目实施人员一览表（格式见附件9）</w:t>
      </w:r>
    </w:p>
    <w:p>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1.1.11</w:t>
      </w:r>
      <w:r>
        <w:rPr>
          <w:rFonts w:hint="eastAsia" w:hAnsi="宋体"/>
          <w:color w:val="auto"/>
          <w:szCs w:val="21"/>
          <w:highlight w:val="none"/>
        </w:rPr>
        <w:t>备品备件及损耗件表</w:t>
      </w:r>
      <w:r>
        <w:rPr>
          <w:rFonts w:hint="eastAsia" w:ascii="宋体" w:hAnsi="宋体"/>
          <w:color w:val="auto"/>
          <w:szCs w:val="21"/>
          <w:highlight w:val="none"/>
        </w:rPr>
        <w:t>；（格式见附件10）</w:t>
      </w:r>
    </w:p>
    <w:p>
      <w:pPr>
        <w:spacing w:line="400" w:lineRule="exact"/>
        <w:rPr>
          <w:rFonts w:ascii="宋体" w:hAnsi="宋体" w:cs="宋体"/>
          <w:color w:val="auto"/>
          <w:highlight w:val="none"/>
        </w:rPr>
      </w:pPr>
      <w:r>
        <w:rPr>
          <w:rFonts w:hint="eastAsia" w:ascii="宋体" w:hAnsi="宋体" w:cs="宋体"/>
          <w:color w:val="auto"/>
          <w:highlight w:val="none"/>
        </w:rPr>
        <w:t>1.1.12服务承诺方案：1、投标人建议的安装、调试、验收方法或方案（格式自拟）；2、技术服务、技术培训、售后服务的内容和措施（格式自拟）；3、免费质保期；4、质保期内服务措施；5、质保期外服务措施；6、其他服务承诺；7、距采购人最近或者能为本项目提供最优服务的网点情况表；8、选配件、专用耗材、售后服务优惠表。（格式见附件11）</w:t>
      </w:r>
    </w:p>
    <w:p>
      <w:pPr>
        <w:pStyle w:val="56"/>
        <w:spacing w:line="400" w:lineRule="exact"/>
        <w:jc w:val="left"/>
        <w:rPr>
          <w:rFonts w:hAnsi="宋体" w:cs="宋体"/>
          <w:color w:val="auto"/>
          <w:highlight w:val="none"/>
        </w:rPr>
      </w:pPr>
      <w:r>
        <w:rPr>
          <w:rFonts w:hint="eastAsia" w:hAnsi="宋体"/>
          <w:color w:val="auto"/>
          <w:sz w:val="21"/>
          <w:szCs w:val="21"/>
          <w:highlight w:val="none"/>
        </w:rPr>
        <w:t>1.1.13商务条款偏离表（格式见附件12）；</w:t>
      </w:r>
    </w:p>
    <w:p>
      <w:pPr>
        <w:widowControl/>
        <w:snapToGrid w:val="0"/>
        <w:spacing w:line="400" w:lineRule="exact"/>
        <w:jc w:val="left"/>
        <w:rPr>
          <w:rFonts w:ascii="宋体" w:hAnsi="宋体" w:cs="宋体"/>
          <w:color w:val="auto"/>
          <w:szCs w:val="21"/>
          <w:highlight w:val="none"/>
        </w:rPr>
      </w:pPr>
      <w:r>
        <w:rPr>
          <w:rFonts w:hint="eastAsia" w:ascii="宋体" w:hAnsi="宋体" w:cs="宋体"/>
          <w:color w:val="auto"/>
          <w:highlight w:val="none"/>
        </w:rPr>
        <w:t>1.1.14</w:t>
      </w:r>
      <w:r>
        <w:rPr>
          <w:rFonts w:hint="eastAsia" w:ascii="宋体" w:hAnsi="宋体" w:cs="宋体"/>
          <w:color w:val="auto"/>
          <w:kern w:val="10"/>
          <w:szCs w:val="21"/>
          <w:highlight w:val="none"/>
        </w:rPr>
        <w:t>优惠条件及特殊承诺。</w:t>
      </w:r>
      <w:r>
        <w:rPr>
          <w:rFonts w:hint="eastAsia" w:ascii="宋体" w:hAnsi="宋体" w:cs="宋体"/>
          <w:color w:val="auto"/>
          <w:szCs w:val="21"/>
          <w:highlight w:val="none"/>
        </w:rPr>
        <w:t>（格式自拟）</w:t>
      </w:r>
    </w:p>
    <w:p>
      <w:pPr>
        <w:spacing w:line="400" w:lineRule="exact"/>
        <w:jc w:val="left"/>
        <w:rPr>
          <w:rFonts w:ascii="宋体" w:hAnsi="宋体" w:cs="宋体"/>
          <w:color w:val="auto"/>
          <w:szCs w:val="21"/>
          <w:highlight w:val="none"/>
        </w:rPr>
      </w:pPr>
      <w:r>
        <w:rPr>
          <w:rFonts w:hint="eastAsia" w:ascii="宋体" w:hAnsi="宋体" w:cs="宋体"/>
          <w:color w:val="auto"/>
          <w:highlight w:val="none"/>
        </w:rPr>
        <w:t>1.1.15</w:t>
      </w:r>
      <w:r>
        <w:rPr>
          <w:rFonts w:hint="eastAsia" w:ascii="宋体" w:hAnsi="宋体" w:cs="宋体"/>
          <w:color w:val="auto"/>
          <w:szCs w:val="21"/>
          <w:highlight w:val="none"/>
        </w:rPr>
        <w:t>投标人认为有必要提供的声明及文件资料。（格式自拟）</w:t>
      </w:r>
    </w:p>
    <w:p>
      <w:pPr>
        <w:spacing w:line="400" w:lineRule="exact"/>
        <w:jc w:val="left"/>
        <w:rPr>
          <w:color w:val="auto"/>
          <w:highlight w:val="none"/>
        </w:rPr>
      </w:pPr>
      <w:r>
        <w:rPr>
          <w:rFonts w:hint="eastAsia" w:ascii="宋体" w:hAnsi="宋体" w:cs="宋体"/>
          <w:color w:val="auto"/>
          <w:highlight w:val="none"/>
        </w:rPr>
        <w:t>1.1.16</w:t>
      </w:r>
      <w:r>
        <w:rPr>
          <w:rFonts w:hint="eastAsia" w:ascii="宋体" w:hAnsi="宋体" w:cs="宋体"/>
          <w:color w:val="auto"/>
          <w:szCs w:val="21"/>
          <w:highlight w:val="none"/>
        </w:rPr>
        <w:t>未尽事</w:t>
      </w:r>
      <w:r>
        <w:rPr>
          <w:rFonts w:hint="eastAsia" w:ascii="宋体" w:hAnsi="宋体"/>
          <w:color w:val="auto"/>
          <w:szCs w:val="21"/>
          <w:highlight w:val="none"/>
        </w:rPr>
        <w:t>宜请各投标人按评分细则制作资信技术部份。</w:t>
      </w:r>
    </w:p>
    <w:p>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（注：复印件应加盖投标人公章）</w:t>
      </w:r>
    </w:p>
    <w:p>
      <w:pPr>
        <w:spacing w:line="400" w:lineRule="exact"/>
        <w:jc w:val="left"/>
        <w:rPr>
          <w:rFonts w:ascii="宋体" w:hAnsi="宋体"/>
          <w:b/>
          <w:bCs/>
          <w:color w:val="auto"/>
          <w:szCs w:val="21"/>
          <w:highlight w:val="none"/>
        </w:rPr>
      </w:pPr>
      <w:r>
        <w:rPr>
          <w:rFonts w:hint="eastAsia" w:ascii="宋体" w:hAnsi="宋体"/>
          <w:b/>
          <w:bCs/>
          <w:color w:val="auto"/>
          <w:szCs w:val="21"/>
          <w:highlight w:val="none"/>
        </w:rPr>
        <w:t>1.2 报价文件：</w:t>
      </w:r>
    </w:p>
    <w:p>
      <w:pPr>
        <w:widowControl/>
        <w:snapToGrid w:val="0"/>
        <w:spacing w:line="400" w:lineRule="exact"/>
        <w:jc w:val="left"/>
        <w:rPr>
          <w:color w:val="auto"/>
          <w:highlight w:val="none"/>
        </w:rPr>
      </w:pPr>
      <w:r>
        <w:rPr>
          <w:rFonts w:hint="eastAsia" w:ascii="宋体" w:hAnsi="宋体"/>
          <w:color w:val="auto"/>
          <w:szCs w:val="21"/>
          <w:highlight w:val="none"/>
        </w:rPr>
        <w:t>1.2.1投标函（格式见附件13）；</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1.2.</w:t>
      </w:r>
      <w:r>
        <w:rPr>
          <w:rFonts w:hint="eastAsia" w:ascii="宋体" w:hAnsi="宋体"/>
          <w:color w:val="auto"/>
          <w:szCs w:val="21"/>
          <w:highlight w:val="none"/>
          <w:lang w:val="en-US" w:eastAsia="zh-CN"/>
        </w:rPr>
        <w:t>2</w:t>
      </w:r>
      <w:r>
        <w:rPr>
          <w:rFonts w:hint="eastAsia" w:ascii="宋体" w:hAnsi="宋体"/>
          <w:color w:val="auto"/>
          <w:szCs w:val="21"/>
          <w:highlight w:val="none"/>
        </w:rPr>
        <w:t>开标一览表（格式见附件1</w:t>
      </w:r>
      <w:r>
        <w:rPr>
          <w:rFonts w:hint="eastAsia" w:ascii="宋体" w:hAnsi="宋体"/>
          <w:color w:val="auto"/>
          <w:szCs w:val="21"/>
          <w:highlight w:val="none"/>
          <w:lang w:val="en-US" w:eastAsia="zh-CN"/>
        </w:rPr>
        <w:t>4</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1.2.</w:t>
      </w:r>
      <w:r>
        <w:rPr>
          <w:rFonts w:hint="eastAsia" w:ascii="宋体" w:hAnsi="宋体"/>
          <w:color w:val="auto"/>
          <w:szCs w:val="21"/>
          <w:highlight w:val="none"/>
          <w:lang w:val="en-US" w:eastAsia="zh-CN"/>
        </w:rPr>
        <w:t>3</w:t>
      </w:r>
      <w:r>
        <w:rPr>
          <w:rFonts w:hint="eastAsia" w:ascii="宋体" w:hAnsi="宋体"/>
          <w:color w:val="auto"/>
          <w:szCs w:val="21"/>
          <w:highlight w:val="none"/>
        </w:rPr>
        <w:t>投标报价明细表（格式见附件1</w:t>
      </w:r>
      <w:r>
        <w:rPr>
          <w:rFonts w:hint="eastAsia" w:ascii="宋体" w:hAnsi="宋体"/>
          <w:color w:val="auto"/>
          <w:szCs w:val="21"/>
          <w:highlight w:val="none"/>
          <w:lang w:val="en-US" w:eastAsia="zh-CN"/>
        </w:rPr>
        <w:t>5</w:t>
      </w:r>
      <w:r>
        <w:rPr>
          <w:rFonts w:hint="eastAsia" w:ascii="宋体" w:hAnsi="宋体"/>
          <w:color w:val="auto"/>
          <w:szCs w:val="21"/>
          <w:highlight w:val="none"/>
        </w:rPr>
        <w:t>）；</w:t>
      </w:r>
    </w:p>
    <w:p>
      <w:pPr>
        <w:pStyle w:val="19"/>
        <w:spacing w:line="400" w:lineRule="exact"/>
        <w:ind w:left="0" w:leftChars="0"/>
        <w:rPr>
          <w:rFonts w:ascii="宋体" w:hAnsi="宋体" w:eastAsia="宋体"/>
          <w:color w:val="auto"/>
          <w:sz w:val="21"/>
          <w:szCs w:val="21"/>
          <w:highlight w:val="none"/>
        </w:rPr>
      </w:pPr>
      <w:r>
        <w:rPr>
          <w:rFonts w:hint="eastAsia" w:ascii="宋体" w:hAnsi="宋体" w:eastAsia="宋体"/>
          <w:color w:val="auto"/>
          <w:sz w:val="21"/>
          <w:szCs w:val="21"/>
          <w:highlight w:val="none"/>
        </w:rPr>
        <w:t>1.2.</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rPr>
        <w:t xml:space="preserve"> 投标人需要说明的其他文件和说明（格式自拟）。</w:t>
      </w:r>
    </w:p>
    <w:p>
      <w:pPr>
        <w:snapToGrid w:val="0"/>
        <w:spacing w:line="400" w:lineRule="exact"/>
        <w:jc w:val="left"/>
        <w:rPr>
          <w:rFonts w:ascii="宋体" w:hAnsi="宋体"/>
          <w:b/>
          <w:color w:val="auto"/>
          <w:szCs w:val="21"/>
          <w:highlight w:val="none"/>
        </w:rPr>
      </w:pPr>
      <w:bookmarkStart w:id="36" w:name="_Toc177870547"/>
      <w:bookmarkStart w:id="37" w:name="_Toc177824944"/>
      <w:bookmarkStart w:id="38" w:name="_Toc177824877"/>
      <w:bookmarkStart w:id="39" w:name="_Toc177825125"/>
      <w:r>
        <w:rPr>
          <w:rFonts w:hint="eastAsia" w:ascii="宋体" w:hAnsi="宋体"/>
          <w:b/>
          <w:color w:val="auto"/>
          <w:szCs w:val="21"/>
          <w:highlight w:val="none"/>
        </w:rPr>
        <w:t>2.投标文件的语言及计量</w:t>
      </w:r>
      <w:bookmarkEnd w:id="36"/>
      <w:bookmarkEnd w:id="37"/>
      <w:bookmarkEnd w:id="38"/>
      <w:bookmarkEnd w:id="39"/>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2.1投标文件以及投标方与招标方就有关投标事宜的所有来往函电，均应以中文书写。</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2.2投标计量单位，除招标文件中有特殊要求外，应采用中华人民共和国法定计量单位，货币单位：人民币元。</w:t>
      </w:r>
    </w:p>
    <w:p>
      <w:pPr>
        <w:spacing w:line="400" w:lineRule="exact"/>
        <w:jc w:val="left"/>
        <w:rPr>
          <w:rFonts w:ascii="宋体" w:hAnsi="宋体"/>
          <w:b/>
          <w:color w:val="auto"/>
          <w:szCs w:val="21"/>
          <w:highlight w:val="none"/>
        </w:rPr>
      </w:pPr>
      <w:bookmarkStart w:id="40" w:name="_Toc177870548"/>
      <w:bookmarkStart w:id="41" w:name="_Toc177825126"/>
      <w:bookmarkStart w:id="42" w:name="_Toc177824945"/>
      <w:bookmarkStart w:id="43" w:name="_Toc177824878"/>
      <w:r>
        <w:rPr>
          <w:rFonts w:hint="eastAsia" w:ascii="宋体" w:hAnsi="宋体"/>
          <w:b/>
          <w:color w:val="auto"/>
          <w:szCs w:val="21"/>
          <w:highlight w:val="none"/>
        </w:rPr>
        <w:t>3. 投标报价</w:t>
      </w:r>
      <w:bookmarkEnd w:id="40"/>
      <w:bookmarkEnd w:id="41"/>
      <w:bookmarkEnd w:id="42"/>
      <w:bookmarkEnd w:id="43"/>
    </w:p>
    <w:p>
      <w:pPr>
        <w:pStyle w:val="18"/>
        <w:spacing w:line="480" w:lineRule="exact"/>
        <w:jc w:val="left"/>
        <w:rPr>
          <w:rFonts w:hAnsi="宋体"/>
          <w:color w:val="auto"/>
          <w:sz w:val="21"/>
          <w:szCs w:val="21"/>
          <w:highlight w:val="none"/>
        </w:rPr>
      </w:pPr>
      <w:r>
        <w:rPr>
          <w:rFonts w:hint="eastAsia" w:hAnsi="宋体"/>
          <w:color w:val="auto"/>
          <w:sz w:val="21"/>
          <w:szCs w:val="21"/>
          <w:highlight w:val="none"/>
        </w:rPr>
        <w:t>3.1投标报价应按招标文件中相关附表格式填写。</w:t>
      </w:r>
    </w:p>
    <w:p>
      <w:pPr>
        <w:tabs>
          <w:tab w:val="left" w:pos="6264"/>
        </w:tabs>
        <w:spacing w:line="400" w:lineRule="exact"/>
        <w:rPr>
          <w:b/>
          <w:bCs/>
          <w:color w:val="auto"/>
          <w:szCs w:val="21"/>
          <w:highlight w:val="none"/>
          <w:u w:val="single"/>
        </w:rPr>
      </w:pPr>
      <w:r>
        <w:rPr>
          <w:rFonts w:hint="eastAsia"/>
          <w:color w:val="auto"/>
          <w:highlight w:val="none"/>
        </w:rPr>
        <w:t>3.2▲</w:t>
      </w:r>
      <w:r>
        <w:rPr>
          <w:rFonts w:hint="eastAsia"/>
          <w:b/>
          <w:bCs/>
          <w:color w:val="auto"/>
          <w:szCs w:val="21"/>
          <w:highlight w:val="none"/>
          <w:u w:val="single"/>
        </w:rPr>
        <w:t>本项目实施所需的设备费（含备品备件）、人工费、运杂费、保险费、安装调试费、检验试验费、第三方检测费、售后服务及质保期内的设备更换、保养、维护费、税金等所涉及的一切费用均计入报价。投标总价为全部项目在质保期届满后的最终价格。</w:t>
      </w:r>
    </w:p>
    <w:p>
      <w:pPr>
        <w:tabs>
          <w:tab w:val="left" w:pos="6264"/>
        </w:tabs>
        <w:spacing w:line="400" w:lineRule="exact"/>
        <w:rPr>
          <w:rFonts w:ascii="宋体" w:hAnsi="宋体"/>
          <w:color w:val="auto"/>
          <w:szCs w:val="21"/>
          <w:highlight w:val="none"/>
        </w:rPr>
      </w:pPr>
      <w:r>
        <w:rPr>
          <w:rFonts w:hint="eastAsia" w:ascii="宋体" w:hAnsi="宋体"/>
          <w:color w:val="auto"/>
          <w:szCs w:val="21"/>
          <w:highlight w:val="none"/>
        </w:rPr>
        <w:t>3.3▲投标报价只允许有一个报价，有选择的报价将不予接受。</w:t>
      </w:r>
    </w:p>
    <w:p>
      <w:pPr>
        <w:tabs>
          <w:tab w:val="left" w:pos="525"/>
        </w:tabs>
        <w:spacing w:line="400" w:lineRule="exact"/>
        <w:jc w:val="left"/>
        <w:rPr>
          <w:rFonts w:ascii="宋体" w:hAnsi="宋体"/>
          <w:color w:val="auto"/>
          <w:szCs w:val="21"/>
          <w:highlight w:val="none"/>
        </w:rPr>
      </w:pPr>
      <w:r>
        <w:rPr>
          <w:rFonts w:hint="eastAsia" w:ascii="宋体" w:hAnsi="宋体"/>
          <w:color w:val="auto"/>
          <w:szCs w:val="21"/>
          <w:highlight w:val="none"/>
        </w:rPr>
        <w:t>3.4 投标人所报的投标报价在合同执行过程中是固定不变的，不得以任何理由予以变更。任何包含价格调整的要求，将被认为是非实质性响应投标而予以拒绝。</w:t>
      </w:r>
    </w:p>
    <w:p>
      <w:pPr>
        <w:tabs>
          <w:tab w:val="left" w:pos="525"/>
        </w:tabs>
        <w:spacing w:line="400" w:lineRule="exact"/>
        <w:jc w:val="left"/>
        <w:rPr>
          <w:rFonts w:ascii="宋体" w:hAnsi="宋体"/>
          <w:color w:val="auto"/>
          <w:szCs w:val="21"/>
          <w:highlight w:val="none"/>
        </w:rPr>
      </w:pPr>
      <w:r>
        <w:rPr>
          <w:rFonts w:hint="eastAsia" w:ascii="宋体" w:hAnsi="宋体"/>
          <w:color w:val="auto"/>
          <w:szCs w:val="21"/>
          <w:highlight w:val="none"/>
        </w:rPr>
        <w:t>3.5 最低报价不能作为中标的保证。</w:t>
      </w:r>
    </w:p>
    <w:p>
      <w:pPr>
        <w:pStyle w:val="6"/>
        <w:tabs>
          <w:tab w:val="clear" w:pos="454"/>
        </w:tabs>
        <w:spacing w:afterLines="0" w:line="400" w:lineRule="exact"/>
        <w:ind w:left="0" w:firstLine="0"/>
        <w:rPr>
          <w:rFonts w:ascii="宋体" w:hAnsi="宋体"/>
          <w:b/>
          <w:color w:val="auto"/>
          <w:kern w:val="2"/>
          <w:sz w:val="21"/>
          <w:szCs w:val="21"/>
          <w:highlight w:val="none"/>
        </w:rPr>
      </w:pPr>
      <w:r>
        <w:rPr>
          <w:rFonts w:hint="eastAsia" w:ascii="宋体" w:hAnsi="宋体"/>
          <w:b/>
          <w:color w:val="auto"/>
          <w:kern w:val="2"/>
          <w:sz w:val="21"/>
          <w:szCs w:val="21"/>
          <w:highlight w:val="none"/>
        </w:rPr>
        <w:t>4. 投标文件的有效期</w:t>
      </w:r>
    </w:p>
    <w:p>
      <w:pPr>
        <w:pStyle w:val="6"/>
        <w:tabs>
          <w:tab w:val="clear" w:pos="454"/>
        </w:tabs>
        <w:spacing w:afterLines="0" w:line="400" w:lineRule="exact"/>
        <w:ind w:left="0" w:firstLine="0"/>
        <w:rPr>
          <w:rFonts w:ascii="宋体" w:hAnsi="宋体"/>
          <w:color w:val="auto"/>
          <w:sz w:val="21"/>
          <w:szCs w:val="21"/>
          <w:highlight w:val="none"/>
        </w:rPr>
      </w:pPr>
      <w:bookmarkStart w:id="44" w:name="_Toc177870550"/>
      <w:bookmarkStart w:id="45" w:name="_Toc177824880"/>
      <w:bookmarkStart w:id="46" w:name="_Toc177825128"/>
      <w:bookmarkStart w:id="47" w:name="_Toc177824947"/>
      <w:r>
        <w:rPr>
          <w:rFonts w:hint="eastAsia" w:ascii="宋体" w:hAnsi="宋体"/>
          <w:color w:val="auto"/>
          <w:sz w:val="21"/>
          <w:szCs w:val="21"/>
          <w:highlight w:val="none"/>
        </w:rPr>
        <w:t>4.1投标文件合格投递后，在本须知前附表第9项规定的日期内有效。</w:t>
      </w:r>
    </w:p>
    <w:p>
      <w:pPr>
        <w:pStyle w:val="6"/>
        <w:tabs>
          <w:tab w:val="clear" w:pos="454"/>
        </w:tabs>
        <w:spacing w:afterLines="0" w:line="400" w:lineRule="exact"/>
        <w:ind w:left="0" w:firstLine="0"/>
        <w:rPr>
          <w:rFonts w:ascii="宋体" w:hAnsi="宋体"/>
          <w:color w:val="auto"/>
          <w:sz w:val="21"/>
          <w:szCs w:val="21"/>
          <w:highlight w:val="none"/>
        </w:rPr>
      </w:pPr>
      <w:r>
        <w:rPr>
          <w:rFonts w:hint="eastAsia" w:ascii="宋体" w:hAnsi="宋体"/>
          <w:color w:val="auto"/>
          <w:sz w:val="21"/>
          <w:szCs w:val="21"/>
          <w:highlight w:val="none"/>
        </w:rPr>
        <w:t>4.2在原定投标有效期之前，如果出现特殊情况，采购代理机构可以以书面形式通知投标人延长投标有效期。</w:t>
      </w:r>
    </w:p>
    <w:p>
      <w:pPr>
        <w:pStyle w:val="6"/>
        <w:tabs>
          <w:tab w:val="clear" w:pos="454"/>
        </w:tabs>
        <w:spacing w:afterLines="0" w:line="400" w:lineRule="exact"/>
        <w:ind w:left="0" w:firstLine="0"/>
        <w:rPr>
          <w:rFonts w:ascii="宋体" w:hAnsi="宋体"/>
          <w:color w:val="auto"/>
          <w:sz w:val="21"/>
          <w:szCs w:val="21"/>
          <w:highlight w:val="none"/>
        </w:rPr>
      </w:pPr>
      <w:bookmarkStart w:id="48" w:name="_Toc177824946"/>
      <w:bookmarkStart w:id="49" w:name="_Toc177824879"/>
      <w:bookmarkStart w:id="50" w:name="_Toc177825127"/>
      <w:bookmarkStart w:id="51" w:name="_Toc177870549"/>
      <w:r>
        <w:rPr>
          <w:rFonts w:hint="eastAsia" w:ascii="宋体" w:hAnsi="宋体"/>
          <w:color w:val="auto"/>
          <w:sz w:val="21"/>
          <w:szCs w:val="21"/>
          <w:highlight w:val="none"/>
        </w:rPr>
        <w:t>4.3投标人可拒绝接受延期要求。同意延长有效期的投标人不能修改投标文件。</w:t>
      </w:r>
      <w:bookmarkEnd w:id="48"/>
      <w:bookmarkEnd w:id="49"/>
      <w:bookmarkEnd w:id="50"/>
      <w:bookmarkEnd w:id="51"/>
    </w:p>
    <w:p>
      <w:pPr>
        <w:snapToGrid w:val="0"/>
        <w:spacing w:line="400" w:lineRule="exact"/>
        <w:jc w:val="left"/>
        <w:rPr>
          <w:rFonts w:ascii="宋体" w:hAnsi="宋体"/>
          <w:b/>
          <w:color w:val="auto"/>
          <w:szCs w:val="21"/>
          <w:highlight w:val="none"/>
        </w:rPr>
      </w:pPr>
      <w:r>
        <w:rPr>
          <w:rFonts w:hint="eastAsia" w:ascii="宋体" w:hAnsi="宋体"/>
          <w:b/>
          <w:color w:val="auto"/>
          <w:szCs w:val="21"/>
          <w:highlight w:val="none"/>
        </w:rPr>
        <w:t>5.投标保证金</w:t>
      </w:r>
      <w:bookmarkEnd w:id="44"/>
      <w:bookmarkEnd w:id="45"/>
      <w:bookmarkEnd w:id="46"/>
      <w:bookmarkEnd w:id="47"/>
    </w:p>
    <w:p>
      <w:pPr>
        <w:spacing w:line="400" w:lineRule="exact"/>
        <w:jc w:val="left"/>
        <w:rPr>
          <w:rFonts w:ascii="宋体" w:hAnsi="宋体"/>
          <w:color w:val="auto"/>
          <w:szCs w:val="21"/>
          <w:highlight w:val="none"/>
        </w:rPr>
      </w:pPr>
      <w:r>
        <w:rPr>
          <w:rFonts w:hint="eastAsia" w:ascii="宋体" w:hAnsi="宋体"/>
          <w:color w:val="auto"/>
          <w:kern w:val="0"/>
          <w:szCs w:val="21"/>
          <w:highlight w:val="none"/>
        </w:rPr>
        <w:t>5.1本项目不设置投标保证金。</w:t>
      </w:r>
    </w:p>
    <w:p>
      <w:pPr>
        <w:spacing w:before="120" w:beforeLines="50" w:after="120" w:afterLines="50" w:line="400" w:lineRule="exact"/>
        <w:ind w:left="238"/>
        <w:jc w:val="center"/>
        <w:outlineLvl w:val="1"/>
        <w:rPr>
          <w:rFonts w:ascii="宋体" w:hAnsi="宋体"/>
          <w:b/>
          <w:color w:val="auto"/>
          <w:sz w:val="28"/>
          <w:szCs w:val="28"/>
          <w:highlight w:val="none"/>
        </w:rPr>
      </w:pPr>
      <w:bookmarkStart w:id="52" w:name="_Toc107820050"/>
      <w:bookmarkStart w:id="53" w:name="_Toc170792769"/>
      <w:bookmarkStart w:id="54" w:name="_Toc177870553"/>
      <w:bookmarkStart w:id="55" w:name="_Toc26367"/>
      <w:r>
        <w:rPr>
          <w:rFonts w:hint="eastAsia" w:ascii="宋体" w:hAnsi="宋体"/>
          <w:b/>
          <w:color w:val="auto"/>
          <w:sz w:val="28"/>
          <w:szCs w:val="28"/>
          <w:highlight w:val="none"/>
        </w:rPr>
        <w:t>四、开标</w:t>
      </w:r>
      <w:bookmarkEnd w:id="52"/>
      <w:bookmarkEnd w:id="53"/>
      <w:bookmarkEnd w:id="54"/>
      <w:bookmarkEnd w:id="55"/>
    </w:p>
    <w:p>
      <w:pPr>
        <w:pStyle w:val="18"/>
        <w:spacing w:line="400" w:lineRule="exact"/>
        <w:rPr>
          <w:rFonts w:hAnsi="宋体"/>
          <w:b/>
          <w:color w:val="auto"/>
          <w:sz w:val="21"/>
          <w:szCs w:val="21"/>
          <w:highlight w:val="none"/>
        </w:rPr>
      </w:pPr>
      <w:bookmarkStart w:id="56" w:name="_Toc177870554"/>
      <w:bookmarkStart w:id="57" w:name="_Toc11062"/>
      <w:r>
        <w:rPr>
          <w:rFonts w:hint="eastAsia" w:hAnsi="宋体"/>
          <w:b/>
          <w:color w:val="auto"/>
          <w:sz w:val="21"/>
          <w:szCs w:val="21"/>
          <w:highlight w:val="none"/>
        </w:rPr>
        <w:t>1.开标</w:t>
      </w:r>
    </w:p>
    <w:p>
      <w:pPr>
        <w:pStyle w:val="18"/>
        <w:spacing w:line="440" w:lineRule="exact"/>
        <w:rPr>
          <w:rFonts w:hAnsi="宋体"/>
          <w:color w:val="auto"/>
          <w:sz w:val="21"/>
          <w:szCs w:val="21"/>
          <w:highlight w:val="none"/>
        </w:rPr>
      </w:pPr>
      <w:r>
        <w:rPr>
          <w:rFonts w:hint="eastAsia" w:hAnsi="宋体"/>
          <w:color w:val="auto"/>
          <w:sz w:val="21"/>
          <w:szCs w:val="21"/>
          <w:highlight w:val="none"/>
        </w:rPr>
        <w:t>1.1本项目于</w:t>
      </w:r>
      <w:r>
        <w:rPr>
          <w:rFonts w:hint="eastAsia"/>
          <w:color w:val="auto"/>
          <w:sz w:val="22"/>
          <w:szCs w:val="22"/>
          <w:highlight w:val="none"/>
        </w:rPr>
        <w:t>202</w:t>
      </w:r>
      <w:r>
        <w:rPr>
          <w:rFonts w:hint="eastAsia"/>
          <w:color w:val="auto"/>
          <w:sz w:val="22"/>
          <w:szCs w:val="22"/>
          <w:highlight w:val="none"/>
          <w:lang w:val="en-US" w:eastAsia="zh-CN"/>
        </w:rPr>
        <w:t>4</w:t>
      </w:r>
      <w:r>
        <w:rPr>
          <w:rFonts w:hint="eastAsia"/>
          <w:color w:val="auto"/>
          <w:sz w:val="22"/>
          <w:szCs w:val="22"/>
          <w:highlight w:val="none"/>
        </w:rPr>
        <w:t>年</w:t>
      </w:r>
      <w:r>
        <w:rPr>
          <w:rFonts w:hint="eastAsia"/>
          <w:color w:val="auto"/>
          <w:sz w:val="22"/>
          <w:szCs w:val="22"/>
          <w:highlight w:val="none"/>
          <w:lang w:val="en-US" w:eastAsia="zh-CN"/>
        </w:rPr>
        <w:t>4</w:t>
      </w:r>
      <w:r>
        <w:rPr>
          <w:rFonts w:hint="eastAsia"/>
          <w:color w:val="auto"/>
          <w:sz w:val="22"/>
          <w:szCs w:val="22"/>
          <w:highlight w:val="none"/>
        </w:rPr>
        <w:t>月</w:t>
      </w:r>
      <w:r>
        <w:rPr>
          <w:rFonts w:hint="eastAsia"/>
          <w:color w:val="auto"/>
          <w:sz w:val="22"/>
          <w:szCs w:val="22"/>
          <w:highlight w:val="none"/>
          <w:lang w:val="en-US" w:eastAsia="zh-CN"/>
        </w:rPr>
        <w:t>23</w:t>
      </w:r>
      <w:r>
        <w:rPr>
          <w:rFonts w:hint="eastAsia"/>
          <w:color w:val="auto"/>
          <w:sz w:val="22"/>
          <w:szCs w:val="22"/>
          <w:highlight w:val="none"/>
        </w:rPr>
        <w:t>日9时</w:t>
      </w:r>
      <w:r>
        <w:rPr>
          <w:rFonts w:hint="eastAsia"/>
          <w:color w:val="auto"/>
          <w:sz w:val="22"/>
          <w:szCs w:val="22"/>
          <w:highlight w:val="none"/>
          <w:lang w:val="en-US" w:eastAsia="zh-CN"/>
        </w:rPr>
        <w:t>3</w:t>
      </w:r>
      <w:r>
        <w:rPr>
          <w:rFonts w:hint="eastAsia"/>
          <w:color w:val="auto"/>
          <w:sz w:val="22"/>
          <w:szCs w:val="22"/>
          <w:highlight w:val="none"/>
        </w:rPr>
        <w:t>0分</w:t>
      </w:r>
      <w:r>
        <w:rPr>
          <w:rFonts w:hint="eastAsia" w:hAnsi="宋体"/>
          <w:color w:val="auto"/>
          <w:sz w:val="21"/>
          <w:szCs w:val="21"/>
          <w:highlight w:val="none"/>
        </w:rPr>
        <w:t>在</w:t>
      </w:r>
      <w:r>
        <w:rPr>
          <w:rFonts w:hint="eastAsia" w:hAnsi="宋体" w:cs="宋体"/>
          <w:color w:val="auto"/>
          <w:sz w:val="21"/>
          <w:szCs w:val="21"/>
          <w:highlight w:val="none"/>
        </w:rPr>
        <w:t>嘉兴市公共资源交易中心</w:t>
      </w:r>
      <w:r>
        <w:rPr>
          <w:rFonts w:hint="eastAsia" w:hAnsi="宋体" w:cs="宋体"/>
          <w:color w:val="auto"/>
          <w:sz w:val="21"/>
          <w:szCs w:val="21"/>
          <w:highlight w:val="none"/>
          <w:lang w:eastAsia="zh-CN"/>
        </w:rPr>
        <w:t>评标室</w:t>
      </w:r>
      <w:r>
        <w:rPr>
          <w:rFonts w:hint="eastAsia" w:hAnsi="宋体" w:cs="宋体"/>
          <w:color w:val="auto"/>
          <w:sz w:val="21"/>
          <w:szCs w:val="21"/>
          <w:highlight w:val="none"/>
        </w:rPr>
        <w:t>（嘉兴市广场路350号蒋水港桥西侧）</w:t>
      </w:r>
      <w:r>
        <w:rPr>
          <w:rFonts w:hint="eastAsia" w:hAnsi="宋体"/>
          <w:color w:val="auto"/>
          <w:sz w:val="21"/>
          <w:szCs w:val="21"/>
          <w:highlight w:val="none"/>
        </w:rPr>
        <w:t>的指定地点进行开标。</w:t>
      </w:r>
    </w:p>
    <w:p>
      <w:pPr>
        <w:pStyle w:val="18"/>
        <w:spacing w:line="440" w:lineRule="exact"/>
        <w:rPr>
          <w:rFonts w:hAnsi="宋体"/>
          <w:b/>
          <w:bCs/>
          <w:color w:val="auto"/>
          <w:sz w:val="21"/>
          <w:szCs w:val="21"/>
          <w:highlight w:val="none"/>
        </w:rPr>
      </w:pPr>
      <w:r>
        <w:rPr>
          <w:rFonts w:hint="eastAsia" w:hAnsi="宋体"/>
          <w:b/>
          <w:bCs/>
          <w:color w:val="auto"/>
          <w:sz w:val="21"/>
          <w:szCs w:val="21"/>
          <w:highlight w:val="none"/>
        </w:rPr>
        <w:t>2.采购人或者采购代理机构职责</w:t>
      </w:r>
    </w:p>
    <w:p>
      <w:pPr>
        <w:pStyle w:val="18"/>
        <w:spacing w:line="440" w:lineRule="exact"/>
        <w:rPr>
          <w:rFonts w:hAnsi="宋体"/>
          <w:color w:val="auto"/>
          <w:sz w:val="21"/>
          <w:szCs w:val="21"/>
          <w:highlight w:val="none"/>
        </w:rPr>
      </w:pPr>
      <w:r>
        <w:rPr>
          <w:rFonts w:hint="eastAsia" w:hAnsi="宋体"/>
          <w:color w:val="auto"/>
          <w:sz w:val="21"/>
          <w:szCs w:val="21"/>
          <w:highlight w:val="none"/>
        </w:rPr>
        <w:t>采购人或者采购代理机构负责组织评标工作，并履行下列职责：</w:t>
      </w:r>
    </w:p>
    <w:p>
      <w:pPr>
        <w:pStyle w:val="18"/>
        <w:spacing w:line="440" w:lineRule="exact"/>
        <w:rPr>
          <w:rFonts w:hAnsi="宋体"/>
          <w:color w:val="auto"/>
          <w:sz w:val="21"/>
          <w:szCs w:val="21"/>
          <w:highlight w:val="none"/>
        </w:rPr>
      </w:pPr>
      <w:r>
        <w:rPr>
          <w:rFonts w:hint="eastAsia" w:hAnsi="宋体"/>
          <w:color w:val="auto"/>
          <w:sz w:val="21"/>
          <w:szCs w:val="21"/>
          <w:highlight w:val="none"/>
        </w:rPr>
        <w:t>2.1核对评审专家身份和采购人代表授权函，对评审专家在政府采购活动中的职责履行情况予以记录，并及时将有关违法违规行为向财政部门报告；</w:t>
      </w:r>
    </w:p>
    <w:p>
      <w:pPr>
        <w:pStyle w:val="18"/>
        <w:spacing w:line="440" w:lineRule="exact"/>
        <w:rPr>
          <w:rFonts w:hAnsi="宋体"/>
          <w:color w:val="auto"/>
          <w:sz w:val="21"/>
          <w:szCs w:val="21"/>
          <w:highlight w:val="none"/>
        </w:rPr>
      </w:pPr>
      <w:r>
        <w:rPr>
          <w:rFonts w:hint="eastAsia" w:hAnsi="宋体"/>
          <w:color w:val="auto"/>
          <w:sz w:val="21"/>
          <w:szCs w:val="21"/>
          <w:highlight w:val="none"/>
        </w:rPr>
        <w:t>2.2宣布评标纪律；</w:t>
      </w:r>
    </w:p>
    <w:p>
      <w:pPr>
        <w:pStyle w:val="18"/>
        <w:spacing w:line="440" w:lineRule="exact"/>
        <w:rPr>
          <w:rFonts w:hAnsi="宋体"/>
          <w:color w:val="auto"/>
          <w:sz w:val="21"/>
          <w:szCs w:val="21"/>
          <w:highlight w:val="none"/>
        </w:rPr>
      </w:pPr>
      <w:r>
        <w:rPr>
          <w:rFonts w:hint="eastAsia" w:hAnsi="宋体"/>
          <w:color w:val="auto"/>
          <w:sz w:val="21"/>
          <w:szCs w:val="21"/>
          <w:highlight w:val="none"/>
        </w:rPr>
        <w:t>2.3公布投标人名单，告知评审专家应当回避的情形；</w:t>
      </w:r>
    </w:p>
    <w:p>
      <w:pPr>
        <w:pStyle w:val="18"/>
        <w:spacing w:line="440" w:lineRule="exact"/>
        <w:rPr>
          <w:rFonts w:hAnsi="宋体"/>
          <w:color w:val="auto"/>
          <w:sz w:val="21"/>
          <w:szCs w:val="21"/>
          <w:highlight w:val="none"/>
        </w:rPr>
      </w:pPr>
      <w:r>
        <w:rPr>
          <w:rFonts w:hint="eastAsia" w:hAnsi="宋体"/>
          <w:color w:val="auto"/>
          <w:sz w:val="21"/>
          <w:szCs w:val="21"/>
          <w:highlight w:val="none"/>
        </w:rPr>
        <w:t>2.4组织评标委员会推选评标组长，采购人代表不得担任组长；</w:t>
      </w:r>
    </w:p>
    <w:p>
      <w:pPr>
        <w:pStyle w:val="18"/>
        <w:spacing w:line="440" w:lineRule="exact"/>
        <w:rPr>
          <w:rFonts w:hAnsi="宋体"/>
          <w:color w:val="auto"/>
          <w:sz w:val="21"/>
          <w:szCs w:val="21"/>
          <w:highlight w:val="none"/>
        </w:rPr>
      </w:pPr>
      <w:r>
        <w:rPr>
          <w:rFonts w:hint="eastAsia" w:hAnsi="宋体"/>
          <w:color w:val="auto"/>
          <w:sz w:val="21"/>
          <w:szCs w:val="21"/>
          <w:highlight w:val="none"/>
        </w:rPr>
        <w:t>2.5在评标期间采取必要的通讯管理措施，保证评标活动不受外界干扰；</w:t>
      </w:r>
    </w:p>
    <w:p>
      <w:pPr>
        <w:pStyle w:val="18"/>
        <w:spacing w:line="440" w:lineRule="exact"/>
        <w:rPr>
          <w:rFonts w:hAnsi="宋体"/>
          <w:color w:val="auto"/>
          <w:sz w:val="21"/>
          <w:szCs w:val="21"/>
          <w:highlight w:val="none"/>
        </w:rPr>
      </w:pPr>
      <w:r>
        <w:rPr>
          <w:rFonts w:hint="eastAsia" w:hAnsi="宋体"/>
          <w:color w:val="auto"/>
          <w:sz w:val="21"/>
          <w:szCs w:val="21"/>
          <w:highlight w:val="none"/>
        </w:rPr>
        <w:t>2.6根据评标委员会的要求介绍政府采购相关政策法规、招标文件；</w:t>
      </w:r>
    </w:p>
    <w:p>
      <w:pPr>
        <w:pStyle w:val="18"/>
        <w:spacing w:line="440" w:lineRule="exact"/>
        <w:rPr>
          <w:rFonts w:hAnsi="宋体"/>
          <w:color w:val="auto"/>
          <w:sz w:val="21"/>
          <w:szCs w:val="21"/>
          <w:highlight w:val="none"/>
        </w:rPr>
      </w:pPr>
      <w:r>
        <w:rPr>
          <w:rFonts w:hint="eastAsia" w:hAnsi="宋体"/>
          <w:color w:val="auto"/>
          <w:sz w:val="21"/>
          <w:szCs w:val="21"/>
          <w:highlight w:val="none"/>
        </w:rPr>
        <w:t>2.7维护评标秩序，监督评标委员会依照招标文件规定的评标程序、方法和标准进行独立评审，及时制止和纠正采购人代表、评审专家的倾向性言论或者违法违规行为；</w:t>
      </w:r>
    </w:p>
    <w:p>
      <w:pPr>
        <w:pStyle w:val="18"/>
        <w:spacing w:line="440" w:lineRule="exact"/>
        <w:rPr>
          <w:rFonts w:hAnsi="宋体"/>
          <w:color w:val="auto"/>
          <w:sz w:val="21"/>
          <w:szCs w:val="21"/>
          <w:highlight w:val="none"/>
        </w:rPr>
      </w:pPr>
      <w:r>
        <w:rPr>
          <w:rFonts w:hint="eastAsia" w:hAnsi="宋体"/>
          <w:color w:val="auto"/>
          <w:sz w:val="21"/>
          <w:szCs w:val="21"/>
          <w:highlight w:val="none"/>
        </w:rPr>
        <w:t>2.8核对评标结果，要求评标委员会复核或者书面说明理由，评标委员会拒绝的，应予记录并向本级财政部门报告；</w:t>
      </w:r>
    </w:p>
    <w:p>
      <w:pPr>
        <w:pStyle w:val="18"/>
        <w:spacing w:line="440" w:lineRule="exact"/>
        <w:rPr>
          <w:rFonts w:hAnsi="宋体"/>
          <w:color w:val="auto"/>
          <w:sz w:val="21"/>
          <w:szCs w:val="21"/>
          <w:highlight w:val="none"/>
        </w:rPr>
      </w:pPr>
      <w:r>
        <w:rPr>
          <w:rFonts w:hint="eastAsia" w:hAnsi="宋体"/>
          <w:color w:val="auto"/>
          <w:sz w:val="21"/>
          <w:szCs w:val="21"/>
          <w:highlight w:val="none"/>
        </w:rPr>
        <w:t>2.9评审工作完成后，按照规定向评审专家支付劳务报酬和异地评审差旅费，不得向评审专家以外的其他人员支付评审劳务报酬；</w:t>
      </w:r>
    </w:p>
    <w:p>
      <w:pPr>
        <w:pStyle w:val="18"/>
        <w:spacing w:line="440" w:lineRule="exact"/>
        <w:rPr>
          <w:rFonts w:hAnsi="宋体"/>
          <w:color w:val="auto"/>
          <w:sz w:val="21"/>
          <w:szCs w:val="21"/>
          <w:highlight w:val="none"/>
        </w:rPr>
      </w:pPr>
      <w:r>
        <w:rPr>
          <w:rFonts w:hint="eastAsia" w:hAnsi="宋体"/>
          <w:color w:val="auto"/>
          <w:sz w:val="21"/>
          <w:szCs w:val="21"/>
          <w:highlight w:val="none"/>
        </w:rPr>
        <w:t>2.10处理与评标有关的其他事项。</w:t>
      </w:r>
    </w:p>
    <w:p>
      <w:pPr>
        <w:pStyle w:val="18"/>
        <w:spacing w:line="440" w:lineRule="exact"/>
        <w:rPr>
          <w:rFonts w:hAnsi="宋体"/>
          <w:b/>
          <w:bCs/>
          <w:color w:val="auto"/>
          <w:sz w:val="21"/>
          <w:szCs w:val="21"/>
          <w:highlight w:val="none"/>
        </w:rPr>
      </w:pPr>
      <w:r>
        <w:rPr>
          <w:rFonts w:hint="eastAsia" w:hAnsi="宋体"/>
          <w:b/>
          <w:bCs/>
          <w:color w:val="auto"/>
          <w:sz w:val="21"/>
          <w:szCs w:val="21"/>
          <w:highlight w:val="none"/>
        </w:rPr>
        <w:t>3.开标程序</w:t>
      </w:r>
    </w:p>
    <w:p>
      <w:pPr>
        <w:pStyle w:val="13"/>
        <w:snapToGrid w:val="0"/>
        <w:spacing w:line="360" w:lineRule="auto"/>
        <w:ind w:right="-147" w:rightChars="-70" w:firstLine="0"/>
        <w:rPr>
          <w:rFonts w:hAnsi="宋体"/>
          <w:color w:val="auto"/>
          <w:spacing w:val="0"/>
          <w:sz w:val="21"/>
          <w:szCs w:val="21"/>
          <w:highlight w:val="none"/>
        </w:rPr>
      </w:pPr>
      <w:r>
        <w:rPr>
          <w:rFonts w:hint="eastAsia" w:hAnsi="宋体"/>
          <w:color w:val="auto"/>
          <w:spacing w:val="0"/>
          <w:sz w:val="21"/>
          <w:szCs w:val="21"/>
          <w:highlight w:val="none"/>
        </w:rPr>
        <w:t>3.1开标会议由采购代理机构主持，主持人宣布开标会议开始；</w:t>
      </w:r>
    </w:p>
    <w:p>
      <w:pPr>
        <w:pStyle w:val="13"/>
        <w:snapToGrid w:val="0"/>
        <w:spacing w:line="360" w:lineRule="auto"/>
        <w:ind w:right="-147" w:rightChars="-70" w:firstLine="0"/>
        <w:rPr>
          <w:rFonts w:hAnsi="宋体"/>
          <w:color w:val="auto"/>
          <w:spacing w:val="0"/>
          <w:sz w:val="21"/>
          <w:szCs w:val="21"/>
          <w:highlight w:val="none"/>
        </w:rPr>
      </w:pPr>
      <w:r>
        <w:rPr>
          <w:rFonts w:hint="eastAsia" w:hAnsi="宋体"/>
          <w:color w:val="auto"/>
          <w:spacing w:val="0"/>
          <w:sz w:val="21"/>
          <w:szCs w:val="21"/>
          <w:highlight w:val="none"/>
        </w:rPr>
        <w:t xml:space="preserve">3.2主持人介绍参加开标会的人员名单； </w:t>
      </w:r>
    </w:p>
    <w:p>
      <w:pPr>
        <w:pStyle w:val="13"/>
        <w:snapToGrid w:val="0"/>
        <w:spacing w:line="360" w:lineRule="auto"/>
        <w:ind w:right="-147" w:rightChars="-70" w:firstLine="0"/>
        <w:rPr>
          <w:rFonts w:hAnsi="宋体"/>
          <w:color w:val="auto"/>
          <w:spacing w:val="0"/>
          <w:sz w:val="21"/>
          <w:szCs w:val="21"/>
          <w:highlight w:val="none"/>
        </w:rPr>
      </w:pPr>
      <w:r>
        <w:rPr>
          <w:rFonts w:hint="eastAsia" w:hAnsi="宋体"/>
          <w:color w:val="auto"/>
          <w:spacing w:val="0"/>
          <w:sz w:val="21"/>
          <w:szCs w:val="21"/>
          <w:highlight w:val="none"/>
        </w:rPr>
        <w:t>3.3主持人宣布评标期间的有关事项；告知应当回避的情形,提请有关人员回避。</w:t>
      </w:r>
    </w:p>
    <w:p>
      <w:pPr>
        <w:pStyle w:val="13"/>
        <w:snapToGrid w:val="0"/>
        <w:spacing w:line="360" w:lineRule="auto"/>
        <w:ind w:right="-147" w:rightChars="-70" w:firstLine="0"/>
        <w:rPr>
          <w:rFonts w:hAnsi="宋体"/>
          <w:color w:val="auto"/>
          <w:spacing w:val="0"/>
          <w:sz w:val="21"/>
          <w:szCs w:val="21"/>
          <w:highlight w:val="none"/>
        </w:rPr>
      </w:pPr>
      <w:r>
        <w:rPr>
          <w:rFonts w:hint="eastAsia" w:hAnsi="宋体"/>
          <w:color w:val="auto"/>
          <w:spacing w:val="0"/>
          <w:sz w:val="21"/>
          <w:szCs w:val="21"/>
          <w:highlight w:val="none"/>
        </w:rPr>
        <w:t>3.4</w:t>
      </w:r>
      <w:r>
        <w:rPr>
          <w:rFonts w:hint="eastAsia" w:hAnsi="宋体"/>
          <w:color w:val="auto"/>
          <w:spacing w:val="0"/>
          <w:kern w:val="0"/>
          <w:sz w:val="21"/>
          <w:szCs w:val="21"/>
          <w:highlight w:val="none"/>
        </w:rPr>
        <w:t>本项目实行电子开评标，供应商无需到开标现场，但须准时在线参加，直至评审结束。</w:t>
      </w:r>
    </w:p>
    <w:p>
      <w:pPr>
        <w:pStyle w:val="18"/>
        <w:snapToGrid w:val="0"/>
        <w:spacing w:line="360" w:lineRule="auto"/>
        <w:rPr>
          <w:rFonts w:hAnsi="宋体" w:cs="宋体"/>
          <w:b/>
          <w:bCs/>
          <w:color w:val="auto"/>
          <w:sz w:val="21"/>
          <w:szCs w:val="21"/>
          <w:highlight w:val="none"/>
        </w:rPr>
      </w:pPr>
      <w:r>
        <w:rPr>
          <w:rFonts w:hint="eastAsia" w:hAnsi="宋体" w:cs="宋体"/>
          <w:b/>
          <w:bCs/>
          <w:color w:val="auto"/>
          <w:sz w:val="21"/>
          <w:szCs w:val="21"/>
          <w:highlight w:val="none"/>
        </w:rPr>
        <w:t>3.5投标文件开启</w:t>
      </w:r>
    </w:p>
    <w:p>
      <w:pPr>
        <w:pStyle w:val="18"/>
        <w:snapToGrid w:val="0"/>
        <w:spacing w:line="360" w:lineRule="auto"/>
        <w:ind w:firstLine="422" w:firstLineChars="200"/>
        <w:rPr>
          <w:rFonts w:hAnsi="宋体" w:cs="宋体"/>
          <w:color w:val="auto"/>
          <w:sz w:val="21"/>
          <w:szCs w:val="21"/>
          <w:highlight w:val="none"/>
        </w:rPr>
      </w:pPr>
      <w:r>
        <w:rPr>
          <w:rFonts w:hint="eastAsia" w:hAnsi="宋体" w:cs="宋体"/>
          <w:b/>
          <w:color w:val="auto"/>
          <w:sz w:val="21"/>
          <w:szCs w:val="21"/>
          <w:highlight w:val="none"/>
        </w:rPr>
        <w:t>3.5.1电子投标文件开标</w:t>
      </w:r>
      <w:r>
        <w:rPr>
          <w:rFonts w:hint="eastAsia" w:hAnsi="宋体" w:cs="宋体"/>
          <w:color w:val="auto"/>
          <w:sz w:val="21"/>
          <w:szCs w:val="21"/>
          <w:highlight w:val="none"/>
        </w:rPr>
        <w:t>：投标截止时间后，投标人登录政采云平台，用“项目采购-开标评标”功能对电子投标文件进行在线解密。在线解密电子投标文件时间为开标时间起30分钟内。</w:t>
      </w:r>
    </w:p>
    <w:p>
      <w:pPr>
        <w:pStyle w:val="18"/>
        <w:snapToGrid w:val="0"/>
        <w:spacing w:line="360" w:lineRule="auto"/>
        <w:ind w:firstLine="422" w:firstLineChars="200"/>
        <w:rPr>
          <w:rFonts w:hAnsi="宋体" w:cs="宋体"/>
          <w:color w:val="auto"/>
          <w:sz w:val="21"/>
          <w:szCs w:val="21"/>
          <w:highlight w:val="none"/>
        </w:rPr>
      </w:pPr>
      <w:r>
        <w:rPr>
          <w:rFonts w:hint="eastAsia" w:hAnsi="宋体" w:cs="宋体"/>
          <w:b/>
          <w:color w:val="auto"/>
          <w:sz w:val="21"/>
          <w:szCs w:val="21"/>
          <w:highlight w:val="none"/>
        </w:rPr>
        <w:t>3.5.2</w:t>
      </w:r>
      <w:r>
        <w:rPr>
          <w:rFonts w:hint="eastAsia" w:hAnsi="宋体" w:cs="宋体"/>
          <w:b/>
          <w:bCs/>
          <w:color w:val="auto"/>
          <w:sz w:val="21"/>
          <w:szCs w:val="21"/>
          <w:highlight w:val="none"/>
        </w:rPr>
        <w:t>电子投标文件无法正常解密时，开启备份电子投标文件。</w:t>
      </w:r>
    </w:p>
    <w:p>
      <w:pPr>
        <w:pStyle w:val="18"/>
        <w:snapToGrid w:val="0"/>
        <w:spacing w:line="360" w:lineRule="auto"/>
        <w:rPr>
          <w:rFonts w:hAnsi="宋体" w:cs="宋体"/>
          <w:color w:val="auto"/>
          <w:sz w:val="21"/>
          <w:szCs w:val="21"/>
          <w:highlight w:val="none"/>
        </w:rPr>
      </w:pPr>
      <w:r>
        <w:rPr>
          <w:rFonts w:hint="eastAsia" w:hAnsi="宋体" w:cs="宋体"/>
          <w:color w:val="auto"/>
          <w:sz w:val="21"/>
          <w:szCs w:val="21"/>
          <w:highlight w:val="none"/>
        </w:rPr>
        <w:t>3.6由采购人代表或代理机构评审资格审查文件，若资格审查不符合招标文件要求，即终止其参与投标资格。</w:t>
      </w:r>
    </w:p>
    <w:p>
      <w:pPr>
        <w:pStyle w:val="18"/>
        <w:snapToGrid w:val="0"/>
        <w:spacing w:line="360" w:lineRule="auto"/>
        <w:rPr>
          <w:rFonts w:hAnsi="宋体" w:cs="宋体"/>
          <w:color w:val="auto"/>
          <w:sz w:val="21"/>
          <w:szCs w:val="21"/>
          <w:highlight w:val="none"/>
        </w:rPr>
      </w:pPr>
      <w:r>
        <w:rPr>
          <w:rFonts w:hint="eastAsia" w:hAnsi="宋体" w:cs="宋体"/>
          <w:color w:val="auto"/>
          <w:sz w:val="21"/>
          <w:szCs w:val="21"/>
          <w:highlight w:val="none"/>
        </w:rPr>
        <w:t>3.7评审组首先对资信商务及技术进行评审，并完成资信和技术分的评审。</w:t>
      </w:r>
    </w:p>
    <w:p>
      <w:pPr>
        <w:pStyle w:val="18"/>
        <w:snapToGrid w:val="0"/>
        <w:spacing w:line="360" w:lineRule="auto"/>
        <w:rPr>
          <w:rFonts w:hAnsi="宋体" w:cs="宋体"/>
          <w:color w:val="auto"/>
          <w:sz w:val="21"/>
          <w:szCs w:val="21"/>
          <w:highlight w:val="none"/>
        </w:rPr>
      </w:pPr>
      <w:r>
        <w:rPr>
          <w:rFonts w:hint="eastAsia" w:hAnsi="宋体" w:cs="宋体"/>
          <w:color w:val="auto"/>
          <w:sz w:val="21"/>
          <w:szCs w:val="21"/>
          <w:highlight w:val="none"/>
        </w:rPr>
        <w:t>3.8由主持人开启投标单位的报价文件，宣读《开标一览表》中的供应商名称及在其投标文件中承诺的投标报价、投标内容（投标设备名称、规格型号或者服务项目名称），以及主持人认为有必要宣读的其他内容，并由供应商代表确认。</w:t>
      </w:r>
    </w:p>
    <w:p>
      <w:pPr>
        <w:pStyle w:val="18"/>
        <w:snapToGrid w:val="0"/>
        <w:spacing w:line="360" w:lineRule="auto"/>
        <w:rPr>
          <w:rFonts w:hAnsi="宋体" w:cs="宋体"/>
          <w:color w:val="auto"/>
          <w:sz w:val="21"/>
          <w:szCs w:val="21"/>
          <w:highlight w:val="none"/>
        </w:rPr>
      </w:pPr>
      <w:r>
        <w:rPr>
          <w:rFonts w:hint="eastAsia" w:hAnsi="宋体" w:cs="宋体"/>
          <w:color w:val="auto"/>
          <w:sz w:val="21"/>
          <w:szCs w:val="21"/>
          <w:highlight w:val="none"/>
        </w:rPr>
        <w:t>3.9嘉兴市明扬工程咨询有限公司记录人做开标记录，同时由主持人、记录人、监督人当场签字确认。</w:t>
      </w:r>
    </w:p>
    <w:p>
      <w:pPr>
        <w:pStyle w:val="18"/>
        <w:snapToGrid w:val="0"/>
        <w:spacing w:line="360" w:lineRule="auto"/>
        <w:rPr>
          <w:rFonts w:hAnsi="宋体" w:cs="宋体"/>
          <w:color w:val="auto"/>
          <w:sz w:val="21"/>
          <w:szCs w:val="21"/>
          <w:highlight w:val="none"/>
        </w:rPr>
      </w:pPr>
      <w:r>
        <w:rPr>
          <w:rFonts w:hint="eastAsia" w:hAnsi="宋体" w:cs="宋体"/>
          <w:color w:val="auto"/>
          <w:sz w:val="21"/>
          <w:szCs w:val="21"/>
          <w:highlight w:val="none"/>
        </w:rPr>
        <w:t>3.10开标及评审会议结束。</w:t>
      </w:r>
    </w:p>
    <w:p>
      <w:pPr>
        <w:spacing w:before="120" w:beforeLines="50" w:after="120" w:afterLines="50" w:line="400" w:lineRule="exact"/>
        <w:ind w:left="238"/>
        <w:jc w:val="center"/>
        <w:outlineLvl w:val="1"/>
        <w:rPr>
          <w:rFonts w:ascii="宋体" w:hAnsi="宋体"/>
          <w:b/>
          <w:color w:val="auto"/>
          <w:sz w:val="28"/>
          <w:szCs w:val="28"/>
          <w:highlight w:val="none"/>
        </w:rPr>
      </w:pPr>
      <w:r>
        <w:rPr>
          <w:rFonts w:hint="eastAsia" w:ascii="宋体" w:hAnsi="宋体"/>
          <w:b/>
          <w:color w:val="auto"/>
          <w:sz w:val="28"/>
          <w:szCs w:val="28"/>
          <w:highlight w:val="none"/>
        </w:rPr>
        <w:t>五、评标</w:t>
      </w:r>
      <w:bookmarkEnd w:id="56"/>
      <w:bookmarkEnd w:id="57"/>
    </w:p>
    <w:p>
      <w:pPr>
        <w:pStyle w:val="18"/>
        <w:spacing w:line="400" w:lineRule="exact"/>
        <w:ind w:left="527" w:hanging="527" w:hangingChars="250"/>
        <w:jc w:val="left"/>
        <w:rPr>
          <w:rFonts w:hAnsi="宋体"/>
          <w:b/>
          <w:color w:val="auto"/>
          <w:sz w:val="21"/>
          <w:szCs w:val="21"/>
          <w:highlight w:val="none"/>
        </w:rPr>
      </w:pPr>
      <w:r>
        <w:rPr>
          <w:rFonts w:hint="eastAsia" w:hAnsi="宋体"/>
          <w:b/>
          <w:color w:val="auto"/>
          <w:sz w:val="21"/>
          <w:szCs w:val="21"/>
          <w:highlight w:val="none"/>
        </w:rPr>
        <w:t>1.专家抽取</w:t>
      </w:r>
    </w:p>
    <w:p>
      <w:pPr>
        <w:pStyle w:val="18"/>
        <w:spacing w:line="400" w:lineRule="exact"/>
        <w:ind w:firstLine="420" w:firstLineChars="200"/>
        <w:jc w:val="left"/>
        <w:rPr>
          <w:rFonts w:hAnsi="宋体"/>
          <w:color w:val="auto"/>
          <w:sz w:val="21"/>
          <w:szCs w:val="21"/>
          <w:highlight w:val="none"/>
        </w:rPr>
      </w:pPr>
      <w:r>
        <w:rPr>
          <w:rFonts w:hint="eastAsia" w:hAnsi="宋体"/>
          <w:color w:val="auto"/>
          <w:sz w:val="21"/>
          <w:szCs w:val="21"/>
          <w:highlight w:val="none"/>
        </w:rPr>
        <w:t>根据采购项目的特点，在浙江省政府采购评标专家库中随机抽取四名专家和业主代表一名共五名组成评审专家组。</w:t>
      </w:r>
    </w:p>
    <w:p>
      <w:pPr>
        <w:pStyle w:val="18"/>
        <w:spacing w:line="400" w:lineRule="exact"/>
        <w:ind w:firstLine="422" w:firstLineChars="200"/>
        <w:jc w:val="left"/>
        <w:rPr>
          <w:rFonts w:hAnsi="宋体"/>
          <w:b/>
          <w:bCs/>
          <w:color w:val="auto"/>
          <w:sz w:val="21"/>
          <w:szCs w:val="21"/>
          <w:highlight w:val="none"/>
        </w:rPr>
      </w:pPr>
      <w:r>
        <w:rPr>
          <w:rFonts w:hint="eastAsia" w:hAnsi="宋体"/>
          <w:b/>
          <w:bCs/>
          <w:color w:val="auto"/>
          <w:sz w:val="21"/>
          <w:szCs w:val="21"/>
          <w:highlight w:val="none"/>
        </w:rPr>
        <w:t>评标委员会负责具体评标事务，并独立履行下列职责：</w:t>
      </w:r>
    </w:p>
    <w:p>
      <w:pPr>
        <w:pStyle w:val="18"/>
        <w:spacing w:line="400" w:lineRule="exact"/>
        <w:ind w:firstLine="420" w:firstLineChars="200"/>
        <w:jc w:val="left"/>
        <w:rPr>
          <w:rFonts w:hAnsi="宋体"/>
          <w:color w:val="auto"/>
          <w:sz w:val="21"/>
          <w:szCs w:val="21"/>
          <w:highlight w:val="none"/>
        </w:rPr>
      </w:pPr>
      <w:r>
        <w:rPr>
          <w:rFonts w:hint="eastAsia" w:hAnsi="宋体"/>
          <w:color w:val="auto"/>
          <w:sz w:val="21"/>
          <w:szCs w:val="21"/>
          <w:highlight w:val="none"/>
        </w:rPr>
        <w:t>1、审查、评价投标文件是否符合招标文件的商务、技术等实质性要求;</w:t>
      </w:r>
    </w:p>
    <w:p>
      <w:pPr>
        <w:pStyle w:val="18"/>
        <w:spacing w:line="400" w:lineRule="exact"/>
        <w:ind w:firstLine="420" w:firstLineChars="200"/>
        <w:jc w:val="left"/>
        <w:rPr>
          <w:rFonts w:hAnsi="宋体"/>
          <w:color w:val="auto"/>
          <w:sz w:val="21"/>
          <w:szCs w:val="21"/>
          <w:highlight w:val="none"/>
        </w:rPr>
      </w:pPr>
      <w:r>
        <w:rPr>
          <w:rFonts w:hint="eastAsia" w:hAnsi="宋体"/>
          <w:color w:val="auto"/>
          <w:sz w:val="21"/>
          <w:szCs w:val="21"/>
          <w:highlight w:val="none"/>
        </w:rPr>
        <w:t>2、要求投标人对投标文件有关事项作出澄清或者说明;</w:t>
      </w:r>
    </w:p>
    <w:p>
      <w:pPr>
        <w:pStyle w:val="18"/>
        <w:spacing w:line="400" w:lineRule="exact"/>
        <w:ind w:firstLine="420" w:firstLineChars="200"/>
        <w:jc w:val="left"/>
        <w:rPr>
          <w:rFonts w:hAnsi="宋体"/>
          <w:color w:val="auto"/>
          <w:sz w:val="21"/>
          <w:szCs w:val="21"/>
          <w:highlight w:val="none"/>
        </w:rPr>
      </w:pPr>
      <w:r>
        <w:rPr>
          <w:rFonts w:hint="eastAsia" w:hAnsi="宋体"/>
          <w:color w:val="auto"/>
          <w:sz w:val="21"/>
          <w:szCs w:val="21"/>
          <w:highlight w:val="none"/>
        </w:rPr>
        <w:t>3、对投标文件进行比较和评价;</w:t>
      </w:r>
    </w:p>
    <w:p>
      <w:pPr>
        <w:pStyle w:val="18"/>
        <w:spacing w:line="400" w:lineRule="exact"/>
        <w:ind w:firstLine="420" w:firstLineChars="200"/>
        <w:jc w:val="left"/>
        <w:rPr>
          <w:rFonts w:hAnsi="宋体"/>
          <w:color w:val="auto"/>
          <w:sz w:val="21"/>
          <w:szCs w:val="21"/>
          <w:highlight w:val="none"/>
        </w:rPr>
      </w:pPr>
      <w:r>
        <w:rPr>
          <w:rFonts w:hint="eastAsia" w:hAnsi="宋体"/>
          <w:color w:val="auto"/>
          <w:sz w:val="21"/>
          <w:szCs w:val="21"/>
          <w:highlight w:val="none"/>
        </w:rPr>
        <w:t>4、确定中标候选人名单，以及根据采购人委托直接确定中标人;</w:t>
      </w:r>
    </w:p>
    <w:p>
      <w:pPr>
        <w:pStyle w:val="18"/>
        <w:spacing w:line="400" w:lineRule="exact"/>
        <w:ind w:firstLine="420" w:firstLineChars="200"/>
        <w:jc w:val="left"/>
        <w:rPr>
          <w:rFonts w:hAnsi="宋体"/>
          <w:color w:val="auto"/>
          <w:sz w:val="21"/>
          <w:szCs w:val="21"/>
          <w:highlight w:val="none"/>
        </w:rPr>
      </w:pPr>
      <w:r>
        <w:rPr>
          <w:rFonts w:hint="eastAsia" w:hAnsi="宋体"/>
          <w:color w:val="auto"/>
          <w:sz w:val="21"/>
          <w:szCs w:val="21"/>
          <w:highlight w:val="none"/>
        </w:rPr>
        <w:t>5、向采购人、代理机构或者有关部门报告评标中发现的违法行为。</w:t>
      </w:r>
    </w:p>
    <w:p>
      <w:pPr>
        <w:pStyle w:val="18"/>
        <w:spacing w:line="400" w:lineRule="exact"/>
        <w:ind w:firstLine="420" w:firstLineChars="200"/>
        <w:jc w:val="left"/>
        <w:rPr>
          <w:rFonts w:hAnsi="宋体"/>
          <w:color w:val="auto"/>
          <w:sz w:val="21"/>
          <w:szCs w:val="21"/>
          <w:highlight w:val="none"/>
        </w:rPr>
      </w:pPr>
      <w:r>
        <w:rPr>
          <w:rFonts w:hint="eastAsia" w:hAnsi="宋体"/>
          <w:color w:val="auto"/>
          <w:sz w:val="21"/>
          <w:szCs w:val="21"/>
          <w:highlight w:val="none"/>
        </w:rPr>
        <w:t>除采购人代表、评标现场组织人员外，采购人的其他工作人员以及与评标工作无关的人员不得进入评标现场。</w:t>
      </w:r>
    </w:p>
    <w:p>
      <w:pPr>
        <w:pStyle w:val="18"/>
        <w:spacing w:line="400" w:lineRule="exact"/>
        <w:ind w:left="527" w:hanging="527" w:hangingChars="250"/>
        <w:jc w:val="left"/>
        <w:rPr>
          <w:rFonts w:hAnsi="宋体"/>
          <w:b/>
          <w:color w:val="auto"/>
          <w:sz w:val="21"/>
          <w:szCs w:val="21"/>
          <w:highlight w:val="none"/>
        </w:rPr>
      </w:pPr>
      <w:r>
        <w:rPr>
          <w:rFonts w:hint="eastAsia" w:hAnsi="宋体"/>
          <w:b/>
          <w:color w:val="auto"/>
          <w:sz w:val="21"/>
          <w:szCs w:val="21"/>
          <w:highlight w:val="none"/>
        </w:rPr>
        <w:t>2.评标的方式</w:t>
      </w:r>
    </w:p>
    <w:p>
      <w:pPr>
        <w:pStyle w:val="18"/>
        <w:spacing w:line="400" w:lineRule="exact"/>
        <w:ind w:left="315" w:leftChars="150" w:firstLine="105" w:firstLineChars="50"/>
        <w:jc w:val="left"/>
        <w:rPr>
          <w:rFonts w:hAnsi="宋体"/>
          <w:color w:val="auto"/>
          <w:sz w:val="21"/>
          <w:szCs w:val="21"/>
          <w:highlight w:val="none"/>
        </w:rPr>
      </w:pPr>
      <w:r>
        <w:rPr>
          <w:rFonts w:hint="eastAsia" w:hAnsi="宋体"/>
          <w:color w:val="auto"/>
          <w:sz w:val="21"/>
          <w:szCs w:val="21"/>
          <w:highlight w:val="none"/>
        </w:rPr>
        <w:t>本采购项目采用不公开方式评标，评标的依据为招标文件和投标文件。</w:t>
      </w:r>
    </w:p>
    <w:p>
      <w:pPr>
        <w:pStyle w:val="18"/>
        <w:spacing w:line="400" w:lineRule="exact"/>
        <w:ind w:left="527" w:hanging="527" w:hangingChars="250"/>
        <w:jc w:val="left"/>
        <w:rPr>
          <w:rFonts w:hAnsi="宋体"/>
          <w:b/>
          <w:color w:val="auto"/>
          <w:sz w:val="21"/>
          <w:szCs w:val="21"/>
          <w:highlight w:val="none"/>
        </w:rPr>
      </w:pPr>
      <w:r>
        <w:rPr>
          <w:rFonts w:hint="eastAsia" w:hAnsi="宋体"/>
          <w:b/>
          <w:color w:val="auto"/>
          <w:sz w:val="21"/>
          <w:szCs w:val="21"/>
          <w:highlight w:val="none"/>
        </w:rPr>
        <w:t>3.</w:t>
      </w:r>
      <w:r>
        <w:rPr>
          <w:rFonts w:hint="eastAsia" w:hAnsi="宋体"/>
          <w:b/>
          <w:bCs/>
          <w:color w:val="auto"/>
          <w:sz w:val="21"/>
          <w:szCs w:val="21"/>
          <w:highlight w:val="none"/>
        </w:rPr>
        <w:t>评标程序</w:t>
      </w:r>
    </w:p>
    <w:p>
      <w:pPr>
        <w:pStyle w:val="18"/>
        <w:spacing w:line="400" w:lineRule="exact"/>
        <w:ind w:firstLine="420" w:firstLineChars="200"/>
        <w:jc w:val="left"/>
        <w:rPr>
          <w:rFonts w:hAnsi="宋体"/>
          <w:color w:val="auto"/>
          <w:sz w:val="21"/>
          <w:szCs w:val="21"/>
          <w:highlight w:val="none"/>
        </w:rPr>
      </w:pPr>
      <w:r>
        <w:rPr>
          <w:rFonts w:hint="eastAsia" w:hAnsi="宋体"/>
          <w:color w:val="auto"/>
          <w:sz w:val="21"/>
          <w:szCs w:val="21"/>
          <w:highlight w:val="none"/>
        </w:rPr>
        <w:t>采购人可以在评标前说明项目背景和采购需求，说明内容不得含有歧视性、倾向性意见，不得超出招标文件所述范围。说明应当提交书面材料，并随招标文件一并存档。</w:t>
      </w:r>
    </w:p>
    <w:p>
      <w:pPr>
        <w:spacing w:line="400" w:lineRule="exact"/>
        <w:jc w:val="left"/>
        <w:rPr>
          <w:rFonts w:ascii="宋体" w:hAnsi="宋体"/>
          <w:color w:val="auto"/>
          <w:szCs w:val="21"/>
          <w:highlight w:val="none"/>
        </w:rPr>
      </w:pPr>
      <w:r>
        <w:rPr>
          <w:rFonts w:hint="eastAsia" w:ascii="宋体" w:hAnsi="宋体"/>
          <w:color w:val="auto"/>
          <w:szCs w:val="21"/>
          <w:highlight w:val="none"/>
        </w:rPr>
        <w:t>3.1形式审查:包括资格审查（除符合性审查以外的关于供应商资格条件等内容）和符合性审查，即对供应商的资格和投标文件的完整性、合法性等进行审查。投标文件形式审查未通过的供应商，其投标文件将不再评审。</w:t>
      </w:r>
    </w:p>
    <w:p>
      <w:pPr>
        <w:spacing w:line="400" w:lineRule="exact"/>
        <w:jc w:val="left"/>
        <w:rPr>
          <w:rFonts w:ascii="宋体" w:hAnsi="宋体"/>
          <w:color w:val="auto"/>
          <w:szCs w:val="21"/>
          <w:highlight w:val="none"/>
        </w:rPr>
      </w:pPr>
      <w:r>
        <w:rPr>
          <w:rFonts w:hint="eastAsia" w:ascii="宋体" w:hAnsi="宋体"/>
          <w:color w:val="auto"/>
          <w:szCs w:val="21"/>
          <w:highlight w:val="none"/>
        </w:rPr>
        <w:t>3.2实质审查与比较。</w:t>
      </w:r>
    </w:p>
    <w:p>
      <w:pPr>
        <w:spacing w:line="400" w:lineRule="exact"/>
        <w:jc w:val="left"/>
        <w:rPr>
          <w:rFonts w:ascii="宋体" w:hAnsi="宋体"/>
          <w:color w:val="auto"/>
          <w:szCs w:val="21"/>
          <w:highlight w:val="none"/>
        </w:rPr>
      </w:pPr>
      <w:r>
        <w:rPr>
          <w:rFonts w:hint="eastAsia" w:ascii="宋体" w:hAnsi="宋体"/>
          <w:color w:val="auto"/>
          <w:szCs w:val="21"/>
          <w:highlight w:val="none"/>
        </w:rPr>
        <w:t>3.2.1评标委员会审查投标文件的实质性内容是否符合招标文件的实质性要求。</w:t>
      </w:r>
    </w:p>
    <w:p>
      <w:pPr>
        <w:spacing w:line="400" w:lineRule="exact"/>
        <w:jc w:val="left"/>
        <w:rPr>
          <w:rFonts w:ascii="宋体" w:hAnsi="宋体"/>
          <w:color w:val="auto"/>
          <w:szCs w:val="21"/>
          <w:highlight w:val="none"/>
        </w:rPr>
      </w:pPr>
      <w:r>
        <w:rPr>
          <w:rFonts w:hint="eastAsia" w:ascii="宋体" w:hAnsi="宋体"/>
          <w:color w:val="auto"/>
          <w:szCs w:val="21"/>
          <w:highlight w:val="none"/>
        </w:rPr>
        <w:t>3.2.2评标委员会将根据投标人的资信技术标书进行审查、核对，如有疑问，将对投标人进行询标，投标人要向评标委员会澄清有关问题，并最终以书面形式进行答复。各投标人的资信技术标得分为所有评委的有效评分的算术平均数。</w:t>
      </w:r>
    </w:p>
    <w:p>
      <w:pPr>
        <w:spacing w:line="400" w:lineRule="exact"/>
        <w:jc w:val="left"/>
        <w:rPr>
          <w:rFonts w:ascii="宋体" w:hAnsi="宋体"/>
          <w:color w:val="auto"/>
          <w:szCs w:val="21"/>
          <w:highlight w:val="none"/>
        </w:rPr>
      </w:pPr>
      <w:r>
        <w:rPr>
          <w:rFonts w:hint="eastAsia" w:ascii="宋体" w:hAnsi="宋体"/>
          <w:color w:val="auto"/>
          <w:szCs w:val="21"/>
          <w:highlight w:val="none"/>
        </w:rPr>
        <w:t>3.2.3嘉兴市明扬工程咨询有限公司工作人员协助评标委员会根据本项目的评分标准操作政府采购业务系统，由系统计算各投标人的报价得分。</w:t>
      </w:r>
    </w:p>
    <w:p>
      <w:pPr>
        <w:spacing w:line="400" w:lineRule="exact"/>
        <w:jc w:val="left"/>
        <w:rPr>
          <w:rFonts w:ascii="宋体" w:hAnsi="宋体"/>
          <w:color w:val="auto"/>
          <w:szCs w:val="21"/>
          <w:highlight w:val="none"/>
        </w:rPr>
      </w:pPr>
      <w:r>
        <w:rPr>
          <w:rFonts w:hint="eastAsia" w:ascii="宋体" w:hAnsi="宋体"/>
          <w:color w:val="auto"/>
          <w:szCs w:val="21"/>
          <w:highlight w:val="none"/>
        </w:rPr>
        <w:t>3.2.4评标委员会完成评标后，评委对各部分得分汇总，得出本项目最终得分，评标委员会按评标原则推荐中标候选人同时起草评标报告。</w:t>
      </w:r>
    </w:p>
    <w:p>
      <w:pPr>
        <w:spacing w:line="400" w:lineRule="exact"/>
        <w:jc w:val="left"/>
        <w:rPr>
          <w:rFonts w:ascii="宋体" w:hAnsi="宋体"/>
          <w:b/>
          <w:color w:val="auto"/>
          <w:szCs w:val="21"/>
          <w:highlight w:val="none"/>
        </w:rPr>
      </w:pPr>
      <w:r>
        <w:rPr>
          <w:rFonts w:hint="eastAsia" w:ascii="宋体" w:hAnsi="宋体"/>
          <w:b/>
          <w:color w:val="auto"/>
          <w:szCs w:val="21"/>
          <w:highlight w:val="none"/>
        </w:rPr>
        <w:t>4.澄清问题的形式</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以书面形式要求投标人作出必要的澄清、说明或者纠正。投标人的澄清、说明或者补正应当采用书面形式，由其法定代表人或委托代理人签字或盖章确认，并不得超出投标文件的范围或者改变投标文件的实质性内容。</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spacing w:line="400" w:lineRule="exact"/>
        <w:ind w:firstLine="420" w:firstLineChars="200"/>
        <w:jc w:val="left"/>
        <w:rPr>
          <w:color w:val="auto"/>
          <w:highlight w:val="none"/>
        </w:rPr>
      </w:pPr>
      <w:r>
        <w:rPr>
          <w:rFonts w:hint="eastAsia" w:ascii="宋体" w:hAnsi="宋体"/>
          <w:color w:val="auto"/>
          <w:szCs w:val="21"/>
          <w:highlight w:val="none"/>
        </w:rPr>
        <w:t>2、如果供应商代表拒绝或未按评标委员会要求在“政采云”平台作出在线回复且无其他有效回复方式的，评标委员会可以对其作出不利于供应商的处理。</w:t>
      </w:r>
    </w:p>
    <w:p>
      <w:pPr>
        <w:pStyle w:val="18"/>
        <w:spacing w:line="400" w:lineRule="exact"/>
        <w:ind w:left="527" w:hanging="527" w:hangingChars="250"/>
        <w:jc w:val="left"/>
        <w:rPr>
          <w:rFonts w:hAnsi="宋体"/>
          <w:b/>
          <w:color w:val="auto"/>
          <w:sz w:val="21"/>
          <w:szCs w:val="21"/>
          <w:highlight w:val="none"/>
        </w:rPr>
      </w:pPr>
      <w:r>
        <w:rPr>
          <w:rFonts w:hint="eastAsia" w:hAnsi="宋体"/>
          <w:b/>
          <w:color w:val="auto"/>
          <w:sz w:val="21"/>
          <w:szCs w:val="21"/>
          <w:highlight w:val="none"/>
        </w:rPr>
        <w:t>5.修正原则</w:t>
      </w:r>
    </w:p>
    <w:p>
      <w:pPr>
        <w:pStyle w:val="18"/>
        <w:spacing w:line="400" w:lineRule="exact"/>
        <w:ind w:firstLine="420" w:firstLineChars="200"/>
        <w:rPr>
          <w:rFonts w:hAnsi="宋体"/>
          <w:color w:val="auto"/>
          <w:sz w:val="21"/>
          <w:szCs w:val="18"/>
          <w:highlight w:val="none"/>
        </w:rPr>
      </w:pPr>
      <w:r>
        <w:rPr>
          <w:rFonts w:hint="eastAsia" w:hAnsi="宋体"/>
          <w:color w:val="auto"/>
          <w:sz w:val="21"/>
          <w:szCs w:val="18"/>
          <w:highlight w:val="none"/>
        </w:rPr>
        <w:t>评标委员会对投标文件的报价文件进行审核，对发现计算、书写等错误的，按以下原则进行修正：</w:t>
      </w:r>
    </w:p>
    <w:p>
      <w:pPr>
        <w:pStyle w:val="18"/>
        <w:spacing w:line="400" w:lineRule="exact"/>
        <w:ind w:left="105" w:hanging="105" w:hangingChars="50"/>
        <w:jc w:val="left"/>
        <w:rPr>
          <w:rFonts w:hAnsi="宋体"/>
          <w:color w:val="auto"/>
          <w:sz w:val="21"/>
          <w:szCs w:val="18"/>
          <w:highlight w:val="none"/>
        </w:rPr>
      </w:pPr>
      <w:r>
        <w:rPr>
          <w:rFonts w:hint="eastAsia" w:hAnsi="宋体"/>
          <w:color w:val="auto"/>
          <w:sz w:val="21"/>
          <w:szCs w:val="18"/>
          <w:highlight w:val="none"/>
        </w:rPr>
        <w:t>投标文件如果出现计算或表达上的错误，修正错误的原则如下：</w:t>
      </w:r>
    </w:p>
    <w:p>
      <w:pPr>
        <w:pStyle w:val="18"/>
        <w:spacing w:line="400" w:lineRule="exact"/>
        <w:rPr>
          <w:rFonts w:hAnsi="宋体"/>
          <w:color w:val="auto"/>
          <w:sz w:val="21"/>
          <w:szCs w:val="18"/>
          <w:highlight w:val="none"/>
        </w:rPr>
      </w:pPr>
      <w:r>
        <w:rPr>
          <w:rFonts w:hint="eastAsia" w:hAnsi="宋体"/>
          <w:color w:val="auto"/>
          <w:sz w:val="21"/>
          <w:szCs w:val="18"/>
          <w:highlight w:val="none"/>
        </w:rPr>
        <w:t>5.1投标文件的开标一览表内容与投标文件中明细表内容不一致的，以开标一览表为准；</w:t>
      </w:r>
    </w:p>
    <w:p>
      <w:pPr>
        <w:pStyle w:val="18"/>
        <w:spacing w:line="400" w:lineRule="exact"/>
        <w:rPr>
          <w:rFonts w:hAnsi="宋体"/>
          <w:color w:val="auto"/>
          <w:sz w:val="21"/>
          <w:szCs w:val="18"/>
          <w:highlight w:val="none"/>
        </w:rPr>
      </w:pPr>
      <w:r>
        <w:rPr>
          <w:rFonts w:hint="eastAsia" w:hAnsi="宋体"/>
          <w:color w:val="auto"/>
          <w:sz w:val="21"/>
          <w:szCs w:val="18"/>
          <w:highlight w:val="none"/>
        </w:rPr>
        <w:t>5.2</w:t>
      </w:r>
      <w:r>
        <w:rPr>
          <w:rFonts w:hAnsi="宋体"/>
          <w:bCs/>
          <w:color w:val="auto"/>
          <w:sz w:val="21"/>
          <w:szCs w:val="21"/>
          <w:highlight w:val="none"/>
        </w:rPr>
        <w:t>投标文件的</w:t>
      </w:r>
      <w:r>
        <w:rPr>
          <w:rFonts w:hint="eastAsia" w:hAnsi="宋体"/>
          <w:color w:val="auto"/>
          <w:sz w:val="21"/>
          <w:szCs w:val="18"/>
          <w:highlight w:val="none"/>
        </w:rPr>
        <w:t>大写金额和小写金额不一致的，以大写金额为准；</w:t>
      </w:r>
    </w:p>
    <w:p>
      <w:pPr>
        <w:pStyle w:val="18"/>
        <w:spacing w:line="400" w:lineRule="exact"/>
        <w:rPr>
          <w:rFonts w:hAnsi="宋体"/>
          <w:color w:val="auto"/>
          <w:sz w:val="21"/>
          <w:szCs w:val="18"/>
          <w:highlight w:val="none"/>
        </w:rPr>
      </w:pPr>
      <w:r>
        <w:rPr>
          <w:rFonts w:hint="eastAsia" w:hAnsi="宋体"/>
          <w:color w:val="auto"/>
          <w:sz w:val="21"/>
          <w:szCs w:val="18"/>
          <w:highlight w:val="none"/>
        </w:rPr>
        <w:t>5.3单价金额小数点有明显错位的，以开标一览表的总价为准，并修改单价；</w:t>
      </w:r>
    </w:p>
    <w:p>
      <w:pPr>
        <w:pStyle w:val="18"/>
        <w:spacing w:line="400" w:lineRule="exact"/>
        <w:rPr>
          <w:rFonts w:hAnsi="宋体"/>
          <w:color w:val="auto"/>
          <w:sz w:val="21"/>
          <w:szCs w:val="18"/>
          <w:highlight w:val="none"/>
        </w:rPr>
      </w:pPr>
      <w:r>
        <w:rPr>
          <w:rFonts w:hint="eastAsia" w:hAnsi="宋体"/>
          <w:color w:val="auto"/>
          <w:sz w:val="21"/>
          <w:szCs w:val="18"/>
          <w:highlight w:val="none"/>
        </w:rPr>
        <w:t>5.4总价金额与按单价汇总金额不一致的，以单价金额计算结果为准。</w:t>
      </w:r>
    </w:p>
    <w:p>
      <w:pPr>
        <w:pStyle w:val="18"/>
        <w:spacing w:line="400" w:lineRule="exact"/>
        <w:ind w:firstLine="422" w:firstLineChars="200"/>
        <w:rPr>
          <w:rFonts w:hAnsi="宋体"/>
          <w:b/>
          <w:bCs/>
          <w:color w:val="auto"/>
          <w:sz w:val="21"/>
          <w:szCs w:val="18"/>
          <w:highlight w:val="none"/>
        </w:rPr>
      </w:pPr>
      <w:r>
        <w:rPr>
          <w:rFonts w:hint="eastAsia" w:hAnsi="宋体"/>
          <w:b/>
          <w:bCs/>
          <w:color w:val="auto"/>
          <w:sz w:val="21"/>
          <w:szCs w:val="18"/>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18"/>
        <w:spacing w:line="400" w:lineRule="exact"/>
        <w:ind w:left="527" w:hanging="527" w:hangingChars="250"/>
        <w:jc w:val="left"/>
        <w:rPr>
          <w:rFonts w:hAnsi="宋体"/>
          <w:b/>
          <w:color w:val="auto"/>
          <w:sz w:val="21"/>
          <w:szCs w:val="21"/>
          <w:highlight w:val="none"/>
        </w:rPr>
      </w:pPr>
      <w:r>
        <w:rPr>
          <w:rFonts w:hint="eastAsia" w:hAnsi="宋体"/>
          <w:b/>
          <w:color w:val="auto"/>
          <w:sz w:val="21"/>
          <w:szCs w:val="21"/>
          <w:highlight w:val="none"/>
        </w:rPr>
        <w:t>6.评标过程的保密性</w:t>
      </w:r>
    </w:p>
    <w:p>
      <w:pPr>
        <w:pStyle w:val="18"/>
        <w:spacing w:line="400" w:lineRule="exact"/>
        <w:ind w:firstLine="420" w:firstLineChars="200"/>
        <w:jc w:val="left"/>
        <w:rPr>
          <w:rFonts w:hAnsi="宋体"/>
          <w:color w:val="auto"/>
          <w:sz w:val="21"/>
          <w:szCs w:val="21"/>
          <w:highlight w:val="none"/>
        </w:rPr>
      </w:pPr>
      <w:r>
        <w:rPr>
          <w:rFonts w:hint="eastAsia" w:hAnsi="宋体"/>
          <w:color w:val="auto"/>
          <w:sz w:val="21"/>
          <w:szCs w:val="21"/>
          <w:highlight w:val="none"/>
        </w:rPr>
        <w:t>凡是属于审查、澄清、评审和比较的有关资料以及授标建议，任何人均不得向投标人或其他无关的人员透露。投标人在评标过程中，所进行的力图影响评标结果的不公正活动，可能导致其投标被拒绝。</w:t>
      </w:r>
    </w:p>
    <w:p>
      <w:pPr>
        <w:pStyle w:val="18"/>
        <w:spacing w:line="400" w:lineRule="exact"/>
        <w:jc w:val="left"/>
        <w:rPr>
          <w:rFonts w:hAnsi="宋体"/>
          <w:b/>
          <w:color w:val="auto"/>
          <w:sz w:val="21"/>
          <w:szCs w:val="21"/>
          <w:highlight w:val="none"/>
        </w:rPr>
      </w:pPr>
      <w:r>
        <w:rPr>
          <w:rFonts w:hint="eastAsia" w:hAnsi="宋体"/>
          <w:b/>
          <w:color w:val="auto"/>
          <w:sz w:val="21"/>
          <w:szCs w:val="21"/>
          <w:highlight w:val="none"/>
        </w:rPr>
        <w:t>7.废标</w:t>
      </w:r>
    </w:p>
    <w:p>
      <w:pPr>
        <w:pStyle w:val="18"/>
        <w:spacing w:line="400" w:lineRule="exact"/>
        <w:ind w:firstLine="420" w:firstLineChars="200"/>
        <w:jc w:val="left"/>
        <w:rPr>
          <w:rFonts w:hAnsi="宋体"/>
          <w:color w:val="auto"/>
          <w:sz w:val="21"/>
          <w:szCs w:val="21"/>
          <w:highlight w:val="none"/>
        </w:rPr>
      </w:pPr>
      <w:r>
        <w:rPr>
          <w:rFonts w:hint="eastAsia" w:hAnsi="宋体"/>
          <w:color w:val="auto"/>
          <w:sz w:val="21"/>
          <w:szCs w:val="21"/>
          <w:highlight w:val="none"/>
        </w:rPr>
        <w:t>根据《中华人民共和国政府采购法》第三十六条之规定，在采购中，出现下列情况之一</w:t>
      </w:r>
    </w:p>
    <w:p>
      <w:pPr>
        <w:pStyle w:val="18"/>
        <w:spacing w:line="400" w:lineRule="exact"/>
        <w:jc w:val="left"/>
        <w:rPr>
          <w:rFonts w:hAnsi="宋体"/>
          <w:color w:val="auto"/>
          <w:sz w:val="21"/>
          <w:szCs w:val="21"/>
          <w:highlight w:val="none"/>
        </w:rPr>
      </w:pPr>
      <w:r>
        <w:rPr>
          <w:rFonts w:hint="eastAsia" w:hAnsi="宋体"/>
          <w:color w:val="auto"/>
          <w:sz w:val="21"/>
          <w:szCs w:val="21"/>
          <w:highlight w:val="none"/>
        </w:rPr>
        <w:t>的，应予以废标：</w:t>
      </w:r>
    </w:p>
    <w:p>
      <w:pPr>
        <w:pStyle w:val="18"/>
        <w:spacing w:line="400" w:lineRule="exact"/>
        <w:jc w:val="left"/>
        <w:rPr>
          <w:rFonts w:hAnsi="宋体"/>
          <w:color w:val="auto"/>
          <w:sz w:val="21"/>
          <w:szCs w:val="21"/>
          <w:highlight w:val="none"/>
        </w:rPr>
      </w:pPr>
      <w:r>
        <w:rPr>
          <w:rFonts w:hint="eastAsia" w:hAnsi="宋体"/>
          <w:color w:val="auto"/>
          <w:sz w:val="21"/>
          <w:szCs w:val="21"/>
          <w:highlight w:val="none"/>
        </w:rPr>
        <w:t>7.1.1</w:t>
      </w:r>
      <w:r>
        <w:rPr>
          <w:rFonts w:hAnsi="宋体"/>
          <w:color w:val="auto"/>
          <w:sz w:val="21"/>
          <w:szCs w:val="21"/>
          <w:highlight w:val="none"/>
        </w:rPr>
        <w:t>符合专业条件的投标人或对招标文件作实质性响应的投标人不足三家的；</w:t>
      </w:r>
    </w:p>
    <w:p>
      <w:pPr>
        <w:pStyle w:val="18"/>
        <w:spacing w:line="400" w:lineRule="exact"/>
        <w:jc w:val="left"/>
        <w:rPr>
          <w:rFonts w:hAnsi="宋体"/>
          <w:color w:val="auto"/>
          <w:sz w:val="21"/>
          <w:szCs w:val="21"/>
          <w:highlight w:val="none"/>
        </w:rPr>
      </w:pPr>
      <w:r>
        <w:rPr>
          <w:rFonts w:hint="eastAsia" w:hAnsi="宋体"/>
          <w:color w:val="auto"/>
          <w:sz w:val="21"/>
          <w:szCs w:val="21"/>
          <w:highlight w:val="none"/>
        </w:rPr>
        <w:t>7.1.2出现影响采购公正的违法、违规行为的；</w:t>
      </w:r>
    </w:p>
    <w:p>
      <w:pPr>
        <w:pStyle w:val="18"/>
        <w:spacing w:line="400" w:lineRule="exact"/>
        <w:jc w:val="left"/>
        <w:rPr>
          <w:rFonts w:hAnsi="宋体"/>
          <w:color w:val="auto"/>
          <w:sz w:val="21"/>
          <w:szCs w:val="21"/>
          <w:highlight w:val="none"/>
        </w:rPr>
      </w:pPr>
      <w:r>
        <w:rPr>
          <w:rFonts w:hint="eastAsia" w:hAnsi="宋体"/>
          <w:color w:val="auto"/>
          <w:sz w:val="21"/>
          <w:szCs w:val="21"/>
          <w:highlight w:val="none"/>
        </w:rPr>
        <w:t>7.1.3投标人的报价均超过了采购预算，采购单位不能支付的；</w:t>
      </w:r>
    </w:p>
    <w:p>
      <w:pPr>
        <w:pStyle w:val="18"/>
        <w:spacing w:line="400" w:lineRule="exact"/>
        <w:jc w:val="left"/>
        <w:rPr>
          <w:rFonts w:hAnsi="宋体"/>
          <w:color w:val="auto"/>
          <w:sz w:val="21"/>
          <w:szCs w:val="21"/>
          <w:highlight w:val="none"/>
        </w:rPr>
      </w:pPr>
      <w:r>
        <w:rPr>
          <w:rFonts w:hint="eastAsia" w:hAnsi="宋体"/>
          <w:color w:val="auto"/>
          <w:sz w:val="21"/>
          <w:szCs w:val="21"/>
          <w:highlight w:val="none"/>
        </w:rPr>
        <w:t>7.1.4因重大变故，采购任务取消的。</w:t>
      </w:r>
    </w:p>
    <w:p>
      <w:pPr>
        <w:pStyle w:val="18"/>
        <w:spacing w:line="400" w:lineRule="exact"/>
        <w:ind w:firstLine="420" w:firstLineChars="200"/>
        <w:jc w:val="left"/>
        <w:rPr>
          <w:rFonts w:hAnsi="宋体"/>
          <w:color w:val="auto"/>
          <w:sz w:val="21"/>
          <w:szCs w:val="21"/>
          <w:highlight w:val="none"/>
        </w:rPr>
      </w:pPr>
      <w:r>
        <w:rPr>
          <w:rFonts w:hint="eastAsia" w:hAnsi="宋体"/>
          <w:color w:val="auto"/>
          <w:sz w:val="21"/>
          <w:szCs w:val="21"/>
          <w:highlight w:val="none"/>
        </w:rPr>
        <w:t>废标后，采购代理机构应当将废标理由通知所有投标人。</w:t>
      </w:r>
    </w:p>
    <w:p>
      <w:pPr>
        <w:pStyle w:val="18"/>
        <w:spacing w:line="400" w:lineRule="exact"/>
        <w:jc w:val="left"/>
        <w:rPr>
          <w:rFonts w:hAnsi="宋体"/>
          <w:b/>
          <w:color w:val="auto"/>
          <w:sz w:val="21"/>
          <w:szCs w:val="21"/>
          <w:highlight w:val="none"/>
        </w:rPr>
      </w:pPr>
      <w:r>
        <w:rPr>
          <w:rFonts w:hint="eastAsia" w:hAnsi="宋体"/>
          <w:b/>
          <w:color w:val="auto"/>
          <w:sz w:val="21"/>
          <w:szCs w:val="21"/>
          <w:highlight w:val="none"/>
        </w:rPr>
        <w:t>8.无效标条款</w:t>
      </w:r>
    </w:p>
    <w:p>
      <w:pPr>
        <w:pStyle w:val="18"/>
        <w:spacing w:line="400" w:lineRule="exact"/>
        <w:ind w:firstLine="420" w:firstLineChars="200"/>
        <w:jc w:val="left"/>
        <w:rPr>
          <w:rFonts w:hAnsi="宋体"/>
          <w:color w:val="auto"/>
          <w:sz w:val="21"/>
          <w:szCs w:val="18"/>
          <w:highlight w:val="none"/>
        </w:rPr>
      </w:pPr>
      <w:r>
        <w:rPr>
          <w:rFonts w:hint="eastAsia" w:hAnsi="宋体"/>
          <w:color w:val="auto"/>
          <w:sz w:val="21"/>
          <w:szCs w:val="18"/>
          <w:highlight w:val="none"/>
        </w:rPr>
        <w:t>根据《政府采购货物和服务招标投标管理办法》有下列情形之一的，视为投标人串通投标，其投标无效：</w:t>
      </w:r>
    </w:p>
    <w:p>
      <w:pPr>
        <w:pStyle w:val="18"/>
        <w:spacing w:line="400" w:lineRule="exact"/>
        <w:jc w:val="left"/>
        <w:rPr>
          <w:rFonts w:hAnsi="宋体"/>
          <w:color w:val="auto"/>
          <w:sz w:val="21"/>
          <w:szCs w:val="18"/>
          <w:highlight w:val="none"/>
        </w:rPr>
      </w:pPr>
      <w:r>
        <w:rPr>
          <w:rFonts w:hint="eastAsia" w:hAnsi="宋体"/>
          <w:color w:val="auto"/>
          <w:sz w:val="21"/>
          <w:szCs w:val="18"/>
          <w:highlight w:val="none"/>
        </w:rPr>
        <w:t>(一)不同投标人的投标文件由同一单位或者个人编制;</w:t>
      </w:r>
    </w:p>
    <w:p>
      <w:pPr>
        <w:pStyle w:val="18"/>
        <w:spacing w:line="400" w:lineRule="exact"/>
        <w:jc w:val="left"/>
        <w:rPr>
          <w:rFonts w:hAnsi="宋体"/>
          <w:color w:val="auto"/>
          <w:sz w:val="21"/>
          <w:szCs w:val="18"/>
          <w:highlight w:val="none"/>
        </w:rPr>
      </w:pPr>
      <w:r>
        <w:rPr>
          <w:rFonts w:hint="eastAsia" w:hAnsi="宋体"/>
          <w:color w:val="auto"/>
          <w:sz w:val="21"/>
          <w:szCs w:val="18"/>
          <w:highlight w:val="none"/>
        </w:rPr>
        <w:t>(二)不同投标人委托同一单位或者个人办理投标事宜;</w:t>
      </w:r>
    </w:p>
    <w:p>
      <w:pPr>
        <w:pStyle w:val="18"/>
        <w:spacing w:line="400" w:lineRule="exact"/>
        <w:jc w:val="left"/>
        <w:rPr>
          <w:rFonts w:hAnsi="宋体"/>
          <w:color w:val="auto"/>
          <w:sz w:val="21"/>
          <w:szCs w:val="18"/>
          <w:highlight w:val="none"/>
        </w:rPr>
      </w:pPr>
      <w:r>
        <w:rPr>
          <w:rFonts w:hint="eastAsia" w:hAnsi="宋体"/>
          <w:color w:val="auto"/>
          <w:sz w:val="21"/>
          <w:szCs w:val="18"/>
          <w:highlight w:val="none"/>
        </w:rPr>
        <w:t>(三)不同投标人的投标文件载明的项目管理成员或者联系人员为同一人；</w:t>
      </w:r>
    </w:p>
    <w:p>
      <w:pPr>
        <w:pStyle w:val="18"/>
        <w:spacing w:line="400" w:lineRule="exact"/>
        <w:jc w:val="left"/>
        <w:rPr>
          <w:rFonts w:hAnsi="宋体"/>
          <w:color w:val="auto"/>
          <w:sz w:val="21"/>
          <w:szCs w:val="18"/>
          <w:highlight w:val="none"/>
        </w:rPr>
      </w:pPr>
      <w:r>
        <w:rPr>
          <w:rFonts w:hint="eastAsia" w:hAnsi="宋体"/>
          <w:color w:val="auto"/>
          <w:sz w:val="21"/>
          <w:szCs w:val="18"/>
          <w:highlight w:val="none"/>
        </w:rPr>
        <w:t>(四)不同投标人的投标文件异常一致或者投标报价呈规律性差异；</w:t>
      </w:r>
    </w:p>
    <w:p>
      <w:pPr>
        <w:pStyle w:val="18"/>
        <w:spacing w:line="400" w:lineRule="exact"/>
        <w:jc w:val="left"/>
        <w:rPr>
          <w:rFonts w:hAnsi="宋体"/>
          <w:color w:val="auto"/>
          <w:sz w:val="21"/>
          <w:szCs w:val="18"/>
          <w:highlight w:val="none"/>
        </w:rPr>
      </w:pPr>
      <w:r>
        <w:rPr>
          <w:rFonts w:hint="eastAsia" w:hAnsi="宋体"/>
          <w:color w:val="auto"/>
          <w:sz w:val="21"/>
          <w:szCs w:val="18"/>
          <w:highlight w:val="none"/>
        </w:rPr>
        <w:t>(五)不同投标人的投标文件相互混装；</w:t>
      </w:r>
    </w:p>
    <w:p>
      <w:pPr>
        <w:pStyle w:val="18"/>
        <w:spacing w:line="400" w:lineRule="exact"/>
        <w:ind w:firstLine="420" w:firstLineChars="200"/>
        <w:jc w:val="left"/>
        <w:rPr>
          <w:color w:val="auto"/>
          <w:sz w:val="21"/>
          <w:szCs w:val="21"/>
          <w:highlight w:val="none"/>
        </w:rPr>
      </w:pPr>
      <w:r>
        <w:rPr>
          <w:rFonts w:hint="eastAsia" w:hAnsi="宋体"/>
          <w:color w:val="auto"/>
          <w:sz w:val="21"/>
          <w:szCs w:val="21"/>
          <w:highlight w:val="none"/>
        </w:rPr>
        <w:t>实质上没有响应招标文件要求的投标将被拒绝。投标人不得通过修正或撤消不合要求的</w:t>
      </w:r>
      <w:r>
        <w:rPr>
          <w:rFonts w:hint="eastAsia"/>
          <w:color w:val="auto"/>
          <w:sz w:val="21"/>
          <w:szCs w:val="21"/>
          <w:highlight w:val="none"/>
        </w:rPr>
        <w:t>偏离或保留从而使其投标成为实质上响应的投标，但经评标委员会认定属于投标人</w:t>
      </w:r>
      <w:r>
        <w:rPr>
          <w:rFonts w:hint="eastAsia" w:hAnsi="宋体"/>
          <w:color w:val="auto"/>
          <w:sz w:val="21"/>
          <w:szCs w:val="21"/>
          <w:highlight w:val="none"/>
        </w:rPr>
        <w:t>疏忽</w:t>
      </w:r>
      <w:r>
        <w:rPr>
          <w:rFonts w:hint="eastAsia"/>
          <w:color w:val="auto"/>
          <w:sz w:val="21"/>
          <w:szCs w:val="21"/>
          <w:highlight w:val="none"/>
        </w:rPr>
        <w:t>、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pStyle w:val="18"/>
        <w:spacing w:line="400" w:lineRule="exact"/>
        <w:jc w:val="left"/>
        <w:rPr>
          <w:rFonts w:hAnsi="宋体" w:cs="宋体"/>
          <w:b/>
          <w:color w:val="auto"/>
          <w:sz w:val="21"/>
          <w:szCs w:val="21"/>
          <w:highlight w:val="none"/>
        </w:rPr>
      </w:pPr>
      <w:r>
        <w:rPr>
          <w:rFonts w:hint="eastAsia" w:hAnsi="宋体" w:cs="宋体"/>
          <w:b/>
          <w:color w:val="auto"/>
          <w:sz w:val="21"/>
          <w:szCs w:val="21"/>
          <w:highlight w:val="none"/>
        </w:rPr>
        <w:t>8.1</w:t>
      </w:r>
      <w:r>
        <w:rPr>
          <w:rFonts w:hint="eastAsia" w:hAnsi="宋体" w:cs="宋体"/>
          <w:b/>
          <w:bCs/>
          <w:color w:val="auto"/>
          <w:sz w:val="21"/>
          <w:szCs w:val="21"/>
          <w:highlight w:val="none"/>
        </w:rPr>
        <w:t>电子投标文件解密失败的，且未在规定时间内提交备份电子投标文件的</w:t>
      </w:r>
      <w:r>
        <w:rPr>
          <w:rFonts w:hint="eastAsia" w:hAnsi="宋体" w:cs="宋体"/>
          <w:b/>
          <w:color w:val="auto"/>
          <w:sz w:val="21"/>
          <w:szCs w:val="21"/>
          <w:highlight w:val="none"/>
        </w:rPr>
        <w:t>。</w:t>
      </w:r>
    </w:p>
    <w:p>
      <w:pPr>
        <w:pStyle w:val="18"/>
        <w:spacing w:line="400" w:lineRule="exact"/>
        <w:jc w:val="left"/>
        <w:rPr>
          <w:rFonts w:ascii="Times New Roman" w:hAnsi="Times New Roman"/>
          <w:b/>
          <w:color w:val="auto"/>
          <w:sz w:val="21"/>
          <w:szCs w:val="21"/>
          <w:highlight w:val="none"/>
        </w:rPr>
      </w:pPr>
      <w:r>
        <w:rPr>
          <w:rFonts w:hint="eastAsia" w:hAnsi="宋体" w:cs="宋体"/>
          <w:b/>
          <w:color w:val="auto"/>
          <w:sz w:val="21"/>
          <w:szCs w:val="21"/>
          <w:highlight w:val="none"/>
        </w:rPr>
        <w:t>8.2</w:t>
      </w:r>
      <w:r>
        <w:rPr>
          <w:rFonts w:hint="eastAsia" w:hAnsi="宋体" w:cs="宋体"/>
          <w:b/>
          <w:bCs/>
          <w:color w:val="auto"/>
          <w:sz w:val="21"/>
          <w:szCs w:val="21"/>
          <w:highlight w:val="none"/>
        </w:rPr>
        <w:t>没有通过资格审查的，投标文件将被视为无效。</w:t>
      </w:r>
    </w:p>
    <w:p>
      <w:pPr>
        <w:pStyle w:val="13"/>
        <w:adjustRightInd w:val="0"/>
        <w:snapToGrid w:val="0"/>
        <w:spacing w:line="400" w:lineRule="exact"/>
        <w:ind w:firstLine="0"/>
        <w:rPr>
          <w:rFonts w:ascii="Times New Roman" w:hAnsi="Times New Roman"/>
          <w:b/>
          <w:color w:val="auto"/>
          <w:spacing w:val="0"/>
          <w:sz w:val="21"/>
          <w:szCs w:val="21"/>
          <w:highlight w:val="none"/>
        </w:rPr>
      </w:pPr>
      <w:r>
        <w:rPr>
          <w:rFonts w:hint="eastAsia" w:hAnsi="宋体"/>
          <w:b/>
          <w:color w:val="auto"/>
          <w:spacing w:val="0"/>
          <w:sz w:val="21"/>
          <w:szCs w:val="21"/>
          <w:highlight w:val="none"/>
        </w:rPr>
        <w:t>8.3</w:t>
      </w:r>
      <w:r>
        <w:rPr>
          <w:rFonts w:hint="eastAsia" w:ascii="Times New Roman" w:hAnsi="Times New Roman"/>
          <w:b/>
          <w:color w:val="auto"/>
          <w:spacing w:val="0"/>
          <w:sz w:val="21"/>
          <w:szCs w:val="21"/>
          <w:highlight w:val="none"/>
        </w:rPr>
        <w:t>在符合性审查和商务评审时，如发现下列情形之一的，投标文件将被视为无效：</w:t>
      </w:r>
    </w:p>
    <w:p>
      <w:pPr>
        <w:pStyle w:val="13"/>
        <w:adjustRightInd w:val="0"/>
        <w:snapToGrid w:val="0"/>
        <w:spacing w:line="400" w:lineRule="exact"/>
        <w:ind w:firstLine="0"/>
        <w:rPr>
          <w:rFonts w:hAnsi="宋体" w:cs="宋体"/>
          <w:color w:val="auto"/>
          <w:spacing w:val="0"/>
          <w:sz w:val="21"/>
          <w:szCs w:val="21"/>
          <w:highlight w:val="none"/>
        </w:rPr>
      </w:pPr>
      <w:r>
        <w:rPr>
          <w:rFonts w:hint="eastAsia" w:hAnsi="宋体" w:cs="宋体"/>
          <w:color w:val="auto"/>
          <w:spacing w:val="0"/>
          <w:sz w:val="21"/>
          <w:szCs w:val="21"/>
          <w:highlight w:val="none"/>
        </w:rPr>
        <w:t>8.3.1</w:t>
      </w:r>
      <w:r>
        <w:rPr>
          <w:rFonts w:hint="eastAsia" w:hAnsi="宋体" w:cs="宋体"/>
          <w:color w:val="auto"/>
          <w:sz w:val="21"/>
          <w:szCs w:val="21"/>
          <w:highlight w:val="none"/>
        </w:rPr>
        <w:t>电子投标文件未按规定要求提供电子签章的</w:t>
      </w:r>
      <w:r>
        <w:rPr>
          <w:rFonts w:hint="eastAsia" w:hAnsi="宋体" w:cs="宋体"/>
          <w:color w:val="auto"/>
          <w:spacing w:val="0"/>
          <w:sz w:val="21"/>
          <w:szCs w:val="21"/>
          <w:highlight w:val="none"/>
        </w:rPr>
        <w:t>；</w:t>
      </w:r>
    </w:p>
    <w:p>
      <w:pPr>
        <w:pStyle w:val="13"/>
        <w:adjustRightInd w:val="0"/>
        <w:snapToGrid w:val="0"/>
        <w:spacing w:line="400" w:lineRule="exact"/>
        <w:ind w:firstLine="0"/>
        <w:rPr>
          <w:rFonts w:hAnsi="宋体" w:cs="宋体"/>
          <w:color w:val="auto"/>
          <w:spacing w:val="0"/>
          <w:sz w:val="21"/>
          <w:szCs w:val="21"/>
          <w:highlight w:val="none"/>
        </w:rPr>
      </w:pPr>
      <w:r>
        <w:rPr>
          <w:rFonts w:hint="eastAsia" w:hAnsi="宋体" w:cs="宋体"/>
          <w:color w:val="auto"/>
          <w:spacing w:val="0"/>
          <w:sz w:val="21"/>
          <w:szCs w:val="21"/>
          <w:highlight w:val="none"/>
        </w:rPr>
        <w:t>8.3.2</w:t>
      </w:r>
      <w:r>
        <w:rPr>
          <w:rFonts w:hint="eastAsia" w:hAnsi="宋体" w:cs="宋体"/>
          <w:color w:val="auto"/>
          <w:sz w:val="21"/>
          <w:szCs w:val="21"/>
          <w:highlight w:val="none"/>
        </w:rPr>
        <w:t>在资信商务技术文件中出现报价的</w:t>
      </w:r>
      <w:r>
        <w:rPr>
          <w:rFonts w:hint="eastAsia" w:hAnsi="宋体" w:cs="宋体"/>
          <w:color w:val="auto"/>
          <w:spacing w:val="0"/>
          <w:sz w:val="21"/>
          <w:szCs w:val="21"/>
          <w:highlight w:val="none"/>
        </w:rPr>
        <w:t>；</w:t>
      </w:r>
    </w:p>
    <w:p>
      <w:pPr>
        <w:pStyle w:val="13"/>
        <w:adjustRightInd w:val="0"/>
        <w:snapToGrid w:val="0"/>
        <w:spacing w:line="400" w:lineRule="exact"/>
        <w:ind w:firstLine="0"/>
        <w:rPr>
          <w:rFonts w:hAnsi="宋体" w:cs="宋体"/>
          <w:color w:val="auto"/>
          <w:spacing w:val="0"/>
          <w:sz w:val="21"/>
          <w:szCs w:val="21"/>
          <w:highlight w:val="none"/>
        </w:rPr>
      </w:pPr>
      <w:r>
        <w:rPr>
          <w:rFonts w:hint="eastAsia" w:hAnsi="宋体" w:cs="宋体"/>
          <w:color w:val="auto"/>
          <w:spacing w:val="0"/>
          <w:sz w:val="21"/>
          <w:szCs w:val="21"/>
          <w:highlight w:val="none"/>
        </w:rPr>
        <w:t>8.3.3</w:t>
      </w:r>
      <w:r>
        <w:rPr>
          <w:rFonts w:hint="eastAsia" w:hAnsi="宋体" w:cs="宋体"/>
          <w:color w:val="auto"/>
          <w:sz w:val="21"/>
          <w:szCs w:val="21"/>
          <w:highlight w:val="none"/>
        </w:rPr>
        <w:t>资格证明文件不全的，或者不符合招标文件标明的资格要求的</w:t>
      </w:r>
      <w:r>
        <w:rPr>
          <w:rFonts w:hint="eastAsia" w:hAnsi="宋体" w:cs="宋体"/>
          <w:color w:val="auto"/>
          <w:spacing w:val="0"/>
          <w:sz w:val="21"/>
          <w:szCs w:val="21"/>
          <w:highlight w:val="none"/>
        </w:rPr>
        <w:t xml:space="preserve">； </w:t>
      </w:r>
    </w:p>
    <w:p>
      <w:pPr>
        <w:pStyle w:val="13"/>
        <w:adjustRightInd w:val="0"/>
        <w:snapToGrid w:val="0"/>
        <w:spacing w:line="400" w:lineRule="exact"/>
        <w:ind w:firstLine="0"/>
        <w:rPr>
          <w:rFonts w:hAnsi="宋体" w:cs="宋体"/>
          <w:color w:val="auto"/>
          <w:spacing w:val="0"/>
          <w:sz w:val="21"/>
          <w:szCs w:val="21"/>
          <w:highlight w:val="none"/>
        </w:rPr>
      </w:pPr>
      <w:r>
        <w:rPr>
          <w:rFonts w:hint="eastAsia" w:hAnsi="宋体" w:cs="宋体"/>
          <w:color w:val="auto"/>
          <w:spacing w:val="0"/>
          <w:sz w:val="21"/>
          <w:szCs w:val="21"/>
          <w:highlight w:val="none"/>
        </w:rPr>
        <w:t>8.3.4</w:t>
      </w:r>
      <w:r>
        <w:rPr>
          <w:rFonts w:hint="eastAsia" w:hAnsi="宋体" w:cs="宋体"/>
          <w:color w:val="auto"/>
          <w:sz w:val="21"/>
          <w:szCs w:val="21"/>
          <w:highlight w:val="none"/>
        </w:rPr>
        <w:t>投标文件无法定代表人签字（或盖章）,或未</w:t>
      </w:r>
      <w:r>
        <w:rPr>
          <w:rFonts w:hint="eastAsia" w:hAnsi="宋体" w:cs="宋体"/>
          <w:bCs/>
          <w:color w:val="auto"/>
          <w:kern w:val="0"/>
          <w:sz w:val="21"/>
          <w:szCs w:val="21"/>
          <w:highlight w:val="none"/>
        </w:rPr>
        <w:t>提供法定代表人授权委托书、投标声明书或者填写项目不齐全的</w:t>
      </w:r>
      <w:r>
        <w:rPr>
          <w:rFonts w:hint="eastAsia" w:hAnsi="宋体" w:cs="宋体"/>
          <w:color w:val="auto"/>
          <w:spacing w:val="0"/>
          <w:sz w:val="21"/>
          <w:szCs w:val="21"/>
          <w:highlight w:val="none"/>
        </w:rPr>
        <w:t>；</w:t>
      </w:r>
    </w:p>
    <w:p>
      <w:pPr>
        <w:pStyle w:val="13"/>
        <w:adjustRightInd w:val="0"/>
        <w:snapToGrid w:val="0"/>
        <w:spacing w:line="400" w:lineRule="exact"/>
        <w:ind w:firstLine="0"/>
        <w:rPr>
          <w:rFonts w:hAnsi="宋体" w:cs="宋体"/>
          <w:color w:val="auto"/>
          <w:spacing w:val="0"/>
          <w:sz w:val="21"/>
          <w:szCs w:val="21"/>
          <w:highlight w:val="none"/>
        </w:rPr>
      </w:pPr>
      <w:r>
        <w:rPr>
          <w:rFonts w:hint="eastAsia" w:hAnsi="宋体" w:cs="宋体"/>
          <w:color w:val="auto"/>
          <w:spacing w:val="0"/>
          <w:sz w:val="21"/>
          <w:szCs w:val="21"/>
          <w:highlight w:val="none"/>
        </w:rPr>
        <w:t>8.3.5</w:t>
      </w:r>
      <w:r>
        <w:rPr>
          <w:rFonts w:hint="eastAsia" w:hAnsi="宋体" w:cs="宋体"/>
          <w:color w:val="auto"/>
          <w:sz w:val="21"/>
          <w:szCs w:val="21"/>
          <w:highlight w:val="none"/>
        </w:rPr>
        <w:t>投标文件格式不规范、项目不齐全或者内容虚假的</w:t>
      </w:r>
      <w:r>
        <w:rPr>
          <w:rFonts w:hint="eastAsia" w:hAnsi="宋体" w:cs="宋体"/>
          <w:color w:val="auto"/>
          <w:spacing w:val="0"/>
          <w:sz w:val="21"/>
          <w:szCs w:val="21"/>
          <w:highlight w:val="none"/>
        </w:rPr>
        <w:t>；</w:t>
      </w:r>
    </w:p>
    <w:p>
      <w:pPr>
        <w:pStyle w:val="13"/>
        <w:adjustRightInd w:val="0"/>
        <w:snapToGrid w:val="0"/>
        <w:spacing w:line="400" w:lineRule="exact"/>
        <w:ind w:firstLine="0"/>
        <w:rPr>
          <w:rFonts w:hAnsi="宋体" w:cs="宋体"/>
          <w:color w:val="auto"/>
          <w:spacing w:val="0"/>
          <w:sz w:val="21"/>
          <w:szCs w:val="21"/>
          <w:highlight w:val="none"/>
        </w:rPr>
      </w:pPr>
      <w:r>
        <w:rPr>
          <w:rFonts w:hint="eastAsia" w:hAnsi="宋体" w:cs="宋体"/>
          <w:color w:val="auto"/>
          <w:spacing w:val="0"/>
          <w:sz w:val="21"/>
          <w:szCs w:val="21"/>
          <w:highlight w:val="none"/>
        </w:rPr>
        <w:t>8.3.6</w:t>
      </w:r>
      <w:r>
        <w:rPr>
          <w:rFonts w:hint="eastAsia" w:hAnsi="宋体" w:cs="宋体"/>
          <w:color w:val="auto"/>
          <w:sz w:val="21"/>
          <w:szCs w:val="21"/>
          <w:highlight w:val="none"/>
        </w:rPr>
        <w:t>投标文件的实质性内容未使用中文表述、意思表述不明确、前后矛盾或者使用计量单位不符合招标文件要求的（经评标委员会认定并允许其更正的笔误除外）</w:t>
      </w:r>
      <w:r>
        <w:rPr>
          <w:rFonts w:hint="eastAsia" w:hAnsi="宋体" w:cs="宋体"/>
          <w:color w:val="auto"/>
          <w:spacing w:val="0"/>
          <w:sz w:val="21"/>
          <w:szCs w:val="21"/>
          <w:highlight w:val="none"/>
        </w:rPr>
        <w:t>；</w:t>
      </w:r>
    </w:p>
    <w:p>
      <w:pPr>
        <w:pStyle w:val="13"/>
        <w:adjustRightInd w:val="0"/>
        <w:snapToGrid w:val="0"/>
        <w:spacing w:line="400" w:lineRule="exact"/>
        <w:ind w:firstLine="0"/>
        <w:rPr>
          <w:rFonts w:hAnsi="宋体" w:cs="宋体"/>
          <w:snapToGrid w:val="0"/>
          <w:color w:val="auto"/>
          <w:sz w:val="21"/>
          <w:szCs w:val="21"/>
          <w:highlight w:val="none"/>
        </w:rPr>
      </w:pPr>
      <w:r>
        <w:rPr>
          <w:rFonts w:hint="eastAsia" w:hAnsi="宋体" w:cs="宋体"/>
          <w:color w:val="auto"/>
          <w:spacing w:val="0"/>
          <w:sz w:val="21"/>
          <w:szCs w:val="21"/>
          <w:highlight w:val="none"/>
        </w:rPr>
        <w:t>8.3.7</w:t>
      </w:r>
      <w:r>
        <w:rPr>
          <w:rFonts w:hint="eastAsia" w:hAnsi="宋体" w:cs="宋体"/>
          <w:snapToGrid w:val="0"/>
          <w:color w:val="auto"/>
          <w:sz w:val="21"/>
          <w:szCs w:val="21"/>
          <w:highlight w:val="none"/>
        </w:rPr>
        <w:t>投标有效期、交货期、质保期等商务条款不能满足招标文件要求的；</w:t>
      </w:r>
    </w:p>
    <w:p>
      <w:pPr>
        <w:pStyle w:val="13"/>
        <w:adjustRightInd w:val="0"/>
        <w:snapToGrid w:val="0"/>
        <w:spacing w:line="400" w:lineRule="exact"/>
        <w:ind w:firstLine="0"/>
        <w:rPr>
          <w:rFonts w:hAnsi="宋体" w:cs="宋体"/>
          <w:color w:val="auto"/>
          <w:sz w:val="21"/>
          <w:szCs w:val="21"/>
          <w:highlight w:val="none"/>
        </w:rPr>
      </w:pPr>
      <w:r>
        <w:rPr>
          <w:rFonts w:hint="eastAsia" w:hAnsi="宋体" w:cs="宋体"/>
          <w:color w:val="auto"/>
          <w:sz w:val="21"/>
          <w:szCs w:val="21"/>
          <w:highlight w:val="none"/>
        </w:rPr>
        <w:t>8.3.8未实质性响应招标文件要求或者投标文件有招标方不能接受的附加条件的；</w:t>
      </w:r>
    </w:p>
    <w:p>
      <w:pPr>
        <w:pStyle w:val="13"/>
        <w:adjustRightInd w:val="0"/>
        <w:snapToGrid w:val="0"/>
        <w:spacing w:line="400" w:lineRule="exact"/>
        <w:ind w:firstLine="0"/>
        <w:rPr>
          <w:rFonts w:hAnsi="宋体" w:cs="宋体"/>
          <w:color w:val="auto"/>
          <w:sz w:val="21"/>
          <w:szCs w:val="21"/>
          <w:highlight w:val="none"/>
        </w:rPr>
      </w:pPr>
      <w:r>
        <w:rPr>
          <w:rFonts w:hint="eastAsia" w:hAnsi="宋体" w:cs="宋体"/>
          <w:color w:val="auto"/>
          <w:sz w:val="21"/>
          <w:szCs w:val="21"/>
          <w:highlight w:val="none"/>
        </w:rPr>
        <w:t>8.3.9不符合本招标文件中的实质性要求条款</w:t>
      </w:r>
    </w:p>
    <w:p>
      <w:pPr>
        <w:pStyle w:val="13"/>
        <w:adjustRightInd w:val="0"/>
        <w:snapToGrid w:val="0"/>
        <w:spacing w:line="400" w:lineRule="exact"/>
        <w:ind w:firstLine="0"/>
        <w:rPr>
          <w:rFonts w:ascii="Times New Roman" w:hAnsi="Times New Roman"/>
          <w:b/>
          <w:color w:val="auto"/>
          <w:spacing w:val="0"/>
          <w:sz w:val="21"/>
          <w:szCs w:val="21"/>
          <w:highlight w:val="none"/>
        </w:rPr>
      </w:pPr>
      <w:r>
        <w:rPr>
          <w:rFonts w:hint="eastAsia" w:hAnsi="宋体"/>
          <w:b/>
          <w:color w:val="auto"/>
          <w:spacing w:val="0"/>
          <w:sz w:val="21"/>
          <w:szCs w:val="24"/>
          <w:highlight w:val="none"/>
        </w:rPr>
        <w:t>8.4</w:t>
      </w:r>
      <w:r>
        <w:rPr>
          <w:rFonts w:hint="eastAsia" w:ascii="Times New Roman" w:hAnsi="Times New Roman"/>
          <w:b/>
          <w:color w:val="auto"/>
          <w:spacing w:val="0"/>
          <w:sz w:val="21"/>
          <w:szCs w:val="21"/>
          <w:highlight w:val="none"/>
        </w:rPr>
        <w:t>在技术评审时，如发现下列情形之一的，投标文件将被视为无效：</w:t>
      </w:r>
    </w:p>
    <w:p>
      <w:pPr>
        <w:pStyle w:val="13"/>
        <w:adjustRightInd w:val="0"/>
        <w:snapToGrid w:val="0"/>
        <w:spacing w:line="400" w:lineRule="exact"/>
        <w:ind w:firstLine="0"/>
        <w:rPr>
          <w:rFonts w:hAnsi="宋体" w:cs="宋体"/>
          <w:color w:val="auto"/>
          <w:spacing w:val="0"/>
          <w:sz w:val="21"/>
          <w:szCs w:val="21"/>
          <w:highlight w:val="none"/>
        </w:rPr>
      </w:pPr>
      <w:r>
        <w:rPr>
          <w:rFonts w:hint="eastAsia" w:hAnsi="宋体" w:cs="宋体"/>
          <w:color w:val="auto"/>
          <w:spacing w:val="0"/>
          <w:sz w:val="21"/>
          <w:szCs w:val="21"/>
          <w:highlight w:val="none"/>
        </w:rPr>
        <w:t>8.4.1未提供或未如实提供投标货物的技术参数，或者投标文件标明的响应或偏离与事实不符或虚假投标的；</w:t>
      </w:r>
    </w:p>
    <w:p>
      <w:pPr>
        <w:pStyle w:val="13"/>
        <w:adjustRightInd w:val="0"/>
        <w:snapToGrid w:val="0"/>
        <w:spacing w:line="400" w:lineRule="exact"/>
        <w:ind w:firstLine="0"/>
        <w:rPr>
          <w:rFonts w:hAnsi="宋体" w:cs="宋体"/>
          <w:color w:val="auto"/>
          <w:spacing w:val="0"/>
          <w:sz w:val="21"/>
          <w:szCs w:val="21"/>
          <w:highlight w:val="none"/>
        </w:rPr>
      </w:pPr>
      <w:r>
        <w:rPr>
          <w:rFonts w:hint="eastAsia" w:hAnsi="宋体" w:cs="宋体"/>
          <w:color w:val="auto"/>
          <w:spacing w:val="0"/>
          <w:sz w:val="21"/>
          <w:szCs w:val="21"/>
          <w:highlight w:val="none"/>
        </w:rPr>
        <w:t>8.4.2明显不符合招标文件要求的规格型号、质量标准，或者与招标文件中标“▲”的技术指标、主要功能项目发生实质性偏离的；</w:t>
      </w:r>
    </w:p>
    <w:p>
      <w:pPr>
        <w:pStyle w:val="13"/>
        <w:adjustRightInd w:val="0"/>
        <w:snapToGrid w:val="0"/>
        <w:spacing w:line="400" w:lineRule="exact"/>
        <w:ind w:firstLine="0"/>
        <w:rPr>
          <w:rFonts w:hAnsi="宋体" w:cs="宋体"/>
          <w:color w:val="auto"/>
          <w:spacing w:val="0"/>
          <w:sz w:val="21"/>
          <w:szCs w:val="21"/>
          <w:highlight w:val="none"/>
        </w:rPr>
      </w:pPr>
      <w:r>
        <w:rPr>
          <w:rFonts w:hint="eastAsia" w:hAnsi="宋体" w:cs="宋体"/>
          <w:color w:val="auto"/>
          <w:spacing w:val="0"/>
          <w:sz w:val="21"/>
          <w:szCs w:val="21"/>
          <w:highlight w:val="none"/>
        </w:rPr>
        <w:t>8.4.3投标技术方案不明确，存在一个或一个以上备选（替代）供应商方案的；</w:t>
      </w:r>
    </w:p>
    <w:p>
      <w:pPr>
        <w:pStyle w:val="13"/>
        <w:adjustRightInd w:val="0"/>
        <w:snapToGrid w:val="0"/>
        <w:spacing w:line="400" w:lineRule="exact"/>
        <w:ind w:firstLine="0"/>
        <w:rPr>
          <w:rFonts w:hAnsi="宋体"/>
          <w:b/>
          <w:color w:val="auto"/>
          <w:spacing w:val="0"/>
          <w:sz w:val="21"/>
          <w:szCs w:val="24"/>
          <w:highlight w:val="none"/>
        </w:rPr>
      </w:pPr>
      <w:r>
        <w:rPr>
          <w:rFonts w:hint="eastAsia" w:hAnsi="宋体"/>
          <w:b/>
          <w:color w:val="auto"/>
          <w:spacing w:val="0"/>
          <w:sz w:val="21"/>
          <w:szCs w:val="24"/>
          <w:highlight w:val="none"/>
        </w:rPr>
        <w:t>8.5在报价评审时，如发现下列情形之一的，投标文件将被视为无效：</w:t>
      </w:r>
    </w:p>
    <w:p>
      <w:pPr>
        <w:pStyle w:val="13"/>
        <w:adjustRightInd w:val="0"/>
        <w:snapToGrid w:val="0"/>
        <w:spacing w:line="400" w:lineRule="exact"/>
        <w:ind w:firstLine="0"/>
        <w:rPr>
          <w:rFonts w:hAnsi="宋体" w:cs="宋体"/>
          <w:color w:val="auto"/>
          <w:spacing w:val="0"/>
          <w:sz w:val="21"/>
          <w:szCs w:val="21"/>
          <w:highlight w:val="none"/>
        </w:rPr>
      </w:pPr>
      <w:r>
        <w:rPr>
          <w:rFonts w:hint="eastAsia" w:hAnsi="宋体" w:cs="宋体"/>
          <w:color w:val="auto"/>
          <w:spacing w:val="0"/>
          <w:sz w:val="21"/>
          <w:szCs w:val="21"/>
          <w:highlight w:val="none"/>
        </w:rPr>
        <w:t>8.5.1未采用人民币报价或者未按照招标文件标明的币种报价的；</w:t>
      </w:r>
    </w:p>
    <w:p>
      <w:pPr>
        <w:pStyle w:val="13"/>
        <w:adjustRightInd w:val="0"/>
        <w:snapToGrid w:val="0"/>
        <w:spacing w:line="400" w:lineRule="exact"/>
        <w:ind w:firstLine="0"/>
        <w:rPr>
          <w:rFonts w:hAnsi="宋体" w:cs="宋体"/>
          <w:color w:val="auto"/>
          <w:spacing w:val="0"/>
          <w:sz w:val="21"/>
          <w:szCs w:val="21"/>
          <w:highlight w:val="none"/>
        </w:rPr>
      </w:pPr>
      <w:r>
        <w:rPr>
          <w:rFonts w:hint="eastAsia" w:hAnsi="宋体" w:cs="宋体"/>
          <w:color w:val="auto"/>
          <w:spacing w:val="0"/>
          <w:sz w:val="21"/>
          <w:szCs w:val="21"/>
          <w:highlight w:val="none"/>
        </w:rPr>
        <w:t>8.5.2报价超出最高限价；</w:t>
      </w:r>
    </w:p>
    <w:p>
      <w:pPr>
        <w:pStyle w:val="13"/>
        <w:adjustRightInd w:val="0"/>
        <w:snapToGrid w:val="0"/>
        <w:spacing w:line="400" w:lineRule="exact"/>
        <w:ind w:firstLine="0"/>
        <w:rPr>
          <w:rFonts w:hAnsi="宋体"/>
          <w:color w:val="auto"/>
          <w:spacing w:val="0"/>
          <w:sz w:val="21"/>
          <w:szCs w:val="24"/>
          <w:highlight w:val="none"/>
        </w:rPr>
      </w:pPr>
      <w:r>
        <w:rPr>
          <w:rFonts w:hint="eastAsia" w:hAnsi="宋体" w:cs="宋体"/>
          <w:color w:val="auto"/>
          <w:spacing w:val="0"/>
          <w:sz w:val="21"/>
          <w:szCs w:val="21"/>
          <w:highlight w:val="none"/>
        </w:rPr>
        <w:t xml:space="preserve">8.5.3投标报价具有选择性，或者开标价格与投标文件承诺的优惠（折扣）价格不一致的。       </w:t>
      </w:r>
    </w:p>
    <w:p>
      <w:pPr>
        <w:pStyle w:val="13"/>
        <w:adjustRightInd w:val="0"/>
        <w:snapToGrid w:val="0"/>
        <w:spacing w:line="400" w:lineRule="exact"/>
        <w:ind w:firstLine="0"/>
        <w:rPr>
          <w:rFonts w:hAnsi="宋体"/>
          <w:b/>
          <w:color w:val="auto"/>
          <w:spacing w:val="0"/>
          <w:sz w:val="21"/>
          <w:szCs w:val="24"/>
          <w:highlight w:val="none"/>
        </w:rPr>
      </w:pPr>
      <w:r>
        <w:rPr>
          <w:rFonts w:hint="eastAsia" w:hAnsi="宋体"/>
          <w:b/>
          <w:color w:val="auto"/>
          <w:spacing w:val="0"/>
          <w:sz w:val="21"/>
          <w:szCs w:val="24"/>
          <w:highlight w:val="none"/>
        </w:rPr>
        <w:t>8.6符合招标文件明确规定的其他无效投标条款的。</w:t>
      </w:r>
    </w:p>
    <w:p>
      <w:pPr>
        <w:pStyle w:val="18"/>
        <w:tabs>
          <w:tab w:val="left" w:pos="630"/>
        </w:tabs>
        <w:spacing w:line="400" w:lineRule="exact"/>
        <w:jc w:val="left"/>
        <w:rPr>
          <w:rFonts w:hAnsi="宋体"/>
          <w:b/>
          <w:color w:val="auto"/>
          <w:sz w:val="21"/>
          <w:szCs w:val="21"/>
          <w:highlight w:val="none"/>
        </w:rPr>
      </w:pPr>
      <w:r>
        <w:rPr>
          <w:rFonts w:hint="eastAsia" w:hAnsi="宋体"/>
          <w:b/>
          <w:color w:val="auto"/>
          <w:sz w:val="21"/>
          <w:szCs w:val="21"/>
          <w:highlight w:val="none"/>
        </w:rPr>
        <w:t>9. 评标原则和评标办法</w:t>
      </w:r>
    </w:p>
    <w:p>
      <w:pPr>
        <w:pStyle w:val="18"/>
        <w:spacing w:line="400" w:lineRule="exact"/>
        <w:jc w:val="left"/>
        <w:rPr>
          <w:rFonts w:hAnsi="宋体"/>
          <w:color w:val="auto"/>
          <w:sz w:val="21"/>
          <w:szCs w:val="21"/>
          <w:highlight w:val="none"/>
        </w:rPr>
      </w:pPr>
      <w:r>
        <w:rPr>
          <w:rFonts w:hint="eastAsia" w:hAnsi="宋体"/>
          <w:color w:val="auto"/>
          <w:sz w:val="21"/>
          <w:szCs w:val="21"/>
          <w:highlight w:val="none"/>
        </w:rPr>
        <w:t>9.1 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pPr>
        <w:pStyle w:val="18"/>
        <w:spacing w:line="400" w:lineRule="exact"/>
        <w:jc w:val="left"/>
        <w:rPr>
          <w:rFonts w:hAnsi="宋体"/>
          <w:color w:val="auto"/>
          <w:sz w:val="21"/>
          <w:szCs w:val="21"/>
          <w:highlight w:val="none"/>
        </w:rPr>
      </w:pPr>
      <w:r>
        <w:rPr>
          <w:rFonts w:hint="eastAsia" w:hAnsi="宋体"/>
          <w:color w:val="auto"/>
          <w:sz w:val="21"/>
          <w:szCs w:val="21"/>
          <w:highlight w:val="none"/>
        </w:rPr>
        <w:t>9.2</w:t>
      </w:r>
      <w:r>
        <w:rPr>
          <w:rFonts w:hAnsi="宋体"/>
          <w:color w:val="auto"/>
          <w:sz w:val="21"/>
          <w:szCs w:val="21"/>
          <w:highlight w:val="none"/>
        </w:rPr>
        <w:t>评标过程的监控</w:t>
      </w:r>
      <w:r>
        <w:rPr>
          <w:rFonts w:hint="eastAsia" w:hAnsi="宋体"/>
          <w:color w:val="auto"/>
          <w:sz w:val="21"/>
          <w:szCs w:val="21"/>
          <w:highlight w:val="none"/>
        </w:rPr>
        <w:t>。</w:t>
      </w:r>
      <w:r>
        <w:rPr>
          <w:rFonts w:hAnsi="宋体"/>
          <w:color w:val="auto"/>
          <w:sz w:val="21"/>
          <w:szCs w:val="21"/>
          <w:highlight w:val="none"/>
        </w:rPr>
        <w:t>本项目评标过程实行全程录音、录像监控</w:t>
      </w:r>
      <w:r>
        <w:rPr>
          <w:rFonts w:hint="eastAsia" w:hAnsi="宋体"/>
          <w:color w:val="auto"/>
          <w:sz w:val="21"/>
          <w:szCs w:val="21"/>
          <w:highlight w:val="none"/>
        </w:rPr>
        <w:t>。</w:t>
      </w:r>
      <w:r>
        <w:rPr>
          <w:rFonts w:hAnsi="宋体"/>
          <w:color w:val="auto"/>
          <w:sz w:val="21"/>
          <w:szCs w:val="21"/>
          <w:highlight w:val="none"/>
        </w:rPr>
        <w:t>投标人在评标过程中所进行的试图影响评标结果的不公正活动，可能导致其投标被拒绝。</w:t>
      </w:r>
    </w:p>
    <w:p>
      <w:pPr>
        <w:pStyle w:val="18"/>
        <w:spacing w:line="400" w:lineRule="exact"/>
        <w:jc w:val="left"/>
        <w:rPr>
          <w:rFonts w:hAnsi="宋体"/>
          <w:b/>
          <w:color w:val="auto"/>
          <w:sz w:val="30"/>
          <w:szCs w:val="30"/>
          <w:highlight w:val="none"/>
        </w:rPr>
      </w:pPr>
      <w:r>
        <w:rPr>
          <w:rFonts w:hint="eastAsia"/>
          <w:color w:val="auto"/>
          <w:sz w:val="21"/>
          <w:szCs w:val="21"/>
          <w:highlight w:val="none"/>
        </w:rPr>
        <w:t>9.3评标办法。本项目的具体评标办法详见第四章的《评标办法及评分标准》。</w:t>
      </w:r>
      <w:bookmarkStart w:id="58" w:name="_Toc177870555"/>
    </w:p>
    <w:p>
      <w:pPr>
        <w:spacing w:before="120" w:beforeLines="50" w:after="120" w:afterLines="50" w:line="400" w:lineRule="exact"/>
        <w:ind w:left="238"/>
        <w:jc w:val="center"/>
        <w:outlineLvl w:val="1"/>
        <w:rPr>
          <w:rFonts w:ascii="宋体" w:hAnsi="宋体"/>
          <w:b/>
          <w:color w:val="auto"/>
          <w:sz w:val="28"/>
          <w:szCs w:val="28"/>
          <w:highlight w:val="none"/>
        </w:rPr>
      </w:pPr>
      <w:bookmarkStart w:id="59" w:name="_Toc20851"/>
      <w:r>
        <w:rPr>
          <w:rFonts w:hint="eastAsia" w:ascii="宋体" w:hAnsi="宋体"/>
          <w:b/>
          <w:color w:val="auto"/>
          <w:sz w:val="28"/>
          <w:szCs w:val="28"/>
          <w:highlight w:val="none"/>
        </w:rPr>
        <w:t>六、定标</w:t>
      </w:r>
      <w:bookmarkEnd w:id="58"/>
      <w:bookmarkEnd w:id="59"/>
    </w:p>
    <w:p>
      <w:pPr>
        <w:pStyle w:val="18"/>
        <w:spacing w:line="400" w:lineRule="exact"/>
        <w:jc w:val="left"/>
        <w:rPr>
          <w:b/>
          <w:bCs/>
          <w:color w:val="auto"/>
          <w:sz w:val="21"/>
          <w:szCs w:val="18"/>
          <w:highlight w:val="none"/>
        </w:rPr>
      </w:pPr>
      <w:bookmarkStart w:id="60" w:name="_Toc107820051"/>
      <w:bookmarkStart w:id="61" w:name="_Toc170792772"/>
      <w:bookmarkStart w:id="62" w:name="_Toc177870556"/>
      <w:r>
        <w:rPr>
          <w:rFonts w:hint="eastAsia"/>
          <w:b/>
          <w:bCs/>
          <w:color w:val="auto"/>
          <w:sz w:val="21"/>
          <w:szCs w:val="18"/>
          <w:highlight w:val="none"/>
        </w:rPr>
        <w:t>1.确定中标人。本项目由采购人确定中标人。</w:t>
      </w:r>
    </w:p>
    <w:p>
      <w:pPr>
        <w:pStyle w:val="18"/>
        <w:spacing w:line="400" w:lineRule="exact"/>
        <w:jc w:val="left"/>
        <w:rPr>
          <w:color w:val="auto"/>
          <w:sz w:val="21"/>
          <w:szCs w:val="18"/>
          <w:highlight w:val="none"/>
        </w:rPr>
      </w:pPr>
      <w:r>
        <w:rPr>
          <w:rFonts w:hint="eastAsia"/>
          <w:color w:val="auto"/>
          <w:sz w:val="21"/>
          <w:szCs w:val="18"/>
          <w:highlight w:val="none"/>
        </w:rPr>
        <w:t>1.1采购代理机构在评标结束后2个工作日内将评标报告交采购人确认，同时在发布招标公告的网站上对评标结果进行公告。</w:t>
      </w:r>
    </w:p>
    <w:p>
      <w:pPr>
        <w:pStyle w:val="18"/>
        <w:spacing w:line="400" w:lineRule="exact"/>
        <w:jc w:val="left"/>
        <w:rPr>
          <w:color w:val="auto"/>
          <w:sz w:val="21"/>
          <w:szCs w:val="18"/>
          <w:highlight w:val="none"/>
        </w:rPr>
      </w:pPr>
      <w:r>
        <w:rPr>
          <w:rFonts w:hint="eastAsia"/>
          <w:color w:val="auto"/>
          <w:sz w:val="21"/>
          <w:szCs w:val="18"/>
          <w:highlight w:val="none"/>
        </w:rPr>
        <w:t>2.投标人对评标结果无异议的，采购人应在收到评标报告后5个工作日内对评标结果进行确认。如有投标人对评标结果提出质疑的，采购人可在质疑处理完毕后确定中标人。</w:t>
      </w:r>
    </w:p>
    <w:p>
      <w:pPr>
        <w:pStyle w:val="18"/>
        <w:spacing w:line="400" w:lineRule="exact"/>
        <w:jc w:val="left"/>
        <w:rPr>
          <w:color w:val="auto"/>
          <w:sz w:val="21"/>
          <w:szCs w:val="18"/>
          <w:highlight w:val="none"/>
        </w:rPr>
      </w:pPr>
      <w:r>
        <w:rPr>
          <w:rFonts w:hint="eastAsia"/>
          <w:color w:val="auto"/>
          <w:sz w:val="21"/>
          <w:szCs w:val="18"/>
          <w:highlight w:val="none"/>
        </w:rPr>
        <w:t>3.在公告中标结果的同时，采购代理机构向中标人发出中标通知书。</w:t>
      </w:r>
    </w:p>
    <w:p>
      <w:pPr>
        <w:spacing w:before="120" w:beforeLines="50" w:after="120" w:afterLines="50" w:line="400" w:lineRule="exact"/>
        <w:ind w:left="238"/>
        <w:jc w:val="center"/>
        <w:outlineLvl w:val="1"/>
        <w:rPr>
          <w:rFonts w:ascii="宋体" w:hAnsi="宋体"/>
          <w:b/>
          <w:color w:val="auto"/>
          <w:sz w:val="28"/>
          <w:szCs w:val="28"/>
          <w:highlight w:val="none"/>
        </w:rPr>
      </w:pPr>
      <w:bookmarkStart w:id="63" w:name="_Toc7621"/>
      <w:r>
        <w:rPr>
          <w:rFonts w:hint="eastAsia" w:ascii="宋体" w:hAnsi="宋体"/>
          <w:b/>
          <w:color w:val="auto"/>
          <w:sz w:val="28"/>
          <w:szCs w:val="28"/>
          <w:highlight w:val="none"/>
        </w:rPr>
        <w:t>七、合同</w:t>
      </w:r>
      <w:bookmarkEnd w:id="60"/>
      <w:bookmarkEnd w:id="61"/>
      <w:r>
        <w:rPr>
          <w:rFonts w:hint="eastAsia" w:ascii="宋体" w:hAnsi="宋体"/>
          <w:b/>
          <w:color w:val="auto"/>
          <w:sz w:val="28"/>
          <w:szCs w:val="28"/>
          <w:highlight w:val="none"/>
        </w:rPr>
        <w:t>授予</w:t>
      </w:r>
      <w:bookmarkEnd w:id="62"/>
      <w:bookmarkEnd w:id="63"/>
    </w:p>
    <w:p>
      <w:pPr>
        <w:spacing w:line="40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签订合同</w:t>
      </w:r>
    </w:p>
    <w:p>
      <w:pPr>
        <w:spacing w:line="40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中标人自接到中标通知书后30日内与采购人签定合同，同时采购代理机构对合同内容进行审查，如发现与采购结果和投标承诺内容不一致的，将予以纠正。</w:t>
      </w:r>
    </w:p>
    <w:p>
      <w:pPr>
        <w:spacing w:line="40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2中标人拒绝与采购人签订合同的，将被取消中标资格。采购人可以按照评标报告推荐的中标候选人名单排序，确定下一候选人为中标供应商，也可以重新开展政府采购活动。</w:t>
      </w:r>
    </w:p>
    <w:p>
      <w:pPr>
        <w:spacing w:line="400" w:lineRule="exact"/>
        <w:rPr>
          <w:rFonts w:ascii="宋体" w:hAnsi="宋体"/>
          <w:color w:val="auto"/>
          <w:szCs w:val="21"/>
          <w:highlight w:val="none"/>
        </w:rPr>
      </w:pPr>
      <w:r>
        <w:rPr>
          <w:rFonts w:hint="eastAsia" w:ascii="宋体" w:hAnsi="宋体"/>
          <w:color w:val="auto"/>
          <w:szCs w:val="21"/>
          <w:highlight w:val="none"/>
        </w:rPr>
        <w:t>1.3采购人应当自政府采购合同签订之日起2个工作日内，将政府采购合同在省级以上人民政府财政部门指定的媒体上公告，但政府采购合同中涉及国家秘密、商业秘密的内容除外。</w:t>
      </w:r>
    </w:p>
    <w:p>
      <w:pPr>
        <w:pStyle w:val="18"/>
        <w:spacing w:line="400" w:lineRule="exact"/>
        <w:rPr>
          <w:rFonts w:hAnsi="宋体"/>
          <w:color w:val="auto"/>
          <w:sz w:val="21"/>
          <w:szCs w:val="21"/>
          <w:highlight w:val="none"/>
        </w:rPr>
      </w:pPr>
      <w:r>
        <w:rPr>
          <w:rFonts w:hint="eastAsia" w:hAnsi="宋体"/>
          <w:color w:val="auto"/>
          <w:sz w:val="21"/>
          <w:szCs w:val="21"/>
          <w:highlight w:val="none"/>
        </w:rPr>
        <w:t>2.履约保证金</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无</w:t>
      </w:r>
      <w:r>
        <w:rPr>
          <w:rFonts w:hint="eastAsia" w:hAnsi="宋体"/>
          <w:color w:val="auto"/>
          <w:sz w:val="21"/>
          <w:szCs w:val="21"/>
          <w:highlight w:val="none"/>
        </w:rPr>
        <w:t>。</w:t>
      </w:r>
    </w:p>
    <w:p>
      <w:pPr>
        <w:pStyle w:val="18"/>
        <w:spacing w:line="360" w:lineRule="auto"/>
        <w:rPr>
          <w:rFonts w:hAnsi="宋体"/>
          <w:b/>
          <w:color w:val="auto"/>
          <w:sz w:val="21"/>
          <w:szCs w:val="21"/>
          <w:highlight w:val="none"/>
        </w:rPr>
      </w:pPr>
      <w:r>
        <w:rPr>
          <w:rFonts w:hint="eastAsia" w:hAnsi="宋体"/>
          <w:b/>
          <w:color w:val="auto"/>
          <w:sz w:val="21"/>
          <w:szCs w:val="21"/>
          <w:highlight w:val="none"/>
        </w:rPr>
        <w:t>3、▲中标服务费</w:t>
      </w:r>
    </w:p>
    <w:p>
      <w:pPr>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3.1各标项中标供应商须向采购代理机构按如下标准交纳中标服务费：</w:t>
      </w:r>
      <w:r>
        <w:rPr>
          <w:rFonts w:hint="eastAsia" w:ascii="宋体" w:hAnsi="宋体" w:eastAsia="宋体"/>
          <w:b/>
          <w:color w:val="auto"/>
          <w:szCs w:val="21"/>
          <w:highlight w:val="none"/>
          <w:lang w:val="en-US" w:eastAsia="zh-CN"/>
        </w:rPr>
        <w:t>以各标项中标通知书中确定的中标金额作为收费的计算基数，按《招标代理服务收费管理暂行办法》（计价格[2002]1980号）标准收费的90%计取</w:t>
      </w:r>
      <w:r>
        <w:rPr>
          <w:rFonts w:hint="eastAsia" w:ascii="宋体" w:hAnsi="宋体" w:eastAsia="宋体"/>
          <w:b/>
          <w:color w:val="auto"/>
          <w:szCs w:val="21"/>
          <w:highlight w:val="none"/>
        </w:rPr>
        <w:t>。</w:t>
      </w:r>
      <w:r>
        <w:rPr>
          <w:rFonts w:hint="eastAsia" w:ascii="宋体" w:hAnsi="宋体"/>
          <w:b/>
          <w:color w:val="auto"/>
          <w:szCs w:val="21"/>
          <w:highlight w:val="none"/>
        </w:rPr>
        <w:t>投标报价时应综合考虑这项费用</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于</w:t>
      </w:r>
      <w:r>
        <w:rPr>
          <w:rFonts w:hint="eastAsia" w:ascii="宋体" w:hAnsi="宋体"/>
          <w:b/>
          <w:color w:val="auto"/>
          <w:szCs w:val="21"/>
          <w:highlight w:val="none"/>
        </w:rPr>
        <w:t>本次项目中标通知书发出之日起10个工作日内一次性支付。</w:t>
      </w:r>
    </w:p>
    <w:p>
      <w:pPr>
        <w:rPr>
          <w:rFonts w:ascii="宋体" w:hAnsi="宋体"/>
          <w:b/>
          <w:color w:val="auto"/>
          <w:szCs w:val="21"/>
          <w:highlight w:val="none"/>
        </w:rPr>
      </w:pPr>
    </w:p>
    <w:p>
      <w:pPr>
        <w:snapToGrid w:val="0"/>
        <w:spacing w:line="360" w:lineRule="auto"/>
        <w:jc w:val="left"/>
        <w:rPr>
          <w:rFonts w:hint="eastAsia" w:ascii="宋体" w:hAnsi="宋体" w:eastAsia="宋体"/>
          <w:b/>
          <w:color w:val="auto"/>
          <w:szCs w:val="21"/>
          <w:highlight w:val="none"/>
        </w:rPr>
      </w:pPr>
      <w:r>
        <w:rPr>
          <w:rFonts w:hint="eastAsia" w:ascii="宋体" w:hAnsi="宋体" w:eastAsia="宋体"/>
          <w:b/>
          <w:color w:val="auto"/>
          <w:szCs w:val="21"/>
          <w:highlight w:val="none"/>
        </w:rPr>
        <w:t>单位全称：</w:t>
      </w:r>
      <w:r>
        <w:rPr>
          <w:rFonts w:hint="eastAsia" w:ascii="宋体" w:hAnsi="宋体" w:eastAsia="宋体"/>
          <w:b/>
          <w:color w:val="auto"/>
          <w:szCs w:val="21"/>
          <w:highlight w:val="none"/>
          <w:lang w:eastAsia="zh-CN"/>
        </w:rPr>
        <w:t>嘉兴市明扬工程咨询有限公司</w:t>
      </w:r>
    </w:p>
    <w:p>
      <w:pPr>
        <w:snapToGrid w:val="0"/>
        <w:spacing w:line="360" w:lineRule="auto"/>
        <w:jc w:val="left"/>
        <w:rPr>
          <w:rFonts w:hint="eastAsia" w:ascii="宋体" w:hAnsi="宋体" w:eastAsia="宋体"/>
          <w:b/>
          <w:color w:val="auto"/>
          <w:szCs w:val="21"/>
          <w:highlight w:val="none"/>
        </w:rPr>
      </w:pPr>
      <w:r>
        <w:rPr>
          <w:rFonts w:hint="eastAsia" w:ascii="宋体" w:hAnsi="宋体" w:eastAsia="宋体"/>
          <w:b/>
          <w:color w:val="auto"/>
          <w:szCs w:val="21"/>
          <w:highlight w:val="none"/>
        </w:rPr>
        <w:t>开户银行：中国光大银行股份有限公司嘉兴分行</w:t>
      </w:r>
    </w:p>
    <w:p>
      <w:pPr>
        <w:snapToGrid w:val="0"/>
        <w:spacing w:line="360" w:lineRule="auto"/>
        <w:jc w:val="left"/>
        <w:rPr>
          <w:rFonts w:hint="eastAsia" w:ascii="宋体" w:hAnsi="宋体" w:eastAsia="宋体"/>
          <w:b/>
          <w:color w:val="auto"/>
          <w:szCs w:val="21"/>
          <w:highlight w:val="none"/>
        </w:rPr>
      </w:pPr>
      <w:r>
        <w:rPr>
          <w:rFonts w:hint="eastAsia" w:ascii="宋体" w:hAnsi="宋体" w:eastAsia="宋体"/>
          <w:b/>
          <w:color w:val="auto"/>
          <w:szCs w:val="21"/>
          <w:highlight w:val="none"/>
        </w:rPr>
        <w:t>银行账号：79650188000300492</w:t>
      </w:r>
    </w:p>
    <w:p>
      <w:pPr>
        <w:pStyle w:val="18"/>
        <w:spacing w:before="120" w:beforeLines="50" w:after="120" w:afterLines="50" w:line="400" w:lineRule="exact"/>
        <w:jc w:val="center"/>
        <w:outlineLvl w:val="0"/>
        <w:rPr>
          <w:rFonts w:hint="eastAsia"/>
          <w:b/>
          <w:color w:val="auto"/>
          <w:sz w:val="32"/>
          <w:szCs w:val="32"/>
          <w:highlight w:val="none"/>
        </w:rPr>
      </w:pPr>
      <w:bookmarkStart w:id="64" w:name="_Toc29856"/>
    </w:p>
    <w:p>
      <w:pPr>
        <w:pStyle w:val="18"/>
        <w:spacing w:before="120" w:beforeLines="50" w:after="120" w:afterLines="50" w:line="400" w:lineRule="exact"/>
        <w:jc w:val="center"/>
        <w:outlineLvl w:val="0"/>
        <w:rPr>
          <w:rFonts w:hint="eastAsia"/>
          <w:b/>
          <w:color w:val="auto"/>
          <w:sz w:val="32"/>
          <w:szCs w:val="32"/>
          <w:highlight w:val="none"/>
        </w:rPr>
      </w:pPr>
    </w:p>
    <w:p>
      <w:pPr>
        <w:pStyle w:val="18"/>
        <w:spacing w:before="120" w:beforeLines="50" w:after="120" w:afterLines="50" w:line="400" w:lineRule="exact"/>
        <w:jc w:val="center"/>
        <w:outlineLvl w:val="0"/>
        <w:rPr>
          <w:rFonts w:hint="eastAsia"/>
          <w:b/>
          <w:color w:val="auto"/>
          <w:sz w:val="32"/>
          <w:szCs w:val="32"/>
          <w:highlight w:val="none"/>
        </w:rPr>
      </w:pPr>
    </w:p>
    <w:p>
      <w:pPr>
        <w:pStyle w:val="18"/>
        <w:spacing w:before="120" w:beforeLines="50" w:after="120" w:afterLines="50" w:line="400" w:lineRule="exact"/>
        <w:jc w:val="center"/>
        <w:outlineLvl w:val="0"/>
        <w:rPr>
          <w:rFonts w:hint="eastAsia"/>
          <w:b/>
          <w:color w:val="auto"/>
          <w:sz w:val="32"/>
          <w:szCs w:val="32"/>
          <w:highlight w:val="none"/>
        </w:rPr>
      </w:pPr>
    </w:p>
    <w:p>
      <w:pPr>
        <w:pStyle w:val="18"/>
        <w:spacing w:before="120" w:beforeLines="50" w:after="120" w:afterLines="50" w:line="400" w:lineRule="exact"/>
        <w:jc w:val="center"/>
        <w:outlineLvl w:val="0"/>
        <w:rPr>
          <w:rFonts w:hint="eastAsia"/>
          <w:b/>
          <w:color w:val="auto"/>
          <w:sz w:val="32"/>
          <w:szCs w:val="32"/>
          <w:highlight w:val="none"/>
        </w:rPr>
      </w:pPr>
    </w:p>
    <w:p>
      <w:pPr>
        <w:pStyle w:val="18"/>
        <w:spacing w:before="120" w:beforeLines="50" w:after="120" w:afterLines="50" w:line="400" w:lineRule="exact"/>
        <w:jc w:val="center"/>
        <w:outlineLvl w:val="0"/>
        <w:rPr>
          <w:rFonts w:hint="eastAsia"/>
          <w:b/>
          <w:color w:val="auto"/>
          <w:sz w:val="32"/>
          <w:szCs w:val="32"/>
          <w:highlight w:val="none"/>
        </w:rPr>
      </w:pPr>
    </w:p>
    <w:p>
      <w:pPr>
        <w:pStyle w:val="18"/>
        <w:spacing w:before="120" w:beforeLines="50" w:after="120" w:afterLines="50" w:line="400" w:lineRule="exact"/>
        <w:jc w:val="center"/>
        <w:outlineLvl w:val="0"/>
        <w:rPr>
          <w:rFonts w:hint="eastAsia"/>
          <w:b/>
          <w:color w:val="auto"/>
          <w:sz w:val="32"/>
          <w:szCs w:val="32"/>
          <w:highlight w:val="none"/>
        </w:rPr>
      </w:pPr>
    </w:p>
    <w:p>
      <w:pPr>
        <w:pStyle w:val="18"/>
        <w:spacing w:before="120" w:beforeLines="50" w:after="120" w:afterLines="50" w:line="400" w:lineRule="exact"/>
        <w:jc w:val="center"/>
        <w:outlineLvl w:val="0"/>
        <w:rPr>
          <w:rFonts w:hint="eastAsia"/>
          <w:b/>
          <w:color w:val="auto"/>
          <w:sz w:val="32"/>
          <w:szCs w:val="32"/>
          <w:highlight w:val="none"/>
        </w:rPr>
      </w:pPr>
    </w:p>
    <w:p>
      <w:pPr>
        <w:pStyle w:val="18"/>
        <w:spacing w:before="120" w:beforeLines="50" w:after="120" w:afterLines="50" w:line="400" w:lineRule="exact"/>
        <w:jc w:val="center"/>
        <w:outlineLvl w:val="0"/>
        <w:rPr>
          <w:rFonts w:hint="eastAsia"/>
          <w:b/>
          <w:color w:val="auto"/>
          <w:sz w:val="32"/>
          <w:szCs w:val="32"/>
          <w:highlight w:val="none"/>
        </w:rPr>
      </w:pPr>
    </w:p>
    <w:p>
      <w:pPr>
        <w:pStyle w:val="18"/>
        <w:spacing w:before="120" w:beforeLines="50" w:after="120" w:afterLines="50" w:line="400" w:lineRule="exact"/>
        <w:jc w:val="center"/>
        <w:outlineLvl w:val="0"/>
        <w:rPr>
          <w:rFonts w:hint="eastAsia"/>
          <w:b/>
          <w:color w:val="auto"/>
          <w:sz w:val="32"/>
          <w:szCs w:val="32"/>
          <w:highlight w:val="none"/>
        </w:rPr>
      </w:pPr>
    </w:p>
    <w:p>
      <w:pPr>
        <w:pStyle w:val="18"/>
        <w:spacing w:before="120" w:beforeLines="50" w:after="120" w:afterLines="50" w:line="400" w:lineRule="exact"/>
        <w:jc w:val="center"/>
        <w:outlineLvl w:val="0"/>
        <w:rPr>
          <w:rFonts w:hint="eastAsia"/>
          <w:b/>
          <w:color w:val="auto"/>
          <w:sz w:val="32"/>
          <w:szCs w:val="32"/>
          <w:highlight w:val="none"/>
        </w:rPr>
      </w:pPr>
    </w:p>
    <w:p>
      <w:pPr>
        <w:pStyle w:val="18"/>
        <w:spacing w:before="120" w:beforeLines="50" w:after="120" w:afterLines="50" w:line="400" w:lineRule="exact"/>
        <w:jc w:val="center"/>
        <w:outlineLvl w:val="0"/>
        <w:rPr>
          <w:rFonts w:hint="eastAsia"/>
          <w:b/>
          <w:color w:val="auto"/>
          <w:sz w:val="32"/>
          <w:szCs w:val="32"/>
          <w:highlight w:val="none"/>
        </w:rPr>
      </w:pPr>
    </w:p>
    <w:p>
      <w:pPr>
        <w:pStyle w:val="18"/>
        <w:spacing w:before="120" w:beforeLines="50" w:after="120" w:afterLines="50" w:line="400" w:lineRule="exact"/>
        <w:jc w:val="center"/>
        <w:outlineLvl w:val="0"/>
        <w:rPr>
          <w:rFonts w:hint="eastAsia"/>
          <w:b/>
          <w:color w:val="auto"/>
          <w:sz w:val="32"/>
          <w:szCs w:val="32"/>
          <w:highlight w:val="none"/>
        </w:rPr>
      </w:pPr>
    </w:p>
    <w:p>
      <w:pPr>
        <w:pStyle w:val="18"/>
        <w:spacing w:before="120" w:beforeLines="50" w:after="120" w:afterLines="50" w:line="400" w:lineRule="exact"/>
        <w:jc w:val="center"/>
        <w:outlineLvl w:val="0"/>
        <w:rPr>
          <w:rFonts w:hint="eastAsia"/>
          <w:b/>
          <w:color w:val="auto"/>
          <w:sz w:val="32"/>
          <w:szCs w:val="32"/>
          <w:highlight w:val="none"/>
        </w:rPr>
      </w:pPr>
    </w:p>
    <w:p>
      <w:pPr>
        <w:pStyle w:val="18"/>
        <w:spacing w:before="120" w:beforeLines="50" w:after="120" w:afterLines="50" w:line="400" w:lineRule="exact"/>
        <w:jc w:val="center"/>
        <w:outlineLvl w:val="0"/>
        <w:rPr>
          <w:rFonts w:hint="eastAsia"/>
          <w:b/>
          <w:color w:val="auto"/>
          <w:sz w:val="32"/>
          <w:szCs w:val="32"/>
          <w:highlight w:val="none"/>
        </w:rPr>
      </w:pPr>
    </w:p>
    <w:p>
      <w:pPr>
        <w:pStyle w:val="18"/>
        <w:spacing w:before="120" w:beforeLines="50" w:after="120" w:afterLines="50" w:line="400" w:lineRule="exact"/>
        <w:jc w:val="center"/>
        <w:outlineLvl w:val="0"/>
        <w:rPr>
          <w:rFonts w:hint="eastAsia"/>
          <w:b/>
          <w:color w:val="auto"/>
          <w:sz w:val="32"/>
          <w:szCs w:val="32"/>
          <w:highlight w:val="none"/>
        </w:rPr>
      </w:pPr>
    </w:p>
    <w:p>
      <w:pPr>
        <w:pStyle w:val="18"/>
        <w:spacing w:before="120" w:beforeLines="50" w:after="120" w:afterLines="50" w:line="400" w:lineRule="exact"/>
        <w:jc w:val="center"/>
        <w:outlineLvl w:val="0"/>
        <w:rPr>
          <w:rFonts w:hint="eastAsia"/>
          <w:b/>
          <w:color w:val="auto"/>
          <w:sz w:val="32"/>
          <w:szCs w:val="32"/>
          <w:highlight w:val="none"/>
        </w:rPr>
      </w:pPr>
    </w:p>
    <w:p>
      <w:pPr>
        <w:pStyle w:val="18"/>
        <w:spacing w:before="120" w:beforeLines="50" w:after="120" w:afterLines="50" w:line="400" w:lineRule="exact"/>
        <w:jc w:val="center"/>
        <w:outlineLvl w:val="0"/>
        <w:rPr>
          <w:rFonts w:hint="eastAsia"/>
          <w:b/>
          <w:color w:val="auto"/>
          <w:sz w:val="32"/>
          <w:szCs w:val="32"/>
          <w:highlight w:val="none"/>
        </w:rPr>
      </w:pPr>
    </w:p>
    <w:p>
      <w:pPr>
        <w:pStyle w:val="18"/>
        <w:spacing w:before="120" w:beforeLines="50" w:after="120" w:afterLines="50" w:line="400" w:lineRule="exact"/>
        <w:jc w:val="center"/>
        <w:outlineLvl w:val="0"/>
        <w:rPr>
          <w:rFonts w:hint="eastAsia"/>
          <w:b/>
          <w:color w:val="auto"/>
          <w:sz w:val="32"/>
          <w:szCs w:val="32"/>
          <w:highlight w:val="none"/>
        </w:rPr>
      </w:pPr>
    </w:p>
    <w:p>
      <w:pPr>
        <w:pStyle w:val="18"/>
        <w:spacing w:before="120" w:beforeLines="50" w:after="120" w:afterLines="50" w:line="400" w:lineRule="exact"/>
        <w:jc w:val="center"/>
        <w:outlineLvl w:val="0"/>
        <w:rPr>
          <w:rFonts w:hint="eastAsia"/>
          <w:b/>
          <w:color w:val="auto"/>
          <w:sz w:val="32"/>
          <w:szCs w:val="32"/>
          <w:highlight w:val="none"/>
        </w:rPr>
      </w:pPr>
    </w:p>
    <w:p>
      <w:pPr>
        <w:pStyle w:val="18"/>
        <w:spacing w:before="120" w:beforeLines="50" w:after="120" w:afterLines="50" w:line="400" w:lineRule="exact"/>
        <w:jc w:val="center"/>
        <w:outlineLvl w:val="0"/>
        <w:rPr>
          <w:rFonts w:hint="eastAsia"/>
          <w:b/>
          <w:color w:val="auto"/>
          <w:sz w:val="32"/>
          <w:szCs w:val="32"/>
          <w:highlight w:val="none"/>
        </w:rPr>
      </w:pPr>
    </w:p>
    <w:p>
      <w:pPr>
        <w:pStyle w:val="18"/>
        <w:spacing w:before="120" w:beforeLines="50" w:after="120" w:afterLines="50" w:line="400" w:lineRule="exact"/>
        <w:jc w:val="center"/>
        <w:outlineLvl w:val="0"/>
        <w:rPr>
          <w:rFonts w:hint="eastAsia"/>
          <w:b/>
          <w:color w:val="auto"/>
          <w:sz w:val="32"/>
          <w:szCs w:val="32"/>
          <w:highlight w:val="none"/>
        </w:rPr>
      </w:pPr>
    </w:p>
    <w:p>
      <w:pPr>
        <w:pStyle w:val="18"/>
        <w:spacing w:before="120" w:beforeLines="50" w:after="120" w:afterLines="50" w:line="400" w:lineRule="exact"/>
        <w:jc w:val="center"/>
        <w:outlineLvl w:val="0"/>
        <w:rPr>
          <w:rFonts w:hint="eastAsia"/>
          <w:b/>
          <w:color w:val="auto"/>
          <w:sz w:val="32"/>
          <w:szCs w:val="32"/>
          <w:highlight w:val="none"/>
        </w:rPr>
      </w:pPr>
    </w:p>
    <w:p>
      <w:pPr>
        <w:pStyle w:val="18"/>
        <w:spacing w:before="120" w:beforeLines="50" w:after="120" w:afterLines="50" w:line="400" w:lineRule="exact"/>
        <w:jc w:val="center"/>
        <w:outlineLvl w:val="0"/>
        <w:rPr>
          <w:rFonts w:ascii="隶书"/>
          <w:b/>
          <w:color w:val="auto"/>
          <w:sz w:val="28"/>
          <w:szCs w:val="28"/>
          <w:highlight w:val="none"/>
        </w:rPr>
      </w:pPr>
      <w:r>
        <w:rPr>
          <w:rFonts w:hint="eastAsia"/>
          <w:b/>
          <w:color w:val="auto"/>
          <w:sz w:val="32"/>
          <w:szCs w:val="32"/>
          <w:highlight w:val="none"/>
        </w:rPr>
        <w:t>第四章  评标办法及评分标准</w:t>
      </w:r>
      <w:bookmarkEnd w:id="64"/>
    </w:p>
    <w:p>
      <w:pPr>
        <w:spacing w:line="460" w:lineRule="exact"/>
        <w:ind w:firstLine="420"/>
        <w:jc w:val="left"/>
        <w:rPr>
          <w:rFonts w:ascii="宋体" w:hAnsi="宋体"/>
          <w:color w:val="auto"/>
          <w:szCs w:val="21"/>
          <w:highlight w:val="none"/>
        </w:rPr>
      </w:pPr>
      <w:bookmarkStart w:id="65" w:name="_Toc170792808"/>
      <w:r>
        <w:rPr>
          <w:rFonts w:hint="eastAsia" w:ascii="宋体" w:hAnsi="宋体"/>
          <w:color w:val="auto"/>
          <w:szCs w:val="21"/>
          <w:highlight w:val="none"/>
        </w:rPr>
        <w:t>根据《中华人民共和国政府采购法》等有关法律法规的规定，结合本项目的实际，按照公正、公平、科学、择优的原则选择中标人，制定本办法。</w:t>
      </w:r>
    </w:p>
    <w:p>
      <w:pPr>
        <w:spacing w:line="460" w:lineRule="exact"/>
        <w:jc w:val="left"/>
        <w:rPr>
          <w:rFonts w:ascii="宋体" w:hAnsi="宋体"/>
          <w:b/>
          <w:bCs/>
          <w:color w:val="auto"/>
          <w:szCs w:val="21"/>
          <w:highlight w:val="none"/>
        </w:rPr>
      </w:pPr>
      <w:r>
        <w:rPr>
          <w:rFonts w:hint="eastAsia" w:ascii="宋体" w:hAnsi="宋体"/>
          <w:b/>
          <w:bCs/>
          <w:color w:val="auto"/>
          <w:szCs w:val="21"/>
          <w:highlight w:val="none"/>
        </w:rPr>
        <w:t>一、总    则</w:t>
      </w:r>
      <w:bookmarkEnd w:id="65"/>
    </w:p>
    <w:p>
      <w:pPr>
        <w:spacing w:line="460" w:lineRule="exact"/>
        <w:ind w:firstLine="420"/>
        <w:jc w:val="left"/>
        <w:rPr>
          <w:rFonts w:ascii="宋体" w:hAnsi="宋体"/>
          <w:color w:val="auto"/>
          <w:szCs w:val="21"/>
          <w:highlight w:val="none"/>
        </w:rPr>
      </w:pPr>
      <w:r>
        <w:rPr>
          <w:rFonts w:hint="eastAsia" w:ascii="宋体" w:hAnsi="宋体"/>
          <w:color w:val="auto"/>
          <w:szCs w:val="21"/>
          <w:highlight w:val="none"/>
        </w:rPr>
        <w:t>本次评标采用综合评分法。总分100分，价格分30分，资信技术分70分。合格投标人的评标得分为各项目汇总得分，中标候选资格按评标得分由高到低顺序排列，得分相同的，按投标报价由低到高顺序排列；得分且投标报价相同的，按资信技术得分由高到低顺序排列，所有分都相同的，按电子投标文件在线解密时间先后顺序排列。排名第一的投标人为中标候选人，排名第二的投标人为候补中标候选人……其他投标人中标候选资格依此类推。评分过程中采用四舍五入法，并保留小数2位。</w:t>
      </w:r>
    </w:p>
    <w:p>
      <w:pPr>
        <w:spacing w:before="120" w:beforeLines="50" w:after="120" w:afterLines="50"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投标人评标</w:t>
      </w:r>
      <w:r>
        <w:rPr>
          <w:rFonts w:hint="eastAsia" w:ascii="宋体" w:hAnsi="宋体" w:cs="宋体"/>
          <w:bCs/>
          <w:color w:val="auto"/>
          <w:szCs w:val="21"/>
          <w:highlight w:val="none"/>
        </w:rPr>
        <w:t>综合得分=价格分+资信技术分</w:t>
      </w:r>
    </w:p>
    <w:p>
      <w:pPr>
        <w:adjustRightInd w:val="0"/>
        <w:snapToGrid w:val="0"/>
        <w:spacing w:line="460" w:lineRule="exact"/>
        <w:rPr>
          <w:rFonts w:ascii="宋体" w:hAnsi="宋体" w:cs="宋体"/>
          <w:b/>
          <w:color w:val="auto"/>
          <w:szCs w:val="21"/>
          <w:highlight w:val="none"/>
        </w:rPr>
      </w:pPr>
      <w:r>
        <w:rPr>
          <w:rFonts w:hint="eastAsia" w:ascii="宋体" w:hAnsi="宋体" w:cs="宋体"/>
          <w:b/>
          <w:color w:val="auto"/>
          <w:szCs w:val="21"/>
          <w:highlight w:val="none"/>
        </w:rPr>
        <w:t>二、</w:t>
      </w:r>
      <w:r>
        <w:rPr>
          <w:rFonts w:hint="eastAsia" w:ascii="宋体" w:hAnsi="宋体" w:cs="宋体"/>
          <w:b/>
          <w:color w:val="auto"/>
          <w:szCs w:val="21"/>
          <w:highlight w:val="none"/>
          <w:lang w:val="en-US" w:eastAsia="zh-CN"/>
        </w:rPr>
        <w:t>标项一、二、三的</w:t>
      </w:r>
      <w:r>
        <w:rPr>
          <w:rFonts w:hint="eastAsia" w:ascii="宋体" w:hAnsi="宋体" w:cs="宋体"/>
          <w:b/>
          <w:color w:val="auto"/>
          <w:szCs w:val="21"/>
          <w:highlight w:val="none"/>
        </w:rPr>
        <w:t>评标内容及标准</w:t>
      </w:r>
    </w:p>
    <w:p>
      <w:pPr>
        <w:pStyle w:val="13"/>
        <w:adjustRightInd w:val="0"/>
        <w:snapToGrid w:val="0"/>
        <w:spacing w:line="460" w:lineRule="exact"/>
        <w:ind w:firstLine="0"/>
        <w:rPr>
          <w:rFonts w:hAnsi="宋体" w:cs="宋体"/>
          <w:b/>
          <w:bCs/>
          <w:color w:val="auto"/>
          <w:sz w:val="21"/>
          <w:szCs w:val="21"/>
          <w:highlight w:val="none"/>
        </w:rPr>
      </w:pPr>
      <w:r>
        <w:rPr>
          <w:rFonts w:hint="eastAsia" w:hAnsi="宋体" w:cs="宋体"/>
          <w:b/>
          <w:bCs/>
          <w:color w:val="auto"/>
          <w:sz w:val="21"/>
          <w:szCs w:val="21"/>
          <w:highlight w:val="none"/>
        </w:rPr>
        <w:t>（一）价格分（0-30分）</w:t>
      </w:r>
    </w:p>
    <w:p>
      <w:pPr>
        <w:pStyle w:val="13"/>
        <w:spacing w:line="360" w:lineRule="auto"/>
        <w:ind w:firstLine="406" w:firstLineChars="200"/>
        <w:jc w:val="left"/>
        <w:rPr>
          <w:rFonts w:hAnsi="宋体" w:cs="宋体"/>
          <w:b/>
          <w:bCs/>
          <w:color w:val="auto"/>
          <w:sz w:val="21"/>
          <w:szCs w:val="21"/>
          <w:highlight w:val="none"/>
        </w:rPr>
      </w:pPr>
      <w:r>
        <w:rPr>
          <w:rFonts w:hint="eastAsia" w:hAnsi="宋体" w:cs="宋体"/>
          <w:b/>
          <w:bCs/>
          <w:color w:val="auto"/>
          <w:sz w:val="21"/>
          <w:szCs w:val="21"/>
          <w:highlight w:val="none"/>
        </w:rPr>
        <w:t>1.政策优惠：根据财库〔2020〕46号</w:t>
      </w:r>
      <w:r>
        <w:rPr>
          <w:rFonts w:hint="eastAsia" w:ascii="宋体" w:hAnsi="宋体" w:eastAsia="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rPr>
        <w:t>财库〔202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19</w:t>
      </w:r>
      <w:r>
        <w:rPr>
          <w:rFonts w:hint="eastAsia" w:ascii="宋体" w:hAnsi="宋体" w:eastAsia="宋体" w:cs="宋体"/>
          <w:b/>
          <w:bCs/>
          <w:color w:val="auto"/>
          <w:sz w:val="21"/>
          <w:szCs w:val="21"/>
          <w:highlight w:val="none"/>
        </w:rPr>
        <w:t>号的相关规定</w:t>
      </w:r>
      <w:r>
        <w:rPr>
          <w:rFonts w:hint="eastAsia" w:hAnsi="宋体" w:cs="宋体"/>
          <w:b/>
          <w:bCs/>
          <w:color w:val="auto"/>
          <w:sz w:val="21"/>
          <w:szCs w:val="21"/>
          <w:highlight w:val="none"/>
        </w:rPr>
        <w:t>，在评审时对小型和微型企业的投标报价给予</w:t>
      </w:r>
      <w:r>
        <w:rPr>
          <w:rFonts w:hint="eastAsia" w:hAnsi="宋体" w:cs="宋体"/>
          <w:b/>
          <w:bCs/>
          <w:color w:val="auto"/>
          <w:sz w:val="21"/>
          <w:szCs w:val="21"/>
          <w:highlight w:val="none"/>
          <w:lang w:val="en-US" w:eastAsia="zh-CN"/>
        </w:rPr>
        <w:t>10</w:t>
      </w:r>
      <w:r>
        <w:rPr>
          <w:rFonts w:hint="eastAsia" w:hAnsi="宋体" w:cs="宋体"/>
          <w:b/>
          <w:bCs/>
          <w:color w:val="auto"/>
          <w:sz w:val="21"/>
          <w:szCs w:val="21"/>
          <w:highlight w:val="none"/>
        </w:rPr>
        <w:t>%的扣除，取扣除后的价格作为最终投标报价（此最终投标报价仅作为价格分计算）。属于小型和微型企业的，投标文件中必须提供《中小企业声明函》（模板见第六章）。(注：未提供以上材料的，均不给予价格扣除）</w:t>
      </w:r>
    </w:p>
    <w:p>
      <w:pPr>
        <w:pStyle w:val="13"/>
        <w:spacing w:before="120" w:beforeLines="50" w:after="120" w:afterLines="50" w:line="360" w:lineRule="auto"/>
        <w:ind w:firstLine="406" w:firstLineChars="200"/>
        <w:rPr>
          <w:rFonts w:hAnsi="宋体" w:cs="宋体"/>
          <w:b/>
          <w:bCs/>
          <w:color w:val="auto"/>
          <w:sz w:val="21"/>
          <w:szCs w:val="21"/>
          <w:highlight w:val="none"/>
        </w:rPr>
      </w:pPr>
      <w:r>
        <w:rPr>
          <w:rFonts w:hint="eastAsia" w:hAnsi="宋体" w:cs="宋体"/>
          <w:b/>
          <w:bCs/>
          <w:color w:val="auto"/>
          <w:sz w:val="21"/>
          <w:szCs w:val="21"/>
          <w:highlight w:val="none"/>
        </w:rPr>
        <w:t>2.根据财库〔2017〕141号文件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模板见第六章）。</w:t>
      </w:r>
    </w:p>
    <w:p>
      <w:pPr>
        <w:pStyle w:val="13"/>
        <w:spacing w:before="120" w:beforeLines="50" w:after="120" w:afterLines="50" w:line="360" w:lineRule="auto"/>
        <w:ind w:firstLine="406" w:firstLineChars="200"/>
        <w:rPr>
          <w:rFonts w:hAnsi="宋体" w:cs="宋体"/>
          <w:b/>
          <w:bCs/>
          <w:color w:val="auto"/>
          <w:sz w:val="21"/>
          <w:szCs w:val="21"/>
          <w:highlight w:val="none"/>
        </w:rPr>
      </w:pPr>
      <w:r>
        <w:rPr>
          <w:rFonts w:hint="eastAsia" w:hAnsi="宋体" w:cs="宋体"/>
          <w:b/>
          <w:bCs/>
          <w:color w:val="auto"/>
          <w:sz w:val="21"/>
          <w:szCs w:val="21"/>
          <w:highlight w:val="none"/>
        </w:rPr>
        <w:t>3. 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tabs>
          <w:tab w:val="left" w:pos="6264"/>
        </w:tabs>
        <w:snapToGrid w:val="0"/>
        <w:spacing w:line="380" w:lineRule="exact"/>
        <w:ind w:firstLine="476"/>
        <w:rPr>
          <w:rFonts w:ascii="新宋体" w:hAnsi="新宋体" w:eastAsia="新宋体"/>
          <w:color w:val="auto"/>
          <w:szCs w:val="21"/>
          <w:highlight w:val="none"/>
        </w:rPr>
      </w:pPr>
      <w:r>
        <w:rPr>
          <w:rFonts w:hint="eastAsia" w:ascii="新宋体" w:hAnsi="新宋体" w:eastAsia="新宋体"/>
          <w:color w:val="auto"/>
          <w:szCs w:val="21"/>
          <w:highlight w:val="none"/>
        </w:rPr>
        <w:t>投标报价在招标人公布的最高限价以下、在各阶段评审中未被定为无效投标文件或废标，其投标人的投标报价为有效投标报价。</w:t>
      </w:r>
    </w:p>
    <w:p>
      <w:pPr>
        <w:tabs>
          <w:tab w:val="left" w:pos="6264"/>
        </w:tabs>
        <w:snapToGrid w:val="0"/>
        <w:spacing w:line="380" w:lineRule="exact"/>
        <w:ind w:firstLine="476"/>
        <w:rPr>
          <w:rFonts w:ascii="新宋体" w:hAnsi="新宋体" w:eastAsia="新宋体"/>
          <w:color w:val="auto"/>
          <w:szCs w:val="21"/>
          <w:highlight w:val="none"/>
        </w:rPr>
      </w:pPr>
      <w:r>
        <w:rPr>
          <w:rFonts w:hint="eastAsia" w:ascii="新宋体" w:hAnsi="新宋体" w:eastAsia="新宋体"/>
          <w:color w:val="auto"/>
          <w:szCs w:val="21"/>
          <w:highlight w:val="none"/>
        </w:rPr>
        <w:t>4.根据财政部《关于加强政府采购货物和服务项目价格评审管理的通知》，综合评分法中的价格分统一采用低价优先法计算，即满足招标文件要求且投标价格最低的投标报价为评标基准价，其价格分为满分。其他投标人的价格分统一按照下列公式计算:</w:t>
      </w:r>
    </w:p>
    <w:p>
      <w:pPr>
        <w:adjustRightInd w:val="0"/>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价格分=（评标基准价/投标报价）×30%×100</w:t>
      </w:r>
    </w:p>
    <w:p>
      <w:pPr>
        <w:tabs>
          <w:tab w:val="left" w:pos="851"/>
          <w:tab w:val="left" w:pos="3870"/>
        </w:tabs>
        <w:adjustRightInd w:val="0"/>
        <w:snapToGrid w:val="0"/>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5、投标人的投标报价超过采购人设定的最高限价，投标文件将作为无效标处理。</w:t>
      </w:r>
      <w:r>
        <w:rPr>
          <w:rFonts w:hint="eastAsia"/>
          <w:b/>
          <w:color w:val="auto"/>
          <w:szCs w:val="21"/>
          <w:highlight w:val="none"/>
        </w:rPr>
        <w:t>其中最高限价为标项一</w:t>
      </w:r>
      <w:r>
        <w:rPr>
          <w:rFonts w:hint="eastAsia"/>
          <w:b/>
          <w:color w:val="auto"/>
          <w:szCs w:val="21"/>
          <w:highlight w:val="none"/>
          <w:lang w:eastAsia="zh-CN"/>
        </w:rPr>
        <w:t>819000元；标项二：1000000元；标项三：820000元</w:t>
      </w:r>
      <w:r>
        <w:rPr>
          <w:rFonts w:hint="eastAsia"/>
          <w:b/>
          <w:color w:val="auto"/>
          <w:szCs w:val="21"/>
          <w:highlight w:val="none"/>
        </w:rPr>
        <w:t>。</w:t>
      </w:r>
    </w:p>
    <w:p>
      <w:pPr>
        <w:tabs>
          <w:tab w:val="left" w:pos="851"/>
          <w:tab w:val="left" w:pos="3870"/>
        </w:tabs>
        <w:adjustRightInd w:val="0"/>
        <w:snapToGrid w:val="0"/>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最低报价不是中标的保证，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评标小组将推荐综合评分最高的投标人为中标候选人。</w:t>
      </w:r>
    </w:p>
    <w:p>
      <w:pPr>
        <w:pStyle w:val="13"/>
        <w:adjustRightInd w:val="0"/>
        <w:snapToGrid w:val="0"/>
        <w:spacing w:line="460" w:lineRule="exact"/>
        <w:ind w:firstLine="0"/>
        <w:rPr>
          <w:rFonts w:hAnsi="宋体" w:cs="宋体"/>
          <w:b/>
          <w:bCs/>
          <w:color w:val="auto"/>
          <w:sz w:val="21"/>
          <w:szCs w:val="21"/>
          <w:highlight w:val="none"/>
        </w:rPr>
      </w:pPr>
      <w:r>
        <w:rPr>
          <w:rFonts w:hint="eastAsia" w:hAnsi="宋体" w:cs="宋体"/>
          <w:b/>
          <w:bCs/>
          <w:color w:val="auto"/>
          <w:sz w:val="21"/>
          <w:szCs w:val="21"/>
          <w:highlight w:val="none"/>
        </w:rPr>
        <w:t>（二）技术分（0-</w:t>
      </w:r>
      <w:r>
        <w:rPr>
          <w:rFonts w:hint="eastAsia" w:hAnsi="宋体" w:cs="宋体"/>
          <w:b/>
          <w:bCs/>
          <w:color w:val="auto"/>
          <w:sz w:val="21"/>
          <w:szCs w:val="21"/>
          <w:highlight w:val="none"/>
          <w:lang w:val="en-US" w:eastAsia="zh-CN"/>
        </w:rPr>
        <w:t>50</w:t>
      </w:r>
      <w:r>
        <w:rPr>
          <w:rFonts w:hint="eastAsia" w:hAnsi="宋体" w:cs="宋体"/>
          <w:b/>
          <w:bCs/>
          <w:color w:val="auto"/>
          <w:sz w:val="21"/>
          <w:szCs w:val="21"/>
          <w:highlight w:val="none"/>
        </w:rPr>
        <w:t>分）</w:t>
      </w:r>
    </w:p>
    <w:p>
      <w:pPr>
        <w:autoSpaceDE w:val="0"/>
        <w:autoSpaceDN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1、招标货物功能及技术指标响应情况（0～</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客</w:t>
      </w:r>
      <w:r>
        <w:rPr>
          <w:rFonts w:hint="eastAsia" w:ascii="宋体" w:hAnsi="宋体" w:cs="宋体"/>
          <w:color w:val="auto"/>
          <w:szCs w:val="21"/>
          <w:highlight w:val="none"/>
        </w:rPr>
        <w:t>观分）</w:t>
      </w:r>
    </w:p>
    <w:p>
      <w:pPr>
        <w:spacing w:before="120" w:beforeLines="50" w:after="120" w:afterLines="50" w:line="460" w:lineRule="exact"/>
        <w:ind w:firstLine="420" w:firstLineChars="200"/>
        <w:rPr>
          <w:rFonts w:ascii="宋体" w:hAnsi="宋体" w:cs="宋体"/>
          <w:color w:val="auto"/>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标委员会</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投标单位</w:t>
      </w:r>
      <w:r>
        <w:rPr>
          <w:rFonts w:hint="eastAsia" w:ascii="宋体" w:hAnsi="宋体" w:eastAsia="宋体" w:cs="宋体"/>
          <w:color w:val="auto"/>
          <w:sz w:val="21"/>
          <w:szCs w:val="21"/>
          <w:highlight w:val="none"/>
        </w:rPr>
        <w:t>所提供</w:t>
      </w:r>
      <w:r>
        <w:rPr>
          <w:rFonts w:hint="eastAsia" w:ascii="宋体" w:hAnsi="宋体" w:eastAsia="宋体" w:cs="宋体"/>
          <w:color w:val="auto"/>
          <w:sz w:val="21"/>
          <w:szCs w:val="21"/>
          <w:highlight w:val="none"/>
          <w:lang w:val="en-US" w:eastAsia="zh-CN"/>
        </w:rPr>
        <w:t>设备的</w:t>
      </w:r>
      <w:r>
        <w:rPr>
          <w:rFonts w:hint="eastAsia" w:ascii="宋体" w:hAnsi="宋体" w:eastAsia="宋体" w:cs="宋体"/>
          <w:color w:val="auto"/>
          <w:sz w:val="21"/>
          <w:szCs w:val="21"/>
          <w:highlight w:val="none"/>
        </w:rPr>
        <w:t>技术参数的偏离情况进行评审，所投投标产品完全</w:t>
      </w:r>
      <w:r>
        <w:rPr>
          <w:rFonts w:hint="eastAsia" w:ascii="宋体" w:hAnsi="宋体" w:eastAsia="宋体" w:cs="宋体"/>
          <w:color w:val="auto"/>
          <w:sz w:val="21"/>
          <w:szCs w:val="21"/>
          <w:highlight w:val="none"/>
          <w:lang w:val="en-US" w:eastAsia="zh-CN"/>
        </w:rPr>
        <w:t>满足</w:t>
      </w:r>
      <w:r>
        <w:rPr>
          <w:rFonts w:hint="eastAsia" w:ascii="宋体" w:hAnsi="宋体" w:eastAsia="宋体" w:cs="宋体"/>
          <w:color w:val="auto"/>
          <w:sz w:val="21"/>
          <w:szCs w:val="21"/>
          <w:highlight w:val="none"/>
        </w:rPr>
        <w:t>招标文件要求的得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分；带</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技术</w:t>
      </w:r>
      <w:r>
        <w:rPr>
          <w:rFonts w:hint="eastAsia" w:ascii="宋体" w:hAnsi="宋体" w:eastAsia="宋体" w:cs="宋体"/>
          <w:color w:val="auto"/>
          <w:sz w:val="21"/>
          <w:szCs w:val="21"/>
          <w:highlight w:val="none"/>
          <w:lang w:val="en-US" w:eastAsia="zh-CN"/>
        </w:rPr>
        <w:t>指标</w:t>
      </w:r>
      <w:r>
        <w:rPr>
          <w:rFonts w:hint="eastAsia" w:ascii="宋体" w:hAnsi="宋体" w:cs="宋体"/>
          <w:color w:val="auto"/>
          <w:sz w:val="21"/>
          <w:szCs w:val="21"/>
          <w:highlight w:val="none"/>
          <w:lang w:val="en-US" w:eastAsia="zh-CN"/>
        </w:rPr>
        <w:t>需满足或</w:t>
      </w:r>
      <w:r>
        <w:rPr>
          <w:rFonts w:hint="eastAsia" w:ascii="宋体" w:hAnsi="宋体" w:eastAsia="宋体" w:cs="宋体"/>
          <w:color w:val="auto"/>
          <w:sz w:val="21"/>
          <w:szCs w:val="21"/>
          <w:highlight w:val="none"/>
        </w:rPr>
        <w:t>优于招标需求</w:t>
      </w:r>
      <w:r>
        <w:rPr>
          <w:rFonts w:hint="eastAsia" w:ascii="宋体" w:hAnsi="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不满足</w:t>
      </w:r>
      <w:r>
        <w:rPr>
          <w:rFonts w:hint="eastAsia" w:ascii="宋体" w:hAnsi="宋体" w:eastAsia="宋体" w:cs="宋体"/>
          <w:color w:val="auto"/>
          <w:sz w:val="21"/>
          <w:szCs w:val="21"/>
          <w:highlight w:val="none"/>
        </w:rPr>
        <w:t>带</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技术</w:t>
      </w:r>
      <w:r>
        <w:rPr>
          <w:rFonts w:hint="eastAsia" w:ascii="宋体" w:hAnsi="宋体" w:eastAsia="宋体" w:cs="宋体"/>
          <w:color w:val="auto"/>
          <w:sz w:val="21"/>
          <w:szCs w:val="21"/>
          <w:highlight w:val="none"/>
          <w:lang w:val="en-US" w:eastAsia="zh-CN"/>
        </w:rPr>
        <w:t>指标</w:t>
      </w:r>
      <w:r>
        <w:rPr>
          <w:rFonts w:hint="eastAsia" w:ascii="宋体" w:hAnsi="宋体" w:eastAsia="宋体" w:cs="宋体"/>
          <w:color w:val="auto"/>
          <w:kern w:val="2"/>
          <w:sz w:val="21"/>
          <w:szCs w:val="21"/>
          <w:highlight w:val="none"/>
          <w:lang w:val="en-US" w:eastAsia="zh-CN" w:bidi="ar-SA"/>
        </w:rPr>
        <w:t>的投标文件无效</w:t>
      </w:r>
      <w:r>
        <w:rPr>
          <w:rFonts w:hint="eastAsia" w:ascii="宋体" w:hAnsi="宋体" w:eastAsia="宋体" w:cs="宋体"/>
          <w:color w:val="auto"/>
          <w:sz w:val="21"/>
          <w:szCs w:val="21"/>
          <w:highlight w:val="none"/>
        </w:rPr>
        <w:t>；带“</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”技术</w:t>
      </w:r>
      <w:r>
        <w:rPr>
          <w:rFonts w:hint="eastAsia" w:ascii="宋体" w:hAnsi="宋体" w:eastAsia="宋体" w:cs="宋体"/>
          <w:color w:val="auto"/>
          <w:sz w:val="21"/>
          <w:szCs w:val="21"/>
          <w:highlight w:val="none"/>
          <w:lang w:val="en-US" w:eastAsia="zh-CN"/>
        </w:rPr>
        <w:t>指标</w:t>
      </w:r>
      <w:r>
        <w:rPr>
          <w:rFonts w:hint="eastAsia" w:ascii="宋体" w:hAnsi="宋体" w:eastAsia="宋体" w:cs="宋体"/>
          <w:color w:val="auto"/>
          <w:sz w:val="21"/>
          <w:szCs w:val="21"/>
          <w:highlight w:val="none"/>
        </w:rPr>
        <w:t>不满足招标文件要求的</w:t>
      </w:r>
      <w:r>
        <w:rPr>
          <w:rFonts w:hint="eastAsia" w:ascii="宋体" w:hAnsi="宋体" w:eastAsia="宋体" w:cs="宋体"/>
          <w:color w:val="auto"/>
          <w:sz w:val="21"/>
          <w:szCs w:val="21"/>
          <w:highlight w:val="none"/>
          <w:lang w:val="en-US" w:eastAsia="zh-CN"/>
        </w:rPr>
        <w:t>每项</w:t>
      </w:r>
      <w:r>
        <w:rPr>
          <w:rFonts w:hint="eastAsia" w:ascii="宋体" w:hAnsi="宋体" w:eastAsia="宋体" w:cs="宋体"/>
          <w:color w:val="auto"/>
          <w:sz w:val="21"/>
          <w:szCs w:val="21"/>
          <w:highlight w:val="none"/>
        </w:rPr>
        <w:t>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扣完为止。</w:t>
      </w:r>
    </w:p>
    <w:p>
      <w:pPr>
        <w:spacing w:line="460" w:lineRule="exact"/>
        <w:ind w:firstLine="472" w:firstLineChars="225"/>
        <w:rPr>
          <w:rFonts w:ascii="宋体" w:hAnsi="宋体" w:cs="宋体"/>
          <w:bCs/>
          <w:color w:val="auto"/>
          <w:szCs w:val="21"/>
          <w:highlight w:val="none"/>
        </w:rPr>
      </w:pPr>
      <w:r>
        <w:rPr>
          <w:rFonts w:hint="eastAsia" w:ascii="宋体" w:hAnsi="宋体" w:cs="宋体"/>
          <w:bCs/>
          <w:color w:val="auto"/>
          <w:szCs w:val="21"/>
          <w:highlight w:val="none"/>
        </w:rPr>
        <w:t>2、安装、调试、验收的方案和措施(0-5分)</w:t>
      </w:r>
      <w:r>
        <w:rPr>
          <w:rFonts w:hint="eastAsia" w:ascii="宋体" w:hAnsi="宋体" w:cs="宋体"/>
          <w:color w:val="auto"/>
          <w:szCs w:val="21"/>
          <w:highlight w:val="none"/>
        </w:rPr>
        <w:t>（主观分）</w:t>
      </w:r>
    </w:p>
    <w:p>
      <w:pPr>
        <w:spacing w:line="460" w:lineRule="exact"/>
        <w:ind w:firstLine="472" w:firstLineChars="225"/>
        <w:rPr>
          <w:rFonts w:ascii="宋体" w:hAnsi="宋体" w:cs="宋体"/>
          <w:bCs/>
          <w:color w:val="auto"/>
          <w:szCs w:val="21"/>
          <w:highlight w:val="none"/>
        </w:rPr>
      </w:pPr>
      <w:r>
        <w:rPr>
          <w:rFonts w:hint="eastAsia" w:ascii="宋体" w:hAnsi="宋体" w:cs="宋体"/>
          <w:bCs/>
          <w:color w:val="auto"/>
          <w:szCs w:val="21"/>
          <w:highlight w:val="none"/>
        </w:rPr>
        <w:t>根据投标人安装、调试、验收的方案和措施等情况由</w:t>
      </w:r>
      <w:r>
        <w:rPr>
          <w:rFonts w:hint="eastAsia" w:ascii="宋体" w:hAnsi="宋体" w:cs="宋体"/>
          <w:color w:val="auto"/>
          <w:szCs w:val="21"/>
          <w:highlight w:val="none"/>
        </w:rPr>
        <w:t>评委进行综合评分</w:t>
      </w:r>
      <w:r>
        <w:rPr>
          <w:rFonts w:hint="eastAsia" w:ascii="宋体" w:hAnsi="宋体" w:cs="宋体"/>
          <w:bCs/>
          <w:color w:val="auto"/>
          <w:szCs w:val="21"/>
          <w:highlight w:val="none"/>
        </w:rPr>
        <w:t>，方案和措施</w:t>
      </w:r>
      <w:r>
        <w:rPr>
          <w:rFonts w:hint="eastAsia" w:ascii="宋体" w:hAnsi="宋体"/>
          <w:b w:val="0"/>
          <w:bCs w:val="0"/>
          <w:color w:val="auto"/>
          <w:szCs w:val="21"/>
          <w:highlight w:val="none"/>
        </w:rPr>
        <w:t>表述清晰，阐述完善，合理可行</w:t>
      </w:r>
      <w:r>
        <w:rPr>
          <w:rFonts w:hint="eastAsia" w:ascii="Times New Roman" w:hAnsi="Times New Roman" w:eastAsia="宋体" w:cs="Times New Roman"/>
          <w:color w:val="auto"/>
          <w:highlight w:val="none"/>
          <w:lang w:val="en-US" w:eastAsia="zh-CN"/>
        </w:rPr>
        <w:t>的得</w:t>
      </w:r>
      <w:r>
        <w:rPr>
          <w:rFonts w:hint="eastAsia" w:eastAsia="宋体" w:cs="Times New Roman"/>
          <w:color w:val="auto"/>
          <w:highlight w:val="none"/>
          <w:lang w:val="en-US" w:eastAsia="zh-CN"/>
        </w:rPr>
        <w:t>3-5</w:t>
      </w:r>
      <w:r>
        <w:rPr>
          <w:rFonts w:hint="eastAsia" w:ascii="Times New Roman" w:hAnsi="Times New Roman" w:eastAsia="宋体" w:cs="Times New Roman"/>
          <w:color w:val="auto"/>
          <w:highlight w:val="none"/>
          <w:lang w:val="en-US" w:eastAsia="zh-CN"/>
        </w:rPr>
        <w:t>分；</w:t>
      </w:r>
      <w:r>
        <w:rPr>
          <w:rFonts w:hint="eastAsia" w:ascii="宋体" w:hAnsi="宋体" w:cs="宋体"/>
          <w:bCs/>
          <w:color w:val="auto"/>
          <w:szCs w:val="21"/>
          <w:highlight w:val="none"/>
        </w:rPr>
        <w:t>方案和措施</w:t>
      </w:r>
      <w:r>
        <w:rPr>
          <w:rFonts w:hint="eastAsia" w:ascii="宋体" w:hAnsi="宋体"/>
          <w:b w:val="0"/>
          <w:bCs w:val="0"/>
          <w:color w:val="auto"/>
          <w:szCs w:val="21"/>
          <w:highlight w:val="none"/>
        </w:rPr>
        <w:t>表述较清晰，</w:t>
      </w:r>
      <w:r>
        <w:rPr>
          <w:rFonts w:hint="eastAsia" w:ascii="宋体" w:hAnsi="宋体"/>
          <w:b w:val="0"/>
          <w:bCs w:val="0"/>
          <w:color w:val="auto"/>
          <w:szCs w:val="21"/>
          <w:highlight w:val="none"/>
          <w:lang w:val="en-US" w:eastAsia="zh-CN"/>
        </w:rPr>
        <w:t>较</w:t>
      </w:r>
      <w:r>
        <w:rPr>
          <w:rFonts w:hint="eastAsia" w:ascii="宋体" w:hAnsi="宋体"/>
          <w:b w:val="0"/>
          <w:bCs w:val="0"/>
          <w:color w:val="auto"/>
          <w:szCs w:val="21"/>
          <w:highlight w:val="none"/>
        </w:rPr>
        <w:t>合理可行</w:t>
      </w:r>
      <w:r>
        <w:rPr>
          <w:rFonts w:hint="eastAsia" w:ascii="Times New Roman" w:hAnsi="Times New Roman" w:eastAsia="宋体" w:cs="Times New Roman"/>
          <w:color w:val="auto"/>
          <w:highlight w:val="none"/>
          <w:lang w:val="en-US" w:eastAsia="zh-CN"/>
        </w:rPr>
        <w:t>的得</w:t>
      </w:r>
      <w:r>
        <w:rPr>
          <w:rFonts w:hint="eastAsia" w:eastAsia="宋体" w:cs="Times New Roman"/>
          <w:color w:val="auto"/>
          <w:highlight w:val="none"/>
          <w:lang w:val="en-US" w:eastAsia="zh-CN"/>
        </w:rPr>
        <w:t>2-2.9</w:t>
      </w:r>
      <w:r>
        <w:rPr>
          <w:rFonts w:hint="eastAsia" w:ascii="Times New Roman" w:hAnsi="Times New Roman" w:eastAsia="宋体" w:cs="Times New Roman"/>
          <w:color w:val="auto"/>
          <w:highlight w:val="none"/>
          <w:lang w:val="en-US" w:eastAsia="zh-CN"/>
        </w:rPr>
        <w:t>分；</w:t>
      </w:r>
      <w:r>
        <w:rPr>
          <w:rFonts w:hint="eastAsia" w:ascii="宋体" w:hAnsi="宋体" w:cs="宋体"/>
          <w:bCs/>
          <w:color w:val="auto"/>
          <w:szCs w:val="21"/>
          <w:highlight w:val="none"/>
        </w:rPr>
        <w:t>方案和措施</w:t>
      </w:r>
      <w:r>
        <w:rPr>
          <w:rFonts w:hint="eastAsia" w:ascii="宋体" w:hAnsi="宋体"/>
          <w:b w:val="0"/>
          <w:bCs w:val="0"/>
          <w:color w:val="auto"/>
          <w:szCs w:val="21"/>
          <w:highlight w:val="none"/>
        </w:rPr>
        <w:t>表述</w:t>
      </w:r>
      <w:r>
        <w:rPr>
          <w:rFonts w:hint="eastAsia" w:ascii="宋体" w:hAnsi="宋体"/>
          <w:b w:val="0"/>
          <w:bCs w:val="0"/>
          <w:color w:val="auto"/>
          <w:szCs w:val="21"/>
          <w:highlight w:val="none"/>
          <w:lang w:val="en-US" w:eastAsia="zh-CN"/>
        </w:rPr>
        <w:t>一般</w:t>
      </w:r>
      <w:r>
        <w:rPr>
          <w:rFonts w:hint="eastAsia" w:ascii="宋体" w:hAnsi="宋体"/>
          <w:b w:val="0"/>
          <w:bCs w:val="0"/>
          <w:color w:val="auto"/>
          <w:szCs w:val="21"/>
          <w:highlight w:val="none"/>
        </w:rPr>
        <w:t>，</w:t>
      </w:r>
      <w:r>
        <w:rPr>
          <w:rFonts w:hint="eastAsia" w:ascii="宋体" w:hAnsi="宋体"/>
          <w:b w:val="0"/>
          <w:bCs w:val="0"/>
          <w:color w:val="auto"/>
          <w:szCs w:val="21"/>
          <w:highlight w:val="none"/>
          <w:lang w:val="en-US" w:eastAsia="zh-CN"/>
        </w:rPr>
        <w:t>基本</w:t>
      </w:r>
      <w:r>
        <w:rPr>
          <w:rFonts w:hint="eastAsia" w:ascii="宋体" w:hAnsi="宋体"/>
          <w:b w:val="0"/>
          <w:bCs w:val="0"/>
          <w:color w:val="auto"/>
          <w:szCs w:val="21"/>
          <w:highlight w:val="none"/>
        </w:rPr>
        <w:t>合理可行</w:t>
      </w:r>
      <w:r>
        <w:rPr>
          <w:rFonts w:hint="eastAsia" w:ascii="Times New Roman" w:hAnsi="Times New Roman" w:eastAsia="宋体" w:cs="Times New Roman"/>
          <w:color w:val="auto"/>
          <w:highlight w:val="none"/>
          <w:lang w:val="en-US" w:eastAsia="zh-CN"/>
        </w:rPr>
        <w:t>的得</w:t>
      </w:r>
      <w:r>
        <w:rPr>
          <w:rFonts w:hint="eastAsia" w:eastAsia="宋体" w:cs="Times New Roman"/>
          <w:color w:val="auto"/>
          <w:highlight w:val="none"/>
          <w:lang w:val="en-US" w:eastAsia="zh-CN"/>
        </w:rPr>
        <w:t>1-1.9</w:t>
      </w:r>
      <w:r>
        <w:rPr>
          <w:rFonts w:hint="eastAsia" w:ascii="Times New Roman" w:hAnsi="Times New Roman" w:eastAsia="宋体" w:cs="Times New Roman"/>
          <w:color w:val="auto"/>
          <w:highlight w:val="none"/>
          <w:lang w:val="en-US" w:eastAsia="zh-CN"/>
        </w:rPr>
        <w:t>分；</w:t>
      </w:r>
      <w:r>
        <w:rPr>
          <w:rFonts w:hint="eastAsia" w:ascii="宋体" w:hAnsi="宋体" w:cs="宋体"/>
          <w:bCs/>
          <w:color w:val="auto"/>
          <w:szCs w:val="21"/>
          <w:highlight w:val="none"/>
        </w:rPr>
        <w:t>方案和措施</w:t>
      </w:r>
      <w:r>
        <w:rPr>
          <w:rFonts w:hint="eastAsia" w:ascii="宋体" w:hAnsi="宋体"/>
          <w:b w:val="0"/>
          <w:bCs w:val="0"/>
          <w:color w:val="auto"/>
          <w:szCs w:val="21"/>
          <w:highlight w:val="none"/>
        </w:rPr>
        <w:t>表述</w:t>
      </w:r>
      <w:r>
        <w:rPr>
          <w:rFonts w:hint="eastAsia" w:ascii="宋体" w:hAnsi="宋体"/>
          <w:b w:val="0"/>
          <w:bCs w:val="0"/>
          <w:color w:val="auto"/>
          <w:szCs w:val="21"/>
          <w:highlight w:val="none"/>
          <w:lang w:val="en-US" w:eastAsia="zh-CN"/>
        </w:rPr>
        <w:t>不</w:t>
      </w:r>
      <w:r>
        <w:rPr>
          <w:rFonts w:hint="eastAsia" w:ascii="宋体" w:hAnsi="宋体"/>
          <w:b w:val="0"/>
          <w:bCs w:val="0"/>
          <w:color w:val="auto"/>
          <w:szCs w:val="21"/>
          <w:highlight w:val="none"/>
        </w:rPr>
        <w:t>清晰，</w:t>
      </w:r>
      <w:r>
        <w:rPr>
          <w:rFonts w:hint="eastAsia" w:ascii="宋体" w:hAnsi="宋体"/>
          <w:b w:val="0"/>
          <w:bCs w:val="0"/>
          <w:color w:val="auto"/>
          <w:szCs w:val="21"/>
          <w:highlight w:val="none"/>
          <w:lang w:val="en-US" w:eastAsia="zh-CN"/>
        </w:rPr>
        <w:t>欠缺</w:t>
      </w:r>
      <w:r>
        <w:rPr>
          <w:rFonts w:hint="eastAsia" w:ascii="宋体" w:hAnsi="宋体"/>
          <w:b w:val="0"/>
          <w:bCs w:val="0"/>
          <w:color w:val="auto"/>
          <w:szCs w:val="21"/>
          <w:highlight w:val="none"/>
        </w:rPr>
        <w:t>合理可行</w:t>
      </w:r>
      <w:r>
        <w:rPr>
          <w:rFonts w:hint="eastAsia" w:ascii="Times New Roman" w:hAnsi="Times New Roman" w:eastAsia="宋体" w:cs="Times New Roman"/>
          <w:b w:val="0"/>
          <w:color w:val="auto"/>
          <w:kern w:val="2"/>
          <w:sz w:val="21"/>
          <w:szCs w:val="24"/>
          <w:highlight w:val="none"/>
          <w:lang w:val="en-US" w:eastAsia="zh-CN" w:bidi="ar-SA"/>
        </w:rPr>
        <w:t>的得</w:t>
      </w:r>
      <w:r>
        <w:rPr>
          <w:rFonts w:hint="eastAsia" w:eastAsia="宋体" w:cs="Times New Roman"/>
          <w:b w:val="0"/>
          <w:color w:val="auto"/>
          <w:kern w:val="2"/>
          <w:sz w:val="21"/>
          <w:szCs w:val="24"/>
          <w:highlight w:val="none"/>
          <w:lang w:val="en-US" w:eastAsia="zh-CN" w:bidi="ar-SA"/>
        </w:rPr>
        <w:t>0-0.9</w:t>
      </w:r>
      <w:r>
        <w:rPr>
          <w:rFonts w:hint="eastAsia" w:ascii="Times New Roman" w:hAnsi="Times New Roman" w:eastAsia="宋体" w:cs="Times New Roman"/>
          <w:b w:val="0"/>
          <w:color w:val="auto"/>
          <w:kern w:val="2"/>
          <w:sz w:val="21"/>
          <w:szCs w:val="24"/>
          <w:highlight w:val="none"/>
          <w:lang w:val="en-US" w:eastAsia="zh-CN" w:bidi="ar-SA"/>
        </w:rPr>
        <w:t>分；</w:t>
      </w:r>
      <w:r>
        <w:rPr>
          <w:rFonts w:hint="eastAsia" w:ascii="宋体" w:hAnsi="宋体" w:cs="宋体"/>
          <w:bCs/>
          <w:color w:val="auto"/>
          <w:szCs w:val="21"/>
          <w:highlight w:val="none"/>
        </w:rPr>
        <w:t>无方案和无措施的不得分。</w:t>
      </w:r>
    </w:p>
    <w:p>
      <w:pPr>
        <w:spacing w:line="460" w:lineRule="exact"/>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3、培训方案（0-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分）（主观分）</w:t>
      </w:r>
    </w:p>
    <w:p>
      <w:pPr>
        <w:spacing w:line="460" w:lineRule="exact"/>
        <w:ind w:firstLine="420" w:firstLineChars="200"/>
        <w:outlineLvl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根据投标人提供培训方案的</w:t>
      </w:r>
      <w:r>
        <w:rPr>
          <w:rFonts w:hint="default" w:ascii="Times New Roman" w:hAnsi="Times New Roman" w:eastAsia="宋体" w:cs="Times New Roman"/>
          <w:color w:val="auto"/>
          <w:highlight w:val="none"/>
        </w:rPr>
        <w:t>培训</w:t>
      </w:r>
      <w:r>
        <w:rPr>
          <w:rFonts w:hint="eastAsia" w:ascii="Times New Roman" w:hAnsi="Times New Roman" w:eastAsia="宋体" w:cs="Times New Roman"/>
          <w:color w:val="auto"/>
          <w:highlight w:val="none"/>
          <w:lang w:val="en-US" w:eastAsia="zh-CN"/>
        </w:rPr>
        <w:t>人数</w:t>
      </w:r>
      <w:r>
        <w:rPr>
          <w:rFonts w:hint="default" w:ascii="Times New Roman" w:hAnsi="Times New Roman" w:eastAsia="宋体" w:cs="Times New Roman"/>
          <w:color w:val="auto"/>
          <w:highlight w:val="none"/>
        </w:rPr>
        <w:t>、课时安排、师资力量安排等</w:t>
      </w:r>
      <w:r>
        <w:rPr>
          <w:rFonts w:hint="eastAsia" w:ascii="Times New Roman" w:hAnsi="Times New Roman" w:eastAsia="宋体" w:cs="Times New Roman"/>
          <w:color w:val="auto"/>
          <w:highlight w:val="none"/>
          <w:lang w:val="en-US" w:eastAsia="zh-CN"/>
        </w:rPr>
        <w:t>情况</w:t>
      </w:r>
      <w:r>
        <w:rPr>
          <w:rFonts w:hint="eastAsia" w:ascii="宋体" w:hAnsi="宋体" w:cs="宋体"/>
          <w:color w:val="auto"/>
          <w:szCs w:val="21"/>
          <w:highlight w:val="none"/>
        </w:rPr>
        <w:t>由评委进行综合评分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培训</w:t>
      </w:r>
      <w:r>
        <w:rPr>
          <w:rFonts w:hint="eastAsia" w:ascii="宋体" w:hAnsi="宋体" w:cs="宋体"/>
          <w:bCs/>
          <w:color w:val="auto"/>
          <w:szCs w:val="21"/>
          <w:highlight w:val="none"/>
        </w:rPr>
        <w:t>方案</w:t>
      </w:r>
      <w:r>
        <w:rPr>
          <w:rFonts w:hint="eastAsia" w:ascii="宋体" w:hAnsi="宋体"/>
          <w:b w:val="0"/>
          <w:bCs w:val="0"/>
          <w:color w:val="auto"/>
          <w:szCs w:val="21"/>
          <w:highlight w:val="none"/>
        </w:rPr>
        <w:t>表述清晰，阐述完善，合理可行</w:t>
      </w:r>
      <w:r>
        <w:rPr>
          <w:rFonts w:hint="eastAsia" w:ascii="Times New Roman" w:hAnsi="Times New Roman" w:eastAsia="宋体" w:cs="Times New Roman"/>
          <w:color w:val="auto"/>
          <w:highlight w:val="none"/>
          <w:lang w:val="en-US" w:eastAsia="zh-CN"/>
        </w:rPr>
        <w:t>的得3</w:t>
      </w:r>
      <w:r>
        <w:rPr>
          <w:rFonts w:hint="eastAsia" w:eastAsia="宋体"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分；培训</w:t>
      </w:r>
      <w:r>
        <w:rPr>
          <w:rFonts w:hint="eastAsia" w:ascii="宋体" w:hAnsi="宋体" w:cs="宋体"/>
          <w:bCs/>
          <w:color w:val="auto"/>
          <w:szCs w:val="21"/>
          <w:highlight w:val="none"/>
        </w:rPr>
        <w:t>方案</w:t>
      </w:r>
      <w:r>
        <w:rPr>
          <w:rFonts w:hint="eastAsia" w:ascii="宋体" w:hAnsi="宋体"/>
          <w:b w:val="0"/>
          <w:bCs w:val="0"/>
          <w:color w:val="auto"/>
          <w:szCs w:val="21"/>
          <w:highlight w:val="none"/>
        </w:rPr>
        <w:t>表述较清晰，</w:t>
      </w:r>
      <w:r>
        <w:rPr>
          <w:rFonts w:hint="eastAsia" w:ascii="宋体" w:hAnsi="宋体"/>
          <w:b w:val="0"/>
          <w:bCs w:val="0"/>
          <w:color w:val="auto"/>
          <w:szCs w:val="21"/>
          <w:highlight w:val="none"/>
          <w:lang w:val="en-US" w:eastAsia="zh-CN"/>
        </w:rPr>
        <w:t>内容较完善，</w:t>
      </w:r>
      <w:r>
        <w:rPr>
          <w:rFonts w:hint="eastAsia" w:ascii="宋体" w:hAnsi="宋体"/>
          <w:b w:val="0"/>
          <w:bCs w:val="0"/>
          <w:color w:val="auto"/>
          <w:szCs w:val="21"/>
          <w:highlight w:val="none"/>
        </w:rPr>
        <w:t>基本合理可行</w:t>
      </w:r>
      <w:r>
        <w:rPr>
          <w:rFonts w:hint="eastAsia" w:ascii="Times New Roman" w:hAnsi="Times New Roman" w:eastAsia="宋体" w:cs="Times New Roman"/>
          <w:color w:val="auto"/>
          <w:highlight w:val="none"/>
          <w:lang w:val="en-US" w:eastAsia="zh-CN"/>
        </w:rPr>
        <w:t>的得</w:t>
      </w:r>
      <w:r>
        <w:rPr>
          <w:rFonts w:hint="eastAsia" w:eastAsia="宋体" w:cs="Times New Roman"/>
          <w:color w:val="auto"/>
          <w:highlight w:val="none"/>
          <w:lang w:val="en-US" w:eastAsia="zh-CN"/>
        </w:rPr>
        <w:t>1-2.9</w:t>
      </w:r>
      <w:r>
        <w:rPr>
          <w:rFonts w:hint="eastAsia" w:ascii="Times New Roman" w:hAnsi="Times New Roman" w:eastAsia="宋体" w:cs="Times New Roman"/>
          <w:color w:val="auto"/>
          <w:highlight w:val="none"/>
          <w:lang w:val="en-US" w:eastAsia="zh-CN"/>
        </w:rPr>
        <w:t>分；培训</w:t>
      </w:r>
      <w:r>
        <w:rPr>
          <w:rFonts w:hint="eastAsia" w:ascii="宋体" w:hAnsi="宋体" w:cs="宋体"/>
          <w:bCs/>
          <w:color w:val="auto"/>
          <w:szCs w:val="21"/>
          <w:highlight w:val="none"/>
        </w:rPr>
        <w:t>方案</w:t>
      </w:r>
      <w:r>
        <w:rPr>
          <w:rFonts w:hint="eastAsia" w:ascii="宋体" w:hAnsi="宋体"/>
          <w:b w:val="0"/>
          <w:bCs w:val="0"/>
          <w:color w:val="auto"/>
          <w:szCs w:val="21"/>
          <w:highlight w:val="none"/>
        </w:rPr>
        <w:t>表述</w:t>
      </w:r>
      <w:r>
        <w:rPr>
          <w:rFonts w:hint="eastAsia" w:ascii="宋体" w:hAnsi="宋体"/>
          <w:b w:val="0"/>
          <w:bCs w:val="0"/>
          <w:color w:val="auto"/>
          <w:szCs w:val="21"/>
          <w:highlight w:val="none"/>
          <w:lang w:val="en-US" w:eastAsia="zh-CN"/>
        </w:rPr>
        <w:t>不</w:t>
      </w:r>
      <w:r>
        <w:rPr>
          <w:rFonts w:hint="eastAsia" w:ascii="宋体" w:hAnsi="宋体"/>
          <w:b w:val="0"/>
          <w:bCs w:val="0"/>
          <w:color w:val="auto"/>
          <w:szCs w:val="21"/>
          <w:highlight w:val="none"/>
        </w:rPr>
        <w:t>清晰，</w:t>
      </w:r>
      <w:r>
        <w:rPr>
          <w:rFonts w:hint="eastAsia" w:ascii="宋体" w:hAnsi="宋体"/>
          <w:b w:val="0"/>
          <w:bCs w:val="0"/>
          <w:color w:val="auto"/>
          <w:szCs w:val="21"/>
          <w:highlight w:val="none"/>
          <w:lang w:val="en-US" w:eastAsia="zh-CN"/>
        </w:rPr>
        <w:t>内容不完善，欠缺</w:t>
      </w:r>
      <w:r>
        <w:rPr>
          <w:rFonts w:hint="eastAsia" w:ascii="宋体" w:hAnsi="宋体"/>
          <w:b w:val="0"/>
          <w:bCs w:val="0"/>
          <w:color w:val="auto"/>
          <w:szCs w:val="21"/>
          <w:highlight w:val="none"/>
        </w:rPr>
        <w:t>合理可行</w:t>
      </w:r>
      <w:r>
        <w:rPr>
          <w:rFonts w:hint="eastAsia" w:ascii="Times New Roman" w:hAnsi="Times New Roman" w:eastAsia="宋体" w:cs="Times New Roman"/>
          <w:b w:val="0"/>
          <w:color w:val="auto"/>
          <w:kern w:val="2"/>
          <w:sz w:val="21"/>
          <w:szCs w:val="24"/>
          <w:highlight w:val="none"/>
          <w:lang w:val="en-US" w:eastAsia="zh-CN" w:bidi="ar-SA"/>
        </w:rPr>
        <w:t>的得</w:t>
      </w:r>
      <w:r>
        <w:rPr>
          <w:rFonts w:hint="eastAsia" w:eastAsia="宋体" w:cs="Times New Roman"/>
          <w:b w:val="0"/>
          <w:color w:val="auto"/>
          <w:kern w:val="2"/>
          <w:sz w:val="21"/>
          <w:szCs w:val="24"/>
          <w:highlight w:val="none"/>
          <w:lang w:val="en-US" w:eastAsia="zh-CN" w:bidi="ar-SA"/>
        </w:rPr>
        <w:t>0-0.9</w:t>
      </w:r>
      <w:r>
        <w:rPr>
          <w:rFonts w:hint="eastAsia" w:ascii="Times New Roman" w:hAnsi="Times New Roman" w:eastAsia="宋体" w:cs="Times New Roman"/>
          <w:b w:val="0"/>
          <w:color w:val="auto"/>
          <w:kern w:val="2"/>
          <w:sz w:val="21"/>
          <w:szCs w:val="24"/>
          <w:highlight w:val="none"/>
          <w:lang w:val="en-US" w:eastAsia="zh-CN" w:bidi="ar-SA"/>
        </w:rPr>
        <w:t>分；</w:t>
      </w:r>
      <w:r>
        <w:rPr>
          <w:rFonts w:hint="eastAsia" w:ascii="宋体" w:hAnsi="宋体" w:cs="宋体"/>
          <w:bCs/>
          <w:color w:val="auto"/>
          <w:szCs w:val="21"/>
          <w:highlight w:val="none"/>
        </w:rPr>
        <w:t>无</w:t>
      </w:r>
      <w:r>
        <w:rPr>
          <w:rFonts w:hint="eastAsia" w:ascii="宋体" w:hAnsi="宋体" w:cs="宋体"/>
          <w:bCs/>
          <w:color w:val="auto"/>
          <w:szCs w:val="21"/>
          <w:highlight w:val="none"/>
          <w:lang w:val="en-US" w:eastAsia="zh-CN"/>
        </w:rPr>
        <w:t>培训</w:t>
      </w:r>
      <w:r>
        <w:rPr>
          <w:rFonts w:hint="eastAsia" w:ascii="宋体" w:hAnsi="宋体" w:cs="宋体"/>
          <w:bCs/>
          <w:color w:val="auto"/>
          <w:szCs w:val="21"/>
          <w:highlight w:val="none"/>
        </w:rPr>
        <w:t>方案的不得分。</w:t>
      </w:r>
    </w:p>
    <w:p>
      <w:pPr>
        <w:spacing w:line="460" w:lineRule="exact"/>
        <w:ind w:firstLine="472" w:firstLineChars="225"/>
        <w:rPr>
          <w:rFonts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、投入本项目安装调试人员情况的综合评价（0-</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r>
        <w:rPr>
          <w:rFonts w:hint="eastAsia" w:ascii="宋体" w:hAnsi="宋体" w:cs="宋体"/>
          <w:color w:val="auto"/>
          <w:szCs w:val="21"/>
          <w:highlight w:val="none"/>
        </w:rPr>
        <w:t>（主观分）</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color w:val="auto"/>
          <w:highlight w:val="none"/>
        </w:rPr>
        <w:t>投入本项目安装调试人员</w:t>
      </w:r>
      <w:r>
        <w:rPr>
          <w:rFonts w:hint="eastAsia"/>
          <w:color w:val="auto"/>
          <w:highlight w:val="none"/>
          <w:lang w:val="en-US" w:eastAsia="zh-CN"/>
        </w:rPr>
        <w:t>数量、资质、经验等</w:t>
      </w:r>
      <w:r>
        <w:rPr>
          <w:rFonts w:hint="eastAsia" w:ascii="宋体" w:hAnsi="宋体" w:cs="宋体"/>
          <w:color w:val="auto"/>
          <w:szCs w:val="21"/>
          <w:highlight w:val="none"/>
        </w:rPr>
        <w:t>由评委进行综合评分</w:t>
      </w:r>
      <w:r>
        <w:rPr>
          <w:rFonts w:hint="eastAsia" w:ascii="宋体" w:hAnsi="宋体" w:cs="宋体"/>
          <w:color w:val="auto"/>
          <w:szCs w:val="21"/>
          <w:highlight w:val="none"/>
          <w:lang w:eastAsia="zh-CN"/>
        </w:rPr>
        <w:t>，</w:t>
      </w:r>
      <w:r>
        <w:rPr>
          <w:rFonts w:hint="eastAsia" w:ascii="Times New Roman" w:hAnsi="Times New Roman" w:eastAsia="宋体" w:cs="Times New Roman"/>
          <w:color w:val="auto"/>
          <w:highlight w:val="none"/>
          <w:lang w:val="en-US" w:eastAsia="zh-CN"/>
        </w:rPr>
        <w:t>人员合理完整、资质高、经验丰富的得</w:t>
      </w:r>
      <w:r>
        <w:rPr>
          <w:rFonts w:hint="eastAsia" w:eastAsia="宋体" w:cs="Times New Roman"/>
          <w:color w:val="auto"/>
          <w:highlight w:val="none"/>
          <w:lang w:val="en-US" w:eastAsia="zh-CN"/>
        </w:rPr>
        <w:t>3-5</w:t>
      </w:r>
      <w:r>
        <w:rPr>
          <w:rFonts w:hint="eastAsia" w:ascii="Times New Roman" w:hAnsi="Times New Roman" w:eastAsia="宋体" w:cs="Times New Roman"/>
          <w:color w:val="auto"/>
          <w:highlight w:val="none"/>
          <w:lang w:val="en-US" w:eastAsia="zh-CN"/>
        </w:rPr>
        <w:t>分；人员较合理完整、资质较高、经验较丰富的得</w:t>
      </w:r>
      <w:r>
        <w:rPr>
          <w:rFonts w:hint="eastAsia" w:eastAsia="宋体" w:cs="Times New Roman"/>
          <w:color w:val="auto"/>
          <w:highlight w:val="none"/>
          <w:lang w:val="en-US" w:eastAsia="zh-CN"/>
        </w:rPr>
        <w:t>2-2.9</w:t>
      </w:r>
      <w:r>
        <w:rPr>
          <w:rFonts w:hint="eastAsia" w:ascii="Times New Roman" w:hAnsi="Times New Roman" w:eastAsia="宋体" w:cs="Times New Roman"/>
          <w:color w:val="auto"/>
          <w:highlight w:val="none"/>
          <w:lang w:val="en-US" w:eastAsia="zh-CN"/>
        </w:rPr>
        <w:t>分；人员合理完整性一般，资质、经验一般的得</w:t>
      </w:r>
      <w:r>
        <w:rPr>
          <w:rFonts w:hint="eastAsia" w:eastAsia="宋体" w:cs="Times New Roman"/>
          <w:color w:val="auto"/>
          <w:highlight w:val="none"/>
          <w:lang w:val="en-US" w:eastAsia="zh-CN"/>
        </w:rPr>
        <w:t>1-1.9</w:t>
      </w:r>
      <w:r>
        <w:rPr>
          <w:rFonts w:hint="eastAsia" w:ascii="Times New Roman" w:hAnsi="Times New Roman" w:eastAsia="宋体" w:cs="Times New Roman"/>
          <w:color w:val="auto"/>
          <w:highlight w:val="none"/>
          <w:lang w:val="en-US" w:eastAsia="zh-CN"/>
        </w:rPr>
        <w:t>分；人员合理完整性欠缺，资质、经验不足</w:t>
      </w:r>
      <w:r>
        <w:rPr>
          <w:rFonts w:hint="eastAsia" w:ascii="Times New Roman" w:hAnsi="Times New Roman" w:eastAsia="宋体" w:cs="Times New Roman"/>
          <w:b w:val="0"/>
          <w:color w:val="auto"/>
          <w:kern w:val="2"/>
          <w:sz w:val="21"/>
          <w:szCs w:val="24"/>
          <w:highlight w:val="none"/>
          <w:lang w:val="en-US" w:eastAsia="zh-CN" w:bidi="ar-SA"/>
        </w:rPr>
        <w:t>的得</w:t>
      </w:r>
      <w:r>
        <w:rPr>
          <w:rFonts w:hint="eastAsia" w:eastAsia="宋体" w:cs="Times New Roman"/>
          <w:b w:val="0"/>
          <w:color w:val="auto"/>
          <w:kern w:val="2"/>
          <w:sz w:val="21"/>
          <w:szCs w:val="24"/>
          <w:highlight w:val="none"/>
          <w:lang w:val="en-US" w:eastAsia="zh-CN" w:bidi="ar-SA"/>
        </w:rPr>
        <w:t>0-0.9</w:t>
      </w:r>
      <w:r>
        <w:rPr>
          <w:rFonts w:hint="eastAsia" w:ascii="Times New Roman" w:hAnsi="Times New Roman" w:eastAsia="宋体" w:cs="Times New Roman"/>
          <w:b w:val="0"/>
          <w:color w:val="auto"/>
          <w:kern w:val="2"/>
          <w:sz w:val="21"/>
          <w:szCs w:val="24"/>
          <w:highlight w:val="none"/>
          <w:lang w:val="en-US" w:eastAsia="zh-CN" w:bidi="ar-SA"/>
        </w:rPr>
        <w:t>分；</w:t>
      </w:r>
      <w:r>
        <w:rPr>
          <w:rFonts w:hint="eastAsia" w:ascii="宋体" w:hAnsi="宋体" w:cs="宋体"/>
          <w:color w:val="auto"/>
          <w:szCs w:val="21"/>
          <w:highlight w:val="none"/>
        </w:rPr>
        <w:t>未提供不得分。</w:t>
      </w:r>
    </w:p>
    <w:p>
      <w:pPr>
        <w:pStyle w:val="7"/>
        <w:overflowPunct w:val="0"/>
        <w:spacing w:line="460" w:lineRule="exact"/>
        <w:ind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Times New Roman" w:hAnsi="Times New Roman" w:eastAsia="宋体" w:cs="Times New Roman"/>
          <w:color w:val="auto"/>
          <w:highlight w:val="none"/>
        </w:rPr>
        <w:t>售后服务方案</w:t>
      </w:r>
      <w:r>
        <w:rPr>
          <w:rFonts w:hint="eastAsia" w:cs="Times New Roman"/>
          <w:color w:val="auto"/>
          <w:highlight w:val="none"/>
          <w:lang w:val="en-US" w:eastAsia="zh-CN"/>
        </w:rPr>
        <w:t>和措施</w:t>
      </w:r>
      <w:r>
        <w:rPr>
          <w:rFonts w:hint="eastAsia" w:ascii="宋体" w:hAnsi="宋体" w:cs="宋体"/>
          <w:color w:val="auto"/>
          <w:szCs w:val="21"/>
          <w:highlight w:val="none"/>
        </w:rPr>
        <w:t>（0-5分）（主观分）</w:t>
      </w:r>
    </w:p>
    <w:p>
      <w:pPr>
        <w:pStyle w:val="7"/>
        <w:overflowPunct w:val="0"/>
        <w:spacing w:line="460" w:lineRule="exact"/>
        <w:ind w:firstLineChars="200"/>
        <w:rPr>
          <w:rFonts w:ascii="宋体" w:hAnsi="宋体" w:cs="宋体"/>
          <w:color w:val="auto"/>
          <w:szCs w:val="21"/>
          <w:highlight w:val="none"/>
        </w:rPr>
      </w:pPr>
      <w:r>
        <w:rPr>
          <w:rFonts w:hint="eastAsia" w:ascii="宋体" w:hAnsi="宋体" w:cs="宋体"/>
          <w:color w:val="auto"/>
          <w:szCs w:val="21"/>
          <w:highlight w:val="none"/>
        </w:rPr>
        <w:t>根据投标人</w:t>
      </w:r>
      <w:r>
        <w:rPr>
          <w:rFonts w:hint="eastAsia" w:ascii="宋体" w:hAnsi="宋体" w:cs="宋体"/>
          <w:color w:val="auto"/>
          <w:szCs w:val="21"/>
          <w:highlight w:val="none"/>
          <w:lang w:val="en-US" w:eastAsia="zh-CN"/>
        </w:rPr>
        <w:t>提供的售后服务方案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以及</w:t>
      </w:r>
      <w:r>
        <w:rPr>
          <w:rFonts w:hint="eastAsia" w:ascii="宋体" w:hAnsi="宋体" w:cs="宋体"/>
          <w:color w:val="auto"/>
          <w:szCs w:val="21"/>
          <w:highlight w:val="none"/>
        </w:rPr>
        <w:t>备品备件、专用耗材等方面的优惠</w:t>
      </w:r>
      <w:r>
        <w:rPr>
          <w:rFonts w:hint="eastAsia" w:ascii="宋体" w:hAnsi="宋体" w:cs="宋体"/>
          <w:color w:val="auto"/>
          <w:szCs w:val="21"/>
          <w:highlight w:val="none"/>
          <w:lang w:val="en-US" w:eastAsia="zh-CN"/>
        </w:rPr>
        <w:t>措施</w:t>
      </w:r>
      <w:r>
        <w:rPr>
          <w:rFonts w:hint="eastAsia" w:ascii="宋体" w:hAnsi="宋体" w:cs="宋体"/>
          <w:bCs/>
          <w:color w:val="auto"/>
          <w:szCs w:val="21"/>
          <w:highlight w:val="none"/>
        </w:rPr>
        <w:t>等情况由</w:t>
      </w:r>
      <w:r>
        <w:rPr>
          <w:rFonts w:hint="eastAsia" w:ascii="宋体" w:hAnsi="宋体" w:cs="宋体"/>
          <w:color w:val="auto"/>
          <w:szCs w:val="21"/>
          <w:highlight w:val="none"/>
        </w:rPr>
        <w:t>评委进行综合评分</w:t>
      </w:r>
      <w:r>
        <w:rPr>
          <w:rFonts w:hint="eastAsia" w:ascii="宋体" w:hAnsi="宋体" w:cs="宋体"/>
          <w:bCs/>
          <w:color w:val="auto"/>
          <w:szCs w:val="21"/>
          <w:highlight w:val="none"/>
        </w:rPr>
        <w:t>，方案和措施</w:t>
      </w:r>
      <w:r>
        <w:rPr>
          <w:rFonts w:hint="eastAsia" w:ascii="宋体" w:hAnsi="宋体"/>
          <w:b w:val="0"/>
          <w:bCs w:val="0"/>
          <w:color w:val="auto"/>
          <w:szCs w:val="21"/>
          <w:highlight w:val="none"/>
        </w:rPr>
        <w:t>表述清晰，阐述完善，合理可行</w:t>
      </w:r>
      <w:r>
        <w:rPr>
          <w:rFonts w:hint="eastAsia" w:ascii="Times New Roman" w:hAnsi="Times New Roman" w:eastAsia="宋体" w:cs="Times New Roman"/>
          <w:color w:val="auto"/>
          <w:highlight w:val="none"/>
          <w:lang w:val="en-US" w:eastAsia="zh-CN"/>
        </w:rPr>
        <w:t>的得</w:t>
      </w:r>
      <w:r>
        <w:rPr>
          <w:rFonts w:hint="eastAsia" w:eastAsia="宋体" w:cs="Times New Roman"/>
          <w:color w:val="auto"/>
          <w:highlight w:val="none"/>
          <w:lang w:val="en-US" w:eastAsia="zh-CN"/>
        </w:rPr>
        <w:t>3-5</w:t>
      </w:r>
      <w:r>
        <w:rPr>
          <w:rFonts w:hint="eastAsia" w:ascii="Times New Roman" w:hAnsi="Times New Roman" w:eastAsia="宋体" w:cs="Times New Roman"/>
          <w:color w:val="auto"/>
          <w:highlight w:val="none"/>
          <w:lang w:val="en-US" w:eastAsia="zh-CN"/>
        </w:rPr>
        <w:t>分；</w:t>
      </w:r>
      <w:r>
        <w:rPr>
          <w:rFonts w:hint="eastAsia" w:ascii="宋体" w:hAnsi="宋体" w:cs="宋体"/>
          <w:bCs/>
          <w:color w:val="auto"/>
          <w:szCs w:val="21"/>
          <w:highlight w:val="none"/>
        </w:rPr>
        <w:t>方案和措施</w:t>
      </w:r>
      <w:r>
        <w:rPr>
          <w:rFonts w:hint="eastAsia" w:ascii="宋体" w:hAnsi="宋体"/>
          <w:b w:val="0"/>
          <w:bCs w:val="0"/>
          <w:color w:val="auto"/>
          <w:szCs w:val="21"/>
          <w:highlight w:val="none"/>
        </w:rPr>
        <w:t>表述较清晰，</w:t>
      </w:r>
      <w:r>
        <w:rPr>
          <w:rFonts w:hint="eastAsia" w:ascii="宋体" w:hAnsi="宋体"/>
          <w:b w:val="0"/>
          <w:bCs w:val="0"/>
          <w:color w:val="auto"/>
          <w:szCs w:val="21"/>
          <w:highlight w:val="none"/>
          <w:lang w:val="en-US" w:eastAsia="zh-CN"/>
        </w:rPr>
        <w:t>较</w:t>
      </w:r>
      <w:r>
        <w:rPr>
          <w:rFonts w:hint="eastAsia" w:ascii="宋体" w:hAnsi="宋体"/>
          <w:b w:val="0"/>
          <w:bCs w:val="0"/>
          <w:color w:val="auto"/>
          <w:szCs w:val="21"/>
          <w:highlight w:val="none"/>
        </w:rPr>
        <w:t>合理可行</w:t>
      </w:r>
      <w:r>
        <w:rPr>
          <w:rFonts w:hint="eastAsia" w:ascii="Times New Roman" w:hAnsi="Times New Roman" w:eastAsia="宋体" w:cs="Times New Roman"/>
          <w:color w:val="auto"/>
          <w:highlight w:val="none"/>
          <w:lang w:val="en-US" w:eastAsia="zh-CN"/>
        </w:rPr>
        <w:t>的得</w:t>
      </w:r>
      <w:r>
        <w:rPr>
          <w:rFonts w:hint="eastAsia" w:eastAsia="宋体" w:cs="Times New Roman"/>
          <w:color w:val="auto"/>
          <w:highlight w:val="none"/>
          <w:lang w:val="en-US" w:eastAsia="zh-CN"/>
        </w:rPr>
        <w:t>2-2.9</w:t>
      </w:r>
      <w:r>
        <w:rPr>
          <w:rFonts w:hint="eastAsia" w:ascii="Times New Roman" w:hAnsi="Times New Roman" w:eastAsia="宋体" w:cs="Times New Roman"/>
          <w:color w:val="auto"/>
          <w:highlight w:val="none"/>
          <w:lang w:val="en-US" w:eastAsia="zh-CN"/>
        </w:rPr>
        <w:t>分；</w:t>
      </w:r>
      <w:r>
        <w:rPr>
          <w:rFonts w:hint="eastAsia" w:ascii="宋体" w:hAnsi="宋体" w:cs="宋体"/>
          <w:bCs/>
          <w:color w:val="auto"/>
          <w:szCs w:val="21"/>
          <w:highlight w:val="none"/>
        </w:rPr>
        <w:t>方案和措施</w:t>
      </w:r>
      <w:r>
        <w:rPr>
          <w:rFonts w:hint="eastAsia" w:ascii="宋体" w:hAnsi="宋体"/>
          <w:b w:val="0"/>
          <w:bCs w:val="0"/>
          <w:color w:val="auto"/>
          <w:szCs w:val="21"/>
          <w:highlight w:val="none"/>
        </w:rPr>
        <w:t>表述</w:t>
      </w:r>
      <w:r>
        <w:rPr>
          <w:rFonts w:hint="eastAsia" w:ascii="宋体" w:hAnsi="宋体"/>
          <w:b w:val="0"/>
          <w:bCs w:val="0"/>
          <w:color w:val="auto"/>
          <w:szCs w:val="21"/>
          <w:highlight w:val="none"/>
          <w:lang w:val="en-US" w:eastAsia="zh-CN"/>
        </w:rPr>
        <w:t>一般</w:t>
      </w:r>
      <w:r>
        <w:rPr>
          <w:rFonts w:hint="eastAsia" w:ascii="宋体" w:hAnsi="宋体"/>
          <w:b w:val="0"/>
          <w:bCs w:val="0"/>
          <w:color w:val="auto"/>
          <w:szCs w:val="21"/>
          <w:highlight w:val="none"/>
        </w:rPr>
        <w:t>，</w:t>
      </w:r>
      <w:r>
        <w:rPr>
          <w:rFonts w:hint="eastAsia" w:ascii="宋体" w:hAnsi="宋体"/>
          <w:b w:val="0"/>
          <w:bCs w:val="0"/>
          <w:color w:val="auto"/>
          <w:szCs w:val="21"/>
          <w:highlight w:val="none"/>
          <w:lang w:val="en-US" w:eastAsia="zh-CN"/>
        </w:rPr>
        <w:t>基本</w:t>
      </w:r>
      <w:r>
        <w:rPr>
          <w:rFonts w:hint="eastAsia" w:ascii="宋体" w:hAnsi="宋体"/>
          <w:b w:val="0"/>
          <w:bCs w:val="0"/>
          <w:color w:val="auto"/>
          <w:szCs w:val="21"/>
          <w:highlight w:val="none"/>
        </w:rPr>
        <w:t>合理可行</w:t>
      </w:r>
      <w:r>
        <w:rPr>
          <w:rFonts w:hint="eastAsia" w:ascii="Times New Roman" w:hAnsi="Times New Roman" w:eastAsia="宋体" w:cs="Times New Roman"/>
          <w:color w:val="auto"/>
          <w:highlight w:val="none"/>
          <w:lang w:val="en-US" w:eastAsia="zh-CN"/>
        </w:rPr>
        <w:t>的得</w:t>
      </w:r>
      <w:r>
        <w:rPr>
          <w:rFonts w:hint="eastAsia" w:eastAsia="宋体" w:cs="Times New Roman"/>
          <w:color w:val="auto"/>
          <w:highlight w:val="none"/>
          <w:lang w:val="en-US" w:eastAsia="zh-CN"/>
        </w:rPr>
        <w:t>1-1.9</w:t>
      </w:r>
      <w:r>
        <w:rPr>
          <w:rFonts w:hint="eastAsia" w:ascii="Times New Roman" w:hAnsi="Times New Roman" w:eastAsia="宋体" w:cs="Times New Roman"/>
          <w:color w:val="auto"/>
          <w:highlight w:val="none"/>
          <w:lang w:val="en-US" w:eastAsia="zh-CN"/>
        </w:rPr>
        <w:t>分；</w:t>
      </w:r>
      <w:r>
        <w:rPr>
          <w:rFonts w:hint="eastAsia" w:ascii="宋体" w:hAnsi="宋体" w:cs="宋体"/>
          <w:bCs/>
          <w:color w:val="auto"/>
          <w:szCs w:val="21"/>
          <w:highlight w:val="none"/>
        </w:rPr>
        <w:t>方案和措施</w:t>
      </w:r>
      <w:r>
        <w:rPr>
          <w:rFonts w:hint="eastAsia" w:ascii="宋体" w:hAnsi="宋体"/>
          <w:b w:val="0"/>
          <w:bCs w:val="0"/>
          <w:color w:val="auto"/>
          <w:szCs w:val="21"/>
          <w:highlight w:val="none"/>
        </w:rPr>
        <w:t>表述</w:t>
      </w:r>
      <w:r>
        <w:rPr>
          <w:rFonts w:hint="eastAsia" w:ascii="宋体" w:hAnsi="宋体"/>
          <w:b w:val="0"/>
          <w:bCs w:val="0"/>
          <w:color w:val="auto"/>
          <w:szCs w:val="21"/>
          <w:highlight w:val="none"/>
          <w:lang w:val="en-US" w:eastAsia="zh-CN"/>
        </w:rPr>
        <w:t>不</w:t>
      </w:r>
      <w:r>
        <w:rPr>
          <w:rFonts w:hint="eastAsia" w:ascii="宋体" w:hAnsi="宋体"/>
          <w:b w:val="0"/>
          <w:bCs w:val="0"/>
          <w:color w:val="auto"/>
          <w:szCs w:val="21"/>
          <w:highlight w:val="none"/>
        </w:rPr>
        <w:t>清晰，</w:t>
      </w:r>
      <w:r>
        <w:rPr>
          <w:rFonts w:hint="eastAsia" w:ascii="宋体" w:hAnsi="宋体"/>
          <w:b w:val="0"/>
          <w:bCs w:val="0"/>
          <w:color w:val="auto"/>
          <w:szCs w:val="21"/>
          <w:highlight w:val="none"/>
          <w:lang w:val="en-US" w:eastAsia="zh-CN"/>
        </w:rPr>
        <w:t>欠缺</w:t>
      </w:r>
      <w:r>
        <w:rPr>
          <w:rFonts w:hint="eastAsia" w:ascii="宋体" w:hAnsi="宋体"/>
          <w:b w:val="0"/>
          <w:bCs w:val="0"/>
          <w:color w:val="auto"/>
          <w:szCs w:val="21"/>
          <w:highlight w:val="none"/>
        </w:rPr>
        <w:t>合理可行</w:t>
      </w:r>
      <w:r>
        <w:rPr>
          <w:rFonts w:hint="eastAsia" w:ascii="Times New Roman" w:hAnsi="Times New Roman" w:eastAsia="宋体" w:cs="Times New Roman"/>
          <w:b w:val="0"/>
          <w:color w:val="auto"/>
          <w:kern w:val="2"/>
          <w:sz w:val="21"/>
          <w:szCs w:val="24"/>
          <w:highlight w:val="none"/>
          <w:lang w:val="en-US" w:eastAsia="zh-CN" w:bidi="ar-SA"/>
        </w:rPr>
        <w:t>的得</w:t>
      </w:r>
      <w:r>
        <w:rPr>
          <w:rFonts w:hint="eastAsia" w:eastAsia="宋体" w:cs="Times New Roman"/>
          <w:b w:val="0"/>
          <w:color w:val="auto"/>
          <w:kern w:val="2"/>
          <w:sz w:val="21"/>
          <w:szCs w:val="24"/>
          <w:highlight w:val="none"/>
          <w:lang w:val="en-US" w:eastAsia="zh-CN" w:bidi="ar-SA"/>
        </w:rPr>
        <w:t>0-0.9</w:t>
      </w:r>
      <w:r>
        <w:rPr>
          <w:rFonts w:hint="eastAsia" w:ascii="Times New Roman" w:hAnsi="Times New Roman" w:eastAsia="宋体" w:cs="Times New Roman"/>
          <w:b w:val="0"/>
          <w:color w:val="auto"/>
          <w:kern w:val="2"/>
          <w:sz w:val="21"/>
          <w:szCs w:val="24"/>
          <w:highlight w:val="none"/>
          <w:lang w:val="en-US" w:eastAsia="zh-CN" w:bidi="ar-SA"/>
        </w:rPr>
        <w:t>分；</w:t>
      </w:r>
      <w:r>
        <w:rPr>
          <w:rFonts w:hint="eastAsia" w:ascii="宋体" w:hAnsi="宋体" w:cs="宋体"/>
          <w:bCs/>
          <w:color w:val="auto"/>
          <w:szCs w:val="21"/>
          <w:highlight w:val="none"/>
        </w:rPr>
        <w:t>无方案和无措施的不得分。</w:t>
      </w:r>
    </w:p>
    <w:p>
      <w:pPr>
        <w:pStyle w:val="13"/>
        <w:adjustRightInd w:val="0"/>
        <w:snapToGrid w:val="0"/>
        <w:spacing w:line="460" w:lineRule="exact"/>
        <w:ind w:firstLine="0"/>
        <w:rPr>
          <w:rFonts w:hAnsi="宋体" w:cs="宋体"/>
          <w:b/>
          <w:bCs/>
          <w:color w:val="auto"/>
          <w:sz w:val="21"/>
          <w:szCs w:val="21"/>
          <w:highlight w:val="none"/>
        </w:rPr>
      </w:pPr>
      <w:r>
        <w:rPr>
          <w:rFonts w:hint="eastAsia" w:hAnsi="宋体" w:cs="宋体"/>
          <w:b/>
          <w:bCs/>
          <w:color w:val="auto"/>
          <w:sz w:val="21"/>
          <w:szCs w:val="21"/>
          <w:highlight w:val="none"/>
        </w:rPr>
        <w:t>（三）资信分（0-</w:t>
      </w:r>
      <w:r>
        <w:rPr>
          <w:rFonts w:hint="eastAsia" w:hAnsi="宋体" w:cs="宋体"/>
          <w:b/>
          <w:bCs/>
          <w:color w:val="auto"/>
          <w:sz w:val="21"/>
          <w:szCs w:val="21"/>
          <w:highlight w:val="none"/>
          <w:lang w:val="en-US" w:eastAsia="zh-CN"/>
        </w:rPr>
        <w:t>20</w:t>
      </w:r>
      <w:r>
        <w:rPr>
          <w:rFonts w:hint="eastAsia" w:hAnsi="宋体" w:cs="宋体"/>
          <w:b/>
          <w:bCs/>
          <w:color w:val="auto"/>
          <w:sz w:val="21"/>
          <w:szCs w:val="21"/>
          <w:highlight w:val="none"/>
        </w:rPr>
        <w:t>分）</w:t>
      </w:r>
    </w:p>
    <w:p>
      <w:pPr>
        <w:tabs>
          <w:tab w:val="left" w:pos="840"/>
        </w:tabs>
        <w:spacing w:line="460" w:lineRule="exact"/>
        <w:ind w:left="-50" w:leftChars="-24" w:firstLine="420" w:firstLineChars="200"/>
        <w:rPr>
          <w:rFonts w:ascii="宋体" w:hAnsi="宋体" w:cs="宋体"/>
          <w:color w:val="auto"/>
          <w:szCs w:val="21"/>
          <w:highlight w:val="none"/>
        </w:rPr>
      </w:pPr>
      <w:r>
        <w:rPr>
          <w:rFonts w:hint="eastAsia" w:ascii="宋体" w:hAnsi="宋体" w:cs="宋体"/>
          <w:color w:val="auto"/>
          <w:szCs w:val="21"/>
          <w:highlight w:val="none"/>
        </w:rPr>
        <w:t>1、质保期（0-3分）（客观分）</w:t>
      </w:r>
    </w:p>
    <w:p>
      <w:pPr>
        <w:tabs>
          <w:tab w:val="left" w:pos="840"/>
        </w:tabs>
        <w:spacing w:line="460" w:lineRule="exact"/>
        <w:ind w:left="-50" w:leftChars="-24" w:firstLine="315" w:firstLineChars="150"/>
        <w:rPr>
          <w:rFonts w:ascii="宋体" w:hAnsi="宋体" w:cs="宋体"/>
          <w:color w:val="auto"/>
          <w:szCs w:val="21"/>
          <w:highlight w:val="none"/>
        </w:rPr>
      </w:pPr>
      <w:r>
        <w:rPr>
          <w:rFonts w:hint="eastAsia" w:ascii="宋体" w:hAnsi="宋体" w:cs="宋体"/>
          <w:color w:val="auto"/>
          <w:szCs w:val="21"/>
          <w:highlight w:val="none"/>
          <w:lang w:val="en-US" w:eastAsia="zh-CN"/>
        </w:rPr>
        <w:t>质保期</w:t>
      </w:r>
      <w:r>
        <w:rPr>
          <w:rFonts w:hint="eastAsia" w:ascii="宋体" w:hAnsi="宋体" w:cs="宋体"/>
          <w:color w:val="auto"/>
          <w:szCs w:val="21"/>
          <w:highlight w:val="none"/>
        </w:rPr>
        <w:t>满足招标文件需求的不得分；质保期超过招标文件规定的，每增加1年得1分，最多得3分；</w:t>
      </w:r>
    </w:p>
    <w:p>
      <w:pPr>
        <w:tabs>
          <w:tab w:val="left" w:pos="840"/>
        </w:tabs>
        <w:spacing w:line="460" w:lineRule="exact"/>
        <w:ind w:left="-50" w:leftChars="-24" w:firstLine="420" w:firstLineChars="200"/>
        <w:rPr>
          <w:rFonts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、供货时间计划（0-</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客</w:t>
      </w:r>
      <w:r>
        <w:rPr>
          <w:rFonts w:hint="eastAsia" w:ascii="宋体" w:hAnsi="宋体" w:cs="宋体"/>
          <w:color w:val="auto"/>
          <w:szCs w:val="21"/>
          <w:highlight w:val="none"/>
        </w:rPr>
        <w:t>观分）</w:t>
      </w:r>
    </w:p>
    <w:p>
      <w:pPr>
        <w:tabs>
          <w:tab w:val="left" w:pos="840"/>
        </w:tabs>
        <w:spacing w:line="460" w:lineRule="exact"/>
        <w:ind w:left="-50" w:leftChars="-24"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供货时间满足招标文件需求的不得分，供货时间比招标文件要求时间每减少5天的得1分，最多得4分。</w:t>
      </w:r>
    </w:p>
    <w:p>
      <w:pPr>
        <w:tabs>
          <w:tab w:val="left" w:pos="840"/>
        </w:tabs>
        <w:spacing w:line="460" w:lineRule="exact"/>
        <w:ind w:left="-50" w:leftChars="-24"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、维修响应时间（0-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客</w:t>
      </w:r>
      <w:r>
        <w:rPr>
          <w:rFonts w:hint="eastAsia" w:ascii="宋体" w:hAnsi="宋体" w:cs="宋体"/>
          <w:color w:val="auto"/>
          <w:szCs w:val="21"/>
          <w:highlight w:val="none"/>
        </w:rPr>
        <w:t>观分）</w:t>
      </w:r>
    </w:p>
    <w:p>
      <w:pPr>
        <w:tabs>
          <w:tab w:val="left" w:pos="840"/>
        </w:tabs>
        <w:spacing w:line="460" w:lineRule="exact"/>
        <w:ind w:left="-50" w:leftChars="-24" w:firstLine="420" w:firstLineChars="200"/>
        <w:rPr>
          <w:rFonts w:ascii="宋体" w:hAnsi="宋体" w:cs="宋体"/>
          <w:color w:val="auto"/>
          <w:szCs w:val="21"/>
          <w:highlight w:val="none"/>
        </w:rPr>
      </w:pPr>
      <w:r>
        <w:rPr>
          <w:rFonts w:hint="eastAsia" w:ascii="宋体" w:hAnsi="宋体" w:cs="宋体"/>
          <w:color w:val="auto"/>
          <w:szCs w:val="21"/>
          <w:highlight w:val="none"/>
        </w:rPr>
        <w:t>维修响应时间满足招标文件需求的不得分；根据投标人承诺的优于招标文件需求的维修响应时间</w:t>
      </w:r>
      <w:r>
        <w:rPr>
          <w:rFonts w:hint="eastAsia" w:ascii="宋体" w:hAnsi="宋体" w:cs="宋体"/>
          <w:color w:val="auto"/>
          <w:szCs w:val="21"/>
          <w:highlight w:val="none"/>
          <w:lang w:val="en-US" w:eastAsia="zh-CN"/>
        </w:rPr>
        <w:t>排名，第一名的得5分，第二名的得4分，第三名的得3分，第四名的得2分，第五名的得1分，第六名及以后排名不得分</w:t>
      </w:r>
      <w:r>
        <w:rPr>
          <w:rFonts w:hint="eastAsia" w:ascii="宋体" w:hAnsi="宋体" w:cs="宋体"/>
          <w:color w:val="auto"/>
          <w:szCs w:val="21"/>
          <w:highlight w:val="none"/>
        </w:rPr>
        <w:t>。</w:t>
      </w:r>
    </w:p>
    <w:p>
      <w:pPr>
        <w:spacing w:before="120" w:beforeLines="50" w:after="120" w:afterLines="50"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、政策分（0-3分）（客观分）</w:t>
      </w:r>
    </w:p>
    <w:p>
      <w:pPr>
        <w:spacing w:before="120" w:beforeLines="50" w:after="120" w:afterLines="50" w:line="46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投标产品符合财库〔2019〕9号《关于调整优化节能产品、环境标志产品政府采购执行机制的通知》条件的每个得1分，最高得3分。</w:t>
      </w:r>
      <w:r>
        <w:rPr>
          <w:rFonts w:hint="eastAsia" w:ascii="宋体" w:hAnsi="宋体" w:cs="宋体"/>
          <w:color w:val="auto"/>
          <w:kern w:val="0"/>
          <w:szCs w:val="21"/>
          <w:highlight w:val="none"/>
          <w:lang w:val="en-US" w:eastAsia="zh-CN"/>
        </w:rPr>
        <w:t>需</w:t>
      </w:r>
      <w:r>
        <w:rPr>
          <w:rFonts w:hint="eastAsia"/>
          <w:color w:val="auto"/>
          <w:highlight w:val="none"/>
        </w:rPr>
        <w:t>提供国家确定的认证机构出具的、处于有效期之内的节能产品、环境标志产品认证证书</w:t>
      </w:r>
      <w:r>
        <w:rPr>
          <w:rFonts w:hint="eastAsia"/>
          <w:color w:val="auto"/>
          <w:highlight w:val="none"/>
          <w:lang w:val="en-US" w:eastAsia="zh-CN"/>
        </w:rPr>
        <w:t>扫描</w:t>
      </w:r>
      <w:r>
        <w:rPr>
          <w:rFonts w:hint="eastAsia"/>
          <w:color w:val="auto"/>
          <w:highlight w:val="none"/>
        </w:rPr>
        <w:t>件</w:t>
      </w:r>
      <w:r>
        <w:rPr>
          <w:rFonts w:hint="eastAsia"/>
          <w:color w:val="auto"/>
          <w:highlight w:val="none"/>
          <w:lang w:eastAsia="zh-CN"/>
        </w:rPr>
        <w:t>。</w:t>
      </w:r>
    </w:p>
    <w:p>
      <w:pPr>
        <w:spacing w:before="120" w:beforeLines="50" w:after="120" w:afterLines="50"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、诚信分（0-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分）（客观分）</w:t>
      </w:r>
    </w:p>
    <w:p>
      <w:pPr>
        <w:spacing w:before="120" w:beforeLines="50" w:after="120" w:afterLines="50"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凡在投标截止时间前三年受到行政处罚、行政处理（含通报）或记入不良行为的，此项得分为0，若无处罚、行政处理（含通报）或记入不良行为的得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eastAsia="宋体" w:cs="宋体"/>
          <w:color w:val="auto"/>
          <w:szCs w:val="21"/>
          <w:highlight w:val="none"/>
        </w:rPr>
        <w:t>（投标单位自行提供承诺</w:t>
      </w:r>
      <w:r>
        <w:rPr>
          <w:rFonts w:hint="eastAsia" w:ascii="宋体" w:hAnsi="宋体" w:eastAsia="宋体" w:cs="宋体"/>
          <w:color w:val="auto"/>
          <w:szCs w:val="21"/>
          <w:highlight w:val="none"/>
          <w:lang w:val="en-US" w:eastAsia="zh-CN"/>
        </w:rPr>
        <w:t>函</w:t>
      </w:r>
      <w:r>
        <w:rPr>
          <w:rFonts w:hint="eastAsia" w:ascii="宋体" w:hAnsi="宋体" w:eastAsia="宋体" w:cs="宋体"/>
          <w:color w:val="auto"/>
          <w:szCs w:val="21"/>
          <w:highlight w:val="none"/>
        </w:rPr>
        <w:t>，不提供承诺函的得0分，如有不良记录</w:t>
      </w:r>
      <w:r>
        <w:rPr>
          <w:rFonts w:hint="eastAsia" w:ascii="宋体" w:hAnsi="宋体" w:eastAsia="宋体" w:cs="宋体"/>
          <w:color w:val="auto"/>
          <w:szCs w:val="21"/>
          <w:highlight w:val="none"/>
          <w:lang w:val="en-US" w:eastAsia="zh-CN"/>
        </w:rPr>
        <w:t>又</w:t>
      </w:r>
      <w:r>
        <w:rPr>
          <w:rFonts w:hint="eastAsia" w:ascii="宋体" w:hAnsi="宋体" w:eastAsia="宋体" w:cs="宋体"/>
          <w:color w:val="auto"/>
          <w:szCs w:val="21"/>
          <w:highlight w:val="none"/>
        </w:rPr>
        <w:t>虚假</w:t>
      </w:r>
      <w:r>
        <w:rPr>
          <w:rFonts w:hint="eastAsia" w:ascii="宋体" w:hAnsi="宋体" w:eastAsia="宋体" w:cs="宋体"/>
          <w:color w:val="auto"/>
          <w:szCs w:val="21"/>
          <w:highlight w:val="none"/>
          <w:lang w:val="en-US" w:eastAsia="zh-CN"/>
        </w:rPr>
        <w:t>承诺</w:t>
      </w:r>
      <w:r>
        <w:rPr>
          <w:rFonts w:hint="eastAsia" w:ascii="宋体" w:hAnsi="宋体" w:eastAsia="宋体" w:cs="宋体"/>
          <w:color w:val="auto"/>
          <w:szCs w:val="21"/>
          <w:highlight w:val="none"/>
        </w:rPr>
        <w:t>的，一经发现将取消</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资格并报监管部门依法处理。）</w:t>
      </w:r>
      <w:r>
        <w:rPr>
          <w:rFonts w:hint="eastAsia" w:ascii="宋体" w:hAnsi="宋体" w:cs="宋体"/>
          <w:color w:val="auto"/>
          <w:szCs w:val="21"/>
          <w:highlight w:val="none"/>
        </w:rPr>
        <w:t>。</w:t>
      </w:r>
    </w:p>
    <w:p>
      <w:pPr>
        <w:spacing w:before="120" w:beforeLines="50" w:after="120" w:afterLines="50"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、成功案例/业绩（0-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分）（客观分）</w:t>
      </w:r>
    </w:p>
    <w:p>
      <w:pPr>
        <w:spacing w:line="460" w:lineRule="exact"/>
        <w:ind w:firstLine="420" w:firstLineChars="200"/>
        <w:outlineLvl w:val="0"/>
        <w:rPr>
          <w:rFonts w:hint="eastAsia" w:ascii="宋体" w:hAnsi="宋体" w:cs="宋体"/>
          <w:color w:val="auto"/>
          <w:szCs w:val="21"/>
          <w:highlight w:val="none"/>
        </w:rPr>
      </w:pPr>
      <w:r>
        <w:rPr>
          <w:rFonts w:hint="eastAsia" w:ascii="宋体" w:hAnsi="宋体" w:cs="宋体"/>
          <w:bCs/>
          <w:color w:val="auto"/>
          <w:szCs w:val="21"/>
          <w:highlight w:val="none"/>
        </w:rPr>
        <w:t>投标人或投标产品</w:t>
      </w:r>
      <w:r>
        <w:rPr>
          <w:rFonts w:hint="eastAsia" w:ascii="宋体" w:hAnsi="宋体" w:cs="宋体"/>
          <w:color w:val="auto"/>
          <w:szCs w:val="21"/>
          <w:highlight w:val="none"/>
        </w:rPr>
        <w:t>最近三年（截至投标时间当天）内成功实施的同类项目的业绩或应用案例证明（须提供</w:t>
      </w:r>
      <w:r>
        <w:rPr>
          <w:rFonts w:hint="eastAsia" w:ascii="宋体" w:hAnsi="宋体" w:cs="宋体"/>
          <w:color w:val="auto"/>
          <w:szCs w:val="21"/>
          <w:highlight w:val="none"/>
          <w:lang w:val="en-US" w:eastAsia="zh-CN"/>
        </w:rPr>
        <w:t>加盖公章的</w:t>
      </w:r>
      <w:r>
        <w:rPr>
          <w:rFonts w:hint="eastAsia" w:ascii="宋体" w:hAnsi="宋体" w:cs="宋体"/>
          <w:color w:val="auto"/>
          <w:szCs w:val="21"/>
          <w:highlight w:val="none"/>
        </w:rPr>
        <w:t>合同、验收证明，同一标项有多个产品时分别提供），</w:t>
      </w:r>
      <w:r>
        <w:rPr>
          <w:rFonts w:hint="eastAsia" w:ascii="宋体" w:hAnsi="宋体" w:cs="宋体"/>
          <w:color w:val="auto"/>
          <w:szCs w:val="21"/>
          <w:highlight w:val="none"/>
          <w:lang w:val="en-US" w:eastAsia="zh-CN"/>
        </w:rPr>
        <w:t>经评标委员会认定的</w:t>
      </w:r>
      <w:r>
        <w:rPr>
          <w:rFonts w:hint="eastAsia" w:ascii="宋体" w:hAnsi="宋体" w:cs="宋体"/>
          <w:color w:val="auto"/>
          <w:szCs w:val="21"/>
          <w:highlight w:val="none"/>
        </w:rPr>
        <w:t>投标人提供同类设备项目或本产品应用案例每提供1个得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pPr>
        <w:spacing w:line="460" w:lineRule="exact"/>
        <w:ind w:firstLine="420" w:firstLineChars="200"/>
        <w:outlineLvl w:val="0"/>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投标产品为被省级以上主管部门认定的首台套产品，自纳入《省推广应用指导目录》起三年内参加政府采购活动，视同已具备相应销售业绩，本项得满分。</w:t>
      </w:r>
    </w:p>
    <w:p>
      <w:pPr>
        <w:adjustRightInd w:val="0"/>
        <w:snapToGrid w:val="0"/>
        <w:spacing w:line="460" w:lineRule="exact"/>
        <w:rPr>
          <w:rFonts w:ascii="宋体" w:hAnsi="宋体" w:cs="宋体"/>
          <w:b/>
          <w:color w:val="auto"/>
          <w:szCs w:val="21"/>
          <w:highlight w:val="none"/>
        </w:rPr>
      </w:pPr>
      <w:r>
        <w:rPr>
          <w:rFonts w:hint="eastAsia" w:ascii="宋体" w:hAnsi="宋体" w:cs="宋体"/>
          <w:b/>
          <w:color w:val="auto"/>
          <w:szCs w:val="21"/>
          <w:highlight w:val="none"/>
          <w:lang w:val="en-US" w:eastAsia="zh-CN"/>
        </w:rPr>
        <w:t>三、标项四、五、六、七、八、九、十的</w:t>
      </w:r>
      <w:r>
        <w:rPr>
          <w:rFonts w:hint="eastAsia" w:ascii="宋体" w:hAnsi="宋体" w:cs="宋体"/>
          <w:b/>
          <w:color w:val="auto"/>
          <w:szCs w:val="21"/>
          <w:highlight w:val="none"/>
        </w:rPr>
        <w:t>评标内容及标准</w:t>
      </w:r>
    </w:p>
    <w:p>
      <w:pPr>
        <w:pStyle w:val="13"/>
        <w:adjustRightInd w:val="0"/>
        <w:snapToGrid w:val="0"/>
        <w:spacing w:line="460" w:lineRule="exact"/>
        <w:ind w:firstLine="0"/>
        <w:rPr>
          <w:rFonts w:hAnsi="宋体" w:cs="宋体"/>
          <w:b/>
          <w:bCs/>
          <w:color w:val="auto"/>
          <w:sz w:val="21"/>
          <w:szCs w:val="21"/>
          <w:highlight w:val="none"/>
        </w:rPr>
      </w:pPr>
      <w:r>
        <w:rPr>
          <w:rFonts w:hint="eastAsia" w:hAnsi="宋体" w:cs="宋体"/>
          <w:b/>
          <w:bCs/>
          <w:color w:val="auto"/>
          <w:sz w:val="21"/>
          <w:szCs w:val="21"/>
          <w:highlight w:val="none"/>
        </w:rPr>
        <w:t>（一）价格分（0-30分）</w:t>
      </w:r>
    </w:p>
    <w:p>
      <w:pPr>
        <w:tabs>
          <w:tab w:val="left" w:pos="6264"/>
        </w:tabs>
        <w:snapToGrid w:val="0"/>
        <w:spacing w:line="380" w:lineRule="exact"/>
        <w:ind w:firstLine="476"/>
        <w:rPr>
          <w:rFonts w:ascii="新宋体" w:hAnsi="新宋体" w:eastAsia="新宋体"/>
          <w:color w:val="auto"/>
          <w:szCs w:val="21"/>
          <w:highlight w:val="none"/>
        </w:rPr>
      </w:pPr>
      <w:r>
        <w:rPr>
          <w:rFonts w:hint="eastAsia" w:ascii="新宋体" w:hAnsi="新宋体" w:eastAsia="新宋体"/>
          <w:color w:val="auto"/>
          <w:szCs w:val="21"/>
          <w:highlight w:val="none"/>
        </w:rPr>
        <w:t>投标报价在招标人公布的最高限价以下、在各阶段评审中未被定为无效投标文件或废标，其投标人的投标报价为有效投标报价。</w:t>
      </w:r>
    </w:p>
    <w:p>
      <w:pPr>
        <w:tabs>
          <w:tab w:val="left" w:pos="6264"/>
        </w:tabs>
        <w:snapToGrid w:val="0"/>
        <w:spacing w:line="380" w:lineRule="exact"/>
        <w:ind w:firstLine="476"/>
        <w:rPr>
          <w:rFonts w:ascii="新宋体" w:hAnsi="新宋体" w:eastAsia="新宋体"/>
          <w:color w:val="auto"/>
          <w:szCs w:val="21"/>
          <w:highlight w:val="none"/>
        </w:rPr>
      </w:pPr>
      <w:r>
        <w:rPr>
          <w:rFonts w:hint="eastAsia" w:ascii="新宋体" w:hAnsi="新宋体" w:eastAsia="新宋体"/>
          <w:color w:val="auto"/>
          <w:szCs w:val="21"/>
          <w:highlight w:val="none"/>
          <w:lang w:val="en-US" w:eastAsia="zh-CN"/>
        </w:rPr>
        <w:t>1</w:t>
      </w:r>
      <w:r>
        <w:rPr>
          <w:rFonts w:hint="eastAsia" w:ascii="新宋体" w:hAnsi="新宋体" w:eastAsia="新宋体"/>
          <w:color w:val="auto"/>
          <w:szCs w:val="21"/>
          <w:highlight w:val="none"/>
        </w:rPr>
        <w:t>.根据财政部《关于加强政府采购货物和服务项目价格评审管理的通知》，综合评分法中的价格分统一采用低价优先法计算，即满足招标文件要求且投标价格最低的投标报价为评标基准价，其价格分为满分。其他投标人的价格分统一按照下列公式计算:</w:t>
      </w:r>
    </w:p>
    <w:p>
      <w:pPr>
        <w:adjustRightInd w:val="0"/>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价格分=（评标基准价/投标报价）×30%×100</w:t>
      </w:r>
    </w:p>
    <w:p>
      <w:pPr>
        <w:tabs>
          <w:tab w:val="left" w:pos="851"/>
          <w:tab w:val="left" w:pos="3870"/>
        </w:tabs>
        <w:adjustRightInd w:val="0"/>
        <w:snapToGrid w:val="0"/>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、投标人的投标报价超过采购人设定的最高限价，投标文件将作为无效标处理。</w:t>
      </w:r>
      <w:r>
        <w:rPr>
          <w:rFonts w:hint="eastAsia"/>
          <w:b/>
          <w:color w:val="auto"/>
          <w:szCs w:val="21"/>
          <w:highlight w:val="none"/>
        </w:rPr>
        <w:t>其中最高限价为</w:t>
      </w:r>
      <w:r>
        <w:rPr>
          <w:rFonts w:hint="eastAsia"/>
          <w:b/>
          <w:color w:val="auto"/>
          <w:szCs w:val="21"/>
          <w:highlight w:val="none"/>
          <w:lang w:eastAsia="zh-CN"/>
        </w:rPr>
        <w:t>标项四：1050000元；</w:t>
      </w:r>
      <w:r>
        <w:rPr>
          <w:rFonts w:hint="eastAsia"/>
          <w:b/>
          <w:color w:val="auto"/>
          <w:szCs w:val="21"/>
          <w:highlight w:val="none"/>
        </w:rPr>
        <w:t>标项五：</w:t>
      </w:r>
      <w:r>
        <w:rPr>
          <w:rFonts w:hint="eastAsia"/>
          <w:b/>
          <w:color w:val="auto"/>
          <w:szCs w:val="21"/>
          <w:highlight w:val="none"/>
          <w:lang w:eastAsia="zh-CN"/>
        </w:rPr>
        <w:t>1100000</w:t>
      </w:r>
      <w:r>
        <w:rPr>
          <w:rFonts w:hint="eastAsia"/>
          <w:b/>
          <w:color w:val="auto"/>
          <w:szCs w:val="21"/>
          <w:highlight w:val="none"/>
        </w:rPr>
        <w:t>元；标项六：</w:t>
      </w:r>
      <w:r>
        <w:rPr>
          <w:rFonts w:hint="eastAsia"/>
          <w:b/>
          <w:color w:val="auto"/>
          <w:szCs w:val="21"/>
          <w:highlight w:val="none"/>
          <w:lang w:eastAsia="zh-CN"/>
        </w:rPr>
        <w:t>1250000</w:t>
      </w:r>
      <w:r>
        <w:rPr>
          <w:rFonts w:hint="eastAsia"/>
          <w:b/>
          <w:color w:val="auto"/>
          <w:szCs w:val="21"/>
          <w:highlight w:val="none"/>
        </w:rPr>
        <w:t>元；标项七：</w:t>
      </w:r>
      <w:r>
        <w:rPr>
          <w:rFonts w:hint="eastAsia"/>
          <w:b/>
          <w:color w:val="auto"/>
          <w:szCs w:val="21"/>
          <w:highlight w:val="none"/>
          <w:lang w:eastAsia="zh-CN"/>
        </w:rPr>
        <w:t>795100</w:t>
      </w:r>
      <w:r>
        <w:rPr>
          <w:rFonts w:hint="eastAsia"/>
          <w:b/>
          <w:color w:val="auto"/>
          <w:szCs w:val="21"/>
          <w:highlight w:val="none"/>
        </w:rPr>
        <w:t>元；标项八：</w:t>
      </w:r>
      <w:r>
        <w:rPr>
          <w:rFonts w:hint="eastAsia"/>
          <w:b/>
          <w:color w:val="auto"/>
          <w:szCs w:val="21"/>
          <w:highlight w:val="none"/>
          <w:lang w:eastAsia="zh-CN"/>
        </w:rPr>
        <w:t>1005000</w:t>
      </w:r>
      <w:r>
        <w:rPr>
          <w:rFonts w:hint="eastAsia"/>
          <w:b/>
          <w:color w:val="auto"/>
          <w:szCs w:val="21"/>
          <w:highlight w:val="none"/>
        </w:rPr>
        <w:t>元</w:t>
      </w:r>
      <w:r>
        <w:rPr>
          <w:rFonts w:hint="eastAsia"/>
          <w:b/>
          <w:color w:val="auto"/>
          <w:szCs w:val="21"/>
          <w:highlight w:val="none"/>
          <w:lang w:eastAsia="zh-CN"/>
        </w:rPr>
        <w:t>；标项九：700000</w:t>
      </w:r>
      <w:r>
        <w:rPr>
          <w:rFonts w:hint="eastAsia"/>
          <w:b/>
          <w:color w:val="auto"/>
          <w:szCs w:val="21"/>
          <w:highlight w:val="none"/>
          <w:lang w:val="en-US" w:eastAsia="zh-CN"/>
        </w:rPr>
        <w:t>元</w:t>
      </w:r>
      <w:r>
        <w:rPr>
          <w:rFonts w:hint="eastAsia"/>
          <w:b/>
          <w:color w:val="auto"/>
          <w:szCs w:val="21"/>
          <w:highlight w:val="none"/>
          <w:lang w:eastAsia="zh-CN"/>
        </w:rPr>
        <w:t>；标项十：910900</w:t>
      </w:r>
      <w:r>
        <w:rPr>
          <w:rFonts w:hint="eastAsia"/>
          <w:b/>
          <w:color w:val="auto"/>
          <w:szCs w:val="21"/>
          <w:highlight w:val="none"/>
          <w:lang w:val="en-US" w:eastAsia="zh-CN"/>
        </w:rPr>
        <w:t>元</w:t>
      </w:r>
      <w:r>
        <w:rPr>
          <w:rFonts w:hint="eastAsia"/>
          <w:b/>
          <w:color w:val="auto"/>
          <w:szCs w:val="21"/>
          <w:highlight w:val="none"/>
        </w:rPr>
        <w:t>。</w:t>
      </w:r>
    </w:p>
    <w:p>
      <w:pPr>
        <w:tabs>
          <w:tab w:val="left" w:pos="851"/>
          <w:tab w:val="left" w:pos="3870"/>
        </w:tabs>
        <w:adjustRightInd w:val="0"/>
        <w:snapToGrid w:val="0"/>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最低报价不是中标的保证，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评标小组将推荐综合评分最高的投标人为中标候选人。</w:t>
      </w:r>
    </w:p>
    <w:p>
      <w:pPr>
        <w:pStyle w:val="13"/>
        <w:adjustRightInd w:val="0"/>
        <w:snapToGrid w:val="0"/>
        <w:spacing w:line="460" w:lineRule="exact"/>
        <w:ind w:firstLine="0"/>
        <w:rPr>
          <w:rFonts w:hAnsi="宋体" w:cs="宋体"/>
          <w:b/>
          <w:bCs/>
          <w:color w:val="auto"/>
          <w:sz w:val="21"/>
          <w:szCs w:val="21"/>
          <w:highlight w:val="none"/>
        </w:rPr>
      </w:pPr>
      <w:r>
        <w:rPr>
          <w:rFonts w:hint="eastAsia" w:hAnsi="宋体" w:cs="宋体"/>
          <w:b/>
          <w:bCs/>
          <w:color w:val="auto"/>
          <w:sz w:val="21"/>
          <w:szCs w:val="21"/>
          <w:highlight w:val="none"/>
        </w:rPr>
        <w:t>（二）技术分（0-</w:t>
      </w:r>
      <w:r>
        <w:rPr>
          <w:rFonts w:hint="eastAsia" w:hAnsi="宋体" w:cs="宋体"/>
          <w:b/>
          <w:bCs/>
          <w:color w:val="auto"/>
          <w:sz w:val="21"/>
          <w:szCs w:val="21"/>
          <w:highlight w:val="none"/>
          <w:lang w:val="en-US" w:eastAsia="zh-CN"/>
        </w:rPr>
        <w:t>50</w:t>
      </w:r>
      <w:r>
        <w:rPr>
          <w:rFonts w:hint="eastAsia" w:hAnsi="宋体" w:cs="宋体"/>
          <w:b/>
          <w:bCs/>
          <w:color w:val="auto"/>
          <w:sz w:val="21"/>
          <w:szCs w:val="21"/>
          <w:highlight w:val="none"/>
        </w:rPr>
        <w:t>分）</w:t>
      </w:r>
    </w:p>
    <w:p>
      <w:pPr>
        <w:autoSpaceDE w:val="0"/>
        <w:autoSpaceDN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1、招标货物功能及技术指标响应情况（0～</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客</w:t>
      </w:r>
      <w:r>
        <w:rPr>
          <w:rFonts w:hint="eastAsia" w:ascii="宋体" w:hAnsi="宋体" w:cs="宋体"/>
          <w:color w:val="auto"/>
          <w:szCs w:val="21"/>
          <w:highlight w:val="none"/>
        </w:rPr>
        <w:t>观分）</w:t>
      </w:r>
    </w:p>
    <w:p>
      <w:pPr>
        <w:spacing w:before="120" w:beforeLines="50" w:after="120" w:afterLines="50" w:line="460" w:lineRule="exact"/>
        <w:ind w:firstLine="420" w:firstLineChars="200"/>
        <w:rPr>
          <w:rFonts w:ascii="宋体" w:hAnsi="宋体" w:cs="宋体"/>
          <w:color w:val="auto"/>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标委员会</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投标单位</w:t>
      </w:r>
      <w:r>
        <w:rPr>
          <w:rFonts w:hint="eastAsia" w:ascii="宋体" w:hAnsi="宋体" w:eastAsia="宋体" w:cs="宋体"/>
          <w:color w:val="auto"/>
          <w:sz w:val="21"/>
          <w:szCs w:val="21"/>
          <w:highlight w:val="none"/>
        </w:rPr>
        <w:t>所提供</w:t>
      </w:r>
      <w:r>
        <w:rPr>
          <w:rFonts w:hint="eastAsia" w:ascii="宋体" w:hAnsi="宋体" w:eastAsia="宋体" w:cs="宋体"/>
          <w:color w:val="auto"/>
          <w:sz w:val="21"/>
          <w:szCs w:val="21"/>
          <w:highlight w:val="none"/>
          <w:lang w:val="en-US" w:eastAsia="zh-CN"/>
        </w:rPr>
        <w:t>设备的</w:t>
      </w:r>
      <w:r>
        <w:rPr>
          <w:rFonts w:hint="eastAsia" w:ascii="宋体" w:hAnsi="宋体" w:eastAsia="宋体" w:cs="宋体"/>
          <w:color w:val="auto"/>
          <w:sz w:val="21"/>
          <w:szCs w:val="21"/>
          <w:highlight w:val="none"/>
        </w:rPr>
        <w:t>技术参数的偏离情况进行评审，所投投标产品完全</w:t>
      </w:r>
      <w:r>
        <w:rPr>
          <w:rFonts w:hint="eastAsia" w:ascii="宋体" w:hAnsi="宋体" w:eastAsia="宋体" w:cs="宋体"/>
          <w:color w:val="auto"/>
          <w:sz w:val="21"/>
          <w:szCs w:val="21"/>
          <w:highlight w:val="none"/>
          <w:lang w:val="en-US" w:eastAsia="zh-CN"/>
        </w:rPr>
        <w:t>满足</w:t>
      </w:r>
      <w:r>
        <w:rPr>
          <w:rFonts w:hint="eastAsia" w:ascii="宋体" w:hAnsi="宋体" w:eastAsia="宋体" w:cs="宋体"/>
          <w:color w:val="auto"/>
          <w:sz w:val="21"/>
          <w:szCs w:val="21"/>
          <w:highlight w:val="none"/>
        </w:rPr>
        <w:t>招标文件要求的得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分；带</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技术</w:t>
      </w:r>
      <w:r>
        <w:rPr>
          <w:rFonts w:hint="eastAsia" w:ascii="宋体" w:hAnsi="宋体" w:eastAsia="宋体" w:cs="宋体"/>
          <w:color w:val="auto"/>
          <w:sz w:val="21"/>
          <w:szCs w:val="21"/>
          <w:highlight w:val="none"/>
          <w:lang w:val="en-US" w:eastAsia="zh-CN"/>
        </w:rPr>
        <w:t>指标</w:t>
      </w:r>
      <w:r>
        <w:rPr>
          <w:rFonts w:hint="eastAsia" w:ascii="宋体" w:hAnsi="宋体" w:cs="宋体"/>
          <w:color w:val="auto"/>
          <w:sz w:val="21"/>
          <w:szCs w:val="21"/>
          <w:highlight w:val="none"/>
          <w:lang w:val="en-US" w:eastAsia="zh-CN"/>
        </w:rPr>
        <w:t>需满足或</w:t>
      </w:r>
      <w:r>
        <w:rPr>
          <w:rFonts w:hint="eastAsia" w:ascii="宋体" w:hAnsi="宋体" w:eastAsia="宋体" w:cs="宋体"/>
          <w:color w:val="auto"/>
          <w:sz w:val="21"/>
          <w:szCs w:val="21"/>
          <w:highlight w:val="none"/>
        </w:rPr>
        <w:t>优于招标需求</w:t>
      </w:r>
      <w:r>
        <w:rPr>
          <w:rFonts w:hint="eastAsia" w:ascii="宋体" w:hAnsi="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不满足</w:t>
      </w:r>
      <w:r>
        <w:rPr>
          <w:rFonts w:hint="eastAsia" w:ascii="宋体" w:hAnsi="宋体" w:eastAsia="宋体" w:cs="宋体"/>
          <w:color w:val="auto"/>
          <w:sz w:val="21"/>
          <w:szCs w:val="21"/>
          <w:highlight w:val="none"/>
        </w:rPr>
        <w:t>带</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技术</w:t>
      </w:r>
      <w:r>
        <w:rPr>
          <w:rFonts w:hint="eastAsia" w:ascii="宋体" w:hAnsi="宋体" w:eastAsia="宋体" w:cs="宋体"/>
          <w:color w:val="auto"/>
          <w:sz w:val="21"/>
          <w:szCs w:val="21"/>
          <w:highlight w:val="none"/>
          <w:lang w:val="en-US" w:eastAsia="zh-CN"/>
        </w:rPr>
        <w:t>指标</w:t>
      </w:r>
      <w:r>
        <w:rPr>
          <w:rFonts w:hint="eastAsia" w:ascii="宋体" w:hAnsi="宋体" w:eastAsia="宋体" w:cs="宋体"/>
          <w:color w:val="auto"/>
          <w:kern w:val="2"/>
          <w:sz w:val="21"/>
          <w:szCs w:val="21"/>
          <w:highlight w:val="none"/>
          <w:lang w:val="en-US" w:eastAsia="zh-CN" w:bidi="ar-SA"/>
        </w:rPr>
        <w:t>的投标文件无效</w:t>
      </w:r>
      <w:r>
        <w:rPr>
          <w:rFonts w:hint="eastAsia" w:ascii="宋体" w:hAnsi="宋体" w:eastAsia="宋体" w:cs="宋体"/>
          <w:color w:val="auto"/>
          <w:sz w:val="21"/>
          <w:szCs w:val="21"/>
          <w:highlight w:val="none"/>
        </w:rPr>
        <w:t>；带“</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”技术</w:t>
      </w:r>
      <w:r>
        <w:rPr>
          <w:rFonts w:hint="eastAsia" w:ascii="宋体" w:hAnsi="宋体" w:eastAsia="宋体" w:cs="宋体"/>
          <w:color w:val="auto"/>
          <w:sz w:val="21"/>
          <w:szCs w:val="21"/>
          <w:highlight w:val="none"/>
          <w:lang w:val="en-US" w:eastAsia="zh-CN"/>
        </w:rPr>
        <w:t>指标</w:t>
      </w:r>
      <w:r>
        <w:rPr>
          <w:rFonts w:hint="eastAsia" w:ascii="宋体" w:hAnsi="宋体" w:eastAsia="宋体" w:cs="宋体"/>
          <w:color w:val="auto"/>
          <w:sz w:val="21"/>
          <w:szCs w:val="21"/>
          <w:highlight w:val="none"/>
        </w:rPr>
        <w:t>不满足招标文件要求的</w:t>
      </w:r>
      <w:r>
        <w:rPr>
          <w:rFonts w:hint="eastAsia" w:ascii="宋体" w:hAnsi="宋体" w:eastAsia="宋体" w:cs="宋体"/>
          <w:color w:val="auto"/>
          <w:sz w:val="21"/>
          <w:szCs w:val="21"/>
          <w:highlight w:val="none"/>
          <w:lang w:val="en-US" w:eastAsia="zh-CN"/>
        </w:rPr>
        <w:t>每项</w:t>
      </w:r>
      <w:r>
        <w:rPr>
          <w:rFonts w:hint="eastAsia" w:ascii="宋体" w:hAnsi="宋体" w:eastAsia="宋体" w:cs="宋体"/>
          <w:color w:val="auto"/>
          <w:sz w:val="21"/>
          <w:szCs w:val="21"/>
          <w:highlight w:val="none"/>
        </w:rPr>
        <w:t>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扣完为止。</w:t>
      </w:r>
    </w:p>
    <w:p>
      <w:pPr>
        <w:spacing w:line="460" w:lineRule="exact"/>
        <w:ind w:firstLine="472" w:firstLineChars="225"/>
        <w:rPr>
          <w:rFonts w:ascii="宋体" w:hAnsi="宋体" w:cs="宋体"/>
          <w:bCs/>
          <w:color w:val="auto"/>
          <w:szCs w:val="21"/>
          <w:highlight w:val="none"/>
        </w:rPr>
      </w:pPr>
      <w:r>
        <w:rPr>
          <w:rFonts w:hint="eastAsia" w:ascii="宋体" w:hAnsi="宋体" w:cs="宋体"/>
          <w:bCs/>
          <w:color w:val="auto"/>
          <w:szCs w:val="21"/>
          <w:highlight w:val="none"/>
        </w:rPr>
        <w:t>2、安装、调试、验收的方案和措施(0-5分)</w:t>
      </w:r>
      <w:r>
        <w:rPr>
          <w:rFonts w:hint="eastAsia" w:ascii="宋体" w:hAnsi="宋体" w:cs="宋体"/>
          <w:color w:val="auto"/>
          <w:szCs w:val="21"/>
          <w:highlight w:val="none"/>
        </w:rPr>
        <w:t>（主观分）</w:t>
      </w:r>
    </w:p>
    <w:p>
      <w:pPr>
        <w:spacing w:line="460" w:lineRule="exact"/>
        <w:ind w:firstLine="472" w:firstLineChars="225"/>
        <w:rPr>
          <w:rFonts w:ascii="宋体" w:hAnsi="宋体" w:cs="宋体"/>
          <w:bCs/>
          <w:color w:val="auto"/>
          <w:szCs w:val="21"/>
          <w:highlight w:val="none"/>
        </w:rPr>
      </w:pPr>
      <w:r>
        <w:rPr>
          <w:rFonts w:hint="eastAsia" w:ascii="宋体" w:hAnsi="宋体" w:cs="宋体"/>
          <w:bCs/>
          <w:color w:val="auto"/>
          <w:szCs w:val="21"/>
          <w:highlight w:val="none"/>
        </w:rPr>
        <w:t>根据投标人安装、调试、验收的方案和措施等情况由</w:t>
      </w:r>
      <w:r>
        <w:rPr>
          <w:rFonts w:hint="eastAsia" w:ascii="宋体" w:hAnsi="宋体" w:cs="宋体"/>
          <w:color w:val="auto"/>
          <w:szCs w:val="21"/>
          <w:highlight w:val="none"/>
        </w:rPr>
        <w:t>评委进行综合评分</w:t>
      </w:r>
      <w:r>
        <w:rPr>
          <w:rFonts w:hint="eastAsia" w:ascii="宋体" w:hAnsi="宋体" w:cs="宋体"/>
          <w:bCs/>
          <w:color w:val="auto"/>
          <w:szCs w:val="21"/>
          <w:highlight w:val="none"/>
        </w:rPr>
        <w:t>，方案和措施</w:t>
      </w:r>
      <w:r>
        <w:rPr>
          <w:rFonts w:hint="eastAsia" w:ascii="宋体" w:hAnsi="宋体"/>
          <w:b w:val="0"/>
          <w:bCs w:val="0"/>
          <w:color w:val="auto"/>
          <w:szCs w:val="21"/>
          <w:highlight w:val="none"/>
        </w:rPr>
        <w:t>表述清晰，阐述完善，合理可行</w:t>
      </w:r>
      <w:r>
        <w:rPr>
          <w:rFonts w:hint="eastAsia" w:ascii="Times New Roman" w:hAnsi="Times New Roman" w:eastAsia="宋体" w:cs="Times New Roman"/>
          <w:color w:val="auto"/>
          <w:highlight w:val="none"/>
          <w:lang w:val="en-US" w:eastAsia="zh-CN"/>
        </w:rPr>
        <w:t>的得</w:t>
      </w:r>
      <w:r>
        <w:rPr>
          <w:rFonts w:hint="eastAsia" w:eastAsia="宋体" w:cs="Times New Roman"/>
          <w:color w:val="auto"/>
          <w:highlight w:val="none"/>
          <w:lang w:val="en-US" w:eastAsia="zh-CN"/>
        </w:rPr>
        <w:t>3-5</w:t>
      </w:r>
      <w:r>
        <w:rPr>
          <w:rFonts w:hint="eastAsia" w:ascii="Times New Roman" w:hAnsi="Times New Roman" w:eastAsia="宋体" w:cs="Times New Roman"/>
          <w:color w:val="auto"/>
          <w:highlight w:val="none"/>
          <w:lang w:val="en-US" w:eastAsia="zh-CN"/>
        </w:rPr>
        <w:t>分；</w:t>
      </w:r>
      <w:r>
        <w:rPr>
          <w:rFonts w:hint="eastAsia" w:ascii="宋体" w:hAnsi="宋体" w:cs="宋体"/>
          <w:bCs/>
          <w:color w:val="auto"/>
          <w:szCs w:val="21"/>
          <w:highlight w:val="none"/>
        </w:rPr>
        <w:t>方案和措施</w:t>
      </w:r>
      <w:r>
        <w:rPr>
          <w:rFonts w:hint="eastAsia" w:ascii="宋体" w:hAnsi="宋体"/>
          <w:b w:val="0"/>
          <w:bCs w:val="0"/>
          <w:color w:val="auto"/>
          <w:szCs w:val="21"/>
          <w:highlight w:val="none"/>
        </w:rPr>
        <w:t>表述较清晰，</w:t>
      </w:r>
      <w:r>
        <w:rPr>
          <w:rFonts w:hint="eastAsia" w:ascii="宋体" w:hAnsi="宋体"/>
          <w:b w:val="0"/>
          <w:bCs w:val="0"/>
          <w:color w:val="auto"/>
          <w:szCs w:val="21"/>
          <w:highlight w:val="none"/>
          <w:lang w:val="en-US" w:eastAsia="zh-CN"/>
        </w:rPr>
        <w:t>较</w:t>
      </w:r>
      <w:r>
        <w:rPr>
          <w:rFonts w:hint="eastAsia" w:ascii="宋体" w:hAnsi="宋体"/>
          <w:b w:val="0"/>
          <w:bCs w:val="0"/>
          <w:color w:val="auto"/>
          <w:szCs w:val="21"/>
          <w:highlight w:val="none"/>
        </w:rPr>
        <w:t>合理可行</w:t>
      </w:r>
      <w:r>
        <w:rPr>
          <w:rFonts w:hint="eastAsia" w:ascii="Times New Roman" w:hAnsi="Times New Roman" w:eastAsia="宋体" w:cs="Times New Roman"/>
          <w:color w:val="auto"/>
          <w:highlight w:val="none"/>
          <w:lang w:val="en-US" w:eastAsia="zh-CN"/>
        </w:rPr>
        <w:t>的得</w:t>
      </w:r>
      <w:r>
        <w:rPr>
          <w:rFonts w:hint="eastAsia" w:eastAsia="宋体" w:cs="Times New Roman"/>
          <w:color w:val="auto"/>
          <w:highlight w:val="none"/>
          <w:lang w:val="en-US" w:eastAsia="zh-CN"/>
        </w:rPr>
        <w:t>2-2.9</w:t>
      </w:r>
      <w:r>
        <w:rPr>
          <w:rFonts w:hint="eastAsia" w:ascii="Times New Roman" w:hAnsi="Times New Roman" w:eastAsia="宋体" w:cs="Times New Roman"/>
          <w:color w:val="auto"/>
          <w:highlight w:val="none"/>
          <w:lang w:val="en-US" w:eastAsia="zh-CN"/>
        </w:rPr>
        <w:t>分；</w:t>
      </w:r>
      <w:r>
        <w:rPr>
          <w:rFonts w:hint="eastAsia" w:ascii="宋体" w:hAnsi="宋体" w:cs="宋体"/>
          <w:bCs/>
          <w:color w:val="auto"/>
          <w:szCs w:val="21"/>
          <w:highlight w:val="none"/>
        </w:rPr>
        <w:t>方案和措施</w:t>
      </w:r>
      <w:r>
        <w:rPr>
          <w:rFonts w:hint="eastAsia" w:ascii="宋体" w:hAnsi="宋体"/>
          <w:b w:val="0"/>
          <w:bCs w:val="0"/>
          <w:color w:val="auto"/>
          <w:szCs w:val="21"/>
          <w:highlight w:val="none"/>
        </w:rPr>
        <w:t>表述</w:t>
      </w:r>
      <w:r>
        <w:rPr>
          <w:rFonts w:hint="eastAsia" w:ascii="宋体" w:hAnsi="宋体"/>
          <w:b w:val="0"/>
          <w:bCs w:val="0"/>
          <w:color w:val="auto"/>
          <w:szCs w:val="21"/>
          <w:highlight w:val="none"/>
          <w:lang w:val="en-US" w:eastAsia="zh-CN"/>
        </w:rPr>
        <w:t>一般</w:t>
      </w:r>
      <w:r>
        <w:rPr>
          <w:rFonts w:hint="eastAsia" w:ascii="宋体" w:hAnsi="宋体"/>
          <w:b w:val="0"/>
          <w:bCs w:val="0"/>
          <w:color w:val="auto"/>
          <w:szCs w:val="21"/>
          <w:highlight w:val="none"/>
        </w:rPr>
        <w:t>，</w:t>
      </w:r>
      <w:r>
        <w:rPr>
          <w:rFonts w:hint="eastAsia" w:ascii="宋体" w:hAnsi="宋体"/>
          <w:b w:val="0"/>
          <w:bCs w:val="0"/>
          <w:color w:val="auto"/>
          <w:szCs w:val="21"/>
          <w:highlight w:val="none"/>
          <w:lang w:val="en-US" w:eastAsia="zh-CN"/>
        </w:rPr>
        <w:t>基本</w:t>
      </w:r>
      <w:r>
        <w:rPr>
          <w:rFonts w:hint="eastAsia" w:ascii="宋体" w:hAnsi="宋体"/>
          <w:b w:val="0"/>
          <w:bCs w:val="0"/>
          <w:color w:val="auto"/>
          <w:szCs w:val="21"/>
          <w:highlight w:val="none"/>
        </w:rPr>
        <w:t>合理可行</w:t>
      </w:r>
      <w:r>
        <w:rPr>
          <w:rFonts w:hint="eastAsia" w:ascii="Times New Roman" w:hAnsi="Times New Roman" w:eastAsia="宋体" w:cs="Times New Roman"/>
          <w:color w:val="auto"/>
          <w:highlight w:val="none"/>
          <w:lang w:val="en-US" w:eastAsia="zh-CN"/>
        </w:rPr>
        <w:t>的得</w:t>
      </w:r>
      <w:r>
        <w:rPr>
          <w:rFonts w:hint="eastAsia" w:eastAsia="宋体" w:cs="Times New Roman"/>
          <w:color w:val="auto"/>
          <w:highlight w:val="none"/>
          <w:lang w:val="en-US" w:eastAsia="zh-CN"/>
        </w:rPr>
        <w:t>1-1.9</w:t>
      </w:r>
      <w:r>
        <w:rPr>
          <w:rFonts w:hint="eastAsia" w:ascii="Times New Roman" w:hAnsi="Times New Roman" w:eastAsia="宋体" w:cs="Times New Roman"/>
          <w:color w:val="auto"/>
          <w:highlight w:val="none"/>
          <w:lang w:val="en-US" w:eastAsia="zh-CN"/>
        </w:rPr>
        <w:t>分；</w:t>
      </w:r>
      <w:r>
        <w:rPr>
          <w:rFonts w:hint="eastAsia" w:ascii="宋体" w:hAnsi="宋体" w:cs="宋体"/>
          <w:bCs/>
          <w:color w:val="auto"/>
          <w:szCs w:val="21"/>
          <w:highlight w:val="none"/>
        </w:rPr>
        <w:t>方案和措施</w:t>
      </w:r>
      <w:r>
        <w:rPr>
          <w:rFonts w:hint="eastAsia" w:ascii="宋体" w:hAnsi="宋体"/>
          <w:b w:val="0"/>
          <w:bCs w:val="0"/>
          <w:color w:val="auto"/>
          <w:szCs w:val="21"/>
          <w:highlight w:val="none"/>
        </w:rPr>
        <w:t>表述</w:t>
      </w:r>
      <w:r>
        <w:rPr>
          <w:rFonts w:hint="eastAsia" w:ascii="宋体" w:hAnsi="宋体"/>
          <w:b w:val="0"/>
          <w:bCs w:val="0"/>
          <w:color w:val="auto"/>
          <w:szCs w:val="21"/>
          <w:highlight w:val="none"/>
          <w:lang w:val="en-US" w:eastAsia="zh-CN"/>
        </w:rPr>
        <w:t>不</w:t>
      </w:r>
      <w:r>
        <w:rPr>
          <w:rFonts w:hint="eastAsia" w:ascii="宋体" w:hAnsi="宋体"/>
          <w:b w:val="0"/>
          <w:bCs w:val="0"/>
          <w:color w:val="auto"/>
          <w:szCs w:val="21"/>
          <w:highlight w:val="none"/>
        </w:rPr>
        <w:t>清晰，</w:t>
      </w:r>
      <w:r>
        <w:rPr>
          <w:rFonts w:hint="eastAsia" w:ascii="宋体" w:hAnsi="宋体"/>
          <w:b w:val="0"/>
          <w:bCs w:val="0"/>
          <w:color w:val="auto"/>
          <w:szCs w:val="21"/>
          <w:highlight w:val="none"/>
          <w:lang w:val="en-US" w:eastAsia="zh-CN"/>
        </w:rPr>
        <w:t>欠缺</w:t>
      </w:r>
      <w:r>
        <w:rPr>
          <w:rFonts w:hint="eastAsia" w:ascii="宋体" w:hAnsi="宋体"/>
          <w:b w:val="0"/>
          <w:bCs w:val="0"/>
          <w:color w:val="auto"/>
          <w:szCs w:val="21"/>
          <w:highlight w:val="none"/>
        </w:rPr>
        <w:t>合理可行</w:t>
      </w:r>
      <w:r>
        <w:rPr>
          <w:rFonts w:hint="eastAsia" w:ascii="Times New Roman" w:hAnsi="Times New Roman" w:eastAsia="宋体" w:cs="Times New Roman"/>
          <w:b w:val="0"/>
          <w:color w:val="auto"/>
          <w:kern w:val="2"/>
          <w:sz w:val="21"/>
          <w:szCs w:val="24"/>
          <w:highlight w:val="none"/>
          <w:lang w:val="en-US" w:eastAsia="zh-CN" w:bidi="ar-SA"/>
        </w:rPr>
        <w:t>的得</w:t>
      </w:r>
      <w:r>
        <w:rPr>
          <w:rFonts w:hint="eastAsia" w:eastAsia="宋体" w:cs="Times New Roman"/>
          <w:b w:val="0"/>
          <w:color w:val="auto"/>
          <w:kern w:val="2"/>
          <w:sz w:val="21"/>
          <w:szCs w:val="24"/>
          <w:highlight w:val="none"/>
          <w:lang w:val="en-US" w:eastAsia="zh-CN" w:bidi="ar-SA"/>
        </w:rPr>
        <w:t>0-0.9</w:t>
      </w:r>
      <w:r>
        <w:rPr>
          <w:rFonts w:hint="eastAsia" w:ascii="Times New Roman" w:hAnsi="Times New Roman" w:eastAsia="宋体" w:cs="Times New Roman"/>
          <w:b w:val="0"/>
          <w:color w:val="auto"/>
          <w:kern w:val="2"/>
          <w:sz w:val="21"/>
          <w:szCs w:val="24"/>
          <w:highlight w:val="none"/>
          <w:lang w:val="en-US" w:eastAsia="zh-CN" w:bidi="ar-SA"/>
        </w:rPr>
        <w:t>分；</w:t>
      </w:r>
      <w:r>
        <w:rPr>
          <w:rFonts w:hint="eastAsia" w:ascii="宋体" w:hAnsi="宋体" w:cs="宋体"/>
          <w:bCs/>
          <w:color w:val="auto"/>
          <w:szCs w:val="21"/>
          <w:highlight w:val="none"/>
        </w:rPr>
        <w:t>无方案和无措施的不得分。</w:t>
      </w:r>
    </w:p>
    <w:p>
      <w:pPr>
        <w:spacing w:line="460" w:lineRule="exact"/>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3、培训方案（0-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分）（主观分）</w:t>
      </w:r>
    </w:p>
    <w:p>
      <w:pPr>
        <w:spacing w:line="460" w:lineRule="exact"/>
        <w:ind w:firstLine="420" w:firstLineChars="200"/>
        <w:outlineLvl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根据投标人提供培训方案的</w:t>
      </w:r>
      <w:r>
        <w:rPr>
          <w:rFonts w:hint="default" w:ascii="Times New Roman" w:hAnsi="Times New Roman" w:eastAsia="宋体" w:cs="Times New Roman"/>
          <w:color w:val="auto"/>
          <w:highlight w:val="none"/>
        </w:rPr>
        <w:t>培训</w:t>
      </w:r>
      <w:r>
        <w:rPr>
          <w:rFonts w:hint="eastAsia" w:ascii="Times New Roman" w:hAnsi="Times New Roman" w:eastAsia="宋体" w:cs="Times New Roman"/>
          <w:color w:val="auto"/>
          <w:highlight w:val="none"/>
          <w:lang w:val="en-US" w:eastAsia="zh-CN"/>
        </w:rPr>
        <w:t>人数</w:t>
      </w:r>
      <w:r>
        <w:rPr>
          <w:rFonts w:hint="default" w:ascii="Times New Roman" w:hAnsi="Times New Roman" w:eastAsia="宋体" w:cs="Times New Roman"/>
          <w:color w:val="auto"/>
          <w:highlight w:val="none"/>
        </w:rPr>
        <w:t>、课时安排、师资力量安排等</w:t>
      </w:r>
      <w:r>
        <w:rPr>
          <w:rFonts w:hint="eastAsia" w:ascii="Times New Roman" w:hAnsi="Times New Roman" w:eastAsia="宋体" w:cs="Times New Roman"/>
          <w:color w:val="auto"/>
          <w:highlight w:val="none"/>
          <w:lang w:val="en-US" w:eastAsia="zh-CN"/>
        </w:rPr>
        <w:t>情况</w:t>
      </w:r>
      <w:r>
        <w:rPr>
          <w:rFonts w:hint="eastAsia" w:ascii="宋体" w:hAnsi="宋体" w:cs="宋体"/>
          <w:color w:val="auto"/>
          <w:szCs w:val="21"/>
          <w:highlight w:val="none"/>
        </w:rPr>
        <w:t>由评委进行综合评分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培训</w:t>
      </w:r>
      <w:r>
        <w:rPr>
          <w:rFonts w:hint="eastAsia" w:ascii="宋体" w:hAnsi="宋体" w:cs="宋体"/>
          <w:bCs/>
          <w:color w:val="auto"/>
          <w:szCs w:val="21"/>
          <w:highlight w:val="none"/>
        </w:rPr>
        <w:t>方案</w:t>
      </w:r>
      <w:r>
        <w:rPr>
          <w:rFonts w:hint="eastAsia" w:ascii="宋体" w:hAnsi="宋体"/>
          <w:b w:val="0"/>
          <w:bCs w:val="0"/>
          <w:color w:val="auto"/>
          <w:szCs w:val="21"/>
          <w:highlight w:val="none"/>
        </w:rPr>
        <w:t>表述清晰，阐述完善，合理可行</w:t>
      </w:r>
      <w:r>
        <w:rPr>
          <w:rFonts w:hint="eastAsia" w:ascii="Times New Roman" w:hAnsi="Times New Roman" w:eastAsia="宋体" w:cs="Times New Roman"/>
          <w:color w:val="auto"/>
          <w:highlight w:val="none"/>
          <w:lang w:val="en-US" w:eastAsia="zh-CN"/>
        </w:rPr>
        <w:t>的得3</w:t>
      </w:r>
      <w:r>
        <w:rPr>
          <w:rFonts w:hint="eastAsia" w:eastAsia="宋体"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分；培训</w:t>
      </w:r>
      <w:r>
        <w:rPr>
          <w:rFonts w:hint="eastAsia" w:ascii="宋体" w:hAnsi="宋体" w:cs="宋体"/>
          <w:bCs/>
          <w:color w:val="auto"/>
          <w:szCs w:val="21"/>
          <w:highlight w:val="none"/>
        </w:rPr>
        <w:t>方案</w:t>
      </w:r>
      <w:r>
        <w:rPr>
          <w:rFonts w:hint="eastAsia" w:ascii="宋体" w:hAnsi="宋体"/>
          <w:b w:val="0"/>
          <w:bCs w:val="0"/>
          <w:color w:val="auto"/>
          <w:szCs w:val="21"/>
          <w:highlight w:val="none"/>
        </w:rPr>
        <w:t>表述较清晰，</w:t>
      </w:r>
      <w:r>
        <w:rPr>
          <w:rFonts w:hint="eastAsia" w:ascii="宋体" w:hAnsi="宋体"/>
          <w:b w:val="0"/>
          <w:bCs w:val="0"/>
          <w:color w:val="auto"/>
          <w:szCs w:val="21"/>
          <w:highlight w:val="none"/>
          <w:lang w:val="en-US" w:eastAsia="zh-CN"/>
        </w:rPr>
        <w:t>内容较完善，</w:t>
      </w:r>
      <w:r>
        <w:rPr>
          <w:rFonts w:hint="eastAsia" w:ascii="宋体" w:hAnsi="宋体"/>
          <w:b w:val="0"/>
          <w:bCs w:val="0"/>
          <w:color w:val="auto"/>
          <w:szCs w:val="21"/>
          <w:highlight w:val="none"/>
        </w:rPr>
        <w:t>基本合理可行</w:t>
      </w:r>
      <w:r>
        <w:rPr>
          <w:rFonts w:hint="eastAsia" w:ascii="Times New Roman" w:hAnsi="Times New Roman" w:eastAsia="宋体" w:cs="Times New Roman"/>
          <w:color w:val="auto"/>
          <w:highlight w:val="none"/>
          <w:lang w:val="en-US" w:eastAsia="zh-CN"/>
        </w:rPr>
        <w:t>的得</w:t>
      </w:r>
      <w:r>
        <w:rPr>
          <w:rFonts w:hint="eastAsia" w:eastAsia="宋体" w:cs="Times New Roman"/>
          <w:color w:val="auto"/>
          <w:highlight w:val="none"/>
          <w:lang w:val="en-US" w:eastAsia="zh-CN"/>
        </w:rPr>
        <w:t>1-2.9</w:t>
      </w:r>
      <w:r>
        <w:rPr>
          <w:rFonts w:hint="eastAsia" w:ascii="Times New Roman" w:hAnsi="Times New Roman" w:eastAsia="宋体" w:cs="Times New Roman"/>
          <w:color w:val="auto"/>
          <w:highlight w:val="none"/>
          <w:lang w:val="en-US" w:eastAsia="zh-CN"/>
        </w:rPr>
        <w:t>分；培训</w:t>
      </w:r>
      <w:r>
        <w:rPr>
          <w:rFonts w:hint="eastAsia" w:ascii="宋体" w:hAnsi="宋体" w:cs="宋体"/>
          <w:bCs/>
          <w:color w:val="auto"/>
          <w:szCs w:val="21"/>
          <w:highlight w:val="none"/>
        </w:rPr>
        <w:t>方案</w:t>
      </w:r>
      <w:r>
        <w:rPr>
          <w:rFonts w:hint="eastAsia" w:ascii="宋体" w:hAnsi="宋体"/>
          <w:b w:val="0"/>
          <w:bCs w:val="0"/>
          <w:color w:val="auto"/>
          <w:szCs w:val="21"/>
          <w:highlight w:val="none"/>
        </w:rPr>
        <w:t>表述</w:t>
      </w:r>
      <w:r>
        <w:rPr>
          <w:rFonts w:hint="eastAsia" w:ascii="宋体" w:hAnsi="宋体"/>
          <w:b w:val="0"/>
          <w:bCs w:val="0"/>
          <w:color w:val="auto"/>
          <w:szCs w:val="21"/>
          <w:highlight w:val="none"/>
          <w:lang w:val="en-US" w:eastAsia="zh-CN"/>
        </w:rPr>
        <w:t>不</w:t>
      </w:r>
      <w:r>
        <w:rPr>
          <w:rFonts w:hint="eastAsia" w:ascii="宋体" w:hAnsi="宋体"/>
          <w:b w:val="0"/>
          <w:bCs w:val="0"/>
          <w:color w:val="auto"/>
          <w:szCs w:val="21"/>
          <w:highlight w:val="none"/>
        </w:rPr>
        <w:t>清晰，</w:t>
      </w:r>
      <w:r>
        <w:rPr>
          <w:rFonts w:hint="eastAsia" w:ascii="宋体" w:hAnsi="宋体"/>
          <w:b w:val="0"/>
          <w:bCs w:val="0"/>
          <w:color w:val="auto"/>
          <w:szCs w:val="21"/>
          <w:highlight w:val="none"/>
          <w:lang w:val="en-US" w:eastAsia="zh-CN"/>
        </w:rPr>
        <w:t>内容不完善，欠缺</w:t>
      </w:r>
      <w:r>
        <w:rPr>
          <w:rFonts w:hint="eastAsia" w:ascii="宋体" w:hAnsi="宋体"/>
          <w:b w:val="0"/>
          <w:bCs w:val="0"/>
          <w:color w:val="auto"/>
          <w:szCs w:val="21"/>
          <w:highlight w:val="none"/>
        </w:rPr>
        <w:t>合理可行</w:t>
      </w:r>
      <w:r>
        <w:rPr>
          <w:rFonts w:hint="eastAsia" w:ascii="Times New Roman" w:hAnsi="Times New Roman" w:eastAsia="宋体" w:cs="Times New Roman"/>
          <w:b w:val="0"/>
          <w:color w:val="auto"/>
          <w:kern w:val="2"/>
          <w:sz w:val="21"/>
          <w:szCs w:val="24"/>
          <w:highlight w:val="none"/>
          <w:lang w:val="en-US" w:eastAsia="zh-CN" w:bidi="ar-SA"/>
        </w:rPr>
        <w:t>的得</w:t>
      </w:r>
      <w:r>
        <w:rPr>
          <w:rFonts w:hint="eastAsia" w:eastAsia="宋体" w:cs="Times New Roman"/>
          <w:b w:val="0"/>
          <w:color w:val="auto"/>
          <w:kern w:val="2"/>
          <w:sz w:val="21"/>
          <w:szCs w:val="24"/>
          <w:highlight w:val="none"/>
          <w:lang w:val="en-US" w:eastAsia="zh-CN" w:bidi="ar-SA"/>
        </w:rPr>
        <w:t>0-0.9</w:t>
      </w:r>
      <w:r>
        <w:rPr>
          <w:rFonts w:hint="eastAsia" w:ascii="Times New Roman" w:hAnsi="Times New Roman" w:eastAsia="宋体" w:cs="Times New Roman"/>
          <w:b w:val="0"/>
          <w:color w:val="auto"/>
          <w:kern w:val="2"/>
          <w:sz w:val="21"/>
          <w:szCs w:val="24"/>
          <w:highlight w:val="none"/>
          <w:lang w:val="en-US" w:eastAsia="zh-CN" w:bidi="ar-SA"/>
        </w:rPr>
        <w:t>分；</w:t>
      </w:r>
      <w:r>
        <w:rPr>
          <w:rFonts w:hint="eastAsia" w:ascii="宋体" w:hAnsi="宋体" w:cs="宋体"/>
          <w:bCs/>
          <w:color w:val="auto"/>
          <w:szCs w:val="21"/>
          <w:highlight w:val="none"/>
        </w:rPr>
        <w:t>无</w:t>
      </w:r>
      <w:r>
        <w:rPr>
          <w:rFonts w:hint="eastAsia" w:ascii="宋体" w:hAnsi="宋体" w:cs="宋体"/>
          <w:bCs/>
          <w:color w:val="auto"/>
          <w:szCs w:val="21"/>
          <w:highlight w:val="none"/>
          <w:lang w:val="en-US" w:eastAsia="zh-CN"/>
        </w:rPr>
        <w:t>培训</w:t>
      </w:r>
      <w:r>
        <w:rPr>
          <w:rFonts w:hint="eastAsia" w:ascii="宋体" w:hAnsi="宋体" w:cs="宋体"/>
          <w:bCs/>
          <w:color w:val="auto"/>
          <w:szCs w:val="21"/>
          <w:highlight w:val="none"/>
        </w:rPr>
        <w:t>方案的不得分。</w:t>
      </w:r>
    </w:p>
    <w:p>
      <w:pPr>
        <w:spacing w:line="460" w:lineRule="exact"/>
        <w:ind w:firstLine="472" w:firstLineChars="225"/>
        <w:rPr>
          <w:rFonts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、投入本项目安装调试人员情况的综合评价（0-</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r>
        <w:rPr>
          <w:rFonts w:hint="eastAsia" w:ascii="宋体" w:hAnsi="宋体" w:cs="宋体"/>
          <w:color w:val="auto"/>
          <w:szCs w:val="21"/>
          <w:highlight w:val="none"/>
        </w:rPr>
        <w:t>（主观分）</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color w:val="auto"/>
          <w:highlight w:val="none"/>
        </w:rPr>
        <w:t>投入本项目安装调试人员</w:t>
      </w:r>
      <w:r>
        <w:rPr>
          <w:rFonts w:hint="eastAsia"/>
          <w:color w:val="auto"/>
          <w:highlight w:val="none"/>
          <w:lang w:val="en-US" w:eastAsia="zh-CN"/>
        </w:rPr>
        <w:t>数量、资质、经验等</w:t>
      </w:r>
      <w:r>
        <w:rPr>
          <w:rFonts w:hint="eastAsia" w:ascii="宋体" w:hAnsi="宋体" w:cs="宋体"/>
          <w:color w:val="auto"/>
          <w:szCs w:val="21"/>
          <w:highlight w:val="none"/>
        </w:rPr>
        <w:t>由评委进行综合评分</w:t>
      </w:r>
      <w:r>
        <w:rPr>
          <w:rFonts w:hint="eastAsia" w:ascii="宋体" w:hAnsi="宋体" w:cs="宋体"/>
          <w:color w:val="auto"/>
          <w:szCs w:val="21"/>
          <w:highlight w:val="none"/>
          <w:lang w:eastAsia="zh-CN"/>
        </w:rPr>
        <w:t>，</w:t>
      </w:r>
      <w:r>
        <w:rPr>
          <w:rFonts w:hint="eastAsia" w:ascii="Times New Roman" w:hAnsi="Times New Roman" w:eastAsia="宋体" w:cs="Times New Roman"/>
          <w:color w:val="auto"/>
          <w:highlight w:val="none"/>
          <w:lang w:val="en-US" w:eastAsia="zh-CN"/>
        </w:rPr>
        <w:t>人员合理完整、资质高、经验丰富的得</w:t>
      </w:r>
      <w:r>
        <w:rPr>
          <w:rFonts w:hint="eastAsia" w:eastAsia="宋体" w:cs="Times New Roman"/>
          <w:color w:val="auto"/>
          <w:highlight w:val="none"/>
          <w:lang w:val="en-US" w:eastAsia="zh-CN"/>
        </w:rPr>
        <w:t>3-5</w:t>
      </w:r>
      <w:r>
        <w:rPr>
          <w:rFonts w:hint="eastAsia" w:ascii="Times New Roman" w:hAnsi="Times New Roman" w:eastAsia="宋体" w:cs="Times New Roman"/>
          <w:color w:val="auto"/>
          <w:highlight w:val="none"/>
          <w:lang w:val="en-US" w:eastAsia="zh-CN"/>
        </w:rPr>
        <w:t>分；人员较合理完整、资质较高、经验较丰富的得</w:t>
      </w:r>
      <w:r>
        <w:rPr>
          <w:rFonts w:hint="eastAsia" w:eastAsia="宋体" w:cs="Times New Roman"/>
          <w:color w:val="auto"/>
          <w:highlight w:val="none"/>
          <w:lang w:val="en-US" w:eastAsia="zh-CN"/>
        </w:rPr>
        <w:t>2-2.9</w:t>
      </w:r>
      <w:r>
        <w:rPr>
          <w:rFonts w:hint="eastAsia" w:ascii="Times New Roman" w:hAnsi="Times New Roman" w:eastAsia="宋体" w:cs="Times New Roman"/>
          <w:color w:val="auto"/>
          <w:highlight w:val="none"/>
          <w:lang w:val="en-US" w:eastAsia="zh-CN"/>
        </w:rPr>
        <w:t>分；人员合理完整性一般，资质、经验一般的得</w:t>
      </w:r>
      <w:r>
        <w:rPr>
          <w:rFonts w:hint="eastAsia" w:eastAsia="宋体" w:cs="Times New Roman"/>
          <w:color w:val="auto"/>
          <w:highlight w:val="none"/>
          <w:lang w:val="en-US" w:eastAsia="zh-CN"/>
        </w:rPr>
        <w:t>1-1.9</w:t>
      </w:r>
      <w:r>
        <w:rPr>
          <w:rFonts w:hint="eastAsia" w:ascii="Times New Roman" w:hAnsi="Times New Roman" w:eastAsia="宋体" w:cs="Times New Roman"/>
          <w:color w:val="auto"/>
          <w:highlight w:val="none"/>
          <w:lang w:val="en-US" w:eastAsia="zh-CN"/>
        </w:rPr>
        <w:t>分；人员合理完整性欠缺，资质、经验不足</w:t>
      </w:r>
      <w:r>
        <w:rPr>
          <w:rFonts w:hint="eastAsia" w:ascii="Times New Roman" w:hAnsi="Times New Roman" w:eastAsia="宋体" w:cs="Times New Roman"/>
          <w:b w:val="0"/>
          <w:color w:val="auto"/>
          <w:kern w:val="2"/>
          <w:sz w:val="21"/>
          <w:szCs w:val="24"/>
          <w:highlight w:val="none"/>
          <w:lang w:val="en-US" w:eastAsia="zh-CN" w:bidi="ar-SA"/>
        </w:rPr>
        <w:t>的得</w:t>
      </w:r>
      <w:r>
        <w:rPr>
          <w:rFonts w:hint="eastAsia" w:eastAsia="宋体" w:cs="Times New Roman"/>
          <w:b w:val="0"/>
          <w:color w:val="auto"/>
          <w:kern w:val="2"/>
          <w:sz w:val="21"/>
          <w:szCs w:val="24"/>
          <w:highlight w:val="none"/>
          <w:lang w:val="en-US" w:eastAsia="zh-CN" w:bidi="ar-SA"/>
        </w:rPr>
        <w:t>0-0.9</w:t>
      </w:r>
      <w:r>
        <w:rPr>
          <w:rFonts w:hint="eastAsia" w:ascii="Times New Roman" w:hAnsi="Times New Roman" w:eastAsia="宋体" w:cs="Times New Roman"/>
          <w:b w:val="0"/>
          <w:color w:val="auto"/>
          <w:kern w:val="2"/>
          <w:sz w:val="21"/>
          <w:szCs w:val="24"/>
          <w:highlight w:val="none"/>
          <w:lang w:val="en-US" w:eastAsia="zh-CN" w:bidi="ar-SA"/>
        </w:rPr>
        <w:t>分；</w:t>
      </w:r>
      <w:r>
        <w:rPr>
          <w:rFonts w:hint="eastAsia" w:ascii="宋体" w:hAnsi="宋体" w:cs="宋体"/>
          <w:color w:val="auto"/>
          <w:szCs w:val="21"/>
          <w:highlight w:val="none"/>
        </w:rPr>
        <w:t>未提供不得分。</w:t>
      </w:r>
    </w:p>
    <w:p>
      <w:pPr>
        <w:pStyle w:val="7"/>
        <w:overflowPunct w:val="0"/>
        <w:spacing w:line="460" w:lineRule="exact"/>
        <w:ind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Times New Roman" w:hAnsi="Times New Roman" w:eastAsia="宋体" w:cs="Times New Roman"/>
          <w:color w:val="auto"/>
          <w:highlight w:val="none"/>
        </w:rPr>
        <w:t>售后服务方案</w:t>
      </w:r>
      <w:r>
        <w:rPr>
          <w:rFonts w:hint="eastAsia" w:cs="Times New Roman"/>
          <w:color w:val="auto"/>
          <w:highlight w:val="none"/>
          <w:lang w:val="en-US" w:eastAsia="zh-CN"/>
        </w:rPr>
        <w:t>和措施</w:t>
      </w:r>
      <w:r>
        <w:rPr>
          <w:rFonts w:hint="eastAsia" w:ascii="宋体" w:hAnsi="宋体" w:cs="宋体"/>
          <w:color w:val="auto"/>
          <w:szCs w:val="21"/>
          <w:highlight w:val="none"/>
        </w:rPr>
        <w:t>（0-5分）（主观分）</w:t>
      </w:r>
    </w:p>
    <w:p>
      <w:pPr>
        <w:pStyle w:val="7"/>
        <w:overflowPunct w:val="0"/>
        <w:spacing w:line="460" w:lineRule="exact"/>
        <w:ind w:firstLineChars="200"/>
        <w:rPr>
          <w:rFonts w:ascii="宋体" w:hAnsi="宋体" w:cs="宋体"/>
          <w:color w:val="auto"/>
          <w:szCs w:val="21"/>
          <w:highlight w:val="none"/>
        </w:rPr>
      </w:pPr>
      <w:r>
        <w:rPr>
          <w:rFonts w:hint="eastAsia" w:ascii="宋体" w:hAnsi="宋体" w:cs="宋体"/>
          <w:color w:val="auto"/>
          <w:szCs w:val="21"/>
          <w:highlight w:val="none"/>
        </w:rPr>
        <w:t>根据投标人</w:t>
      </w:r>
      <w:r>
        <w:rPr>
          <w:rFonts w:hint="eastAsia" w:ascii="宋体" w:hAnsi="宋体" w:cs="宋体"/>
          <w:color w:val="auto"/>
          <w:szCs w:val="21"/>
          <w:highlight w:val="none"/>
          <w:lang w:val="en-US" w:eastAsia="zh-CN"/>
        </w:rPr>
        <w:t>提供的售后服务方案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以及</w:t>
      </w:r>
      <w:r>
        <w:rPr>
          <w:rFonts w:hint="eastAsia" w:ascii="宋体" w:hAnsi="宋体" w:cs="宋体"/>
          <w:color w:val="auto"/>
          <w:szCs w:val="21"/>
          <w:highlight w:val="none"/>
        </w:rPr>
        <w:t>备品备件、专用耗材等方面的优惠</w:t>
      </w:r>
      <w:r>
        <w:rPr>
          <w:rFonts w:hint="eastAsia" w:ascii="宋体" w:hAnsi="宋体" w:cs="宋体"/>
          <w:color w:val="auto"/>
          <w:szCs w:val="21"/>
          <w:highlight w:val="none"/>
          <w:lang w:val="en-US" w:eastAsia="zh-CN"/>
        </w:rPr>
        <w:t>措施</w:t>
      </w:r>
      <w:r>
        <w:rPr>
          <w:rFonts w:hint="eastAsia" w:ascii="宋体" w:hAnsi="宋体" w:cs="宋体"/>
          <w:bCs/>
          <w:color w:val="auto"/>
          <w:szCs w:val="21"/>
          <w:highlight w:val="none"/>
        </w:rPr>
        <w:t>等情况由</w:t>
      </w:r>
      <w:r>
        <w:rPr>
          <w:rFonts w:hint="eastAsia" w:ascii="宋体" w:hAnsi="宋体" w:cs="宋体"/>
          <w:color w:val="auto"/>
          <w:szCs w:val="21"/>
          <w:highlight w:val="none"/>
        </w:rPr>
        <w:t>评委进行综合评分</w:t>
      </w:r>
      <w:r>
        <w:rPr>
          <w:rFonts w:hint="eastAsia" w:ascii="宋体" w:hAnsi="宋体" w:cs="宋体"/>
          <w:bCs/>
          <w:color w:val="auto"/>
          <w:szCs w:val="21"/>
          <w:highlight w:val="none"/>
        </w:rPr>
        <w:t>，方案和措施</w:t>
      </w:r>
      <w:r>
        <w:rPr>
          <w:rFonts w:hint="eastAsia" w:ascii="宋体" w:hAnsi="宋体"/>
          <w:b w:val="0"/>
          <w:bCs w:val="0"/>
          <w:color w:val="auto"/>
          <w:szCs w:val="21"/>
          <w:highlight w:val="none"/>
        </w:rPr>
        <w:t>表述清晰，阐述完善，合理可行</w:t>
      </w:r>
      <w:r>
        <w:rPr>
          <w:rFonts w:hint="eastAsia" w:ascii="Times New Roman" w:hAnsi="Times New Roman" w:eastAsia="宋体" w:cs="Times New Roman"/>
          <w:color w:val="auto"/>
          <w:highlight w:val="none"/>
          <w:lang w:val="en-US" w:eastAsia="zh-CN"/>
        </w:rPr>
        <w:t>的得</w:t>
      </w:r>
      <w:r>
        <w:rPr>
          <w:rFonts w:hint="eastAsia" w:eastAsia="宋体" w:cs="Times New Roman"/>
          <w:color w:val="auto"/>
          <w:highlight w:val="none"/>
          <w:lang w:val="en-US" w:eastAsia="zh-CN"/>
        </w:rPr>
        <w:t>3-5</w:t>
      </w:r>
      <w:r>
        <w:rPr>
          <w:rFonts w:hint="eastAsia" w:ascii="Times New Roman" w:hAnsi="Times New Roman" w:eastAsia="宋体" w:cs="Times New Roman"/>
          <w:color w:val="auto"/>
          <w:highlight w:val="none"/>
          <w:lang w:val="en-US" w:eastAsia="zh-CN"/>
        </w:rPr>
        <w:t>分；</w:t>
      </w:r>
      <w:r>
        <w:rPr>
          <w:rFonts w:hint="eastAsia" w:ascii="宋体" w:hAnsi="宋体" w:cs="宋体"/>
          <w:bCs/>
          <w:color w:val="auto"/>
          <w:szCs w:val="21"/>
          <w:highlight w:val="none"/>
        </w:rPr>
        <w:t>方案和措施</w:t>
      </w:r>
      <w:r>
        <w:rPr>
          <w:rFonts w:hint="eastAsia" w:ascii="宋体" w:hAnsi="宋体"/>
          <w:b w:val="0"/>
          <w:bCs w:val="0"/>
          <w:color w:val="auto"/>
          <w:szCs w:val="21"/>
          <w:highlight w:val="none"/>
        </w:rPr>
        <w:t>表述较清晰，</w:t>
      </w:r>
      <w:r>
        <w:rPr>
          <w:rFonts w:hint="eastAsia" w:ascii="宋体" w:hAnsi="宋体"/>
          <w:b w:val="0"/>
          <w:bCs w:val="0"/>
          <w:color w:val="auto"/>
          <w:szCs w:val="21"/>
          <w:highlight w:val="none"/>
          <w:lang w:val="en-US" w:eastAsia="zh-CN"/>
        </w:rPr>
        <w:t>较</w:t>
      </w:r>
      <w:r>
        <w:rPr>
          <w:rFonts w:hint="eastAsia" w:ascii="宋体" w:hAnsi="宋体"/>
          <w:b w:val="0"/>
          <w:bCs w:val="0"/>
          <w:color w:val="auto"/>
          <w:szCs w:val="21"/>
          <w:highlight w:val="none"/>
        </w:rPr>
        <w:t>合理可行</w:t>
      </w:r>
      <w:r>
        <w:rPr>
          <w:rFonts w:hint="eastAsia" w:ascii="Times New Roman" w:hAnsi="Times New Roman" w:eastAsia="宋体" w:cs="Times New Roman"/>
          <w:color w:val="auto"/>
          <w:highlight w:val="none"/>
          <w:lang w:val="en-US" w:eastAsia="zh-CN"/>
        </w:rPr>
        <w:t>的得</w:t>
      </w:r>
      <w:r>
        <w:rPr>
          <w:rFonts w:hint="eastAsia" w:eastAsia="宋体" w:cs="Times New Roman"/>
          <w:color w:val="auto"/>
          <w:highlight w:val="none"/>
          <w:lang w:val="en-US" w:eastAsia="zh-CN"/>
        </w:rPr>
        <w:t>2-2.9</w:t>
      </w:r>
      <w:r>
        <w:rPr>
          <w:rFonts w:hint="eastAsia" w:ascii="Times New Roman" w:hAnsi="Times New Roman" w:eastAsia="宋体" w:cs="Times New Roman"/>
          <w:color w:val="auto"/>
          <w:highlight w:val="none"/>
          <w:lang w:val="en-US" w:eastAsia="zh-CN"/>
        </w:rPr>
        <w:t>分；</w:t>
      </w:r>
      <w:r>
        <w:rPr>
          <w:rFonts w:hint="eastAsia" w:ascii="宋体" w:hAnsi="宋体" w:cs="宋体"/>
          <w:bCs/>
          <w:color w:val="auto"/>
          <w:szCs w:val="21"/>
          <w:highlight w:val="none"/>
        </w:rPr>
        <w:t>方案和措施</w:t>
      </w:r>
      <w:r>
        <w:rPr>
          <w:rFonts w:hint="eastAsia" w:ascii="宋体" w:hAnsi="宋体"/>
          <w:b w:val="0"/>
          <w:bCs w:val="0"/>
          <w:color w:val="auto"/>
          <w:szCs w:val="21"/>
          <w:highlight w:val="none"/>
        </w:rPr>
        <w:t>表述</w:t>
      </w:r>
      <w:r>
        <w:rPr>
          <w:rFonts w:hint="eastAsia" w:ascii="宋体" w:hAnsi="宋体"/>
          <w:b w:val="0"/>
          <w:bCs w:val="0"/>
          <w:color w:val="auto"/>
          <w:szCs w:val="21"/>
          <w:highlight w:val="none"/>
          <w:lang w:val="en-US" w:eastAsia="zh-CN"/>
        </w:rPr>
        <w:t>一般</w:t>
      </w:r>
      <w:r>
        <w:rPr>
          <w:rFonts w:hint="eastAsia" w:ascii="宋体" w:hAnsi="宋体"/>
          <w:b w:val="0"/>
          <w:bCs w:val="0"/>
          <w:color w:val="auto"/>
          <w:szCs w:val="21"/>
          <w:highlight w:val="none"/>
        </w:rPr>
        <w:t>，</w:t>
      </w:r>
      <w:r>
        <w:rPr>
          <w:rFonts w:hint="eastAsia" w:ascii="宋体" w:hAnsi="宋体"/>
          <w:b w:val="0"/>
          <w:bCs w:val="0"/>
          <w:color w:val="auto"/>
          <w:szCs w:val="21"/>
          <w:highlight w:val="none"/>
          <w:lang w:val="en-US" w:eastAsia="zh-CN"/>
        </w:rPr>
        <w:t>基本</w:t>
      </w:r>
      <w:r>
        <w:rPr>
          <w:rFonts w:hint="eastAsia" w:ascii="宋体" w:hAnsi="宋体"/>
          <w:b w:val="0"/>
          <w:bCs w:val="0"/>
          <w:color w:val="auto"/>
          <w:szCs w:val="21"/>
          <w:highlight w:val="none"/>
        </w:rPr>
        <w:t>合理可行</w:t>
      </w:r>
      <w:r>
        <w:rPr>
          <w:rFonts w:hint="eastAsia" w:ascii="Times New Roman" w:hAnsi="Times New Roman" w:eastAsia="宋体" w:cs="Times New Roman"/>
          <w:color w:val="auto"/>
          <w:highlight w:val="none"/>
          <w:lang w:val="en-US" w:eastAsia="zh-CN"/>
        </w:rPr>
        <w:t>的得</w:t>
      </w:r>
      <w:r>
        <w:rPr>
          <w:rFonts w:hint="eastAsia" w:eastAsia="宋体" w:cs="Times New Roman"/>
          <w:color w:val="auto"/>
          <w:highlight w:val="none"/>
          <w:lang w:val="en-US" w:eastAsia="zh-CN"/>
        </w:rPr>
        <w:t>1-1.9</w:t>
      </w:r>
      <w:r>
        <w:rPr>
          <w:rFonts w:hint="eastAsia" w:ascii="Times New Roman" w:hAnsi="Times New Roman" w:eastAsia="宋体" w:cs="Times New Roman"/>
          <w:color w:val="auto"/>
          <w:highlight w:val="none"/>
          <w:lang w:val="en-US" w:eastAsia="zh-CN"/>
        </w:rPr>
        <w:t>分；</w:t>
      </w:r>
      <w:r>
        <w:rPr>
          <w:rFonts w:hint="eastAsia" w:ascii="宋体" w:hAnsi="宋体" w:cs="宋体"/>
          <w:bCs/>
          <w:color w:val="auto"/>
          <w:szCs w:val="21"/>
          <w:highlight w:val="none"/>
        </w:rPr>
        <w:t>方案和措施</w:t>
      </w:r>
      <w:r>
        <w:rPr>
          <w:rFonts w:hint="eastAsia" w:ascii="宋体" w:hAnsi="宋体"/>
          <w:b w:val="0"/>
          <w:bCs w:val="0"/>
          <w:color w:val="auto"/>
          <w:szCs w:val="21"/>
          <w:highlight w:val="none"/>
        </w:rPr>
        <w:t>表述</w:t>
      </w:r>
      <w:r>
        <w:rPr>
          <w:rFonts w:hint="eastAsia" w:ascii="宋体" w:hAnsi="宋体"/>
          <w:b w:val="0"/>
          <w:bCs w:val="0"/>
          <w:color w:val="auto"/>
          <w:szCs w:val="21"/>
          <w:highlight w:val="none"/>
          <w:lang w:val="en-US" w:eastAsia="zh-CN"/>
        </w:rPr>
        <w:t>不</w:t>
      </w:r>
      <w:r>
        <w:rPr>
          <w:rFonts w:hint="eastAsia" w:ascii="宋体" w:hAnsi="宋体"/>
          <w:b w:val="0"/>
          <w:bCs w:val="0"/>
          <w:color w:val="auto"/>
          <w:szCs w:val="21"/>
          <w:highlight w:val="none"/>
        </w:rPr>
        <w:t>清晰，</w:t>
      </w:r>
      <w:r>
        <w:rPr>
          <w:rFonts w:hint="eastAsia" w:ascii="宋体" w:hAnsi="宋体"/>
          <w:b w:val="0"/>
          <w:bCs w:val="0"/>
          <w:color w:val="auto"/>
          <w:szCs w:val="21"/>
          <w:highlight w:val="none"/>
          <w:lang w:val="en-US" w:eastAsia="zh-CN"/>
        </w:rPr>
        <w:t>欠缺</w:t>
      </w:r>
      <w:r>
        <w:rPr>
          <w:rFonts w:hint="eastAsia" w:ascii="宋体" w:hAnsi="宋体"/>
          <w:b w:val="0"/>
          <w:bCs w:val="0"/>
          <w:color w:val="auto"/>
          <w:szCs w:val="21"/>
          <w:highlight w:val="none"/>
        </w:rPr>
        <w:t>合理可行</w:t>
      </w:r>
      <w:r>
        <w:rPr>
          <w:rFonts w:hint="eastAsia" w:ascii="Times New Roman" w:hAnsi="Times New Roman" w:eastAsia="宋体" w:cs="Times New Roman"/>
          <w:b w:val="0"/>
          <w:color w:val="auto"/>
          <w:kern w:val="2"/>
          <w:sz w:val="21"/>
          <w:szCs w:val="24"/>
          <w:highlight w:val="none"/>
          <w:lang w:val="en-US" w:eastAsia="zh-CN" w:bidi="ar-SA"/>
        </w:rPr>
        <w:t>的得</w:t>
      </w:r>
      <w:r>
        <w:rPr>
          <w:rFonts w:hint="eastAsia" w:eastAsia="宋体" w:cs="Times New Roman"/>
          <w:b w:val="0"/>
          <w:color w:val="auto"/>
          <w:kern w:val="2"/>
          <w:sz w:val="21"/>
          <w:szCs w:val="24"/>
          <w:highlight w:val="none"/>
          <w:lang w:val="en-US" w:eastAsia="zh-CN" w:bidi="ar-SA"/>
        </w:rPr>
        <w:t>0-0.9</w:t>
      </w:r>
      <w:r>
        <w:rPr>
          <w:rFonts w:hint="eastAsia" w:ascii="Times New Roman" w:hAnsi="Times New Roman" w:eastAsia="宋体" w:cs="Times New Roman"/>
          <w:b w:val="0"/>
          <w:color w:val="auto"/>
          <w:kern w:val="2"/>
          <w:sz w:val="21"/>
          <w:szCs w:val="24"/>
          <w:highlight w:val="none"/>
          <w:lang w:val="en-US" w:eastAsia="zh-CN" w:bidi="ar-SA"/>
        </w:rPr>
        <w:t>分；</w:t>
      </w:r>
      <w:r>
        <w:rPr>
          <w:rFonts w:hint="eastAsia" w:ascii="宋体" w:hAnsi="宋体" w:cs="宋体"/>
          <w:bCs/>
          <w:color w:val="auto"/>
          <w:szCs w:val="21"/>
          <w:highlight w:val="none"/>
        </w:rPr>
        <w:t>无方案和无措施的不得分。</w:t>
      </w:r>
    </w:p>
    <w:p>
      <w:pPr>
        <w:pStyle w:val="13"/>
        <w:adjustRightInd w:val="0"/>
        <w:snapToGrid w:val="0"/>
        <w:spacing w:line="460" w:lineRule="exact"/>
        <w:ind w:firstLine="0"/>
        <w:rPr>
          <w:rFonts w:hAnsi="宋体" w:cs="宋体"/>
          <w:b/>
          <w:bCs/>
          <w:color w:val="auto"/>
          <w:sz w:val="21"/>
          <w:szCs w:val="21"/>
          <w:highlight w:val="none"/>
        </w:rPr>
      </w:pPr>
      <w:r>
        <w:rPr>
          <w:rFonts w:hint="eastAsia" w:hAnsi="宋体" w:cs="宋体"/>
          <w:b/>
          <w:bCs/>
          <w:color w:val="auto"/>
          <w:sz w:val="21"/>
          <w:szCs w:val="21"/>
          <w:highlight w:val="none"/>
        </w:rPr>
        <w:t>（三）资信分（0-</w:t>
      </w:r>
      <w:r>
        <w:rPr>
          <w:rFonts w:hint="eastAsia" w:hAnsi="宋体" w:cs="宋体"/>
          <w:b/>
          <w:bCs/>
          <w:color w:val="auto"/>
          <w:sz w:val="21"/>
          <w:szCs w:val="21"/>
          <w:highlight w:val="none"/>
          <w:lang w:val="en-US" w:eastAsia="zh-CN"/>
        </w:rPr>
        <w:t>20</w:t>
      </w:r>
      <w:r>
        <w:rPr>
          <w:rFonts w:hint="eastAsia" w:hAnsi="宋体" w:cs="宋体"/>
          <w:b/>
          <w:bCs/>
          <w:color w:val="auto"/>
          <w:sz w:val="21"/>
          <w:szCs w:val="21"/>
          <w:highlight w:val="none"/>
        </w:rPr>
        <w:t>分）</w:t>
      </w:r>
    </w:p>
    <w:p>
      <w:pPr>
        <w:tabs>
          <w:tab w:val="left" w:pos="840"/>
        </w:tabs>
        <w:spacing w:line="460" w:lineRule="exact"/>
        <w:ind w:left="-50" w:leftChars="-24" w:firstLine="420" w:firstLineChars="200"/>
        <w:rPr>
          <w:rFonts w:ascii="宋体" w:hAnsi="宋体" w:cs="宋体"/>
          <w:color w:val="auto"/>
          <w:szCs w:val="21"/>
          <w:highlight w:val="none"/>
        </w:rPr>
      </w:pPr>
      <w:r>
        <w:rPr>
          <w:rFonts w:hint="eastAsia" w:ascii="宋体" w:hAnsi="宋体" w:cs="宋体"/>
          <w:color w:val="auto"/>
          <w:szCs w:val="21"/>
          <w:highlight w:val="none"/>
        </w:rPr>
        <w:t>1、质保期（0-3分）（客观分）</w:t>
      </w:r>
    </w:p>
    <w:p>
      <w:pPr>
        <w:tabs>
          <w:tab w:val="left" w:pos="840"/>
        </w:tabs>
        <w:spacing w:line="460" w:lineRule="exact"/>
        <w:ind w:left="-50" w:leftChars="-24" w:firstLine="315" w:firstLineChars="150"/>
        <w:rPr>
          <w:rFonts w:ascii="宋体" w:hAnsi="宋体" w:cs="宋体"/>
          <w:color w:val="auto"/>
          <w:szCs w:val="21"/>
          <w:highlight w:val="none"/>
        </w:rPr>
      </w:pPr>
      <w:r>
        <w:rPr>
          <w:rFonts w:hint="eastAsia" w:ascii="宋体" w:hAnsi="宋体" w:cs="宋体"/>
          <w:color w:val="auto"/>
          <w:szCs w:val="21"/>
          <w:highlight w:val="none"/>
          <w:lang w:val="en-US" w:eastAsia="zh-CN"/>
        </w:rPr>
        <w:t>质保期</w:t>
      </w:r>
      <w:r>
        <w:rPr>
          <w:rFonts w:hint="eastAsia" w:ascii="宋体" w:hAnsi="宋体" w:cs="宋体"/>
          <w:color w:val="auto"/>
          <w:szCs w:val="21"/>
          <w:highlight w:val="none"/>
        </w:rPr>
        <w:t>满足招标文件需求的不得分；质保期超过招标文件规定的，每增加1年得1分，最多得3分；</w:t>
      </w:r>
    </w:p>
    <w:p>
      <w:pPr>
        <w:tabs>
          <w:tab w:val="left" w:pos="840"/>
        </w:tabs>
        <w:spacing w:line="460" w:lineRule="exact"/>
        <w:ind w:left="-50" w:leftChars="-24" w:firstLine="420" w:firstLineChars="200"/>
        <w:rPr>
          <w:rFonts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、供货时间计划（0-</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客</w:t>
      </w:r>
      <w:r>
        <w:rPr>
          <w:rFonts w:hint="eastAsia" w:ascii="宋体" w:hAnsi="宋体" w:cs="宋体"/>
          <w:color w:val="auto"/>
          <w:szCs w:val="21"/>
          <w:highlight w:val="none"/>
        </w:rPr>
        <w:t>观分）</w:t>
      </w:r>
    </w:p>
    <w:p>
      <w:pPr>
        <w:tabs>
          <w:tab w:val="left" w:pos="840"/>
        </w:tabs>
        <w:spacing w:line="460" w:lineRule="exact"/>
        <w:ind w:left="-50" w:leftChars="-24"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供货时间满足招标文件需求的不得分，供货时间比招标文件要求时间每减少5天的得1分，最多得4分。</w:t>
      </w:r>
    </w:p>
    <w:p>
      <w:pPr>
        <w:tabs>
          <w:tab w:val="left" w:pos="840"/>
        </w:tabs>
        <w:spacing w:line="460" w:lineRule="exact"/>
        <w:ind w:left="-50" w:leftChars="-24"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、维修响应时间（0-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客</w:t>
      </w:r>
      <w:r>
        <w:rPr>
          <w:rFonts w:hint="eastAsia" w:ascii="宋体" w:hAnsi="宋体" w:cs="宋体"/>
          <w:color w:val="auto"/>
          <w:szCs w:val="21"/>
          <w:highlight w:val="none"/>
        </w:rPr>
        <w:t>观分）</w:t>
      </w:r>
    </w:p>
    <w:p>
      <w:pPr>
        <w:tabs>
          <w:tab w:val="left" w:pos="840"/>
        </w:tabs>
        <w:spacing w:line="460" w:lineRule="exact"/>
        <w:ind w:left="-50" w:leftChars="-24" w:firstLine="420" w:firstLineChars="200"/>
        <w:rPr>
          <w:rFonts w:ascii="宋体" w:hAnsi="宋体" w:cs="宋体"/>
          <w:color w:val="auto"/>
          <w:szCs w:val="21"/>
          <w:highlight w:val="none"/>
        </w:rPr>
      </w:pPr>
      <w:r>
        <w:rPr>
          <w:rFonts w:hint="eastAsia" w:ascii="宋体" w:hAnsi="宋体" w:cs="宋体"/>
          <w:color w:val="auto"/>
          <w:szCs w:val="21"/>
          <w:highlight w:val="none"/>
        </w:rPr>
        <w:t>维修响应时间满足招标文件需求的不得分；根据投标人承诺的优于招标文件需求的维修响应时间</w:t>
      </w:r>
      <w:r>
        <w:rPr>
          <w:rFonts w:hint="eastAsia" w:ascii="宋体" w:hAnsi="宋体" w:cs="宋体"/>
          <w:color w:val="auto"/>
          <w:szCs w:val="21"/>
          <w:highlight w:val="none"/>
          <w:lang w:val="en-US" w:eastAsia="zh-CN"/>
        </w:rPr>
        <w:t>排名，第一名的得5分，第二名的得4分，第三名的得3分，第四名的得2分，第五名的得1分，第六名及以后排名不得分</w:t>
      </w:r>
      <w:r>
        <w:rPr>
          <w:rFonts w:hint="eastAsia" w:ascii="宋体" w:hAnsi="宋体" w:cs="宋体"/>
          <w:color w:val="auto"/>
          <w:szCs w:val="21"/>
          <w:highlight w:val="none"/>
        </w:rPr>
        <w:t>。</w:t>
      </w:r>
    </w:p>
    <w:p>
      <w:pPr>
        <w:spacing w:before="120" w:beforeLines="50" w:after="120" w:afterLines="50"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、政策分（0-3分）（客观分）</w:t>
      </w:r>
    </w:p>
    <w:p>
      <w:pPr>
        <w:spacing w:before="120" w:beforeLines="50" w:after="120" w:afterLines="50" w:line="46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投标产品符合财库〔2019〕9号《关于调整优化节能产品、环境标志产品政府采购执行机制的通知》条件的每个得1分，最高得3分。</w:t>
      </w:r>
      <w:r>
        <w:rPr>
          <w:rFonts w:hint="eastAsia" w:ascii="宋体" w:hAnsi="宋体" w:cs="宋体"/>
          <w:color w:val="auto"/>
          <w:kern w:val="0"/>
          <w:szCs w:val="21"/>
          <w:highlight w:val="none"/>
          <w:lang w:val="en-US" w:eastAsia="zh-CN"/>
        </w:rPr>
        <w:t>需</w:t>
      </w:r>
      <w:r>
        <w:rPr>
          <w:rFonts w:hint="eastAsia"/>
          <w:color w:val="auto"/>
          <w:highlight w:val="none"/>
        </w:rPr>
        <w:t>提供国家确定的认证机构出具的、处于有效期之内的节能产品、环境标志产品认证证书</w:t>
      </w:r>
      <w:r>
        <w:rPr>
          <w:rFonts w:hint="eastAsia"/>
          <w:color w:val="auto"/>
          <w:highlight w:val="none"/>
          <w:lang w:val="en-US" w:eastAsia="zh-CN"/>
        </w:rPr>
        <w:t>扫描</w:t>
      </w:r>
      <w:r>
        <w:rPr>
          <w:rFonts w:hint="eastAsia"/>
          <w:color w:val="auto"/>
          <w:highlight w:val="none"/>
        </w:rPr>
        <w:t>件</w:t>
      </w:r>
      <w:r>
        <w:rPr>
          <w:rFonts w:hint="eastAsia"/>
          <w:color w:val="auto"/>
          <w:highlight w:val="none"/>
          <w:lang w:eastAsia="zh-CN"/>
        </w:rPr>
        <w:t>。</w:t>
      </w:r>
    </w:p>
    <w:p>
      <w:pPr>
        <w:spacing w:before="120" w:beforeLines="50" w:after="120" w:afterLines="50"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、诚信分（0-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分）（客观分）</w:t>
      </w:r>
    </w:p>
    <w:p>
      <w:pPr>
        <w:spacing w:before="120" w:beforeLines="50" w:after="120" w:afterLines="50"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凡在投标截止时间前三年受到行政处罚、行政处理（含通报）或记入不良行为的，此项得分为0，若无处罚、行政处理（含通报）或记入不良行为的得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eastAsia="宋体" w:cs="宋体"/>
          <w:color w:val="auto"/>
          <w:szCs w:val="21"/>
          <w:highlight w:val="none"/>
        </w:rPr>
        <w:t>（投标单位自行提供承诺</w:t>
      </w:r>
      <w:r>
        <w:rPr>
          <w:rFonts w:hint="eastAsia" w:ascii="宋体" w:hAnsi="宋体" w:eastAsia="宋体" w:cs="宋体"/>
          <w:color w:val="auto"/>
          <w:szCs w:val="21"/>
          <w:highlight w:val="none"/>
          <w:lang w:val="en-US" w:eastAsia="zh-CN"/>
        </w:rPr>
        <w:t>函</w:t>
      </w:r>
      <w:r>
        <w:rPr>
          <w:rFonts w:hint="eastAsia" w:ascii="宋体" w:hAnsi="宋体" w:eastAsia="宋体" w:cs="宋体"/>
          <w:color w:val="auto"/>
          <w:szCs w:val="21"/>
          <w:highlight w:val="none"/>
        </w:rPr>
        <w:t>，不提供承诺函的得0分，如有不良记录</w:t>
      </w:r>
      <w:r>
        <w:rPr>
          <w:rFonts w:hint="eastAsia" w:ascii="宋体" w:hAnsi="宋体" w:eastAsia="宋体" w:cs="宋体"/>
          <w:color w:val="auto"/>
          <w:szCs w:val="21"/>
          <w:highlight w:val="none"/>
          <w:lang w:val="en-US" w:eastAsia="zh-CN"/>
        </w:rPr>
        <w:t>又</w:t>
      </w:r>
      <w:r>
        <w:rPr>
          <w:rFonts w:hint="eastAsia" w:ascii="宋体" w:hAnsi="宋体" w:eastAsia="宋体" w:cs="宋体"/>
          <w:color w:val="auto"/>
          <w:szCs w:val="21"/>
          <w:highlight w:val="none"/>
        </w:rPr>
        <w:t>虚假</w:t>
      </w:r>
      <w:r>
        <w:rPr>
          <w:rFonts w:hint="eastAsia" w:ascii="宋体" w:hAnsi="宋体" w:eastAsia="宋体" w:cs="宋体"/>
          <w:color w:val="auto"/>
          <w:szCs w:val="21"/>
          <w:highlight w:val="none"/>
          <w:lang w:val="en-US" w:eastAsia="zh-CN"/>
        </w:rPr>
        <w:t>承诺</w:t>
      </w:r>
      <w:r>
        <w:rPr>
          <w:rFonts w:hint="eastAsia" w:ascii="宋体" w:hAnsi="宋体" w:eastAsia="宋体" w:cs="宋体"/>
          <w:color w:val="auto"/>
          <w:szCs w:val="21"/>
          <w:highlight w:val="none"/>
        </w:rPr>
        <w:t>的，一经发现将取消</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资格并报监管部门依法处理。）</w:t>
      </w:r>
      <w:r>
        <w:rPr>
          <w:rFonts w:hint="eastAsia" w:ascii="宋体" w:hAnsi="宋体" w:cs="宋体"/>
          <w:color w:val="auto"/>
          <w:szCs w:val="21"/>
          <w:highlight w:val="none"/>
        </w:rPr>
        <w:t>。</w:t>
      </w:r>
    </w:p>
    <w:p>
      <w:pPr>
        <w:spacing w:before="120" w:beforeLines="50" w:after="120" w:afterLines="50"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、成功案例/业绩（0-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分）（客观分）</w:t>
      </w:r>
    </w:p>
    <w:p>
      <w:pPr>
        <w:spacing w:line="460" w:lineRule="exact"/>
        <w:ind w:firstLine="420" w:firstLineChars="200"/>
        <w:outlineLvl w:val="0"/>
        <w:rPr>
          <w:rFonts w:hint="eastAsia" w:ascii="宋体" w:hAnsi="宋体" w:cs="宋体"/>
          <w:color w:val="auto"/>
          <w:szCs w:val="21"/>
          <w:highlight w:val="none"/>
        </w:rPr>
      </w:pPr>
      <w:r>
        <w:rPr>
          <w:rFonts w:hint="eastAsia" w:ascii="宋体" w:hAnsi="宋体" w:cs="宋体"/>
          <w:bCs/>
          <w:color w:val="auto"/>
          <w:szCs w:val="21"/>
          <w:highlight w:val="none"/>
        </w:rPr>
        <w:t>投标人或投标产品</w:t>
      </w:r>
      <w:r>
        <w:rPr>
          <w:rFonts w:hint="eastAsia" w:ascii="宋体" w:hAnsi="宋体" w:cs="宋体"/>
          <w:color w:val="auto"/>
          <w:szCs w:val="21"/>
          <w:highlight w:val="none"/>
        </w:rPr>
        <w:t>最近三年（截至投标时间当天）内成功实施的同类项目的业绩或应用案例证明（须提供</w:t>
      </w:r>
      <w:r>
        <w:rPr>
          <w:rFonts w:hint="eastAsia" w:ascii="宋体" w:hAnsi="宋体" w:cs="宋体"/>
          <w:color w:val="auto"/>
          <w:szCs w:val="21"/>
          <w:highlight w:val="none"/>
          <w:lang w:val="en-US" w:eastAsia="zh-CN"/>
        </w:rPr>
        <w:t>加盖公章的</w:t>
      </w:r>
      <w:r>
        <w:rPr>
          <w:rFonts w:hint="eastAsia" w:ascii="宋体" w:hAnsi="宋体" w:cs="宋体"/>
          <w:color w:val="auto"/>
          <w:szCs w:val="21"/>
          <w:highlight w:val="none"/>
        </w:rPr>
        <w:t>合同、验收证明，同一标项有多个产品时分别提供），</w:t>
      </w:r>
      <w:r>
        <w:rPr>
          <w:rFonts w:hint="eastAsia" w:ascii="宋体" w:hAnsi="宋体" w:cs="宋体"/>
          <w:color w:val="auto"/>
          <w:szCs w:val="21"/>
          <w:highlight w:val="none"/>
          <w:lang w:val="en-US" w:eastAsia="zh-CN"/>
        </w:rPr>
        <w:t>经评标委员会认定的</w:t>
      </w:r>
      <w:r>
        <w:rPr>
          <w:rFonts w:hint="eastAsia" w:ascii="宋体" w:hAnsi="宋体" w:cs="宋体"/>
          <w:color w:val="auto"/>
          <w:szCs w:val="21"/>
          <w:highlight w:val="none"/>
        </w:rPr>
        <w:t>投标人提供同类设备项目或本产品应用案例每提供1个得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pPr>
        <w:spacing w:line="460" w:lineRule="exact"/>
        <w:ind w:firstLine="420" w:firstLineChars="200"/>
        <w:outlineLvl w:val="0"/>
        <w:rPr>
          <w:rFonts w:hint="eastAsia" w:ascii="宋体" w:hAnsi="宋体" w:cs="宋体"/>
          <w:color w:val="auto"/>
          <w:szCs w:val="21"/>
          <w:highlight w:val="none"/>
        </w:rPr>
      </w:pPr>
      <w:r>
        <w:rPr>
          <w:rFonts w:hint="eastAsia" w:ascii="宋体" w:hAnsi="宋体" w:cs="宋体"/>
          <w:bCs/>
          <w:color w:val="auto"/>
          <w:szCs w:val="21"/>
          <w:highlight w:val="none"/>
          <w:lang w:val="en-US" w:eastAsia="zh-CN"/>
        </w:rPr>
        <w:t>投标产品为被省级以上主管部门认定的首台套产品，自纳入《省推广应用指导目录》起三年内参加政府采购活动，视同已具备相应销售业绩，本项得满分。</w:t>
      </w:r>
    </w:p>
    <w:p>
      <w:pPr>
        <w:spacing w:line="440" w:lineRule="exact"/>
        <w:ind w:left="422" w:hanging="422" w:hangingChars="200"/>
        <w:jc w:val="left"/>
        <w:rPr>
          <w:rFonts w:hint="eastAsia" w:ascii="宋体" w:hAnsi="宋体" w:eastAsia="宋体"/>
          <w:b/>
          <w:color w:val="auto"/>
          <w:szCs w:val="21"/>
          <w:highlight w:val="none"/>
        </w:rPr>
      </w:pPr>
      <w:r>
        <w:rPr>
          <w:rFonts w:hint="eastAsia" w:ascii="宋体" w:hAnsi="宋体" w:eastAsia="宋体"/>
          <w:b/>
          <w:color w:val="auto"/>
          <w:szCs w:val="21"/>
          <w:highlight w:val="none"/>
          <w:lang w:val="en-US" w:eastAsia="zh-CN"/>
        </w:rPr>
        <w:t>四</w:t>
      </w:r>
      <w:r>
        <w:rPr>
          <w:rFonts w:hint="eastAsia" w:ascii="宋体" w:hAnsi="宋体" w:eastAsia="宋体"/>
          <w:b/>
          <w:color w:val="auto"/>
          <w:szCs w:val="21"/>
          <w:highlight w:val="none"/>
        </w:rPr>
        <w:t>、定标办法</w:t>
      </w:r>
    </w:p>
    <w:p>
      <w:pPr>
        <w:adjustRightInd w:val="0"/>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本次招标由采购人直接确定中标人。如中标人放弃中标、或因不可抗力提出不能履行合同，招标人可按综合得分由高到低顺序选择中标人或重新组织招标。</w:t>
      </w:r>
    </w:p>
    <w:p>
      <w:pPr>
        <w:spacing w:line="440" w:lineRule="exact"/>
        <w:ind w:left="422" w:hanging="422" w:hangingChars="200"/>
        <w:jc w:val="left"/>
        <w:rPr>
          <w:rFonts w:ascii="宋体" w:hAnsi="宋体"/>
          <w:b/>
          <w:color w:val="auto"/>
          <w:szCs w:val="21"/>
          <w:highlight w:val="none"/>
        </w:rPr>
      </w:pPr>
      <w:r>
        <w:rPr>
          <w:rFonts w:hint="eastAsia" w:ascii="宋体" w:hAnsi="宋体"/>
          <w:b/>
          <w:color w:val="auto"/>
          <w:szCs w:val="21"/>
          <w:highlight w:val="none"/>
          <w:lang w:val="en-US" w:eastAsia="zh-CN"/>
        </w:rPr>
        <w:t>五</w:t>
      </w:r>
      <w:r>
        <w:rPr>
          <w:rFonts w:hint="eastAsia" w:ascii="宋体" w:hAnsi="宋体"/>
          <w:b/>
          <w:color w:val="auto"/>
          <w:szCs w:val="21"/>
          <w:highlight w:val="none"/>
        </w:rPr>
        <w:t>、投标人义务</w:t>
      </w:r>
    </w:p>
    <w:p>
      <w:pPr>
        <w:adjustRightInd w:val="0"/>
        <w:snapToGrid w:val="0"/>
        <w:spacing w:line="400" w:lineRule="exact"/>
        <w:ind w:firstLine="420" w:firstLineChars="200"/>
        <w:jc w:val="left"/>
        <w:rPr>
          <w:color w:val="auto"/>
          <w:szCs w:val="21"/>
          <w:highlight w:val="none"/>
        </w:rPr>
      </w:pPr>
      <w:r>
        <w:rPr>
          <w:rFonts w:hint="eastAsia"/>
          <w:color w:val="auto"/>
          <w:szCs w:val="21"/>
          <w:highlight w:val="none"/>
        </w:rPr>
        <w:t>投标人应随时接受评标委员会的询标，解答包括有关的商务、技术问题等。评标结束，所有评标资料存采购代理机构备查。</w:t>
      </w:r>
    </w:p>
    <w:p>
      <w:pPr>
        <w:pStyle w:val="18"/>
        <w:spacing w:line="400" w:lineRule="exact"/>
        <w:rPr>
          <w:rFonts w:hAnsi="宋体"/>
          <w:color w:val="auto"/>
          <w:szCs w:val="21"/>
          <w:highlight w:val="none"/>
        </w:rPr>
      </w:pPr>
    </w:p>
    <w:p>
      <w:pPr>
        <w:pStyle w:val="18"/>
        <w:numPr>
          <w:ilvl w:val="0"/>
          <w:numId w:val="32"/>
        </w:numPr>
        <w:spacing w:before="120" w:beforeLines="50" w:after="120" w:afterLines="50" w:line="400" w:lineRule="exact"/>
        <w:jc w:val="center"/>
        <w:outlineLvl w:val="0"/>
        <w:rPr>
          <w:b/>
          <w:color w:val="auto"/>
          <w:sz w:val="32"/>
          <w:szCs w:val="32"/>
          <w:highlight w:val="none"/>
        </w:rPr>
      </w:pPr>
      <w:bookmarkStart w:id="66" w:name="_Toc16143"/>
      <w:r>
        <w:rPr>
          <w:rFonts w:hint="eastAsia"/>
          <w:b/>
          <w:color w:val="auto"/>
          <w:sz w:val="32"/>
          <w:szCs w:val="32"/>
          <w:highlight w:val="none"/>
          <w:lang w:eastAsia="zh-CN"/>
        </w:rPr>
        <w:t>嘉兴市特种设备检验检测院2024年检验设备购置项目</w:t>
      </w:r>
    </w:p>
    <w:p>
      <w:pPr>
        <w:pStyle w:val="18"/>
        <w:spacing w:before="120" w:beforeLines="50" w:after="120" w:afterLines="50" w:line="400" w:lineRule="exact"/>
        <w:jc w:val="center"/>
        <w:outlineLvl w:val="0"/>
        <w:rPr>
          <w:b/>
          <w:color w:val="auto"/>
          <w:sz w:val="32"/>
          <w:szCs w:val="32"/>
          <w:highlight w:val="none"/>
        </w:rPr>
      </w:pPr>
      <w:r>
        <w:rPr>
          <w:rFonts w:hint="eastAsia"/>
          <w:b/>
          <w:color w:val="auto"/>
          <w:sz w:val="32"/>
          <w:szCs w:val="32"/>
          <w:highlight w:val="none"/>
        </w:rPr>
        <w:t>政府采购合同（货物）</w:t>
      </w:r>
      <w:bookmarkEnd w:id="66"/>
    </w:p>
    <w:p>
      <w:pPr>
        <w:spacing w:before="120" w:beforeLines="50" w:after="120" w:afterLines="50" w:line="320" w:lineRule="exact"/>
        <w:jc w:val="center"/>
        <w:rPr>
          <w:rFonts w:ascii="宋体" w:hAnsi="宋体"/>
          <w:b/>
          <w:color w:val="auto"/>
          <w:sz w:val="32"/>
          <w:szCs w:val="32"/>
          <w:highlight w:val="none"/>
        </w:rPr>
      </w:pPr>
      <w:r>
        <w:rPr>
          <w:rFonts w:hint="eastAsia" w:ascii="宋体" w:hAnsi="宋体"/>
          <w:b/>
          <w:color w:val="auto"/>
          <w:sz w:val="32"/>
          <w:szCs w:val="32"/>
          <w:highlight w:val="none"/>
        </w:rPr>
        <w:t>一   通用必备条款部分</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合同编号：明扬代（202</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）第0</w:t>
      </w:r>
      <w:r>
        <w:rPr>
          <w:rFonts w:hint="eastAsia" w:ascii="宋体" w:hAnsi="宋体" w:cs="宋体"/>
          <w:b/>
          <w:color w:val="auto"/>
          <w:szCs w:val="21"/>
          <w:highlight w:val="none"/>
          <w:lang w:val="en-US" w:eastAsia="zh-CN"/>
        </w:rPr>
        <w:t>13</w:t>
      </w:r>
      <w:r>
        <w:rPr>
          <w:rFonts w:hint="eastAsia" w:ascii="宋体" w:hAnsi="宋体" w:cs="宋体"/>
          <w:b/>
          <w:color w:val="auto"/>
          <w:szCs w:val="21"/>
          <w:highlight w:val="none"/>
        </w:rPr>
        <w:t>号</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政府采购计划（预算）确认号：</w:t>
      </w:r>
      <w:r>
        <w:rPr>
          <w:rFonts w:hint="eastAsia" w:ascii="宋体" w:hAnsi="宋体" w:cs="宋体"/>
          <w:color w:val="auto"/>
          <w:szCs w:val="21"/>
          <w:highlight w:val="none"/>
          <w:lang w:val="en-US" w:eastAsia="zh-CN"/>
        </w:rPr>
        <w:t>[2024]1485号、[2024]1486号</w:t>
      </w:r>
    </w:p>
    <w:p>
      <w:pPr>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标项一：</w:t>
      </w:r>
      <w:r>
        <w:rPr>
          <w:rFonts w:hint="eastAsia" w:ascii="宋体" w:hAnsi="宋体" w:cs="宋体"/>
          <w:color w:val="auto"/>
          <w:szCs w:val="21"/>
          <w:highlight w:val="none"/>
          <w:lang w:eastAsia="zh-CN"/>
        </w:rPr>
        <w:t>819000元；标项二：1000000元；标项三：820000元；标项四：1050000元；标项五：1100000元；标项六：1250000元；标项七：795100元；标项八：1005000元；</w:t>
      </w:r>
      <w:r>
        <w:rPr>
          <w:rFonts w:hint="eastAsia" w:ascii="宋体" w:hAnsi="宋体" w:eastAsia="宋体" w:cs="宋体"/>
          <w:color w:val="auto"/>
          <w:szCs w:val="21"/>
          <w:highlight w:val="none"/>
          <w:lang w:eastAsia="zh-CN"/>
        </w:rPr>
        <w:t>标项九：</w:t>
      </w:r>
      <w:r>
        <w:rPr>
          <w:rFonts w:hint="eastAsia" w:ascii="宋体" w:hAnsi="宋体" w:cs="宋体"/>
          <w:color w:val="auto"/>
          <w:szCs w:val="21"/>
          <w:highlight w:val="none"/>
          <w:lang w:eastAsia="zh-CN"/>
        </w:rPr>
        <w:t>700000</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lang w:eastAsia="zh-CN"/>
        </w:rPr>
        <w:t>；标项十：</w:t>
      </w:r>
      <w:r>
        <w:rPr>
          <w:rFonts w:hint="eastAsia" w:ascii="宋体" w:hAnsi="宋体" w:cs="宋体"/>
          <w:color w:val="auto"/>
          <w:szCs w:val="21"/>
          <w:highlight w:val="none"/>
          <w:lang w:eastAsia="zh-CN"/>
        </w:rPr>
        <w:t>910900</w:t>
      </w:r>
      <w:r>
        <w:rPr>
          <w:rFonts w:hint="eastAsia" w:ascii="宋体" w:hAnsi="宋体" w:eastAsia="宋体" w:cs="宋体"/>
          <w:color w:val="auto"/>
          <w:szCs w:val="21"/>
          <w:highlight w:val="none"/>
          <w:lang w:val="en-US" w:eastAsia="zh-CN"/>
        </w:rPr>
        <w:t>元</w:t>
      </w:r>
    </w:p>
    <w:p>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JXMYZFCG-2024-013</w:t>
      </w:r>
    </w:p>
    <w:p>
      <w:pPr>
        <w:spacing w:line="400" w:lineRule="exact"/>
        <w:jc w:val="left"/>
        <w:rPr>
          <w:rFonts w:ascii="宋体" w:hAnsi="宋体" w:cs="宋体"/>
          <w:color w:val="auto"/>
          <w:szCs w:val="21"/>
          <w:highlight w:val="none"/>
          <w:u w:val="single"/>
        </w:rPr>
      </w:pPr>
      <w:r>
        <w:rPr>
          <w:rFonts w:hint="eastAsia" w:ascii="宋体" w:hAnsi="宋体" w:cs="宋体"/>
          <w:color w:val="auto"/>
          <w:szCs w:val="21"/>
          <w:highlight w:val="none"/>
        </w:rPr>
        <w:t>采购人（以下称甲方）：</w:t>
      </w:r>
      <w:r>
        <w:rPr>
          <w:rFonts w:hint="eastAsia" w:ascii="宋体" w:hAnsi="宋体" w:cs="宋体"/>
          <w:color w:val="auto"/>
          <w:szCs w:val="21"/>
          <w:highlight w:val="none"/>
          <w:u w:val="single"/>
        </w:rPr>
        <w:t xml:space="preserve">嘉兴市特种设备检验检测院 </w:t>
      </w:r>
    </w:p>
    <w:p>
      <w:pPr>
        <w:spacing w:line="400" w:lineRule="exact"/>
        <w:jc w:val="left"/>
        <w:rPr>
          <w:rFonts w:ascii="宋体" w:hAnsi="宋体" w:cs="宋体"/>
          <w:color w:val="auto"/>
          <w:szCs w:val="21"/>
          <w:highlight w:val="none"/>
          <w:u w:val="single"/>
        </w:rPr>
      </w:pPr>
      <w:r>
        <w:rPr>
          <w:rFonts w:hint="eastAsia" w:ascii="宋体" w:hAnsi="宋体" w:cs="宋体"/>
          <w:color w:val="auto"/>
          <w:szCs w:val="21"/>
          <w:highlight w:val="none"/>
        </w:rPr>
        <w:t>供应商（以下称乙方）：</w:t>
      </w:r>
    </w:p>
    <w:p>
      <w:pPr>
        <w:pStyle w:val="18"/>
        <w:snapToGrid w:val="0"/>
        <w:spacing w:line="400" w:lineRule="exact"/>
        <w:rPr>
          <w:rFonts w:hAnsi="宋体" w:cs="宋体"/>
          <w:color w:val="auto"/>
          <w:sz w:val="21"/>
          <w:szCs w:val="21"/>
          <w:highlight w:val="none"/>
          <w:u w:val="single"/>
        </w:rPr>
      </w:pPr>
      <w:r>
        <w:rPr>
          <w:rFonts w:hint="eastAsia" w:hAnsi="宋体" w:cs="宋体"/>
          <w:color w:val="auto"/>
          <w:sz w:val="21"/>
          <w:szCs w:val="21"/>
          <w:highlight w:val="none"/>
        </w:rPr>
        <w:t>采购代理机构：</w:t>
      </w:r>
      <w:r>
        <w:rPr>
          <w:rFonts w:hint="eastAsia" w:hAnsi="宋体" w:cs="宋体"/>
          <w:color w:val="auto"/>
          <w:sz w:val="21"/>
          <w:szCs w:val="21"/>
          <w:highlight w:val="none"/>
          <w:u w:val="single"/>
        </w:rPr>
        <w:t>嘉兴市明扬工程咨询有限公司</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采购方式：公开招标</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标项：</w:t>
      </w:r>
    </w:p>
    <w:p>
      <w:pPr>
        <w:spacing w:before="156" w:after="156" w:line="40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根据《中华人民共和国政府采购法》、《中华人民共和国民法典》等法律法规的规定，甲乙双方按照</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项目采购结果签订本合同。</w:t>
      </w:r>
    </w:p>
    <w:p>
      <w:pPr>
        <w:numPr>
          <w:ilvl w:val="0"/>
          <w:numId w:val="33"/>
        </w:numPr>
        <w:spacing w:before="120" w:beforeLines="50" w:after="120" w:afterLines="50" w:line="360" w:lineRule="auto"/>
        <w:rPr>
          <w:rFonts w:ascii="宋体" w:hAnsi="宋体"/>
          <w:b/>
          <w:color w:val="auto"/>
          <w:szCs w:val="21"/>
          <w:highlight w:val="none"/>
        </w:rPr>
      </w:pPr>
      <w:r>
        <w:rPr>
          <w:rFonts w:hint="eastAsia" w:ascii="宋体" w:hAnsi="宋体"/>
          <w:b/>
          <w:color w:val="auto"/>
          <w:szCs w:val="21"/>
          <w:highlight w:val="none"/>
        </w:rPr>
        <w:t>合同组成</w:t>
      </w:r>
    </w:p>
    <w:p>
      <w:pPr>
        <w:spacing w:before="120" w:beforeLines="50" w:after="120" w:afterLines="50" w:line="360" w:lineRule="auto"/>
        <w:rPr>
          <w:rFonts w:ascii="宋体" w:hAnsi="宋体" w:cs="宋体"/>
          <w:color w:val="auto"/>
          <w:szCs w:val="21"/>
          <w:highlight w:val="none"/>
        </w:rPr>
      </w:pPr>
      <w:r>
        <w:rPr>
          <w:rFonts w:hint="eastAsia" w:ascii="宋体" w:hAnsi="宋体" w:cs="宋体"/>
          <w:color w:val="auto"/>
          <w:szCs w:val="21"/>
          <w:highlight w:val="none"/>
        </w:rPr>
        <w:t>本次政府采购活动的相关文件为本合同的组成部分，这些文件包括但不限于：</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（1）本合同文本；</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（2）采购文件与采购响应文件；</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（3）中标通知书；</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组成本合同的所有文件必须为书面形式。政府采购合同备案时，须提供以上（1）、（3）两项，如由社会中介机构代理，须提供代理协议，合同如有变更的，须提供变更协议。</w:t>
      </w:r>
    </w:p>
    <w:p>
      <w:pPr>
        <w:spacing w:before="120" w:beforeLines="50" w:after="120" w:afterLines="50" w:line="320" w:lineRule="exact"/>
        <w:rPr>
          <w:rFonts w:ascii="宋体" w:hAnsi="宋体"/>
          <w:b/>
          <w:color w:val="auto"/>
          <w:szCs w:val="21"/>
          <w:highlight w:val="none"/>
        </w:rPr>
      </w:pPr>
      <w:r>
        <w:rPr>
          <w:rFonts w:hint="eastAsia" w:ascii="宋体" w:hAnsi="宋体"/>
          <w:b/>
          <w:color w:val="auto"/>
          <w:szCs w:val="21"/>
          <w:highlight w:val="none"/>
        </w:rPr>
        <w:t>第二条 合同标的与相关属性</w:t>
      </w:r>
    </w:p>
    <w:p>
      <w:pPr>
        <w:spacing w:line="360" w:lineRule="exact"/>
        <w:ind w:firstLine="420" w:firstLineChars="200"/>
        <w:jc w:val="left"/>
        <w:rPr>
          <w:rFonts w:ascii="宋体" w:hAnsi="Courier New"/>
          <w:color w:val="auto"/>
          <w:highlight w:val="none"/>
        </w:rPr>
      </w:pPr>
      <w:r>
        <w:rPr>
          <w:rFonts w:hint="eastAsia" w:ascii="宋体" w:hAnsi="Courier New"/>
          <w:color w:val="auto"/>
          <w:highlight w:val="none"/>
        </w:rPr>
        <w:t>1、本次采购的是</w:t>
      </w:r>
      <w:r>
        <w:rPr>
          <w:rFonts w:hint="eastAsia" w:ascii="宋体" w:hAnsi="Courier New"/>
          <w:color w:val="auto"/>
          <w:highlight w:val="none"/>
          <w:u w:val="single"/>
        </w:rPr>
        <w:t xml:space="preserve">                         </w:t>
      </w:r>
      <w:r>
        <w:rPr>
          <w:rFonts w:hint="eastAsia" w:ascii="宋体" w:hAnsi="Courier New"/>
          <w:color w:val="auto"/>
          <w:highlight w:val="none"/>
        </w:rPr>
        <w:t>。</w:t>
      </w:r>
    </w:p>
    <w:p>
      <w:pPr>
        <w:spacing w:line="360" w:lineRule="exact"/>
        <w:ind w:firstLine="420" w:firstLineChars="200"/>
        <w:jc w:val="left"/>
        <w:rPr>
          <w:rFonts w:ascii="宋体" w:hAnsi="Courier New"/>
          <w:color w:val="auto"/>
          <w:highlight w:val="none"/>
        </w:rPr>
      </w:pPr>
      <w:r>
        <w:rPr>
          <w:rFonts w:hint="eastAsia" w:ascii="宋体" w:hAnsi="Courier New"/>
          <w:color w:val="auto"/>
          <w:highlight w:val="none"/>
        </w:rPr>
        <w:t>2、乙方是否属于中小微企业：□是  □否</w:t>
      </w:r>
    </w:p>
    <w:p>
      <w:pPr>
        <w:spacing w:before="156" w:after="156" w:line="320" w:lineRule="exact"/>
        <w:ind w:firstLine="420" w:firstLineChars="200"/>
        <w:rPr>
          <w:rFonts w:ascii="宋体" w:hAnsi="Courier New"/>
          <w:color w:val="auto"/>
          <w:szCs w:val="21"/>
          <w:highlight w:val="none"/>
        </w:rPr>
      </w:pPr>
      <w:r>
        <w:rPr>
          <w:rFonts w:hint="eastAsia" w:ascii="宋体" w:hAnsi="Courier New"/>
          <w:color w:val="auto"/>
          <w:highlight w:val="none"/>
        </w:rPr>
        <w:t>3、本合同项下产品属于（可多选）：□环保产品；□节能产品；□进口产品</w:t>
      </w:r>
    </w:p>
    <w:p>
      <w:pPr>
        <w:spacing w:before="120" w:beforeLines="50" w:after="120" w:afterLines="50" w:line="320" w:lineRule="exact"/>
        <w:rPr>
          <w:rFonts w:ascii="宋体" w:hAnsi="宋体"/>
          <w:b/>
          <w:color w:val="auto"/>
          <w:szCs w:val="21"/>
          <w:highlight w:val="none"/>
        </w:rPr>
      </w:pPr>
      <w:r>
        <w:rPr>
          <w:rFonts w:hint="eastAsia" w:ascii="宋体" w:hAnsi="宋体"/>
          <w:b/>
          <w:color w:val="auto"/>
          <w:szCs w:val="21"/>
          <w:highlight w:val="none"/>
        </w:rPr>
        <w:t>第三条 合同价款</w:t>
      </w:r>
    </w:p>
    <w:p>
      <w:pPr>
        <w:spacing w:before="156" w:after="156" w:line="320" w:lineRule="exact"/>
        <w:ind w:firstLine="420" w:firstLineChars="200"/>
        <w:jc w:val="left"/>
        <w:rPr>
          <w:rFonts w:ascii="宋体" w:hAnsi="Courier New"/>
          <w:color w:val="auto"/>
          <w:szCs w:val="21"/>
          <w:highlight w:val="none"/>
        </w:rPr>
      </w:pPr>
      <w:r>
        <w:rPr>
          <w:rFonts w:hint="eastAsia" w:ascii="宋体" w:hAnsi="Courier New"/>
          <w:color w:val="auto"/>
          <w:szCs w:val="21"/>
          <w:highlight w:val="none"/>
        </w:rPr>
        <w:t>1、本合同项下总价款为</w:t>
      </w:r>
      <w:r>
        <w:rPr>
          <w:rFonts w:hint="eastAsia" w:ascii="宋体" w:hAnsi="Courier New"/>
          <w:color w:val="auto"/>
          <w:szCs w:val="21"/>
          <w:highlight w:val="none"/>
          <w:u w:val="single"/>
        </w:rPr>
        <w:t xml:space="preserve">            </w:t>
      </w:r>
      <w:r>
        <w:rPr>
          <w:rFonts w:hint="eastAsia" w:ascii="宋体" w:hAnsi="Courier New"/>
          <w:color w:val="auto"/>
          <w:szCs w:val="21"/>
          <w:highlight w:val="none"/>
        </w:rPr>
        <w:t>（大写）人民币，分项价款见“价格清单”（如有）”。</w:t>
      </w:r>
    </w:p>
    <w:tbl>
      <w:tblPr>
        <w:tblStyle w:val="37"/>
        <w:tblW w:w="97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280"/>
        <w:gridCol w:w="1493"/>
        <w:gridCol w:w="1322"/>
        <w:gridCol w:w="810"/>
        <w:gridCol w:w="1281"/>
        <w:gridCol w:w="845"/>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493" w:type="dxa"/>
            <w:vAlign w:val="center"/>
          </w:tcPr>
          <w:p>
            <w:pPr>
              <w:spacing w:before="156" w:after="156" w:line="360" w:lineRule="auto"/>
              <w:jc w:val="center"/>
              <w:rPr>
                <w:rFonts w:ascii="宋体" w:hAnsi="宋体"/>
                <w:color w:val="auto"/>
                <w:szCs w:val="21"/>
                <w:highlight w:val="none"/>
              </w:rPr>
            </w:pPr>
            <w:r>
              <w:rPr>
                <w:rFonts w:hint="eastAsia" w:ascii="宋体" w:hAnsi="宋体"/>
                <w:color w:val="auto"/>
                <w:szCs w:val="21"/>
                <w:highlight w:val="none"/>
              </w:rPr>
              <w:t>产品名称</w:t>
            </w:r>
          </w:p>
        </w:tc>
        <w:tc>
          <w:tcPr>
            <w:tcW w:w="1280" w:type="dxa"/>
            <w:vAlign w:val="center"/>
          </w:tcPr>
          <w:p>
            <w:pPr>
              <w:spacing w:before="156" w:after="156" w:line="360" w:lineRule="auto"/>
              <w:jc w:val="center"/>
              <w:rPr>
                <w:rFonts w:ascii="宋体" w:hAnsi="宋体"/>
                <w:color w:val="auto"/>
                <w:szCs w:val="21"/>
                <w:highlight w:val="none"/>
              </w:rPr>
            </w:pPr>
            <w:r>
              <w:rPr>
                <w:rFonts w:ascii="宋体"/>
                <w:color w:val="auto"/>
                <w:szCs w:val="21"/>
                <w:highlight w:val="none"/>
              </w:rPr>
              <w:t>牌号商标</w:t>
            </w:r>
          </w:p>
        </w:tc>
        <w:tc>
          <w:tcPr>
            <w:tcW w:w="1493" w:type="dxa"/>
            <w:vAlign w:val="center"/>
          </w:tcPr>
          <w:p>
            <w:pPr>
              <w:spacing w:before="156" w:after="156" w:line="0" w:lineRule="atLeast"/>
              <w:jc w:val="center"/>
              <w:rPr>
                <w:rFonts w:ascii="宋体" w:hAnsi="宋体"/>
                <w:color w:val="auto"/>
                <w:szCs w:val="21"/>
                <w:highlight w:val="none"/>
              </w:rPr>
            </w:pPr>
            <w:r>
              <w:rPr>
                <w:rFonts w:hint="eastAsia" w:ascii="宋体" w:hAnsi="宋体"/>
                <w:color w:val="auto"/>
                <w:szCs w:val="21"/>
                <w:highlight w:val="none"/>
              </w:rPr>
              <w:t>规格型号、技术参数</w:t>
            </w:r>
          </w:p>
        </w:tc>
        <w:tc>
          <w:tcPr>
            <w:tcW w:w="1322" w:type="dxa"/>
            <w:vAlign w:val="center"/>
          </w:tcPr>
          <w:p>
            <w:pPr>
              <w:spacing w:before="156" w:after="156" w:line="360" w:lineRule="auto"/>
              <w:jc w:val="center"/>
              <w:rPr>
                <w:rFonts w:ascii="宋体" w:hAnsi="宋体"/>
                <w:color w:val="auto"/>
                <w:szCs w:val="21"/>
                <w:highlight w:val="none"/>
              </w:rPr>
            </w:pPr>
            <w:r>
              <w:rPr>
                <w:rFonts w:hint="eastAsia" w:ascii="宋体" w:hAnsi="宋体"/>
                <w:color w:val="auto"/>
                <w:szCs w:val="21"/>
                <w:highlight w:val="none"/>
              </w:rPr>
              <w:t>生产厂家</w:t>
            </w:r>
          </w:p>
        </w:tc>
        <w:tc>
          <w:tcPr>
            <w:tcW w:w="810" w:type="dxa"/>
            <w:vAlign w:val="center"/>
          </w:tcPr>
          <w:p>
            <w:pPr>
              <w:spacing w:before="156" w:after="156"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1281" w:type="dxa"/>
            <w:vAlign w:val="center"/>
          </w:tcPr>
          <w:p>
            <w:pPr>
              <w:spacing w:before="156" w:after="156" w:line="360" w:lineRule="auto"/>
              <w:jc w:val="center"/>
              <w:rPr>
                <w:rFonts w:ascii="宋体" w:hAnsi="宋体"/>
                <w:color w:val="auto"/>
                <w:szCs w:val="21"/>
                <w:highlight w:val="none"/>
              </w:rPr>
            </w:pPr>
            <w:r>
              <w:rPr>
                <w:rFonts w:hint="eastAsia" w:ascii="宋体" w:hAnsi="宋体"/>
                <w:color w:val="auto"/>
                <w:szCs w:val="21"/>
                <w:highlight w:val="none"/>
              </w:rPr>
              <w:t>数量</w:t>
            </w:r>
          </w:p>
        </w:tc>
        <w:tc>
          <w:tcPr>
            <w:tcW w:w="845" w:type="dxa"/>
            <w:vAlign w:val="center"/>
          </w:tcPr>
          <w:p>
            <w:pPr>
              <w:spacing w:before="156" w:after="156" w:line="0" w:lineRule="atLeast"/>
              <w:jc w:val="center"/>
              <w:rPr>
                <w:rFonts w:ascii="宋体" w:hAnsi="宋体"/>
                <w:color w:val="auto"/>
                <w:szCs w:val="21"/>
                <w:highlight w:val="none"/>
              </w:rPr>
            </w:pPr>
            <w:r>
              <w:rPr>
                <w:rFonts w:hint="eastAsia" w:ascii="宋体" w:hAnsi="宋体"/>
                <w:color w:val="auto"/>
                <w:szCs w:val="21"/>
                <w:highlight w:val="none"/>
              </w:rPr>
              <w:t>单价（元）</w:t>
            </w:r>
          </w:p>
        </w:tc>
        <w:tc>
          <w:tcPr>
            <w:tcW w:w="1236" w:type="dxa"/>
            <w:vAlign w:val="center"/>
          </w:tcPr>
          <w:p>
            <w:pPr>
              <w:spacing w:before="156" w:after="156"/>
              <w:jc w:val="center"/>
              <w:rPr>
                <w:rFonts w:ascii="宋体" w:hAnsi="宋体"/>
                <w:color w:val="auto"/>
                <w:szCs w:val="21"/>
                <w:highlight w:val="none"/>
              </w:rPr>
            </w:pPr>
            <w:r>
              <w:rPr>
                <w:rFonts w:hint="eastAsia" w:ascii="宋体" w:hAnsi="宋体"/>
                <w:color w:val="auto"/>
                <w:szCs w:val="21"/>
                <w:highlight w:val="none"/>
              </w:rPr>
              <w:t>金额</w:t>
            </w:r>
          </w:p>
          <w:p>
            <w:pPr>
              <w:spacing w:before="156" w:after="156"/>
              <w:jc w:val="center"/>
              <w:rPr>
                <w:rFonts w:ascii="宋体" w:hAnsi="宋体"/>
                <w:color w:val="auto"/>
                <w:szCs w:val="21"/>
                <w:highlight w:val="none"/>
              </w:rPr>
            </w:pPr>
            <w:r>
              <w:rPr>
                <w:rFonts w:hint="eastAsia" w:ascii="宋体" w:hAns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3" w:type="dxa"/>
          </w:tcPr>
          <w:p>
            <w:pPr>
              <w:spacing w:before="156" w:after="156" w:line="240" w:lineRule="exact"/>
              <w:rPr>
                <w:rFonts w:ascii="宋体" w:hAnsi="宋体"/>
                <w:color w:val="auto"/>
                <w:szCs w:val="21"/>
                <w:highlight w:val="none"/>
              </w:rPr>
            </w:pPr>
          </w:p>
        </w:tc>
        <w:tc>
          <w:tcPr>
            <w:tcW w:w="1280" w:type="dxa"/>
          </w:tcPr>
          <w:p>
            <w:pPr>
              <w:spacing w:before="156" w:after="156" w:line="240" w:lineRule="exact"/>
              <w:rPr>
                <w:rFonts w:ascii="宋体" w:hAnsi="宋体"/>
                <w:color w:val="auto"/>
                <w:szCs w:val="21"/>
                <w:highlight w:val="none"/>
              </w:rPr>
            </w:pPr>
          </w:p>
        </w:tc>
        <w:tc>
          <w:tcPr>
            <w:tcW w:w="1493" w:type="dxa"/>
          </w:tcPr>
          <w:p>
            <w:pPr>
              <w:spacing w:before="156" w:after="156" w:line="240" w:lineRule="exact"/>
              <w:rPr>
                <w:rFonts w:ascii="宋体" w:hAnsi="宋体"/>
                <w:color w:val="auto"/>
                <w:szCs w:val="21"/>
                <w:highlight w:val="none"/>
              </w:rPr>
            </w:pPr>
          </w:p>
        </w:tc>
        <w:tc>
          <w:tcPr>
            <w:tcW w:w="1322" w:type="dxa"/>
          </w:tcPr>
          <w:p>
            <w:pPr>
              <w:spacing w:before="156" w:after="156" w:line="240" w:lineRule="exact"/>
              <w:rPr>
                <w:rFonts w:ascii="宋体" w:hAnsi="宋体"/>
                <w:color w:val="auto"/>
                <w:szCs w:val="21"/>
                <w:highlight w:val="none"/>
              </w:rPr>
            </w:pPr>
          </w:p>
        </w:tc>
        <w:tc>
          <w:tcPr>
            <w:tcW w:w="810" w:type="dxa"/>
          </w:tcPr>
          <w:p>
            <w:pPr>
              <w:spacing w:before="156" w:after="156" w:line="240" w:lineRule="exact"/>
              <w:rPr>
                <w:rFonts w:ascii="宋体" w:hAnsi="宋体"/>
                <w:color w:val="auto"/>
                <w:szCs w:val="21"/>
                <w:highlight w:val="none"/>
              </w:rPr>
            </w:pPr>
          </w:p>
        </w:tc>
        <w:tc>
          <w:tcPr>
            <w:tcW w:w="1281" w:type="dxa"/>
          </w:tcPr>
          <w:p>
            <w:pPr>
              <w:spacing w:before="156" w:after="156" w:line="240" w:lineRule="exact"/>
              <w:rPr>
                <w:rFonts w:ascii="宋体" w:hAnsi="宋体"/>
                <w:color w:val="auto"/>
                <w:szCs w:val="21"/>
                <w:highlight w:val="none"/>
              </w:rPr>
            </w:pPr>
          </w:p>
        </w:tc>
        <w:tc>
          <w:tcPr>
            <w:tcW w:w="845" w:type="dxa"/>
          </w:tcPr>
          <w:p>
            <w:pPr>
              <w:spacing w:before="156" w:after="156" w:line="240" w:lineRule="exact"/>
              <w:rPr>
                <w:rFonts w:ascii="宋体" w:hAnsi="宋体"/>
                <w:color w:val="auto"/>
                <w:szCs w:val="21"/>
                <w:highlight w:val="none"/>
              </w:rPr>
            </w:pPr>
          </w:p>
        </w:tc>
        <w:tc>
          <w:tcPr>
            <w:tcW w:w="1236" w:type="dxa"/>
          </w:tcPr>
          <w:p>
            <w:pPr>
              <w:spacing w:before="156" w:after="156" w:line="24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3" w:type="dxa"/>
          </w:tcPr>
          <w:p>
            <w:pPr>
              <w:spacing w:before="156" w:after="156" w:line="240" w:lineRule="exact"/>
              <w:rPr>
                <w:rFonts w:ascii="宋体" w:hAnsi="宋体"/>
                <w:color w:val="auto"/>
                <w:szCs w:val="21"/>
                <w:highlight w:val="none"/>
              </w:rPr>
            </w:pPr>
          </w:p>
        </w:tc>
        <w:tc>
          <w:tcPr>
            <w:tcW w:w="1280" w:type="dxa"/>
          </w:tcPr>
          <w:p>
            <w:pPr>
              <w:spacing w:before="156" w:after="156" w:line="240" w:lineRule="exact"/>
              <w:rPr>
                <w:rFonts w:ascii="宋体" w:hAnsi="宋体"/>
                <w:color w:val="auto"/>
                <w:szCs w:val="21"/>
                <w:highlight w:val="none"/>
              </w:rPr>
            </w:pPr>
          </w:p>
        </w:tc>
        <w:tc>
          <w:tcPr>
            <w:tcW w:w="1493" w:type="dxa"/>
          </w:tcPr>
          <w:p>
            <w:pPr>
              <w:spacing w:before="156" w:after="156" w:line="240" w:lineRule="exact"/>
              <w:rPr>
                <w:rFonts w:ascii="宋体" w:hAnsi="宋体"/>
                <w:color w:val="auto"/>
                <w:szCs w:val="21"/>
                <w:highlight w:val="none"/>
              </w:rPr>
            </w:pPr>
          </w:p>
        </w:tc>
        <w:tc>
          <w:tcPr>
            <w:tcW w:w="1322" w:type="dxa"/>
          </w:tcPr>
          <w:p>
            <w:pPr>
              <w:spacing w:before="156" w:after="156" w:line="240" w:lineRule="exact"/>
              <w:rPr>
                <w:rFonts w:ascii="宋体" w:hAnsi="宋体"/>
                <w:color w:val="auto"/>
                <w:szCs w:val="21"/>
                <w:highlight w:val="none"/>
              </w:rPr>
            </w:pPr>
          </w:p>
        </w:tc>
        <w:tc>
          <w:tcPr>
            <w:tcW w:w="810" w:type="dxa"/>
          </w:tcPr>
          <w:p>
            <w:pPr>
              <w:spacing w:before="156" w:after="156" w:line="240" w:lineRule="exact"/>
              <w:rPr>
                <w:rFonts w:ascii="宋体" w:hAnsi="宋体"/>
                <w:color w:val="auto"/>
                <w:szCs w:val="21"/>
                <w:highlight w:val="none"/>
              </w:rPr>
            </w:pPr>
          </w:p>
        </w:tc>
        <w:tc>
          <w:tcPr>
            <w:tcW w:w="1281" w:type="dxa"/>
          </w:tcPr>
          <w:p>
            <w:pPr>
              <w:spacing w:before="156" w:after="156" w:line="240" w:lineRule="exact"/>
              <w:rPr>
                <w:rFonts w:ascii="宋体" w:hAnsi="宋体"/>
                <w:color w:val="auto"/>
                <w:szCs w:val="21"/>
                <w:highlight w:val="none"/>
              </w:rPr>
            </w:pPr>
          </w:p>
        </w:tc>
        <w:tc>
          <w:tcPr>
            <w:tcW w:w="845" w:type="dxa"/>
          </w:tcPr>
          <w:p>
            <w:pPr>
              <w:spacing w:before="156" w:after="156" w:line="240" w:lineRule="exact"/>
              <w:rPr>
                <w:rFonts w:ascii="宋体" w:hAnsi="宋体"/>
                <w:color w:val="auto"/>
                <w:szCs w:val="21"/>
                <w:highlight w:val="none"/>
              </w:rPr>
            </w:pPr>
          </w:p>
        </w:tc>
        <w:tc>
          <w:tcPr>
            <w:tcW w:w="1236" w:type="dxa"/>
          </w:tcPr>
          <w:p>
            <w:pPr>
              <w:spacing w:before="156" w:after="156" w:line="24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8" w:type="dxa"/>
            <w:gridSpan w:val="5"/>
          </w:tcPr>
          <w:p>
            <w:pPr>
              <w:spacing w:before="156" w:after="156" w:line="240" w:lineRule="exact"/>
              <w:jc w:val="center"/>
              <w:rPr>
                <w:rFonts w:ascii="宋体" w:hAnsi="宋体"/>
                <w:b/>
                <w:color w:val="auto"/>
                <w:szCs w:val="21"/>
                <w:highlight w:val="none"/>
              </w:rPr>
            </w:pPr>
            <w:r>
              <w:rPr>
                <w:rFonts w:hint="eastAsia" w:ascii="宋体" w:hAnsi="宋体"/>
                <w:b/>
                <w:color w:val="auto"/>
                <w:szCs w:val="21"/>
                <w:highlight w:val="none"/>
              </w:rPr>
              <w:t>合 计</w:t>
            </w:r>
          </w:p>
        </w:tc>
        <w:tc>
          <w:tcPr>
            <w:tcW w:w="1281" w:type="dxa"/>
          </w:tcPr>
          <w:p>
            <w:pPr>
              <w:spacing w:before="156" w:after="156" w:line="240" w:lineRule="exact"/>
              <w:rPr>
                <w:rFonts w:ascii="宋体" w:hAnsi="宋体"/>
                <w:color w:val="auto"/>
                <w:szCs w:val="21"/>
                <w:highlight w:val="none"/>
              </w:rPr>
            </w:pPr>
          </w:p>
        </w:tc>
        <w:tc>
          <w:tcPr>
            <w:tcW w:w="845" w:type="dxa"/>
          </w:tcPr>
          <w:p>
            <w:pPr>
              <w:spacing w:before="156" w:after="156" w:line="240" w:lineRule="exact"/>
              <w:rPr>
                <w:rFonts w:ascii="宋体" w:hAnsi="宋体"/>
                <w:color w:val="auto"/>
                <w:szCs w:val="21"/>
                <w:highlight w:val="none"/>
              </w:rPr>
            </w:pPr>
          </w:p>
        </w:tc>
        <w:tc>
          <w:tcPr>
            <w:tcW w:w="1236" w:type="dxa"/>
          </w:tcPr>
          <w:p>
            <w:pPr>
              <w:spacing w:before="156" w:after="156" w:line="240" w:lineRule="exact"/>
              <w:rPr>
                <w:rFonts w:ascii="宋体" w:hAnsi="宋体"/>
                <w:color w:val="auto"/>
                <w:szCs w:val="21"/>
                <w:highlight w:val="none"/>
              </w:rPr>
            </w:pPr>
          </w:p>
        </w:tc>
      </w:tr>
    </w:tbl>
    <w:p>
      <w:pPr>
        <w:pStyle w:val="18"/>
        <w:numPr>
          <w:ilvl w:val="0"/>
          <w:numId w:val="34"/>
        </w:numPr>
        <w:snapToGrid w:val="0"/>
        <w:spacing w:line="460" w:lineRule="exact"/>
        <w:jc w:val="left"/>
        <w:rPr>
          <w:rFonts w:hAnsi="宋体" w:cs="宋体"/>
          <w:b/>
          <w:bCs/>
          <w:color w:val="auto"/>
          <w:kern w:val="0"/>
          <w:sz w:val="21"/>
          <w:szCs w:val="21"/>
          <w:highlight w:val="none"/>
          <w:u w:val="single"/>
        </w:rPr>
      </w:pPr>
      <w:r>
        <w:rPr>
          <w:rFonts w:hint="eastAsia" w:hAnsi="宋体" w:cs="宋体"/>
          <w:b/>
          <w:bCs/>
          <w:color w:val="auto"/>
          <w:kern w:val="0"/>
          <w:sz w:val="21"/>
          <w:szCs w:val="21"/>
          <w:highlight w:val="none"/>
          <w:u w:val="single"/>
        </w:rPr>
        <w:t>本</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hAnsi="宋体" w:cs="宋体"/>
          <w:b/>
          <w:bCs/>
          <w:color w:val="auto"/>
          <w:kern w:val="0"/>
          <w:sz w:val="21"/>
          <w:szCs w:val="21"/>
          <w:highlight w:val="none"/>
          <w:u w:val="single"/>
        </w:rPr>
        <w:t>合同</w:t>
      </w:r>
      <w:r>
        <w:rPr>
          <w:rFonts w:hint="eastAsia" w:hAnsi="宋体" w:cs="宋体"/>
          <w:b/>
          <w:bCs/>
          <w:color w:val="auto"/>
          <w:kern w:val="0"/>
          <w:sz w:val="21"/>
          <w:szCs w:val="21"/>
          <w:highlight w:val="none"/>
          <w:u w:val="single"/>
        </w:rPr>
        <w:fldChar w:fldCharType="end"/>
      </w:r>
      <w:r>
        <w:rPr>
          <w:rFonts w:hint="eastAsia" w:hAnsi="宋体" w:cs="宋体"/>
          <w:b/>
          <w:bCs/>
          <w:color w:val="auto"/>
          <w:kern w:val="0"/>
          <w:sz w:val="21"/>
          <w:szCs w:val="21"/>
          <w:highlight w:val="none"/>
          <w:u w:val="single"/>
        </w:rPr>
        <w:t>总价款是乙方履行合同的最终价格，包括项目实施所需的设备费（含备品备件）、人工费、运杂费、保险费、安装调试费、检验试验费、第三方检测费、售后服务及质保期内的设备更换、保养、维护费、税金等所涉及的一切费用均计入报价。</w:t>
      </w:r>
    </w:p>
    <w:p>
      <w:pPr>
        <w:spacing w:before="156" w:after="156"/>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3、本合同付款方式为以下第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pPr>
        <w:spacing w:before="156" w:after="156"/>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（1）本合同项下的采购资金系甲方自行支付，付款程序为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before="156" w:after="156"/>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（2）本合同项下的采购资金须财政直接支付，付款程序为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before="156" w:after="156"/>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（3）其他方式：</w:t>
      </w:r>
    </w:p>
    <w:p>
      <w:pPr>
        <w:spacing w:before="156" w:after="156"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4、本合同项下的采购资金付款进度按招投标文件规定，未规定时按以下第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项支付：</w:t>
      </w:r>
    </w:p>
    <w:p>
      <w:pPr>
        <w:spacing w:before="156" w:after="156"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（1）一次性付款：乙方合同履行达到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（条件）时，一次性付款；</w:t>
      </w:r>
    </w:p>
    <w:p>
      <w:pPr>
        <w:spacing w:before="156" w:after="156"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（2）分期付款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时支付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时支付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时支付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before="156" w:after="156"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若收取了履约保证金，则不应重复设置尾款支付条件。</w:t>
      </w:r>
    </w:p>
    <w:p>
      <w:pPr>
        <w:spacing w:before="120" w:beforeLines="50" w:after="120" w:afterLines="50" w:line="360" w:lineRule="exact"/>
        <w:rPr>
          <w:rFonts w:ascii="宋体" w:hAnsi="宋体" w:cs="宋体"/>
          <w:b/>
          <w:color w:val="auto"/>
          <w:szCs w:val="21"/>
          <w:highlight w:val="none"/>
        </w:rPr>
      </w:pPr>
      <w:r>
        <w:rPr>
          <w:rFonts w:hint="eastAsia" w:ascii="宋体" w:hAnsi="宋体" w:cs="宋体"/>
          <w:b/>
          <w:color w:val="auto"/>
          <w:szCs w:val="21"/>
          <w:highlight w:val="none"/>
        </w:rPr>
        <w:t>第四条 履约保证金</w:t>
      </w:r>
    </w:p>
    <w:p>
      <w:pPr>
        <w:spacing w:before="156" w:after="156"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项处理：</w:t>
      </w:r>
    </w:p>
    <w:p>
      <w:pPr>
        <w:numPr>
          <w:ilvl w:val="0"/>
          <w:numId w:val="35"/>
        </w:numPr>
        <w:spacing w:line="3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本项目设置履约保证金，乙方应于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（时间）向甲方提交履约保证金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元（不得高于本合同金额的5%）。履约保证金在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（时间）退还乙方。</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2、本项目不设置履约保证金。</w:t>
      </w:r>
    </w:p>
    <w:p>
      <w:pPr>
        <w:spacing w:before="120" w:beforeLines="50" w:after="120" w:afterLines="50" w:line="440" w:lineRule="exact"/>
        <w:jc w:val="left"/>
        <w:rPr>
          <w:rFonts w:ascii="宋体" w:hAnsi="宋体"/>
          <w:b/>
          <w:color w:val="auto"/>
          <w:szCs w:val="21"/>
          <w:highlight w:val="none"/>
        </w:rPr>
      </w:pPr>
      <w:r>
        <w:rPr>
          <w:rFonts w:hint="eastAsia" w:ascii="宋体" w:hAnsi="宋体"/>
          <w:b/>
          <w:color w:val="auto"/>
          <w:szCs w:val="21"/>
          <w:highlight w:val="none"/>
        </w:rPr>
        <w:t>第五条 合同的变更和终止</w:t>
      </w:r>
    </w:p>
    <w:p>
      <w:pPr>
        <w:spacing w:line="440" w:lineRule="exact"/>
        <w:jc w:val="left"/>
        <w:rPr>
          <w:rFonts w:ascii="仿宋_GB2312" w:hAnsi="Arial" w:eastAsia="仿宋_GB2312" w:cs="Arial"/>
          <w:color w:val="auto"/>
          <w:kern w:val="0"/>
          <w:szCs w:val="21"/>
          <w:highlight w:val="none"/>
        </w:rPr>
      </w:pPr>
      <w:r>
        <w:rPr>
          <w:rFonts w:hint="eastAsia"/>
          <w:color w:val="auto"/>
          <w:szCs w:val="21"/>
          <w:highlight w:val="none"/>
        </w:rPr>
        <w:t xml:space="preserve">    除《政府采购法》第49条、第50条第二款规定的情形外，本合同一经签订，甲乙双方不得擅自终止合同或对合同实质性条款进行变更。确有特殊情况的，须经同级财政部门备案同意。</w:t>
      </w:r>
    </w:p>
    <w:p>
      <w:pPr>
        <w:spacing w:before="120" w:beforeLines="50" w:after="120" w:afterLines="50" w:line="440" w:lineRule="exact"/>
        <w:jc w:val="left"/>
        <w:rPr>
          <w:rFonts w:ascii="宋体" w:hAnsi="宋体"/>
          <w:b/>
          <w:color w:val="auto"/>
          <w:szCs w:val="21"/>
          <w:highlight w:val="none"/>
        </w:rPr>
      </w:pPr>
      <w:r>
        <w:rPr>
          <w:rFonts w:hint="eastAsia" w:ascii="宋体" w:hAnsi="宋体"/>
          <w:b/>
          <w:color w:val="auto"/>
          <w:szCs w:val="21"/>
          <w:highlight w:val="none"/>
        </w:rPr>
        <w:t>第六条 合同的转让与分包</w:t>
      </w:r>
    </w:p>
    <w:p>
      <w:pPr>
        <w:spacing w:line="440" w:lineRule="exact"/>
        <w:jc w:val="left"/>
        <w:rPr>
          <w:color w:val="auto"/>
          <w:szCs w:val="21"/>
          <w:highlight w:val="none"/>
        </w:rPr>
      </w:pP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乙方不得擅自部分或全部转让其应履行的合同义务。乙方分包的，应经过甲方书面同意。</w:t>
      </w:r>
    </w:p>
    <w:p>
      <w:pPr>
        <w:spacing w:before="120" w:beforeLines="50" w:after="120" w:afterLines="50" w:line="440" w:lineRule="exact"/>
        <w:jc w:val="left"/>
        <w:rPr>
          <w:rFonts w:ascii="宋体" w:hAnsi="宋体"/>
          <w:b/>
          <w:color w:val="auto"/>
          <w:szCs w:val="21"/>
          <w:highlight w:val="none"/>
        </w:rPr>
      </w:pPr>
      <w:r>
        <w:rPr>
          <w:rFonts w:hint="eastAsia" w:ascii="宋体" w:hAnsi="宋体"/>
          <w:b/>
          <w:color w:val="auto"/>
          <w:szCs w:val="21"/>
          <w:highlight w:val="none"/>
        </w:rPr>
        <w:t>第七条 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1、因履行本合同引起的或与本合同有关的争议，甲、乙双方应首先通过友好协商解决，如果协商不能解决争议，则采取以下第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种方式解决争议：</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（1）向甲方所在地有管辖权的人民法院提起诉讼；</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仲裁委员申请仲裁。</w:t>
      </w:r>
    </w:p>
    <w:p>
      <w:pPr>
        <w:spacing w:line="360" w:lineRule="exact"/>
        <w:jc w:val="left"/>
        <w:rPr>
          <w:rFonts w:ascii="宋体" w:hAnsi="宋体"/>
          <w:b/>
          <w:color w:val="auto"/>
          <w:szCs w:val="28"/>
          <w:highlight w:val="none"/>
        </w:rPr>
      </w:pPr>
      <w:r>
        <w:rPr>
          <w:rFonts w:hint="eastAsia" w:ascii="宋体" w:hAnsi="宋体"/>
          <w:b/>
          <w:color w:val="auto"/>
          <w:szCs w:val="21"/>
          <w:highlight w:val="none"/>
        </w:rPr>
        <w:t>第八条</w:t>
      </w:r>
      <w:r>
        <w:rPr>
          <w:rFonts w:hint="eastAsia" w:ascii="宋体" w:hAnsi="宋体"/>
          <w:b/>
          <w:color w:val="auto"/>
          <w:szCs w:val="21"/>
          <w:highlight w:val="none"/>
          <w:lang w:val="en-US" w:eastAsia="zh-CN"/>
        </w:rPr>
        <w:t xml:space="preserve"> </w:t>
      </w:r>
      <w:r>
        <w:rPr>
          <w:rFonts w:hint="eastAsia" w:ascii="宋体" w:hAnsi="宋体"/>
          <w:b/>
          <w:color w:val="auto"/>
          <w:szCs w:val="28"/>
          <w:highlight w:val="none"/>
        </w:rPr>
        <w:t>合同备案及其他</w:t>
      </w:r>
    </w:p>
    <w:p>
      <w:pPr>
        <w:spacing w:line="360" w:lineRule="exact"/>
        <w:ind w:firstLine="420" w:firstLineChars="200"/>
        <w:rPr>
          <w:color w:val="auto"/>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本合同一式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份，甲乙双方各执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份，1份报送政府采购监督管理部门备案，其余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numPr>
          <w:ilvl w:val="0"/>
          <w:numId w:val="36"/>
        </w:numPr>
        <w:autoSpaceDE w:val="0"/>
        <w:autoSpaceDN w:val="0"/>
        <w:adjustRightInd w:val="0"/>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特殊专用条款部分</w:t>
      </w:r>
    </w:p>
    <w:p>
      <w:pPr>
        <w:spacing w:line="460" w:lineRule="exact"/>
        <w:rPr>
          <w:rFonts w:ascii="宋体" w:hAnsi="宋体"/>
          <w:b/>
          <w:color w:val="auto"/>
          <w:szCs w:val="21"/>
          <w:highlight w:val="none"/>
        </w:rPr>
      </w:pPr>
      <w:r>
        <w:rPr>
          <w:rFonts w:hint="eastAsia" w:ascii="宋体" w:hAnsi="宋体"/>
          <w:b/>
          <w:color w:val="auto"/>
          <w:kern w:val="0"/>
          <w:szCs w:val="21"/>
          <w:highlight w:val="none"/>
        </w:rPr>
        <w:t>第一条质量保证</w:t>
      </w:r>
    </w:p>
    <w:p>
      <w:pPr>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乙方</w:t>
      </w:r>
      <w:r>
        <w:rPr>
          <w:rFonts w:hint="eastAsia" w:ascii="宋体" w:hAnsi="宋体"/>
          <w:color w:val="auto"/>
          <w:szCs w:val="21"/>
          <w:highlight w:val="none"/>
        </w:rPr>
        <w:fldChar w:fldCharType="end"/>
      </w:r>
      <w:r>
        <w:rPr>
          <w:rFonts w:hint="eastAsia" w:ascii="宋体" w:hAnsi="宋体"/>
          <w:color w:val="auto"/>
          <w:szCs w:val="21"/>
          <w:highlight w:val="none"/>
        </w:rPr>
        <w:t>所提供的货物的技术规格应与招投标文件规定的技术规格相一致；若技术性能无特殊说明，则按国家有关部门最新颁布的标准及规范为准。</w:t>
      </w:r>
      <w:r>
        <w:rPr>
          <w:rFonts w:hint="eastAsia" w:ascii="宋体" w:hAnsi="宋体"/>
          <w:color w:val="auto"/>
          <w:szCs w:val="21"/>
          <w:highlight w:val="none"/>
        </w:rPr>
        <w:br w:type="textWrapping"/>
      </w:r>
      <w:r>
        <w:rPr>
          <w:rFonts w:hint="eastAsia" w:ascii="宋体" w:hAnsi="宋体"/>
          <w:color w:val="auto"/>
          <w:szCs w:val="21"/>
          <w:highlight w:val="none"/>
        </w:rPr>
        <w:t xml:space="preserve">    2、</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乙方</w:t>
      </w:r>
      <w:r>
        <w:rPr>
          <w:rFonts w:hint="eastAsia" w:ascii="宋体" w:hAnsi="宋体"/>
          <w:color w:val="auto"/>
          <w:szCs w:val="21"/>
          <w:highlight w:val="none"/>
        </w:rPr>
        <w:fldChar w:fldCharType="end"/>
      </w:r>
      <w:r>
        <w:rPr>
          <w:rFonts w:hint="eastAsia" w:ascii="宋体" w:hAnsi="宋体"/>
          <w:color w:val="auto"/>
          <w:szCs w:val="21"/>
          <w:highlight w:val="none"/>
        </w:rPr>
        <w:t>应保证货物是全新、未使用过的原装合格正品，并完全符合</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合同</w:t>
      </w:r>
      <w:r>
        <w:rPr>
          <w:rFonts w:hint="eastAsia" w:ascii="宋体" w:hAnsi="宋体"/>
          <w:color w:val="auto"/>
          <w:szCs w:val="21"/>
          <w:highlight w:val="none"/>
        </w:rPr>
        <w:fldChar w:fldCharType="end"/>
      </w:r>
      <w:r>
        <w:rPr>
          <w:rFonts w:hint="eastAsia" w:ascii="宋体" w:hAnsi="宋体"/>
          <w:color w:val="auto"/>
          <w:szCs w:val="21"/>
          <w:highlight w:val="none"/>
        </w:rPr>
        <w:t>规定的质量、规格和性能的要求。</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乙方</w:t>
      </w:r>
      <w:r>
        <w:rPr>
          <w:rFonts w:hint="eastAsia" w:ascii="宋体" w:hAnsi="宋体"/>
          <w:color w:val="auto"/>
          <w:szCs w:val="21"/>
          <w:highlight w:val="none"/>
        </w:rPr>
        <w:fldChar w:fldCharType="end"/>
      </w:r>
      <w:r>
        <w:rPr>
          <w:rFonts w:hint="eastAsia" w:ascii="宋体" w:hAnsi="宋体"/>
          <w:color w:val="auto"/>
          <w:szCs w:val="21"/>
          <w:highlight w:val="none"/>
        </w:rPr>
        <w:t>应保证其提供的货物在正确安装、正常使用和保养条件下，在其使用寿命内具有良好的性能。货物验收后，在质量保证期内，</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乙方</w:t>
      </w:r>
      <w:r>
        <w:rPr>
          <w:rFonts w:hint="eastAsia" w:ascii="宋体" w:hAnsi="宋体"/>
          <w:color w:val="auto"/>
          <w:szCs w:val="21"/>
          <w:highlight w:val="none"/>
        </w:rPr>
        <w:fldChar w:fldCharType="end"/>
      </w:r>
      <w:r>
        <w:rPr>
          <w:rFonts w:hint="eastAsia" w:ascii="宋体" w:hAnsi="宋体"/>
          <w:color w:val="auto"/>
          <w:szCs w:val="21"/>
          <w:highlight w:val="none"/>
        </w:rPr>
        <w:t>应对由于设计、工艺或材料的缺陷所发生的任何不足或故障负责，所需费用由</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乙方</w:t>
      </w:r>
      <w:r>
        <w:rPr>
          <w:rFonts w:hint="eastAsia" w:ascii="宋体" w:hAnsi="宋体"/>
          <w:color w:val="auto"/>
          <w:szCs w:val="21"/>
          <w:highlight w:val="none"/>
        </w:rPr>
        <w:fldChar w:fldCharType="end"/>
      </w:r>
      <w:r>
        <w:rPr>
          <w:rFonts w:hint="eastAsia" w:ascii="宋体" w:hAnsi="宋体"/>
          <w:color w:val="auto"/>
          <w:szCs w:val="21"/>
          <w:highlight w:val="none"/>
        </w:rPr>
        <w:t>承担。</w:t>
      </w:r>
    </w:p>
    <w:p>
      <w:pPr>
        <w:autoSpaceDE w:val="0"/>
        <w:autoSpaceDN w:val="0"/>
        <w:adjustRightInd w:val="0"/>
        <w:spacing w:line="460" w:lineRule="exact"/>
        <w:ind w:firstLine="420" w:firstLineChars="200"/>
        <w:jc w:val="left"/>
        <w:rPr>
          <w:rFonts w:ascii="宋体" w:hAnsi="宋体"/>
          <w:color w:val="auto"/>
          <w:szCs w:val="21"/>
          <w:highlight w:val="none"/>
        </w:rPr>
      </w:pPr>
      <w:r>
        <w:rPr>
          <w:rFonts w:hint="eastAsia" w:ascii="宋体" w:hAnsi="宋体"/>
          <w:color w:val="auto"/>
          <w:highlight w:val="none"/>
        </w:rPr>
        <w:t>3、</w:t>
      </w:r>
      <w:r>
        <w:rPr>
          <w:rFonts w:ascii="宋体" w:hAnsi="宋体"/>
          <w:color w:val="auto"/>
          <w:highlight w:val="none"/>
        </w:rPr>
        <w:t>上述的货物免费</w:t>
      </w:r>
      <w:r>
        <w:rPr>
          <w:rFonts w:hint="eastAsia" w:ascii="宋体" w:hAnsi="宋体"/>
          <w:color w:val="auto"/>
          <w:highlight w:val="none"/>
        </w:rPr>
        <w:t>质保</w:t>
      </w:r>
      <w:r>
        <w:rPr>
          <w:rFonts w:ascii="宋体" w:hAnsi="宋体"/>
          <w:color w:val="auto"/>
          <w:highlight w:val="none"/>
        </w:rPr>
        <w:t>期</w:t>
      </w:r>
      <w:r>
        <w:rPr>
          <w:rFonts w:hint="eastAsia" w:ascii="宋体" w:hAnsi="宋体"/>
          <w:color w:val="auto"/>
          <w:highlight w:val="none"/>
        </w:rPr>
        <w:t>按投标文件约定执行</w:t>
      </w:r>
      <w:r>
        <w:rPr>
          <w:rFonts w:ascii="宋体" w:hAnsi="宋体"/>
          <w:color w:val="auto"/>
          <w:highlight w:val="none"/>
        </w:rPr>
        <w:t>，</w:t>
      </w:r>
      <w:r>
        <w:rPr>
          <w:rFonts w:hint="eastAsia" w:ascii="宋体" w:hAnsi="宋体"/>
          <w:color w:val="auto"/>
          <w:highlight w:val="none"/>
        </w:rPr>
        <w:t>在完工验收合格之日起算。</w:t>
      </w:r>
    </w:p>
    <w:p>
      <w:pPr>
        <w:autoSpaceDE w:val="0"/>
        <w:autoSpaceDN w:val="0"/>
        <w:adjustRightInd w:val="0"/>
        <w:spacing w:line="460" w:lineRule="exact"/>
        <w:jc w:val="left"/>
        <w:rPr>
          <w:rFonts w:ascii="宋体" w:hAnsi="宋体"/>
          <w:color w:val="auto"/>
          <w:szCs w:val="21"/>
          <w:highlight w:val="none"/>
        </w:rPr>
      </w:pPr>
      <w:r>
        <w:rPr>
          <w:rFonts w:hint="eastAsia" w:ascii="宋体" w:hAnsi="宋体"/>
          <w:b/>
          <w:color w:val="auto"/>
          <w:kern w:val="0"/>
          <w:szCs w:val="21"/>
          <w:highlight w:val="none"/>
        </w:rPr>
        <w:t>第二条交货期和验收</w:t>
      </w:r>
      <w:r>
        <w:rPr>
          <w:rFonts w:hint="eastAsia" w:ascii="宋体" w:hAnsi="宋体"/>
          <w:b/>
          <w:color w:val="auto"/>
          <w:szCs w:val="21"/>
          <w:highlight w:val="none"/>
        </w:rPr>
        <w:br w:type="textWrapping"/>
      </w:r>
      <w:r>
        <w:rPr>
          <w:rFonts w:hint="eastAsia" w:ascii="宋体" w:hAnsi="宋体"/>
          <w:color w:val="auto"/>
          <w:szCs w:val="21"/>
          <w:highlight w:val="none"/>
        </w:rPr>
        <w:t xml:space="preserve">    1、交货期：签订合同后</w:t>
      </w:r>
      <w:r>
        <w:rPr>
          <w:rFonts w:hint="eastAsia" w:ascii="宋体" w:hAnsi="宋体"/>
          <w:color w:val="auto"/>
          <w:szCs w:val="21"/>
          <w:highlight w:val="none"/>
          <w:u w:val="single"/>
        </w:rPr>
        <w:t xml:space="preserve">       </w:t>
      </w:r>
      <w:r>
        <w:rPr>
          <w:rFonts w:hint="eastAsia" w:ascii="宋体" w:hAnsi="宋体"/>
          <w:color w:val="auto"/>
          <w:szCs w:val="21"/>
          <w:highlight w:val="none"/>
        </w:rPr>
        <w:t>天，交货地点：</w:t>
      </w:r>
      <w:r>
        <w:rPr>
          <w:rFonts w:hint="eastAsia" w:ascii="宋体" w:hAnsi="宋体"/>
          <w:color w:val="auto"/>
          <w:szCs w:val="21"/>
          <w:highlight w:val="none"/>
          <w:u w:val="single"/>
        </w:rPr>
        <w:t>由</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u w:val="single"/>
        </w:rPr>
        <w:t>甲方</w:t>
      </w:r>
      <w:r>
        <w:rPr>
          <w:rFonts w:hint="eastAsia" w:ascii="宋体" w:hAnsi="宋体"/>
          <w:color w:val="auto"/>
          <w:szCs w:val="21"/>
          <w:highlight w:val="none"/>
          <w:u w:val="single"/>
        </w:rPr>
        <w:fldChar w:fldCharType="end"/>
      </w:r>
      <w:r>
        <w:rPr>
          <w:rFonts w:hint="eastAsia" w:ascii="宋体" w:hAnsi="宋体"/>
          <w:color w:val="auto"/>
          <w:szCs w:val="21"/>
          <w:highlight w:val="none"/>
          <w:u w:val="single"/>
        </w:rPr>
        <w:t>指定</w:t>
      </w:r>
      <w:r>
        <w:rPr>
          <w:rFonts w:hint="eastAsia" w:ascii="宋体" w:hAnsi="宋体"/>
          <w:color w:val="auto"/>
          <w:szCs w:val="21"/>
          <w:highlight w:val="none"/>
        </w:rPr>
        <w:t>。</w:t>
      </w:r>
    </w:p>
    <w:p>
      <w:pPr>
        <w:autoSpaceDE w:val="0"/>
        <w:autoSpaceDN w:val="0"/>
        <w:adjustRightInd w:val="0"/>
        <w:spacing w:line="460" w:lineRule="exact"/>
        <w:jc w:val="left"/>
        <w:rPr>
          <w:rFonts w:ascii="宋体" w:hAnsi="宋体"/>
          <w:color w:val="auto"/>
          <w:highlight w:val="none"/>
        </w:rPr>
      </w:pPr>
      <w:r>
        <w:rPr>
          <w:rFonts w:hint="eastAsia" w:ascii="宋体" w:hAnsi="宋体"/>
          <w:color w:val="auto"/>
          <w:szCs w:val="21"/>
          <w:highlight w:val="none"/>
        </w:rPr>
        <w:t xml:space="preserve">    2、</w:t>
      </w:r>
      <w:r>
        <w:rPr>
          <w:rFonts w:ascii="宋体" w:hAnsi="宋体"/>
          <w:color w:val="auto"/>
          <w:highlight w:val="none"/>
        </w:rPr>
        <w:t>乙方交货前应对产品作出全面检查</w:t>
      </w:r>
      <w:r>
        <w:rPr>
          <w:rFonts w:hint="eastAsia" w:ascii="宋体" w:hAnsi="宋体"/>
          <w:color w:val="auto"/>
          <w:highlight w:val="none"/>
        </w:rPr>
        <w:t>，</w:t>
      </w:r>
      <w:r>
        <w:rPr>
          <w:rFonts w:ascii="宋体" w:hAnsi="宋体"/>
          <w:color w:val="auto"/>
          <w:highlight w:val="none"/>
        </w:rPr>
        <w:t>对验收文件进行整理，并列出清单，作为甲方收货验收和使用的技术条件依据，检验的结果应随货物交甲方。</w:t>
      </w:r>
    </w:p>
    <w:p>
      <w:pPr>
        <w:autoSpaceDE w:val="0"/>
        <w:autoSpaceDN w:val="0"/>
        <w:adjustRightInd w:val="0"/>
        <w:spacing w:line="460" w:lineRule="exact"/>
        <w:ind w:firstLine="315" w:firstLineChars="150"/>
        <w:rPr>
          <w:rFonts w:ascii="宋体" w:hAnsi="宋体"/>
          <w:b/>
          <w:color w:val="auto"/>
          <w:szCs w:val="21"/>
          <w:highlight w:val="none"/>
        </w:rPr>
      </w:pPr>
      <w:r>
        <w:rPr>
          <w:rFonts w:hint="eastAsia" w:ascii="宋体" w:hAnsi="宋体"/>
          <w:color w:val="auto"/>
          <w:szCs w:val="21"/>
          <w:highlight w:val="none"/>
        </w:rPr>
        <w:t xml:space="preserve"> 3、货物的到货验收包括：品牌、型号、规格、数量、货物包装是否完好、调试是否正常等。</w:t>
      </w:r>
      <w:r>
        <w:rPr>
          <w:rFonts w:hint="eastAsia" w:ascii="宋体" w:hAnsi="宋体"/>
          <w:color w:val="auto"/>
          <w:szCs w:val="21"/>
          <w:highlight w:val="none"/>
        </w:rPr>
        <w:br w:type="textWrapping"/>
      </w:r>
      <w:r>
        <w:rPr>
          <w:rFonts w:hint="eastAsia" w:ascii="宋体" w:hAnsi="宋体"/>
          <w:b/>
          <w:color w:val="auto"/>
          <w:kern w:val="0"/>
          <w:szCs w:val="21"/>
          <w:highlight w:val="none"/>
        </w:rPr>
        <w:t>第三条售后服务</w:t>
      </w:r>
    </w:p>
    <w:p>
      <w:pPr>
        <w:autoSpaceDE w:val="0"/>
        <w:autoSpaceDN w:val="0"/>
        <w:adjustRightInd w:val="0"/>
        <w:spacing w:line="460" w:lineRule="exact"/>
        <w:ind w:firstLine="420" w:firstLineChars="200"/>
        <w:rPr>
          <w:rFonts w:ascii="宋体" w:hAnsi="宋体"/>
          <w:color w:val="auto"/>
          <w:szCs w:val="21"/>
          <w:highlight w:val="none"/>
        </w:rPr>
      </w:pPr>
      <w:r>
        <w:rPr>
          <w:rFonts w:hint="eastAsia" w:ascii="宋体" w:hAnsi="宋体"/>
          <w:color w:val="auto"/>
          <w:highlight w:val="none"/>
        </w:rPr>
        <w:t>1、从验收合格之日起，乙方须负责对项目整体提供投标文件中约定的免费质保期限。</w:t>
      </w:r>
      <w:r>
        <w:rPr>
          <w:rFonts w:hint="eastAsia" w:ascii="宋体" w:hAnsi="宋体"/>
          <w:color w:val="auto"/>
          <w:szCs w:val="21"/>
          <w:highlight w:val="none"/>
        </w:rPr>
        <w:t>在质保期内，接到服务电话后，</w:t>
      </w:r>
      <w:r>
        <w:rPr>
          <w:rFonts w:hint="eastAsia" w:ascii="宋体" w:hAnsi="宋体"/>
          <w:color w:val="auto"/>
          <w:szCs w:val="21"/>
          <w:highlight w:val="none"/>
          <w:u w:val="single"/>
        </w:rPr>
        <w:t xml:space="preserve">     </w:t>
      </w:r>
      <w:r>
        <w:rPr>
          <w:rFonts w:hint="eastAsia" w:ascii="宋体" w:hAnsi="宋体" w:cs="宋体"/>
          <w:color w:val="auto"/>
          <w:szCs w:val="21"/>
          <w:highlight w:val="none"/>
        </w:rPr>
        <w:t>小时内作出响应，</w:t>
      </w:r>
      <w:r>
        <w:rPr>
          <w:rFonts w:hint="eastAsia" w:ascii="宋体" w:hAnsi="宋体"/>
          <w:color w:val="auto"/>
          <w:szCs w:val="21"/>
          <w:highlight w:val="none"/>
          <w:u w:val="single"/>
        </w:rPr>
        <w:t xml:space="preserve">     </w:t>
      </w:r>
      <w:r>
        <w:rPr>
          <w:rFonts w:hint="eastAsia" w:ascii="宋体" w:hAnsi="宋体"/>
          <w:color w:val="auto"/>
          <w:szCs w:val="21"/>
          <w:highlight w:val="none"/>
        </w:rPr>
        <w:t>小时内赶到现场排除故障，并承担由此发生的一切费用。</w:t>
      </w:r>
    </w:p>
    <w:p>
      <w:pPr>
        <w:autoSpaceDE w:val="0"/>
        <w:autoSpaceDN w:val="0"/>
        <w:adjustRightInd w:val="0"/>
        <w:spacing w:line="460" w:lineRule="exact"/>
        <w:ind w:firstLine="420" w:firstLineChars="200"/>
        <w:jc w:val="left"/>
        <w:rPr>
          <w:rFonts w:ascii="宋体" w:hAnsi="宋体"/>
          <w:color w:val="auto"/>
          <w:highlight w:val="none"/>
        </w:rPr>
      </w:pPr>
      <w:r>
        <w:rPr>
          <w:rFonts w:hint="eastAsia" w:ascii="宋体" w:hAnsi="宋体"/>
          <w:color w:val="auto"/>
          <w:highlight w:val="none"/>
        </w:rPr>
        <w:t>2、系统故障排除：系统故障包括设备本身物理故障、系统运行故障，当用户认为需提供现场服务时，必须及时到达用户现场，负责判断、分析故障原因，及时排除系统故障（所有因此发生的费用需在投标时予以考虑，如有无法自行解决的问题，必须向相关原厂商购买符合要求的上门服务）；如无法及时排除故障，且故障原因系本项目设备中的软、硬件引起，或原因不清的情况下，必须提交应急方案，保证设备系统正常运行，并在最短时间内解决影响系统正常运行的任何故障、隐患。包修条件不包含不可抗力（如火灾、雷击等）造成的损害。</w:t>
      </w:r>
    </w:p>
    <w:p>
      <w:pPr>
        <w:autoSpaceDE w:val="0"/>
        <w:autoSpaceDN w:val="0"/>
        <w:adjustRightInd w:val="0"/>
        <w:spacing w:line="460" w:lineRule="exact"/>
        <w:ind w:firstLine="420" w:firstLineChars="200"/>
        <w:jc w:val="left"/>
        <w:rPr>
          <w:rFonts w:ascii="宋体" w:hAnsi="宋体"/>
          <w:color w:val="auto"/>
          <w:highlight w:val="none"/>
        </w:rPr>
      </w:pPr>
      <w:r>
        <w:rPr>
          <w:rFonts w:hint="eastAsia" w:ascii="宋体" w:hAnsi="宋体"/>
          <w:color w:val="auto"/>
          <w:highlight w:val="none"/>
        </w:rPr>
        <w:t>3、维护保养：</w:t>
      </w:r>
    </w:p>
    <w:p>
      <w:pPr>
        <w:autoSpaceDE w:val="0"/>
        <w:autoSpaceDN w:val="0"/>
        <w:adjustRightInd w:val="0"/>
        <w:spacing w:line="460" w:lineRule="exact"/>
        <w:ind w:firstLine="420" w:firstLineChars="200"/>
        <w:jc w:val="left"/>
        <w:rPr>
          <w:rFonts w:ascii="宋体" w:hAnsi="宋体"/>
          <w:color w:val="auto"/>
          <w:sz w:val="28"/>
          <w:szCs w:val="28"/>
          <w:highlight w:val="none"/>
        </w:rPr>
      </w:pPr>
      <w:r>
        <w:rPr>
          <w:rFonts w:hint="eastAsia" w:ascii="宋体" w:hAnsi="宋体"/>
          <w:color w:val="auto"/>
          <w:highlight w:val="none"/>
        </w:rPr>
        <w:t>提供维护维修本地化服务，设立专职维护、维修人员或机构。货物维护保养为整体系统项目安装、调试完毕经采购人组织验收合格并正常运行</w:t>
      </w:r>
      <w:r>
        <w:rPr>
          <w:rFonts w:hint="eastAsia" w:ascii="宋体" w:hAnsi="宋体"/>
          <w:color w:val="auto"/>
          <w:highlight w:val="none"/>
          <w:u w:val="single"/>
        </w:rPr>
        <w:t xml:space="preserve">    </w:t>
      </w:r>
      <w:r>
        <w:rPr>
          <w:rFonts w:hint="eastAsia" w:ascii="宋体" w:hAnsi="宋体"/>
          <w:color w:val="auto"/>
          <w:highlight w:val="none"/>
        </w:rPr>
        <w:t>年整。</w:t>
      </w:r>
      <w:r>
        <w:rPr>
          <w:rFonts w:hint="eastAsia" w:ascii="宋体" w:hAnsi="宋体"/>
          <w:color w:val="auto"/>
          <w:szCs w:val="21"/>
          <w:highlight w:val="none"/>
        </w:rPr>
        <w:br w:type="textWrapping"/>
      </w:r>
      <w:r>
        <w:rPr>
          <w:rFonts w:hint="eastAsia" w:ascii="宋体" w:hAnsi="宋体"/>
          <w:color w:val="auto"/>
          <w:szCs w:val="21"/>
          <w:highlight w:val="none"/>
        </w:rPr>
        <w:t xml:space="preserve">    4、</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乙方</w:t>
      </w:r>
      <w:r>
        <w:rPr>
          <w:rFonts w:hint="eastAsia" w:ascii="宋体" w:hAnsi="宋体"/>
          <w:color w:val="auto"/>
          <w:szCs w:val="21"/>
          <w:highlight w:val="none"/>
        </w:rPr>
        <w:fldChar w:fldCharType="end"/>
      </w:r>
      <w:r>
        <w:rPr>
          <w:rFonts w:hint="eastAsia" w:ascii="宋体" w:hAnsi="宋体"/>
          <w:color w:val="auto"/>
          <w:szCs w:val="21"/>
          <w:highlight w:val="none"/>
        </w:rPr>
        <w:t>应按照国家有关法律法规规章和“三包”规定以及投标文件中的“服务承诺方案”提供服务。</w:t>
      </w:r>
      <w:r>
        <w:rPr>
          <w:rFonts w:hint="eastAsia" w:ascii="宋体" w:hAnsi="宋体"/>
          <w:color w:val="auto"/>
          <w:szCs w:val="21"/>
          <w:highlight w:val="none"/>
        </w:rPr>
        <w:br w:type="textWrapping"/>
      </w:r>
      <w:r>
        <w:rPr>
          <w:rFonts w:hint="eastAsia" w:ascii="宋体" w:hAnsi="宋体"/>
          <w:color w:val="auto"/>
          <w:szCs w:val="21"/>
          <w:highlight w:val="none"/>
        </w:rPr>
        <w:t xml:space="preserve">    5、除前款规定外，</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乙方</w:t>
      </w:r>
      <w:r>
        <w:rPr>
          <w:rFonts w:hint="eastAsia" w:ascii="宋体" w:hAnsi="宋体"/>
          <w:color w:val="auto"/>
          <w:szCs w:val="21"/>
          <w:highlight w:val="none"/>
        </w:rPr>
        <w:fldChar w:fldCharType="end"/>
      </w:r>
      <w:r>
        <w:rPr>
          <w:rFonts w:hint="eastAsia" w:ascii="宋体" w:hAnsi="宋体"/>
          <w:color w:val="auto"/>
          <w:szCs w:val="21"/>
          <w:highlight w:val="none"/>
        </w:rPr>
        <w:t>还应提供下列服务：</w:t>
      </w:r>
      <w:r>
        <w:rPr>
          <w:rFonts w:hint="eastAsia" w:ascii="宋体" w:hAnsi="宋体"/>
          <w:color w:val="auto"/>
          <w:szCs w:val="21"/>
          <w:highlight w:val="none"/>
        </w:rPr>
        <w:br w:type="textWrapping"/>
      </w:r>
      <w:r>
        <w:rPr>
          <w:rFonts w:hint="eastAsia" w:ascii="宋体" w:hAnsi="宋体"/>
          <w:color w:val="auto"/>
          <w:szCs w:val="21"/>
          <w:highlight w:val="none"/>
        </w:rPr>
        <w:t xml:space="preserve">   （1）货物的现场安装、调试；</w:t>
      </w:r>
      <w:r>
        <w:rPr>
          <w:rFonts w:hint="eastAsia" w:ascii="宋体" w:hAnsi="宋体"/>
          <w:color w:val="auto"/>
          <w:szCs w:val="21"/>
          <w:highlight w:val="none"/>
        </w:rPr>
        <w:br w:type="textWrapping"/>
      </w:r>
      <w:r>
        <w:rPr>
          <w:rFonts w:hint="eastAsia" w:ascii="宋体" w:hAnsi="宋体"/>
          <w:color w:val="auto"/>
          <w:szCs w:val="21"/>
          <w:highlight w:val="none"/>
        </w:rPr>
        <w:t xml:space="preserve">   （2）就货物的安装、启动、运行及维护等对</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甲方</w:t>
      </w:r>
      <w:r>
        <w:rPr>
          <w:rFonts w:hint="eastAsia" w:ascii="宋体" w:hAnsi="宋体"/>
          <w:color w:val="auto"/>
          <w:szCs w:val="21"/>
          <w:highlight w:val="none"/>
        </w:rPr>
        <w:fldChar w:fldCharType="end"/>
      </w:r>
      <w:r>
        <w:rPr>
          <w:rFonts w:hint="eastAsia" w:ascii="宋体" w:hAnsi="宋体"/>
          <w:color w:val="auto"/>
          <w:szCs w:val="21"/>
          <w:highlight w:val="none"/>
        </w:rPr>
        <w:t>人员进行免费培训。</w:t>
      </w:r>
      <w:r>
        <w:rPr>
          <w:rFonts w:hint="eastAsia" w:ascii="宋体" w:hAnsi="宋体"/>
          <w:color w:val="auto"/>
          <w:szCs w:val="21"/>
          <w:highlight w:val="none"/>
        </w:rPr>
        <w:br w:type="textWrapping"/>
      </w:r>
      <w:r>
        <w:rPr>
          <w:rFonts w:hint="eastAsia" w:ascii="宋体" w:hAnsi="宋体"/>
          <w:color w:val="auto"/>
          <w:szCs w:val="21"/>
          <w:highlight w:val="none"/>
        </w:rPr>
        <w:t xml:space="preserve">   （3）保修期内，</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乙方</w:t>
      </w:r>
      <w:r>
        <w:rPr>
          <w:rFonts w:hint="eastAsia" w:ascii="宋体" w:hAnsi="宋体"/>
          <w:color w:val="auto"/>
          <w:szCs w:val="21"/>
          <w:highlight w:val="none"/>
        </w:rPr>
        <w:fldChar w:fldCharType="end"/>
      </w:r>
      <w:r>
        <w:rPr>
          <w:rFonts w:hint="eastAsia" w:ascii="宋体" w:hAnsi="宋体"/>
          <w:color w:val="auto"/>
          <w:szCs w:val="21"/>
          <w:highlight w:val="none"/>
        </w:rPr>
        <w:t>负责对其提供的货物进行维修和系统维护，不再收取任何费用（易损件除外），但不可抗力（如火灾、雷击等）造成的故障除外。</w:t>
      </w:r>
      <w:r>
        <w:rPr>
          <w:rFonts w:hint="eastAsia" w:ascii="宋体" w:hAnsi="宋体"/>
          <w:color w:val="auto"/>
          <w:szCs w:val="21"/>
          <w:highlight w:val="none"/>
        </w:rPr>
        <w:br w:type="textWrapping"/>
      </w:r>
      <w:r>
        <w:rPr>
          <w:rFonts w:hint="eastAsia" w:ascii="宋体" w:hAnsi="宋体"/>
          <w:color w:val="auto"/>
          <w:szCs w:val="21"/>
          <w:highlight w:val="none"/>
        </w:rPr>
        <w:t xml:space="preserve">   （4）所有货物保修服务方式均为</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乙方</w:t>
      </w:r>
      <w:r>
        <w:rPr>
          <w:rFonts w:hint="eastAsia" w:ascii="宋体" w:hAnsi="宋体"/>
          <w:color w:val="auto"/>
          <w:szCs w:val="21"/>
          <w:highlight w:val="none"/>
        </w:rPr>
        <w:fldChar w:fldCharType="end"/>
      </w:r>
      <w:r>
        <w:rPr>
          <w:rFonts w:hint="eastAsia" w:ascii="宋体" w:hAnsi="宋体"/>
          <w:color w:val="auto"/>
          <w:szCs w:val="21"/>
          <w:highlight w:val="none"/>
        </w:rPr>
        <w:t>上门保修，即由</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乙方</w:t>
      </w:r>
      <w:r>
        <w:rPr>
          <w:rFonts w:hint="eastAsia" w:ascii="宋体" w:hAnsi="宋体"/>
          <w:color w:val="auto"/>
          <w:szCs w:val="21"/>
          <w:highlight w:val="none"/>
        </w:rPr>
        <w:fldChar w:fldCharType="end"/>
      </w:r>
      <w:r>
        <w:rPr>
          <w:rFonts w:hint="eastAsia" w:ascii="宋体" w:hAnsi="宋体"/>
          <w:color w:val="auto"/>
          <w:szCs w:val="21"/>
          <w:highlight w:val="none"/>
        </w:rPr>
        <w:t>派员到货物使用现场维修，由此产生的一切费用均由</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乙方</w:t>
      </w:r>
      <w:r>
        <w:rPr>
          <w:rFonts w:hint="eastAsia" w:ascii="宋体" w:hAnsi="宋体"/>
          <w:color w:val="auto"/>
          <w:szCs w:val="21"/>
          <w:highlight w:val="none"/>
        </w:rPr>
        <w:fldChar w:fldCharType="end"/>
      </w:r>
      <w:r>
        <w:rPr>
          <w:rFonts w:hint="eastAsia" w:ascii="宋体" w:hAnsi="宋体"/>
          <w:color w:val="auto"/>
          <w:szCs w:val="21"/>
          <w:highlight w:val="none"/>
        </w:rPr>
        <w:t>承担。</w:t>
      </w:r>
      <w:r>
        <w:rPr>
          <w:rFonts w:hint="eastAsia" w:ascii="宋体" w:hAnsi="宋体"/>
          <w:color w:val="auto"/>
          <w:szCs w:val="21"/>
          <w:highlight w:val="none"/>
        </w:rPr>
        <w:br w:type="textWrapping"/>
      </w:r>
      <w:r>
        <w:rPr>
          <w:rFonts w:hint="eastAsia" w:ascii="宋体" w:hAnsi="宋体"/>
          <w:color w:val="auto"/>
          <w:szCs w:val="21"/>
          <w:highlight w:val="none"/>
        </w:rPr>
        <w:t xml:space="preserve">   （5）保修期后的货物维护由双方协商再定。</w:t>
      </w:r>
    </w:p>
    <w:p>
      <w:pPr>
        <w:spacing w:line="460" w:lineRule="exact"/>
        <w:jc w:val="left"/>
        <w:rPr>
          <w:rFonts w:ascii="宋体" w:hAnsi="宋体"/>
          <w:b/>
          <w:color w:val="auto"/>
          <w:kern w:val="0"/>
          <w:szCs w:val="21"/>
          <w:highlight w:val="none"/>
        </w:rPr>
      </w:pPr>
      <w:r>
        <w:rPr>
          <w:rFonts w:hint="eastAsia" w:ascii="宋体" w:hAnsi="宋体"/>
          <w:b/>
          <w:color w:val="auto"/>
          <w:kern w:val="0"/>
          <w:szCs w:val="21"/>
          <w:highlight w:val="none"/>
        </w:rPr>
        <w:t>第四条  安装调试</w:t>
      </w:r>
    </w:p>
    <w:p>
      <w:pPr>
        <w:spacing w:line="460" w:lineRule="exact"/>
        <w:ind w:firstLine="315" w:firstLineChars="150"/>
        <w:jc w:val="left"/>
        <w:rPr>
          <w:rFonts w:ascii="宋体" w:hAnsi="宋体"/>
          <w:color w:val="auto"/>
          <w:szCs w:val="21"/>
          <w:highlight w:val="none"/>
        </w:rPr>
      </w:pPr>
      <w:r>
        <w:rPr>
          <w:rFonts w:hint="eastAsia" w:ascii="宋体" w:hAnsi="宋体"/>
          <w:color w:val="auto"/>
          <w:szCs w:val="21"/>
          <w:highlight w:val="none"/>
        </w:rPr>
        <w:t>1、乙方负责系统安装、调试、试运行等全过程的工作。</w:t>
      </w:r>
    </w:p>
    <w:p>
      <w:pPr>
        <w:spacing w:line="460" w:lineRule="exact"/>
        <w:ind w:firstLine="315" w:firstLineChars="150"/>
        <w:jc w:val="left"/>
        <w:rPr>
          <w:rFonts w:ascii="宋体" w:hAnsi="宋体"/>
          <w:color w:val="auto"/>
          <w:szCs w:val="21"/>
          <w:highlight w:val="none"/>
        </w:rPr>
      </w:pPr>
      <w:r>
        <w:rPr>
          <w:rFonts w:hint="eastAsia" w:ascii="宋体" w:hAnsi="宋体"/>
          <w:color w:val="auto"/>
          <w:szCs w:val="21"/>
          <w:highlight w:val="none"/>
        </w:rPr>
        <w:t>2、乙方应提供安装计划给甲方认可。安装时乙方由专人负责安装、调试及运行工作，以检测其运行效果等，并提供所有测试和调试所需的工具、材料、仪器和劳务人员，直到保证正常稳定运行。安装结束前，乙方应提交测试和调试方法及记录表格给甲方。</w:t>
      </w:r>
    </w:p>
    <w:p>
      <w:pPr>
        <w:autoSpaceDE w:val="0"/>
        <w:autoSpaceDN w:val="0"/>
        <w:adjustRightInd w:val="0"/>
        <w:spacing w:line="460" w:lineRule="exact"/>
        <w:ind w:firstLine="315" w:firstLineChars="150"/>
        <w:rPr>
          <w:rFonts w:ascii="宋体" w:hAnsi="宋体"/>
          <w:color w:val="auto"/>
          <w:highlight w:val="none"/>
        </w:rPr>
      </w:pPr>
      <w:r>
        <w:rPr>
          <w:rFonts w:hint="eastAsia" w:ascii="宋体" w:hAnsi="宋体"/>
          <w:color w:val="auto"/>
          <w:szCs w:val="21"/>
          <w:highlight w:val="none"/>
        </w:rPr>
        <w:t>3、软硬件试运行应在甲方的监督下进行，此类监督不免除乙方应承担的相关责任。</w:t>
      </w:r>
      <w:r>
        <w:rPr>
          <w:rFonts w:ascii="宋体" w:hAnsi="宋体"/>
          <w:color w:val="auto"/>
          <w:highlight w:val="none"/>
        </w:rPr>
        <w:t>对技术复杂的货物，甲方应请国家认可的专业检测机构参与初步验收及最终验收，并由其出具质量检测报告</w:t>
      </w:r>
      <w:r>
        <w:rPr>
          <w:rFonts w:hint="eastAsia" w:ascii="宋体" w:hAnsi="宋体"/>
          <w:color w:val="auto"/>
          <w:highlight w:val="none"/>
        </w:rPr>
        <w:t>，</w:t>
      </w:r>
      <w:r>
        <w:rPr>
          <w:rFonts w:ascii="宋体" w:hAnsi="宋体"/>
          <w:color w:val="auto"/>
          <w:highlight w:val="none"/>
        </w:rPr>
        <w:t>验收费用由乙方负责。</w:t>
      </w:r>
    </w:p>
    <w:p>
      <w:pPr>
        <w:autoSpaceDE w:val="0"/>
        <w:autoSpaceDN w:val="0"/>
        <w:adjustRightInd w:val="0"/>
        <w:spacing w:line="400" w:lineRule="exact"/>
        <w:ind w:firstLine="420" w:firstLineChars="200"/>
        <w:rPr>
          <w:rFonts w:ascii="宋体" w:hAnsi="宋体"/>
          <w:b/>
          <w:color w:val="auto"/>
          <w:kern w:val="0"/>
          <w:szCs w:val="21"/>
          <w:highlight w:val="none"/>
        </w:rPr>
      </w:pPr>
      <w:r>
        <w:rPr>
          <w:rFonts w:hint="eastAsia" w:ascii="宋体" w:hAnsi="宋体"/>
          <w:color w:val="auto"/>
          <w:highlight w:val="none"/>
        </w:rPr>
        <w:t>4、验收完毕</w:t>
      </w:r>
      <w:r>
        <w:rPr>
          <w:rFonts w:ascii="宋体" w:hAnsi="宋体"/>
          <w:color w:val="auto"/>
          <w:highlight w:val="none"/>
        </w:rPr>
        <w:t>乙方</w:t>
      </w:r>
      <w:r>
        <w:rPr>
          <w:rFonts w:hint="eastAsia" w:ascii="宋体" w:hAnsi="宋体"/>
          <w:color w:val="auto"/>
          <w:highlight w:val="none"/>
        </w:rPr>
        <w:t>应出具验收</w:t>
      </w:r>
      <w:r>
        <w:rPr>
          <w:rFonts w:ascii="宋体" w:hAnsi="宋体"/>
          <w:color w:val="auto"/>
          <w:highlight w:val="none"/>
        </w:rPr>
        <w:t>结果</w:t>
      </w:r>
      <w:r>
        <w:rPr>
          <w:rFonts w:hint="eastAsia" w:ascii="宋体" w:hAnsi="宋体"/>
          <w:color w:val="auto"/>
          <w:highlight w:val="none"/>
        </w:rPr>
        <w:t>报告，</w:t>
      </w:r>
      <w:r>
        <w:rPr>
          <w:rFonts w:ascii="宋体" w:hAnsi="宋体"/>
          <w:color w:val="auto"/>
          <w:highlight w:val="none"/>
        </w:rPr>
        <w:t>符合要求的给予签收，验收不合格的不予签收。</w:t>
      </w:r>
      <w:r>
        <w:rPr>
          <w:rFonts w:hint="eastAsia" w:ascii="宋体" w:hAnsi="宋体"/>
          <w:color w:val="auto"/>
          <w:highlight w:val="none"/>
        </w:rPr>
        <w:br w:type="textWrapping"/>
      </w:r>
      <w:r>
        <w:rPr>
          <w:rFonts w:hint="eastAsia" w:ascii="宋体" w:hAnsi="宋体"/>
          <w:b/>
          <w:color w:val="auto"/>
          <w:kern w:val="0"/>
          <w:szCs w:val="21"/>
          <w:highlight w:val="none"/>
        </w:rPr>
        <w:t>第五条 履约保证金</w:t>
      </w:r>
    </w:p>
    <w:p>
      <w:pPr>
        <w:autoSpaceDE w:val="0"/>
        <w:autoSpaceDN w:val="0"/>
        <w:adjustRightInd w:val="0"/>
        <w:spacing w:line="400" w:lineRule="exact"/>
        <w:ind w:firstLine="420" w:firstLineChars="200"/>
        <w:rPr>
          <w:rFonts w:hint="default" w:ascii="宋体" w:hAnsi="宋体" w:eastAsia="宋体"/>
          <w:color w:val="auto"/>
          <w:highlight w:val="none"/>
          <w:lang w:val="en-US" w:eastAsia="zh-CN"/>
        </w:rPr>
      </w:pPr>
      <w:r>
        <w:rPr>
          <w:rFonts w:hint="eastAsia" w:ascii="宋体" w:hAnsi="宋体"/>
          <w:color w:val="auto"/>
          <w:highlight w:val="none"/>
          <w:lang w:val="en-US" w:eastAsia="zh-CN"/>
        </w:rPr>
        <w:t>无。</w:t>
      </w:r>
    </w:p>
    <w:p>
      <w:pPr>
        <w:spacing w:line="460" w:lineRule="exact"/>
        <w:jc w:val="left"/>
        <w:rPr>
          <w:rFonts w:ascii="宋体" w:hAnsi="宋体"/>
          <w:color w:val="auto"/>
          <w:szCs w:val="21"/>
          <w:highlight w:val="none"/>
          <w:u w:val="single"/>
        </w:rPr>
      </w:pPr>
      <w:r>
        <w:rPr>
          <w:rFonts w:hint="eastAsia" w:ascii="宋体" w:hAnsi="宋体"/>
          <w:b/>
          <w:color w:val="auto"/>
          <w:kern w:val="0"/>
          <w:szCs w:val="21"/>
          <w:highlight w:val="none"/>
        </w:rPr>
        <w:t>第六条货款支付</w:t>
      </w:r>
    </w:p>
    <w:p>
      <w:pPr>
        <w:autoSpaceDE w:val="0"/>
        <w:autoSpaceDN w:val="0"/>
        <w:adjustRightInd w:val="0"/>
        <w:spacing w:line="400" w:lineRule="exact"/>
        <w:ind w:firstLine="420" w:firstLineChars="200"/>
        <w:rPr>
          <w:rFonts w:hAnsi="宋体"/>
          <w:color w:val="auto"/>
          <w:szCs w:val="28"/>
          <w:highlight w:val="none"/>
        </w:rPr>
      </w:pPr>
      <w:r>
        <w:rPr>
          <w:rFonts w:hint="eastAsia" w:hAnsi="宋体"/>
          <w:color w:val="auto"/>
          <w:szCs w:val="28"/>
          <w:highlight w:val="none"/>
        </w:rPr>
        <w:t>1、</w:t>
      </w:r>
      <w:r>
        <w:rPr>
          <w:rFonts w:hAnsi="宋体"/>
          <w:color w:val="auto"/>
          <w:szCs w:val="28"/>
          <w:highlight w:val="none"/>
        </w:rPr>
        <w:t>货款</w:t>
      </w:r>
      <w:r>
        <w:rPr>
          <w:rFonts w:hint="eastAsia" w:hAnsi="宋体"/>
          <w:color w:val="auto"/>
          <w:szCs w:val="28"/>
          <w:highlight w:val="none"/>
        </w:rPr>
        <w:t>的</w:t>
      </w:r>
      <w:r>
        <w:rPr>
          <w:rFonts w:hAnsi="宋体"/>
          <w:color w:val="auto"/>
          <w:szCs w:val="28"/>
          <w:highlight w:val="none"/>
        </w:rPr>
        <w:t>支付</w:t>
      </w:r>
      <w:r>
        <w:rPr>
          <w:rFonts w:hint="eastAsia" w:hAnsi="宋体"/>
          <w:color w:val="auto"/>
          <w:szCs w:val="28"/>
          <w:highlight w:val="none"/>
        </w:rPr>
        <w:t>：</w:t>
      </w:r>
    </w:p>
    <w:p>
      <w:pPr>
        <w:autoSpaceDE w:val="0"/>
        <w:autoSpaceDN w:val="0"/>
        <w:adjustRightInd w:val="0"/>
        <w:spacing w:line="400" w:lineRule="exact"/>
        <w:ind w:firstLine="420" w:firstLineChars="200"/>
        <w:rPr>
          <w:rFonts w:hAnsi="宋体"/>
          <w:color w:val="auto"/>
          <w:szCs w:val="28"/>
          <w:highlight w:val="none"/>
          <w:u w:val="single"/>
        </w:rPr>
      </w:pPr>
      <w:r>
        <w:rPr>
          <w:rFonts w:hint="eastAsia" w:hAnsi="宋体"/>
          <w:color w:val="auto"/>
          <w:szCs w:val="28"/>
          <w:highlight w:val="none"/>
          <w:u w:val="single"/>
        </w:rPr>
        <w:t xml:space="preserve">              </w:t>
      </w:r>
      <w:r>
        <w:rPr>
          <w:rFonts w:hint="eastAsia" w:hAnsi="宋体"/>
          <w:color w:val="auto"/>
          <w:szCs w:val="28"/>
          <w:highlight w:val="none"/>
        </w:rPr>
        <w:t>，支付合同款的</w:t>
      </w:r>
      <w:r>
        <w:rPr>
          <w:rFonts w:hint="eastAsia" w:hAnsi="宋体"/>
          <w:color w:val="auto"/>
          <w:szCs w:val="28"/>
          <w:highlight w:val="none"/>
          <w:u w:val="single"/>
        </w:rPr>
        <w:t xml:space="preserve">       </w:t>
      </w:r>
      <w:r>
        <w:rPr>
          <w:rFonts w:hint="eastAsia" w:hAnsi="宋体"/>
          <w:color w:val="auto"/>
          <w:szCs w:val="28"/>
          <w:highlight w:val="none"/>
        </w:rPr>
        <w:t xml:space="preserve"> %，即</w:t>
      </w:r>
      <w:r>
        <w:rPr>
          <w:rFonts w:hint="eastAsia" w:ascii="宋体" w:hAnsi="宋体"/>
          <w:color w:val="auto"/>
          <w:szCs w:val="28"/>
          <w:highlight w:val="none"/>
          <w:u w:val="single"/>
        </w:rPr>
        <w:t>￥</w:t>
      </w:r>
      <w:r>
        <w:rPr>
          <w:rFonts w:hint="eastAsia" w:hAnsi="宋体"/>
          <w:color w:val="auto"/>
          <w:szCs w:val="28"/>
          <w:highlight w:val="none"/>
          <w:u w:val="single"/>
        </w:rPr>
        <w:t>：        ;</w:t>
      </w:r>
    </w:p>
    <w:p>
      <w:pPr>
        <w:autoSpaceDE w:val="0"/>
        <w:autoSpaceDN w:val="0"/>
        <w:adjustRightInd w:val="0"/>
        <w:spacing w:line="400" w:lineRule="exact"/>
        <w:ind w:firstLine="420" w:firstLineChars="200"/>
        <w:rPr>
          <w:rFonts w:hAnsi="宋体"/>
          <w:color w:val="auto"/>
          <w:szCs w:val="28"/>
          <w:highlight w:val="none"/>
          <w:u w:val="single"/>
        </w:rPr>
      </w:pPr>
      <w:r>
        <w:rPr>
          <w:rFonts w:hint="eastAsia" w:hAnsi="宋体"/>
          <w:color w:val="auto"/>
          <w:szCs w:val="28"/>
          <w:highlight w:val="none"/>
          <w:u w:val="single"/>
        </w:rPr>
        <w:t xml:space="preserve">              </w:t>
      </w:r>
      <w:r>
        <w:rPr>
          <w:rFonts w:hint="eastAsia" w:hAnsi="宋体"/>
          <w:color w:val="auto"/>
          <w:szCs w:val="28"/>
          <w:highlight w:val="none"/>
        </w:rPr>
        <w:t>，支付合同款的</w:t>
      </w:r>
      <w:r>
        <w:rPr>
          <w:rFonts w:hint="eastAsia" w:hAnsi="宋体"/>
          <w:color w:val="auto"/>
          <w:szCs w:val="28"/>
          <w:highlight w:val="none"/>
          <w:u w:val="single"/>
        </w:rPr>
        <w:t xml:space="preserve">       </w:t>
      </w:r>
      <w:r>
        <w:rPr>
          <w:rFonts w:hint="eastAsia" w:hAnsi="宋体"/>
          <w:color w:val="auto"/>
          <w:szCs w:val="28"/>
          <w:highlight w:val="none"/>
        </w:rPr>
        <w:t xml:space="preserve"> %，即</w:t>
      </w:r>
      <w:r>
        <w:rPr>
          <w:rFonts w:hint="eastAsia" w:ascii="宋体" w:hAnsi="宋体"/>
          <w:color w:val="auto"/>
          <w:szCs w:val="28"/>
          <w:highlight w:val="none"/>
          <w:u w:val="single"/>
        </w:rPr>
        <w:t>￥</w:t>
      </w:r>
      <w:r>
        <w:rPr>
          <w:rFonts w:hint="eastAsia" w:hAnsi="宋体"/>
          <w:color w:val="auto"/>
          <w:szCs w:val="28"/>
          <w:highlight w:val="none"/>
          <w:u w:val="single"/>
        </w:rPr>
        <w:t>：        ;</w:t>
      </w:r>
    </w:p>
    <w:p>
      <w:pPr>
        <w:autoSpaceDE w:val="0"/>
        <w:autoSpaceDN w:val="0"/>
        <w:adjustRightInd w:val="0"/>
        <w:spacing w:line="400" w:lineRule="exact"/>
        <w:ind w:firstLine="420" w:firstLineChars="200"/>
        <w:rPr>
          <w:rFonts w:hAnsi="宋体"/>
          <w:color w:val="auto"/>
          <w:szCs w:val="28"/>
          <w:highlight w:val="none"/>
        </w:rPr>
      </w:pPr>
      <w:r>
        <w:rPr>
          <w:rFonts w:hint="eastAsia" w:hAnsi="宋体"/>
          <w:color w:val="auto"/>
          <w:szCs w:val="28"/>
          <w:highlight w:val="none"/>
        </w:rPr>
        <w:t>2、</w:t>
      </w:r>
      <w:r>
        <w:rPr>
          <w:rFonts w:hAnsi="宋体"/>
          <w:color w:val="auto"/>
          <w:szCs w:val="28"/>
          <w:highlight w:val="none"/>
        </w:rPr>
        <w:t>当采购数量与实际使用数量不一致时，</w:t>
      </w:r>
      <w:r>
        <w:rPr>
          <w:rFonts w:hint="eastAsia" w:hAnsi="宋体"/>
          <w:color w:val="auto"/>
          <w:szCs w:val="28"/>
          <w:highlight w:val="none"/>
        </w:rPr>
        <w:t>乙方</w:t>
      </w:r>
      <w:r>
        <w:rPr>
          <w:rFonts w:hAnsi="宋体"/>
          <w:color w:val="auto"/>
          <w:szCs w:val="28"/>
          <w:highlight w:val="none"/>
        </w:rPr>
        <w:t>应根据实际使用量供货，合同的最终结算金额按实际使用量乘以成交单价计</w:t>
      </w:r>
      <w:r>
        <w:rPr>
          <w:rFonts w:hint="eastAsia" w:hAnsi="宋体"/>
          <w:color w:val="auto"/>
          <w:szCs w:val="28"/>
          <w:highlight w:val="none"/>
        </w:rPr>
        <w:t>算确定。</w:t>
      </w:r>
    </w:p>
    <w:p>
      <w:pPr>
        <w:spacing w:line="460" w:lineRule="exact"/>
        <w:jc w:val="left"/>
        <w:rPr>
          <w:rFonts w:ascii="宋体" w:hAnsi="宋体"/>
          <w:color w:val="auto"/>
          <w:szCs w:val="21"/>
          <w:highlight w:val="none"/>
        </w:rPr>
      </w:pPr>
      <w:r>
        <w:rPr>
          <w:rFonts w:hint="eastAsia" w:ascii="宋体" w:hAnsi="宋体"/>
          <w:b/>
          <w:color w:val="auto"/>
          <w:kern w:val="0"/>
          <w:szCs w:val="21"/>
          <w:highlight w:val="none"/>
        </w:rPr>
        <w:t>第七条违约责任</w:t>
      </w:r>
      <w:r>
        <w:rPr>
          <w:rFonts w:hint="eastAsia" w:ascii="宋体" w:hAnsi="宋体"/>
          <w:color w:val="auto"/>
          <w:szCs w:val="21"/>
          <w:highlight w:val="none"/>
        </w:rPr>
        <w:br w:type="textWrapping"/>
      </w:r>
      <w:r>
        <w:rPr>
          <w:rFonts w:hint="eastAsia" w:ascii="宋体" w:hAnsi="宋体"/>
          <w:color w:val="auto"/>
          <w:szCs w:val="21"/>
          <w:highlight w:val="none"/>
        </w:rPr>
        <w:t>    1、</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甲方</w:t>
      </w:r>
      <w:r>
        <w:rPr>
          <w:rFonts w:hint="eastAsia" w:ascii="宋体" w:hAnsi="宋体"/>
          <w:color w:val="auto"/>
          <w:szCs w:val="21"/>
          <w:highlight w:val="none"/>
        </w:rPr>
        <w:fldChar w:fldCharType="end"/>
      </w:r>
      <w:r>
        <w:rPr>
          <w:rFonts w:hint="eastAsia" w:ascii="宋体" w:hAnsi="宋体"/>
          <w:color w:val="auto"/>
          <w:szCs w:val="21"/>
          <w:highlight w:val="none"/>
        </w:rPr>
        <w:t>无正当理由拒付设备款的，</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甲</w:t>
      </w:r>
      <w:bookmarkStart w:id="67" w:name="_Hlt205712048"/>
      <w:bookmarkStart w:id="68" w:name="_Hlt205712047"/>
      <w:r>
        <w:rPr>
          <w:rFonts w:hint="eastAsia" w:ascii="宋体" w:hAnsi="宋体"/>
          <w:color w:val="auto"/>
          <w:szCs w:val="21"/>
          <w:highlight w:val="none"/>
        </w:rPr>
        <w:t>方</w:t>
      </w:r>
      <w:bookmarkEnd w:id="67"/>
      <w:bookmarkEnd w:id="68"/>
      <w:r>
        <w:rPr>
          <w:rFonts w:hint="eastAsia" w:ascii="宋体" w:hAnsi="宋体"/>
          <w:color w:val="auto"/>
          <w:szCs w:val="21"/>
          <w:highlight w:val="none"/>
        </w:rPr>
        <w:fldChar w:fldCharType="end"/>
      </w:r>
      <w:r>
        <w:rPr>
          <w:rFonts w:hint="eastAsia" w:ascii="宋体" w:hAnsi="宋体"/>
          <w:color w:val="auto"/>
          <w:szCs w:val="21"/>
          <w:highlight w:val="none"/>
        </w:rPr>
        <w:t>向</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乙方</w:t>
      </w:r>
      <w:r>
        <w:rPr>
          <w:rFonts w:hint="eastAsia" w:ascii="宋体" w:hAnsi="宋体"/>
          <w:color w:val="auto"/>
          <w:szCs w:val="21"/>
          <w:highlight w:val="none"/>
        </w:rPr>
        <w:fldChar w:fldCharType="end"/>
      </w:r>
      <w:r>
        <w:rPr>
          <w:rFonts w:hint="eastAsia" w:ascii="宋体" w:hAnsi="宋体"/>
          <w:color w:val="auto"/>
          <w:szCs w:val="21"/>
          <w:highlight w:val="none"/>
        </w:rPr>
        <w:t>赔偿合同总额5％的违约金。</w:t>
      </w:r>
      <w:r>
        <w:rPr>
          <w:rFonts w:hint="eastAsia" w:ascii="宋体" w:hAnsi="宋体"/>
          <w:color w:val="auto"/>
          <w:szCs w:val="21"/>
          <w:highlight w:val="none"/>
        </w:rPr>
        <w:br w:type="textWrapping"/>
      </w:r>
      <w:r>
        <w:rPr>
          <w:rFonts w:hint="eastAsia" w:ascii="宋体" w:hAnsi="宋体"/>
          <w:color w:val="auto"/>
          <w:szCs w:val="21"/>
          <w:highlight w:val="none"/>
        </w:rPr>
        <w:t>    2、</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乙方</w:t>
      </w:r>
      <w:r>
        <w:rPr>
          <w:rFonts w:hint="eastAsia" w:ascii="宋体" w:hAnsi="宋体"/>
          <w:color w:val="auto"/>
          <w:szCs w:val="21"/>
          <w:highlight w:val="none"/>
        </w:rPr>
        <w:fldChar w:fldCharType="end"/>
      </w:r>
      <w:r>
        <w:rPr>
          <w:rFonts w:hint="eastAsia" w:ascii="宋体" w:hAnsi="宋体"/>
          <w:color w:val="auto"/>
          <w:szCs w:val="21"/>
          <w:highlight w:val="none"/>
        </w:rPr>
        <w:t>所交的设备品种、型号、规格、质量不符合合同规定标准，</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甲方</w:t>
      </w:r>
      <w:r>
        <w:rPr>
          <w:rFonts w:hint="eastAsia" w:ascii="宋体" w:hAnsi="宋体"/>
          <w:color w:val="auto"/>
          <w:szCs w:val="21"/>
          <w:highlight w:val="none"/>
        </w:rPr>
        <w:fldChar w:fldCharType="end"/>
      </w:r>
      <w:r>
        <w:rPr>
          <w:rFonts w:hint="eastAsia" w:ascii="宋体" w:hAnsi="宋体"/>
          <w:color w:val="auto"/>
          <w:szCs w:val="21"/>
          <w:highlight w:val="none"/>
        </w:rPr>
        <w:t>有权拒收。造成</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甲方</w:t>
      </w:r>
      <w:r>
        <w:rPr>
          <w:rFonts w:hint="eastAsia" w:ascii="宋体" w:hAnsi="宋体"/>
          <w:color w:val="auto"/>
          <w:szCs w:val="21"/>
          <w:highlight w:val="none"/>
        </w:rPr>
        <w:fldChar w:fldCharType="end"/>
      </w:r>
      <w:r>
        <w:rPr>
          <w:rFonts w:hint="eastAsia" w:ascii="宋体" w:hAnsi="宋体"/>
          <w:color w:val="auto"/>
          <w:szCs w:val="21"/>
          <w:highlight w:val="none"/>
        </w:rPr>
        <w:t>损失的，由</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乙方</w:t>
      </w:r>
      <w:r>
        <w:rPr>
          <w:rFonts w:hint="eastAsia" w:ascii="宋体" w:hAnsi="宋体"/>
          <w:color w:val="auto"/>
          <w:szCs w:val="21"/>
          <w:highlight w:val="none"/>
        </w:rPr>
        <w:fldChar w:fldCharType="end"/>
      </w:r>
      <w:r>
        <w:rPr>
          <w:rFonts w:hint="eastAsia" w:ascii="宋体" w:hAnsi="宋体"/>
          <w:color w:val="auto"/>
          <w:szCs w:val="21"/>
          <w:highlight w:val="none"/>
        </w:rPr>
        <w:t>负责赔偿。</w:t>
      </w:r>
      <w:r>
        <w:rPr>
          <w:rFonts w:hint="eastAsia" w:ascii="宋体" w:hAnsi="宋体"/>
          <w:color w:val="auto"/>
          <w:szCs w:val="21"/>
          <w:highlight w:val="none"/>
        </w:rPr>
        <w:br w:type="textWrapping"/>
      </w:r>
      <w:r>
        <w:rPr>
          <w:rFonts w:hint="eastAsia" w:ascii="宋体" w:hAnsi="宋体"/>
          <w:color w:val="auto"/>
          <w:szCs w:val="21"/>
          <w:highlight w:val="none"/>
        </w:rPr>
        <w:t>    3、</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乙方</w:t>
      </w:r>
      <w:r>
        <w:rPr>
          <w:rFonts w:hint="eastAsia" w:ascii="宋体" w:hAnsi="宋体"/>
          <w:color w:val="auto"/>
          <w:szCs w:val="21"/>
          <w:highlight w:val="none"/>
        </w:rPr>
        <w:fldChar w:fldCharType="end"/>
      </w:r>
      <w:r>
        <w:rPr>
          <w:rFonts w:hint="eastAsia" w:ascii="宋体" w:hAnsi="宋体"/>
          <w:color w:val="auto"/>
          <w:szCs w:val="21"/>
          <w:highlight w:val="none"/>
        </w:rPr>
        <w:t>不能按期交付全部设备时，</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乙方</w:t>
      </w:r>
      <w:r>
        <w:rPr>
          <w:rFonts w:hint="eastAsia" w:ascii="宋体" w:hAnsi="宋体"/>
          <w:color w:val="auto"/>
          <w:szCs w:val="21"/>
          <w:highlight w:val="none"/>
        </w:rPr>
        <w:fldChar w:fldCharType="end"/>
      </w:r>
      <w:r>
        <w:rPr>
          <w:rFonts w:hint="eastAsia" w:ascii="宋体" w:hAnsi="宋体"/>
          <w:color w:val="auto"/>
          <w:szCs w:val="21"/>
          <w:highlight w:val="none"/>
        </w:rPr>
        <w:t>向</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甲方</w:t>
      </w:r>
      <w:r>
        <w:rPr>
          <w:rFonts w:hint="eastAsia" w:ascii="宋体" w:hAnsi="宋体"/>
          <w:color w:val="auto"/>
          <w:szCs w:val="21"/>
          <w:highlight w:val="none"/>
        </w:rPr>
        <w:fldChar w:fldCharType="end"/>
      </w:r>
      <w:r>
        <w:rPr>
          <w:rFonts w:hint="eastAsia" w:ascii="宋体" w:hAnsi="宋体"/>
          <w:color w:val="auto"/>
          <w:szCs w:val="21"/>
          <w:highlight w:val="none"/>
        </w:rPr>
        <w:t>偿付合同款总额10％的违约金。</w:t>
      </w:r>
      <w:r>
        <w:rPr>
          <w:rFonts w:hint="eastAsia" w:ascii="宋体" w:hAnsi="宋体"/>
          <w:color w:val="auto"/>
          <w:szCs w:val="21"/>
          <w:highlight w:val="none"/>
        </w:rPr>
        <w:br w:type="textWrapping"/>
      </w:r>
      <w:r>
        <w:rPr>
          <w:rFonts w:hint="eastAsia" w:ascii="宋体" w:hAnsi="宋体"/>
          <w:color w:val="auto"/>
          <w:szCs w:val="21"/>
          <w:highlight w:val="none"/>
        </w:rPr>
        <w:t>    4、</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乙方</w:t>
      </w:r>
      <w:r>
        <w:rPr>
          <w:rFonts w:hint="eastAsia" w:ascii="宋体" w:hAnsi="宋体"/>
          <w:color w:val="auto"/>
          <w:szCs w:val="21"/>
          <w:highlight w:val="none"/>
        </w:rPr>
        <w:fldChar w:fldCharType="end"/>
      </w:r>
      <w:r>
        <w:rPr>
          <w:rFonts w:hint="eastAsia" w:ascii="宋体" w:hAnsi="宋体"/>
          <w:color w:val="auto"/>
          <w:szCs w:val="21"/>
          <w:highlight w:val="none"/>
        </w:rPr>
        <w:t>逾期交付设备时，每逾1日</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乙方</w:t>
      </w:r>
      <w:r>
        <w:rPr>
          <w:rFonts w:hint="eastAsia" w:ascii="宋体" w:hAnsi="宋体"/>
          <w:color w:val="auto"/>
          <w:szCs w:val="21"/>
          <w:highlight w:val="none"/>
        </w:rPr>
        <w:fldChar w:fldCharType="end"/>
      </w:r>
      <w:r>
        <w:rPr>
          <w:rFonts w:hint="eastAsia" w:ascii="宋体" w:hAnsi="宋体"/>
          <w:color w:val="auto"/>
          <w:szCs w:val="21"/>
          <w:highlight w:val="none"/>
        </w:rPr>
        <w:t>向</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甲方</w:t>
      </w:r>
      <w:r>
        <w:rPr>
          <w:rFonts w:hint="eastAsia" w:ascii="宋体" w:hAnsi="宋体"/>
          <w:color w:val="auto"/>
          <w:szCs w:val="21"/>
          <w:highlight w:val="none"/>
        </w:rPr>
        <w:fldChar w:fldCharType="end"/>
      </w:r>
      <w:r>
        <w:rPr>
          <w:rFonts w:hint="eastAsia" w:ascii="宋体" w:hAnsi="宋体"/>
          <w:color w:val="auto"/>
          <w:szCs w:val="21"/>
          <w:highlight w:val="none"/>
        </w:rPr>
        <w:t>偿付合同款1%的滞纳金。逾期交货超过10天后，</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甲方</w:t>
      </w:r>
      <w:r>
        <w:rPr>
          <w:rFonts w:hint="eastAsia" w:ascii="宋体" w:hAnsi="宋体"/>
          <w:color w:val="auto"/>
          <w:szCs w:val="21"/>
          <w:highlight w:val="none"/>
        </w:rPr>
        <w:fldChar w:fldCharType="end"/>
      </w:r>
      <w:r>
        <w:rPr>
          <w:rFonts w:hint="eastAsia" w:ascii="宋体" w:hAnsi="宋体"/>
          <w:color w:val="auto"/>
          <w:szCs w:val="21"/>
          <w:highlight w:val="none"/>
        </w:rPr>
        <w:t>有权决定是否继续履行合同。</w:t>
      </w:r>
    </w:p>
    <w:p>
      <w:pPr>
        <w:autoSpaceDE w:val="0"/>
        <w:autoSpaceDN w:val="0"/>
        <w:adjustRightInd w:val="0"/>
        <w:spacing w:line="460" w:lineRule="exact"/>
        <w:jc w:val="left"/>
        <w:rPr>
          <w:rFonts w:ascii="宋体" w:hAnsi="宋体"/>
          <w:color w:val="auto"/>
          <w:highlight w:val="none"/>
        </w:rPr>
      </w:pPr>
      <w:r>
        <w:rPr>
          <w:rFonts w:hint="eastAsia" w:ascii="宋体" w:hAnsi="宋体"/>
          <w:b/>
          <w:color w:val="auto"/>
          <w:kern w:val="0"/>
          <w:szCs w:val="21"/>
          <w:highlight w:val="none"/>
        </w:rPr>
        <w:t>第八条争议的解决</w:t>
      </w:r>
      <w:r>
        <w:rPr>
          <w:rFonts w:hint="eastAsia" w:ascii="宋体" w:hAnsi="宋体"/>
          <w:color w:val="auto"/>
          <w:szCs w:val="21"/>
          <w:highlight w:val="none"/>
        </w:rPr>
        <w:br w:type="textWrapping"/>
      </w:r>
      <w:r>
        <w:rPr>
          <w:rFonts w:hint="eastAsia" w:ascii="宋体" w:hAnsi="宋体"/>
          <w:color w:val="auto"/>
          <w:szCs w:val="21"/>
          <w:highlight w:val="none"/>
        </w:rPr>
        <w:t xml:space="preserve">    </w:t>
      </w:r>
      <w:r>
        <w:rPr>
          <w:rFonts w:hint="eastAsia" w:ascii="宋体" w:hAnsi="宋体"/>
          <w:color w:val="auto"/>
          <w:highlight w:val="none"/>
        </w:rPr>
        <w:t>1、因货物质量发生争议，由</w:t>
      </w:r>
      <w:r>
        <w:rPr>
          <w:rFonts w:hint="eastAsia" w:ascii="宋体" w:hAnsi="宋体"/>
          <w:color w:val="auto"/>
          <w:highlight w:val="none"/>
          <w:u w:val="single"/>
        </w:rPr>
        <w:t>嘉兴市</w:t>
      </w:r>
      <w:r>
        <w:rPr>
          <w:rFonts w:hint="eastAsia" w:ascii="宋体" w:hAnsi="宋体"/>
          <w:color w:val="auto"/>
          <w:highlight w:val="none"/>
        </w:rPr>
        <w:t>市场监督管理局或其指定的质量鉴定单位进行鉴定。货物符合标准的，鉴定费由甲方承担；货物不符合标准的，鉴定费由乙方承担。</w:t>
      </w:r>
    </w:p>
    <w:p>
      <w:pPr>
        <w:autoSpaceDE w:val="0"/>
        <w:autoSpaceDN w:val="0"/>
        <w:adjustRightInd w:val="0"/>
        <w:spacing w:line="460" w:lineRule="exact"/>
        <w:ind w:firstLine="420" w:firstLineChars="200"/>
        <w:jc w:val="left"/>
        <w:rPr>
          <w:rFonts w:ascii="宋体" w:hAnsi="宋体"/>
          <w:color w:val="auto"/>
          <w:highlight w:val="none"/>
        </w:rPr>
      </w:pPr>
      <w:r>
        <w:rPr>
          <w:rFonts w:hint="eastAsia" w:ascii="宋体" w:hAnsi="宋体"/>
          <w:color w:val="auto"/>
          <w:highlight w:val="none"/>
        </w:rPr>
        <w:t>2、</w:t>
      </w:r>
      <w:r>
        <w:rPr>
          <w:rFonts w:ascii="宋体" w:hAnsi="宋体"/>
          <w:color w:val="auto"/>
          <w:highlight w:val="none"/>
        </w:rPr>
        <w:t>执行合同中所发生的</w:t>
      </w:r>
      <w:r>
        <w:rPr>
          <w:rFonts w:hint="eastAsia" w:ascii="宋体" w:hAnsi="宋体"/>
          <w:color w:val="auto"/>
          <w:highlight w:val="none"/>
        </w:rPr>
        <w:t>其他</w:t>
      </w:r>
      <w:r>
        <w:rPr>
          <w:rFonts w:ascii="宋体" w:hAnsi="宋体"/>
          <w:color w:val="auto"/>
          <w:highlight w:val="none"/>
        </w:rPr>
        <w:t>争议，应通过协商解决。如协商不成，可向合同签订地法院起诉</w:t>
      </w:r>
      <w:r>
        <w:rPr>
          <w:rFonts w:hint="eastAsia" w:ascii="宋体" w:hAnsi="宋体"/>
          <w:color w:val="auto"/>
          <w:highlight w:val="none"/>
        </w:rPr>
        <w:t>。</w:t>
      </w:r>
      <w:r>
        <w:rPr>
          <w:rFonts w:ascii="宋体" w:hAnsi="宋体"/>
          <w:color w:val="auto"/>
          <w:highlight w:val="none"/>
        </w:rPr>
        <w:t>合同签订地</w:t>
      </w:r>
      <w:r>
        <w:rPr>
          <w:rFonts w:hint="eastAsia" w:ascii="宋体" w:hAnsi="宋体"/>
          <w:color w:val="auto"/>
          <w:highlight w:val="none"/>
        </w:rPr>
        <w:t>点</w:t>
      </w:r>
      <w:r>
        <w:rPr>
          <w:rFonts w:ascii="宋体" w:hAnsi="宋体"/>
          <w:color w:val="auto"/>
          <w:highlight w:val="none"/>
        </w:rPr>
        <w:t>在此约定为</w:t>
      </w:r>
      <w:r>
        <w:rPr>
          <w:rFonts w:hint="eastAsia" w:ascii="宋体" w:hAnsi="宋体"/>
          <w:color w:val="auto"/>
          <w:highlight w:val="none"/>
          <w:u w:val="single"/>
        </w:rPr>
        <w:t xml:space="preserve"> 嘉兴市。</w:t>
      </w:r>
    </w:p>
    <w:p>
      <w:pPr>
        <w:spacing w:line="460" w:lineRule="exact"/>
        <w:jc w:val="left"/>
        <w:rPr>
          <w:rFonts w:ascii="宋体" w:hAnsi="宋体"/>
          <w:color w:val="auto"/>
          <w:szCs w:val="21"/>
          <w:highlight w:val="none"/>
        </w:rPr>
      </w:pPr>
      <w:r>
        <w:rPr>
          <w:rFonts w:hint="eastAsia" w:ascii="宋体" w:hAnsi="宋体"/>
          <w:b/>
          <w:color w:val="auto"/>
          <w:szCs w:val="21"/>
          <w:highlight w:val="none"/>
        </w:rPr>
        <w:t>第十二条  其它约定</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autoSpaceDE w:val="0"/>
        <w:autoSpaceDN w:val="0"/>
        <w:adjustRightInd w:val="0"/>
        <w:spacing w:line="400" w:lineRule="exact"/>
        <w:jc w:val="left"/>
        <w:rPr>
          <w:rFonts w:ascii="宋体" w:hAnsi="宋体"/>
          <w:color w:val="auto"/>
          <w:szCs w:val="21"/>
          <w:highlight w:val="none"/>
        </w:rPr>
      </w:pPr>
      <w:r>
        <w:rPr>
          <w:rFonts w:hint="eastAsia" w:ascii="宋体" w:hAnsi="宋体"/>
          <w:b/>
          <w:color w:val="auto"/>
          <w:szCs w:val="21"/>
          <w:highlight w:val="none"/>
        </w:rPr>
        <w:t>第十三条</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b/>
          <w:color w:val="auto"/>
          <w:szCs w:val="21"/>
          <w:highlight w:val="none"/>
        </w:rPr>
        <w:t>合同</w:t>
      </w:r>
      <w:r>
        <w:rPr>
          <w:rFonts w:hint="eastAsia" w:ascii="宋体" w:hAnsi="宋体"/>
          <w:b/>
          <w:color w:val="auto"/>
          <w:szCs w:val="21"/>
          <w:highlight w:val="none"/>
        </w:rPr>
        <w:fldChar w:fldCharType="end"/>
      </w:r>
      <w:r>
        <w:rPr>
          <w:rFonts w:hint="eastAsia" w:ascii="宋体" w:hAnsi="宋体"/>
          <w:b/>
          <w:color w:val="auto"/>
          <w:szCs w:val="21"/>
          <w:highlight w:val="none"/>
        </w:rPr>
        <w:t>生效及其他</w:t>
      </w:r>
      <w:r>
        <w:rPr>
          <w:rFonts w:hint="eastAsia" w:ascii="宋体" w:hAnsi="宋体"/>
          <w:color w:val="auto"/>
          <w:szCs w:val="21"/>
          <w:highlight w:val="none"/>
        </w:rPr>
        <w:br w:type="textWrapping"/>
      </w:r>
      <w:r>
        <w:rPr>
          <w:rFonts w:hint="eastAsia" w:ascii="宋体" w:hAnsi="宋体"/>
          <w:color w:val="auto"/>
          <w:szCs w:val="21"/>
          <w:highlight w:val="none"/>
        </w:rPr>
        <w:t>1、合同经甲、乙双方代表签章后即行生效。</w:t>
      </w:r>
      <w:r>
        <w:rPr>
          <w:rFonts w:hint="eastAsia" w:ascii="宋体" w:hAnsi="宋体"/>
          <w:color w:val="auto"/>
          <w:szCs w:val="21"/>
          <w:highlight w:val="none"/>
        </w:rPr>
        <w:br w:type="textWrapping"/>
      </w:r>
      <w:r>
        <w:rPr>
          <w:rFonts w:hint="eastAsia" w:ascii="宋体" w:hAnsi="宋体"/>
          <w:color w:val="auto"/>
          <w:szCs w:val="21"/>
          <w:highlight w:val="none"/>
        </w:rPr>
        <w:t>2、本</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合同</w:t>
      </w:r>
      <w:r>
        <w:rPr>
          <w:rFonts w:hint="eastAsia" w:ascii="宋体" w:hAnsi="宋体"/>
          <w:color w:val="auto"/>
          <w:szCs w:val="21"/>
          <w:highlight w:val="none"/>
        </w:rPr>
        <w:fldChar w:fldCharType="end"/>
      </w:r>
      <w:r>
        <w:rPr>
          <w:rFonts w:hint="eastAsia" w:ascii="宋体" w:hAnsi="宋体"/>
          <w:color w:val="auto"/>
          <w:szCs w:val="21"/>
          <w:highlight w:val="none"/>
        </w:rPr>
        <w:t>一式四份，甲乙双方各执一份，一份交嘉兴市明扬工程咨询有限公司存档，一份报送嘉兴市财政局备案。</w:t>
      </w:r>
      <w:r>
        <w:rPr>
          <w:rFonts w:hint="eastAsia" w:ascii="宋体" w:hAnsi="宋体"/>
          <w:color w:val="auto"/>
          <w:szCs w:val="21"/>
          <w:highlight w:val="none"/>
        </w:rPr>
        <w:br w:type="textWrapping"/>
      </w:r>
      <w:r>
        <w:rPr>
          <w:rFonts w:hint="eastAsia" w:ascii="宋体" w:hAnsi="宋体"/>
          <w:color w:val="auto"/>
          <w:szCs w:val="21"/>
          <w:highlight w:val="none"/>
        </w:rPr>
        <w:t>3、本</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olor w:val="auto"/>
          <w:szCs w:val="21"/>
          <w:highlight w:val="none"/>
        </w:rPr>
        <w:t>合同</w:t>
      </w:r>
      <w:r>
        <w:rPr>
          <w:rFonts w:hint="eastAsia" w:ascii="宋体" w:hAnsi="宋体"/>
          <w:color w:val="auto"/>
          <w:szCs w:val="21"/>
          <w:highlight w:val="none"/>
        </w:rPr>
        <w:fldChar w:fldCharType="end"/>
      </w:r>
      <w:r>
        <w:rPr>
          <w:rFonts w:hint="eastAsia" w:ascii="宋体" w:hAnsi="宋体"/>
          <w:color w:val="auto"/>
          <w:szCs w:val="21"/>
          <w:highlight w:val="none"/>
        </w:rPr>
        <w:t>应按照中华人民共和国的现行法律进行解释。</w:t>
      </w:r>
    </w:p>
    <w:p>
      <w:pPr>
        <w:pStyle w:val="4"/>
        <w:rPr>
          <w:color w:val="auto"/>
          <w:highlight w:val="none"/>
        </w:rPr>
      </w:pPr>
    </w:p>
    <w:p>
      <w:pPr>
        <w:autoSpaceDE w:val="0"/>
        <w:autoSpaceDN w:val="0"/>
        <w:adjustRightInd w:val="0"/>
        <w:spacing w:line="400" w:lineRule="exact"/>
        <w:jc w:val="left"/>
        <w:rPr>
          <w:rFonts w:ascii="宋体" w:hAnsi="宋体"/>
          <w:color w:val="auto"/>
          <w:szCs w:val="21"/>
          <w:highlight w:val="none"/>
        </w:rPr>
      </w:pPr>
      <w:r>
        <w:rPr>
          <w:rFonts w:ascii="宋体" w:hAnsi="宋体"/>
          <w:color w:val="auto"/>
          <w:szCs w:val="21"/>
          <w:highlight w:val="none"/>
        </w:rPr>
        <w:t xml:space="preserve">甲方：                  </w:t>
      </w:r>
      <w:r>
        <w:rPr>
          <w:rFonts w:hint="eastAsia" w:ascii="宋体" w:hAnsi="宋体"/>
          <w:color w:val="auto"/>
          <w:szCs w:val="21"/>
          <w:highlight w:val="none"/>
        </w:rPr>
        <w:t xml:space="preserve">                   乙方</w:t>
      </w:r>
      <w:r>
        <w:rPr>
          <w:rFonts w:ascii="宋体" w:hAnsi="宋体"/>
          <w:color w:val="auto"/>
          <w:szCs w:val="21"/>
          <w:highlight w:val="none"/>
        </w:rPr>
        <w:t xml:space="preserve">： </w:t>
      </w:r>
    </w:p>
    <w:p>
      <w:pPr>
        <w:autoSpaceDE w:val="0"/>
        <w:autoSpaceDN w:val="0"/>
        <w:adjustRightInd w:val="0"/>
        <w:spacing w:line="400" w:lineRule="exact"/>
        <w:jc w:val="left"/>
        <w:rPr>
          <w:rFonts w:ascii="宋体" w:hAnsi="宋体"/>
          <w:color w:val="auto"/>
          <w:szCs w:val="21"/>
          <w:highlight w:val="none"/>
        </w:rPr>
      </w:pPr>
      <w:r>
        <w:rPr>
          <w:rFonts w:ascii="宋体" w:hAnsi="宋体"/>
          <w:color w:val="auto"/>
          <w:szCs w:val="21"/>
          <w:highlight w:val="none"/>
        </w:rPr>
        <w:t xml:space="preserve">地址：                             </w:t>
      </w:r>
      <w:r>
        <w:rPr>
          <w:rFonts w:hint="eastAsia" w:ascii="宋体" w:hAnsi="宋体"/>
          <w:color w:val="auto"/>
          <w:szCs w:val="21"/>
          <w:highlight w:val="none"/>
        </w:rPr>
        <w:t xml:space="preserve">        </w:t>
      </w:r>
      <w:r>
        <w:rPr>
          <w:rFonts w:ascii="宋体" w:hAnsi="宋体"/>
          <w:color w:val="auto"/>
          <w:szCs w:val="21"/>
          <w:highlight w:val="none"/>
        </w:rPr>
        <w:t xml:space="preserve">地址： </w:t>
      </w:r>
    </w:p>
    <w:p>
      <w:pPr>
        <w:autoSpaceDE w:val="0"/>
        <w:autoSpaceDN w:val="0"/>
        <w:adjustRightInd w:val="0"/>
        <w:spacing w:line="400" w:lineRule="exact"/>
        <w:jc w:val="left"/>
        <w:rPr>
          <w:rFonts w:ascii="宋体" w:hAnsi="宋体"/>
          <w:color w:val="auto"/>
          <w:szCs w:val="21"/>
          <w:highlight w:val="none"/>
        </w:rPr>
      </w:pPr>
      <w:r>
        <w:rPr>
          <w:rFonts w:ascii="宋体" w:hAnsi="宋体"/>
          <w:color w:val="auto"/>
          <w:szCs w:val="21"/>
          <w:highlight w:val="none"/>
        </w:rPr>
        <w:t xml:space="preserve">法定代表人：                       </w:t>
      </w:r>
      <w:r>
        <w:rPr>
          <w:rFonts w:hint="eastAsia" w:ascii="宋体" w:hAnsi="宋体"/>
          <w:color w:val="auto"/>
          <w:szCs w:val="21"/>
          <w:highlight w:val="none"/>
        </w:rPr>
        <w:t xml:space="preserve">        </w:t>
      </w:r>
      <w:r>
        <w:rPr>
          <w:rFonts w:ascii="宋体" w:hAnsi="宋体"/>
          <w:color w:val="auto"/>
          <w:szCs w:val="21"/>
          <w:highlight w:val="none"/>
        </w:rPr>
        <w:t>法定代表人：</w:t>
      </w:r>
    </w:p>
    <w:p>
      <w:pPr>
        <w:autoSpaceDE w:val="0"/>
        <w:autoSpaceDN w:val="0"/>
        <w:adjustRightInd w:val="0"/>
        <w:spacing w:line="400" w:lineRule="exact"/>
        <w:jc w:val="left"/>
        <w:rPr>
          <w:rFonts w:ascii="宋体" w:hAnsi="宋体"/>
          <w:color w:val="auto"/>
          <w:szCs w:val="21"/>
          <w:highlight w:val="none"/>
        </w:rPr>
      </w:pPr>
      <w:r>
        <w:rPr>
          <w:rFonts w:ascii="宋体" w:hAnsi="宋体"/>
          <w:color w:val="auto"/>
          <w:szCs w:val="21"/>
          <w:highlight w:val="none"/>
        </w:rPr>
        <w:t xml:space="preserve">签订地点：                  </w:t>
      </w:r>
      <w:r>
        <w:rPr>
          <w:rFonts w:hint="eastAsia" w:ascii="宋体" w:hAnsi="宋体"/>
          <w:color w:val="auto"/>
          <w:szCs w:val="21"/>
          <w:highlight w:val="none"/>
        </w:rPr>
        <w:t xml:space="preserve">               签订地点：</w:t>
      </w:r>
    </w:p>
    <w:p>
      <w:pPr>
        <w:autoSpaceDE w:val="0"/>
        <w:autoSpaceDN w:val="0"/>
        <w:adjustRightInd w:val="0"/>
        <w:spacing w:line="400" w:lineRule="exact"/>
        <w:jc w:val="left"/>
        <w:rPr>
          <w:rFonts w:ascii="宋体" w:hAnsi="宋体"/>
          <w:color w:val="auto"/>
          <w:szCs w:val="21"/>
          <w:highlight w:val="none"/>
        </w:rPr>
      </w:pPr>
      <w:r>
        <w:rPr>
          <w:rFonts w:ascii="宋体" w:hAnsi="宋体"/>
          <w:color w:val="auto"/>
          <w:szCs w:val="21"/>
          <w:highlight w:val="none"/>
        </w:rPr>
        <w:t>签订日期：      年  月  日</w:t>
      </w:r>
      <w:r>
        <w:rPr>
          <w:rFonts w:hint="eastAsia" w:ascii="宋体" w:hAnsi="宋体"/>
          <w:color w:val="auto"/>
          <w:szCs w:val="21"/>
          <w:highlight w:val="none"/>
        </w:rPr>
        <w:t xml:space="preserve">                 签订日期：      年   月   日 </w:t>
      </w:r>
    </w:p>
    <w:p>
      <w:pPr>
        <w:pStyle w:val="18"/>
        <w:spacing w:before="120" w:beforeLines="50" w:after="120" w:afterLines="50" w:line="400" w:lineRule="exact"/>
        <w:jc w:val="center"/>
        <w:outlineLvl w:val="0"/>
        <w:rPr>
          <w:b/>
          <w:color w:val="auto"/>
          <w:sz w:val="32"/>
          <w:szCs w:val="32"/>
          <w:highlight w:val="none"/>
        </w:rPr>
      </w:pPr>
    </w:p>
    <w:p>
      <w:pPr>
        <w:pStyle w:val="18"/>
        <w:spacing w:before="120" w:beforeLines="50" w:after="120" w:afterLines="50" w:line="400" w:lineRule="exact"/>
        <w:jc w:val="center"/>
        <w:outlineLvl w:val="0"/>
        <w:rPr>
          <w:b/>
          <w:color w:val="auto"/>
          <w:sz w:val="32"/>
          <w:szCs w:val="32"/>
          <w:highlight w:val="none"/>
        </w:rPr>
      </w:pPr>
    </w:p>
    <w:p>
      <w:pPr>
        <w:pStyle w:val="18"/>
        <w:spacing w:before="120" w:beforeLines="50" w:after="120" w:afterLines="50" w:line="400" w:lineRule="exact"/>
        <w:jc w:val="center"/>
        <w:outlineLvl w:val="0"/>
        <w:rPr>
          <w:b/>
          <w:color w:val="auto"/>
          <w:sz w:val="32"/>
          <w:szCs w:val="32"/>
          <w:highlight w:val="none"/>
        </w:rPr>
      </w:pPr>
    </w:p>
    <w:p>
      <w:pPr>
        <w:pStyle w:val="18"/>
        <w:spacing w:before="120" w:beforeLines="50" w:after="120" w:afterLines="50" w:line="400" w:lineRule="exact"/>
        <w:jc w:val="center"/>
        <w:outlineLvl w:val="0"/>
        <w:rPr>
          <w:b/>
          <w:color w:val="auto"/>
          <w:sz w:val="32"/>
          <w:szCs w:val="32"/>
          <w:highlight w:val="none"/>
        </w:rPr>
      </w:pPr>
    </w:p>
    <w:p>
      <w:pPr>
        <w:pStyle w:val="18"/>
        <w:spacing w:before="120" w:beforeLines="50" w:after="120" w:afterLines="50" w:line="400" w:lineRule="exact"/>
        <w:jc w:val="center"/>
        <w:outlineLvl w:val="0"/>
        <w:rPr>
          <w:b/>
          <w:color w:val="auto"/>
          <w:sz w:val="32"/>
          <w:szCs w:val="32"/>
          <w:highlight w:val="none"/>
        </w:rPr>
      </w:pPr>
    </w:p>
    <w:p>
      <w:pPr>
        <w:pStyle w:val="18"/>
        <w:spacing w:before="120" w:beforeLines="50" w:after="120" w:afterLines="50" w:line="400" w:lineRule="exact"/>
        <w:jc w:val="center"/>
        <w:outlineLvl w:val="0"/>
        <w:rPr>
          <w:b/>
          <w:color w:val="auto"/>
          <w:sz w:val="32"/>
          <w:szCs w:val="32"/>
          <w:highlight w:val="none"/>
        </w:rPr>
      </w:pPr>
    </w:p>
    <w:p>
      <w:pPr>
        <w:pStyle w:val="18"/>
        <w:spacing w:before="120" w:beforeLines="50" w:after="120" w:afterLines="50" w:line="400" w:lineRule="exact"/>
        <w:jc w:val="center"/>
        <w:outlineLvl w:val="0"/>
        <w:rPr>
          <w:b/>
          <w:color w:val="auto"/>
          <w:sz w:val="32"/>
          <w:szCs w:val="32"/>
          <w:highlight w:val="none"/>
        </w:rPr>
      </w:pPr>
    </w:p>
    <w:p>
      <w:pPr>
        <w:pStyle w:val="18"/>
        <w:spacing w:before="120" w:beforeLines="50" w:after="120" w:afterLines="50" w:line="400" w:lineRule="exact"/>
        <w:jc w:val="center"/>
        <w:outlineLvl w:val="0"/>
        <w:rPr>
          <w:b/>
          <w:color w:val="auto"/>
          <w:sz w:val="32"/>
          <w:szCs w:val="32"/>
          <w:highlight w:val="none"/>
        </w:rPr>
      </w:pPr>
    </w:p>
    <w:p>
      <w:pPr>
        <w:pStyle w:val="18"/>
        <w:spacing w:before="120" w:beforeLines="50" w:after="120" w:afterLines="50" w:line="400" w:lineRule="exact"/>
        <w:jc w:val="center"/>
        <w:outlineLvl w:val="0"/>
        <w:rPr>
          <w:b/>
          <w:color w:val="auto"/>
          <w:sz w:val="32"/>
          <w:szCs w:val="32"/>
          <w:highlight w:val="none"/>
        </w:rPr>
      </w:pPr>
    </w:p>
    <w:p>
      <w:pPr>
        <w:pStyle w:val="18"/>
        <w:spacing w:before="120" w:beforeLines="50" w:after="120" w:afterLines="50" w:line="400" w:lineRule="exact"/>
        <w:jc w:val="center"/>
        <w:outlineLvl w:val="0"/>
        <w:rPr>
          <w:b/>
          <w:color w:val="auto"/>
          <w:sz w:val="32"/>
          <w:szCs w:val="32"/>
          <w:highlight w:val="none"/>
        </w:rPr>
      </w:pPr>
    </w:p>
    <w:p>
      <w:pPr>
        <w:pStyle w:val="18"/>
        <w:spacing w:before="120" w:beforeLines="50" w:after="120" w:afterLines="50" w:line="400" w:lineRule="exact"/>
        <w:jc w:val="center"/>
        <w:outlineLvl w:val="0"/>
        <w:rPr>
          <w:b/>
          <w:color w:val="auto"/>
          <w:sz w:val="32"/>
          <w:szCs w:val="32"/>
          <w:highlight w:val="none"/>
        </w:rPr>
      </w:pPr>
      <w:bookmarkStart w:id="69" w:name="_Toc26552"/>
      <w:r>
        <w:rPr>
          <w:rFonts w:hint="eastAsia"/>
          <w:b/>
          <w:color w:val="auto"/>
          <w:sz w:val="32"/>
          <w:szCs w:val="32"/>
          <w:highlight w:val="none"/>
        </w:rPr>
        <w:t>第六章  投标相关文件格式</w:t>
      </w:r>
      <w:bookmarkEnd w:id="69"/>
    </w:p>
    <w:p>
      <w:pPr>
        <w:outlineLvl w:val="1"/>
        <w:rPr>
          <w:color w:val="auto"/>
          <w:highlight w:val="none"/>
        </w:rPr>
      </w:pPr>
    </w:p>
    <w:p>
      <w:pPr>
        <w:spacing w:line="588" w:lineRule="exact"/>
        <w:ind w:firstLine="667"/>
        <w:jc w:val="center"/>
        <w:rPr>
          <w:rFonts w:hint="eastAsia" w:ascii="宋体" w:hAnsi="宋体" w:eastAsia="宋体" w:cs="宋体"/>
          <w:b/>
          <w:color w:val="auto"/>
          <w:spacing w:val="6"/>
          <w:sz w:val="32"/>
          <w:highlight w:val="none"/>
        </w:rPr>
      </w:pPr>
      <w:bookmarkStart w:id="70" w:name="_Toc12986"/>
      <w:bookmarkStart w:id="71" w:name="_Toc11046"/>
      <w:bookmarkStart w:id="72" w:name="_Toc9881"/>
      <w:r>
        <w:rPr>
          <w:rFonts w:hint="eastAsia" w:ascii="宋体" w:hAnsi="宋体" w:eastAsia="宋体" w:cs="宋体"/>
          <w:b/>
          <w:color w:val="auto"/>
          <w:spacing w:val="6"/>
          <w:sz w:val="32"/>
          <w:highlight w:val="none"/>
        </w:rPr>
        <w:t>政府采购活动现场确认声明书</w:t>
      </w:r>
      <w:bookmarkEnd w:id="70"/>
      <w:bookmarkEnd w:id="71"/>
      <w:bookmarkEnd w:id="72"/>
    </w:p>
    <w:p>
      <w:pPr>
        <w:pStyle w:val="115"/>
        <w:snapToGrid w:val="0"/>
        <w:spacing w:line="44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（要求在电子投标文件解密后，将以下表格填写完成后，再通过电子邮箱28509616@qq.com将照片传给代理公司，不要封存于投标文件里）</w:t>
      </w:r>
    </w:p>
    <w:p>
      <w:pPr>
        <w:pStyle w:val="81"/>
        <w:snapToGrid w:val="0"/>
        <w:spacing w:line="44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嘉兴市明扬工程咨询有限公司</w:t>
      </w:r>
      <w:r>
        <w:rPr>
          <w:rFonts w:hint="eastAsia" w:ascii="宋体" w:hAnsi="宋体" w:eastAsia="宋体" w:cs="宋体"/>
          <w:color w:val="auto"/>
          <w:kern w:val="0"/>
          <w:sz w:val="21"/>
          <w:szCs w:val="21"/>
          <w:highlight w:val="none"/>
        </w:rPr>
        <w:t>：</w:t>
      </w:r>
    </w:p>
    <w:p>
      <w:pPr>
        <w:pStyle w:val="81"/>
        <w:snapToGrid w:val="0"/>
        <w:spacing w:line="440" w:lineRule="exact"/>
        <w:ind w:firstLine="448"/>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hAnsi="宋体" w:eastAsia="宋体" w:cs="宋体"/>
          <w:color w:val="auto"/>
          <w:spacing w:val="6"/>
          <w:sz w:val="21"/>
          <w:szCs w:val="21"/>
          <w:highlight w:val="none"/>
          <w:u w:val="single"/>
          <w:lang w:eastAsia="zh-CN"/>
        </w:rPr>
        <w:t>嘉兴市特种设备检验检测院2024年检验设备购置项目</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spacing w:val="6"/>
          <w:sz w:val="21"/>
          <w:szCs w:val="21"/>
          <w:highlight w:val="none"/>
          <w:u w:val="single"/>
        </w:rPr>
        <w:t>编号：</w:t>
      </w:r>
      <w:r>
        <w:rPr>
          <w:rFonts w:hint="eastAsia" w:hAnsi="宋体" w:eastAsia="宋体" w:cs="宋体"/>
          <w:color w:val="auto"/>
          <w:kern w:val="0"/>
          <w:sz w:val="21"/>
          <w:szCs w:val="21"/>
          <w:highlight w:val="none"/>
          <w:u w:val="single"/>
          <w:lang w:eastAsia="zh-CN"/>
        </w:rPr>
        <w:t>JXMYZFCG-2024-013</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pPr>
        <w:pStyle w:val="82"/>
        <w:widowControl/>
        <w:snapToGrid w:val="0"/>
        <w:spacing w:before="0" w:after="0" w:line="440" w:lineRule="exact"/>
        <w:ind w:firstLine="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一、本单位与采购人之间 □不存在利害关系 □存在下列利害关系：</w:t>
      </w:r>
    </w:p>
    <w:p>
      <w:pPr>
        <w:pStyle w:val="82"/>
        <w:widowControl/>
        <w:snapToGrid w:val="0"/>
        <w:spacing w:before="0" w:after="0" w:line="440" w:lineRule="exact"/>
        <w:ind w:firstLine="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A.投资关系    B.行政隶属关系    C.业务指导关系</w:t>
      </w:r>
    </w:p>
    <w:p>
      <w:pPr>
        <w:pStyle w:val="82"/>
        <w:widowControl/>
        <w:snapToGrid w:val="0"/>
        <w:spacing w:before="0" w:after="0" w:line="440" w:lineRule="exact"/>
        <w:ind w:firstLine="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pPr>
        <w:pStyle w:val="82"/>
        <w:widowControl/>
        <w:snapToGrid w:val="0"/>
        <w:spacing w:before="0" w:after="0" w:line="440" w:lineRule="exact"/>
        <w:ind w:firstLine="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p>
    <w:p>
      <w:pPr>
        <w:pStyle w:val="56"/>
        <w:snapToGrid w:val="0"/>
        <w:spacing w:line="44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A.法定代表人或负责人或实际控制人是同一人</w:t>
      </w:r>
    </w:p>
    <w:p>
      <w:pPr>
        <w:pStyle w:val="56"/>
        <w:snapToGrid w:val="0"/>
        <w:spacing w:line="44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B.法定代表人或负责人或实际控制人是夫妻关系</w:t>
      </w:r>
    </w:p>
    <w:p>
      <w:pPr>
        <w:pStyle w:val="56"/>
        <w:snapToGrid w:val="0"/>
        <w:spacing w:line="44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C.法定代表人或负责人或实际控制人是直系血亲关系</w:t>
      </w:r>
    </w:p>
    <w:p>
      <w:pPr>
        <w:pStyle w:val="56"/>
        <w:snapToGrid w:val="0"/>
        <w:spacing w:line="44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D.法定代表人或负责人或实际控制人存在三代以内旁系血亲关系</w:t>
      </w:r>
    </w:p>
    <w:p>
      <w:pPr>
        <w:pStyle w:val="56"/>
        <w:snapToGrid w:val="0"/>
        <w:spacing w:line="44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E.法定代表人或负责人或实际控制人存在近姻亲关系</w:t>
      </w:r>
    </w:p>
    <w:p>
      <w:pPr>
        <w:pStyle w:val="56"/>
        <w:snapToGrid w:val="0"/>
        <w:spacing w:line="44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F.法定代表人或负责人或实际控制人存在股份控制或实际控制关系</w:t>
      </w:r>
    </w:p>
    <w:p>
      <w:pPr>
        <w:pStyle w:val="56"/>
        <w:snapToGrid w:val="0"/>
        <w:spacing w:line="44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w:t>
      </w:r>
      <w:bookmarkStart w:id="73" w:name="_Toc26874"/>
      <w:bookmarkStart w:id="74" w:name="_Toc16376"/>
      <w:bookmarkStart w:id="75" w:name="_Toc7993"/>
      <w:r>
        <w:rPr>
          <w:rFonts w:hint="eastAsia" w:ascii="宋体" w:hAnsi="宋体" w:eastAsia="宋体" w:cs="宋体"/>
          <w:color w:val="auto"/>
          <w:kern w:val="0"/>
          <w:sz w:val="21"/>
          <w:szCs w:val="21"/>
          <w:highlight w:val="none"/>
          <w:lang w:val="en-US" w:eastAsia="zh-CN" w:bidi="ar-SA"/>
        </w:rPr>
        <w:t>G.存在共同直接或间接投资设立子公司、联营企业和合营企业情况</w:t>
      </w:r>
      <w:bookmarkEnd w:id="73"/>
      <w:bookmarkEnd w:id="74"/>
      <w:bookmarkEnd w:id="75"/>
    </w:p>
    <w:p>
      <w:pPr>
        <w:pStyle w:val="56"/>
        <w:snapToGrid w:val="0"/>
        <w:spacing w:line="44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H.存在分级代理或代销关系、同一生产制造商关系、管理关系、重要业务（占主营业务收入50%以上）或重要财务往来关系（如融资）等其他实质性控制关系</w:t>
      </w:r>
    </w:p>
    <w:p>
      <w:pPr>
        <w:pStyle w:val="56"/>
        <w:snapToGrid w:val="0"/>
        <w:spacing w:line="44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w:t>
      </w:r>
      <w:bookmarkStart w:id="76" w:name="_Toc25461"/>
      <w:bookmarkStart w:id="77" w:name="_Toc7485"/>
      <w:bookmarkStart w:id="78" w:name="_Toc17025"/>
      <w:r>
        <w:rPr>
          <w:rFonts w:hint="eastAsia" w:ascii="宋体" w:hAnsi="宋体" w:eastAsia="宋体" w:cs="宋体"/>
          <w:color w:val="auto"/>
          <w:kern w:val="0"/>
          <w:sz w:val="21"/>
          <w:szCs w:val="21"/>
          <w:highlight w:val="none"/>
          <w:lang w:val="en-US" w:eastAsia="zh-CN" w:bidi="ar-SA"/>
        </w:rPr>
        <w:t>I.其他利害关系情况。</w:t>
      </w:r>
      <w:bookmarkEnd w:id="76"/>
      <w:bookmarkEnd w:id="77"/>
      <w:bookmarkEnd w:id="78"/>
    </w:p>
    <w:p>
      <w:pPr>
        <w:pStyle w:val="82"/>
        <w:widowControl/>
        <w:numPr>
          <w:ilvl w:val="0"/>
          <w:numId w:val="37"/>
        </w:numPr>
        <w:snapToGrid w:val="0"/>
        <w:spacing w:before="0" w:after="0" w:line="440" w:lineRule="exact"/>
        <w:ind w:firstLine="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严格遵守政府采购法律法规和现场纪律。</w:t>
      </w:r>
    </w:p>
    <w:p>
      <w:pPr>
        <w:pStyle w:val="82"/>
        <w:widowControl/>
        <w:numPr>
          <w:ilvl w:val="0"/>
          <w:numId w:val="37"/>
        </w:numPr>
        <w:snapToGrid w:val="0"/>
        <w:spacing w:before="0" w:after="0" w:line="44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我发现供应商之间存在或可能存在上述第二条第项利害关系。</w:t>
      </w:r>
    </w:p>
    <w:p>
      <w:pPr>
        <w:pStyle w:val="56"/>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pStyle w:val="56"/>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供应商代表签名：</w:t>
      </w:r>
    </w:p>
    <w:p>
      <w:pPr>
        <w:pStyle w:val="56"/>
        <w:snapToGrid w:val="0"/>
        <w:spacing w:line="440" w:lineRule="exact"/>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 xml:space="preserve">                                    年  月  日</w:t>
      </w:r>
    </w:p>
    <w:p>
      <w:pPr>
        <w:jc w:val="right"/>
        <w:rPr>
          <w:rFonts w:hint="eastAsia" w:ascii="宋体" w:hAnsi="宋体" w:eastAsia="宋体" w:cs="宋体"/>
          <w:color w:val="auto"/>
          <w:sz w:val="24"/>
          <w:highlight w:val="none"/>
        </w:rPr>
      </w:pPr>
    </w:p>
    <w:p>
      <w:pPr>
        <w:jc w:val="right"/>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pStyle w:val="28"/>
        <w:rPr>
          <w:color w:val="auto"/>
          <w:highlight w:val="none"/>
        </w:rPr>
      </w:pPr>
    </w:p>
    <w:p>
      <w:pPr>
        <w:spacing w:before="120" w:beforeLines="50" w:line="360" w:lineRule="auto"/>
        <w:rPr>
          <w:rFonts w:ascii="宋体" w:hAnsi="宋体"/>
          <w:color w:val="auto"/>
          <w:sz w:val="24"/>
          <w:highlight w:val="none"/>
        </w:rPr>
      </w:pPr>
    </w:p>
    <w:p>
      <w:pPr>
        <w:spacing w:before="120" w:beforeLines="50" w:line="360" w:lineRule="auto"/>
        <w:jc w:val="center"/>
        <w:rPr>
          <w:rFonts w:ascii="宋体" w:hAnsi="宋体"/>
          <w:b/>
          <w:color w:val="auto"/>
          <w:sz w:val="28"/>
          <w:szCs w:val="28"/>
          <w:highlight w:val="none"/>
        </w:rPr>
      </w:pPr>
      <w:r>
        <w:rPr>
          <w:rFonts w:hint="eastAsia" w:ascii="宋体" w:hAnsi="宋体"/>
          <w:b/>
          <w:color w:val="auto"/>
          <w:sz w:val="28"/>
          <w:szCs w:val="28"/>
          <w:highlight w:val="none"/>
        </w:rPr>
        <w:t>△政府采购项目（正、副本）</w:t>
      </w:r>
    </w:p>
    <w:p>
      <w:pPr>
        <w:spacing w:before="120" w:beforeLines="50" w:line="360" w:lineRule="auto"/>
        <w:jc w:val="center"/>
        <w:rPr>
          <w:rFonts w:ascii="宋体" w:hAnsi="宋体"/>
          <w:b/>
          <w:color w:val="auto"/>
          <w:sz w:val="28"/>
          <w:szCs w:val="28"/>
          <w:highlight w:val="none"/>
        </w:rPr>
      </w:pPr>
      <w:r>
        <w:rPr>
          <w:rFonts w:hint="eastAsia" w:ascii="宋体" w:hAnsi="宋体"/>
          <w:b/>
          <w:color w:val="auto"/>
          <w:sz w:val="28"/>
          <w:szCs w:val="28"/>
          <w:highlight w:val="none"/>
        </w:rPr>
        <w:t>投 标 书</w:t>
      </w:r>
    </w:p>
    <w:p>
      <w:pPr>
        <w:spacing w:before="120" w:beforeLines="50" w:line="360" w:lineRule="auto"/>
        <w:rPr>
          <w:rFonts w:ascii="宋体" w:hAnsi="宋体"/>
          <w:color w:val="auto"/>
          <w:sz w:val="24"/>
          <w:highlight w:val="none"/>
        </w:rPr>
      </w:pPr>
    </w:p>
    <w:p>
      <w:pPr>
        <w:spacing w:before="120" w:beforeLines="50" w:line="480" w:lineRule="auto"/>
        <w:ind w:firstLine="1072" w:firstLineChars="445"/>
        <w:rPr>
          <w:rFonts w:ascii="宋体" w:hAnsi="宋体"/>
          <w:b/>
          <w:color w:val="auto"/>
          <w:sz w:val="24"/>
          <w:highlight w:val="none"/>
        </w:rPr>
      </w:pPr>
      <w:r>
        <w:rPr>
          <w:rFonts w:hint="eastAsia" w:ascii="宋体" w:hAnsi="宋体"/>
          <w:b/>
          <w:bCs/>
          <w:color w:val="auto"/>
          <w:sz w:val="24"/>
          <w:highlight w:val="none"/>
        </w:rPr>
        <w:t>项目名称：</w:t>
      </w:r>
    </w:p>
    <w:p>
      <w:pPr>
        <w:spacing w:before="120" w:beforeLines="50" w:line="480" w:lineRule="auto"/>
        <w:ind w:firstLine="1072" w:firstLineChars="445"/>
        <w:rPr>
          <w:rFonts w:ascii="宋体" w:hAnsi="宋体"/>
          <w:b/>
          <w:bCs/>
          <w:color w:val="auto"/>
          <w:sz w:val="24"/>
          <w:highlight w:val="none"/>
        </w:rPr>
      </w:pPr>
      <w:r>
        <w:rPr>
          <w:rFonts w:hint="eastAsia" w:ascii="宋体" w:hAnsi="宋体"/>
          <w:b/>
          <w:bCs/>
          <w:color w:val="auto"/>
          <w:sz w:val="24"/>
          <w:highlight w:val="none"/>
        </w:rPr>
        <w:t>项目编号：</w:t>
      </w:r>
    </w:p>
    <w:p>
      <w:pPr>
        <w:spacing w:before="120" w:beforeLines="50" w:line="480" w:lineRule="auto"/>
        <w:ind w:firstLine="1072" w:firstLineChars="445"/>
        <w:rPr>
          <w:rFonts w:ascii="宋体" w:hAnsi="宋体"/>
          <w:b/>
          <w:bCs/>
          <w:color w:val="auto"/>
          <w:sz w:val="24"/>
          <w:highlight w:val="none"/>
        </w:rPr>
      </w:pPr>
      <w:r>
        <w:rPr>
          <w:rFonts w:hint="eastAsia" w:ascii="宋体" w:hAnsi="宋体"/>
          <w:b/>
          <w:bCs/>
          <w:color w:val="auto"/>
          <w:sz w:val="24"/>
          <w:highlight w:val="none"/>
        </w:rPr>
        <w:t>标    项：</w:t>
      </w:r>
    </w:p>
    <w:p>
      <w:pPr>
        <w:spacing w:before="120" w:beforeLines="50" w:line="480" w:lineRule="auto"/>
        <w:ind w:firstLine="1072" w:firstLineChars="445"/>
        <w:rPr>
          <w:rFonts w:ascii="宋体" w:hAnsi="宋体"/>
          <w:b/>
          <w:bCs/>
          <w:color w:val="auto"/>
          <w:sz w:val="24"/>
          <w:highlight w:val="none"/>
        </w:rPr>
      </w:pPr>
      <w:r>
        <w:rPr>
          <w:rFonts w:hint="eastAsia" w:ascii="宋体" w:hAnsi="宋体"/>
          <w:b/>
          <w:bCs/>
          <w:color w:val="auto"/>
          <w:sz w:val="24"/>
          <w:highlight w:val="none"/>
        </w:rPr>
        <w:t>投标文件名称：（资信技术文件）或（报价文件）</w:t>
      </w:r>
    </w:p>
    <w:p>
      <w:pPr>
        <w:spacing w:before="120" w:beforeLines="50" w:line="480" w:lineRule="auto"/>
        <w:ind w:firstLine="1072" w:firstLineChars="445"/>
        <w:rPr>
          <w:rFonts w:ascii="宋体" w:hAnsi="宋体"/>
          <w:b/>
          <w:bCs/>
          <w:color w:val="auto"/>
          <w:sz w:val="24"/>
          <w:highlight w:val="none"/>
        </w:rPr>
      </w:pPr>
      <w:r>
        <w:rPr>
          <w:rFonts w:hint="eastAsia" w:ascii="宋体" w:hAnsi="宋体"/>
          <w:b/>
          <w:bCs/>
          <w:color w:val="auto"/>
          <w:sz w:val="24"/>
          <w:highlight w:val="none"/>
        </w:rPr>
        <w:t>投标人名称（盖章）：</w:t>
      </w:r>
    </w:p>
    <w:p>
      <w:pPr>
        <w:spacing w:before="120" w:beforeLines="50" w:line="480" w:lineRule="auto"/>
        <w:ind w:firstLine="1072" w:firstLineChars="445"/>
        <w:rPr>
          <w:rFonts w:ascii="宋体" w:hAnsi="宋体"/>
          <w:b/>
          <w:bCs/>
          <w:color w:val="auto"/>
          <w:sz w:val="24"/>
          <w:highlight w:val="none"/>
        </w:rPr>
      </w:pPr>
      <w:r>
        <w:rPr>
          <w:rFonts w:hint="eastAsia" w:ascii="宋体" w:hAnsi="宋体"/>
          <w:b/>
          <w:bCs/>
          <w:color w:val="auto"/>
          <w:sz w:val="24"/>
          <w:highlight w:val="none"/>
        </w:rPr>
        <w:t>投标人地址：</w:t>
      </w:r>
    </w:p>
    <w:p>
      <w:pPr>
        <w:spacing w:before="120" w:beforeLines="50" w:line="360" w:lineRule="auto"/>
        <w:rPr>
          <w:rFonts w:ascii="宋体" w:hAnsi="宋体"/>
          <w:color w:val="auto"/>
          <w:sz w:val="24"/>
          <w:highlight w:val="none"/>
        </w:rPr>
      </w:pPr>
    </w:p>
    <w:p>
      <w:pPr>
        <w:spacing w:before="120" w:beforeLines="50" w:line="360" w:lineRule="auto"/>
        <w:rPr>
          <w:rFonts w:ascii="宋体" w:hAnsi="宋体"/>
          <w:color w:val="auto"/>
          <w:sz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ascii="宋体" w:hAnsi="宋体"/>
          <w:b/>
          <w:color w:val="auto"/>
          <w:sz w:val="24"/>
          <w:highlight w:val="none"/>
        </w:rPr>
      </w:pPr>
    </w:p>
    <w:p>
      <w:pPr>
        <w:rPr>
          <w:rFonts w:ascii="宋体" w:hAnsi="宋体"/>
          <w:b/>
          <w:color w:val="auto"/>
          <w:sz w:val="24"/>
          <w:highlight w:val="none"/>
        </w:rPr>
      </w:pPr>
    </w:p>
    <w:p>
      <w:pPr>
        <w:pStyle w:val="44"/>
        <w:rPr>
          <w:rFonts w:ascii="宋体" w:hAnsi="宋体"/>
          <w:b/>
          <w:color w:val="auto"/>
          <w:sz w:val="24"/>
          <w:highlight w:val="none"/>
        </w:rPr>
      </w:pPr>
    </w:p>
    <w:p>
      <w:pPr>
        <w:pStyle w:val="12"/>
        <w:rPr>
          <w:color w:val="auto"/>
        </w:rPr>
      </w:pPr>
    </w:p>
    <w:p>
      <w:pPr>
        <w:pStyle w:val="7"/>
        <w:rPr>
          <w:color w:val="auto"/>
          <w:highlight w:val="none"/>
        </w:rPr>
      </w:pPr>
    </w:p>
    <w:p>
      <w:pPr>
        <w:rPr>
          <w:rFonts w:ascii="宋体" w:hAnsi="宋体"/>
          <w:b/>
          <w:color w:val="auto"/>
          <w:sz w:val="24"/>
          <w:highlight w:val="none"/>
        </w:rPr>
      </w:pPr>
    </w:p>
    <w:p>
      <w:pPr>
        <w:rPr>
          <w:rFonts w:ascii="宋体" w:hAnsi="宋体"/>
          <w:b/>
          <w:color w:val="auto"/>
          <w:sz w:val="24"/>
          <w:highlight w:val="none"/>
        </w:rPr>
      </w:pPr>
    </w:p>
    <w:p>
      <w:pPr>
        <w:pStyle w:val="44"/>
        <w:rPr>
          <w:rFonts w:ascii="宋体" w:hAnsi="宋体"/>
          <w:b/>
          <w:color w:val="auto"/>
          <w:sz w:val="24"/>
          <w:highlight w:val="none"/>
        </w:rPr>
      </w:pPr>
    </w:p>
    <w:p>
      <w:pPr>
        <w:pStyle w:val="12"/>
        <w:rPr>
          <w:rFonts w:ascii="宋体" w:hAnsi="宋体"/>
          <w:b/>
          <w:color w:val="auto"/>
          <w:sz w:val="24"/>
          <w:highlight w:val="none"/>
        </w:rPr>
      </w:pPr>
    </w:p>
    <w:p>
      <w:pPr>
        <w:pStyle w:val="35"/>
        <w:rPr>
          <w:rFonts w:ascii="宋体" w:hAnsi="宋体"/>
          <w:b/>
          <w:color w:val="auto"/>
          <w:sz w:val="24"/>
          <w:highlight w:val="none"/>
        </w:rPr>
      </w:pPr>
    </w:p>
    <w:p>
      <w:pPr>
        <w:rPr>
          <w:color w:val="auto"/>
        </w:rPr>
      </w:pPr>
    </w:p>
    <w:p>
      <w:pPr>
        <w:adjustRightInd w:val="0"/>
        <w:snapToGrid w:val="0"/>
        <w:spacing w:line="360" w:lineRule="auto"/>
        <w:rPr>
          <w:rFonts w:ascii="宋体" w:hAnsi="宋体"/>
          <w:b/>
          <w:color w:val="auto"/>
          <w:sz w:val="32"/>
          <w:szCs w:val="32"/>
          <w:highlight w:val="none"/>
        </w:rPr>
      </w:pPr>
    </w:p>
    <w:p>
      <w:pPr>
        <w:pStyle w:val="44"/>
        <w:rPr>
          <w:rFonts w:ascii="宋体" w:hAnsi="宋体"/>
          <w:b/>
          <w:color w:val="auto"/>
          <w:sz w:val="32"/>
          <w:szCs w:val="32"/>
          <w:highlight w:val="none"/>
        </w:rPr>
      </w:pPr>
    </w:p>
    <w:p>
      <w:pPr>
        <w:pStyle w:val="12"/>
        <w:rPr>
          <w:color w:val="auto"/>
        </w:rPr>
      </w:pPr>
    </w:p>
    <w:p>
      <w:pPr>
        <w:adjustRightInd w:val="0"/>
        <w:snapToGrid w:val="0"/>
        <w:spacing w:line="360" w:lineRule="auto"/>
        <w:rPr>
          <w:b/>
          <w:color w:val="auto"/>
          <w:sz w:val="30"/>
          <w:szCs w:val="30"/>
          <w:highlight w:val="none"/>
        </w:rPr>
      </w:pPr>
      <w:r>
        <w:rPr>
          <w:rFonts w:hint="eastAsia" w:ascii="宋体" w:hAnsi="宋体"/>
          <w:b/>
          <w:color w:val="auto"/>
          <w:sz w:val="32"/>
          <w:szCs w:val="32"/>
          <w:highlight w:val="none"/>
        </w:rPr>
        <w:t xml:space="preserve">附件1                 </w:t>
      </w:r>
      <w:r>
        <w:rPr>
          <w:rFonts w:hint="eastAsia"/>
          <w:b/>
          <w:color w:val="auto"/>
          <w:sz w:val="30"/>
          <w:szCs w:val="30"/>
          <w:highlight w:val="none"/>
        </w:rPr>
        <w:t>投标声明书</w:t>
      </w:r>
    </w:p>
    <w:p>
      <w:pPr>
        <w:adjustRightInd w:val="0"/>
        <w:snapToGrid w:val="0"/>
        <w:spacing w:line="360" w:lineRule="auto"/>
        <w:rPr>
          <w:color w:val="auto"/>
          <w:sz w:val="24"/>
          <w:highlight w:val="none"/>
        </w:rPr>
      </w:pPr>
    </w:p>
    <w:p>
      <w:pPr>
        <w:adjustRightInd w:val="0"/>
        <w:snapToGrid w:val="0"/>
        <w:spacing w:line="360" w:lineRule="auto"/>
        <w:rPr>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color w:val="auto"/>
          <w:sz w:val="24"/>
          <w:highlight w:val="none"/>
        </w:rPr>
        <w:t>：</w:t>
      </w:r>
    </w:p>
    <w:p>
      <w:pPr>
        <w:tabs>
          <w:tab w:val="left" w:pos="1418"/>
        </w:tabs>
        <w:snapToGrid w:val="0"/>
        <w:spacing w:before="50" w:after="50" w:line="360" w:lineRule="auto"/>
        <w:ind w:firstLine="480" w:firstLineChars="200"/>
        <w:jc w:val="left"/>
        <w:rPr>
          <w:color w:val="auto"/>
          <w:sz w:val="24"/>
          <w:highlight w:val="none"/>
        </w:rPr>
      </w:pP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（投标人名称）系中华人民共和国合法企业，经营地址</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w:t>
      </w:r>
    </w:p>
    <w:p>
      <w:pPr>
        <w:tabs>
          <w:tab w:val="left" w:pos="1418"/>
        </w:tabs>
        <w:snapToGrid w:val="0"/>
        <w:spacing w:before="50" w:after="50" w:line="360" w:lineRule="auto"/>
        <w:ind w:firstLine="480" w:firstLineChars="200"/>
        <w:rPr>
          <w:color w:val="auto"/>
          <w:sz w:val="24"/>
          <w:highlight w:val="none"/>
        </w:rPr>
      </w:pPr>
      <w:r>
        <w:rPr>
          <w:rFonts w:hint="eastAsia"/>
          <w:color w:val="auto"/>
          <w:sz w:val="24"/>
          <w:highlight w:val="none"/>
        </w:rPr>
        <w:t>我</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（姓名）系</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（投标人名称）的法定代表人，我方愿意参加贵方组织的</w:t>
      </w:r>
      <w:r>
        <w:rPr>
          <w:rFonts w:hint="eastAsia"/>
          <w:color w:val="auto"/>
          <w:sz w:val="24"/>
          <w:highlight w:val="none"/>
          <w:u w:val="single"/>
        </w:rPr>
        <w:t xml:space="preserve">                     </w:t>
      </w:r>
      <w:r>
        <w:rPr>
          <w:rFonts w:hint="eastAsia"/>
          <w:color w:val="auto"/>
          <w:sz w:val="24"/>
          <w:highlight w:val="none"/>
        </w:rPr>
        <w:t>的投</w:t>
      </w:r>
      <w:r>
        <w:rPr>
          <w:color w:val="auto"/>
          <w:sz w:val="24"/>
          <w:highlight w:val="none"/>
        </w:rPr>
        <w:t>标，</w:t>
      </w:r>
      <w:r>
        <w:rPr>
          <w:rFonts w:hint="eastAsia"/>
          <w:color w:val="auto"/>
          <w:sz w:val="24"/>
          <w:highlight w:val="none"/>
        </w:rPr>
        <w:t>为便于贵方公正、择优地确定中标人及其投标项目的服务，我方就本次投标有关事项郑重声明如下：</w:t>
      </w:r>
    </w:p>
    <w:p>
      <w:pPr>
        <w:adjustRightInd w:val="0"/>
        <w:snapToGrid w:val="0"/>
        <w:spacing w:line="360" w:lineRule="auto"/>
        <w:ind w:firstLine="480" w:firstLineChars="200"/>
        <w:rPr>
          <w:color w:val="auto"/>
          <w:sz w:val="24"/>
          <w:highlight w:val="none"/>
        </w:rPr>
      </w:pPr>
      <w:r>
        <w:rPr>
          <w:rFonts w:hint="eastAsia"/>
          <w:color w:val="auto"/>
          <w:sz w:val="24"/>
          <w:highlight w:val="none"/>
        </w:rPr>
        <w:t>1、我方向贵方</w:t>
      </w:r>
      <w:r>
        <w:rPr>
          <w:color w:val="auto"/>
          <w:sz w:val="24"/>
          <w:highlight w:val="none"/>
        </w:rPr>
        <w:t>提交</w:t>
      </w:r>
      <w:r>
        <w:rPr>
          <w:rFonts w:hint="eastAsia"/>
          <w:color w:val="auto"/>
          <w:sz w:val="24"/>
          <w:highlight w:val="none"/>
        </w:rPr>
        <w:t>的所有投标</w:t>
      </w:r>
      <w:r>
        <w:rPr>
          <w:color w:val="auto"/>
          <w:sz w:val="24"/>
          <w:highlight w:val="none"/>
        </w:rPr>
        <w:t>文件</w:t>
      </w:r>
      <w:r>
        <w:rPr>
          <w:rFonts w:hint="eastAsia"/>
          <w:color w:val="auto"/>
          <w:sz w:val="24"/>
          <w:highlight w:val="none"/>
        </w:rPr>
        <w:t>、资料都</w:t>
      </w:r>
      <w:r>
        <w:rPr>
          <w:color w:val="auto"/>
          <w:sz w:val="24"/>
          <w:highlight w:val="none"/>
        </w:rPr>
        <w:t>是准确的和真实的</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2、我方不是采购人的附属机构；在获知本项目采购信息后，与采购人聘请的为此项目提供咨询服务的公司及其附属机构没有任何联系。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color w:val="auto"/>
          <w:sz w:val="24"/>
          <w:highlight w:val="none"/>
        </w:rPr>
      </w:pPr>
      <w:r>
        <w:rPr>
          <w:rFonts w:hint="eastAsia"/>
          <w:color w:val="auto"/>
          <w:sz w:val="24"/>
          <w:highlight w:val="none"/>
        </w:rPr>
        <w:t>3、我方此次向贵方提供的项目名称为：</w:t>
      </w:r>
      <w:r>
        <w:rPr>
          <w:rFonts w:hint="eastAsia"/>
          <w:color w:val="auto"/>
          <w:sz w:val="24"/>
          <w:highlight w:val="none"/>
          <w:u w:val="single"/>
        </w:rPr>
        <w:t xml:space="preserve">                     </w:t>
      </w:r>
      <w:r>
        <w:rPr>
          <w:rFonts w:hint="eastAsia"/>
          <w:color w:val="auto"/>
          <w:sz w:val="24"/>
          <w:highlight w:val="none"/>
        </w:rPr>
        <w:t>；设备项目内容：</w:t>
      </w:r>
      <w:r>
        <w:rPr>
          <w:rFonts w:hint="eastAsia"/>
          <w:color w:val="auto"/>
          <w:sz w:val="24"/>
          <w:highlight w:val="none"/>
          <w:u w:val="single"/>
        </w:rPr>
        <w:t>详见投标报价明细表</w:t>
      </w:r>
      <w:r>
        <w:rPr>
          <w:rFonts w:hint="eastAsia"/>
          <w:color w:val="auto"/>
          <w:sz w:val="24"/>
          <w:highlight w:val="none"/>
        </w:rPr>
        <w:t>；</w:t>
      </w:r>
    </w:p>
    <w:p>
      <w:pPr>
        <w:adjustRightInd w:val="0"/>
        <w:snapToGrid w:val="0"/>
        <w:spacing w:line="360" w:lineRule="auto"/>
        <w:ind w:firstLine="480" w:firstLineChars="200"/>
        <w:rPr>
          <w:color w:val="auto"/>
          <w:sz w:val="24"/>
          <w:highlight w:val="none"/>
          <w:u w:val="single"/>
        </w:rPr>
      </w:pPr>
      <w:r>
        <w:rPr>
          <w:rFonts w:hint="eastAsia"/>
          <w:color w:val="auto"/>
          <w:sz w:val="24"/>
          <w:highlight w:val="none"/>
        </w:rPr>
        <w:t>4、我方最近三年内的被公开披露或查处的违法违规行为有：</w:t>
      </w:r>
      <w:r>
        <w:rPr>
          <w:rFonts w:hint="eastAsia"/>
          <w:color w:val="auto"/>
          <w:sz w:val="24"/>
          <w:highlight w:val="none"/>
          <w:u w:val="single"/>
        </w:rPr>
        <w:t xml:space="preserve">　              </w:t>
      </w:r>
    </w:p>
    <w:p>
      <w:pPr>
        <w:adjustRightInd w:val="0"/>
        <w:snapToGrid w:val="0"/>
        <w:spacing w:line="360" w:lineRule="auto"/>
        <w:ind w:firstLine="480" w:firstLineChars="200"/>
        <w:rPr>
          <w:color w:val="auto"/>
          <w:sz w:val="24"/>
          <w:highlight w:val="none"/>
          <w:u w:val="single"/>
        </w:rPr>
      </w:pPr>
      <w:r>
        <w:rPr>
          <w:rFonts w:hint="eastAsia"/>
          <w:color w:val="auto"/>
          <w:sz w:val="24"/>
          <w:highlight w:val="none"/>
        </w:rPr>
        <w:t xml:space="preserve"> </w:t>
      </w:r>
      <w:r>
        <w:rPr>
          <w:rFonts w:hint="eastAsia"/>
          <w:color w:val="auto"/>
          <w:sz w:val="24"/>
          <w:highlight w:val="none"/>
          <w:u w:val="single"/>
        </w:rPr>
        <w:t xml:space="preserve">                                                     </w:t>
      </w:r>
    </w:p>
    <w:p>
      <w:pPr>
        <w:numPr>
          <w:ilvl w:val="0"/>
          <w:numId w:val="38"/>
        </w:numPr>
        <w:adjustRightInd w:val="0"/>
        <w:snapToGrid w:val="0"/>
        <w:spacing w:line="360" w:lineRule="auto"/>
        <w:ind w:firstLine="480" w:firstLineChars="200"/>
        <w:rPr>
          <w:color w:val="auto"/>
          <w:sz w:val="24"/>
          <w:highlight w:val="none"/>
        </w:rPr>
      </w:pPr>
      <w:r>
        <w:rPr>
          <w:rFonts w:hint="eastAsia"/>
          <w:color w:val="auto"/>
          <w:sz w:val="24"/>
          <w:highlight w:val="none"/>
        </w:rPr>
        <w:t>以上事项如有虚假或隐瞒，我方愿意承担一切后果和责任。</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jc w:val="right"/>
        <w:rPr>
          <w:color w:val="auto"/>
          <w:sz w:val="24"/>
          <w:highlight w:val="none"/>
          <w:u w:val="single"/>
        </w:rPr>
      </w:pPr>
      <w:r>
        <w:rPr>
          <w:rFonts w:hint="eastAsia" w:ascii="宋体" w:hAnsi="宋体"/>
          <w:color w:val="auto"/>
          <w:sz w:val="24"/>
          <w:highlight w:val="none"/>
        </w:rPr>
        <w:t xml:space="preserve"> 法定代表人或被授权人签字（或签章）</w:t>
      </w:r>
      <w:r>
        <w:rPr>
          <w:rFonts w:hint="eastAsia"/>
          <w:color w:val="auto"/>
          <w:sz w:val="24"/>
          <w:highlight w:val="none"/>
        </w:rPr>
        <w:t>：</w:t>
      </w:r>
    </w:p>
    <w:p>
      <w:pPr>
        <w:adjustRightInd w:val="0"/>
        <w:snapToGrid w:val="0"/>
        <w:spacing w:line="360" w:lineRule="auto"/>
        <w:ind w:firstLine="480" w:firstLineChars="200"/>
        <w:jc w:val="right"/>
        <w:rPr>
          <w:color w:val="auto"/>
          <w:sz w:val="24"/>
          <w:highlight w:val="none"/>
          <w:u w:val="single"/>
        </w:rPr>
      </w:pPr>
      <w:r>
        <w:rPr>
          <w:rFonts w:hint="eastAsia"/>
          <w:color w:val="auto"/>
          <w:sz w:val="24"/>
          <w:highlight w:val="none"/>
        </w:rPr>
        <w:t>投标人</w:t>
      </w:r>
      <w:r>
        <w:rPr>
          <w:color w:val="auto"/>
          <w:sz w:val="24"/>
          <w:highlight w:val="none"/>
        </w:rPr>
        <w:t>盖</w:t>
      </w:r>
      <w:r>
        <w:rPr>
          <w:rFonts w:hint="eastAsia"/>
          <w:color w:val="auto"/>
          <w:sz w:val="24"/>
          <w:highlight w:val="none"/>
        </w:rPr>
        <w:t>章：</w:t>
      </w:r>
    </w:p>
    <w:p>
      <w:pPr>
        <w:adjustRightInd w:val="0"/>
        <w:snapToGrid w:val="0"/>
        <w:spacing w:line="360" w:lineRule="auto"/>
        <w:ind w:firstLine="240" w:firstLineChars="100"/>
        <w:jc w:val="right"/>
        <w:rPr>
          <w:color w:val="auto"/>
          <w:sz w:val="24"/>
          <w:highlight w:val="none"/>
        </w:rPr>
      </w:pPr>
      <w:r>
        <w:rPr>
          <w:rFonts w:hint="eastAsia"/>
          <w:color w:val="auto"/>
          <w:sz w:val="24"/>
          <w:highlight w:val="none"/>
        </w:rPr>
        <w:t>年    月    日</w:t>
      </w:r>
    </w:p>
    <w:p>
      <w:pPr>
        <w:spacing w:before="120" w:beforeLines="50" w:line="360" w:lineRule="auto"/>
        <w:jc w:val="center"/>
        <w:rPr>
          <w:rFonts w:ascii="宋体" w:hAnsi="宋体"/>
          <w:b/>
          <w:color w:val="auto"/>
          <w:sz w:val="24"/>
          <w:highlight w:val="none"/>
        </w:rPr>
      </w:pPr>
    </w:p>
    <w:p>
      <w:pPr>
        <w:spacing w:before="120" w:beforeLines="50" w:line="360" w:lineRule="auto"/>
        <w:jc w:val="center"/>
        <w:rPr>
          <w:rFonts w:ascii="宋体" w:hAnsi="宋体"/>
          <w:b/>
          <w:color w:val="auto"/>
          <w:sz w:val="24"/>
          <w:highlight w:val="none"/>
        </w:rPr>
      </w:pPr>
    </w:p>
    <w:p>
      <w:pPr>
        <w:spacing w:before="120" w:beforeLines="50" w:line="360" w:lineRule="auto"/>
        <w:jc w:val="center"/>
        <w:rPr>
          <w:rFonts w:ascii="宋体" w:hAnsi="宋体"/>
          <w:b/>
          <w:color w:val="auto"/>
          <w:sz w:val="24"/>
          <w:highlight w:val="none"/>
        </w:rPr>
      </w:pPr>
    </w:p>
    <w:p>
      <w:pPr>
        <w:spacing w:before="120" w:beforeLines="50" w:line="360" w:lineRule="auto"/>
        <w:jc w:val="center"/>
        <w:rPr>
          <w:rFonts w:ascii="宋体" w:hAnsi="宋体"/>
          <w:b/>
          <w:color w:val="auto"/>
          <w:sz w:val="24"/>
          <w:highlight w:val="none"/>
        </w:rPr>
      </w:pPr>
    </w:p>
    <w:p>
      <w:pPr>
        <w:spacing w:before="120" w:beforeLines="50" w:line="360" w:lineRule="auto"/>
        <w:jc w:val="center"/>
        <w:rPr>
          <w:rFonts w:ascii="宋体" w:hAnsi="宋体"/>
          <w:b/>
          <w:color w:val="auto"/>
          <w:sz w:val="24"/>
          <w:highlight w:val="none"/>
        </w:rPr>
      </w:pPr>
    </w:p>
    <w:p>
      <w:pPr>
        <w:spacing w:before="120" w:beforeLines="50" w:line="360" w:lineRule="auto"/>
        <w:rPr>
          <w:rFonts w:hint="eastAsia" w:ascii="宋体" w:hAnsi="宋体"/>
          <w:b/>
          <w:color w:val="auto"/>
          <w:sz w:val="32"/>
          <w:szCs w:val="32"/>
          <w:highlight w:val="none"/>
        </w:rPr>
      </w:pPr>
    </w:p>
    <w:p>
      <w:pPr>
        <w:spacing w:before="120" w:beforeLines="50" w:line="360" w:lineRule="auto"/>
        <w:rPr>
          <w:rFonts w:ascii="宋体" w:hAnsi="宋体"/>
          <w:b/>
          <w:color w:val="auto"/>
          <w:sz w:val="32"/>
          <w:szCs w:val="32"/>
          <w:highlight w:val="none"/>
        </w:rPr>
      </w:pPr>
      <w:r>
        <w:rPr>
          <w:rFonts w:hint="eastAsia" w:ascii="宋体" w:hAnsi="宋体"/>
          <w:b/>
          <w:color w:val="auto"/>
          <w:sz w:val="32"/>
          <w:szCs w:val="32"/>
          <w:highlight w:val="none"/>
        </w:rPr>
        <w:t>附件2               法定代表人授权委托书</w:t>
      </w:r>
    </w:p>
    <w:p>
      <w:pPr>
        <w:spacing w:before="120" w:beforeLines="50"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 xml:space="preserve">                   </w:t>
      </w:r>
      <w:r>
        <w:rPr>
          <w:rFonts w:ascii="宋体" w:hAnsi="宋体"/>
          <w:color w:val="auto"/>
          <w:sz w:val="24"/>
          <w:highlight w:val="none"/>
        </w:rPr>
        <w:t>：</w:t>
      </w:r>
      <w:r>
        <w:rPr>
          <w:rFonts w:hint="eastAsia" w:ascii="宋体" w:hAnsi="宋体"/>
          <w:b/>
          <w:bCs/>
          <w:color w:val="auto"/>
          <w:sz w:val="24"/>
          <w:highlight w:val="none"/>
        </w:rPr>
        <w:t xml:space="preserve"> </w:t>
      </w:r>
    </w:p>
    <w:p>
      <w:pPr>
        <w:spacing w:before="120" w:beforeLines="50" w:line="360" w:lineRule="auto"/>
        <w:ind w:firstLine="720" w:firstLineChars="30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（企业名称）系中华人民共和国合法企业，法定地址</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before="120" w:beforeLines="50" w:line="360" w:lineRule="auto"/>
        <w:ind w:firstLine="720" w:firstLineChars="300"/>
        <w:jc w:val="lef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（法定代表人）特授权 </w:t>
      </w:r>
      <w:r>
        <w:rPr>
          <w:rFonts w:hint="eastAsia" w:ascii="宋体" w:hAnsi="宋体"/>
          <w:color w:val="auto"/>
          <w:sz w:val="24"/>
          <w:highlight w:val="none"/>
          <w:u w:val="single"/>
        </w:rPr>
        <w:t xml:space="preserve">         </w:t>
      </w:r>
      <w:r>
        <w:rPr>
          <w:rFonts w:hint="eastAsia" w:ascii="宋体" w:hAnsi="宋体"/>
          <w:color w:val="auto"/>
          <w:sz w:val="24"/>
          <w:highlight w:val="none"/>
        </w:rPr>
        <w:t>代表我单位全权办理</w:t>
      </w:r>
      <w:r>
        <w:rPr>
          <w:rFonts w:hint="eastAsia" w:ascii="宋体" w:hAnsi="宋体"/>
          <w:color w:val="auto"/>
          <w:sz w:val="24"/>
          <w:highlight w:val="none"/>
          <w:u w:val="single"/>
        </w:rPr>
        <w:t xml:space="preserve">           </w:t>
      </w:r>
      <w:r>
        <w:rPr>
          <w:rFonts w:hint="eastAsia" w:ascii="宋体" w:hAnsi="宋体"/>
          <w:color w:val="auto"/>
          <w:sz w:val="24"/>
          <w:highlight w:val="none"/>
        </w:rPr>
        <w:t>项目的投标、开标、签约等具体工作，并签署全部有关的文件、协议。</w:t>
      </w:r>
    </w:p>
    <w:p>
      <w:pPr>
        <w:spacing w:before="120" w:beforeLines="50" w:line="360" w:lineRule="auto"/>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我单位对被授权人的签名负全部责任。</w:t>
      </w:r>
    </w:p>
    <w:p>
      <w:pPr>
        <w:spacing w:before="120" w:beforeLines="50" w:line="360" w:lineRule="auto"/>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在撤销授权的书面通知以前，本授权书一直有效。被授权人签署的所有文件（在授权书有效期内签署的）不因授权的撤销而失效。</w:t>
      </w:r>
    </w:p>
    <w:p>
      <w:pPr>
        <w:spacing w:before="120" w:beforeLines="50" w:line="360" w:lineRule="auto"/>
        <w:rPr>
          <w:rFonts w:ascii="宋体" w:hAnsi="宋体"/>
          <w:color w:val="auto"/>
          <w:sz w:val="24"/>
          <w:highlight w:val="none"/>
        </w:rPr>
      </w:pPr>
    </w:p>
    <w:p>
      <w:pPr>
        <w:adjustRightInd w:val="0"/>
        <w:snapToGrid w:val="0"/>
        <w:spacing w:before="120" w:beforeLines="50" w:line="360" w:lineRule="auto"/>
        <w:rPr>
          <w:rFonts w:ascii="宋体" w:hAnsi="宋体"/>
          <w:color w:val="auto"/>
          <w:sz w:val="24"/>
          <w:highlight w:val="none"/>
          <w:u w:val="single"/>
        </w:rPr>
      </w:pPr>
      <w:r>
        <w:rPr>
          <w:rFonts w:hint="eastAsia" w:ascii="宋体" w:hAnsi="宋体"/>
          <w:color w:val="auto"/>
          <w:sz w:val="24"/>
          <w:highlight w:val="none"/>
        </w:rPr>
        <w:t>被授权人签字（或签章）：</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法定代表人</w:t>
      </w:r>
      <w:r>
        <w:rPr>
          <w:rFonts w:ascii="宋体" w:hAnsi="宋体"/>
          <w:color w:val="auto"/>
          <w:sz w:val="24"/>
          <w:highlight w:val="none"/>
        </w:rPr>
        <w:t>签</w:t>
      </w:r>
      <w:r>
        <w:rPr>
          <w:rFonts w:hint="eastAsia" w:ascii="宋体" w:hAnsi="宋体"/>
          <w:color w:val="auto"/>
          <w:sz w:val="24"/>
          <w:highlight w:val="none"/>
        </w:rPr>
        <w:t>字（或签章）</w:t>
      </w:r>
      <w:r>
        <w:rPr>
          <w:rFonts w:ascii="宋体" w:hAnsi="宋体"/>
          <w:color w:val="auto"/>
          <w:sz w:val="24"/>
          <w:highlight w:val="none"/>
        </w:rPr>
        <w:t>：</w:t>
      </w:r>
      <w:r>
        <w:rPr>
          <w:rFonts w:ascii="宋体" w:hAnsi="宋体"/>
          <w:color w:val="auto"/>
          <w:sz w:val="24"/>
          <w:highlight w:val="none"/>
          <w:u w:val="single"/>
        </w:rPr>
        <w:t xml:space="preserve">          </w:t>
      </w:r>
    </w:p>
    <w:p>
      <w:pPr>
        <w:adjustRightInd w:val="0"/>
        <w:snapToGrid w:val="0"/>
        <w:spacing w:before="120" w:beforeLines="50" w:line="360" w:lineRule="auto"/>
        <w:rPr>
          <w:rFonts w:ascii="宋体" w:hAnsi="宋体"/>
          <w:color w:val="auto"/>
          <w:sz w:val="24"/>
          <w:highlight w:val="none"/>
        </w:rPr>
      </w:pPr>
      <w:r>
        <w:rPr>
          <w:rFonts w:hint="eastAsia" w:ascii="宋体" w:hAnsi="宋体"/>
          <w:color w:val="auto"/>
          <w:sz w:val="24"/>
          <w:highlight w:val="none"/>
        </w:rPr>
        <w:t>职务：</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职务：</w:t>
      </w:r>
      <w:r>
        <w:rPr>
          <w:rFonts w:ascii="宋体" w:hAnsi="宋体"/>
          <w:color w:val="auto"/>
          <w:sz w:val="24"/>
          <w:highlight w:val="none"/>
          <w:u w:val="single"/>
        </w:rPr>
        <w:t xml:space="preserve">            </w:t>
      </w:r>
    </w:p>
    <w:p>
      <w:pPr>
        <w:adjustRightInd w:val="0"/>
        <w:snapToGrid w:val="0"/>
        <w:spacing w:before="120" w:beforeLines="50" w:line="360" w:lineRule="auto"/>
        <w:jc w:val="center"/>
        <w:rPr>
          <w:rFonts w:ascii="宋体" w:hAnsi="宋体"/>
          <w:color w:val="auto"/>
          <w:sz w:val="24"/>
          <w:highlight w:val="none"/>
        </w:rPr>
      </w:pPr>
    </w:p>
    <w:p>
      <w:pPr>
        <w:adjustRightInd w:val="0"/>
        <w:snapToGrid w:val="0"/>
        <w:spacing w:before="120" w:beforeLines="50" w:line="360" w:lineRule="auto"/>
        <w:jc w:val="center"/>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 xml:space="preserve">           投标人公章：</w:t>
      </w:r>
    </w:p>
    <w:p>
      <w:pPr>
        <w:adjustRightInd w:val="0"/>
        <w:snapToGrid w:val="0"/>
        <w:spacing w:before="120" w:beforeLines="50" w:line="360" w:lineRule="auto"/>
        <w:ind w:firstLine="5114" w:firstLineChars="2131"/>
        <w:rPr>
          <w:rFonts w:ascii="宋体" w:hAnsi="宋体"/>
          <w:color w:val="auto"/>
          <w:sz w:val="24"/>
          <w:highlight w:val="none"/>
        </w:rPr>
      </w:pPr>
      <w:r>
        <w:rPr>
          <w:rFonts w:hint="eastAsia" w:ascii="宋体" w:hAnsi="宋体"/>
          <w:color w:val="auto"/>
          <w:sz w:val="24"/>
          <w:highlight w:val="none"/>
        </w:rPr>
        <w:t>年    月    日</w:t>
      </w:r>
    </w:p>
    <w:p>
      <w:pPr>
        <w:spacing w:before="120" w:beforeLines="50" w:line="360" w:lineRule="auto"/>
        <w:ind w:firstLine="3600" w:firstLineChars="1500"/>
        <w:rPr>
          <w:rFonts w:ascii="宋体" w:hAnsi="宋体"/>
          <w:color w:val="auto"/>
          <w:sz w:val="24"/>
          <w:highlight w:val="none"/>
        </w:rPr>
      </w:pPr>
    </w:p>
    <w:p>
      <w:pPr>
        <w:snapToGrid w:val="0"/>
        <w:spacing w:before="120" w:beforeLines="50" w:after="50" w:line="360" w:lineRule="auto"/>
        <w:rPr>
          <w:rFonts w:ascii="宋体"/>
          <w:color w:val="auto"/>
          <w:sz w:val="22"/>
          <w:szCs w:val="28"/>
          <w:highlight w:val="none"/>
        </w:rPr>
      </w:pPr>
      <w:r>
        <w:rPr>
          <w:rFonts w:hint="eastAsia" w:ascii="宋体" w:hAnsi="宋体"/>
          <w:color w:val="auto"/>
          <w:sz w:val="22"/>
          <w:szCs w:val="28"/>
          <w:highlight w:val="none"/>
        </w:rPr>
        <w:t>被授权人身份证粘贴处（正反面）                   法定代表人身份证粘贴处（正反面）</w:t>
      </w:r>
      <w:r>
        <w:rPr>
          <w:rFonts w:ascii="宋体" w:hAnsi="宋体"/>
          <w:color w:val="auto"/>
          <w:sz w:val="22"/>
          <w:szCs w:val="28"/>
          <w:highlight w:val="none"/>
        </w:rPr>
        <w:t xml:space="preserve">       </w:t>
      </w:r>
      <w:r>
        <w:rPr>
          <w:rFonts w:hint="eastAsia" w:ascii="宋体" w:hAnsi="宋体"/>
          <w:color w:val="auto"/>
          <w:sz w:val="22"/>
          <w:szCs w:val="28"/>
          <w:highlight w:val="none"/>
        </w:rPr>
        <w:t xml:space="preserve">         </w:t>
      </w:r>
    </w:p>
    <w:p>
      <w:pPr>
        <w:spacing w:before="120" w:beforeLines="50" w:line="360" w:lineRule="auto"/>
        <w:rPr>
          <w:rFonts w:hAnsi="宋体"/>
          <w:b/>
          <w:color w:val="auto"/>
          <w:sz w:val="24"/>
          <w:highlight w:val="none"/>
        </w:rPr>
      </w:pPr>
    </w:p>
    <w:p>
      <w:pPr>
        <w:spacing w:before="120" w:beforeLines="50" w:line="360" w:lineRule="auto"/>
        <w:rPr>
          <w:rFonts w:hAnsi="宋体"/>
          <w:b/>
          <w:color w:val="auto"/>
          <w:sz w:val="24"/>
          <w:highlight w:val="none"/>
        </w:rPr>
      </w:pPr>
    </w:p>
    <w:p>
      <w:pPr>
        <w:spacing w:before="120" w:beforeLines="50" w:line="360" w:lineRule="auto"/>
        <w:rPr>
          <w:rFonts w:hAnsi="宋体"/>
          <w:color w:val="auto"/>
          <w:sz w:val="24"/>
          <w:highlight w:val="none"/>
        </w:rPr>
      </w:pPr>
    </w:p>
    <w:p>
      <w:pPr>
        <w:spacing w:before="120" w:beforeLines="50" w:line="360" w:lineRule="auto"/>
        <w:rPr>
          <w:rFonts w:hAnsi="宋体"/>
          <w:color w:val="auto"/>
          <w:sz w:val="24"/>
          <w:highlight w:val="none"/>
        </w:rPr>
      </w:pPr>
    </w:p>
    <w:p>
      <w:pPr>
        <w:spacing w:before="120" w:beforeLines="50" w:line="360" w:lineRule="auto"/>
        <w:rPr>
          <w:rFonts w:hAnsi="宋体"/>
          <w:color w:val="auto"/>
          <w:sz w:val="24"/>
          <w:highlight w:val="none"/>
        </w:rPr>
      </w:pPr>
    </w:p>
    <w:p>
      <w:pPr>
        <w:spacing w:before="120" w:beforeLines="50" w:line="360" w:lineRule="auto"/>
        <w:rPr>
          <w:rFonts w:hAnsi="宋体"/>
          <w:color w:val="auto"/>
          <w:sz w:val="24"/>
          <w:highlight w:val="none"/>
        </w:rPr>
      </w:pPr>
    </w:p>
    <w:p>
      <w:pPr>
        <w:spacing w:before="120" w:beforeLines="50" w:line="360" w:lineRule="auto"/>
        <w:rPr>
          <w:rFonts w:hAnsi="宋体"/>
          <w:color w:val="auto"/>
          <w:sz w:val="24"/>
          <w:highlight w:val="none"/>
        </w:rPr>
      </w:pPr>
    </w:p>
    <w:p>
      <w:pPr>
        <w:spacing w:before="120" w:beforeLines="50" w:line="360" w:lineRule="auto"/>
        <w:rPr>
          <w:rFonts w:hAnsi="宋体"/>
          <w:color w:val="auto"/>
          <w:sz w:val="24"/>
          <w:highlight w:val="none"/>
        </w:rPr>
      </w:pPr>
    </w:p>
    <w:p>
      <w:pPr>
        <w:rPr>
          <w:rFonts w:ascii="宋体" w:hAnsi="宋体"/>
          <w:b/>
          <w:color w:val="auto"/>
          <w:sz w:val="28"/>
          <w:szCs w:val="28"/>
          <w:highlight w:val="none"/>
        </w:rPr>
      </w:pPr>
      <w:r>
        <w:rPr>
          <w:rFonts w:hint="eastAsia" w:ascii="宋体" w:hAnsi="宋体"/>
          <w:b/>
          <w:color w:val="auto"/>
          <w:sz w:val="32"/>
          <w:szCs w:val="32"/>
          <w:highlight w:val="none"/>
        </w:rPr>
        <w:t>附件3                  诚信承诺书</w:t>
      </w:r>
    </w:p>
    <w:p>
      <w:pPr>
        <w:rPr>
          <w:rFonts w:ascii="宋体" w:hAnsi="宋体"/>
          <w:b/>
          <w:color w:val="auto"/>
          <w:sz w:val="28"/>
          <w:szCs w:val="28"/>
          <w:highlight w:val="none"/>
        </w:rPr>
      </w:pPr>
    </w:p>
    <w:p>
      <w:pPr>
        <w:spacing w:line="360" w:lineRule="auto"/>
        <w:rPr>
          <w:rFonts w:ascii="宋体" w:hAnsi="宋体"/>
          <w:color w:val="auto"/>
          <w:sz w:val="24"/>
          <w:highlight w:val="none"/>
        </w:rPr>
      </w:pPr>
      <w:r>
        <w:rPr>
          <w:rFonts w:hint="eastAsia" w:ascii="宋体" w:hAnsi="宋体"/>
          <w:color w:val="auto"/>
          <w:sz w:val="24"/>
          <w:highlight w:val="none"/>
          <w:u w:val="single"/>
        </w:rPr>
        <w:t xml:space="preserve">（采购人或招标组织机构）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我方在参加贵单位的＿＿＿＿＿＿＿＿＿＿政府采购项目的招投标活动中，郑重承诺如下：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1、我方申报的所有资料都是真实、准确、完整的；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2、我方无资质挂靠情形，保证不参与串标、围标及抬标；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3、我方未处于被各级行政主管部门做出停止市场行为处罚的期限内；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4、我方参加本项目政府采购活动前3年内在经营活动中没有重大违法记录；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5、若我方中标，将严格按照规定及时与采购人签订合同；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6、若我方中标，将严格按照招标文件要求及投标文件承诺的报价、质量、交货期、投标方案、项目负责人等内容组织实施；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特此承诺。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投标人（加盖公章）：＿＿＿＿＿＿＿＿＿＿＿＿＿＿＿</w:t>
      </w:r>
    </w:p>
    <w:p>
      <w:pPr>
        <w:spacing w:line="360" w:lineRule="auto"/>
        <w:ind w:firstLine="480" w:firstLineChars="200"/>
        <w:rPr>
          <w:rFonts w:ascii="宋体" w:hAnsi="宋体"/>
          <w:color w:val="auto"/>
          <w:sz w:val="24"/>
          <w:highlight w:val="none"/>
        </w:rPr>
      </w:pPr>
      <w:r>
        <w:rPr>
          <w:rFonts w:hint="eastAsia" w:ascii="宋体" w:hAnsi="宋体"/>
          <w:sz w:val="24"/>
        </w:rPr>
        <w:t>法定代表人或被授权人签字（或签章）</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p>
    <w:p>
      <w:pPr>
        <w:spacing w:line="360" w:lineRule="auto"/>
        <w:ind w:firstLine="4920" w:firstLineChars="205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年＿＿月＿＿日</w:t>
      </w:r>
    </w:p>
    <w:p>
      <w:pPr>
        <w:spacing w:line="360" w:lineRule="auto"/>
        <w:ind w:firstLine="4920" w:firstLineChars="2050"/>
        <w:rPr>
          <w:rFonts w:ascii="宋体" w:hAnsi="宋体"/>
          <w:color w:val="auto"/>
          <w:sz w:val="24"/>
          <w:highlight w:val="none"/>
        </w:rPr>
      </w:pPr>
    </w:p>
    <w:p>
      <w:pPr>
        <w:spacing w:line="360" w:lineRule="auto"/>
        <w:ind w:firstLine="4920" w:firstLineChars="2050"/>
        <w:rPr>
          <w:rFonts w:ascii="宋体" w:hAnsi="宋体"/>
          <w:color w:val="auto"/>
          <w:sz w:val="24"/>
          <w:highlight w:val="none"/>
        </w:rPr>
      </w:pPr>
    </w:p>
    <w:p>
      <w:pPr>
        <w:spacing w:line="360" w:lineRule="auto"/>
        <w:ind w:firstLine="4920" w:firstLineChars="2050"/>
        <w:rPr>
          <w:rFonts w:ascii="宋体" w:hAnsi="宋体"/>
          <w:color w:val="auto"/>
          <w:sz w:val="24"/>
          <w:highlight w:val="none"/>
        </w:rPr>
      </w:pPr>
    </w:p>
    <w:p>
      <w:pPr>
        <w:spacing w:line="360" w:lineRule="auto"/>
        <w:ind w:firstLine="4920" w:firstLineChars="2050"/>
        <w:rPr>
          <w:rFonts w:ascii="宋体" w:hAnsi="宋体"/>
          <w:color w:val="auto"/>
          <w:sz w:val="24"/>
          <w:highlight w:val="none"/>
        </w:rPr>
      </w:pPr>
    </w:p>
    <w:p>
      <w:pPr>
        <w:spacing w:line="360" w:lineRule="auto"/>
        <w:ind w:firstLine="4920" w:firstLineChars="2050"/>
        <w:rPr>
          <w:rFonts w:ascii="宋体" w:hAnsi="宋体"/>
          <w:color w:val="auto"/>
          <w:sz w:val="24"/>
          <w:highlight w:val="none"/>
        </w:rPr>
      </w:pPr>
    </w:p>
    <w:p>
      <w:pPr>
        <w:spacing w:line="360" w:lineRule="auto"/>
        <w:ind w:firstLine="4920" w:firstLineChars="2050"/>
        <w:rPr>
          <w:rFonts w:ascii="宋体" w:hAnsi="宋体"/>
          <w:color w:val="auto"/>
          <w:sz w:val="24"/>
          <w:highlight w:val="none"/>
        </w:rPr>
      </w:pPr>
    </w:p>
    <w:p>
      <w:pPr>
        <w:spacing w:line="360" w:lineRule="auto"/>
        <w:ind w:firstLine="4920" w:firstLineChars="2050"/>
        <w:rPr>
          <w:rFonts w:ascii="宋体" w:hAnsi="宋体"/>
          <w:color w:val="auto"/>
          <w:sz w:val="24"/>
          <w:highlight w:val="none"/>
        </w:rPr>
      </w:pPr>
    </w:p>
    <w:p>
      <w:pPr>
        <w:spacing w:line="360" w:lineRule="auto"/>
        <w:ind w:firstLine="4920" w:firstLineChars="2050"/>
        <w:rPr>
          <w:rFonts w:ascii="宋体" w:hAnsi="宋体"/>
          <w:color w:val="auto"/>
          <w:sz w:val="24"/>
          <w:highlight w:val="none"/>
        </w:rPr>
      </w:pPr>
    </w:p>
    <w:p>
      <w:pPr>
        <w:spacing w:line="360" w:lineRule="auto"/>
        <w:ind w:firstLine="4920" w:firstLineChars="2050"/>
        <w:rPr>
          <w:rFonts w:ascii="宋体" w:hAnsi="宋体"/>
          <w:color w:val="auto"/>
          <w:sz w:val="24"/>
          <w:highlight w:val="none"/>
        </w:rPr>
      </w:pPr>
    </w:p>
    <w:p>
      <w:pPr>
        <w:spacing w:before="120" w:beforeLines="50" w:line="360" w:lineRule="auto"/>
        <w:rPr>
          <w:rFonts w:ascii="宋体" w:hAnsi="宋体"/>
          <w:b/>
          <w:color w:val="auto"/>
          <w:sz w:val="32"/>
          <w:szCs w:val="32"/>
          <w:highlight w:val="none"/>
        </w:rPr>
      </w:pPr>
      <w:r>
        <w:rPr>
          <w:rFonts w:hint="eastAsia" w:hAnsi="宋体"/>
          <w:b/>
          <w:color w:val="auto"/>
          <w:sz w:val="32"/>
          <w:szCs w:val="32"/>
          <w:highlight w:val="none"/>
        </w:rPr>
        <w:t>附件4</w:t>
      </w:r>
      <w:r>
        <w:rPr>
          <w:rFonts w:hint="eastAsia" w:ascii="宋体" w:hAnsi="宋体"/>
          <w:b/>
          <w:color w:val="auto"/>
          <w:sz w:val="32"/>
          <w:szCs w:val="32"/>
          <w:highlight w:val="none"/>
        </w:rPr>
        <w:t xml:space="preserve">               关于资格的声明函</w:t>
      </w:r>
    </w:p>
    <w:p>
      <w:pPr>
        <w:spacing w:before="120" w:beforeLines="50" w:line="360" w:lineRule="auto"/>
        <w:rPr>
          <w:rFonts w:ascii="宋体" w:hAnsi="宋体"/>
          <w:color w:val="auto"/>
          <w:sz w:val="24"/>
          <w:highlight w:val="none"/>
          <w:u w:val="single"/>
        </w:rPr>
      </w:pPr>
      <w:r>
        <w:rPr>
          <w:rFonts w:hint="eastAsia" w:ascii="宋体" w:hAnsi="宋体"/>
          <w:color w:val="auto"/>
          <w:sz w:val="24"/>
          <w:highlight w:val="none"/>
        </w:rPr>
        <w:t>致：</w:t>
      </w:r>
    </w:p>
    <w:p>
      <w:pPr>
        <w:spacing w:before="120" w:beforeLines="50" w:line="360" w:lineRule="auto"/>
        <w:ind w:firstLine="645"/>
        <w:rPr>
          <w:rFonts w:ascii="宋体" w:hAnsi="宋体"/>
          <w:color w:val="auto"/>
          <w:sz w:val="24"/>
          <w:highlight w:val="none"/>
        </w:rPr>
      </w:pPr>
      <w:r>
        <w:rPr>
          <w:rFonts w:hint="eastAsia" w:ascii="宋体" w:hAnsi="宋体"/>
          <w:color w:val="auto"/>
          <w:sz w:val="24"/>
          <w:highlight w:val="none"/>
        </w:rPr>
        <w:t>关于贵方</w:t>
      </w:r>
      <w:r>
        <w:rPr>
          <w:rFonts w:hint="eastAsia" w:ascii="宋体" w:hAnsi="宋体"/>
          <w:color w:val="auto"/>
          <w:sz w:val="24"/>
          <w:highlight w:val="none"/>
          <w:u w:val="single"/>
        </w:rPr>
        <w:t xml:space="preserve">                  </w:t>
      </w:r>
      <w:r>
        <w:rPr>
          <w:rFonts w:ascii="宋体" w:hAnsi="宋体"/>
          <w:color w:val="auto"/>
          <w:sz w:val="24"/>
          <w:highlight w:val="none"/>
        </w:rPr>
        <w:t>招标</w:t>
      </w:r>
      <w:r>
        <w:rPr>
          <w:rFonts w:hint="eastAsia" w:ascii="宋体" w:hAnsi="宋体"/>
          <w:color w:val="auto"/>
          <w:sz w:val="24"/>
          <w:highlight w:val="none"/>
        </w:rPr>
        <w:t>项目</w:t>
      </w:r>
      <w:r>
        <w:rPr>
          <w:rFonts w:ascii="宋体" w:hAnsi="宋体"/>
          <w:color w:val="auto"/>
          <w:sz w:val="24"/>
          <w:highlight w:val="none"/>
        </w:rPr>
        <w:t>，本签字人愿意参加投标，提供</w:t>
      </w:r>
      <w:r>
        <w:rPr>
          <w:rFonts w:hint="eastAsia" w:ascii="宋体" w:hAnsi="宋体"/>
          <w:color w:val="auto"/>
          <w:sz w:val="24"/>
          <w:highlight w:val="none"/>
        </w:rPr>
        <w:t>嘉兴政府采购一</w:t>
      </w:r>
      <w:r>
        <w:rPr>
          <w:rFonts w:ascii="宋体" w:hAnsi="宋体"/>
          <w:color w:val="auto"/>
          <w:sz w:val="24"/>
          <w:highlight w:val="none"/>
        </w:rPr>
        <w:t>览表中规定的</w:t>
      </w:r>
      <w:r>
        <w:rPr>
          <w:rFonts w:hint="eastAsia" w:ascii="宋体" w:hAnsi="宋体"/>
          <w:color w:val="auto"/>
          <w:sz w:val="24"/>
          <w:highlight w:val="none"/>
        </w:rPr>
        <w:t>要求及服务，</w:t>
      </w:r>
      <w:r>
        <w:rPr>
          <w:rFonts w:ascii="宋体" w:hAnsi="宋体"/>
          <w:color w:val="auto"/>
          <w:sz w:val="24"/>
          <w:highlight w:val="none"/>
        </w:rPr>
        <w:t>并证实提交的下列文件和说明是准确的和真实的</w:t>
      </w:r>
      <w:r>
        <w:rPr>
          <w:rFonts w:hint="eastAsia" w:ascii="宋体" w:hAnsi="宋体"/>
          <w:color w:val="auto"/>
          <w:sz w:val="24"/>
          <w:highlight w:val="none"/>
        </w:rPr>
        <w:t>：</w:t>
      </w:r>
    </w:p>
    <w:p>
      <w:pPr>
        <w:spacing w:line="600" w:lineRule="exact"/>
        <w:ind w:firstLine="360" w:firstLineChars="15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投标人基本情况表。</w:t>
      </w:r>
    </w:p>
    <w:p>
      <w:pPr>
        <w:spacing w:line="600" w:lineRule="exact"/>
        <w:ind w:firstLine="360" w:firstLineChars="150"/>
        <w:rPr>
          <w:rFonts w:ascii="宋体" w:hAnsi="宋体"/>
          <w:color w:val="auto"/>
          <w:sz w:val="24"/>
          <w:highlight w:val="none"/>
        </w:rPr>
      </w:pPr>
      <w:r>
        <w:rPr>
          <w:rFonts w:hint="eastAsia" w:ascii="宋体" w:hAnsi="宋体"/>
          <w:color w:val="auto"/>
          <w:sz w:val="24"/>
          <w:highlight w:val="none"/>
        </w:rPr>
        <w:t>2、营业执照副本。（复印件盖章）</w:t>
      </w:r>
    </w:p>
    <w:p>
      <w:pPr>
        <w:spacing w:line="600" w:lineRule="exact"/>
        <w:ind w:firstLine="360" w:firstLineChars="15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eastAsia="宋体" w:cs="宋体"/>
          <w:color w:val="auto"/>
          <w:sz w:val="24"/>
          <w:highlight w:val="none"/>
        </w:rPr>
        <w:t>符合参加政府采购活动应当具备的一般条件的承诺函</w:t>
      </w:r>
    </w:p>
    <w:p>
      <w:pPr>
        <w:spacing w:line="600" w:lineRule="exact"/>
        <w:ind w:firstLine="360" w:firstLineChars="15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中小企业声明函、残疾人福利性单位声明函、监狱企业证明文件</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如有</w:t>
      </w:r>
      <w:r>
        <w:rPr>
          <w:rFonts w:hint="eastAsia" w:ascii="宋体" w:hAnsi="宋体"/>
          <w:color w:val="auto"/>
          <w:sz w:val="24"/>
          <w:highlight w:val="none"/>
          <w:lang w:eastAsia="zh-CN"/>
        </w:rPr>
        <w:t>）</w:t>
      </w:r>
      <w:r>
        <w:rPr>
          <w:rFonts w:hint="eastAsia" w:ascii="宋体" w:hAnsi="宋体"/>
          <w:color w:val="auto"/>
          <w:sz w:val="24"/>
          <w:highlight w:val="none"/>
        </w:rPr>
        <w:t>。</w:t>
      </w:r>
    </w:p>
    <w:p>
      <w:pPr>
        <w:spacing w:line="600" w:lineRule="exact"/>
        <w:ind w:firstLine="360" w:firstLineChars="150"/>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质量管理体系认证证书。（如有，复印件盖章）</w:t>
      </w:r>
    </w:p>
    <w:p>
      <w:pPr>
        <w:spacing w:line="600" w:lineRule="exact"/>
        <w:ind w:firstLine="360" w:firstLineChars="15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、环境管理体系认证证书。（如有，复印件盖章）</w:t>
      </w:r>
    </w:p>
    <w:p>
      <w:pPr>
        <w:spacing w:line="600" w:lineRule="exact"/>
        <w:ind w:firstLine="360" w:firstLineChars="15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7、</w:t>
      </w:r>
      <w:r>
        <w:rPr>
          <w:rFonts w:hint="eastAsia" w:ascii="宋体" w:hAnsi="宋体"/>
          <w:color w:val="auto"/>
          <w:sz w:val="24"/>
          <w:highlight w:val="none"/>
        </w:rPr>
        <w:t>有关资信等级证明、荣誉证书</w:t>
      </w:r>
      <w:r>
        <w:rPr>
          <w:rFonts w:hint="eastAsia" w:ascii="宋体" w:hAnsi="宋体"/>
          <w:color w:val="auto"/>
          <w:sz w:val="24"/>
          <w:highlight w:val="none"/>
          <w:lang w:eastAsia="zh-CN"/>
        </w:rPr>
        <w:t>。</w:t>
      </w:r>
    </w:p>
    <w:p>
      <w:pPr>
        <w:spacing w:line="600" w:lineRule="exact"/>
        <w:ind w:firstLine="360" w:firstLineChars="150"/>
        <w:rPr>
          <w:rFonts w:ascii="宋体" w:hAnsi="宋体"/>
          <w:color w:val="auto"/>
          <w:sz w:val="24"/>
          <w:highlight w:val="none"/>
        </w:rPr>
      </w:pPr>
      <w:r>
        <w:rPr>
          <w:rFonts w:hint="eastAsia" w:ascii="宋体" w:hAnsi="宋体"/>
          <w:color w:val="auto"/>
          <w:sz w:val="24"/>
          <w:highlight w:val="none"/>
        </w:rPr>
        <w:t>N、投标人认为有必要提供的声明及文件资料。</w:t>
      </w:r>
    </w:p>
    <w:p>
      <w:pPr>
        <w:spacing w:before="120" w:beforeLines="50" w:line="360" w:lineRule="auto"/>
        <w:rPr>
          <w:rFonts w:ascii="宋体" w:hAnsi="宋体"/>
          <w:color w:val="auto"/>
          <w:sz w:val="24"/>
          <w:highlight w:val="none"/>
        </w:rPr>
      </w:pPr>
    </w:p>
    <w:p>
      <w:pPr>
        <w:spacing w:before="120" w:beforeLines="50" w:line="360" w:lineRule="auto"/>
        <w:rPr>
          <w:rFonts w:ascii="宋体" w:hAnsi="宋体"/>
          <w:color w:val="auto"/>
          <w:sz w:val="24"/>
          <w:highlight w:val="none"/>
        </w:rPr>
      </w:pPr>
    </w:p>
    <w:p>
      <w:pPr>
        <w:spacing w:before="120" w:beforeLines="50" w:line="360" w:lineRule="auto"/>
        <w:rPr>
          <w:rFonts w:ascii="宋体" w:hAnsi="宋体"/>
          <w:color w:val="auto"/>
          <w:sz w:val="24"/>
          <w:highlight w:val="none"/>
        </w:rPr>
      </w:pPr>
    </w:p>
    <w:p>
      <w:pPr>
        <w:spacing w:line="360" w:lineRule="auto"/>
        <w:ind w:firstLine="3600" w:firstLineChars="1500"/>
        <w:rPr>
          <w:rFonts w:hint="eastAsia" w:ascii="宋体" w:hAnsi="宋体" w:eastAsia="宋体" w:cs="Times New Roman"/>
          <w:color w:val="auto"/>
          <w:sz w:val="24"/>
          <w:highlight w:val="none"/>
        </w:rPr>
      </w:pPr>
      <w:r>
        <w:rPr>
          <w:rFonts w:hint="eastAsia" w:ascii="宋体" w:hAnsi="宋体"/>
          <w:color w:val="auto"/>
          <w:sz w:val="24"/>
          <w:highlight w:val="none"/>
        </w:rPr>
        <w:t xml:space="preserve"> 法定代表人</w:t>
      </w:r>
      <w:r>
        <w:rPr>
          <w:rFonts w:hint="eastAsia" w:ascii="宋体" w:hAnsi="宋体" w:eastAsia="宋体" w:cs="Times New Roman"/>
          <w:color w:val="auto"/>
          <w:sz w:val="24"/>
          <w:highlight w:val="none"/>
        </w:rPr>
        <w:t>或被授权人签字（或签章）：</w:t>
      </w:r>
    </w:p>
    <w:p>
      <w:pPr>
        <w:spacing w:line="360" w:lineRule="auto"/>
        <w:ind w:firstLine="3600" w:firstLineChars="1500"/>
        <w:rPr>
          <w:rFonts w:hint="eastAsia" w:ascii="宋体" w:hAnsi="宋体" w:eastAsia="宋体" w:cs="Times New Roman"/>
          <w:color w:val="auto"/>
          <w:sz w:val="24"/>
          <w:highlight w:val="none"/>
        </w:rPr>
      </w:pPr>
    </w:p>
    <w:p>
      <w:pPr>
        <w:spacing w:line="360" w:lineRule="auto"/>
        <w:ind w:firstLine="3600" w:firstLineChars="15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投标人盖章：</w:t>
      </w:r>
    </w:p>
    <w:p>
      <w:pPr>
        <w:spacing w:line="360" w:lineRule="auto"/>
        <w:ind w:firstLine="3600" w:firstLineChars="1500"/>
        <w:jc w:val="righ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pacing w:line="360" w:lineRule="auto"/>
        <w:ind w:firstLine="3600" w:firstLineChars="150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 xml:space="preserve"> </w:t>
      </w:r>
      <w:r>
        <w:rPr>
          <w:rFonts w:hint="eastAsia" w:ascii="宋体" w:hAnsi="宋体" w:eastAsia="宋体" w:cs="Times New Roman"/>
          <w:color w:val="auto"/>
          <w:sz w:val="24"/>
          <w:highlight w:val="none"/>
        </w:rPr>
        <w:t>日        期：</w:t>
      </w:r>
    </w:p>
    <w:p>
      <w:pPr>
        <w:tabs>
          <w:tab w:val="left" w:pos="1418"/>
        </w:tabs>
        <w:spacing w:line="360" w:lineRule="auto"/>
        <w:rPr>
          <w:rFonts w:ascii="宋体" w:hAnsi="宋体"/>
          <w:color w:val="auto"/>
          <w:sz w:val="24"/>
          <w:highlight w:val="none"/>
        </w:rPr>
      </w:pPr>
    </w:p>
    <w:p>
      <w:pPr>
        <w:tabs>
          <w:tab w:val="left" w:pos="1418"/>
        </w:tabs>
        <w:spacing w:line="360" w:lineRule="auto"/>
        <w:rPr>
          <w:rFonts w:ascii="宋体" w:hAnsi="宋体"/>
          <w:color w:val="auto"/>
          <w:sz w:val="24"/>
          <w:highlight w:val="none"/>
        </w:rPr>
      </w:pPr>
    </w:p>
    <w:p>
      <w:pPr>
        <w:spacing w:line="600" w:lineRule="exact"/>
        <w:ind w:firstLine="360" w:firstLineChars="150"/>
        <w:rPr>
          <w:rFonts w:ascii="宋体" w:hAnsi="宋体"/>
          <w:color w:val="auto"/>
          <w:sz w:val="24"/>
          <w:highlight w:val="none"/>
        </w:rPr>
        <w:sectPr>
          <w:headerReference r:id="rId4" w:type="first"/>
          <w:footerReference r:id="rId6" w:type="first"/>
          <w:headerReference r:id="rId3" w:type="default"/>
          <w:footerReference r:id="rId5" w:type="default"/>
          <w:pgSz w:w="11906" w:h="16838"/>
          <w:pgMar w:top="1271" w:right="1247" w:bottom="1389" w:left="1247" w:header="851" w:footer="851" w:gutter="0"/>
          <w:cols w:space="720" w:num="1"/>
          <w:titlePg/>
          <w:docGrid w:linePitch="312" w:charSpace="0"/>
        </w:sectPr>
      </w:pPr>
      <w:r>
        <w:rPr>
          <w:rFonts w:hint="eastAsia" w:ascii="宋体" w:hAnsi="宋体"/>
          <w:color w:val="auto"/>
          <w:sz w:val="24"/>
          <w:highlight w:val="none"/>
        </w:rPr>
        <w:t>提供自招标公告发布之日起至投标截止日内任意时间的“信用中国”网站（www.creditchina.gov.cn）、中国政府采购网（www.ccgp.gov.cn）投标人信用查询网页截图。</w:t>
      </w:r>
    </w:p>
    <w:tbl>
      <w:tblPr>
        <w:tblStyle w:val="37"/>
        <w:tblpPr w:leftFromText="180" w:rightFromText="180" w:vertAnchor="text" w:horzAnchor="page" w:tblpXSpec="center" w:tblpY="850"/>
        <w:tblOverlap w:val="never"/>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00"/>
        <w:gridCol w:w="2119"/>
        <w:gridCol w:w="1920"/>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45" w:type="dxa"/>
            <w:vMerge w:val="restart"/>
            <w:vAlign w:val="center"/>
          </w:tcPr>
          <w:p>
            <w:pPr>
              <w:jc w:val="center"/>
              <w:rPr>
                <w:rFonts w:ascii="仿宋_GB2312" w:eastAsia="仿宋_GB2312"/>
                <w:color w:val="auto"/>
                <w:sz w:val="24"/>
                <w:highlight w:val="none"/>
              </w:rPr>
            </w:pPr>
          </w:p>
          <w:p>
            <w:pPr>
              <w:jc w:val="center"/>
              <w:rPr>
                <w:rFonts w:ascii="仿宋_GB2312" w:eastAsia="仿宋_GB2312"/>
                <w:color w:val="auto"/>
                <w:sz w:val="24"/>
                <w:highlight w:val="none"/>
              </w:rPr>
            </w:pPr>
          </w:p>
          <w:p>
            <w:pPr>
              <w:jc w:val="center"/>
              <w:rPr>
                <w:rFonts w:ascii="宋体" w:hAnsi="宋体"/>
                <w:color w:val="auto"/>
                <w:sz w:val="24"/>
                <w:highlight w:val="none"/>
              </w:rPr>
            </w:pPr>
            <w:r>
              <w:rPr>
                <w:rFonts w:hint="eastAsia" w:ascii="宋体" w:hAnsi="宋体"/>
                <w:color w:val="auto"/>
                <w:sz w:val="24"/>
                <w:highlight w:val="none"/>
              </w:rPr>
              <w:t>投</w:t>
            </w:r>
          </w:p>
          <w:p>
            <w:pPr>
              <w:jc w:val="center"/>
              <w:rPr>
                <w:rFonts w:ascii="宋体" w:hAnsi="宋体"/>
                <w:color w:val="auto"/>
                <w:sz w:val="24"/>
                <w:highlight w:val="none"/>
              </w:rPr>
            </w:pPr>
          </w:p>
          <w:p>
            <w:pPr>
              <w:jc w:val="center"/>
              <w:rPr>
                <w:rFonts w:ascii="宋体" w:hAnsi="宋体"/>
                <w:color w:val="auto"/>
                <w:sz w:val="24"/>
                <w:highlight w:val="none"/>
              </w:rPr>
            </w:pPr>
            <w:r>
              <w:rPr>
                <w:rFonts w:hint="eastAsia" w:ascii="宋体" w:hAnsi="宋体"/>
                <w:color w:val="auto"/>
                <w:sz w:val="24"/>
                <w:highlight w:val="none"/>
              </w:rPr>
              <w:t>标</w:t>
            </w:r>
          </w:p>
          <w:p>
            <w:pPr>
              <w:jc w:val="center"/>
              <w:rPr>
                <w:rFonts w:ascii="宋体" w:hAnsi="宋体"/>
                <w:color w:val="auto"/>
                <w:sz w:val="24"/>
                <w:highlight w:val="none"/>
              </w:rPr>
            </w:pPr>
          </w:p>
          <w:p>
            <w:pPr>
              <w:jc w:val="center"/>
              <w:rPr>
                <w:rFonts w:ascii="宋体" w:hAnsi="宋体"/>
                <w:color w:val="auto"/>
                <w:sz w:val="24"/>
                <w:highlight w:val="none"/>
              </w:rPr>
            </w:pPr>
            <w:r>
              <w:rPr>
                <w:rFonts w:hint="eastAsia" w:ascii="宋体" w:hAnsi="宋体"/>
                <w:color w:val="auto"/>
                <w:sz w:val="24"/>
                <w:highlight w:val="none"/>
              </w:rPr>
              <w:t>人</w:t>
            </w:r>
          </w:p>
          <w:p>
            <w:pPr>
              <w:jc w:val="center"/>
              <w:rPr>
                <w:rFonts w:ascii="宋体" w:hAnsi="宋体"/>
                <w:color w:val="auto"/>
                <w:sz w:val="24"/>
                <w:highlight w:val="none"/>
              </w:rPr>
            </w:pPr>
          </w:p>
          <w:p>
            <w:pPr>
              <w:jc w:val="center"/>
              <w:rPr>
                <w:rFonts w:ascii="宋体" w:hAnsi="宋体"/>
                <w:color w:val="auto"/>
                <w:sz w:val="24"/>
                <w:highlight w:val="none"/>
              </w:rPr>
            </w:pPr>
            <w:r>
              <w:rPr>
                <w:rFonts w:hint="eastAsia" w:ascii="宋体" w:hAnsi="宋体"/>
                <w:color w:val="auto"/>
                <w:sz w:val="24"/>
                <w:highlight w:val="none"/>
              </w:rPr>
              <w:t>概</w:t>
            </w:r>
          </w:p>
          <w:p>
            <w:pPr>
              <w:jc w:val="center"/>
              <w:rPr>
                <w:rFonts w:ascii="宋体" w:hAnsi="宋体"/>
                <w:color w:val="auto"/>
                <w:sz w:val="24"/>
                <w:highlight w:val="none"/>
              </w:rPr>
            </w:pPr>
          </w:p>
          <w:p>
            <w:pPr>
              <w:jc w:val="center"/>
              <w:rPr>
                <w:rFonts w:ascii="仿宋_GB2312" w:eastAsia="仿宋_GB2312"/>
                <w:color w:val="auto"/>
                <w:sz w:val="24"/>
                <w:highlight w:val="none"/>
              </w:rPr>
            </w:pPr>
            <w:r>
              <w:rPr>
                <w:rFonts w:hint="eastAsia" w:ascii="宋体" w:hAnsi="宋体"/>
                <w:color w:val="auto"/>
                <w:sz w:val="24"/>
                <w:highlight w:val="none"/>
              </w:rPr>
              <w:t>况</w:t>
            </w:r>
          </w:p>
        </w:tc>
        <w:tc>
          <w:tcPr>
            <w:tcW w:w="1800" w:type="dxa"/>
            <w:vAlign w:val="center"/>
          </w:tcPr>
          <w:p>
            <w:pPr>
              <w:jc w:val="center"/>
              <w:rPr>
                <w:rFonts w:ascii="宋体" w:hAnsi="宋体"/>
                <w:color w:val="auto"/>
                <w:sz w:val="24"/>
                <w:highlight w:val="none"/>
              </w:rPr>
            </w:pPr>
            <w:r>
              <w:rPr>
                <w:rFonts w:hint="eastAsia" w:ascii="宋体" w:hAnsi="宋体"/>
                <w:color w:val="auto"/>
                <w:sz w:val="24"/>
                <w:highlight w:val="none"/>
              </w:rPr>
              <w:t>公司名称</w:t>
            </w:r>
          </w:p>
        </w:tc>
        <w:tc>
          <w:tcPr>
            <w:tcW w:w="6795" w:type="dxa"/>
            <w:gridSpan w:val="3"/>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645" w:type="dxa"/>
            <w:vMerge w:val="continue"/>
            <w:vAlign w:val="center"/>
          </w:tcPr>
          <w:p>
            <w:pPr>
              <w:jc w:val="center"/>
              <w:rPr>
                <w:rFonts w:ascii="仿宋_GB2312" w:eastAsia="仿宋_GB2312"/>
                <w:color w:val="auto"/>
                <w:sz w:val="24"/>
                <w:highlight w:val="none"/>
              </w:rPr>
            </w:pPr>
          </w:p>
        </w:tc>
        <w:tc>
          <w:tcPr>
            <w:tcW w:w="1800" w:type="dxa"/>
            <w:vAlign w:val="center"/>
          </w:tcPr>
          <w:p>
            <w:pPr>
              <w:jc w:val="center"/>
              <w:rPr>
                <w:rFonts w:ascii="宋体" w:hAnsi="宋体"/>
                <w:color w:val="auto"/>
                <w:sz w:val="24"/>
                <w:highlight w:val="none"/>
              </w:rPr>
            </w:pPr>
            <w:r>
              <w:rPr>
                <w:rFonts w:hint="eastAsia" w:ascii="宋体" w:hAnsi="宋体"/>
                <w:color w:val="auto"/>
                <w:sz w:val="24"/>
                <w:highlight w:val="none"/>
              </w:rPr>
              <w:t>地址</w:t>
            </w:r>
          </w:p>
        </w:tc>
        <w:tc>
          <w:tcPr>
            <w:tcW w:w="6795" w:type="dxa"/>
            <w:gridSpan w:val="3"/>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45" w:type="dxa"/>
            <w:vMerge w:val="continue"/>
            <w:vAlign w:val="center"/>
          </w:tcPr>
          <w:p>
            <w:pPr>
              <w:jc w:val="center"/>
              <w:rPr>
                <w:rFonts w:ascii="仿宋_GB2312" w:eastAsia="仿宋_GB2312"/>
                <w:color w:val="auto"/>
                <w:sz w:val="24"/>
                <w:highlight w:val="none"/>
              </w:rPr>
            </w:pPr>
          </w:p>
        </w:tc>
        <w:tc>
          <w:tcPr>
            <w:tcW w:w="1800" w:type="dxa"/>
            <w:vAlign w:val="center"/>
          </w:tcPr>
          <w:p>
            <w:pPr>
              <w:jc w:val="center"/>
              <w:rPr>
                <w:rFonts w:ascii="宋体" w:hAnsi="宋体"/>
                <w:color w:val="auto"/>
                <w:sz w:val="24"/>
                <w:highlight w:val="none"/>
              </w:rPr>
            </w:pPr>
            <w:r>
              <w:rPr>
                <w:rFonts w:hint="eastAsia" w:ascii="宋体" w:hAnsi="宋体"/>
                <w:color w:val="auto"/>
                <w:sz w:val="24"/>
                <w:highlight w:val="none"/>
              </w:rPr>
              <w:t>经营范围</w:t>
            </w:r>
          </w:p>
        </w:tc>
        <w:tc>
          <w:tcPr>
            <w:tcW w:w="6795" w:type="dxa"/>
            <w:gridSpan w:val="3"/>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45" w:type="dxa"/>
            <w:vMerge w:val="continue"/>
            <w:vAlign w:val="center"/>
          </w:tcPr>
          <w:p>
            <w:pPr>
              <w:jc w:val="center"/>
              <w:rPr>
                <w:rFonts w:ascii="仿宋_GB2312" w:eastAsia="仿宋_GB2312"/>
                <w:color w:val="auto"/>
                <w:sz w:val="24"/>
                <w:highlight w:val="none"/>
              </w:rPr>
            </w:pPr>
          </w:p>
        </w:tc>
        <w:tc>
          <w:tcPr>
            <w:tcW w:w="1800" w:type="dxa"/>
            <w:vAlign w:val="center"/>
          </w:tcPr>
          <w:p>
            <w:pPr>
              <w:jc w:val="center"/>
              <w:rPr>
                <w:rFonts w:ascii="宋体" w:hAnsi="宋体"/>
                <w:color w:val="auto"/>
                <w:sz w:val="24"/>
                <w:highlight w:val="none"/>
              </w:rPr>
            </w:pPr>
            <w:r>
              <w:rPr>
                <w:rFonts w:hint="eastAsia" w:ascii="宋体" w:hAnsi="宋体"/>
                <w:color w:val="auto"/>
                <w:sz w:val="24"/>
                <w:highlight w:val="none"/>
              </w:rPr>
              <w:t>成立时间</w:t>
            </w:r>
          </w:p>
        </w:tc>
        <w:tc>
          <w:tcPr>
            <w:tcW w:w="2119" w:type="dxa"/>
            <w:vAlign w:val="center"/>
          </w:tcPr>
          <w:p>
            <w:pPr>
              <w:jc w:val="center"/>
              <w:rPr>
                <w:rFonts w:ascii="宋体" w:hAnsi="宋体"/>
                <w:color w:val="auto"/>
                <w:sz w:val="24"/>
                <w:highlight w:val="none"/>
              </w:rPr>
            </w:pPr>
          </w:p>
        </w:tc>
        <w:tc>
          <w:tcPr>
            <w:tcW w:w="1920" w:type="dxa"/>
            <w:vAlign w:val="center"/>
          </w:tcPr>
          <w:p>
            <w:pPr>
              <w:jc w:val="center"/>
              <w:rPr>
                <w:rFonts w:ascii="宋体" w:hAnsi="宋体"/>
                <w:color w:val="auto"/>
                <w:sz w:val="24"/>
                <w:highlight w:val="none"/>
              </w:rPr>
            </w:pPr>
            <w:r>
              <w:rPr>
                <w:rFonts w:hint="eastAsia" w:ascii="宋体" w:hAnsi="宋体"/>
                <w:color w:val="auto"/>
                <w:sz w:val="24"/>
                <w:highlight w:val="none"/>
              </w:rPr>
              <w:t>经济性质</w:t>
            </w:r>
          </w:p>
        </w:tc>
        <w:tc>
          <w:tcPr>
            <w:tcW w:w="2756"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45" w:type="dxa"/>
            <w:vMerge w:val="continue"/>
            <w:vAlign w:val="center"/>
          </w:tcPr>
          <w:p>
            <w:pPr>
              <w:jc w:val="center"/>
              <w:rPr>
                <w:rFonts w:ascii="仿宋_GB2312" w:eastAsia="仿宋_GB2312"/>
                <w:color w:val="auto"/>
                <w:sz w:val="24"/>
                <w:highlight w:val="none"/>
              </w:rPr>
            </w:pPr>
          </w:p>
        </w:tc>
        <w:tc>
          <w:tcPr>
            <w:tcW w:w="1800" w:type="dxa"/>
            <w:vAlign w:val="center"/>
          </w:tcPr>
          <w:p>
            <w:pPr>
              <w:jc w:val="center"/>
              <w:rPr>
                <w:rFonts w:ascii="宋体" w:hAnsi="宋体"/>
                <w:color w:val="auto"/>
                <w:sz w:val="24"/>
                <w:highlight w:val="none"/>
              </w:rPr>
            </w:pPr>
            <w:r>
              <w:rPr>
                <w:rFonts w:hint="eastAsia" w:ascii="宋体" w:hAnsi="宋体"/>
                <w:color w:val="auto"/>
                <w:sz w:val="24"/>
                <w:highlight w:val="none"/>
              </w:rPr>
              <w:t>法定代表人</w:t>
            </w:r>
          </w:p>
        </w:tc>
        <w:tc>
          <w:tcPr>
            <w:tcW w:w="2119" w:type="dxa"/>
            <w:vAlign w:val="center"/>
          </w:tcPr>
          <w:p>
            <w:pPr>
              <w:jc w:val="center"/>
              <w:rPr>
                <w:rFonts w:ascii="宋体" w:hAnsi="宋体"/>
                <w:color w:val="auto"/>
                <w:sz w:val="24"/>
                <w:highlight w:val="none"/>
              </w:rPr>
            </w:pPr>
          </w:p>
        </w:tc>
        <w:tc>
          <w:tcPr>
            <w:tcW w:w="1920" w:type="dxa"/>
            <w:vAlign w:val="center"/>
          </w:tcPr>
          <w:p>
            <w:pPr>
              <w:jc w:val="center"/>
              <w:rPr>
                <w:rFonts w:ascii="宋体" w:hAnsi="宋体"/>
                <w:color w:val="auto"/>
                <w:sz w:val="24"/>
                <w:highlight w:val="none"/>
              </w:rPr>
            </w:pPr>
            <w:r>
              <w:rPr>
                <w:rFonts w:hint="eastAsia" w:ascii="宋体" w:hAnsi="宋体"/>
                <w:color w:val="auto"/>
                <w:sz w:val="24"/>
                <w:highlight w:val="none"/>
              </w:rPr>
              <w:t>联系电话</w:t>
            </w:r>
          </w:p>
        </w:tc>
        <w:tc>
          <w:tcPr>
            <w:tcW w:w="2756"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45" w:type="dxa"/>
            <w:vMerge w:val="continue"/>
            <w:vAlign w:val="center"/>
          </w:tcPr>
          <w:p>
            <w:pPr>
              <w:jc w:val="center"/>
              <w:rPr>
                <w:rFonts w:ascii="仿宋_GB2312" w:eastAsia="仿宋_GB2312"/>
                <w:color w:val="auto"/>
                <w:sz w:val="24"/>
                <w:highlight w:val="none"/>
              </w:rPr>
            </w:pPr>
          </w:p>
        </w:tc>
        <w:tc>
          <w:tcPr>
            <w:tcW w:w="1800" w:type="dxa"/>
            <w:vAlign w:val="center"/>
          </w:tcPr>
          <w:p>
            <w:pPr>
              <w:jc w:val="center"/>
              <w:rPr>
                <w:rFonts w:ascii="宋体" w:hAnsi="宋体"/>
                <w:color w:val="auto"/>
                <w:sz w:val="24"/>
                <w:highlight w:val="none"/>
              </w:rPr>
            </w:pPr>
            <w:r>
              <w:rPr>
                <w:rFonts w:hint="eastAsia" w:ascii="宋体" w:hAnsi="宋体"/>
                <w:color w:val="auto"/>
                <w:sz w:val="24"/>
                <w:highlight w:val="none"/>
              </w:rPr>
              <w:t>注册资金</w:t>
            </w:r>
          </w:p>
        </w:tc>
        <w:tc>
          <w:tcPr>
            <w:tcW w:w="2119" w:type="dxa"/>
            <w:vAlign w:val="center"/>
          </w:tcPr>
          <w:p>
            <w:pPr>
              <w:jc w:val="center"/>
              <w:rPr>
                <w:rFonts w:ascii="宋体" w:hAnsi="宋体"/>
                <w:color w:val="auto"/>
                <w:sz w:val="24"/>
                <w:highlight w:val="none"/>
              </w:rPr>
            </w:pPr>
          </w:p>
        </w:tc>
        <w:tc>
          <w:tcPr>
            <w:tcW w:w="1920" w:type="dxa"/>
            <w:vAlign w:val="center"/>
          </w:tcPr>
          <w:p>
            <w:pPr>
              <w:jc w:val="center"/>
              <w:rPr>
                <w:rFonts w:ascii="宋体" w:hAnsi="宋体"/>
                <w:color w:val="auto"/>
                <w:sz w:val="24"/>
                <w:highlight w:val="none"/>
              </w:rPr>
            </w:pPr>
            <w:r>
              <w:rPr>
                <w:rFonts w:hint="eastAsia" w:ascii="宋体" w:hAnsi="宋体"/>
                <w:color w:val="auto"/>
                <w:sz w:val="24"/>
                <w:highlight w:val="none"/>
              </w:rPr>
              <w:t>技术人员数</w:t>
            </w:r>
          </w:p>
        </w:tc>
        <w:tc>
          <w:tcPr>
            <w:tcW w:w="2756"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645" w:type="dxa"/>
            <w:vMerge w:val="continue"/>
            <w:vAlign w:val="center"/>
          </w:tcPr>
          <w:p>
            <w:pPr>
              <w:jc w:val="center"/>
              <w:rPr>
                <w:rFonts w:ascii="仿宋_GB2312" w:eastAsia="仿宋_GB2312"/>
                <w:color w:val="auto"/>
                <w:sz w:val="24"/>
                <w:highlight w:val="none"/>
              </w:rPr>
            </w:pPr>
          </w:p>
        </w:tc>
        <w:tc>
          <w:tcPr>
            <w:tcW w:w="1800" w:type="dxa"/>
            <w:vAlign w:val="center"/>
          </w:tcPr>
          <w:p>
            <w:pPr>
              <w:jc w:val="center"/>
              <w:rPr>
                <w:rFonts w:ascii="宋体" w:hAnsi="宋体"/>
                <w:color w:val="auto"/>
                <w:sz w:val="24"/>
                <w:highlight w:val="none"/>
              </w:rPr>
            </w:pPr>
            <w:r>
              <w:rPr>
                <w:rFonts w:hint="eastAsia" w:ascii="宋体" w:hAnsi="宋体"/>
                <w:color w:val="auto"/>
                <w:sz w:val="24"/>
                <w:highlight w:val="none"/>
              </w:rPr>
              <w:t>资产总额</w:t>
            </w:r>
          </w:p>
        </w:tc>
        <w:tc>
          <w:tcPr>
            <w:tcW w:w="2119" w:type="dxa"/>
            <w:vAlign w:val="center"/>
          </w:tcPr>
          <w:p>
            <w:pPr>
              <w:jc w:val="center"/>
              <w:rPr>
                <w:rFonts w:ascii="宋体" w:hAnsi="宋体"/>
                <w:color w:val="auto"/>
                <w:sz w:val="24"/>
                <w:highlight w:val="none"/>
              </w:rPr>
            </w:pPr>
          </w:p>
        </w:tc>
        <w:tc>
          <w:tcPr>
            <w:tcW w:w="1920" w:type="dxa"/>
            <w:vAlign w:val="center"/>
          </w:tcPr>
          <w:p>
            <w:pPr>
              <w:jc w:val="center"/>
              <w:rPr>
                <w:rFonts w:ascii="宋体" w:hAnsi="宋体"/>
                <w:color w:val="auto"/>
                <w:sz w:val="24"/>
                <w:highlight w:val="none"/>
              </w:rPr>
            </w:pPr>
            <w:r>
              <w:rPr>
                <w:rFonts w:hint="eastAsia" w:ascii="宋体" w:hAnsi="宋体"/>
                <w:color w:val="auto"/>
                <w:sz w:val="24"/>
                <w:highlight w:val="none"/>
              </w:rPr>
              <w:t>净资产</w:t>
            </w:r>
          </w:p>
        </w:tc>
        <w:tc>
          <w:tcPr>
            <w:tcW w:w="2756"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645" w:type="dxa"/>
            <w:vMerge w:val="continue"/>
            <w:vAlign w:val="center"/>
          </w:tcPr>
          <w:p>
            <w:pPr>
              <w:jc w:val="center"/>
              <w:rPr>
                <w:rFonts w:ascii="仿宋_GB2312" w:eastAsia="仿宋_GB2312"/>
                <w:color w:val="auto"/>
                <w:sz w:val="24"/>
                <w:highlight w:val="none"/>
              </w:rPr>
            </w:pPr>
          </w:p>
        </w:tc>
        <w:tc>
          <w:tcPr>
            <w:tcW w:w="1800" w:type="dxa"/>
            <w:vAlign w:val="center"/>
          </w:tcPr>
          <w:p>
            <w:pPr>
              <w:jc w:val="center"/>
              <w:rPr>
                <w:rFonts w:ascii="宋体" w:hAnsi="宋体"/>
                <w:color w:val="auto"/>
                <w:sz w:val="24"/>
                <w:highlight w:val="none"/>
              </w:rPr>
            </w:pPr>
            <w:r>
              <w:rPr>
                <w:rFonts w:hint="eastAsia" w:ascii="宋体" w:hAnsi="宋体"/>
                <w:color w:val="auto"/>
                <w:sz w:val="24"/>
                <w:highlight w:val="none"/>
              </w:rPr>
              <w:t>工商登记号</w:t>
            </w:r>
          </w:p>
        </w:tc>
        <w:tc>
          <w:tcPr>
            <w:tcW w:w="2119" w:type="dxa"/>
            <w:vAlign w:val="center"/>
          </w:tcPr>
          <w:p>
            <w:pPr>
              <w:jc w:val="center"/>
              <w:rPr>
                <w:rFonts w:ascii="宋体" w:hAnsi="宋体"/>
                <w:color w:val="auto"/>
                <w:sz w:val="24"/>
                <w:highlight w:val="none"/>
              </w:rPr>
            </w:pPr>
          </w:p>
        </w:tc>
        <w:tc>
          <w:tcPr>
            <w:tcW w:w="1920" w:type="dxa"/>
            <w:vAlign w:val="center"/>
          </w:tcPr>
          <w:p>
            <w:pPr>
              <w:jc w:val="center"/>
              <w:rPr>
                <w:rFonts w:ascii="宋体" w:hAnsi="宋体"/>
                <w:color w:val="auto"/>
                <w:sz w:val="24"/>
                <w:highlight w:val="none"/>
              </w:rPr>
            </w:pPr>
            <w:r>
              <w:rPr>
                <w:rFonts w:hint="eastAsia" w:ascii="宋体" w:hAnsi="宋体"/>
                <w:color w:val="auto"/>
                <w:sz w:val="24"/>
                <w:highlight w:val="none"/>
              </w:rPr>
              <w:t>税务登记号</w:t>
            </w:r>
          </w:p>
        </w:tc>
        <w:tc>
          <w:tcPr>
            <w:tcW w:w="2756"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45" w:type="dxa"/>
            <w:vMerge w:val="continue"/>
            <w:vAlign w:val="center"/>
          </w:tcPr>
          <w:p>
            <w:pPr>
              <w:jc w:val="center"/>
              <w:rPr>
                <w:rFonts w:ascii="仿宋_GB2312" w:eastAsia="仿宋_GB2312"/>
                <w:color w:val="auto"/>
                <w:sz w:val="24"/>
                <w:highlight w:val="none"/>
              </w:rPr>
            </w:pPr>
          </w:p>
        </w:tc>
        <w:tc>
          <w:tcPr>
            <w:tcW w:w="1800" w:type="dxa"/>
            <w:vAlign w:val="center"/>
          </w:tcPr>
          <w:p>
            <w:pPr>
              <w:jc w:val="center"/>
              <w:rPr>
                <w:rFonts w:ascii="宋体" w:hAnsi="宋体"/>
                <w:color w:val="auto"/>
                <w:sz w:val="24"/>
                <w:highlight w:val="none"/>
              </w:rPr>
            </w:pPr>
            <w:r>
              <w:rPr>
                <w:rFonts w:hint="eastAsia" w:ascii="宋体" w:hAnsi="宋体"/>
                <w:color w:val="auto"/>
                <w:sz w:val="24"/>
                <w:highlight w:val="none"/>
              </w:rPr>
              <w:t>是否依法纳税</w:t>
            </w:r>
          </w:p>
        </w:tc>
        <w:tc>
          <w:tcPr>
            <w:tcW w:w="2119" w:type="dxa"/>
            <w:vAlign w:val="center"/>
          </w:tcPr>
          <w:p>
            <w:pPr>
              <w:jc w:val="center"/>
              <w:rPr>
                <w:rFonts w:ascii="宋体" w:hAnsi="宋体"/>
                <w:color w:val="auto"/>
                <w:sz w:val="24"/>
                <w:highlight w:val="none"/>
              </w:rPr>
            </w:pPr>
          </w:p>
        </w:tc>
        <w:tc>
          <w:tcPr>
            <w:tcW w:w="1920" w:type="dxa"/>
            <w:vAlign w:val="center"/>
          </w:tcPr>
          <w:p>
            <w:pPr>
              <w:jc w:val="center"/>
              <w:rPr>
                <w:rFonts w:ascii="宋体" w:hAnsi="宋体"/>
                <w:color w:val="auto"/>
                <w:sz w:val="24"/>
                <w:highlight w:val="none"/>
              </w:rPr>
            </w:pPr>
            <w:r>
              <w:rPr>
                <w:rFonts w:hint="eastAsia" w:ascii="宋体" w:hAnsi="宋体"/>
                <w:color w:val="auto"/>
                <w:sz w:val="24"/>
                <w:highlight w:val="none"/>
              </w:rPr>
              <w:t>是否参加社保</w:t>
            </w:r>
          </w:p>
        </w:tc>
        <w:tc>
          <w:tcPr>
            <w:tcW w:w="2756" w:type="dxa"/>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645" w:type="dxa"/>
            <w:vMerge w:val="continue"/>
            <w:vAlign w:val="center"/>
          </w:tcPr>
          <w:p>
            <w:pPr>
              <w:jc w:val="center"/>
              <w:rPr>
                <w:rFonts w:ascii="仿宋_GB2312" w:eastAsia="仿宋_GB2312"/>
                <w:color w:val="auto"/>
                <w:sz w:val="24"/>
                <w:highlight w:val="none"/>
              </w:rPr>
            </w:pPr>
          </w:p>
        </w:tc>
        <w:tc>
          <w:tcPr>
            <w:tcW w:w="1800" w:type="dxa"/>
            <w:vAlign w:val="center"/>
          </w:tcPr>
          <w:p>
            <w:pPr>
              <w:jc w:val="center"/>
              <w:rPr>
                <w:rFonts w:ascii="宋体" w:hAnsi="宋体"/>
                <w:color w:val="auto"/>
                <w:sz w:val="24"/>
                <w:highlight w:val="none"/>
              </w:rPr>
            </w:pPr>
            <w:r>
              <w:rPr>
                <w:rFonts w:hint="eastAsia" w:ascii="宋体" w:hAnsi="宋体"/>
                <w:color w:val="auto"/>
                <w:sz w:val="24"/>
                <w:highlight w:val="none"/>
              </w:rPr>
              <w:t>近三年业绩、</w:t>
            </w:r>
          </w:p>
          <w:p>
            <w:pPr>
              <w:jc w:val="center"/>
              <w:rPr>
                <w:rFonts w:ascii="宋体" w:hAnsi="宋体"/>
                <w:color w:val="auto"/>
                <w:sz w:val="24"/>
                <w:highlight w:val="none"/>
              </w:rPr>
            </w:pPr>
            <w:r>
              <w:rPr>
                <w:rFonts w:hint="eastAsia" w:ascii="宋体" w:hAnsi="宋体"/>
                <w:color w:val="auto"/>
                <w:sz w:val="24"/>
                <w:highlight w:val="none"/>
              </w:rPr>
              <w:t>信誉</w:t>
            </w:r>
          </w:p>
        </w:tc>
        <w:tc>
          <w:tcPr>
            <w:tcW w:w="6795" w:type="dxa"/>
            <w:gridSpan w:val="3"/>
            <w:vAlign w:val="center"/>
          </w:tcPr>
          <w:p>
            <w:pPr>
              <w:rPr>
                <w:rFonts w:ascii="宋体" w:hAnsi="宋体"/>
                <w:color w:val="auto"/>
                <w:sz w:val="24"/>
                <w:highlight w:val="none"/>
              </w:rPr>
            </w:pPr>
            <w:r>
              <w:rPr>
                <w:rFonts w:hint="eastAsia" w:ascii="宋体" w:hAnsi="宋体"/>
                <w:color w:val="auto"/>
                <w:sz w:val="24"/>
                <w:highlight w:val="none"/>
              </w:rPr>
              <w:t>合同总额：     万元，合同履行情况：</w:t>
            </w:r>
          </w:p>
          <w:p>
            <w:pPr>
              <w:jc w:val="center"/>
              <w:rPr>
                <w:rFonts w:ascii="宋体" w:hAnsi="宋体"/>
                <w:color w:val="auto"/>
                <w:sz w:val="24"/>
                <w:highlight w:val="none"/>
              </w:rPr>
            </w:pPr>
          </w:p>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9" w:hRule="atLeast"/>
          <w:jc w:val="center"/>
        </w:trPr>
        <w:tc>
          <w:tcPr>
            <w:tcW w:w="645" w:type="dxa"/>
            <w:vMerge w:val="continue"/>
            <w:vAlign w:val="center"/>
          </w:tcPr>
          <w:p>
            <w:pPr>
              <w:jc w:val="center"/>
              <w:rPr>
                <w:rFonts w:ascii="仿宋_GB2312" w:eastAsia="仿宋_GB2312"/>
                <w:color w:val="auto"/>
                <w:sz w:val="24"/>
                <w:highlight w:val="none"/>
              </w:rPr>
            </w:pPr>
          </w:p>
        </w:tc>
        <w:tc>
          <w:tcPr>
            <w:tcW w:w="8595" w:type="dxa"/>
            <w:gridSpan w:val="4"/>
          </w:tcPr>
          <w:p>
            <w:pPr>
              <w:rPr>
                <w:rFonts w:ascii="宋体" w:hAnsi="宋体"/>
                <w:color w:val="auto"/>
                <w:sz w:val="24"/>
                <w:highlight w:val="none"/>
              </w:rPr>
            </w:pPr>
            <w:r>
              <w:rPr>
                <w:rFonts w:hint="eastAsia" w:ascii="宋体" w:hAnsi="宋体"/>
                <w:color w:val="auto"/>
                <w:sz w:val="24"/>
                <w:highlight w:val="none"/>
              </w:rPr>
              <w:t>单位优势及特点：</w:t>
            </w:r>
          </w:p>
        </w:tc>
      </w:tr>
    </w:tbl>
    <w:p>
      <w:pPr>
        <w:spacing w:before="120" w:beforeLines="50" w:line="360" w:lineRule="auto"/>
        <w:jc w:val="center"/>
        <w:rPr>
          <w:rFonts w:ascii="宋体" w:hAnsi="宋体"/>
          <w:color w:val="auto"/>
          <w:sz w:val="24"/>
          <w:highlight w:val="none"/>
        </w:rPr>
      </w:pPr>
      <w:r>
        <w:rPr>
          <w:rFonts w:hint="eastAsia" w:ascii="仿宋_GB2312" w:eastAsia="仿宋_GB2312"/>
          <w:b/>
          <w:color w:val="auto"/>
          <w:sz w:val="32"/>
          <w:szCs w:val="32"/>
          <w:highlight w:val="none"/>
        </w:rPr>
        <w:t>投标人基本情况表</w:t>
      </w:r>
    </w:p>
    <w:p>
      <w:pPr>
        <w:spacing w:line="360" w:lineRule="auto"/>
        <w:ind w:firstLine="484" w:firstLineChars="20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p>
    <w:p>
      <w:pPr>
        <w:spacing w:line="360" w:lineRule="auto"/>
        <w:ind w:firstLine="4598" w:firstLineChars="1900"/>
        <w:rPr>
          <w:rFonts w:hint="eastAsia" w:ascii="宋体" w:hAnsi="宋体" w:eastAsia="宋体"/>
          <w:color w:val="auto"/>
          <w:spacing w:val="20"/>
          <w:sz w:val="24"/>
          <w:highlight w:val="none"/>
          <w:u w:val="single"/>
          <w:lang w:eastAsia="zh-CN"/>
        </w:rPr>
      </w:pPr>
      <w:r>
        <w:rPr>
          <w:rFonts w:hint="eastAsia" w:ascii="宋体" w:hAnsi="宋体"/>
          <w:color w:val="auto"/>
          <w:sz w:val="24"/>
          <w:highlight w:val="none"/>
        </w:rPr>
        <w:t>法定代表人或被授权人签字（或签章）</w:t>
      </w:r>
      <w:r>
        <w:rPr>
          <w:rFonts w:hint="eastAsia" w:ascii="宋体" w:hAnsi="宋体"/>
          <w:color w:val="auto"/>
          <w:sz w:val="24"/>
          <w:highlight w:val="none"/>
          <w:lang w:eastAsia="zh-CN"/>
        </w:rPr>
        <w:t>：</w:t>
      </w:r>
    </w:p>
    <w:p>
      <w:pPr>
        <w:spacing w:line="360" w:lineRule="auto"/>
        <w:ind w:firstLine="564" w:firstLineChars="200"/>
        <w:rPr>
          <w:rFonts w:hint="eastAsia" w:ascii="宋体" w:hAnsi="宋体"/>
          <w:color w:val="auto"/>
          <w:spacing w:val="20"/>
          <w:sz w:val="24"/>
          <w:highlight w:val="none"/>
        </w:rPr>
      </w:pPr>
      <w:r>
        <w:rPr>
          <w:rFonts w:hint="eastAsia" w:ascii="宋体" w:hAnsi="宋体"/>
          <w:color w:val="auto"/>
          <w:spacing w:val="20"/>
          <w:sz w:val="24"/>
          <w:highlight w:val="none"/>
        </w:rPr>
        <w:t xml:space="preserve">                            </w:t>
      </w:r>
    </w:p>
    <w:p>
      <w:pPr>
        <w:spacing w:line="360" w:lineRule="auto"/>
        <w:ind w:firstLine="564" w:firstLineChars="200"/>
        <w:jc w:val="center"/>
        <w:rPr>
          <w:rFonts w:ascii="宋体" w:hAnsi="宋体"/>
          <w:color w:val="auto"/>
          <w:spacing w:val="20"/>
          <w:sz w:val="24"/>
          <w:highlight w:val="none"/>
          <w:u w:val="single"/>
        </w:rPr>
      </w:pPr>
      <w:r>
        <w:rPr>
          <w:rFonts w:hint="eastAsia" w:ascii="宋体" w:hAnsi="宋体"/>
          <w:color w:val="auto"/>
          <w:spacing w:val="20"/>
          <w:sz w:val="24"/>
          <w:highlight w:val="none"/>
          <w:lang w:val="en-US" w:eastAsia="zh-CN"/>
        </w:rPr>
        <w:t xml:space="preserve">          </w:t>
      </w:r>
      <w:r>
        <w:rPr>
          <w:rFonts w:hint="eastAsia" w:ascii="宋体" w:hAnsi="宋体"/>
          <w:color w:val="auto"/>
          <w:spacing w:val="20"/>
          <w:sz w:val="24"/>
          <w:highlight w:val="none"/>
        </w:rPr>
        <w:t>投标人盖章：</w:t>
      </w:r>
    </w:p>
    <w:p>
      <w:pPr>
        <w:spacing w:line="360" w:lineRule="auto"/>
        <w:ind w:firstLine="564" w:firstLineChars="200"/>
        <w:rPr>
          <w:rFonts w:ascii="宋体" w:hAnsi="宋体"/>
          <w:color w:val="auto"/>
          <w:spacing w:val="20"/>
          <w:sz w:val="24"/>
          <w:highlight w:val="none"/>
        </w:rPr>
      </w:pPr>
    </w:p>
    <w:p>
      <w:pPr>
        <w:spacing w:line="360" w:lineRule="auto"/>
        <w:ind w:firstLine="564" w:firstLineChars="200"/>
        <w:rPr>
          <w:rFonts w:hint="eastAsia" w:ascii="宋体" w:hAnsi="宋体" w:eastAsia="宋体"/>
          <w:b/>
          <w:color w:val="auto"/>
          <w:sz w:val="24"/>
          <w:highlight w:val="none"/>
          <w:lang w:val="en-US" w:eastAsia="zh-CN"/>
        </w:rPr>
      </w:pPr>
      <w:r>
        <w:rPr>
          <w:rFonts w:hint="eastAsia" w:ascii="宋体" w:hAnsi="宋体"/>
          <w:color w:val="auto"/>
          <w:spacing w:val="20"/>
          <w:sz w:val="24"/>
          <w:highlight w:val="none"/>
        </w:rPr>
        <w:t xml:space="preserve">                          日     期</w:t>
      </w:r>
      <w:r>
        <w:rPr>
          <w:rFonts w:hint="eastAsia" w:ascii="宋体" w:hAnsi="宋体"/>
          <w:color w:val="auto"/>
          <w:spacing w:val="20"/>
          <w:sz w:val="24"/>
          <w:highlight w:val="none"/>
          <w:lang w:val="en-US" w:eastAsia="zh-CN"/>
        </w:rPr>
        <w:t>:</w:t>
      </w:r>
    </w:p>
    <w:p>
      <w:pPr>
        <w:pStyle w:val="4"/>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符合参加政府采购活动应当具备的一般条件的承诺函</w:t>
      </w:r>
    </w:p>
    <w:p>
      <w:pPr>
        <w:spacing w:line="360" w:lineRule="auto"/>
        <w:rPr>
          <w:rFonts w:ascii="宋体" w:hAnsi="宋体"/>
          <w:color w:val="auto"/>
          <w:sz w:val="24"/>
          <w:szCs w:val="24"/>
          <w:highlight w:val="none"/>
        </w:rPr>
      </w:pPr>
      <w:r>
        <w:rPr>
          <w:rFonts w:ascii="宋体" w:hAnsi="宋体"/>
          <w:color w:val="auto"/>
          <w:sz w:val="24"/>
          <w:szCs w:val="24"/>
          <w:highlight w:val="none"/>
        </w:rPr>
        <w:t>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（招标采购单位名称）：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4"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我方参与</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（项目名称）【项目编号：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（采购编号）】政府采购活动，郑重承诺：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4"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4"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4"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2、具有良好的商业信誉和健全的财务会计制度；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4"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4"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4"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4"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4"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4"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4"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4"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2、为采购项目提供整体设计、规范编制或者项目管理、监理、检测等服务后再参加该采购项目的其他采购活动的。</w:t>
      </w:r>
    </w:p>
    <w:p>
      <w:pPr>
        <w:tabs>
          <w:tab w:val="left" w:pos="1418"/>
        </w:tabs>
        <w:spacing w:line="360" w:lineRule="auto"/>
        <w:ind w:firstLine="242" w:firstLineChars="100"/>
        <w:rPr>
          <w:rFonts w:ascii="宋体" w:hAnsi="宋体"/>
          <w:color w:val="auto"/>
          <w:sz w:val="24"/>
          <w:szCs w:val="24"/>
          <w:highlight w:val="none"/>
        </w:rPr>
      </w:pPr>
    </w:p>
    <w:p>
      <w:pPr>
        <w:tabs>
          <w:tab w:val="left" w:pos="1418"/>
        </w:tabs>
        <w:spacing w:line="360" w:lineRule="auto"/>
        <w:ind w:firstLine="242" w:firstLineChars="100"/>
        <w:jc w:val="right"/>
        <w:rPr>
          <w:rFonts w:ascii="宋体" w:hAnsi="宋体"/>
          <w:color w:val="auto"/>
          <w:sz w:val="24"/>
          <w:szCs w:val="24"/>
          <w:highlight w:val="none"/>
        </w:rPr>
      </w:pPr>
    </w:p>
    <w:p>
      <w:pPr>
        <w:tabs>
          <w:tab w:val="left" w:pos="1418"/>
        </w:tabs>
        <w:spacing w:line="360" w:lineRule="auto"/>
        <w:ind w:firstLine="242" w:firstLineChars="100"/>
        <w:jc w:val="right"/>
        <w:rPr>
          <w:rFonts w:hint="eastAsia" w:ascii="宋体" w:hAnsi="宋体"/>
          <w:bCs/>
          <w:color w:val="auto"/>
          <w:sz w:val="24"/>
          <w:szCs w:val="24"/>
          <w:highlight w:val="none"/>
        </w:rPr>
      </w:pPr>
      <w:r>
        <w:rPr>
          <w:rFonts w:hint="eastAsia" w:ascii="宋体" w:hAnsi="宋体"/>
          <w:color w:val="auto"/>
          <w:sz w:val="24"/>
          <w:highlight w:val="none"/>
        </w:rPr>
        <w:t>法定代表人或被授权人签字（或签章）</w:t>
      </w:r>
      <w:r>
        <w:rPr>
          <w:rFonts w:ascii="宋体" w:hAnsi="宋体"/>
          <w:color w:val="auto"/>
          <w:sz w:val="24"/>
          <w:szCs w:val="24"/>
          <w:highlight w:val="none"/>
        </w:rPr>
        <w:t>：</w:t>
      </w:r>
      <w:r>
        <w:rPr>
          <w:rFonts w:hint="eastAsia" w:ascii="宋体" w:hAnsi="宋体"/>
          <w:bCs/>
          <w:color w:val="auto"/>
          <w:sz w:val="24"/>
          <w:szCs w:val="24"/>
          <w:highlight w:val="none"/>
        </w:rPr>
        <w:t xml:space="preserve"> </w:t>
      </w:r>
    </w:p>
    <w:p>
      <w:pPr>
        <w:tabs>
          <w:tab w:val="left" w:pos="1418"/>
        </w:tabs>
        <w:spacing w:line="360" w:lineRule="auto"/>
        <w:ind w:firstLine="242" w:firstLineChars="100"/>
        <w:jc w:val="right"/>
        <w:rPr>
          <w:rFonts w:hint="eastAsia" w:ascii="宋体" w:hAnsi="宋体"/>
          <w:bCs/>
          <w:color w:val="auto"/>
          <w:sz w:val="24"/>
          <w:szCs w:val="24"/>
          <w:highlight w:val="none"/>
        </w:rPr>
      </w:pPr>
      <w:r>
        <w:rPr>
          <w:rFonts w:hint="eastAsia" w:ascii="宋体" w:hAnsi="宋体"/>
          <w:bCs/>
          <w:color w:val="auto"/>
          <w:sz w:val="24"/>
          <w:szCs w:val="24"/>
          <w:highlight w:val="none"/>
        </w:rPr>
        <w:t xml:space="preserve">投 标 人（盖章）：                              </w:t>
      </w:r>
    </w:p>
    <w:p>
      <w:pPr>
        <w:tabs>
          <w:tab w:val="left" w:pos="1418"/>
        </w:tabs>
        <w:spacing w:line="360" w:lineRule="auto"/>
        <w:ind w:firstLine="242" w:firstLineChars="100"/>
        <w:jc w:val="right"/>
        <w:rPr>
          <w:rFonts w:ascii="宋体" w:hAnsi="宋体"/>
          <w:b/>
          <w:bCs/>
          <w:color w:val="auto"/>
          <w:sz w:val="24"/>
          <w:szCs w:val="24"/>
          <w:highlight w:val="none"/>
        </w:rPr>
      </w:pPr>
      <w:r>
        <w:rPr>
          <w:rFonts w:hint="eastAsia" w:ascii="宋体" w:hAnsi="宋体"/>
          <w:bCs/>
          <w:color w:val="auto"/>
          <w:sz w:val="24"/>
          <w:szCs w:val="24"/>
          <w:highlight w:val="none"/>
        </w:rPr>
        <w:t>年  月  日</w:t>
      </w:r>
    </w:p>
    <w:p>
      <w:pPr>
        <w:spacing w:line="600" w:lineRule="exact"/>
        <w:ind w:firstLine="318" w:firstLineChars="150"/>
        <w:jc w:val="right"/>
        <w:rPr>
          <w:rFonts w:hint="eastAsia" w:ascii="宋体" w:hAnsi="宋体" w:eastAsia="宋体" w:cs="宋体"/>
          <w:color w:val="auto"/>
          <w:kern w:val="0"/>
          <w:highlight w:val="none"/>
          <w:lang w:eastAsia="zh-CN" w:bidi="ar"/>
        </w:rPr>
        <w:sectPr>
          <w:headerReference r:id="rId7" w:type="default"/>
          <w:footerReference r:id="rId8" w:type="default"/>
          <w:pgSz w:w="11906" w:h="16838"/>
          <w:pgMar w:top="1474" w:right="1395" w:bottom="1474" w:left="1599" w:header="850" w:footer="850" w:gutter="0"/>
          <w:pgNumType w:fmt="decimal"/>
          <w:cols w:space="720" w:num="1"/>
          <w:titlePg/>
          <w:docGrid w:type="linesAndChars" w:linePitch="330" w:charSpace="448"/>
        </w:sectPr>
      </w:pPr>
    </w:p>
    <w:p>
      <w:pPr>
        <w:snapToGrid w:val="0"/>
        <w:spacing w:line="360" w:lineRule="auto"/>
        <w:jc w:val="center"/>
        <w:rPr>
          <w:rFonts w:ascii="宋体" w:hAnsi="宋体"/>
          <w:b/>
          <w:bCs/>
          <w:color w:val="auto"/>
          <w:highlight w:val="none"/>
        </w:rPr>
      </w:pPr>
      <w:r>
        <w:rPr>
          <w:rFonts w:hint="eastAsia" w:ascii="宋体" w:hAnsi="宋体"/>
          <w:b/>
          <w:color w:val="auto"/>
          <w:sz w:val="32"/>
          <w:szCs w:val="32"/>
          <w:highlight w:val="none"/>
        </w:rPr>
        <w:t>中小企业声明函（货物）</w:t>
      </w:r>
    </w:p>
    <w:p>
      <w:pPr>
        <w:snapToGrid w:val="0"/>
        <w:spacing w:line="360" w:lineRule="auto"/>
        <w:ind w:firstLine="720" w:firstLineChars="300"/>
        <w:jc w:val="left"/>
        <w:rPr>
          <w:rFonts w:ascii="宋体" w:hAnsi="宋体"/>
          <w:color w:val="auto"/>
          <w:sz w:val="24"/>
          <w:highlight w:val="none"/>
        </w:rPr>
      </w:pPr>
      <w:r>
        <w:rPr>
          <w:rFonts w:hint="eastAsia" w:ascii="宋体" w:hAnsi="宋体"/>
          <w:color w:val="auto"/>
          <w:sz w:val="24"/>
          <w:highlight w:val="none"/>
        </w:rPr>
        <w:t>本公司郑重声明，根据《政府采购促进中小企业发展管理办法》（财库﹝2020﹞46 号）的规定，本公司参加</w:t>
      </w:r>
      <w:r>
        <w:rPr>
          <w:rFonts w:hint="eastAsia" w:ascii="宋体" w:hAnsi="宋体"/>
          <w:color w:val="auto"/>
          <w:sz w:val="24"/>
          <w:highlight w:val="none"/>
          <w:u w:val="single"/>
        </w:rPr>
        <w:t>（单位名称）</w:t>
      </w:r>
      <w:r>
        <w:rPr>
          <w:rFonts w:hint="eastAsia" w:ascii="宋体" w:hAnsi="宋体"/>
          <w:color w:val="auto"/>
          <w:sz w:val="24"/>
          <w:highlight w:val="none"/>
        </w:rPr>
        <w:t>的</w:t>
      </w:r>
      <w:r>
        <w:rPr>
          <w:rFonts w:hint="eastAsia" w:ascii="宋体" w:hAnsi="宋体"/>
          <w:color w:val="auto"/>
          <w:sz w:val="24"/>
          <w:highlight w:val="none"/>
          <w:u w:val="single"/>
        </w:rPr>
        <w:t>（项目名称）</w:t>
      </w:r>
      <w:r>
        <w:rPr>
          <w:rFonts w:hint="eastAsia" w:ascii="宋体" w:hAnsi="宋体"/>
          <w:color w:val="auto"/>
          <w:sz w:val="24"/>
          <w:highlight w:val="none"/>
        </w:rPr>
        <w:t xml:space="preserve">采购活动，提供的货物全部由符合政策要求的中小企业制造。相关企业的具体情况如下： </w:t>
      </w:r>
    </w:p>
    <w:p>
      <w:pPr>
        <w:snapToGrid w:val="0"/>
        <w:spacing w:line="360" w:lineRule="auto"/>
        <w:ind w:firstLine="720" w:firstLineChars="300"/>
        <w:jc w:val="left"/>
        <w:rPr>
          <w:rFonts w:ascii="宋体" w:hAnsi="宋体"/>
          <w:color w:val="auto"/>
          <w:sz w:val="24"/>
          <w:highlight w:val="none"/>
        </w:rPr>
      </w:pPr>
      <w:r>
        <w:rPr>
          <w:rFonts w:hint="eastAsia" w:ascii="宋体" w:hAnsi="宋体"/>
          <w:color w:val="auto"/>
          <w:sz w:val="24"/>
          <w:highlight w:val="none"/>
        </w:rPr>
        <w:t xml:space="preserve">1. </w:t>
      </w:r>
      <w:r>
        <w:rPr>
          <w:rFonts w:hint="eastAsia" w:ascii="宋体" w:hAnsi="宋体"/>
          <w:color w:val="auto"/>
          <w:sz w:val="24"/>
          <w:highlight w:val="none"/>
          <w:u w:val="single"/>
        </w:rPr>
        <w:t xml:space="preserve">（标的名称） </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行业；制造商为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 xml:space="preserve">； </w:t>
      </w:r>
    </w:p>
    <w:p>
      <w:pPr>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 xml:space="preserve">2. </w:t>
      </w:r>
      <w:r>
        <w:rPr>
          <w:rFonts w:hint="eastAsia" w:ascii="宋体" w:hAnsi="宋体"/>
          <w:color w:val="auto"/>
          <w:sz w:val="24"/>
          <w:highlight w:val="none"/>
          <w:u w:val="single"/>
        </w:rPr>
        <w:t xml:space="preserve">（标的名称） </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行业；制造商为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 xml:space="preserve">； </w:t>
      </w:r>
    </w:p>
    <w:p>
      <w:pPr>
        <w:snapToGrid w:val="0"/>
        <w:spacing w:line="360" w:lineRule="auto"/>
        <w:rPr>
          <w:rFonts w:ascii="宋体" w:hAnsi="宋体"/>
          <w:color w:val="auto"/>
          <w:sz w:val="24"/>
          <w:highlight w:val="none"/>
        </w:rPr>
      </w:pPr>
      <w:r>
        <w:rPr>
          <w:rFonts w:hint="eastAsia" w:ascii="宋体" w:hAnsi="宋体"/>
          <w:color w:val="auto"/>
          <w:sz w:val="24"/>
          <w:highlight w:val="none"/>
        </w:rPr>
        <w:t>……</w:t>
      </w:r>
    </w:p>
    <w:p>
      <w:pPr>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pPr>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 xml:space="preserve">本企业对上述声明内容的真实性负责。如有虚假，将依法承担相应责任。 </w:t>
      </w:r>
    </w:p>
    <w:p>
      <w:pPr>
        <w:pStyle w:val="45"/>
        <w:numPr>
          <w:ilvl w:val="0"/>
          <w:numId w:val="0"/>
        </w:numPr>
        <w:rPr>
          <w:color w:val="auto"/>
          <w:szCs w:val="24"/>
          <w:highlight w:val="none"/>
        </w:rPr>
      </w:pPr>
    </w:p>
    <w:p>
      <w:pPr>
        <w:snapToGrid w:val="0"/>
        <w:spacing w:line="360" w:lineRule="auto"/>
        <w:ind w:firstLine="4560" w:firstLineChars="1900"/>
        <w:rPr>
          <w:rFonts w:ascii="宋体" w:hAnsi="宋体"/>
          <w:color w:val="auto"/>
          <w:sz w:val="24"/>
          <w:highlight w:val="none"/>
        </w:rPr>
      </w:pPr>
      <w:r>
        <w:rPr>
          <w:rFonts w:hint="eastAsia" w:ascii="宋体" w:hAnsi="宋体"/>
          <w:color w:val="auto"/>
          <w:sz w:val="24"/>
          <w:highlight w:val="none"/>
        </w:rPr>
        <w:t xml:space="preserve">企业名称（盖章）： </w:t>
      </w:r>
    </w:p>
    <w:p>
      <w:pPr>
        <w:snapToGrid w:val="0"/>
        <w:spacing w:line="360" w:lineRule="auto"/>
        <w:ind w:firstLine="4560" w:firstLineChars="1900"/>
        <w:rPr>
          <w:rFonts w:ascii="宋体" w:hAnsi="宋体"/>
          <w:color w:val="auto"/>
          <w:sz w:val="24"/>
          <w:highlight w:val="none"/>
        </w:rPr>
      </w:pPr>
      <w:r>
        <w:rPr>
          <w:rFonts w:hint="eastAsia" w:ascii="宋体" w:hAnsi="宋体"/>
          <w:color w:val="auto"/>
          <w:sz w:val="24"/>
          <w:highlight w:val="none"/>
        </w:rPr>
        <w:t xml:space="preserve">日 期： </w:t>
      </w:r>
    </w:p>
    <w:p>
      <w:pPr>
        <w:snapToGrid w:val="0"/>
        <w:spacing w:line="360" w:lineRule="auto"/>
        <w:ind w:firstLine="720" w:firstLineChars="300"/>
        <w:rPr>
          <w:rFonts w:hint="eastAsia" w:ascii="宋体" w:hAnsi="宋体"/>
          <w:color w:val="auto"/>
          <w:sz w:val="24"/>
          <w:highlight w:val="none"/>
        </w:rPr>
      </w:pP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注：1.从业人员、营业收入、资产总额填报上一年度数据，无上一年度数据的新成立企业可不填报。</w:t>
      </w:r>
    </w:p>
    <w:p>
      <w:pPr>
        <w:tabs>
          <w:tab w:val="left" w:pos="6264"/>
        </w:tabs>
        <w:snapToGrid w:val="0"/>
        <w:spacing w:line="400" w:lineRule="exact"/>
        <w:ind w:firstLine="476"/>
        <w:rPr>
          <w:rFonts w:hint="eastAsia" w:ascii="宋体" w:hAnsi="宋体" w:eastAsia="宋体" w:cs="宋体"/>
          <w:color w:val="auto"/>
          <w:sz w:val="24"/>
          <w:szCs w:val="24"/>
          <w:highlight w:val="red"/>
          <w:u w:val="none"/>
        </w:rPr>
      </w:pPr>
      <w:r>
        <w:rPr>
          <w:rFonts w:hint="eastAsia" w:ascii="宋体" w:hAnsi="宋体"/>
          <w:color w:val="auto"/>
          <w:sz w:val="24"/>
          <w:highlight w:val="none"/>
        </w:rPr>
        <w:t>2.根据财库〔2020〕46号的第十三条、第二十条规定：中标供应商享受本办法规定的中小企业扶持政策的，采购人、采购代理机构应当随中标结果公开中标供应商的《中小企业声明函》。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pPr>
        <w:snapToGrid w:val="0"/>
        <w:spacing w:line="360" w:lineRule="auto"/>
        <w:ind w:firstLine="720" w:firstLineChars="300"/>
        <w:rPr>
          <w:rFonts w:ascii="宋体" w:hAnsi="宋体"/>
          <w:color w:val="auto"/>
          <w:sz w:val="24"/>
          <w:szCs w:val="24"/>
          <w:highlight w:val="none"/>
        </w:rPr>
      </w:pPr>
    </w:p>
    <w:p>
      <w:pPr>
        <w:pStyle w:val="44"/>
        <w:rPr>
          <w:color w:val="auto"/>
          <w:sz w:val="24"/>
          <w:szCs w:val="24"/>
          <w:highlight w:val="none"/>
        </w:rPr>
      </w:pPr>
    </w:p>
    <w:p>
      <w:pPr>
        <w:pStyle w:val="12"/>
        <w:rPr>
          <w:color w:val="auto"/>
          <w:sz w:val="24"/>
          <w:szCs w:val="24"/>
          <w:highlight w:val="none"/>
        </w:rPr>
      </w:pPr>
    </w:p>
    <w:p>
      <w:pPr>
        <w:pStyle w:val="12"/>
        <w:rPr>
          <w:color w:val="auto"/>
          <w:sz w:val="24"/>
          <w:szCs w:val="24"/>
          <w:highlight w:val="none"/>
        </w:rPr>
      </w:pPr>
    </w:p>
    <w:p>
      <w:pPr>
        <w:pStyle w:val="12"/>
        <w:rPr>
          <w:color w:val="auto"/>
          <w:sz w:val="24"/>
          <w:szCs w:val="24"/>
          <w:highlight w:val="none"/>
        </w:rPr>
      </w:pPr>
    </w:p>
    <w:p>
      <w:pPr>
        <w:pStyle w:val="4"/>
        <w:spacing w:line="360" w:lineRule="auto"/>
        <w:jc w:val="center"/>
        <w:rPr>
          <w:rFonts w:ascii="宋体" w:hAnsi="宋体" w:eastAsia="宋体"/>
          <w:color w:val="auto"/>
          <w:szCs w:val="32"/>
          <w:highlight w:val="none"/>
        </w:rPr>
      </w:pPr>
      <w:r>
        <w:rPr>
          <w:rFonts w:hint="eastAsia" w:ascii="宋体" w:hAnsi="宋体" w:eastAsia="宋体"/>
          <w:color w:val="auto"/>
          <w:szCs w:val="32"/>
          <w:highlight w:val="none"/>
        </w:rPr>
        <w:t>残疾人福利性单位声明函</w:t>
      </w:r>
    </w:p>
    <w:p>
      <w:pPr>
        <w:wordWrap w:val="0"/>
        <w:snapToGrid w:val="0"/>
        <w:spacing w:before="360" w:beforeLines="150" w:line="360" w:lineRule="auto"/>
        <w:ind w:firstLine="482"/>
        <w:rPr>
          <w:rFonts w:ascii="宋体" w:hAnsi="宋体"/>
          <w:color w:val="auto"/>
          <w:sz w:val="24"/>
          <w:szCs w:val="24"/>
          <w:highlight w:val="none"/>
        </w:rPr>
      </w:pPr>
      <w:r>
        <w:rPr>
          <w:rFonts w:hint="eastAsia" w:ascii="微软雅黑" w:hAnsi="微软雅黑" w:eastAsia="微软雅黑" w:cs="微软雅黑"/>
          <w:color w:val="auto"/>
          <w:kern w:val="0"/>
          <w:sz w:val="24"/>
          <w:szCs w:val="24"/>
          <w:highlight w:val="none"/>
        </w:rPr>
        <w:t> </w:t>
      </w:r>
      <w:r>
        <w:rPr>
          <w:rFonts w:hint="eastAsia" w:ascii="微软雅黑" w:hAnsi="微软雅黑" w:eastAsia="微软雅黑" w:cs="微软雅黑"/>
          <w:color w:val="auto"/>
          <w:kern w:val="0"/>
          <w:sz w:val="24"/>
          <w:szCs w:val="24"/>
          <w:highlight w:val="none"/>
          <w:lang w:bidi="ar"/>
        </w:rPr>
        <w:t> </w:t>
      </w:r>
      <w:r>
        <w:rPr>
          <w:rFonts w:hint="eastAsia" w:ascii="宋体" w:hAnsi="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单位的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r>
        <w:rPr>
          <w:rFonts w:hint="eastAsia" w:ascii="宋体" w:hAnsi="宋体"/>
          <w:color w:val="auto"/>
          <w:sz w:val="24"/>
          <w:szCs w:val="24"/>
          <w:highlight w:val="none"/>
        </w:rPr>
        <w:br w:type="textWrapping"/>
      </w:r>
      <w:r>
        <w:rPr>
          <w:rFonts w:hint="eastAsia" w:ascii="宋体" w:hAnsi="宋体"/>
          <w:color w:val="auto"/>
          <w:sz w:val="24"/>
          <w:szCs w:val="24"/>
          <w:highlight w:val="none"/>
        </w:rPr>
        <w:t>   本单位对上述声明的真实性负责。如有虚假，将依法承担相应责任。</w:t>
      </w:r>
    </w:p>
    <w:p>
      <w:pPr>
        <w:widowControl/>
        <w:spacing w:line="360" w:lineRule="auto"/>
        <w:jc w:val="right"/>
        <w:textAlignment w:val="top"/>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单位名称（盖章）：</w:t>
      </w:r>
    </w:p>
    <w:p>
      <w:pPr>
        <w:spacing w:line="600" w:lineRule="exact"/>
        <w:ind w:firstLine="360" w:firstLineChars="150"/>
        <w:jc w:val="right"/>
        <w:rPr>
          <w:color w:val="auto"/>
          <w:sz w:val="24"/>
          <w:szCs w:val="24"/>
          <w:highlight w:val="none"/>
        </w:rPr>
        <w:sectPr>
          <w:headerReference r:id="rId10" w:type="first"/>
          <w:footerReference r:id="rId12" w:type="first"/>
          <w:headerReference r:id="rId9" w:type="default"/>
          <w:footerReference r:id="rId11" w:type="default"/>
          <w:pgSz w:w="11906" w:h="16838"/>
          <w:pgMar w:top="1389" w:right="1247" w:bottom="1389" w:left="1247" w:header="851" w:footer="851" w:gutter="0"/>
          <w:cols w:space="720" w:num="1"/>
          <w:titlePg/>
          <w:docGrid w:linePitch="312" w:charSpace="0"/>
        </w:sectPr>
      </w:pPr>
      <w:r>
        <w:rPr>
          <w:rFonts w:hint="eastAsia" w:hAnsi="宋体" w:cs="宋体"/>
          <w:color w:val="auto"/>
          <w:kern w:val="0"/>
          <w:sz w:val="24"/>
          <w:szCs w:val="24"/>
          <w:highlight w:val="none"/>
          <w:lang w:bidi="ar"/>
        </w:rPr>
        <w:t>日 期</w:t>
      </w:r>
    </w:p>
    <w:p>
      <w:pPr>
        <w:spacing w:line="400" w:lineRule="exact"/>
        <w:rPr>
          <w:rFonts w:ascii="宋体" w:hAnsi="宋体"/>
          <w:b/>
          <w:color w:val="auto"/>
          <w:sz w:val="32"/>
          <w:szCs w:val="32"/>
          <w:highlight w:val="none"/>
        </w:rPr>
      </w:pPr>
      <w:r>
        <w:rPr>
          <w:rFonts w:hint="eastAsia" w:ascii="宋体" w:hAnsi="宋体"/>
          <w:b/>
          <w:color w:val="auto"/>
          <w:sz w:val="32"/>
          <w:szCs w:val="32"/>
          <w:highlight w:val="none"/>
        </w:rPr>
        <w:t>附件5                      投标人或投标产品近三年以来项目业绩一览表</w:t>
      </w:r>
    </w:p>
    <w:p>
      <w:pPr>
        <w:spacing w:line="400" w:lineRule="exact"/>
        <w:rPr>
          <w:rFonts w:ascii="楷体_GB2312" w:hAnsi="宋体" w:eastAsia="楷体_GB2312" w:cs="Arial"/>
          <w:color w:val="auto"/>
          <w:sz w:val="24"/>
          <w:highlight w:val="none"/>
        </w:rPr>
      </w:pPr>
    </w:p>
    <w:tbl>
      <w:tblPr>
        <w:tblStyle w:val="37"/>
        <w:tblW w:w="14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2385"/>
        <w:gridCol w:w="1035"/>
        <w:gridCol w:w="1080"/>
        <w:gridCol w:w="1620"/>
        <w:gridCol w:w="1440"/>
        <w:gridCol w:w="876"/>
        <w:gridCol w:w="956"/>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采购单位名称</w:t>
            </w:r>
          </w:p>
        </w:tc>
        <w:tc>
          <w:tcPr>
            <w:tcW w:w="238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设备或项目名称</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w:t>
            </w:r>
          </w:p>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单价</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交货期</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w:t>
            </w:r>
          </w:p>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金额</w:t>
            </w:r>
          </w:p>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（万元）</w:t>
            </w:r>
          </w:p>
        </w:tc>
        <w:tc>
          <w:tcPr>
            <w:tcW w:w="183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采购单位联系人及</w:t>
            </w:r>
          </w:p>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2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w:t>
            </w: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验收</w:t>
            </w:r>
          </w:p>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证明</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238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87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95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238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8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95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238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8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95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238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8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95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238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8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95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bl>
    <w:p>
      <w:pPr>
        <w:autoSpaceDE w:val="0"/>
        <w:autoSpaceDN w:val="0"/>
        <w:adjustRightInd w:val="0"/>
        <w:spacing w:line="440" w:lineRule="exact"/>
        <w:rPr>
          <w:rFonts w:ascii="宋体" w:hAnsi="宋体"/>
          <w:color w:val="auto"/>
          <w:sz w:val="24"/>
          <w:highlight w:val="none"/>
        </w:rPr>
      </w:pPr>
      <w:r>
        <w:rPr>
          <w:rFonts w:hint="eastAsia" w:ascii="宋体" w:hAnsi="宋体"/>
          <w:b/>
          <w:color w:val="auto"/>
          <w:sz w:val="24"/>
          <w:highlight w:val="none"/>
        </w:rPr>
        <w:t>注：投标人可按上述的格式自行编制，须随表提交相应的合同、验收证明</w:t>
      </w:r>
      <w:r>
        <w:rPr>
          <w:rFonts w:hint="eastAsia" w:ascii="宋体" w:hAnsi="宋体"/>
          <w:b/>
          <w:color w:val="auto"/>
          <w:sz w:val="24"/>
          <w:highlight w:val="none"/>
          <w:lang w:val="en-US" w:eastAsia="zh-CN"/>
        </w:rPr>
        <w:t>扫描件</w:t>
      </w:r>
      <w:r>
        <w:rPr>
          <w:rFonts w:hint="eastAsia" w:ascii="宋体" w:hAnsi="宋体"/>
          <w:b/>
          <w:color w:val="auto"/>
          <w:sz w:val="24"/>
          <w:highlight w:val="none"/>
        </w:rPr>
        <w:t>并注明所在投标资信文件页码。（单位公章）</w:t>
      </w:r>
    </w:p>
    <w:p>
      <w:pPr>
        <w:spacing w:line="300" w:lineRule="exact"/>
        <w:ind w:firstLine="2400" w:firstLineChars="1000"/>
        <w:rPr>
          <w:rFonts w:ascii="宋体" w:hAnsi="宋体"/>
          <w:color w:val="auto"/>
          <w:sz w:val="24"/>
          <w:highlight w:val="none"/>
        </w:rPr>
      </w:pPr>
    </w:p>
    <w:p>
      <w:pPr>
        <w:spacing w:line="300" w:lineRule="exact"/>
        <w:ind w:firstLine="6480" w:firstLineChars="2700"/>
        <w:rPr>
          <w:rFonts w:ascii="宋体" w:hAnsi="宋体"/>
          <w:color w:val="auto"/>
          <w:spacing w:val="20"/>
          <w:sz w:val="24"/>
          <w:highlight w:val="none"/>
          <w:u w:val="single"/>
        </w:rPr>
      </w:pPr>
      <w:r>
        <w:rPr>
          <w:rFonts w:hint="eastAsia" w:ascii="宋体" w:hAnsi="宋体"/>
          <w:color w:val="auto"/>
          <w:sz w:val="24"/>
          <w:highlight w:val="none"/>
        </w:rPr>
        <w:t>法定代表人或被授权人签字（或签章）</w:t>
      </w:r>
      <w:r>
        <w:rPr>
          <w:rFonts w:hint="eastAsia" w:ascii="宋体" w:hAnsi="宋体"/>
          <w:color w:val="auto"/>
          <w:spacing w:val="20"/>
          <w:sz w:val="24"/>
          <w:highlight w:val="none"/>
        </w:rPr>
        <w:t>：</w:t>
      </w:r>
    </w:p>
    <w:p>
      <w:pPr>
        <w:spacing w:line="300" w:lineRule="exact"/>
        <w:rPr>
          <w:rFonts w:ascii="宋体" w:hAnsi="宋体"/>
          <w:color w:val="auto"/>
          <w:spacing w:val="20"/>
          <w:sz w:val="24"/>
          <w:highlight w:val="none"/>
          <w:u w:val="single"/>
        </w:rPr>
      </w:pPr>
    </w:p>
    <w:p>
      <w:pPr>
        <w:spacing w:line="300" w:lineRule="exact"/>
        <w:ind w:firstLine="560" w:firstLineChars="200"/>
        <w:rPr>
          <w:rFonts w:ascii="宋体" w:hAnsi="宋体"/>
          <w:color w:val="auto"/>
          <w:spacing w:val="20"/>
          <w:sz w:val="24"/>
          <w:highlight w:val="none"/>
          <w:u w:val="single"/>
        </w:rPr>
      </w:pPr>
      <w:r>
        <w:rPr>
          <w:rFonts w:hint="eastAsia" w:ascii="宋体" w:hAnsi="宋体"/>
          <w:color w:val="auto"/>
          <w:spacing w:val="20"/>
          <w:sz w:val="24"/>
          <w:highlight w:val="none"/>
        </w:rPr>
        <w:t xml:space="preserve">                                                     投标人盖章：</w:t>
      </w:r>
    </w:p>
    <w:p>
      <w:pPr>
        <w:spacing w:line="300" w:lineRule="exact"/>
        <w:rPr>
          <w:rFonts w:ascii="宋体" w:hAnsi="宋体"/>
          <w:color w:val="auto"/>
          <w:spacing w:val="20"/>
          <w:sz w:val="24"/>
          <w:highlight w:val="none"/>
          <w:u w:val="single"/>
        </w:rPr>
      </w:pPr>
    </w:p>
    <w:p>
      <w:pPr>
        <w:tabs>
          <w:tab w:val="left" w:pos="1418"/>
        </w:tabs>
        <w:spacing w:line="300" w:lineRule="exact"/>
        <w:ind w:left="1418" w:hanging="567"/>
        <w:jc w:val="center"/>
        <w:rPr>
          <w:rFonts w:ascii="仿宋_GB2312" w:eastAsia="仿宋_GB2312"/>
          <w:color w:val="auto"/>
          <w:spacing w:val="20"/>
          <w:sz w:val="24"/>
          <w:highlight w:val="none"/>
          <w:u w:val="single"/>
        </w:rPr>
      </w:pPr>
      <w:r>
        <w:rPr>
          <w:rFonts w:hint="eastAsia" w:ascii="宋体" w:hAnsi="宋体"/>
          <w:color w:val="auto"/>
          <w:spacing w:val="20"/>
          <w:sz w:val="24"/>
          <w:highlight w:val="none"/>
        </w:rPr>
        <w:t xml:space="preserve">                               日     期：</w:t>
      </w:r>
    </w:p>
    <w:p>
      <w:pPr>
        <w:spacing w:line="360" w:lineRule="auto"/>
        <w:ind w:firstLine="6860" w:firstLineChars="2450"/>
        <w:rPr>
          <w:rFonts w:ascii="宋体" w:hAnsi="宋体"/>
          <w:iCs/>
          <w:color w:val="auto"/>
          <w:spacing w:val="20"/>
          <w:sz w:val="24"/>
          <w:highlight w:val="none"/>
        </w:rPr>
      </w:pPr>
    </w:p>
    <w:p>
      <w:pPr>
        <w:pStyle w:val="33"/>
        <w:jc w:val="both"/>
        <w:rPr>
          <w:color w:val="auto"/>
          <w:highlight w:val="none"/>
        </w:rPr>
        <w:sectPr>
          <w:pgSz w:w="16838" w:h="11906" w:orient="landscape"/>
          <w:pgMar w:top="1247" w:right="1389" w:bottom="1247" w:left="1389" w:header="851" w:footer="851" w:gutter="0"/>
          <w:cols w:space="720" w:num="1"/>
          <w:titlePg/>
          <w:docGrid w:linePitch="312" w:charSpace="0"/>
        </w:sectPr>
      </w:pPr>
    </w:p>
    <w:p>
      <w:pPr>
        <w:rPr>
          <w:rFonts w:ascii="宋体" w:hAnsi="宋体"/>
          <w:b/>
          <w:color w:val="auto"/>
          <w:spacing w:val="20"/>
          <w:sz w:val="30"/>
          <w:szCs w:val="30"/>
          <w:highlight w:val="none"/>
        </w:rPr>
      </w:pPr>
      <w:r>
        <w:rPr>
          <w:rFonts w:ascii="宋体" w:hAnsi="宋体"/>
          <w:b/>
          <w:color w:val="auto"/>
          <w:spacing w:val="20"/>
          <w:sz w:val="30"/>
          <w:szCs w:val="30"/>
          <w:highlight w:val="none"/>
        </w:rPr>
        <w:t>附件</w:t>
      </w:r>
      <w:r>
        <w:rPr>
          <w:rFonts w:hint="eastAsia" w:ascii="宋体" w:hAnsi="宋体"/>
          <w:b/>
          <w:color w:val="auto"/>
          <w:spacing w:val="20"/>
          <w:sz w:val="30"/>
          <w:szCs w:val="30"/>
          <w:highlight w:val="none"/>
        </w:rPr>
        <w:t xml:space="preserve">6                      </w:t>
      </w:r>
      <w:r>
        <w:rPr>
          <w:rFonts w:ascii="宋体" w:hAnsi="宋体"/>
          <w:b/>
          <w:color w:val="auto"/>
          <w:spacing w:val="20"/>
          <w:sz w:val="30"/>
          <w:szCs w:val="30"/>
          <w:highlight w:val="none"/>
        </w:rPr>
        <w:t>产品性能说明</w:t>
      </w:r>
    </w:p>
    <w:p>
      <w:pPr>
        <w:jc w:val="center"/>
        <w:rPr>
          <w:rFonts w:ascii="宋体" w:hAnsi="宋体"/>
          <w:color w:val="auto"/>
          <w:spacing w:val="20"/>
          <w:sz w:val="24"/>
          <w:highlight w:val="none"/>
        </w:rPr>
      </w:pPr>
    </w:p>
    <w:p>
      <w:pPr>
        <w:ind w:firstLine="560" w:firstLineChars="200"/>
        <w:rPr>
          <w:rFonts w:ascii="宋体" w:hAnsi="宋体"/>
          <w:color w:val="auto"/>
          <w:spacing w:val="20"/>
          <w:sz w:val="24"/>
          <w:highlight w:val="none"/>
        </w:rPr>
      </w:pPr>
      <w:r>
        <w:rPr>
          <w:rFonts w:hint="eastAsia" w:ascii="宋体" w:hAnsi="宋体"/>
          <w:color w:val="auto"/>
          <w:spacing w:val="20"/>
          <w:sz w:val="24"/>
          <w:highlight w:val="none"/>
        </w:rPr>
        <w:t>投标人</w:t>
      </w:r>
      <w:r>
        <w:rPr>
          <w:rFonts w:ascii="宋体" w:hAnsi="宋体"/>
          <w:color w:val="auto"/>
          <w:spacing w:val="20"/>
          <w:sz w:val="24"/>
          <w:highlight w:val="none"/>
        </w:rPr>
        <w:t>名称</w:t>
      </w:r>
      <w:r>
        <w:rPr>
          <w:rFonts w:hint="eastAsia" w:ascii="宋体" w:hAnsi="宋体"/>
          <w:color w:val="auto"/>
          <w:spacing w:val="20"/>
          <w:sz w:val="24"/>
          <w:highlight w:val="none"/>
        </w:rPr>
        <w:t>（</w:t>
      </w:r>
      <w:r>
        <w:rPr>
          <w:rFonts w:ascii="宋体" w:hAnsi="宋体"/>
          <w:color w:val="auto"/>
          <w:spacing w:val="20"/>
          <w:sz w:val="24"/>
          <w:highlight w:val="none"/>
        </w:rPr>
        <w:t>盖章</w:t>
      </w:r>
      <w:r>
        <w:rPr>
          <w:rFonts w:hint="eastAsia" w:ascii="宋体" w:hAnsi="宋体"/>
          <w:color w:val="auto"/>
          <w:spacing w:val="20"/>
          <w:sz w:val="24"/>
          <w:highlight w:val="none"/>
        </w:rPr>
        <w:t>）</w:t>
      </w:r>
      <w:r>
        <w:rPr>
          <w:rFonts w:ascii="宋体" w:hAnsi="宋体"/>
          <w:color w:val="auto"/>
          <w:spacing w:val="20"/>
          <w:sz w:val="24"/>
          <w:highlight w:val="none"/>
        </w:rPr>
        <w:t>：</w:t>
      </w:r>
      <w:r>
        <w:rPr>
          <w:rFonts w:hint="eastAsia" w:ascii="宋体" w:hAnsi="宋体"/>
          <w:color w:val="auto"/>
          <w:spacing w:val="20"/>
          <w:sz w:val="24"/>
          <w:highlight w:val="none"/>
        </w:rPr>
        <w:t xml:space="preserve">      项目编号</w:t>
      </w:r>
      <w:r>
        <w:rPr>
          <w:rFonts w:ascii="宋体" w:hAnsi="宋体"/>
          <w:color w:val="auto"/>
          <w:spacing w:val="20"/>
          <w:sz w:val="24"/>
          <w:highlight w:val="none"/>
        </w:rPr>
        <w:t>：</w:t>
      </w:r>
      <w:r>
        <w:rPr>
          <w:rFonts w:hint="eastAsia" w:ascii="宋体" w:hAnsi="宋体"/>
          <w:color w:val="auto"/>
          <w:spacing w:val="20"/>
          <w:sz w:val="24"/>
          <w:highlight w:val="none"/>
        </w:rPr>
        <w:t xml:space="preserve">            项目</w:t>
      </w:r>
      <w:r>
        <w:rPr>
          <w:rFonts w:ascii="宋体" w:hAnsi="宋体"/>
          <w:color w:val="auto"/>
          <w:spacing w:val="20"/>
          <w:sz w:val="24"/>
          <w:highlight w:val="none"/>
        </w:rPr>
        <w:t>名称：</w:t>
      </w:r>
      <w:r>
        <w:rPr>
          <w:rFonts w:hint="eastAsia" w:ascii="宋体" w:hAnsi="宋体"/>
          <w:color w:val="auto"/>
          <w:spacing w:val="20"/>
          <w:sz w:val="24"/>
          <w:highlight w:val="none"/>
        </w:rPr>
        <w:t xml:space="preserve">              标项：</w:t>
      </w:r>
    </w:p>
    <w:p>
      <w:pPr>
        <w:rPr>
          <w:rFonts w:ascii="宋体" w:hAnsi="宋体"/>
          <w:color w:val="auto"/>
          <w:spacing w:val="20"/>
          <w:sz w:val="24"/>
          <w:highlight w:val="none"/>
        </w:rPr>
      </w:pPr>
    </w:p>
    <w:p>
      <w:pPr>
        <w:jc w:val="center"/>
        <w:rPr>
          <w:rFonts w:ascii="宋体" w:hAnsi="宋体"/>
          <w:color w:val="auto"/>
          <w:spacing w:val="20"/>
          <w:sz w:val="24"/>
          <w:highlight w:val="none"/>
        </w:rPr>
      </w:pPr>
    </w:p>
    <w:p>
      <w:pPr>
        <w:jc w:val="center"/>
        <w:rPr>
          <w:rFonts w:ascii="宋体" w:hAnsi="宋体"/>
          <w:color w:val="auto"/>
          <w:spacing w:val="20"/>
          <w:sz w:val="24"/>
          <w:highlight w:val="none"/>
        </w:rPr>
      </w:pPr>
    </w:p>
    <w:p>
      <w:pPr>
        <w:jc w:val="center"/>
        <w:rPr>
          <w:rFonts w:ascii="宋体" w:hAnsi="宋体"/>
          <w:color w:val="auto"/>
          <w:spacing w:val="20"/>
          <w:sz w:val="24"/>
          <w:highlight w:val="none"/>
        </w:rPr>
      </w:pPr>
    </w:p>
    <w:p>
      <w:pPr>
        <w:jc w:val="center"/>
        <w:rPr>
          <w:rFonts w:ascii="宋体" w:hAnsi="宋体"/>
          <w:color w:val="auto"/>
          <w:spacing w:val="20"/>
          <w:sz w:val="24"/>
          <w:highlight w:val="none"/>
        </w:rPr>
      </w:pPr>
    </w:p>
    <w:p>
      <w:pPr>
        <w:jc w:val="center"/>
        <w:rPr>
          <w:rFonts w:ascii="宋体" w:hAnsi="宋体"/>
          <w:color w:val="auto"/>
          <w:spacing w:val="20"/>
          <w:sz w:val="24"/>
          <w:highlight w:val="none"/>
        </w:rPr>
      </w:pPr>
    </w:p>
    <w:p>
      <w:pPr>
        <w:jc w:val="center"/>
        <w:rPr>
          <w:rFonts w:ascii="宋体" w:hAnsi="宋体"/>
          <w:color w:val="auto"/>
          <w:spacing w:val="20"/>
          <w:sz w:val="24"/>
          <w:highlight w:val="none"/>
        </w:rPr>
      </w:pPr>
    </w:p>
    <w:p>
      <w:pPr>
        <w:jc w:val="center"/>
        <w:rPr>
          <w:rFonts w:ascii="宋体" w:hAnsi="宋体"/>
          <w:color w:val="auto"/>
          <w:spacing w:val="20"/>
          <w:sz w:val="24"/>
          <w:highlight w:val="none"/>
        </w:rPr>
      </w:pPr>
    </w:p>
    <w:p>
      <w:pPr>
        <w:jc w:val="center"/>
        <w:rPr>
          <w:rFonts w:ascii="宋体" w:hAnsi="宋体"/>
          <w:color w:val="auto"/>
          <w:spacing w:val="20"/>
          <w:sz w:val="24"/>
          <w:highlight w:val="none"/>
        </w:rPr>
      </w:pPr>
    </w:p>
    <w:p>
      <w:pPr>
        <w:jc w:val="center"/>
        <w:rPr>
          <w:rFonts w:ascii="宋体" w:hAnsi="宋体"/>
          <w:color w:val="auto"/>
          <w:spacing w:val="20"/>
          <w:sz w:val="24"/>
          <w:highlight w:val="none"/>
        </w:rPr>
      </w:pPr>
    </w:p>
    <w:p>
      <w:pPr>
        <w:jc w:val="center"/>
        <w:rPr>
          <w:rFonts w:ascii="宋体" w:hAnsi="宋体"/>
          <w:color w:val="auto"/>
          <w:spacing w:val="20"/>
          <w:sz w:val="24"/>
          <w:highlight w:val="none"/>
        </w:rPr>
      </w:pPr>
    </w:p>
    <w:p>
      <w:pPr>
        <w:jc w:val="center"/>
        <w:rPr>
          <w:rFonts w:ascii="宋体" w:hAnsi="宋体"/>
          <w:color w:val="auto"/>
          <w:spacing w:val="20"/>
          <w:sz w:val="24"/>
          <w:highlight w:val="none"/>
        </w:rPr>
      </w:pPr>
    </w:p>
    <w:p>
      <w:pPr>
        <w:rPr>
          <w:rFonts w:ascii="宋体" w:hAnsi="宋体"/>
          <w:color w:val="auto"/>
          <w:spacing w:val="20"/>
          <w:sz w:val="24"/>
          <w:highlight w:val="none"/>
        </w:rPr>
      </w:pPr>
    </w:p>
    <w:p>
      <w:pPr>
        <w:jc w:val="center"/>
        <w:rPr>
          <w:rFonts w:ascii="宋体" w:hAnsi="宋体"/>
          <w:color w:val="auto"/>
          <w:spacing w:val="20"/>
          <w:sz w:val="24"/>
          <w:highlight w:val="none"/>
        </w:rPr>
      </w:pPr>
    </w:p>
    <w:p>
      <w:pPr>
        <w:jc w:val="center"/>
        <w:rPr>
          <w:rFonts w:ascii="宋体" w:hAnsi="宋体"/>
          <w:color w:val="auto"/>
          <w:spacing w:val="20"/>
          <w:sz w:val="24"/>
          <w:highlight w:val="none"/>
        </w:rPr>
      </w:pPr>
    </w:p>
    <w:p>
      <w:pPr>
        <w:jc w:val="center"/>
        <w:rPr>
          <w:rFonts w:ascii="宋体" w:hAnsi="宋体"/>
          <w:color w:val="auto"/>
          <w:spacing w:val="20"/>
          <w:sz w:val="24"/>
          <w:highlight w:val="none"/>
        </w:rPr>
      </w:pPr>
    </w:p>
    <w:p>
      <w:pPr>
        <w:rPr>
          <w:rFonts w:ascii="宋体" w:hAnsi="宋体"/>
          <w:color w:val="auto"/>
          <w:spacing w:val="20"/>
          <w:sz w:val="24"/>
          <w:highlight w:val="none"/>
        </w:rPr>
      </w:pPr>
    </w:p>
    <w:p>
      <w:pPr>
        <w:rPr>
          <w:rFonts w:ascii="宋体" w:hAnsi="宋体"/>
          <w:color w:val="auto"/>
          <w:spacing w:val="20"/>
          <w:sz w:val="24"/>
          <w:highlight w:val="none"/>
        </w:rPr>
      </w:pPr>
    </w:p>
    <w:p>
      <w:pPr>
        <w:rPr>
          <w:rFonts w:ascii="宋体" w:hAnsi="宋体"/>
          <w:color w:val="auto"/>
          <w:spacing w:val="20"/>
          <w:sz w:val="24"/>
          <w:highlight w:val="none"/>
        </w:rPr>
      </w:pPr>
    </w:p>
    <w:p>
      <w:pPr>
        <w:rPr>
          <w:rFonts w:ascii="宋体" w:hAnsi="宋体"/>
          <w:color w:val="auto"/>
          <w:spacing w:val="20"/>
          <w:sz w:val="24"/>
          <w:highlight w:val="none"/>
        </w:rPr>
      </w:pPr>
    </w:p>
    <w:p>
      <w:pPr>
        <w:rPr>
          <w:rFonts w:ascii="宋体" w:hAnsi="宋体"/>
          <w:color w:val="auto"/>
          <w:spacing w:val="20"/>
          <w:sz w:val="24"/>
          <w:highlight w:val="none"/>
        </w:rPr>
      </w:pPr>
      <w:r>
        <w:rPr>
          <w:rFonts w:hint="eastAsia" w:ascii="宋体" w:hAnsi="宋体"/>
          <w:color w:val="auto"/>
          <w:sz w:val="24"/>
          <w:highlight w:val="none"/>
        </w:rPr>
        <w:t>法定代表人或被授权人签字（或签章）</w:t>
      </w:r>
      <w:r>
        <w:rPr>
          <w:rFonts w:ascii="宋体" w:hAnsi="宋体"/>
          <w:color w:val="auto"/>
          <w:spacing w:val="20"/>
          <w:sz w:val="24"/>
          <w:highlight w:val="none"/>
        </w:rPr>
        <w:t>：</w:t>
      </w:r>
    </w:p>
    <w:p>
      <w:pPr>
        <w:spacing w:line="360" w:lineRule="auto"/>
        <w:rPr>
          <w:rFonts w:ascii="宋体" w:hAnsi="宋体"/>
          <w:b/>
          <w:color w:val="auto"/>
          <w:spacing w:val="20"/>
          <w:sz w:val="30"/>
          <w:szCs w:val="30"/>
          <w:highlight w:val="none"/>
        </w:rPr>
      </w:pPr>
    </w:p>
    <w:p>
      <w:pPr>
        <w:spacing w:line="360" w:lineRule="auto"/>
        <w:rPr>
          <w:rFonts w:ascii="宋体" w:hAnsi="宋体"/>
          <w:b/>
          <w:color w:val="auto"/>
          <w:spacing w:val="20"/>
          <w:sz w:val="30"/>
          <w:szCs w:val="30"/>
          <w:highlight w:val="none"/>
        </w:rPr>
      </w:pPr>
    </w:p>
    <w:p>
      <w:pPr>
        <w:spacing w:line="360" w:lineRule="auto"/>
        <w:rPr>
          <w:rFonts w:ascii="宋体" w:hAnsi="宋体"/>
          <w:b/>
          <w:color w:val="auto"/>
          <w:spacing w:val="20"/>
          <w:sz w:val="30"/>
          <w:szCs w:val="30"/>
          <w:highlight w:val="none"/>
        </w:rPr>
      </w:pPr>
    </w:p>
    <w:p>
      <w:pPr>
        <w:rPr>
          <w:rFonts w:ascii="宋体" w:hAnsi="宋体"/>
          <w:b/>
          <w:color w:val="auto"/>
          <w:spacing w:val="20"/>
          <w:sz w:val="30"/>
          <w:szCs w:val="30"/>
          <w:highlight w:val="none"/>
        </w:rPr>
      </w:pPr>
      <w:r>
        <w:rPr>
          <w:rFonts w:hint="eastAsia" w:ascii="宋体" w:hAnsi="宋体"/>
          <w:b/>
          <w:color w:val="auto"/>
          <w:sz w:val="32"/>
          <w:szCs w:val="32"/>
          <w:highlight w:val="none"/>
        </w:rPr>
        <w:t xml:space="preserve">附件7                             </w:t>
      </w:r>
      <w:r>
        <w:rPr>
          <w:rFonts w:hint="eastAsia" w:ascii="宋体" w:hAnsi="宋体"/>
          <w:b/>
          <w:color w:val="auto"/>
          <w:spacing w:val="20"/>
          <w:sz w:val="30"/>
          <w:szCs w:val="30"/>
          <w:highlight w:val="none"/>
        </w:rPr>
        <w:t>产品</w:t>
      </w:r>
      <w:r>
        <w:rPr>
          <w:rFonts w:ascii="宋体" w:hAnsi="宋体"/>
          <w:b/>
          <w:color w:val="auto"/>
          <w:spacing w:val="20"/>
          <w:sz w:val="30"/>
          <w:szCs w:val="30"/>
          <w:highlight w:val="none"/>
        </w:rPr>
        <w:t>技术规格表</w:t>
      </w:r>
    </w:p>
    <w:p>
      <w:pPr>
        <w:spacing w:line="360" w:lineRule="auto"/>
        <w:rPr>
          <w:rFonts w:ascii="宋体" w:hAnsi="宋体"/>
          <w:b/>
          <w:color w:val="auto"/>
          <w:spacing w:val="20"/>
          <w:sz w:val="30"/>
          <w:szCs w:val="30"/>
          <w:highlight w:val="none"/>
        </w:rPr>
      </w:pPr>
    </w:p>
    <w:tbl>
      <w:tblPr>
        <w:tblStyle w:val="37"/>
        <w:tblW w:w="13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582"/>
        <w:gridCol w:w="1522"/>
        <w:gridCol w:w="1531"/>
        <w:gridCol w:w="3366"/>
        <w:gridCol w:w="330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54"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序号</w:t>
            </w:r>
          </w:p>
        </w:tc>
        <w:tc>
          <w:tcPr>
            <w:tcW w:w="158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产品</w:t>
            </w:r>
            <w:r>
              <w:rPr>
                <w:rFonts w:ascii="宋体" w:hAnsi="宋体"/>
                <w:color w:val="auto"/>
                <w:sz w:val="24"/>
                <w:highlight w:val="none"/>
              </w:rPr>
              <w:t>名称</w:t>
            </w:r>
          </w:p>
        </w:tc>
        <w:tc>
          <w:tcPr>
            <w:tcW w:w="1522"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品牌</w:t>
            </w:r>
          </w:p>
        </w:tc>
        <w:tc>
          <w:tcPr>
            <w:tcW w:w="1531"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规格型号</w:t>
            </w:r>
          </w:p>
        </w:tc>
        <w:tc>
          <w:tcPr>
            <w:tcW w:w="3366"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标准配置</w:t>
            </w:r>
          </w:p>
        </w:tc>
        <w:tc>
          <w:tcPr>
            <w:tcW w:w="3305"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主要技术参数</w:t>
            </w:r>
          </w:p>
        </w:tc>
        <w:tc>
          <w:tcPr>
            <w:tcW w:w="1050"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54" w:type="dxa"/>
            <w:vAlign w:val="center"/>
          </w:tcPr>
          <w:p>
            <w:pPr>
              <w:spacing w:line="360" w:lineRule="auto"/>
              <w:jc w:val="center"/>
              <w:rPr>
                <w:rFonts w:ascii="宋体" w:hAnsi="宋体"/>
                <w:color w:val="auto"/>
                <w:sz w:val="24"/>
                <w:highlight w:val="none"/>
              </w:rPr>
            </w:pPr>
          </w:p>
        </w:tc>
        <w:tc>
          <w:tcPr>
            <w:tcW w:w="1582" w:type="dxa"/>
            <w:vAlign w:val="center"/>
          </w:tcPr>
          <w:p>
            <w:pPr>
              <w:spacing w:line="360" w:lineRule="auto"/>
              <w:rPr>
                <w:rFonts w:ascii="宋体" w:hAnsi="宋体"/>
                <w:color w:val="auto"/>
                <w:sz w:val="24"/>
                <w:highlight w:val="none"/>
              </w:rPr>
            </w:pPr>
          </w:p>
        </w:tc>
        <w:tc>
          <w:tcPr>
            <w:tcW w:w="1522" w:type="dxa"/>
            <w:vAlign w:val="center"/>
          </w:tcPr>
          <w:p>
            <w:pPr>
              <w:spacing w:line="360" w:lineRule="auto"/>
              <w:jc w:val="center"/>
              <w:rPr>
                <w:rFonts w:ascii="宋体" w:hAnsi="宋体"/>
                <w:color w:val="auto"/>
                <w:sz w:val="24"/>
                <w:highlight w:val="none"/>
              </w:rPr>
            </w:pPr>
          </w:p>
        </w:tc>
        <w:tc>
          <w:tcPr>
            <w:tcW w:w="1531" w:type="dxa"/>
            <w:vAlign w:val="center"/>
          </w:tcPr>
          <w:p>
            <w:pPr>
              <w:spacing w:line="360" w:lineRule="auto"/>
              <w:jc w:val="center"/>
              <w:rPr>
                <w:rFonts w:ascii="宋体" w:hAnsi="宋体"/>
                <w:color w:val="auto"/>
                <w:sz w:val="24"/>
                <w:highlight w:val="none"/>
              </w:rPr>
            </w:pPr>
          </w:p>
        </w:tc>
        <w:tc>
          <w:tcPr>
            <w:tcW w:w="3366" w:type="dxa"/>
            <w:vAlign w:val="center"/>
          </w:tcPr>
          <w:p>
            <w:pPr>
              <w:spacing w:line="360" w:lineRule="auto"/>
              <w:jc w:val="center"/>
              <w:rPr>
                <w:rFonts w:ascii="宋体" w:hAnsi="宋体"/>
                <w:color w:val="auto"/>
                <w:sz w:val="24"/>
                <w:highlight w:val="none"/>
              </w:rPr>
            </w:pPr>
          </w:p>
        </w:tc>
        <w:tc>
          <w:tcPr>
            <w:tcW w:w="3305" w:type="dxa"/>
            <w:vAlign w:val="center"/>
          </w:tcPr>
          <w:p>
            <w:pPr>
              <w:spacing w:line="360" w:lineRule="auto"/>
              <w:jc w:val="center"/>
              <w:rPr>
                <w:rFonts w:ascii="宋体" w:hAnsi="宋体"/>
                <w:color w:val="auto"/>
                <w:sz w:val="24"/>
                <w:highlight w:val="none"/>
              </w:rPr>
            </w:pPr>
          </w:p>
        </w:tc>
        <w:tc>
          <w:tcPr>
            <w:tcW w:w="1050"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54" w:type="dxa"/>
            <w:vAlign w:val="center"/>
          </w:tcPr>
          <w:p>
            <w:pPr>
              <w:spacing w:line="360" w:lineRule="auto"/>
              <w:jc w:val="center"/>
              <w:rPr>
                <w:rFonts w:ascii="宋体" w:hAnsi="宋体"/>
                <w:color w:val="auto"/>
                <w:sz w:val="24"/>
                <w:highlight w:val="none"/>
              </w:rPr>
            </w:pPr>
          </w:p>
        </w:tc>
        <w:tc>
          <w:tcPr>
            <w:tcW w:w="1582" w:type="dxa"/>
            <w:vAlign w:val="center"/>
          </w:tcPr>
          <w:p>
            <w:pPr>
              <w:spacing w:line="360" w:lineRule="auto"/>
              <w:jc w:val="center"/>
              <w:rPr>
                <w:rFonts w:ascii="宋体" w:hAnsi="宋体"/>
                <w:color w:val="auto"/>
                <w:sz w:val="24"/>
                <w:highlight w:val="none"/>
              </w:rPr>
            </w:pPr>
          </w:p>
        </w:tc>
        <w:tc>
          <w:tcPr>
            <w:tcW w:w="1522" w:type="dxa"/>
            <w:vAlign w:val="center"/>
          </w:tcPr>
          <w:p>
            <w:pPr>
              <w:spacing w:line="360" w:lineRule="auto"/>
              <w:jc w:val="center"/>
              <w:rPr>
                <w:rFonts w:ascii="宋体" w:hAnsi="宋体"/>
                <w:color w:val="auto"/>
                <w:sz w:val="24"/>
                <w:highlight w:val="none"/>
              </w:rPr>
            </w:pPr>
          </w:p>
        </w:tc>
        <w:tc>
          <w:tcPr>
            <w:tcW w:w="1531" w:type="dxa"/>
            <w:vAlign w:val="center"/>
          </w:tcPr>
          <w:p>
            <w:pPr>
              <w:spacing w:line="360" w:lineRule="auto"/>
              <w:jc w:val="center"/>
              <w:rPr>
                <w:rFonts w:ascii="宋体" w:hAnsi="宋体"/>
                <w:color w:val="auto"/>
                <w:sz w:val="24"/>
                <w:highlight w:val="none"/>
              </w:rPr>
            </w:pPr>
          </w:p>
        </w:tc>
        <w:tc>
          <w:tcPr>
            <w:tcW w:w="3366" w:type="dxa"/>
            <w:vAlign w:val="center"/>
          </w:tcPr>
          <w:p>
            <w:pPr>
              <w:spacing w:line="360" w:lineRule="auto"/>
              <w:jc w:val="center"/>
              <w:rPr>
                <w:rFonts w:ascii="宋体" w:hAnsi="宋体"/>
                <w:color w:val="auto"/>
                <w:sz w:val="24"/>
                <w:highlight w:val="none"/>
              </w:rPr>
            </w:pPr>
          </w:p>
        </w:tc>
        <w:tc>
          <w:tcPr>
            <w:tcW w:w="3305" w:type="dxa"/>
            <w:vAlign w:val="center"/>
          </w:tcPr>
          <w:p>
            <w:pPr>
              <w:spacing w:line="360" w:lineRule="auto"/>
              <w:jc w:val="center"/>
              <w:rPr>
                <w:rFonts w:ascii="宋体" w:hAnsi="宋体"/>
                <w:color w:val="auto"/>
                <w:sz w:val="24"/>
                <w:highlight w:val="none"/>
              </w:rPr>
            </w:pPr>
          </w:p>
        </w:tc>
        <w:tc>
          <w:tcPr>
            <w:tcW w:w="1050"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4" w:type="dxa"/>
            <w:vAlign w:val="center"/>
          </w:tcPr>
          <w:p>
            <w:pPr>
              <w:spacing w:line="360" w:lineRule="auto"/>
              <w:jc w:val="center"/>
              <w:rPr>
                <w:rFonts w:ascii="宋体" w:hAnsi="宋体"/>
                <w:color w:val="auto"/>
                <w:sz w:val="24"/>
                <w:highlight w:val="none"/>
              </w:rPr>
            </w:pPr>
          </w:p>
        </w:tc>
        <w:tc>
          <w:tcPr>
            <w:tcW w:w="1582" w:type="dxa"/>
            <w:vAlign w:val="center"/>
          </w:tcPr>
          <w:p>
            <w:pPr>
              <w:spacing w:line="360" w:lineRule="auto"/>
              <w:jc w:val="center"/>
              <w:rPr>
                <w:rFonts w:ascii="宋体" w:hAnsi="宋体"/>
                <w:color w:val="auto"/>
                <w:sz w:val="24"/>
                <w:highlight w:val="none"/>
              </w:rPr>
            </w:pPr>
          </w:p>
        </w:tc>
        <w:tc>
          <w:tcPr>
            <w:tcW w:w="1522" w:type="dxa"/>
            <w:vAlign w:val="center"/>
          </w:tcPr>
          <w:p>
            <w:pPr>
              <w:spacing w:line="360" w:lineRule="auto"/>
              <w:jc w:val="center"/>
              <w:rPr>
                <w:rFonts w:ascii="宋体" w:hAnsi="宋体"/>
                <w:color w:val="auto"/>
                <w:sz w:val="24"/>
                <w:highlight w:val="none"/>
              </w:rPr>
            </w:pPr>
          </w:p>
        </w:tc>
        <w:tc>
          <w:tcPr>
            <w:tcW w:w="1531" w:type="dxa"/>
            <w:vAlign w:val="center"/>
          </w:tcPr>
          <w:p>
            <w:pPr>
              <w:spacing w:line="360" w:lineRule="auto"/>
              <w:jc w:val="center"/>
              <w:rPr>
                <w:rFonts w:ascii="宋体" w:hAnsi="宋体"/>
                <w:color w:val="auto"/>
                <w:sz w:val="24"/>
                <w:highlight w:val="none"/>
              </w:rPr>
            </w:pPr>
          </w:p>
        </w:tc>
        <w:tc>
          <w:tcPr>
            <w:tcW w:w="3366" w:type="dxa"/>
            <w:vAlign w:val="center"/>
          </w:tcPr>
          <w:p>
            <w:pPr>
              <w:spacing w:line="360" w:lineRule="auto"/>
              <w:jc w:val="center"/>
              <w:rPr>
                <w:rFonts w:ascii="宋体" w:hAnsi="宋体"/>
                <w:color w:val="auto"/>
                <w:sz w:val="24"/>
                <w:highlight w:val="none"/>
              </w:rPr>
            </w:pPr>
          </w:p>
        </w:tc>
        <w:tc>
          <w:tcPr>
            <w:tcW w:w="3305" w:type="dxa"/>
            <w:vAlign w:val="center"/>
          </w:tcPr>
          <w:p>
            <w:pPr>
              <w:spacing w:line="360" w:lineRule="auto"/>
              <w:jc w:val="center"/>
              <w:rPr>
                <w:rFonts w:ascii="宋体" w:hAnsi="宋体"/>
                <w:color w:val="auto"/>
                <w:sz w:val="24"/>
                <w:highlight w:val="none"/>
              </w:rPr>
            </w:pPr>
          </w:p>
        </w:tc>
        <w:tc>
          <w:tcPr>
            <w:tcW w:w="1050"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4" w:type="dxa"/>
            <w:vAlign w:val="center"/>
          </w:tcPr>
          <w:p>
            <w:pPr>
              <w:spacing w:line="360" w:lineRule="auto"/>
              <w:jc w:val="center"/>
              <w:rPr>
                <w:rFonts w:ascii="宋体" w:hAnsi="宋体"/>
                <w:color w:val="auto"/>
                <w:sz w:val="24"/>
                <w:highlight w:val="none"/>
              </w:rPr>
            </w:pPr>
          </w:p>
        </w:tc>
        <w:tc>
          <w:tcPr>
            <w:tcW w:w="1582" w:type="dxa"/>
            <w:vAlign w:val="center"/>
          </w:tcPr>
          <w:p>
            <w:pPr>
              <w:spacing w:line="360" w:lineRule="auto"/>
              <w:jc w:val="center"/>
              <w:rPr>
                <w:rFonts w:ascii="宋体" w:hAnsi="宋体"/>
                <w:color w:val="auto"/>
                <w:sz w:val="24"/>
                <w:highlight w:val="none"/>
              </w:rPr>
            </w:pPr>
          </w:p>
        </w:tc>
        <w:tc>
          <w:tcPr>
            <w:tcW w:w="1522" w:type="dxa"/>
            <w:vAlign w:val="center"/>
          </w:tcPr>
          <w:p>
            <w:pPr>
              <w:spacing w:line="360" w:lineRule="auto"/>
              <w:jc w:val="center"/>
              <w:rPr>
                <w:rFonts w:ascii="宋体" w:hAnsi="宋体"/>
                <w:color w:val="auto"/>
                <w:sz w:val="24"/>
                <w:highlight w:val="none"/>
              </w:rPr>
            </w:pPr>
          </w:p>
        </w:tc>
        <w:tc>
          <w:tcPr>
            <w:tcW w:w="1531" w:type="dxa"/>
            <w:vAlign w:val="center"/>
          </w:tcPr>
          <w:p>
            <w:pPr>
              <w:spacing w:line="360" w:lineRule="auto"/>
              <w:jc w:val="center"/>
              <w:rPr>
                <w:rFonts w:ascii="宋体" w:hAnsi="宋体"/>
                <w:color w:val="auto"/>
                <w:sz w:val="24"/>
                <w:highlight w:val="none"/>
              </w:rPr>
            </w:pPr>
          </w:p>
        </w:tc>
        <w:tc>
          <w:tcPr>
            <w:tcW w:w="3366" w:type="dxa"/>
            <w:vAlign w:val="center"/>
          </w:tcPr>
          <w:p>
            <w:pPr>
              <w:spacing w:line="360" w:lineRule="auto"/>
              <w:jc w:val="center"/>
              <w:rPr>
                <w:rFonts w:ascii="宋体" w:hAnsi="宋体"/>
                <w:color w:val="auto"/>
                <w:sz w:val="24"/>
                <w:highlight w:val="none"/>
              </w:rPr>
            </w:pPr>
          </w:p>
        </w:tc>
        <w:tc>
          <w:tcPr>
            <w:tcW w:w="3305" w:type="dxa"/>
            <w:vAlign w:val="center"/>
          </w:tcPr>
          <w:p>
            <w:pPr>
              <w:spacing w:line="360" w:lineRule="auto"/>
              <w:jc w:val="center"/>
              <w:rPr>
                <w:rFonts w:ascii="宋体" w:hAnsi="宋体"/>
                <w:color w:val="auto"/>
                <w:sz w:val="24"/>
                <w:highlight w:val="none"/>
              </w:rPr>
            </w:pPr>
          </w:p>
        </w:tc>
        <w:tc>
          <w:tcPr>
            <w:tcW w:w="1050"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54" w:type="dxa"/>
            <w:vAlign w:val="center"/>
          </w:tcPr>
          <w:p>
            <w:pPr>
              <w:spacing w:line="360" w:lineRule="auto"/>
              <w:jc w:val="center"/>
              <w:rPr>
                <w:rFonts w:ascii="宋体" w:hAnsi="宋体"/>
                <w:color w:val="auto"/>
                <w:sz w:val="24"/>
                <w:highlight w:val="none"/>
              </w:rPr>
            </w:pPr>
          </w:p>
        </w:tc>
        <w:tc>
          <w:tcPr>
            <w:tcW w:w="1582" w:type="dxa"/>
            <w:vAlign w:val="center"/>
          </w:tcPr>
          <w:p>
            <w:pPr>
              <w:spacing w:line="360" w:lineRule="auto"/>
              <w:jc w:val="center"/>
              <w:rPr>
                <w:rFonts w:ascii="宋体" w:hAnsi="宋体"/>
                <w:color w:val="auto"/>
                <w:sz w:val="24"/>
                <w:highlight w:val="none"/>
              </w:rPr>
            </w:pPr>
          </w:p>
        </w:tc>
        <w:tc>
          <w:tcPr>
            <w:tcW w:w="1522" w:type="dxa"/>
            <w:vAlign w:val="center"/>
          </w:tcPr>
          <w:p>
            <w:pPr>
              <w:spacing w:line="360" w:lineRule="auto"/>
              <w:jc w:val="center"/>
              <w:rPr>
                <w:rFonts w:ascii="宋体" w:hAnsi="宋体"/>
                <w:color w:val="auto"/>
                <w:sz w:val="24"/>
                <w:highlight w:val="none"/>
              </w:rPr>
            </w:pPr>
          </w:p>
        </w:tc>
        <w:tc>
          <w:tcPr>
            <w:tcW w:w="1531" w:type="dxa"/>
            <w:vAlign w:val="center"/>
          </w:tcPr>
          <w:p>
            <w:pPr>
              <w:spacing w:line="360" w:lineRule="auto"/>
              <w:jc w:val="center"/>
              <w:rPr>
                <w:rFonts w:ascii="宋体" w:hAnsi="宋体"/>
                <w:color w:val="auto"/>
                <w:sz w:val="24"/>
                <w:highlight w:val="none"/>
              </w:rPr>
            </w:pPr>
          </w:p>
        </w:tc>
        <w:tc>
          <w:tcPr>
            <w:tcW w:w="3366" w:type="dxa"/>
            <w:vAlign w:val="center"/>
          </w:tcPr>
          <w:p>
            <w:pPr>
              <w:spacing w:line="360" w:lineRule="auto"/>
              <w:jc w:val="center"/>
              <w:rPr>
                <w:rFonts w:ascii="宋体" w:hAnsi="宋体"/>
                <w:color w:val="auto"/>
                <w:sz w:val="24"/>
                <w:highlight w:val="none"/>
              </w:rPr>
            </w:pPr>
          </w:p>
        </w:tc>
        <w:tc>
          <w:tcPr>
            <w:tcW w:w="3305" w:type="dxa"/>
            <w:vAlign w:val="center"/>
          </w:tcPr>
          <w:p>
            <w:pPr>
              <w:spacing w:line="360" w:lineRule="auto"/>
              <w:jc w:val="center"/>
              <w:rPr>
                <w:rFonts w:ascii="宋体" w:hAnsi="宋体"/>
                <w:color w:val="auto"/>
                <w:sz w:val="24"/>
                <w:highlight w:val="none"/>
              </w:rPr>
            </w:pPr>
          </w:p>
        </w:tc>
        <w:tc>
          <w:tcPr>
            <w:tcW w:w="1050" w:type="dxa"/>
            <w:tcBorders>
              <w:bottom w:val="single" w:color="auto" w:sz="4" w:space="0"/>
            </w:tcBorders>
            <w:vAlign w:val="center"/>
          </w:tcPr>
          <w:p>
            <w:pPr>
              <w:spacing w:line="360" w:lineRule="auto"/>
              <w:jc w:val="center"/>
              <w:rPr>
                <w:rFonts w:ascii="宋体" w:hAnsi="宋体"/>
                <w:color w:val="auto"/>
                <w:sz w:val="24"/>
                <w:highlight w:val="none"/>
              </w:rPr>
            </w:pPr>
          </w:p>
        </w:tc>
      </w:tr>
    </w:tbl>
    <w:p>
      <w:pPr>
        <w:rPr>
          <w:rFonts w:ascii="宋体" w:hAnsi="宋体"/>
          <w:b/>
          <w:color w:val="auto"/>
          <w:spacing w:val="20"/>
          <w:sz w:val="30"/>
          <w:szCs w:val="30"/>
          <w:highlight w:val="none"/>
        </w:rPr>
      </w:pPr>
    </w:p>
    <w:p>
      <w:pPr>
        <w:spacing w:before="120" w:beforeLines="50" w:line="500" w:lineRule="exact"/>
        <w:ind w:firstLine="7320" w:firstLineChars="3050"/>
        <w:rPr>
          <w:rFonts w:ascii="宋体" w:hAnsi="宋体"/>
          <w:color w:val="auto"/>
          <w:sz w:val="24"/>
          <w:highlight w:val="none"/>
        </w:rPr>
      </w:pPr>
      <w:r>
        <w:rPr>
          <w:rFonts w:hint="eastAsia" w:ascii="宋体" w:hAnsi="宋体"/>
          <w:color w:val="auto"/>
          <w:sz w:val="24"/>
          <w:highlight w:val="none"/>
        </w:rPr>
        <w:t>法定代表人或被授权人签字（或签章）</w:t>
      </w:r>
      <w:r>
        <w:rPr>
          <w:rFonts w:hint="eastAsia" w:ascii="宋体" w:hAnsi="宋体"/>
          <w:color w:val="auto"/>
          <w:spacing w:val="20"/>
          <w:sz w:val="24"/>
          <w:highlight w:val="none"/>
        </w:rPr>
        <w:t>：</w:t>
      </w:r>
    </w:p>
    <w:p>
      <w:pPr>
        <w:spacing w:line="500" w:lineRule="exact"/>
        <w:ind w:firstLine="560" w:firstLineChars="200"/>
        <w:rPr>
          <w:rFonts w:ascii="宋体" w:hAnsi="宋体"/>
          <w:color w:val="auto"/>
          <w:spacing w:val="20"/>
          <w:sz w:val="24"/>
          <w:highlight w:val="none"/>
          <w:u w:val="single"/>
        </w:rPr>
      </w:pPr>
      <w:r>
        <w:rPr>
          <w:rFonts w:hint="eastAsia" w:ascii="宋体" w:hAnsi="宋体"/>
          <w:color w:val="auto"/>
          <w:spacing w:val="20"/>
          <w:sz w:val="24"/>
          <w:highlight w:val="none"/>
        </w:rPr>
        <w:t xml:space="preserve">                                                           投标人盖章：</w:t>
      </w:r>
    </w:p>
    <w:p>
      <w:pPr>
        <w:spacing w:line="500" w:lineRule="exact"/>
        <w:rPr>
          <w:rFonts w:ascii="宋体" w:hAnsi="宋体"/>
          <w:color w:val="auto"/>
          <w:spacing w:val="20"/>
          <w:sz w:val="24"/>
          <w:highlight w:val="none"/>
        </w:rPr>
      </w:pPr>
    </w:p>
    <w:p>
      <w:pPr>
        <w:spacing w:line="500" w:lineRule="exact"/>
        <w:rPr>
          <w:rFonts w:ascii="宋体" w:hAnsi="宋体"/>
          <w:color w:val="auto"/>
          <w:spacing w:val="20"/>
          <w:sz w:val="24"/>
          <w:highlight w:val="none"/>
          <w:u w:val="single"/>
        </w:rPr>
      </w:pPr>
      <w:r>
        <w:rPr>
          <w:rFonts w:hint="eastAsia" w:ascii="宋体" w:hAnsi="宋体"/>
          <w:color w:val="auto"/>
          <w:spacing w:val="20"/>
          <w:sz w:val="24"/>
          <w:highlight w:val="none"/>
        </w:rPr>
        <w:t xml:space="preserve">                                                               日     期：</w:t>
      </w:r>
    </w:p>
    <w:p>
      <w:pPr>
        <w:spacing w:line="500" w:lineRule="exact"/>
        <w:rPr>
          <w:rFonts w:ascii="宋体" w:hAnsi="宋体"/>
          <w:color w:val="auto"/>
          <w:spacing w:val="20"/>
          <w:sz w:val="24"/>
          <w:highlight w:val="none"/>
          <w:u w:val="single"/>
        </w:rPr>
      </w:pPr>
    </w:p>
    <w:p>
      <w:pPr>
        <w:spacing w:line="500" w:lineRule="exact"/>
        <w:rPr>
          <w:rFonts w:ascii="宋体" w:hAnsi="宋体"/>
          <w:color w:val="auto"/>
          <w:spacing w:val="20"/>
          <w:sz w:val="24"/>
          <w:highlight w:val="none"/>
          <w:u w:val="single"/>
        </w:rPr>
      </w:pPr>
    </w:p>
    <w:p>
      <w:pPr>
        <w:spacing w:line="360" w:lineRule="auto"/>
        <w:rPr>
          <w:rFonts w:ascii="宋体" w:hAnsi="宋体"/>
          <w:b/>
          <w:color w:val="auto"/>
          <w:spacing w:val="20"/>
          <w:sz w:val="30"/>
          <w:szCs w:val="30"/>
          <w:highlight w:val="none"/>
        </w:rPr>
      </w:pPr>
    </w:p>
    <w:p>
      <w:pPr>
        <w:rPr>
          <w:rFonts w:ascii="宋体" w:hAnsi="宋体"/>
          <w:b/>
          <w:color w:val="auto"/>
          <w:spacing w:val="20"/>
          <w:sz w:val="30"/>
          <w:szCs w:val="30"/>
          <w:highlight w:val="none"/>
        </w:rPr>
      </w:pPr>
      <w:r>
        <w:rPr>
          <w:rFonts w:ascii="宋体" w:hAnsi="宋体"/>
          <w:b/>
          <w:color w:val="auto"/>
          <w:spacing w:val="20"/>
          <w:sz w:val="30"/>
          <w:szCs w:val="30"/>
          <w:highlight w:val="none"/>
        </w:rPr>
        <w:t>附件</w:t>
      </w:r>
      <w:r>
        <w:rPr>
          <w:rFonts w:hint="eastAsia" w:ascii="宋体" w:hAnsi="宋体"/>
          <w:b/>
          <w:color w:val="auto"/>
          <w:spacing w:val="20"/>
          <w:sz w:val="30"/>
          <w:szCs w:val="30"/>
          <w:highlight w:val="none"/>
        </w:rPr>
        <w:t>8                         技术规格偏离表</w:t>
      </w:r>
    </w:p>
    <w:p>
      <w:pPr>
        <w:rPr>
          <w:rFonts w:ascii="宋体" w:hAnsi="宋体"/>
          <w:color w:val="auto"/>
          <w:spacing w:val="20"/>
          <w:sz w:val="24"/>
          <w:highlight w:val="none"/>
        </w:rPr>
      </w:pPr>
    </w:p>
    <w:tbl>
      <w:tblPr>
        <w:tblStyle w:val="37"/>
        <w:tblW w:w="14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505"/>
        <w:gridCol w:w="796"/>
        <w:gridCol w:w="2388"/>
        <w:gridCol w:w="1903"/>
        <w:gridCol w:w="1061"/>
        <w:gridCol w:w="2122"/>
        <w:gridCol w:w="1894"/>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618" w:type="dxa"/>
            <w:vMerge w:val="restart"/>
            <w:vAlign w:val="center"/>
          </w:tcPr>
          <w:p>
            <w:pPr>
              <w:spacing w:before="120" w:beforeLines="50" w:line="360" w:lineRule="auto"/>
              <w:jc w:val="center"/>
              <w:rPr>
                <w:rFonts w:hAnsi="宋体"/>
                <w:color w:val="auto"/>
                <w:sz w:val="24"/>
                <w:highlight w:val="none"/>
              </w:rPr>
            </w:pPr>
            <w:r>
              <w:rPr>
                <w:rFonts w:hAnsi="宋体"/>
                <w:color w:val="auto"/>
                <w:sz w:val="24"/>
                <w:highlight w:val="none"/>
              </w:rPr>
              <w:t>项号</w:t>
            </w:r>
          </w:p>
        </w:tc>
        <w:tc>
          <w:tcPr>
            <w:tcW w:w="4689" w:type="dxa"/>
            <w:gridSpan w:val="3"/>
            <w:vAlign w:val="center"/>
          </w:tcPr>
          <w:p>
            <w:pPr>
              <w:spacing w:before="120" w:beforeLines="50" w:line="240" w:lineRule="exact"/>
              <w:jc w:val="center"/>
              <w:rPr>
                <w:rFonts w:hAnsi="宋体"/>
                <w:color w:val="auto"/>
                <w:sz w:val="24"/>
                <w:highlight w:val="none"/>
              </w:rPr>
            </w:pPr>
            <w:r>
              <w:rPr>
                <w:rFonts w:hint="eastAsia" w:hAnsi="宋体"/>
                <w:color w:val="auto"/>
                <w:sz w:val="24"/>
                <w:highlight w:val="none"/>
              </w:rPr>
              <w:t>招标</w:t>
            </w:r>
            <w:r>
              <w:rPr>
                <w:rFonts w:hAnsi="宋体"/>
                <w:color w:val="auto"/>
                <w:sz w:val="24"/>
                <w:highlight w:val="none"/>
              </w:rPr>
              <w:t>文件需求</w:t>
            </w:r>
          </w:p>
        </w:tc>
        <w:tc>
          <w:tcPr>
            <w:tcW w:w="6980" w:type="dxa"/>
            <w:gridSpan w:val="4"/>
            <w:vAlign w:val="center"/>
          </w:tcPr>
          <w:p>
            <w:pPr>
              <w:spacing w:before="120" w:beforeLines="50" w:line="240" w:lineRule="exact"/>
              <w:jc w:val="center"/>
              <w:rPr>
                <w:rFonts w:ascii="宋体" w:hAnsi="宋体"/>
                <w:color w:val="auto"/>
                <w:sz w:val="24"/>
                <w:highlight w:val="none"/>
              </w:rPr>
            </w:pPr>
            <w:r>
              <w:rPr>
                <w:rFonts w:hint="eastAsia" w:ascii="宋体" w:hAnsi="宋体"/>
                <w:color w:val="auto"/>
                <w:sz w:val="24"/>
                <w:highlight w:val="none"/>
              </w:rPr>
              <w:t>投标</w:t>
            </w:r>
            <w:r>
              <w:rPr>
                <w:rFonts w:ascii="宋体" w:hAnsi="宋体"/>
                <w:color w:val="auto"/>
                <w:sz w:val="24"/>
                <w:highlight w:val="none"/>
              </w:rPr>
              <w:t>文件规格及技术参数</w:t>
            </w:r>
          </w:p>
        </w:tc>
        <w:tc>
          <w:tcPr>
            <w:tcW w:w="1903" w:type="dxa"/>
            <w:vMerge w:val="restart"/>
            <w:vAlign w:val="center"/>
          </w:tcPr>
          <w:p>
            <w:pPr>
              <w:spacing w:before="120" w:beforeLines="50" w:line="240" w:lineRule="exact"/>
              <w:jc w:val="center"/>
              <w:rPr>
                <w:rFonts w:ascii="宋体" w:hAnsi="宋体"/>
                <w:color w:val="auto"/>
                <w:sz w:val="24"/>
                <w:highlight w:val="none"/>
              </w:rPr>
            </w:pPr>
            <w:r>
              <w:rPr>
                <w:rFonts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18" w:type="dxa"/>
            <w:vMerge w:val="continue"/>
            <w:vAlign w:val="center"/>
          </w:tcPr>
          <w:p>
            <w:pPr>
              <w:spacing w:before="120" w:beforeLines="50" w:line="360" w:lineRule="auto"/>
              <w:jc w:val="center"/>
              <w:rPr>
                <w:rFonts w:hAnsi="宋体"/>
                <w:color w:val="auto"/>
                <w:sz w:val="24"/>
                <w:highlight w:val="none"/>
              </w:rPr>
            </w:pPr>
          </w:p>
        </w:tc>
        <w:tc>
          <w:tcPr>
            <w:tcW w:w="1505" w:type="dxa"/>
            <w:vAlign w:val="center"/>
          </w:tcPr>
          <w:p>
            <w:pPr>
              <w:spacing w:before="120" w:beforeLines="50" w:line="340" w:lineRule="exact"/>
              <w:jc w:val="center"/>
              <w:rPr>
                <w:rFonts w:hAnsi="宋体"/>
                <w:color w:val="auto"/>
                <w:sz w:val="24"/>
                <w:highlight w:val="none"/>
              </w:rPr>
            </w:pPr>
            <w:r>
              <w:rPr>
                <w:rFonts w:hint="eastAsia" w:hAnsi="宋体"/>
                <w:color w:val="auto"/>
                <w:sz w:val="24"/>
                <w:highlight w:val="none"/>
              </w:rPr>
              <w:t>产品</w:t>
            </w:r>
            <w:r>
              <w:rPr>
                <w:rFonts w:hAnsi="宋体"/>
                <w:color w:val="auto"/>
                <w:sz w:val="24"/>
                <w:highlight w:val="none"/>
              </w:rPr>
              <w:t>名称</w:t>
            </w:r>
          </w:p>
        </w:tc>
        <w:tc>
          <w:tcPr>
            <w:tcW w:w="796" w:type="dxa"/>
            <w:vAlign w:val="center"/>
          </w:tcPr>
          <w:p>
            <w:pPr>
              <w:spacing w:before="120" w:beforeLines="50" w:line="340" w:lineRule="exact"/>
              <w:jc w:val="center"/>
              <w:rPr>
                <w:rFonts w:hAnsi="宋体"/>
                <w:color w:val="auto"/>
                <w:sz w:val="24"/>
                <w:highlight w:val="none"/>
              </w:rPr>
            </w:pPr>
            <w:r>
              <w:rPr>
                <w:rFonts w:hAnsi="宋体"/>
                <w:color w:val="auto"/>
                <w:sz w:val="24"/>
                <w:highlight w:val="none"/>
              </w:rPr>
              <w:t>数量</w:t>
            </w:r>
          </w:p>
        </w:tc>
        <w:tc>
          <w:tcPr>
            <w:tcW w:w="2388" w:type="dxa"/>
            <w:vAlign w:val="center"/>
          </w:tcPr>
          <w:p>
            <w:pPr>
              <w:spacing w:before="120" w:beforeLines="50" w:line="340" w:lineRule="exact"/>
              <w:jc w:val="center"/>
              <w:rPr>
                <w:rFonts w:hAnsi="宋体"/>
                <w:color w:val="auto"/>
                <w:sz w:val="24"/>
                <w:highlight w:val="none"/>
              </w:rPr>
            </w:pPr>
            <w:r>
              <w:rPr>
                <w:rFonts w:hAnsi="宋体"/>
                <w:color w:val="auto"/>
                <w:sz w:val="24"/>
                <w:highlight w:val="none"/>
              </w:rPr>
              <w:t>技术参数</w:t>
            </w:r>
          </w:p>
        </w:tc>
        <w:tc>
          <w:tcPr>
            <w:tcW w:w="1903" w:type="dxa"/>
            <w:vAlign w:val="center"/>
          </w:tcPr>
          <w:p>
            <w:pPr>
              <w:spacing w:before="120" w:beforeLines="50" w:line="340" w:lineRule="exact"/>
              <w:jc w:val="center"/>
              <w:rPr>
                <w:rFonts w:ascii="宋体" w:hAnsi="宋体"/>
                <w:color w:val="auto"/>
                <w:sz w:val="24"/>
                <w:highlight w:val="none"/>
              </w:rPr>
            </w:pPr>
            <w:r>
              <w:rPr>
                <w:rFonts w:hint="eastAsia" w:ascii="宋体" w:hAnsi="宋体"/>
                <w:color w:val="auto"/>
                <w:sz w:val="24"/>
                <w:highlight w:val="none"/>
              </w:rPr>
              <w:t>产品</w:t>
            </w:r>
            <w:r>
              <w:rPr>
                <w:rFonts w:ascii="宋体" w:hAnsi="宋体"/>
                <w:color w:val="auto"/>
                <w:sz w:val="24"/>
                <w:highlight w:val="none"/>
              </w:rPr>
              <w:t>名称</w:t>
            </w:r>
          </w:p>
        </w:tc>
        <w:tc>
          <w:tcPr>
            <w:tcW w:w="1061" w:type="dxa"/>
            <w:vAlign w:val="center"/>
          </w:tcPr>
          <w:p>
            <w:pPr>
              <w:spacing w:before="120" w:beforeLines="50" w:line="340" w:lineRule="exact"/>
              <w:jc w:val="center"/>
              <w:rPr>
                <w:rFonts w:ascii="宋体" w:hAnsi="宋体"/>
                <w:color w:val="auto"/>
                <w:sz w:val="24"/>
                <w:highlight w:val="none"/>
              </w:rPr>
            </w:pPr>
            <w:r>
              <w:rPr>
                <w:rFonts w:ascii="宋体" w:hAnsi="宋体"/>
                <w:color w:val="auto"/>
                <w:sz w:val="24"/>
                <w:highlight w:val="none"/>
              </w:rPr>
              <w:t>数量</w:t>
            </w:r>
          </w:p>
        </w:tc>
        <w:tc>
          <w:tcPr>
            <w:tcW w:w="2122" w:type="dxa"/>
            <w:vAlign w:val="center"/>
          </w:tcPr>
          <w:p>
            <w:pPr>
              <w:spacing w:before="120" w:beforeLines="50" w:line="340" w:lineRule="exact"/>
              <w:jc w:val="center"/>
              <w:rPr>
                <w:rFonts w:ascii="宋体" w:hAnsi="宋体"/>
                <w:color w:val="auto"/>
                <w:sz w:val="24"/>
                <w:highlight w:val="none"/>
              </w:rPr>
            </w:pPr>
            <w:r>
              <w:rPr>
                <w:rFonts w:ascii="宋体" w:hAnsi="宋体"/>
                <w:color w:val="auto"/>
                <w:sz w:val="24"/>
                <w:highlight w:val="none"/>
              </w:rPr>
              <w:t>品牌、厂家、型号规格</w:t>
            </w:r>
          </w:p>
        </w:tc>
        <w:tc>
          <w:tcPr>
            <w:tcW w:w="1894" w:type="dxa"/>
            <w:vAlign w:val="center"/>
          </w:tcPr>
          <w:p>
            <w:pPr>
              <w:spacing w:before="120" w:beforeLines="50" w:line="340" w:lineRule="exact"/>
              <w:jc w:val="center"/>
              <w:rPr>
                <w:rFonts w:ascii="宋体" w:hAnsi="宋体"/>
                <w:color w:val="auto"/>
                <w:sz w:val="24"/>
                <w:highlight w:val="none"/>
              </w:rPr>
            </w:pPr>
            <w:r>
              <w:rPr>
                <w:rFonts w:ascii="宋体" w:hAnsi="宋体"/>
                <w:color w:val="auto"/>
                <w:sz w:val="24"/>
                <w:highlight w:val="none"/>
              </w:rPr>
              <w:t>技术参数</w:t>
            </w:r>
          </w:p>
        </w:tc>
        <w:tc>
          <w:tcPr>
            <w:tcW w:w="1903" w:type="dxa"/>
            <w:vMerge w:val="continue"/>
            <w:vAlign w:val="center"/>
          </w:tcPr>
          <w:p>
            <w:pPr>
              <w:spacing w:before="120" w:beforeLines="50" w:line="2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18" w:type="dxa"/>
            <w:vAlign w:val="center"/>
          </w:tcPr>
          <w:p>
            <w:pPr>
              <w:spacing w:before="120" w:beforeLines="50" w:line="360" w:lineRule="auto"/>
              <w:jc w:val="center"/>
              <w:rPr>
                <w:rFonts w:hAnsi="宋体"/>
                <w:color w:val="auto"/>
                <w:sz w:val="24"/>
                <w:highlight w:val="none"/>
              </w:rPr>
            </w:pPr>
          </w:p>
        </w:tc>
        <w:tc>
          <w:tcPr>
            <w:tcW w:w="1505" w:type="dxa"/>
            <w:vAlign w:val="center"/>
          </w:tcPr>
          <w:p>
            <w:pPr>
              <w:spacing w:before="120" w:beforeLines="50" w:line="360" w:lineRule="auto"/>
              <w:jc w:val="center"/>
              <w:rPr>
                <w:rFonts w:hAnsi="宋体"/>
                <w:color w:val="auto"/>
                <w:sz w:val="24"/>
                <w:highlight w:val="none"/>
              </w:rPr>
            </w:pPr>
          </w:p>
        </w:tc>
        <w:tc>
          <w:tcPr>
            <w:tcW w:w="796" w:type="dxa"/>
            <w:vAlign w:val="center"/>
          </w:tcPr>
          <w:p>
            <w:pPr>
              <w:spacing w:before="120" w:beforeLines="50" w:line="360" w:lineRule="auto"/>
              <w:jc w:val="center"/>
              <w:rPr>
                <w:rFonts w:hAnsi="宋体"/>
                <w:color w:val="auto"/>
                <w:sz w:val="24"/>
                <w:highlight w:val="none"/>
              </w:rPr>
            </w:pPr>
          </w:p>
        </w:tc>
        <w:tc>
          <w:tcPr>
            <w:tcW w:w="2388" w:type="dxa"/>
            <w:vAlign w:val="center"/>
          </w:tcPr>
          <w:p>
            <w:pPr>
              <w:spacing w:before="120" w:beforeLines="50" w:line="360" w:lineRule="auto"/>
              <w:jc w:val="center"/>
              <w:rPr>
                <w:rFonts w:hAnsi="宋体"/>
                <w:color w:val="auto"/>
                <w:sz w:val="24"/>
                <w:highlight w:val="none"/>
              </w:rPr>
            </w:pPr>
          </w:p>
        </w:tc>
        <w:tc>
          <w:tcPr>
            <w:tcW w:w="1903" w:type="dxa"/>
            <w:vAlign w:val="center"/>
          </w:tcPr>
          <w:p>
            <w:pPr>
              <w:spacing w:before="120" w:beforeLines="50" w:line="360" w:lineRule="auto"/>
              <w:jc w:val="center"/>
              <w:rPr>
                <w:rFonts w:hAnsi="宋体"/>
                <w:color w:val="auto"/>
                <w:sz w:val="24"/>
                <w:highlight w:val="none"/>
              </w:rPr>
            </w:pPr>
          </w:p>
        </w:tc>
        <w:tc>
          <w:tcPr>
            <w:tcW w:w="1061" w:type="dxa"/>
            <w:vAlign w:val="center"/>
          </w:tcPr>
          <w:p>
            <w:pPr>
              <w:spacing w:before="120" w:beforeLines="50" w:line="360" w:lineRule="auto"/>
              <w:jc w:val="center"/>
              <w:rPr>
                <w:rFonts w:hAnsi="宋体"/>
                <w:color w:val="auto"/>
                <w:sz w:val="24"/>
                <w:highlight w:val="none"/>
              </w:rPr>
            </w:pPr>
          </w:p>
        </w:tc>
        <w:tc>
          <w:tcPr>
            <w:tcW w:w="2122" w:type="dxa"/>
            <w:vAlign w:val="center"/>
          </w:tcPr>
          <w:p>
            <w:pPr>
              <w:spacing w:before="120" w:beforeLines="50" w:line="360" w:lineRule="auto"/>
              <w:jc w:val="center"/>
              <w:rPr>
                <w:rFonts w:hAnsi="宋体"/>
                <w:color w:val="auto"/>
                <w:sz w:val="24"/>
                <w:highlight w:val="none"/>
              </w:rPr>
            </w:pPr>
          </w:p>
        </w:tc>
        <w:tc>
          <w:tcPr>
            <w:tcW w:w="1894" w:type="dxa"/>
            <w:vAlign w:val="center"/>
          </w:tcPr>
          <w:p>
            <w:pPr>
              <w:spacing w:before="120" w:beforeLines="50" w:line="360" w:lineRule="auto"/>
              <w:jc w:val="center"/>
              <w:rPr>
                <w:rFonts w:hAnsi="宋体"/>
                <w:color w:val="auto"/>
                <w:sz w:val="24"/>
                <w:highlight w:val="none"/>
              </w:rPr>
            </w:pPr>
          </w:p>
        </w:tc>
        <w:tc>
          <w:tcPr>
            <w:tcW w:w="1903" w:type="dxa"/>
            <w:vAlign w:val="center"/>
          </w:tcPr>
          <w:p>
            <w:pPr>
              <w:spacing w:before="120" w:beforeLines="50"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18" w:type="dxa"/>
            <w:vAlign w:val="center"/>
          </w:tcPr>
          <w:p>
            <w:pPr>
              <w:spacing w:before="120" w:beforeLines="50" w:line="360" w:lineRule="auto"/>
              <w:jc w:val="center"/>
              <w:rPr>
                <w:rFonts w:hAnsi="宋体"/>
                <w:color w:val="auto"/>
                <w:sz w:val="24"/>
                <w:highlight w:val="none"/>
              </w:rPr>
            </w:pPr>
          </w:p>
        </w:tc>
        <w:tc>
          <w:tcPr>
            <w:tcW w:w="1505" w:type="dxa"/>
            <w:vAlign w:val="center"/>
          </w:tcPr>
          <w:p>
            <w:pPr>
              <w:spacing w:before="120" w:beforeLines="50" w:line="360" w:lineRule="auto"/>
              <w:jc w:val="center"/>
              <w:rPr>
                <w:rFonts w:hAnsi="宋体"/>
                <w:color w:val="auto"/>
                <w:sz w:val="24"/>
                <w:highlight w:val="none"/>
              </w:rPr>
            </w:pPr>
          </w:p>
        </w:tc>
        <w:tc>
          <w:tcPr>
            <w:tcW w:w="796" w:type="dxa"/>
            <w:vAlign w:val="center"/>
          </w:tcPr>
          <w:p>
            <w:pPr>
              <w:spacing w:before="120" w:beforeLines="50" w:line="360" w:lineRule="auto"/>
              <w:jc w:val="center"/>
              <w:rPr>
                <w:rFonts w:hAnsi="宋体"/>
                <w:color w:val="auto"/>
                <w:sz w:val="24"/>
                <w:highlight w:val="none"/>
              </w:rPr>
            </w:pPr>
          </w:p>
        </w:tc>
        <w:tc>
          <w:tcPr>
            <w:tcW w:w="2388" w:type="dxa"/>
            <w:vAlign w:val="center"/>
          </w:tcPr>
          <w:p>
            <w:pPr>
              <w:spacing w:before="120" w:beforeLines="50" w:line="360" w:lineRule="auto"/>
              <w:jc w:val="center"/>
              <w:rPr>
                <w:rFonts w:hAnsi="宋体"/>
                <w:color w:val="auto"/>
                <w:sz w:val="24"/>
                <w:highlight w:val="none"/>
              </w:rPr>
            </w:pPr>
          </w:p>
        </w:tc>
        <w:tc>
          <w:tcPr>
            <w:tcW w:w="1903" w:type="dxa"/>
            <w:vAlign w:val="center"/>
          </w:tcPr>
          <w:p>
            <w:pPr>
              <w:spacing w:before="120" w:beforeLines="50" w:line="360" w:lineRule="auto"/>
              <w:jc w:val="center"/>
              <w:rPr>
                <w:rFonts w:hAnsi="宋体"/>
                <w:color w:val="auto"/>
                <w:sz w:val="24"/>
                <w:highlight w:val="none"/>
              </w:rPr>
            </w:pPr>
          </w:p>
        </w:tc>
        <w:tc>
          <w:tcPr>
            <w:tcW w:w="1061" w:type="dxa"/>
            <w:vAlign w:val="center"/>
          </w:tcPr>
          <w:p>
            <w:pPr>
              <w:spacing w:before="120" w:beforeLines="50" w:line="360" w:lineRule="auto"/>
              <w:jc w:val="center"/>
              <w:rPr>
                <w:rFonts w:hAnsi="宋体"/>
                <w:color w:val="auto"/>
                <w:sz w:val="24"/>
                <w:highlight w:val="none"/>
              </w:rPr>
            </w:pPr>
          </w:p>
        </w:tc>
        <w:tc>
          <w:tcPr>
            <w:tcW w:w="2122" w:type="dxa"/>
            <w:vAlign w:val="center"/>
          </w:tcPr>
          <w:p>
            <w:pPr>
              <w:spacing w:before="120" w:beforeLines="50" w:line="360" w:lineRule="auto"/>
              <w:jc w:val="center"/>
              <w:rPr>
                <w:rFonts w:hAnsi="宋体"/>
                <w:color w:val="auto"/>
                <w:sz w:val="24"/>
                <w:highlight w:val="none"/>
              </w:rPr>
            </w:pPr>
          </w:p>
        </w:tc>
        <w:tc>
          <w:tcPr>
            <w:tcW w:w="1894" w:type="dxa"/>
            <w:vAlign w:val="center"/>
          </w:tcPr>
          <w:p>
            <w:pPr>
              <w:spacing w:before="120" w:beforeLines="50" w:line="360" w:lineRule="auto"/>
              <w:jc w:val="center"/>
              <w:rPr>
                <w:rFonts w:hAnsi="宋体"/>
                <w:color w:val="auto"/>
                <w:sz w:val="24"/>
                <w:highlight w:val="none"/>
              </w:rPr>
            </w:pPr>
          </w:p>
        </w:tc>
        <w:tc>
          <w:tcPr>
            <w:tcW w:w="1903" w:type="dxa"/>
            <w:vAlign w:val="center"/>
          </w:tcPr>
          <w:p>
            <w:pPr>
              <w:spacing w:before="120" w:beforeLines="50"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18" w:type="dxa"/>
            <w:vAlign w:val="center"/>
          </w:tcPr>
          <w:p>
            <w:pPr>
              <w:spacing w:before="120" w:beforeLines="50" w:line="360" w:lineRule="auto"/>
              <w:jc w:val="center"/>
              <w:rPr>
                <w:rFonts w:hAnsi="宋体"/>
                <w:color w:val="auto"/>
                <w:sz w:val="24"/>
                <w:highlight w:val="none"/>
              </w:rPr>
            </w:pPr>
          </w:p>
        </w:tc>
        <w:tc>
          <w:tcPr>
            <w:tcW w:w="1505" w:type="dxa"/>
            <w:vAlign w:val="center"/>
          </w:tcPr>
          <w:p>
            <w:pPr>
              <w:spacing w:before="120" w:beforeLines="50" w:line="360" w:lineRule="auto"/>
              <w:jc w:val="center"/>
              <w:rPr>
                <w:rFonts w:hAnsi="宋体"/>
                <w:color w:val="auto"/>
                <w:sz w:val="24"/>
                <w:highlight w:val="none"/>
              </w:rPr>
            </w:pPr>
          </w:p>
        </w:tc>
        <w:tc>
          <w:tcPr>
            <w:tcW w:w="796" w:type="dxa"/>
            <w:vAlign w:val="center"/>
          </w:tcPr>
          <w:p>
            <w:pPr>
              <w:spacing w:before="120" w:beforeLines="50" w:line="360" w:lineRule="auto"/>
              <w:jc w:val="center"/>
              <w:rPr>
                <w:rFonts w:hAnsi="宋体"/>
                <w:color w:val="auto"/>
                <w:sz w:val="24"/>
                <w:highlight w:val="none"/>
              </w:rPr>
            </w:pPr>
          </w:p>
        </w:tc>
        <w:tc>
          <w:tcPr>
            <w:tcW w:w="2388" w:type="dxa"/>
            <w:vAlign w:val="center"/>
          </w:tcPr>
          <w:p>
            <w:pPr>
              <w:spacing w:before="120" w:beforeLines="50" w:line="360" w:lineRule="auto"/>
              <w:jc w:val="center"/>
              <w:rPr>
                <w:rFonts w:hAnsi="宋体"/>
                <w:color w:val="auto"/>
                <w:sz w:val="24"/>
                <w:highlight w:val="none"/>
              </w:rPr>
            </w:pPr>
          </w:p>
        </w:tc>
        <w:tc>
          <w:tcPr>
            <w:tcW w:w="1903" w:type="dxa"/>
            <w:vAlign w:val="center"/>
          </w:tcPr>
          <w:p>
            <w:pPr>
              <w:spacing w:before="120" w:beforeLines="50" w:line="360" w:lineRule="auto"/>
              <w:jc w:val="center"/>
              <w:rPr>
                <w:rFonts w:hAnsi="宋体"/>
                <w:color w:val="auto"/>
                <w:sz w:val="24"/>
                <w:highlight w:val="none"/>
              </w:rPr>
            </w:pPr>
          </w:p>
        </w:tc>
        <w:tc>
          <w:tcPr>
            <w:tcW w:w="1061" w:type="dxa"/>
            <w:vAlign w:val="center"/>
          </w:tcPr>
          <w:p>
            <w:pPr>
              <w:spacing w:before="120" w:beforeLines="50" w:line="360" w:lineRule="auto"/>
              <w:jc w:val="center"/>
              <w:rPr>
                <w:rFonts w:hAnsi="宋体"/>
                <w:color w:val="auto"/>
                <w:sz w:val="24"/>
                <w:highlight w:val="none"/>
              </w:rPr>
            </w:pPr>
          </w:p>
        </w:tc>
        <w:tc>
          <w:tcPr>
            <w:tcW w:w="2122" w:type="dxa"/>
            <w:vAlign w:val="center"/>
          </w:tcPr>
          <w:p>
            <w:pPr>
              <w:spacing w:before="120" w:beforeLines="50" w:line="360" w:lineRule="auto"/>
              <w:jc w:val="center"/>
              <w:rPr>
                <w:rFonts w:hAnsi="宋体"/>
                <w:color w:val="auto"/>
                <w:sz w:val="24"/>
                <w:highlight w:val="none"/>
              </w:rPr>
            </w:pPr>
          </w:p>
        </w:tc>
        <w:tc>
          <w:tcPr>
            <w:tcW w:w="1894" w:type="dxa"/>
            <w:vAlign w:val="center"/>
          </w:tcPr>
          <w:p>
            <w:pPr>
              <w:spacing w:before="120" w:beforeLines="50" w:line="360" w:lineRule="auto"/>
              <w:jc w:val="center"/>
              <w:rPr>
                <w:rFonts w:hAnsi="宋体"/>
                <w:color w:val="auto"/>
                <w:sz w:val="24"/>
                <w:highlight w:val="none"/>
              </w:rPr>
            </w:pPr>
          </w:p>
        </w:tc>
        <w:tc>
          <w:tcPr>
            <w:tcW w:w="1903" w:type="dxa"/>
            <w:vAlign w:val="center"/>
          </w:tcPr>
          <w:p>
            <w:pPr>
              <w:spacing w:before="120" w:beforeLines="50"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18" w:type="dxa"/>
            <w:vAlign w:val="center"/>
          </w:tcPr>
          <w:p>
            <w:pPr>
              <w:spacing w:before="120" w:beforeLines="50" w:line="360" w:lineRule="auto"/>
              <w:jc w:val="center"/>
              <w:rPr>
                <w:rFonts w:hAnsi="宋体"/>
                <w:color w:val="auto"/>
                <w:sz w:val="24"/>
                <w:highlight w:val="none"/>
              </w:rPr>
            </w:pPr>
          </w:p>
        </w:tc>
        <w:tc>
          <w:tcPr>
            <w:tcW w:w="1505" w:type="dxa"/>
            <w:vAlign w:val="center"/>
          </w:tcPr>
          <w:p>
            <w:pPr>
              <w:spacing w:before="120" w:beforeLines="50" w:line="360" w:lineRule="auto"/>
              <w:jc w:val="center"/>
              <w:rPr>
                <w:rFonts w:hAnsi="宋体"/>
                <w:color w:val="auto"/>
                <w:sz w:val="24"/>
                <w:highlight w:val="none"/>
              </w:rPr>
            </w:pPr>
          </w:p>
        </w:tc>
        <w:tc>
          <w:tcPr>
            <w:tcW w:w="796" w:type="dxa"/>
            <w:vAlign w:val="center"/>
          </w:tcPr>
          <w:p>
            <w:pPr>
              <w:spacing w:before="120" w:beforeLines="50" w:line="360" w:lineRule="auto"/>
              <w:jc w:val="center"/>
              <w:rPr>
                <w:rFonts w:hAnsi="宋体"/>
                <w:color w:val="auto"/>
                <w:sz w:val="24"/>
                <w:highlight w:val="none"/>
              </w:rPr>
            </w:pPr>
          </w:p>
        </w:tc>
        <w:tc>
          <w:tcPr>
            <w:tcW w:w="2388" w:type="dxa"/>
            <w:vAlign w:val="center"/>
          </w:tcPr>
          <w:p>
            <w:pPr>
              <w:spacing w:before="120" w:beforeLines="50" w:line="360" w:lineRule="auto"/>
              <w:jc w:val="center"/>
              <w:rPr>
                <w:rFonts w:hAnsi="宋体"/>
                <w:color w:val="auto"/>
                <w:sz w:val="24"/>
                <w:highlight w:val="none"/>
              </w:rPr>
            </w:pPr>
          </w:p>
        </w:tc>
        <w:tc>
          <w:tcPr>
            <w:tcW w:w="1903" w:type="dxa"/>
            <w:vAlign w:val="center"/>
          </w:tcPr>
          <w:p>
            <w:pPr>
              <w:spacing w:before="120" w:beforeLines="50" w:line="360" w:lineRule="auto"/>
              <w:jc w:val="center"/>
              <w:rPr>
                <w:rFonts w:hAnsi="宋体"/>
                <w:color w:val="auto"/>
                <w:sz w:val="24"/>
                <w:highlight w:val="none"/>
              </w:rPr>
            </w:pPr>
          </w:p>
        </w:tc>
        <w:tc>
          <w:tcPr>
            <w:tcW w:w="1061" w:type="dxa"/>
            <w:vAlign w:val="center"/>
          </w:tcPr>
          <w:p>
            <w:pPr>
              <w:spacing w:before="120" w:beforeLines="50" w:line="360" w:lineRule="auto"/>
              <w:jc w:val="center"/>
              <w:rPr>
                <w:rFonts w:hAnsi="宋体"/>
                <w:color w:val="auto"/>
                <w:sz w:val="24"/>
                <w:highlight w:val="none"/>
              </w:rPr>
            </w:pPr>
          </w:p>
        </w:tc>
        <w:tc>
          <w:tcPr>
            <w:tcW w:w="2122" w:type="dxa"/>
            <w:vAlign w:val="center"/>
          </w:tcPr>
          <w:p>
            <w:pPr>
              <w:spacing w:before="120" w:beforeLines="50" w:line="360" w:lineRule="auto"/>
              <w:jc w:val="center"/>
              <w:rPr>
                <w:rFonts w:hAnsi="宋体"/>
                <w:color w:val="auto"/>
                <w:sz w:val="24"/>
                <w:highlight w:val="none"/>
              </w:rPr>
            </w:pPr>
          </w:p>
        </w:tc>
        <w:tc>
          <w:tcPr>
            <w:tcW w:w="1894" w:type="dxa"/>
            <w:vAlign w:val="center"/>
          </w:tcPr>
          <w:p>
            <w:pPr>
              <w:spacing w:before="120" w:beforeLines="50" w:line="360" w:lineRule="auto"/>
              <w:jc w:val="center"/>
              <w:rPr>
                <w:rFonts w:hAnsi="宋体"/>
                <w:color w:val="auto"/>
                <w:sz w:val="24"/>
                <w:highlight w:val="none"/>
              </w:rPr>
            </w:pPr>
          </w:p>
        </w:tc>
        <w:tc>
          <w:tcPr>
            <w:tcW w:w="1903" w:type="dxa"/>
            <w:vAlign w:val="center"/>
          </w:tcPr>
          <w:p>
            <w:pPr>
              <w:spacing w:before="120" w:beforeLines="50"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18" w:type="dxa"/>
            <w:vAlign w:val="center"/>
          </w:tcPr>
          <w:p>
            <w:pPr>
              <w:spacing w:before="120" w:beforeLines="50" w:line="360" w:lineRule="auto"/>
              <w:jc w:val="center"/>
              <w:rPr>
                <w:rFonts w:hAnsi="宋体"/>
                <w:color w:val="auto"/>
                <w:sz w:val="24"/>
                <w:highlight w:val="none"/>
              </w:rPr>
            </w:pPr>
          </w:p>
        </w:tc>
        <w:tc>
          <w:tcPr>
            <w:tcW w:w="1505" w:type="dxa"/>
            <w:vAlign w:val="center"/>
          </w:tcPr>
          <w:p>
            <w:pPr>
              <w:spacing w:before="120" w:beforeLines="50" w:line="360" w:lineRule="auto"/>
              <w:jc w:val="center"/>
              <w:rPr>
                <w:rFonts w:hAnsi="宋体"/>
                <w:color w:val="auto"/>
                <w:sz w:val="24"/>
                <w:highlight w:val="none"/>
              </w:rPr>
            </w:pPr>
          </w:p>
        </w:tc>
        <w:tc>
          <w:tcPr>
            <w:tcW w:w="796" w:type="dxa"/>
            <w:vAlign w:val="center"/>
          </w:tcPr>
          <w:p>
            <w:pPr>
              <w:spacing w:before="120" w:beforeLines="50" w:line="360" w:lineRule="auto"/>
              <w:jc w:val="center"/>
              <w:rPr>
                <w:rFonts w:hAnsi="宋体"/>
                <w:color w:val="auto"/>
                <w:sz w:val="24"/>
                <w:highlight w:val="none"/>
              </w:rPr>
            </w:pPr>
          </w:p>
        </w:tc>
        <w:tc>
          <w:tcPr>
            <w:tcW w:w="2388" w:type="dxa"/>
            <w:vAlign w:val="center"/>
          </w:tcPr>
          <w:p>
            <w:pPr>
              <w:spacing w:before="120" w:beforeLines="50" w:line="360" w:lineRule="auto"/>
              <w:jc w:val="center"/>
              <w:rPr>
                <w:rFonts w:hAnsi="宋体"/>
                <w:color w:val="auto"/>
                <w:sz w:val="24"/>
                <w:highlight w:val="none"/>
              </w:rPr>
            </w:pPr>
          </w:p>
        </w:tc>
        <w:tc>
          <w:tcPr>
            <w:tcW w:w="1903" w:type="dxa"/>
            <w:vAlign w:val="center"/>
          </w:tcPr>
          <w:p>
            <w:pPr>
              <w:spacing w:before="120" w:beforeLines="50" w:line="360" w:lineRule="auto"/>
              <w:jc w:val="center"/>
              <w:rPr>
                <w:rFonts w:hAnsi="宋体"/>
                <w:color w:val="auto"/>
                <w:sz w:val="24"/>
                <w:highlight w:val="none"/>
              </w:rPr>
            </w:pPr>
          </w:p>
        </w:tc>
        <w:tc>
          <w:tcPr>
            <w:tcW w:w="1061" w:type="dxa"/>
            <w:vAlign w:val="center"/>
          </w:tcPr>
          <w:p>
            <w:pPr>
              <w:spacing w:before="120" w:beforeLines="50" w:line="360" w:lineRule="auto"/>
              <w:jc w:val="center"/>
              <w:rPr>
                <w:rFonts w:hAnsi="宋体"/>
                <w:color w:val="auto"/>
                <w:sz w:val="24"/>
                <w:highlight w:val="none"/>
              </w:rPr>
            </w:pPr>
          </w:p>
        </w:tc>
        <w:tc>
          <w:tcPr>
            <w:tcW w:w="2122" w:type="dxa"/>
            <w:vAlign w:val="center"/>
          </w:tcPr>
          <w:p>
            <w:pPr>
              <w:spacing w:before="120" w:beforeLines="50" w:line="360" w:lineRule="auto"/>
              <w:jc w:val="center"/>
              <w:rPr>
                <w:rFonts w:hAnsi="宋体"/>
                <w:color w:val="auto"/>
                <w:sz w:val="24"/>
                <w:highlight w:val="none"/>
              </w:rPr>
            </w:pPr>
          </w:p>
        </w:tc>
        <w:tc>
          <w:tcPr>
            <w:tcW w:w="1894" w:type="dxa"/>
            <w:vAlign w:val="center"/>
          </w:tcPr>
          <w:p>
            <w:pPr>
              <w:spacing w:before="120" w:beforeLines="50" w:line="360" w:lineRule="auto"/>
              <w:jc w:val="center"/>
              <w:rPr>
                <w:rFonts w:hAnsi="宋体"/>
                <w:color w:val="auto"/>
                <w:sz w:val="24"/>
                <w:highlight w:val="none"/>
              </w:rPr>
            </w:pPr>
          </w:p>
        </w:tc>
        <w:tc>
          <w:tcPr>
            <w:tcW w:w="1903" w:type="dxa"/>
            <w:vAlign w:val="center"/>
          </w:tcPr>
          <w:p>
            <w:pPr>
              <w:spacing w:before="120" w:beforeLines="50"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18" w:type="dxa"/>
            <w:vAlign w:val="center"/>
          </w:tcPr>
          <w:p>
            <w:pPr>
              <w:spacing w:before="120" w:beforeLines="50" w:line="360" w:lineRule="auto"/>
              <w:jc w:val="center"/>
              <w:rPr>
                <w:rFonts w:hAnsi="宋体"/>
                <w:color w:val="auto"/>
                <w:sz w:val="24"/>
                <w:highlight w:val="none"/>
              </w:rPr>
            </w:pPr>
          </w:p>
        </w:tc>
        <w:tc>
          <w:tcPr>
            <w:tcW w:w="1505" w:type="dxa"/>
            <w:vAlign w:val="center"/>
          </w:tcPr>
          <w:p>
            <w:pPr>
              <w:spacing w:before="120" w:beforeLines="50" w:line="360" w:lineRule="auto"/>
              <w:jc w:val="center"/>
              <w:rPr>
                <w:rFonts w:hAnsi="宋体"/>
                <w:color w:val="auto"/>
                <w:sz w:val="24"/>
                <w:highlight w:val="none"/>
              </w:rPr>
            </w:pPr>
          </w:p>
        </w:tc>
        <w:tc>
          <w:tcPr>
            <w:tcW w:w="796" w:type="dxa"/>
            <w:vAlign w:val="center"/>
          </w:tcPr>
          <w:p>
            <w:pPr>
              <w:spacing w:before="120" w:beforeLines="50" w:line="360" w:lineRule="auto"/>
              <w:jc w:val="center"/>
              <w:rPr>
                <w:rFonts w:hAnsi="宋体"/>
                <w:color w:val="auto"/>
                <w:sz w:val="24"/>
                <w:highlight w:val="none"/>
              </w:rPr>
            </w:pPr>
          </w:p>
        </w:tc>
        <w:tc>
          <w:tcPr>
            <w:tcW w:w="2388" w:type="dxa"/>
            <w:vAlign w:val="center"/>
          </w:tcPr>
          <w:p>
            <w:pPr>
              <w:spacing w:before="120" w:beforeLines="50" w:line="360" w:lineRule="auto"/>
              <w:jc w:val="center"/>
              <w:rPr>
                <w:rFonts w:hAnsi="宋体"/>
                <w:color w:val="auto"/>
                <w:sz w:val="24"/>
                <w:highlight w:val="none"/>
              </w:rPr>
            </w:pPr>
          </w:p>
        </w:tc>
        <w:tc>
          <w:tcPr>
            <w:tcW w:w="1903" w:type="dxa"/>
            <w:vAlign w:val="center"/>
          </w:tcPr>
          <w:p>
            <w:pPr>
              <w:spacing w:before="120" w:beforeLines="50" w:line="360" w:lineRule="auto"/>
              <w:jc w:val="center"/>
              <w:rPr>
                <w:rFonts w:hAnsi="宋体"/>
                <w:color w:val="auto"/>
                <w:sz w:val="24"/>
                <w:highlight w:val="none"/>
              </w:rPr>
            </w:pPr>
          </w:p>
        </w:tc>
        <w:tc>
          <w:tcPr>
            <w:tcW w:w="1061" w:type="dxa"/>
            <w:vAlign w:val="center"/>
          </w:tcPr>
          <w:p>
            <w:pPr>
              <w:spacing w:before="120" w:beforeLines="50" w:line="360" w:lineRule="auto"/>
              <w:jc w:val="center"/>
              <w:rPr>
                <w:rFonts w:hAnsi="宋体"/>
                <w:color w:val="auto"/>
                <w:sz w:val="24"/>
                <w:highlight w:val="none"/>
              </w:rPr>
            </w:pPr>
          </w:p>
        </w:tc>
        <w:tc>
          <w:tcPr>
            <w:tcW w:w="2122" w:type="dxa"/>
            <w:vAlign w:val="center"/>
          </w:tcPr>
          <w:p>
            <w:pPr>
              <w:spacing w:before="120" w:beforeLines="50" w:line="360" w:lineRule="auto"/>
              <w:jc w:val="center"/>
              <w:rPr>
                <w:rFonts w:hAnsi="宋体"/>
                <w:color w:val="auto"/>
                <w:sz w:val="24"/>
                <w:highlight w:val="none"/>
              </w:rPr>
            </w:pPr>
          </w:p>
        </w:tc>
        <w:tc>
          <w:tcPr>
            <w:tcW w:w="1894" w:type="dxa"/>
            <w:vAlign w:val="center"/>
          </w:tcPr>
          <w:p>
            <w:pPr>
              <w:spacing w:before="120" w:beforeLines="50" w:line="360" w:lineRule="auto"/>
              <w:jc w:val="center"/>
              <w:rPr>
                <w:rFonts w:hAnsi="宋体"/>
                <w:color w:val="auto"/>
                <w:sz w:val="24"/>
                <w:highlight w:val="none"/>
              </w:rPr>
            </w:pPr>
          </w:p>
        </w:tc>
        <w:tc>
          <w:tcPr>
            <w:tcW w:w="1903" w:type="dxa"/>
            <w:vAlign w:val="center"/>
          </w:tcPr>
          <w:p>
            <w:pPr>
              <w:spacing w:before="120" w:beforeLines="50"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18" w:type="dxa"/>
            <w:vAlign w:val="center"/>
          </w:tcPr>
          <w:p>
            <w:pPr>
              <w:spacing w:before="120" w:beforeLines="50" w:line="360" w:lineRule="auto"/>
              <w:jc w:val="center"/>
              <w:rPr>
                <w:rFonts w:hAnsi="宋体"/>
                <w:color w:val="auto"/>
                <w:sz w:val="24"/>
                <w:highlight w:val="none"/>
              </w:rPr>
            </w:pPr>
          </w:p>
        </w:tc>
        <w:tc>
          <w:tcPr>
            <w:tcW w:w="1505" w:type="dxa"/>
            <w:vAlign w:val="center"/>
          </w:tcPr>
          <w:p>
            <w:pPr>
              <w:spacing w:before="120" w:beforeLines="50" w:line="360" w:lineRule="auto"/>
              <w:jc w:val="center"/>
              <w:rPr>
                <w:rFonts w:hAnsi="宋体"/>
                <w:color w:val="auto"/>
                <w:sz w:val="24"/>
                <w:highlight w:val="none"/>
              </w:rPr>
            </w:pPr>
          </w:p>
        </w:tc>
        <w:tc>
          <w:tcPr>
            <w:tcW w:w="796" w:type="dxa"/>
            <w:vAlign w:val="center"/>
          </w:tcPr>
          <w:p>
            <w:pPr>
              <w:spacing w:before="120" w:beforeLines="50" w:line="360" w:lineRule="auto"/>
              <w:jc w:val="center"/>
              <w:rPr>
                <w:rFonts w:hAnsi="宋体"/>
                <w:color w:val="auto"/>
                <w:sz w:val="24"/>
                <w:highlight w:val="none"/>
              </w:rPr>
            </w:pPr>
          </w:p>
        </w:tc>
        <w:tc>
          <w:tcPr>
            <w:tcW w:w="2388" w:type="dxa"/>
            <w:vAlign w:val="center"/>
          </w:tcPr>
          <w:p>
            <w:pPr>
              <w:spacing w:before="120" w:beforeLines="50" w:line="360" w:lineRule="auto"/>
              <w:jc w:val="center"/>
              <w:rPr>
                <w:rFonts w:hAnsi="宋体"/>
                <w:color w:val="auto"/>
                <w:sz w:val="24"/>
                <w:highlight w:val="none"/>
              </w:rPr>
            </w:pPr>
          </w:p>
        </w:tc>
        <w:tc>
          <w:tcPr>
            <w:tcW w:w="1903" w:type="dxa"/>
            <w:vAlign w:val="center"/>
          </w:tcPr>
          <w:p>
            <w:pPr>
              <w:spacing w:before="120" w:beforeLines="50" w:line="360" w:lineRule="auto"/>
              <w:jc w:val="center"/>
              <w:rPr>
                <w:rFonts w:hAnsi="宋体"/>
                <w:color w:val="auto"/>
                <w:sz w:val="24"/>
                <w:highlight w:val="none"/>
              </w:rPr>
            </w:pPr>
          </w:p>
        </w:tc>
        <w:tc>
          <w:tcPr>
            <w:tcW w:w="1061" w:type="dxa"/>
            <w:vAlign w:val="center"/>
          </w:tcPr>
          <w:p>
            <w:pPr>
              <w:spacing w:before="120" w:beforeLines="50" w:line="360" w:lineRule="auto"/>
              <w:jc w:val="center"/>
              <w:rPr>
                <w:rFonts w:hAnsi="宋体"/>
                <w:color w:val="auto"/>
                <w:sz w:val="24"/>
                <w:highlight w:val="none"/>
              </w:rPr>
            </w:pPr>
          </w:p>
        </w:tc>
        <w:tc>
          <w:tcPr>
            <w:tcW w:w="2122" w:type="dxa"/>
            <w:vAlign w:val="center"/>
          </w:tcPr>
          <w:p>
            <w:pPr>
              <w:spacing w:before="120" w:beforeLines="50" w:line="360" w:lineRule="auto"/>
              <w:jc w:val="center"/>
              <w:rPr>
                <w:rFonts w:hAnsi="宋体"/>
                <w:color w:val="auto"/>
                <w:sz w:val="24"/>
                <w:highlight w:val="none"/>
              </w:rPr>
            </w:pPr>
          </w:p>
        </w:tc>
        <w:tc>
          <w:tcPr>
            <w:tcW w:w="1894" w:type="dxa"/>
            <w:vAlign w:val="center"/>
          </w:tcPr>
          <w:p>
            <w:pPr>
              <w:spacing w:before="120" w:beforeLines="50" w:line="360" w:lineRule="auto"/>
              <w:jc w:val="center"/>
              <w:rPr>
                <w:rFonts w:hAnsi="宋体"/>
                <w:color w:val="auto"/>
                <w:sz w:val="24"/>
                <w:highlight w:val="none"/>
              </w:rPr>
            </w:pPr>
          </w:p>
        </w:tc>
        <w:tc>
          <w:tcPr>
            <w:tcW w:w="1903" w:type="dxa"/>
            <w:vAlign w:val="center"/>
          </w:tcPr>
          <w:p>
            <w:pPr>
              <w:spacing w:before="120" w:beforeLines="50"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18" w:type="dxa"/>
            <w:vAlign w:val="center"/>
          </w:tcPr>
          <w:p>
            <w:pPr>
              <w:spacing w:before="120" w:beforeLines="50" w:line="360" w:lineRule="auto"/>
              <w:jc w:val="center"/>
              <w:rPr>
                <w:rFonts w:hAnsi="宋体"/>
                <w:color w:val="auto"/>
                <w:sz w:val="24"/>
                <w:highlight w:val="none"/>
              </w:rPr>
            </w:pPr>
          </w:p>
        </w:tc>
        <w:tc>
          <w:tcPr>
            <w:tcW w:w="1505" w:type="dxa"/>
            <w:vAlign w:val="center"/>
          </w:tcPr>
          <w:p>
            <w:pPr>
              <w:spacing w:before="120" w:beforeLines="50" w:line="360" w:lineRule="auto"/>
              <w:jc w:val="center"/>
              <w:rPr>
                <w:rFonts w:hAnsi="宋体"/>
                <w:color w:val="auto"/>
                <w:sz w:val="24"/>
                <w:highlight w:val="none"/>
              </w:rPr>
            </w:pPr>
          </w:p>
        </w:tc>
        <w:tc>
          <w:tcPr>
            <w:tcW w:w="796" w:type="dxa"/>
            <w:vAlign w:val="center"/>
          </w:tcPr>
          <w:p>
            <w:pPr>
              <w:spacing w:before="120" w:beforeLines="50" w:line="360" w:lineRule="auto"/>
              <w:jc w:val="center"/>
              <w:rPr>
                <w:rFonts w:hAnsi="宋体"/>
                <w:color w:val="auto"/>
                <w:sz w:val="24"/>
                <w:highlight w:val="none"/>
              </w:rPr>
            </w:pPr>
          </w:p>
        </w:tc>
        <w:tc>
          <w:tcPr>
            <w:tcW w:w="2388" w:type="dxa"/>
            <w:vAlign w:val="center"/>
          </w:tcPr>
          <w:p>
            <w:pPr>
              <w:spacing w:before="120" w:beforeLines="50" w:line="360" w:lineRule="auto"/>
              <w:jc w:val="center"/>
              <w:rPr>
                <w:rFonts w:hAnsi="宋体"/>
                <w:color w:val="auto"/>
                <w:sz w:val="24"/>
                <w:highlight w:val="none"/>
              </w:rPr>
            </w:pPr>
          </w:p>
        </w:tc>
        <w:tc>
          <w:tcPr>
            <w:tcW w:w="1903" w:type="dxa"/>
            <w:vAlign w:val="center"/>
          </w:tcPr>
          <w:p>
            <w:pPr>
              <w:spacing w:before="120" w:beforeLines="50" w:line="360" w:lineRule="auto"/>
              <w:jc w:val="center"/>
              <w:rPr>
                <w:rFonts w:hAnsi="宋体"/>
                <w:color w:val="auto"/>
                <w:sz w:val="24"/>
                <w:highlight w:val="none"/>
              </w:rPr>
            </w:pPr>
          </w:p>
        </w:tc>
        <w:tc>
          <w:tcPr>
            <w:tcW w:w="1061" w:type="dxa"/>
            <w:vAlign w:val="center"/>
          </w:tcPr>
          <w:p>
            <w:pPr>
              <w:spacing w:before="120" w:beforeLines="50" w:line="360" w:lineRule="auto"/>
              <w:jc w:val="center"/>
              <w:rPr>
                <w:rFonts w:hAnsi="宋体"/>
                <w:color w:val="auto"/>
                <w:sz w:val="24"/>
                <w:highlight w:val="none"/>
              </w:rPr>
            </w:pPr>
          </w:p>
        </w:tc>
        <w:tc>
          <w:tcPr>
            <w:tcW w:w="2122" w:type="dxa"/>
            <w:vAlign w:val="center"/>
          </w:tcPr>
          <w:p>
            <w:pPr>
              <w:spacing w:before="120" w:beforeLines="50" w:line="360" w:lineRule="auto"/>
              <w:jc w:val="center"/>
              <w:rPr>
                <w:rFonts w:hAnsi="宋体"/>
                <w:color w:val="auto"/>
                <w:sz w:val="24"/>
                <w:highlight w:val="none"/>
              </w:rPr>
            </w:pPr>
          </w:p>
        </w:tc>
        <w:tc>
          <w:tcPr>
            <w:tcW w:w="1894" w:type="dxa"/>
            <w:vAlign w:val="center"/>
          </w:tcPr>
          <w:p>
            <w:pPr>
              <w:spacing w:before="120" w:beforeLines="50" w:line="360" w:lineRule="auto"/>
              <w:jc w:val="center"/>
              <w:rPr>
                <w:rFonts w:hAnsi="宋体"/>
                <w:color w:val="auto"/>
                <w:sz w:val="24"/>
                <w:highlight w:val="none"/>
              </w:rPr>
            </w:pPr>
          </w:p>
        </w:tc>
        <w:tc>
          <w:tcPr>
            <w:tcW w:w="1903" w:type="dxa"/>
            <w:vAlign w:val="center"/>
          </w:tcPr>
          <w:p>
            <w:pPr>
              <w:spacing w:before="120" w:beforeLines="50" w:line="360" w:lineRule="auto"/>
              <w:jc w:val="center"/>
              <w:rPr>
                <w:rFonts w:hAnsi="宋体"/>
                <w:color w:val="auto"/>
                <w:sz w:val="24"/>
                <w:highlight w:val="none"/>
              </w:rPr>
            </w:pPr>
          </w:p>
        </w:tc>
      </w:tr>
    </w:tbl>
    <w:p>
      <w:pPr>
        <w:rPr>
          <w:rFonts w:ascii="宋体" w:hAnsi="宋体"/>
          <w:color w:val="auto"/>
          <w:spacing w:val="20"/>
          <w:sz w:val="24"/>
          <w:highlight w:val="none"/>
        </w:rPr>
      </w:pPr>
    </w:p>
    <w:p>
      <w:pPr>
        <w:rPr>
          <w:rFonts w:ascii="宋体" w:hAnsi="宋体"/>
          <w:color w:val="auto"/>
          <w:spacing w:val="20"/>
          <w:sz w:val="24"/>
          <w:highlight w:val="none"/>
        </w:rPr>
      </w:pPr>
    </w:p>
    <w:p>
      <w:pPr>
        <w:spacing w:line="360" w:lineRule="auto"/>
        <w:jc w:val="right"/>
        <w:rPr>
          <w:rFonts w:ascii="宋体" w:hAnsi="宋体"/>
          <w:color w:val="auto"/>
          <w:spacing w:val="20"/>
          <w:sz w:val="24"/>
          <w:highlight w:val="none"/>
          <w:u w:val="singl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法定代表人或被授权人签字（或签章）</w:t>
      </w:r>
      <w:r>
        <w:rPr>
          <w:rFonts w:ascii="宋体" w:hAnsi="宋体"/>
          <w:color w:val="auto"/>
          <w:spacing w:val="20"/>
          <w:sz w:val="24"/>
          <w:highlight w:val="none"/>
        </w:rPr>
        <w:t>：</w:t>
      </w:r>
    </w:p>
    <w:p>
      <w:pPr>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投标人盖章：</w:t>
      </w:r>
    </w:p>
    <w:p>
      <w:pPr>
        <w:pStyle w:val="4"/>
        <w:jc w:val="right"/>
        <w:rPr>
          <w:rFonts w:ascii="宋体" w:hAnsi="宋体"/>
          <w:color w:val="auto"/>
          <w:spacing w:val="20"/>
          <w:sz w:val="30"/>
          <w:szCs w:val="30"/>
          <w:highlight w:val="none"/>
        </w:rPr>
      </w:pPr>
      <w:r>
        <w:rPr>
          <w:rFonts w:hint="eastAsia" w:ascii="宋体" w:hAnsi="宋体" w:eastAsia="宋体"/>
          <w:b w:val="0"/>
          <w:color w:val="auto"/>
          <w:spacing w:val="20"/>
          <w:sz w:val="24"/>
          <w:highlight w:val="none"/>
        </w:rPr>
        <w:t>日     期：</w:t>
      </w:r>
    </w:p>
    <w:p>
      <w:pPr>
        <w:pStyle w:val="45"/>
        <w:ind w:firstLine="480"/>
        <w:jc w:val="right"/>
        <w:rPr>
          <w:color w:val="auto"/>
          <w:highlight w:val="none"/>
        </w:rPr>
        <w:sectPr>
          <w:pgSz w:w="16838" w:h="11906" w:orient="landscape"/>
          <w:pgMar w:top="1247" w:right="1389" w:bottom="1247" w:left="1389" w:header="851" w:footer="992" w:gutter="0"/>
          <w:cols w:space="720" w:num="1"/>
          <w:titlePg/>
          <w:docGrid w:linePitch="312" w:charSpace="0"/>
        </w:sectPr>
      </w:pPr>
    </w:p>
    <w:p>
      <w:pPr>
        <w:pStyle w:val="33"/>
        <w:jc w:val="both"/>
        <w:outlineLvl w:val="9"/>
        <w:rPr>
          <w:color w:val="auto"/>
          <w:highlight w:val="none"/>
        </w:rPr>
      </w:pPr>
      <w:bookmarkStart w:id="79" w:name="_Toc4502"/>
      <w:r>
        <w:rPr>
          <w:rFonts w:hint="eastAsia"/>
          <w:color w:val="auto"/>
          <w:highlight w:val="none"/>
        </w:rPr>
        <w:t xml:space="preserve">附件9              </w:t>
      </w:r>
      <w:r>
        <w:rPr>
          <w:rFonts w:hint="eastAsia" w:ascii="宋体" w:hAnsi="宋体"/>
          <w:color w:val="auto"/>
          <w:szCs w:val="21"/>
          <w:highlight w:val="none"/>
        </w:rPr>
        <w:t>项目实施人员一览表</w:t>
      </w:r>
      <w:r>
        <w:rPr>
          <w:color w:val="auto"/>
          <w:highlight w:val="none"/>
        </w:rPr>
        <w:br w:type="textWrapping"/>
      </w:r>
      <w:bookmarkEnd w:id="79"/>
    </w:p>
    <w:tbl>
      <w:tblPr>
        <w:tblStyle w:val="37"/>
        <w:tblW w:w="9608" w:type="dxa"/>
        <w:jc w:val="center"/>
        <w:tblLayout w:type="fixed"/>
        <w:tblCellMar>
          <w:top w:w="57" w:type="dxa"/>
          <w:left w:w="57" w:type="dxa"/>
          <w:bottom w:w="57" w:type="dxa"/>
          <w:right w:w="57" w:type="dxa"/>
        </w:tblCellMar>
      </w:tblPr>
      <w:tblGrid>
        <w:gridCol w:w="605"/>
        <w:gridCol w:w="1294"/>
        <w:gridCol w:w="753"/>
        <w:gridCol w:w="724"/>
        <w:gridCol w:w="1108"/>
        <w:gridCol w:w="923"/>
        <w:gridCol w:w="986"/>
        <w:gridCol w:w="1969"/>
        <w:gridCol w:w="1246"/>
      </w:tblGrid>
      <w:tr>
        <w:tblPrEx>
          <w:tblCellMar>
            <w:top w:w="57" w:type="dxa"/>
            <w:left w:w="57" w:type="dxa"/>
            <w:bottom w:w="57" w:type="dxa"/>
            <w:right w:w="57" w:type="dxa"/>
          </w:tblCellMar>
        </w:tblPrEx>
        <w:trPr>
          <w:cantSplit/>
          <w:trHeight w:val="1011" w:hRule="atLeast"/>
          <w:jc w:val="center"/>
        </w:trPr>
        <w:tc>
          <w:tcPr>
            <w:tcW w:w="60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序号</w:t>
            </w:r>
          </w:p>
        </w:tc>
        <w:tc>
          <w:tcPr>
            <w:tcW w:w="129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姓 名</w:t>
            </w:r>
          </w:p>
        </w:tc>
        <w:tc>
          <w:tcPr>
            <w:tcW w:w="753"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性</w:t>
            </w:r>
          </w:p>
          <w:p>
            <w:pPr>
              <w:jc w:val="center"/>
              <w:rPr>
                <w:color w:val="auto"/>
                <w:highlight w:val="none"/>
              </w:rPr>
            </w:pPr>
            <w:r>
              <w:rPr>
                <w:color w:val="auto"/>
                <w:highlight w:val="none"/>
              </w:rPr>
              <w:t>别</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年</w:t>
            </w:r>
          </w:p>
          <w:p>
            <w:pPr>
              <w:jc w:val="center"/>
              <w:rPr>
                <w:color w:val="auto"/>
                <w:highlight w:val="none"/>
              </w:rPr>
            </w:pPr>
            <w:r>
              <w:rPr>
                <w:color w:val="auto"/>
                <w:highlight w:val="none"/>
              </w:rPr>
              <w:t>龄</w:t>
            </w:r>
          </w:p>
        </w:tc>
        <w:tc>
          <w:tcPr>
            <w:tcW w:w="110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学 历</w:t>
            </w:r>
          </w:p>
        </w:tc>
        <w:tc>
          <w:tcPr>
            <w:tcW w:w="923"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专业</w:t>
            </w:r>
          </w:p>
        </w:tc>
        <w:tc>
          <w:tcPr>
            <w:tcW w:w="986"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职称</w:t>
            </w:r>
          </w:p>
        </w:tc>
        <w:tc>
          <w:tcPr>
            <w:tcW w:w="1969"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拟任本项目职务</w:t>
            </w:r>
          </w:p>
        </w:tc>
        <w:tc>
          <w:tcPr>
            <w:tcW w:w="1246"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备    注</w:t>
            </w:r>
          </w:p>
        </w:tc>
      </w:tr>
      <w:tr>
        <w:tblPrEx>
          <w:tblCellMar>
            <w:top w:w="57" w:type="dxa"/>
            <w:left w:w="57" w:type="dxa"/>
            <w:bottom w:w="57" w:type="dxa"/>
            <w:right w:w="57" w:type="dxa"/>
          </w:tblCellMar>
        </w:tblPrEx>
        <w:trPr>
          <w:cantSplit/>
          <w:trHeight w:val="986" w:hRule="atLeast"/>
          <w:jc w:val="center"/>
        </w:trPr>
        <w:tc>
          <w:tcPr>
            <w:tcW w:w="605"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color w:val="auto"/>
                <w:highlight w:val="none"/>
              </w:rPr>
            </w:pPr>
          </w:p>
        </w:tc>
        <w:tc>
          <w:tcPr>
            <w:tcW w:w="1294"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color w:val="auto"/>
                <w:highlight w:val="none"/>
              </w:rPr>
            </w:pPr>
          </w:p>
        </w:tc>
        <w:tc>
          <w:tcPr>
            <w:tcW w:w="753"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color w:val="auto"/>
                <w:szCs w:val="21"/>
                <w:highlight w:val="none"/>
              </w:rPr>
            </w:pPr>
          </w:p>
        </w:tc>
        <w:tc>
          <w:tcPr>
            <w:tcW w:w="724"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color w:val="auto"/>
                <w:highlight w:val="none"/>
              </w:rPr>
            </w:pPr>
          </w:p>
        </w:tc>
        <w:tc>
          <w:tcPr>
            <w:tcW w:w="1108"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color w:val="auto"/>
                <w:szCs w:val="21"/>
                <w:highlight w:val="none"/>
              </w:rPr>
            </w:pPr>
          </w:p>
        </w:tc>
        <w:tc>
          <w:tcPr>
            <w:tcW w:w="923"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color w:val="auto"/>
                <w:szCs w:val="21"/>
                <w:highlight w:val="none"/>
              </w:rPr>
            </w:pPr>
          </w:p>
        </w:tc>
        <w:tc>
          <w:tcPr>
            <w:tcW w:w="986"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color w:val="auto"/>
                <w:szCs w:val="21"/>
                <w:highlight w:val="none"/>
              </w:rPr>
            </w:pPr>
          </w:p>
        </w:tc>
        <w:tc>
          <w:tcPr>
            <w:tcW w:w="1969"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color w:val="auto"/>
                <w:highlight w:val="none"/>
              </w:rPr>
            </w:pPr>
          </w:p>
        </w:tc>
        <w:tc>
          <w:tcPr>
            <w:tcW w:w="1246"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color w:val="auto"/>
                <w:highlight w:val="none"/>
              </w:rPr>
            </w:pPr>
          </w:p>
        </w:tc>
      </w:tr>
      <w:tr>
        <w:tblPrEx>
          <w:tblCellMar>
            <w:top w:w="57" w:type="dxa"/>
            <w:left w:w="57" w:type="dxa"/>
            <w:bottom w:w="57" w:type="dxa"/>
            <w:right w:w="57" w:type="dxa"/>
          </w:tblCellMar>
        </w:tblPrEx>
        <w:trPr>
          <w:cantSplit/>
          <w:trHeight w:val="986" w:hRule="atLeast"/>
          <w:jc w:val="center"/>
        </w:trPr>
        <w:tc>
          <w:tcPr>
            <w:tcW w:w="605"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color w:val="auto"/>
                <w:highlight w:val="none"/>
              </w:rPr>
            </w:pPr>
          </w:p>
        </w:tc>
        <w:tc>
          <w:tcPr>
            <w:tcW w:w="1294"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color w:val="auto"/>
                <w:highlight w:val="none"/>
              </w:rPr>
            </w:pPr>
          </w:p>
        </w:tc>
        <w:tc>
          <w:tcPr>
            <w:tcW w:w="753"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color w:val="auto"/>
                <w:szCs w:val="21"/>
                <w:highlight w:val="none"/>
              </w:rPr>
            </w:pPr>
          </w:p>
        </w:tc>
        <w:tc>
          <w:tcPr>
            <w:tcW w:w="724"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color w:val="auto"/>
                <w:szCs w:val="36"/>
                <w:highlight w:val="none"/>
              </w:rPr>
            </w:pPr>
          </w:p>
        </w:tc>
        <w:tc>
          <w:tcPr>
            <w:tcW w:w="1108"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color w:val="auto"/>
                <w:szCs w:val="21"/>
                <w:highlight w:val="none"/>
              </w:rPr>
            </w:pPr>
          </w:p>
        </w:tc>
        <w:tc>
          <w:tcPr>
            <w:tcW w:w="923"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color w:val="auto"/>
                <w:szCs w:val="21"/>
                <w:highlight w:val="none"/>
              </w:rPr>
            </w:pPr>
          </w:p>
        </w:tc>
        <w:tc>
          <w:tcPr>
            <w:tcW w:w="986"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color w:val="auto"/>
                <w:szCs w:val="21"/>
                <w:highlight w:val="none"/>
              </w:rPr>
            </w:pPr>
          </w:p>
        </w:tc>
        <w:tc>
          <w:tcPr>
            <w:tcW w:w="1969"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color w:val="auto"/>
                <w:highlight w:val="none"/>
              </w:rPr>
            </w:pPr>
          </w:p>
        </w:tc>
        <w:tc>
          <w:tcPr>
            <w:tcW w:w="1246" w:type="dxa"/>
            <w:tcBorders>
              <w:top w:val="single" w:color="auto" w:sz="6" w:space="0"/>
              <w:left w:val="single" w:color="auto" w:sz="6" w:space="0"/>
              <w:bottom w:val="single" w:color="auto" w:sz="4" w:space="0"/>
              <w:right w:val="single" w:color="auto" w:sz="6" w:space="0"/>
            </w:tcBorders>
            <w:vAlign w:val="center"/>
          </w:tcPr>
          <w:p>
            <w:pPr>
              <w:spacing w:line="600" w:lineRule="auto"/>
              <w:jc w:val="center"/>
              <w:rPr>
                <w:color w:val="auto"/>
                <w:highlight w:val="none"/>
              </w:rPr>
            </w:pPr>
          </w:p>
        </w:tc>
      </w:tr>
      <w:tr>
        <w:tblPrEx>
          <w:tblCellMar>
            <w:top w:w="57" w:type="dxa"/>
            <w:left w:w="57" w:type="dxa"/>
            <w:bottom w:w="57" w:type="dxa"/>
            <w:right w:w="57" w:type="dxa"/>
          </w:tblCellMar>
        </w:tblPrEx>
        <w:trPr>
          <w:cantSplit/>
          <w:trHeight w:val="1177" w:hRule="atLeast"/>
          <w:jc w:val="center"/>
        </w:trPr>
        <w:tc>
          <w:tcPr>
            <w:tcW w:w="605"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color w:val="auto"/>
                <w:highlight w:val="none"/>
              </w:rPr>
            </w:pPr>
          </w:p>
        </w:tc>
        <w:tc>
          <w:tcPr>
            <w:tcW w:w="1294"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color w:val="auto"/>
                <w:szCs w:val="21"/>
                <w:highlight w:val="none"/>
              </w:rPr>
            </w:pPr>
          </w:p>
        </w:tc>
        <w:tc>
          <w:tcPr>
            <w:tcW w:w="753"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color w:val="auto"/>
                <w:szCs w:val="21"/>
                <w:highlight w:val="none"/>
              </w:rPr>
            </w:pPr>
          </w:p>
        </w:tc>
        <w:tc>
          <w:tcPr>
            <w:tcW w:w="724"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color w:val="auto"/>
                <w:szCs w:val="21"/>
                <w:highlight w:val="none"/>
              </w:rPr>
            </w:pPr>
          </w:p>
        </w:tc>
        <w:tc>
          <w:tcPr>
            <w:tcW w:w="1108"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color w:val="auto"/>
                <w:szCs w:val="21"/>
                <w:highlight w:val="none"/>
              </w:rPr>
            </w:pPr>
          </w:p>
        </w:tc>
        <w:tc>
          <w:tcPr>
            <w:tcW w:w="923"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color w:val="auto"/>
                <w:szCs w:val="21"/>
                <w:highlight w:val="none"/>
              </w:rPr>
            </w:pPr>
          </w:p>
        </w:tc>
        <w:tc>
          <w:tcPr>
            <w:tcW w:w="986"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color w:val="auto"/>
                <w:szCs w:val="21"/>
                <w:highlight w:val="none"/>
              </w:rPr>
            </w:pPr>
          </w:p>
        </w:tc>
        <w:tc>
          <w:tcPr>
            <w:tcW w:w="1969"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color w:val="auto"/>
                <w:highlight w:val="none"/>
              </w:rPr>
            </w:pPr>
          </w:p>
        </w:tc>
        <w:tc>
          <w:tcPr>
            <w:tcW w:w="1246"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color w:val="auto"/>
                <w:highlight w:val="none"/>
              </w:rPr>
            </w:pPr>
          </w:p>
        </w:tc>
      </w:tr>
      <w:tr>
        <w:tblPrEx>
          <w:tblCellMar>
            <w:top w:w="57" w:type="dxa"/>
            <w:left w:w="57" w:type="dxa"/>
            <w:bottom w:w="57" w:type="dxa"/>
            <w:right w:w="57" w:type="dxa"/>
          </w:tblCellMar>
        </w:tblPrEx>
        <w:trPr>
          <w:cantSplit/>
          <w:trHeight w:val="1242" w:hRule="atLeast"/>
          <w:jc w:val="center"/>
        </w:trPr>
        <w:tc>
          <w:tcPr>
            <w:tcW w:w="605"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color w:val="auto"/>
                <w:highlight w:val="none"/>
              </w:rPr>
            </w:pPr>
          </w:p>
        </w:tc>
        <w:tc>
          <w:tcPr>
            <w:tcW w:w="1294"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color w:val="auto"/>
                <w:szCs w:val="21"/>
                <w:highlight w:val="none"/>
              </w:rPr>
            </w:pPr>
          </w:p>
        </w:tc>
        <w:tc>
          <w:tcPr>
            <w:tcW w:w="753"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color w:val="auto"/>
                <w:szCs w:val="21"/>
                <w:highlight w:val="none"/>
              </w:rPr>
            </w:pPr>
          </w:p>
        </w:tc>
        <w:tc>
          <w:tcPr>
            <w:tcW w:w="724"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color w:val="auto"/>
                <w:szCs w:val="21"/>
                <w:highlight w:val="none"/>
              </w:rPr>
            </w:pPr>
          </w:p>
        </w:tc>
        <w:tc>
          <w:tcPr>
            <w:tcW w:w="1108"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color w:val="auto"/>
                <w:szCs w:val="21"/>
                <w:highlight w:val="none"/>
              </w:rPr>
            </w:pPr>
          </w:p>
        </w:tc>
        <w:tc>
          <w:tcPr>
            <w:tcW w:w="923"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color w:val="auto"/>
                <w:szCs w:val="21"/>
                <w:highlight w:val="none"/>
              </w:rPr>
            </w:pPr>
          </w:p>
        </w:tc>
        <w:tc>
          <w:tcPr>
            <w:tcW w:w="986"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color w:val="auto"/>
                <w:szCs w:val="21"/>
                <w:highlight w:val="none"/>
              </w:rPr>
            </w:pPr>
          </w:p>
        </w:tc>
        <w:tc>
          <w:tcPr>
            <w:tcW w:w="1969"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color w:val="auto"/>
                <w:highlight w:val="none"/>
              </w:rPr>
            </w:pPr>
          </w:p>
        </w:tc>
        <w:tc>
          <w:tcPr>
            <w:tcW w:w="1246" w:type="dxa"/>
            <w:tcBorders>
              <w:top w:val="single" w:color="auto" w:sz="4" w:space="0"/>
              <w:left w:val="single" w:color="auto" w:sz="6" w:space="0"/>
              <w:bottom w:val="single" w:color="auto" w:sz="4" w:space="0"/>
              <w:right w:val="single" w:color="auto" w:sz="6" w:space="0"/>
            </w:tcBorders>
            <w:vAlign w:val="center"/>
          </w:tcPr>
          <w:p>
            <w:pPr>
              <w:spacing w:line="600" w:lineRule="auto"/>
              <w:jc w:val="center"/>
              <w:rPr>
                <w:color w:val="auto"/>
                <w:highlight w:val="none"/>
              </w:rPr>
            </w:pPr>
          </w:p>
        </w:tc>
      </w:tr>
    </w:tbl>
    <w:p>
      <w:pPr>
        <w:spacing w:line="440" w:lineRule="exact"/>
        <w:rPr>
          <w:rFonts w:ascii="宋体" w:hAnsi="宋体"/>
          <w:b/>
          <w:color w:val="auto"/>
          <w:spacing w:val="20"/>
          <w:sz w:val="24"/>
          <w:highlight w:val="none"/>
        </w:rPr>
      </w:pPr>
    </w:p>
    <w:p>
      <w:pPr>
        <w:spacing w:line="360" w:lineRule="auto"/>
        <w:ind w:firstLine="2400" w:firstLineChars="1000"/>
        <w:rPr>
          <w:rFonts w:hint="eastAsia" w:ascii="宋体" w:hAnsi="宋体"/>
          <w:color w:val="auto"/>
          <w:sz w:val="24"/>
          <w:highlight w:val="none"/>
        </w:rPr>
      </w:pPr>
    </w:p>
    <w:p>
      <w:pPr>
        <w:spacing w:line="360" w:lineRule="auto"/>
        <w:ind w:firstLine="2400" w:firstLineChars="1000"/>
        <w:rPr>
          <w:rFonts w:ascii="宋体" w:hAnsi="宋体"/>
          <w:color w:val="auto"/>
          <w:spacing w:val="20"/>
          <w:sz w:val="24"/>
          <w:highlight w:val="none"/>
          <w:u w:val="single"/>
        </w:rPr>
      </w:pPr>
      <w:r>
        <w:rPr>
          <w:rFonts w:hint="eastAsia" w:ascii="宋体" w:hAnsi="宋体"/>
          <w:color w:val="auto"/>
          <w:sz w:val="24"/>
          <w:highlight w:val="none"/>
        </w:rPr>
        <w:t>法定代表人或被授权人签字（或签章）</w:t>
      </w:r>
      <w:r>
        <w:rPr>
          <w:rFonts w:hint="eastAsia" w:ascii="宋体" w:hAnsi="宋体"/>
          <w:color w:val="auto"/>
          <w:spacing w:val="20"/>
          <w:sz w:val="24"/>
          <w:highlight w:val="none"/>
        </w:rPr>
        <w:t>：</w:t>
      </w:r>
    </w:p>
    <w:p>
      <w:pPr>
        <w:spacing w:line="360" w:lineRule="auto"/>
        <w:rPr>
          <w:rFonts w:ascii="宋体" w:hAnsi="宋体"/>
          <w:color w:val="auto"/>
          <w:spacing w:val="20"/>
          <w:sz w:val="24"/>
          <w:highlight w:val="none"/>
          <w:u w:val="single"/>
        </w:rPr>
      </w:pPr>
    </w:p>
    <w:p>
      <w:pPr>
        <w:spacing w:line="360" w:lineRule="auto"/>
        <w:ind w:firstLine="560" w:firstLineChars="200"/>
        <w:rPr>
          <w:rFonts w:ascii="宋体" w:hAnsi="宋体"/>
          <w:color w:val="auto"/>
          <w:spacing w:val="20"/>
          <w:sz w:val="24"/>
          <w:highlight w:val="none"/>
          <w:u w:val="single"/>
        </w:rPr>
      </w:pPr>
      <w:r>
        <w:rPr>
          <w:rFonts w:hint="eastAsia" w:ascii="宋体" w:hAnsi="宋体"/>
          <w:color w:val="auto"/>
          <w:spacing w:val="20"/>
          <w:sz w:val="24"/>
          <w:highlight w:val="none"/>
        </w:rPr>
        <w:t xml:space="preserve">                            投标人盖章：</w:t>
      </w:r>
    </w:p>
    <w:p>
      <w:pPr>
        <w:spacing w:line="360" w:lineRule="auto"/>
        <w:rPr>
          <w:rFonts w:ascii="宋体" w:hAnsi="宋体"/>
          <w:color w:val="auto"/>
          <w:spacing w:val="20"/>
          <w:sz w:val="24"/>
          <w:highlight w:val="none"/>
          <w:u w:val="single"/>
        </w:rPr>
      </w:pPr>
    </w:p>
    <w:p>
      <w:pPr>
        <w:tabs>
          <w:tab w:val="left" w:pos="1418"/>
        </w:tabs>
        <w:spacing w:line="360" w:lineRule="auto"/>
        <w:ind w:left="1418" w:hanging="567"/>
        <w:jc w:val="center"/>
        <w:rPr>
          <w:rFonts w:ascii="宋体" w:hAnsi="宋体"/>
          <w:color w:val="auto"/>
          <w:spacing w:val="20"/>
          <w:sz w:val="24"/>
          <w:highlight w:val="none"/>
          <w:u w:val="single"/>
        </w:rPr>
      </w:pPr>
      <w:r>
        <w:rPr>
          <w:rFonts w:hint="eastAsia" w:ascii="宋体" w:hAnsi="宋体"/>
          <w:color w:val="auto"/>
          <w:spacing w:val="20"/>
          <w:sz w:val="24"/>
          <w:highlight w:val="none"/>
        </w:rPr>
        <w:t xml:space="preserve">          日     期：</w:t>
      </w:r>
    </w:p>
    <w:p>
      <w:pPr>
        <w:tabs>
          <w:tab w:val="left" w:pos="1418"/>
        </w:tabs>
        <w:spacing w:line="360" w:lineRule="auto"/>
        <w:ind w:left="1418" w:hanging="567"/>
        <w:jc w:val="center"/>
        <w:rPr>
          <w:rFonts w:ascii="宋体" w:hAnsi="宋体"/>
          <w:color w:val="auto"/>
          <w:spacing w:val="20"/>
          <w:sz w:val="24"/>
          <w:highlight w:val="none"/>
          <w:u w:val="single"/>
        </w:rPr>
      </w:pPr>
    </w:p>
    <w:p>
      <w:pPr>
        <w:tabs>
          <w:tab w:val="left" w:pos="1418"/>
        </w:tabs>
        <w:spacing w:line="360" w:lineRule="auto"/>
        <w:rPr>
          <w:rFonts w:ascii="宋体" w:hAnsi="宋体"/>
          <w:color w:val="auto"/>
          <w:spacing w:val="20"/>
          <w:sz w:val="24"/>
          <w:highlight w:val="none"/>
          <w:u w:val="single"/>
        </w:rPr>
      </w:pPr>
    </w:p>
    <w:p>
      <w:pPr>
        <w:tabs>
          <w:tab w:val="left" w:pos="1418"/>
        </w:tabs>
        <w:spacing w:line="360" w:lineRule="auto"/>
        <w:ind w:left="1418" w:hanging="567"/>
        <w:jc w:val="center"/>
        <w:rPr>
          <w:rFonts w:ascii="宋体" w:hAnsi="宋体"/>
          <w:color w:val="auto"/>
          <w:spacing w:val="20"/>
          <w:sz w:val="24"/>
          <w:highlight w:val="none"/>
          <w:u w:val="single"/>
        </w:rPr>
      </w:pPr>
    </w:p>
    <w:p>
      <w:pPr>
        <w:tabs>
          <w:tab w:val="left" w:pos="1418"/>
        </w:tabs>
        <w:spacing w:line="360" w:lineRule="auto"/>
        <w:ind w:left="1418" w:hanging="567"/>
        <w:jc w:val="center"/>
        <w:rPr>
          <w:rFonts w:ascii="宋体" w:hAnsi="宋体"/>
          <w:color w:val="auto"/>
          <w:spacing w:val="20"/>
          <w:sz w:val="24"/>
          <w:highlight w:val="none"/>
          <w:u w:val="single"/>
        </w:rPr>
      </w:pPr>
    </w:p>
    <w:p>
      <w:pPr>
        <w:adjustRightInd w:val="0"/>
        <w:snapToGrid w:val="0"/>
        <w:spacing w:line="360" w:lineRule="auto"/>
        <w:jc w:val="left"/>
        <w:rPr>
          <w:rFonts w:ascii="宋体" w:hAnsi="宋体"/>
          <w:color w:val="auto"/>
          <w:sz w:val="24"/>
          <w:highlight w:val="none"/>
        </w:rPr>
      </w:pPr>
      <w:r>
        <w:rPr>
          <w:rFonts w:hint="eastAsia" w:ascii="宋体" w:hAnsi="宋体"/>
          <w:color w:val="auto"/>
          <w:sz w:val="24"/>
          <w:highlight w:val="none"/>
        </w:rPr>
        <w:t>注：1、上表中行数不够可自加</w:t>
      </w:r>
    </w:p>
    <w:p>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2、项目组所有人员附学历、职称（复印件）等</w:t>
      </w:r>
      <w:r>
        <w:rPr>
          <w:rFonts w:hint="eastAsia" w:ascii="宋体" w:hAnsi="宋体" w:cs="Arial"/>
          <w:color w:val="auto"/>
          <w:sz w:val="24"/>
          <w:highlight w:val="none"/>
        </w:rPr>
        <w:t>相关材料</w:t>
      </w:r>
    </w:p>
    <w:p>
      <w:pPr>
        <w:tabs>
          <w:tab w:val="left" w:pos="1418"/>
        </w:tabs>
        <w:spacing w:line="360" w:lineRule="auto"/>
        <w:ind w:left="1418" w:hanging="567"/>
        <w:jc w:val="center"/>
        <w:rPr>
          <w:rFonts w:ascii="宋体" w:hAnsi="宋体"/>
          <w:color w:val="auto"/>
          <w:spacing w:val="20"/>
          <w:sz w:val="24"/>
          <w:highlight w:val="none"/>
          <w:u w:val="single"/>
        </w:rPr>
      </w:pPr>
    </w:p>
    <w:p>
      <w:pPr>
        <w:tabs>
          <w:tab w:val="left" w:pos="1418"/>
        </w:tabs>
        <w:spacing w:line="360" w:lineRule="auto"/>
        <w:ind w:left="1418" w:hanging="567"/>
        <w:jc w:val="center"/>
        <w:rPr>
          <w:rFonts w:ascii="宋体" w:hAnsi="宋体"/>
          <w:color w:val="auto"/>
          <w:spacing w:val="20"/>
          <w:sz w:val="24"/>
          <w:highlight w:val="none"/>
          <w:u w:val="single"/>
        </w:rPr>
        <w:sectPr>
          <w:pgSz w:w="11906" w:h="16838"/>
          <w:pgMar w:top="1389" w:right="1247" w:bottom="1389" w:left="1247" w:header="851" w:footer="851" w:gutter="0"/>
          <w:cols w:space="720" w:num="1"/>
          <w:titlePg/>
          <w:docGrid w:linePitch="312" w:charSpace="0"/>
        </w:sectPr>
      </w:pPr>
    </w:p>
    <w:p>
      <w:pPr>
        <w:tabs>
          <w:tab w:val="left" w:pos="1418"/>
        </w:tabs>
        <w:spacing w:line="360" w:lineRule="auto"/>
        <w:ind w:left="1418" w:hanging="567"/>
        <w:jc w:val="center"/>
        <w:rPr>
          <w:rFonts w:ascii="宋体" w:hAnsi="宋体"/>
          <w:color w:val="auto"/>
          <w:spacing w:val="20"/>
          <w:sz w:val="24"/>
          <w:highlight w:val="none"/>
          <w:u w:val="single"/>
        </w:rPr>
      </w:pPr>
    </w:p>
    <w:p>
      <w:pPr>
        <w:spacing w:line="360" w:lineRule="auto"/>
        <w:rPr>
          <w:rFonts w:ascii="宋体" w:hAnsi="宋体"/>
          <w:b/>
          <w:color w:val="auto"/>
          <w:spacing w:val="20"/>
          <w:sz w:val="24"/>
          <w:highlight w:val="none"/>
        </w:rPr>
      </w:pPr>
      <w:r>
        <w:rPr>
          <w:rFonts w:ascii="宋体" w:hAnsi="宋体"/>
          <w:b/>
          <w:color w:val="auto"/>
          <w:spacing w:val="20"/>
          <w:sz w:val="30"/>
          <w:szCs w:val="30"/>
          <w:highlight w:val="none"/>
        </w:rPr>
        <w:t>附件</w:t>
      </w:r>
      <w:r>
        <w:rPr>
          <w:rFonts w:hint="eastAsia" w:ascii="宋体" w:hAnsi="宋体"/>
          <w:b/>
          <w:color w:val="auto"/>
          <w:spacing w:val="20"/>
          <w:sz w:val="30"/>
          <w:szCs w:val="30"/>
          <w:highlight w:val="none"/>
        </w:rPr>
        <w:t xml:space="preserve">10                       </w:t>
      </w:r>
      <w:r>
        <w:rPr>
          <w:rFonts w:hint="eastAsia" w:ascii="宋体" w:hAnsi="宋体"/>
          <w:b/>
          <w:color w:val="auto"/>
          <w:spacing w:val="20"/>
          <w:sz w:val="30"/>
          <w:szCs w:val="28"/>
          <w:highlight w:val="none"/>
        </w:rPr>
        <w:t>备品备件及损耗件表</w:t>
      </w:r>
    </w:p>
    <w:p>
      <w:pPr>
        <w:spacing w:line="360" w:lineRule="auto"/>
        <w:jc w:val="center"/>
        <w:rPr>
          <w:rFonts w:ascii="宋体" w:hAnsi="宋体"/>
          <w:b/>
          <w:color w:val="auto"/>
          <w:spacing w:val="20"/>
          <w:sz w:val="30"/>
          <w:szCs w:val="28"/>
          <w:highlight w:val="none"/>
        </w:rPr>
      </w:pPr>
    </w:p>
    <w:p>
      <w:pPr>
        <w:rPr>
          <w:rFonts w:ascii="宋体" w:hAnsi="宋体"/>
          <w:color w:val="auto"/>
          <w:spacing w:val="20"/>
          <w:sz w:val="24"/>
          <w:highlight w:val="none"/>
        </w:rPr>
      </w:pPr>
      <w:r>
        <w:rPr>
          <w:rFonts w:hint="eastAsia" w:ascii="宋体" w:hAnsi="宋体"/>
          <w:color w:val="auto"/>
          <w:spacing w:val="20"/>
          <w:sz w:val="24"/>
          <w:highlight w:val="none"/>
        </w:rPr>
        <w:t>投标人</w:t>
      </w:r>
      <w:r>
        <w:rPr>
          <w:rFonts w:ascii="宋体" w:hAnsi="宋体"/>
          <w:color w:val="auto"/>
          <w:spacing w:val="20"/>
          <w:sz w:val="24"/>
          <w:highlight w:val="none"/>
        </w:rPr>
        <w:t>名称</w:t>
      </w:r>
      <w:r>
        <w:rPr>
          <w:rFonts w:hint="eastAsia" w:ascii="宋体" w:hAnsi="宋体"/>
          <w:color w:val="auto"/>
          <w:spacing w:val="20"/>
          <w:sz w:val="24"/>
          <w:highlight w:val="none"/>
        </w:rPr>
        <w:t>（</w:t>
      </w:r>
      <w:r>
        <w:rPr>
          <w:rFonts w:ascii="宋体" w:hAnsi="宋体"/>
          <w:color w:val="auto"/>
          <w:spacing w:val="20"/>
          <w:sz w:val="24"/>
          <w:highlight w:val="none"/>
        </w:rPr>
        <w:t>盖章</w:t>
      </w:r>
      <w:r>
        <w:rPr>
          <w:rFonts w:hint="eastAsia" w:ascii="宋体" w:hAnsi="宋体"/>
          <w:color w:val="auto"/>
          <w:spacing w:val="20"/>
          <w:sz w:val="24"/>
          <w:highlight w:val="none"/>
        </w:rPr>
        <w:t>）</w:t>
      </w:r>
      <w:r>
        <w:rPr>
          <w:rFonts w:ascii="宋体" w:hAnsi="宋体"/>
          <w:color w:val="auto"/>
          <w:spacing w:val="20"/>
          <w:sz w:val="24"/>
          <w:highlight w:val="none"/>
        </w:rPr>
        <w:t>：</w:t>
      </w:r>
      <w:r>
        <w:rPr>
          <w:rFonts w:hint="eastAsia" w:ascii="宋体" w:hAnsi="宋体"/>
          <w:color w:val="auto"/>
          <w:spacing w:val="20"/>
          <w:sz w:val="24"/>
          <w:highlight w:val="none"/>
        </w:rPr>
        <w:t xml:space="preserve">  项目编号</w:t>
      </w:r>
      <w:r>
        <w:rPr>
          <w:rFonts w:ascii="宋体" w:hAnsi="宋体"/>
          <w:color w:val="auto"/>
          <w:spacing w:val="20"/>
          <w:sz w:val="24"/>
          <w:highlight w:val="none"/>
        </w:rPr>
        <w:t>：</w:t>
      </w:r>
      <w:r>
        <w:rPr>
          <w:rFonts w:hint="eastAsia" w:ascii="宋体" w:hAnsi="宋体"/>
          <w:color w:val="auto"/>
          <w:spacing w:val="20"/>
          <w:sz w:val="24"/>
          <w:highlight w:val="none"/>
        </w:rPr>
        <w:t xml:space="preserve">   项目</w:t>
      </w:r>
      <w:r>
        <w:rPr>
          <w:rFonts w:ascii="宋体" w:hAnsi="宋体"/>
          <w:color w:val="auto"/>
          <w:spacing w:val="20"/>
          <w:sz w:val="24"/>
          <w:highlight w:val="none"/>
        </w:rPr>
        <w:t>名称：</w:t>
      </w:r>
      <w:r>
        <w:rPr>
          <w:rFonts w:hint="eastAsia" w:ascii="宋体" w:hAnsi="宋体"/>
          <w:color w:val="auto"/>
          <w:spacing w:val="20"/>
          <w:sz w:val="24"/>
          <w:highlight w:val="none"/>
        </w:rPr>
        <w:t xml:space="preserve">      标项：</w:t>
      </w:r>
    </w:p>
    <w:p>
      <w:pPr>
        <w:rPr>
          <w:rFonts w:ascii="宋体" w:hAnsi="宋体"/>
          <w:color w:val="auto"/>
          <w:spacing w:val="20"/>
          <w:sz w:val="24"/>
          <w:highlight w:val="none"/>
        </w:rPr>
      </w:pPr>
    </w:p>
    <w:tbl>
      <w:tblPr>
        <w:tblStyle w:val="37"/>
        <w:tblW w:w="1352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3012"/>
        <w:gridCol w:w="3013"/>
        <w:gridCol w:w="3013"/>
        <w:gridCol w:w="301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pPr>
              <w:jc w:val="center"/>
              <w:rPr>
                <w:rFonts w:ascii="宋体" w:hAnsi="宋体"/>
                <w:color w:val="auto"/>
                <w:spacing w:val="20"/>
                <w:sz w:val="24"/>
                <w:highlight w:val="none"/>
              </w:rPr>
            </w:pPr>
            <w:r>
              <w:rPr>
                <w:rFonts w:ascii="宋体" w:hAnsi="宋体"/>
                <w:color w:val="auto"/>
                <w:spacing w:val="20"/>
                <w:sz w:val="24"/>
                <w:highlight w:val="none"/>
              </w:rPr>
              <w:t>序号</w:t>
            </w:r>
          </w:p>
        </w:tc>
        <w:tc>
          <w:tcPr>
            <w:tcW w:w="3012" w:type="dxa"/>
            <w:vAlign w:val="center"/>
          </w:tcPr>
          <w:p>
            <w:pPr>
              <w:jc w:val="center"/>
              <w:rPr>
                <w:rFonts w:ascii="宋体" w:hAnsi="宋体"/>
                <w:color w:val="auto"/>
                <w:spacing w:val="20"/>
                <w:sz w:val="24"/>
                <w:highlight w:val="none"/>
              </w:rPr>
            </w:pPr>
            <w:r>
              <w:rPr>
                <w:rFonts w:ascii="宋体" w:hAnsi="宋体"/>
                <w:color w:val="auto"/>
                <w:sz w:val="24"/>
                <w:szCs w:val="21"/>
                <w:highlight w:val="none"/>
              </w:rPr>
              <w:t>备品备件</w:t>
            </w:r>
          </w:p>
        </w:tc>
        <w:tc>
          <w:tcPr>
            <w:tcW w:w="3013" w:type="dxa"/>
            <w:vAlign w:val="center"/>
          </w:tcPr>
          <w:p>
            <w:pPr>
              <w:jc w:val="center"/>
              <w:rPr>
                <w:rFonts w:ascii="宋体" w:hAnsi="宋体"/>
                <w:color w:val="auto"/>
                <w:spacing w:val="20"/>
                <w:sz w:val="24"/>
                <w:highlight w:val="none"/>
              </w:rPr>
            </w:pPr>
            <w:r>
              <w:rPr>
                <w:rFonts w:ascii="宋体" w:hAnsi="宋体"/>
                <w:color w:val="auto"/>
                <w:sz w:val="24"/>
                <w:szCs w:val="21"/>
                <w:highlight w:val="none"/>
              </w:rPr>
              <w:t>适用型号</w:t>
            </w:r>
          </w:p>
        </w:tc>
        <w:tc>
          <w:tcPr>
            <w:tcW w:w="3013" w:type="dxa"/>
            <w:vAlign w:val="center"/>
          </w:tcPr>
          <w:p>
            <w:pPr>
              <w:jc w:val="center"/>
              <w:rPr>
                <w:rFonts w:ascii="宋体" w:hAnsi="宋体"/>
                <w:color w:val="auto"/>
                <w:spacing w:val="20"/>
                <w:sz w:val="24"/>
                <w:highlight w:val="none"/>
              </w:rPr>
            </w:pPr>
            <w:r>
              <w:rPr>
                <w:rFonts w:ascii="宋体" w:hAnsi="宋体"/>
                <w:color w:val="auto"/>
                <w:sz w:val="24"/>
                <w:szCs w:val="21"/>
                <w:highlight w:val="none"/>
              </w:rPr>
              <w:t>数量</w:t>
            </w:r>
          </w:p>
        </w:tc>
        <w:tc>
          <w:tcPr>
            <w:tcW w:w="3013" w:type="dxa"/>
            <w:vAlign w:val="center"/>
          </w:tcPr>
          <w:p>
            <w:pPr>
              <w:jc w:val="center"/>
              <w:rPr>
                <w:rFonts w:ascii="宋体" w:hAnsi="宋体"/>
                <w:color w:val="auto"/>
                <w:spacing w:val="20"/>
                <w:sz w:val="24"/>
                <w:highlight w:val="none"/>
              </w:rPr>
            </w:pPr>
            <w:r>
              <w:rPr>
                <w:rFonts w:ascii="宋体" w:hAnsi="宋体"/>
                <w:color w:val="auto"/>
                <w:spacing w:val="20"/>
                <w:sz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pPr>
              <w:jc w:val="center"/>
              <w:rPr>
                <w:rFonts w:ascii="宋体" w:hAnsi="宋体"/>
                <w:color w:val="auto"/>
                <w:spacing w:val="20"/>
                <w:sz w:val="24"/>
                <w:highlight w:val="none"/>
              </w:rPr>
            </w:pPr>
          </w:p>
        </w:tc>
        <w:tc>
          <w:tcPr>
            <w:tcW w:w="3012" w:type="dxa"/>
            <w:vAlign w:val="center"/>
          </w:tcPr>
          <w:p>
            <w:pPr>
              <w:jc w:val="center"/>
              <w:rPr>
                <w:rFonts w:ascii="宋体" w:hAnsi="宋体"/>
                <w:color w:val="auto"/>
                <w:spacing w:val="20"/>
                <w:sz w:val="24"/>
                <w:highlight w:val="none"/>
              </w:rPr>
            </w:pPr>
          </w:p>
        </w:tc>
        <w:tc>
          <w:tcPr>
            <w:tcW w:w="3013" w:type="dxa"/>
            <w:vAlign w:val="center"/>
          </w:tcPr>
          <w:p>
            <w:pPr>
              <w:jc w:val="center"/>
              <w:rPr>
                <w:rFonts w:ascii="宋体" w:hAnsi="宋体"/>
                <w:color w:val="auto"/>
                <w:spacing w:val="20"/>
                <w:sz w:val="24"/>
                <w:highlight w:val="none"/>
              </w:rPr>
            </w:pPr>
          </w:p>
        </w:tc>
        <w:tc>
          <w:tcPr>
            <w:tcW w:w="3013" w:type="dxa"/>
            <w:vAlign w:val="center"/>
          </w:tcPr>
          <w:p>
            <w:pPr>
              <w:jc w:val="center"/>
              <w:rPr>
                <w:rFonts w:ascii="宋体" w:hAnsi="宋体"/>
                <w:color w:val="auto"/>
                <w:spacing w:val="20"/>
                <w:sz w:val="24"/>
                <w:highlight w:val="none"/>
              </w:rPr>
            </w:pPr>
          </w:p>
        </w:tc>
        <w:tc>
          <w:tcPr>
            <w:tcW w:w="3013" w:type="dxa"/>
            <w:vAlign w:val="center"/>
          </w:tcPr>
          <w:p>
            <w:pPr>
              <w:jc w:val="center"/>
              <w:rPr>
                <w:rFonts w:ascii="宋体" w:hAnsi="宋体"/>
                <w:color w:val="auto"/>
                <w:spacing w:val="20"/>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pPr>
              <w:jc w:val="center"/>
              <w:rPr>
                <w:rFonts w:ascii="宋体" w:hAnsi="宋体"/>
                <w:color w:val="auto"/>
                <w:spacing w:val="20"/>
                <w:sz w:val="24"/>
                <w:highlight w:val="none"/>
              </w:rPr>
            </w:pPr>
          </w:p>
        </w:tc>
        <w:tc>
          <w:tcPr>
            <w:tcW w:w="3012" w:type="dxa"/>
            <w:vAlign w:val="center"/>
          </w:tcPr>
          <w:p>
            <w:pPr>
              <w:jc w:val="center"/>
              <w:rPr>
                <w:rFonts w:ascii="宋体" w:hAnsi="宋体"/>
                <w:color w:val="auto"/>
                <w:spacing w:val="20"/>
                <w:sz w:val="24"/>
                <w:highlight w:val="none"/>
              </w:rPr>
            </w:pPr>
          </w:p>
        </w:tc>
        <w:tc>
          <w:tcPr>
            <w:tcW w:w="3013" w:type="dxa"/>
            <w:vAlign w:val="center"/>
          </w:tcPr>
          <w:p>
            <w:pPr>
              <w:jc w:val="center"/>
              <w:rPr>
                <w:rFonts w:ascii="宋体" w:hAnsi="宋体"/>
                <w:color w:val="auto"/>
                <w:spacing w:val="20"/>
                <w:sz w:val="24"/>
                <w:highlight w:val="none"/>
              </w:rPr>
            </w:pPr>
          </w:p>
        </w:tc>
        <w:tc>
          <w:tcPr>
            <w:tcW w:w="3013" w:type="dxa"/>
            <w:vAlign w:val="center"/>
          </w:tcPr>
          <w:p>
            <w:pPr>
              <w:jc w:val="center"/>
              <w:rPr>
                <w:rFonts w:ascii="宋体" w:hAnsi="宋体"/>
                <w:color w:val="auto"/>
                <w:spacing w:val="20"/>
                <w:sz w:val="24"/>
                <w:highlight w:val="none"/>
              </w:rPr>
            </w:pPr>
          </w:p>
        </w:tc>
        <w:tc>
          <w:tcPr>
            <w:tcW w:w="3013" w:type="dxa"/>
            <w:vAlign w:val="center"/>
          </w:tcPr>
          <w:p>
            <w:pPr>
              <w:jc w:val="center"/>
              <w:rPr>
                <w:rFonts w:ascii="宋体" w:hAnsi="宋体"/>
                <w:color w:val="auto"/>
                <w:spacing w:val="20"/>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pPr>
              <w:jc w:val="center"/>
              <w:rPr>
                <w:rFonts w:ascii="宋体" w:hAnsi="宋体"/>
                <w:color w:val="auto"/>
                <w:spacing w:val="20"/>
                <w:sz w:val="24"/>
                <w:highlight w:val="none"/>
              </w:rPr>
            </w:pPr>
          </w:p>
        </w:tc>
        <w:tc>
          <w:tcPr>
            <w:tcW w:w="3012" w:type="dxa"/>
            <w:vAlign w:val="center"/>
          </w:tcPr>
          <w:p>
            <w:pPr>
              <w:jc w:val="center"/>
              <w:rPr>
                <w:rFonts w:ascii="宋体" w:hAnsi="宋体"/>
                <w:color w:val="auto"/>
                <w:spacing w:val="20"/>
                <w:sz w:val="24"/>
                <w:highlight w:val="none"/>
              </w:rPr>
            </w:pPr>
          </w:p>
        </w:tc>
        <w:tc>
          <w:tcPr>
            <w:tcW w:w="3013" w:type="dxa"/>
            <w:vAlign w:val="center"/>
          </w:tcPr>
          <w:p>
            <w:pPr>
              <w:jc w:val="center"/>
              <w:rPr>
                <w:rFonts w:ascii="宋体" w:hAnsi="宋体"/>
                <w:color w:val="auto"/>
                <w:spacing w:val="20"/>
                <w:sz w:val="24"/>
                <w:highlight w:val="none"/>
              </w:rPr>
            </w:pPr>
          </w:p>
        </w:tc>
        <w:tc>
          <w:tcPr>
            <w:tcW w:w="3013" w:type="dxa"/>
            <w:vAlign w:val="center"/>
          </w:tcPr>
          <w:p>
            <w:pPr>
              <w:jc w:val="center"/>
              <w:rPr>
                <w:rFonts w:ascii="宋体" w:hAnsi="宋体"/>
                <w:color w:val="auto"/>
                <w:spacing w:val="20"/>
                <w:sz w:val="24"/>
                <w:highlight w:val="none"/>
              </w:rPr>
            </w:pPr>
          </w:p>
        </w:tc>
        <w:tc>
          <w:tcPr>
            <w:tcW w:w="3013" w:type="dxa"/>
            <w:vAlign w:val="center"/>
          </w:tcPr>
          <w:p>
            <w:pPr>
              <w:jc w:val="center"/>
              <w:rPr>
                <w:rFonts w:ascii="宋体" w:hAnsi="宋体"/>
                <w:color w:val="auto"/>
                <w:spacing w:val="20"/>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pPr>
              <w:jc w:val="center"/>
              <w:rPr>
                <w:rFonts w:ascii="宋体" w:hAnsi="宋体"/>
                <w:color w:val="auto"/>
                <w:spacing w:val="20"/>
                <w:sz w:val="24"/>
                <w:highlight w:val="none"/>
              </w:rPr>
            </w:pPr>
          </w:p>
        </w:tc>
        <w:tc>
          <w:tcPr>
            <w:tcW w:w="3012" w:type="dxa"/>
            <w:vAlign w:val="center"/>
          </w:tcPr>
          <w:p>
            <w:pPr>
              <w:jc w:val="center"/>
              <w:rPr>
                <w:rFonts w:ascii="宋体" w:hAnsi="宋体"/>
                <w:color w:val="auto"/>
                <w:spacing w:val="20"/>
                <w:sz w:val="24"/>
                <w:highlight w:val="none"/>
              </w:rPr>
            </w:pPr>
          </w:p>
        </w:tc>
        <w:tc>
          <w:tcPr>
            <w:tcW w:w="3013" w:type="dxa"/>
            <w:vAlign w:val="center"/>
          </w:tcPr>
          <w:p>
            <w:pPr>
              <w:jc w:val="center"/>
              <w:rPr>
                <w:rFonts w:ascii="宋体" w:hAnsi="宋体"/>
                <w:color w:val="auto"/>
                <w:spacing w:val="20"/>
                <w:sz w:val="24"/>
                <w:highlight w:val="none"/>
              </w:rPr>
            </w:pPr>
          </w:p>
        </w:tc>
        <w:tc>
          <w:tcPr>
            <w:tcW w:w="3013" w:type="dxa"/>
            <w:vAlign w:val="center"/>
          </w:tcPr>
          <w:p>
            <w:pPr>
              <w:jc w:val="center"/>
              <w:rPr>
                <w:rFonts w:ascii="宋体" w:hAnsi="宋体"/>
                <w:color w:val="auto"/>
                <w:spacing w:val="20"/>
                <w:sz w:val="24"/>
                <w:highlight w:val="none"/>
              </w:rPr>
            </w:pPr>
          </w:p>
        </w:tc>
        <w:tc>
          <w:tcPr>
            <w:tcW w:w="3013" w:type="dxa"/>
            <w:vAlign w:val="center"/>
          </w:tcPr>
          <w:p>
            <w:pPr>
              <w:jc w:val="center"/>
              <w:rPr>
                <w:rFonts w:ascii="宋体" w:hAnsi="宋体"/>
                <w:color w:val="auto"/>
                <w:spacing w:val="20"/>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pPr>
              <w:jc w:val="center"/>
              <w:rPr>
                <w:rFonts w:ascii="宋体" w:hAnsi="宋体"/>
                <w:color w:val="auto"/>
                <w:spacing w:val="20"/>
                <w:sz w:val="24"/>
                <w:highlight w:val="none"/>
              </w:rPr>
            </w:pPr>
          </w:p>
        </w:tc>
        <w:tc>
          <w:tcPr>
            <w:tcW w:w="3012" w:type="dxa"/>
            <w:vAlign w:val="center"/>
          </w:tcPr>
          <w:p>
            <w:pPr>
              <w:jc w:val="center"/>
              <w:rPr>
                <w:rFonts w:ascii="宋体" w:hAnsi="宋体"/>
                <w:color w:val="auto"/>
                <w:spacing w:val="20"/>
                <w:sz w:val="24"/>
                <w:highlight w:val="none"/>
              </w:rPr>
            </w:pPr>
          </w:p>
        </w:tc>
        <w:tc>
          <w:tcPr>
            <w:tcW w:w="3013" w:type="dxa"/>
            <w:vAlign w:val="center"/>
          </w:tcPr>
          <w:p>
            <w:pPr>
              <w:jc w:val="center"/>
              <w:rPr>
                <w:rFonts w:ascii="宋体" w:hAnsi="宋体"/>
                <w:color w:val="auto"/>
                <w:spacing w:val="20"/>
                <w:sz w:val="24"/>
                <w:highlight w:val="none"/>
              </w:rPr>
            </w:pPr>
          </w:p>
        </w:tc>
        <w:tc>
          <w:tcPr>
            <w:tcW w:w="3013" w:type="dxa"/>
            <w:vAlign w:val="center"/>
          </w:tcPr>
          <w:p>
            <w:pPr>
              <w:jc w:val="center"/>
              <w:rPr>
                <w:rFonts w:ascii="宋体" w:hAnsi="宋体"/>
                <w:color w:val="auto"/>
                <w:spacing w:val="20"/>
                <w:sz w:val="24"/>
                <w:highlight w:val="none"/>
              </w:rPr>
            </w:pPr>
          </w:p>
        </w:tc>
        <w:tc>
          <w:tcPr>
            <w:tcW w:w="3013" w:type="dxa"/>
            <w:vAlign w:val="center"/>
          </w:tcPr>
          <w:p>
            <w:pPr>
              <w:jc w:val="center"/>
              <w:rPr>
                <w:rFonts w:ascii="宋体" w:hAnsi="宋体"/>
                <w:color w:val="auto"/>
                <w:spacing w:val="20"/>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pPr>
              <w:jc w:val="center"/>
              <w:rPr>
                <w:rFonts w:ascii="宋体" w:hAnsi="宋体"/>
                <w:color w:val="auto"/>
                <w:spacing w:val="20"/>
                <w:sz w:val="24"/>
                <w:highlight w:val="none"/>
              </w:rPr>
            </w:pPr>
          </w:p>
        </w:tc>
        <w:tc>
          <w:tcPr>
            <w:tcW w:w="3012" w:type="dxa"/>
            <w:vAlign w:val="center"/>
          </w:tcPr>
          <w:p>
            <w:pPr>
              <w:jc w:val="center"/>
              <w:rPr>
                <w:rFonts w:ascii="宋体" w:hAnsi="宋体"/>
                <w:color w:val="auto"/>
                <w:spacing w:val="20"/>
                <w:sz w:val="24"/>
                <w:highlight w:val="none"/>
              </w:rPr>
            </w:pPr>
          </w:p>
        </w:tc>
        <w:tc>
          <w:tcPr>
            <w:tcW w:w="3013" w:type="dxa"/>
            <w:vAlign w:val="center"/>
          </w:tcPr>
          <w:p>
            <w:pPr>
              <w:jc w:val="center"/>
              <w:rPr>
                <w:rFonts w:ascii="宋体" w:hAnsi="宋体"/>
                <w:color w:val="auto"/>
                <w:spacing w:val="20"/>
                <w:sz w:val="24"/>
                <w:highlight w:val="none"/>
              </w:rPr>
            </w:pPr>
          </w:p>
        </w:tc>
        <w:tc>
          <w:tcPr>
            <w:tcW w:w="3013" w:type="dxa"/>
            <w:vAlign w:val="center"/>
          </w:tcPr>
          <w:p>
            <w:pPr>
              <w:jc w:val="center"/>
              <w:rPr>
                <w:rFonts w:ascii="宋体" w:hAnsi="宋体"/>
                <w:color w:val="auto"/>
                <w:spacing w:val="20"/>
                <w:sz w:val="24"/>
                <w:highlight w:val="none"/>
              </w:rPr>
            </w:pPr>
          </w:p>
        </w:tc>
        <w:tc>
          <w:tcPr>
            <w:tcW w:w="3013" w:type="dxa"/>
            <w:vAlign w:val="center"/>
          </w:tcPr>
          <w:p>
            <w:pPr>
              <w:jc w:val="center"/>
              <w:rPr>
                <w:rFonts w:ascii="宋体" w:hAnsi="宋体"/>
                <w:color w:val="auto"/>
                <w:spacing w:val="20"/>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pPr>
              <w:jc w:val="center"/>
              <w:rPr>
                <w:rFonts w:ascii="宋体" w:hAnsi="宋体"/>
                <w:color w:val="auto"/>
                <w:spacing w:val="20"/>
                <w:sz w:val="24"/>
                <w:highlight w:val="none"/>
              </w:rPr>
            </w:pPr>
          </w:p>
        </w:tc>
        <w:tc>
          <w:tcPr>
            <w:tcW w:w="3012" w:type="dxa"/>
            <w:vAlign w:val="center"/>
          </w:tcPr>
          <w:p>
            <w:pPr>
              <w:jc w:val="center"/>
              <w:rPr>
                <w:rFonts w:ascii="宋体" w:hAnsi="宋体"/>
                <w:color w:val="auto"/>
                <w:spacing w:val="20"/>
                <w:sz w:val="24"/>
                <w:highlight w:val="none"/>
              </w:rPr>
            </w:pPr>
          </w:p>
        </w:tc>
        <w:tc>
          <w:tcPr>
            <w:tcW w:w="3013" w:type="dxa"/>
            <w:vAlign w:val="center"/>
          </w:tcPr>
          <w:p>
            <w:pPr>
              <w:jc w:val="center"/>
              <w:rPr>
                <w:rFonts w:ascii="宋体" w:hAnsi="宋体"/>
                <w:color w:val="auto"/>
                <w:spacing w:val="20"/>
                <w:sz w:val="24"/>
                <w:highlight w:val="none"/>
              </w:rPr>
            </w:pPr>
          </w:p>
        </w:tc>
        <w:tc>
          <w:tcPr>
            <w:tcW w:w="3013" w:type="dxa"/>
            <w:vAlign w:val="center"/>
          </w:tcPr>
          <w:p>
            <w:pPr>
              <w:jc w:val="center"/>
              <w:rPr>
                <w:rFonts w:ascii="宋体" w:hAnsi="宋体"/>
                <w:color w:val="auto"/>
                <w:spacing w:val="20"/>
                <w:sz w:val="24"/>
                <w:highlight w:val="none"/>
              </w:rPr>
            </w:pPr>
          </w:p>
        </w:tc>
        <w:tc>
          <w:tcPr>
            <w:tcW w:w="3013" w:type="dxa"/>
            <w:vAlign w:val="center"/>
          </w:tcPr>
          <w:p>
            <w:pPr>
              <w:jc w:val="center"/>
              <w:rPr>
                <w:rFonts w:ascii="宋体" w:hAnsi="宋体"/>
                <w:color w:val="auto"/>
                <w:spacing w:val="20"/>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pPr>
              <w:jc w:val="center"/>
              <w:rPr>
                <w:rFonts w:ascii="宋体" w:hAnsi="宋体"/>
                <w:color w:val="auto"/>
                <w:spacing w:val="20"/>
                <w:sz w:val="24"/>
                <w:highlight w:val="none"/>
              </w:rPr>
            </w:pPr>
          </w:p>
        </w:tc>
        <w:tc>
          <w:tcPr>
            <w:tcW w:w="3012" w:type="dxa"/>
            <w:vAlign w:val="center"/>
          </w:tcPr>
          <w:p>
            <w:pPr>
              <w:jc w:val="center"/>
              <w:rPr>
                <w:rFonts w:ascii="宋体" w:hAnsi="宋体"/>
                <w:color w:val="auto"/>
                <w:spacing w:val="20"/>
                <w:sz w:val="24"/>
                <w:highlight w:val="none"/>
              </w:rPr>
            </w:pPr>
          </w:p>
        </w:tc>
        <w:tc>
          <w:tcPr>
            <w:tcW w:w="3013" w:type="dxa"/>
            <w:vAlign w:val="center"/>
          </w:tcPr>
          <w:p>
            <w:pPr>
              <w:jc w:val="center"/>
              <w:rPr>
                <w:rFonts w:ascii="宋体" w:hAnsi="宋体"/>
                <w:color w:val="auto"/>
                <w:spacing w:val="20"/>
                <w:sz w:val="24"/>
                <w:highlight w:val="none"/>
              </w:rPr>
            </w:pPr>
          </w:p>
        </w:tc>
        <w:tc>
          <w:tcPr>
            <w:tcW w:w="3013" w:type="dxa"/>
            <w:vAlign w:val="center"/>
          </w:tcPr>
          <w:p>
            <w:pPr>
              <w:jc w:val="center"/>
              <w:rPr>
                <w:rFonts w:ascii="宋体" w:hAnsi="宋体"/>
                <w:color w:val="auto"/>
                <w:spacing w:val="20"/>
                <w:sz w:val="24"/>
                <w:highlight w:val="none"/>
              </w:rPr>
            </w:pPr>
          </w:p>
        </w:tc>
        <w:tc>
          <w:tcPr>
            <w:tcW w:w="3013" w:type="dxa"/>
            <w:vAlign w:val="center"/>
          </w:tcPr>
          <w:p>
            <w:pPr>
              <w:jc w:val="center"/>
              <w:rPr>
                <w:rFonts w:ascii="宋体" w:hAnsi="宋体"/>
                <w:color w:val="auto"/>
                <w:spacing w:val="20"/>
                <w:sz w:val="24"/>
                <w:highlight w:val="none"/>
              </w:rPr>
            </w:pPr>
          </w:p>
        </w:tc>
      </w:tr>
    </w:tbl>
    <w:p>
      <w:pPr>
        <w:tabs>
          <w:tab w:val="left" w:pos="315"/>
        </w:tabs>
        <w:spacing w:line="360" w:lineRule="auto"/>
        <w:rPr>
          <w:rFonts w:ascii="宋体" w:hAnsi="宋体"/>
          <w:color w:val="auto"/>
          <w:spacing w:val="20"/>
          <w:sz w:val="24"/>
          <w:highlight w:val="none"/>
        </w:rPr>
      </w:pPr>
    </w:p>
    <w:p>
      <w:pPr>
        <w:spacing w:line="360" w:lineRule="auto"/>
        <w:ind w:firstLine="480" w:firstLineChars="200"/>
        <w:rPr>
          <w:rFonts w:ascii="宋体" w:hAnsi="宋体"/>
          <w:color w:val="auto"/>
          <w:spacing w:val="20"/>
          <w:sz w:val="24"/>
          <w:highlight w:val="none"/>
        </w:rPr>
      </w:pPr>
      <w:r>
        <w:rPr>
          <w:rFonts w:hint="eastAsia" w:ascii="宋体" w:hAnsi="宋体"/>
          <w:color w:val="auto"/>
          <w:sz w:val="24"/>
          <w:highlight w:val="none"/>
        </w:rPr>
        <w:t>法定代表人或被授权人签字（或签章）</w:t>
      </w:r>
      <w:r>
        <w:rPr>
          <w:rFonts w:ascii="宋体" w:hAnsi="宋体"/>
          <w:color w:val="auto"/>
          <w:spacing w:val="20"/>
          <w:sz w:val="24"/>
          <w:highlight w:val="none"/>
        </w:rPr>
        <w:t>：</w:t>
      </w:r>
    </w:p>
    <w:p>
      <w:pPr>
        <w:tabs>
          <w:tab w:val="left" w:pos="1418"/>
        </w:tabs>
        <w:spacing w:line="360" w:lineRule="auto"/>
        <w:ind w:firstLine="560" w:firstLineChars="200"/>
        <w:rPr>
          <w:rFonts w:ascii="宋体" w:hAnsi="宋体"/>
          <w:color w:val="auto"/>
          <w:spacing w:val="20"/>
          <w:sz w:val="24"/>
          <w:highlight w:val="none"/>
        </w:rPr>
      </w:pPr>
    </w:p>
    <w:p>
      <w:pPr>
        <w:tabs>
          <w:tab w:val="left" w:pos="1418"/>
        </w:tabs>
        <w:spacing w:line="360" w:lineRule="auto"/>
        <w:ind w:firstLine="560" w:firstLineChars="200"/>
        <w:rPr>
          <w:rFonts w:ascii="宋体" w:hAnsi="宋体"/>
          <w:color w:val="auto"/>
          <w:spacing w:val="20"/>
          <w:sz w:val="24"/>
          <w:highlight w:val="none"/>
          <w:u w:val="single"/>
        </w:rPr>
      </w:pPr>
      <w:r>
        <w:rPr>
          <w:rFonts w:hint="eastAsia" w:ascii="宋体" w:hAnsi="宋体"/>
          <w:color w:val="auto"/>
          <w:spacing w:val="20"/>
          <w:sz w:val="24"/>
          <w:highlight w:val="none"/>
        </w:rPr>
        <w:t>日     期：</w:t>
      </w:r>
    </w:p>
    <w:p>
      <w:pPr>
        <w:spacing w:line="360" w:lineRule="auto"/>
        <w:jc w:val="left"/>
        <w:rPr>
          <w:rFonts w:ascii="宋体" w:hAnsi="宋体"/>
          <w:color w:val="auto"/>
          <w:spacing w:val="20"/>
          <w:sz w:val="24"/>
          <w:highlight w:val="none"/>
          <w:u w:val="single"/>
        </w:rPr>
        <w:sectPr>
          <w:pgSz w:w="16838" w:h="11906" w:orient="landscape"/>
          <w:pgMar w:top="1247" w:right="1389" w:bottom="1247" w:left="1389" w:header="851" w:footer="992" w:gutter="0"/>
          <w:cols w:space="720" w:num="1"/>
          <w:titlePg/>
          <w:docGrid w:linePitch="312" w:charSpace="0"/>
        </w:sectPr>
      </w:pPr>
    </w:p>
    <w:p>
      <w:pPr>
        <w:adjustRightInd w:val="0"/>
        <w:snapToGrid w:val="0"/>
        <w:spacing w:line="360" w:lineRule="auto"/>
        <w:rPr>
          <w:rFonts w:ascii="宋体" w:hAnsi="宋体"/>
          <w:b/>
          <w:color w:val="auto"/>
          <w:sz w:val="32"/>
          <w:szCs w:val="32"/>
          <w:highlight w:val="none"/>
        </w:rPr>
      </w:pPr>
      <w:r>
        <w:rPr>
          <w:rFonts w:hint="eastAsia" w:ascii="宋体" w:hAnsi="宋体"/>
          <w:b/>
          <w:color w:val="auto"/>
          <w:sz w:val="32"/>
          <w:szCs w:val="32"/>
          <w:highlight w:val="none"/>
        </w:rPr>
        <w:t>附件11             服务承诺方案</w:t>
      </w:r>
    </w:p>
    <w:p>
      <w:pPr>
        <w:spacing w:line="600" w:lineRule="exact"/>
        <w:jc w:val="left"/>
        <w:rPr>
          <w:rFonts w:ascii="宋体" w:hAnsi="宋体"/>
          <w:b/>
          <w:color w:val="auto"/>
          <w:sz w:val="30"/>
          <w:szCs w:val="30"/>
          <w:highlight w:val="none"/>
        </w:rPr>
      </w:pPr>
      <w:r>
        <w:rPr>
          <w:rFonts w:hint="eastAsia" w:ascii="宋体" w:hAnsi="宋体"/>
          <w:b/>
          <w:color w:val="auto"/>
          <w:sz w:val="30"/>
          <w:szCs w:val="30"/>
          <w:highlight w:val="none"/>
        </w:rPr>
        <w:t>服务承诺方案：</w:t>
      </w:r>
    </w:p>
    <w:p>
      <w:pPr>
        <w:spacing w:line="400" w:lineRule="exact"/>
        <w:rPr>
          <w:rFonts w:ascii="宋体" w:hAnsi="宋体"/>
          <w:color w:val="auto"/>
          <w:sz w:val="24"/>
          <w:highlight w:val="none"/>
        </w:rPr>
      </w:pPr>
      <w:r>
        <w:rPr>
          <w:rFonts w:hint="eastAsia" w:ascii="宋体" w:hAnsi="宋体"/>
          <w:color w:val="auto"/>
          <w:sz w:val="24"/>
          <w:highlight w:val="none"/>
        </w:rPr>
        <w:t>1、投标人建议的安装、调试、验收方法或方案（格式自拟）</w:t>
      </w:r>
    </w:p>
    <w:p>
      <w:pPr>
        <w:spacing w:line="400" w:lineRule="exact"/>
        <w:rPr>
          <w:rFonts w:ascii="宋体" w:hAnsi="宋体"/>
          <w:color w:val="auto"/>
          <w:sz w:val="24"/>
          <w:highlight w:val="none"/>
        </w:rPr>
      </w:pPr>
      <w:r>
        <w:rPr>
          <w:rFonts w:hint="eastAsia" w:ascii="宋体" w:hAnsi="宋体"/>
          <w:color w:val="auto"/>
          <w:sz w:val="24"/>
          <w:highlight w:val="none"/>
        </w:rPr>
        <w:t>2、技术服务、技术培训、售后服务的内容和措施（格式自拟）</w:t>
      </w:r>
    </w:p>
    <w:p>
      <w:pPr>
        <w:spacing w:line="400" w:lineRule="exact"/>
        <w:jc w:val="left"/>
        <w:rPr>
          <w:rFonts w:ascii="宋体" w:hAnsi="宋体"/>
          <w:color w:val="auto"/>
          <w:sz w:val="24"/>
          <w:highlight w:val="none"/>
        </w:rPr>
      </w:pPr>
      <w:r>
        <w:rPr>
          <w:rFonts w:hint="eastAsia" w:ascii="宋体" w:hAnsi="宋体"/>
          <w:color w:val="auto"/>
          <w:sz w:val="24"/>
          <w:highlight w:val="none"/>
        </w:rPr>
        <w:t>3、免费质保期</w:t>
      </w:r>
    </w:p>
    <w:p>
      <w:pPr>
        <w:spacing w:line="400" w:lineRule="exact"/>
        <w:rPr>
          <w:rFonts w:ascii="宋体" w:hAnsi="宋体"/>
          <w:color w:val="auto"/>
          <w:sz w:val="24"/>
          <w:highlight w:val="none"/>
        </w:rPr>
      </w:pPr>
      <w:r>
        <w:rPr>
          <w:rFonts w:hint="eastAsia" w:ascii="宋体" w:hAnsi="宋体"/>
          <w:color w:val="auto"/>
          <w:sz w:val="24"/>
          <w:highlight w:val="none"/>
        </w:rPr>
        <w:t>4、质保期内服务措施</w:t>
      </w:r>
    </w:p>
    <w:p>
      <w:pPr>
        <w:spacing w:line="400" w:lineRule="exact"/>
        <w:jc w:val="left"/>
        <w:rPr>
          <w:rFonts w:ascii="宋体" w:hAnsi="宋体"/>
          <w:color w:val="auto"/>
          <w:sz w:val="24"/>
          <w:highlight w:val="none"/>
        </w:rPr>
      </w:pPr>
      <w:r>
        <w:rPr>
          <w:rFonts w:hint="eastAsia" w:ascii="宋体" w:hAnsi="宋体"/>
          <w:color w:val="auto"/>
          <w:sz w:val="24"/>
          <w:highlight w:val="none"/>
        </w:rPr>
        <w:t>5、质保期外服务措施</w:t>
      </w:r>
    </w:p>
    <w:p>
      <w:pPr>
        <w:spacing w:line="400" w:lineRule="exact"/>
        <w:jc w:val="left"/>
        <w:rPr>
          <w:rFonts w:ascii="宋体" w:hAnsi="宋体"/>
          <w:color w:val="auto"/>
          <w:sz w:val="24"/>
          <w:highlight w:val="none"/>
        </w:rPr>
      </w:pPr>
      <w:r>
        <w:rPr>
          <w:rFonts w:hint="eastAsia" w:ascii="宋体" w:hAnsi="宋体"/>
          <w:color w:val="auto"/>
          <w:sz w:val="24"/>
          <w:highlight w:val="none"/>
        </w:rPr>
        <w:t>6、其他服务承诺</w:t>
      </w:r>
    </w:p>
    <w:p>
      <w:pPr>
        <w:spacing w:line="400" w:lineRule="exact"/>
        <w:jc w:val="left"/>
        <w:rPr>
          <w:rFonts w:ascii="宋体" w:hAnsi="宋体"/>
          <w:color w:val="auto"/>
          <w:sz w:val="24"/>
          <w:highlight w:val="none"/>
        </w:rPr>
      </w:pPr>
      <w:r>
        <w:rPr>
          <w:rFonts w:hint="eastAsia" w:ascii="宋体" w:hAnsi="宋体"/>
          <w:color w:val="auto"/>
          <w:sz w:val="24"/>
          <w:highlight w:val="none"/>
        </w:rPr>
        <w:t>7、距采购人最近或者能为本项目提供最优服务的网点情况表</w:t>
      </w:r>
    </w:p>
    <w:tbl>
      <w:tblPr>
        <w:tblStyle w:val="37"/>
        <w:tblW w:w="8528" w:type="dxa"/>
        <w:tblInd w:w="0" w:type="dxa"/>
        <w:tblLayout w:type="fixed"/>
        <w:tblCellMar>
          <w:top w:w="0" w:type="dxa"/>
          <w:left w:w="108" w:type="dxa"/>
          <w:bottom w:w="0" w:type="dxa"/>
          <w:right w:w="108" w:type="dxa"/>
        </w:tblCellMar>
      </w:tblPr>
      <w:tblGrid>
        <w:gridCol w:w="1726"/>
        <w:gridCol w:w="1622"/>
        <w:gridCol w:w="191"/>
        <w:gridCol w:w="1439"/>
        <w:gridCol w:w="888"/>
        <w:gridCol w:w="1435"/>
        <w:gridCol w:w="1227"/>
      </w:tblGrid>
      <w:tr>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服务网点名称</w:t>
            </w:r>
          </w:p>
        </w:tc>
        <w:tc>
          <w:tcPr>
            <w:tcW w:w="5575" w:type="dxa"/>
            <w:gridSpan w:val="5"/>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p>
        </w:tc>
        <w:tc>
          <w:tcPr>
            <w:tcW w:w="1227" w:type="dxa"/>
            <w:vMerge w:val="restart"/>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投标文件</w:t>
            </w:r>
          </w:p>
          <w:p>
            <w:pPr>
              <w:widowControl/>
              <w:spacing w:before="50" w:after="156" w:line="400" w:lineRule="atLeast"/>
              <w:jc w:val="center"/>
              <w:rPr>
                <w:rFonts w:ascii="宋体" w:hAnsi="宋体"/>
                <w:color w:val="auto"/>
                <w:kern w:val="0"/>
                <w:sz w:val="24"/>
                <w:highlight w:val="none"/>
              </w:rPr>
            </w:pPr>
            <w:r>
              <w:rPr>
                <w:rFonts w:hint="eastAsia" w:ascii="宋体" w:hAnsi="宋体"/>
                <w:color w:val="auto"/>
                <w:kern w:val="0"/>
                <w:sz w:val="24"/>
                <w:highlight w:val="none"/>
              </w:rPr>
              <w:t>页码</w:t>
            </w:r>
          </w:p>
        </w:tc>
      </w:tr>
      <w:tr>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地址</w:t>
            </w:r>
          </w:p>
        </w:tc>
        <w:tc>
          <w:tcPr>
            <w:tcW w:w="5575" w:type="dxa"/>
            <w:gridSpan w:val="5"/>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p>
        </w:tc>
        <w:tc>
          <w:tcPr>
            <w:tcW w:w="122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auto"/>
                <w:kern w:val="0"/>
                <w:sz w:val="24"/>
                <w:highlight w:val="none"/>
              </w:rPr>
            </w:pPr>
          </w:p>
        </w:tc>
      </w:tr>
      <w:tr>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注册资本金</w:t>
            </w:r>
          </w:p>
        </w:tc>
        <w:tc>
          <w:tcPr>
            <w:tcW w:w="1622" w:type="dxa"/>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p>
        </w:tc>
        <w:tc>
          <w:tcPr>
            <w:tcW w:w="2518" w:type="dxa"/>
            <w:gridSpan w:val="3"/>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其中：投标人出资比例</w:t>
            </w:r>
          </w:p>
        </w:tc>
        <w:tc>
          <w:tcPr>
            <w:tcW w:w="1435" w:type="dxa"/>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p>
        </w:tc>
        <w:tc>
          <w:tcPr>
            <w:tcW w:w="1227" w:type="dxa"/>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p>
        </w:tc>
      </w:tr>
      <w:tr>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员工总人数</w:t>
            </w:r>
          </w:p>
        </w:tc>
        <w:tc>
          <w:tcPr>
            <w:tcW w:w="1622" w:type="dxa"/>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p>
        </w:tc>
        <w:tc>
          <w:tcPr>
            <w:tcW w:w="2518" w:type="dxa"/>
            <w:gridSpan w:val="3"/>
            <w:tcBorders>
              <w:top w:val="single" w:color="000000" w:sz="4" w:space="0"/>
              <w:left w:val="nil"/>
              <w:bottom w:val="single" w:color="000000" w:sz="4" w:space="0"/>
              <w:right w:val="single" w:color="000000" w:sz="4" w:space="0"/>
            </w:tcBorders>
          </w:tcPr>
          <w:p>
            <w:pPr>
              <w:widowControl/>
              <w:spacing w:before="50" w:after="156" w:line="400" w:lineRule="atLeast"/>
              <w:ind w:left="60"/>
              <w:jc w:val="left"/>
              <w:rPr>
                <w:rFonts w:ascii="宋体" w:hAnsi="宋体"/>
                <w:color w:val="auto"/>
                <w:kern w:val="0"/>
                <w:sz w:val="24"/>
                <w:highlight w:val="none"/>
              </w:rPr>
            </w:pPr>
            <w:r>
              <w:rPr>
                <w:rFonts w:hint="eastAsia" w:ascii="宋体" w:hAnsi="宋体"/>
                <w:color w:val="auto"/>
                <w:kern w:val="0"/>
                <w:sz w:val="24"/>
                <w:highlight w:val="none"/>
              </w:rPr>
              <w:t>其中：技术人员数</w:t>
            </w:r>
          </w:p>
        </w:tc>
        <w:tc>
          <w:tcPr>
            <w:tcW w:w="1435" w:type="dxa"/>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p>
        </w:tc>
        <w:tc>
          <w:tcPr>
            <w:tcW w:w="1227" w:type="dxa"/>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p>
        </w:tc>
      </w:tr>
      <w:tr>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经营期限</w:t>
            </w:r>
          </w:p>
        </w:tc>
        <w:tc>
          <w:tcPr>
            <w:tcW w:w="5575" w:type="dxa"/>
            <w:gridSpan w:val="5"/>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p>
        </w:tc>
        <w:tc>
          <w:tcPr>
            <w:tcW w:w="1227" w:type="dxa"/>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p>
        </w:tc>
      </w:tr>
      <w:tr>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售后服务协议</w:t>
            </w:r>
          </w:p>
        </w:tc>
        <w:tc>
          <w:tcPr>
            <w:tcW w:w="5575" w:type="dxa"/>
            <w:gridSpan w:val="5"/>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p>
        </w:tc>
        <w:tc>
          <w:tcPr>
            <w:tcW w:w="1227" w:type="dxa"/>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p>
        </w:tc>
      </w:tr>
      <w:tr>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售后服务内容</w:t>
            </w:r>
          </w:p>
        </w:tc>
        <w:tc>
          <w:tcPr>
            <w:tcW w:w="5575" w:type="dxa"/>
            <w:gridSpan w:val="5"/>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p>
        </w:tc>
        <w:tc>
          <w:tcPr>
            <w:tcW w:w="1227" w:type="dxa"/>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p>
        </w:tc>
      </w:tr>
      <w:tr>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工作业绩</w:t>
            </w:r>
          </w:p>
        </w:tc>
        <w:tc>
          <w:tcPr>
            <w:tcW w:w="5575" w:type="dxa"/>
            <w:gridSpan w:val="5"/>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p>
        </w:tc>
        <w:tc>
          <w:tcPr>
            <w:tcW w:w="1227" w:type="dxa"/>
            <w:tcBorders>
              <w:top w:val="single" w:color="000000" w:sz="4" w:space="0"/>
              <w:left w:val="nil"/>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p>
        </w:tc>
      </w:tr>
      <w:tr>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服务承诺</w:t>
            </w:r>
          </w:p>
        </w:tc>
        <w:tc>
          <w:tcPr>
            <w:tcW w:w="5575" w:type="dxa"/>
            <w:gridSpan w:val="5"/>
            <w:tcBorders>
              <w:top w:val="single" w:color="000000" w:sz="4" w:space="0"/>
              <w:left w:val="nil"/>
              <w:bottom w:val="single" w:color="auto" w:sz="4" w:space="0"/>
              <w:right w:val="single" w:color="000000" w:sz="4" w:space="0"/>
            </w:tcBorders>
          </w:tcPr>
          <w:p>
            <w:pPr>
              <w:widowControl/>
              <w:spacing w:before="50" w:after="156" w:line="400" w:lineRule="atLeast"/>
              <w:jc w:val="left"/>
              <w:rPr>
                <w:rFonts w:ascii="宋体" w:hAnsi="宋体"/>
                <w:color w:val="auto"/>
                <w:kern w:val="0"/>
                <w:sz w:val="24"/>
                <w:highlight w:val="none"/>
              </w:rPr>
            </w:pPr>
          </w:p>
        </w:tc>
        <w:tc>
          <w:tcPr>
            <w:tcW w:w="1227" w:type="dxa"/>
            <w:tcBorders>
              <w:top w:val="single" w:color="000000" w:sz="4" w:space="0"/>
              <w:left w:val="nil"/>
              <w:bottom w:val="single" w:color="auto" w:sz="4" w:space="0"/>
              <w:right w:val="single" w:color="000000" w:sz="4" w:space="0"/>
            </w:tcBorders>
          </w:tcPr>
          <w:p>
            <w:pPr>
              <w:widowControl/>
              <w:spacing w:before="50" w:after="156" w:line="400" w:lineRule="atLeast"/>
              <w:jc w:val="left"/>
              <w:rPr>
                <w:rFonts w:ascii="宋体" w:hAnsi="宋体"/>
                <w:color w:val="auto"/>
                <w:kern w:val="0"/>
                <w:sz w:val="24"/>
                <w:highlight w:val="none"/>
              </w:rPr>
            </w:pPr>
          </w:p>
        </w:tc>
      </w:tr>
      <w:tr>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auto" w:sz="4" w:space="0"/>
            </w:tcBorders>
          </w:tcPr>
          <w:p>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业务咨询电话</w:t>
            </w:r>
          </w:p>
        </w:tc>
        <w:tc>
          <w:tcPr>
            <w:tcW w:w="1813" w:type="dxa"/>
            <w:gridSpan w:val="2"/>
            <w:tcBorders>
              <w:top w:val="single" w:color="auto" w:sz="4" w:space="0"/>
              <w:left w:val="single" w:color="auto" w:sz="4" w:space="0"/>
              <w:bottom w:val="single" w:color="auto" w:sz="4" w:space="0"/>
              <w:right w:val="single" w:color="auto" w:sz="4" w:space="0"/>
            </w:tcBorders>
          </w:tcPr>
          <w:p>
            <w:pPr>
              <w:widowControl/>
              <w:spacing w:before="50" w:after="156" w:line="400" w:lineRule="atLeast"/>
              <w:jc w:val="left"/>
              <w:rPr>
                <w:rFonts w:ascii="宋体" w:hAnsi="宋体"/>
                <w:color w:val="auto"/>
                <w:kern w:val="0"/>
                <w:sz w:val="24"/>
                <w:highlight w:val="none"/>
              </w:rPr>
            </w:pPr>
          </w:p>
        </w:tc>
        <w:tc>
          <w:tcPr>
            <w:tcW w:w="1439" w:type="dxa"/>
            <w:tcBorders>
              <w:top w:val="single" w:color="auto" w:sz="4" w:space="0"/>
              <w:left w:val="single" w:color="auto" w:sz="4" w:space="0"/>
              <w:bottom w:val="single" w:color="auto" w:sz="4" w:space="0"/>
              <w:right w:val="single" w:color="auto" w:sz="4" w:space="0"/>
            </w:tcBorders>
          </w:tcPr>
          <w:p>
            <w:pPr>
              <w:widowControl/>
              <w:spacing w:before="50" w:after="156" w:line="400" w:lineRule="atLeast"/>
              <w:ind w:firstLine="240"/>
              <w:jc w:val="left"/>
              <w:rPr>
                <w:rFonts w:ascii="宋体" w:hAnsi="宋体"/>
                <w:color w:val="auto"/>
                <w:kern w:val="0"/>
                <w:sz w:val="24"/>
                <w:highlight w:val="none"/>
              </w:rPr>
            </w:pPr>
            <w:r>
              <w:rPr>
                <w:rFonts w:hint="eastAsia" w:ascii="宋体" w:hAnsi="宋体"/>
                <w:color w:val="auto"/>
                <w:kern w:val="0"/>
                <w:sz w:val="24"/>
                <w:highlight w:val="none"/>
              </w:rPr>
              <w:t>传 真</w:t>
            </w:r>
          </w:p>
        </w:tc>
        <w:tc>
          <w:tcPr>
            <w:tcW w:w="2323" w:type="dxa"/>
            <w:gridSpan w:val="2"/>
            <w:tcBorders>
              <w:top w:val="single" w:color="auto" w:sz="4" w:space="0"/>
              <w:left w:val="single" w:color="auto" w:sz="4" w:space="0"/>
              <w:bottom w:val="single" w:color="auto" w:sz="4" w:space="0"/>
              <w:right w:val="single" w:color="auto" w:sz="4" w:space="0"/>
            </w:tcBorders>
          </w:tcPr>
          <w:p>
            <w:pPr>
              <w:widowControl/>
              <w:spacing w:before="50" w:after="156" w:line="400" w:lineRule="atLeast"/>
              <w:jc w:val="left"/>
              <w:rPr>
                <w:rFonts w:ascii="宋体" w:hAnsi="宋体"/>
                <w:color w:val="auto"/>
                <w:kern w:val="0"/>
                <w:sz w:val="24"/>
                <w:highlight w:val="none"/>
              </w:rPr>
            </w:pPr>
          </w:p>
        </w:tc>
        <w:tc>
          <w:tcPr>
            <w:tcW w:w="1227" w:type="dxa"/>
            <w:tcBorders>
              <w:top w:val="single" w:color="auto" w:sz="4" w:space="0"/>
              <w:left w:val="single" w:color="auto" w:sz="4" w:space="0"/>
              <w:bottom w:val="single" w:color="auto" w:sz="4" w:space="0"/>
              <w:right w:val="single" w:color="auto" w:sz="4" w:space="0"/>
            </w:tcBorders>
          </w:tcPr>
          <w:p>
            <w:pPr>
              <w:widowControl/>
              <w:spacing w:before="50" w:after="156" w:line="400" w:lineRule="atLeast"/>
              <w:jc w:val="left"/>
              <w:rPr>
                <w:rFonts w:ascii="宋体" w:hAnsi="宋体"/>
                <w:color w:val="auto"/>
                <w:kern w:val="0"/>
                <w:sz w:val="24"/>
                <w:highlight w:val="none"/>
              </w:rPr>
            </w:pPr>
          </w:p>
        </w:tc>
      </w:tr>
      <w:tr>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auto" w:sz="4" w:space="0"/>
            </w:tcBorders>
          </w:tcPr>
          <w:p>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负责人</w:t>
            </w:r>
          </w:p>
        </w:tc>
        <w:tc>
          <w:tcPr>
            <w:tcW w:w="1813" w:type="dxa"/>
            <w:gridSpan w:val="2"/>
            <w:tcBorders>
              <w:top w:val="single" w:color="auto" w:sz="4" w:space="0"/>
              <w:left w:val="single" w:color="auto" w:sz="4" w:space="0"/>
              <w:bottom w:val="single" w:color="auto" w:sz="4" w:space="0"/>
              <w:right w:val="single" w:color="auto" w:sz="4" w:space="0"/>
            </w:tcBorders>
          </w:tcPr>
          <w:p>
            <w:pPr>
              <w:widowControl/>
              <w:spacing w:before="50" w:after="156" w:line="400" w:lineRule="atLeast"/>
              <w:jc w:val="left"/>
              <w:rPr>
                <w:rFonts w:ascii="宋体" w:hAnsi="宋体"/>
                <w:color w:val="auto"/>
                <w:kern w:val="0"/>
                <w:sz w:val="24"/>
                <w:highlight w:val="none"/>
              </w:rPr>
            </w:pPr>
          </w:p>
        </w:tc>
        <w:tc>
          <w:tcPr>
            <w:tcW w:w="1439" w:type="dxa"/>
            <w:tcBorders>
              <w:top w:val="single" w:color="auto" w:sz="4" w:space="0"/>
              <w:left w:val="single" w:color="auto" w:sz="4" w:space="0"/>
              <w:bottom w:val="single" w:color="auto" w:sz="4" w:space="0"/>
              <w:right w:val="single" w:color="auto" w:sz="4" w:space="0"/>
            </w:tcBorders>
          </w:tcPr>
          <w:p>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联系电话</w:t>
            </w:r>
          </w:p>
        </w:tc>
        <w:tc>
          <w:tcPr>
            <w:tcW w:w="2323" w:type="dxa"/>
            <w:gridSpan w:val="2"/>
            <w:tcBorders>
              <w:top w:val="single" w:color="auto" w:sz="4" w:space="0"/>
              <w:left w:val="single" w:color="auto" w:sz="4" w:space="0"/>
              <w:bottom w:val="single" w:color="auto" w:sz="4" w:space="0"/>
              <w:right w:val="single" w:color="auto" w:sz="4" w:space="0"/>
            </w:tcBorders>
          </w:tcPr>
          <w:p>
            <w:pPr>
              <w:widowControl/>
              <w:spacing w:before="50" w:after="156" w:line="400" w:lineRule="atLeast"/>
              <w:jc w:val="left"/>
              <w:rPr>
                <w:rFonts w:ascii="宋体" w:hAnsi="宋体"/>
                <w:color w:val="auto"/>
                <w:kern w:val="0"/>
                <w:sz w:val="24"/>
                <w:highlight w:val="none"/>
              </w:rPr>
            </w:pPr>
          </w:p>
        </w:tc>
        <w:tc>
          <w:tcPr>
            <w:tcW w:w="1227" w:type="dxa"/>
            <w:tcBorders>
              <w:top w:val="single" w:color="auto" w:sz="4" w:space="0"/>
              <w:left w:val="single" w:color="auto" w:sz="4" w:space="0"/>
              <w:bottom w:val="single" w:color="auto" w:sz="4" w:space="0"/>
              <w:right w:val="single" w:color="auto" w:sz="4" w:space="0"/>
            </w:tcBorders>
          </w:tcPr>
          <w:p>
            <w:pPr>
              <w:widowControl/>
              <w:spacing w:before="50" w:after="156" w:line="400" w:lineRule="atLeast"/>
              <w:jc w:val="left"/>
              <w:rPr>
                <w:rFonts w:ascii="宋体" w:hAnsi="宋体"/>
                <w:color w:val="auto"/>
                <w:kern w:val="0"/>
                <w:sz w:val="24"/>
                <w:highlight w:val="none"/>
              </w:rPr>
            </w:pPr>
          </w:p>
        </w:tc>
      </w:tr>
    </w:tbl>
    <w:p>
      <w:pPr>
        <w:widowControl/>
        <w:rPr>
          <w:rFonts w:ascii="宋体" w:hAnsi="宋体" w:cs="Arial"/>
          <w:color w:val="auto"/>
          <w:kern w:val="0"/>
          <w:sz w:val="24"/>
          <w:highlight w:val="none"/>
        </w:rPr>
      </w:pPr>
    </w:p>
    <w:p>
      <w:pPr>
        <w:widowControl/>
        <w:rPr>
          <w:rFonts w:ascii="宋体" w:hAnsi="宋体" w:cs="Arial"/>
          <w:color w:val="auto"/>
          <w:kern w:val="0"/>
          <w:sz w:val="24"/>
          <w:highlight w:val="none"/>
        </w:rPr>
      </w:pPr>
    </w:p>
    <w:p>
      <w:pPr>
        <w:widowControl/>
        <w:spacing w:line="480" w:lineRule="auto"/>
        <w:rPr>
          <w:rFonts w:ascii="宋体" w:hAnsi="宋体" w:cs="Arial"/>
          <w:color w:val="auto"/>
          <w:kern w:val="0"/>
          <w:sz w:val="24"/>
          <w:highlight w:val="none"/>
          <w:u w:val="single"/>
        </w:rPr>
      </w:pPr>
      <w:r>
        <w:rPr>
          <w:rFonts w:hint="eastAsia" w:ascii="宋体" w:hAnsi="宋体"/>
          <w:color w:val="auto"/>
          <w:sz w:val="24"/>
          <w:highlight w:val="none"/>
        </w:rPr>
        <w:t>法定代表人或被授权人签字（或签章）</w:t>
      </w:r>
      <w:r>
        <w:rPr>
          <w:rFonts w:hint="eastAsia" w:ascii="宋体" w:hAnsi="宋体" w:cs="Arial"/>
          <w:color w:val="auto"/>
          <w:kern w:val="0"/>
          <w:sz w:val="24"/>
          <w:highlight w:val="none"/>
        </w:rPr>
        <w:t>：</w:t>
      </w:r>
    </w:p>
    <w:p>
      <w:pPr>
        <w:widowControl/>
        <w:spacing w:line="480" w:lineRule="auto"/>
        <w:rPr>
          <w:rFonts w:ascii="宋体" w:hAnsi="宋体"/>
          <w:color w:val="auto"/>
          <w:kern w:val="0"/>
          <w:sz w:val="24"/>
          <w:highlight w:val="none"/>
        </w:rPr>
      </w:pPr>
      <w:r>
        <w:rPr>
          <w:rFonts w:hint="eastAsia" w:ascii="宋体" w:hAnsi="宋体"/>
          <w:color w:val="auto"/>
          <w:kern w:val="0"/>
          <w:sz w:val="24"/>
          <w:highlight w:val="none"/>
        </w:rPr>
        <w:t xml:space="preserve">投标人公章：                  </w:t>
      </w:r>
    </w:p>
    <w:p>
      <w:pPr>
        <w:widowControl/>
        <w:spacing w:line="480" w:lineRule="auto"/>
        <w:rPr>
          <w:rFonts w:ascii="宋体" w:hAnsi="宋体"/>
          <w:color w:val="auto"/>
          <w:kern w:val="0"/>
          <w:sz w:val="24"/>
          <w:highlight w:val="none"/>
        </w:rPr>
      </w:pPr>
      <w:r>
        <w:rPr>
          <w:rFonts w:hint="eastAsia" w:ascii="宋体" w:hAnsi="宋体"/>
          <w:color w:val="auto"/>
          <w:kern w:val="0"/>
          <w:sz w:val="24"/>
          <w:highlight w:val="none"/>
        </w:rPr>
        <w:t>年    月  日</w:t>
      </w:r>
    </w:p>
    <w:p>
      <w:pPr>
        <w:pStyle w:val="68"/>
        <w:spacing w:before="50" w:after="156" w:line="480" w:lineRule="auto"/>
        <w:jc w:val="left"/>
        <w:rPr>
          <w:rFonts w:ascii="宋体" w:hAnsi="宋体"/>
          <w:color w:val="auto"/>
          <w:kern w:val="2"/>
          <w:sz w:val="24"/>
          <w:szCs w:val="24"/>
          <w:highlight w:val="none"/>
        </w:rPr>
      </w:pPr>
    </w:p>
    <w:p>
      <w:pPr>
        <w:pStyle w:val="68"/>
        <w:rPr>
          <w:rFonts w:ascii="宋体" w:hAnsi="宋体"/>
          <w:color w:val="auto"/>
          <w:kern w:val="2"/>
          <w:sz w:val="24"/>
          <w:szCs w:val="24"/>
          <w:highlight w:val="none"/>
        </w:rPr>
      </w:pPr>
      <w:r>
        <w:rPr>
          <w:rFonts w:hint="eastAsia" w:ascii="宋体" w:hAnsi="宋体"/>
          <w:color w:val="auto"/>
          <w:kern w:val="2"/>
          <w:sz w:val="24"/>
          <w:szCs w:val="24"/>
          <w:highlight w:val="none"/>
        </w:rPr>
        <w:t>8、选配件、专用耗材、售后服务优惠表</w:t>
      </w:r>
    </w:p>
    <w:tbl>
      <w:tblPr>
        <w:tblStyle w:val="37"/>
        <w:tblW w:w="86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735" w:type="dxa"/>
            <w:tcMar>
              <w:top w:w="15" w:type="dxa"/>
              <w:left w:w="15" w:type="dxa"/>
              <w:bottom w:w="0" w:type="dxa"/>
              <w:right w:w="15" w:type="dxa"/>
            </w:tcMar>
            <w:vAlign w:val="center"/>
          </w:tcPr>
          <w:p>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700" w:type="dxa"/>
            <w:vAlign w:val="center"/>
          </w:tcPr>
          <w:p>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优惠内容</w:t>
            </w:r>
          </w:p>
        </w:tc>
        <w:tc>
          <w:tcPr>
            <w:tcW w:w="1440" w:type="dxa"/>
            <w:vAlign w:val="center"/>
          </w:tcPr>
          <w:p>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适用机型</w:t>
            </w:r>
          </w:p>
        </w:tc>
        <w:tc>
          <w:tcPr>
            <w:tcW w:w="1440" w:type="dxa"/>
            <w:tcMar>
              <w:top w:w="15" w:type="dxa"/>
              <w:left w:w="15" w:type="dxa"/>
              <w:bottom w:w="0" w:type="dxa"/>
              <w:right w:w="15" w:type="dxa"/>
            </w:tcMar>
            <w:vAlign w:val="center"/>
          </w:tcPr>
          <w:p>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单价</w:t>
            </w:r>
          </w:p>
        </w:tc>
        <w:tc>
          <w:tcPr>
            <w:tcW w:w="2340" w:type="dxa"/>
            <w:vAlign w:val="center"/>
          </w:tcPr>
          <w:p>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比投标报价优惠率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35" w:type="dxa"/>
            <w:tcMar>
              <w:top w:w="15" w:type="dxa"/>
              <w:left w:w="15" w:type="dxa"/>
              <w:bottom w:w="0" w:type="dxa"/>
              <w:right w:w="15" w:type="dxa"/>
            </w:tcMar>
            <w:vAlign w:val="center"/>
          </w:tcPr>
          <w:p>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700" w:type="dxa"/>
            <w:vAlign w:val="center"/>
          </w:tcPr>
          <w:p>
            <w:pPr>
              <w:widowControl/>
              <w:spacing w:before="295" w:after="295" w:line="400" w:lineRule="atLeast"/>
              <w:jc w:val="center"/>
              <w:rPr>
                <w:rFonts w:ascii="宋体" w:hAnsi="宋体" w:cs="宋体"/>
                <w:color w:val="auto"/>
                <w:kern w:val="0"/>
                <w:sz w:val="24"/>
                <w:highlight w:val="none"/>
              </w:rPr>
            </w:pPr>
          </w:p>
        </w:tc>
        <w:tc>
          <w:tcPr>
            <w:tcW w:w="1440" w:type="dxa"/>
            <w:vAlign w:val="center"/>
          </w:tcPr>
          <w:p>
            <w:pPr>
              <w:widowControl/>
              <w:spacing w:before="295" w:after="295" w:line="400" w:lineRule="atLeast"/>
              <w:jc w:val="center"/>
              <w:rPr>
                <w:rFonts w:ascii="宋体" w:hAnsi="宋体" w:cs="宋体"/>
                <w:color w:val="auto"/>
                <w:kern w:val="0"/>
                <w:sz w:val="24"/>
                <w:highlight w:val="none"/>
              </w:rPr>
            </w:pPr>
          </w:p>
        </w:tc>
        <w:tc>
          <w:tcPr>
            <w:tcW w:w="1440" w:type="dxa"/>
            <w:tcMar>
              <w:top w:w="15" w:type="dxa"/>
              <w:left w:w="15" w:type="dxa"/>
              <w:bottom w:w="0" w:type="dxa"/>
              <w:right w:w="15" w:type="dxa"/>
            </w:tcMar>
            <w:vAlign w:val="center"/>
          </w:tcPr>
          <w:p>
            <w:pPr>
              <w:widowControl/>
              <w:spacing w:before="295" w:after="295" w:line="400" w:lineRule="atLeast"/>
              <w:jc w:val="center"/>
              <w:rPr>
                <w:rFonts w:ascii="宋体" w:hAnsi="宋体" w:cs="宋体"/>
                <w:color w:val="auto"/>
                <w:kern w:val="0"/>
                <w:sz w:val="24"/>
                <w:highlight w:val="none"/>
              </w:rPr>
            </w:pPr>
          </w:p>
        </w:tc>
        <w:tc>
          <w:tcPr>
            <w:tcW w:w="2340" w:type="dxa"/>
            <w:vAlign w:val="center"/>
          </w:tcPr>
          <w:p>
            <w:pPr>
              <w:widowControl/>
              <w:spacing w:before="295" w:after="295" w:line="285" w:lineRule="atLeast"/>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35" w:type="dxa"/>
            <w:tcMar>
              <w:top w:w="15" w:type="dxa"/>
              <w:left w:w="15" w:type="dxa"/>
              <w:bottom w:w="0" w:type="dxa"/>
              <w:right w:w="15" w:type="dxa"/>
            </w:tcMar>
            <w:vAlign w:val="center"/>
          </w:tcPr>
          <w:p>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700" w:type="dxa"/>
            <w:vAlign w:val="center"/>
          </w:tcPr>
          <w:p>
            <w:pPr>
              <w:widowControl/>
              <w:spacing w:before="295" w:after="295" w:line="400" w:lineRule="atLeast"/>
              <w:jc w:val="center"/>
              <w:rPr>
                <w:rFonts w:ascii="宋体" w:hAnsi="宋体" w:cs="宋体"/>
                <w:color w:val="auto"/>
                <w:kern w:val="0"/>
                <w:sz w:val="24"/>
                <w:highlight w:val="none"/>
              </w:rPr>
            </w:pPr>
          </w:p>
        </w:tc>
        <w:tc>
          <w:tcPr>
            <w:tcW w:w="1440" w:type="dxa"/>
            <w:vAlign w:val="center"/>
          </w:tcPr>
          <w:p>
            <w:pPr>
              <w:widowControl/>
              <w:spacing w:before="295" w:after="295" w:line="400" w:lineRule="atLeast"/>
              <w:jc w:val="center"/>
              <w:rPr>
                <w:rFonts w:ascii="宋体" w:hAnsi="宋体" w:cs="宋体"/>
                <w:color w:val="auto"/>
                <w:kern w:val="0"/>
                <w:sz w:val="24"/>
                <w:highlight w:val="none"/>
              </w:rPr>
            </w:pPr>
          </w:p>
        </w:tc>
        <w:tc>
          <w:tcPr>
            <w:tcW w:w="1440" w:type="dxa"/>
            <w:tcMar>
              <w:top w:w="15" w:type="dxa"/>
              <w:left w:w="15" w:type="dxa"/>
              <w:bottom w:w="0" w:type="dxa"/>
              <w:right w:w="15" w:type="dxa"/>
            </w:tcMar>
            <w:vAlign w:val="center"/>
          </w:tcPr>
          <w:p>
            <w:pPr>
              <w:widowControl/>
              <w:spacing w:before="295" w:after="295" w:line="400" w:lineRule="atLeast"/>
              <w:jc w:val="center"/>
              <w:rPr>
                <w:rFonts w:ascii="宋体" w:hAnsi="宋体" w:cs="宋体"/>
                <w:color w:val="auto"/>
                <w:kern w:val="0"/>
                <w:sz w:val="24"/>
                <w:highlight w:val="none"/>
              </w:rPr>
            </w:pPr>
          </w:p>
        </w:tc>
        <w:tc>
          <w:tcPr>
            <w:tcW w:w="2340" w:type="dxa"/>
            <w:vAlign w:val="center"/>
          </w:tcPr>
          <w:p>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35" w:type="dxa"/>
            <w:tcMar>
              <w:top w:w="15" w:type="dxa"/>
              <w:left w:w="15" w:type="dxa"/>
              <w:bottom w:w="0" w:type="dxa"/>
              <w:right w:w="15" w:type="dxa"/>
            </w:tcMar>
            <w:vAlign w:val="center"/>
          </w:tcPr>
          <w:p>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700" w:type="dxa"/>
            <w:vAlign w:val="center"/>
          </w:tcPr>
          <w:p>
            <w:pPr>
              <w:widowControl/>
              <w:spacing w:before="295" w:after="295" w:line="400" w:lineRule="atLeast"/>
              <w:jc w:val="center"/>
              <w:rPr>
                <w:rFonts w:ascii="宋体" w:hAnsi="宋体" w:cs="宋体"/>
                <w:color w:val="auto"/>
                <w:kern w:val="0"/>
                <w:sz w:val="24"/>
                <w:highlight w:val="none"/>
              </w:rPr>
            </w:pPr>
          </w:p>
        </w:tc>
        <w:tc>
          <w:tcPr>
            <w:tcW w:w="1440" w:type="dxa"/>
            <w:vAlign w:val="center"/>
          </w:tcPr>
          <w:p>
            <w:pPr>
              <w:widowControl/>
              <w:spacing w:before="295" w:after="295" w:line="400" w:lineRule="atLeast"/>
              <w:jc w:val="center"/>
              <w:rPr>
                <w:rFonts w:ascii="宋体" w:hAnsi="宋体" w:cs="宋体"/>
                <w:color w:val="auto"/>
                <w:kern w:val="0"/>
                <w:sz w:val="24"/>
                <w:highlight w:val="none"/>
              </w:rPr>
            </w:pPr>
          </w:p>
        </w:tc>
        <w:tc>
          <w:tcPr>
            <w:tcW w:w="1440" w:type="dxa"/>
            <w:tcMar>
              <w:top w:w="15" w:type="dxa"/>
              <w:left w:w="15" w:type="dxa"/>
              <w:bottom w:w="0" w:type="dxa"/>
              <w:right w:w="15" w:type="dxa"/>
            </w:tcMar>
            <w:vAlign w:val="center"/>
          </w:tcPr>
          <w:p>
            <w:pPr>
              <w:widowControl/>
              <w:spacing w:before="295" w:after="295" w:line="400" w:lineRule="atLeast"/>
              <w:jc w:val="center"/>
              <w:rPr>
                <w:rFonts w:ascii="宋体" w:hAnsi="宋体" w:cs="宋体"/>
                <w:color w:val="auto"/>
                <w:kern w:val="0"/>
                <w:sz w:val="24"/>
                <w:highlight w:val="none"/>
              </w:rPr>
            </w:pPr>
          </w:p>
        </w:tc>
        <w:tc>
          <w:tcPr>
            <w:tcW w:w="2340" w:type="dxa"/>
            <w:vAlign w:val="center"/>
          </w:tcPr>
          <w:p>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35" w:type="dxa"/>
            <w:tcMar>
              <w:top w:w="15" w:type="dxa"/>
              <w:left w:w="15" w:type="dxa"/>
              <w:bottom w:w="0" w:type="dxa"/>
              <w:right w:w="15" w:type="dxa"/>
            </w:tcMar>
            <w:vAlign w:val="center"/>
          </w:tcPr>
          <w:p>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700" w:type="dxa"/>
            <w:vAlign w:val="center"/>
          </w:tcPr>
          <w:p>
            <w:pPr>
              <w:widowControl/>
              <w:spacing w:before="295" w:after="295" w:line="400" w:lineRule="atLeast"/>
              <w:jc w:val="center"/>
              <w:rPr>
                <w:rFonts w:ascii="宋体" w:hAnsi="宋体" w:cs="宋体"/>
                <w:color w:val="auto"/>
                <w:kern w:val="0"/>
                <w:sz w:val="24"/>
                <w:highlight w:val="none"/>
              </w:rPr>
            </w:pPr>
          </w:p>
        </w:tc>
        <w:tc>
          <w:tcPr>
            <w:tcW w:w="1440" w:type="dxa"/>
            <w:vAlign w:val="center"/>
          </w:tcPr>
          <w:p>
            <w:pPr>
              <w:widowControl/>
              <w:spacing w:before="295" w:after="295" w:line="400" w:lineRule="atLeast"/>
              <w:jc w:val="center"/>
              <w:rPr>
                <w:rFonts w:ascii="宋体" w:hAnsi="宋体" w:cs="宋体"/>
                <w:color w:val="auto"/>
                <w:kern w:val="0"/>
                <w:sz w:val="24"/>
                <w:highlight w:val="none"/>
              </w:rPr>
            </w:pPr>
          </w:p>
        </w:tc>
        <w:tc>
          <w:tcPr>
            <w:tcW w:w="1440" w:type="dxa"/>
            <w:tcMar>
              <w:top w:w="15" w:type="dxa"/>
              <w:left w:w="15" w:type="dxa"/>
              <w:bottom w:w="0" w:type="dxa"/>
              <w:right w:w="15" w:type="dxa"/>
            </w:tcMar>
            <w:vAlign w:val="center"/>
          </w:tcPr>
          <w:p>
            <w:pPr>
              <w:widowControl/>
              <w:spacing w:before="295" w:after="295" w:line="400" w:lineRule="atLeast"/>
              <w:jc w:val="center"/>
              <w:rPr>
                <w:rFonts w:ascii="宋体" w:hAnsi="宋体" w:cs="宋体"/>
                <w:color w:val="auto"/>
                <w:kern w:val="0"/>
                <w:sz w:val="24"/>
                <w:highlight w:val="none"/>
              </w:rPr>
            </w:pPr>
          </w:p>
        </w:tc>
        <w:tc>
          <w:tcPr>
            <w:tcW w:w="2340" w:type="dxa"/>
            <w:vAlign w:val="center"/>
          </w:tcPr>
          <w:p>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35" w:type="dxa"/>
            <w:tcMar>
              <w:top w:w="15" w:type="dxa"/>
              <w:left w:w="15" w:type="dxa"/>
              <w:bottom w:w="0" w:type="dxa"/>
              <w:right w:w="15" w:type="dxa"/>
            </w:tcMar>
            <w:vAlign w:val="center"/>
          </w:tcPr>
          <w:p>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700" w:type="dxa"/>
            <w:vAlign w:val="center"/>
          </w:tcPr>
          <w:p>
            <w:pPr>
              <w:widowControl/>
              <w:spacing w:before="295" w:after="295" w:line="400" w:lineRule="atLeast"/>
              <w:jc w:val="center"/>
              <w:rPr>
                <w:rFonts w:ascii="宋体" w:hAnsi="宋体" w:cs="宋体"/>
                <w:color w:val="auto"/>
                <w:kern w:val="0"/>
                <w:sz w:val="24"/>
                <w:highlight w:val="none"/>
              </w:rPr>
            </w:pPr>
          </w:p>
        </w:tc>
        <w:tc>
          <w:tcPr>
            <w:tcW w:w="1440" w:type="dxa"/>
            <w:vAlign w:val="center"/>
          </w:tcPr>
          <w:p>
            <w:pPr>
              <w:widowControl/>
              <w:spacing w:before="295" w:after="295" w:line="400" w:lineRule="atLeast"/>
              <w:jc w:val="center"/>
              <w:rPr>
                <w:rFonts w:ascii="宋体" w:hAnsi="宋体" w:cs="宋体"/>
                <w:color w:val="auto"/>
                <w:kern w:val="0"/>
                <w:sz w:val="24"/>
                <w:highlight w:val="none"/>
              </w:rPr>
            </w:pPr>
          </w:p>
        </w:tc>
        <w:tc>
          <w:tcPr>
            <w:tcW w:w="1440" w:type="dxa"/>
            <w:tcMar>
              <w:top w:w="15" w:type="dxa"/>
              <w:left w:w="15" w:type="dxa"/>
              <w:bottom w:w="0" w:type="dxa"/>
              <w:right w:w="15" w:type="dxa"/>
            </w:tcMar>
            <w:vAlign w:val="center"/>
          </w:tcPr>
          <w:p>
            <w:pPr>
              <w:widowControl/>
              <w:spacing w:before="295" w:after="295" w:line="400" w:lineRule="atLeast"/>
              <w:jc w:val="center"/>
              <w:rPr>
                <w:rFonts w:ascii="宋体" w:hAnsi="宋体" w:cs="宋体"/>
                <w:color w:val="auto"/>
                <w:kern w:val="0"/>
                <w:sz w:val="24"/>
                <w:highlight w:val="none"/>
              </w:rPr>
            </w:pPr>
          </w:p>
        </w:tc>
        <w:tc>
          <w:tcPr>
            <w:tcW w:w="2340" w:type="dxa"/>
            <w:vAlign w:val="center"/>
          </w:tcPr>
          <w:p>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35" w:type="dxa"/>
            <w:tcMar>
              <w:top w:w="15" w:type="dxa"/>
              <w:left w:w="15" w:type="dxa"/>
              <w:bottom w:w="0" w:type="dxa"/>
              <w:right w:w="15" w:type="dxa"/>
            </w:tcMar>
            <w:vAlign w:val="center"/>
          </w:tcPr>
          <w:p>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2700" w:type="dxa"/>
            <w:vAlign w:val="center"/>
          </w:tcPr>
          <w:p>
            <w:pPr>
              <w:widowControl/>
              <w:spacing w:before="295" w:after="295" w:line="400" w:lineRule="atLeast"/>
              <w:jc w:val="center"/>
              <w:rPr>
                <w:rFonts w:ascii="宋体" w:hAnsi="宋体" w:cs="宋体"/>
                <w:color w:val="auto"/>
                <w:kern w:val="0"/>
                <w:sz w:val="24"/>
                <w:highlight w:val="none"/>
              </w:rPr>
            </w:pPr>
          </w:p>
        </w:tc>
        <w:tc>
          <w:tcPr>
            <w:tcW w:w="1440" w:type="dxa"/>
            <w:vAlign w:val="center"/>
          </w:tcPr>
          <w:p>
            <w:pPr>
              <w:widowControl/>
              <w:spacing w:before="295" w:after="295" w:line="400" w:lineRule="atLeast"/>
              <w:jc w:val="center"/>
              <w:rPr>
                <w:rFonts w:ascii="宋体" w:hAnsi="宋体" w:cs="宋体"/>
                <w:color w:val="auto"/>
                <w:kern w:val="0"/>
                <w:sz w:val="24"/>
                <w:highlight w:val="none"/>
              </w:rPr>
            </w:pPr>
          </w:p>
        </w:tc>
        <w:tc>
          <w:tcPr>
            <w:tcW w:w="1440" w:type="dxa"/>
            <w:tcMar>
              <w:top w:w="15" w:type="dxa"/>
              <w:left w:w="15" w:type="dxa"/>
              <w:bottom w:w="0" w:type="dxa"/>
              <w:right w:w="15" w:type="dxa"/>
            </w:tcMar>
            <w:vAlign w:val="center"/>
          </w:tcPr>
          <w:p>
            <w:pPr>
              <w:widowControl/>
              <w:spacing w:before="295" w:after="295" w:line="400" w:lineRule="atLeast"/>
              <w:jc w:val="center"/>
              <w:rPr>
                <w:rFonts w:ascii="宋体" w:hAnsi="宋体" w:cs="宋体"/>
                <w:color w:val="auto"/>
                <w:kern w:val="0"/>
                <w:sz w:val="24"/>
                <w:highlight w:val="none"/>
              </w:rPr>
            </w:pPr>
          </w:p>
        </w:tc>
        <w:tc>
          <w:tcPr>
            <w:tcW w:w="2340" w:type="dxa"/>
            <w:vAlign w:val="center"/>
          </w:tcPr>
          <w:p>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35" w:type="dxa"/>
            <w:tcMar>
              <w:top w:w="15" w:type="dxa"/>
              <w:left w:w="15" w:type="dxa"/>
              <w:bottom w:w="0" w:type="dxa"/>
              <w:right w:w="15" w:type="dxa"/>
            </w:tcMar>
            <w:vAlign w:val="center"/>
          </w:tcPr>
          <w:p>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2700" w:type="dxa"/>
            <w:vAlign w:val="center"/>
          </w:tcPr>
          <w:p>
            <w:pPr>
              <w:widowControl/>
              <w:spacing w:before="295" w:after="295" w:line="400" w:lineRule="atLeast"/>
              <w:jc w:val="center"/>
              <w:rPr>
                <w:rFonts w:ascii="宋体" w:hAnsi="宋体" w:cs="宋体"/>
                <w:color w:val="auto"/>
                <w:kern w:val="0"/>
                <w:sz w:val="24"/>
                <w:highlight w:val="none"/>
              </w:rPr>
            </w:pPr>
          </w:p>
        </w:tc>
        <w:tc>
          <w:tcPr>
            <w:tcW w:w="1440" w:type="dxa"/>
            <w:vAlign w:val="center"/>
          </w:tcPr>
          <w:p>
            <w:pPr>
              <w:widowControl/>
              <w:spacing w:before="295" w:after="295" w:line="400" w:lineRule="atLeast"/>
              <w:jc w:val="center"/>
              <w:rPr>
                <w:rFonts w:ascii="宋体" w:hAnsi="宋体" w:cs="宋体"/>
                <w:color w:val="auto"/>
                <w:kern w:val="0"/>
                <w:sz w:val="24"/>
                <w:highlight w:val="none"/>
              </w:rPr>
            </w:pPr>
          </w:p>
        </w:tc>
        <w:tc>
          <w:tcPr>
            <w:tcW w:w="1440" w:type="dxa"/>
            <w:tcMar>
              <w:top w:w="15" w:type="dxa"/>
              <w:left w:w="15" w:type="dxa"/>
              <w:bottom w:w="0" w:type="dxa"/>
              <w:right w:w="15" w:type="dxa"/>
            </w:tcMar>
            <w:vAlign w:val="center"/>
          </w:tcPr>
          <w:p>
            <w:pPr>
              <w:widowControl/>
              <w:spacing w:before="295" w:after="295" w:line="400" w:lineRule="atLeast"/>
              <w:jc w:val="center"/>
              <w:rPr>
                <w:rFonts w:ascii="宋体" w:hAnsi="宋体" w:cs="宋体"/>
                <w:color w:val="auto"/>
                <w:kern w:val="0"/>
                <w:sz w:val="24"/>
                <w:highlight w:val="none"/>
              </w:rPr>
            </w:pPr>
          </w:p>
        </w:tc>
        <w:tc>
          <w:tcPr>
            <w:tcW w:w="2340" w:type="dxa"/>
            <w:vAlign w:val="center"/>
          </w:tcPr>
          <w:p>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35" w:type="dxa"/>
            <w:tcMar>
              <w:top w:w="15" w:type="dxa"/>
              <w:left w:w="15" w:type="dxa"/>
              <w:bottom w:w="0" w:type="dxa"/>
              <w:right w:w="15" w:type="dxa"/>
            </w:tcMar>
            <w:vAlign w:val="center"/>
          </w:tcPr>
          <w:p>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700" w:type="dxa"/>
            <w:vAlign w:val="center"/>
          </w:tcPr>
          <w:p>
            <w:pPr>
              <w:widowControl/>
              <w:spacing w:before="295" w:after="295" w:line="400" w:lineRule="atLeast"/>
              <w:jc w:val="center"/>
              <w:rPr>
                <w:rFonts w:ascii="宋体" w:hAnsi="宋体" w:cs="宋体"/>
                <w:color w:val="auto"/>
                <w:kern w:val="0"/>
                <w:sz w:val="24"/>
                <w:highlight w:val="none"/>
              </w:rPr>
            </w:pPr>
          </w:p>
        </w:tc>
        <w:tc>
          <w:tcPr>
            <w:tcW w:w="1440" w:type="dxa"/>
            <w:vAlign w:val="center"/>
          </w:tcPr>
          <w:p>
            <w:pPr>
              <w:widowControl/>
              <w:spacing w:before="295" w:after="295" w:line="400" w:lineRule="atLeast"/>
              <w:jc w:val="center"/>
              <w:rPr>
                <w:rFonts w:ascii="宋体" w:hAnsi="宋体" w:cs="宋体"/>
                <w:color w:val="auto"/>
                <w:kern w:val="0"/>
                <w:sz w:val="24"/>
                <w:highlight w:val="none"/>
              </w:rPr>
            </w:pPr>
          </w:p>
        </w:tc>
        <w:tc>
          <w:tcPr>
            <w:tcW w:w="1440" w:type="dxa"/>
            <w:tcMar>
              <w:top w:w="15" w:type="dxa"/>
              <w:left w:w="15" w:type="dxa"/>
              <w:bottom w:w="0" w:type="dxa"/>
              <w:right w:w="15" w:type="dxa"/>
            </w:tcMar>
            <w:vAlign w:val="center"/>
          </w:tcPr>
          <w:p>
            <w:pPr>
              <w:widowControl/>
              <w:spacing w:before="295" w:after="295" w:line="400" w:lineRule="atLeast"/>
              <w:jc w:val="center"/>
              <w:rPr>
                <w:rFonts w:ascii="宋体" w:hAnsi="宋体" w:cs="宋体"/>
                <w:color w:val="auto"/>
                <w:kern w:val="0"/>
                <w:sz w:val="24"/>
                <w:highlight w:val="none"/>
              </w:rPr>
            </w:pPr>
          </w:p>
        </w:tc>
        <w:tc>
          <w:tcPr>
            <w:tcW w:w="2340" w:type="dxa"/>
            <w:vAlign w:val="center"/>
          </w:tcPr>
          <w:p>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32"/>
                <w:szCs w:val="32"/>
                <w:highlight w:val="none"/>
              </w:rPr>
              <w:t>%</w:t>
            </w:r>
          </w:p>
        </w:tc>
      </w:tr>
    </w:tbl>
    <w:p>
      <w:pPr>
        <w:widowControl/>
        <w:spacing w:before="50" w:after="50"/>
        <w:rPr>
          <w:rFonts w:ascii="宋体" w:hAnsi="宋体"/>
          <w:color w:val="auto"/>
          <w:spacing w:val="20"/>
          <w:kern w:val="0"/>
          <w:sz w:val="24"/>
          <w:highlight w:val="none"/>
        </w:rPr>
      </w:pPr>
    </w:p>
    <w:p>
      <w:pPr>
        <w:widowControl/>
        <w:spacing w:before="50" w:after="50"/>
        <w:rPr>
          <w:rFonts w:ascii="宋体" w:hAnsi="宋体"/>
          <w:color w:val="auto"/>
          <w:spacing w:val="20"/>
          <w:kern w:val="0"/>
          <w:sz w:val="24"/>
          <w:highlight w:val="none"/>
        </w:rPr>
      </w:pPr>
      <w:r>
        <w:rPr>
          <w:rFonts w:hint="eastAsia" w:ascii="宋体" w:hAnsi="宋体"/>
          <w:color w:val="auto"/>
          <w:sz w:val="24"/>
          <w:highlight w:val="none"/>
        </w:rPr>
        <w:t>法定代表人或被授权人签字（或签章）</w:t>
      </w:r>
      <w:r>
        <w:rPr>
          <w:rFonts w:hint="eastAsia" w:ascii="宋体" w:hAnsi="宋体"/>
          <w:color w:val="auto"/>
          <w:spacing w:val="20"/>
          <w:kern w:val="0"/>
          <w:sz w:val="24"/>
          <w:highlight w:val="none"/>
        </w:rPr>
        <w:t>：</w:t>
      </w:r>
    </w:p>
    <w:p>
      <w:pPr>
        <w:widowControl/>
        <w:spacing w:before="50" w:after="50"/>
        <w:rPr>
          <w:rFonts w:ascii="宋体" w:hAnsi="宋体"/>
          <w:color w:val="auto"/>
          <w:spacing w:val="20"/>
          <w:kern w:val="0"/>
          <w:sz w:val="24"/>
          <w:highlight w:val="none"/>
        </w:rPr>
      </w:pPr>
      <w:r>
        <w:rPr>
          <w:rFonts w:hint="eastAsia" w:ascii="宋体" w:hAnsi="宋体"/>
          <w:color w:val="auto"/>
          <w:spacing w:val="20"/>
          <w:kern w:val="0"/>
          <w:sz w:val="24"/>
          <w:highlight w:val="none"/>
        </w:rPr>
        <w:t xml:space="preserve">投标人盖章：              </w:t>
      </w:r>
    </w:p>
    <w:p>
      <w:pPr>
        <w:widowControl/>
        <w:spacing w:before="50" w:after="50"/>
        <w:rPr>
          <w:rFonts w:ascii="宋体" w:hAnsi="宋体"/>
          <w:color w:val="auto"/>
          <w:spacing w:val="20"/>
          <w:kern w:val="0"/>
          <w:sz w:val="24"/>
          <w:highlight w:val="none"/>
        </w:rPr>
      </w:pPr>
      <w:r>
        <w:rPr>
          <w:rFonts w:hint="eastAsia" w:ascii="宋体" w:hAnsi="宋体"/>
          <w:color w:val="auto"/>
          <w:spacing w:val="20"/>
          <w:kern w:val="0"/>
          <w:sz w:val="24"/>
          <w:highlight w:val="none"/>
        </w:rPr>
        <w:t>日 期：</w:t>
      </w:r>
    </w:p>
    <w:p>
      <w:pPr>
        <w:pStyle w:val="68"/>
        <w:rPr>
          <w:rFonts w:ascii="宋体" w:hAnsi="宋体"/>
          <w:color w:val="auto"/>
          <w:kern w:val="2"/>
          <w:sz w:val="24"/>
          <w:szCs w:val="24"/>
          <w:highlight w:val="none"/>
        </w:rPr>
      </w:pPr>
    </w:p>
    <w:p>
      <w:pPr>
        <w:pStyle w:val="68"/>
        <w:rPr>
          <w:rFonts w:ascii="宋体" w:hAnsi="宋体"/>
          <w:color w:val="auto"/>
          <w:kern w:val="2"/>
          <w:sz w:val="24"/>
          <w:szCs w:val="24"/>
          <w:highlight w:val="none"/>
        </w:rPr>
      </w:pPr>
    </w:p>
    <w:p>
      <w:pPr>
        <w:pStyle w:val="68"/>
        <w:rPr>
          <w:rFonts w:ascii="宋体" w:hAnsi="宋体"/>
          <w:color w:val="auto"/>
          <w:kern w:val="2"/>
          <w:sz w:val="24"/>
          <w:szCs w:val="24"/>
          <w:highlight w:val="none"/>
        </w:rPr>
      </w:pPr>
    </w:p>
    <w:p>
      <w:pPr>
        <w:pStyle w:val="68"/>
        <w:rPr>
          <w:rFonts w:ascii="宋体" w:hAnsi="宋体"/>
          <w:color w:val="auto"/>
          <w:kern w:val="2"/>
          <w:sz w:val="24"/>
          <w:szCs w:val="24"/>
          <w:highlight w:val="none"/>
        </w:rPr>
      </w:pPr>
    </w:p>
    <w:p>
      <w:pPr>
        <w:pStyle w:val="68"/>
        <w:rPr>
          <w:rFonts w:ascii="宋体" w:hAnsi="宋体"/>
          <w:color w:val="auto"/>
          <w:kern w:val="2"/>
          <w:sz w:val="24"/>
          <w:szCs w:val="24"/>
          <w:highlight w:val="none"/>
        </w:rPr>
      </w:pPr>
    </w:p>
    <w:p>
      <w:pPr>
        <w:pStyle w:val="68"/>
        <w:rPr>
          <w:rFonts w:ascii="宋体" w:hAnsi="宋体"/>
          <w:color w:val="auto"/>
          <w:kern w:val="2"/>
          <w:sz w:val="24"/>
          <w:szCs w:val="24"/>
          <w:highlight w:val="none"/>
        </w:rPr>
      </w:pPr>
    </w:p>
    <w:p>
      <w:pPr>
        <w:pStyle w:val="68"/>
        <w:rPr>
          <w:rFonts w:ascii="宋体" w:hAnsi="宋体"/>
          <w:color w:val="auto"/>
          <w:kern w:val="2"/>
          <w:sz w:val="24"/>
          <w:szCs w:val="24"/>
          <w:highlight w:val="none"/>
        </w:rPr>
      </w:pPr>
    </w:p>
    <w:p>
      <w:pPr>
        <w:pStyle w:val="68"/>
        <w:rPr>
          <w:rFonts w:ascii="宋体" w:hAnsi="宋体"/>
          <w:color w:val="auto"/>
          <w:kern w:val="2"/>
          <w:sz w:val="24"/>
          <w:szCs w:val="24"/>
          <w:highlight w:val="none"/>
        </w:rPr>
      </w:pPr>
    </w:p>
    <w:p>
      <w:pPr>
        <w:pStyle w:val="68"/>
        <w:rPr>
          <w:rFonts w:ascii="宋体" w:hAnsi="宋体"/>
          <w:color w:val="auto"/>
          <w:kern w:val="2"/>
          <w:sz w:val="24"/>
          <w:szCs w:val="24"/>
          <w:highlight w:val="none"/>
        </w:rPr>
      </w:pPr>
    </w:p>
    <w:p>
      <w:pPr>
        <w:spacing w:line="400" w:lineRule="exact"/>
        <w:jc w:val="left"/>
        <w:rPr>
          <w:rFonts w:ascii="宋体" w:hAnsi="宋体"/>
          <w:color w:val="auto"/>
          <w:sz w:val="24"/>
          <w:highlight w:val="none"/>
        </w:rPr>
      </w:pPr>
      <w:r>
        <w:rPr>
          <w:rFonts w:hint="eastAsia" w:ascii="宋体" w:hAnsi="宋体"/>
          <w:color w:val="auto"/>
          <w:sz w:val="24"/>
          <w:highlight w:val="none"/>
        </w:rPr>
        <w:t>9、售后服务联系表</w:t>
      </w:r>
    </w:p>
    <w:tbl>
      <w:tblPr>
        <w:tblStyle w:val="37"/>
        <w:tblW w:w="102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2544"/>
        <w:gridCol w:w="1704"/>
        <w:gridCol w:w="1705"/>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Pr>
          <w:p>
            <w:pPr>
              <w:spacing w:line="400" w:lineRule="exact"/>
              <w:jc w:val="center"/>
              <w:rPr>
                <w:rFonts w:ascii="宋体" w:hAnsi="宋体"/>
                <w:color w:val="auto"/>
                <w:sz w:val="24"/>
                <w:highlight w:val="none"/>
              </w:rPr>
            </w:pPr>
            <w:r>
              <w:rPr>
                <w:rFonts w:hint="eastAsia" w:ascii="宋体" w:hAnsi="宋体"/>
                <w:color w:val="auto"/>
                <w:sz w:val="24"/>
                <w:highlight w:val="none"/>
              </w:rPr>
              <w:t>序号</w:t>
            </w:r>
          </w:p>
        </w:tc>
        <w:tc>
          <w:tcPr>
            <w:tcW w:w="2544" w:type="dxa"/>
          </w:tcPr>
          <w:p>
            <w:pPr>
              <w:spacing w:line="400" w:lineRule="exact"/>
              <w:jc w:val="center"/>
              <w:rPr>
                <w:rFonts w:ascii="宋体" w:hAnsi="宋体"/>
                <w:color w:val="auto"/>
                <w:sz w:val="24"/>
                <w:highlight w:val="none"/>
              </w:rPr>
            </w:pPr>
            <w:r>
              <w:rPr>
                <w:rFonts w:hint="eastAsia" w:ascii="宋体" w:hAnsi="宋体"/>
                <w:color w:val="auto"/>
                <w:sz w:val="24"/>
                <w:highlight w:val="none"/>
              </w:rPr>
              <w:t>投标人</w:t>
            </w:r>
          </w:p>
        </w:tc>
        <w:tc>
          <w:tcPr>
            <w:tcW w:w="1704" w:type="dxa"/>
          </w:tcPr>
          <w:p>
            <w:pPr>
              <w:spacing w:line="400" w:lineRule="exact"/>
              <w:jc w:val="center"/>
              <w:rPr>
                <w:rFonts w:ascii="宋体" w:hAnsi="宋体"/>
                <w:color w:val="auto"/>
                <w:sz w:val="24"/>
                <w:highlight w:val="none"/>
              </w:rPr>
            </w:pPr>
            <w:r>
              <w:rPr>
                <w:rFonts w:hint="eastAsia" w:ascii="宋体" w:hAnsi="宋体"/>
                <w:color w:val="auto"/>
                <w:sz w:val="24"/>
                <w:highlight w:val="none"/>
              </w:rPr>
              <w:t>联系人</w:t>
            </w:r>
          </w:p>
        </w:tc>
        <w:tc>
          <w:tcPr>
            <w:tcW w:w="1705" w:type="dxa"/>
          </w:tcPr>
          <w:p>
            <w:pPr>
              <w:spacing w:line="400" w:lineRule="exact"/>
              <w:jc w:val="center"/>
              <w:rPr>
                <w:rFonts w:ascii="宋体" w:hAnsi="宋体"/>
                <w:color w:val="auto"/>
                <w:sz w:val="24"/>
                <w:highlight w:val="none"/>
              </w:rPr>
            </w:pPr>
            <w:r>
              <w:rPr>
                <w:rFonts w:hint="eastAsia" w:ascii="宋体" w:hAnsi="宋体"/>
                <w:color w:val="auto"/>
                <w:sz w:val="24"/>
                <w:highlight w:val="none"/>
              </w:rPr>
              <w:t>技术职称</w:t>
            </w:r>
          </w:p>
        </w:tc>
        <w:tc>
          <w:tcPr>
            <w:tcW w:w="2914" w:type="dxa"/>
          </w:tcPr>
          <w:p>
            <w:pPr>
              <w:spacing w:line="400" w:lineRule="exact"/>
              <w:jc w:val="center"/>
              <w:rPr>
                <w:rFonts w:ascii="宋体" w:hAnsi="宋体"/>
                <w:color w:val="auto"/>
                <w:sz w:val="24"/>
                <w:highlight w:val="none"/>
              </w:rPr>
            </w:pPr>
            <w:r>
              <w:rPr>
                <w:rFonts w:hint="eastAsia"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Pr>
          <w:p>
            <w:pPr>
              <w:spacing w:line="500" w:lineRule="exact"/>
              <w:jc w:val="center"/>
              <w:rPr>
                <w:rFonts w:ascii="宋体" w:hAnsi="宋体"/>
                <w:color w:val="auto"/>
                <w:sz w:val="24"/>
                <w:highlight w:val="none"/>
              </w:rPr>
            </w:pPr>
          </w:p>
        </w:tc>
        <w:tc>
          <w:tcPr>
            <w:tcW w:w="2544" w:type="dxa"/>
          </w:tcPr>
          <w:p>
            <w:pPr>
              <w:spacing w:line="500" w:lineRule="exact"/>
              <w:jc w:val="center"/>
              <w:rPr>
                <w:rFonts w:ascii="宋体" w:hAnsi="宋体"/>
                <w:color w:val="auto"/>
                <w:sz w:val="24"/>
                <w:highlight w:val="none"/>
              </w:rPr>
            </w:pPr>
          </w:p>
        </w:tc>
        <w:tc>
          <w:tcPr>
            <w:tcW w:w="1704" w:type="dxa"/>
          </w:tcPr>
          <w:p>
            <w:pPr>
              <w:spacing w:line="500" w:lineRule="exact"/>
              <w:jc w:val="center"/>
              <w:rPr>
                <w:rFonts w:ascii="宋体" w:hAnsi="宋体"/>
                <w:color w:val="auto"/>
                <w:sz w:val="24"/>
                <w:highlight w:val="none"/>
              </w:rPr>
            </w:pPr>
          </w:p>
        </w:tc>
        <w:tc>
          <w:tcPr>
            <w:tcW w:w="1705" w:type="dxa"/>
          </w:tcPr>
          <w:p>
            <w:pPr>
              <w:spacing w:line="500" w:lineRule="exact"/>
              <w:jc w:val="center"/>
              <w:rPr>
                <w:rFonts w:ascii="宋体" w:hAnsi="宋体"/>
                <w:color w:val="auto"/>
                <w:sz w:val="24"/>
                <w:highlight w:val="none"/>
              </w:rPr>
            </w:pPr>
          </w:p>
        </w:tc>
        <w:tc>
          <w:tcPr>
            <w:tcW w:w="2914" w:type="dxa"/>
          </w:tcPr>
          <w:p>
            <w:pPr>
              <w:spacing w:line="5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Pr>
          <w:p>
            <w:pPr>
              <w:spacing w:line="500" w:lineRule="exact"/>
              <w:jc w:val="center"/>
              <w:rPr>
                <w:rFonts w:ascii="宋体" w:hAnsi="宋体"/>
                <w:color w:val="auto"/>
                <w:sz w:val="24"/>
                <w:highlight w:val="none"/>
              </w:rPr>
            </w:pPr>
          </w:p>
        </w:tc>
        <w:tc>
          <w:tcPr>
            <w:tcW w:w="2544" w:type="dxa"/>
          </w:tcPr>
          <w:p>
            <w:pPr>
              <w:spacing w:line="500" w:lineRule="exact"/>
              <w:jc w:val="center"/>
              <w:rPr>
                <w:rFonts w:ascii="宋体" w:hAnsi="宋体"/>
                <w:color w:val="auto"/>
                <w:sz w:val="24"/>
                <w:highlight w:val="none"/>
              </w:rPr>
            </w:pPr>
          </w:p>
        </w:tc>
        <w:tc>
          <w:tcPr>
            <w:tcW w:w="1704" w:type="dxa"/>
          </w:tcPr>
          <w:p>
            <w:pPr>
              <w:spacing w:line="500" w:lineRule="exact"/>
              <w:jc w:val="center"/>
              <w:rPr>
                <w:rFonts w:ascii="宋体" w:hAnsi="宋体"/>
                <w:color w:val="auto"/>
                <w:sz w:val="24"/>
                <w:highlight w:val="none"/>
              </w:rPr>
            </w:pPr>
          </w:p>
        </w:tc>
        <w:tc>
          <w:tcPr>
            <w:tcW w:w="1705" w:type="dxa"/>
          </w:tcPr>
          <w:p>
            <w:pPr>
              <w:spacing w:line="500" w:lineRule="exact"/>
              <w:jc w:val="center"/>
              <w:rPr>
                <w:rFonts w:ascii="宋体" w:hAnsi="宋体"/>
                <w:color w:val="auto"/>
                <w:sz w:val="24"/>
                <w:highlight w:val="none"/>
              </w:rPr>
            </w:pPr>
          </w:p>
        </w:tc>
        <w:tc>
          <w:tcPr>
            <w:tcW w:w="2914" w:type="dxa"/>
          </w:tcPr>
          <w:p>
            <w:pPr>
              <w:spacing w:line="500" w:lineRule="exact"/>
              <w:jc w:val="center"/>
              <w:rPr>
                <w:rFonts w:ascii="宋体" w:hAnsi="宋体"/>
                <w:color w:val="auto"/>
                <w:sz w:val="24"/>
                <w:highlight w:val="none"/>
              </w:rPr>
            </w:pPr>
          </w:p>
        </w:tc>
      </w:tr>
    </w:tbl>
    <w:p>
      <w:pPr>
        <w:spacing w:before="120" w:beforeLines="50" w:line="240" w:lineRule="exact"/>
        <w:ind w:firstLine="2800" w:firstLineChars="1000"/>
        <w:rPr>
          <w:rFonts w:ascii="宋体" w:hAnsi="宋体"/>
          <w:color w:val="auto"/>
          <w:spacing w:val="20"/>
          <w:sz w:val="24"/>
          <w:highlight w:val="none"/>
        </w:rPr>
      </w:pPr>
    </w:p>
    <w:p>
      <w:pPr>
        <w:spacing w:before="120" w:beforeLines="50" w:line="240" w:lineRule="exact"/>
        <w:ind w:firstLine="2800" w:firstLineChars="1000"/>
        <w:rPr>
          <w:rFonts w:ascii="宋体" w:hAnsi="宋体"/>
          <w:color w:val="auto"/>
          <w:spacing w:val="20"/>
          <w:sz w:val="24"/>
          <w:highlight w:val="none"/>
        </w:rPr>
      </w:pPr>
    </w:p>
    <w:p>
      <w:pPr>
        <w:adjustRightInd w:val="0"/>
        <w:snapToGrid w:val="0"/>
        <w:spacing w:line="360" w:lineRule="auto"/>
        <w:rPr>
          <w:rFonts w:ascii="宋体" w:hAnsi="宋体"/>
          <w:b/>
          <w:color w:val="auto"/>
          <w:sz w:val="32"/>
          <w:szCs w:val="32"/>
          <w:highlight w:val="none"/>
        </w:rPr>
      </w:pPr>
    </w:p>
    <w:p>
      <w:pPr>
        <w:spacing w:line="360" w:lineRule="auto"/>
        <w:ind w:firstLine="2400" w:firstLineChars="1000"/>
        <w:rPr>
          <w:rFonts w:ascii="宋体" w:hAnsi="宋体"/>
          <w:color w:val="auto"/>
          <w:spacing w:val="20"/>
          <w:sz w:val="24"/>
          <w:highlight w:val="none"/>
          <w:u w:val="single"/>
        </w:rPr>
      </w:pPr>
      <w:r>
        <w:rPr>
          <w:rFonts w:hint="eastAsia" w:ascii="宋体" w:hAnsi="宋体"/>
          <w:color w:val="auto"/>
          <w:sz w:val="24"/>
          <w:highlight w:val="none"/>
        </w:rPr>
        <w:t>法定代表人或被授权人签字（或签章）</w:t>
      </w:r>
      <w:r>
        <w:rPr>
          <w:rFonts w:hint="eastAsia" w:ascii="宋体" w:hAnsi="宋体"/>
          <w:color w:val="auto"/>
          <w:spacing w:val="20"/>
          <w:sz w:val="24"/>
          <w:highlight w:val="none"/>
        </w:rPr>
        <w:t>：</w:t>
      </w:r>
    </w:p>
    <w:p>
      <w:pPr>
        <w:spacing w:line="360" w:lineRule="auto"/>
        <w:rPr>
          <w:rFonts w:ascii="宋体" w:hAnsi="宋体"/>
          <w:color w:val="auto"/>
          <w:spacing w:val="20"/>
          <w:sz w:val="24"/>
          <w:highlight w:val="none"/>
          <w:u w:val="single"/>
        </w:rPr>
      </w:pPr>
    </w:p>
    <w:p>
      <w:pPr>
        <w:spacing w:line="360" w:lineRule="auto"/>
        <w:ind w:firstLine="560" w:firstLineChars="200"/>
        <w:rPr>
          <w:rFonts w:ascii="宋体" w:hAnsi="宋体"/>
          <w:color w:val="auto"/>
          <w:spacing w:val="20"/>
          <w:sz w:val="24"/>
          <w:highlight w:val="none"/>
          <w:u w:val="single"/>
        </w:rPr>
      </w:pPr>
      <w:r>
        <w:rPr>
          <w:rFonts w:hint="eastAsia" w:ascii="宋体" w:hAnsi="宋体"/>
          <w:color w:val="auto"/>
          <w:spacing w:val="20"/>
          <w:sz w:val="24"/>
          <w:highlight w:val="none"/>
        </w:rPr>
        <w:t xml:space="preserve">                           投标人盖章：</w:t>
      </w:r>
    </w:p>
    <w:p>
      <w:pPr>
        <w:spacing w:line="360" w:lineRule="auto"/>
        <w:rPr>
          <w:rFonts w:ascii="宋体" w:hAnsi="宋体"/>
          <w:color w:val="auto"/>
          <w:spacing w:val="20"/>
          <w:sz w:val="24"/>
          <w:highlight w:val="none"/>
          <w:u w:val="single"/>
        </w:rPr>
      </w:pPr>
    </w:p>
    <w:p>
      <w:pPr>
        <w:adjustRightInd w:val="0"/>
        <w:snapToGrid w:val="0"/>
        <w:spacing w:line="360" w:lineRule="auto"/>
        <w:rPr>
          <w:rFonts w:ascii="宋体" w:hAnsi="宋体"/>
          <w:b/>
          <w:color w:val="auto"/>
          <w:sz w:val="32"/>
          <w:szCs w:val="32"/>
          <w:highlight w:val="none"/>
        </w:rPr>
      </w:pPr>
      <w:r>
        <w:rPr>
          <w:rFonts w:hint="eastAsia" w:ascii="宋体" w:hAnsi="宋体"/>
          <w:color w:val="auto"/>
          <w:spacing w:val="20"/>
          <w:sz w:val="24"/>
          <w:highlight w:val="none"/>
        </w:rPr>
        <w:t xml:space="preserve">                               日     期：</w:t>
      </w:r>
    </w:p>
    <w:p>
      <w:pPr>
        <w:adjustRightInd w:val="0"/>
        <w:snapToGrid w:val="0"/>
        <w:spacing w:line="360" w:lineRule="auto"/>
        <w:rPr>
          <w:rFonts w:ascii="宋体" w:hAnsi="宋体"/>
          <w:b/>
          <w:color w:val="auto"/>
          <w:sz w:val="32"/>
          <w:szCs w:val="32"/>
          <w:highlight w:val="none"/>
        </w:rPr>
      </w:pPr>
    </w:p>
    <w:p>
      <w:pPr>
        <w:adjustRightInd w:val="0"/>
        <w:snapToGrid w:val="0"/>
        <w:spacing w:line="360" w:lineRule="auto"/>
        <w:rPr>
          <w:rFonts w:ascii="宋体" w:hAnsi="宋体"/>
          <w:b/>
          <w:color w:val="auto"/>
          <w:sz w:val="32"/>
          <w:szCs w:val="32"/>
          <w:highlight w:val="none"/>
        </w:rPr>
      </w:pPr>
    </w:p>
    <w:p>
      <w:pPr>
        <w:adjustRightInd w:val="0"/>
        <w:snapToGrid w:val="0"/>
        <w:spacing w:line="360" w:lineRule="auto"/>
        <w:rPr>
          <w:rFonts w:ascii="宋体" w:hAnsi="宋体"/>
          <w:b/>
          <w:color w:val="auto"/>
          <w:sz w:val="32"/>
          <w:szCs w:val="32"/>
          <w:highlight w:val="none"/>
        </w:rPr>
      </w:pPr>
    </w:p>
    <w:p>
      <w:pPr>
        <w:adjustRightInd w:val="0"/>
        <w:snapToGrid w:val="0"/>
        <w:spacing w:line="360" w:lineRule="auto"/>
        <w:rPr>
          <w:rFonts w:ascii="宋体" w:hAnsi="宋体"/>
          <w:b/>
          <w:color w:val="auto"/>
          <w:sz w:val="32"/>
          <w:szCs w:val="32"/>
          <w:highlight w:val="none"/>
        </w:rPr>
      </w:pPr>
    </w:p>
    <w:p>
      <w:pPr>
        <w:adjustRightInd w:val="0"/>
        <w:snapToGrid w:val="0"/>
        <w:spacing w:line="360" w:lineRule="auto"/>
        <w:rPr>
          <w:rFonts w:ascii="宋体" w:hAnsi="宋体"/>
          <w:b/>
          <w:color w:val="auto"/>
          <w:sz w:val="32"/>
          <w:szCs w:val="32"/>
          <w:highlight w:val="none"/>
        </w:rPr>
      </w:pPr>
    </w:p>
    <w:p>
      <w:pPr>
        <w:adjustRightInd w:val="0"/>
        <w:snapToGrid w:val="0"/>
        <w:spacing w:line="360" w:lineRule="auto"/>
        <w:rPr>
          <w:rFonts w:ascii="宋体" w:hAnsi="宋体"/>
          <w:b/>
          <w:color w:val="auto"/>
          <w:sz w:val="32"/>
          <w:szCs w:val="32"/>
          <w:highlight w:val="none"/>
        </w:rPr>
      </w:pPr>
    </w:p>
    <w:p>
      <w:pPr>
        <w:adjustRightInd w:val="0"/>
        <w:snapToGrid w:val="0"/>
        <w:spacing w:line="360" w:lineRule="auto"/>
        <w:rPr>
          <w:rFonts w:ascii="宋体" w:hAnsi="宋体"/>
          <w:b/>
          <w:color w:val="auto"/>
          <w:sz w:val="32"/>
          <w:szCs w:val="32"/>
          <w:highlight w:val="none"/>
        </w:rPr>
      </w:pPr>
    </w:p>
    <w:p>
      <w:pPr>
        <w:adjustRightInd w:val="0"/>
        <w:snapToGrid w:val="0"/>
        <w:spacing w:line="360" w:lineRule="auto"/>
        <w:rPr>
          <w:rFonts w:ascii="宋体" w:hAnsi="宋体"/>
          <w:b/>
          <w:color w:val="auto"/>
          <w:sz w:val="32"/>
          <w:szCs w:val="32"/>
          <w:highlight w:val="none"/>
        </w:rPr>
      </w:pPr>
    </w:p>
    <w:p>
      <w:pPr>
        <w:adjustRightInd w:val="0"/>
        <w:snapToGrid w:val="0"/>
        <w:spacing w:line="360" w:lineRule="auto"/>
        <w:rPr>
          <w:rFonts w:ascii="宋体" w:hAnsi="宋体"/>
          <w:b/>
          <w:color w:val="auto"/>
          <w:sz w:val="32"/>
          <w:szCs w:val="32"/>
          <w:highlight w:val="none"/>
        </w:rPr>
      </w:pPr>
    </w:p>
    <w:p>
      <w:pPr>
        <w:adjustRightInd w:val="0"/>
        <w:snapToGrid w:val="0"/>
        <w:spacing w:line="360" w:lineRule="auto"/>
        <w:rPr>
          <w:rFonts w:ascii="宋体" w:hAnsi="宋体"/>
          <w:b/>
          <w:color w:val="auto"/>
          <w:sz w:val="32"/>
          <w:szCs w:val="32"/>
          <w:highlight w:val="none"/>
        </w:rPr>
      </w:pPr>
    </w:p>
    <w:p>
      <w:pPr>
        <w:adjustRightInd w:val="0"/>
        <w:snapToGrid w:val="0"/>
        <w:spacing w:line="360" w:lineRule="auto"/>
        <w:rPr>
          <w:rFonts w:ascii="宋体" w:hAnsi="宋体"/>
          <w:b/>
          <w:color w:val="auto"/>
          <w:sz w:val="32"/>
          <w:szCs w:val="32"/>
          <w:highlight w:val="none"/>
        </w:rPr>
      </w:pPr>
    </w:p>
    <w:p>
      <w:pPr>
        <w:adjustRightInd w:val="0"/>
        <w:snapToGrid w:val="0"/>
        <w:spacing w:line="360" w:lineRule="auto"/>
        <w:rPr>
          <w:rFonts w:ascii="宋体" w:hAnsi="宋体"/>
          <w:b/>
          <w:color w:val="auto"/>
          <w:sz w:val="32"/>
          <w:szCs w:val="32"/>
          <w:highlight w:val="none"/>
        </w:rPr>
      </w:pPr>
    </w:p>
    <w:p>
      <w:pPr>
        <w:adjustRightInd w:val="0"/>
        <w:snapToGrid w:val="0"/>
        <w:spacing w:line="360" w:lineRule="auto"/>
        <w:rPr>
          <w:rFonts w:ascii="宋体" w:hAnsi="宋体"/>
          <w:b/>
          <w:color w:val="auto"/>
          <w:sz w:val="32"/>
          <w:szCs w:val="32"/>
          <w:highlight w:val="none"/>
        </w:rPr>
      </w:pPr>
    </w:p>
    <w:p>
      <w:pPr>
        <w:spacing w:before="120" w:beforeLines="50" w:line="360" w:lineRule="auto"/>
        <w:rPr>
          <w:rFonts w:hAnsi="宋体"/>
          <w:b/>
          <w:bCs/>
          <w:color w:val="auto"/>
          <w:sz w:val="30"/>
          <w:szCs w:val="30"/>
          <w:highlight w:val="none"/>
        </w:rPr>
      </w:pPr>
      <w:r>
        <w:rPr>
          <w:rFonts w:hint="eastAsia" w:ascii="宋体" w:hAnsi="宋体"/>
          <w:b/>
          <w:color w:val="auto"/>
          <w:sz w:val="32"/>
          <w:szCs w:val="32"/>
          <w:highlight w:val="none"/>
        </w:rPr>
        <w:t>附件12</w:t>
      </w:r>
      <w:r>
        <w:rPr>
          <w:rFonts w:hint="eastAsia" w:hAnsi="宋体"/>
          <w:b/>
          <w:bCs/>
          <w:color w:val="auto"/>
          <w:sz w:val="30"/>
          <w:szCs w:val="30"/>
          <w:highlight w:val="none"/>
        </w:rPr>
        <w:t xml:space="preserve">                商务条款偏离表</w:t>
      </w:r>
    </w:p>
    <w:p>
      <w:pPr>
        <w:spacing w:before="120" w:beforeLines="50" w:line="360" w:lineRule="auto"/>
        <w:rPr>
          <w:rFonts w:hAnsi="宋体"/>
          <w:color w:val="auto"/>
          <w:sz w:val="24"/>
          <w:highlight w:val="none"/>
        </w:rPr>
      </w:pPr>
      <w:r>
        <w:rPr>
          <w:rFonts w:hint="eastAsia" w:hAnsi="宋体"/>
          <w:color w:val="auto"/>
          <w:sz w:val="24"/>
          <w:highlight w:val="none"/>
        </w:rPr>
        <w:t xml:space="preserve">  请逐条对应招标文件中要求的商务条件，认真填写该表。</w:t>
      </w:r>
    </w:p>
    <w:tbl>
      <w:tblPr>
        <w:tblStyle w:val="37"/>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3161"/>
        <w:gridCol w:w="2434"/>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tcPr>
          <w:p>
            <w:pPr>
              <w:spacing w:before="120" w:beforeLines="50" w:line="360" w:lineRule="auto"/>
              <w:jc w:val="center"/>
              <w:rPr>
                <w:rFonts w:hAnsi="宋体"/>
                <w:color w:val="auto"/>
                <w:sz w:val="24"/>
                <w:highlight w:val="none"/>
              </w:rPr>
            </w:pPr>
            <w:r>
              <w:rPr>
                <w:rFonts w:hint="eastAsia" w:hAnsi="宋体"/>
                <w:color w:val="auto"/>
                <w:sz w:val="24"/>
                <w:highlight w:val="none"/>
              </w:rPr>
              <w:t>序号</w:t>
            </w:r>
          </w:p>
        </w:tc>
        <w:tc>
          <w:tcPr>
            <w:tcW w:w="3161" w:type="dxa"/>
            <w:vAlign w:val="center"/>
          </w:tcPr>
          <w:p>
            <w:pPr>
              <w:spacing w:before="120" w:beforeLines="50" w:line="360" w:lineRule="auto"/>
              <w:jc w:val="center"/>
              <w:rPr>
                <w:rFonts w:hAnsi="宋体"/>
                <w:color w:val="auto"/>
                <w:sz w:val="24"/>
                <w:highlight w:val="none"/>
              </w:rPr>
            </w:pPr>
            <w:r>
              <w:rPr>
                <w:rFonts w:hint="eastAsia" w:hAnsi="宋体"/>
                <w:color w:val="auto"/>
                <w:sz w:val="24"/>
                <w:highlight w:val="none"/>
              </w:rPr>
              <w:t>招标文件的商务条款</w:t>
            </w:r>
          </w:p>
        </w:tc>
        <w:tc>
          <w:tcPr>
            <w:tcW w:w="2434" w:type="dxa"/>
            <w:vAlign w:val="center"/>
          </w:tcPr>
          <w:p>
            <w:pPr>
              <w:spacing w:before="120" w:beforeLines="50" w:line="360" w:lineRule="auto"/>
              <w:jc w:val="center"/>
              <w:rPr>
                <w:rFonts w:hAnsi="宋体"/>
                <w:color w:val="auto"/>
                <w:sz w:val="24"/>
                <w:highlight w:val="none"/>
              </w:rPr>
            </w:pPr>
            <w:r>
              <w:rPr>
                <w:rFonts w:hint="eastAsia" w:hAnsi="宋体"/>
                <w:color w:val="auto"/>
                <w:sz w:val="24"/>
                <w:highlight w:val="none"/>
              </w:rPr>
              <w:t>是否响应</w:t>
            </w:r>
          </w:p>
        </w:tc>
        <w:tc>
          <w:tcPr>
            <w:tcW w:w="2596" w:type="dxa"/>
            <w:vAlign w:val="center"/>
          </w:tcPr>
          <w:p>
            <w:pPr>
              <w:spacing w:before="120" w:beforeLines="50" w:line="360" w:lineRule="auto"/>
              <w:jc w:val="center"/>
              <w:rPr>
                <w:rFonts w:hAnsi="宋体"/>
                <w:color w:val="auto"/>
                <w:sz w:val="24"/>
                <w:highlight w:val="none"/>
              </w:rPr>
            </w:pPr>
            <w:r>
              <w:rPr>
                <w:rFonts w:hint="eastAsia" w:hAnsi="宋体"/>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tcPr>
          <w:p>
            <w:pPr>
              <w:pStyle w:val="73"/>
              <w:spacing w:before="120" w:beforeLines="50" w:afterLines="0"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1</w:t>
            </w:r>
          </w:p>
        </w:tc>
        <w:tc>
          <w:tcPr>
            <w:tcW w:w="3161" w:type="dxa"/>
          </w:tcPr>
          <w:p>
            <w:pPr>
              <w:spacing w:before="120" w:beforeLines="50" w:line="360" w:lineRule="auto"/>
              <w:rPr>
                <w:rFonts w:hAnsi="宋体"/>
                <w:color w:val="auto"/>
                <w:sz w:val="24"/>
                <w:highlight w:val="none"/>
              </w:rPr>
            </w:pPr>
            <w:r>
              <w:rPr>
                <w:rFonts w:hint="eastAsia" w:hAnsi="宋体"/>
                <w:color w:val="auto"/>
                <w:sz w:val="24"/>
                <w:highlight w:val="none"/>
              </w:rPr>
              <w:t>质保期</w:t>
            </w:r>
          </w:p>
        </w:tc>
        <w:tc>
          <w:tcPr>
            <w:tcW w:w="2434" w:type="dxa"/>
          </w:tcPr>
          <w:p>
            <w:pPr>
              <w:pStyle w:val="73"/>
              <w:spacing w:before="120" w:beforeLines="50" w:afterLines="0" w:line="360" w:lineRule="auto"/>
              <w:ind w:firstLine="480"/>
              <w:rPr>
                <w:rFonts w:ascii="宋体" w:hAnsi="宋体"/>
                <w:color w:val="auto"/>
                <w:szCs w:val="24"/>
                <w:highlight w:val="none"/>
              </w:rPr>
            </w:pPr>
          </w:p>
        </w:tc>
        <w:tc>
          <w:tcPr>
            <w:tcW w:w="2596" w:type="dxa"/>
          </w:tcPr>
          <w:p>
            <w:pPr>
              <w:pStyle w:val="73"/>
              <w:spacing w:before="120" w:beforeLines="50" w:afterLines="0" w:line="360" w:lineRule="auto"/>
              <w:ind w:firstLine="480"/>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tcPr>
          <w:p>
            <w:pPr>
              <w:pStyle w:val="73"/>
              <w:spacing w:before="120" w:beforeLines="50" w:afterLines="0"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2</w:t>
            </w:r>
          </w:p>
        </w:tc>
        <w:tc>
          <w:tcPr>
            <w:tcW w:w="3161" w:type="dxa"/>
          </w:tcPr>
          <w:p>
            <w:pPr>
              <w:spacing w:before="120" w:beforeLines="50" w:line="360" w:lineRule="auto"/>
              <w:rPr>
                <w:rFonts w:hAnsi="宋体"/>
                <w:color w:val="auto"/>
                <w:sz w:val="24"/>
                <w:highlight w:val="none"/>
              </w:rPr>
            </w:pPr>
            <w:r>
              <w:rPr>
                <w:rFonts w:hint="eastAsia" w:hAnsi="宋体"/>
                <w:color w:val="auto"/>
                <w:sz w:val="24"/>
                <w:highlight w:val="none"/>
              </w:rPr>
              <w:t>售后技术服务要求</w:t>
            </w:r>
          </w:p>
        </w:tc>
        <w:tc>
          <w:tcPr>
            <w:tcW w:w="2434" w:type="dxa"/>
          </w:tcPr>
          <w:p>
            <w:pPr>
              <w:pStyle w:val="73"/>
              <w:spacing w:before="120" w:beforeLines="50" w:afterLines="0" w:line="360" w:lineRule="auto"/>
              <w:ind w:firstLine="480"/>
              <w:rPr>
                <w:rFonts w:ascii="宋体" w:hAnsi="宋体"/>
                <w:color w:val="auto"/>
                <w:szCs w:val="24"/>
                <w:highlight w:val="none"/>
              </w:rPr>
            </w:pPr>
          </w:p>
        </w:tc>
        <w:tc>
          <w:tcPr>
            <w:tcW w:w="2596" w:type="dxa"/>
          </w:tcPr>
          <w:p>
            <w:pPr>
              <w:pStyle w:val="73"/>
              <w:spacing w:before="120" w:beforeLines="50" w:afterLines="0" w:line="360" w:lineRule="auto"/>
              <w:ind w:firstLine="480"/>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tcPr>
          <w:p>
            <w:pPr>
              <w:pStyle w:val="73"/>
              <w:spacing w:before="120" w:beforeLines="50" w:afterLines="0"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3</w:t>
            </w:r>
          </w:p>
        </w:tc>
        <w:tc>
          <w:tcPr>
            <w:tcW w:w="3161" w:type="dxa"/>
          </w:tcPr>
          <w:p>
            <w:pPr>
              <w:spacing w:before="120" w:beforeLines="50" w:line="360" w:lineRule="auto"/>
              <w:rPr>
                <w:rFonts w:hAnsi="宋体"/>
                <w:color w:val="auto"/>
                <w:sz w:val="24"/>
                <w:highlight w:val="none"/>
              </w:rPr>
            </w:pPr>
            <w:r>
              <w:rPr>
                <w:rFonts w:hint="eastAsia" w:hAnsi="宋体"/>
                <w:color w:val="auto"/>
                <w:sz w:val="24"/>
                <w:highlight w:val="none"/>
              </w:rPr>
              <w:t>交货期及</w:t>
            </w:r>
            <w:r>
              <w:rPr>
                <w:rFonts w:hint="eastAsia" w:hAnsi="宋体"/>
                <w:color w:val="auto"/>
                <w:sz w:val="24"/>
                <w:highlight w:val="none"/>
                <w:lang w:val="en-US" w:eastAsia="zh-CN"/>
              </w:rPr>
              <w:t>交货</w:t>
            </w:r>
            <w:r>
              <w:rPr>
                <w:rFonts w:hint="eastAsia" w:hAnsi="宋体"/>
                <w:color w:val="auto"/>
                <w:sz w:val="24"/>
                <w:highlight w:val="none"/>
              </w:rPr>
              <w:t>地点</w:t>
            </w:r>
          </w:p>
        </w:tc>
        <w:tc>
          <w:tcPr>
            <w:tcW w:w="2434" w:type="dxa"/>
          </w:tcPr>
          <w:p>
            <w:pPr>
              <w:pStyle w:val="73"/>
              <w:spacing w:before="120" w:beforeLines="50" w:afterLines="0" w:line="360" w:lineRule="auto"/>
              <w:ind w:firstLine="480"/>
              <w:rPr>
                <w:rFonts w:ascii="宋体" w:hAnsi="宋体"/>
                <w:color w:val="auto"/>
                <w:szCs w:val="24"/>
                <w:highlight w:val="none"/>
              </w:rPr>
            </w:pPr>
          </w:p>
        </w:tc>
        <w:tc>
          <w:tcPr>
            <w:tcW w:w="2596" w:type="dxa"/>
          </w:tcPr>
          <w:p>
            <w:pPr>
              <w:pStyle w:val="73"/>
              <w:spacing w:before="120" w:beforeLines="50" w:afterLines="0" w:line="360" w:lineRule="auto"/>
              <w:ind w:firstLine="480"/>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tcPr>
          <w:p>
            <w:pPr>
              <w:pStyle w:val="73"/>
              <w:spacing w:before="120" w:beforeLines="50" w:afterLines="0"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4</w:t>
            </w:r>
          </w:p>
        </w:tc>
        <w:tc>
          <w:tcPr>
            <w:tcW w:w="3161" w:type="dxa"/>
          </w:tcPr>
          <w:p>
            <w:pPr>
              <w:spacing w:before="120" w:beforeLines="50" w:line="360" w:lineRule="auto"/>
              <w:rPr>
                <w:rFonts w:hAnsi="宋体"/>
                <w:color w:val="auto"/>
                <w:sz w:val="24"/>
                <w:highlight w:val="none"/>
              </w:rPr>
            </w:pPr>
            <w:r>
              <w:rPr>
                <w:rFonts w:hint="eastAsia" w:hAnsi="宋体"/>
                <w:color w:val="auto"/>
                <w:sz w:val="24"/>
                <w:highlight w:val="none"/>
              </w:rPr>
              <w:t>付款条件</w:t>
            </w:r>
          </w:p>
        </w:tc>
        <w:tc>
          <w:tcPr>
            <w:tcW w:w="2434" w:type="dxa"/>
          </w:tcPr>
          <w:p>
            <w:pPr>
              <w:pStyle w:val="73"/>
              <w:spacing w:before="120" w:beforeLines="50" w:afterLines="0" w:line="360" w:lineRule="auto"/>
              <w:ind w:firstLine="480"/>
              <w:rPr>
                <w:rFonts w:ascii="宋体" w:hAnsi="宋体"/>
                <w:color w:val="auto"/>
                <w:szCs w:val="24"/>
                <w:highlight w:val="none"/>
              </w:rPr>
            </w:pPr>
          </w:p>
        </w:tc>
        <w:tc>
          <w:tcPr>
            <w:tcW w:w="2596" w:type="dxa"/>
          </w:tcPr>
          <w:p>
            <w:pPr>
              <w:pStyle w:val="73"/>
              <w:spacing w:before="120" w:beforeLines="50" w:afterLines="0" w:line="360" w:lineRule="auto"/>
              <w:ind w:firstLine="480"/>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tcPr>
          <w:p>
            <w:pPr>
              <w:pStyle w:val="73"/>
              <w:spacing w:before="120" w:beforeLines="50" w:afterLines="0"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5</w:t>
            </w:r>
          </w:p>
        </w:tc>
        <w:tc>
          <w:tcPr>
            <w:tcW w:w="3161" w:type="dxa"/>
          </w:tcPr>
          <w:p>
            <w:pPr>
              <w:spacing w:before="120" w:beforeLines="50" w:line="360" w:lineRule="auto"/>
              <w:jc w:val="left"/>
              <w:rPr>
                <w:rFonts w:hAnsi="宋体"/>
                <w:color w:val="auto"/>
                <w:sz w:val="24"/>
                <w:highlight w:val="none"/>
              </w:rPr>
            </w:pPr>
            <w:r>
              <w:rPr>
                <w:rFonts w:hint="eastAsia" w:hAnsi="宋体"/>
                <w:color w:val="auto"/>
                <w:sz w:val="24"/>
                <w:highlight w:val="none"/>
              </w:rPr>
              <w:t>备品备件及耗材等要求</w:t>
            </w:r>
          </w:p>
        </w:tc>
        <w:tc>
          <w:tcPr>
            <w:tcW w:w="2434" w:type="dxa"/>
          </w:tcPr>
          <w:p>
            <w:pPr>
              <w:pStyle w:val="73"/>
              <w:spacing w:before="120" w:beforeLines="50" w:afterLines="0" w:line="360" w:lineRule="auto"/>
              <w:ind w:firstLine="480"/>
              <w:rPr>
                <w:rFonts w:ascii="宋体" w:hAnsi="宋体"/>
                <w:color w:val="auto"/>
                <w:szCs w:val="24"/>
                <w:highlight w:val="none"/>
              </w:rPr>
            </w:pPr>
          </w:p>
        </w:tc>
        <w:tc>
          <w:tcPr>
            <w:tcW w:w="2596" w:type="dxa"/>
          </w:tcPr>
          <w:p>
            <w:pPr>
              <w:pStyle w:val="73"/>
              <w:spacing w:before="120" w:beforeLines="50" w:afterLines="0" w:line="360" w:lineRule="auto"/>
              <w:ind w:firstLine="480"/>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tcPr>
          <w:p>
            <w:pPr>
              <w:spacing w:before="120" w:beforeLines="50" w:line="360" w:lineRule="auto"/>
              <w:rPr>
                <w:rFonts w:hAnsi="宋体"/>
                <w:color w:val="auto"/>
                <w:sz w:val="24"/>
                <w:highlight w:val="none"/>
              </w:rPr>
            </w:pPr>
          </w:p>
        </w:tc>
        <w:tc>
          <w:tcPr>
            <w:tcW w:w="3161" w:type="dxa"/>
          </w:tcPr>
          <w:p>
            <w:pPr>
              <w:spacing w:before="120" w:beforeLines="50" w:line="360" w:lineRule="auto"/>
              <w:rPr>
                <w:rFonts w:hAnsi="宋体"/>
                <w:color w:val="auto"/>
                <w:sz w:val="24"/>
                <w:highlight w:val="none"/>
              </w:rPr>
            </w:pPr>
            <w:r>
              <w:rPr>
                <w:rFonts w:hint="eastAsia" w:hAnsi="宋体"/>
                <w:color w:val="auto"/>
                <w:sz w:val="24"/>
                <w:highlight w:val="none"/>
              </w:rPr>
              <w:t>…</w:t>
            </w:r>
          </w:p>
        </w:tc>
        <w:tc>
          <w:tcPr>
            <w:tcW w:w="2434" w:type="dxa"/>
          </w:tcPr>
          <w:p>
            <w:pPr>
              <w:spacing w:before="120" w:beforeLines="50" w:line="360" w:lineRule="auto"/>
              <w:rPr>
                <w:rFonts w:hAnsi="宋体"/>
                <w:color w:val="auto"/>
                <w:sz w:val="24"/>
                <w:highlight w:val="none"/>
              </w:rPr>
            </w:pPr>
          </w:p>
        </w:tc>
        <w:tc>
          <w:tcPr>
            <w:tcW w:w="2596" w:type="dxa"/>
          </w:tcPr>
          <w:p>
            <w:pPr>
              <w:spacing w:before="120" w:beforeLines="50" w:line="360" w:lineRule="auto"/>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tcPr>
          <w:p>
            <w:pPr>
              <w:spacing w:before="120" w:beforeLines="50" w:line="360" w:lineRule="auto"/>
              <w:rPr>
                <w:rFonts w:hAnsi="宋体"/>
                <w:color w:val="auto"/>
                <w:sz w:val="24"/>
                <w:highlight w:val="none"/>
              </w:rPr>
            </w:pPr>
          </w:p>
        </w:tc>
        <w:tc>
          <w:tcPr>
            <w:tcW w:w="3161" w:type="dxa"/>
          </w:tcPr>
          <w:p>
            <w:pPr>
              <w:spacing w:before="120" w:beforeLines="50" w:line="360" w:lineRule="auto"/>
              <w:rPr>
                <w:rFonts w:hAnsi="宋体"/>
                <w:color w:val="auto"/>
                <w:sz w:val="24"/>
                <w:highlight w:val="none"/>
              </w:rPr>
            </w:pPr>
          </w:p>
        </w:tc>
        <w:tc>
          <w:tcPr>
            <w:tcW w:w="2434" w:type="dxa"/>
          </w:tcPr>
          <w:p>
            <w:pPr>
              <w:spacing w:before="120" w:beforeLines="50" w:line="360" w:lineRule="auto"/>
              <w:rPr>
                <w:rFonts w:hAnsi="宋体"/>
                <w:color w:val="auto"/>
                <w:sz w:val="24"/>
                <w:highlight w:val="none"/>
              </w:rPr>
            </w:pPr>
          </w:p>
        </w:tc>
        <w:tc>
          <w:tcPr>
            <w:tcW w:w="2596" w:type="dxa"/>
          </w:tcPr>
          <w:p>
            <w:pPr>
              <w:spacing w:before="120" w:beforeLines="50" w:line="360" w:lineRule="auto"/>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tcPr>
          <w:p>
            <w:pPr>
              <w:spacing w:before="120" w:beforeLines="50" w:line="360" w:lineRule="auto"/>
              <w:rPr>
                <w:rFonts w:hAnsi="宋体"/>
                <w:color w:val="auto"/>
                <w:sz w:val="24"/>
                <w:highlight w:val="none"/>
              </w:rPr>
            </w:pPr>
          </w:p>
        </w:tc>
        <w:tc>
          <w:tcPr>
            <w:tcW w:w="3161" w:type="dxa"/>
          </w:tcPr>
          <w:p>
            <w:pPr>
              <w:spacing w:before="120" w:beforeLines="50" w:line="360" w:lineRule="auto"/>
              <w:rPr>
                <w:rFonts w:hAnsi="宋体"/>
                <w:color w:val="auto"/>
                <w:sz w:val="24"/>
                <w:highlight w:val="none"/>
              </w:rPr>
            </w:pPr>
          </w:p>
        </w:tc>
        <w:tc>
          <w:tcPr>
            <w:tcW w:w="2434" w:type="dxa"/>
          </w:tcPr>
          <w:p>
            <w:pPr>
              <w:spacing w:before="120" w:beforeLines="50" w:line="360" w:lineRule="auto"/>
              <w:rPr>
                <w:rFonts w:hAnsi="宋体"/>
                <w:color w:val="auto"/>
                <w:sz w:val="24"/>
                <w:highlight w:val="none"/>
              </w:rPr>
            </w:pPr>
          </w:p>
        </w:tc>
        <w:tc>
          <w:tcPr>
            <w:tcW w:w="2596" w:type="dxa"/>
          </w:tcPr>
          <w:p>
            <w:pPr>
              <w:spacing w:before="120" w:beforeLines="50" w:line="360" w:lineRule="auto"/>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tcPr>
          <w:p>
            <w:pPr>
              <w:spacing w:before="120" w:beforeLines="50" w:line="360" w:lineRule="auto"/>
              <w:rPr>
                <w:rFonts w:hAnsi="宋体"/>
                <w:color w:val="auto"/>
                <w:sz w:val="24"/>
                <w:highlight w:val="none"/>
              </w:rPr>
            </w:pPr>
          </w:p>
        </w:tc>
        <w:tc>
          <w:tcPr>
            <w:tcW w:w="3161" w:type="dxa"/>
          </w:tcPr>
          <w:p>
            <w:pPr>
              <w:spacing w:before="120" w:beforeLines="50" w:line="360" w:lineRule="auto"/>
              <w:rPr>
                <w:rFonts w:hAnsi="宋体"/>
                <w:color w:val="auto"/>
                <w:sz w:val="24"/>
                <w:highlight w:val="none"/>
              </w:rPr>
            </w:pPr>
          </w:p>
        </w:tc>
        <w:tc>
          <w:tcPr>
            <w:tcW w:w="2434" w:type="dxa"/>
          </w:tcPr>
          <w:p>
            <w:pPr>
              <w:spacing w:before="120" w:beforeLines="50" w:line="360" w:lineRule="auto"/>
              <w:rPr>
                <w:rFonts w:hAnsi="宋体"/>
                <w:color w:val="auto"/>
                <w:sz w:val="24"/>
                <w:highlight w:val="none"/>
              </w:rPr>
            </w:pPr>
          </w:p>
        </w:tc>
        <w:tc>
          <w:tcPr>
            <w:tcW w:w="2596" w:type="dxa"/>
          </w:tcPr>
          <w:p>
            <w:pPr>
              <w:spacing w:before="120" w:beforeLines="50" w:line="360" w:lineRule="auto"/>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tcPr>
          <w:p>
            <w:pPr>
              <w:spacing w:before="120" w:beforeLines="50" w:line="360" w:lineRule="auto"/>
              <w:rPr>
                <w:rFonts w:hAnsi="宋体"/>
                <w:color w:val="auto"/>
                <w:sz w:val="24"/>
                <w:highlight w:val="none"/>
              </w:rPr>
            </w:pPr>
          </w:p>
        </w:tc>
        <w:tc>
          <w:tcPr>
            <w:tcW w:w="3161" w:type="dxa"/>
          </w:tcPr>
          <w:p>
            <w:pPr>
              <w:spacing w:before="120" w:beforeLines="50" w:line="360" w:lineRule="auto"/>
              <w:rPr>
                <w:rFonts w:hAnsi="宋体"/>
                <w:color w:val="auto"/>
                <w:sz w:val="24"/>
                <w:highlight w:val="none"/>
              </w:rPr>
            </w:pPr>
          </w:p>
        </w:tc>
        <w:tc>
          <w:tcPr>
            <w:tcW w:w="2434" w:type="dxa"/>
          </w:tcPr>
          <w:p>
            <w:pPr>
              <w:spacing w:before="120" w:beforeLines="50" w:line="360" w:lineRule="auto"/>
              <w:rPr>
                <w:rFonts w:hAnsi="宋体"/>
                <w:color w:val="auto"/>
                <w:sz w:val="24"/>
                <w:highlight w:val="none"/>
              </w:rPr>
            </w:pPr>
          </w:p>
        </w:tc>
        <w:tc>
          <w:tcPr>
            <w:tcW w:w="2596" w:type="dxa"/>
          </w:tcPr>
          <w:p>
            <w:pPr>
              <w:spacing w:before="120" w:beforeLines="50" w:line="360" w:lineRule="auto"/>
              <w:rPr>
                <w:rFonts w:hAnsi="宋体"/>
                <w:color w:val="auto"/>
                <w:sz w:val="24"/>
                <w:highlight w:val="none"/>
              </w:rPr>
            </w:pPr>
          </w:p>
        </w:tc>
      </w:tr>
    </w:tbl>
    <w:p>
      <w:pPr>
        <w:spacing w:before="120" w:beforeLines="50" w:line="360" w:lineRule="auto"/>
        <w:ind w:firstLine="1200" w:firstLineChars="500"/>
        <w:rPr>
          <w:rFonts w:hAnsi="宋体"/>
          <w:color w:val="auto"/>
          <w:sz w:val="24"/>
          <w:highlight w:val="none"/>
        </w:rPr>
      </w:pPr>
    </w:p>
    <w:p>
      <w:pPr>
        <w:spacing w:before="120" w:beforeLines="50" w:line="360" w:lineRule="auto"/>
        <w:ind w:firstLine="1200" w:firstLineChars="500"/>
        <w:rPr>
          <w:rFonts w:hAnsi="宋体"/>
          <w:color w:val="auto"/>
          <w:sz w:val="24"/>
          <w:highlight w:val="none"/>
        </w:rPr>
      </w:pPr>
    </w:p>
    <w:p>
      <w:pPr>
        <w:spacing w:line="360" w:lineRule="auto"/>
        <w:ind w:firstLine="2160" w:firstLineChars="900"/>
        <w:rPr>
          <w:rFonts w:ascii="宋体" w:hAnsi="宋体"/>
          <w:color w:val="auto"/>
          <w:spacing w:val="20"/>
          <w:sz w:val="24"/>
          <w:highlight w:val="none"/>
          <w:u w:val="single"/>
        </w:rPr>
      </w:pPr>
      <w:r>
        <w:rPr>
          <w:rFonts w:hint="eastAsia" w:ascii="宋体" w:hAnsi="宋体"/>
          <w:color w:val="auto"/>
          <w:sz w:val="24"/>
          <w:highlight w:val="none"/>
        </w:rPr>
        <w:t>法定代表人或被授权人签字（或签章）</w:t>
      </w:r>
      <w:r>
        <w:rPr>
          <w:rFonts w:hint="eastAsia" w:ascii="宋体" w:hAnsi="宋体"/>
          <w:color w:val="auto"/>
          <w:spacing w:val="20"/>
          <w:sz w:val="24"/>
          <w:highlight w:val="none"/>
        </w:rPr>
        <w:t>：</w:t>
      </w:r>
    </w:p>
    <w:p>
      <w:pPr>
        <w:spacing w:line="360" w:lineRule="auto"/>
        <w:ind w:firstLine="560" w:firstLineChars="200"/>
        <w:rPr>
          <w:rFonts w:ascii="宋体" w:hAnsi="宋体"/>
          <w:color w:val="auto"/>
          <w:spacing w:val="20"/>
          <w:sz w:val="24"/>
          <w:highlight w:val="none"/>
          <w:u w:val="single"/>
        </w:rPr>
      </w:pPr>
    </w:p>
    <w:p>
      <w:pPr>
        <w:spacing w:line="360" w:lineRule="auto"/>
        <w:ind w:firstLine="560" w:firstLineChars="200"/>
        <w:rPr>
          <w:rFonts w:ascii="宋体" w:hAnsi="宋体"/>
          <w:color w:val="auto"/>
          <w:spacing w:val="20"/>
          <w:sz w:val="24"/>
          <w:highlight w:val="none"/>
          <w:u w:val="single"/>
        </w:rPr>
      </w:pPr>
      <w:r>
        <w:rPr>
          <w:rFonts w:hint="eastAsia" w:ascii="宋体" w:hAnsi="宋体"/>
          <w:color w:val="auto"/>
          <w:spacing w:val="20"/>
          <w:sz w:val="24"/>
          <w:highlight w:val="none"/>
        </w:rPr>
        <w:t xml:space="preserve">                          投标人盖章：</w:t>
      </w:r>
    </w:p>
    <w:p>
      <w:pPr>
        <w:spacing w:line="360" w:lineRule="auto"/>
        <w:ind w:firstLine="560" w:firstLineChars="200"/>
        <w:rPr>
          <w:rFonts w:ascii="宋体" w:hAnsi="宋体"/>
          <w:color w:val="auto"/>
          <w:spacing w:val="20"/>
          <w:sz w:val="24"/>
          <w:highlight w:val="none"/>
          <w:u w:val="single"/>
        </w:rPr>
      </w:pPr>
    </w:p>
    <w:p>
      <w:pPr>
        <w:spacing w:line="360" w:lineRule="auto"/>
        <w:ind w:firstLine="4760" w:firstLineChars="1700"/>
        <w:rPr>
          <w:rFonts w:ascii="宋体" w:hAnsi="宋体"/>
          <w:color w:val="auto"/>
          <w:highlight w:val="none"/>
          <w:u w:val="single"/>
        </w:rPr>
      </w:pPr>
      <w:r>
        <w:rPr>
          <w:rFonts w:hint="eastAsia" w:ascii="宋体" w:hAnsi="宋体"/>
          <w:color w:val="auto"/>
          <w:spacing w:val="20"/>
          <w:sz w:val="24"/>
          <w:highlight w:val="none"/>
        </w:rPr>
        <w:t>日     期：</w:t>
      </w:r>
    </w:p>
    <w:p>
      <w:pPr>
        <w:spacing w:line="360" w:lineRule="auto"/>
        <w:rPr>
          <w:rFonts w:ascii="宋体" w:hAnsi="宋体"/>
          <w:color w:val="auto"/>
          <w:highlight w:val="none"/>
          <w:u w:val="single"/>
        </w:rPr>
      </w:pPr>
    </w:p>
    <w:p>
      <w:pPr>
        <w:spacing w:line="360" w:lineRule="auto"/>
        <w:rPr>
          <w:rFonts w:ascii="宋体" w:hAnsi="宋体"/>
          <w:color w:val="auto"/>
          <w:highlight w:val="none"/>
          <w:u w:val="single"/>
        </w:rPr>
      </w:pPr>
    </w:p>
    <w:p>
      <w:pPr>
        <w:adjustRightInd w:val="0"/>
        <w:snapToGrid w:val="0"/>
        <w:spacing w:line="400" w:lineRule="atLeast"/>
        <w:rPr>
          <w:rFonts w:hAnsi="宋体"/>
          <w:color w:val="auto"/>
          <w:sz w:val="22"/>
          <w:szCs w:val="22"/>
          <w:highlight w:val="none"/>
        </w:rPr>
      </w:pPr>
    </w:p>
    <w:p>
      <w:pPr>
        <w:adjustRightInd w:val="0"/>
        <w:snapToGrid w:val="0"/>
        <w:spacing w:line="400" w:lineRule="atLeast"/>
        <w:rPr>
          <w:rFonts w:hAnsi="宋体"/>
          <w:color w:val="auto"/>
          <w:sz w:val="22"/>
          <w:szCs w:val="22"/>
          <w:highlight w:val="none"/>
        </w:rPr>
      </w:pPr>
    </w:p>
    <w:p>
      <w:pPr>
        <w:adjustRightInd w:val="0"/>
        <w:snapToGrid w:val="0"/>
        <w:spacing w:line="400" w:lineRule="atLeast"/>
        <w:rPr>
          <w:rFonts w:hAnsi="宋体"/>
          <w:color w:val="auto"/>
          <w:sz w:val="22"/>
          <w:szCs w:val="22"/>
          <w:highlight w:val="none"/>
        </w:rPr>
      </w:pPr>
    </w:p>
    <w:p>
      <w:pPr>
        <w:snapToGrid w:val="0"/>
        <w:spacing w:before="50" w:after="50"/>
        <w:ind w:left="-20" w:leftChars="-72" w:right="-817" w:rightChars="-389" w:hanging="131" w:hangingChars="62"/>
        <w:outlineLvl w:val="1"/>
        <w:rPr>
          <w:rFonts w:ascii="宋体" w:hAnsi="宋体"/>
          <w:b/>
          <w:color w:val="auto"/>
          <w:szCs w:val="28"/>
          <w:highlight w:val="none"/>
        </w:rPr>
      </w:pPr>
    </w:p>
    <w:p>
      <w:pPr>
        <w:adjustRightInd w:val="0"/>
        <w:snapToGrid w:val="0"/>
        <w:spacing w:line="360" w:lineRule="auto"/>
        <w:rPr>
          <w:rFonts w:ascii="宋体" w:hAnsi="宋体"/>
          <w:b/>
          <w:color w:val="auto"/>
          <w:sz w:val="32"/>
          <w:szCs w:val="32"/>
          <w:highlight w:val="none"/>
        </w:rPr>
      </w:pPr>
    </w:p>
    <w:p>
      <w:pPr>
        <w:adjustRightInd w:val="0"/>
        <w:snapToGrid w:val="0"/>
        <w:spacing w:line="360" w:lineRule="auto"/>
        <w:rPr>
          <w:rFonts w:ascii="宋体" w:hAnsi="宋体"/>
          <w:b/>
          <w:color w:val="auto"/>
          <w:sz w:val="32"/>
          <w:szCs w:val="32"/>
          <w:highlight w:val="none"/>
        </w:rPr>
      </w:pPr>
      <w:r>
        <w:rPr>
          <w:rFonts w:hint="eastAsia" w:ascii="宋体" w:hAnsi="宋体"/>
          <w:b/>
          <w:color w:val="auto"/>
          <w:sz w:val="32"/>
          <w:szCs w:val="32"/>
          <w:highlight w:val="none"/>
        </w:rPr>
        <w:t>附件13                    投标函</w:t>
      </w:r>
    </w:p>
    <w:p>
      <w:pPr>
        <w:adjustRightInd w:val="0"/>
        <w:snapToGrid w:val="0"/>
        <w:spacing w:line="360" w:lineRule="auto"/>
        <w:rPr>
          <w:color w:val="auto"/>
          <w:sz w:val="24"/>
          <w:highlight w:val="none"/>
        </w:rPr>
      </w:pPr>
    </w:p>
    <w:p>
      <w:pPr>
        <w:adjustRightInd w:val="0"/>
        <w:snapToGrid w:val="0"/>
        <w:spacing w:line="360" w:lineRule="auto"/>
        <w:rPr>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根据贵方为</w:t>
      </w:r>
      <w:r>
        <w:rPr>
          <w:rFonts w:hint="eastAsia"/>
          <w:color w:val="auto"/>
          <w:sz w:val="24"/>
          <w:highlight w:val="none"/>
          <w:u w:val="single"/>
        </w:rPr>
        <w:t xml:space="preserve">                                              </w:t>
      </w:r>
      <w:r>
        <w:rPr>
          <w:rFonts w:hint="eastAsia"/>
          <w:color w:val="auto"/>
          <w:sz w:val="24"/>
          <w:highlight w:val="none"/>
        </w:rPr>
        <w:t xml:space="preserve"> </w:t>
      </w:r>
      <w:r>
        <w:rPr>
          <w:color w:val="auto"/>
          <w:sz w:val="24"/>
          <w:highlight w:val="none"/>
        </w:rPr>
        <w:t>的</w:t>
      </w:r>
      <w:r>
        <w:rPr>
          <w:rFonts w:hint="eastAsia"/>
          <w:color w:val="auto"/>
          <w:sz w:val="24"/>
          <w:highlight w:val="none"/>
        </w:rPr>
        <w:t>招</w:t>
      </w:r>
      <w:r>
        <w:rPr>
          <w:color w:val="auto"/>
          <w:sz w:val="24"/>
          <w:highlight w:val="none"/>
        </w:rPr>
        <w:t>标</w:t>
      </w:r>
      <w:r>
        <w:rPr>
          <w:rFonts w:hint="eastAsia"/>
          <w:color w:val="auto"/>
          <w:sz w:val="24"/>
          <w:highlight w:val="none"/>
        </w:rPr>
        <w:t>公告（</w:t>
      </w:r>
      <w:r>
        <w:rPr>
          <w:rFonts w:hint="eastAsia" w:cs="Arial"/>
          <w:bCs/>
          <w:color w:val="auto"/>
          <w:sz w:val="24"/>
          <w:highlight w:val="none"/>
        </w:rPr>
        <w:t>项目编号：</w:t>
      </w:r>
      <w:r>
        <w:rPr>
          <w:rFonts w:hint="eastAsia" w:cs="Arial"/>
          <w:bCs/>
          <w:color w:val="auto"/>
          <w:sz w:val="24"/>
          <w:highlight w:val="none"/>
          <w:u w:val="single"/>
        </w:rPr>
        <w:t xml:space="preserve">            </w:t>
      </w:r>
      <w:r>
        <w:rPr>
          <w:rFonts w:hint="eastAsia"/>
          <w:color w:val="auto"/>
          <w:sz w:val="24"/>
          <w:highlight w:val="none"/>
        </w:rPr>
        <w:t>）</w:t>
      </w:r>
      <w:r>
        <w:rPr>
          <w:color w:val="auto"/>
          <w:sz w:val="24"/>
          <w:highlight w:val="none"/>
        </w:rPr>
        <w:t>，签字代表____________________（全名）经正式授权并代表投标</w:t>
      </w:r>
      <w:r>
        <w:rPr>
          <w:rFonts w:hint="eastAsia"/>
          <w:color w:val="auto"/>
          <w:sz w:val="24"/>
          <w:highlight w:val="none"/>
        </w:rPr>
        <w:t>人</w:t>
      </w:r>
      <w:r>
        <w:rPr>
          <w:color w:val="auto"/>
          <w:sz w:val="24"/>
          <w:highlight w:val="none"/>
        </w:rPr>
        <w:t>________________________________________（投标</w:t>
      </w:r>
      <w:r>
        <w:rPr>
          <w:rFonts w:hint="eastAsia"/>
          <w:color w:val="auto"/>
          <w:sz w:val="24"/>
          <w:highlight w:val="none"/>
        </w:rPr>
        <w:t>人</w:t>
      </w:r>
      <w:r>
        <w:rPr>
          <w:color w:val="auto"/>
          <w:sz w:val="24"/>
          <w:highlight w:val="none"/>
        </w:rPr>
        <w:t>名称）提交</w:t>
      </w:r>
      <w:r>
        <w:rPr>
          <w:rFonts w:hint="eastAsia" w:ascii="宋体" w:hAnsi="宋体"/>
          <w:color w:val="auto"/>
          <w:sz w:val="24"/>
          <w:highlight w:val="none"/>
        </w:rPr>
        <w:t>标项</w:t>
      </w:r>
      <w:r>
        <w:rPr>
          <w:rFonts w:hint="eastAsia" w:ascii="宋体" w:hAnsi="宋体"/>
          <w:color w:val="auto"/>
          <w:sz w:val="24"/>
          <w:highlight w:val="none"/>
          <w:u w:val="single"/>
        </w:rPr>
        <w:t xml:space="preserve">       </w:t>
      </w:r>
      <w:r>
        <w:rPr>
          <w:rFonts w:hint="eastAsia" w:ascii="宋体" w:hAnsi="宋体"/>
          <w:color w:val="auto"/>
          <w:sz w:val="24"/>
          <w:highlight w:val="none"/>
        </w:rPr>
        <w:t>的</w:t>
      </w:r>
      <w:r>
        <w:rPr>
          <w:rFonts w:hint="eastAsia"/>
          <w:color w:val="auto"/>
          <w:sz w:val="24"/>
          <w:highlight w:val="none"/>
        </w:rPr>
        <w:t>资信技术文件、报价文件</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据此函，</w:t>
      </w:r>
      <w:r>
        <w:rPr>
          <w:rFonts w:hint="eastAsia"/>
          <w:color w:val="auto"/>
          <w:sz w:val="24"/>
          <w:highlight w:val="none"/>
        </w:rPr>
        <w:t>签字代表宣布同意如下：</w:t>
      </w:r>
    </w:p>
    <w:p>
      <w:pPr>
        <w:adjustRightInd w:val="0"/>
        <w:snapToGrid w:val="0"/>
        <w:spacing w:line="360" w:lineRule="auto"/>
        <w:ind w:firstLine="480" w:firstLineChars="200"/>
        <w:rPr>
          <w:color w:val="auto"/>
          <w:sz w:val="24"/>
          <w:highlight w:val="none"/>
        </w:rPr>
      </w:pPr>
      <w:r>
        <w:rPr>
          <w:rFonts w:hint="eastAsia"/>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adjustRightInd w:val="0"/>
        <w:snapToGrid w:val="0"/>
        <w:spacing w:line="360" w:lineRule="auto"/>
        <w:ind w:firstLine="480" w:firstLineChars="200"/>
        <w:rPr>
          <w:color w:val="auto"/>
          <w:sz w:val="24"/>
          <w:highlight w:val="none"/>
        </w:rPr>
      </w:pPr>
      <w:r>
        <w:rPr>
          <w:rFonts w:hint="eastAsia"/>
          <w:color w:val="auto"/>
          <w:sz w:val="24"/>
          <w:highlight w:val="none"/>
        </w:rPr>
        <w:t>2、投标人在投标之前已经与贵方进行了充分的沟通，完全理解并接受招标文件的各项规定和要求，对招标文件的合理性、合法性不再有异议。</w:t>
      </w:r>
    </w:p>
    <w:p>
      <w:pPr>
        <w:adjustRightInd w:val="0"/>
        <w:snapToGrid w:val="0"/>
        <w:spacing w:line="360" w:lineRule="auto"/>
        <w:ind w:firstLine="480" w:firstLineChars="200"/>
        <w:rPr>
          <w:color w:val="auto"/>
          <w:sz w:val="24"/>
          <w:highlight w:val="none"/>
        </w:rPr>
      </w:pPr>
      <w:r>
        <w:rPr>
          <w:rFonts w:hint="eastAsia"/>
          <w:color w:val="auto"/>
          <w:sz w:val="24"/>
          <w:highlight w:val="none"/>
        </w:rPr>
        <w:t>3、本投标有效期自开标日起90个日历天</w:t>
      </w:r>
      <w:r>
        <w:rPr>
          <w:color w:val="auto"/>
          <w:sz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4、如中标，本投标文件至本项目合同履行完毕止均保持有效，本投标人将按“招标文件”及政府采购法律、法规的规定履行合同责任和义务。</w:t>
      </w:r>
    </w:p>
    <w:p>
      <w:pPr>
        <w:adjustRightInd w:val="0"/>
        <w:snapToGrid w:val="0"/>
        <w:spacing w:line="360" w:lineRule="auto"/>
        <w:ind w:firstLine="480" w:firstLineChars="200"/>
        <w:rPr>
          <w:color w:val="auto"/>
          <w:sz w:val="24"/>
          <w:highlight w:val="none"/>
        </w:rPr>
      </w:pPr>
      <w:r>
        <w:rPr>
          <w:rFonts w:hint="eastAsia"/>
          <w:color w:val="auto"/>
          <w:sz w:val="24"/>
          <w:highlight w:val="none"/>
        </w:rPr>
        <w:t>5、投标人同意按照贵方要求提供与投标有关的一切数据或资料，并保证其真实性、合法性。</w:t>
      </w:r>
    </w:p>
    <w:p>
      <w:pPr>
        <w:adjustRightInd w:val="0"/>
        <w:snapToGrid w:val="0"/>
        <w:spacing w:line="360" w:lineRule="auto"/>
        <w:ind w:firstLine="480" w:firstLineChars="200"/>
        <w:rPr>
          <w:color w:val="auto"/>
          <w:sz w:val="24"/>
          <w:highlight w:val="none"/>
        </w:rPr>
      </w:pPr>
      <w:r>
        <w:rPr>
          <w:rFonts w:hint="eastAsia"/>
          <w:color w:val="auto"/>
          <w:sz w:val="24"/>
          <w:highlight w:val="none"/>
        </w:rPr>
        <w:t>6、与本投标有关的一切正式往来信函请寄：</w:t>
      </w:r>
    </w:p>
    <w:p>
      <w:pPr>
        <w:adjustRightInd w:val="0"/>
        <w:snapToGrid w:val="0"/>
        <w:spacing w:line="360" w:lineRule="auto"/>
        <w:rPr>
          <w:color w:val="auto"/>
          <w:sz w:val="24"/>
          <w:highlight w:val="none"/>
        </w:rPr>
      </w:pPr>
      <w:r>
        <w:rPr>
          <w:rFonts w:hint="eastAsia"/>
          <w:color w:val="auto"/>
          <w:sz w:val="24"/>
          <w:highlight w:val="none"/>
        </w:rPr>
        <w:t>地址：</w:t>
      </w:r>
      <w:r>
        <w:rPr>
          <w:color w:val="auto"/>
          <w:sz w:val="24"/>
          <w:highlight w:val="none"/>
        </w:rPr>
        <w:t>____________________</w:t>
      </w:r>
      <w:r>
        <w:rPr>
          <w:rFonts w:hint="eastAsia"/>
          <w:color w:val="auto"/>
          <w:sz w:val="24"/>
          <w:highlight w:val="none"/>
        </w:rPr>
        <w:t xml:space="preserve">  </w:t>
      </w:r>
      <w:r>
        <w:rPr>
          <w:color w:val="auto"/>
          <w:sz w:val="24"/>
          <w:highlight w:val="none"/>
        </w:rPr>
        <w:t>邮编：__________</w:t>
      </w:r>
      <w:r>
        <w:rPr>
          <w:rFonts w:hint="eastAsia"/>
          <w:color w:val="auto"/>
          <w:sz w:val="24"/>
          <w:highlight w:val="none"/>
        </w:rPr>
        <w:t xml:space="preserve">   电话：</w:t>
      </w:r>
      <w:r>
        <w:rPr>
          <w:color w:val="auto"/>
          <w:sz w:val="24"/>
          <w:highlight w:val="none"/>
        </w:rPr>
        <w:t>______________</w:t>
      </w:r>
      <w:r>
        <w:rPr>
          <w:rFonts w:hint="eastAsia"/>
          <w:color w:val="auto"/>
          <w:sz w:val="24"/>
          <w:highlight w:val="none"/>
        </w:rPr>
        <w:t xml:space="preserve"> </w:t>
      </w:r>
    </w:p>
    <w:p>
      <w:pPr>
        <w:adjustRightInd w:val="0"/>
        <w:snapToGrid w:val="0"/>
        <w:spacing w:line="360" w:lineRule="auto"/>
        <w:rPr>
          <w:color w:val="auto"/>
          <w:sz w:val="24"/>
          <w:highlight w:val="none"/>
        </w:rPr>
      </w:pPr>
      <w:r>
        <w:rPr>
          <w:color w:val="auto"/>
          <w:sz w:val="24"/>
          <w:highlight w:val="none"/>
        </w:rPr>
        <w:t>传真：______________</w:t>
      </w:r>
      <w:r>
        <w:rPr>
          <w:rFonts w:hint="eastAsia"/>
          <w:color w:val="auto"/>
          <w:sz w:val="24"/>
          <w:highlight w:val="none"/>
        </w:rPr>
        <w:t>投标人代表姓名</w:t>
      </w:r>
      <w:r>
        <w:rPr>
          <w:color w:val="auto"/>
          <w:sz w:val="24"/>
          <w:highlight w:val="none"/>
        </w:rPr>
        <w:t xml:space="preserve"> ___________</w:t>
      </w:r>
      <w:r>
        <w:rPr>
          <w:rFonts w:hint="eastAsia"/>
          <w:color w:val="auto"/>
          <w:sz w:val="24"/>
          <w:highlight w:val="none"/>
        </w:rPr>
        <w:t xml:space="preserve"> </w:t>
      </w:r>
      <w:r>
        <w:rPr>
          <w:color w:val="auto"/>
          <w:sz w:val="24"/>
          <w:highlight w:val="none"/>
        </w:rPr>
        <w:t xml:space="preserve"> 职务：______________</w:t>
      </w:r>
    </w:p>
    <w:p>
      <w:pPr>
        <w:adjustRightInd w:val="0"/>
        <w:snapToGrid w:val="0"/>
        <w:spacing w:line="360" w:lineRule="auto"/>
        <w:rPr>
          <w:color w:val="auto"/>
          <w:sz w:val="24"/>
          <w:highlight w:val="none"/>
        </w:rPr>
      </w:pPr>
    </w:p>
    <w:p>
      <w:pPr>
        <w:adjustRightInd w:val="0"/>
        <w:snapToGrid w:val="0"/>
        <w:spacing w:line="360" w:lineRule="auto"/>
        <w:rPr>
          <w:color w:val="auto"/>
          <w:sz w:val="24"/>
          <w:highlight w:val="none"/>
        </w:rPr>
      </w:pPr>
    </w:p>
    <w:p>
      <w:pPr>
        <w:adjustRightInd w:val="0"/>
        <w:snapToGrid w:val="0"/>
        <w:spacing w:line="360" w:lineRule="auto"/>
        <w:rPr>
          <w:color w:val="auto"/>
          <w:sz w:val="24"/>
          <w:highlight w:val="none"/>
        </w:rPr>
      </w:pPr>
      <w:r>
        <w:rPr>
          <w:rFonts w:hint="eastAsia"/>
          <w:color w:val="auto"/>
          <w:sz w:val="24"/>
          <w:highlight w:val="none"/>
        </w:rPr>
        <w:t>投标人名称</w:t>
      </w:r>
      <w:r>
        <w:rPr>
          <w:color w:val="auto"/>
          <w:sz w:val="24"/>
          <w:highlight w:val="none"/>
        </w:rPr>
        <w:t>(盖章):___________________</w:t>
      </w:r>
    </w:p>
    <w:p>
      <w:pPr>
        <w:adjustRightInd w:val="0"/>
        <w:snapToGrid w:val="0"/>
        <w:spacing w:line="360" w:lineRule="auto"/>
        <w:rPr>
          <w:color w:val="auto"/>
          <w:sz w:val="24"/>
          <w:highlight w:val="none"/>
        </w:rPr>
      </w:pPr>
      <w:r>
        <w:rPr>
          <w:rFonts w:hint="eastAsia"/>
          <w:color w:val="auto"/>
          <w:sz w:val="24"/>
          <w:highlight w:val="none"/>
        </w:rPr>
        <w:t>开户银行：</w:t>
      </w:r>
      <w:r>
        <w:rPr>
          <w:rFonts w:hint="eastAsia"/>
          <w:color w:val="auto"/>
          <w:sz w:val="24"/>
          <w:highlight w:val="none"/>
          <w:u w:val="single"/>
        </w:rPr>
        <w:t xml:space="preserve">                      </w:t>
      </w:r>
      <w:r>
        <w:rPr>
          <w:rFonts w:hint="eastAsia"/>
          <w:color w:val="auto"/>
          <w:sz w:val="24"/>
          <w:highlight w:val="none"/>
        </w:rPr>
        <w:t xml:space="preserve">   银行帐号：</w:t>
      </w:r>
      <w:r>
        <w:rPr>
          <w:rFonts w:hint="eastAsia"/>
          <w:color w:val="auto"/>
          <w:sz w:val="24"/>
          <w:highlight w:val="none"/>
          <w:u w:val="single"/>
        </w:rPr>
        <w:t xml:space="preserve">                    </w:t>
      </w:r>
      <w:r>
        <w:rPr>
          <w:rFonts w:hint="eastAsia"/>
          <w:color w:val="auto"/>
          <w:sz w:val="24"/>
          <w:highlight w:val="none"/>
        </w:rPr>
        <w:t xml:space="preserve"> </w:t>
      </w:r>
    </w:p>
    <w:p>
      <w:pPr>
        <w:adjustRightInd w:val="0"/>
        <w:snapToGrid w:val="0"/>
        <w:spacing w:line="360" w:lineRule="auto"/>
        <w:rPr>
          <w:color w:val="auto"/>
          <w:sz w:val="24"/>
          <w:highlight w:val="none"/>
        </w:rPr>
      </w:pPr>
      <w:r>
        <w:rPr>
          <w:rFonts w:hint="eastAsia" w:ascii="宋体" w:hAnsi="宋体"/>
          <w:color w:val="auto"/>
          <w:sz w:val="24"/>
          <w:highlight w:val="none"/>
        </w:rPr>
        <w:t>法定代表人或被授权人签字（或签章）</w:t>
      </w:r>
      <w:r>
        <w:rPr>
          <w:color w:val="auto"/>
          <w:sz w:val="24"/>
          <w:highlight w:val="none"/>
        </w:rPr>
        <w:t>:___________</w:t>
      </w:r>
      <w:r>
        <w:rPr>
          <w:rFonts w:hint="eastAsia"/>
          <w:color w:val="auto"/>
          <w:sz w:val="24"/>
          <w:highlight w:val="none"/>
        </w:rPr>
        <w:t xml:space="preserve">                    </w:t>
      </w:r>
    </w:p>
    <w:p>
      <w:pPr>
        <w:adjustRightInd w:val="0"/>
        <w:snapToGrid w:val="0"/>
        <w:spacing w:line="360" w:lineRule="auto"/>
        <w:jc w:val="right"/>
        <w:rPr>
          <w:color w:val="auto"/>
          <w:highlight w:val="none"/>
        </w:rPr>
        <w:sectPr>
          <w:pgSz w:w="11906" w:h="16838"/>
          <w:pgMar w:top="1389" w:right="1247" w:bottom="1389" w:left="1247" w:header="851" w:footer="992" w:gutter="283"/>
          <w:cols w:space="720" w:num="1"/>
          <w:docGrid w:linePitch="312" w:charSpace="0"/>
        </w:sectPr>
      </w:pPr>
      <w:r>
        <w:rPr>
          <w:rFonts w:hint="eastAsia"/>
          <w:color w:val="auto"/>
          <w:highlight w:val="none"/>
        </w:rPr>
        <w:t>日期</w:t>
      </w:r>
      <w:r>
        <w:rPr>
          <w:color w:val="auto"/>
          <w:highlight w:val="none"/>
        </w:rPr>
        <w:t>:_____年___月___</w:t>
      </w:r>
      <w:r>
        <w:rPr>
          <w:rFonts w:hint="eastAsia"/>
          <w:color w:val="auto"/>
          <w:highlight w:val="none"/>
        </w:rPr>
        <w:t>日</w:t>
      </w:r>
    </w:p>
    <w:p>
      <w:pPr>
        <w:rPr>
          <w:rFonts w:ascii="宋体" w:hAnsi="宋体"/>
          <w:b/>
          <w:color w:val="auto"/>
          <w:spacing w:val="20"/>
          <w:sz w:val="30"/>
          <w:szCs w:val="30"/>
          <w:highlight w:val="none"/>
        </w:rPr>
      </w:pPr>
      <w:r>
        <w:rPr>
          <w:rFonts w:hint="eastAsia" w:ascii="宋体" w:hAnsi="宋体"/>
          <w:b/>
          <w:color w:val="auto"/>
          <w:spacing w:val="20"/>
          <w:sz w:val="30"/>
          <w:szCs w:val="30"/>
          <w:highlight w:val="none"/>
        </w:rPr>
        <w:t>附件1</w:t>
      </w:r>
      <w:r>
        <w:rPr>
          <w:rFonts w:hint="eastAsia" w:ascii="宋体" w:hAnsi="宋体"/>
          <w:b/>
          <w:color w:val="auto"/>
          <w:spacing w:val="20"/>
          <w:sz w:val="30"/>
          <w:szCs w:val="30"/>
          <w:highlight w:val="none"/>
          <w:lang w:val="en-US" w:eastAsia="zh-CN"/>
        </w:rPr>
        <w:t>4</w:t>
      </w:r>
      <w:r>
        <w:rPr>
          <w:rFonts w:hint="eastAsia" w:ascii="宋体" w:hAnsi="宋体"/>
          <w:b/>
          <w:color w:val="auto"/>
          <w:spacing w:val="20"/>
          <w:sz w:val="30"/>
          <w:szCs w:val="30"/>
          <w:highlight w:val="none"/>
        </w:rPr>
        <w:t xml:space="preserve">                        开 标 一 览 表</w:t>
      </w:r>
    </w:p>
    <w:p>
      <w:pPr>
        <w:rPr>
          <w:rFonts w:ascii="宋体" w:hAnsi="宋体"/>
          <w:color w:val="auto"/>
          <w:spacing w:val="20"/>
          <w:sz w:val="23"/>
          <w:szCs w:val="23"/>
          <w:highlight w:val="none"/>
        </w:rPr>
      </w:pPr>
    </w:p>
    <w:p>
      <w:pPr>
        <w:ind w:firstLine="405" w:firstLineChars="150"/>
        <w:rPr>
          <w:rFonts w:ascii="宋体" w:hAnsi="宋体"/>
          <w:color w:val="auto"/>
          <w:spacing w:val="20"/>
          <w:sz w:val="23"/>
          <w:szCs w:val="23"/>
          <w:highlight w:val="none"/>
        </w:rPr>
      </w:pPr>
      <w:r>
        <w:rPr>
          <w:rFonts w:hint="eastAsia" w:ascii="宋体" w:hAnsi="宋体"/>
          <w:color w:val="auto"/>
          <w:spacing w:val="20"/>
          <w:sz w:val="23"/>
          <w:szCs w:val="23"/>
          <w:highlight w:val="none"/>
        </w:rPr>
        <w:t>投标人名称（盖章）：            项目编号：                  项目名称：              标项：</w:t>
      </w:r>
    </w:p>
    <w:p>
      <w:pPr>
        <w:ind w:firstLine="540" w:firstLineChars="200"/>
        <w:rPr>
          <w:rFonts w:ascii="宋体" w:hAnsi="宋体"/>
          <w:color w:val="auto"/>
          <w:spacing w:val="20"/>
          <w:sz w:val="23"/>
          <w:szCs w:val="23"/>
          <w:highlight w:val="none"/>
        </w:rPr>
      </w:pPr>
    </w:p>
    <w:tbl>
      <w:tblPr>
        <w:tblStyle w:val="37"/>
        <w:tblW w:w="13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780"/>
        <w:gridCol w:w="2327"/>
        <w:gridCol w:w="1042"/>
        <w:gridCol w:w="1374"/>
        <w:gridCol w:w="1620"/>
        <w:gridCol w:w="1253"/>
        <w:gridCol w:w="1305"/>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932" w:type="dxa"/>
            <w:vAlign w:val="center"/>
          </w:tcPr>
          <w:p>
            <w:pPr>
              <w:jc w:val="center"/>
              <w:rPr>
                <w:rFonts w:ascii="宋体" w:hAnsi="宋体"/>
                <w:color w:val="auto"/>
                <w:spacing w:val="20"/>
                <w:sz w:val="20"/>
                <w:szCs w:val="20"/>
                <w:highlight w:val="none"/>
              </w:rPr>
            </w:pPr>
            <w:r>
              <w:rPr>
                <w:rFonts w:hint="eastAsia" w:ascii="宋体" w:hAnsi="宋体"/>
                <w:color w:val="auto"/>
                <w:spacing w:val="20"/>
                <w:sz w:val="20"/>
                <w:szCs w:val="20"/>
                <w:highlight w:val="none"/>
              </w:rPr>
              <w:t>产品名称</w:t>
            </w:r>
          </w:p>
        </w:tc>
        <w:tc>
          <w:tcPr>
            <w:tcW w:w="780" w:type="dxa"/>
            <w:vAlign w:val="center"/>
          </w:tcPr>
          <w:p>
            <w:pPr>
              <w:jc w:val="center"/>
              <w:rPr>
                <w:rFonts w:ascii="宋体" w:hAnsi="宋体"/>
                <w:color w:val="auto"/>
                <w:spacing w:val="20"/>
                <w:sz w:val="20"/>
                <w:szCs w:val="20"/>
                <w:highlight w:val="none"/>
              </w:rPr>
            </w:pPr>
            <w:r>
              <w:rPr>
                <w:rFonts w:hint="eastAsia" w:ascii="宋体" w:hAnsi="宋体"/>
                <w:color w:val="auto"/>
                <w:spacing w:val="20"/>
                <w:sz w:val="20"/>
                <w:szCs w:val="20"/>
                <w:highlight w:val="none"/>
              </w:rPr>
              <w:t>品牌</w:t>
            </w:r>
          </w:p>
        </w:tc>
        <w:tc>
          <w:tcPr>
            <w:tcW w:w="2327" w:type="dxa"/>
            <w:vAlign w:val="center"/>
          </w:tcPr>
          <w:p>
            <w:pPr>
              <w:jc w:val="center"/>
              <w:rPr>
                <w:rFonts w:ascii="宋体" w:hAnsi="宋体"/>
                <w:color w:val="auto"/>
                <w:spacing w:val="20"/>
                <w:sz w:val="20"/>
                <w:szCs w:val="20"/>
                <w:highlight w:val="none"/>
              </w:rPr>
            </w:pPr>
            <w:r>
              <w:rPr>
                <w:rFonts w:hint="eastAsia" w:ascii="宋体" w:hAnsi="宋体"/>
                <w:color w:val="auto"/>
                <w:spacing w:val="20"/>
                <w:sz w:val="20"/>
                <w:szCs w:val="20"/>
                <w:highlight w:val="none"/>
              </w:rPr>
              <w:t>型号和规格</w:t>
            </w:r>
          </w:p>
        </w:tc>
        <w:tc>
          <w:tcPr>
            <w:tcW w:w="1042" w:type="dxa"/>
            <w:vAlign w:val="center"/>
          </w:tcPr>
          <w:p>
            <w:pPr>
              <w:jc w:val="center"/>
              <w:rPr>
                <w:rFonts w:ascii="宋体" w:hAnsi="宋体"/>
                <w:color w:val="auto"/>
                <w:spacing w:val="20"/>
                <w:sz w:val="20"/>
                <w:szCs w:val="20"/>
                <w:highlight w:val="none"/>
              </w:rPr>
            </w:pPr>
            <w:r>
              <w:rPr>
                <w:rFonts w:hint="eastAsia" w:ascii="宋体" w:hAnsi="宋体"/>
                <w:color w:val="auto"/>
                <w:spacing w:val="20"/>
                <w:sz w:val="20"/>
                <w:szCs w:val="20"/>
                <w:highlight w:val="none"/>
              </w:rPr>
              <w:t>数量</w:t>
            </w:r>
          </w:p>
        </w:tc>
        <w:tc>
          <w:tcPr>
            <w:tcW w:w="1374" w:type="dxa"/>
            <w:vAlign w:val="center"/>
          </w:tcPr>
          <w:p>
            <w:pPr>
              <w:jc w:val="center"/>
              <w:rPr>
                <w:rFonts w:ascii="宋体" w:hAnsi="宋体"/>
                <w:color w:val="auto"/>
                <w:spacing w:val="20"/>
                <w:sz w:val="20"/>
                <w:szCs w:val="20"/>
                <w:highlight w:val="none"/>
              </w:rPr>
            </w:pPr>
            <w:r>
              <w:rPr>
                <w:rFonts w:hint="eastAsia" w:ascii="宋体" w:hAnsi="宋体"/>
                <w:color w:val="auto"/>
                <w:spacing w:val="20"/>
                <w:sz w:val="20"/>
                <w:szCs w:val="20"/>
                <w:highlight w:val="none"/>
              </w:rPr>
              <w:t>投标单价</w:t>
            </w:r>
          </w:p>
        </w:tc>
        <w:tc>
          <w:tcPr>
            <w:tcW w:w="1620" w:type="dxa"/>
            <w:vAlign w:val="center"/>
          </w:tcPr>
          <w:p>
            <w:pPr>
              <w:jc w:val="center"/>
              <w:rPr>
                <w:rFonts w:ascii="宋体" w:hAnsi="宋体"/>
                <w:color w:val="auto"/>
                <w:spacing w:val="20"/>
                <w:sz w:val="20"/>
                <w:szCs w:val="20"/>
                <w:highlight w:val="none"/>
              </w:rPr>
            </w:pPr>
            <w:r>
              <w:rPr>
                <w:rFonts w:hint="eastAsia" w:ascii="宋体" w:hAnsi="宋体"/>
                <w:color w:val="auto"/>
                <w:spacing w:val="20"/>
                <w:sz w:val="20"/>
                <w:szCs w:val="20"/>
                <w:highlight w:val="none"/>
              </w:rPr>
              <w:t>合计金额</w:t>
            </w:r>
          </w:p>
        </w:tc>
        <w:tc>
          <w:tcPr>
            <w:tcW w:w="1253" w:type="dxa"/>
            <w:vAlign w:val="center"/>
          </w:tcPr>
          <w:p>
            <w:pPr>
              <w:jc w:val="center"/>
              <w:rPr>
                <w:rFonts w:ascii="宋体" w:hAnsi="宋体"/>
                <w:color w:val="auto"/>
                <w:spacing w:val="20"/>
                <w:sz w:val="20"/>
                <w:szCs w:val="20"/>
                <w:highlight w:val="none"/>
              </w:rPr>
            </w:pPr>
            <w:r>
              <w:rPr>
                <w:rFonts w:hint="eastAsia" w:ascii="宋体" w:hAnsi="宋体"/>
                <w:color w:val="auto"/>
                <w:spacing w:val="20"/>
                <w:sz w:val="20"/>
                <w:szCs w:val="20"/>
                <w:highlight w:val="none"/>
              </w:rPr>
              <w:t>交货期</w:t>
            </w:r>
          </w:p>
        </w:tc>
        <w:tc>
          <w:tcPr>
            <w:tcW w:w="1305" w:type="dxa"/>
            <w:vAlign w:val="center"/>
          </w:tcPr>
          <w:p>
            <w:pPr>
              <w:jc w:val="center"/>
              <w:rPr>
                <w:rFonts w:ascii="宋体" w:hAnsi="宋体"/>
                <w:color w:val="auto"/>
                <w:spacing w:val="20"/>
                <w:sz w:val="20"/>
                <w:szCs w:val="20"/>
                <w:highlight w:val="none"/>
              </w:rPr>
            </w:pPr>
            <w:r>
              <w:rPr>
                <w:rFonts w:hint="eastAsia" w:ascii="宋体" w:hAnsi="宋体"/>
                <w:color w:val="auto"/>
                <w:spacing w:val="20"/>
                <w:sz w:val="20"/>
                <w:szCs w:val="20"/>
                <w:highlight w:val="none"/>
              </w:rPr>
              <w:t>质保期</w:t>
            </w:r>
          </w:p>
        </w:tc>
        <w:tc>
          <w:tcPr>
            <w:tcW w:w="1793" w:type="dxa"/>
            <w:vAlign w:val="center"/>
          </w:tcPr>
          <w:p>
            <w:pPr>
              <w:jc w:val="center"/>
              <w:rPr>
                <w:rFonts w:ascii="宋体" w:hAnsi="宋体"/>
                <w:color w:val="auto"/>
                <w:spacing w:val="20"/>
                <w:sz w:val="20"/>
                <w:szCs w:val="20"/>
                <w:highlight w:val="none"/>
              </w:rPr>
            </w:pPr>
            <w:r>
              <w:rPr>
                <w:rFonts w:hint="eastAsia" w:ascii="宋体" w:hAnsi="宋体"/>
                <w:color w:val="auto"/>
                <w:spacing w:val="2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932" w:type="dxa"/>
            <w:vAlign w:val="center"/>
          </w:tcPr>
          <w:p>
            <w:pPr>
              <w:rPr>
                <w:rFonts w:ascii="宋体" w:hAnsi="宋体"/>
                <w:color w:val="auto"/>
                <w:spacing w:val="20"/>
                <w:sz w:val="20"/>
                <w:szCs w:val="20"/>
                <w:highlight w:val="none"/>
              </w:rPr>
            </w:pPr>
          </w:p>
        </w:tc>
        <w:tc>
          <w:tcPr>
            <w:tcW w:w="780" w:type="dxa"/>
            <w:vAlign w:val="center"/>
          </w:tcPr>
          <w:p>
            <w:pPr>
              <w:rPr>
                <w:rFonts w:ascii="宋体" w:hAnsi="宋体"/>
                <w:color w:val="auto"/>
                <w:spacing w:val="20"/>
                <w:sz w:val="20"/>
                <w:szCs w:val="20"/>
                <w:highlight w:val="none"/>
              </w:rPr>
            </w:pPr>
          </w:p>
        </w:tc>
        <w:tc>
          <w:tcPr>
            <w:tcW w:w="2327" w:type="dxa"/>
            <w:vAlign w:val="center"/>
          </w:tcPr>
          <w:p>
            <w:pPr>
              <w:rPr>
                <w:rFonts w:ascii="宋体" w:hAnsi="宋体"/>
                <w:color w:val="auto"/>
                <w:spacing w:val="20"/>
                <w:sz w:val="20"/>
                <w:szCs w:val="20"/>
                <w:highlight w:val="none"/>
              </w:rPr>
            </w:pPr>
          </w:p>
        </w:tc>
        <w:tc>
          <w:tcPr>
            <w:tcW w:w="1042" w:type="dxa"/>
            <w:vAlign w:val="center"/>
          </w:tcPr>
          <w:p>
            <w:pPr>
              <w:rPr>
                <w:rFonts w:ascii="宋体" w:hAnsi="宋体"/>
                <w:color w:val="auto"/>
                <w:spacing w:val="20"/>
                <w:sz w:val="20"/>
                <w:szCs w:val="20"/>
                <w:highlight w:val="none"/>
              </w:rPr>
            </w:pPr>
          </w:p>
        </w:tc>
        <w:tc>
          <w:tcPr>
            <w:tcW w:w="1374" w:type="dxa"/>
            <w:vAlign w:val="center"/>
          </w:tcPr>
          <w:p>
            <w:pPr>
              <w:rPr>
                <w:rFonts w:ascii="宋体" w:hAnsi="宋体"/>
                <w:color w:val="auto"/>
                <w:spacing w:val="20"/>
                <w:sz w:val="20"/>
                <w:szCs w:val="20"/>
                <w:highlight w:val="none"/>
              </w:rPr>
            </w:pPr>
          </w:p>
        </w:tc>
        <w:tc>
          <w:tcPr>
            <w:tcW w:w="1620" w:type="dxa"/>
            <w:vAlign w:val="center"/>
          </w:tcPr>
          <w:p>
            <w:pPr>
              <w:rPr>
                <w:rFonts w:ascii="宋体" w:hAnsi="宋体"/>
                <w:color w:val="auto"/>
                <w:spacing w:val="20"/>
                <w:sz w:val="20"/>
                <w:szCs w:val="20"/>
                <w:highlight w:val="none"/>
              </w:rPr>
            </w:pPr>
          </w:p>
        </w:tc>
        <w:tc>
          <w:tcPr>
            <w:tcW w:w="1253" w:type="dxa"/>
            <w:vMerge w:val="restart"/>
            <w:vAlign w:val="center"/>
          </w:tcPr>
          <w:p>
            <w:pPr>
              <w:rPr>
                <w:rFonts w:ascii="宋体" w:hAnsi="宋体"/>
                <w:color w:val="auto"/>
                <w:spacing w:val="20"/>
                <w:sz w:val="20"/>
                <w:szCs w:val="20"/>
                <w:highlight w:val="none"/>
              </w:rPr>
            </w:pPr>
          </w:p>
        </w:tc>
        <w:tc>
          <w:tcPr>
            <w:tcW w:w="1305" w:type="dxa"/>
            <w:vMerge w:val="restart"/>
            <w:vAlign w:val="center"/>
          </w:tcPr>
          <w:p>
            <w:pPr>
              <w:rPr>
                <w:rFonts w:ascii="宋体" w:hAnsi="宋体"/>
                <w:color w:val="auto"/>
                <w:spacing w:val="20"/>
                <w:sz w:val="20"/>
                <w:szCs w:val="20"/>
                <w:highlight w:val="none"/>
              </w:rPr>
            </w:pPr>
          </w:p>
        </w:tc>
        <w:tc>
          <w:tcPr>
            <w:tcW w:w="1793" w:type="dxa"/>
            <w:vAlign w:val="center"/>
          </w:tcPr>
          <w:p>
            <w:pPr>
              <w:rPr>
                <w:rFonts w:ascii="宋体" w:hAnsi="宋体"/>
                <w:color w:val="auto"/>
                <w:spacing w:val="2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932" w:type="dxa"/>
            <w:vAlign w:val="center"/>
          </w:tcPr>
          <w:p>
            <w:pPr>
              <w:rPr>
                <w:rFonts w:ascii="宋体" w:hAnsi="宋体"/>
                <w:color w:val="auto"/>
                <w:spacing w:val="20"/>
                <w:sz w:val="20"/>
                <w:szCs w:val="20"/>
                <w:highlight w:val="none"/>
              </w:rPr>
            </w:pPr>
          </w:p>
          <w:p>
            <w:pPr>
              <w:rPr>
                <w:rFonts w:ascii="宋体" w:hAnsi="宋体"/>
                <w:color w:val="auto"/>
                <w:spacing w:val="20"/>
                <w:sz w:val="20"/>
                <w:szCs w:val="20"/>
                <w:highlight w:val="none"/>
              </w:rPr>
            </w:pPr>
          </w:p>
        </w:tc>
        <w:tc>
          <w:tcPr>
            <w:tcW w:w="780" w:type="dxa"/>
            <w:vAlign w:val="center"/>
          </w:tcPr>
          <w:p>
            <w:pPr>
              <w:rPr>
                <w:rFonts w:ascii="宋体" w:hAnsi="宋体"/>
                <w:color w:val="auto"/>
                <w:spacing w:val="20"/>
                <w:sz w:val="20"/>
                <w:szCs w:val="20"/>
                <w:highlight w:val="none"/>
              </w:rPr>
            </w:pPr>
          </w:p>
        </w:tc>
        <w:tc>
          <w:tcPr>
            <w:tcW w:w="2327" w:type="dxa"/>
            <w:vAlign w:val="center"/>
          </w:tcPr>
          <w:p>
            <w:pPr>
              <w:rPr>
                <w:rFonts w:ascii="宋体" w:hAnsi="宋体"/>
                <w:color w:val="auto"/>
                <w:spacing w:val="20"/>
                <w:sz w:val="20"/>
                <w:szCs w:val="20"/>
                <w:highlight w:val="none"/>
              </w:rPr>
            </w:pPr>
          </w:p>
        </w:tc>
        <w:tc>
          <w:tcPr>
            <w:tcW w:w="1042" w:type="dxa"/>
            <w:vAlign w:val="center"/>
          </w:tcPr>
          <w:p>
            <w:pPr>
              <w:rPr>
                <w:rFonts w:ascii="宋体" w:hAnsi="宋体"/>
                <w:color w:val="auto"/>
                <w:spacing w:val="20"/>
                <w:sz w:val="20"/>
                <w:szCs w:val="20"/>
                <w:highlight w:val="none"/>
              </w:rPr>
            </w:pPr>
          </w:p>
        </w:tc>
        <w:tc>
          <w:tcPr>
            <w:tcW w:w="1374" w:type="dxa"/>
            <w:vAlign w:val="center"/>
          </w:tcPr>
          <w:p>
            <w:pPr>
              <w:rPr>
                <w:rFonts w:ascii="宋体" w:hAnsi="宋体"/>
                <w:color w:val="auto"/>
                <w:spacing w:val="20"/>
                <w:sz w:val="20"/>
                <w:szCs w:val="20"/>
                <w:highlight w:val="none"/>
              </w:rPr>
            </w:pPr>
          </w:p>
        </w:tc>
        <w:tc>
          <w:tcPr>
            <w:tcW w:w="1620" w:type="dxa"/>
            <w:vAlign w:val="center"/>
          </w:tcPr>
          <w:p>
            <w:pPr>
              <w:rPr>
                <w:rFonts w:ascii="宋体" w:hAnsi="宋体"/>
                <w:color w:val="auto"/>
                <w:spacing w:val="20"/>
                <w:sz w:val="20"/>
                <w:szCs w:val="20"/>
                <w:highlight w:val="none"/>
              </w:rPr>
            </w:pPr>
          </w:p>
        </w:tc>
        <w:tc>
          <w:tcPr>
            <w:tcW w:w="1253" w:type="dxa"/>
            <w:vMerge w:val="continue"/>
            <w:vAlign w:val="center"/>
          </w:tcPr>
          <w:p>
            <w:pPr>
              <w:rPr>
                <w:rFonts w:ascii="宋体" w:hAnsi="宋体"/>
                <w:color w:val="auto"/>
                <w:spacing w:val="20"/>
                <w:sz w:val="20"/>
                <w:szCs w:val="20"/>
                <w:highlight w:val="none"/>
              </w:rPr>
            </w:pPr>
          </w:p>
        </w:tc>
        <w:tc>
          <w:tcPr>
            <w:tcW w:w="1305" w:type="dxa"/>
            <w:vMerge w:val="continue"/>
            <w:vAlign w:val="center"/>
          </w:tcPr>
          <w:p>
            <w:pPr>
              <w:rPr>
                <w:rFonts w:ascii="宋体" w:hAnsi="宋体"/>
                <w:color w:val="auto"/>
                <w:spacing w:val="20"/>
                <w:sz w:val="20"/>
                <w:szCs w:val="20"/>
                <w:highlight w:val="none"/>
              </w:rPr>
            </w:pPr>
          </w:p>
        </w:tc>
        <w:tc>
          <w:tcPr>
            <w:tcW w:w="1793" w:type="dxa"/>
            <w:vAlign w:val="center"/>
          </w:tcPr>
          <w:p>
            <w:pPr>
              <w:rPr>
                <w:rFonts w:ascii="宋体" w:hAnsi="宋体"/>
                <w:color w:val="auto"/>
                <w:spacing w:val="2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932" w:type="dxa"/>
            <w:vAlign w:val="center"/>
          </w:tcPr>
          <w:p>
            <w:pPr>
              <w:rPr>
                <w:rFonts w:ascii="宋体" w:hAnsi="宋体"/>
                <w:color w:val="auto"/>
                <w:spacing w:val="20"/>
                <w:sz w:val="20"/>
                <w:szCs w:val="20"/>
                <w:highlight w:val="none"/>
              </w:rPr>
            </w:pPr>
          </w:p>
        </w:tc>
        <w:tc>
          <w:tcPr>
            <w:tcW w:w="780" w:type="dxa"/>
            <w:vAlign w:val="center"/>
          </w:tcPr>
          <w:p>
            <w:pPr>
              <w:rPr>
                <w:rFonts w:ascii="宋体" w:hAnsi="宋体"/>
                <w:color w:val="auto"/>
                <w:spacing w:val="20"/>
                <w:sz w:val="20"/>
                <w:szCs w:val="20"/>
                <w:highlight w:val="none"/>
              </w:rPr>
            </w:pPr>
          </w:p>
        </w:tc>
        <w:tc>
          <w:tcPr>
            <w:tcW w:w="2327" w:type="dxa"/>
            <w:vAlign w:val="center"/>
          </w:tcPr>
          <w:p>
            <w:pPr>
              <w:rPr>
                <w:rFonts w:ascii="宋体" w:hAnsi="宋体"/>
                <w:color w:val="auto"/>
                <w:spacing w:val="20"/>
                <w:sz w:val="20"/>
                <w:szCs w:val="20"/>
                <w:highlight w:val="none"/>
              </w:rPr>
            </w:pPr>
          </w:p>
        </w:tc>
        <w:tc>
          <w:tcPr>
            <w:tcW w:w="1042" w:type="dxa"/>
            <w:vAlign w:val="center"/>
          </w:tcPr>
          <w:p>
            <w:pPr>
              <w:rPr>
                <w:rFonts w:ascii="宋体" w:hAnsi="宋体"/>
                <w:color w:val="auto"/>
                <w:spacing w:val="20"/>
                <w:sz w:val="20"/>
                <w:szCs w:val="20"/>
                <w:highlight w:val="none"/>
              </w:rPr>
            </w:pPr>
          </w:p>
        </w:tc>
        <w:tc>
          <w:tcPr>
            <w:tcW w:w="1374" w:type="dxa"/>
            <w:vAlign w:val="center"/>
          </w:tcPr>
          <w:p>
            <w:pPr>
              <w:rPr>
                <w:rFonts w:ascii="宋体" w:hAnsi="宋体"/>
                <w:color w:val="auto"/>
                <w:spacing w:val="20"/>
                <w:sz w:val="20"/>
                <w:szCs w:val="20"/>
                <w:highlight w:val="none"/>
              </w:rPr>
            </w:pPr>
          </w:p>
        </w:tc>
        <w:tc>
          <w:tcPr>
            <w:tcW w:w="1620" w:type="dxa"/>
            <w:vAlign w:val="center"/>
          </w:tcPr>
          <w:p>
            <w:pPr>
              <w:rPr>
                <w:rFonts w:ascii="宋体" w:hAnsi="宋体"/>
                <w:color w:val="auto"/>
                <w:spacing w:val="20"/>
                <w:sz w:val="20"/>
                <w:szCs w:val="20"/>
                <w:highlight w:val="none"/>
              </w:rPr>
            </w:pPr>
          </w:p>
        </w:tc>
        <w:tc>
          <w:tcPr>
            <w:tcW w:w="1253" w:type="dxa"/>
            <w:vMerge w:val="continue"/>
            <w:vAlign w:val="center"/>
          </w:tcPr>
          <w:p>
            <w:pPr>
              <w:rPr>
                <w:rFonts w:ascii="宋体" w:hAnsi="宋体"/>
                <w:color w:val="auto"/>
                <w:spacing w:val="20"/>
                <w:sz w:val="20"/>
                <w:szCs w:val="20"/>
                <w:highlight w:val="none"/>
              </w:rPr>
            </w:pPr>
          </w:p>
        </w:tc>
        <w:tc>
          <w:tcPr>
            <w:tcW w:w="1305" w:type="dxa"/>
            <w:vMerge w:val="continue"/>
            <w:vAlign w:val="center"/>
          </w:tcPr>
          <w:p>
            <w:pPr>
              <w:rPr>
                <w:rFonts w:ascii="宋体" w:hAnsi="宋体"/>
                <w:color w:val="auto"/>
                <w:spacing w:val="20"/>
                <w:sz w:val="20"/>
                <w:szCs w:val="20"/>
                <w:highlight w:val="none"/>
              </w:rPr>
            </w:pPr>
          </w:p>
        </w:tc>
        <w:tc>
          <w:tcPr>
            <w:tcW w:w="1793" w:type="dxa"/>
            <w:vAlign w:val="center"/>
          </w:tcPr>
          <w:p>
            <w:pPr>
              <w:rPr>
                <w:rFonts w:ascii="宋体" w:hAnsi="宋体"/>
                <w:color w:val="auto"/>
                <w:spacing w:val="2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932" w:type="dxa"/>
            <w:vAlign w:val="center"/>
          </w:tcPr>
          <w:p>
            <w:pPr>
              <w:rPr>
                <w:rFonts w:ascii="宋体" w:hAnsi="宋体"/>
                <w:color w:val="auto"/>
                <w:spacing w:val="20"/>
                <w:sz w:val="20"/>
                <w:szCs w:val="20"/>
                <w:highlight w:val="none"/>
              </w:rPr>
            </w:pPr>
          </w:p>
        </w:tc>
        <w:tc>
          <w:tcPr>
            <w:tcW w:w="780" w:type="dxa"/>
            <w:vAlign w:val="center"/>
          </w:tcPr>
          <w:p>
            <w:pPr>
              <w:rPr>
                <w:rFonts w:ascii="宋体" w:hAnsi="宋体"/>
                <w:color w:val="auto"/>
                <w:spacing w:val="20"/>
                <w:sz w:val="20"/>
                <w:szCs w:val="20"/>
                <w:highlight w:val="none"/>
              </w:rPr>
            </w:pPr>
          </w:p>
        </w:tc>
        <w:tc>
          <w:tcPr>
            <w:tcW w:w="2327" w:type="dxa"/>
            <w:vAlign w:val="center"/>
          </w:tcPr>
          <w:p>
            <w:pPr>
              <w:rPr>
                <w:rFonts w:ascii="宋体" w:hAnsi="宋体"/>
                <w:color w:val="auto"/>
                <w:spacing w:val="20"/>
                <w:sz w:val="20"/>
                <w:szCs w:val="20"/>
                <w:highlight w:val="none"/>
              </w:rPr>
            </w:pPr>
          </w:p>
        </w:tc>
        <w:tc>
          <w:tcPr>
            <w:tcW w:w="1042" w:type="dxa"/>
            <w:vAlign w:val="center"/>
          </w:tcPr>
          <w:p>
            <w:pPr>
              <w:rPr>
                <w:rFonts w:ascii="宋体" w:hAnsi="宋体"/>
                <w:color w:val="auto"/>
                <w:spacing w:val="20"/>
                <w:sz w:val="20"/>
                <w:szCs w:val="20"/>
                <w:highlight w:val="none"/>
              </w:rPr>
            </w:pPr>
          </w:p>
        </w:tc>
        <w:tc>
          <w:tcPr>
            <w:tcW w:w="1374" w:type="dxa"/>
            <w:vAlign w:val="center"/>
          </w:tcPr>
          <w:p>
            <w:pPr>
              <w:rPr>
                <w:rFonts w:ascii="宋体" w:hAnsi="宋体"/>
                <w:color w:val="auto"/>
                <w:spacing w:val="20"/>
                <w:sz w:val="20"/>
                <w:szCs w:val="20"/>
                <w:highlight w:val="none"/>
              </w:rPr>
            </w:pPr>
          </w:p>
        </w:tc>
        <w:tc>
          <w:tcPr>
            <w:tcW w:w="1620" w:type="dxa"/>
            <w:vAlign w:val="center"/>
          </w:tcPr>
          <w:p>
            <w:pPr>
              <w:rPr>
                <w:rFonts w:ascii="宋体" w:hAnsi="宋体"/>
                <w:color w:val="auto"/>
                <w:spacing w:val="20"/>
                <w:sz w:val="20"/>
                <w:szCs w:val="20"/>
                <w:highlight w:val="none"/>
              </w:rPr>
            </w:pPr>
          </w:p>
        </w:tc>
        <w:tc>
          <w:tcPr>
            <w:tcW w:w="1253" w:type="dxa"/>
            <w:vMerge w:val="continue"/>
            <w:vAlign w:val="center"/>
          </w:tcPr>
          <w:p>
            <w:pPr>
              <w:rPr>
                <w:rFonts w:ascii="宋体" w:hAnsi="宋体"/>
                <w:color w:val="auto"/>
                <w:spacing w:val="20"/>
                <w:sz w:val="20"/>
                <w:szCs w:val="20"/>
                <w:highlight w:val="none"/>
              </w:rPr>
            </w:pPr>
          </w:p>
        </w:tc>
        <w:tc>
          <w:tcPr>
            <w:tcW w:w="1305" w:type="dxa"/>
            <w:vMerge w:val="continue"/>
            <w:vAlign w:val="center"/>
          </w:tcPr>
          <w:p>
            <w:pPr>
              <w:rPr>
                <w:rFonts w:ascii="宋体" w:hAnsi="宋体"/>
                <w:color w:val="auto"/>
                <w:spacing w:val="20"/>
                <w:sz w:val="20"/>
                <w:szCs w:val="20"/>
                <w:highlight w:val="none"/>
              </w:rPr>
            </w:pPr>
          </w:p>
        </w:tc>
        <w:tc>
          <w:tcPr>
            <w:tcW w:w="1793" w:type="dxa"/>
            <w:vAlign w:val="center"/>
          </w:tcPr>
          <w:p>
            <w:pPr>
              <w:rPr>
                <w:rFonts w:ascii="宋体" w:hAnsi="宋体"/>
                <w:color w:val="auto"/>
                <w:spacing w:val="2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932" w:type="dxa"/>
            <w:vAlign w:val="center"/>
          </w:tcPr>
          <w:p>
            <w:pPr>
              <w:rPr>
                <w:rFonts w:ascii="宋体" w:hAnsi="宋体"/>
                <w:color w:val="auto"/>
                <w:spacing w:val="20"/>
                <w:sz w:val="20"/>
                <w:szCs w:val="20"/>
                <w:highlight w:val="none"/>
              </w:rPr>
            </w:pPr>
            <w:r>
              <w:rPr>
                <w:rFonts w:hint="eastAsia" w:ascii="宋体" w:hAnsi="宋体"/>
                <w:color w:val="auto"/>
                <w:spacing w:val="20"/>
                <w:sz w:val="20"/>
                <w:szCs w:val="20"/>
                <w:highlight w:val="none"/>
              </w:rPr>
              <w:t>投标总价</w:t>
            </w:r>
          </w:p>
        </w:tc>
        <w:tc>
          <w:tcPr>
            <w:tcW w:w="3107" w:type="dxa"/>
            <w:gridSpan w:val="2"/>
            <w:vAlign w:val="center"/>
          </w:tcPr>
          <w:p>
            <w:pPr>
              <w:rPr>
                <w:rFonts w:ascii="宋体" w:hAnsi="宋体"/>
                <w:color w:val="auto"/>
                <w:spacing w:val="20"/>
                <w:sz w:val="20"/>
                <w:szCs w:val="20"/>
                <w:highlight w:val="none"/>
              </w:rPr>
            </w:pPr>
          </w:p>
        </w:tc>
        <w:tc>
          <w:tcPr>
            <w:tcW w:w="2416" w:type="dxa"/>
            <w:gridSpan w:val="2"/>
            <w:vAlign w:val="center"/>
          </w:tcPr>
          <w:p>
            <w:pPr>
              <w:rPr>
                <w:rFonts w:ascii="宋体" w:hAnsi="宋体"/>
                <w:color w:val="auto"/>
                <w:spacing w:val="20"/>
                <w:sz w:val="20"/>
                <w:szCs w:val="20"/>
                <w:highlight w:val="none"/>
              </w:rPr>
            </w:pPr>
            <w:r>
              <w:rPr>
                <w:rFonts w:hint="eastAsia" w:ascii="宋体" w:hAnsi="宋体"/>
                <w:color w:val="auto"/>
                <w:spacing w:val="20"/>
                <w:sz w:val="20"/>
                <w:szCs w:val="20"/>
                <w:highlight w:val="none"/>
              </w:rPr>
              <w:t>投标总价（大写）：</w:t>
            </w:r>
          </w:p>
        </w:tc>
        <w:tc>
          <w:tcPr>
            <w:tcW w:w="5971" w:type="dxa"/>
            <w:gridSpan w:val="4"/>
            <w:vAlign w:val="center"/>
          </w:tcPr>
          <w:p>
            <w:pPr>
              <w:rPr>
                <w:rFonts w:ascii="宋体" w:hAnsi="宋体"/>
                <w:color w:val="auto"/>
                <w:spacing w:val="20"/>
                <w:sz w:val="20"/>
                <w:szCs w:val="20"/>
                <w:highlight w:val="none"/>
              </w:rPr>
            </w:pPr>
          </w:p>
        </w:tc>
      </w:tr>
    </w:tbl>
    <w:p>
      <w:pPr>
        <w:rPr>
          <w:rFonts w:ascii="宋体" w:hAnsi="宋体"/>
          <w:color w:val="auto"/>
          <w:spacing w:val="20"/>
          <w:sz w:val="23"/>
          <w:szCs w:val="23"/>
          <w:highlight w:val="none"/>
        </w:rPr>
      </w:pPr>
    </w:p>
    <w:p>
      <w:pPr>
        <w:rPr>
          <w:rFonts w:ascii="宋体" w:hAnsi="宋体"/>
          <w:color w:val="auto"/>
          <w:spacing w:val="20"/>
          <w:sz w:val="23"/>
          <w:szCs w:val="23"/>
          <w:highlight w:val="none"/>
        </w:rPr>
      </w:pPr>
    </w:p>
    <w:p>
      <w:pPr>
        <w:rPr>
          <w:rFonts w:ascii="宋体" w:hAnsi="宋体"/>
          <w:color w:val="auto"/>
          <w:spacing w:val="20"/>
          <w:sz w:val="23"/>
          <w:szCs w:val="23"/>
          <w:highlight w:val="none"/>
        </w:rPr>
      </w:pPr>
      <w:r>
        <w:rPr>
          <w:rFonts w:hint="eastAsia" w:ascii="宋体" w:hAnsi="宋体"/>
          <w:color w:val="auto"/>
          <w:sz w:val="24"/>
          <w:highlight w:val="none"/>
        </w:rPr>
        <w:t>法定代表人或被授权人签字（或签章）</w:t>
      </w:r>
      <w:r>
        <w:rPr>
          <w:rFonts w:hint="eastAsia" w:ascii="宋体" w:hAnsi="宋体"/>
          <w:color w:val="auto"/>
          <w:spacing w:val="20"/>
          <w:sz w:val="23"/>
          <w:szCs w:val="23"/>
          <w:highlight w:val="none"/>
        </w:rPr>
        <w:t>：</w:t>
      </w:r>
    </w:p>
    <w:p>
      <w:pPr>
        <w:rPr>
          <w:rFonts w:ascii="宋体" w:hAnsi="宋体"/>
          <w:color w:val="auto"/>
          <w:spacing w:val="20"/>
          <w:sz w:val="23"/>
          <w:szCs w:val="23"/>
          <w:highlight w:val="none"/>
        </w:rPr>
      </w:pPr>
    </w:p>
    <w:p>
      <w:pPr>
        <w:snapToGrid w:val="0"/>
        <w:spacing w:line="400" w:lineRule="exact"/>
        <w:jc w:val="left"/>
        <w:rPr>
          <w:rFonts w:hAnsi="宋体"/>
          <w:color w:val="auto"/>
          <w:szCs w:val="21"/>
          <w:highlight w:val="none"/>
        </w:rPr>
      </w:pPr>
      <w:r>
        <w:rPr>
          <w:rFonts w:hint="eastAsia" w:hAnsi="宋体"/>
          <w:color w:val="auto"/>
          <w:szCs w:val="21"/>
          <w:highlight w:val="none"/>
        </w:rPr>
        <w:t>注：</w:t>
      </w:r>
      <w:r>
        <w:rPr>
          <w:rFonts w:hint="eastAsia" w:ascii="宋体" w:hAnsi="宋体" w:cs="宋体"/>
          <w:color w:val="auto"/>
          <w:szCs w:val="21"/>
          <w:highlight w:val="none"/>
        </w:rPr>
        <w:t>1</w:t>
      </w:r>
      <w:r>
        <w:rPr>
          <w:rFonts w:hint="eastAsia" w:hAnsi="宋体"/>
          <w:color w:val="auto"/>
          <w:szCs w:val="21"/>
          <w:highlight w:val="none"/>
        </w:rPr>
        <w:t>、报价应包括项目实施所需的设备费（含备品备件）、人工费、运杂费、保险费、安装调试费、检验试验费、第三方检测费、售后服务及质保期内的设备更换、保养、维护费、税金等所涉及的一切费用均计入报价。投标总价为全部项目在质保期届满后的最终价格。</w:t>
      </w:r>
    </w:p>
    <w:p>
      <w:pPr>
        <w:spacing w:line="360" w:lineRule="exact"/>
        <w:rPr>
          <w:rFonts w:ascii="宋体" w:hAnsi="宋体"/>
          <w:color w:val="auto"/>
          <w:szCs w:val="21"/>
          <w:highlight w:val="none"/>
        </w:rPr>
      </w:pPr>
      <w:r>
        <w:rPr>
          <w:rFonts w:hint="eastAsia" w:ascii="宋体" w:hAnsi="宋体"/>
          <w:color w:val="auto"/>
          <w:szCs w:val="21"/>
          <w:highlight w:val="none"/>
        </w:rPr>
        <w:t xml:space="preserve">    2、以上报价应与“投标报价明细表”中的“投标总价”数相一致</w:t>
      </w:r>
    </w:p>
    <w:p>
      <w:pPr>
        <w:spacing w:line="360" w:lineRule="exact"/>
        <w:ind w:firstLine="420" w:firstLineChars="200"/>
        <w:rPr>
          <w:rFonts w:ascii="宋体" w:hAnsi="宋体"/>
          <w:color w:val="auto"/>
          <w:szCs w:val="21"/>
          <w:highlight w:val="none"/>
        </w:rPr>
        <w:sectPr>
          <w:headerReference r:id="rId14" w:type="first"/>
          <w:footerReference r:id="rId16" w:type="first"/>
          <w:headerReference r:id="rId13" w:type="default"/>
          <w:footerReference r:id="rId15" w:type="default"/>
          <w:pgSz w:w="16838" w:h="11906" w:orient="landscape"/>
          <w:pgMar w:top="1247" w:right="1389" w:bottom="1247" w:left="1389" w:header="851" w:footer="851" w:gutter="0"/>
          <w:cols w:space="720" w:num="1"/>
          <w:titlePg/>
          <w:docGrid w:linePitch="312" w:charSpace="0"/>
        </w:sectPr>
      </w:pPr>
      <w:r>
        <w:rPr>
          <w:rFonts w:hint="eastAsia" w:ascii="宋体" w:hAnsi="宋体"/>
          <w:color w:val="auto"/>
          <w:szCs w:val="21"/>
          <w:highlight w:val="none"/>
        </w:rPr>
        <w:t>3、此表在不改变表式的情况下，可自行制作。</w:t>
      </w:r>
    </w:p>
    <w:p>
      <w:pPr>
        <w:spacing w:line="360" w:lineRule="exact"/>
        <w:rPr>
          <w:rFonts w:ascii="宋体" w:hAnsi="宋体"/>
          <w:b/>
          <w:color w:val="auto"/>
          <w:spacing w:val="20"/>
          <w:sz w:val="30"/>
          <w:szCs w:val="30"/>
          <w:highlight w:val="none"/>
        </w:rPr>
      </w:pPr>
      <w:r>
        <w:rPr>
          <w:rFonts w:hint="eastAsia" w:ascii="宋体" w:hAnsi="宋体"/>
          <w:b/>
          <w:iCs/>
          <w:color w:val="auto"/>
          <w:spacing w:val="20"/>
          <w:sz w:val="30"/>
          <w:szCs w:val="30"/>
          <w:highlight w:val="none"/>
        </w:rPr>
        <w:t>附件1</w:t>
      </w:r>
      <w:r>
        <w:rPr>
          <w:rFonts w:hint="eastAsia" w:ascii="宋体" w:hAnsi="宋体"/>
          <w:b/>
          <w:iCs/>
          <w:color w:val="auto"/>
          <w:spacing w:val="20"/>
          <w:sz w:val="30"/>
          <w:szCs w:val="30"/>
          <w:highlight w:val="none"/>
          <w:lang w:val="en-US" w:eastAsia="zh-CN"/>
        </w:rPr>
        <w:t>5</w:t>
      </w:r>
      <w:r>
        <w:rPr>
          <w:rFonts w:hint="eastAsia" w:ascii="宋体" w:hAnsi="宋体"/>
          <w:b/>
          <w:iCs/>
          <w:color w:val="auto"/>
          <w:spacing w:val="20"/>
          <w:sz w:val="30"/>
          <w:szCs w:val="30"/>
          <w:highlight w:val="none"/>
        </w:rPr>
        <w:t xml:space="preserve">             </w:t>
      </w:r>
      <w:r>
        <w:rPr>
          <w:rFonts w:hint="eastAsia" w:ascii="宋体" w:hAnsi="宋体"/>
          <w:b/>
          <w:color w:val="auto"/>
          <w:spacing w:val="20"/>
          <w:sz w:val="30"/>
          <w:szCs w:val="30"/>
          <w:highlight w:val="none"/>
        </w:rPr>
        <w:t xml:space="preserve"> 投标报价明细表</w:t>
      </w:r>
    </w:p>
    <w:p>
      <w:pPr>
        <w:rPr>
          <w:rFonts w:ascii="宋体" w:hAnsi="宋体"/>
          <w:color w:val="auto"/>
          <w:spacing w:val="20"/>
          <w:sz w:val="23"/>
          <w:szCs w:val="23"/>
          <w:highlight w:val="none"/>
        </w:rPr>
      </w:pPr>
    </w:p>
    <w:p>
      <w:pPr>
        <w:pStyle w:val="18"/>
        <w:snapToGrid w:val="0"/>
        <w:spacing w:before="295" w:after="295"/>
        <w:ind w:firstLine="6840" w:firstLineChars="2850"/>
        <w:rPr>
          <w:rFonts w:hAnsi="宋体"/>
          <w:color w:val="auto"/>
          <w:sz w:val="30"/>
          <w:highlight w:val="none"/>
        </w:rPr>
      </w:pPr>
      <w:r>
        <w:rPr>
          <w:color w:val="auto"/>
          <w:highlight w:val="none"/>
        </w:rPr>
        <w:t>金额单位：人民币（元）</w:t>
      </w:r>
    </w:p>
    <w:tbl>
      <w:tblPr>
        <w:tblStyle w:val="37"/>
        <w:tblW w:w="98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2"/>
        <w:gridCol w:w="1775"/>
        <w:gridCol w:w="1183"/>
        <w:gridCol w:w="1492"/>
        <w:gridCol w:w="1576"/>
        <w:gridCol w:w="1576"/>
        <w:gridCol w:w="16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z w:val="24"/>
                <w:highlight w:val="none"/>
              </w:rPr>
              <w:t>序号</w:t>
            </w:r>
          </w:p>
        </w:tc>
        <w:tc>
          <w:tcPr>
            <w:tcW w:w="177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z w:val="24"/>
                <w:highlight w:val="none"/>
              </w:rPr>
              <w:t>产品名称</w:t>
            </w:r>
          </w:p>
        </w:tc>
        <w:tc>
          <w:tcPr>
            <w:tcW w:w="1183" w:type="dxa"/>
            <w:tcBorders>
              <w:top w:val="single" w:color="auto" w:sz="4" w:space="0"/>
              <w:left w:val="single" w:color="auto" w:sz="4" w:space="0"/>
              <w:bottom w:val="single" w:color="auto" w:sz="4" w:space="0"/>
              <w:right w:val="single" w:color="auto" w:sz="4" w:space="0"/>
            </w:tcBorders>
            <w:vAlign w:val="center"/>
          </w:tcPr>
          <w:p>
            <w:pPr>
              <w:pStyle w:val="66"/>
              <w:snapToGrid w:val="0"/>
              <w:spacing w:before="50" w:after="50" w:line="240" w:lineRule="auto"/>
              <w:rPr>
                <w:rFonts w:ascii="宋体" w:hAnsi="宋体" w:eastAsia="宋体"/>
                <w:color w:val="auto"/>
                <w:highlight w:val="none"/>
              </w:rPr>
            </w:pPr>
            <w:r>
              <w:rPr>
                <w:rFonts w:ascii="宋体" w:hAnsi="宋体" w:eastAsia="宋体"/>
                <w:color w:val="auto"/>
                <w:highlight w:val="none"/>
              </w:rPr>
              <w:t>品牌</w:t>
            </w:r>
          </w:p>
        </w:tc>
        <w:tc>
          <w:tcPr>
            <w:tcW w:w="149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z w:val="24"/>
                <w:highlight w:val="none"/>
              </w:rPr>
              <w:t>规格型号</w:t>
            </w:r>
          </w:p>
        </w:tc>
        <w:tc>
          <w:tcPr>
            <w:tcW w:w="157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z w:val="24"/>
                <w:highlight w:val="none"/>
              </w:rPr>
              <w:t>单位及数量</w:t>
            </w:r>
          </w:p>
        </w:tc>
        <w:tc>
          <w:tcPr>
            <w:tcW w:w="157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z w:val="24"/>
                <w:highlight w:val="none"/>
              </w:rPr>
              <w:t>单价</w:t>
            </w:r>
          </w:p>
        </w:tc>
        <w:tc>
          <w:tcPr>
            <w:tcW w:w="16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z w:val="24"/>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7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18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4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6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7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18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4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6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7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18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4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6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7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18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4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6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7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18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4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6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7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18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4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6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7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18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4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6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7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18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4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6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7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0"/>
                <w:highlight w:val="none"/>
              </w:rPr>
            </w:pPr>
            <w:r>
              <w:rPr>
                <w:rFonts w:ascii="宋体" w:hAnsi="宋体"/>
                <w:color w:val="auto"/>
                <w:spacing w:val="20"/>
                <w:highlight w:val="none"/>
              </w:rPr>
              <w:t>……</w:t>
            </w:r>
          </w:p>
        </w:tc>
        <w:tc>
          <w:tcPr>
            <w:tcW w:w="118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4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6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77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18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4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16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8194" w:type="dxa"/>
            <w:gridSpan w:val="6"/>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pacing w:val="20"/>
                <w:sz w:val="24"/>
                <w:highlight w:val="none"/>
              </w:rPr>
              <w:t>投 标 总价</w:t>
            </w:r>
          </w:p>
        </w:tc>
        <w:tc>
          <w:tcPr>
            <w:tcW w:w="16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bl>
    <w:p>
      <w:pPr>
        <w:rPr>
          <w:rFonts w:ascii="宋体" w:hAnsi="宋体"/>
          <w:color w:val="auto"/>
          <w:spacing w:val="20"/>
          <w:sz w:val="23"/>
          <w:szCs w:val="23"/>
          <w:highlight w:val="none"/>
        </w:rPr>
      </w:pPr>
    </w:p>
    <w:p>
      <w:pPr>
        <w:spacing w:line="360" w:lineRule="auto"/>
        <w:rPr>
          <w:rFonts w:ascii="宋体" w:hAnsi="宋体"/>
          <w:color w:val="auto"/>
          <w:spacing w:val="20"/>
          <w:sz w:val="23"/>
          <w:szCs w:val="23"/>
          <w:highlight w:val="none"/>
        </w:rPr>
      </w:pPr>
      <w:r>
        <w:rPr>
          <w:rFonts w:hint="eastAsia" w:ascii="宋体" w:hAnsi="宋体"/>
          <w:color w:val="auto"/>
          <w:sz w:val="24"/>
          <w:highlight w:val="none"/>
        </w:rPr>
        <w:t>法定代表人或被授权人签字（或签章）</w:t>
      </w:r>
      <w:r>
        <w:rPr>
          <w:rFonts w:hint="eastAsia" w:ascii="宋体" w:hAnsi="宋体"/>
          <w:color w:val="auto"/>
          <w:spacing w:val="20"/>
          <w:sz w:val="23"/>
          <w:szCs w:val="23"/>
          <w:highlight w:val="none"/>
        </w:rPr>
        <w:t>：</w:t>
      </w:r>
    </w:p>
    <w:p>
      <w:pPr>
        <w:spacing w:line="360" w:lineRule="auto"/>
        <w:rPr>
          <w:rFonts w:ascii="宋体" w:hAnsi="宋体"/>
          <w:color w:val="auto"/>
          <w:spacing w:val="20"/>
          <w:sz w:val="23"/>
          <w:szCs w:val="23"/>
          <w:highlight w:val="none"/>
        </w:rPr>
      </w:pPr>
    </w:p>
    <w:p>
      <w:pPr>
        <w:spacing w:line="360" w:lineRule="auto"/>
        <w:rPr>
          <w:rFonts w:ascii="宋体" w:hAnsi="宋体"/>
          <w:color w:val="auto"/>
          <w:spacing w:val="20"/>
          <w:sz w:val="23"/>
          <w:szCs w:val="23"/>
          <w:highlight w:val="none"/>
        </w:rPr>
      </w:pPr>
      <w:r>
        <w:rPr>
          <w:rFonts w:hint="eastAsia" w:ascii="宋体" w:hAnsi="宋体"/>
          <w:color w:val="auto"/>
          <w:spacing w:val="20"/>
          <w:sz w:val="23"/>
          <w:szCs w:val="23"/>
          <w:highlight w:val="none"/>
        </w:rPr>
        <w:t>投标人名称（盖章）：</w:t>
      </w:r>
    </w:p>
    <w:p>
      <w:pPr>
        <w:spacing w:line="360" w:lineRule="auto"/>
        <w:rPr>
          <w:rFonts w:ascii="宋体" w:hAnsi="宋体"/>
          <w:i/>
          <w:color w:val="auto"/>
          <w:spacing w:val="20"/>
          <w:sz w:val="23"/>
          <w:szCs w:val="23"/>
          <w:highlight w:val="none"/>
        </w:rPr>
      </w:pPr>
    </w:p>
    <w:p>
      <w:pPr>
        <w:spacing w:line="360" w:lineRule="exact"/>
        <w:ind w:firstLine="420" w:firstLineChars="200"/>
        <w:rPr>
          <w:rFonts w:hint="eastAsia" w:hAnsi="宋体" w:eastAsia="宋体"/>
          <w:color w:val="auto"/>
          <w:sz w:val="22"/>
          <w:szCs w:val="22"/>
          <w:highlight w:val="none"/>
          <w:lang w:eastAsia="zh-CN"/>
        </w:rPr>
      </w:pPr>
      <w:r>
        <w:rPr>
          <w:rFonts w:hint="eastAsia" w:ascii="宋体" w:hAnsi="宋体"/>
          <w:color w:val="auto"/>
          <w:szCs w:val="21"/>
          <w:highlight w:val="none"/>
        </w:rPr>
        <w:t>注：此表在不改变表式的情况下，可自行制作</w:t>
      </w:r>
      <w:r>
        <w:rPr>
          <w:rFonts w:hint="eastAsia" w:ascii="宋体" w:hAnsi="宋体"/>
          <w:color w:val="auto"/>
          <w:szCs w:val="21"/>
          <w:highlight w:val="none"/>
          <w:lang w:eastAsia="zh-CN"/>
        </w:rPr>
        <w:t>。</w:t>
      </w:r>
    </w:p>
    <w:p>
      <w:pPr>
        <w:pStyle w:val="56"/>
        <w:adjustRightInd w:val="0"/>
        <w:snapToGrid w:val="0"/>
        <w:spacing w:line="400" w:lineRule="atLeast"/>
        <w:rPr>
          <w:rFonts w:hAnsi="宋体"/>
          <w:color w:val="auto"/>
          <w:sz w:val="22"/>
          <w:szCs w:val="22"/>
          <w:highlight w:val="none"/>
        </w:rPr>
      </w:pPr>
    </w:p>
    <w:sectPr>
      <w:headerReference r:id="rId18" w:type="first"/>
      <w:headerReference r:id="rId17" w:type="default"/>
      <w:footerReference r:id="rId19" w:type="default"/>
      <w:footerReference r:id="rId20" w:type="even"/>
      <w:pgSz w:w="11906" w:h="16838"/>
      <w:pgMar w:top="1389" w:right="1247" w:bottom="1389"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swiss"/>
    <w:pitch w:val="default"/>
    <w:sig w:usb0="00000000" w:usb1="00000000" w:usb2="00000000" w:usb3="00000000" w:csb0="2000019F" w:csb1="4F010000"/>
  </w:font>
  <w:font w:name="ËÎÌå">
    <w:altName w:val="Times New Roman"/>
    <w:panose1 w:val="00000000000000000000"/>
    <w:charset w:val="86"/>
    <w:family w:val="roman"/>
    <w:pitch w:val="default"/>
    <w:sig w:usb0="00000000" w:usb1="00000000" w:usb2="00000010" w:usb3="00000000" w:csb0="00040000" w:csb1="00000000"/>
  </w:font>
  <w:font w:name="BotonPro-Medium">
    <w:altName w:val="微软雅黑"/>
    <w:panose1 w:val="00000000000000000000"/>
    <w:charset w:val="00"/>
    <w:family w:val="roman"/>
    <w:pitch w:val="default"/>
    <w:sig w:usb0="00000000" w:usb1="00000000" w:usb2="00000000" w:usb3="00000000" w:csb0="00040001" w:csb1="00000000"/>
  </w:font>
  <w:font w:name="BotonPro-Regular">
    <w:altName w:val="微软雅黑"/>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21"/>
        <w:szCs w:val="21"/>
      </w:rPr>
      <mc:AlternateContent>
        <mc:Choice Requires="wps">
          <w:drawing>
            <wp:anchor distT="0" distB="0" distL="114300" distR="114300" simplePos="0" relativeHeight="251663360" behindDoc="0" locked="0" layoutInCell="1" allowOverlap="1">
              <wp:simplePos x="0" y="0"/>
              <wp:positionH relativeFrom="margin">
                <wp:posOffset>2921635</wp:posOffset>
              </wp:positionH>
              <wp:positionV relativeFrom="paragraph">
                <wp:posOffset>0</wp:posOffset>
              </wp:positionV>
              <wp:extent cx="67310" cy="153035"/>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left:230.05pt;margin-top:0pt;height:12.05pt;width:5.3pt;mso-position-horizontal-relative:margin;mso-wrap-style:none;z-index:251663360;mso-width-relative:page;mso-height-relative:page;" filled="f" stroked="f" coordsize="21600,21600" o:gfxdata="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Zkv9o0wAAAAcBAAAPAAAAAAAAAAEAIAAAACIA&#10;AABkcnMvZG93bnJldi54bWxQSwECFAAUAAAACACHTuJAYh/gQ9UBAACnAwAADgAAAAAAAAABACAA&#10;AAAiAQAAZHJzL2Uyb0RvYy54bWxQSwUGAAAAAAYABgBZAQAAa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shape>
          </w:pict>
        </mc:Fallback>
      </mc:AlternateContent>
    </w:r>
    <w:r>
      <w:rPr>
        <w:rFonts w:hint="eastAsia"/>
        <w:sz w:val="21"/>
        <w:szCs w:val="21"/>
      </w:rPr>
      <w:t>嘉兴市明扬工程咨询有限公司</w:t>
    </w:r>
  </w:p>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CqcsLUAQAApg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EGJZQYHfvrx/fTz9+nX&#10;N1KWSZ/OQ4Vp9x4TY//e9bg1kx/QmWj3Mpj0RUIE46ju8ayu6CPh6VG5vL68ooRjqLwsl8urhFI8&#10;PfYB4p1whiSjpgGHlzVlh48Qh9QpJdWy7lZpnQeo7V8OxBw8Im/A+DrxGPpNVuy3/Uhu65ojcutw&#10;C2pqcekp0R8sipwWZjLCZGwnY++D2rXYaJm7BP9uH7Gl3GmqMMAiw3TB8WWu46ql/fjznrOefq/1&#10;I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CQqnLC1AEAAKYDAAAOAAAAAAAAAAEAIAAAAB8B&#10;AABkcnMvZTJvRG9jLnhtbFBLBQYAAAAABgAGAFkBAABl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21"/>
        <w:szCs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7310" cy="153035"/>
              <wp:effectExtent l="0" t="0" r="0" b="0"/>
              <wp:wrapNone/>
              <wp:docPr id="3" name="文本框 13"/>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2.05pt;width:5.3pt;mso-position-horizontal:center;mso-position-horizontal-relative:margin;mso-wrap-style:none;z-index:251661312;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nqzVF0AAAAAMBAAAPAAAAAAAAAAEAIAAAACIAAABkcnMv&#10;ZG93bnJldi54bWxQSwECFAAUAAAACACHTuJAHMfEC9IBAAClAwAADgAAAAAAAAABACAAAAAfAQAA&#10;ZHJzL2Uyb0RvYy54bWxQSwUGAAAAAAYABgBZAQAAY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w:rPr>
        <w:rFonts w:hint="eastAsia"/>
        <w:sz w:val="21"/>
        <w:szCs w:val="21"/>
      </w:rPr>
      <w:t>嘉兴市明扬工程咨询有限公司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default"/>
        <w:sz w:val="21"/>
        <w:szCs w:val="21"/>
        <w:lang w:val="en-US"/>
      </w:rPr>
    </w:pPr>
    <w:r>
      <w:rPr>
        <w:sz w:val="21"/>
        <w:szCs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45</w:t>
                    </w:r>
                    <w:r>
                      <w:fldChar w:fldCharType="end"/>
                    </w:r>
                  </w:p>
                </w:txbxContent>
              </v:textbox>
            </v:shape>
          </w:pict>
        </mc:Fallback>
      </mc:AlternateContent>
    </w:r>
    <w:r>
      <w:rPr>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FO371XTAQAApwMAAA4AAAAAAAAAAQAgAAAAHwEA&#10;AGRycy9lMm9Eb2MueG1sUEsFBgAAAAAGAAYAWQEAAGQFA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rFonts w:hint="eastAsia"/>
        <w:sz w:val="21"/>
        <w:szCs w:val="21"/>
        <w:lang w:val="en-US" w:eastAsia="zh-CN"/>
      </w:rPr>
      <w:t>嘉兴市明扬工程咨询有限公司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rPr>
      <w:t>嘉兴市明扬工程咨询有限公司</w: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14935" cy="13144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950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AMx4DUAAAAAwEAAA8AAAAAAAAAAQAgAAAAIgAAAGRy&#10;cy9kb3ducmV2LnhtbFBLAQIUABQAAAAIAIdO4kCoOxTJ0AEAAJcDAAAOAAAAAAAAAAEAIAAAACMB&#10;AABkcnMvZTJvRG9jLnhtbFBLBQYAAAAABgAGAFkBAABlBQAAAAA=&#10;">
              <v:fill on="f" focussize="0,0"/>
              <v:stroke on="f" weight="1.2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3144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745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UErcjPAQAAmQ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SDm7CgxDKDEz/+/nX88+/4&#10;9yfBHBrUeaiw7tZjZew/uh6LpzxgMunuZTDpjYoI3qO9h5O9oo+Ep4/KxeX5BSUcr8rzcrG4SCjF&#10;w8c+QPwknCEpqGnA6WVT2f4LxKF0Kkm9rLtRWucJavsogZgpUyTmA8MUxX7Tj3I2rjmgmg4HX1OL&#10;e06J/mzR17QjUxCmYDMFOx/UtkVqZeYF/noXkUTmljoMsGNjnFhWN25XWon/z7nq4Y9a3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tQStyM8BAACZAwAADgAAAAAAAAABACAAAAAfAQAAZHJz&#10;L2Uyb0RvYy54bWxQSwUGAAAAAAYABgBZAQAAYA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32715" cy="32575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32715" cy="3257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5.65pt;width:10.45pt;mso-position-horizontal:center;mso-position-horizontal-relative:margin;mso-wrap-style:none;z-index:251668480;mso-width-relative:page;mso-height-relative:page;" filled="f" stroked="f" coordsize="21600,21600" o:gfxdata="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xALPG0QAAAAMBAAAPAAAAAAAAAAEAIAAAACIAAABkcnMvZG93&#10;bnJldi54bWxQSwECFAAUAAAACACHTuJA6ugKD84BAACZAwAADgAAAAAAAAABACAAAAAgAQAAZHJz&#10;L2Uyb0RvYy54bWxQSwUGAAAAAAYABgBZAQAAY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v:textbox>
            </v:shape>
          </w:pict>
        </mc:Fallback>
      </mc:AlternateContent>
    </w:r>
    <w:r>
      <w:rPr>
        <w:rFonts w:hint="eastAsia"/>
      </w:rPr>
      <w:t>嘉兴市明扬工程咨询有限公司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&#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AMx4DUAAAAAwEAAA8AAAAAAAAAAQAgAAAAIgAAAGRy&#10;cy9kb3ducmV2LnhtbFBLAQIUABQAAAAIAIdO4kDPH+xt0AEAAJUDAAAOAAAAAAAAAAEAIAAAACMB&#10;AABkcnMvZTJvRG9jLnhtbFBLBQYAAAAABgAGAFkBAABlBQAAAAA=&#10;">
              <v:fill on="f" focussize="0,0"/>
              <v:stroke on="f" weight="1.2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AIi6GKzgEAAJcDAAAOAAAAAAAAAAEAIAAAAB8BAABkcnMv&#10;ZTJvRG9jLnhtbFBLBQYAAAAABgAGAFkBAABf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32715" cy="3257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32715" cy="3257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5.65pt;width:10.45pt;mso-position-horizontal:center;mso-position-horizontal-relative:margin;mso-wrap-style:none;z-index:251665408;mso-width-relative:page;mso-height-relative:page;" filled="f" stroked="f" coordsize="21600,21600" o:gfxdata="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xALPG0QAAAAMBAAAPAAAAAAAAAAEAIAAAACIAAABkcnMvZG93&#10;bnJldi54bWxQSwECFAAUAAAACACHTuJAeEbnQc4BAACXAwAADgAAAAAAAAABACAAAAAgAQAAZHJz&#10;L2Uyb0RvYy54bWxQSwUGAAAAAAYABgBZAQAAY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v:textbox>
            </v:shape>
          </w:pict>
        </mc:Fallback>
      </mc:AlternateContent>
    </w:r>
    <w:r>
      <w:rPr>
        <w:rFonts w:hint="eastAsia"/>
      </w:rPr>
      <w:t>嘉兴市明扬工程咨询有限公司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33985" cy="153035"/>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83</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2.05pt;width:10.55pt;mso-position-horizontal:center;mso-position-horizontal-relative:margin;mso-wrap-style:none;z-index:251662336;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B7XTPQAAAAAwEAAA8AAAAAAAAAAQAgAAAAIgAAAGRy&#10;cy9kb3ducmV2LnhtbFBLAQIUABQAAAAIAIdO4kAGEkRE1AEAAKYDAAAOAAAAAAAAAAEAIAAAAB8B&#10;AABkcnMvZTJvRG9jLnhtbFBLBQYAAAAABgAGAFkBAABl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83</w:t>
                    </w:r>
                    <w:r>
                      <w:rPr>
                        <w:rFonts w:hint="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1"/>
        <w:sz w:val="17"/>
        <w:szCs w:val="17"/>
      </w:rPr>
    </w:pPr>
    <w:r>
      <w:rPr>
        <w:sz w:val="17"/>
        <w:szCs w:val="17"/>
      </w:rPr>
      <w:fldChar w:fldCharType="begin"/>
    </w:r>
    <w:r>
      <w:rPr>
        <w:rStyle w:val="41"/>
        <w:sz w:val="17"/>
        <w:szCs w:val="17"/>
      </w:rPr>
      <w:instrText xml:space="preserve">PAGE  </w:instrText>
    </w:r>
    <w:r>
      <w:rPr>
        <w:sz w:val="17"/>
        <w:szCs w:val="17"/>
      </w:rPr>
      <w:fldChar w:fldCharType="separate"/>
    </w:r>
    <w:r>
      <w:rPr>
        <w:rStyle w:val="41"/>
        <w:sz w:val="17"/>
        <w:szCs w:val="17"/>
      </w:rPr>
      <w:t>1</w:t>
    </w:r>
    <w:r>
      <w:rPr>
        <w:sz w:val="17"/>
        <w:szCs w:val="17"/>
      </w:rPr>
      <w:fldChar w:fldCharType="end"/>
    </w:r>
  </w:p>
  <w:p>
    <w:pPr>
      <w:pStyle w:val="22"/>
      <w:ind w:right="360"/>
      <w:rPr>
        <w:sz w:val="17"/>
        <w:szCs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sz w:val="21"/>
        <w:szCs w:val="21"/>
      </w:rPr>
    </w:pPr>
    <w:r>
      <w:rPr>
        <w:rFonts w:hint="eastAsia"/>
        <w:sz w:val="21"/>
        <w:szCs w:val="21"/>
        <w:lang w:eastAsia="zh-CN"/>
      </w:rPr>
      <w:t>嘉兴市特种设备检验检测院2024年检验设备购置项目</w:t>
    </w:r>
    <w:r>
      <w:rPr>
        <w:rFonts w:hint="eastAsia"/>
        <w:sz w:val="21"/>
        <w:szCs w:val="21"/>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120" w:beforeLines="50"/>
      <w:jc w:val="center"/>
      <w:rPr>
        <w:rFonts w:ascii="宋体" w:hAnsi="宋体" w:cs="宋体"/>
        <w:szCs w:val="21"/>
      </w:rPr>
    </w:pPr>
    <w:r>
      <w:rPr>
        <w:rFonts w:hint="eastAsia" w:ascii="宋体" w:hAnsi="宋体" w:cs="宋体"/>
        <w:szCs w:val="21"/>
        <w:lang w:eastAsia="zh-CN"/>
      </w:rPr>
      <w:t>嘉兴市特种设备检验检测院2024年检验设备购置项目</w:t>
    </w:r>
    <w:r>
      <w:rPr>
        <w:rFonts w:hint="eastAsia" w:ascii="宋体" w:hAnsi="宋体" w:cs="宋体"/>
        <w:szCs w:val="21"/>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sz w:val="18"/>
        <w:szCs w:val="18"/>
        <w:lang w:eastAsia="zh-CN"/>
      </w:rPr>
      <w:t>嘉兴市特种设备检验检测院2024年检验设备购置项目</w:t>
    </w:r>
    <w:r>
      <w:rPr>
        <w:rFonts w:hint="eastAsia"/>
        <w:sz w:val="18"/>
        <w:szCs w:val="18"/>
      </w:rPr>
      <w:t xml:space="preserve">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sz w:val="21"/>
        <w:szCs w:val="21"/>
        <w:lang w:eastAsia="zh-CN"/>
      </w:rPr>
      <w:t>嘉兴市特种设备检验检测院2024年检验设备购置项目</w:t>
    </w:r>
    <w:r>
      <w:rPr>
        <w:rFonts w:hint="eastAsia"/>
        <w:sz w:val="21"/>
        <w:szCs w:val="21"/>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sz w:val="21"/>
        <w:szCs w:val="21"/>
        <w:lang w:eastAsia="zh-CN"/>
      </w:rPr>
      <w:t>嘉兴市特种设备检验检测院2024年检验设备购置项目</w:t>
    </w:r>
    <w:r>
      <w:rPr>
        <w:rFonts w:hint="eastAsia"/>
        <w:sz w:val="21"/>
        <w:szCs w:val="21"/>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sz w:val="21"/>
        <w:szCs w:val="21"/>
        <w:lang w:eastAsia="zh-CN"/>
      </w:rPr>
      <w:t>嘉兴市特种设备检验检测院2024年检验设备购置项目</w:t>
    </w:r>
    <w:r>
      <w:rPr>
        <w:rFonts w:hint="eastAsia"/>
        <w:sz w:val="21"/>
        <w:szCs w:val="21"/>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sz w:val="21"/>
        <w:szCs w:val="21"/>
        <w:lang w:eastAsia="zh-CN"/>
      </w:rPr>
      <w:t>嘉兴市特种设备检验检测院2024年检验设备购置项目</w:t>
    </w:r>
    <w:r>
      <w:rPr>
        <w:rFonts w:hint="eastAsia"/>
        <w:sz w:val="21"/>
        <w:szCs w:val="21"/>
      </w:rP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widowControl w:val="0"/>
      <w:pBdr>
        <w:bottom w:val="single" w:color="auto" w:sz="4" w:space="0"/>
      </w:pBdr>
      <w:snapToGrid/>
      <w:spacing w:afterLines="0" w:line="320" w:lineRule="exact"/>
      <w:ind w:firstLine="0" w:firstLineChars="0"/>
      <w:jc w:val="center"/>
      <w:rPr>
        <w:rFonts w:ascii="宋体" w:hAnsi="宋体" w:cs="仿宋_GB2312"/>
        <w:color w:val="000000"/>
        <w:kern w:val="2"/>
        <w:sz w:val="21"/>
        <w:szCs w:val="21"/>
        <w:u w:val="single"/>
        <w:lang w:val="zh-CN"/>
      </w:rPr>
    </w:pPr>
    <w:r>
      <w:rPr>
        <w:rFonts w:hint="eastAsia"/>
        <w:kern w:val="2"/>
        <w:sz w:val="21"/>
        <w:szCs w:val="21"/>
        <w:lang w:eastAsia="zh-CN"/>
      </w:rPr>
      <w:t>嘉兴市特种设备检验检测院2024年检验设备购置项目</w:t>
    </w:r>
    <w:r>
      <w:rPr>
        <w:rFonts w:hint="eastAsia"/>
        <w:kern w:val="2"/>
        <w:sz w:val="21"/>
        <w:szCs w:val="21"/>
      </w:rPr>
      <w:t xml:space="preserve"> ·公开招标文件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widowControl w:val="0"/>
      <w:snapToGrid/>
      <w:spacing w:afterLines="0" w:line="320" w:lineRule="exact"/>
      <w:ind w:firstLine="0" w:firstLineChars="0"/>
      <w:rPr>
        <w:rFonts w:ascii="宋体" w:hAnsi="宋体" w:cs="仿宋_GB2312"/>
        <w:color w:val="000000"/>
        <w:kern w:val="2"/>
        <w:sz w:val="21"/>
        <w:szCs w:val="21"/>
        <w:u w:val="single"/>
        <w:lang w:val="zh-CN"/>
      </w:rPr>
    </w:pPr>
    <w:r>
      <w:rPr>
        <w:rFonts w:hint="eastAsia"/>
        <w:kern w:val="2"/>
        <w:sz w:val="21"/>
        <w:szCs w:val="21"/>
        <w:u w:val="single"/>
        <w:lang w:val="zh-CN"/>
      </w:rPr>
      <w:t>嘉兴市人民法院2014年度保洁管理项目</w:t>
    </w:r>
    <w:r>
      <w:rPr>
        <w:rFonts w:hint="eastAsia"/>
        <w:sz w:val="21"/>
        <w:szCs w:val="21"/>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4F25F"/>
    <w:multiLevelType w:val="singleLevel"/>
    <w:tmpl w:val="8844F25F"/>
    <w:lvl w:ilvl="0" w:tentative="0">
      <w:start w:val="1"/>
      <w:numFmt w:val="decimal"/>
      <w:suff w:val="nothing"/>
      <w:lvlText w:val="%1、"/>
      <w:lvlJc w:val="left"/>
    </w:lvl>
  </w:abstractNum>
  <w:abstractNum w:abstractNumId="1">
    <w:nsid w:val="895D315A"/>
    <w:multiLevelType w:val="singleLevel"/>
    <w:tmpl w:val="895D315A"/>
    <w:lvl w:ilvl="0" w:tentative="0">
      <w:start w:val="1"/>
      <w:numFmt w:val="decimal"/>
      <w:suff w:val="nothing"/>
      <w:lvlText w:val="%1、"/>
      <w:lvlJc w:val="left"/>
    </w:lvl>
  </w:abstractNum>
  <w:abstractNum w:abstractNumId="2">
    <w:nsid w:val="90B3782F"/>
    <w:multiLevelType w:val="singleLevel"/>
    <w:tmpl w:val="90B3782F"/>
    <w:lvl w:ilvl="0" w:tentative="0">
      <w:start w:val="1"/>
      <w:numFmt w:val="chineseCounting"/>
      <w:suff w:val="space"/>
      <w:lvlText w:val="第%1条"/>
      <w:lvlJc w:val="left"/>
      <w:rPr>
        <w:rFonts w:hint="eastAsia"/>
      </w:rPr>
    </w:lvl>
  </w:abstractNum>
  <w:abstractNum w:abstractNumId="3">
    <w:nsid w:val="A96B42AB"/>
    <w:multiLevelType w:val="singleLevel"/>
    <w:tmpl w:val="A96B42AB"/>
    <w:lvl w:ilvl="0" w:tentative="0">
      <w:start w:val="1"/>
      <w:numFmt w:val="chineseCounting"/>
      <w:suff w:val="nothing"/>
      <w:lvlText w:val="%1、"/>
      <w:lvlJc w:val="left"/>
      <w:pPr>
        <w:ind w:left="-422"/>
      </w:pPr>
      <w:rPr>
        <w:rFonts w:hint="eastAsia"/>
      </w:rPr>
    </w:lvl>
  </w:abstractNum>
  <w:abstractNum w:abstractNumId="4">
    <w:nsid w:val="BE2DF85E"/>
    <w:multiLevelType w:val="singleLevel"/>
    <w:tmpl w:val="BE2DF85E"/>
    <w:lvl w:ilvl="0" w:tentative="0">
      <w:start w:val="1"/>
      <w:numFmt w:val="decimal"/>
      <w:suff w:val="nothing"/>
      <w:lvlText w:val="%1、"/>
      <w:lvlJc w:val="left"/>
    </w:lvl>
  </w:abstractNum>
  <w:abstractNum w:abstractNumId="5">
    <w:nsid w:val="CFADB226"/>
    <w:multiLevelType w:val="singleLevel"/>
    <w:tmpl w:val="CFADB226"/>
    <w:lvl w:ilvl="0" w:tentative="0">
      <w:start w:val="2"/>
      <w:numFmt w:val="decimal"/>
      <w:suff w:val="nothing"/>
      <w:lvlText w:val="%1、"/>
      <w:lvlJc w:val="left"/>
      <w:pPr>
        <w:ind w:left="420" w:firstLine="0"/>
      </w:pPr>
    </w:lvl>
  </w:abstractNum>
  <w:abstractNum w:abstractNumId="6">
    <w:nsid w:val="E0FBEEB8"/>
    <w:multiLevelType w:val="singleLevel"/>
    <w:tmpl w:val="E0FBEEB8"/>
    <w:lvl w:ilvl="0" w:tentative="0">
      <w:start w:val="1"/>
      <w:numFmt w:val="bullet"/>
      <w:pStyle w:val="17"/>
      <w:lvlText w:val=""/>
      <w:lvlJc w:val="left"/>
      <w:pPr>
        <w:tabs>
          <w:tab w:val="left" w:pos="780"/>
        </w:tabs>
        <w:ind w:left="780" w:hanging="360"/>
      </w:pPr>
      <w:rPr>
        <w:rFonts w:hint="default" w:ascii="Wingdings" w:hAnsi="Wingdings"/>
      </w:rPr>
    </w:lvl>
  </w:abstractNum>
  <w:abstractNum w:abstractNumId="7">
    <w:nsid w:val="00000002"/>
    <w:multiLevelType w:val="singleLevel"/>
    <w:tmpl w:val="00000002"/>
    <w:lvl w:ilvl="0" w:tentative="0">
      <w:start w:val="1"/>
      <w:numFmt w:val="chineseCounting"/>
      <w:pStyle w:val="14"/>
      <w:suff w:val="space"/>
      <w:lvlText w:val="第%1章"/>
      <w:lvlJc w:val="left"/>
    </w:lvl>
  </w:abstractNum>
  <w:abstractNum w:abstractNumId="8">
    <w:nsid w:val="00384AE4"/>
    <w:multiLevelType w:val="singleLevel"/>
    <w:tmpl w:val="00384AE4"/>
    <w:lvl w:ilvl="0" w:tentative="0">
      <w:start w:val="2"/>
      <w:numFmt w:val="chineseCounting"/>
      <w:suff w:val="space"/>
      <w:lvlText w:val="第%1章"/>
      <w:lvlJc w:val="left"/>
      <w:rPr>
        <w:rFonts w:hint="eastAsia"/>
      </w:rPr>
    </w:lvl>
  </w:abstractNum>
  <w:abstractNum w:abstractNumId="9">
    <w:nsid w:val="0222C699"/>
    <w:multiLevelType w:val="singleLevel"/>
    <w:tmpl w:val="0222C699"/>
    <w:lvl w:ilvl="0" w:tentative="0">
      <w:start w:val="1"/>
      <w:numFmt w:val="decimal"/>
      <w:suff w:val="nothing"/>
      <w:lvlText w:val="%1、"/>
      <w:lvlJc w:val="left"/>
    </w:lvl>
  </w:abstractNum>
  <w:abstractNum w:abstractNumId="10">
    <w:nsid w:val="06C97017"/>
    <w:multiLevelType w:val="multilevel"/>
    <w:tmpl w:val="06C970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81FA64"/>
    <w:multiLevelType w:val="singleLevel"/>
    <w:tmpl w:val="1581FA64"/>
    <w:lvl w:ilvl="0" w:tentative="0">
      <w:start w:val="5"/>
      <w:numFmt w:val="decimal"/>
      <w:suff w:val="nothing"/>
      <w:lvlText w:val="%1、"/>
      <w:lvlJc w:val="left"/>
    </w:lvl>
  </w:abstractNum>
  <w:abstractNum w:abstractNumId="12">
    <w:nsid w:val="2A479264"/>
    <w:multiLevelType w:val="singleLevel"/>
    <w:tmpl w:val="2A479264"/>
    <w:lvl w:ilvl="0" w:tentative="0">
      <w:start w:val="1"/>
      <w:numFmt w:val="decimal"/>
      <w:suff w:val="nothing"/>
      <w:lvlText w:val="%1、"/>
      <w:lvlJc w:val="left"/>
    </w:lvl>
  </w:abstractNum>
  <w:abstractNum w:abstractNumId="13">
    <w:nsid w:val="2DF05524"/>
    <w:multiLevelType w:val="singleLevel"/>
    <w:tmpl w:val="2DF05524"/>
    <w:lvl w:ilvl="0" w:tentative="0">
      <w:start w:val="1"/>
      <w:numFmt w:val="chineseCounting"/>
      <w:suff w:val="nothing"/>
      <w:lvlText w:val="%1、"/>
      <w:lvlJc w:val="left"/>
      <w:rPr>
        <w:rFonts w:hint="eastAsia"/>
      </w:rPr>
    </w:lvl>
  </w:abstractNum>
  <w:abstractNum w:abstractNumId="14">
    <w:nsid w:val="337D0A24"/>
    <w:multiLevelType w:val="multilevel"/>
    <w:tmpl w:val="337D0A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542E9F9"/>
    <w:multiLevelType w:val="singleLevel"/>
    <w:tmpl w:val="3542E9F9"/>
    <w:lvl w:ilvl="0" w:tentative="0">
      <w:start w:val="1"/>
      <w:numFmt w:val="decimal"/>
      <w:suff w:val="nothing"/>
      <w:lvlText w:val="%1、"/>
      <w:lvlJc w:val="left"/>
    </w:lvl>
  </w:abstractNum>
  <w:abstractNum w:abstractNumId="16">
    <w:nsid w:val="4453E75C"/>
    <w:multiLevelType w:val="singleLevel"/>
    <w:tmpl w:val="4453E75C"/>
    <w:lvl w:ilvl="0" w:tentative="0">
      <w:start w:val="1"/>
      <w:numFmt w:val="decimal"/>
      <w:suff w:val="nothing"/>
      <w:lvlText w:val="%1、"/>
      <w:lvlJc w:val="left"/>
    </w:lvl>
  </w:abstractNum>
  <w:abstractNum w:abstractNumId="17">
    <w:nsid w:val="44D94B2A"/>
    <w:multiLevelType w:val="singleLevel"/>
    <w:tmpl w:val="44D94B2A"/>
    <w:lvl w:ilvl="0" w:tentative="0">
      <w:start w:val="2"/>
      <w:numFmt w:val="chineseCounting"/>
      <w:suff w:val="nothing"/>
      <w:lvlText w:val="%1、"/>
      <w:lvlJc w:val="left"/>
      <w:rPr>
        <w:rFonts w:hint="eastAsia"/>
      </w:rPr>
    </w:lvl>
  </w:abstractNum>
  <w:abstractNum w:abstractNumId="18">
    <w:nsid w:val="46628A65"/>
    <w:multiLevelType w:val="singleLevel"/>
    <w:tmpl w:val="46628A65"/>
    <w:lvl w:ilvl="0" w:tentative="0">
      <w:start w:val="1"/>
      <w:numFmt w:val="decimal"/>
      <w:suff w:val="nothing"/>
      <w:lvlText w:val="%1、"/>
      <w:lvlJc w:val="left"/>
    </w:lvl>
  </w:abstractNum>
  <w:abstractNum w:abstractNumId="19">
    <w:nsid w:val="5333D3D9"/>
    <w:multiLevelType w:val="singleLevel"/>
    <w:tmpl w:val="5333D3D9"/>
    <w:lvl w:ilvl="0" w:tentative="0">
      <w:start w:val="5"/>
      <w:numFmt w:val="chineseCounting"/>
      <w:suff w:val="space"/>
      <w:lvlText w:val="第%1章"/>
      <w:lvlJc w:val="left"/>
    </w:lvl>
  </w:abstractNum>
  <w:abstractNum w:abstractNumId="20">
    <w:nsid w:val="54F42EA7"/>
    <w:multiLevelType w:val="singleLevel"/>
    <w:tmpl w:val="54F42EA7"/>
    <w:lvl w:ilvl="0" w:tentative="0">
      <w:start w:val="1"/>
      <w:numFmt w:val="decimal"/>
      <w:suff w:val="nothing"/>
      <w:lvlText w:val="%1、"/>
      <w:lvlJc w:val="left"/>
    </w:lvl>
  </w:abstractNum>
  <w:abstractNum w:abstractNumId="21">
    <w:nsid w:val="557FD3DA"/>
    <w:multiLevelType w:val="singleLevel"/>
    <w:tmpl w:val="557FD3DA"/>
    <w:lvl w:ilvl="0" w:tentative="0">
      <w:start w:val="3"/>
      <w:numFmt w:val="chineseCounting"/>
      <w:suff w:val="nothing"/>
      <w:lvlText w:val="%1、"/>
      <w:lvlJc w:val="left"/>
    </w:lvl>
  </w:abstractNum>
  <w:abstractNum w:abstractNumId="22">
    <w:nsid w:val="567027A7"/>
    <w:multiLevelType w:val="singleLevel"/>
    <w:tmpl w:val="567027A7"/>
    <w:lvl w:ilvl="0" w:tentative="0">
      <w:start w:val="2"/>
      <w:numFmt w:val="chineseCounting"/>
      <w:suff w:val="nothing"/>
      <w:lvlText w:val="%1、"/>
      <w:lvlJc w:val="left"/>
    </w:lvl>
  </w:abstractNum>
  <w:abstractNum w:abstractNumId="23">
    <w:nsid w:val="65D7EE0F"/>
    <w:multiLevelType w:val="multilevel"/>
    <w:tmpl w:val="65D7EE0F"/>
    <w:lvl w:ilvl="0" w:tentative="0">
      <w:start w:val="1"/>
      <w:numFmt w:val="japaneseCounting"/>
      <w:lvlText w:val="%1、"/>
      <w:lvlJc w:val="left"/>
      <w:pPr>
        <w:ind w:left="510" w:hanging="51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1FE7A37"/>
    <w:multiLevelType w:val="multilevel"/>
    <w:tmpl w:val="71FE7A37"/>
    <w:lvl w:ilvl="0" w:tentative="0">
      <w:start w:val="1"/>
      <w:numFmt w:val="japaneseCounting"/>
      <w:lvlText w:val="%1、"/>
      <w:lvlJc w:val="left"/>
      <w:pPr>
        <w:ind w:left="510" w:hanging="51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84C6E82"/>
    <w:multiLevelType w:val="singleLevel"/>
    <w:tmpl w:val="784C6E82"/>
    <w:lvl w:ilvl="0" w:tentative="0">
      <w:start w:val="1"/>
      <w:numFmt w:val="decimal"/>
      <w:suff w:val="nothing"/>
      <w:lvlText w:val="%1、"/>
      <w:lvlJc w:val="left"/>
    </w:lvl>
  </w:abstractNum>
  <w:abstractNum w:abstractNumId="26">
    <w:nsid w:val="7B76430B"/>
    <w:multiLevelType w:val="singleLevel"/>
    <w:tmpl w:val="7B76430B"/>
    <w:lvl w:ilvl="0" w:tentative="0">
      <w:start w:val="1"/>
      <w:numFmt w:val="decimal"/>
      <w:suff w:val="nothing"/>
      <w:lvlText w:val="%1、"/>
      <w:lvlJc w:val="left"/>
    </w:lvl>
  </w:abstractNum>
  <w:abstractNum w:abstractNumId="27">
    <w:nsid w:val="7DCFC0B4"/>
    <w:multiLevelType w:val="singleLevel"/>
    <w:tmpl w:val="7DCFC0B4"/>
    <w:lvl w:ilvl="0" w:tentative="0">
      <w:start w:val="1"/>
      <w:numFmt w:val="decimal"/>
      <w:suff w:val="nothing"/>
      <w:lvlText w:val="%1、"/>
      <w:lvlJc w:val="left"/>
    </w:lvl>
  </w:abstractNum>
  <w:num w:numId="1">
    <w:abstractNumId w:val="7"/>
  </w:num>
  <w:num w:numId="2">
    <w:abstractNumId w:val="6"/>
  </w:num>
  <w:num w:numId="3">
    <w:abstractNumId w:val="8"/>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8"/>
  </w:num>
  <w:num w:numId="7">
    <w:abstractNumId w:val="16"/>
  </w:num>
  <w:num w:numId="8">
    <w:abstractNumId w:val="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2"/>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
  </w:num>
  <w:num w:numId="28">
    <w:abstractNumId w:val="27"/>
  </w:num>
  <w:num w:numId="29">
    <w:abstractNumId w:val="17"/>
  </w:num>
  <w:num w:numId="30">
    <w:abstractNumId w:val="26"/>
  </w:num>
  <w:num w:numId="31">
    <w:abstractNumId w:val="25"/>
  </w:num>
  <w:num w:numId="32">
    <w:abstractNumId w:val="19"/>
  </w:num>
  <w:num w:numId="33">
    <w:abstractNumId w:val="2"/>
  </w:num>
  <w:num w:numId="34">
    <w:abstractNumId w:val="5"/>
  </w:num>
  <w:num w:numId="35">
    <w:abstractNumId w:val="20"/>
  </w:num>
  <w:num w:numId="36">
    <w:abstractNumId w:val="22"/>
  </w:num>
  <w:num w:numId="37">
    <w:abstractNumId w:val="2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172A27"/>
    <w:rsid w:val="000115DA"/>
    <w:rsid w:val="000A2E2E"/>
    <w:rsid w:val="000B72C4"/>
    <w:rsid w:val="000C7203"/>
    <w:rsid w:val="00160164"/>
    <w:rsid w:val="00172A27"/>
    <w:rsid w:val="00276425"/>
    <w:rsid w:val="00277FE3"/>
    <w:rsid w:val="002D45F4"/>
    <w:rsid w:val="002D7663"/>
    <w:rsid w:val="00347468"/>
    <w:rsid w:val="00381863"/>
    <w:rsid w:val="0038770F"/>
    <w:rsid w:val="00394267"/>
    <w:rsid w:val="00395DD3"/>
    <w:rsid w:val="003D5432"/>
    <w:rsid w:val="00442A29"/>
    <w:rsid w:val="00455B2E"/>
    <w:rsid w:val="004F0278"/>
    <w:rsid w:val="004F1AED"/>
    <w:rsid w:val="005053C8"/>
    <w:rsid w:val="00526F3C"/>
    <w:rsid w:val="00566FC4"/>
    <w:rsid w:val="005A487B"/>
    <w:rsid w:val="005D0B21"/>
    <w:rsid w:val="00602A0F"/>
    <w:rsid w:val="00617CB1"/>
    <w:rsid w:val="00627C3D"/>
    <w:rsid w:val="00661A31"/>
    <w:rsid w:val="006C3905"/>
    <w:rsid w:val="00700A97"/>
    <w:rsid w:val="00702F9D"/>
    <w:rsid w:val="0070498E"/>
    <w:rsid w:val="00715A17"/>
    <w:rsid w:val="0072511A"/>
    <w:rsid w:val="00743969"/>
    <w:rsid w:val="007B4578"/>
    <w:rsid w:val="007C1B1A"/>
    <w:rsid w:val="007D7B8B"/>
    <w:rsid w:val="007E7FB0"/>
    <w:rsid w:val="00821166"/>
    <w:rsid w:val="008220D0"/>
    <w:rsid w:val="00834840"/>
    <w:rsid w:val="00855BA6"/>
    <w:rsid w:val="0087523F"/>
    <w:rsid w:val="008B25FF"/>
    <w:rsid w:val="00955445"/>
    <w:rsid w:val="00A163E4"/>
    <w:rsid w:val="00A23DB4"/>
    <w:rsid w:val="00A37C1C"/>
    <w:rsid w:val="00A826F0"/>
    <w:rsid w:val="00AE22F6"/>
    <w:rsid w:val="00B045A0"/>
    <w:rsid w:val="00B31CDD"/>
    <w:rsid w:val="00B45C1E"/>
    <w:rsid w:val="00B94508"/>
    <w:rsid w:val="00BB417E"/>
    <w:rsid w:val="00BE512D"/>
    <w:rsid w:val="00C00722"/>
    <w:rsid w:val="00C02DB8"/>
    <w:rsid w:val="00C47712"/>
    <w:rsid w:val="00CE6538"/>
    <w:rsid w:val="00D33925"/>
    <w:rsid w:val="00D6122B"/>
    <w:rsid w:val="00D765B7"/>
    <w:rsid w:val="00DA635D"/>
    <w:rsid w:val="00DD13D8"/>
    <w:rsid w:val="00DE6941"/>
    <w:rsid w:val="00E079ED"/>
    <w:rsid w:val="00E47F02"/>
    <w:rsid w:val="00E7460B"/>
    <w:rsid w:val="00EC3E58"/>
    <w:rsid w:val="00ED1AF4"/>
    <w:rsid w:val="00ED5A5D"/>
    <w:rsid w:val="00F00591"/>
    <w:rsid w:val="00F10D20"/>
    <w:rsid w:val="00F71896"/>
    <w:rsid w:val="00FF4039"/>
    <w:rsid w:val="00FF569C"/>
    <w:rsid w:val="011768D6"/>
    <w:rsid w:val="01361389"/>
    <w:rsid w:val="014557C2"/>
    <w:rsid w:val="017F393E"/>
    <w:rsid w:val="01CB0FB1"/>
    <w:rsid w:val="01E00938"/>
    <w:rsid w:val="022E2E51"/>
    <w:rsid w:val="02696910"/>
    <w:rsid w:val="03501EDE"/>
    <w:rsid w:val="039E18A7"/>
    <w:rsid w:val="03E729BA"/>
    <w:rsid w:val="03FA386B"/>
    <w:rsid w:val="03FF56E1"/>
    <w:rsid w:val="041979FB"/>
    <w:rsid w:val="04AB490F"/>
    <w:rsid w:val="04C837E3"/>
    <w:rsid w:val="04D15182"/>
    <w:rsid w:val="04DA2B70"/>
    <w:rsid w:val="0505394D"/>
    <w:rsid w:val="050D2D5F"/>
    <w:rsid w:val="0513735F"/>
    <w:rsid w:val="052A029E"/>
    <w:rsid w:val="054A4C32"/>
    <w:rsid w:val="05526CF8"/>
    <w:rsid w:val="05536C4A"/>
    <w:rsid w:val="057E3312"/>
    <w:rsid w:val="05C1727E"/>
    <w:rsid w:val="05E11D32"/>
    <w:rsid w:val="05F95D3A"/>
    <w:rsid w:val="0638333A"/>
    <w:rsid w:val="075B4317"/>
    <w:rsid w:val="07B01057"/>
    <w:rsid w:val="07BC558F"/>
    <w:rsid w:val="081E2D2B"/>
    <w:rsid w:val="08687695"/>
    <w:rsid w:val="088D6414"/>
    <w:rsid w:val="08DE064E"/>
    <w:rsid w:val="09043B58"/>
    <w:rsid w:val="09632DF2"/>
    <w:rsid w:val="097570E8"/>
    <w:rsid w:val="098928D0"/>
    <w:rsid w:val="09926C3F"/>
    <w:rsid w:val="09A315E7"/>
    <w:rsid w:val="09BB7153"/>
    <w:rsid w:val="0B323AEB"/>
    <w:rsid w:val="0B5E2329"/>
    <w:rsid w:val="0B7E55A3"/>
    <w:rsid w:val="0B9E5CBC"/>
    <w:rsid w:val="0C345467"/>
    <w:rsid w:val="0C791B3B"/>
    <w:rsid w:val="0C914338"/>
    <w:rsid w:val="0CAF63EC"/>
    <w:rsid w:val="0CDD7C19"/>
    <w:rsid w:val="0D157B86"/>
    <w:rsid w:val="0D2C3BA2"/>
    <w:rsid w:val="0D681D51"/>
    <w:rsid w:val="0D882515"/>
    <w:rsid w:val="0D9F31D6"/>
    <w:rsid w:val="0E3F6587"/>
    <w:rsid w:val="0E497D89"/>
    <w:rsid w:val="0E661BCD"/>
    <w:rsid w:val="0E6B315F"/>
    <w:rsid w:val="0E752DEB"/>
    <w:rsid w:val="0E794AC9"/>
    <w:rsid w:val="0ED13A40"/>
    <w:rsid w:val="0EED2EE4"/>
    <w:rsid w:val="0EF94B9A"/>
    <w:rsid w:val="0F083839"/>
    <w:rsid w:val="0F4A4E14"/>
    <w:rsid w:val="0F6879DD"/>
    <w:rsid w:val="10332C1A"/>
    <w:rsid w:val="103530B3"/>
    <w:rsid w:val="104219FD"/>
    <w:rsid w:val="106F6359"/>
    <w:rsid w:val="107A31EC"/>
    <w:rsid w:val="10B552AD"/>
    <w:rsid w:val="11057A82"/>
    <w:rsid w:val="113D5D78"/>
    <w:rsid w:val="120A371F"/>
    <w:rsid w:val="123B528D"/>
    <w:rsid w:val="12624713"/>
    <w:rsid w:val="12856F20"/>
    <w:rsid w:val="12FE3A23"/>
    <w:rsid w:val="139B6581"/>
    <w:rsid w:val="14583069"/>
    <w:rsid w:val="1480509C"/>
    <w:rsid w:val="149E6E6E"/>
    <w:rsid w:val="14EB599A"/>
    <w:rsid w:val="14F62DBB"/>
    <w:rsid w:val="15123637"/>
    <w:rsid w:val="158F5D71"/>
    <w:rsid w:val="15CF3257"/>
    <w:rsid w:val="167F2FFF"/>
    <w:rsid w:val="16B3440B"/>
    <w:rsid w:val="16FC5B8F"/>
    <w:rsid w:val="17E27038"/>
    <w:rsid w:val="17FC2414"/>
    <w:rsid w:val="18494021"/>
    <w:rsid w:val="18710D52"/>
    <w:rsid w:val="188859CE"/>
    <w:rsid w:val="18BC14DB"/>
    <w:rsid w:val="19283E25"/>
    <w:rsid w:val="194546A8"/>
    <w:rsid w:val="19762565"/>
    <w:rsid w:val="19BF5052"/>
    <w:rsid w:val="1A0538E9"/>
    <w:rsid w:val="1A6566AB"/>
    <w:rsid w:val="1BF132A7"/>
    <w:rsid w:val="1C033227"/>
    <w:rsid w:val="1C7D737E"/>
    <w:rsid w:val="1C964B49"/>
    <w:rsid w:val="1CC27D3E"/>
    <w:rsid w:val="1D636B46"/>
    <w:rsid w:val="1DB25A9E"/>
    <w:rsid w:val="1DEC1F22"/>
    <w:rsid w:val="1E270B56"/>
    <w:rsid w:val="1E287B89"/>
    <w:rsid w:val="1E3C2FA6"/>
    <w:rsid w:val="1E6E437A"/>
    <w:rsid w:val="1EFF4673"/>
    <w:rsid w:val="1F6E1A3F"/>
    <w:rsid w:val="1FA2BD70"/>
    <w:rsid w:val="1FCD3570"/>
    <w:rsid w:val="204001F8"/>
    <w:rsid w:val="20CC1CE6"/>
    <w:rsid w:val="20D83AEE"/>
    <w:rsid w:val="21170DB0"/>
    <w:rsid w:val="21672B04"/>
    <w:rsid w:val="21BD5166"/>
    <w:rsid w:val="21DE311D"/>
    <w:rsid w:val="22161121"/>
    <w:rsid w:val="221A1284"/>
    <w:rsid w:val="22522864"/>
    <w:rsid w:val="22553FCD"/>
    <w:rsid w:val="22F73132"/>
    <w:rsid w:val="231856A3"/>
    <w:rsid w:val="235F21B5"/>
    <w:rsid w:val="237A54CB"/>
    <w:rsid w:val="23D5177A"/>
    <w:rsid w:val="249D3FFE"/>
    <w:rsid w:val="24F4236F"/>
    <w:rsid w:val="25804D0F"/>
    <w:rsid w:val="259C0DED"/>
    <w:rsid w:val="25C06075"/>
    <w:rsid w:val="25FC7A5D"/>
    <w:rsid w:val="2609593B"/>
    <w:rsid w:val="26357304"/>
    <w:rsid w:val="263C504A"/>
    <w:rsid w:val="264A6FF6"/>
    <w:rsid w:val="26D12FC0"/>
    <w:rsid w:val="26E43A5B"/>
    <w:rsid w:val="26FC7004"/>
    <w:rsid w:val="27B24F98"/>
    <w:rsid w:val="27D33F2A"/>
    <w:rsid w:val="284A5009"/>
    <w:rsid w:val="284A61FF"/>
    <w:rsid w:val="284E0999"/>
    <w:rsid w:val="289A0AEB"/>
    <w:rsid w:val="28DC0708"/>
    <w:rsid w:val="295B6DE6"/>
    <w:rsid w:val="29843ACB"/>
    <w:rsid w:val="2988072F"/>
    <w:rsid w:val="29A95842"/>
    <w:rsid w:val="29AC7CA1"/>
    <w:rsid w:val="29C47EA3"/>
    <w:rsid w:val="2B1D6406"/>
    <w:rsid w:val="2B2D4BD8"/>
    <w:rsid w:val="2B480B52"/>
    <w:rsid w:val="2B4D11B4"/>
    <w:rsid w:val="2B55302B"/>
    <w:rsid w:val="2BDE4175"/>
    <w:rsid w:val="2C0A5F9E"/>
    <w:rsid w:val="2C1E6D20"/>
    <w:rsid w:val="2C47032D"/>
    <w:rsid w:val="2C624BCB"/>
    <w:rsid w:val="2C6309E2"/>
    <w:rsid w:val="2CAF43A2"/>
    <w:rsid w:val="2D7F19DB"/>
    <w:rsid w:val="2D8737C0"/>
    <w:rsid w:val="2D9279B7"/>
    <w:rsid w:val="2D9E2950"/>
    <w:rsid w:val="2E3C001B"/>
    <w:rsid w:val="2EF241E4"/>
    <w:rsid w:val="2F595152"/>
    <w:rsid w:val="2FF5400E"/>
    <w:rsid w:val="30117FDF"/>
    <w:rsid w:val="30126F71"/>
    <w:rsid w:val="303D4E30"/>
    <w:rsid w:val="305766E5"/>
    <w:rsid w:val="309F7453"/>
    <w:rsid w:val="30AA65E6"/>
    <w:rsid w:val="30EB5E0A"/>
    <w:rsid w:val="31537402"/>
    <w:rsid w:val="31692558"/>
    <w:rsid w:val="316C0A50"/>
    <w:rsid w:val="317716B5"/>
    <w:rsid w:val="31A808D0"/>
    <w:rsid w:val="31EB1840"/>
    <w:rsid w:val="3204479C"/>
    <w:rsid w:val="321759BB"/>
    <w:rsid w:val="32212EDF"/>
    <w:rsid w:val="324D6572"/>
    <w:rsid w:val="324F3D6D"/>
    <w:rsid w:val="33004869"/>
    <w:rsid w:val="3311528D"/>
    <w:rsid w:val="33350073"/>
    <w:rsid w:val="333E7B15"/>
    <w:rsid w:val="3378711A"/>
    <w:rsid w:val="33A24F3C"/>
    <w:rsid w:val="34297A91"/>
    <w:rsid w:val="34490FA6"/>
    <w:rsid w:val="34563CEC"/>
    <w:rsid w:val="34C3573A"/>
    <w:rsid w:val="34D85A02"/>
    <w:rsid w:val="34DC77C8"/>
    <w:rsid w:val="34E621EB"/>
    <w:rsid w:val="35034456"/>
    <w:rsid w:val="35247BCD"/>
    <w:rsid w:val="3549658D"/>
    <w:rsid w:val="35B95EFC"/>
    <w:rsid w:val="36056FDF"/>
    <w:rsid w:val="36253A1E"/>
    <w:rsid w:val="362C5738"/>
    <w:rsid w:val="369E6A08"/>
    <w:rsid w:val="36EF657A"/>
    <w:rsid w:val="37251912"/>
    <w:rsid w:val="372D6C47"/>
    <w:rsid w:val="3750454F"/>
    <w:rsid w:val="378814E1"/>
    <w:rsid w:val="38933450"/>
    <w:rsid w:val="396D443E"/>
    <w:rsid w:val="39E722A6"/>
    <w:rsid w:val="3A3540E2"/>
    <w:rsid w:val="3AC727C9"/>
    <w:rsid w:val="3B041BD4"/>
    <w:rsid w:val="3B5A5F63"/>
    <w:rsid w:val="3BA548E8"/>
    <w:rsid w:val="3BD8323D"/>
    <w:rsid w:val="3C15192A"/>
    <w:rsid w:val="3C2C4053"/>
    <w:rsid w:val="3C792F7A"/>
    <w:rsid w:val="3CC46628"/>
    <w:rsid w:val="3CDF15A5"/>
    <w:rsid w:val="3D82736A"/>
    <w:rsid w:val="3D985B77"/>
    <w:rsid w:val="3DB338AD"/>
    <w:rsid w:val="3DF11CCA"/>
    <w:rsid w:val="3DFE9826"/>
    <w:rsid w:val="3E4A643F"/>
    <w:rsid w:val="3E823A67"/>
    <w:rsid w:val="3E9C58CE"/>
    <w:rsid w:val="3F050EE6"/>
    <w:rsid w:val="3F081377"/>
    <w:rsid w:val="3F8015AB"/>
    <w:rsid w:val="3FDE6257"/>
    <w:rsid w:val="40553D9B"/>
    <w:rsid w:val="40A1586A"/>
    <w:rsid w:val="40AC3012"/>
    <w:rsid w:val="40AE0FC4"/>
    <w:rsid w:val="40B93CBB"/>
    <w:rsid w:val="40DB4E75"/>
    <w:rsid w:val="40EB2D60"/>
    <w:rsid w:val="41321107"/>
    <w:rsid w:val="414C083A"/>
    <w:rsid w:val="41725C78"/>
    <w:rsid w:val="41F15AEE"/>
    <w:rsid w:val="42242E76"/>
    <w:rsid w:val="42467F0F"/>
    <w:rsid w:val="427F7899"/>
    <w:rsid w:val="42911BF8"/>
    <w:rsid w:val="42D77239"/>
    <w:rsid w:val="431809B1"/>
    <w:rsid w:val="435A3F8F"/>
    <w:rsid w:val="43713BB4"/>
    <w:rsid w:val="43A0375B"/>
    <w:rsid w:val="43A37975"/>
    <w:rsid w:val="442327AA"/>
    <w:rsid w:val="445C7131"/>
    <w:rsid w:val="447D71C7"/>
    <w:rsid w:val="44C23C59"/>
    <w:rsid w:val="456D518A"/>
    <w:rsid w:val="45A10FF0"/>
    <w:rsid w:val="461B1C1B"/>
    <w:rsid w:val="46EA636E"/>
    <w:rsid w:val="46FE4351"/>
    <w:rsid w:val="47210E42"/>
    <w:rsid w:val="472A5E05"/>
    <w:rsid w:val="475510AB"/>
    <w:rsid w:val="47570180"/>
    <w:rsid w:val="479C164D"/>
    <w:rsid w:val="4808752F"/>
    <w:rsid w:val="484826D6"/>
    <w:rsid w:val="48603251"/>
    <w:rsid w:val="48B16D43"/>
    <w:rsid w:val="49105C83"/>
    <w:rsid w:val="493C2333"/>
    <w:rsid w:val="494A754F"/>
    <w:rsid w:val="49595248"/>
    <w:rsid w:val="49734C6A"/>
    <w:rsid w:val="49B10044"/>
    <w:rsid w:val="4A70372C"/>
    <w:rsid w:val="4ABA7743"/>
    <w:rsid w:val="4ADD71E7"/>
    <w:rsid w:val="4B1874C5"/>
    <w:rsid w:val="4B623BC5"/>
    <w:rsid w:val="4B8819BC"/>
    <w:rsid w:val="4BA10759"/>
    <w:rsid w:val="4BAE2EFD"/>
    <w:rsid w:val="4BDB1D60"/>
    <w:rsid w:val="4C020640"/>
    <w:rsid w:val="4CCA459F"/>
    <w:rsid w:val="4D95542C"/>
    <w:rsid w:val="4DB11E17"/>
    <w:rsid w:val="4E562E0C"/>
    <w:rsid w:val="4E765648"/>
    <w:rsid w:val="4F3B7C6D"/>
    <w:rsid w:val="4F4B544E"/>
    <w:rsid w:val="4F5C4B3F"/>
    <w:rsid w:val="4FBC4ACC"/>
    <w:rsid w:val="50230250"/>
    <w:rsid w:val="50890517"/>
    <w:rsid w:val="50EC1DD2"/>
    <w:rsid w:val="50F30341"/>
    <w:rsid w:val="50FA62AF"/>
    <w:rsid w:val="518978D5"/>
    <w:rsid w:val="51AC22C1"/>
    <w:rsid w:val="51E6586D"/>
    <w:rsid w:val="52247352"/>
    <w:rsid w:val="52332C20"/>
    <w:rsid w:val="52E860A3"/>
    <w:rsid w:val="534F6B71"/>
    <w:rsid w:val="53826E67"/>
    <w:rsid w:val="53A862BC"/>
    <w:rsid w:val="53CA5E7C"/>
    <w:rsid w:val="53CC3BD5"/>
    <w:rsid w:val="54066170"/>
    <w:rsid w:val="542F3E51"/>
    <w:rsid w:val="544458A0"/>
    <w:rsid w:val="54723456"/>
    <w:rsid w:val="550D0330"/>
    <w:rsid w:val="55280221"/>
    <w:rsid w:val="559F5CA8"/>
    <w:rsid w:val="55C61016"/>
    <w:rsid w:val="55C81044"/>
    <w:rsid w:val="55E70385"/>
    <w:rsid w:val="56530F41"/>
    <w:rsid w:val="56661A33"/>
    <w:rsid w:val="5670465C"/>
    <w:rsid w:val="5671502C"/>
    <w:rsid w:val="56AE3419"/>
    <w:rsid w:val="56B35ACA"/>
    <w:rsid w:val="56B476BD"/>
    <w:rsid w:val="57034965"/>
    <w:rsid w:val="571C7FC0"/>
    <w:rsid w:val="572974F8"/>
    <w:rsid w:val="573541EF"/>
    <w:rsid w:val="5743010E"/>
    <w:rsid w:val="5747616E"/>
    <w:rsid w:val="57772008"/>
    <w:rsid w:val="57784798"/>
    <w:rsid w:val="57D957EA"/>
    <w:rsid w:val="582D206F"/>
    <w:rsid w:val="583E3F5E"/>
    <w:rsid w:val="584C06EA"/>
    <w:rsid w:val="5901547E"/>
    <w:rsid w:val="590D2DD7"/>
    <w:rsid w:val="592070D5"/>
    <w:rsid w:val="5955323E"/>
    <w:rsid w:val="5968304A"/>
    <w:rsid w:val="5A157CD6"/>
    <w:rsid w:val="5A1D7269"/>
    <w:rsid w:val="5A9C549A"/>
    <w:rsid w:val="5B5639C9"/>
    <w:rsid w:val="5B630D69"/>
    <w:rsid w:val="5BBB1FE1"/>
    <w:rsid w:val="5BCC056E"/>
    <w:rsid w:val="5BDF6CE6"/>
    <w:rsid w:val="5BE86135"/>
    <w:rsid w:val="5C6259D8"/>
    <w:rsid w:val="5C8D6B0D"/>
    <w:rsid w:val="5C96695C"/>
    <w:rsid w:val="5CEF03DA"/>
    <w:rsid w:val="5D351512"/>
    <w:rsid w:val="5E170E07"/>
    <w:rsid w:val="5E3A0425"/>
    <w:rsid w:val="5ECF77E7"/>
    <w:rsid w:val="5EDF46D7"/>
    <w:rsid w:val="5EEC5666"/>
    <w:rsid w:val="5EF23435"/>
    <w:rsid w:val="5EF977A2"/>
    <w:rsid w:val="5F430B98"/>
    <w:rsid w:val="5F4B1E13"/>
    <w:rsid w:val="5F75753A"/>
    <w:rsid w:val="5FFEC4A0"/>
    <w:rsid w:val="605C2409"/>
    <w:rsid w:val="60E63AA2"/>
    <w:rsid w:val="617940FB"/>
    <w:rsid w:val="61CC2880"/>
    <w:rsid w:val="622F55EE"/>
    <w:rsid w:val="62464056"/>
    <w:rsid w:val="62496741"/>
    <w:rsid w:val="627D1E4D"/>
    <w:rsid w:val="627D47F7"/>
    <w:rsid w:val="629C49D9"/>
    <w:rsid w:val="62BA4707"/>
    <w:rsid w:val="633D721D"/>
    <w:rsid w:val="63BF7FBC"/>
    <w:rsid w:val="63D0171E"/>
    <w:rsid w:val="63E17D6C"/>
    <w:rsid w:val="63ED4749"/>
    <w:rsid w:val="64100086"/>
    <w:rsid w:val="646B13A8"/>
    <w:rsid w:val="64953215"/>
    <w:rsid w:val="6530528B"/>
    <w:rsid w:val="65401C6F"/>
    <w:rsid w:val="65481233"/>
    <w:rsid w:val="6551026F"/>
    <w:rsid w:val="65835E4D"/>
    <w:rsid w:val="66037786"/>
    <w:rsid w:val="66DD161D"/>
    <w:rsid w:val="670A5C9B"/>
    <w:rsid w:val="678E5975"/>
    <w:rsid w:val="67A45560"/>
    <w:rsid w:val="67BC05FB"/>
    <w:rsid w:val="68510038"/>
    <w:rsid w:val="68B63CF9"/>
    <w:rsid w:val="68D53877"/>
    <w:rsid w:val="68E50534"/>
    <w:rsid w:val="69461147"/>
    <w:rsid w:val="69BB56C4"/>
    <w:rsid w:val="6A015BD5"/>
    <w:rsid w:val="6A0A2635"/>
    <w:rsid w:val="6B8F5D8A"/>
    <w:rsid w:val="6BE97D97"/>
    <w:rsid w:val="6C281F9B"/>
    <w:rsid w:val="6C5B6847"/>
    <w:rsid w:val="6C5E0BE0"/>
    <w:rsid w:val="6CB92DD0"/>
    <w:rsid w:val="6CBB6246"/>
    <w:rsid w:val="6D01354B"/>
    <w:rsid w:val="6D4254C4"/>
    <w:rsid w:val="6E717EE1"/>
    <w:rsid w:val="6EC6430F"/>
    <w:rsid w:val="6ED2357B"/>
    <w:rsid w:val="6F0A78E8"/>
    <w:rsid w:val="6F1F2853"/>
    <w:rsid w:val="6F5362A6"/>
    <w:rsid w:val="6FE44DE6"/>
    <w:rsid w:val="700B74D8"/>
    <w:rsid w:val="70111A47"/>
    <w:rsid w:val="702629D7"/>
    <w:rsid w:val="70547493"/>
    <w:rsid w:val="70B435D7"/>
    <w:rsid w:val="70FF5006"/>
    <w:rsid w:val="716F53DD"/>
    <w:rsid w:val="720336CA"/>
    <w:rsid w:val="72457E63"/>
    <w:rsid w:val="72CD4B67"/>
    <w:rsid w:val="72D2697F"/>
    <w:rsid w:val="72E05D86"/>
    <w:rsid w:val="73053200"/>
    <w:rsid w:val="736E0E6D"/>
    <w:rsid w:val="73797AB6"/>
    <w:rsid w:val="738B3E91"/>
    <w:rsid w:val="7393222F"/>
    <w:rsid w:val="73C362E6"/>
    <w:rsid w:val="73F5715C"/>
    <w:rsid w:val="740C60E9"/>
    <w:rsid w:val="740E3CBA"/>
    <w:rsid w:val="75172DAE"/>
    <w:rsid w:val="75C24B94"/>
    <w:rsid w:val="761C5153"/>
    <w:rsid w:val="764A3FA2"/>
    <w:rsid w:val="76BF7B87"/>
    <w:rsid w:val="76EA56A8"/>
    <w:rsid w:val="76FF15BD"/>
    <w:rsid w:val="77422030"/>
    <w:rsid w:val="77763478"/>
    <w:rsid w:val="77823B5D"/>
    <w:rsid w:val="77D32AC2"/>
    <w:rsid w:val="77F20436"/>
    <w:rsid w:val="783F4796"/>
    <w:rsid w:val="78CD3662"/>
    <w:rsid w:val="78EC433A"/>
    <w:rsid w:val="78F46178"/>
    <w:rsid w:val="78FF2E32"/>
    <w:rsid w:val="79005208"/>
    <w:rsid w:val="79582162"/>
    <w:rsid w:val="7A7126B6"/>
    <w:rsid w:val="7A955224"/>
    <w:rsid w:val="7B276F1B"/>
    <w:rsid w:val="7B3D5681"/>
    <w:rsid w:val="7B48178F"/>
    <w:rsid w:val="7B493F68"/>
    <w:rsid w:val="7BD7C4CD"/>
    <w:rsid w:val="7C216ADA"/>
    <w:rsid w:val="7C764D61"/>
    <w:rsid w:val="7CC97D21"/>
    <w:rsid w:val="7CFF44B2"/>
    <w:rsid w:val="7D767B34"/>
    <w:rsid w:val="7D8443E2"/>
    <w:rsid w:val="7E751B09"/>
    <w:rsid w:val="7EBE4F37"/>
    <w:rsid w:val="7ECC4D65"/>
    <w:rsid w:val="7ED76F91"/>
    <w:rsid w:val="7F015A8A"/>
    <w:rsid w:val="7F3B28DD"/>
    <w:rsid w:val="7F8814A2"/>
    <w:rsid w:val="7F9D03EA"/>
    <w:rsid w:val="7FEB2E2A"/>
    <w:rsid w:val="99EF76F4"/>
    <w:rsid w:val="A317FD9E"/>
    <w:rsid w:val="B07EF447"/>
    <w:rsid w:val="BBFF264D"/>
    <w:rsid w:val="F5FF6A34"/>
    <w:rsid w:val="FB5FFA7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2">
    <w:name w:val="heading 4"/>
    <w:basedOn w:val="1"/>
    <w:next w:val="1"/>
    <w:link w:val="52"/>
    <w:autoRedefine/>
    <w:qFormat/>
    <w:uiPriority w:val="0"/>
    <w:pPr>
      <w:keepNext/>
      <w:keepLines/>
      <w:spacing w:before="280" w:after="290" w:line="377" w:lineRule="auto"/>
      <w:jc w:val="left"/>
      <w:outlineLvl w:val="3"/>
    </w:pPr>
    <w:rPr>
      <w:rFonts w:ascii="Arial" w:hAnsi="Arial" w:eastAsia="黑体"/>
      <w:b/>
      <w:sz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tabs>
        <w:tab w:val="left" w:pos="454"/>
        <w:tab w:val="left" w:pos="1290"/>
      </w:tabs>
      <w:spacing w:afterLines="50"/>
      <w:ind w:left="454" w:hanging="284"/>
      <w:jc w:val="left"/>
    </w:pPr>
    <w:rPr>
      <w:kern w:val="0"/>
      <w:sz w:val="24"/>
      <w:szCs w:val="20"/>
    </w:rPr>
  </w:style>
  <w:style w:type="paragraph" w:styleId="7">
    <w:name w:val="Normal Indent"/>
    <w:basedOn w:val="1"/>
    <w:qFormat/>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toa heading"/>
    <w:basedOn w:val="1"/>
    <w:next w:val="1"/>
    <w:qFormat/>
    <w:uiPriority w:val="0"/>
    <w:pPr>
      <w:spacing w:before="120"/>
    </w:pPr>
    <w:rPr>
      <w:rFonts w:ascii="Cambria" w:hAnsi="Cambria" w:cs="Times New Roman"/>
      <w:sz w:val="24"/>
      <w:szCs w:val="24"/>
    </w:rPr>
  </w:style>
  <w:style w:type="paragraph" w:styleId="10">
    <w:name w:val="annotation text"/>
    <w:basedOn w:val="1"/>
    <w:autoRedefine/>
    <w:qFormat/>
    <w:uiPriority w:val="0"/>
    <w:pPr>
      <w:jc w:val="left"/>
    </w:pPr>
  </w:style>
  <w:style w:type="paragraph" w:styleId="11">
    <w:name w:val="Body Text 3"/>
    <w:basedOn w:val="1"/>
    <w:qFormat/>
    <w:uiPriority w:val="0"/>
    <w:pPr>
      <w:snapToGrid w:val="0"/>
      <w:spacing w:before="50" w:after="50"/>
    </w:pPr>
    <w:rPr>
      <w:rFonts w:hAnsi="宋体" w:eastAsia="仿宋_GB2312"/>
      <w:b/>
      <w:bCs/>
      <w:sz w:val="24"/>
      <w:szCs w:val="20"/>
    </w:rPr>
  </w:style>
  <w:style w:type="paragraph" w:styleId="12">
    <w:name w:val="Body Text"/>
    <w:basedOn w:val="1"/>
    <w:autoRedefine/>
    <w:qFormat/>
    <w:uiPriority w:val="0"/>
    <w:pPr>
      <w:spacing w:after="120"/>
    </w:pPr>
    <w:rPr>
      <w:sz w:val="28"/>
    </w:rPr>
  </w:style>
  <w:style w:type="paragraph" w:styleId="13">
    <w:name w:val="Body Text Indent"/>
    <w:basedOn w:val="1"/>
    <w:qFormat/>
    <w:uiPriority w:val="0"/>
    <w:pPr>
      <w:spacing w:line="200" w:lineRule="exact"/>
      <w:ind w:firstLine="301"/>
    </w:pPr>
    <w:rPr>
      <w:rFonts w:ascii="宋体" w:hAnsi="Courier New"/>
      <w:spacing w:val="-4"/>
      <w:sz w:val="18"/>
      <w:szCs w:val="20"/>
    </w:rPr>
  </w:style>
  <w:style w:type="paragraph" w:styleId="14">
    <w:name w:val="List Number 3"/>
    <w:basedOn w:val="1"/>
    <w:autoRedefine/>
    <w:qFormat/>
    <w:uiPriority w:val="0"/>
    <w:pPr>
      <w:numPr>
        <w:ilvl w:val="0"/>
        <w:numId w:val="1"/>
      </w:numPr>
      <w:tabs>
        <w:tab w:val="left" w:pos="1200"/>
      </w:tabs>
    </w:pPr>
  </w:style>
  <w:style w:type="paragraph" w:styleId="15">
    <w:name w:val="List 2"/>
    <w:basedOn w:val="1"/>
    <w:qFormat/>
    <w:uiPriority w:val="0"/>
    <w:pPr>
      <w:ind w:left="100" w:leftChars="200" w:hanging="200" w:hangingChars="200"/>
    </w:pPr>
    <w:rPr>
      <w:sz w:val="28"/>
    </w:rPr>
  </w:style>
  <w:style w:type="paragraph" w:styleId="16">
    <w:name w:val="Block Text"/>
    <w:basedOn w:val="1"/>
    <w:qFormat/>
    <w:uiPriority w:val="99"/>
    <w:pPr>
      <w:ind w:left="178" w:leftChars="85" w:right="357" w:rightChars="170" w:firstLine="560" w:firstLineChars="200"/>
    </w:pPr>
    <w:rPr>
      <w:rFonts w:ascii="楷体_GB2312" w:hAnsi="华文中宋" w:eastAsia="楷体_GB2312" w:cs="Times New Roman"/>
      <w:sz w:val="28"/>
      <w:szCs w:val="20"/>
    </w:rPr>
  </w:style>
  <w:style w:type="paragraph" w:styleId="17">
    <w:name w:val="List Bullet 2"/>
    <w:basedOn w:val="1"/>
    <w:autoRedefine/>
    <w:qFormat/>
    <w:uiPriority w:val="0"/>
    <w:pPr>
      <w:numPr>
        <w:ilvl w:val="0"/>
        <w:numId w:val="2"/>
      </w:numPr>
    </w:pPr>
  </w:style>
  <w:style w:type="paragraph" w:styleId="18">
    <w:name w:val="Plain Text"/>
    <w:basedOn w:val="1"/>
    <w:link w:val="64"/>
    <w:autoRedefine/>
    <w:qFormat/>
    <w:uiPriority w:val="0"/>
    <w:rPr>
      <w:rFonts w:ascii="宋体" w:hAnsi="Courier New"/>
      <w:sz w:val="24"/>
    </w:rPr>
  </w:style>
  <w:style w:type="paragraph" w:styleId="19">
    <w:name w:val="Date"/>
    <w:basedOn w:val="1"/>
    <w:next w:val="1"/>
    <w:qFormat/>
    <w:uiPriority w:val="0"/>
    <w:pPr>
      <w:ind w:left="2500" w:leftChars="2500"/>
    </w:pPr>
    <w:rPr>
      <w:rFonts w:eastAsia="楷体_GB2312"/>
      <w:sz w:val="32"/>
      <w:szCs w:val="20"/>
    </w:rPr>
  </w:style>
  <w:style w:type="paragraph" w:styleId="20">
    <w:name w:val="Body Text Indent 2"/>
    <w:basedOn w:val="1"/>
    <w:qFormat/>
    <w:uiPriority w:val="0"/>
    <w:pPr>
      <w:snapToGrid w:val="0"/>
      <w:ind w:firstLine="542" w:firstLineChars="225"/>
    </w:pPr>
    <w:rPr>
      <w:rFonts w:ascii="仿宋_GB2312" w:hAnsi="宋体" w:cs="Arial"/>
      <w:b/>
      <w:bCs/>
      <w:color w:val="000000"/>
      <w:sz w:val="24"/>
    </w:rPr>
  </w:style>
  <w:style w:type="paragraph" w:styleId="21">
    <w:name w:val="Balloon Text"/>
    <w:basedOn w:val="1"/>
    <w:link w:val="50"/>
    <w:qFormat/>
    <w:uiPriority w:val="0"/>
    <w:rPr>
      <w:sz w:val="18"/>
      <w:szCs w:val="18"/>
    </w:rPr>
  </w:style>
  <w:style w:type="paragraph" w:styleId="22">
    <w:name w:val="footer"/>
    <w:basedOn w:val="1"/>
    <w:link w:val="51"/>
    <w:qFormat/>
    <w:uiPriority w:val="0"/>
    <w:pPr>
      <w:tabs>
        <w:tab w:val="center" w:pos="4153"/>
        <w:tab w:val="right" w:pos="8306"/>
      </w:tabs>
      <w:snapToGrid w:val="0"/>
      <w:jc w:val="left"/>
    </w:pPr>
    <w:rPr>
      <w:sz w:val="18"/>
      <w:szCs w:val="18"/>
    </w:rPr>
  </w:style>
  <w:style w:type="paragraph" w:styleId="23">
    <w:name w:val="envelope return"/>
    <w:basedOn w:val="1"/>
    <w:autoRedefine/>
    <w:qFormat/>
    <w:uiPriority w:val="0"/>
    <w:pPr>
      <w:snapToGrid w:val="0"/>
    </w:pPr>
    <w:rPr>
      <w:rFonts w:ascii="Arial" w:hAnsi="Arial"/>
    </w:rPr>
  </w:style>
  <w:style w:type="paragraph" w:styleId="24">
    <w:name w:val="header"/>
    <w:basedOn w:val="1"/>
    <w:link w:val="48"/>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List"/>
    <w:basedOn w:val="1"/>
    <w:qFormat/>
    <w:uiPriority w:val="0"/>
    <w:pPr>
      <w:ind w:left="200" w:hanging="200" w:hangingChars="200"/>
    </w:pPr>
    <w:rPr>
      <w:sz w:val="28"/>
    </w:rPr>
  </w:style>
  <w:style w:type="paragraph" w:styleId="27">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8">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29">
    <w:name w:val="toc 2"/>
    <w:basedOn w:val="1"/>
    <w:next w:val="1"/>
    <w:autoRedefine/>
    <w:qFormat/>
    <w:uiPriority w:val="0"/>
    <w:pPr>
      <w:ind w:left="420" w:leftChars="200"/>
    </w:pPr>
  </w:style>
  <w:style w:type="paragraph" w:styleId="30">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2">
    <w:name w:val="index 1"/>
    <w:basedOn w:val="1"/>
    <w:next w:val="1"/>
    <w:autoRedefine/>
    <w:qFormat/>
    <w:uiPriority w:val="0"/>
    <w:pPr>
      <w:tabs>
        <w:tab w:val="left" w:pos="712"/>
      </w:tabs>
      <w:jc w:val="center"/>
    </w:pPr>
    <w:rPr>
      <w:spacing w:val="-20"/>
      <w:szCs w:val="20"/>
    </w:rPr>
  </w:style>
  <w:style w:type="paragraph" w:styleId="33">
    <w:name w:val="Title"/>
    <w:basedOn w:val="1"/>
    <w:next w:val="1"/>
    <w:autoRedefine/>
    <w:qFormat/>
    <w:uiPriority w:val="0"/>
    <w:pPr>
      <w:autoSpaceDE w:val="0"/>
      <w:autoSpaceDN w:val="0"/>
      <w:adjustRightInd w:val="0"/>
      <w:spacing w:before="240" w:after="60"/>
      <w:jc w:val="center"/>
      <w:textAlignment w:val="baseline"/>
      <w:outlineLvl w:val="0"/>
    </w:pPr>
    <w:rPr>
      <w:rFonts w:ascii="Cambria" w:hAnsi="Cambria"/>
      <w:b/>
      <w:bCs/>
      <w:kern w:val="0"/>
      <w:sz w:val="32"/>
      <w:szCs w:val="32"/>
    </w:rPr>
  </w:style>
  <w:style w:type="paragraph" w:styleId="34">
    <w:name w:val="annotation subject"/>
    <w:basedOn w:val="10"/>
    <w:next w:val="10"/>
    <w:semiHidden/>
    <w:qFormat/>
    <w:uiPriority w:val="0"/>
    <w:rPr>
      <w:b/>
      <w:bCs/>
    </w:rPr>
  </w:style>
  <w:style w:type="paragraph" w:styleId="35">
    <w:name w:val="Body Text First Indent"/>
    <w:basedOn w:val="12"/>
    <w:qFormat/>
    <w:uiPriority w:val="0"/>
    <w:pPr>
      <w:ind w:firstLine="420" w:firstLineChars="100"/>
    </w:pPr>
    <w:rPr>
      <w:rFonts w:ascii="Calibri" w:hAnsi="Calibri"/>
      <w:sz w:val="21"/>
      <w:szCs w:val="22"/>
    </w:rPr>
  </w:style>
  <w:style w:type="paragraph" w:styleId="36">
    <w:name w:val="Body Text First Indent 2"/>
    <w:basedOn w:val="13"/>
    <w:qFormat/>
    <w:uiPriority w:val="0"/>
    <w:pPr>
      <w:spacing w:line="240" w:lineRule="auto"/>
      <w:ind w:left="420" w:leftChars="200" w:firstLine="420" w:firstLineChars="200"/>
    </w:pPr>
    <w:rPr>
      <w:rFonts w:ascii="Times New Roman"/>
    </w:rPr>
  </w:style>
  <w:style w:type="table" w:styleId="38">
    <w:name w:val="Table Grid"/>
    <w:basedOn w:val="37"/>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autoRedefine/>
    <w:qFormat/>
    <w:uiPriority w:val="22"/>
    <w:rPr>
      <w:b/>
    </w:rPr>
  </w:style>
  <w:style w:type="character" w:styleId="41">
    <w:name w:val="page number"/>
    <w:basedOn w:val="39"/>
    <w:qFormat/>
    <w:uiPriority w:val="0"/>
    <w:rPr>
      <w:rFonts w:ascii="Verdana" w:hAnsi="Verdana" w:eastAsia="仿宋_GB2312"/>
      <w:kern w:val="0"/>
      <w:sz w:val="24"/>
      <w:szCs w:val="20"/>
      <w:lang w:eastAsia="en-US"/>
    </w:rPr>
  </w:style>
  <w:style w:type="character" w:styleId="42">
    <w:name w:val="Hyperlink"/>
    <w:basedOn w:val="39"/>
    <w:autoRedefine/>
    <w:qFormat/>
    <w:uiPriority w:val="0"/>
    <w:rPr>
      <w:rFonts w:ascii="Verdana" w:hAnsi="Verdana" w:eastAsia="仿宋_GB2312"/>
      <w:color w:val="0000FF"/>
      <w:kern w:val="0"/>
      <w:sz w:val="24"/>
      <w:szCs w:val="20"/>
      <w:u w:val="single"/>
      <w:lang w:eastAsia="en-US"/>
    </w:rPr>
  </w:style>
  <w:style w:type="character" w:styleId="43">
    <w:name w:val="annotation reference"/>
    <w:basedOn w:val="39"/>
    <w:semiHidden/>
    <w:qFormat/>
    <w:uiPriority w:val="0"/>
    <w:rPr>
      <w:rFonts w:ascii="Verdana" w:hAnsi="Verdana" w:eastAsia="仿宋_GB2312"/>
      <w:kern w:val="0"/>
      <w:sz w:val="21"/>
      <w:szCs w:val="21"/>
      <w:lang w:eastAsia="en-US"/>
    </w:rPr>
  </w:style>
  <w:style w:type="paragraph" w:customStyle="1" w:styleId="44">
    <w:name w:val="一级标题"/>
    <w:basedOn w:val="1"/>
    <w:next w:val="12"/>
    <w:qFormat/>
    <w:uiPriority w:val="0"/>
    <w:pPr>
      <w:outlineLvl w:val="0"/>
    </w:pPr>
    <w:rPr>
      <w:b/>
      <w:bCs/>
      <w:sz w:val="32"/>
    </w:rPr>
  </w:style>
  <w:style w:type="paragraph" w:customStyle="1" w:styleId="45">
    <w:name w:val="标准正文"/>
    <w:basedOn w:val="1"/>
    <w:qFormat/>
    <w:uiPriority w:val="0"/>
    <w:pPr>
      <w:spacing w:line="360" w:lineRule="auto"/>
      <w:ind w:firstLine="200" w:firstLineChars="200"/>
    </w:pPr>
    <w:rPr>
      <w:sz w:val="24"/>
      <w:szCs w:val="20"/>
    </w:rPr>
  </w:style>
  <w:style w:type="paragraph" w:customStyle="1" w:styleId="46">
    <w:name w:val="Char Char3 Char Char"/>
    <w:basedOn w:val="1"/>
    <w:autoRedefine/>
    <w:qFormat/>
    <w:uiPriority w:val="0"/>
  </w:style>
  <w:style w:type="paragraph" w:customStyle="1" w:styleId="47">
    <w:name w:val="Char Char3 Char Char1"/>
    <w:basedOn w:val="1"/>
    <w:autoRedefine/>
    <w:qFormat/>
    <w:uiPriority w:val="0"/>
  </w:style>
  <w:style w:type="character" w:customStyle="1" w:styleId="48">
    <w:name w:val="页眉 Char"/>
    <w:link w:val="24"/>
    <w:autoRedefine/>
    <w:qFormat/>
    <w:uiPriority w:val="0"/>
    <w:rPr>
      <w:rFonts w:eastAsia="宋体"/>
      <w:kern w:val="2"/>
      <w:sz w:val="18"/>
      <w:szCs w:val="18"/>
      <w:lang w:val="en-US" w:eastAsia="zh-CN" w:bidi="ar-SA"/>
    </w:rPr>
  </w:style>
  <w:style w:type="character" w:customStyle="1" w:styleId="49">
    <w:name w:val="页眉 Char Char"/>
    <w:basedOn w:val="39"/>
    <w:autoRedefine/>
    <w:qFormat/>
    <w:uiPriority w:val="0"/>
    <w:rPr>
      <w:rFonts w:ascii="Verdana" w:hAnsi="Verdana" w:eastAsia="仿宋_GB2312"/>
      <w:kern w:val="2"/>
      <w:sz w:val="18"/>
      <w:szCs w:val="20"/>
      <w:lang w:eastAsia="en-US"/>
    </w:rPr>
  </w:style>
  <w:style w:type="character" w:customStyle="1" w:styleId="50">
    <w:name w:val="批注框文本 Char"/>
    <w:basedOn w:val="39"/>
    <w:link w:val="21"/>
    <w:autoRedefine/>
    <w:qFormat/>
    <w:uiPriority w:val="0"/>
    <w:rPr>
      <w:rFonts w:ascii="Verdana" w:hAnsi="Verdana" w:eastAsia="宋体"/>
      <w:kern w:val="2"/>
      <w:sz w:val="18"/>
      <w:szCs w:val="18"/>
      <w:lang w:val="en-US" w:eastAsia="zh-CN" w:bidi="ar-SA"/>
    </w:rPr>
  </w:style>
  <w:style w:type="character" w:customStyle="1" w:styleId="51">
    <w:name w:val="页脚 Char"/>
    <w:link w:val="22"/>
    <w:autoRedefine/>
    <w:qFormat/>
    <w:uiPriority w:val="0"/>
    <w:rPr>
      <w:rFonts w:eastAsia="宋体"/>
      <w:kern w:val="2"/>
      <w:sz w:val="18"/>
      <w:szCs w:val="18"/>
      <w:lang w:val="en-US" w:eastAsia="zh-CN" w:bidi="ar-SA"/>
    </w:rPr>
  </w:style>
  <w:style w:type="character" w:customStyle="1" w:styleId="52">
    <w:name w:val="标题 4 Char"/>
    <w:basedOn w:val="39"/>
    <w:link w:val="2"/>
    <w:qFormat/>
    <w:uiPriority w:val="0"/>
    <w:rPr>
      <w:rFonts w:ascii="Arial" w:hAnsi="Arial" w:eastAsia="黑体"/>
      <w:b/>
      <w:kern w:val="2"/>
      <w:sz w:val="24"/>
      <w:szCs w:val="24"/>
      <w:lang w:val="en-US" w:eastAsia="zh-CN" w:bidi="ar-SA"/>
    </w:rPr>
  </w:style>
  <w:style w:type="character" w:customStyle="1" w:styleId="53">
    <w:name w:val="wenzi1"/>
    <w:qFormat/>
    <w:uiPriority w:val="0"/>
    <w:rPr>
      <w:color w:val="000000"/>
      <w:sz w:val="18"/>
      <w:szCs w:val="18"/>
    </w:rPr>
  </w:style>
  <w:style w:type="character" w:customStyle="1" w:styleId="54">
    <w:name w:val="页脚 Char Char"/>
    <w:basedOn w:val="39"/>
    <w:qFormat/>
    <w:uiPriority w:val="0"/>
    <w:rPr>
      <w:rFonts w:ascii="Verdana" w:hAnsi="Verdana" w:eastAsia="黑体"/>
      <w:snapToGrid w:val="0"/>
      <w:kern w:val="0"/>
      <w:sz w:val="18"/>
      <w:szCs w:val="18"/>
      <w:lang w:eastAsia="en-US"/>
    </w:rPr>
  </w:style>
  <w:style w:type="character" w:customStyle="1" w:styleId="55">
    <w:name w:val="纯文本 Char Char"/>
    <w:basedOn w:val="39"/>
    <w:link w:val="56"/>
    <w:qFormat/>
    <w:uiPriority w:val="0"/>
    <w:rPr>
      <w:rFonts w:ascii="宋体" w:hAnsi="Courier New" w:eastAsia="仿宋_GB2312"/>
      <w:kern w:val="2"/>
      <w:sz w:val="24"/>
      <w:szCs w:val="24"/>
      <w:lang w:eastAsia="en-US"/>
    </w:rPr>
  </w:style>
  <w:style w:type="paragraph" w:customStyle="1" w:styleId="56">
    <w:name w:val="纯文本1"/>
    <w:basedOn w:val="1"/>
    <w:next w:val="1"/>
    <w:link w:val="55"/>
    <w:qFormat/>
    <w:uiPriority w:val="0"/>
    <w:rPr>
      <w:rFonts w:ascii="宋体" w:hAnsi="Courier New"/>
      <w:sz w:val="24"/>
    </w:rPr>
  </w:style>
  <w:style w:type="character" w:customStyle="1" w:styleId="57">
    <w:name w:val="apple-style-span"/>
    <w:basedOn w:val="39"/>
    <w:qFormat/>
    <w:uiPriority w:val="0"/>
    <w:rPr>
      <w:rFonts w:ascii="Verdana" w:hAnsi="Verdana" w:eastAsia="仿宋_GB2312"/>
      <w:kern w:val="0"/>
      <w:sz w:val="24"/>
      <w:szCs w:val="20"/>
      <w:lang w:eastAsia="en-US"/>
    </w:rPr>
  </w:style>
  <w:style w:type="character" w:customStyle="1" w:styleId="58">
    <w:name w:val="apple-converted-space"/>
    <w:basedOn w:val="39"/>
    <w:qFormat/>
    <w:uiPriority w:val="0"/>
    <w:rPr>
      <w:rFonts w:ascii="Verdana" w:hAnsi="Verdana" w:eastAsia="仿宋_GB2312"/>
      <w:kern w:val="0"/>
      <w:sz w:val="24"/>
      <w:szCs w:val="20"/>
      <w:lang w:eastAsia="en-US"/>
    </w:rPr>
  </w:style>
  <w:style w:type="character" w:customStyle="1" w:styleId="59">
    <w:name w:val="标题 1 Char"/>
    <w:link w:val="3"/>
    <w:qFormat/>
    <w:uiPriority w:val="0"/>
    <w:rPr>
      <w:rFonts w:eastAsia="宋体"/>
      <w:b/>
      <w:bCs/>
      <w:kern w:val="44"/>
      <w:sz w:val="44"/>
      <w:szCs w:val="44"/>
      <w:lang w:val="en-US" w:eastAsia="zh-CN" w:bidi="ar-SA"/>
    </w:rPr>
  </w:style>
  <w:style w:type="character" w:customStyle="1" w:styleId="60">
    <w:name w:val="Char Char Char"/>
    <w:link w:val="61"/>
    <w:qFormat/>
    <w:uiPriority w:val="0"/>
    <w:rPr>
      <w:rFonts w:ascii="宋体" w:hAnsi="Courier New" w:eastAsia="宋体"/>
      <w:kern w:val="2"/>
      <w:sz w:val="21"/>
      <w:lang w:val="en-US" w:eastAsia="zh-CN" w:bidi="ar-SA"/>
    </w:rPr>
  </w:style>
  <w:style w:type="paragraph" w:customStyle="1" w:styleId="61">
    <w:name w:val="Char"/>
    <w:basedOn w:val="1"/>
    <w:link w:val="60"/>
    <w:qFormat/>
    <w:uiPriority w:val="0"/>
    <w:pPr>
      <w:widowControl/>
      <w:spacing w:after="160" w:line="240" w:lineRule="exact"/>
      <w:jc w:val="left"/>
    </w:pPr>
    <w:rPr>
      <w:rFonts w:ascii="宋体" w:hAnsi="Courier New"/>
      <w:szCs w:val="20"/>
    </w:rPr>
  </w:style>
  <w:style w:type="character" w:customStyle="1" w:styleId="62">
    <w:name w:val="正文2 Char Char"/>
    <w:basedOn w:val="39"/>
    <w:link w:val="63"/>
    <w:qFormat/>
    <w:uiPriority w:val="0"/>
    <w:rPr>
      <w:rFonts w:ascii="Verdana" w:hAnsi="Verdana" w:eastAsia="仿宋_GB2312"/>
      <w:kern w:val="2"/>
      <w:sz w:val="24"/>
      <w:szCs w:val="20"/>
      <w:lang w:eastAsia="en-US" w:bidi="ar-SA"/>
    </w:rPr>
  </w:style>
  <w:style w:type="paragraph" w:customStyle="1" w:styleId="63">
    <w:name w:val="正文2"/>
    <w:basedOn w:val="1"/>
    <w:link w:val="62"/>
    <w:qFormat/>
    <w:uiPriority w:val="0"/>
    <w:pPr>
      <w:spacing w:before="156" w:line="360" w:lineRule="auto"/>
      <w:ind w:firstLine="510" w:firstLineChars="200"/>
    </w:pPr>
    <w:rPr>
      <w:sz w:val="24"/>
    </w:rPr>
  </w:style>
  <w:style w:type="character" w:customStyle="1" w:styleId="64">
    <w:name w:val="纯文本 Char"/>
    <w:basedOn w:val="39"/>
    <w:link w:val="18"/>
    <w:qFormat/>
    <w:uiPriority w:val="0"/>
    <w:rPr>
      <w:rFonts w:ascii="宋体" w:hAnsi="Courier New" w:eastAsia="宋体"/>
      <w:kern w:val="2"/>
      <w:sz w:val="21"/>
      <w:szCs w:val="20"/>
      <w:lang w:val="en-US" w:eastAsia="zh-CN" w:bidi="ar-SA"/>
    </w:rPr>
  </w:style>
  <w:style w:type="character" w:customStyle="1" w:styleId="65">
    <w:name w:val="页码1"/>
    <w:basedOn w:val="39"/>
    <w:qFormat/>
    <w:uiPriority w:val="0"/>
    <w:rPr>
      <w:rFonts w:ascii="Verdana" w:hAnsi="Verdana" w:eastAsia="仿宋_GB2312"/>
      <w:kern w:val="0"/>
      <w:sz w:val="24"/>
      <w:szCs w:val="20"/>
      <w:lang w:eastAsia="en-US"/>
    </w:rPr>
  </w:style>
  <w:style w:type="paragraph" w:customStyle="1" w:styleId="6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67">
    <w:name w:val="彩色列表1"/>
    <w:basedOn w:val="1"/>
    <w:qFormat/>
    <w:uiPriority w:val="0"/>
    <w:pPr>
      <w:ind w:firstLine="420" w:firstLineChars="200"/>
    </w:pPr>
    <w:rPr>
      <w:rFonts w:ascii="Calibri" w:hAnsi="Calibri"/>
      <w:szCs w:val="22"/>
    </w:rPr>
  </w:style>
  <w:style w:type="paragraph" w:customStyle="1" w:styleId="68">
    <w:name w:val="p0"/>
    <w:basedOn w:val="1"/>
    <w:qFormat/>
    <w:uiPriority w:val="0"/>
    <w:pPr>
      <w:widowControl/>
    </w:pPr>
    <w:rPr>
      <w:kern w:val="0"/>
      <w:szCs w:val="21"/>
    </w:rPr>
  </w:style>
  <w:style w:type="paragraph" w:customStyle="1" w:styleId="69">
    <w:name w:val="p15"/>
    <w:basedOn w:val="1"/>
    <w:autoRedefine/>
    <w:qFormat/>
    <w:uiPriority w:val="0"/>
    <w:pPr>
      <w:widowControl/>
      <w:spacing w:before="156" w:after="156" w:line="400" w:lineRule="atLeast"/>
    </w:pPr>
    <w:rPr>
      <w:rFonts w:ascii="宋体" w:hAnsi="宋体" w:cs="宋体"/>
      <w:kern w:val="0"/>
      <w:sz w:val="24"/>
    </w:rPr>
  </w:style>
  <w:style w:type="paragraph" w:customStyle="1" w:styleId="70">
    <w:name w:val="Char Char1 Char"/>
    <w:basedOn w:val="1"/>
    <w:qFormat/>
    <w:uiPriority w:val="0"/>
    <w:pPr>
      <w:tabs>
        <w:tab w:val="left" w:pos="360"/>
      </w:tabs>
    </w:pPr>
    <w:rPr>
      <w:sz w:val="24"/>
    </w:rPr>
  </w:style>
  <w:style w:type="paragraph" w:customStyle="1" w:styleId="71">
    <w:name w:val="默认段落字体 Para Char Char Char Char Char Char Char Char Char1 Char Char Char Char"/>
    <w:basedOn w:val="1"/>
    <w:qFormat/>
    <w:uiPriority w:val="0"/>
    <w:rPr>
      <w:rFonts w:ascii="Tahoma" w:hAnsi="Tahoma"/>
      <w:sz w:val="24"/>
      <w:szCs w:val="20"/>
    </w:rPr>
  </w:style>
  <w:style w:type="paragraph" w:customStyle="1" w:styleId="72">
    <w:name w:val="Char Char Char Char Char Char"/>
    <w:basedOn w:val="1"/>
    <w:qFormat/>
    <w:uiPriority w:val="0"/>
    <w:pPr>
      <w:ind w:firstLine="200" w:firstLineChars="200"/>
    </w:pPr>
  </w:style>
  <w:style w:type="paragraph" w:customStyle="1" w:styleId="73">
    <w:name w:val="正文段"/>
    <w:basedOn w:val="1"/>
    <w:qFormat/>
    <w:uiPriority w:val="0"/>
    <w:pPr>
      <w:widowControl/>
      <w:snapToGrid w:val="0"/>
      <w:spacing w:afterLines="50"/>
      <w:ind w:firstLine="200" w:firstLineChars="200"/>
    </w:pPr>
    <w:rPr>
      <w:kern w:val="0"/>
      <w:sz w:val="24"/>
      <w:szCs w:val="20"/>
    </w:rPr>
  </w:style>
  <w:style w:type="paragraph" w:customStyle="1" w:styleId="74">
    <w:name w:val="Default"/>
    <w:qFormat/>
    <w:uiPriority w:val="0"/>
    <w:pPr>
      <w:widowControl w:val="0"/>
      <w:autoSpaceDE w:val="0"/>
      <w:autoSpaceDN w:val="0"/>
      <w:adjustRightInd w:val="0"/>
    </w:pPr>
    <w:rPr>
      <w:rFonts w:ascii="Wingdings" w:hAnsi="Wingdings" w:eastAsia="宋体" w:cs="Times New Roman"/>
      <w:color w:val="000000"/>
      <w:sz w:val="24"/>
      <w:lang w:val="en-US" w:eastAsia="zh-CN" w:bidi="ar-SA"/>
    </w:rPr>
  </w:style>
  <w:style w:type="paragraph" w:customStyle="1" w:styleId="75">
    <w:name w:val="1 Char Char Char Char"/>
    <w:basedOn w:val="1"/>
    <w:qFormat/>
    <w:uiPriority w:val="0"/>
    <w:rPr>
      <w:rFonts w:ascii="Tahoma" w:hAnsi="Tahoma"/>
      <w:sz w:val="24"/>
      <w:szCs w:val="20"/>
    </w:rPr>
  </w:style>
  <w:style w:type="paragraph" w:customStyle="1" w:styleId="76">
    <w:name w:val="Char Char Char Char"/>
    <w:basedOn w:val="1"/>
    <w:qFormat/>
    <w:uiPriority w:val="0"/>
    <w:pPr>
      <w:widowControl/>
      <w:spacing w:after="160" w:line="240" w:lineRule="exact"/>
      <w:jc w:val="left"/>
    </w:pPr>
  </w:style>
  <w:style w:type="paragraph" w:customStyle="1" w:styleId="7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8">
    <w:name w:val="默认段落字体 Para Char Char Char Char"/>
    <w:basedOn w:val="1"/>
    <w:qFormat/>
    <w:uiPriority w:val="0"/>
    <w:pPr>
      <w:spacing w:line="360" w:lineRule="auto"/>
      <w:ind w:firstLine="200" w:firstLineChars="200"/>
    </w:pPr>
  </w:style>
  <w:style w:type="paragraph" w:customStyle="1" w:styleId="79">
    <w:name w:val="p16"/>
    <w:basedOn w:val="1"/>
    <w:qFormat/>
    <w:uiPriority w:val="0"/>
    <w:pPr>
      <w:widowControl/>
      <w:spacing w:after="120"/>
    </w:pPr>
    <w:rPr>
      <w:kern w:val="0"/>
      <w:sz w:val="28"/>
      <w:szCs w:val="28"/>
    </w:rPr>
  </w:style>
  <w:style w:type="paragraph" w:customStyle="1" w:styleId="8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1">
    <w:name w:val="纯文本2"/>
    <w:basedOn w:val="1"/>
    <w:qFormat/>
    <w:uiPriority w:val="0"/>
    <w:pPr>
      <w:widowControl/>
      <w:adjustRightInd w:val="0"/>
      <w:spacing w:line="300" w:lineRule="exact"/>
      <w:ind w:firstLine="200" w:firstLineChars="200"/>
      <w:jc w:val="left"/>
      <w:textAlignment w:val="baseline"/>
    </w:pPr>
    <w:rPr>
      <w:rFonts w:ascii="宋体" w:hAnsi="Courier New" w:eastAsia="楷体_GB2312"/>
      <w:sz w:val="26"/>
      <w:szCs w:val="20"/>
    </w:rPr>
  </w:style>
  <w:style w:type="paragraph" w:customStyle="1" w:styleId="82">
    <w:name w:val="正文1"/>
    <w:next w:val="1"/>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83">
    <w:name w:val="列出段落1"/>
    <w:basedOn w:val="1"/>
    <w:autoRedefine/>
    <w:qFormat/>
    <w:uiPriority w:val="34"/>
    <w:pPr>
      <w:ind w:firstLine="420" w:firstLineChars="200"/>
    </w:pPr>
    <w:rPr>
      <w:rFonts w:ascii="Calibri" w:hAnsi="Calibri"/>
      <w:szCs w:val="22"/>
    </w:rPr>
  </w:style>
  <w:style w:type="character" w:customStyle="1" w:styleId="84">
    <w:name w:val="font01"/>
    <w:basedOn w:val="39"/>
    <w:qFormat/>
    <w:uiPriority w:val="0"/>
    <w:rPr>
      <w:rFonts w:hint="eastAsia" w:ascii="宋体" w:hAnsi="宋体" w:eastAsia="宋体" w:cs="宋体"/>
      <w:color w:val="000000"/>
      <w:sz w:val="20"/>
      <w:szCs w:val="20"/>
      <w:u w:val="none"/>
    </w:rPr>
  </w:style>
  <w:style w:type="character" w:customStyle="1" w:styleId="85">
    <w:name w:val="font81"/>
    <w:basedOn w:val="39"/>
    <w:qFormat/>
    <w:uiPriority w:val="0"/>
    <w:rPr>
      <w:rFonts w:ascii="Calibri" w:hAnsi="Calibri" w:cs="Calibri"/>
      <w:color w:val="FF0000"/>
      <w:sz w:val="20"/>
      <w:szCs w:val="20"/>
      <w:u w:val="none"/>
    </w:rPr>
  </w:style>
  <w:style w:type="character" w:customStyle="1" w:styleId="86">
    <w:name w:val="font51"/>
    <w:basedOn w:val="39"/>
    <w:qFormat/>
    <w:uiPriority w:val="0"/>
    <w:rPr>
      <w:rFonts w:hint="eastAsia" w:ascii="宋体" w:hAnsi="宋体" w:eastAsia="宋体" w:cs="宋体"/>
      <w:color w:val="FF0000"/>
      <w:sz w:val="20"/>
      <w:szCs w:val="20"/>
      <w:u w:val="none"/>
    </w:rPr>
  </w:style>
  <w:style w:type="character" w:customStyle="1" w:styleId="87">
    <w:name w:val="font31"/>
    <w:basedOn w:val="39"/>
    <w:qFormat/>
    <w:uiPriority w:val="0"/>
    <w:rPr>
      <w:rFonts w:hint="eastAsia" w:ascii="宋体" w:hAnsi="宋体" w:eastAsia="宋体" w:cs="宋体"/>
      <w:color w:val="FF0000"/>
      <w:sz w:val="22"/>
      <w:szCs w:val="22"/>
      <w:u w:val="none"/>
    </w:rPr>
  </w:style>
  <w:style w:type="character" w:customStyle="1" w:styleId="88">
    <w:name w:val="font11"/>
    <w:basedOn w:val="39"/>
    <w:qFormat/>
    <w:uiPriority w:val="0"/>
    <w:rPr>
      <w:rFonts w:hint="eastAsia" w:ascii="宋体" w:hAnsi="宋体" w:eastAsia="宋体" w:cs="宋体"/>
      <w:color w:val="000000"/>
      <w:sz w:val="20"/>
      <w:szCs w:val="20"/>
      <w:u w:val="none"/>
    </w:rPr>
  </w:style>
  <w:style w:type="character" w:customStyle="1" w:styleId="89">
    <w:name w:val="large1"/>
    <w:qFormat/>
    <w:uiPriority w:val="0"/>
    <w:rPr>
      <w:rFonts w:hint="eastAsia" w:ascii="宋体" w:hAnsi="宋体" w:eastAsia="宋体"/>
      <w:sz w:val="21"/>
      <w:szCs w:val="21"/>
    </w:rPr>
  </w:style>
  <w:style w:type="paragraph" w:styleId="90">
    <w:name w:val="List Paragraph"/>
    <w:basedOn w:val="1"/>
    <w:qFormat/>
    <w:uiPriority w:val="34"/>
    <w:pPr>
      <w:ind w:firstLine="420" w:firstLineChars="200"/>
    </w:pPr>
  </w:style>
  <w:style w:type="paragraph" w:customStyle="1" w:styleId="91">
    <w:name w:val="无间隔1"/>
    <w:qFormat/>
    <w:uiPriority w:val="1"/>
    <w:pPr>
      <w:widowControl w:val="0"/>
      <w:adjustRightInd w:val="0"/>
      <w:jc w:val="both"/>
      <w:textAlignment w:val="baseline"/>
    </w:pPr>
    <w:rPr>
      <w:rFonts w:ascii="Times New Roman" w:hAnsi="Times New Roman" w:eastAsia="宋体" w:cs="Times New Roman"/>
      <w:sz w:val="21"/>
      <w:szCs w:val="22"/>
      <w:lang w:val="en-US" w:eastAsia="zh-CN" w:bidi="ar-SA"/>
    </w:rPr>
  </w:style>
  <w:style w:type="character" w:customStyle="1" w:styleId="92">
    <w:name w:val="sub"/>
    <w:basedOn w:val="39"/>
    <w:qFormat/>
    <w:uiPriority w:val="0"/>
  </w:style>
  <w:style w:type="character" w:customStyle="1" w:styleId="93">
    <w:name w:val="bookmark-item"/>
    <w:basedOn w:val="39"/>
    <w:qFormat/>
    <w:uiPriority w:val="0"/>
  </w:style>
  <w:style w:type="character" w:customStyle="1" w:styleId="94">
    <w:name w:val="font21"/>
    <w:basedOn w:val="39"/>
    <w:qFormat/>
    <w:uiPriority w:val="0"/>
    <w:rPr>
      <w:rFonts w:hint="eastAsia" w:ascii="宋体" w:hAnsi="宋体" w:eastAsia="宋体" w:cs="宋体"/>
      <w:color w:val="000000"/>
      <w:sz w:val="20"/>
      <w:szCs w:val="20"/>
      <w:u w:val="none"/>
    </w:rPr>
  </w:style>
  <w:style w:type="character" w:customStyle="1" w:styleId="95">
    <w:name w:val="font41"/>
    <w:basedOn w:val="39"/>
    <w:qFormat/>
    <w:uiPriority w:val="0"/>
    <w:rPr>
      <w:rFonts w:hint="eastAsia" w:ascii="宋体" w:hAnsi="宋体" w:eastAsia="宋体" w:cs="宋体"/>
      <w:color w:val="000000"/>
      <w:sz w:val="20"/>
      <w:szCs w:val="20"/>
      <w:u w:val="none"/>
    </w:rPr>
  </w:style>
  <w:style w:type="character" w:customStyle="1" w:styleId="96">
    <w:name w:val="fontstyle01"/>
    <w:basedOn w:val="39"/>
    <w:qFormat/>
    <w:uiPriority w:val="0"/>
    <w:rPr>
      <w:rFonts w:hint="eastAsia" w:ascii="ËÎÌå" w:eastAsia="ËÎÌå"/>
      <w:color w:val="000000"/>
      <w:sz w:val="22"/>
      <w:szCs w:val="22"/>
    </w:rPr>
  </w:style>
  <w:style w:type="paragraph" w:customStyle="1" w:styleId="97">
    <w:name w:val="列出段落21"/>
    <w:basedOn w:val="1"/>
    <w:qFormat/>
    <w:uiPriority w:val="34"/>
    <w:pPr>
      <w:spacing w:before="100" w:beforeAutospacing="1" w:after="160" w:line="256" w:lineRule="auto"/>
      <w:ind w:firstLine="420" w:firstLineChars="200"/>
    </w:pPr>
    <w:rPr>
      <w:rFonts w:ascii="Calibri" w:hAnsi="Calibri"/>
    </w:rPr>
  </w:style>
  <w:style w:type="character" w:customStyle="1" w:styleId="98">
    <w:name w:val="fontstyle21"/>
    <w:qFormat/>
    <w:uiPriority w:val="0"/>
    <w:rPr>
      <w:rFonts w:hint="default" w:ascii="BotonPro-Medium" w:hAnsi="BotonPro-Medium"/>
      <w:color w:val="242021"/>
      <w:sz w:val="20"/>
      <w:szCs w:val="20"/>
    </w:rPr>
  </w:style>
  <w:style w:type="character" w:customStyle="1" w:styleId="99">
    <w:name w:val="fontstyle31"/>
    <w:qFormat/>
    <w:uiPriority w:val="0"/>
    <w:rPr>
      <w:color w:val="242021"/>
      <w:sz w:val="20"/>
      <w:szCs w:val="20"/>
    </w:rPr>
  </w:style>
  <w:style w:type="character" w:customStyle="1" w:styleId="100">
    <w:name w:val="fontstyle41"/>
    <w:qFormat/>
    <w:uiPriority w:val="0"/>
    <w:rPr>
      <w:rFonts w:hint="default" w:ascii="BotonPro-Regular" w:hAnsi="BotonPro-Regular"/>
      <w:color w:val="242021"/>
      <w:sz w:val="20"/>
      <w:szCs w:val="20"/>
    </w:rPr>
  </w:style>
  <w:style w:type="paragraph" w:customStyle="1" w:styleId="101">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02">
    <w:name w:val="Char Char3 Char Char2"/>
    <w:basedOn w:val="1"/>
    <w:qFormat/>
    <w:uiPriority w:val="0"/>
  </w:style>
  <w:style w:type="character" w:customStyle="1" w:styleId="103">
    <w:name w:val="15"/>
    <w:basedOn w:val="39"/>
    <w:qFormat/>
    <w:uiPriority w:val="0"/>
    <w:rPr>
      <w:rFonts w:hint="default" w:ascii="ËÎÌå" w:hAnsi="ËÎÌå"/>
      <w:color w:val="000000"/>
      <w:sz w:val="22"/>
      <w:szCs w:val="22"/>
    </w:rPr>
  </w:style>
  <w:style w:type="paragraph" w:customStyle="1" w:styleId="104">
    <w:name w:val="Body text|1"/>
    <w:basedOn w:val="1"/>
    <w:qFormat/>
    <w:uiPriority w:val="0"/>
    <w:pPr>
      <w:widowControl w:val="0"/>
      <w:shd w:val="clear" w:color="auto" w:fill="auto"/>
      <w:spacing w:line="312" w:lineRule="auto"/>
    </w:pPr>
    <w:rPr>
      <w:rFonts w:ascii="宋体" w:hAnsi="宋体" w:eastAsia="宋体" w:cs="宋体"/>
      <w:u w:val="none"/>
      <w:shd w:val="clear" w:color="auto" w:fill="auto"/>
      <w:lang w:val="zh-TW" w:eastAsia="zh-TW" w:bidi="zh-TW"/>
    </w:rPr>
  </w:style>
  <w:style w:type="paragraph" w:customStyle="1" w:styleId="105">
    <w:name w:val="Heading #1|1"/>
    <w:basedOn w:val="1"/>
    <w:qFormat/>
    <w:uiPriority w:val="0"/>
    <w:pPr>
      <w:widowControl w:val="0"/>
      <w:shd w:val="clear" w:color="auto" w:fill="auto"/>
      <w:spacing w:line="310" w:lineRule="exact"/>
      <w:ind w:firstLine="100"/>
      <w:outlineLvl w:val="0"/>
    </w:pPr>
    <w:rPr>
      <w:rFonts w:ascii="宋体" w:hAnsi="宋体" w:eastAsia="宋体" w:cs="宋体"/>
      <w:u w:val="none"/>
      <w:shd w:val="clear" w:color="auto" w:fill="auto"/>
      <w:lang w:val="zh-TW" w:eastAsia="zh-TW" w:bidi="zh-TW"/>
    </w:rPr>
  </w:style>
  <w:style w:type="paragraph" w:customStyle="1" w:styleId="106">
    <w:name w:val="Body text|2"/>
    <w:basedOn w:val="1"/>
    <w:qFormat/>
    <w:uiPriority w:val="0"/>
    <w:pPr>
      <w:widowControl w:val="0"/>
      <w:shd w:val="clear" w:color="auto" w:fill="auto"/>
      <w:spacing w:line="355" w:lineRule="exact"/>
    </w:pPr>
    <w:rPr>
      <w:u w:val="none"/>
      <w:shd w:val="clear" w:color="auto" w:fill="auto"/>
      <w:lang w:val="zh-TW" w:eastAsia="zh-TW" w:bidi="zh-TW"/>
    </w:rPr>
  </w:style>
  <w:style w:type="character" w:customStyle="1" w:styleId="107">
    <w:name w:val="NormalCharacter"/>
    <w:semiHidden/>
    <w:qFormat/>
    <w:uiPriority w:val="0"/>
  </w:style>
  <w:style w:type="paragraph" w:customStyle="1" w:styleId="108">
    <w:name w:val="Other|1"/>
    <w:basedOn w:val="1"/>
    <w:qFormat/>
    <w:uiPriority w:val="0"/>
    <w:pPr>
      <w:widowControl w:val="0"/>
      <w:shd w:val="clear" w:color="auto" w:fill="auto"/>
    </w:pPr>
    <w:rPr>
      <w:rFonts w:ascii="宋体" w:hAnsi="宋体" w:eastAsia="宋体" w:cs="宋体"/>
      <w:sz w:val="13"/>
      <w:szCs w:val="13"/>
      <w:u w:val="none"/>
      <w:shd w:val="clear" w:color="auto" w:fill="auto"/>
      <w:lang w:val="zh-TW" w:eastAsia="zh-TW" w:bidi="zh-TW"/>
    </w:rPr>
  </w:style>
  <w:style w:type="paragraph" w:customStyle="1" w:styleId="109">
    <w:name w:val="样式2"/>
    <w:basedOn w:val="1"/>
    <w:qFormat/>
    <w:uiPriority w:val="0"/>
    <w:pPr>
      <w:spacing w:line="360" w:lineRule="auto"/>
      <w:ind w:left="420" w:hanging="420" w:hangingChars="200"/>
    </w:pPr>
    <w:rPr>
      <w:rFonts w:ascii="宋体" w:hAnsi="宋体" w:eastAsia="宋体" w:cs="Times New Roman"/>
      <w:szCs w:val="21"/>
    </w:rPr>
  </w:style>
  <w:style w:type="paragraph" w:customStyle="1" w:styleId="110">
    <w:name w:val="CM11"/>
    <w:basedOn w:val="74"/>
    <w:next w:val="74"/>
    <w:unhideWhenUsed/>
    <w:qFormat/>
    <w:uiPriority w:val="99"/>
    <w:pPr>
      <w:spacing w:line="520" w:lineRule="atLeast"/>
    </w:pPr>
  </w:style>
  <w:style w:type="paragraph" w:customStyle="1" w:styleId="111">
    <w:name w:val="列出段落11"/>
    <w:basedOn w:val="1"/>
    <w:qFormat/>
    <w:uiPriority w:val="0"/>
    <w:pPr>
      <w:ind w:firstLine="420" w:firstLineChars="200"/>
    </w:pPr>
    <w:rPr>
      <w:rFonts w:ascii="Calibri" w:hAnsi="Calibri"/>
    </w:rPr>
  </w:style>
  <w:style w:type="paragraph" w:customStyle="1" w:styleId="112">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1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Plain Text"/>
    <w:basedOn w:val="1"/>
    <w:qFormat/>
    <w:uiPriority w:val="0"/>
    <w:rPr>
      <w:rFonts w:ascii="宋体" w:hAnsi="Courier New"/>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 (China) Limited</Company>
  <Pages>94</Pages>
  <Words>53013</Words>
  <Characters>59902</Characters>
  <Lines>439</Lines>
  <Paragraphs>123</Paragraphs>
  <TotalTime>64</TotalTime>
  <ScaleCrop>false</ScaleCrop>
  <LinksUpToDate>false</LinksUpToDate>
  <CharactersWithSpaces>63792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2014-04-30T01:54:00Z</dcterms:created>
  <dc:creator>DELL</dc:creator>
  <cp:lastModifiedBy>奶奶的孙女</cp:lastModifiedBy>
  <cp:lastPrinted>2018-04-19T07:17:00Z</cp:lastPrinted>
  <dcterms:modified xsi:type="dcterms:W3CDTF">2024-04-01T12:34:53Z</dcterms:modified>
  <dc:title>平湖市人民法院2014-2015年度</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78A25F63174B4FEBA671C31CC449994E</vt:lpwstr>
  </property>
</Properties>
</file>