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line="360" w:lineRule="auto"/>
        <w:jc w:val="center"/>
        <w:rPr>
          <w:rFonts w:hint="eastAsia" w:ascii="仿宋_GB2312" w:hAnsi="仿宋_GB2312" w:eastAsia="仿宋_GB2312" w:cs="仿宋_GB2312"/>
          <w:b/>
          <w:bCs/>
          <w:color w:val="auto"/>
          <w:spacing w:val="-11"/>
          <w:sz w:val="30"/>
          <w:szCs w:val="30"/>
          <w:highlight w:val="none"/>
          <w:lang w:eastAsia="zh-CN"/>
        </w:rPr>
      </w:pPr>
      <w:bookmarkStart w:id="219" w:name="_GoBack"/>
    </w:p>
    <w:p>
      <w:pPr>
        <w:shd w:val="clear"/>
        <w:spacing w:line="360" w:lineRule="auto"/>
        <w:jc w:val="center"/>
        <w:rPr>
          <w:rFonts w:ascii="仿宋_GB2312" w:hAnsi="仿宋_GB2312" w:eastAsia="仿宋_GB2312" w:cs="仿宋_GB2312"/>
          <w:b/>
          <w:bCs/>
          <w:color w:val="auto"/>
          <w:spacing w:val="-11"/>
          <w:sz w:val="44"/>
          <w:szCs w:val="52"/>
          <w:highlight w:val="none"/>
        </w:rPr>
      </w:pPr>
      <w:r>
        <w:rPr>
          <w:rFonts w:hint="eastAsia" w:ascii="仿宋_GB2312" w:hAnsi="仿宋_GB2312" w:eastAsia="仿宋_GB2312" w:cs="仿宋_GB2312"/>
          <w:b/>
          <w:bCs/>
          <w:color w:val="auto"/>
          <w:spacing w:val="-11"/>
          <w:sz w:val="44"/>
          <w:szCs w:val="52"/>
          <w:highlight w:val="none"/>
          <w:lang w:eastAsia="zh-CN"/>
        </w:rPr>
        <w:t>2024年南排工程河道堤防维修及一次性项目</w:t>
      </w:r>
    </w:p>
    <w:p>
      <w:pPr>
        <w:shd w:val="clear"/>
        <w:spacing w:line="200" w:lineRule="exact"/>
        <w:ind w:firstLine="4182" w:firstLineChars="550"/>
        <w:rPr>
          <w:rFonts w:ascii="DFKai-SB" w:eastAsia="DFKai-SB"/>
          <w:b/>
          <w:bCs/>
          <w:color w:val="auto"/>
          <w:spacing w:val="20"/>
          <w:sz w:val="72"/>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竞</w:t>
      </w:r>
    </w:p>
    <w:p>
      <w:pPr>
        <w:shd w:val="clear"/>
        <w:spacing w:line="660" w:lineRule="exact"/>
        <w:jc w:val="center"/>
        <w:rPr>
          <w:rFonts w:ascii="宋体"/>
          <w:b/>
          <w:bCs/>
          <w:color w:val="auto"/>
          <w:spacing w:val="20"/>
          <w:sz w:val="56"/>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争</w:t>
      </w:r>
    </w:p>
    <w:p>
      <w:pPr>
        <w:shd w:val="clear"/>
        <w:spacing w:line="660" w:lineRule="exact"/>
        <w:rPr>
          <w:rFonts w:ascii="宋体"/>
          <w:b/>
          <w:bCs/>
          <w:color w:val="auto"/>
          <w:spacing w:val="20"/>
          <w:sz w:val="56"/>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性</w:t>
      </w:r>
    </w:p>
    <w:p>
      <w:pPr>
        <w:shd w:val="clear"/>
        <w:spacing w:line="660" w:lineRule="exact"/>
        <w:ind w:firstLine="3312" w:firstLineChars="550"/>
        <w:jc w:val="center"/>
        <w:rPr>
          <w:rFonts w:ascii="宋体"/>
          <w:b/>
          <w:bCs/>
          <w:color w:val="auto"/>
          <w:spacing w:val="20"/>
          <w:sz w:val="56"/>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磋</w:t>
      </w:r>
    </w:p>
    <w:p>
      <w:pPr>
        <w:shd w:val="clear"/>
        <w:spacing w:line="660" w:lineRule="exact"/>
        <w:jc w:val="center"/>
        <w:rPr>
          <w:rFonts w:ascii="宋体"/>
          <w:b/>
          <w:bCs/>
          <w:color w:val="auto"/>
          <w:spacing w:val="20"/>
          <w:sz w:val="56"/>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商</w:t>
      </w:r>
    </w:p>
    <w:p>
      <w:pPr>
        <w:shd w:val="clear"/>
        <w:spacing w:line="660" w:lineRule="exact"/>
        <w:ind w:firstLine="3312" w:firstLineChars="550"/>
        <w:jc w:val="center"/>
        <w:rPr>
          <w:rFonts w:ascii="宋体"/>
          <w:b/>
          <w:bCs/>
          <w:color w:val="auto"/>
          <w:spacing w:val="20"/>
          <w:sz w:val="56"/>
          <w:szCs w:val="44"/>
          <w:highlight w:val="none"/>
        </w:rPr>
      </w:pPr>
    </w:p>
    <w:p>
      <w:pPr>
        <w:shd w:val="clear"/>
        <w:spacing w:line="660" w:lineRule="exact"/>
        <w:jc w:val="center"/>
        <w:rPr>
          <w:rFonts w:ascii="宋体"/>
          <w:b/>
          <w:bCs/>
          <w:color w:val="auto"/>
          <w:spacing w:val="20"/>
          <w:sz w:val="56"/>
          <w:szCs w:val="44"/>
          <w:highlight w:val="none"/>
        </w:rPr>
      </w:pPr>
      <w:r>
        <w:rPr>
          <w:rFonts w:hint="eastAsia" w:ascii="宋体" w:hAnsi="宋体"/>
          <w:b/>
          <w:bCs/>
          <w:color w:val="auto"/>
          <w:spacing w:val="20"/>
          <w:sz w:val="56"/>
          <w:szCs w:val="44"/>
          <w:highlight w:val="none"/>
        </w:rPr>
        <w:t>文</w:t>
      </w:r>
    </w:p>
    <w:p>
      <w:pPr>
        <w:shd w:val="clear"/>
        <w:spacing w:line="660" w:lineRule="exact"/>
        <w:ind w:firstLine="3312" w:firstLineChars="550"/>
        <w:jc w:val="center"/>
        <w:rPr>
          <w:rFonts w:ascii="宋体"/>
          <w:b/>
          <w:bCs/>
          <w:color w:val="auto"/>
          <w:spacing w:val="20"/>
          <w:sz w:val="56"/>
          <w:szCs w:val="44"/>
          <w:highlight w:val="none"/>
        </w:rPr>
      </w:pPr>
    </w:p>
    <w:p>
      <w:pPr>
        <w:shd w:val="clear"/>
        <w:spacing w:line="660" w:lineRule="exact"/>
        <w:jc w:val="center"/>
        <w:rPr>
          <w:rFonts w:ascii="宋体" w:hAnsi="宋体"/>
          <w:b/>
          <w:bCs/>
          <w:color w:val="auto"/>
          <w:spacing w:val="20"/>
          <w:sz w:val="56"/>
          <w:szCs w:val="44"/>
          <w:highlight w:val="none"/>
        </w:rPr>
      </w:pPr>
      <w:r>
        <w:rPr>
          <w:rFonts w:hint="eastAsia" w:ascii="宋体" w:hAnsi="宋体"/>
          <w:b/>
          <w:bCs/>
          <w:color w:val="auto"/>
          <w:spacing w:val="20"/>
          <w:sz w:val="56"/>
          <w:szCs w:val="44"/>
          <w:highlight w:val="none"/>
        </w:rPr>
        <w:t>件</w:t>
      </w:r>
    </w:p>
    <w:p>
      <w:pPr>
        <w:pStyle w:val="16"/>
        <w:shd w:val="clear"/>
        <w:spacing w:before="120" w:beforeLines="50" w:line="400" w:lineRule="exact"/>
        <w:jc w:val="left"/>
        <w:rPr>
          <w:rFonts w:hAnsi="宋体"/>
          <w:b/>
          <w:bCs/>
          <w:color w:val="auto"/>
          <w:sz w:val="28"/>
          <w:szCs w:val="32"/>
          <w:highlight w:val="none"/>
        </w:rPr>
      </w:pPr>
    </w:p>
    <w:p>
      <w:pPr>
        <w:pStyle w:val="16"/>
        <w:shd w:val="clear"/>
        <w:spacing w:before="120" w:beforeLines="50" w:line="400" w:lineRule="exact"/>
        <w:ind w:firstLine="1405" w:firstLineChars="500"/>
        <w:rPr>
          <w:rFonts w:hint="eastAsia" w:hAnsi="宋体" w:eastAsia="宋体"/>
          <w:b/>
          <w:bCs/>
          <w:color w:val="auto"/>
          <w:sz w:val="28"/>
          <w:szCs w:val="32"/>
          <w:highlight w:val="none"/>
          <w:lang w:eastAsia="zh-CN"/>
        </w:rPr>
      </w:pPr>
      <w:r>
        <w:rPr>
          <w:rFonts w:hint="eastAsia" w:hAnsi="宋体"/>
          <w:b/>
          <w:bCs/>
          <w:color w:val="auto"/>
          <w:sz w:val="28"/>
          <w:szCs w:val="32"/>
          <w:highlight w:val="none"/>
        </w:rPr>
        <w:t>项目编号：</w:t>
      </w:r>
      <w:r>
        <w:rPr>
          <w:rFonts w:hint="eastAsia" w:hAnsi="宋体"/>
          <w:b/>
          <w:bCs/>
          <w:color w:val="auto"/>
          <w:sz w:val="28"/>
          <w:szCs w:val="32"/>
          <w:highlight w:val="none"/>
          <w:lang w:eastAsia="zh-CN"/>
        </w:rPr>
        <w:t>JXMYZFCG-2024-021</w:t>
      </w:r>
    </w:p>
    <w:p>
      <w:pPr>
        <w:pStyle w:val="16"/>
        <w:shd w:val="clear"/>
        <w:spacing w:before="120" w:beforeLines="50" w:line="400" w:lineRule="exact"/>
        <w:ind w:firstLine="1394" w:firstLineChars="496"/>
        <w:jc w:val="left"/>
        <w:rPr>
          <w:rFonts w:hint="eastAsia" w:hAnsi="宋体" w:eastAsia="宋体"/>
          <w:b/>
          <w:bCs/>
          <w:color w:val="auto"/>
          <w:sz w:val="28"/>
          <w:szCs w:val="32"/>
          <w:highlight w:val="none"/>
          <w:lang w:eastAsia="zh-CN"/>
        </w:rPr>
      </w:pPr>
      <w:r>
        <w:rPr>
          <w:rFonts w:hint="eastAsia" w:hAnsi="宋体"/>
          <w:b/>
          <w:bCs/>
          <w:color w:val="auto"/>
          <w:sz w:val="28"/>
          <w:szCs w:val="32"/>
          <w:highlight w:val="none"/>
        </w:rPr>
        <w:t>采购单位：</w:t>
      </w:r>
      <w:r>
        <w:rPr>
          <w:rFonts w:hint="eastAsia" w:hAnsi="宋体"/>
          <w:b/>
          <w:bCs/>
          <w:color w:val="auto"/>
          <w:sz w:val="28"/>
          <w:szCs w:val="32"/>
          <w:highlight w:val="none"/>
          <w:lang w:eastAsia="zh-CN"/>
        </w:rPr>
        <w:t>嘉兴市杭嘉湖南排工程管理服务中心</w:t>
      </w:r>
    </w:p>
    <w:p>
      <w:pPr>
        <w:pStyle w:val="16"/>
        <w:shd w:val="clear"/>
        <w:spacing w:before="120" w:beforeLines="50" w:line="400" w:lineRule="exact"/>
        <w:ind w:firstLine="1394" w:firstLineChars="496"/>
        <w:jc w:val="left"/>
        <w:rPr>
          <w:rFonts w:hAnsi="宋体"/>
          <w:b/>
          <w:bCs/>
          <w:color w:val="auto"/>
          <w:sz w:val="28"/>
          <w:szCs w:val="32"/>
          <w:highlight w:val="none"/>
        </w:rPr>
      </w:pPr>
      <w:r>
        <w:rPr>
          <w:rFonts w:hint="eastAsia" w:hAnsi="宋体"/>
          <w:b/>
          <w:bCs/>
          <w:color w:val="auto"/>
          <w:sz w:val="28"/>
          <w:szCs w:val="32"/>
          <w:highlight w:val="none"/>
        </w:rPr>
        <w:t>代理机构：嘉兴市明扬工程咨询有限公司</w:t>
      </w:r>
    </w:p>
    <w:p>
      <w:pPr>
        <w:pStyle w:val="16"/>
        <w:shd w:val="clear"/>
        <w:spacing w:before="120" w:beforeLines="50" w:line="400" w:lineRule="exact"/>
        <w:ind w:firstLine="1394" w:firstLineChars="496"/>
        <w:jc w:val="left"/>
        <w:rPr>
          <w:rFonts w:hint="eastAsia" w:hAnsi="宋体" w:eastAsia="宋体"/>
          <w:b/>
          <w:bCs/>
          <w:color w:val="auto"/>
          <w:sz w:val="28"/>
          <w:szCs w:val="32"/>
          <w:highlight w:val="none"/>
          <w:lang w:eastAsia="zh-CN"/>
        </w:rPr>
      </w:pPr>
      <w:r>
        <w:rPr>
          <w:rFonts w:hint="eastAsia" w:hAnsi="宋体"/>
          <w:b/>
          <w:bCs/>
          <w:color w:val="auto"/>
          <w:sz w:val="28"/>
          <w:szCs w:val="32"/>
          <w:highlight w:val="none"/>
        </w:rPr>
        <w:t>备案单位：</w:t>
      </w:r>
      <w:r>
        <w:rPr>
          <w:rFonts w:hint="eastAsia" w:hAnsi="宋体"/>
          <w:b/>
          <w:bCs/>
          <w:color w:val="auto"/>
          <w:sz w:val="28"/>
          <w:szCs w:val="32"/>
          <w:highlight w:val="none"/>
          <w:lang w:eastAsia="zh-CN"/>
        </w:rPr>
        <w:t>嘉兴市财政局</w:t>
      </w:r>
    </w:p>
    <w:p>
      <w:pPr>
        <w:pStyle w:val="16"/>
        <w:shd w:val="clear"/>
        <w:spacing w:before="120" w:beforeLines="50" w:line="500" w:lineRule="exact"/>
        <w:jc w:val="center"/>
        <w:rPr>
          <w:rFonts w:hAnsi="宋体"/>
          <w:b/>
          <w:bCs/>
          <w:color w:val="auto"/>
          <w:sz w:val="28"/>
          <w:szCs w:val="32"/>
          <w:highlight w:val="none"/>
        </w:rPr>
        <w:sectPr>
          <w:headerReference r:id="rId4" w:type="first"/>
          <w:footerReference r:id="rId7" w:type="first"/>
          <w:headerReference r:id="rId3" w:type="default"/>
          <w:footerReference r:id="rId5" w:type="default"/>
          <w:footerReference r:id="rId6" w:type="even"/>
          <w:pgSz w:w="11907" w:h="16840"/>
          <w:pgMar w:top="1121" w:right="1247" w:bottom="1701" w:left="1559" w:header="737" w:footer="851" w:gutter="0"/>
          <w:pgNumType w:fmt="upperRoman" w:start="1"/>
          <w:cols w:space="720" w:num="1"/>
          <w:titlePg/>
          <w:docGrid w:linePitch="326" w:charSpace="0"/>
        </w:sectPr>
      </w:pPr>
      <w:r>
        <w:rPr>
          <w:rFonts w:hint="eastAsia" w:hAnsi="宋体"/>
          <w:b/>
          <w:bCs/>
          <w:color w:val="auto"/>
          <w:sz w:val="28"/>
          <w:szCs w:val="32"/>
          <w:highlight w:val="none"/>
        </w:rPr>
        <w:t>202</w:t>
      </w:r>
      <w:r>
        <w:rPr>
          <w:rFonts w:hint="eastAsia" w:hAnsi="宋体"/>
          <w:b/>
          <w:bCs/>
          <w:color w:val="auto"/>
          <w:sz w:val="28"/>
          <w:szCs w:val="32"/>
          <w:highlight w:val="none"/>
          <w:lang w:val="en-US" w:eastAsia="zh-CN"/>
        </w:rPr>
        <w:t>4</w:t>
      </w:r>
      <w:r>
        <w:rPr>
          <w:rFonts w:hint="eastAsia" w:hAnsi="宋体"/>
          <w:b/>
          <w:bCs/>
          <w:color w:val="auto"/>
          <w:sz w:val="28"/>
          <w:szCs w:val="32"/>
          <w:highlight w:val="none"/>
        </w:rPr>
        <w:t>年</w:t>
      </w:r>
      <w:r>
        <w:rPr>
          <w:rFonts w:hint="eastAsia" w:hAnsi="宋体"/>
          <w:b/>
          <w:bCs/>
          <w:color w:val="auto"/>
          <w:sz w:val="28"/>
          <w:szCs w:val="32"/>
          <w:highlight w:val="none"/>
          <w:lang w:val="en-US" w:eastAsia="zh-CN"/>
        </w:rPr>
        <w:t>4</w:t>
      </w:r>
      <w:r>
        <w:rPr>
          <w:rFonts w:hint="eastAsia" w:hAnsi="宋体"/>
          <w:b/>
          <w:bCs/>
          <w:color w:val="auto"/>
          <w:sz w:val="28"/>
          <w:szCs w:val="32"/>
          <w:highlight w:val="none"/>
        </w:rPr>
        <w:t>月</w:t>
      </w:r>
    </w:p>
    <w:p>
      <w:pPr>
        <w:pStyle w:val="16"/>
        <w:shd w:val="clear"/>
        <w:spacing w:before="156" w:beforeLines="50" w:line="360" w:lineRule="auto"/>
        <w:jc w:val="center"/>
        <w:rPr>
          <w:rFonts w:hAnsi="宋体"/>
          <w:color w:val="auto"/>
          <w:sz w:val="24"/>
          <w:highlight w:val="none"/>
        </w:rPr>
      </w:pPr>
      <w:r>
        <w:rPr>
          <w:rFonts w:hint="eastAsia" w:ascii="隶书" w:eastAsia="隶书"/>
          <w:b/>
          <w:color w:val="auto"/>
          <w:sz w:val="48"/>
          <w:szCs w:val="48"/>
          <w:highlight w:val="none"/>
        </w:rPr>
        <w:t>目</w:t>
      </w:r>
      <w:r>
        <w:rPr>
          <w:rFonts w:hint="eastAsia" w:ascii="隶书" w:eastAsia="隶书"/>
          <w:b/>
          <w:color w:val="auto"/>
          <w:sz w:val="48"/>
          <w:szCs w:val="48"/>
          <w:highlight w:val="none"/>
          <w:lang w:val="en-US" w:eastAsia="zh-CN"/>
        </w:rPr>
        <w:t xml:space="preserve"> </w:t>
      </w:r>
      <w:r>
        <w:rPr>
          <w:rFonts w:hint="eastAsia" w:ascii="隶书" w:eastAsia="隶书"/>
          <w:b/>
          <w:color w:val="auto"/>
          <w:sz w:val="48"/>
          <w:szCs w:val="48"/>
          <w:highlight w:val="none"/>
        </w:rPr>
        <w:t>录</w:t>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"1-2"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_Toc11812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_Toc11812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_Toc15970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_Toc15970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_Toc10659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前附表</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_Toc10659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一、总则</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_Toc15710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_Toc17768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二、竞争性磋商文件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_Toc17768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_Toc22672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三、磋商响应文件的编制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_Toc22672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_Toc32372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四、磋商前的准备</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_Toc32372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14</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_Toc2850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五、磋商程序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_Toc2850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14</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_Toc10509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六、磋商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_Toc10509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_Toc22785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七、磋商结果的确定</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_Toc22785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_Toc16812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八、合同授予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_Toc16812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_Toc24524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磋商项目要求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_Toc24524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_Toc30710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第四章  </w:t>
      </w:r>
      <w:r>
        <w:rPr>
          <w:rFonts w:hint="eastAsia" w:ascii="宋体" w:hAnsi="宋体" w:cs="宋体"/>
          <w:color w:val="auto"/>
          <w:sz w:val="28"/>
          <w:szCs w:val="28"/>
          <w:highlight w:val="none"/>
          <w:lang w:eastAsia="zh-CN"/>
        </w:rPr>
        <w:t>2024年南排工程河道堤防维修及一次性项目</w:t>
      </w:r>
      <w:r>
        <w:rPr>
          <w:rFonts w:hint="eastAsia" w:ascii="宋体" w:hAnsi="宋体" w:eastAsia="宋体" w:cs="宋体"/>
          <w:color w:val="auto"/>
          <w:sz w:val="28"/>
          <w:szCs w:val="28"/>
          <w:highlight w:val="none"/>
        </w:rPr>
        <w:t>政府采购合同</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_Toc30710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_Toc9995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_Toc9995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44</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4"/>
        <w:shd w:val="clear"/>
        <w:tabs>
          <w:tab w:val="right" w:leader="dot" w:pos="8643"/>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_Toc1414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磋商响应相关文件格式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_Toc1414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9"/>
        <w:shd w:val="clear"/>
        <w:tabs>
          <w:tab w:val="right" w:leader="dot" w:pos="8643"/>
        </w:tabs>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_Toc28564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附：供应商注册流程</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8</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2</w:t>
      </w:r>
    </w:p>
    <w:p>
      <w:pPr>
        <w:shd w:val="clear"/>
        <w:spacing w:line="480" w:lineRule="auto"/>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end"/>
      </w:r>
    </w:p>
    <w:p>
      <w:pPr>
        <w:pStyle w:val="2"/>
        <w:shd w:val="clear"/>
        <w:rPr>
          <w:rFonts w:hint="eastAsia" w:ascii="宋体" w:hAnsi="宋体" w:eastAsia="宋体" w:cs="宋体"/>
          <w:color w:val="auto"/>
          <w:sz w:val="28"/>
          <w:szCs w:val="28"/>
          <w:highlight w:val="none"/>
        </w:rPr>
      </w:pPr>
    </w:p>
    <w:p>
      <w:pPr>
        <w:pStyle w:val="2"/>
        <w:shd w:val="clear"/>
        <w:rPr>
          <w:rFonts w:hint="eastAsia" w:ascii="宋体" w:hAnsi="宋体" w:eastAsia="宋体" w:cs="宋体"/>
          <w:color w:val="auto"/>
          <w:sz w:val="28"/>
          <w:szCs w:val="28"/>
          <w:highlight w:val="none"/>
        </w:rPr>
      </w:pPr>
    </w:p>
    <w:p>
      <w:pPr>
        <w:pStyle w:val="16"/>
        <w:shd w:val="clear"/>
        <w:spacing w:before="156" w:beforeLines="50" w:after="156" w:afterLines="50" w:line="400" w:lineRule="exact"/>
        <w:jc w:val="center"/>
        <w:outlineLvl w:val="0"/>
        <w:rPr>
          <w:rFonts w:hAnsi="宋体"/>
          <w:b/>
          <w:color w:val="auto"/>
          <w:sz w:val="32"/>
          <w:szCs w:val="32"/>
          <w:highlight w:val="none"/>
        </w:rPr>
      </w:pPr>
      <w:bookmarkStart w:id="0" w:name="_Toc15804"/>
      <w:bookmarkStart w:id="1" w:name="_Toc4421"/>
      <w:bookmarkStart w:id="2" w:name="_Toc10634"/>
      <w:bookmarkStart w:id="3" w:name="_Toc142"/>
      <w:bookmarkStart w:id="4" w:name="_Toc22810"/>
      <w:bookmarkStart w:id="5" w:name="_Toc2113"/>
      <w:bookmarkStart w:id="6" w:name="_Toc23379"/>
      <w:bookmarkStart w:id="7" w:name="_Toc11812"/>
      <w:r>
        <w:rPr>
          <w:rFonts w:hint="eastAsia" w:hAnsi="宋体"/>
          <w:b/>
          <w:color w:val="auto"/>
          <w:sz w:val="32"/>
          <w:szCs w:val="32"/>
          <w:highlight w:val="none"/>
        </w:rPr>
        <w:t>第一章 竞争性磋商公告</w:t>
      </w:r>
      <w:bookmarkEnd w:id="0"/>
      <w:bookmarkEnd w:id="1"/>
      <w:bookmarkEnd w:id="2"/>
      <w:bookmarkEnd w:id="3"/>
      <w:bookmarkEnd w:id="4"/>
      <w:bookmarkEnd w:id="5"/>
      <w:bookmarkEnd w:id="6"/>
      <w:bookmarkEnd w:id="7"/>
    </w:p>
    <w:p>
      <w:pPr>
        <w:pStyle w:val="31"/>
        <w:shd w:val="clear"/>
        <w:spacing w:before="0" w:beforeAutospacing="0" w:after="0" w:afterAutospacing="0" w:line="400" w:lineRule="exact"/>
        <w:ind w:firstLine="420" w:firstLineChars="200"/>
        <w:rPr>
          <w:rFonts w:hint="eastAsia"/>
          <w:color w:val="auto"/>
          <w:sz w:val="21"/>
          <w:szCs w:val="21"/>
          <w:highlight w:val="none"/>
          <w:lang w:eastAsia="zh-CN"/>
        </w:rPr>
      </w:pPr>
      <w:r>
        <w:rPr>
          <w:rFonts w:hint="eastAsia"/>
          <w:color w:val="auto"/>
          <w:sz w:val="21"/>
          <w:szCs w:val="21"/>
          <w:highlight w:val="none"/>
          <w:lang w:val="zh-CN" w:eastAsia="zh-CN"/>
        </w:rPr>
        <w:t>根据《中华人民共和国政府采购法》</w:t>
      </w:r>
      <w:r>
        <w:rPr>
          <w:rFonts w:hint="eastAsia"/>
          <w:color w:val="auto"/>
          <w:sz w:val="21"/>
          <w:szCs w:val="21"/>
          <w:highlight w:val="none"/>
          <w:lang w:eastAsia="zh-CN"/>
        </w:rPr>
        <w:t>《中华人民共和国政府采购法实施条例》《政府采购货物和服务招标投标管理办法》和《浙江省政府采购项目电子交易管理暂行办法》</w:t>
      </w:r>
      <w:r>
        <w:rPr>
          <w:rFonts w:hint="eastAsia"/>
          <w:color w:val="auto"/>
          <w:sz w:val="21"/>
          <w:szCs w:val="21"/>
          <w:highlight w:val="none"/>
          <w:lang w:val="zh-CN" w:eastAsia="zh-CN"/>
        </w:rPr>
        <w:t>等有关法律规定，经嘉兴市财政局</w:t>
      </w:r>
      <w:r>
        <w:rPr>
          <w:rFonts w:hint="eastAsia"/>
          <w:color w:val="auto"/>
          <w:sz w:val="21"/>
          <w:szCs w:val="21"/>
          <w:highlight w:val="none"/>
          <w:lang w:val="en-US" w:eastAsia="zh-CN"/>
        </w:rPr>
        <w:t>[2024]2572号、[2024]2371号</w:t>
      </w:r>
      <w:r>
        <w:rPr>
          <w:rFonts w:hint="eastAsia"/>
          <w:color w:val="auto"/>
          <w:sz w:val="21"/>
          <w:szCs w:val="21"/>
          <w:highlight w:val="none"/>
          <w:lang w:eastAsia="zh-CN"/>
        </w:rPr>
        <w:t>采购计划</w:t>
      </w:r>
      <w:r>
        <w:rPr>
          <w:rFonts w:hint="eastAsia"/>
          <w:color w:val="auto"/>
          <w:sz w:val="21"/>
          <w:szCs w:val="21"/>
          <w:highlight w:val="none"/>
          <w:lang w:val="zh-CN" w:eastAsia="zh-CN"/>
        </w:rPr>
        <w:t>书批准，嘉兴市明扬工程咨询有限公司</w:t>
      </w:r>
      <w:r>
        <w:rPr>
          <w:rFonts w:hint="eastAsia"/>
          <w:color w:val="auto"/>
          <w:sz w:val="21"/>
          <w:szCs w:val="21"/>
          <w:highlight w:val="none"/>
          <w:lang w:eastAsia="zh-CN"/>
        </w:rPr>
        <w:t>受嘉兴市杭嘉湖南排工程管理服务中心委托，就下列项目进行</w:t>
      </w:r>
      <w:r>
        <w:rPr>
          <w:rFonts w:hint="eastAsia"/>
          <w:color w:val="auto"/>
          <w:sz w:val="21"/>
          <w:szCs w:val="21"/>
          <w:highlight w:val="none"/>
          <w:lang w:val="zh-CN" w:eastAsia="zh-CN"/>
        </w:rPr>
        <w:t>竞争性磋商采购</w:t>
      </w:r>
      <w:r>
        <w:rPr>
          <w:rFonts w:hint="eastAsia"/>
          <w:color w:val="auto"/>
          <w:sz w:val="21"/>
          <w:szCs w:val="21"/>
          <w:highlight w:val="none"/>
          <w:lang w:eastAsia="zh-CN"/>
        </w:rPr>
        <w:t>，欢迎国内合格的供应商前来磋商，现将有关事项公告如下：</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一、项目基本情况</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项目编号：</w:t>
      </w:r>
      <w:r>
        <w:rPr>
          <w:rFonts w:hint="eastAsia"/>
          <w:color w:val="auto"/>
          <w:sz w:val="21"/>
          <w:szCs w:val="21"/>
          <w:highlight w:val="none"/>
          <w:lang w:eastAsia="zh-CN"/>
        </w:rPr>
        <w:t>JXMYZFCG-2024-021</w:t>
      </w:r>
      <w:r>
        <w:rPr>
          <w:rFonts w:hint="eastAsia"/>
          <w:color w:val="auto"/>
          <w:sz w:val="21"/>
          <w:szCs w:val="21"/>
          <w:highlight w:val="none"/>
        </w:rPr>
        <w:t> </w:t>
      </w:r>
    </w:p>
    <w:p>
      <w:pPr>
        <w:pStyle w:val="31"/>
        <w:shd w:val="clear"/>
        <w:spacing w:before="0" w:beforeAutospacing="0" w:after="0" w:afterAutospacing="0" w:line="400" w:lineRule="exact"/>
        <w:ind w:firstLine="630"/>
        <w:rPr>
          <w:rFonts w:hint="eastAsia" w:eastAsia="宋体"/>
          <w:bCs/>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lang w:eastAsia="zh-CN"/>
        </w:rPr>
        <w:t>2024年南排工程河道堤防维修及一次性项目</w:t>
      </w:r>
    </w:p>
    <w:p>
      <w:pPr>
        <w:pStyle w:val="31"/>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采购方式：竞争性磋商</w:t>
      </w:r>
    </w:p>
    <w:p>
      <w:pPr>
        <w:pStyle w:val="31"/>
        <w:shd w:val="clear"/>
        <w:spacing w:before="0" w:beforeAutospacing="0" w:after="0" w:afterAutospacing="0" w:line="400" w:lineRule="exact"/>
        <w:ind w:firstLine="630"/>
        <w:rPr>
          <w:rFonts w:hint="default"/>
          <w:color w:val="auto"/>
          <w:sz w:val="21"/>
          <w:szCs w:val="21"/>
          <w:highlight w:val="none"/>
          <w:lang w:val="en-US"/>
        </w:rPr>
      </w:pPr>
      <w:r>
        <w:rPr>
          <w:rFonts w:hint="eastAsia"/>
          <w:color w:val="auto"/>
          <w:sz w:val="21"/>
          <w:szCs w:val="21"/>
          <w:highlight w:val="none"/>
        </w:rPr>
        <w:t>预算金额（元）：</w:t>
      </w:r>
      <w:r>
        <w:rPr>
          <w:rFonts w:hint="eastAsia"/>
          <w:color w:val="auto"/>
          <w:sz w:val="21"/>
          <w:szCs w:val="21"/>
          <w:highlight w:val="none"/>
          <w:lang w:val="en-US" w:eastAsia="zh-CN"/>
        </w:rPr>
        <w:t>标项一：700400；标项二：2059300</w:t>
      </w:r>
    </w:p>
    <w:p>
      <w:pPr>
        <w:pStyle w:val="31"/>
        <w:shd w:val="clear"/>
        <w:spacing w:before="0" w:beforeAutospacing="0" w:after="0" w:afterAutospacing="0" w:line="400" w:lineRule="exact"/>
        <w:rPr>
          <w:rFonts w:hint="default"/>
          <w:color w:val="auto"/>
          <w:sz w:val="21"/>
          <w:szCs w:val="21"/>
          <w:highlight w:val="none"/>
          <w:lang w:val="en-US"/>
        </w:rPr>
      </w:pPr>
      <w:r>
        <w:rPr>
          <w:rFonts w:hint="eastAsia"/>
          <w:color w:val="auto"/>
          <w:sz w:val="21"/>
          <w:szCs w:val="21"/>
          <w:highlight w:val="none"/>
        </w:rPr>
        <w:t>    最高限价（元）：</w:t>
      </w:r>
      <w:r>
        <w:rPr>
          <w:rFonts w:hint="eastAsia"/>
          <w:color w:val="auto"/>
          <w:sz w:val="21"/>
          <w:szCs w:val="21"/>
          <w:highlight w:val="none"/>
          <w:lang w:val="en-US" w:eastAsia="zh-CN"/>
        </w:rPr>
        <w:t>标项一：700400；标项二：2059300</w:t>
      </w:r>
    </w:p>
    <w:p>
      <w:pPr>
        <w:pStyle w:val="31"/>
        <w:shd w:val="clear"/>
        <w:spacing w:before="0" w:beforeAutospacing="0" w:after="0" w:afterAutospacing="0" w:line="400" w:lineRule="exact"/>
        <w:ind w:firstLine="630" w:firstLineChars="300"/>
        <w:rPr>
          <w:color w:val="auto"/>
          <w:sz w:val="21"/>
          <w:szCs w:val="21"/>
          <w:highlight w:val="none"/>
        </w:rPr>
      </w:pPr>
      <w:r>
        <w:rPr>
          <w:rStyle w:val="98"/>
          <w:rFonts w:hint="eastAsia"/>
          <w:color w:val="auto"/>
          <w:sz w:val="21"/>
          <w:szCs w:val="21"/>
          <w:highlight w:val="none"/>
        </w:rPr>
        <w:t>采购需求：</w:t>
      </w:r>
    </w:p>
    <w:tbl>
      <w:tblPr>
        <w:tblStyle w:val="35"/>
        <w:tblW w:w="9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780"/>
        <w:gridCol w:w="673"/>
        <w:gridCol w:w="1291"/>
        <w:gridCol w:w="1282"/>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93"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cs="Arial"/>
                <w:b/>
                <w:color w:val="auto"/>
                <w:szCs w:val="21"/>
                <w:highlight w:val="none"/>
              </w:rPr>
            </w:pPr>
            <w:r>
              <w:rPr>
                <w:rFonts w:hint="eastAsia" w:ascii="宋体" w:hAnsi="宋体" w:eastAsia="宋体" w:cs="宋体"/>
                <w:b/>
                <w:bCs/>
                <w:color w:val="auto"/>
                <w:kern w:val="0"/>
                <w:szCs w:val="21"/>
                <w:highlight w:val="none"/>
                <w:lang w:val="en-US" w:eastAsia="zh-CN"/>
              </w:rPr>
              <w:t>标项</w:t>
            </w:r>
          </w:p>
        </w:tc>
        <w:tc>
          <w:tcPr>
            <w:tcW w:w="4780"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cs="Arial"/>
                <w:b/>
                <w:color w:val="auto"/>
                <w:szCs w:val="21"/>
                <w:highlight w:val="none"/>
              </w:rPr>
            </w:pPr>
            <w:r>
              <w:rPr>
                <w:rFonts w:hint="eastAsia" w:ascii="宋体" w:hAnsi="宋体" w:eastAsia="宋体" w:cs="宋体"/>
                <w:b/>
                <w:bCs/>
                <w:color w:val="auto"/>
                <w:kern w:val="0"/>
                <w:szCs w:val="21"/>
                <w:highlight w:val="none"/>
                <w:lang w:val="en-US" w:eastAsia="zh-CN"/>
              </w:rPr>
              <w:t>标项</w:t>
            </w:r>
            <w:r>
              <w:rPr>
                <w:rFonts w:hint="eastAsia" w:ascii="宋体" w:hAnsi="宋体" w:eastAsia="宋体" w:cs="宋体"/>
                <w:b/>
                <w:bCs/>
                <w:color w:val="auto"/>
                <w:kern w:val="0"/>
                <w:szCs w:val="21"/>
                <w:highlight w:val="none"/>
              </w:rPr>
              <w:t>名称</w:t>
            </w:r>
          </w:p>
        </w:tc>
        <w:tc>
          <w:tcPr>
            <w:tcW w:w="673"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数量</w:t>
            </w:r>
          </w:p>
        </w:tc>
        <w:tc>
          <w:tcPr>
            <w:tcW w:w="1291"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cs="Arial"/>
                <w:b/>
                <w:bCs/>
                <w:color w:val="auto"/>
                <w:szCs w:val="21"/>
                <w:highlight w:val="none"/>
              </w:rPr>
            </w:pPr>
            <w:r>
              <w:rPr>
                <w:rFonts w:hint="eastAsia" w:ascii="宋体" w:hAnsi="宋体" w:eastAsia="宋体" w:cs="宋体"/>
                <w:b/>
                <w:bCs/>
                <w:color w:val="auto"/>
                <w:kern w:val="0"/>
                <w:szCs w:val="21"/>
                <w:highlight w:val="none"/>
              </w:rPr>
              <w:t>预算金额(元)</w:t>
            </w:r>
          </w:p>
        </w:tc>
        <w:tc>
          <w:tcPr>
            <w:tcW w:w="1282"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default" w:ascii="宋体" w:hAnsi="宋体" w:cs="Arial"/>
                <w:b/>
                <w:bCs/>
                <w:color w:val="auto"/>
                <w:szCs w:val="21"/>
                <w:highlight w:val="none"/>
              </w:rPr>
            </w:pPr>
            <w:r>
              <w:rPr>
                <w:rFonts w:hint="eastAsia" w:ascii="宋体" w:hAnsi="宋体" w:eastAsia="宋体" w:cs="宋体"/>
                <w:b/>
                <w:bCs/>
                <w:color w:val="auto"/>
                <w:kern w:val="0"/>
                <w:szCs w:val="21"/>
                <w:highlight w:val="none"/>
              </w:rPr>
              <w:t>简要规格描述</w:t>
            </w:r>
          </w:p>
        </w:tc>
        <w:tc>
          <w:tcPr>
            <w:tcW w:w="578"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Arial"/>
                <w:bCs/>
                <w:color w:val="auto"/>
                <w:szCs w:val="21"/>
                <w:highlight w:val="none"/>
                <w:lang w:eastAsia="zh-CN"/>
              </w:rPr>
            </w:pPr>
            <w:r>
              <w:rPr>
                <w:rFonts w:hint="eastAsia" w:ascii="宋体" w:hAnsi="宋体" w:cs="Arial"/>
                <w:bCs/>
                <w:color w:val="auto"/>
                <w:szCs w:val="21"/>
                <w:highlight w:val="none"/>
                <w:lang w:val="en-US" w:eastAsia="zh-CN"/>
              </w:rPr>
              <w:t>一</w:t>
            </w:r>
          </w:p>
        </w:tc>
        <w:tc>
          <w:tcPr>
            <w:tcW w:w="4780"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Arial"/>
                <w:bCs/>
                <w:color w:val="auto"/>
                <w:szCs w:val="21"/>
                <w:highlight w:val="none"/>
                <w:lang w:val="en-US" w:eastAsia="zh-CN"/>
              </w:rPr>
            </w:pPr>
            <w:r>
              <w:rPr>
                <w:rFonts w:hint="eastAsia"/>
                <w:color w:val="auto"/>
                <w:sz w:val="21"/>
                <w:szCs w:val="21"/>
                <w:highlight w:val="none"/>
                <w:lang w:eastAsia="zh-CN"/>
              </w:rPr>
              <w:t>2024年南排工程河道堤防维修</w:t>
            </w:r>
            <w:r>
              <w:rPr>
                <w:rFonts w:hint="eastAsia"/>
                <w:color w:val="auto"/>
                <w:sz w:val="21"/>
                <w:szCs w:val="21"/>
                <w:highlight w:val="none"/>
                <w:lang w:val="en-US" w:eastAsia="zh-CN"/>
              </w:rPr>
              <w:t>项目</w:t>
            </w:r>
          </w:p>
        </w:tc>
        <w:tc>
          <w:tcPr>
            <w:tcW w:w="673" w:type="dxa"/>
            <w:vMerge w:val="restart"/>
            <w:vAlign w:val="center"/>
          </w:tcPr>
          <w:p>
            <w:pPr>
              <w:keepNext w:val="0"/>
              <w:keepLines w:val="0"/>
              <w:suppressLineNumbers w:val="0"/>
              <w:shd w:val="clear"/>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1项</w:t>
            </w: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700400</w:t>
            </w:r>
          </w:p>
        </w:tc>
        <w:tc>
          <w:tcPr>
            <w:tcW w:w="1282" w:type="dxa"/>
            <w:vMerge w:val="restart"/>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Arial"/>
                <w:bCs/>
                <w:color w:val="auto"/>
                <w:szCs w:val="21"/>
                <w:highlight w:val="none"/>
              </w:rPr>
            </w:pPr>
            <w:r>
              <w:rPr>
                <w:rFonts w:hint="eastAsia" w:ascii="宋体" w:hAnsi="宋体" w:cs="Arial"/>
                <w:bCs/>
                <w:color w:val="auto"/>
                <w:szCs w:val="21"/>
                <w:highlight w:val="none"/>
              </w:rPr>
              <w:t>详见第三章《磋商项目要求》</w:t>
            </w:r>
          </w:p>
        </w:tc>
        <w:tc>
          <w:tcPr>
            <w:tcW w:w="578" w:type="dxa"/>
            <w:vMerge w:val="restart"/>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Arial"/>
                <w:bCs/>
                <w:color w:val="auto"/>
                <w:szCs w:val="21"/>
                <w:highlight w:val="none"/>
                <w:lang w:val="en-US" w:eastAsia="zh-CN"/>
              </w:rPr>
            </w:pPr>
            <w:r>
              <w:rPr>
                <w:rFonts w:hint="eastAsia" w:ascii="宋体" w:hAnsi="宋体" w:cs="Arial"/>
                <w:bCs/>
                <w:color w:val="auto"/>
                <w:szCs w:val="21"/>
                <w:highlight w:val="none"/>
                <w:lang w:val="en-US" w:eastAsia="zh-CN"/>
              </w:rPr>
              <w:t>1.1</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240400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Arial"/>
                <w:bCs/>
                <w:color w:val="auto"/>
                <w:szCs w:val="21"/>
                <w:highlight w:val="none"/>
                <w:lang w:val="en-US" w:eastAsia="zh-CN"/>
              </w:rPr>
            </w:pPr>
            <w:r>
              <w:rPr>
                <w:rFonts w:hint="eastAsia" w:ascii="宋体" w:hAnsi="宋体" w:cs="Arial"/>
                <w:bCs/>
                <w:color w:val="auto"/>
                <w:szCs w:val="21"/>
                <w:highlight w:val="none"/>
                <w:lang w:val="en-US" w:eastAsia="zh-CN"/>
              </w:rPr>
              <w:t>1.2</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90000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Arial"/>
                <w:bCs/>
                <w:color w:val="auto"/>
                <w:szCs w:val="21"/>
                <w:highlight w:val="none"/>
                <w:lang w:val="en-US" w:eastAsia="zh-CN"/>
              </w:rPr>
            </w:pPr>
            <w:r>
              <w:rPr>
                <w:rFonts w:hint="eastAsia" w:ascii="宋体" w:hAnsi="宋体" w:cs="Arial"/>
                <w:bCs/>
                <w:color w:val="auto"/>
                <w:szCs w:val="21"/>
                <w:highlight w:val="none"/>
                <w:lang w:val="en-US" w:eastAsia="zh-CN"/>
              </w:rPr>
              <w:t>1.3</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150000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Arial"/>
                <w:bCs/>
                <w:color w:val="auto"/>
                <w:szCs w:val="21"/>
                <w:highlight w:val="none"/>
                <w:lang w:val="en-US" w:eastAsia="zh-CN"/>
              </w:rPr>
            </w:pPr>
            <w:r>
              <w:rPr>
                <w:rFonts w:hint="eastAsia" w:ascii="宋体" w:hAnsi="宋体" w:cs="Arial"/>
                <w:bCs/>
                <w:color w:val="auto"/>
                <w:szCs w:val="21"/>
                <w:highlight w:val="none"/>
                <w:lang w:val="en-US" w:eastAsia="zh-CN"/>
              </w:rPr>
              <w:t>1.4</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220000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Arial"/>
                <w:bCs/>
                <w:color w:val="auto"/>
                <w:szCs w:val="21"/>
                <w:highlight w:val="none"/>
                <w:lang w:val="en-US" w:eastAsia="zh-CN"/>
              </w:rPr>
            </w:pPr>
            <w:r>
              <w:rPr>
                <w:rFonts w:hint="eastAsia" w:ascii="宋体" w:hAnsi="宋体" w:cs="Arial"/>
                <w:bCs/>
                <w:color w:val="auto"/>
                <w:szCs w:val="21"/>
                <w:highlight w:val="none"/>
                <w:lang w:val="en-US" w:eastAsia="zh-CN"/>
              </w:rPr>
              <w:t>二</w:t>
            </w:r>
          </w:p>
        </w:tc>
        <w:tc>
          <w:tcPr>
            <w:tcW w:w="4780"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color w:val="auto"/>
                <w:sz w:val="21"/>
                <w:szCs w:val="21"/>
                <w:highlight w:val="none"/>
                <w:lang w:eastAsia="zh-CN"/>
              </w:rPr>
              <w:t>2024年南排工程一次性项目</w:t>
            </w:r>
          </w:p>
        </w:tc>
        <w:tc>
          <w:tcPr>
            <w:tcW w:w="673" w:type="dxa"/>
            <w:vMerge w:val="restart"/>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1项</w:t>
            </w: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2059300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Arial"/>
                <w:bCs/>
                <w:color w:val="auto"/>
                <w:szCs w:val="21"/>
                <w:highlight w:val="none"/>
                <w:lang w:val="en-US" w:eastAsia="zh-CN"/>
              </w:rPr>
            </w:pPr>
            <w:r>
              <w:rPr>
                <w:rFonts w:hint="eastAsia" w:ascii="宋体" w:hAnsi="宋体" w:cs="宋体"/>
                <w:bCs/>
                <w:color w:val="auto"/>
                <w:szCs w:val="21"/>
                <w:highlight w:val="none"/>
                <w:lang w:val="en-US" w:eastAsia="zh-CN"/>
              </w:rPr>
              <w:t>2.1</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color w:val="auto"/>
                <w:sz w:val="21"/>
                <w:szCs w:val="21"/>
                <w:highlight w:val="none"/>
                <w:lang w:eastAsia="zh-CN"/>
              </w:rPr>
            </w:pP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2.1.1</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主厂房电缆层漏水处理项目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100000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2.1.2</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盐官泵站事故闸止水、滑块、紧固件更换项目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86300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Arial"/>
                <w:bCs/>
                <w:color w:val="auto"/>
                <w:szCs w:val="21"/>
                <w:highlight w:val="none"/>
                <w:lang w:val="en-US" w:eastAsia="zh-CN"/>
              </w:rPr>
            </w:pPr>
            <w:r>
              <w:rPr>
                <w:rFonts w:hint="eastAsia" w:ascii="宋体" w:hAnsi="宋体" w:cs="宋体"/>
                <w:bCs/>
                <w:color w:val="auto"/>
                <w:szCs w:val="21"/>
                <w:highlight w:val="none"/>
                <w:lang w:val="en-US" w:eastAsia="zh-CN"/>
              </w:rPr>
              <w:t>2.2</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color w:val="auto"/>
                <w:sz w:val="21"/>
                <w:szCs w:val="21"/>
                <w:highlight w:val="none"/>
                <w:lang w:eastAsia="zh-CN"/>
              </w:rPr>
            </w:pP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146000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Arial"/>
                <w:bCs/>
                <w:color w:val="auto"/>
                <w:szCs w:val="21"/>
                <w:highlight w:val="none"/>
                <w:lang w:val="en-US" w:eastAsia="zh-CN"/>
              </w:rPr>
            </w:pPr>
            <w:r>
              <w:rPr>
                <w:rFonts w:hint="eastAsia" w:ascii="宋体" w:hAnsi="宋体" w:cs="宋体"/>
                <w:bCs/>
                <w:color w:val="auto"/>
                <w:szCs w:val="21"/>
                <w:highlight w:val="none"/>
                <w:lang w:val="en-US" w:eastAsia="zh-CN"/>
              </w:rPr>
              <w:t>2.3</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color w:val="auto"/>
                <w:sz w:val="21"/>
                <w:szCs w:val="21"/>
                <w:highlight w:val="none"/>
                <w:lang w:eastAsia="zh-CN"/>
              </w:rPr>
            </w:pP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807000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Arial"/>
                <w:bCs/>
                <w:color w:val="auto"/>
                <w:szCs w:val="21"/>
                <w:highlight w:val="none"/>
                <w:lang w:val="en-US" w:eastAsia="zh-CN"/>
              </w:rPr>
            </w:pPr>
            <w:r>
              <w:rPr>
                <w:rFonts w:hint="eastAsia" w:ascii="宋体" w:hAnsi="宋体" w:cs="宋体"/>
                <w:bCs/>
                <w:color w:val="auto"/>
                <w:szCs w:val="21"/>
                <w:highlight w:val="none"/>
                <w:lang w:val="en-US" w:eastAsia="zh-CN"/>
              </w:rPr>
              <w:t>2.4</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color w:val="auto"/>
                <w:sz w:val="21"/>
                <w:szCs w:val="21"/>
                <w:highlight w:val="none"/>
                <w:lang w:eastAsia="zh-CN"/>
              </w:rPr>
            </w:pP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2.4.1</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南台头闸内河侧闸门防腐及止水装置更换项目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400000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2.4.2</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泵站门机、油缸及起重设备金属防腐项目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450000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93"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2.4.3</w:t>
            </w:r>
          </w:p>
        </w:tc>
        <w:tc>
          <w:tcPr>
            <w:tcW w:w="4780"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泵站工作（事故）闸门行程改造项目</w:t>
            </w:r>
          </w:p>
        </w:tc>
        <w:tc>
          <w:tcPr>
            <w:tcW w:w="673"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p>
        </w:tc>
        <w:tc>
          <w:tcPr>
            <w:tcW w:w="1291"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70000</w:t>
            </w:r>
          </w:p>
        </w:tc>
        <w:tc>
          <w:tcPr>
            <w:tcW w:w="1282"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lang w:val="en-US" w:eastAsia="zh-CN"/>
              </w:rPr>
            </w:pPr>
          </w:p>
        </w:tc>
        <w:tc>
          <w:tcPr>
            <w:tcW w:w="578"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Arial"/>
                <w:bCs/>
                <w:color w:val="auto"/>
                <w:szCs w:val="21"/>
                <w:highlight w:val="none"/>
              </w:rPr>
            </w:pPr>
          </w:p>
        </w:tc>
      </w:tr>
    </w:tbl>
    <w:p>
      <w:pPr>
        <w:pStyle w:val="31"/>
        <w:shd w:val="clear"/>
        <w:spacing w:before="0" w:beforeAutospacing="0" w:after="0" w:afterAutospacing="0" w:line="400" w:lineRule="exact"/>
        <w:ind w:firstLine="420" w:firstLineChars="200"/>
        <w:rPr>
          <w:rFonts w:hint="eastAsia"/>
          <w:color w:val="auto"/>
          <w:sz w:val="21"/>
          <w:szCs w:val="21"/>
          <w:highlight w:val="none"/>
        </w:rPr>
      </w:pPr>
      <w:r>
        <w:rPr>
          <w:rFonts w:hint="eastAsia"/>
          <w:color w:val="auto"/>
          <w:sz w:val="21"/>
          <w:szCs w:val="21"/>
          <w:highlight w:val="none"/>
        </w:rPr>
        <w:t>合同履行期限</w:t>
      </w:r>
      <w:r>
        <w:rPr>
          <w:rFonts w:hint="eastAsia"/>
          <w:color w:val="auto"/>
          <w:kern w:val="2"/>
          <w:sz w:val="21"/>
          <w:szCs w:val="21"/>
          <w:highlight w:val="none"/>
        </w:rPr>
        <w:t>：</w:t>
      </w:r>
      <w:r>
        <w:rPr>
          <w:rFonts w:hint="eastAsia"/>
          <w:color w:val="auto"/>
          <w:kern w:val="2"/>
          <w:sz w:val="21"/>
          <w:szCs w:val="21"/>
          <w:highlight w:val="none"/>
          <w:lang w:val="en-US" w:eastAsia="zh-CN"/>
        </w:rPr>
        <w:t>2024年10月15日前完工</w:t>
      </w:r>
      <w:r>
        <w:rPr>
          <w:rFonts w:hint="eastAsia"/>
          <w:color w:val="auto"/>
          <w:sz w:val="21"/>
          <w:szCs w:val="21"/>
          <w:highlight w:val="none"/>
        </w:rPr>
        <w:t>。</w:t>
      </w:r>
    </w:p>
    <w:p>
      <w:pPr>
        <w:pStyle w:val="31"/>
        <w:shd w:val="clear"/>
        <w:spacing w:before="0" w:beforeAutospacing="0" w:after="0" w:afterAutospacing="0" w:line="400" w:lineRule="exact"/>
        <w:ind w:firstLine="420" w:firstLineChars="200"/>
        <w:rPr>
          <w:color w:val="auto"/>
          <w:sz w:val="21"/>
          <w:szCs w:val="21"/>
          <w:highlight w:val="none"/>
        </w:rPr>
      </w:pPr>
      <w:r>
        <w:rPr>
          <w:rFonts w:hint="eastAsia"/>
          <w:color w:val="auto"/>
          <w:sz w:val="21"/>
          <w:szCs w:val="21"/>
          <w:highlight w:val="none"/>
        </w:rPr>
        <w:t>本项目（否）接受联合体投标。</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二、申请人的资格要求：</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31"/>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2、落实政府采购政策需满足的资格要求：</w:t>
      </w:r>
      <w:r>
        <w:rPr>
          <w:rFonts w:hint="eastAsia" w:cs="Times New Roman"/>
          <w:color w:val="auto"/>
          <w:sz w:val="21"/>
          <w:szCs w:val="21"/>
          <w:highlight w:val="none"/>
        </w:rPr>
        <w:t>本项目为专门面向中小企业采购的项目，</w:t>
      </w:r>
      <w:r>
        <w:rPr>
          <w:rFonts w:hint="eastAsia" w:cs="Times New Roman"/>
          <w:color w:val="auto"/>
          <w:sz w:val="21"/>
          <w:szCs w:val="21"/>
          <w:highlight w:val="none"/>
          <w:lang w:val="en-US" w:eastAsia="zh-CN"/>
        </w:rPr>
        <w:t>供应商</w:t>
      </w:r>
      <w:r>
        <w:rPr>
          <w:rFonts w:hint="eastAsia" w:cs="Times New Roman"/>
          <w:color w:val="auto"/>
          <w:sz w:val="21"/>
          <w:szCs w:val="21"/>
          <w:highlight w:val="none"/>
        </w:rPr>
        <w:t>须符合工信部联企业[2011]300号</w:t>
      </w:r>
      <w:r>
        <w:rPr>
          <w:rFonts w:hint="eastAsia" w:eastAsia="宋体"/>
          <w:color w:val="auto"/>
          <w:sz w:val="21"/>
          <w:szCs w:val="21"/>
          <w:highlight w:val="none"/>
        </w:rPr>
        <w:t>中小企业划型标准规定</w:t>
      </w:r>
      <w:r>
        <w:rPr>
          <w:rFonts w:hint="eastAsia" w:eastAsia="宋体" w:cs="Times New Roman"/>
          <w:color w:val="auto"/>
          <w:sz w:val="21"/>
          <w:szCs w:val="21"/>
          <w:highlight w:val="none"/>
        </w:rPr>
        <w:t>（</w:t>
      </w:r>
      <w:r>
        <w:rPr>
          <w:rFonts w:hint="eastAsia" w:cs="Times New Roman"/>
          <w:color w:val="auto"/>
          <w:sz w:val="21"/>
          <w:szCs w:val="21"/>
          <w:highlight w:val="none"/>
        </w:rPr>
        <w:t>监狱企业及残疾人福利性单位视同小</w:t>
      </w:r>
      <w:r>
        <w:rPr>
          <w:rFonts w:hint="eastAsia" w:cs="Times New Roman"/>
          <w:color w:val="auto"/>
          <w:sz w:val="21"/>
          <w:szCs w:val="21"/>
          <w:highlight w:val="none"/>
          <w:lang w:val="en-US" w:eastAsia="zh-CN"/>
        </w:rPr>
        <w:t>型、</w:t>
      </w:r>
      <w:r>
        <w:rPr>
          <w:rFonts w:hint="eastAsia" w:cs="Times New Roman"/>
          <w:color w:val="auto"/>
          <w:sz w:val="21"/>
          <w:szCs w:val="21"/>
          <w:highlight w:val="none"/>
        </w:rPr>
        <w:t>微型企业）</w:t>
      </w:r>
      <w:r>
        <w:rPr>
          <w:rFonts w:hint="eastAsia"/>
          <w:color w:val="auto"/>
          <w:sz w:val="21"/>
          <w:szCs w:val="21"/>
          <w:highlight w:val="none"/>
        </w:rPr>
        <w:t>。 </w:t>
      </w:r>
    </w:p>
    <w:p>
      <w:pPr>
        <w:pStyle w:val="31"/>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3、本项目的特定资格要求：无。</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三、获取（下载）采购文件</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4</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4</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26</w:t>
      </w:r>
      <w:r>
        <w:rPr>
          <w:rStyle w:val="97"/>
          <w:rFonts w:hint="eastAsia"/>
          <w:color w:val="auto"/>
          <w:sz w:val="21"/>
          <w:szCs w:val="21"/>
          <w:highlight w:val="none"/>
          <w:u w:val="single"/>
        </w:rPr>
        <w:t>日</w:t>
      </w:r>
      <w:r>
        <w:rPr>
          <w:rFonts w:hint="eastAsia"/>
          <w:color w:val="auto"/>
          <w:sz w:val="21"/>
          <w:szCs w:val="21"/>
          <w:highlight w:val="none"/>
          <w:u w:val="single"/>
        </w:rPr>
        <w:t> </w:t>
      </w:r>
      <w:r>
        <w:rPr>
          <w:rFonts w:hint="eastAsia"/>
          <w:color w:val="auto"/>
          <w:sz w:val="21"/>
          <w:szCs w:val="21"/>
          <w:highlight w:val="none"/>
        </w:rPr>
        <w:t>至</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4</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Fonts w:hint="eastAsia"/>
          <w:color w:val="auto"/>
          <w:sz w:val="21"/>
          <w:szCs w:val="21"/>
          <w:highlight w:val="none"/>
          <w:u w:val="single"/>
        </w:rPr>
        <w:t> </w:t>
      </w:r>
      <w:r>
        <w:rPr>
          <w:rFonts w:hint="eastAsia"/>
          <w:color w:val="auto"/>
          <w:sz w:val="21"/>
          <w:szCs w:val="21"/>
          <w:highlight w:val="none"/>
        </w:rPr>
        <w:t>，每天上午</w:t>
      </w:r>
      <w:r>
        <w:rPr>
          <w:rFonts w:hint="eastAsia"/>
          <w:color w:val="auto"/>
          <w:sz w:val="21"/>
          <w:szCs w:val="21"/>
          <w:highlight w:val="none"/>
          <w:u w:val="single"/>
        </w:rPr>
        <w:t> </w:t>
      </w:r>
      <w:r>
        <w:rPr>
          <w:rStyle w:val="97"/>
          <w:rFonts w:hint="eastAsia"/>
          <w:color w:val="auto"/>
          <w:sz w:val="21"/>
          <w:szCs w:val="21"/>
          <w:highlight w:val="none"/>
          <w:u w:val="single"/>
        </w:rPr>
        <w:t>00:00至12:00</w:t>
      </w:r>
      <w:r>
        <w:rPr>
          <w:rFonts w:hint="eastAsia"/>
          <w:color w:val="auto"/>
          <w:sz w:val="21"/>
          <w:szCs w:val="21"/>
          <w:highlight w:val="none"/>
        </w:rPr>
        <w:t> ，下午</w:t>
      </w:r>
      <w:r>
        <w:rPr>
          <w:rFonts w:hint="eastAsia"/>
          <w:color w:val="auto"/>
          <w:sz w:val="21"/>
          <w:szCs w:val="21"/>
          <w:highlight w:val="none"/>
          <w:u w:val="single"/>
        </w:rPr>
        <w:t> </w:t>
      </w:r>
      <w:r>
        <w:rPr>
          <w:rStyle w:val="97"/>
          <w:rFonts w:hint="eastAsia"/>
          <w:color w:val="auto"/>
          <w:sz w:val="21"/>
          <w:szCs w:val="21"/>
          <w:highlight w:val="none"/>
          <w:u w:val="single"/>
        </w:rPr>
        <w:t>12:00至23:59</w:t>
      </w:r>
      <w:r>
        <w:rPr>
          <w:rFonts w:hint="eastAsia"/>
          <w:color w:val="auto"/>
          <w:sz w:val="21"/>
          <w:szCs w:val="21"/>
          <w:highlight w:val="none"/>
          <w:u w:val="single"/>
        </w:rPr>
        <w:t> </w:t>
      </w:r>
      <w:r>
        <w:rPr>
          <w:rFonts w:hint="eastAsia"/>
          <w:color w:val="auto"/>
          <w:sz w:val="21"/>
          <w:szCs w:val="21"/>
          <w:highlight w:val="none"/>
        </w:rPr>
        <w:t>（北京时间，线上获取文件法定节假日均可，线下获取文件法定节假日除外）</w:t>
      </w:r>
    </w:p>
    <w:p>
      <w:pPr>
        <w:pStyle w:val="31"/>
        <w:shd w:val="clear"/>
        <w:spacing w:before="0" w:beforeAutospacing="0" w:after="0" w:afterAutospacing="0" w:line="400" w:lineRule="exact"/>
        <w:ind w:firstLine="525" w:firstLineChars="250"/>
        <w:rPr>
          <w:color w:val="auto"/>
          <w:sz w:val="21"/>
          <w:szCs w:val="21"/>
          <w:highlight w:val="none"/>
        </w:rPr>
      </w:pPr>
      <w:r>
        <w:rPr>
          <w:rFonts w:hint="eastAsia"/>
          <w:color w:val="auto"/>
          <w:sz w:val="21"/>
          <w:szCs w:val="21"/>
          <w:highlight w:val="none"/>
        </w:rPr>
        <w:t>地点（网址）：</w:t>
      </w:r>
      <w:r>
        <w:rPr>
          <w:rStyle w:val="97"/>
          <w:rFonts w:hint="eastAsia"/>
          <w:color w:val="auto"/>
          <w:sz w:val="21"/>
          <w:szCs w:val="21"/>
          <w:highlight w:val="none"/>
        </w:rPr>
        <w:t>浙江政府采购网https://login.zcygov.cn/login</w:t>
      </w:r>
      <w:r>
        <w:rPr>
          <w:rFonts w:hint="eastAsia"/>
          <w:color w:val="auto"/>
          <w:sz w:val="21"/>
          <w:szCs w:val="21"/>
          <w:highlight w:val="none"/>
        </w:rPr>
        <w:t>  </w:t>
      </w:r>
    </w:p>
    <w:p>
      <w:pPr>
        <w:pStyle w:val="31"/>
        <w:shd w:val="clear"/>
        <w:spacing w:before="0" w:beforeAutospacing="0" w:after="0" w:afterAutospacing="0" w:line="400" w:lineRule="exact"/>
        <w:ind w:firstLine="525" w:firstLineChars="250"/>
        <w:rPr>
          <w:color w:val="auto"/>
          <w:sz w:val="21"/>
          <w:szCs w:val="21"/>
          <w:highlight w:val="none"/>
        </w:rPr>
      </w:pPr>
      <w:r>
        <w:rPr>
          <w:rFonts w:hint="eastAsia"/>
          <w:color w:val="auto"/>
          <w:sz w:val="21"/>
          <w:szCs w:val="21"/>
          <w:highlight w:val="none"/>
        </w:rPr>
        <w:t>方式：</w:t>
      </w:r>
      <w:r>
        <w:rPr>
          <w:rStyle w:val="97"/>
          <w:rFonts w:hint="eastAsia" w:ascii="宋体" w:hAnsi="宋体"/>
          <w:color w:val="auto"/>
          <w:sz w:val="21"/>
          <w:szCs w:val="21"/>
          <w:highlight w:val="none"/>
        </w:rPr>
        <w:t>供应商登录政采云平台https://www.zcygov.cn/在线申请获取采购文件（进入“项目采购”应用，在获取采购文件菜单中选择项目，申请获取采购文件）</w:t>
      </w:r>
      <w:r>
        <w:rPr>
          <w:rFonts w:hint="eastAsia"/>
          <w:color w:val="auto"/>
          <w:sz w:val="21"/>
          <w:szCs w:val="21"/>
          <w:highlight w:val="none"/>
        </w:rPr>
        <w:t>。</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售价（元）：0 </w:t>
      </w:r>
    </w:p>
    <w:p>
      <w:pPr>
        <w:pStyle w:val="31"/>
        <w:shd w:val="clear"/>
        <w:spacing w:before="0" w:beforeAutospacing="0" w:after="0" w:afterAutospacing="0" w:line="400" w:lineRule="exact"/>
        <w:jc w:val="both"/>
        <w:rPr>
          <w:rFonts w:eastAsia="微软雅黑"/>
          <w:color w:val="auto"/>
          <w:sz w:val="21"/>
          <w:szCs w:val="21"/>
          <w:highlight w:val="none"/>
        </w:rPr>
      </w:pPr>
      <w:r>
        <w:rPr>
          <w:rStyle w:val="45"/>
          <w:rFonts w:hint="eastAsia"/>
          <w:color w:val="auto"/>
          <w:sz w:val="21"/>
          <w:szCs w:val="21"/>
          <w:highlight w:val="none"/>
        </w:rPr>
        <w:t>四、响应文件提交（上传）</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截止时间：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4</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Style w:val="97"/>
          <w:rFonts w:hint="eastAsia"/>
          <w:color w:val="auto"/>
          <w:sz w:val="21"/>
          <w:szCs w:val="21"/>
          <w:highlight w:val="none"/>
          <w:u w:val="single"/>
          <w:lang w:val="en-US" w:eastAsia="zh-CN"/>
        </w:rPr>
        <w:t>9</w:t>
      </w:r>
      <w:r>
        <w:rPr>
          <w:rStyle w:val="97"/>
          <w:rFonts w:hint="eastAsia"/>
          <w:color w:val="auto"/>
          <w:sz w:val="21"/>
          <w:szCs w:val="21"/>
          <w:highlight w:val="none"/>
          <w:u w:val="single"/>
        </w:rPr>
        <w:t>:</w:t>
      </w:r>
      <w:r>
        <w:rPr>
          <w:rStyle w:val="97"/>
          <w:rFonts w:hint="eastAsia"/>
          <w:color w:val="auto"/>
          <w:sz w:val="21"/>
          <w:szCs w:val="21"/>
          <w:highlight w:val="none"/>
          <w:u w:val="single"/>
          <w:lang w:val="en-US" w:eastAsia="zh-CN"/>
        </w:rPr>
        <w:t>3</w:t>
      </w:r>
      <w:r>
        <w:rPr>
          <w:rStyle w:val="97"/>
          <w:rFonts w:hint="eastAsia"/>
          <w:color w:val="auto"/>
          <w:sz w:val="21"/>
          <w:szCs w:val="21"/>
          <w:highlight w:val="none"/>
          <w:u w:val="single"/>
        </w:rPr>
        <w:t>0</w:t>
      </w:r>
      <w:r>
        <w:rPr>
          <w:rFonts w:hint="eastAsia"/>
          <w:color w:val="auto"/>
          <w:sz w:val="21"/>
          <w:szCs w:val="21"/>
          <w:highlight w:val="none"/>
          <w:u w:val="single"/>
        </w:rPr>
        <w:t> </w:t>
      </w:r>
      <w:r>
        <w:rPr>
          <w:rFonts w:hint="eastAsia"/>
          <w:color w:val="auto"/>
          <w:sz w:val="21"/>
          <w:szCs w:val="21"/>
          <w:highlight w:val="none"/>
        </w:rPr>
        <w:t>（北京时间）</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地点（网址）：</w:t>
      </w:r>
      <w:r>
        <w:rPr>
          <w:rFonts w:hint="eastAsia"/>
          <w:color w:val="auto"/>
          <w:sz w:val="21"/>
          <w:szCs w:val="21"/>
          <w:highlight w:val="none"/>
          <w:u w:val="single"/>
        </w:rPr>
        <w:t> </w:t>
      </w:r>
      <w:r>
        <w:rPr>
          <w:rStyle w:val="97"/>
          <w:rFonts w:hint="eastAsia"/>
          <w:color w:val="auto"/>
          <w:sz w:val="21"/>
          <w:szCs w:val="21"/>
          <w:highlight w:val="none"/>
          <w:u w:val="single"/>
        </w:rPr>
        <w:t>“政采云”平台电子投标</w:t>
      </w:r>
      <w:r>
        <w:rPr>
          <w:rFonts w:hint="eastAsia"/>
          <w:color w:val="auto"/>
          <w:sz w:val="21"/>
          <w:szCs w:val="21"/>
          <w:highlight w:val="none"/>
          <w:u w:val="single"/>
        </w:rPr>
        <w:t> </w:t>
      </w:r>
      <w:r>
        <w:rPr>
          <w:rFonts w:hint="eastAsia"/>
          <w:color w:val="auto"/>
          <w:sz w:val="21"/>
          <w:szCs w:val="21"/>
          <w:highlight w:val="none"/>
        </w:rPr>
        <w:t xml:space="preserve">   </w:t>
      </w:r>
    </w:p>
    <w:p>
      <w:pPr>
        <w:pStyle w:val="31"/>
        <w:shd w:val="clear"/>
        <w:spacing w:before="0" w:beforeAutospacing="0" w:after="0" w:afterAutospacing="0" w:line="400" w:lineRule="exact"/>
        <w:rPr>
          <w:rStyle w:val="45"/>
          <w:color w:val="auto"/>
          <w:sz w:val="21"/>
          <w:szCs w:val="21"/>
          <w:highlight w:val="none"/>
        </w:rPr>
      </w:pPr>
      <w:r>
        <w:rPr>
          <w:rStyle w:val="45"/>
          <w:rFonts w:hint="eastAsia"/>
          <w:color w:val="auto"/>
          <w:sz w:val="21"/>
          <w:szCs w:val="21"/>
          <w:highlight w:val="none"/>
        </w:rPr>
        <w:t>五、响应文件开启</w:t>
      </w:r>
    </w:p>
    <w:p>
      <w:pPr>
        <w:pStyle w:val="31"/>
        <w:shd w:val="clear"/>
        <w:spacing w:before="0" w:beforeAutospacing="0" w:after="0" w:afterAutospacing="0" w:line="400" w:lineRule="exact"/>
        <w:ind w:firstLine="630" w:firstLineChars="300"/>
        <w:rPr>
          <w:color w:val="auto"/>
          <w:sz w:val="21"/>
          <w:szCs w:val="21"/>
          <w:highlight w:val="none"/>
        </w:rPr>
      </w:pPr>
      <w:r>
        <w:rPr>
          <w:rFonts w:hint="eastAsia"/>
          <w:color w:val="auto"/>
          <w:sz w:val="21"/>
          <w:szCs w:val="21"/>
          <w:highlight w:val="none"/>
        </w:rPr>
        <w:t>开启时间：</w:t>
      </w:r>
      <w:r>
        <w:rPr>
          <w:rFonts w:hint="eastAsia"/>
          <w:color w:val="auto"/>
          <w:sz w:val="21"/>
          <w:szCs w:val="21"/>
          <w:highlight w:val="none"/>
          <w:u w:val="single"/>
        </w:rPr>
        <w:t> </w:t>
      </w:r>
      <w:r>
        <w:rPr>
          <w:rStyle w:val="97"/>
          <w:rFonts w:hint="eastAsia"/>
          <w:color w:val="auto"/>
          <w:sz w:val="21"/>
          <w:szCs w:val="21"/>
          <w:highlight w:val="none"/>
          <w:u w:val="single"/>
        </w:rPr>
        <w:t>202</w:t>
      </w:r>
      <w:r>
        <w:rPr>
          <w:rStyle w:val="97"/>
          <w:rFonts w:hint="eastAsia"/>
          <w:color w:val="auto"/>
          <w:sz w:val="21"/>
          <w:szCs w:val="21"/>
          <w:highlight w:val="none"/>
          <w:u w:val="single"/>
          <w:lang w:val="en-US" w:eastAsia="zh-CN"/>
        </w:rPr>
        <w:t>4</w:t>
      </w:r>
      <w:r>
        <w:rPr>
          <w:rStyle w:val="97"/>
          <w:rFonts w:hint="eastAsia"/>
          <w:color w:val="auto"/>
          <w:sz w:val="21"/>
          <w:szCs w:val="21"/>
          <w:highlight w:val="none"/>
          <w:u w:val="single"/>
        </w:rPr>
        <w:t>年</w:t>
      </w:r>
      <w:r>
        <w:rPr>
          <w:rStyle w:val="97"/>
          <w:rFonts w:hint="eastAsia"/>
          <w:color w:val="auto"/>
          <w:sz w:val="21"/>
          <w:szCs w:val="21"/>
          <w:highlight w:val="none"/>
          <w:u w:val="single"/>
          <w:lang w:val="en-US" w:eastAsia="zh-CN"/>
        </w:rPr>
        <w:t>5</w:t>
      </w:r>
      <w:r>
        <w:rPr>
          <w:rStyle w:val="97"/>
          <w:rFonts w:hint="eastAsia"/>
          <w:color w:val="auto"/>
          <w:sz w:val="21"/>
          <w:szCs w:val="21"/>
          <w:highlight w:val="none"/>
          <w:u w:val="single"/>
        </w:rPr>
        <w:t>月</w:t>
      </w:r>
      <w:r>
        <w:rPr>
          <w:rStyle w:val="97"/>
          <w:rFonts w:hint="eastAsia"/>
          <w:color w:val="auto"/>
          <w:sz w:val="21"/>
          <w:szCs w:val="21"/>
          <w:highlight w:val="none"/>
          <w:u w:val="single"/>
          <w:lang w:val="en-US" w:eastAsia="zh-CN"/>
        </w:rPr>
        <w:t>7</w:t>
      </w:r>
      <w:r>
        <w:rPr>
          <w:rStyle w:val="97"/>
          <w:rFonts w:hint="eastAsia"/>
          <w:color w:val="auto"/>
          <w:sz w:val="21"/>
          <w:szCs w:val="21"/>
          <w:highlight w:val="none"/>
          <w:u w:val="single"/>
        </w:rPr>
        <w:t>日</w:t>
      </w:r>
      <w:r>
        <w:rPr>
          <w:rStyle w:val="97"/>
          <w:rFonts w:hint="eastAsia"/>
          <w:color w:val="auto"/>
          <w:sz w:val="21"/>
          <w:szCs w:val="21"/>
          <w:highlight w:val="none"/>
          <w:u w:val="single"/>
          <w:lang w:val="en-US" w:eastAsia="zh-CN"/>
        </w:rPr>
        <w:t>9</w:t>
      </w:r>
      <w:r>
        <w:rPr>
          <w:rStyle w:val="97"/>
          <w:rFonts w:hint="eastAsia"/>
          <w:color w:val="auto"/>
          <w:sz w:val="21"/>
          <w:szCs w:val="21"/>
          <w:highlight w:val="none"/>
          <w:u w:val="single"/>
        </w:rPr>
        <w:t>:</w:t>
      </w:r>
      <w:r>
        <w:rPr>
          <w:rStyle w:val="97"/>
          <w:rFonts w:hint="eastAsia"/>
          <w:color w:val="auto"/>
          <w:sz w:val="21"/>
          <w:szCs w:val="21"/>
          <w:highlight w:val="none"/>
          <w:u w:val="single"/>
          <w:lang w:val="en-US" w:eastAsia="zh-CN"/>
        </w:rPr>
        <w:t>3</w:t>
      </w:r>
      <w:r>
        <w:rPr>
          <w:rStyle w:val="97"/>
          <w:rFonts w:hint="eastAsia"/>
          <w:color w:val="auto"/>
          <w:sz w:val="21"/>
          <w:szCs w:val="21"/>
          <w:highlight w:val="none"/>
          <w:u w:val="single"/>
        </w:rPr>
        <w:t>0</w:t>
      </w:r>
      <w:r>
        <w:rPr>
          <w:rFonts w:hint="eastAsia"/>
          <w:color w:val="auto"/>
          <w:sz w:val="21"/>
          <w:szCs w:val="21"/>
          <w:highlight w:val="none"/>
          <w:u w:val="single"/>
        </w:rPr>
        <w:t> </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地点（网址）：</w:t>
      </w:r>
      <w:r>
        <w:rPr>
          <w:rFonts w:hint="eastAsia" w:ascii="宋体" w:hAnsi="宋体" w:eastAsia="宋体" w:cs="宋体"/>
          <w:i w:val="0"/>
          <w:iCs w:val="0"/>
          <w:caps w:val="0"/>
          <w:color w:val="auto"/>
          <w:spacing w:val="0"/>
          <w:sz w:val="21"/>
          <w:szCs w:val="21"/>
          <w:highlight w:val="none"/>
          <w:shd w:val="clear" w:color="auto" w:fill="auto"/>
        </w:rPr>
        <w:t>嘉兴市明扬工程咨询有限公司</w:t>
      </w:r>
      <w:r>
        <w:rPr>
          <w:rFonts w:hint="eastAsia" w:cs="宋体"/>
          <w:i w:val="0"/>
          <w:iCs w:val="0"/>
          <w:caps w:val="0"/>
          <w:color w:val="auto"/>
          <w:spacing w:val="0"/>
          <w:sz w:val="21"/>
          <w:szCs w:val="21"/>
          <w:highlight w:val="none"/>
          <w:shd w:val="clear" w:color="auto" w:fill="auto"/>
          <w:lang w:eastAsia="zh-CN"/>
        </w:rPr>
        <w:t>会议室</w:t>
      </w:r>
      <w:r>
        <w:rPr>
          <w:rFonts w:hint="eastAsia" w:ascii="宋体" w:hAnsi="宋体" w:eastAsia="宋体" w:cs="宋体"/>
          <w:i w:val="0"/>
          <w:iCs w:val="0"/>
          <w:caps w:val="0"/>
          <w:color w:val="auto"/>
          <w:spacing w:val="0"/>
          <w:sz w:val="21"/>
          <w:szCs w:val="21"/>
          <w:highlight w:val="none"/>
          <w:shd w:val="clear" w:color="auto" w:fill="auto"/>
        </w:rPr>
        <w:t>（嘉兴市长水路116号百瑞大厦5楼）</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六、公告期限</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自本公告发布之日起3个工作日。</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七、其他补充事宜</w:t>
      </w:r>
    </w:p>
    <w:p>
      <w:pPr>
        <w:pStyle w:val="31"/>
        <w:shd w:val="clear"/>
        <w:spacing w:before="0" w:beforeAutospacing="0" w:after="0" w:afterAutospacing="0" w:line="400" w:lineRule="exact"/>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r>
        <w:rPr>
          <w:rFonts w:hint="eastAsia"/>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w:t>
      </w:r>
      <w:r>
        <w:rPr>
          <w:color w:val="auto"/>
          <w:sz w:val="21"/>
          <w:szCs w:val="21"/>
          <w:highlight w:val="none"/>
        </w:rPr>
        <w:t>浙江省财政厅关于进一步加大政府采购支持中小企业力度</w:t>
      </w:r>
      <w:r>
        <w:rPr>
          <w:rFonts w:hint="eastAsia"/>
          <w:color w:val="auto"/>
          <w:sz w:val="21"/>
          <w:szCs w:val="21"/>
          <w:highlight w:val="none"/>
        </w:rPr>
        <w:t xml:space="preserve"> </w:t>
      </w:r>
      <w:r>
        <w:rPr>
          <w:color w:val="auto"/>
          <w:sz w:val="21"/>
          <w:szCs w:val="21"/>
          <w:highlight w:val="none"/>
        </w:rPr>
        <w:t>助力扎实稳住经济的通知</w:t>
      </w:r>
      <w:r>
        <w:rPr>
          <w:rFonts w:hint="eastAsia"/>
          <w:color w:val="auto"/>
          <w:sz w:val="21"/>
          <w:szCs w:val="21"/>
          <w:highlight w:val="none"/>
        </w:rPr>
        <w:t>》（</w:t>
      </w:r>
      <w:r>
        <w:rPr>
          <w:color w:val="auto"/>
          <w:sz w:val="21"/>
          <w:szCs w:val="21"/>
          <w:highlight w:val="none"/>
        </w:rPr>
        <w:t>浙财采监〔2022〕8号</w:t>
      </w:r>
      <w:r>
        <w:rPr>
          <w:rFonts w:hint="eastAsia"/>
          <w:color w:val="auto"/>
          <w:sz w:val="21"/>
          <w:szCs w:val="21"/>
          <w:highlight w:val="none"/>
        </w:rPr>
        <w:t>）已分别于2022年1月29日、2022年2月1日和2022年7月1日开始实施，此前有关规定与上述文件内容不一致的，按上述文件要求执行。</w:t>
      </w:r>
    </w:p>
    <w:p>
      <w:pPr>
        <w:pStyle w:val="31"/>
        <w:shd w:val="clear"/>
        <w:spacing w:before="0" w:beforeAutospacing="0" w:after="0" w:afterAutospacing="0" w:line="400" w:lineRule="exact"/>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pPr>
        <w:pStyle w:val="31"/>
        <w:shd w:val="clear"/>
        <w:spacing w:before="0" w:beforeAutospacing="0" w:after="0" w:afterAutospacing="0" w:line="400" w:lineRule="exact"/>
        <w:ind w:firstLine="420" w:firstLineChars="200"/>
        <w:rPr>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3、供应商认为采购文件使自己的权益受到损害的，可以自获取采购文件之日或者采购文件公告期</w:t>
      </w:r>
      <w:r>
        <w:rPr>
          <w:rFonts w:hint="eastAsia"/>
          <w:color w:val="auto"/>
          <w:sz w:val="21"/>
          <w:szCs w:val="21"/>
          <w:highlight w:val="none"/>
        </w:rPr>
        <w:t>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hd w:val="clear"/>
        <w:spacing w:line="360" w:lineRule="exact"/>
        <w:ind w:firstLine="420" w:firstLineChars="200"/>
        <w:jc w:val="left"/>
        <w:rPr>
          <w:color w:val="auto"/>
          <w:szCs w:val="21"/>
          <w:highlight w:val="none"/>
        </w:rPr>
      </w:pPr>
      <w:r>
        <w:rPr>
          <w:rFonts w:hint="eastAsia"/>
          <w:color w:val="auto"/>
          <w:szCs w:val="21"/>
          <w:highlight w:val="none"/>
        </w:rPr>
        <w:t> </w:t>
      </w:r>
      <w:r>
        <w:rPr>
          <w:rFonts w:hint="eastAsia"/>
          <w:color w:val="auto"/>
          <w:szCs w:val="21"/>
          <w:highlight w:val="none"/>
          <w:lang w:val="en-US" w:eastAsia="zh-CN"/>
        </w:rPr>
        <w:t>4</w:t>
      </w:r>
      <w:r>
        <w:rPr>
          <w:rFonts w:hint="eastAsia"/>
          <w:color w:val="auto"/>
          <w:szCs w:val="21"/>
          <w:highlight w:val="none"/>
        </w:rPr>
        <w:t>、本采购项目，成交单位与采购人签订的政府采购合同适用于嘉兴市政府采购贷款政策，简称“政采贷”，具体内容可参阅政府采购贷款流程：</w:t>
      </w: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"http://www.jxzbtb.cn/zxfw/005012/20181016/7e541bf4-ad29-4286-ace8-d12c1b2c54fc.html%E3%80%82" </w:instrText>
      </w:r>
      <w:r>
        <w:rPr>
          <w:rFonts w:hint="eastAsia" w:ascii="宋体" w:hAnsi="宋体" w:cs="宋体"/>
          <w:color w:val="auto"/>
          <w:kern w:val="0"/>
          <w:szCs w:val="21"/>
          <w:highlight w:val="none"/>
        </w:rPr>
        <w:fldChar w:fldCharType="separate"/>
      </w:r>
      <w:r>
        <w:rPr>
          <w:rFonts w:hint="eastAsia" w:ascii="宋体" w:hAnsi="宋体" w:cs="宋体"/>
          <w:color w:val="auto"/>
          <w:kern w:val="0"/>
          <w:sz w:val="21"/>
          <w:szCs w:val="21"/>
          <w:highlight w:val="none"/>
        </w:rPr>
        <w:t>http://hn.jxzbtb.cn/zxfw/005012/20181016/7e541bf4-ad29-4286-ace8-d12c1b2c54fc.html</w:t>
      </w:r>
      <w:r>
        <w:rPr>
          <w:rStyle w:val="44"/>
          <w:rFonts w:hint="eastAsia" w:ascii="宋体" w:hAnsi="宋体" w:cs="宋体"/>
          <w:color w:val="auto"/>
          <w:kern w:val="0"/>
          <w:szCs w:val="21"/>
          <w:highlight w:val="none"/>
        </w:rPr>
        <w:fldChar w:fldCharType="end"/>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、投标说明：</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.１、本项目按照《浙江省财政厅关于印发浙江省政府采购项目电子交易管理暂行办法的通知》实行电子交易。</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.2、供应商注册</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.2.1、注册网址：</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浙江政府采购网：</w:t>
      </w:r>
      <w:r>
        <w:rPr>
          <w:color w:val="auto"/>
          <w:highlight w:val="none"/>
        </w:rPr>
        <w:fldChar w:fldCharType="begin"/>
      </w:r>
      <w:r>
        <w:rPr>
          <w:color w:val="auto"/>
          <w:highlight w:val="none"/>
        </w:rPr>
        <w:instrText xml:space="preserve"> HYPERLINK "https://middle.zcygov.cn/settle-front/" \l "/registry" </w:instrText>
      </w:r>
      <w:r>
        <w:rPr>
          <w:color w:val="auto"/>
          <w:highlight w:val="none"/>
        </w:rPr>
        <w:fldChar w:fldCharType="separate"/>
      </w:r>
      <w:r>
        <w:rPr>
          <w:rStyle w:val="52"/>
          <w:rFonts w:hint="eastAsia"/>
          <w:color w:val="auto"/>
          <w:sz w:val="21"/>
          <w:szCs w:val="21"/>
          <w:highlight w:val="none"/>
        </w:rPr>
        <w:t>https://middle.zcygov.cn/settle-front/#/registry</w:t>
      </w:r>
      <w:r>
        <w:rPr>
          <w:rStyle w:val="52"/>
          <w:rFonts w:hint="eastAsia"/>
          <w:color w:val="auto"/>
          <w:sz w:val="21"/>
          <w:szCs w:val="21"/>
          <w:highlight w:val="none"/>
        </w:rPr>
        <w:fldChar w:fldCharType="end"/>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.2.2、供应商按照《浙江省政府采购供应商注册和诚信管理暂行办法》要求执行。</w:t>
      </w:r>
    </w:p>
    <w:p>
      <w:pPr>
        <w:pStyle w:val="31"/>
        <w:shd w:val="clear"/>
        <w:spacing w:before="0" w:beforeAutospacing="0" w:after="0" w:afterAutospacing="0" w:line="400" w:lineRule="exact"/>
        <w:ind w:firstLine="420"/>
        <w:rPr>
          <w:rFonts w:hint="eastAsia"/>
          <w:color w:val="auto"/>
          <w:sz w:val="21"/>
          <w:szCs w:val="21"/>
          <w:highlight w:val="none"/>
        </w:rPr>
      </w:pP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磋商响应</w:t>
      </w:r>
      <w:r>
        <w:rPr>
          <w:rFonts w:hint="eastAsia"/>
          <w:color w:val="auto"/>
          <w:sz w:val="21"/>
          <w:szCs w:val="21"/>
          <w:highlight w:val="none"/>
        </w:rPr>
        <w:t>文件制作注意事项</w:t>
      </w:r>
    </w:p>
    <w:p>
      <w:pPr>
        <w:pStyle w:val="31"/>
        <w:shd w:val="clear"/>
        <w:spacing w:before="0" w:beforeAutospacing="0" w:after="0" w:afterAutospacing="0" w:line="400" w:lineRule="exact"/>
        <w:ind w:firstLine="420"/>
        <w:rPr>
          <w:rFonts w:hint="eastAsia" w:eastAsia="宋体"/>
          <w:color w:val="auto"/>
          <w:sz w:val="21"/>
          <w:szCs w:val="21"/>
          <w:highlight w:val="none"/>
          <w:lang w:eastAsia="zh-CN"/>
        </w:rPr>
      </w:pPr>
      <w:r>
        <w:rPr>
          <w:rFonts w:hint="eastAsia"/>
          <w:color w:val="auto"/>
          <w:sz w:val="21"/>
          <w:szCs w:val="21"/>
          <w:highlight w:val="none"/>
          <w:lang w:val="en-US" w:eastAsia="zh-CN"/>
        </w:rPr>
        <w:t>6</w:t>
      </w:r>
      <w:r>
        <w:rPr>
          <w:rFonts w:hint="eastAsia"/>
          <w:color w:val="auto"/>
          <w:sz w:val="21"/>
          <w:szCs w:val="21"/>
          <w:highlight w:val="none"/>
        </w:rPr>
        <w:t>.1供应商将政采云电子交易客户端下载、安装完成后，可通过账号密码或CA登录客户端进行</w:t>
      </w:r>
      <w:r>
        <w:rPr>
          <w:rFonts w:hint="eastAsia"/>
          <w:color w:val="auto"/>
          <w:sz w:val="21"/>
          <w:szCs w:val="21"/>
          <w:highlight w:val="none"/>
          <w:lang w:val="en-US" w:eastAsia="zh-CN"/>
        </w:rPr>
        <w:t>磋商响应</w:t>
      </w:r>
      <w:r>
        <w:rPr>
          <w:rFonts w:hint="eastAsia"/>
          <w:color w:val="auto"/>
          <w:sz w:val="21"/>
          <w:szCs w:val="21"/>
          <w:highlight w:val="none"/>
        </w:rPr>
        <w:t>文件制作。</w:t>
      </w:r>
    </w:p>
    <w:p>
      <w:pPr>
        <w:pStyle w:val="31"/>
        <w:shd w:val="clear"/>
        <w:spacing w:before="0" w:beforeAutospacing="0" w:after="0" w:afterAutospacing="0" w:line="400" w:lineRule="exact"/>
        <w:ind w:firstLine="420"/>
        <w:rPr>
          <w:rFonts w:hint="eastAsia"/>
          <w:color w:val="auto"/>
          <w:sz w:val="21"/>
          <w:szCs w:val="21"/>
          <w:highlight w:val="none"/>
        </w:rPr>
      </w:pPr>
      <w:r>
        <w:rPr>
          <w:rFonts w:hint="eastAsia"/>
          <w:color w:val="auto"/>
          <w:sz w:val="21"/>
          <w:szCs w:val="21"/>
          <w:highlight w:val="none"/>
        </w:rPr>
        <w:t>注：供应商先要申领CA，拿到CA后需要在政采云平台进行绑定，CA相关操作可参考《CA</w:t>
      </w:r>
      <w:r>
        <w:rPr>
          <w:rFonts w:hint="eastAsia"/>
          <w:color w:val="auto"/>
          <w:sz w:val="21"/>
          <w:szCs w:val="21"/>
          <w:highlight w:val="none"/>
          <w:lang w:val="en-US" w:eastAsia="zh-CN"/>
        </w:rPr>
        <w:t>证书办理</w:t>
      </w:r>
      <w:r>
        <w:rPr>
          <w:rFonts w:hint="eastAsia"/>
          <w:color w:val="auto"/>
          <w:sz w:val="21"/>
          <w:szCs w:val="21"/>
          <w:highlight w:val="none"/>
        </w:rPr>
        <w:t>操作指南》和《CA登录与绑定操作指南》。完成CA数字证书办理在资料齐全的情况下预计7个工作日左右，建议供应商获取</w:t>
      </w:r>
      <w:r>
        <w:rPr>
          <w:rFonts w:hint="eastAsia"/>
          <w:color w:val="auto"/>
          <w:sz w:val="21"/>
          <w:szCs w:val="21"/>
          <w:highlight w:val="none"/>
          <w:lang w:val="en-US" w:eastAsia="zh-CN"/>
        </w:rPr>
        <w:t>采购</w:t>
      </w:r>
      <w:r>
        <w:rPr>
          <w:rFonts w:hint="eastAsia"/>
          <w:color w:val="auto"/>
          <w:sz w:val="21"/>
          <w:szCs w:val="21"/>
          <w:highlight w:val="none"/>
        </w:rPr>
        <w:t>文件后立即办理。　　　</w:t>
      </w:r>
    </w:p>
    <w:p>
      <w:pPr>
        <w:pStyle w:val="31"/>
        <w:shd w:val="clear"/>
        <w:spacing w:before="0" w:beforeAutospacing="0" w:after="0" w:afterAutospacing="0" w:line="400" w:lineRule="exact"/>
        <w:ind w:firstLine="420"/>
        <w:rPr>
          <w:rFonts w:hint="eastAsia" w:eastAsia="宋体" w:cs="Times New Roman"/>
          <w:color w:val="auto"/>
          <w:sz w:val="21"/>
          <w:szCs w:val="21"/>
          <w:highlight w:val="none"/>
          <w:u w:val="single"/>
          <w:lang w:eastAsia="zh-CN"/>
        </w:rPr>
      </w:pPr>
      <w:r>
        <w:rPr>
          <w:rFonts w:hint="eastAsia"/>
          <w:color w:val="auto"/>
          <w:sz w:val="21"/>
          <w:szCs w:val="21"/>
          <w:highlight w:val="none"/>
          <w:lang w:val="en-US" w:eastAsia="zh-CN"/>
        </w:rPr>
        <w:t>6</w:t>
      </w:r>
      <w:r>
        <w:rPr>
          <w:rFonts w:hint="eastAsia"/>
          <w:color w:val="auto"/>
          <w:sz w:val="21"/>
          <w:szCs w:val="21"/>
          <w:highlight w:val="none"/>
        </w:rPr>
        <w:t>.2电子交易操作指南：</w:t>
      </w:r>
      <w:r>
        <w:rPr>
          <w:rFonts w:hint="eastAsia" w:eastAsia="宋体" w:cs="Times New Roman"/>
          <w:color w:val="auto"/>
          <w:sz w:val="21"/>
          <w:szCs w:val="21"/>
          <w:highlight w:val="none"/>
          <w:u w:val="single"/>
        </w:rPr>
        <w:t>https://service.zcygov.cn/#/knowledges/CW1EtGwBFdiHxlNd6I3m/6IMVAG0BFdiHxlNdQ8Na</w:t>
      </w:r>
    </w:p>
    <w:p>
      <w:pPr>
        <w:pStyle w:val="31"/>
        <w:shd w:val="clear"/>
        <w:spacing w:before="0" w:beforeAutospacing="0" w:after="0" w:afterAutospacing="0" w:line="400" w:lineRule="exact"/>
        <w:ind w:firstLine="420"/>
        <w:rPr>
          <w:rFonts w:hint="eastAsia" w:eastAsia="宋体"/>
          <w:color w:val="auto"/>
          <w:sz w:val="21"/>
          <w:szCs w:val="21"/>
          <w:highlight w:val="none"/>
          <w:u w:val="single"/>
          <w:lang w:eastAsia="zh-CN"/>
        </w:rPr>
      </w:pPr>
      <w:r>
        <w:rPr>
          <w:rFonts w:hint="eastAsia"/>
          <w:color w:val="auto"/>
          <w:sz w:val="21"/>
          <w:szCs w:val="21"/>
          <w:highlight w:val="none"/>
        </w:rPr>
        <w:t>《CA</w:t>
      </w:r>
      <w:r>
        <w:rPr>
          <w:rFonts w:hint="eastAsia"/>
          <w:color w:val="auto"/>
          <w:sz w:val="21"/>
          <w:szCs w:val="21"/>
          <w:highlight w:val="none"/>
          <w:lang w:val="en-US" w:eastAsia="zh-CN"/>
        </w:rPr>
        <w:t>证书办理</w:t>
      </w:r>
      <w:r>
        <w:rPr>
          <w:rFonts w:hint="eastAsia"/>
          <w:color w:val="auto"/>
          <w:sz w:val="21"/>
          <w:szCs w:val="21"/>
          <w:highlight w:val="none"/>
        </w:rPr>
        <w:t>操作指南》：</w:t>
      </w:r>
      <w:r>
        <w:rPr>
          <w:rFonts w:hint="eastAsia"/>
          <w:color w:val="auto"/>
          <w:sz w:val="21"/>
          <w:szCs w:val="21"/>
          <w:highlight w:val="none"/>
          <w:u w:val="single"/>
        </w:rPr>
        <w:t>https://service.zcygov.cn/#/knowledges/UgcbC3EBiyELHE-opz1b/lwV6GXABiyELHE-oVMj3</w:t>
      </w:r>
    </w:p>
    <w:p>
      <w:pPr>
        <w:pStyle w:val="31"/>
        <w:shd w:val="clear"/>
        <w:spacing w:before="0" w:beforeAutospacing="0" w:after="0" w:afterAutospacing="0" w:line="400" w:lineRule="exact"/>
        <w:ind w:firstLine="420"/>
        <w:rPr>
          <w:rFonts w:hint="eastAsia" w:eastAsia="宋体"/>
          <w:color w:val="auto"/>
          <w:sz w:val="21"/>
          <w:szCs w:val="21"/>
          <w:highlight w:val="none"/>
          <w:u w:val="single"/>
          <w:lang w:eastAsia="zh-CN"/>
        </w:rPr>
      </w:pPr>
      <w:r>
        <w:rPr>
          <w:rFonts w:hint="eastAsia"/>
          <w:color w:val="auto"/>
          <w:sz w:val="21"/>
          <w:szCs w:val="21"/>
          <w:highlight w:val="none"/>
        </w:rPr>
        <w:t>《CA登录与绑定操作指南》：</w:t>
      </w:r>
      <w:r>
        <w:rPr>
          <w:rFonts w:hint="eastAsia"/>
          <w:color w:val="auto"/>
          <w:sz w:val="21"/>
          <w:szCs w:val="21"/>
          <w:highlight w:val="none"/>
          <w:u w:val="single"/>
        </w:rPr>
        <w:t>https://service.zcygov.cn/#/knowledges/UgcbC3EBiyELHE-opz1b/GQcTNXEBiyELHE-oocEg</w:t>
      </w:r>
    </w:p>
    <w:p>
      <w:pPr>
        <w:pStyle w:val="31"/>
        <w:shd w:val="clear"/>
        <w:spacing w:before="0" w:beforeAutospacing="0" w:after="0" w:afterAutospacing="0" w:line="400" w:lineRule="exact"/>
        <w:ind w:firstLine="420"/>
        <w:rPr>
          <w:rFonts w:hint="eastAsia" w:eastAsia="宋体"/>
          <w:color w:val="auto"/>
          <w:sz w:val="21"/>
          <w:szCs w:val="21"/>
          <w:highlight w:val="none"/>
          <w:lang w:eastAsia="zh-CN"/>
        </w:rPr>
      </w:pPr>
      <w:r>
        <w:rPr>
          <w:rFonts w:hint="eastAsia"/>
          <w:color w:val="auto"/>
          <w:sz w:val="21"/>
          <w:szCs w:val="21"/>
          <w:highlight w:val="none"/>
        </w:rPr>
        <w:t>《CA驱动和申领流程》：</w:t>
      </w:r>
      <w:r>
        <w:rPr>
          <w:rFonts w:hint="eastAsia"/>
          <w:color w:val="auto"/>
          <w:sz w:val="21"/>
          <w:szCs w:val="21"/>
          <w:highlight w:val="none"/>
        </w:rPr>
        <w:fldChar w:fldCharType="begin"/>
      </w:r>
      <w:r>
        <w:rPr>
          <w:rFonts w:hint="eastAsia"/>
          <w:color w:val="auto"/>
          <w:sz w:val="21"/>
          <w:szCs w:val="21"/>
          <w:highlight w:val="none"/>
        </w:rPr>
        <w:instrText xml:space="preserve"> HYPERLINK "http://zfcg.czt.zj.gov.cn/bidClientTemplate/2019-05-27/12945.html" \t "_blank" </w:instrText>
      </w:r>
      <w:r>
        <w:rPr>
          <w:rFonts w:hint="eastAsia"/>
          <w:color w:val="auto"/>
          <w:sz w:val="21"/>
          <w:szCs w:val="21"/>
          <w:highlight w:val="none"/>
        </w:rPr>
        <w:fldChar w:fldCharType="separate"/>
      </w:r>
      <w:r>
        <w:rPr>
          <w:rStyle w:val="52"/>
          <w:rFonts w:hint="eastAsia" w:ascii="宋体" w:hAnsi="宋体" w:eastAsia="宋体"/>
          <w:color w:val="auto"/>
          <w:sz w:val="21"/>
          <w:szCs w:val="21"/>
          <w:highlight w:val="none"/>
        </w:rPr>
        <w:t>http://zfcg.czt.zj.gov.cn/bidClientTemplate/2019-05-27/12945.html</w:t>
      </w:r>
      <w:r>
        <w:rPr>
          <w:rFonts w:hint="eastAsia"/>
          <w:color w:val="auto"/>
          <w:sz w:val="21"/>
          <w:szCs w:val="21"/>
          <w:highlight w:val="none"/>
        </w:rPr>
        <w:fldChar w:fldCharType="end"/>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注：ＣＡ证书遗失补办、延期、解锁、质保等业务可以在联连客户端上进行操作；使用政采云投标客户端时，建议使用WIN7及以上操作系统。</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7</w:t>
      </w:r>
      <w:r>
        <w:rPr>
          <w:rFonts w:hint="eastAsia"/>
          <w:color w:val="auto"/>
          <w:sz w:val="21"/>
          <w:szCs w:val="21"/>
          <w:highlight w:val="none"/>
        </w:rPr>
        <w:t>、政采云咨询电话：</w:t>
      </w:r>
      <w:r>
        <w:rPr>
          <w:rFonts w:hint="eastAsia"/>
          <w:color w:val="auto"/>
          <w:sz w:val="21"/>
          <w:szCs w:val="21"/>
          <w:highlight w:val="none"/>
          <w:lang w:val="en-US" w:eastAsia="zh-CN"/>
        </w:rPr>
        <w:t>95763</w:t>
      </w:r>
      <w:r>
        <w:rPr>
          <w:rFonts w:hint="eastAsia"/>
          <w:color w:val="auto"/>
          <w:sz w:val="21"/>
          <w:szCs w:val="21"/>
          <w:highlight w:val="none"/>
        </w:rPr>
        <w:t>；</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rPr>
        <w:t>政采云平台服务中心：</w:t>
      </w:r>
      <w:r>
        <w:rPr>
          <w:color w:val="auto"/>
          <w:highlight w:val="none"/>
        </w:rPr>
        <w:fldChar w:fldCharType="begin"/>
      </w:r>
      <w:r>
        <w:rPr>
          <w:color w:val="auto"/>
          <w:highlight w:val="none"/>
        </w:rPr>
        <w:instrText xml:space="preserve"> HYPERLINK "https://service.zcygov.cn/" \l "/" \t "_blank" </w:instrText>
      </w:r>
      <w:r>
        <w:rPr>
          <w:color w:val="auto"/>
          <w:highlight w:val="none"/>
        </w:rPr>
        <w:fldChar w:fldCharType="separate"/>
      </w:r>
      <w:r>
        <w:rPr>
          <w:rStyle w:val="52"/>
          <w:rFonts w:hint="eastAsia"/>
          <w:color w:val="auto"/>
          <w:sz w:val="21"/>
          <w:szCs w:val="21"/>
          <w:highlight w:val="none"/>
        </w:rPr>
        <w:t>https://service.zcygov.cn/#/</w:t>
      </w:r>
      <w:r>
        <w:rPr>
          <w:rStyle w:val="52"/>
          <w:rFonts w:hint="eastAsia"/>
          <w:color w:val="auto"/>
          <w:sz w:val="21"/>
          <w:szCs w:val="21"/>
          <w:highlight w:val="none"/>
        </w:rPr>
        <w:fldChar w:fldCharType="end"/>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8</w:t>
      </w:r>
      <w:r>
        <w:rPr>
          <w:rFonts w:hint="eastAsia"/>
          <w:color w:val="auto"/>
          <w:sz w:val="21"/>
          <w:szCs w:val="21"/>
          <w:highlight w:val="none"/>
        </w:rPr>
        <w:t>、汇信（ＣＡ）客服电话：400-888-4636</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、磋商响应文件提交注意事项：</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 xml:space="preserve">.1、供应商进行电子投标应安装客户端软件，并按照采购文件和电子交易平台的要求编制并加密磋商响应文件。供应商未按规定加密的磋商响应文件，代理机构应当拒收。 </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.2、供应商应当在</w:t>
      </w:r>
      <w:r>
        <w:rPr>
          <w:rFonts w:hint="eastAsia"/>
          <w:color w:val="auto"/>
          <w:sz w:val="21"/>
          <w:szCs w:val="21"/>
          <w:highlight w:val="none"/>
          <w:lang w:val="en-US" w:eastAsia="zh-CN"/>
        </w:rPr>
        <w:t>磋商</w:t>
      </w:r>
      <w:r>
        <w:rPr>
          <w:rFonts w:hint="eastAsia"/>
          <w:color w:val="auto"/>
          <w:sz w:val="21"/>
          <w:szCs w:val="21"/>
          <w:highlight w:val="none"/>
        </w:rPr>
        <w:t xml:space="preserve">响应截止时间前完成磋商响应文件的传输提交，并可以补充、修改或者撤回磋商响应文件。补充或者修改磋商响应文件的，应当先行撤回原文件，补充、修改后重新传输提交。磋商响应截止时间前未完成传输的，视为撤回磋商响应文件。磋商响应截止时间后提交的磋商响应文件，视为无效。 </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3、为确保采购项目顺利实施，避免因解密失败导致供应商投标无效，供应商在电子交易平台传输提交磋商响应文件后，将政采云平台上最后生成的具备电子签章的备份电子磋商响应文件（文件后缀名为.bfbs）1份在</w:t>
      </w:r>
      <w:r>
        <w:rPr>
          <w:rFonts w:hint="eastAsia"/>
          <w:color w:val="auto"/>
          <w:sz w:val="21"/>
          <w:szCs w:val="21"/>
          <w:highlight w:val="none"/>
          <w:lang w:val="en-US" w:eastAsia="zh-CN"/>
        </w:rPr>
        <w:t>磋商</w:t>
      </w:r>
      <w:r>
        <w:rPr>
          <w:rFonts w:hint="eastAsia"/>
          <w:color w:val="auto"/>
          <w:sz w:val="21"/>
          <w:szCs w:val="21"/>
          <w:highlight w:val="none"/>
        </w:rPr>
        <w:t>响应截止时间前以电子邮件方式发送至采购代理机构联系人电子邮箱28509616@qq.com。 </w:t>
      </w:r>
    </w:p>
    <w:p>
      <w:pPr>
        <w:pStyle w:val="31"/>
        <w:shd w:val="clear"/>
        <w:spacing w:before="0" w:beforeAutospacing="0" w:after="0" w:afterAutospacing="0" w:line="400" w:lineRule="exact"/>
        <w:ind w:firstLine="420"/>
        <w:rPr>
          <w:color w:val="auto"/>
          <w:sz w:val="21"/>
          <w:szCs w:val="21"/>
          <w:highlight w:val="none"/>
        </w:rPr>
      </w:pPr>
      <w:r>
        <w:rPr>
          <w:rFonts w:hint="eastAsia"/>
          <w:color w:val="auto"/>
          <w:sz w:val="21"/>
          <w:szCs w:val="21"/>
          <w:highlight w:val="none"/>
          <w:lang w:val="en-US" w:eastAsia="zh-CN"/>
        </w:rPr>
        <w:t>9</w:t>
      </w:r>
      <w:r>
        <w:rPr>
          <w:rFonts w:hint="eastAsia"/>
          <w:color w:val="auto"/>
          <w:sz w:val="21"/>
          <w:szCs w:val="21"/>
          <w:highlight w:val="none"/>
        </w:rPr>
        <w:t>.4、备份电子磋商响应文件制作为非强制性，但如遇因供应商电子磋商响应文件解密失败等情况造成无效标，后果由供应商自负。　　　　　　　　　　　</w:t>
      </w:r>
    </w:p>
    <w:p>
      <w:pPr>
        <w:pStyle w:val="31"/>
        <w:shd w:val="clear"/>
        <w:spacing w:before="0" w:beforeAutospacing="0" w:after="0" w:afterAutospacing="0" w:line="400" w:lineRule="exact"/>
        <w:jc w:val="both"/>
        <w:rPr>
          <w:color w:val="auto"/>
          <w:sz w:val="21"/>
          <w:szCs w:val="21"/>
          <w:highlight w:val="none"/>
        </w:rPr>
      </w:pPr>
      <w:r>
        <w:rPr>
          <w:rStyle w:val="45"/>
          <w:rFonts w:hint="eastAsia"/>
          <w:color w:val="auto"/>
          <w:sz w:val="21"/>
          <w:szCs w:val="21"/>
          <w:highlight w:val="none"/>
        </w:rPr>
        <w:t>八、对本次招标提出询问、质疑、投诉，请按以下方式联系。</w:t>
      </w:r>
      <w:r>
        <w:rPr>
          <w:rFonts w:hint="eastAsia"/>
          <w:color w:val="auto"/>
          <w:sz w:val="21"/>
          <w:szCs w:val="21"/>
          <w:highlight w:val="none"/>
        </w:rPr>
        <w:t>　　　　　　　　　　　　</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1、采购人信息</w:t>
      </w:r>
    </w:p>
    <w:p>
      <w:pPr>
        <w:pStyle w:val="31"/>
        <w:shd w:val="clear"/>
        <w:spacing w:before="0" w:beforeAutospacing="0" w:after="0" w:afterAutospacing="0" w:line="400" w:lineRule="exact"/>
        <w:rPr>
          <w:rFonts w:hint="eastAsia" w:eastAsia="宋体"/>
          <w:color w:val="auto"/>
          <w:sz w:val="21"/>
          <w:szCs w:val="21"/>
          <w:highlight w:val="none"/>
          <w:lang w:eastAsia="zh-CN"/>
        </w:rPr>
      </w:pPr>
      <w:r>
        <w:rPr>
          <w:rFonts w:hint="eastAsia"/>
          <w:color w:val="auto"/>
          <w:sz w:val="21"/>
          <w:szCs w:val="21"/>
          <w:highlight w:val="none"/>
        </w:rPr>
        <w:t>    名    称：</w:t>
      </w:r>
      <w:r>
        <w:rPr>
          <w:rFonts w:hint="eastAsia"/>
          <w:color w:val="auto"/>
          <w:sz w:val="21"/>
          <w:szCs w:val="21"/>
          <w:highlight w:val="none"/>
          <w:lang w:eastAsia="zh-CN"/>
        </w:rPr>
        <w:t>嘉兴市杭嘉湖南排工程管理服务中心</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地    址：</w:t>
      </w:r>
      <w:r>
        <w:rPr>
          <w:rFonts w:hint="eastAsia" w:ascii="宋体" w:hAnsi="宋体" w:eastAsia="宋体" w:cs="宋体"/>
          <w:color w:val="auto"/>
          <w:sz w:val="21"/>
          <w:szCs w:val="21"/>
          <w:highlight w:val="none"/>
          <w:shd w:val="clear" w:color="auto" w:fill="auto"/>
          <w:lang w:val="en-US" w:eastAsia="zh-CN"/>
        </w:rPr>
        <w:t>浙江省嘉兴市吉水路303号</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传     真：/  　　</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项目联系人（询问）：</w:t>
      </w:r>
      <w:r>
        <w:rPr>
          <w:rFonts w:hint="eastAsia" w:ascii="宋体" w:hAnsi="宋体" w:eastAsia="宋体" w:cs="宋体"/>
          <w:color w:val="auto"/>
          <w:sz w:val="21"/>
          <w:szCs w:val="21"/>
          <w:highlight w:val="none"/>
          <w:shd w:val="clear" w:color="auto" w:fill="auto"/>
          <w:lang w:val="en-US" w:eastAsia="zh-CN"/>
        </w:rPr>
        <w:t>袁</w:t>
      </w:r>
      <w:r>
        <w:rPr>
          <w:rFonts w:hint="eastAsia" w:ascii="宋体" w:hAnsi="宋体" w:eastAsia="宋体" w:cs="宋体"/>
          <w:color w:val="auto"/>
          <w:sz w:val="21"/>
          <w:szCs w:val="21"/>
          <w:highlight w:val="none"/>
          <w:shd w:val="clear" w:color="auto" w:fill="auto"/>
        </w:rPr>
        <w:t>先生</w:t>
      </w:r>
      <w:r>
        <w:rPr>
          <w:rFonts w:hint="eastAsia" w:ascii="宋体" w:hAnsi="宋体" w:eastAsia="宋体" w:cs="宋体"/>
          <w:bCs w:val="0"/>
          <w:color w:val="auto"/>
          <w:sz w:val="21"/>
          <w:szCs w:val="21"/>
          <w:highlight w:val="none"/>
        </w:rPr>
        <w:t xml:space="preserve"> </w:t>
      </w:r>
      <w:r>
        <w:rPr>
          <w:rFonts w:hint="eastAsia"/>
          <w:color w:val="auto"/>
          <w:sz w:val="21"/>
          <w:szCs w:val="21"/>
          <w:highlight w:val="none"/>
        </w:rPr>
        <w:t xml:space="preserve">          </w:t>
      </w:r>
    </w:p>
    <w:p>
      <w:pPr>
        <w:pStyle w:val="31"/>
        <w:shd w:val="clear"/>
        <w:spacing w:before="0" w:beforeAutospacing="0" w:after="0" w:afterAutospacing="0" w:line="400" w:lineRule="exact"/>
        <w:rPr>
          <w:rFonts w:hint="eastAsia" w:ascii="宋体" w:hAnsi="宋体" w:eastAsia="宋体" w:cs="宋体"/>
          <w:color w:val="auto"/>
          <w:sz w:val="21"/>
          <w:szCs w:val="21"/>
          <w:highlight w:val="none"/>
          <w:lang w:eastAsia="zh-CN"/>
        </w:rPr>
      </w:pPr>
      <w:r>
        <w:rPr>
          <w:rFonts w:hint="eastAsia"/>
          <w:color w:val="auto"/>
          <w:sz w:val="21"/>
          <w:szCs w:val="21"/>
          <w:highlight w:val="none"/>
        </w:rPr>
        <w:t>    项目联系方式（询问）：</w:t>
      </w:r>
      <w:r>
        <w:rPr>
          <w:rFonts w:hint="eastAsia" w:ascii="宋体" w:hAnsi="宋体" w:eastAsia="宋体" w:cs="宋体"/>
          <w:color w:val="auto"/>
          <w:sz w:val="21"/>
          <w:szCs w:val="21"/>
          <w:highlight w:val="none"/>
          <w:shd w:val="clear" w:color="auto" w:fill="auto"/>
        </w:rPr>
        <w:t>0573-86513286</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质疑联系人</w:t>
      </w:r>
      <w:r>
        <w:rPr>
          <w:rFonts w:hint="eastAsia"/>
          <w:color w:val="auto"/>
          <w:sz w:val="21"/>
          <w:szCs w:val="21"/>
          <w:highlight w:val="none"/>
          <w:lang w:eastAsia="zh-CN"/>
        </w:rPr>
        <w:t>：</w:t>
      </w:r>
      <w:r>
        <w:rPr>
          <w:rFonts w:hint="eastAsia" w:ascii="宋体" w:hAnsi="宋体" w:eastAsia="宋体" w:cs="宋体"/>
          <w:color w:val="auto"/>
          <w:sz w:val="21"/>
          <w:szCs w:val="21"/>
          <w:highlight w:val="none"/>
          <w:shd w:val="clear" w:color="auto" w:fill="auto"/>
          <w:lang w:val="en-US" w:eastAsia="zh-CN"/>
        </w:rPr>
        <w:t>姚工</w:t>
      </w:r>
      <w:r>
        <w:rPr>
          <w:rFonts w:hint="eastAsia"/>
          <w:color w:val="auto"/>
          <w:sz w:val="21"/>
          <w:szCs w:val="21"/>
          <w:highlight w:val="none"/>
        </w:rPr>
        <w:t xml:space="preserve"> </w:t>
      </w:r>
    </w:p>
    <w:p>
      <w:pPr>
        <w:pStyle w:val="31"/>
        <w:shd w:val="clear"/>
        <w:spacing w:before="0" w:beforeAutospacing="0" w:after="0" w:afterAutospacing="0" w:line="400" w:lineRule="exact"/>
        <w:rPr>
          <w:rFonts w:hint="default" w:ascii="宋体" w:hAnsi="宋体" w:eastAsia="宋体" w:cs="宋体"/>
          <w:color w:val="auto"/>
          <w:sz w:val="21"/>
          <w:szCs w:val="21"/>
          <w:highlight w:val="none"/>
          <w:lang w:val="en-US" w:eastAsia="zh-CN"/>
        </w:rPr>
      </w:pPr>
      <w:r>
        <w:rPr>
          <w:rFonts w:hint="eastAsia"/>
          <w:color w:val="auto"/>
          <w:sz w:val="21"/>
          <w:szCs w:val="21"/>
          <w:highlight w:val="none"/>
        </w:rPr>
        <w:t>    质疑联系方式：</w:t>
      </w:r>
      <w:r>
        <w:rPr>
          <w:rFonts w:hint="eastAsia" w:ascii="宋体" w:hAnsi="宋体" w:eastAsia="宋体" w:cs="宋体"/>
          <w:color w:val="auto"/>
          <w:sz w:val="21"/>
          <w:szCs w:val="21"/>
          <w:highlight w:val="none"/>
          <w:shd w:val="clear" w:color="auto" w:fill="auto"/>
        </w:rPr>
        <w:t>0573-820</w:t>
      </w:r>
      <w:r>
        <w:rPr>
          <w:rFonts w:hint="eastAsia" w:ascii="宋体" w:hAnsi="宋体" w:eastAsia="宋体" w:cs="宋体"/>
          <w:color w:val="auto"/>
          <w:sz w:val="21"/>
          <w:szCs w:val="21"/>
          <w:highlight w:val="none"/>
          <w:shd w:val="clear" w:color="auto" w:fill="auto"/>
          <w:lang w:val="en-US" w:eastAsia="zh-CN"/>
        </w:rPr>
        <w:t>67683</w:t>
      </w:r>
    </w:p>
    <w:p>
      <w:pPr>
        <w:pStyle w:val="31"/>
        <w:shd w:val="clear"/>
        <w:spacing w:before="0" w:beforeAutospacing="0" w:after="0" w:afterAutospacing="0" w:line="400" w:lineRule="exact"/>
        <w:rPr>
          <w:rFonts w:hint="eastAsia"/>
          <w:color w:val="auto"/>
          <w:sz w:val="21"/>
          <w:szCs w:val="21"/>
          <w:highlight w:val="none"/>
        </w:rPr>
      </w:pPr>
      <w:r>
        <w:rPr>
          <w:rFonts w:hint="eastAsia"/>
          <w:color w:val="auto"/>
          <w:sz w:val="21"/>
          <w:szCs w:val="21"/>
          <w:highlight w:val="none"/>
        </w:rPr>
        <w:t>    2、采购代理机构信息</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名    称：嘉兴市明扬工程咨询有限公司</w:t>
      </w:r>
    </w:p>
    <w:p>
      <w:pPr>
        <w:pStyle w:val="31"/>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地    址：浙江省嘉兴市长水路116号百瑞大厦5</w:t>
      </w:r>
      <w:r>
        <w:rPr>
          <w:rFonts w:hint="eastAsia"/>
          <w:color w:val="auto"/>
          <w:szCs w:val="21"/>
          <w:highlight w:val="none"/>
        </w:rPr>
        <w:t>楼</w:t>
      </w:r>
      <w:r>
        <w:rPr>
          <w:rFonts w:hint="eastAsia"/>
          <w:color w:val="auto"/>
          <w:sz w:val="21"/>
          <w:szCs w:val="21"/>
          <w:highlight w:val="none"/>
        </w:rPr>
        <w:t xml:space="preserve">    </w:t>
      </w:r>
    </w:p>
    <w:p>
      <w:pPr>
        <w:pStyle w:val="31"/>
        <w:shd w:val="clear"/>
        <w:spacing w:before="0" w:beforeAutospacing="0" w:after="0" w:afterAutospacing="0" w:line="400" w:lineRule="exact"/>
        <w:ind w:firstLine="630"/>
        <w:rPr>
          <w:color w:val="auto"/>
          <w:sz w:val="21"/>
          <w:szCs w:val="21"/>
          <w:highlight w:val="none"/>
        </w:rPr>
      </w:pPr>
      <w:r>
        <w:rPr>
          <w:rFonts w:hint="eastAsia"/>
          <w:color w:val="auto"/>
          <w:sz w:val="21"/>
          <w:szCs w:val="21"/>
          <w:highlight w:val="none"/>
        </w:rPr>
        <w:t>传     真：0573-89997908</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项目联系人（询问）：</w:t>
      </w:r>
      <w:r>
        <w:rPr>
          <w:rStyle w:val="97"/>
          <w:rFonts w:hint="eastAsia"/>
          <w:color w:val="auto"/>
          <w:sz w:val="21"/>
          <w:szCs w:val="21"/>
          <w:highlight w:val="none"/>
        </w:rPr>
        <w:t>李闽</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项目联系方式（询问）：</w:t>
      </w:r>
      <w:r>
        <w:rPr>
          <w:rStyle w:val="97"/>
          <w:rFonts w:hint="eastAsia"/>
          <w:color w:val="auto"/>
          <w:sz w:val="21"/>
          <w:szCs w:val="21"/>
          <w:highlight w:val="none"/>
        </w:rPr>
        <w:t>0573-89997908</w:t>
      </w:r>
      <w:r>
        <w:rPr>
          <w:rFonts w:hint="eastAsia"/>
          <w:color w:val="auto"/>
          <w:sz w:val="21"/>
          <w:szCs w:val="21"/>
          <w:highlight w:val="none"/>
        </w:rPr>
        <w:t>  13757337675</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质疑联系人：</w:t>
      </w:r>
      <w:r>
        <w:rPr>
          <w:rStyle w:val="97"/>
          <w:rFonts w:hint="eastAsia"/>
          <w:color w:val="auto"/>
          <w:sz w:val="21"/>
          <w:szCs w:val="21"/>
          <w:highlight w:val="none"/>
        </w:rPr>
        <w:t>诸菊妹</w:t>
      </w:r>
      <w:r>
        <w:rPr>
          <w:rFonts w:hint="eastAsia"/>
          <w:color w:val="auto"/>
          <w:sz w:val="21"/>
          <w:szCs w:val="21"/>
          <w:highlight w:val="none"/>
        </w:rPr>
        <w:t> </w:t>
      </w:r>
    </w:p>
    <w:p>
      <w:pPr>
        <w:pStyle w:val="31"/>
        <w:shd w:val="clear"/>
        <w:spacing w:before="0" w:beforeAutospacing="0" w:after="0" w:afterAutospacing="0" w:line="400" w:lineRule="exact"/>
        <w:rPr>
          <w:rStyle w:val="97"/>
          <w:rFonts w:hint="eastAsia" w:eastAsia="宋体"/>
          <w:color w:val="auto"/>
          <w:sz w:val="21"/>
          <w:szCs w:val="21"/>
          <w:highlight w:val="none"/>
          <w:lang w:eastAsia="zh-CN"/>
        </w:rPr>
      </w:pPr>
      <w:r>
        <w:rPr>
          <w:rFonts w:hint="eastAsia"/>
          <w:color w:val="auto"/>
          <w:sz w:val="21"/>
          <w:szCs w:val="21"/>
          <w:highlight w:val="none"/>
        </w:rPr>
        <w:t>    质疑联系方式：</w:t>
      </w:r>
      <w:r>
        <w:rPr>
          <w:rStyle w:val="97"/>
          <w:rFonts w:hint="eastAsia"/>
          <w:color w:val="auto"/>
          <w:sz w:val="21"/>
          <w:szCs w:val="21"/>
          <w:highlight w:val="none"/>
        </w:rPr>
        <w:t>0573-89997908  15858362909</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3、同级政府采购监督管理部门</w:t>
      </w:r>
    </w:p>
    <w:p>
      <w:pPr>
        <w:pStyle w:val="31"/>
        <w:shd w:val="clear"/>
        <w:spacing w:before="0" w:beforeAutospacing="0" w:after="0" w:afterAutospacing="0" w:line="400" w:lineRule="exact"/>
        <w:rPr>
          <w:rFonts w:hint="eastAsia" w:eastAsia="宋体"/>
          <w:color w:val="auto"/>
          <w:sz w:val="21"/>
          <w:szCs w:val="21"/>
          <w:highlight w:val="none"/>
          <w:lang w:eastAsia="zh-CN"/>
        </w:rPr>
      </w:pPr>
      <w:r>
        <w:rPr>
          <w:rFonts w:hint="eastAsia"/>
          <w:color w:val="auto"/>
          <w:sz w:val="21"/>
          <w:szCs w:val="21"/>
          <w:highlight w:val="none"/>
        </w:rPr>
        <w:t>    名    称：</w:t>
      </w:r>
      <w:r>
        <w:rPr>
          <w:rFonts w:hint="eastAsia"/>
          <w:color w:val="auto"/>
          <w:sz w:val="21"/>
          <w:szCs w:val="21"/>
          <w:highlight w:val="none"/>
          <w:lang w:eastAsia="zh-CN"/>
        </w:rPr>
        <w:t>嘉兴市财政局</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地    址：</w:t>
      </w:r>
      <w:r>
        <w:rPr>
          <w:rFonts w:hint="eastAsia" w:ascii="宋体" w:hAnsi="宋体" w:cs="宋体"/>
          <w:color w:val="auto"/>
          <w:sz w:val="21"/>
          <w:szCs w:val="21"/>
          <w:highlight w:val="none"/>
        </w:rPr>
        <w:t>浙江省嘉兴市南湖区环城西路55号</w:t>
      </w:r>
      <w:r>
        <w:rPr>
          <w:rFonts w:hint="eastAsia"/>
          <w:color w:val="auto"/>
          <w:sz w:val="21"/>
          <w:szCs w:val="21"/>
          <w:highlight w:val="none"/>
        </w:rPr>
        <w:t>　　</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传     真：/ 　   </w:t>
      </w:r>
    </w:p>
    <w:p>
      <w:pPr>
        <w:pStyle w:val="31"/>
        <w:shd w:val="clear"/>
        <w:spacing w:before="0" w:beforeAutospacing="0" w:after="0" w:afterAutospacing="0" w:line="400" w:lineRule="exact"/>
        <w:rPr>
          <w:color w:val="auto"/>
          <w:sz w:val="21"/>
          <w:szCs w:val="21"/>
          <w:highlight w:val="none"/>
        </w:rPr>
      </w:pPr>
      <w:r>
        <w:rPr>
          <w:rFonts w:hint="eastAsia"/>
          <w:color w:val="auto"/>
          <w:sz w:val="21"/>
          <w:szCs w:val="21"/>
          <w:highlight w:val="none"/>
        </w:rPr>
        <w:t>    联   系  人：</w:t>
      </w:r>
      <w:r>
        <w:rPr>
          <w:rFonts w:hint="eastAsia"/>
          <w:color w:val="auto"/>
          <w:sz w:val="21"/>
          <w:szCs w:val="21"/>
          <w:highlight w:val="none"/>
          <w:lang w:val="en-US" w:eastAsia="zh-CN"/>
        </w:rPr>
        <w:t>姚</w:t>
      </w:r>
      <w:r>
        <w:rPr>
          <w:rFonts w:hint="eastAsia"/>
          <w:color w:val="auto"/>
          <w:sz w:val="21"/>
          <w:szCs w:val="21"/>
          <w:highlight w:val="none"/>
        </w:rPr>
        <w:t>先生</w:t>
      </w:r>
    </w:p>
    <w:p>
      <w:pPr>
        <w:pStyle w:val="31"/>
        <w:shd w:val="clear"/>
        <w:spacing w:before="0" w:beforeAutospacing="0" w:after="0" w:afterAutospacing="0" w:line="400" w:lineRule="exact"/>
        <w:rPr>
          <w:rFonts w:hint="default" w:eastAsia="宋体"/>
          <w:color w:val="auto"/>
          <w:sz w:val="21"/>
          <w:szCs w:val="21"/>
          <w:highlight w:val="none"/>
          <w:lang w:val="en-US" w:eastAsia="zh-CN"/>
        </w:rPr>
      </w:pPr>
      <w:r>
        <w:rPr>
          <w:rFonts w:hint="eastAsia"/>
          <w:color w:val="auto"/>
          <w:sz w:val="21"/>
          <w:szCs w:val="21"/>
          <w:highlight w:val="none"/>
        </w:rPr>
        <w:t xml:space="preserve">      监督投诉电话：0573-82</w:t>
      </w:r>
      <w:r>
        <w:rPr>
          <w:rFonts w:hint="eastAsia"/>
          <w:color w:val="auto"/>
          <w:sz w:val="21"/>
          <w:szCs w:val="21"/>
          <w:highlight w:val="none"/>
          <w:lang w:val="en-US" w:eastAsia="zh-CN"/>
        </w:rPr>
        <w:t>031217</w:t>
      </w:r>
    </w:p>
    <w:p>
      <w:pPr>
        <w:pStyle w:val="16"/>
        <w:shd w:val="clear"/>
        <w:spacing w:before="156" w:beforeLines="50" w:after="156" w:afterLines="50" w:line="400" w:lineRule="exact"/>
        <w:jc w:val="center"/>
        <w:outlineLvl w:val="0"/>
        <w:rPr>
          <w:rFonts w:hAnsi="宋体"/>
          <w:b/>
          <w:color w:val="auto"/>
          <w:sz w:val="32"/>
          <w:szCs w:val="32"/>
          <w:highlight w:val="none"/>
        </w:rPr>
      </w:pPr>
      <w:bookmarkStart w:id="8" w:name="_Toc12831"/>
      <w:bookmarkStart w:id="9" w:name="_Toc31674"/>
      <w:bookmarkStart w:id="10" w:name="_Toc21624"/>
      <w:bookmarkStart w:id="11" w:name="_Toc15970"/>
      <w:bookmarkStart w:id="12" w:name="_Toc25780"/>
      <w:bookmarkStart w:id="13" w:name="_Toc192313099"/>
      <w:bookmarkStart w:id="14" w:name="_Toc9536"/>
      <w:bookmarkStart w:id="15" w:name="_Toc10350"/>
      <w:bookmarkStart w:id="16" w:name="_Toc32194"/>
      <w:r>
        <w:rPr>
          <w:rFonts w:hint="eastAsia" w:hAnsi="宋体"/>
          <w:b/>
          <w:color w:val="auto"/>
          <w:sz w:val="32"/>
          <w:szCs w:val="32"/>
          <w:highlight w:val="none"/>
        </w:rPr>
        <w:t>第二章  供应商须知</w:t>
      </w:r>
      <w:bookmarkEnd w:id="8"/>
      <w:bookmarkEnd w:id="9"/>
      <w:bookmarkEnd w:id="10"/>
      <w:bookmarkEnd w:id="11"/>
      <w:bookmarkEnd w:id="12"/>
      <w:bookmarkEnd w:id="13"/>
      <w:bookmarkEnd w:id="14"/>
      <w:bookmarkEnd w:id="15"/>
      <w:bookmarkEnd w:id="16"/>
    </w:p>
    <w:p>
      <w:pPr>
        <w:shd w:val="clear"/>
        <w:spacing w:line="360" w:lineRule="auto"/>
        <w:ind w:firstLine="281" w:firstLineChars="100"/>
        <w:jc w:val="center"/>
        <w:rPr>
          <w:rFonts w:ascii="宋体" w:hAnsi="宋体"/>
          <w:b/>
          <w:bCs/>
          <w:color w:val="auto"/>
          <w:sz w:val="28"/>
          <w:szCs w:val="28"/>
          <w:highlight w:val="none"/>
        </w:rPr>
      </w:pPr>
      <w:bookmarkStart w:id="17" w:name="_Toc22379"/>
      <w:bookmarkStart w:id="18" w:name="_Toc192313100"/>
      <w:bookmarkStart w:id="19" w:name="_Toc7639"/>
      <w:bookmarkStart w:id="20" w:name="_Toc3827"/>
      <w:bookmarkStart w:id="21" w:name="_Toc26887"/>
      <w:bookmarkStart w:id="22" w:name="_Toc24701"/>
      <w:bookmarkStart w:id="23" w:name="_Toc10659"/>
      <w:bookmarkStart w:id="24" w:name="_Toc15660"/>
      <w:bookmarkStart w:id="25" w:name="_Toc14716"/>
      <w:r>
        <w:rPr>
          <w:rFonts w:hint="eastAsia" w:ascii="宋体" w:hAnsi="宋体"/>
          <w:b/>
          <w:bCs/>
          <w:color w:val="auto"/>
          <w:sz w:val="28"/>
          <w:szCs w:val="28"/>
          <w:highlight w:val="none"/>
        </w:rPr>
        <w:t>电子交易注意事项</w:t>
      </w:r>
    </w:p>
    <w:p>
      <w:pPr>
        <w:shd w:val="clear"/>
        <w:spacing w:line="360" w:lineRule="auto"/>
        <w:ind w:firstLine="211" w:firstLineChars="100"/>
        <w:jc w:val="left"/>
        <w:rPr>
          <w:rFonts w:ascii="宋体" w:hAnsi="宋体" w:cs="宋体"/>
          <w:color w:val="auto"/>
          <w:sz w:val="24"/>
          <w:highlight w:val="none"/>
          <w:shd w:val="clear" w:color="auto" w:fill="FFFFFF"/>
        </w:rPr>
      </w:pPr>
      <w:r>
        <w:rPr>
          <w:rFonts w:hint="eastAsia" w:ascii="宋体" w:hAnsi="宋体" w:cs="宋体"/>
          <w:b/>
          <w:bCs/>
          <w:color w:val="auto"/>
          <w:szCs w:val="21"/>
          <w:highlight w:val="none"/>
          <w:shd w:val="clear" w:color="auto" w:fill="FFFFFF"/>
        </w:rPr>
        <w:t>　</w:t>
      </w:r>
      <w:r>
        <w:rPr>
          <w:rFonts w:hint="eastAsia" w:ascii="宋体" w:hAnsi="宋体" w:cs="宋体"/>
          <w:color w:val="auto"/>
          <w:sz w:val="24"/>
          <w:highlight w:val="none"/>
          <w:shd w:val="clear" w:color="auto" w:fill="FFFFFF"/>
        </w:rPr>
        <w:t>政府采购项目电子交易活动适用《浙江省政府采购项目电子交易管理暂行办法》，现将相关注意事项告知如下：</w:t>
      </w:r>
    </w:p>
    <w:p>
      <w:pPr>
        <w:shd w:val="clear"/>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　1.采购</w:t>
      </w:r>
      <w:r>
        <w:rPr>
          <w:rFonts w:ascii="宋体" w:hAnsi="宋体" w:cs="宋体"/>
          <w:color w:val="auto"/>
          <w:sz w:val="24"/>
          <w:highlight w:val="none"/>
        </w:rPr>
        <w:t>代理</w:t>
      </w:r>
      <w:r>
        <w:rPr>
          <w:rFonts w:hint="eastAsia" w:ascii="宋体" w:hAnsi="宋体" w:cs="宋体"/>
          <w:color w:val="auto"/>
          <w:sz w:val="24"/>
          <w:highlight w:val="none"/>
        </w:rPr>
        <w:t>机构按照</w:t>
      </w:r>
      <w:r>
        <w:rPr>
          <w:rFonts w:hint="eastAsia" w:ascii="宋体" w:hAnsi="宋体" w:cs="宋体"/>
          <w:color w:val="auto"/>
          <w:sz w:val="24"/>
          <w:highlight w:val="none"/>
          <w:lang w:eastAsia="zh-CN"/>
        </w:rPr>
        <w:t>竞争性磋商文件</w:t>
      </w:r>
      <w:r>
        <w:rPr>
          <w:rFonts w:hint="eastAsia" w:ascii="宋体" w:hAnsi="宋体" w:cs="宋体"/>
          <w:color w:val="auto"/>
          <w:sz w:val="24"/>
          <w:highlight w:val="none"/>
        </w:rPr>
        <w:t>规定的时间通过电子交易平台组织开标、开启电子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文件，所有供应商均应当准时在线参加，直至评审结束。</w:t>
      </w:r>
    </w:p>
    <w:p>
      <w:pPr>
        <w:pStyle w:val="31"/>
        <w:shd w:val="clear"/>
        <w:spacing w:beforeAutospacing="0" w:afterAutospacing="0" w:line="360" w:lineRule="auto"/>
        <w:ind w:firstLine="240" w:firstLineChars="100"/>
        <w:rPr>
          <w:color w:val="auto"/>
          <w:kern w:val="2"/>
          <w:highlight w:val="none"/>
        </w:rPr>
      </w:pPr>
      <w:r>
        <w:rPr>
          <w:rFonts w:hint="eastAsia"/>
          <w:color w:val="auto"/>
          <w:kern w:val="2"/>
          <w:highlight w:val="none"/>
        </w:rPr>
        <w:t>　2. 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未按时解密，供应商如提供备份电子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的，以符合要求的备份电子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作为依据，否则视为</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撤回。电子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已按时解密的，备份电子</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kern w:val="2"/>
          <w:highlight w:val="none"/>
        </w:rPr>
        <w:t>自动失效。</w:t>
      </w:r>
    </w:p>
    <w:p>
      <w:pPr>
        <w:pStyle w:val="31"/>
        <w:shd w:val="clear"/>
        <w:spacing w:beforeAutospacing="0" w:afterAutospacing="0" w:line="360" w:lineRule="auto"/>
        <w:ind w:firstLine="240" w:firstLineChars="100"/>
        <w:rPr>
          <w:color w:val="auto"/>
          <w:kern w:val="2"/>
          <w:highlight w:val="none"/>
        </w:rPr>
      </w:pPr>
      <w:r>
        <w:rPr>
          <w:rFonts w:hint="eastAsia"/>
          <w:color w:val="auto"/>
          <w:kern w:val="2"/>
          <w:highlight w:val="none"/>
        </w:rPr>
        <w:t>　3. 采购过程中出现以下情形，导致电子交易平台无法正常运行，或者无法保证电子交易的公平、公正和安全时，采购代理机构可中止电子交易活动：</w:t>
      </w:r>
    </w:p>
    <w:p>
      <w:pPr>
        <w:pStyle w:val="31"/>
        <w:shd w:val="clear"/>
        <w:spacing w:beforeAutospacing="0" w:afterAutospacing="0" w:line="360" w:lineRule="auto"/>
        <w:ind w:firstLine="645"/>
        <w:rPr>
          <w:color w:val="auto"/>
          <w:kern w:val="2"/>
          <w:highlight w:val="none"/>
        </w:rPr>
      </w:pPr>
      <w:r>
        <w:rPr>
          <w:rFonts w:hint="eastAsia"/>
          <w:color w:val="auto"/>
          <w:kern w:val="2"/>
          <w:highlight w:val="none"/>
        </w:rPr>
        <w:t>（一）电子交易平台发生故障而无法登录访问的； </w:t>
      </w:r>
    </w:p>
    <w:p>
      <w:pPr>
        <w:pStyle w:val="31"/>
        <w:shd w:val="clear"/>
        <w:spacing w:beforeAutospacing="0" w:afterAutospacing="0" w:line="360" w:lineRule="auto"/>
        <w:ind w:firstLine="645"/>
        <w:rPr>
          <w:color w:val="auto"/>
          <w:kern w:val="2"/>
          <w:highlight w:val="none"/>
        </w:rPr>
      </w:pPr>
      <w:r>
        <w:rPr>
          <w:rFonts w:hint="eastAsia"/>
          <w:color w:val="auto"/>
          <w:kern w:val="2"/>
          <w:highlight w:val="none"/>
        </w:rPr>
        <w:t>（二）电子交易平台应用或数据库出现错误，不能进行正常操作的；</w:t>
      </w:r>
    </w:p>
    <w:p>
      <w:pPr>
        <w:pStyle w:val="31"/>
        <w:shd w:val="clear"/>
        <w:spacing w:beforeAutospacing="0" w:afterAutospacing="0" w:line="360" w:lineRule="auto"/>
        <w:ind w:firstLine="645"/>
        <w:rPr>
          <w:color w:val="auto"/>
          <w:kern w:val="2"/>
          <w:highlight w:val="none"/>
        </w:rPr>
      </w:pPr>
      <w:r>
        <w:rPr>
          <w:rFonts w:hint="eastAsia"/>
          <w:color w:val="auto"/>
          <w:kern w:val="2"/>
          <w:highlight w:val="none"/>
        </w:rPr>
        <w:t>（三）电子交易平台发现严重安全漏洞，有潜在泄密危险的；</w:t>
      </w:r>
    </w:p>
    <w:p>
      <w:pPr>
        <w:pStyle w:val="31"/>
        <w:shd w:val="clear"/>
        <w:spacing w:beforeAutospacing="0" w:afterAutospacing="0" w:line="360" w:lineRule="auto"/>
        <w:ind w:firstLine="645"/>
        <w:rPr>
          <w:color w:val="auto"/>
          <w:kern w:val="2"/>
          <w:highlight w:val="none"/>
        </w:rPr>
      </w:pPr>
      <w:r>
        <w:rPr>
          <w:rFonts w:hint="eastAsia"/>
          <w:color w:val="auto"/>
          <w:kern w:val="2"/>
          <w:highlight w:val="none"/>
        </w:rPr>
        <w:t>（四）病毒发作导致不能进行正常操作的； </w:t>
      </w:r>
    </w:p>
    <w:p>
      <w:pPr>
        <w:pStyle w:val="31"/>
        <w:shd w:val="clear"/>
        <w:spacing w:beforeAutospacing="0" w:afterAutospacing="0" w:line="360" w:lineRule="auto"/>
        <w:ind w:firstLine="645"/>
        <w:rPr>
          <w:color w:val="auto"/>
          <w:kern w:val="2"/>
          <w:highlight w:val="none"/>
        </w:rPr>
      </w:pPr>
      <w:r>
        <w:rPr>
          <w:rFonts w:hint="eastAsia"/>
          <w:color w:val="auto"/>
          <w:kern w:val="2"/>
          <w:highlight w:val="none"/>
        </w:rPr>
        <w:t>（五）其他无法保证电子交易的公平、公正和安全的情况。</w:t>
      </w:r>
    </w:p>
    <w:p>
      <w:pPr>
        <w:pStyle w:val="31"/>
        <w:shd w:val="clear"/>
        <w:spacing w:beforeAutospacing="0" w:afterAutospacing="0" w:line="360" w:lineRule="auto"/>
        <w:ind w:firstLine="480"/>
        <w:rPr>
          <w:color w:val="auto"/>
          <w:kern w:val="2"/>
          <w:highlight w:val="none"/>
        </w:rPr>
      </w:pPr>
      <w:r>
        <w:rPr>
          <w:rFonts w:hint="eastAsia"/>
          <w:color w:val="auto"/>
          <w:kern w:val="2"/>
          <w:highlight w:val="none"/>
        </w:rPr>
        <w:t>出现前款规定情形，不影响采购公平、公正性的，采购</w:t>
      </w:r>
      <w:r>
        <w:rPr>
          <w:color w:val="auto"/>
          <w:kern w:val="2"/>
          <w:highlight w:val="none"/>
        </w:rPr>
        <w:t>代理</w:t>
      </w:r>
      <w:r>
        <w:rPr>
          <w:rFonts w:hint="eastAsia"/>
          <w:color w:val="auto"/>
          <w:kern w:val="2"/>
          <w:highlight w:val="none"/>
        </w:rPr>
        <w:t>机构可以待上述情形消除后继续组织电子交易活动，也可以决定某些环节以纸质形式进行；影响或可能影响采购公平、公正性的，应当重新采购。</w:t>
      </w:r>
    </w:p>
    <w:p>
      <w:pPr>
        <w:pStyle w:val="31"/>
        <w:shd w:val="clear"/>
        <w:spacing w:beforeAutospacing="0" w:afterAutospacing="0" w:line="360" w:lineRule="auto"/>
        <w:ind w:firstLine="480"/>
        <w:rPr>
          <w:color w:val="auto"/>
          <w:highlight w:val="none"/>
          <w:shd w:val="clear" w:color="auto" w:fill="FFFFFF"/>
        </w:rPr>
      </w:pPr>
      <w:r>
        <w:rPr>
          <w:rFonts w:hint="eastAsia"/>
          <w:color w:val="auto"/>
          <w:highlight w:val="none"/>
          <w:shd w:val="clear" w:color="auto" w:fill="FFFFFF"/>
        </w:rPr>
        <w:t>4、评审中需要供应商对</w:t>
      </w:r>
      <w:r>
        <w:rPr>
          <w:rFonts w:hint="eastAsia" w:ascii="宋体" w:hAnsi="宋体" w:cs="宋体"/>
          <w:color w:val="auto"/>
          <w:sz w:val="24"/>
          <w:highlight w:val="none"/>
          <w:lang w:val="en-US" w:eastAsia="zh-CN"/>
        </w:rPr>
        <w:t>磋商响应</w:t>
      </w:r>
      <w:r>
        <w:rPr>
          <w:rFonts w:hint="eastAsia" w:ascii="宋体" w:hAnsi="宋体" w:cs="宋体"/>
          <w:color w:val="auto"/>
          <w:sz w:val="24"/>
          <w:highlight w:val="none"/>
        </w:rPr>
        <w:t>文件</w:t>
      </w:r>
      <w:r>
        <w:rPr>
          <w:rFonts w:hint="eastAsia"/>
          <w:color w:val="auto"/>
          <w:highlight w:val="none"/>
          <w:shd w:val="clear" w:color="auto" w:fill="FFFFFF"/>
        </w:rPr>
        <w:t>作出澄清、说明或者补正的，评审小组和供应商应当通过电子交易平台交换数据电文。供应商需在半小时内提交澄清、说明或补正，供应商已经明确表示澄清、说明或补正完毕的除外。</w:t>
      </w:r>
    </w:p>
    <w:p>
      <w:pPr>
        <w:shd w:val="clear"/>
        <w:spacing w:before="156" w:beforeLines="50" w:after="156" w:afterLines="50" w:line="400" w:lineRule="exact"/>
        <w:ind w:left="238"/>
        <w:jc w:val="center"/>
        <w:outlineLvl w:val="1"/>
        <w:rPr>
          <w:rFonts w:hint="eastAsia" w:hAnsi="宋体"/>
          <w:b/>
          <w:color w:val="auto"/>
          <w:sz w:val="28"/>
          <w:szCs w:val="28"/>
          <w:highlight w:val="none"/>
        </w:rPr>
      </w:pPr>
    </w:p>
    <w:p>
      <w:pPr>
        <w:shd w:val="clear"/>
        <w:spacing w:before="156" w:beforeLines="50" w:after="156" w:afterLines="50" w:line="400" w:lineRule="exact"/>
        <w:ind w:left="238"/>
        <w:jc w:val="center"/>
        <w:outlineLvl w:val="1"/>
        <w:rPr>
          <w:rFonts w:hint="eastAsia" w:hAnsi="宋体"/>
          <w:b/>
          <w:color w:val="auto"/>
          <w:sz w:val="28"/>
          <w:szCs w:val="28"/>
          <w:highlight w:val="none"/>
        </w:rPr>
      </w:pPr>
    </w:p>
    <w:p>
      <w:pPr>
        <w:shd w:val="clear"/>
        <w:spacing w:before="156" w:beforeLines="50" w:after="156" w:afterLines="50" w:line="400" w:lineRule="exact"/>
        <w:ind w:left="238"/>
        <w:jc w:val="center"/>
        <w:outlineLvl w:val="1"/>
        <w:rPr>
          <w:rFonts w:hint="eastAsia" w:hAnsi="宋体"/>
          <w:b/>
          <w:color w:val="auto"/>
          <w:sz w:val="28"/>
          <w:szCs w:val="28"/>
          <w:highlight w:val="none"/>
        </w:rPr>
      </w:pPr>
    </w:p>
    <w:p>
      <w:pPr>
        <w:shd w:val="clear"/>
        <w:spacing w:before="156" w:beforeLines="50" w:after="156" w:afterLines="50" w:line="400" w:lineRule="exact"/>
        <w:ind w:left="238"/>
        <w:jc w:val="center"/>
        <w:outlineLvl w:val="1"/>
        <w:rPr>
          <w:rFonts w:hint="eastAsia" w:hAnsi="宋体"/>
          <w:b/>
          <w:color w:val="auto"/>
          <w:sz w:val="28"/>
          <w:szCs w:val="28"/>
          <w:highlight w:val="none"/>
        </w:rPr>
      </w:pPr>
    </w:p>
    <w:p>
      <w:pPr>
        <w:shd w:val="clear"/>
        <w:spacing w:before="156" w:beforeLines="50" w:after="156" w:afterLines="50" w:line="400" w:lineRule="exact"/>
        <w:ind w:left="238"/>
        <w:jc w:val="center"/>
        <w:outlineLvl w:val="1"/>
        <w:rPr>
          <w:rFonts w:hint="eastAsia" w:hAnsi="宋体"/>
          <w:b/>
          <w:color w:val="auto"/>
          <w:sz w:val="28"/>
          <w:szCs w:val="28"/>
          <w:highlight w:val="none"/>
        </w:rPr>
      </w:pPr>
    </w:p>
    <w:p>
      <w:pPr>
        <w:shd w:val="clear"/>
        <w:spacing w:before="156" w:beforeLines="50" w:after="156" w:afterLines="50" w:line="400" w:lineRule="exact"/>
        <w:ind w:left="238"/>
        <w:jc w:val="center"/>
        <w:outlineLvl w:val="1"/>
        <w:rPr>
          <w:rFonts w:hAnsi="宋体"/>
          <w:b/>
          <w:color w:val="auto"/>
          <w:sz w:val="28"/>
          <w:szCs w:val="28"/>
          <w:highlight w:val="none"/>
        </w:rPr>
      </w:pPr>
      <w:r>
        <w:rPr>
          <w:rFonts w:hint="eastAsia" w:hAnsi="宋体"/>
          <w:b/>
          <w:color w:val="auto"/>
          <w:sz w:val="28"/>
          <w:szCs w:val="28"/>
          <w:highlight w:val="none"/>
        </w:rPr>
        <w:t>前附表</w:t>
      </w:r>
      <w:bookmarkEnd w:id="17"/>
      <w:bookmarkEnd w:id="18"/>
      <w:bookmarkEnd w:id="19"/>
      <w:bookmarkEnd w:id="20"/>
      <w:bookmarkEnd w:id="21"/>
      <w:bookmarkEnd w:id="22"/>
      <w:bookmarkEnd w:id="23"/>
      <w:bookmarkEnd w:id="24"/>
      <w:bookmarkEnd w:id="25"/>
    </w:p>
    <w:tbl>
      <w:tblPr>
        <w:tblStyle w:val="35"/>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7" w:type="dxa"/>
            <w:vAlign w:val="center"/>
          </w:tcPr>
          <w:p>
            <w:pPr>
              <w:pStyle w:val="16"/>
              <w:keepNext w:val="0"/>
              <w:keepLines w:val="0"/>
              <w:suppressLineNumbers w:val="0"/>
              <w:shd w:val="clear"/>
              <w:spacing w:before="0" w:beforeAutospacing="0" w:after="0" w:afterAutospacing="0"/>
              <w:ind w:left="0" w:right="0"/>
              <w:jc w:val="center"/>
              <w:rPr>
                <w:rFonts w:hint="default" w:ascii="新宋体" w:hAnsi="新宋体" w:eastAsia="新宋体"/>
                <w:b/>
                <w:bCs/>
                <w:color w:val="auto"/>
                <w:szCs w:val="21"/>
                <w:highlight w:val="none"/>
              </w:rPr>
            </w:pPr>
            <w:r>
              <w:rPr>
                <w:rFonts w:hint="eastAsia" w:ascii="新宋体" w:hAnsi="新宋体" w:eastAsia="新宋体"/>
                <w:b/>
                <w:bCs/>
                <w:color w:val="auto"/>
                <w:szCs w:val="21"/>
                <w:highlight w:val="none"/>
              </w:rPr>
              <w:t>序号</w:t>
            </w:r>
          </w:p>
        </w:tc>
        <w:tc>
          <w:tcPr>
            <w:tcW w:w="8724" w:type="dxa"/>
            <w:vAlign w:val="center"/>
          </w:tcPr>
          <w:p>
            <w:pPr>
              <w:pStyle w:val="16"/>
              <w:keepNext w:val="0"/>
              <w:keepLines w:val="0"/>
              <w:suppressLineNumbers w:val="0"/>
              <w:shd w:val="clear"/>
              <w:spacing w:before="0" w:beforeAutospacing="0" w:after="0" w:afterAutospacing="0"/>
              <w:ind w:left="0" w:right="0"/>
              <w:jc w:val="center"/>
              <w:rPr>
                <w:rFonts w:hint="default" w:ascii="新宋体" w:hAnsi="新宋体" w:eastAsia="新宋体"/>
                <w:b/>
                <w:bCs/>
                <w:color w:val="auto"/>
                <w:szCs w:val="21"/>
                <w:highlight w:val="none"/>
              </w:rPr>
            </w:pPr>
            <w:r>
              <w:rPr>
                <w:rFonts w:hint="eastAsia" w:ascii="新宋体" w:hAnsi="新宋体" w:eastAsia="新宋体"/>
                <w:b/>
                <w:bCs/>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1</w:t>
            </w:r>
          </w:p>
        </w:tc>
        <w:tc>
          <w:tcPr>
            <w:tcW w:w="8724" w:type="dxa"/>
            <w:vAlign w:val="center"/>
          </w:tcPr>
          <w:p>
            <w:pPr>
              <w:keepNext w:val="0"/>
              <w:keepLines w:val="0"/>
              <w:suppressLineNumbers w:val="0"/>
              <w:shd w:val="clear"/>
              <w:spacing w:before="0" w:beforeAutospacing="0" w:after="0" w:afterAutospacing="0" w:line="440" w:lineRule="exact"/>
              <w:ind w:left="0" w:right="0"/>
              <w:rPr>
                <w:rFonts w:hint="default" w:ascii="宋体" w:hAnsi="宋体" w:cs="仿宋_GB2312"/>
                <w:bCs/>
                <w:color w:val="auto"/>
                <w:kern w:val="0"/>
                <w:szCs w:val="21"/>
                <w:highlight w:val="none"/>
                <w:lang w:val="zh-CN"/>
              </w:rPr>
            </w:pPr>
            <w:r>
              <w:rPr>
                <w:rFonts w:hint="eastAsia" w:ascii="宋体" w:hAnsi="宋体" w:cs="仿宋_GB2312"/>
                <w:bCs/>
                <w:color w:val="auto"/>
                <w:kern w:val="0"/>
                <w:szCs w:val="21"/>
                <w:highlight w:val="none"/>
                <w:lang w:val="zh-CN"/>
              </w:rPr>
              <w:t xml:space="preserve">项目名称：2024年南排工程河道堤防维修及一次性项目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hAnsi="宋体" w:cs="仿宋_GB2312"/>
                <w:bCs/>
                <w:color w:val="auto"/>
                <w:kern w:val="0"/>
                <w:szCs w:val="21"/>
                <w:highlight w:val="none"/>
                <w:lang w:val="zh-CN"/>
              </w:rPr>
            </w:pPr>
            <w:r>
              <w:rPr>
                <w:rFonts w:hint="default" w:hAnsi="宋体" w:cs="仿宋_GB2312"/>
                <w:bCs/>
                <w:color w:val="auto"/>
                <w:kern w:val="0"/>
                <w:szCs w:val="21"/>
                <w:highlight w:val="none"/>
                <w:lang w:val="zh-CN"/>
              </w:rPr>
              <w:t>2</w:t>
            </w:r>
          </w:p>
        </w:tc>
        <w:tc>
          <w:tcPr>
            <w:tcW w:w="8724" w:type="dxa"/>
            <w:vAlign w:val="center"/>
          </w:tcPr>
          <w:p>
            <w:pPr>
              <w:pStyle w:val="62"/>
              <w:keepNext w:val="0"/>
              <w:keepLines w:val="0"/>
              <w:widowControl w:val="0"/>
              <w:suppressLineNumbers w:val="0"/>
              <w:shd w:val="clear"/>
              <w:snapToGrid/>
              <w:spacing w:before="0" w:beforeAutospacing="0" w:after="0" w:afterAutospacing="0"/>
              <w:ind w:left="0" w:right="0" w:firstLine="0" w:firstLineChars="0"/>
              <w:rPr>
                <w:rFonts w:hint="default" w:ascii="宋体" w:hAnsi="宋体" w:cs="仿宋_GB2312"/>
                <w:bCs/>
                <w:color w:val="auto"/>
                <w:sz w:val="21"/>
                <w:szCs w:val="21"/>
                <w:highlight w:val="none"/>
                <w:lang w:val="zh-CN"/>
              </w:rPr>
            </w:pPr>
            <w:r>
              <w:rPr>
                <w:rFonts w:hint="eastAsia" w:ascii="宋体" w:hAnsi="宋体" w:cs="仿宋_GB2312"/>
                <w:bCs/>
                <w:color w:val="auto"/>
                <w:sz w:val="21"/>
                <w:szCs w:val="21"/>
                <w:highlight w:val="none"/>
                <w:lang w:val="zh-CN"/>
              </w:rPr>
              <w:t xml:space="preserve">项目编号：JXMYZFCG-2024-021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3</w:t>
            </w:r>
          </w:p>
        </w:tc>
        <w:tc>
          <w:tcPr>
            <w:tcW w:w="8724" w:type="dxa"/>
            <w:vAlign w:val="center"/>
          </w:tcPr>
          <w:p>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hAnsi="宋体"/>
                <w:b/>
                <w:color w:val="auto"/>
                <w:kern w:val="0"/>
                <w:szCs w:val="21"/>
                <w:highlight w:val="none"/>
              </w:rPr>
              <w:t>竞争性磋商文件的澄清与修改：</w:t>
            </w:r>
            <w:r>
              <w:rPr>
                <w:rFonts w:hint="eastAsia" w:ascii="宋体" w:hAnsi="宋体" w:cs="宋体"/>
                <w:color w:val="auto"/>
                <w:szCs w:val="21"/>
                <w:highlight w:val="none"/>
              </w:rPr>
              <w:t>供应商应认真阅读本磋商文件，发现其中有误或有不合理要求的，供应商必须在知道或者应当知道之日起七个工作日内以书面形式向招标人一次性提出。采购代理机构对已发出的竞争性磋商文件进行必要澄清、答复、修改或补充的，应当在磋商文件要求提交磋商响应文件截止时间5日前，在浙江政府采购网(http://zfcg.czt.zj.gov.cn/)上发布更正公告，请供应商在磋商截止前及时关注。竞争性磋商文件的澄清、答复、修改或补充，一经在上述媒体发布，即视所有供应商都已经收到相关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4</w:t>
            </w:r>
          </w:p>
        </w:tc>
        <w:tc>
          <w:tcPr>
            <w:tcW w:w="8724" w:type="dxa"/>
            <w:vAlign w:val="center"/>
          </w:tcPr>
          <w:p>
            <w:pPr>
              <w:keepNext w:val="0"/>
              <w:keepLines w:val="0"/>
              <w:suppressLineNumbers w:val="0"/>
              <w:shd w:val="clear"/>
              <w:spacing w:before="0" w:beforeAutospacing="0" w:after="0" w:afterAutospacing="0"/>
              <w:ind w:left="0" w:right="60"/>
              <w:jc w:val="left"/>
              <w:rPr>
                <w:rFonts w:hint="default" w:hAnsi="宋体"/>
                <w:b/>
                <w:color w:val="auto"/>
                <w:kern w:val="0"/>
                <w:szCs w:val="21"/>
                <w:highlight w:val="none"/>
              </w:rPr>
            </w:pPr>
            <w:r>
              <w:rPr>
                <w:rFonts w:hint="eastAsia" w:ascii="宋体" w:hAnsi="宋体" w:cs="宋体"/>
                <w:b/>
                <w:bCs/>
                <w:color w:val="auto"/>
                <w:szCs w:val="21"/>
                <w:highlight w:val="none"/>
              </w:rPr>
              <w:t>现场踏勘：</w:t>
            </w:r>
            <w:r>
              <w:rPr>
                <w:rFonts w:hint="eastAsia" w:ascii="宋体" w:hAnsi="宋体" w:cs="宋体"/>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5</w:t>
            </w:r>
          </w:p>
        </w:tc>
        <w:tc>
          <w:tcPr>
            <w:tcW w:w="8724" w:type="dxa"/>
            <w:vAlign w:val="center"/>
          </w:tcPr>
          <w:p>
            <w:pPr>
              <w:pStyle w:val="16"/>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ascii="Times New Roman" w:hAnsi="宋体"/>
                <w:b/>
                <w:color w:val="auto"/>
                <w:kern w:val="0"/>
                <w:szCs w:val="21"/>
                <w:highlight w:val="none"/>
              </w:rPr>
              <w:t>竞争性磋商文件售价：</w:t>
            </w:r>
            <w:r>
              <w:rPr>
                <w:rFonts w:hint="eastAsia" w:ascii="Times New Roman" w:hAnsi="宋体"/>
                <w:b w:val="0"/>
                <w:bCs/>
                <w:color w:val="auto"/>
                <w:kern w:val="0"/>
                <w:szCs w:val="21"/>
                <w:highlight w:val="none"/>
              </w:rPr>
              <w:t>免费</w:t>
            </w:r>
            <w:r>
              <w:rPr>
                <w:rFonts w:hint="eastAsia"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6</w:t>
            </w:r>
          </w:p>
        </w:tc>
        <w:tc>
          <w:tcPr>
            <w:tcW w:w="8724" w:type="dxa"/>
            <w:vAlign w:val="center"/>
          </w:tcPr>
          <w:p>
            <w:pPr>
              <w:pStyle w:val="16"/>
              <w:keepNext w:val="0"/>
              <w:keepLines w:val="0"/>
              <w:suppressLineNumbers w:val="0"/>
              <w:shd w:val="clear"/>
              <w:spacing w:before="0" w:beforeAutospacing="0" w:after="0" w:afterAutospacing="0" w:line="320" w:lineRule="exact"/>
              <w:ind w:left="0" w:right="0"/>
              <w:rPr>
                <w:rFonts w:hint="default" w:hAnsi="宋体" w:cs="Arial"/>
                <w:color w:val="auto"/>
                <w:szCs w:val="21"/>
                <w:highlight w:val="none"/>
              </w:rPr>
            </w:pPr>
            <w:r>
              <w:rPr>
                <w:rFonts w:hint="eastAsia" w:ascii="Times New Roman" w:hAnsi="宋体"/>
                <w:b/>
                <w:color w:val="auto"/>
                <w:kern w:val="0"/>
                <w:szCs w:val="21"/>
                <w:highlight w:val="none"/>
              </w:rPr>
              <w:t>磋商保证金：</w:t>
            </w:r>
            <w:r>
              <w:rPr>
                <w:rFonts w:hint="eastAsia" w:hAnsi="宋体" w:cs="Arial"/>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7</w:t>
            </w:r>
          </w:p>
        </w:tc>
        <w:tc>
          <w:tcPr>
            <w:tcW w:w="8724" w:type="dxa"/>
            <w:vAlign w:val="center"/>
          </w:tcPr>
          <w:p>
            <w:pPr>
              <w:pStyle w:val="16"/>
              <w:keepNext w:val="0"/>
              <w:keepLines w:val="0"/>
              <w:suppressLineNumbers w:val="0"/>
              <w:shd w:val="clear"/>
              <w:spacing w:before="0" w:beforeAutospacing="0" w:after="0" w:afterAutospacing="0" w:line="320" w:lineRule="exact"/>
              <w:ind w:left="0" w:right="0"/>
              <w:rPr>
                <w:rFonts w:hint="default" w:ascii="Times New Roman" w:hAnsi="宋体"/>
                <w:b/>
                <w:color w:val="auto"/>
                <w:kern w:val="0"/>
                <w:szCs w:val="21"/>
                <w:highlight w:val="none"/>
              </w:rPr>
            </w:pPr>
            <w:r>
              <w:rPr>
                <w:rFonts w:hint="eastAsia" w:ascii="Times New Roman" w:hAnsi="宋体"/>
                <w:b/>
                <w:color w:val="auto"/>
                <w:kern w:val="0"/>
                <w:szCs w:val="21"/>
                <w:highlight w:val="none"/>
              </w:rPr>
              <w:t>履约保证金：</w:t>
            </w:r>
            <w:r>
              <w:rPr>
                <w:rFonts w:hint="eastAsia" w:hAnsi="宋体"/>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8</w:t>
            </w:r>
          </w:p>
        </w:tc>
        <w:tc>
          <w:tcPr>
            <w:tcW w:w="8724" w:type="dxa"/>
            <w:vAlign w:val="center"/>
          </w:tcPr>
          <w:p>
            <w:pPr>
              <w:pStyle w:val="69"/>
              <w:keepNext w:val="0"/>
              <w:keepLines w:val="0"/>
              <w:suppressLineNumbers w:val="0"/>
              <w:shd w:val="clear"/>
              <w:tabs>
                <w:tab w:val="left" w:pos="0"/>
              </w:tabs>
              <w:spacing w:before="0" w:beforeAutospacing="0" w:after="0" w:afterAutospacing="0"/>
              <w:ind w:left="0" w:right="0" w:firstLine="0" w:firstLineChars="0"/>
              <w:rPr>
                <w:rFonts w:hint="eastAsia" w:ascii="宋体" w:hAnsi="宋体" w:cs="宋体"/>
                <w:b w:val="0"/>
                <w:bCs w:val="0"/>
                <w:color w:val="auto"/>
                <w:szCs w:val="21"/>
                <w:highlight w:val="none"/>
              </w:rPr>
            </w:pPr>
            <w:r>
              <w:rPr>
                <w:rFonts w:hint="eastAsia" w:ascii="宋体" w:hAnsi="宋体" w:cs="宋体"/>
                <w:b/>
                <w:bCs/>
                <w:color w:val="auto"/>
                <w:szCs w:val="21"/>
                <w:highlight w:val="none"/>
                <w:lang w:val="zh-CN"/>
              </w:rPr>
              <w:t>预算金额：</w:t>
            </w:r>
            <w:r>
              <w:rPr>
                <w:rFonts w:hint="eastAsia" w:ascii="宋体" w:hAnsi="宋体" w:cs="宋体"/>
                <w:b w:val="0"/>
                <w:bCs w:val="0"/>
                <w:color w:val="auto"/>
                <w:sz w:val="21"/>
                <w:szCs w:val="21"/>
                <w:highlight w:val="none"/>
                <w:lang w:val="en-US" w:eastAsia="zh-CN"/>
              </w:rPr>
              <w:t>标项一：700400</w:t>
            </w:r>
            <w:r>
              <w:rPr>
                <w:rFonts w:hint="eastAsia" w:ascii="宋体" w:hAnsi="宋体" w:eastAsia="宋体" w:cs="宋体"/>
                <w:b w:val="0"/>
                <w:bCs w:val="0"/>
                <w:color w:val="auto"/>
                <w:sz w:val="21"/>
                <w:szCs w:val="21"/>
                <w:highlight w:val="none"/>
                <w:lang w:val="en-US" w:eastAsia="zh-CN"/>
              </w:rPr>
              <w:t>元</w:t>
            </w:r>
            <w:r>
              <w:rPr>
                <w:rFonts w:hint="eastAsia" w:ascii="宋体" w:hAnsi="宋体" w:cs="宋体"/>
                <w:b w:val="0"/>
                <w:bCs w:val="0"/>
                <w:color w:val="auto"/>
                <w:sz w:val="21"/>
                <w:szCs w:val="21"/>
                <w:highlight w:val="none"/>
                <w:lang w:val="en-US" w:eastAsia="zh-CN"/>
              </w:rPr>
              <w:t>；标项二：2059300</w:t>
            </w:r>
            <w:r>
              <w:rPr>
                <w:rFonts w:hint="eastAsia" w:ascii="宋体" w:hAnsi="宋体" w:cs="宋体"/>
                <w:b w:val="0"/>
                <w:bCs w:val="0"/>
                <w:color w:val="auto"/>
                <w:szCs w:val="21"/>
                <w:highlight w:val="none"/>
              </w:rPr>
              <w:t>元。</w:t>
            </w:r>
          </w:p>
          <w:p>
            <w:pPr>
              <w:pStyle w:val="69"/>
              <w:keepNext w:val="0"/>
              <w:keepLines w:val="0"/>
              <w:suppressLineNumbers w:val="0"/>
              <w:shd w:val="clear"/>
              <w:tabs>
                <w:tab w:val="left" w:pos="0"/>
              </w:tabs>
              <w:spacing w:before="0" w:beforeAutospacing="0" w:after="0" w:afterAutospacing="0"/>
              <w:ind w:left="0" w:right="0" w:firstLine="0" w:firstLineChars="0"/>
              <w:rPr>
                <w:rFonts w:hint="default" w:ascii="宋体" w:hAnsi="宋体" w:cs="宋体"/>
                <w:b/>
                <w:bCs/>
                <w:color w:val="auto"/>
                <w:szCs w:val="21"/>
                <w:highlight w:val="none"/>
              </w:rPr>
            </w:pPr>
            <w:r>
              <w:rPr>
                <w:rFonts w:hint="eastAsia" w:ascii="宋体" w:hAnsi="宋体" w:cs="宋体"/>
                <w:b/>
                <w:color w:val="auto"/>
                <w:szCs w:val="21"/>
                <w:highlight w:val="none"/>
              </w:rPr>
              <w:t>最高限价：</w:t>
            </w:r>
            <w:r>
              <w:rPr>
                <w:rFonts w:hint="eastAsia" w:ascii="宋体" w:hAnsi="宋体" w:cs="宋体"/>
                <w:b w:val="0"/>
                <w:bCs/>
                <w:color w:val="auto"/>
                <w:szCs w:val="21"/>
                <w:highlight w:val="none"/>
                <w:lang w:eastAsia="zh-CN"/>
              </w:rPr>
              <w:t>标项一人民币</w:t>
            </w:r>
            <w:r>
              <w:rPr>
                <w:rFonts w:hint="eastAsia" w:ascii="宋体" w:hAnsi="宋体" w:cs="宋体"/>
                <w:b w:val="0"/>
                <w:bCs/>
                <w:color w:val="auto"/>
                <w:szCs w:val="21"/>
                <w:highlight w:val="none"/>
                <w:lang w:val="en-US" w:eastAsia="zh-CN"/>
              </w:rPr>
              <w:t>700400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240400</w:t>
            </w:r>
            <w:r>
              <w:rPr>
                <w:rFonts w:hint="eastAsia" w:ascii="宋体" w:hAnsi="宋体" w:eastAsia="宋体" w:cs="宋体"/>
                <w:b w:val="0"/>
                <w:bCs/>
                <w:color w:val="auto"/>
                <w:szCs w:val="21"/>
                <w:highlight w:val="none"/>
                <w:lang w:eastAsia="zh-CN"/>
              </w:rPr>
              <w:t>元；</w:t>
            </w: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eastAsia="宋体" w:cs="宋体"/>
                <w:b w:val="0"/>
                <w:bCs/>
                <w:color w:val="auto"/>
                <w:szCs w:val="21"/>
                <w:highlight w:val="none"/>
                <w:lang w:eastAsia="zh-CN"/>
              </w:rPr>
              <w:t>90000元；</w:t>
            </w: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1500</w:t>
            </w:r>
            <w:r>
              <w:rPr>
                <w:rFonts w:hint="eastAsia" w:ascii="宋体" w:hAnsi="宋体" w:eastAsia="宋体" w:cs="宋体"/>
                <w:b w:val="0"/>
                <w:bCs/>
                <w:color w:val="auto"/>
                <w:szCs w:val="21"/>
                <w:highlight w:val="none"/>
                <w:lang w:eastAsia="zh-CN"/>
              </w:rPr>
              <w:t>00元；</w:t>
            </w: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22</w:t>
            </w:r>
            <w:r>
              <w:rPr>
                <w:rFonts w:hint="eastAsia" w:ascii="宋体" w:hAnsi="宋体" w:eastAsia="宋体" w:cs="宋体"/>
                <w:b w:val="0"/>
                <w:bCs/>
                <w:color w:val="auto"/>
                <w:szCs w:val="21"/>
                <w:highlight w:val="none"/>
                <w:lang w:eastAsia="zh-CN"/>
              </w:rPr>
              <w:t>0000元</w:t>
            </w:r>
            <w:r>
              <w:rPr>
                <w:rFonts w:hint="eastAsia" w:ascii="宋体" w:hAnsi="宋体" w:cs="宋体"/>
                <w:b w:val="0"/>
                <w:bCs/>
                <w:color w:val="auto"/>
                <w:szCs w:val="21"/>
                <w:highlight w:val="none"/>
                <w:lang w:eastAsia="zh-CN"/>
              </w:rPr>
              <w:t>。</w:t>
            </w:r>
            <w:r>
              <w:rPr>
                <w:rFonts w:hint="eastAsia" w:ascii="宋体" w:hAnsi="宋体" w:eastAsia="宋体" w:cs="宋体"/>
                <w:b w:val="0"/>
                <w:bCs/>
                <w:color w:val="auto"/>
                <w:szCs w:val="21"/>
                <w:highlight w:val="none"/>
                <w:lang w:eastAsia="zh-CN"/>
              </w:rPr>
              <w:t>）</w:t>
            </w:r>
            <w:r>
              <w:rPr>
                <w:rFonts w:hint="eastAsia" w:ascii="宋体" w:hAnsi="宋体" w:cs="宋体"/>
                <w:b w:val="0"/>
                <w:bCs/>
                <w:color w:val="auto"/>
                <w:szCs w:val="21"/>
                <w:highlight w:val="none"/>
                <w:lang w:eastAsia="zh-CN"/>
              </w:rPr>
              <w:t>；标项二人民币</w:t>
            </w:r>
            <w:r>
              <w:rPr>
                <w:rFonts w:hint="eastAsia" w:ascii="宋体" w:hAnsi="宋体" w:cs="宋体"/>
                <w:b w:val="0"/>
                <w:bCs/>
                <w:color w:val="auto"/>
                <w:szCs w:val="21"/>
                <w:highlight w:val="none"/>
                <w:lang w:val="en-US" w:eastAsia="zh-CN"/>
              </w:rPr>
              <w:t>2059300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eastAsia="宋体" w:cs="宋体"/>
                <w:color w:val="auto"/>
                <w:sz w:val="21"/>
                <w:szCs w:val="21"/>
                <w:highlight w:val="none"/>
                <w:lang w:val="en-US" w:eastAsia="zh-CN"/>
              </w:rPr>
              <w:t>主厂房电缆层漏水处理项目</w:t>
            </w:r>
            <w:r>
              <w:rPr>
                <w:rFonts w:hint="eastAsia" w:ascii="宋体" w:hAnsi="宋体" w:cs="宋体"/>
                <w:b w:val="0"/>
                <w:bCs/>
                <w:color w:val="auto"/>
                <w:szCs w:val="21"/>
                <w:highlight w:val="none"/>
                <w:lang w:val="en-US" w:eastAsia="zh-CN"/>
              </w:rPr>
              <w:t>100000</w:t>
            </w:r>
            <w:r>
              <w:rPr>
                <w:rFonts w:hint="eastAsia" w:ascii="宋体" w:hAnsi="宋体" w:eastAsia="宋体" w:cs="宋体"/>
                <w:b w:val="0"/>
                <w:bCs/>
                <w:color w:val="auto"/>
                <w:szCs w:val="21"/>
                <w:highlight w:val="none"/>
                <w:lang w:eastAsia="zh-CN"/>
              </w:rPr>
              <w:t>元；</w:t>
            </w:r>
            <w:r>
              <w:rPr>
                <w:rFonts w:hint="eastAsia" w:ascii="宋体" w:hAnsi="宋体" w:eastAsia="宋体" w:cs="宋体"/>
                <w:color w:val="auto"/>
                <w:sz w:val="21"/>
                <w:szCs w:val="21"/>
                <w:highlight w:val="none"/>
                <w:lang w:val="en-US" w:eastAsia="zh-CN"/>
              </w:rPr>
              <w:t>盐官泵站事故闸止水、滑块、紧固件更换项目</w:t>
            </w:r>
            <w:r>
              <w:rPr>
                <w:rFonts w:hint="eastAsia" w:ascii="宋体" w:hAnsi="宋体" w:cs="宋体"/>
                <w:color w:val="auto"/>
                <w:sz w:val="21"/>
                <w:szCs w:val="21"/>
                <w:highlight w:val="none"/>
                <w:lang w:val="en-US" w:eastAsia="zh-CN"/>
              </w:rPr>
              <w:t>86300元。</w:t>
            </w: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146000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807000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cs="宋体"/>
                <w:color w:val="auto"/>
                <w:szCs w:val="21"/>
                <w:highlight w:val="none"/>
                <w:lang w:val="en-US" w:eastAsia="zh-CN"/>
              </w:rPr>
              <w:t>南台头闸内河侧闸门防腐及止水装置更换项目</w:t>
            </w:r>
            <w:r>
              <w:rPr>
                <w:rFonts w:hint="eastAsia" w:ascii="宋体" w:hAnsi="宋体" w:cs="宋体"/>
                <w:b w:val="0"/>
                <w:bCs/>
                <w:color w:val="auto"/>
                <w:szCs w:val="21"/>
                <w:highlight w:val="none"/>
                <w:lang w:val="en-US" w:eastAsia="zh-CN"/>
              </w:rPr>
              <w:t>400000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泵站门机、油缸及起重设备金属防腐项目450000元；泵站工作（事故）闸门行程改造项目70000元。</w:t>
            </w:r>
            <w:r>
              <w:rPr>
                <w:rFonts w:hint="eastAsia" w:ascii="宋体" w:hAnsi="宋体" w:cs="宋体"/>
                <w:b w:val="0"/>
                <w:bCs/>
                <w:color w:val="auto"/>
                <w:szCs w:val="21"/>
                <w:highlight w:val="none"/>
                <w:lang w:eastAsia="zh-CN"/>
              </w:rPr>
              <w:t>）。</w:t>
            </w:r>
            <w:r>
              <w:rPr>
                <w:rFonts w:hint="eastAsia" w:ascii="宋体" w:hAnsi="宋体" w:eastAsia="宋体" w:cs="宋体"/>
                <w:b/>
                <w:bCs w:val="0"/>
                <w:color w:val="auto"/>
                <w:szCs w:val="21"/>
                <w:highlight w:val="none"/>
                <w:lang w:val="en-US" w:eastAsia="zh-CN"/>
              </w:rPr>
              <w:t>报价超过最高限价或各单项预算金额的作无效标处理</w:t>
            </w:r>
            <w:r>
              <w:rPr>
                <w:rFonts w:hint="eastAsia" w:ascii="宋体" w:hAnsi="宋体" w:cs="宋体"/>
                <w:b w:val="0"/>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9</w:t>
            </w:r>
          </w:p>
        </w:tc>
        <w:tc>
          <w:tcPr>
            <w:tcW w:w="8724" w:type="dxa"/>
            <w:vAlign w:val="center"/>
          </w:tcPr>
          <w:p>
            <w:pPr>
              <w:pStyle w:val="16"/>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ascii="Times New Roman" w:hAnsi="宋体"/>
                <w:b/>
                <w:color w:val="auto"/>
                <w:kern w:val="0"/>
                <w:szCs w:val="21"/>
                <w:highlight w:val="none"/>
              </w:rPr>
              <w:t>合同名称：《</w:t>
            </w:r>
            <w:r>
              <w:rPr>
                <w:rFonts w:hint="eastAsia" w:ascii="Times New Roman" w:hAnsi="宋体"/>
                <w:b/>
                <w:color w:val="auto"/>
                <w:kern w:val="0"/>
                <w:szCs w:val="21"/>
                <w:highlight w:val="none"/>
                <w:lang w:eastAsia="zh-CN"/>
              </w:rPr>
              <w:t>2024年南排工程河道堤防维修及一次性项目</w:t>
            </w:r>
            <w:r>
              <w:rPr>
                <w:rFonts w:hint="eastAsia" w:ascii="Times New Roman" w:hAnsi="宋体"/>
                <w:b/>
                <w:color w:val="auto"/>
                <w:kern w:val="0"/>
                <w:szCs w:val="21"/>
                <w:highlight w:val="none"/>
              </w:rPr>
              <w:t>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10</w:t>
            </w:r>
          </w:p>
        </w:tc>
        <w:tc>
          <w:tcPr>
            <w:tcW w:w="8724" w:type="dxa"/>
            <w:vAlign w:val="center"/>
          </w:tcPr>
          <w:p>
            <w:pPr>
              <w:pStyle w:val="16"/>
              <w:keepNext w:val="0"/>
              <w:keepLines w:val="0"/>
              <w:suppressLineNumbers w:val="0"/>
              <w:shd w:val="clear"/>
              <w:spacing w:before="0" w:beforeAutospacing="0" w:after="0" w:afterAutospacing="0" w:line="320" w:lineRule="exact"/>
              <w:ind w:left="0" w:right="0"/>
              <w:rPr>
                <w:rFonts w:hint="default" w:ascii="新宋体" w:hAnsi="新宋体" w:eastAsia="新宋体"/>
                <w:color w:val="auto"/>
                <w:szCs w:val="21"/>
                <w:highlight w:val="none"/>
              </w:rPr>
            </w:pPr>
            <w:r>
              <w:rPr>
                <w:rFonts w:hint="eastAsia" w:hAnsi="宋体"/>
                <w:b/>
                <w:color w:val="auto"/>
                <w:szCs w:val="21"/>
                <w:highlight w:val="none"/>
              </w:rPr>
              <w:t>磋商有效期：</w:t>
            </w:r>
            <w:r>
              <w:rPr>
                <w:rFonts w:hint="eastAsia" w:hAnsi="宋体"/>
                <w:color w:val="auto"/>
                <w:szCs w:val="21"/>
                <w:highlight w:val="none"/>
              </w:rPr>
              <w:t>自磋商截止日起</w:t>
            </w:r>
            <w:r>
              <w:rPr>
                <w:rFonts w:hint="default" w:hAnsi="宋体"/>
                <w:color w:val="auto"/>
                <w:szCs w:val="21"/>
                <w:highlight w:val="none"/>
              </w:rPr>
              <w:t>90</w:t>
            </w:r>
            <w:r>
              <w:rPr>
                <w:rFonts w:hint="eastAsia" w:hAnsi="宋体"/>
                <w:color w:val="auto"/>
                <w:szCs w:val="21"/>
                <w:highlight w:val="none"/>
              </w:rPr>
              <w:t>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Align w:val="center"/>
          </w:tcPr>
          <w:p>
            <w:pPr>
              <w:pStyle w:val="16"/>
              <w:keepNext w:val="0"/>
              <w:keepLines w:val="0"/>
              <w:suppressLineNumbers w:val="0"/>
              <w:shd w:val="clear"/>
              <w:spacing w:before="0" w:beforeAutospacing="0" w:after="0" w:afterAutospacing="0" w:line="400" w:lineRule="exact"/>
              <w:ind w:left="0" w:right="0"/>
              <w:jc w:val="center"/>
              <w:rPr>
                <w:rFonts w:hint="default" w:ascii="新宋体" w:hAnsi="新宋体" w:eastAsia="新宋体"/>
                <w:color w:val="auto"/>
                <w:szCs w:val="21"/>
                <w:highlight w:val="none"/>
              </w:rPr>
            </w:pPr>
            <w:r>
              <w:rPr>
                <w:rFonts w:hint="default" w:ascii="新宋体" w:hAnsi="新宋体" w:eastAsia="新宋体"/>
                <w:color w:val="auto"/>
                <w:szCs w:val="21"/>
                <w:highlight w:val="none"/>
              </w:rPr>
              <w:t>1</w:t>
            </w:r>
            <w:r>
              <w:rPr>
                <w:rFonts w:hint="eastAsia" w:ascii="新宋体" w:hAnsi="新宋体" w:eastAsia="新宋体"/>
                <w:color w:val="auto"/>
                <w:szCs w:val="21"/>
                <w:highlight w:val="none"/>
              </w:rPr>
              <w:t>1</w:t>
            </w:r>
          </w:p>
        </w:tc>
        <w:tc>
          <w:tcPr>
            <w:tcW w:w="8724" w:type="dxa"/>
            <w:vAlign w:val="center"/>
          </w:tcPr>
          <w:p>
            <w:pPr>
              <w:keepNext w:val="0"/>
              <w:keepLines w:val="0"/>
              <w:suppressLineNumbers w:val="0"/>
              <w:shd w:val="clear"/>
              <w:autoSpaceDE w:val="0"/>
              <w:autoSpaceDN w:val="0"/>
              <w:snapToGrid w:val="0"/>
              <w:spacing w:before="0" w:beforeAutospacing="0" w:after="0" w:afterAutospacing="0" w:line="360" w:lineRule="exact"/>
              <w:ind w:left="0" w:right="0"/>
              <w:jc w:val="left"/>
              <w:textAlignment w:val="bottom"/>
              <w:rPr>
                <w:rFonts w:hint="default" w:ascii="宋体" w:hAnsi="宋体" w:cs="宋体"/>
                <w:color w:val="auto"/>
                <w:szCs w:val="21"/>
                <w:highlight w:val="none"/>
                <w:lang w:val="zh-CN"/>
              </w:rPr>
            </w:pPr>
            <w:r>
              <w:rPr>
                <w:rFonts w:hint="eastAsia" w:hAnsi="宋体"/>
                <w:b/>
                <w:color w:val="auto"/>
                <w:szCs w:val="21"/>
                <w:highlight w:val="none"/>
              </w:rPr>
              <w:t>磋商响应文件的份数：</w:t>
            </w:r>
            <w:r>
              <w:rPr>
                <w:rFonts w:hint="eastAsia" w:ascii="宋体" w:hAnsi="宋体" w:cs="宋体"/>
                <w:b w:val="0"/>
                <w:color w:val="auto"/>
                <w:szCs w:val="21"/>
                <w:highlight w:val="none"/>
                <w:lang w:val="en-US" w:eastAsia="zh-CN"/>
              </w:rPr>
              <w:t>各标项</w:t>
            </w:r>
            <w:r>
              <w:rPr>
                <w:rFonts w:hint="eastAsia" w:ascii="宋体" w:hAnsi="宋体" w:cs="宋体"/>
                <w:color w:val="auto"/>
                <w:szCs w:val="21"/>
                <w:highlight w:val="none"/>
                <w:lang w:val="zh-CN"/>
              </w:rPr>
              <w:t>电子</w:t>
            </w:r>
            <w:r>
              <w:rPr>
                <w:rFonts w:hint="eastAsia" w:ascii="宋体" w:hAnsi="宋体" w:cs="宋体"/>
                <w:color w:val="auto"/>
                <w:szCs w:val="21"/>
                <w:highlight w:val="none"/>
              </w:rPr>
              <w:t>磋商响应</w:t>
            </w:r>
            <w:r>
              <w:rPr>
                <w:rFonts w:hint="eastAsia" w:ascii="宋体" w:hAnsi="宋体" w:cs="宋体"/>
                <w:color w:val="auto"/>
                <w:szCs w:val="21"/>
                <w:highlight w:val="none"/>
                <w:lang w:val="zh-CN"/>
              </w:rPr>
              <w:t>文件</w:t>
            </w:r>
            <w:r>
              <w:rPr>
                <w:rFonts w:hint="eastAsia" w:ascii="宋体" w:hAnsi="宋体" w:cs="宋体"/>
                <w:color w:val="auto"/>
                <w:szCs w:val="21"/>
                <w:highlight w:val="none"/>
              </w:rPr>
              <w:t>由</w:t>
            </w:r>
            <w:r>
              <w:rPr>
                <w:rFonts w:hint="eastAsia" w:ascii="宋体" w:hAnsi="宋体" w:cs="宋体"/>
                <w:color w:val="auto"/>
                <w:szCs w:val="21"/>
                <w:highlight w:val="none"/>
                <w:lang w:val="zh-CN"/>
              </w:rPr>
              <w:t>资信商务及技术文件、报价文件</w:t>
            </w:r>
            <w:r>
              <w:rPr>
                <w:rFonts w:hint="eastAsia" w:ascii="宋体" w:hAnsi="宋体" w:cs="宋体"/>
                <w:color w:val="auto"/>
                <w:szCs w:val="21"/>
                <w:highlight w:val="none"/>
              </w:rPr>
              <w:t>两部分组成。</w:t>
            </w:r>
            <w:r>
              <w:rPr>
                <w:rFonts w:hint="eastAsia" w:ascii="宋体" w:hAnsi="宋体" w:cs="宋体"/>
                <w:color w:val="auto"/>
                <w:szCs w:val="21"/>
                <w:highlight w:val="none"/>
                <w:lang w:val="zh-CN"/>
              </w:rPr>
              <w:t>其中电子</w:t>
            </w:r>
            <w:r>
              <w:rPr>
                <w:rFonts w:hint="eastAsia" w:ascii="宋体" w:hAnsi="宋体" w:cs="宋体"/>
                <w:color w:val="auto"/>
                <w:szCs w:val="21"/>
                <w:highlight w:val="none"/>
              </w:rPr>
              <w:t>磋商响应</w:t>
            </w:r>
            <w:r>
              <w:rPr>
                <w:rFonts w:hint="eastAsia" w:ascii="宋体" w:hAnsi="宋体" w:cs="宋体"/>
                <w:color w:val="auto"/>
                <w:szCs w:val="21"/>
                <w:highlight w:val="none"/>
                <w:lang w:val="zh-CN"/>
              </w:rPr>
              <w:t>文件中所须加盖公章部分均采用CA签章。</w:t>
            </w:r>
          </w:p>
          <w:p>
            <w:pPr>
              <w:pStyle w:val="62"/>
              <w:keepNext w:val="0"/>
              <w:keepLines w:val="0"/>
              <w:suppressLineNumbers w:val="0"/>
              <w:shd w:val="clear"/>
              <w:spacing w:before="0" w:beforeAutospacing="0" w:after="156" w:afterAutospacing="0" w:line="320" w:lineRule="exact"/>
              <w:ind w:left="0" w:right="0" w:firstLine="0" w:firstLineChars="0"/>
              <w:rPr>
                <w:rFonts w:hint="default" w:hAnsi="宋体"/>
                <w:color w:val="auto"/>
                <w:sz w:val="21"/>
                <w:szCs w:val="21"/>
                <w:highlight w:val="none"/>
              </w:rPr>
            </w:pPr>
            <w:r>
              <w:rPr>
                <w:rFonts w:hint="eastAsia" w:ascii="宋体" w:hAnsi="宋体" w:cs="宋体"/>
                <w:color w:val="auto"/>
                <w:kern w:val="2"/>
                <w:sz w:val="21"/>
                <w:szCs w:val="21"/>
                <w:highlight w:val="none"/>
              </w:rPr>
              <w:t>注：</w:t>
            </w:r>
            <w:r>
              <w:rPr>
                <w:rFonts w:hint="eastAsia" w:ascii="宋体" w:hAnsi="宋体" w:cs="宋体"/>
                <w:color w:val="auto"/>
                <w:kern w:val="2"/>
                <w:sz w:val="21"/>
                <w:szCs w:val="21"/>
                <w:highlight w:val="none"/>
                <w:lang w:val="en-US"/>
              </w:rPr>
              <w:t>电子</w:t>
            </w:r>
            <w:r>
              <w:rPr>
                <w:rFonts w:hint="eastAsia" w:ascii="宋体" w:hAnsi="宋体" w:cs="宋体"/>
                <w:color w:val="auto"/>
                <w:kern w:val="2"/>
                <w:sz w:val="21"/>
                <w:szCs w:val="21"/>
                <w:highlight w:val="none"/>
              </w:rPr>
              <w:t>磋商响应</w:t>
            </w:r>
            <w:r>
              <w:rPr>
                <w:rFonts w:hint="eastAsia" w:ascii="宋体" w:hAnsi="宋体" w:cs="宋体"/>
                <w:color w:val="auto"/>
                <w:kern w:val="2"/>
                <w:sz w:val="21"/>
                <w:szCs w:val="21"/>
                <w:highlight w:val="none"/>
                <w:lang w:val="en-US"/>
              </w:rPr>
              <w:t>文件，按政采云平台供应商项目采购-电子招投标操作指南（网址：</w:t>
            </w:r>
            <w:r>
              <w:rPr>
                <w:rFonts w:hint="eastAsia" w:ascii="宋体" w:hAnsi="宋体" w:eastAsia="宋体" w:cs="宋体"/>
                <w:color w:val="auto"/>
                <w:kern w:val="2"/>
                <w:sz w:val="21"/>
                <w:szCs w:val="21"/>
                <w:highlight w:val="none"/>
              </w:rPr>
              <w:t>https://service.zcygov.cn/#/knowledges/CW1EtGwBFdiHxlNd6I3m/6IMVAG0BFdiHxlNdQ8Na</w:t>
            </w:r>
            <w:r>
              <w:rPr>
                <w:rFonts w:hint="eastAsia" w:ascii="宋体" w:hAnsi="宋体" w:cs="宋体"/>
                <w:color w:val="auto"/>
                <w:kern w:val="2"/>
                <w:sz w:val="21"/>
                <w:szCs w:val="21"/>
                <w:highlight w:val="none"/>
                <w:lang w:val="en-US"/>
              </w:rPr>
              <w:t>）及本</w:t>
            </w:r>
            <w:r>
              <w:rPr>
                <w:rFonts w:hint="eastAsia" w:ascii="宋体" w:hAnsi="宋体" w:cs="宋体"/>
                <w:color w:val="auto"/>
                <w:kern w:val="2"/>
                <w:sz w:val="21"/>
                <w:szCs w:val="21"/>
                <w:highlight w:val="none"/>
              </w:rPr>
              <w:t>竞争性磋商</w:t>
            </w:r>
            <w:r>
              <w:rPr>
                <w:rFonts w:hint="eastAsia" w:ascii="宋体" w:hAnsi="宋体" w:cs="宋体"/>
                <w:color w:val="auto"/>
                <w:kern w:val="2"/>
                <w:sz w:val="21"/>
                <w:szCs w:val="21"/>
                <w:highlight w:val="none"/>
                <w:lang w:val="en-US"/>
              </w:rPr>
              <w:t>文件要求递交。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新宋体" w:hAnsi="新宋体" w:eastAsia="新宋体"/>
                <w:color w:val="auto"/>
                <w:szCs w:val="21"/>
                <w:highlight w:val="none"/>
              </w:rPr>
            </w:pPr>
            <w:r>
              <w:rPr>
                <w:rFonts w:hint="eastAsia" w:ascii="新宋体" w:hAnsi="新宋体" w:eastAsia="新宋体"/>
                <w:color w:val="auto"/>
                <w:szCs w:val="21"/>
                <w:highlight w:val="none"/>
              </w:rPr>
              <w:t>12</w:t>
            </w:r>
          </w:p>
        </w:tc>
        <w:tc>
          <w:tcPr>
            <w:tcW w:w="8724" w:type="dxa"/>
            <w:vAlign w:val="center"/>
          </w:tcPr>
          <w:p>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ascii="宋体" w:hAnsi="宋体"/>
                <w:b/>
                <w:color w:val="auto"/>
                <w:szCs w:val="21"/>
                <w:highlight w:val="none"/>
              </w:rPr>
              <w:t>磋商时间</w:t>
            </w:r>
            <w:r>
              <w:rPr>
                <w:rFonts w:hint="eastAsia" w:hAnsi="宋体"/>
                <w:b/>
                <w:color w:val="auto"/>
                <w:szCs w:val="21"/>
                <w:highlight w:val="none"/>
              </w:rPr>
              <w:t>：</w:t>
            </w:r>
            <w:r>
              <w:rPr>
                <w:rFonts w:hint="eastAsia"/>
                <w:color w:val="auto"/>
                <w:szCs w:val="21"/>
                <w:highlight w:val="none"/>
              </w:rPr>
              <w:t> </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0分</w:t>
            </w:r>
            <w:r>
              <w:rPr>
                <w:rFonts w:hint="eastAsia" w:ascii="宋体" w:hAnsi="宋体"/>
                <w:color w:val="auto"/>
                <w:szCs w:val="21"/>
                <w:highlight w:val="none"/>
              </w:rPr>
              <w:t>整。</w:t>
            </w:r>
          </w:p>
          <w:p>
            <w:pPr>
              <w:keepNext w:val="0"/>
              <w:keepLines w:val="0"/>
              <w:suppressLineNumbers w:val="0"/>
              <w:shd w:val="clear"/>
              <w:spacing w:before="0" w:beforeAutospacing="0" w:after="0" w:afterAutospacing="0" w:line="400" w:lineRule="exact"/>
              <w:ind w:left="0" w:right="0"/>
              <w:jc w:val="left"/>
              <w:rPr>
                <w:rFonts w:hint="default" w:ascii="宋体"/>
                <w:color w:val="auto"/>
                <w:szCs w:val="21"/>
                <w:highlight w:val="none"/>
              </w:rPr>
            </w:pPr>
            <w:r>
              <w:rPr>
                <w:rFonts w:hint="eastAsia" w:ascii="宋体" w:hAnsi="宋体"/>
                <w:b/>
                <w:color w:val="auto"/>
                <w:szCs w:val="21"/>
                <w:highlight w:val="none"/>
              </w:rPr>
              <w:t>磋商地点：</w:t>
            </w:r>
            <w:r>
              <w:rPr>
                <w:rFonts w:hint="eastAsia" w:ascii="宋体" w:hAnsi="宋体" w:eastAsia="宋体" w:cs="宋体"/>
                <w:i w:val="0"/>
                <w:iCs w:val="0"/>
                <w:caps w:val="0"/>
                <w:color w:val="auto"/>
                <w:spacing w:val="0"/>
                <w:sz w:val="21"/>
                <w:szCs w:val="21"/>
                <w:highlight w:val="none"/>
                <w:shd w:val="clear" w:color="auto" w:fill="auto"/>
              </w:rPr>
              <w:t>嘉兴市明扬工程咨询有限公司</w:t>
            </w:r>
            <w:r>
              <w:rPr>
                <w:rFonts w:hint="eastAsia" w:ascii="宋体" w:hAnsi="宋体" w:cs="宋体"/>
                <w:i w:val="0"/>
                <w:iCs w:val="0"/>
                <w:caps w:val="0"/>
                <w:color w:val="auto"/>
                <w:spacing w:val="0"/>
                <w:sz w:val="21"/>
                <w:szCs w:val="21"/>
                <w:highlight w:val="none"/>
                <w:shd w:val="clear" w:color="auto" w:fill="auto"/>
                <w:lang w:eastAsia="zh-CN"/>
              </w:rPr>
              <w:t>会议室</w:t>
            </w:r>
            <w:r>
              <w:rPr>
                <w:rFonts w:hint="eastAsia" w:ascii="宋体" w:hAnsi="宋体" w:eastAsia="宋体" w:cs="宋体"/>
                <w:i w:val="0"/>
                <w:iCs w:val="0"/>
                <w:caps w:val="0"/>
                <w:color w:val="auto"/>
                <w:spacing w:val="0"/>
                <w:sz w:val="21"/>
                <w:szCs w:val="21"/>
                <w:highlight w:val="none"/>
                <w:shd w:val="clear" w:color="auto" w:fill="auto"/>
              </w:rPr>
              <w:t>（嘉兴市长水路116号百瑞大厦5楼）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3</w:t>
            </w:r>
          </w:p>
        </w:tc>
        <w:tc>
          <w:tcPr>
            <w:tcW w:w="8724" w:type="dxa"/>
            <w:vAlign w:val="center"/>
          </w:tcPr>
          <w:p>
            <w:pPr>
              <w:keepNext w:val="0"/>
              <w:keepLines w:val="0"/>
              <w:suppressLineNumbers w:val="0"/>
              <w:shd w:val="clear"/>
              <w:spacing w:before="0" w:beforeAutospacing="0" w:after="0" w:afterAutospacing="0" w:line="400" w:lineRule="exact"/>
              <w:ind w:left="0" w:right="0"/>
              <w:jc w:val="left"/>
              <w:rPr>
                <w:rFonts w:hint="default" w:ascii="宋体"/>
                <w:b/>
                <w:color w:val="auto"/>
                <w:szCs w:val="21"/>
                <w:highlight w:val="none"/>
              </w:rPr>
            </w:pPr>
            <w:r>
              <w:rPr>
                <w:rFonts w:hint="eastAsia" w:ascii="宋体" w:hAnsi="宋体" w:cs="宋体"/>
                <w:color w:val="auto"/>
                <w:szCs w:val="21"/>
                <w:highlight w:val="none"/>
              </w:rPr>
              <w:t>成交公告及成交通知书：中标、成交供应商确定之日起</w:t>
            </w:r>
            <w:r>
              <w:rPr>
                <w:rFonts w:hint="default" w:ascii="宋体" w:hAnsi="宋体" w:cs="宋体"/>
                <w:color w:val="auto"/>
                <w:szCs w:val="21"/>
                <w:highlight w:val="none"/>
              </w:rPr>
              <w:t>2</w:t>
            </w:r>
            <w:r>
              <w:rPr>
                <w:rFonts w:hint="eastAsia" w:ascii="宋体" w:hAnsi="宋体" w:cs="宋体"/>
                <w:color w:val="auto"/>
                <w:szCs w:val="21"/>
                <w:highlight w:val="none"/>
              </w:rPr>
              <w:t>个工作日内，成交公告发布于浙江政府采购网(http://zfcg.czt.zj.gov.cn/)，公告期限为</w:t>
            </w:r>
            <w:r>
              <w:rPr>
                <w:rFonts w:hint="default" w:ascii="宋体" w:hAnsi="宋体" w:cs="宋体"/>
                <w:color w:val="auto"/>
                <w:szCs w:val="21"/>
                <w:highlight w:val="none"/>
              </w:rPr>
              <w:t>1</w:t>
            </w:r>
            <w:r>
              <w:rPr>
                <w:rFonts w:hint="eastAsia" w:ascii="宋体" w:hAnsi="宋体" w:cs="宋体"/>
                <w:color w:val="auto"/>
                <w:szCs w:val="21"/>
                <w:highlight w:val="none"/>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4</w:t>
            </w:r>
          </w:p>
        </w:tc>
        <w:tc>
          <w:tcPr>
            <w:tcW w:w="8724" w:type="dxa"/>
            <w:vAlign w:val="center"/>
          </w:tcPr>
          <w:p>
            <w:pPr>
              <w:keepNext w:val="0"/>
              <w:keepLines w:val="0"/>
              <w:suppressLineNumbers w:val="0"/>
              <w:shd w:val="clear"/>
              <w:spacing w:before="0" w:beforeAutospacing="0" w:after="0" w:afterAutospacing="0" w:line="400" w:lineRule="exact"/>
              <w:ind w:left="0" w:right="0"/>
              <w:jc w:val="left"/>
              <w:rPr>
                <w:rFonts w:hint="default" w:ascii="宋体"/>
                <w:b/>
                <w:color w:val="auto"/>
                <w:szCs w:val="21"/>
                <w:highlight w:val="none"/>
              </w:rPr>
            </w:pPr>
            <w:r>
              <w:rPr>
                <w:rFonts w:hint="eastAsia" w:ascii="宋体" w:hAnsi="宋体" w:cs="宋体"/>
                <w:color w:val="auto"/>
                <w:szCs w:val="21"/>
                <w:highlight w:val="none"/>
              </w:rPr>
              <w:t>合同公告：本项目政府采购合同将于签订之日起</w:t>
            </w:r>
            <w:r>
              <w:rPr>
                <w:rFonts w:hint="default" w:ascii="宋体" w:hAnsi="宋体" w:cs="宋体"/>
                <w:color w:val="auto"/>
                <w:szCs w:val="21"/>
                <w:highlight w:val="none"/>
              </w:rPr>
              <w:t>2</w:t>
            </w:r>
            <w:r>
              <w:rPr>
                <w:rFonts w:hint="eastAsia" w:ascii="宋体" w:hAnsi="宋体" w:cs="宋体"/>
                <w:color w:val="auto"/>
                <w:szCs w:val="21"/>
                <w:highlight w:val="none"/>
              </w:rPr>
              <w:t>个工作日内发布于上述媒体，但政府采购合同中涉及国家秘密、商业秘密的内容除外。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新宋体" w:hAnsi="新宋体" w:eastAsia="新宋体"/>
                <w:color w:val="auto"/>
                <w:szCs w:val="21"/>
                <w:highlight w:val="none"/>
              </w:rPr>
            </w:pPr>
            <w:r>
              <w:rPr>
                <w:rFonts w:hint="eastAsia" w:ascii="宋体" w:hAnsi="宋体" w:eastAsia="新宋体" w:cs="宋体"/>
                <w:color w:val="auto"/>
                <w:szCs w:val="21"/>
                <w:highlight w:val="none"/>
              </w:rPr>
              <w:t>15</w:t>
            </w:r>
          </w:p>
        </w:tc>
        <w:tc>
          <w:tcPr>
            <w:tcW w:w="8724" w:type="dxa"/>
            <w:vAlign w:val="center"/>
          </w:tcPr>
          <w:p>
            <w:pPr>
              <w:keepNext w:val="0"/>
              <w:keepLines w:val="0"/>
              <w:suppressLineNumbers w:val="0"/>
              <w:shd w:val="clear"/>
              <w:autoSpaceDE w:val="0"/>
              <w:autoSpaceDN w:val="0"/>
              <w:snapToGrid w:val="0"/>
              <w:spacing w:before="0" w:beforeAutospacing="0" w:after="0" w:afterAutospacing="0" w:line="360" w:lineRule="auto"/>
              <w:ind w:left="0" w:right="0"/>
              <w:textAlignment w:val="bottom"/>
              <w:rPr>
                <w:rFonts w:hint="default" w:ascii="宋体"/>
                <w:b/>
                <w:color w:val="auto"/>
                <w:szCs w:val="21"/>
                <w:highlight w:val="none"/>
              </w:rPr>
            </w:pPr>
            <w:r>
              <w:rPr>
                <w:rFonts w:hint="eastAsia" w:ascii="宋体" w:hAnsi="宋体" w:cs="宋体"/>
                <w:color w:val="auto"/>
                <w:szCs w:val="21"/>
                <w:highlight w:val="none"/>
              </w:rPr>
              <w:t>签订合同时间：成交通知书发出后</w:t>
            </w:r>
            <w:r>
              <w:rPr>
                <w:rFonts w:hint="default" w:ascii="宋体" w:hAnsi="宋体" w:cs="宋体"/>
                <w:color w:val="auto"/>
                <w:szCs w:val="21"/>
                <w:highlight w:val="none"/>
              </w:rPr>
              <w:t>30</w:t>
            </w:r>
            <w:r>
              <w:rPr>
                <w:rFonts w:hint="eastAsia" w:ascii="宋体" w:hAnsi="宋体" w:cs="宋体"/>
                <w:color w:val="auto"/>
                <w:szCs w:val="21"/>
                <w:highlight w:val="none"/>
              </w:rPr>
              <w:t>日内。建议采购人在采购结果质疑期（自采购结果公告之日起七个工作日）后与成交人签订政府采购合同。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新宋体" w:hAnsi="新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6</w:t>
            </w:r>
          </w:p>
        </w:tc>
        <w:tc>
          <w:tcPr>
            <w:tcW w:w="8724" w:type="dxa"/>
            <w:vAlign w:val="center"/>
          </w:tcPr>
          <w:p>
            <w:pPr>
              <w:keepNext w:val="0"/>
              <w:keepLines w:val="0"/>
              <w:suppressLineNumbers w:val="0"/>
              <w:shd w:val="clear"/>
              <w:autoSpaceDE w:val="0"/>
              <w:autoSpaceDN w:val="0"/>
              <w:snapToGrid w:val="0"/>
              <w:spacing w:before="0" w:beforeAutospacing="0" w:after="0" w:afterAutospacing="0" w:line="360" w:lineRule="auto"/>
              <w:ind w:left="0" w:right="0"/>
              <w:textAlignment w:val="bottom"/>
              <w:rPr>
                <w:rFonts w:hint="default" w:ascii="宋体"/>
                <w:b/>
                <w:color w:val="auto"/>
                <w:szCs w:val="21"/>
                <w:highlight w:val="none"/>
              </w:rPr>
            </w:pPr>
            <w:r>
              <w:rPr>
                <w:rFonts w:hint="eastAsia" w:ascii="宋体" w:hAnsi="宋体" w:cs="宋体"/>
                <w:color w:val="auto"/>
                <w:szCs w:val="21"/>
                <w:highlight w:val="none"/>
              </w:rPr>
              <w:t>信用记录：根据财库</w:t>
            </w:r>
            <w:r>
              <w:rPr>
                <w:rFonts w:hint="default" w:ascii="宋体" w:hAnsi="宋体" w:cs="宋体"/>
                <w:color w:val="auto"/>
                <w:szCs w:val="21"/>
                <w:highlight w:val="none"/>
              </w:rPr>
              <w:t>[2016]125</w:t>
            </w:r>
            <w:r>
              <w:rPr>
                <w:rFonts w:hint="eastAsia" w:ascii="宋体" w:hAnsi="宋体" w:cs="宋体"/>
                <w:color w:val="auto"/>
                <w:szCs w:val="21"/>
                <w:highlight w:val="none"/>
              </w:rPr>
              <w:t>号文件，通过“信用中国”网站（</w:t>
            </w:r>
            <w:r>
              <w:rPr>
                <w:rFonts w:hint="default" w:ascii="宋体" w:hAnsi="宋体" w:cs="宋体"/>
                <w:color w:val="auto"/>
                <w:szCs w:val="21"/>
                <w:highlight w:val="none"/>
              </w:rPr>
              <w:t>www.creditchina.gov.cn</w:t>
            </w:r>
            <w:r>
              <w:rPr>
                <w:rFonts w:hint="eastAsia" w:ascii="宋体" w:hAnsi="宋体" w:cs="宋体"/>
                <w:color w:val="auto"/>
                <w:szCs w:val="21"/>
                <w:highlight w:val="none"/>
              </w:rPr>
              <w:t>）、中国政府采购网（</w:t>
            </w:r>
            <w:r>
              <w:rPr>
                <w:rFonts w:hint="default" w:ascii="宋体" w:hAnsi="宋体" w:cs="宋体"/>
                <w:color w:val="auto"/>
                <w:szCs w:val="21"/>
                <w:highlight w:val="none"/>
              </w:rPr>
              <w:t>www.ccgp.gov.cn</w:t>
            </w:r>
            <w:r>
              <w:rPr>
                <w:rFonts w:hint="eastAsia" w:ascii="宋体" w:hAnsi="宋体" w:cs="宋体"/>
                <w:color w:val="auto"/>
                <w:szCs w:val="21"/>
                <w:highlight w:val="none"/>
              </w:rPr>
              <w:t>），以磋商当日网页查询记录为准。对列入失信被执行人、重大税收违法案件当事人名单、政府采购严重违法失信行为记录名单的供应商，其磋商响应文件将作无效标处理。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default" w:ascii="宋体" w:hAnsi="宋体" w:cs="宋体"/>
                <w:color w:val="auto"/>
                <w:szCs w:val="21"/>
                <w:highlight w:val="none"/>
              </w:rPr>
              <w:t>1</w:t>
            </w:r>
            <w:r>
              <w:rPr>
                <w:rFonts w:hint="eastAsia" w:ascii="宋体" w:hAnsi="宋体" w:cs="宋体"/>
                <w:color w:val="auto"/>
                <w:szCs w:val="21"/>
                <w:highlight w:val="none"/>
              </w:rPr>
              <w:t>7</w:t>
            </w:r>
          </w:p>
        </w:tc>
        <w:tc>
          <w:tcPr>
            <w:tcW w:w="8724" w:type="dxa"/>
            <w:vAlign w:val="center"/>
          </w:tcPr>
          <w:p>
            <w:pPr>
              <w:keepNext w:val="0"/>
              <w:keepLines w:val="0"/>
              <w:widowControl/>
              <w:suppressLineNumbers w:val="0"/>
              <w:shd w:val="clear"/>
              <w:spacing w:before="0" w:beforeAutospacing="0" w:after="0" w:afterAutospacing="0" w:line="400" w:lineRule="exact"/>
              <w:ind w:left="0" w:right="0"/>
              <w:jc w:val="both"/>
              <w:rPr>
                <w:rFonts w:hint="default" w:ascii="宋体" w:hAnsi="宋体" w:cs="宋体"/>
                <w:color w:val="auto"/>
                <w:szCs w:val="21"/>
                <w:highlight w:val="none"/>
              </w:rPr>
            </w:pPr>
            <w:r>
              <w:rPr>
                <w:rFonts w:hint="eastAsia" w:ascii="宋体" w:hAnsi="宋体" w:cs="宋体"/>
                <w:color w:val="auto"/>
                <w:szCs w:val="21"/>
                <w:highlight w:val="none"/>
              </w:rPr>
              <w:t>政府采购节能产品、环境标志产品实施品目清单管理：投标产品符合财库〔2019〕9号《关于调整优化节能产品、环境标志产品政府采购执行机制的通知》条件，属于强制采购目录的，</w:t>
            </w:r>
            <w:r>
              <w:rPr>
                <w:rFonts w:hint="eastAsia" w:ascii="宋体" w:hAnsi="宋体" w:cs="宋体"/>
                <w:color w:val="auto"/>
                <w:szCs w:val="21"/>
                <w:highlight w:val="none"/>
                <w:lang w:val="en-US" w:eastAsia="zh-CN"/>
              </w:rPr>
              <w:t>磋商</w:t>
            </w:r>
            <w:r>
              <w:rPr>
                <w:rFonts w:hint="eastAsia" w:ascii="宋体" w:hAnsi="宋体" w:cs="宋体"/>
                <w:color w:val="auto"/>
                <w:szCs w:val="21"/>
                <w:highlight w:val="none"/>
              </w:rPr>
              <w:t>时需提供有效的认证证书或其他证明材料，不属于强制采购的产品鼓励使用节能产品，予以政策加分；供应商属于小微企业、监狱企业、残疾人福利性单位视为小型、微型企业，享受小微企业政策扶持。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8724" w:type="dxa"/>
            <w:vAlign w:val="center"/>
          </w:tcPr>
          <w:p>
            <w:pPr>
              <w:keepNext w:val="0"/>
              <w:keepLines w:val="0"/>
              <w:widowControl/>
              <w:suppressLineNumbers w:val="0"/>
              <w:shd w:val="clear"/>
              <w:spacing w:before="0" w:beforeAutospacing="0" w:after="0" w:afterAutospacing="0" w:line="400" w:lineRule="exact"/>
              <w:ind w:left="0" w:right="0"/>
              <w:jc w:val="both"/>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rPr>
              <w:t>本项目采购标的对应的中小企业划分标准所属行业为</w:t>
            </w:r>
            <w:r>
              <w:rPr>
                <w:rFonts w:hint="eastAsia" w:ascii="宋体" w:hAnsi="宋体" w:eastAsia="宋体" w:cs="宋体"/>
                <w:b/>
                <w:bCs/>
                <w:color w:val="auto"/>
                <w:szCs w:val="21"/>
                <w:highlight w:val="none"/>
                <w:lang w:eastAsia="zh-CN"/>
              </w:rPr>
              <w:t>：</w:t>
            </w:r>
            <w:r>
              <w:rPr>
                <w:rFonts w:hint="eastAsia" w:ascii="宋体" w:hAnsi="宋体" w:cs="宋体"/>
                <w:b/>
                <w:bCs/>
                <w:color w:val="auto"/>
                <w:szCs w:val="21"/>
                <w:highlight w:val="no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9</w:t>
            </w:r>
          </w:p>
        </w:tc>
        <w:tc>
          <w:tcPr>
            <w:tcW w:w="8724" w:type="dxa"/>
            <w:vAlign w:val="center"/>
          </w:tcPr>
          <w:p>
            <w:pPr>
              <w:pStyle w:val="2"/>
              <w:keepNext w:val="0"/>
              <w:keepLines w:val="0"/>
              <w:suppressLineNumbers w:val="0"/>
              <w:shd w:val="clear"/>
              <w:spacing w:before="0" w:beforeAutospacing="0" w:after="0" w:afterAutospacing="0" w:line="360" w:lineRule="exact"/>
              <w:ind w:left="0" w:leftChars="0" w:right="0" w:firstLine="0" w:firstLineChars="0"/>
              <w:jc w:val="left"/>
              <w:rPr>
                <w:rFonts w:hint="default" w:ascii="宋体" w:hAnsi="宋体" w:cs="宋体"/>
                <w:color w:val="auto"/>
                <w:kern w:val="0"/>
                <w:sz w:val="21"/>
                <w:szCs w:val="21"/>
                <w:highlight w:val="none"/>
              </w:rPr>
            </w:pPr>
            <w:r>
              <w:rPr>
                <w:rFonts w:hint="eastAsia" w:ascii="宋体" w:hAnsi="宋体" w:cs="宋体"/>
                <w:b/>
                <w:color w:val="auto"/>
                <w:sz w:val="21"/>
                <w:szCs w:val="21"/>
                <w:highlight w:val="none"/>
              </w:rPr>
              <w:t>本项目不要求供应商至磋商现场，</w:t>
            </w:r>
            <w:r>
              <w:rPr>
                <w:rStyle w:val="93"/>
                <w:rFonts w:hint="default" w:cs="宋体"/>
                <w:b/>
                <w:bCs/>
                <w:color w:val="auto"/>
                <w:kern w:val="0"/>
                <w:highlight w:val="none"/>
              </w:rPr>
              <w:t>但须准时在线参加，直至</w:t>
            </w:r>
            <w:r>
              <w:rPr>
                <w:rStyle w:val="93"/>
                <w:rFonts w:hint="eastAsia" w:cs="宋体"/>
                <w:b/>
                <w:bCs/>
                <w:color w:val="auto"/>
                <w:kern w:val="0"/>
                <w:highlight w:val="none"/>
              </w:rPr>
              <w:t>磋商</w:t>
            </w:r>
            <w:r>
              <w:rPr>
                <w:rStyle w:val="93"/>
                <w:rFonts w:hint="default" w:cs="宋体"/>
                <w:b/>
                <w:bCs/>
                <w:color w:val="auto"/>
                <w:kern w:val="0"/>
                <w:highlight w:val="none"/>
              </w:rPr>
              <w:t>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宋体" w:hAnsi="宋体" w:cs="宋体"/>
                <w:color w:val="auto"/>
                <w:szCs w:val="21"/>
                <w:highlight w:val="none"/>
              </w:rPr>
            </w:pPr>
            <w:r>
              <w:rPr>
                <w:rFonts w:hint="eastAsia" w:ascii="宋体" w:hAnsi="宋体" w:cs="宋体"/>
                <w:color w:val="auto"/>
                <w:szCs w:val="21"/>
                <w:highlight w:val="none"/>
                <w:lang w:val="en-US" w:eastAsia="zh-CN"/>
              </w:rPr>
              <w:t>20</w:t>
            </w:r>
          </w:p>
        </w:tc>
        <w:tc>
          <w:tcPr>
            <w:tcW w:w="8724" w:type="dxa"/>
            <w:vAlign w:val="center"/>
          </w:tcPr>
          <w:p>
            <w:pPr>
              <w:keepNext w:val="0"/>
              <w:keepLines w:val="0"/>
              <w:suppressLineNumbers w:val="0"/>
              <w:shd w:val="clear"/>
              <w:snapToGrid w:val="0"/>
              <w:spacing w:before="0" w:beforeAutospacing="0" w:after="0" w:afterAutospacing="0" w:line="360" w:lineRule="exact"/>
              <w:ind w:left="0" w:right="0"/>
              <w:jc w:val="left"/>
              <w:rPr>
                <w:rFonts w:hint="default" w:ascii="宋体" w:cs="宋体"/>
                <w:color w:val="auto"/>
                <w:szCs w:val="21"/>
                <w:highlight w:val="none"/>
              </w:rPr>
            </w:pPr>
            <w:r>
              <w:rPr>
                <w:rStyle w:val="93"/>
                <w:rFonts w:hint="eastAsia" w:cs="宋体"/>
                <w:b/>
                <w:bCs/>
                <w:color w:val="auto"/>
                <w:kern w:val="0"/>
                <w:szCs w:val="21"/>
                <w:highlight w:val="none"/>
              </w:rPr>
              <w:t>供应商请自行配备电脑及</w:t>
            </w:r>
            <w:r>
              <w:rPr>
                <w:rStyle w:val="93"/>
                <w:rFonts w:hint="default" w:cs="宋体"/>
                <w:b/>
                <w:bCs/>
                <w:color w:val="auto"/>
                <w:kern w:val="0"/>
                <w:szCs w:val="21"/>
                <w:highlight w:val="none"/>
              </w:rPr>
              <w:t>CA</w:t>
            </w:r>
            <w:r>
              <w:rPr>
                <w:rFonts w:hint="eastAsia" w:ascii="宋体" w:hAnsi="宋体" w:cs="宋体"/>
                <w:b/>
                <w:color w:val="auto"/>
                <w:kern w:val="0"/>
                <w:szCs w:val="21"/>
                <w:highlight w:val="none"/>
              </w:rPr>
              <w:t>数字证书</w:t>
            </w:r>
            <w:r>
              <w:rPr>
                <w:rStyle w:val="93"/>
                <w:rFonts w:hint="eastAsia" w:cs="宋体"/>
                <w:b/>
                <w:bCs/>
                <w:color w:val="auto"/>
                <w:kern w:val="0"/>
                <w:szCs w:val="21"/>
                <w:highlight w:val="none"/>
              </w:rPr>
              <w:t>在竞争性磋商文件规定时间内完成传输、解密等事宜。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27" w:type="dxa"/>
            <w:vAlign w:val="center"/>
          </w:tcPr>
          <w:p>
            <w:pPr>
              <w:pStyle w:val="10"/>
              <w:keepNext w:val="0"/>
              <w:keepLines w:val="0"/>
              <w:suppressLineNumbers w:val="0"/>
              <w:shd w:val="clear"/>
              <w:spacing w:before="0" w:beforeAutospacing="0" w:after="0" w:afterAutospacing="0" w:line="400" w:lineRule="exact"/>
              <w:ind w:left="0" w:right="0" w:firstLine="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8724" w:type="dxa"/>
            <w:vAlign w:val="center"/>
          </w:tcPr>
          <w:p>
            <w:pPr>
              <w:keepNext w:val="0"/>
              <w:keepLines w:val="0"/>
              <w:widowControl/>
              <w:suppressLineNumbers w:val="0"/>
              <w:shd w:val="clear"/>
              <w:spacing w:before="0" w:beforeAutospacing="0" w:after="0" w:afterAutospacing="0"/>
              <w:ind w:left="0" w:right="0"/>
              <w:jc w:val="left"/>
              <w:rPr>
                <w:rFonts w:hint="default" w:ascii="宋体" w:cs="宋体"/>
                <w:color w:val="auto"/>
                <w:kern w:val="0"/>
                <w:szCs w:val="21"/>
                <w:highlight w:val="none"/>
              </w:rPr>
            </w:pPr>
            <w:r>
              <w:rPr>
                <w:rFonts w:hint="eastAsia" w:ascii="宋体" w:hAnsi="宋体" w:cs="宋体"/>
                <w:color w:val="auto"/>
                <w:kern w:val="0"/>
                <w:szCs w:val="21"/>
                <w:highlight w:val="none"/>
              </w:rPr>
              <w:t>注：根据财库</w:t>
            </w:r>
            <w:r>
              <w:rPr>
                <w:rFonts w:hint="default" w:ascii="宋体" w:hAnsi="宋体" w:cs="宋体"/>
                <w:color w:val="auto"/>
                <w:kern w:val="0"/>
                <w:szCs w:val="21"/>
                <w:highlight w:val="none"/>
              </w:rPr>
              <w:t>[2015] 124</w:t>
            </w:r>
            <w:r>
              <w:rPr>
                <w:rFonts w:hint="eastAsia" w:ascii="宋体" w:hAnsi="宋体" w:cs="宋体"/>
                <w:color w:val="auto"/>
                <w:kern w:val="0"/>
                <w:szCs w:val="21"/>
                <w:highlight w:val="none"/>
              </w:rPr>
              <w:t>号采用竞争性磋商采购方式采购的政府购买服务项目（含政府和社会资本合作项目），在采购过程中符合要求的供应商（社会资本）只有</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家的，竞争性磋商采购活动可以继续进行。</w:t>
            </w:r>
          </w:p>
        </w:tc>
      </w:tr>
    </w:tbl>
    <w:p>
      <w:pPr>
        <w:shd w:val="clear"/>
        <w:spacing w:before="156" w:beforeLines="50" w:after="156" w:afterLines="50" w:line="400" w:lineRule="exact"/>
        <w:jc w:val="center"/>
        <w:outlineLvl w:val="1"/>
        <w:rPr>
          <w:rFonts w:ascii="宋体"/>
          <w:b/>
          <w:color w:val="auto"/>
          <w:sz w:val="28"/>
          <w:szCs w:val="28"/>
          <w:highlight w:val="none"/>
        </w:rPr>
      </w:pPr>
      <w:bookmarkStart w:id="26" w:name="_Toc20894"/>
      <w:bookmarkStart w:id="27" w:name="_Toc23155"/>
      <w:bookmarkStart w:id="28" w:name="_Toc11305"/>
      <w:bookmarkStart w:id="29" w:name="_Toc17471"/>
      <w:bookmarkStart w:id="30" w:name="_Toc15710"/>
      <w:bookmarkStart w:id="31" w:name="_Toc20193"/>
      <w:bookmarkStart w:id="32" w:name="_Toc3317"/>
      <w:bookmarkStart w:id="33" w:name="_Toc177870536"/>
      <w:bookmarkStart w:id="34" w:name="_Toc28209"/>
      <w:r>
        <w:rPr>
          <w:rFonts w:hint="eastAsia" w:ascii="宋体" w:hAnsi="宋体"/>
          <w:b/>
          <w:color w:val="auto"/>
          <w:sz w:val="28"/>
          <w:szCs w:val="28"/>
          <w:highlight w:val="none"/>
        </w:rPr>
        <w:t>一、总则</w:t>
      </w:r>
      <w:bookmarkEnd w:id="26"/>
      <w:bookmarkEnd w:id="27"/>
      <w:bookmarkEnd w:id="28"/>
      <w:bookmarkEnd w:id="29"/>
      <w:bookmarkEnd w:id="30"/>
      <w:bookmarkEnd w:id="31"/>
      <w:bookmarkEnd w:id="32"/>
      <w:bookmarkEnd w:id="33"/>
      <w:bookmarkEnd w:id="34"/>
    </w:p>
    <w:p>
      <w:pPr>
        <w:shd w:val="clear"/>
        <w:snapToGrid w:val="0"/>
        <w:spacing w:line="400" w:lineRule="exact"/>
        <w:jc w:val="left"/>
        <w:rPr>
          <w:rFonts w:ascii="宋体"/>
          <w:b/>
          <w:color w:val="auto"/>
          <w:szCs w:val="21"/>
          <w:highlight w:val="none"/>
        </w:rPr>
      </w:pPr>
      <w:bookmarkStart w:id="35" w:name="_Toc177870537"/>
      <w:bookmarkStart w:id="36" w:name="_Toc177824939"/>
      <w:bookmarkStart w:id="37" w:name="_Toc177824872"/>
      <w:bookmarkStart w:id="38" w:name="_Toc177825120"/>
      <w:r>
        <w:rPr>
          <w:rFonts w:ascii="宋体" w:hAnsi="宋体"/>
          <w:b/>
          <w:color w:val="auto"/>
          <w:szCs w:val="21"/>
          <w:highlight w:val="none"/>
        </w:rPr>
        <w:t xml:space="preserve">1. </w:t>
      </w:r>
      <w:r>
        <w:rPr>
          <w:rFonts w:hint="eastAsia" w:ascii="宋体" w:hAnsi="宋体"/>
          <w:b/>
          <w:color w:val="auto"/>
          <w:szCs w:val="21"/>
          <w:highlight w:val="none"/>
        </w:rPr>
        <w:t>适用范围</w:t>
      </w:r>
      <w:bookmarkEnd w:id="35"/>
      <w:bookmarkEnd w:id="36"/>
      <w:bookmarkEnd w:id="37"/>
      <w:bookmarkEnd w:id="38"/>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1.1 </w:t>
      </w:r>
      <w:r>
        <w:rPr>
          <w:rFonts w:hint="eastAsia" w:ascii="宋体" w:hAnsi="宋体"/>
          <w:color w:val="auto"/>
          <w:szCs w:val="21"/>
          <w:highlight w:val="none"/>
        </w:rPr>
        <w:t>本竞争性磋商文件适用于本次所述项目的磋商。</w:t>
      </w:r>
    </w:p>
    <w:p>
      <w:pPr>
        <w:shd w:val="clear"/>
        <w:snapToGrid w:val="0"/>
        <w:spacing w:line="400" w:lineRule="exact"/>
        <w:jc w:val="left"/>
        <w:rPr>
          <w:rFonts w:ascii="宋体"/>
          <w:b/>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相关名词说明</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2.1 </w:t>
      </w:r>
      <w:r>
        <w:rPr>
          <w:rFonts w:hint="eastAsia" w:ascii="宋体" w:hAnsi="宋体"/>
          <w:color w:val="auto"/>
          <w:szCs w:val="21"/>
          <w:highlight w:val="none"/>
        </w:rPr>
        <w:t>潜在供应商领取竞争性磋商文件后</w:t>
      </w:r>
      <w:r>
        <w:rPr>
          <w:rFonts w:ascii="宋体"/>
          <w:color w:val="auto"/>
          <w:szCs w:val="21"/>
          <w:highlight w:val="none"/>
        </w:rPr>
        <w:t>,</w:t>
      </w:r>
      <w:r>
        <w:rPr>
          <w:rFonts w:hint="eastAsia" w:ascii="宋体" w:hAnsi="宋体"/>
          <w:color w:val="auto"/>
          <w:szCs w:val="21"/>
          <w:highlight w:val="none"/>
        </w:rPr>
        <w:t>必须按《</w:t>
      </w:r>
      <w:r>
        <w:rPr>
          <w:rFonts w:hint="eastAsia" w:ascii="宋体" w:hAnsi="宋体"/>
          <w:color w:val="auto"/>
          <w:szCs w:val="21"/>
          <w:highlight w:val="none"/>
          <w:lang w:val="en-US" w:eastAsia="zh-CN"/>
        </w:rPr>
        <w:t>中华人民共和国保守国家秘密</w:t>
      </w:r>
      <w:r>
        <w:rPr>
          <w:rFonts w:hint="eastAsia" w:ascii="宋体" w:hAnsi="宋体"/>
          <w:color w:val="auto"/>
          <w:szCs w:val="21"/>
          <w:highlight w:val="none"/>
        </w:rPr>
        <w:t>法》以及保密工作的相关规定，对竞争性磋商文件内容应承担保密义务，维护采购人的权益，发生窃、泄密事件潜在供应商应承担相应的法律责任。</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2.2 </w:t>
      </w:r>
      <w:r>
        <w:rPr>
          <w:rFonts w:hint="eastAsia" w:ascii="宋体" w:hAnsi="宋体"/>
          <w:color w:val="auto"/>
          <w:szCs w:val="21"/>
          <w:highlight w:val="none"/>
        </w:rPr>
        <w:t>供应商一旦参与本次采购活动，即被视为接受了本竞争性磋商文件的所有内容，如有任何异议，均需在答疑截止时间前以书面形式提出。</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2.3 </w:t>
      </w:r>
      <w:r>
        <w:rPr>
          <w:rFonts w:hint="eastAsia" w:ascii="宋体" w:hAnsi="宋体"/>
          <w:color w:val="auto"/>
          <w:szCs w:val="21"/>
          <w:highlight w:val="none"/>
        </w:rPr>
        <w:t>磋商须对所磋商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hd w:val="clear"/>
        <w:snapToGrid w:val="0"/>
        <w:spacing w:line="400" w:lineRule="exact"/>
        <w:jc w:val="left"/>
        <w:rPr>
          <w:rFonts w:ascii="宋体"/>
          <w:b/>
          <w:color w:val="auto"/>
          <w:szCs w:val="21"/>
          <w:highlight w:val="none"/>
        </w:rPr>
      </w:pPr>
      <w:bookmarkStart w:id="39" w:name="_Toc177824940"/>
      <w:bookmarkStart w:id="40" w:name="_Toc177824873"/>
      <w:bookmarkStart w:id="41" w:name="_Toc177870538"/>
      <w:bookmarkStart w:id="42" w:name="_Toc177825121"/>
      <w:r>
        <w:rPr>
          <w:rFonts w:ascii="宋体" w:hAnsi="宋体"/>
          <w:b/>
          <w:color w:val="auto"/>
          <w:szCs w:val="21"/>
          <w:highlight w:val="none"/>
        </w:rPr>
        <w:t>3.</w:t>
      </w:r>
      <w:r>
        <w:rPr>
          <w:rFonts w:hint="eastAsia" w:ascii="宋体" w:hAnsi="宋体"/>
          <w:b/>
          <w:color w:val="auto"/>
          <w:szCs w:val="21"/>
          <w:highlight w:val="none"/>
        </w:rPr>
        <w:t>定义</w:t>
      </w:r>
      <w:bookmarkEnd w:id="39"/>
      <w:bookmarkEnd w:id="40"/>
      <w:bookmarkEnd w:id="41"/>
      <w:bookmarkEnd w:id="42"/>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3.1 </w:t>
      </w:r>
      <w:r>
        <w:rPr>
          <w:rFonts w:hint="eastAsia" w:ascii="宋体" w:hAnsi="宋体"/>
          <w:color w:val="auto"/>
          <w:szCs w:val="21"/>
          <w:highlight w:val="none"/>
        </w:rPr>
        <w:t>“招标人或采购人”指</w:t>
      </w:r>
      <w:r>
        <w:rPr>
          <w:rFonts w:hint="eastAsia" w:ascii="宋体" w:hAnsi="宋体"/>
          <w:color w:val="auto"/>
          <w:szCs w:val="21"/>
          <w:highlight w:val="none"/>
          <w:lang w:eastAsia="zh-CN"/>
        </w:rPr>
        <w:t>嘉兴市杭嘉湖南排工程管理服务中心</w:t>
      </w:r>
      <w:r>
        <w:rPr>
          <w:rFonts w:hint="eastAsia" w:ascii="宋体" w:hAnsi="宋体"/>
          <w:color w:val="auto"/>
          <w:szCs w:val="21"/>
          <w:highlight w:val="none"/>
        </w:rPr>
        <w:t>。</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3.2 </w:t>
      </w:r>
      <w:r>
        <w:rPr>
          <w:rFonts w:hint="eastAsia" w:ascii="仿宋_GB2312" w:eastAsia="仿宋_GB2312"/>
          <w:color w:val="auto"/>
          <w:sz w:val="24"/>
          <w:highlight w:val="none"/>
        </w:rPr>
        <w:t>“</w:t>
      </w:r>
      <w:r>
        <w:rPr>
          <w:rFonts w:hint="eastAsia" w:ascii="宋体" w:hAnsi="宋体"/>
          <w:color w:val="auto"/>
          <w:szCs w:val="21"/>
          <w:highlight w:val="none"/>
        </w:rPr>
        <w:t>招标代理”指嘉兴市明扬工程咨询有限公司。</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3.3 </w:t>
      </w:r>
      <w:r>
        <w:rPr>
          <w:rFonts w:hint="eastAsia" w:ascii="宋体" w:hAnsi="宋体"/>
          <w:color w:val="auto"/>
          <w:szCs w:val="21"/>
          <w:highlight w:val="none"/>
        </w:rPr>
        <w:t>“供应商”指向招标人提交磋商响应文件的供应商。</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3.4 </w:t>
      </w:r>
      <w:r>
        <w:rPr>
          <w:rFonts w:hint="eastAsia" w:ascii="宋体" w:hAnsi="宋体"/>
          <w:color w:val="auto"/>
          <w:szCs w:val="21"/>
          <w:highlight w:val="none"/>
        </w:rPr>
        <w:t>“服务”系指竞争性磋商文件规定供应商须承担的</w:t>
      </w:r>
      <w:r>
        <w:rPr>
          <w:rFonts w:hint="eastAsia" w:ascii="宋体" w:hAnsi="宋体" w:cs="宋体"/>
          <w:color w:val="auto"/>
          <w:szCs w:val="21"/>
          <w:highlight w:val="none"/>
          <w:lang w:eastAsia="zh-CN"/>
        </w:rPr>
        <w:t>服务</w:t>
      </w:r>
      <w:r>
        <w:rPr>
          <w:rFonts w:hint="eastAsia" w:ascii="宋体" w:hAnsi="宋体"/>
          <w:color w:val="auto"/>
          <w:szCs w:val="21"/>
          <w:highlight w:val="none"/>
        </w:rPr>
        <w:t>及其他相关的义务。</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3.5 </w:t>
      </w:r>
      <w:r>
        <w:rPr>
          <w:rFonts w:hint="eastAsia" w:ascii="宋体" w:hAnsi="宋体"/>
          <w:color w:val="auto"/>
          <w:szCs w:val="21"/>
          <w:highlight w:val="none"/>
        </w:rPr>
        <w:t>“书面形式”包括信函、传真、电报、电子文档等。</w:t>
      </w:r>
    </w:p>
    <w:p>
      <w:pPr>
        <w:shd w:val="clear"/>
        <w:snapToGrid w:val="0"/>
        <w:spacing w:line="400" w:lineRule="exact"/>
        <w:jc w:val="left"/>
        <w:rPr>
          <w:rFonts w:ascii="宋体"/>
          <w:color w:val="auto"/>
          <w:szCs w:val="21"/>
          <w:highlight w:val="none"/>
        </w:rPr>
      </w:pPr>
      <w:r>
        <w:rPr>
          <w:rFonts w:ascii="宋体" w:hAnsi="宋体"/>
          <w:color w:val="auto"/>
          <w:szCs w:val="21"/>
          <w:highlight w:val="none"/>
        </w:rPr>
        <w:t xml:space="preserve">3.6 </w:t>
      </w:r>
      <w:r>
        <w:rPr>
          <w:rFonts w:hint="eastAsia" w:ascii="宋体" w:hAnsi="宋体"/>
          <w:color w:val="auto"/>
          <w:szCs w:val="21"/>
          <w:highlight w:val="none"/>
        </w:rPr>
        <w:t>“▲”系指实质性要求条款。</w:t>
      </w:r>
    </w:p>
    <w:p>
      <w:pPr>
        <w:shd w:val="clear"/>
        <w:snapToGrid w:val="0"/>
        <w:spacing w:line="400" w:lineRule="exact"/>
        <w:jc w:val="left"/>
        <w:rPr>
          <w:rFonts w:ascii="宋体"/>
          <w:b/>
          <w:color w:val="auto"/>
          <w:szCs w:val="21"/>
          <w:highlight w:val="none"/>
        </w:rPr>
      </w:pPr>
      <w:bookmarkStart w:id="43" w:name="_Toc177870539"/>
      <w:r>
        <w:rPr>
          <w:rFonts w:ascii="宋体" w:hAnsi="宋体"/>
          <w:b/>
          <w:color w:val="auto"/>
          <w:szCs w:val="21"/>
          <w:highlight w:val="none"/>
        </w:rPr>
        <w:t>4.</w:t>
      </w:r>
      <w:r>
        <w:rPr>
          <w:rFonts w:hint="eastAsia" w:ascii="宋体" w:hAnsi="宋体"/>
          <w:b/>
          <w:color w:val="auto"/>
          <w:szCs w:val="21"/>
          <w:highlight w:val="none"/>
        </w:rPr>
        <w:t>招标方式</w:t>
      </w:r>
    </w:p>
    <w:p>
      <w:pPr>
        <w:shd w:val="clear"/>
        <w:snapToGrid w:val="0"/>
        <w:spacing w:line="400" w:lineRule="exact"/>
        <w:jc w:val="left"/>
        <w:rPr>
          <w:rFonts w:ascii="宋体"/>
          <w:b/>
          <w:color w:val="auto"/>
          <w:szCs w:val="21"/>
          <w:highlight w:val="none"/>
        </w:rPr>
      </w:pPr>
      <w:r>
        <w:rPr>
          <w:rFonts w:ascii="宋体" w:hAnsi="宋体"/>
          <w:color w:val="auto"/>
          <w:szCs w:val="21"/>
          <w:highlight w:val="none"/>
        </w:rPr>
        <w:t>4.1</w:t>
      </w:r>
      <w:r>
        <w:rPr>
          <w:rFonts w:hint="eastAsia" w:ascii="宋体" w:hAnsi="宋体"/>
          <w:color w:val="auto"/>
          <w:szCs w:val="21"/>
          <w:highlight w:val="none"/>
        </w:rPr>
        <w:t>本次招标采用竞争性磋商招标方式进行。</w:t>
      </w:r>
    </w:p>
    <w:p>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4.2本次磋商项目</w:t>
      </w:r>
      <w:r>
        <w:rPr>
          <w:rFonts w:hint="eastAsia" w:ascii="宋体" w:hAnsi="宋体" w:eastAsia="宋体" w:cs="Times New Roman"/>
          <w:color w:val="auto"/>
          <w:szCs w:val="21"/>
          <w:highlight w:val="none"/>
          <w:lang w:val="zh-CN"/>
        </w:rPr>
        <w:t>预算金额：</w:t>
      </w:r>
      <w:r>
        <w:rPr>
          <w:rFonts w:hint="eastAsia" w:ascii="宋体" w:hAnsi="宋体" w:eastAsia="宋体" w:cs="Times New Roman"/>
          <w:color w:val="auto"/>
          <w:szCs w:val="21"/>
          <w:highlight w:val="none"/>
          <w:lang w:val="en-US" w:eastAsia="zh-CN"/>
        </w:rPr>
        <w:t>标项一：700400元；标项二：2059300</w:t>
      </w:r>
      <w:r>
        <w:rPr>
          <w:rFonts w:hint="eastAsia" w:ascii="宋体" w:hAnsi="宋体" w:eastAsia="宋体" w:cs="Times New Roman"/>
          <w:color w:val="auto"/>
          <w:szCs w:val="21"/>
          <w:highlight w:val="none"/>
        </w:rPr>
        <w:t>元，设定磋商</w:t>
      </w:r>
      <w:r>
        <w:rPr>
          <w:rFonts w:hint="eastAsia" w:ascii="宋体" w:hAnsi="宋体" w:eastAsia="宋体" w:cs="Times New Roman"/>
          <w:color w:val="auto"/>
          <w:szCs w:val="21"/>
          <w:highlight w:val="none"/>
          <w:lang w:val="zh-CN"/>
        </w:rPr>
        <w:t>最高</w:t>
      </w:r>
      <w:r>
        <w:rPr>
          <w:rFonts w:hint="eastAsia" w:ascii="宋体" w:hAnsi="宋体" w:eastAsia="宋体" w:cs="Times New Roman"/>
          <w:color w:val="auto"/>
          <w:szCs w:val="21"/>
          <w:highlight w:val="none"/>
        </w:rPr>
        <w:t>限价：</w:t>
      </w:r>
      <w:r>
        <w:rPr>
          <w:rFonts w:hint="eastAsia" w:ascii="宋体" w:hAnsi="宋体" w:cs="宋体"/>
          <w:b w:val="0"/>
          <w:bCs/>
          <w:color w:val="auto"/>
          <w:szCs w:val="21"/>
          <w:highlight w:val="none"/>
          <w:lang w:eastAsia="zh-CN"/>
        </w:rPr>
        <w:t>标项一人民币</w:t>
      </w:r>
      <w:r>
        <w:rPr>
          <w:rFonts w:hint="eastAsia" w:ascii="宋体" w:hAnsi="宋体" w:cs="宋体"/>
          <w:b w:val="0"/>
          <w:bCs/>
          <w:color w:val="auto"/>
          <w:szCs w:val="21"/>
          <w:highlight w:val="none"/>
          <w:lang w:val="en-US" w:eastAsia="zh-CN"/>
        </w:rPr>
        <w:t>700400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240400</w:t>
      </w:r>
      <w:r>
        <w:rPr>
          <w:rFonts w:hint="eastAsia" w:ascii="宋体" w:hAnsi="宋体" w:eastAsia="宋体" w:cs="宋体"/>
          <w:b w:val="0"/>
          <w:bCs/>
          <w:color w:val="auto"/>
          <w:szCs w:val="21"/>
          <w:highlight w:val="none"/>
          <w:lang w:eastAsia="zh-CN"/>
        </w:rPr>
        <w:t>元；</w:t>
      </w: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eastAsia="宋体" w:cs="宋体"/>
          <w:b w:val="0"/>
          <w:bCs/>
          <w:color w:val="auto"/>
          <w:szCs w:val="21"/>
          <w:highlight w:val="none"/>
          <w:lang w:eastAsia="zh-CN"/>
        </w:rPr>
        <w:t>90000元；</w:t>
      </w: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1500</w:t>
      </w:r>
      <w:r>
        <w:rPr>
          <w:rFonts w:hint="eastAsia" w:ascii="宋体" w:hAnsi="宋体" w:eastAsia="宋体" w:cs="宋体"/>
          <w:b w:val="0"/>
          <w:bCs/>
          <w:color w:val="auto"/>
          <w:szCs w:val="21"/>
          <w:highlight w:val="none"/>
          <w:lang w:eastAsia="zh-CN"/>
        </w:rPr>
        <w:t>00元；</w:t>
      </w: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22</w:t>
      </w:r>
      <w:r>
        <w:rPr>
          <w:rFonts w:hint="eastAsia" w:ascii="宋体" w:hAnsi="宋体" w:eastAsia="宋体" w:cs="宋体"/>
          <w:b w:val="0"/>
          <w:bCs/>
          <w:color w:val="auto"/>
          <w:szCs w:val="21"/>
          <w:highlight w:val="none"/>
          <w:lang w:eastAsia="zh-CN"/>
        </w:rPr>
        <w:t>0000元</w:t>
      </w:r>
      <w:r>
        <w:rPr>
          <w:rFonts w:hint="eastAsia" w:ascii="宋体" w:hAnsi="宋体" w:cs="宋体"/>
          <w:b w:val="0"/>
          <w:bCs/>
          <w:color w:val="auto"/>
          <w:szCs w:val="21"/>
          <w:highlight w:val="none"/>
          <w:lang w:eastAsia="zh-CN"/>
        </w:rPr>
        <w:t>。</w:t>
      </w:r>
      <w:r>
        <w:rPr>
          <w:rFonts w:hint="eastAsia" w:ascii="宋体" w:hAnsi="宋体" w:eastAsia="宋体" w:cs="宋体"/>
          <w:b w:val="0"/>
          <w:bCs/>
          <w:color w:val="auto"/>
          <w:szCs w:val="21"/>
          <w:highlight w:val="none"/>
          <w:lang w:eastAsia="zh-CN"/>
        </w:rPr>
        <w:t>）</w:t>
      </w:r>
      <w:r>
        <w:rPr>
          <w:rFonts w:hint="eastAsia" w:ascii="宋体" w:hAnsi="宋体" w:cs="宋体"/>
          <w:b w:val="0"/>
          <w:bCs/>
          <w:color w:val="auto"/>
          <w:szCs w:val="21"/>
          <w:highlight w:val="none"/>
          <w:lang w:eastAsia="zh-CN"/>
        </w:rPr>
        <w:t>；标项二人民币</w:t>
      </w:r>
      <w:r>
        <w:rPr>
          <w:rFonts w:hint="eastAsia" w:ascii="宋体" w:hAnsi="宋体" w:cs="宋体"/>
          <w:b w:val="0"/>
          <w:bCs/>
          <w:color w:val="auto"/>
          <w:szCs w:val="21"/>
          <w:highlight w:val="none"/>
          <w:lang w:val="en-US" w:eastAsia="zh-CN"/>
        </w:rPr>
        <w:t>2059300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eastAsia="宋体" w:cs="宋体"/>
          <w:color w:val="auto"/>
          <w:sz w:val="21"/>
          <w:szCs w:val="21"/>
          <w:highlight w:val="none"/>
          <w:lang w:val="en-US" w:eastAsia="zh-CN"/>
        </w:rPr>
        <w:t>主厂房电缆层漏水处理项目</w:t>
      </w:r>
      <w:r>
        <w:rPr>
          <w:rFonts w:hint="eastAsia" w:ascii="宋体" w:hAnsi="宋体" w:cs="宋体"/>
          <w:b w:val="0"/>
          <w:bCs/>
          <w:color w:val="auto"/>
          <w:szCs w:val="21"/>
          <w:highlight w:val="none"/>
          <w:lang w:val="en-US" w:eastAsia="zh-CN"/>
        </w:rPr>
        <w:t>100000</w:t>
      </w:r>
      <w:r>
        <w:rPr>
          <w:rFonts w:hint="eastAsia" w:ascii="宋体" w:hAnsi="宋体" w:eastAsia="宋体" w:cs="宋体"/>
          <w:b w:val="0"/>
          <w:bCs/>
          <w:color w:val="auto"/>
          <w:szCs w:val="21"/>
          <w:highlight w:val="none"/>
          <w:lang w:eastAsia="zh-CN"/>
        </w:rPr>
        <w:t>元；</w:t>
      </w:r>
      <w:r>
        <w:rPr>
          <w:rFonts w:hint="eastAsia" w:ascii="宋体" w:hAnsi="宋体" w:eastAsia="宋体" w:cs="宋体"/>
          <w:color w:val="auto"/>
          <w:sz w:val="21"/>
          <w:szCs w:val="21"/>
          <w:highlight w:val="none"/>
          <w:lang w:val="en-US" w:eastAsia="zh-CN"/>
        </w:rPr>
        <w:t>盐官泵站事故闸止水、滑块、紧固件更换项目</w:t>
      </w:r>
      <w:r>
        <w:rPr>
          <w:rFonts w:hint="eastAsia" w:ascii="宋体" w:hAnsi="宋体" w:cs="宋体"/>
          <w:color w:val="auto"/>
          <w:sz w:val="21"/>
          <w:szCs w:val="21"/>
          <w:highlight w:val="none"/>
          <w:lang w:val="en-US" w:eastAsia="zh-CN"/>
        </w:rPr>
        <w:t>86300元。</w:t>
      </w: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146000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807000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cs="宋体"/>
          <w:color w:val="auto"/>
          <w:szCs w:val="21"/>
          <w:highlight w:val="none"/>
          <w:lang w:val="en-US" w:eastAsia="zh-CN"/>
        </w:rPr>
        <w:t>南台头闸内河侧闸门防腐及止水装置更换项目</w:t>
      </w:r>
      <w:r>
        <w:rPr>
          <w:rFonts w:hint="eastAsia" w:ascii="宋体" w:hAnsi="宋体" w:cs="宋体"/>
          <w:b w:val="0"/>
          <w:bCs/>
          <w:color w:val="auto"/>
          <w:szCs w:val="21"/>
          <w:highlight w:val="none"/>
          <w:lang w:val="en-US" w:eastAsia="zh-CN"/>
        </w:rPr>
        <w:t>400000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泵站门机、油缸及起重设备金属防腐项目450000元；泵站工作（事故）闸门行程改造项目70000元。</w:t>
      </w:r>
      <w:r>
        <w:rPr>
          <w:rFonts w:hint="eastAsia" w:ascii="宋体" w:hAnsi="宋体" w:cs="宋体"/>
          <w:b w:val="0"/>
          <w:bCs/>
          <w:color w:val="auto"/>
          <w:szCs w:val="21"/>
          <w:highlight w:val="none"/>
          <w:lang w:eastAsia="zh-CN"/>
        </w:rPr>
        <w:t>）</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报价超过最高限价或各单项预算金额的作无效标处理</w:t>
      </w:r>
      <w:r>
        <w:rPr>
          <w:rFonts w:hint="eastAsia" w:ascii="宋体" w:hAnsi="宋体" w:eastAsia="宋体" w:cs="Times New Roman"/>
          <w:color w:val="auto"/>
          <w:szCs w:val="21"/>
          <w:highlight w:val="none"/>
        </w:rPr>
        <w:t>。</w:t>
      </w:r>
    </w:p>
    <w:p>
      <w:pPr>
        <w:shd w:val="clear"/>
        <w:snapToGrid w:val="0"/>
        <w:spacing w:line="400" w:lineRule="exact"/>
        <w:jc w:val="left"/>
        <w:rPr>
          <w:rFonts w:asci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磋商委托</w:t>
      </w:r>
    </w:p>
    <w:p>
      <w:pPr>
        <w:pStyle w:val="3"/>
        <w:shd w:val="clear"/>
        <w:snapToGrid w:val="0"/>
        <w:spacing w:line="400" w:lineRule="exact"/>
        <w:ind w:firstLine="0"/>
        <w:jc w:val="left"/>
        <w:rPr>
          <w:rFonts w:hAnsi="宋体"/>
          <w:color w:val="auto"/>
          <w:sz w:val="21"/>
          <w:szCs w:val="21"/>
          <w:highlight w:val="none"/>
        </w:rPr>
      </w:pPr>
      <w:r>
        <w:rPr>
          <w:rFonts w:hint="eastAsia" w:hAnsi="宋体"/>
          <w:color w:val="auto"/>
          <w:sz w:val="21"/>
          <w:szCs w:val="21"/>
          <w:highlight w:val="none"/>
        </w:rPr>
        <w:t>供应商代表须提供居民身份证。如供应商代表不是法定代表人，须有法定代表人出具的授权委托书。（格式见第六章）。</w:t>
      </w:r>
    </w:p>
    <w:p>
      <w:pPr>
        <w:shd w:val="clear"/>
        <w:snapToGrid w:val="0"/>
        <w:spacing w:line="400" w:lineRule="exact"/>
        <w:jc w:val="left"/>
        <w:rPr>
          <w:rFonts w:ascii="宋体"/>
          <w:b/>
          <w:color w:val="auto"/>
          <w:szCs w:val="21"/>
          <w:highlight w:val="none"/>
        </w:rPr>
      </w:pPr>
      <w:r>
        <w:rPr>
          <w:rFonts w:ascii="宋体" w:hAnsi="宋体"/>
          <w:b/>
          <w:color w:val="auto"/>
          <w:szCs w:val="21"/>
          <w:highlight w:val="none"/>
        </w:rPr>
        <w:t>6.</w:t>
      </w:r>
      <w:r>
        <w:rPr>
          <w:rFonts w:hint="eastAsia" w:ascii="宋体" w:hAnsi="宋体"/>
          <w:b/>
          <w:color w:val="auto"/>
          <w:szCs w:val="21"/>
          <w:highlight w:val="none"/>
        </w:rPr>
        <w:t>磋商费用</w:t>
      </w:r>
    </w:p>
    <w:p>
      <w:pPr>
        <w:shd w:val="clear"/>
        <w:snapToGrid w:val="0"/>
        <w:spacing w:line="400" w:lineRule="exact"/>
        <w:jc w:val="left"/>
        <w:rPr>
          <w:rFonts w:ascii="宋体"/>
          <w:color w:val="auto"/>
          <w:szCs w:val="21"/>
          <w:highlight w:val="none"/>
        </w:rPr>
      </w:pPr>
      <w:r>
        <w:rPr>
          <w:rFonts w:hint="eastAsia" w:ascii="宋体" w:hAnsi="宋体"/>
          <w:color w:val="auto"/>
          <w:szCs w:val="21"/>
          <w:highlight w:val="none"/>
        </w:rPr>
        <w:t>不论磋商结果如何，供应商均应自行承担所有与磋商有关的全部费用。</w:t>
      </w:r>
    </w:p>
    <w:p>
      <w:pPr>
        <w:numPr>
          <w:ilvl w:val="0"/>
          <w:numId w:val="0"/>
        </w:numPr>
        <w:shd w:val="clear"/>
        <w:snapToGrid w:val="0"/>
        <w:spacing w:line="400" w:lineRule="exact"/>
        <w:jc w:val="left"/>
        <w:rPr>
          <w:rFonts w:hint="eastAsia" w:hAnsi="宋体"/>
          <w:color w:val="auto"/>
          <w:highlight w:val="none"/>
        </w:rPr>
      </w:pPr>
      <w:r>
        <w:rPr>
          <w:rFonts w:hint="eastAsia" w:ascii="宋体" w:hAnsi="宋体"/>
          <w:b/>
          <w:color w:val="auto"/>
          <w:szCs w:val="21"/>
          <w:highlight w:val="none"/>
          <w:lang w:val="en-US" w:eastAsia="zh-CN"/>
        </w:rPr>
        <w:t>7</w:t>
      </w:r>
      <w:r>
        <w:rPr>
          <w:rFonts w:ascii="宋体" w:hAnsi="宋体"/>
          <w:b/>
          <w:color w:val="auto"/>
          <w:szCs w:val="21"/>
          <w:highlight w:val="none"/>
        </w:rPr>
        <w:t>.</w:t>
      </w:r>
      <w:r>
        <w:rPr>
          <w:rFonts w:hint="eastAsia" w:hAnsi="宋体"/>
          <w:b/>
          <w:color w:val="auto"/>
          <w:szCs w:val="21"/>
          <w:highlight w:val="none"/>
        </w:rPr>
        <w:t>联合体磋商</w:t>
      </w:r>
    </w:p>
    <w:p>
      <w:pPr>
        <w:numPr>
          <w:ilvl w:val="0"/>
          <w:numId w:val="0"/>
        </w:numPr>
        <w:shd w:val="clear"/>
        <w:snapToGrid w:val="0"/>
        <w:spacing w:line="400" w:lineRule="exact"/>
        <w:jc w:val="left"/>
        <w:rPr>
          <w:rFonts w:hint="eastAsia" w:hAnsi="宋体"/>
          <w:color w:val="auto"/>
          <w:highlight w:val="none"/>
        </w:rPr>
      </w:pPr>
      <w:r>
        <w:rPr>
          <w:rFonts w:hint="eastAsia" w:ascii="宋体" w:hAnsi="宋体"/>
          <w:color w:val="auto"/>
          <w:szCs w:val="21"/>
          <w:highlight w:val="none"/>
          <w:lang w:val="en-US" w:eastAsia="zh-CN"/>
        </w:rPr>
        <w:t>7</w:t>
      </w:r>
      <w:r>
        <w:rPr>
          <w:rFonts w:ascii="宋体" w:hAnsi="宋体"/>
          <w:color w:val="auto"/>
          <w:szCs w:val="21"/>
          <w:highlight w:val="none"/>
        </w:rPr>
        <w:t>.1</w:t>
      </w:r>
      <w:r>
        <w:rPr>
          <w:rFonts w:hint="eastAsia" w:hAnsi="宋体"/>
          <w:color w:val="auto"/>
          <w:szCs w:val="21"/>
          <w:highlight w:val="none"/>
        </w:rPr>
        <w:t>本项目不接受联合体磋商。</w:t>
      </w:r>
    </w:p>
    <w:p>
      <w:pPr>
        <w:numPr>
          <w:ilvl w:val="0"/>
          <w:numId w:val="0"/>
        </w:numPr>
        <w:shd w:val="clear"/>
        <w:snapToGrid w:val="0"/>
        <w:spacing w:line="400" w:lineRule="exact"/>
        <w:jc w:val="left"/>
        <w:rPr>
          <w:rFonts w:hint="eastAsia" w:hAnsi="宋体"/>
          <w:color w:val="auto"/>
          <w:highlight w:val="none"/>
        </w:rPr>
      </w:pPr>
      <w:r>
        <w:rPr>
          <w:rFonts w:hAnsi="宋体"/>
          <w:b/>
          <w:color w:val="auto"/>
          <w:szCs w:val="21"/>
          <w:highlight w:val="none"/>
        </w:rPr>
        <w:t xml:space="preserve">8. </w:t>
      </w:r>
      <w:r>
        <w:rPr>
          <w:rFonts w:hint="eastAsia" w:hAnsi="宋体"/>
          <w:b/>
          <w:color w:val="auto"/>
          <w:szCs w:val="21"/>
          <w:highlight w:val="none"/>
        </w:rPr>
        <w:t>转包与分包</w:t>
      </w:r>
    </w:p>
    <w:p>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8.1本项目不允许转包。</w:t>
      </w:r>
    </w:p>
    <w:p>
      <w:pPr>
        <w:shd w:val="clear"/>
        <w:snapToGrid w:val="0"/>
        <w:spacing w:line="400" w:lineRule="exact"/>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8.2本项目不允许分包。</w:t>
      </w:r>
    </w:p>
    <w:p>
      <w:pPr>
        <w:numPr>
          <w:ilvl w:val="0"/>
          <w:numId w:val="0"/>
        </w:numPr>
        <w:shd w:val="clear"/>
        <w:snapToGrid w:val="0"/>
        <w:spacing w:line="400" w:lineRule="exact"/>
        <w:jc w:val="left"/>
        <w:rPr>
          <w:rFonts w:hint="eastAsia" w:hAnsi="宋体"/>
          <w:color w:val="auto"/>
          <w:highlight w:val="none"/>
        </w:rPr>
      </w:pPr>
      <w:r>
        <w:rPr>
          <w:rFonts w:hAnsi="宋体"/>
          <w:b/>
          <w:color w:val="auto"/>
          <w:szCs w:val="21"/>
          <w:highlight w:val="none"/>
        </w:rPr>
        <w:t xml:space="preserve">9. </w:t>
      </w:r>
      <w:r>
        <w:rPr>
          <w:rFonts w:hint="eastAsia" w:hAnsi="宋体"/>
          <w:b/>
          <w:color w:val="auto"/>
          <w:szCs w:val="21"/>
          <w:highlight w:val="none"/>
        </w:rPr>
        <w:t>特别说明：</w:t>
      </w:r>
    </w:p>
    <w:p>
      <w:pPr>
        <w:numPr>
          <w:ilvl w:val="0"/>
          <w:numId w:val="0"/>
        </w:numPr>
        <w:shd w:val="clear"/>
        <w:snapToGrid w:val="0"/>
        <w:spacing w:line="400" w:lineRule="exact"/>
        <w:jc w:val="left"/>
        <w:rPr>
          <w:rFonts w:hint="eastAsia" w:hAnsi="宋体"/>
          <w:color w:val="auto"/>
          <w:highlight w:val="none"/>
        </w:rPr>
      </w:pPr>
      <w:r>
        <w:rPr>
          <w:rFonts w:hAnsi="宋体"/>
          <w:color w:val="auto"/>
          <w:szCs w:val="21"/>
          <w:highlight w:val="none"/>
        </w:rPr>
        <w:t>9.1</w:t>
      </w:r>
      <w:r>
        <w:rPr>
          <w:rFonts w:hint="eastAsia" w:hAnsi="宋体"/>
          <w:color w:val="auto"/>
          <w:highlight w:val="none"/>
        </w:rPr>
        <w:t>使用综合评分法的采购项目，提供相同品牌产品且通过资格审查、符合性审查的不同供应商参加同一合同项下磋商的，按一家供应商计算，评审后得分最高的同品牌供应商获得成交人推荐资格</w:t>
      </w:r>
      <w:r>
        <w:rPr>
          <w:rFonts w:hAnsi="宋体"/>
          <w:color w:val="auto"/>
          <w:highlight w:val="none"/>
        </w:rPr>
        <w:t>;</w:t>
      </w:r>
      <w:r>
        <w:rPr>
          <w:rFonts w:hint="eastAsia" w:hAnsi="宋体"/>
          <w:color w:val="auto"/>
          <w:highlight w:val="none"/>
        </w:rPr>
        <w:t>评审得分相同的，由采购人或者采购人委托磋商小组按照竞争性磋商文件规定的方式确定一个供应商获得成交人推荐资格，竞争性磋商文件未规定的采取随机抽取方式确定，其他同品牌供应商不作为成交候选人。</w:t>
      </w:r>
    </w:p>
    <w:p>
      <w:pPr>
        <w:shd w:val="clear"/>
        <w:snapToGrid w:val="0"/>
        <w:spacing w:line="400" w:lineRule="exact"/>
        <w:ind w:left="2" w:leftChars="1" w:firstLine="420" w:firstLineChars="200"/>
        <w:jc w:val="left"/>
        <w:rPr>
          <w:rFonts w:hint="eastAsia" w:hAnsi="宋体" w:eastAsia="宋体"/>
          <w:color w:val="auto"/>
          <w:highlight w:val="none"/>
          <w:lang w:eastAsia="zh-CN"/>
        </w:rPr>
      </w:pPr>
      <w:r>
        <w:rPr>
          <w:rFonts w:hint="eastAsia" w:hAnsi="宋体"/>
          <w:color w:val="auto"/>
          <w:highlight w:val="none"/>
        </w:rPr>
        <w:t>非单一产品采购项目，采购人应当根据采购项目技术构成、产品价格比重等合理确定核心产品，并在竞争性磋商文件中载明。多家供应商提供的核心产品品牌相同的，按前款规定处理。</w:t>
      </w:r>
    </w:p>
    <w:p>
      <w:pPr>
        <w:shd w:val="clear"/>
        <w:snapToGrid w:val="0"/>
        <w:spacing w:line="400" w:lineRule="exact"/>
        <w:jc w:val="left"/>
        <w:rPr>
          <w:rFonts w:hint="eastAsia" w:hAnsi="宋体" w:eastAsia="宋体"/>
          <w:color w:val="auto"/>
          <w:szCs w:val="21"/>
          <w:highlight w:val="none"/>
          <w:lang w:eastAsia="zh-CN"/>
        </w:rPr>
      </w:pPr>
      <w:r>
        <w:rPr>
          <w:rFonts w:hAnsi="宋体"/>
          <w:color w:val="auto"/>
          <w:szCs w:val="21"/>
          <w:highlight w:val="none"/>
        </w:rPr>
        <w:t>9.2</w:t>
      </w:r>
      <w:r>
        <w:rPr>
          <w:rFonts w:hint="eastAsia" w:hAnsi="宋体"/>
          <w:color w:val="auto"/>
          <w:szCs w:val="21"/>
          <w:highlight w:val="none"/>
        </w:rPr>
        <w:t>供应商磋商所使用的资格、信誉、荣誉、业绩与企业认证必须为本法人所拥有。供应商磋商所使用的采购项目实施人员必须为本法人员工（或必须为本法人或控股公司正式员工）。</w:t>
      </w:r>
    </w:p>
    <w:p>
      <w:pPr>
        <w:shd w:val="clear"/>
        <w:snapToGrid w:val="0"/>
        <w:spacing w:line="400" w:lineRule="exact"/>
        <w:jc w:val="left"/>
        <w:rPr>
          <w:rFonts w:hint="eastAsia" w:hAnsi="宋体" w:eastAsia="宋体"/>
          <w:color w:val="auto"/>
          <w:szCs w:val="21"/>
          <w:highlight w:val="none"/>
          <w:lang w:eastAsia="zh-CN"/>
        </w:rPr>
      </w:pPr>
      <w:r>
        <w:rPr>
          <w:rFonts w:hAnsi="宋体"/>
          <w:color w:val="auto"/>
          <w:szCs w:val="21"/>
          <w:highlight w:val="none"/>
        </w:rPr>
        <w:t>9.3</w:t>
      </w:r>
      <w:r>
        <w:rPr>
          <w:rFonts w:hint="eastAsia" w:hAnsi="宋体"/>
          <w:color w:val="auto"/>
          <w:szCs w:val="21"/>
          <w:highlight w:val="none"/>
        </w:rPr>
        <w:t>供应商应仔细阅读竞争性磋商文件的所有内容，按照竞争性磋商文件的要求提交磋商响应文件，并对所提供的全部资料的真实性承担法律责任。</w:t>
      </w:r>
    </w:p>
    <w:p>
      <w:pPr>
        <w:shd w:val="clear"/>
        <w:snapToGrid w:val="0"/>
        <w:spacing w:line="400" w:lineRule="exact"/>
        <w:jc w:val="left"/>
        <w:rPr>
          <w:rFonts w:hAnsi="宋体"/>
          <w:color w:val="auto"/>
          <w:szCs w:val="21"/>
          <w:highlight w:val="none"/>
        </w:rPr>
      </w:pPr>
      <w:r>
        <w:rPr>
          <w:rFonts w:hAnsi="宋体"/>
          <w:color w:val="auto"/>
          <w:szCs w:val="21"/>
          <w:highlight w:val="none"/>
        </w:rPr>
        <w:t>9.4</w:t>
      </w:r>
      <w:r>
        <w:rPr>
          <w:rFonts w:hint="eastAsia" w:hAnsi="宋体"/>
          <w:color w:val="auto"/>
          <w:szCs w:val="21"/>
          <w:highlight w:val="none"/>
        </w:rPr>
        <w:t>供应商在磋商活动中提供任何虚假材料，其磋商无效，并报监管部门查处；成交后发现的，根据《浙江省政府采购供应商注册及诚信管理暂行办法的通知》规定进行处罚；还将依照《中华人民共和国消费者权益保护法》第</w:t>
      </w:r>
      <w:r>
        <w:rPr>
          <w:rFonts w:hAnsi="宋体"/>
          <w:color w:val="auto"/>
          <w:szCs w:val="21"/>
          <w:highlight w:val="none"/>
        </w:rPr>
        <w:t>49</w:t>
      </w:r>
      <w:r>
        <w:rPr>
          <w:rFonts w:hint="eastAsia" w:hAnsi="宋体"/>
          <w:color w:val="auto"/>
          <w:szCs w:val="21"/>
          <w:highlight w:val="none"/>
        </w:rPr>
        <w:t>条之规定由成交人双倍赔偿采购人，且民事赔偿并不免除违法供应商的行政与刑事责任。</w:t>
      </w:r>
    </w:p>
    <w:p>
      <w:pPr>
        <w:shd w:val="clear"/>
        <w:snapToGrid w:val="0"/>
        <w:spacing w:line="400" w:lineRule="exact"/>
        <w:jc w:val="left"/>
        <w:rPr>
          <w:rFonts w:hint="eastAsia" w:hAnsi="宋体" w:eastAsia="宋体"/>
          <w:b/>
          <w:color w:val="auto"/>
          <w:szCs w:val="21"/>
          <w:highlight w:val="none"/>
          <w:lang w:eastAsia="zh-CN"/>
        </w:rPr>
      </w:pPr>
      <w:r>
        <w:rPr>
          <w:rFonts w:hint="eastAsia" w:hAnsi="宋体"/>
          <w:b/>
          <w:color w:val="auto"/>
          <w:szCs w:val="21"/>
          <w:highlight w:val="none"/>
        </w:rPr>
        <w:t>10.质疑和投诉</w:t>
      </w:r>
      <w:bookmarkEnd w:id="43"/>
      <w:bookmarkStart w:id="44" w:name="_Toc177870544"/>
    </w:p>
    <w:p>
      <w:pPr>
        <w:shd w:val="clear"/>
        <w:snapToGrid w:val="0"/>
        <w:spacing w:line="400" w:lineRule="exact"/>
        <w:jc w:val="left"/>
        <w:rPr>
          <w:rFonts w:ascii="宋体" w:hAnsi="宋体"/>
          <w:color w:val="auto"/>
          <w:spacing w:val="-4"/>
          <w:szCs w:val="21"/>
          <w:highlight w:val="none"/>
        </w:rPr>
      </w:pPr>
      <w:r>
        <w:rPr>
          <w:rFonts w:hint="eastAsia" w:ascii="宋体" w:hAnsi="宋体"/>
          <w:color w:val="auto"/>
          <w:spacing w:val="-4"/>
          <w:szCs w:val="21"/>
          <w:highlight w:val="none"/>
        </w:rPr>
        <w:t>10.1供应商认为竞争性磋商文件、磋商过程或成交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pPr>
        <w:shd w:val="clear"/>
        <w:snapToGrid w:val="0"/>
        <w:spacing w:line="400" w:lineRule="exact"/>
        <w:jc w:val="left"/>
        <w:rPr>
          <w:rFonts w:ascii="宋体" w:hAnsi="宋体"/>
          <w:color w:val="auto"/>
          <w:spacing w:val="-4"/>
          <w:szCs w:val="21"/>
          <w:highlight w:val="none"/>
        </w:rPr>
      </w:pPr>
      <w:r>
        <w:rPr>
          <w:rFonts w:hint="eastAsia" w:ascii="宋体" w:hAnsi="宋体"/>
          <w:color w:val="auto"/>
          <w:spacing w:val="-4"/>
          <w:szCs w:val="21"/>
          <w:highlight w:val="none"/>
        </w:rPr>
        <w:t>10.2质疑、投诉应当采用书面形式，质疑书、投诉书均应明确阐述竞争性磋商文件、磋商过程或成交结果中使自己合法权益受到损害的实质性内容，提供相关事实、依据和证据及其来源或线索，便于有关单位调查、答复和处理。</w:t>
      </w:r>
    </w:p>
    <w:p>
      <w:pPr>
        <w:shd w:val="clear"/>
        <w:snapToGrid w:val="0"/>
        <w:spacing w:line="400" w:lineRule="exact"/>
        <w:jc w:val="left"/>
        <w:rPr>
          <w:rFonts w:ascii="宋体"/>
          <w:b/>
          <w:color w:val="auto"/>
          <w:sz w:val="28"/>
          <w:szCs w:val="28"/>
          <w:highlight w:val="none"/>
        </w:rPr>
      </w:pPr>
      <w:r>
        <w:rPr>
          <w:rFonts w:hint="eastAsia" w:ascii="宋体" w:hAnsi="宋体"/>
          <w:color w:val="auto"/>
          <w:spacing w:val="-4"/>
          <w:szCs w:val="21"/>
          <w:highlight w:val="none"/>
        </w:rPr>
        <w:t>10.3质疑和投诉应当满足《政府采购质疑和投诉办法》（中华人民共和国财政部令第94号）要求。</w:t>
      </w:r>
    </w:p>
    <w:p>
      <w:pPr>
        <w:shd w:val="clear"/>
        <w:spacing w:before="156" w:beforeLines="50" w:after="156" w:afterLines="50" w:line="400" w:lineRule="exact"/>
        <w:ind w:left="238"/>
        <w:jc w:val="center"/>
        <w:outlineLvl w:val="1"/>
        <w:rPr>
          <w:rFonts w:ascii="宋体"/>
          <w:b/>
          <w:color w:val="auto"/>
          <w:sz w:val="28"/>
          <w:szCs w:val="28"/>
          <w:highlight w:val="none"/>
        </w:rPr>
      </w:pPr>
      <w:bookmarkStart w:id="45" w:name="_Toc2536"/>
      <w:bookmarkStart w:id="46" w:name="_Toc2328"/>
      <w:bookmarkStart w:id="47" w:name="_Toc8166"/>
      <w:bookmarkStart w:id="48" w:name="_Toc21675"/>
      <w:bookmarkStart w:id="49" w:name="_Toc14387"/>
      <w:bookmarkStart w:id="50" w:name="_Toc16655"/>
      <w:bookmarkStart w:id="51" w:name="_Toc26681"/>
      <w:bookmarkStart w:id="52" w:name="_Toc17768"/>
      <w:r>
        <w:rPr>
          <w:rFonts w:hint="eastAsia" w:ascii="宋体" w:hAnsi="宋体"/>
          <w:b/>
          <w:color w:val="auto"/>
          <w:sz w:val="28"/>
          <w:szCs w:val="28"/>
          <w:highlight w:val="none"/>
        </w:rPr>
        <w:t>二、</w:t>
      </w:r>
      <w:bookmarkEnd w:id="44"/>
      <w:r>
        <w:rPr>
          <w:rFonts w:hint="eastAsia" w:ascii="宋体" w:hAnsi="宋体"/>
          <w:b/>
          <w:color w:val="auto"/>
          <w:sz w:val="28"/>
          <w:szCs w:val="28"/>
          <w:highlight w:val="none"/>
        </w:rPr>
        <w:t>竞争性磋商文件</w:t>
      </w:r>
      <w:bookmarkEnd w:id="45"/>
      <w:bookmarkEnd w:id="46"/>
      <w:bookmarkEnd w:id="47"/>
      <w:bookmarkEnd w:id="48"/>
      <w:bookmarkEnd w:id="49"/>
      <w:bookmarkEnd w:id="50"/>
      <w:bookmarkEnd w:id="51"/>
      <w:bookmarkEnd w:id="52"/>
    </w:p>
    <w:p>
      <w:pPr>
        <w:shd w:val="clear"/>
        <w:spacing w:line="400" w:lineRule="exact"/>
        <w:jc w:val="left"/>
        <w:rPr>
          <w:rFonts w:ascii="宋体"/>
          <w:b/>
          <w:color w:val="auto"/>
          <w:szCs w:val="21"/>
          <w:highlight w:val="none"/>
        </w:rPr>
      </w:pPr>
      <w:r>
        <w:rPr>
          <w:rFonts w:ascii="宋体" w:hAnsi="宋体"/>
          <w:b/>
          <w:color w:val="auto"/>
          <w:szCs w:val="21"/>
          <w:highlight w:val="none"/>
        </w:rPr>
        <w:t>1.</w:t>
      </w:r>
      <w:r>
        <w:rPr>
          <w:rFonts w:hint="eastAsia" w:ascii="宋体" w:hAnsi="宋体"/>
          <w:b/>
          <w:color w:val="auto"/>
          <w:szCs w:val="21"/>
          <w:highlight w:val="none"/>
        </w:rPr>
        <w:t>竞争性磋商文件的构成</w:t>
      </w:r>
    </w:p>
    <w:p>
      <w:pPr>
        <w:shd w:val="clear"/>
        <w:spacing w:line="400" w:lineRule="exact"/>
        <w:jc w:val="left"/>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竞争性磋商公告</w:t>
      </w:r>
    </w:p>
    <w:p>
      <w:pPr>
        <w:shd w:val="clear"/>
        <w:spacing w:line="400" w:lineRule="exact"/>
        <w:jc w:val="left"/>
        <w:rPr>
          <w:rFonts w:asci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供应商须知</w:t>
      </w:r>
    </w:p>
    <w:p>
      <w:pPr>
        <w:shd w:val="clear"/>
        <w:spacing w:line="400" w:lineRule="exact"/>
        <w:jc w:val="left"/>
        <w:rPr>
          <w:rFonts w:ascii="宋体"/>
          <w:color w:val="auto"/>
          <w:szCs w:val="21"/>
          <w:highlight w:val="none"/>
        </w:rPr>
      </w:pPr>
      <w:r>
        <w:rPr>
          <w:rFonts w:ascii="宋体" w:hAnsi="宋体"/>
          <w:color w:val="auto"/>
          <w:szCs w:val="21"/>
          <w:highlight w:val="none"/>
        </w:rPr>
        <w:t>1.3</w:t>
      </w:r>
      <w:r>
        <w:rPr>
          <w:rFonts w:hint="eastAsia" w:ascii="宋体" w:hAnsi="宋体"/>
          <w:color w:val="auto"/>
          <w:szCs w:val="21"/>
          <w:highlight w:val="none"/>
        </w:rPr>
        <w:t>磋商项目要求</w:t>
      </w:r>
    </w:p>
    <w:p>
      <w:pPr>
        <w:shd w:val="clear"/>
        <w:spacing w:line="400" w:lineRule="exact"/>
        <w:jc w:val="left"/>
        <w:rPr>
          <w:rFonts w:ascii="宋体"/>
          <w:color w:val="auto"/>
          <w:szCs w:val="21"/>
          <w:highlight w:val="none"/>
        </w:rPr>
      </w:pPr>
      <w:r>
        <w:rPr>
          <w:rFonts w:ascii="宋体" w:hAnsi="宋体"/>
          <w:color w:val="auto"/>
          <w:szCs w:val="21"/>
          <w:highlight w:val="none"/>
        </w:rPr>
        <w:t>1.4</w:t>
      </w:r>
      <w:r>
        <w:rPr>
          <w:rFonts w:hint="eastAsia" w:ascii="宋体" w:hAnsi="宋体"/>
          <w:color w:val="auto"/>
          <w:szCs w:val="21"/>
          <w:highlight w:val="none"/>
        </w:rPr>
        <w:t>嘉兴市政府采购合同</w:t>
      </w:r>
    </w:p>
    <w:p>
      <w:pPr>
        <w:shd w:val="clear"/>
        <w:spacing w:line="400" w:lineRule="exact"/>
        <w:jc w:val="left"/>
        <w:rPr>
          <w:rFonts w:ascii="宋体"/>
          <w:color w:val="auto"/>
          <w:szCs w:val="21"/>
          <w:highlight w:val="none"/>
        </w:rPr>
      </w:pPr>
      <w:r>
        <w:rPr>
          <w:rFonts w:ascii="宋体" w:hAnsi="宋体"/>
          <w:color w:val="auto"/>
          <w:szCs w:val="21"/>
          <w:highlight w:val="none"/>
        </w:rPr>
        <w:t>1.5</w:t>
      </w:r>
      <w:r>
        <w:rPr>
          <w:rFonts w:hint="eastAsia" w:ascii="宋体" w:hAnsi="宋体"/>
          <w:color w:val="auto"/>
          <w:szCs w:val="21"/>
          <w:highlight w:val="none"/>
        </w:rPr>
        <w:t>评审办法</w:t>
      </w:r>
    </w:p>
    <w:p>
      <w:pPr>
        <w:shd w:val="clear"/>
        <w:spacing w:line="400" w:lineRule="exact"/>
        <w:jc w:val="left"/>
        <w:rPr>
          <w:rFonts w:ascii="宋体"/>
          <w:color w:val="auto"/>
          <w:szCs w:val="21"/>
          <w:highlight w:val="none"/>
        </w:rPr>
      </w:pPr>
      <w:r>
        <w:rPr>
          <w:rFonts w:ascii="宋体" w:hAnsi="宋体"/>
          <w:color w:val="auto"/>
          <w:szCs w:val="21"/>
          <w:highlight w:val="none"/>
        </w:rPr>
        <w:t>1.6</w:t>
      </w:r>
      <w:r>
        <w:rPr>
          <w:rFonts w:hint="eastAsia" w:ascii="宋体" w:hAnsi="宋体"/>
          <w:color w:val="auto"/>
          <w:szCs w:val="21"/>
          <w:highlight w:val="none"/>
        </w:rPr>
        <w:t>磋商响应相关文件格式</w:t>
      </w:r>
    </w:p>
    <w:p>
      <w:pPr>
        <w:shd w:val="clear"/>
        <w:spacing w:line="400" w:lineRule="exact"/>
        <w:jc w:val="left"/>
        <w:rPr>
          <w:rFonts w:asci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本项目竞争性磋商文件的</w:t>
      </w:r>
      <w:r>
        <w:rPr>
          <w:rFonts w:hint="eastAsia" w:hAnsi="宋体"/>
          <w:color w:val="auto"/>
          <w:szCs w:val="21"/>
          <w:highlight w:val="none"/>
        </w:rPr>
        <w:t>澄清</w:t>
      </w:r>
      <w:r>
        <w:rPr>
          <w:rFonts w:hint="eastAsia" w:ascii="宋体" w:hAnsi="宋体"/>
          <w:color w:val="auto"/>
          <w:szCs w:val="21"/>
          <w:highlight w:val="none"/>
        </w:rPr>
        <w:t>、答复、修改、补充的内容</w:t>
      </w:r>
    </w:p>
    <w:p>
      <w:pPr>
        <w:pStyle w:val="16"/>
        <w:shd w:val="clear"/>
        <w:spacing w:line="400" w:lineRule="exact"/>
        <w:jc w:val="left"/>
        <w:rPr>
          <w:rFonts w:hAnsi="宋体"/>
          <w:b/>
          <w:color w:val="auto"/>
          <w:szCs w:val="21"/>
          <w:highlight w:val="none"/>
        </w:rPr>
      </w:pPr>
      <w:bookmarkStart w:id="53" w:name="_Toc177870545"/>
      <w:r>
        <w:rPr>
          <w:rFonts w:hint="eastAsia" w:hAnsi="宋体"/>
          <w:b/>
          <w:color w:val="auto"/>
          <w:szCs w:val="21"/>
          <w:highlight w:val="none"/>
        </w:rPr>
        <w:t>2.供应商的风险</w:t>
      </w:r>
    </w:p>
    <w:p>
      <w:pPr>
        <w:pStyle w:val="16"/>
        <w:shd w:val="clear"/>
        <w:spacing w:line="400" w:lineRule="exact"/>
        <w:jc w:val="left"/>
        <w:rPr>
          <w:rFonts w:hAnsi="宋体"/>
          <w:color w:val="auto"/>
          <w:szCs w:val="21"/>
          <w:highlight w:val="none"/>
        </w:rPr>
      </w:pPr>
      <w:r>
        <w:rPr>
          <w:rFonts w:hint="eastAsia" w:hAnsi="宋体"/>
          <w:bCs/>
          <w:color w:val="auto"/>
          <w:szCs w:val="21"/>
          <w:highlight w:val="none"/>
        </w:rPr>
        <w:t>供应商没有按照竞争性磋商文件要求提供全部资料，或者供应商没有对竞争性磋商文件在各方面作出实质性响应是供应商的风险，并可能导致其磋商响应文件为无效标。</w:t>
      </w:r>
    </w:p>
    <w:p>
      <w:pPr>
        <w:pStyle w:val="16"/>
        <w:shd w:val="clear"/>
        <w:spacing w:line="400" w:lineRule="exact"/>
        <w:jc w:val="left"/>
        <w:rPr>
          <w:rFonts w:ascii="Times New Roman" w:hAnsi="宋体"/>
          <w:b/>
          <w:color w:val="auto"/>
          <w:kern w:val="0"/>
          <w:szCs w:val="21"/>
          <w:highlight w:val="none"/>
        </w:rPr>
      </w:pPr>
      <w:r>
        <w:rPr>
          <w:rFonts w:hint="eastAsia" w:hAnsi="宋体"/>
          <w:b/>
          <w:color w:val="auto"/>
          <w:kern w:val="0"/>
          <w:szCs w:val="21"/>
          <w:highlight w:val="none"/>
        </w:rPr>
        <w:t>3.竞争性磋商</w:t>
      </w:r>
      <w:r>
        <w:rPr>
          <w:rFonts w:hint="eastAsia" w:ascii="Times New Roman" w:hAnsi="宋体"/>
          <w:b/>
          <w:color w:val="auto"/>
          <w:kern w:val="0"/>
          <w:szCs w:val="21"/>
          <w:highlight w:val="none"/>
        </w:rPr>
        <w:t>文件的澄清与修改</w:t>
      </w:r>
    </w:p>
    <w:p>
      <w:pPr>
        <w:pStyle w:val="16"/>
        <w:shd w:val="clear"/>
        <w:spacing w:line="400" w:lineRule="exact"/>
        <w:jc w:val="left"/>
        <w:rPr>
          <w:rFonts w:hAnsi="宋体" w:cs="宋体"/>
          <w:color w:val="auto"/>
          <w:szCs w:val="21"/>
          <w:highlight w:val="none"/>
        </w:rPr>
      </w:pPr>
      <w:r>
        <w:rPr>
          <w:rFonts w:hint="eastAsia" w:hAnsi="宋体" w:cs="宋体"/>
          <w:color w:val="auto"/>
          <w:szCs w:val="21"/>
          <w:highlight w:val="none"/>
        </w:rPr>
        <w:t>3.1供应商应认真阅读本磋商文件，发现其中有误或有不合理要求的，供应商必须在知道或者应当知道之日起七个工作日内以书面形式向招标人一次性提出。采购代理机构对已发出的竞争性磋商文件进行必要澄清、答复、修改或补充的，应当在磋商文件要求提交磋商响应文件截止时间5日前，在浙江政府采购网(http://zfcg.czt.zj.gov.cn/)上发布更正公告，请供应商在磋商截止前及时关注。竞争性磋商文件的澄清、答复、修改或补充，一经在上述媒体发布，即视所有供应商都已经收到相关文件。</w:t>
      </w:r>
    </w:p>
    <w:p>
      <w:pPr>
        <w:pStyle w:val="16"/>
        <w:shd w:val="clear"/>
        <w:spacing w:line="400" w:lineRule="exact"/>
        <w:jc w:val="left"/>
        <w:rPr>
          <w:rFonts w:hAnsi="宋体"/>
          <w:bCs/>
          <w:color w:val="auto"/>
          <w:szCs w:val="21"/>
          <w:highlight w:val="none"/>
        </w:rPr>
      </w:pPr>
      <w:r>
        <w:rPr>
          <w:rFonts w:hint="eastAsia" w:hAnsi="宋体"/>
          <w:bCs/>
          <w:color w:val="auto"/>
          <w:szCs w:val="21"/>
          <w:highlight w:val="none"/>
        </w:rPr>
        <w:t>3.2采购代理机构以公告形式答复供应商要求澄清的问题，但不包含问题来源；除上述媒体发布的答复以外的其他澄清方式及澄清内容均无效。</w:t>
      </w:r>
    </w:p>
    <w:p>
      <w:pPr>
        <w:pStyle w:val="16"/>
        <w:shd w:val="clear"/>
        <w:spacing w:line="400" w:lineRule="exact"/>
        <w:jc w:val="left"/>
        <w:rPr>
          <w:rFonts w:hAnsi="宋体"/>
          <w:bCs/>
          <w:color w:val="auto"/>
          <w:szCs w:val="21"/>
          <w:highlight w:val="none"/>
        </w:rPr>
      </w:pPr>
      <w:r>
        <w:rPr>
          <w:rFonts w:hint="eastAsia" w:hAnsi="宋体"/>
          <w:bCs/>
          <w:color w:val="auto"/>
          <w:szCs w:val="21"/>
          <w:highlight w:val="none"/>
        </w:rPr>
        <w:t>3.3竞争性磋商文件澄清、答复、修改、补充的内容为竞争性磋商文件的组成部分。当竞争性磋商文件与磋商文件的答复、澄清、修改、补充通知就同一内容的表述不一致时，以最后发出的文件为准。</w:t>
      </w:r>
    </w:p>
    <w:p>
      <w:pPr>
        <w:pStyle w:val="16"/>
        <w:shd w:val="clear"/>
        <w:spacing w:line="400" w:lineRule="exact"/>
        <w:jc w:val="left"/>
        <w:rPr>
          <w:rFonts w:hAnsi="宋体"/>
          <w:color w:val="auto"/>
          <w:szCs w:val="21"/>
          <w:highlight w:val="none"/>
        </w:rPr>
      </w:pPr>
      <w:r>
        <w:rPr>
          <w:rFonts w:hint="eastAsia" w:hAnsi="宋体"/>
          <w:bCs/>
          <w:color w:val="auto"/>
          <w:szCs w:val="21"/>
          <w:highlight w:val="none"/>
        </w:rPr>
        <w:t>3.4竞争性磋商文件的澄清、答复、修改或补充都应该通过本代理机构以法定形式发布，采购人非通过本机构，不得擅自澄清、答复、修改或补充竞争性磋商文件。</w:t>
      </w:r>
    </w:p>
    <w:p>
      <w:pPr>
        <w:shd w:val="clear"/>
        <w:spacing w:before="156" w:beforeLines="50" w:after="156" w:afterLines="50" w:line="400" w:lineRule="exact"/>
        <w:ind w:left="238"/>
        <w:jc w:val="center"/>
        <w:outlineLvl w:val="1"/>
        <w:rPr>
          <w:rFonts w:ascii="宋体"/>
          <w:b/>
          <w:color w:val="auto"/>
          <w:sz w:val="28"/>
          <w:szCs w:val="28"/>
          <w:highlight w:val="none"/>
        </w:rPr>
      </w:pPr>
      <w:bookmarkStart w:id="54" w:name="_Toc2651"/>
      <w:bookmarkStart w:id="55" w:name="_Toc8560"/>
      <w:bookmarkStart w:id="56" w:name="_Toc22672"/>
      <w:bookmarkStart w:id="57" w:name="_Toc7957"/>
      <w:bookmarkStart w:id="58" w:name="_Toc9920"/>
      <w:bookmarkStart w:id="59" w:name="_Toc31411"/>
      <w:bookmarkStart w:id="60" w:name="_Toc259"/>
      <w:bookmarkStart w:id="61" w:name="_Toc10156"/>
      <w:r>
        <w:rPr>
          <w:rFonts w:hint="eastAsia" w:ascii="宋体" w:hAnsi="宋体"/>
          <w:b/>
          <w:color w:val="auto"/>
          <w:sz w:val="28"/>
          <w:szCs w:val="28"/>
          <w:highlight w:val="none"/>
        </w:rPr>
        <w:t>三、磋商响应文件的编制</w:t>
      </w:r>
      <w:bookmarkEnd w:id="53"/>
      <w:bookmarkEnd w:id="54"/>
      <w:bookmarkEnd w:id="55"/>
      <w:bookmarkEnd w:id="56"/>
      <w:bookmarkEnd w:id="57"/>
      <w:bookmarkEnd w:id="58"/>
      <w:bookmarkEnd w:id="59"/>
      <w:bookmarkEnd w:id="60"/>
      <w:bookmarkEnd w:id="61"/>
    </w:p>
    <w:p>
      <w:pPr>
        <w:pStyle w:val="16"/>
        <w:shd w:val="clear"/>
        <w:snapToGrid w:val="0"/>
        <w:spacing w:line="400" w:lineRule="exact"/>
        <w:ind w:firstLine="413" w:firstLineChars="196"/>
        <w:rPr>
          <w:rFonts w:hAnsi="宋体" w:cs="宋体"/>
          <w:b/>
          <w:color w:val="auto"/>
          <w:highlight w:val="none"/>
        </w:rPr>
      </w:pPr>
      <w:bookmarkStart w:id="62" w:name="_Toc177824943"/>
      <w:bookmarkStart w:id="63" w:name="_Toc177825124"/>
      <w:bookmarkStart w:id="64" w:name="_Toc177870546"/>
      <w:bookmarkStart w:id="65" w:name="_Toc177824876"/>
      <w:r>
        <w:rPr>
          <w:rFonts w:hint="eastAsia" w:hAnsi="宋体" w:cs="宋体"/>
          <w:b/>
          <w:color w:val="auto"/>
          <w:highlight w:val="none"/>
        </w:rPr>
        <w:t>本项目所涉磋商响应文件格式请详见第六章，未给出的格式请自拟。资信商务及技术文件中不得出现报价，否则磋商响应文件将被视为无效。</w:t>
      </w:r>
    </w:p>
    <w:p>
      <w:pPr>
        <w:pStyle w:val="16"/>
        <w:shd w:val="clear"/>
        <w:snapToGrid w:val="0"/>
        <w:spacing w:line="400" w:lineRule="exact"/>
        <w:ind w:firstLine="413" w:firstLineChars="196"/>
        <w:rPr>
          <w:rFonts w:hAnsi="宋体" w:cs="宋体"/>
          <w:b/>
          <w:bCs/>
          <w:color w:val="auto"/>
          <w:szCs w:val="21"/>
          <w:highlight w:val="none"/>
        </w:rPr>
      </w:pPr>
      <w:r>
        <w:rPr>
          <w:rFonts w:hint="eastAsia" w:hAnsi="宋体" w:cs="宋体"/>
          <w:b/>
          <w:bCs/>
          <w:color w:val="auto"/>
          <w:szCs w:val="21"/>
          <w:highlight w:val="none"/>
        </w:rPr>
        <w:t>总体要求：</w:t>
      </w:r>
    </w:p>
    <w:p>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1.</w:t>
      </w:r>
      <w:r>
        <w:rPr>
          <w:rFonts w:hint="eastAsia" w:ascii="宋体" w:hAnsi="宋体" w:cs="宋体"/>
          <w:b/>
          <w:bCs/>
          <w:color w:val="auto"/>
          <w:szCs w:val="21"/>
          <w:highlight w:val="none"/>
        </w:rPr>
        <w:t>供应商应仔细阅读竞争性磋商文件的所有内容，按本文件的要求提供磋商响应文件，并保证所提供的全部资料的真实性，以使其磋商响应文件对竞争性磋商文件作出实质性响应，否则，磋商响应文件可能视为无效磋商响应文件。</w:t>
      </w:r>
    </w:p>
    <w:p>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 xml:space="preserve">2. </w:t>
      </w:r>
      <w:r>
        <w:rPr>
          <w:rFonts w:hint="eastAsia" w:ascii="宋体" w:hAnsi="宋体" w:cs="宋体"/>
          <w:b/>
          <w:bCs/>
          <w:color w:val="auto"/>
          <w:szCs w:val="21"/>
          <w:highlight w:val="none"/>
        </w:rPr>
        <w:t>磋商响应文件及供应商与采购人有关的来往通知，函件和文件均应使用中文。</w:t>
      </w:r>
    </w:p>
    <w:p>
      <w:pPr>
        <w:shd w:val="clear"/>
        <w:spacing w:line="400" w:lineRule="exact"/>
        <w:ind w:firstLine="422" w:firstLineChars="200"/>
        <w:rPr>
          <w:rFonts w:ascii="宋体" w:cs="宋体"/>
          <w:b/>
          <w:bCs/>
          <w:color w:val="auto"/>
          <w:szCs w:val="21"/>
          <w:highlight w:val="none"/>
        </w:rPr>
      </w:pPr>
      <w:r>
        <w:rPr>
          <w:rFonts w:ascii="宋体" w:hAnsi="宋体" w:cs="宋体"/>
          <w:b/>
          <w:bCs/>
          <w:color w:val="auto"/>
          <w:szCs w:val="21"/>
          <w:highlight w:val="none"/>
        </w:rPr>
        <w:t xml:space="preserve">3. </w:t>
      </w:r>
      <w:r>
        <w:rPr>
          <w:rFonts w:hint="eastAsia" w:ascii="宋体" w:hAnsi="宋体" w:cs="宋体"/>
          <w:b/>
          <w:bCs/>
          <w:color w:val="auto"/>
          <w:szCs w:val="21"/>
          <w:highlight w:val="none"/>
        </w:rPr>
        <w:t>供应商应按本文件中提供的文件格式、内容和要求制作磋商响应文件。</w:t>
      </w:r>
    </w:p>
    <w:p>
      <w:pPr>
        <w:shd w:val="clear"/>
        <w:snapToGrid w:val="0"/>
        <w:spacing w:line="400" w:lineRule="exact"/>
        <w:ind w:firstLine="422" w:firstLineChars="200"/>
        <w:jc w:val="left"/>
        <w:rPr>
          <w:rFonts w:ascii="宋体" w:hAnsi="宋体" w:cs="宋体"/>
          <w:b/>
          <w:bCs/>
          <w:color w:val="auto"/>
          <w:szCs w:val="21"/>
          <w:highlight w:val="none"/>
        </w:rPr>
      </w:pPr>
      <w:r>
        <w:rPr>
          <w:rFonts w:ascii="宋体" w:hAnsi="宋体" w:cs="宋体"/>
          <w:b/>
          <w:bCs/>
          <w:color w:val="auto"/>
          <w:szCs w:val="21"/>
          <w:highlight w:val="none"/>
        </w:rPr>
        <w:t xml:space="preserve">4. </w:t>
      </w:r>
      <w:r>
        <w:rPr>
          <w:rFonts w:hint="eastAsia" w:ascii="宋体" w:hAnsi="宋体" w:cs="宋体"/>
          <w:b/>
          <w:bCs/>
          <w:color w:val="auto"/>
          <w:szCs w:val="21"/>
          <w:highlight w:val="none"/>
        </w:rPr>
        <w:t>磋商响应文件的效力：磋商响应文件的启用，按先后顺位分别为电子磋商响应文件、备份电子磋商响应文件。因网络或者其他问题造成电子磋商响应文件无法正常解密，才能启用备份电子磋商响应文件。</w:t>
      </w:r>
    </w:p>
    <w:p>
      <w:pPr>
        <w:shd w:val="clear"/>
        <w:snapToGrid w:val="0"/>
        <w:spacing w:line="400" w:lineRule="exact"/>
        <w:jc w:val="left"/>
        <w:rPr>
          <w:rFonts w:hint="eastAsia" w:ascii="宋体" w:hAnsi="宋体" w:cs="宋体"/>
          <w:b/>
          <w:bCs/>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．磋</w:t>
      </w:r>
      <w:r>
        <w:rPr>
          <w:rFonts w:hint="eastAsia" w:ascii="宋体" w:hAnsi="宋体" w:cs="宋体"/>
          <w:b/>
          <w:bCs/>
          <w:color w:val="auto"/>
          <w:szCs w:val="21"/>
          <w:highlight w:val="none"/>
        </w:rPr>
        <w:t>商响应文件的组成</w:t>
      </w:r>
    </w:p>
    <w:p>
      <w:pPr>
        <w:shd w:val="clear"/>
        <w:snapToGrid w:val="0"/>
        <w:spacing w:line="40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各标项</w:t>
      </w:r>
      <w:r>
        <w:rPr>
          <w:rFonts w:hint="eastAsia" w:ascii="宋体" w:hAnsi="宋体" w:cs="宋体"/>
          <w:b/>
          <w:bCs/>
          <w:color w:val="auto"/>
          <w:szCs w:val="21"/>
          <w:highlight w:val="none"/>
        </w:rPr>
        <w:t>电子磋商响应文件由资信商务及技术文件、报价文件两部份组成。其中电子磋商响应文件中所须加盖公章部分均采用CA签章。</w:t>
      </w:r>
    </w:p>
    <w:bookmarkEnd w:id="62"/>
    <w:bookmarkEnd w:id="63"/>
    <w:bookmarkEnd w:id="64"/>
    <w:bookmarkEnd w:id="65"/>
    <w:p>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w:t>
      </w:r>
      <w:r>
        <w:rPr>
          <w:rFonts w:hint="eastAsia" w:ascii="宋体" w:hAnsi="宋体"/>
          <w:b/>
          <w:bCs/>
          <w:color w:val="auto"/>
          <w:szCs w:val="21"/>
          <w:highlight w:val="none"/>
        </w:rPr>
        <w:t>资信商务及技术文件</w:t>
      </w:r>
    </w:p>
    <w:p>
      <w:pPr>
        <w:widowControl/>
        <w:shd w:val="clear"/>
        <w:jc w:val="left"/>
        <w:rPr>
          <w:rFonts w:ascii="宋体"/>
          <w:b/>
          <w:bCs/>
          <w:color w:val="auto"/>
          <w:szCs w:val="21"/>
          <w:highlight w:val="none"/>
        </w:rPr>
      </w:pPr>
      <w:r>
        <w:rPr>
          <w:rFonts w:ascii="宋体" w:hAnsi="宋体"/>
          <w:b/>
          <w:bCs/>
          <w:color w:val="auto"/>
          <w:szCs w:val="21"/>
          <w:highlight w:val="none"/>
        </w:rPr>
        <w:t>1.1.1</w:t>
      </w:r>
      <w:r>
        <w:rPr>
          <w:rFonts w:hint="eastAsia" w:ascii="宋体" w:hAnsi="宋体"/>
          <w:b/>
          <w:bCs/>
          <w:color w:val="auto"/>
          <w:szCs w:val="21"/>
          <w:highlight w:val="none"/>
        </w:rPr>
        <w:t>资信商务文件：</w:t>
      </w:r>
    </w:p>
    <w:p>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）磋商声明书；</w:t>
      </w:r>
      <w:r>
        <w:rPr>
          <w:rFonts w:hint="eastAsia"/>
          <w:color w:val="auto"/>
          <w:szCs w:val="21"/>
          <w:highlight w:val="none"/>
        </w:rPr>
        <w:t>（</w:t>
      </w:r>
      <w:r>
        <w:rPr>
          <w:rFonts w:hint="eastAsia" w:ascii="宋体" w:hAnsi="宋体"/>
          <w:color w:val="auto"/>
          <w:szCs w:val="21"/>
          <w:highlight w:val="none"/>
        </w:rPr>
        <w:t>格式见附件</w:t>
      </w:r>
      <w:r>
        <w:rPr>
          <w:rFonts w:ascii="宋体" w:hAnsi="宋体"/>
          <w:color w:val="auto"/>
          <w:szCs w:val="21"/>
          <w:highlight w:val="none"/>
        </w:rPr>
        <w:t>1</w:t>
      </w:r>
      <w:r>
        <w:rPr>
          <w:rFonts w:hint="eastAsia" w:hAnsi="宋体"/>
          <w:color w:val="auto"/>
          <w:szCs w:val="21"/>
          <w:highlight w:val="none"/>
        </w:rPr>
        <w:t>）</w:t>
      </w:r>
    </w:p>
    <w:p>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hint="eastAsia"/>
          <w:color w:val="auto"/>
          <w:szCs w:val="21"/>
          <w:highlight w:val="none"/>
        </w:rPr>
        <w:t>法定代表人授权委托书；（</w:t>
      </w:r>
      <w:r>
        <w:rPr>
          <w:rFonts w:hint="eastAsia" w:ascii="宋体" w:hAnsi="宋体"/>
          <w:color w:val="auto"/>
          <w:szCs w:val="21"/>
          <w:highlight w:val="none"/>
        </w:rPr>
        <w:t>格式见附件</w:t>
      </w:r>
      <w:r>
        <w:rPr>
          <w:rFonts w:ascii="宋体" w:hAnsi="宋体"/>
          <w:color w:val="auto"/>
          <w:szCs w:val="21"/>
          <w:highlight w:val="none"/>
        </w:rPr>
        <w:t>2</w:t>
      </w:r>
      <w:r>
        <w:rPr>
          <w:rFonts w:hint="eastAsia" w:hAnsi="宋体"/>
          <w:color w:val="auto"/>
          <w:szCs w:val="21"/>
          <w:highlight w:val="none"/>
        </w:rPr>
        <w:t>）</w:t>
      </w:r>
    </w:p>
    <w:p>
      <w:pPr>
        <w:widowControl/>
        <w:shd w:val="clear"/>
        <w:snapToGri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）所有资质文件；（格式见附件</w:t>
      </w:r>
      <w:r>
        <w:rPr>
          <w:rFonts w:ascii="宋体" w:hAnsi="宋体"/>
          <w:color w:val="auto"/>
          <w:szCs w:val="21"/>
          <w:highlight w:val="none"/>
        </w:rPr>
        <w:t>3</w:t>
      </w:r>
      <w:r>
        <w:rPr>
          <w:rFonts w:hint="eastAsia" w:ascii="宋体" w:hAnsi="宋体"/>
          <w:color w:val="auto"/>
          <w:szCs w:val="21"/>
          <w:highlight w:val="none"/>
        </w:rPr>
        <w:t>）</w:t>
      </w:r>
    </w:p>
    <w:p>
      <w:pPr>
        <w:shd w:val="clear"/>
        <w:adjustRightInd w:val="0"/>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供应商基本情况表、法人营业执照、符合参加政府采购活动应当具备的一般条件的承诺函、</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残疾人福利性单位声明函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监狱企业证明文件</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企业经营状况、优势、有关资信等级证明、荣誉获奖证书等资料。（以上证书复印件盖章）</w:t>
      </w:r>
    </w:p>
    <w:p>
      <w:pPr>
        <w:numPr>
          <w:ilvl w:val="0"/>
          <w:numId w:val="1"/>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pPr>
        <w:numPr>
          <w:ilvl w:val="0"/>
          <w:numId w:val="1"/>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s="宋体"/>
          <w:color w:val="auto"/>
          <w:szCs w:val="21"/>
          <w:highlight w:val="none"/>
        </w:rPr>
        <w:t>提供类似业绩证明材料</w:t>
      </w:r>
      <w:r>
        <w:rPr>
          <w:rFonts w:hint="eastAsia" w:ascii="宋体" w:hAnsi="宋体" w:cs="宋体"/>
          <w:color w:val="auto"/>
          <w:szCs w:val="21"/>
          <w:highlight w:val="none"/>
          <w:lang w:eastAsia="zh-CN"/>
        </w:rPr>
        <w:t>；</w:t>
      </w:r>
      <w:r>
        <w:rPr>
          <w:rFonts w:hint="eastAsia" w:ascii="宋体" w:hAnsi="宋体" w:cs="Arial"/>
          <w:color w:val="auto"/>
          <w:szCs w:val="21"/>
          <w:highlight w:val="none"/>
        </w:rPr>
        <w:t>（格式见附件4）</w:t>
      </w:r>
    </w:p>
    <w:p>
      <w:pPr>
        <w:numPr>
          <w:ilvl w:val="0"/>
          <w:numId w:val="1"/>
        </w:numPr>
        <w:shd w:val="clear"/>
        <w:tabs>
          <w:tab w:val="left" w:pos="840"/>
        </w:tabs>
        <w:autoSpaceDE w:val="0"/>
        <w:autoSpaceDN w:val="0"/>
        <w:adjustRightInd w:val="0"/>
        <w:spacing w:line="440" w:lineRule="exact"/>
        <w:rPr>
          <w:rFonts w:ascii="宋体" w:cs="Arial"/>
          <w:color w:val="auto"/>
          <w:szCs w:val="21"/>
          <w:highlight w:val="none"/>
        </w:rPr>
      </w:pPr>
      <w:r>
        <w:rPr>
          <w:rFonts w:hint="eastAsia" w:hAnsi="宋体"/>
          <w:color w:val="auto"/>
          <w:szCs w:val="21"/>
          <w:highlight w:val="none"/>
          <w:lang w:val="zh-CN"/>
        </w:rPr>
        <w:t>诚信</w:t>
      </w:r>
      <w:r>
        <w:rPr>
          <w:rFonts w:hint="eastAsia" w:ascii="宋体" w:hAnsi="宋体" w:cs="Arial"/>
          <w:color w:val="auto"/>
          <w:szCs w:val="21"/>
          <w:highlight w:val="none"/>
          <w:lang w:val="zh-CN"/>
        </w:rPr>
        <w:t>承诺书；</w:t>
      </w:r>
      <w:r>
        <w:rPr>
          <w:rFonts w:hint="eastAsia" w:ascii="宋体" w:hAnsi="宋体" w:cs="Arial"/>
          <w:color w:val="auto"/>
          <w:szCs w:val="21"/>
          <w:highlight w:val="none"/>
        </w:rPr>
        <w:t>（格式见附件5）</w:t>
      </w:r>
    </w:p>
    <w:p>
      <w:pPr>
        <w:widowControl/>
        <w:numPr>
          <w:ilvl w:val="0"/>
          <w:numId w:val="1"/>
        </w:numPr>
        <w:shd w:val="clea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商务条款偏离表</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（格式见附件6）</w:t>
      </w:r>
    </w:p>
    <w:p>
      <w:pPr>
        <w:shd w:val="clear"/>
        <w:snapToGrid w:val="0"/>
        <w:spacing w:line="380" w:lineRule="exact"/>
        <w:rPr>
          <w:rFonts w:hint="eastAsia" w:ascii="宋体" w:eastAsia="宋体"/>
          <w:color w:val="auto"/>
          <w:szCs w:val="21"/>
          <w:highlight w:val="none"/>
          <w:lang w:eastAsia="zh-CN"/>
        </w:rPr>
      </w:pPr>
      <w:r>
        <w:rPr>
          <w:rFonts w:hint="eastAsia" w:ascii="宋体" w:hAnsi="宋体"/>
          <w:color w:val="auto"/>
          <w:szCs w:val="21"/>
          <w:highlight w:val="none"/>
        </w:rPr>
        <w:t>（8）供应商认为需要的其他文件资料</w:t>
      </w:r>
      <w:r>
        <w:rPr>
          <w:rFonts w:hint="eastAsia" w:ascii="宋体" w:hAnsi="宋体"/>
          <w:color w:val="auto"/>
          <w:szCs w:val="21"/>
          <w:highlight w:val="none"/>
          <w:lang w:eastAsia="zh-CN"/>
        </w:rPr>
        <w:t>。</w:t>
      </w:r>
    </w:p>
    <w:p>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1.1.2</w:t>
      </w:r>
      <w:r>
        <w:rPr>
          <w:rFonts w:hint="eastAsia" w:ascii="宋体" w:hAnsi="宋体"/>
          <w:b/>
          <w:bCs/>
          <w:color w:val="auto"/>
          <w:szCs w:val="21"/>
          <w:highlight w:val="none"/>
        </w:rPr>
        <w:t>技术文件</w:t>
      </w:r>
    </w:p>
    <w:p>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color w:val="auto"/>
          <w:szCs w:val="21"/>
          <w:highlight w:val="none"/>
          <w:lang w:val="en-US" w:eastAsia="zh-CN"/>
        </w:rPr>
        <w:t>对本项目总体要求的理解和阐述</w:t>
      </w:r>
      <w:r>
        <w:rPr>
          <w:rFonts w:hint="eastAsia" w:ascii="宋体" w:hAnsi="宋体"/>
          <w:color w:val="auto"/>
          <w:szCs w:val="21"/>
          <w:highlight w:val="none"/>
        </w:rPr>
        <w:t>；</w:t>
      </w:r>
    </w:p>
    <w:p>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eastAsia="宋体" w:cs="Times New Roman"/>
          <w:color w:val="auto"/>
          <w:szCs w:val="21"/>
          <w:highlight w:val="none"/>
        </w:rPr>
        <w:t>供应商</w:t>
      </w:r>
      <w:r>
        <w:rPr>
          <w:rFonts w:hint="eastAsia" w:ascii="宋体" w:hAnsi="宋体" w:eastAsia="宋体" w:cs="Times New Roman"/>
          <w:color w:val="auto"/>
          <w:szCs w:val="21"/>
          <w:highlight w:val="none"/>
          <w:lang w:val="en-US" w:eastAsia="zh-CN"/>
        </w:rPr>
        <w:t>的</w:t>
      </w:r>
      <w:r>
        <w:rPr>
          <w:rFonts w:hint="eastAsia" w:ascii="宋体" w:hAnsi="宋体" w:eastAsia="宋体" w:cs="Times New Roman"/>
          <w:color w:val="auto"/>
          <w:szCs w:val="21"/>
          <w:highlight w:val="none"/>
        </w:rPr>
        <w:t>技术方案</w:t>
      </w:r>
      <w:r>
        <w:rPr>
          <w:rFonts w:hint="eastAsia" w:ascii="宋体" w:hAnsi="宋体"/>
          <w:color w:val="auto"/>
          <w:szCs w:val="21"/>
          <w:highlight w:val="none"/>
        </w:rPr>
        <w:t>；</w:t>
      </w:r>
    </w:p>
    <w:p>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eastAsia="宋体" w:cs="Times New Roman"/>
          <w:color w:val="auto"/>
          <w:szCs w:val="21"/>
          <w:highlight w:val="none"/>
        </w:rPr>
        <w:t>项目质量保证措施</w:t>
      </w:r>
      <w:r>
        <w:rPr>
          <w:rFonts w:hint="eastAsia" w:ascii="宋体" w:hAnsi="宋体" w:eastAsia="宋体" w:cs="Times New Roman"/>
          <w:color w:val="auto"/>
          <w:szCs w:val="21"/>
          <w:highlight w:val="none"/>
          <w:lang w:eastAsia="zh-CN"/>
        </w:rPr>
        <w:t>；</w:t>
      </w:r>
    </w:p>
    <w:p>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eastAsia="宋体" w:cs="Times New Roman"/>
          <w:color w:val="auto"/>
          <w:szCs w:val="21"/>
          <w:highlight w:val="none"/>
        </w:rPr>
        <w:t>项目进度计划及进度保证</w:t>
      </w:r>
      <w:r>
        <w:rPr>
          <w:rFonts w:hint="eastAsia" w:ascii="宋体" w:hAnsi="宋体" w:eastAsia="宋体" w:cs="Times New Roman"/>
          <w:color w:val="auto"/>
          <w:szCs w:val="21"/>
          <w:highlight w:val="none"/>
          <w:lang w:eastAsia="zh-CN"/>
        </w:rPr>
        <w:t>；</w:t>
      </w:r>
    </w:p>
    <w:p>
      <w:pPr>
        <w:numPr>
          <w:ilvl w:val="0"/>
          <w:numId w:val="2"/>
        </w:numPr>
        <w:shd w:val="clear"/>
        <w:spacing w:line="460" w:lineRule="exact"/>
        <w:jc w:val="left"/>
        <w:rPr>
          <w:rFonts w:hint="eastAsia" w:ascii="宋体" w:hAnsi="宋体" w:cs="Times New Roman"/>
          <w:color w:val="auto"/>
          <w:szCs w:val="21"/>
          <w:highlight w:val="none"/>
        </w:rPr>
      </w:pPr>
      <w:r>
        <w:rPr>
          <w:rFonts w:hint="eastAsia" w:ascii="宋体" w:hAnsi="宋体" w:cs="Times New Roman"/>
          <w:color w:val="auto"/>
          <w:szCs w:val="21"/>
          <w:highlight w:val="none"/>
        </w:rPr>
        <w:t>项目实施人员一览表（格式见附件</w:t>
      </w: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rPr>
        <w:t>）；</w:t>
      </w:r>
    </w:p>
    <w:p>
      <w:pPr>
        <w:numPr>
          <w:ilvl w:val="0"/>
          <w:numId w:val="2"/>
        </w:numPr>
        <w:shd w:val="clear"/>
        <w:snapToGrid/>
        <w:spacing w:line="460" w:lineRule="exact"/>
        <w:jc w:val="left"/>
        <w:rPr>
          <w:rFonts w:hint="eastAsia" w:ascii="宋体" w:hAnsi="宋体" w:cs="宋体"/>
          <w:color w:val="auto"/>
          <w:szCs w:val="21"/>
          <w:highlight w:val="none"/>
        </w:rPr>
      </w:pPr>
      <w:r>
        <w:rPr>
          <w:rFonts w:hint="eastAsia" w:ascii="宋体" w:hAnsi="宋体" w:cs="宋体"/>
          <w:color w:val="auto"/>
          <w:szCs w:val="21"/>
          <w:highlight w:val="none"/>
        </w:rPr>
        <w:t>对本项目服务的理解和实施说明，以及合理化建议和改进措施</w:t>
      </w:r>
      <w:r>
        <w:rPr>
          <w:rFonts w:hint="eastAsia" w:ascii="宋体" w:hAnsi="宋体" w:cs="宋体"/>
          <w:color w:val="auto"/>
          <w:szCs w:val="21"/>
          <w:highlight w:val="none"/>
          <w:lang w:eastAsia="zh-CN"/>
        </w:rPr>
        <w:t>；</w:t>
      </w:r>
    </w:p>
    <w:p>
      <w:pPr>
        <w:numPr>
          <w:ilvl w:val="0"/>
          <w:numId w:val="2"/>
        </w:numPr>
        <w:shd w:val="clear"/>
        <w:spacing w:line="460" w:lineRule="exact"/>
        <w:ind w:left="210"/>
        <w:jc w:val="left"/>
        <w:rPr>
          <w:color w:val="auto"/>
          <w:highlight w:val="none"/>
        </w:rPr>
      </w:pPr>
      <w:r>
        <w:rPr>
          <w:rFonts w:hint="eastAsia" w:ascii="宋体" w:hAnsi="宋体" w:cs="宋体"/>
          <w:color w:val="auto"/>
          <w:szCs w:val="21"/>
          <w:highlight w:val="none"/>
        </w:rPr>
        <w:t>未尽事宜请各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按评分细则制作技术</w:t>
      </w:r>
      <w:r>
        <w:rPr>
          <w:rFonts w:hint="eastAsia" w:ascii="宋体" w:hAnsi="宋体" w:cs="宋体"/>
          <w:color w:val="auto"/>
          <w:szCs w:val="21"/>
          <w:highlight w:val="none"/>
          <w:lang w:val="en-US" w:eastAsia="zh-CN"/>
        </w:rPr>
        <w:t>部分。</w:t>
      </w:r>
    </w:p>
    <w:p>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1.2</w:t>
      </w:r>
      <w:r>
        <w:rPr>
          <w:rFonts w:hint="eastAsia" w:ascii="宋体" w:hAnsi="宋体"/>
          <w:b/>
          <w:bCs/>
          <w:color w:val="auto"/>
          <w:szCs w:val="21"/>
          <w:highlight w:val="none"/>
        </w:rPr>
        <w:t>报价文件</w:t>
      </w:r>
    </w:p>
    <w:p>
      <w:pPr>
        <w:widowControl/>
        <w:shd w:val="clear"/>
        <w:snapToGrid w:val="0"/>
        <w:spacing w:line="400" w:lineRule="exact"/>
        <w:jc w:val="left"/>
        <w:rPr>
          <w:rFonts w:ascii="宋体"/>
          <w:color w:val="auto"/>
          <w:szCs w:val="21"/>
          <w:highlight w:val="none"/>
        </w:rPr>
      </w:pPr>
      <w:r>
        <w:rPr>
          <w:rFonts w:ascii="宋体" w:hAnsi="宋体"/>
          <w:color w:val="auto"/>
          <w:szCs w:val="21"/>
          <w:highlight w:val="none"/>
        </w:rPr>
        <w:t>1.2.1</w:t>
      </w:r>
      <w:r>
        <w:rPr>
          <w:rFonts w:hint="eastAsia" w:ascii="宋体" w:hAnsi="宋体"/>
          <w:color w:val="auto"/>
          <w:szCs w:val="21"/>
          <w:highlight w:val="none"/>
        </w:rPr>
        <w:t>磋商响应函（格式见附件</w:t>
      </w:r>
      <w:r>
        <w:rPr>
          <w:rFonts w:hint="eastAsia" w:ascii="宋体" w:hAnsi="宋体"/>
          <w:color w:val="auto"/>
          <w:szCs w:val="21"/>
          <w:highlight w:val="none"/>
          <w:lang w:val="en-US" w:eastAsia="zh-CN"/>
        </w:rPr>
        <w:t>8</w:t>
      </w:r>
      <w:r>
        <w:rPr>
          <w:rFonts w:hint="eastAsia" w:ascii="宋体" w:hAnsi="宋体"/>
          <w:color w:val="auto"/>
          <w:szCs w:val="21"/>
          <w:highlight w:val="none"/>
        </w:rPr>
        <w:t>）；</w:t>
      </w:r>
    </w:p>
    <w:p>
      <w:pPr>
        <w:widowControl/>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1.2.</w:t>
      </w:r>
      <w:r>
        <w:rPr>
          <w:rFonts w:hint="eastAsia" w:ascii="宋体" w:hAnsi="宋体"/>
          <w:color w:val="auto"/>
          <w:szCs w:val="21"/>
          <w:highlight w:val="none"/>
          <w:lang w:val="en-US" w:eastAsia="zh-CN"/>
        </w:rPr>
        <w:t>2</w:t>
      </w:r>
      <w:r>
        <w:rPr>
          <w:rFonts w:hint="eastAsia" w:ascii="宋体" w:hAnsi="宋体"/>
          <w:color w:val="auto"/>
          <w:szCs w:val="21"/>
          <w:highlight w:val="none"/>
        </w:rPr>
        <w:t>报价一览表（格式见附件</w:t>
      </w:r>
      <w:r>
        <w:rPr>
          <w:rFonts w:hint="eastAsia" w:ascii="宋体" w:hAnsi="宋体"/>
          <w:color w:val="auto"/>
          <w:szCs w:val="21"/>
          <w:highlight w:val="none"/>
          <w:lang w:val="en-US" w:eastAsia="zh-CN"/>
        </w:rPr>
        <w:t>9</w:t>
      </w:r>
      <w:r>
        <w:rPr>
          <w:rFonts w:hint="eastAsia" w:ascii="宋体" w:hAnsi="宋体"/>
          <w:color w:val="auto"/>
          <w:szCs w:val="21"/>
          <w:highlight w:val="none"/>
        </w:rPr>
        <w:t>）；</w:t>
      </w:r>
    </w:p>
    <w:p>
      <w:pPr>
        <w:pStyle w:val="18"/>
        <w:shd w:val="clear"/>
        <w:spacing w:line="400" w:lineRule="exact"/>
        <w:ind w:left="0" w:leftChars="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1.2.</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报价明细表（格式见附件1</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w:t>
      </w:r>
    </w:p>
    <w:p>
      <w:pPr>
        <w:pStyle w:val="18"/>
        <w:shd w:val="clear"/>
        <w:spacing w:line="400" w:lineRule="exact"/>
        <w:ind w:left="0" w:leftChars="0"/>
        <w:rPr>
          <w:rFonts w:ascii="宋体" w:hAnsi="宋体" w:eastAsia="宋体"/>
          <w:color w:val="auto"/>
          <w:sz w:val="21"/>
          <w:szCs w:val="21"/>
          <w:highlight w:val="none"/>
        </w:rPr>
      </w:pPr>
      <w:r>
        <w:rPr>
          <w:rFonts w:ascii="宋体" w:hAnsi="宋体" w:eastAsia="宋体"/>
          <w:color w:val="auto"/>
          <w:sz w:val="21"/>
          <w:szCs w:val="21"/>
          <w:highlight w:val="none"/>
        </w:rPr>
        <w:t>1.2.</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供应商需要说明的其他文件和说明（格式自拟）。</w:t>
      </w:r>
    </w:p>
    <w:p>
      <w:pPr>
        <w:shd w:val="clear"/>
        <w:snapToGrid w:val="0"/>
        <w:spacing w:line="400" w:lineRule="exact"/>
        <w:ind w:firstLine="422" w:firstLineChars="200"/>
        <w:rPr>
          <w:color w:val="auto"/>
          <w:highlight w:val="none"/>
        </w:rPr>
      </w:pPr>
      <w:r>
        <w:rPr>
          <w:rFonts w:hint="eastAsia" w:ascii="宋体" w:hAnsi="宋体" w:cs="宋体"/>
          <w:b/>
          <w:bCs/>
          <w:color w:val="auto"/>
          <w:szCs w:val="21"/>
          <w:highlight w:val="none"/>
        </w:rPr>
        <w:t>注：法定代表人授权委托书、磋商声明书、磋商响应函、报价一览表必须有法定代表人或被授权人签字（或签章）并加盖单位公章。</w:t>
      </w:r>
    </w:p>
    <w:p>
      <w:pPr>
        <w:shd w:val="clear"/>
        <w:snapToGrid w:val="0"/>
        <w:spacing w:line="400" w:lineRule="exact"/>
        <w:jc w:val="left"/>
        <w:rPr>
          <w:rFonts w:ascii="宋体"/>
          <w:b/>
          <w:color w:val="auto"/>
          <w:szCs w:val="21"/>
          <w:highlight w:val="none"/>
        </w:rPr>
      </w:pPr>
      <w:bookmarkStart w:id="66" w:name="_Toc177870547"/>
      <w:bookmarkStart w:id="67" w:name="_Toc177825125"/>
      <w:bookmarkStart w:id="68" w:name="_Toc177824877"/>
      <w:bookmarkStart w:id="69" w:name="_Toc177824944"/>
      <w:r>
        <w:rPr>
          <w:rFonts w:ascii="宋体" w:hAnsi="宋体"/>
          <w:b/>
          <w:color w:val="auto"/>
          <w:szCs w:val="21"/>
          <w:highlight w:val="none"/>
        </w:rPr>
        <w:t>2.</w:t>
      </w:r>
      <w:r>
        <w:rPr>
          <w:rFonts w:hint="eastAsia" w:ascii="宋体" w:hAnsi="宋体"/>
          <w:b/>
          <w:color w:val="auto"/>
          <w:szCs w:val="21"/>
          <w:highlight w:val="none"/>
        </w:rPr>
        <w:t>磋商响应文件的语言及计量</w:t>
      </w:r>
      <w:bookmarkEnd w:id="66"/>
      <w:bookmarkEnd w:id="67"/>
      <w:bookmarkEnd w:id="68"/>
      <w:bookmarkEnd w:id="69"/>
    </w:p>
    <w:p>
      <w:pPr>
        <w:shd w:val="clear"/>
        <w:snapToGrid w:val="0"/>
        <w:spacing w:line="400" w:lineRule="exact"/>
        <w:jc w:val="left"/>
        <w:rPr>
          <w:rFonts w:asci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磋商响应文件以及供应商与招标方就有关磋商事宜的所有来往函电，均应以中文书写。</w:t>
      </w:r>
    </w:p>
    <w:p>
      <w:pPr>
        <w:shd w:val="clear"/>
        <w:snapToGrid w:val="0"/>
        <w:spacing w:line="400" w:lineRule="exact"/>
        <w:jc w:val="left"/>
        <w:rPr>
          <w:rFonts w:asci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磋商计量单位，除竞争性磋商文件中有特殊要求外，应采用中华人民共和国法定计量单位，货币单位：人民币元。</w:t>
      </w:r>
    </w:p>
    <w:p>
      <w:pPr>
        <w:shd w:val="clear"/>
        <w:spacing w:line="400" w:lineRule="exact"/>
        <w:jc w:val="left"/>
        <w:rPr>
          <w:rFonts w:ascii="宋体"/>
          <w:b/>
          <w:color w:val="auto"/>
          <w:szCs w:val="21"/>
          <w:highlight w:val="none"/>
        </w:rPr>
      </w:pPr>
      <w:bookmarkStart w:id="70" w:name="_Toc177825126"/>
      <w:bookmarkStart w:id="71" w:name="_Toc177824945"/>
      <w:bookmarkStart w:id="72" w:name="_Toc177824878"/>
      <w:bookmarkStart w:id="73" w:name="_Toc177870548"/>
      <w:r>
        <w:rPr>
          <w:rFonts w:ascii="宋体" w:hAnsi="宋体"/>
          <w:b/>
          <w:color w:val="auto"/>
          <w:szCs w:val="21"/>
          <w:highlight w:val="none"/>
        </w:rPr>
        <w:t xml:space="preserve">3. </w:t>
      </w:r>
      <w:r>
        <w:rPr>
          <w:rFonts w:hint="eastAsia" w:ascii="宋体" w:hAnsi="宋体"/>
          <w:b/>
          <w:color w:val="auto"/>
          <w:szCs w:val="21"/>
          <w:highlight w:val="none"/>
        </w:rPr>
        <w:t>磋商报价</w:t>
      </w:r>
      <w:bookmarkEnd w:id="70"/>
      <w:bookmarkEnd w:id="71"/>
      <w:bookmarkEnd w:id="72"/>
      <w:bookmarkEnd w:id="73"/>
    </w:p>
    <w:p>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3.1磋商报价应按竞争性磋商文件中相关附表格式填写。</w:t>
      </w:r>
    </w:p>
    <w:p>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3.2▲</w:t>
      </w:r>
      <w:r>
        <w:rPr>
          <w:rFonts w:hint="eastAsia" w:ascii="宋体" w:hAnsi="宋体"/>
          <w:color w:val="auto"/>
          <w:szCs w:val="21"/>
          <w:highlight w:val="none"/>
          <w:u w:val="single"/>
          <w:lang w:eastAsia="zh-CN"/>
        </w:rPr>
        <w:t>本项目磋商报价应包括提供正常服务所必需的人工费，材料费、机械设备费、</w:t>
      </w:r>
      <w:r>
        <w:rPr>
          <w:rFonts w:hint="eastAsia" w:ascii="宋体" w:hAnsi="宋体"/>
          <w:color w:val="auto"/>
          <w:szCs w:val="21"/>
          <w:highlight w:val="none"/>
          <w:u w:val="single"/>
          <w:lang w:val="en-US" w:eastAsia="zh-CN"/>
        </w:rPr>
        <w:t>青苗补偿及借地费、措施费、交通费、</w:t>
      </w:r>
      <w:r>
        <w:rPr>
          <w:rFonts w:hint="eastAsia" w:ascii="宋体" w:hAnsi="宋体"/>
          <w:color w:val="auto"/>
          <w:szCs w:val="21"/>
          <w:highlight w:val="none"/>
          <w:u w:val="single"/>
          <w:lang w:eastAsia="zh-CN"/>
        </w:rPr>
        <w:t>管理费、利润、所必需的设备、专用工具等完成本项目所需的一切费用和税金以及合同包含的所有风险、责任等各项全部费用。</w:t>
      </w:r>
    </w:p>
    <w:p>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3.3▲本项目磋商报价只允许有一个报价，有选择的报价将不予接受</w:t>
      </w:r>
      <w:r>
        <w:rPr>
          <w:rFonts w:hint="eastAsia" w:ascii="宋体" w:hAnsi="宋体" w:cs="宋体"/>
          <w:b/>
          <w:bCs/>
          <w:color w:val="auto"/>
          <w:szCs w:val="21"/>
          <w:highlight w:val="none"/>
        </w:rPr>
        <w:t>。</w:t>
      </w:r>
    </w:p>
    <w:p>
      <w:pPr>
        <w:shd w:val="clear"/>
        <w:tabs>
          <w:tab w:val="left" w:pos="525"/>
        </w:tabs>
        <w:spacing w:line="276" w:lineRule="auto"/>
        <w:jc w:val="left"/>
        <w:rPr>
          <w:rFonts w:ascii="宋体" w:hAns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4最低报价不能作为成交的保证。</w:t>
      </w:r>
    </w:p>
    <w:p>
      <w:pPr>
        <w:shd w:val="clear"/>
        <w:snapToGrid w:val="0"/>
        <w:spacing w:line="400" w:lineRule="exact"/>
        <w:jc w:val="left"/>
        <w:rPr>
          <w:rFonts w:ascii="宋体" w:hAnsi="宋体"/>
          <w:b/>
          <w:color w:val="auto"/>
          <w:szCs w:val="21"/>
          <w:highlight w:val="none"/>
        </w:rPr>
      </w:pPr>
      <w:r>
        <w:rPr>
          <w:rFonts w:ascii="宋体" w:hAnsi="宋体"/>
          <w:b/>
          <w:color w:val="auto"/>
          <w:szCs w:val="21"/>
          <w:highlight w:val="none"/>
        </w:rPr>
        <w:t xml:space="preserve">4. </w:t>
      </w:r>
      <w:r>
        <w:rPr>
          <w:rFonts w:hint="eastAsia" w:ascii="宋体" w:hAnsi="宋体"/>
          <w:b/>
          <w:color w:val="auto"/>
          <w:szCs w:val="21"/>
          <w:highlight w:val="none"/>
        </w:rPr>
        <w:t>磋商响应文件的有效期</w:t>
      </w:r>
    </w:p>
    <w:p>
      <w:pPr>
        <w:shd w:val="clear"/>
        <w:snapToGrid w:val="0"/>
        <w:spacing w:line="400" w:lineRule="exact"/>
        <w:jc w:val="left"/>
        <w:rPr>
          <w:rFonts w:ascii="宋体" w:hAnsi="宋体"/>
          <w:color w:val="auto"/>
          <w:szCs w:val="21"/>
          <w:highlight w:val="none"/>
        </w:rPr>
      </w:pPr>
      <w:bookmarkStart w:id="74" w:name="_Toc177870550"/>
      <w:bookmarkStart w:id="75" w:name="_Toc177825128"/>
      <w:bookmarkStart w:id="76" w:name="_Toc177824880"/>
      <w:bookmarkStart w:id="77" w:name="_Toc177824947"/>
      <w:r>
        <w:rPr>
          <w:rFonts w:hint="eastAsia" w:ascii="宋体" w:hAnsi="宋体"/>
          <w:color w:val="auto"/>
          <w:szCs w:val="21"/>
          <w:highlight w:val="none"/>
        </w:rPr>
        <w:t>4.1磋商响应文件合格投递后，在本须知前附表规定的日期内有效。</w:t>
      </w:r>
    </w:p>
    <w:p>
      <w:pPr>
        <w:shd w:val="clear"/>
        <w:snapToGrid w:val="0"/>
        <w:spacing w:line="400" w:lineRule="exact"/>
        <w:jc w:val="left"/>
        <w:rPr>
          <w:rFonts w:ascii="宋体" w:hAnsi="宋体"/>
          <w:color w:val="auto"/>
          <w:szCs w:val="21"/>
          <w:highlight w:val="none"/>
        </w:rPr>
      </w:pPr>
      <w:r>
        <w:rPr>
          <w:rFonts w:hint="eastAsia" w:ascii="宋体" w:hAnsi="宋体"/>
          <w:color w:val="auto"/>
          <w:szCs w:val="21"/>
          <w:highlight w:val="none"/>
        </w:rPr>
        <w:t>4.2在原定磋商有效期之前，如果出现特殊情况，采购代理机构可以以书面形式通知供应商延长磋商有效期。</w:t>
      </w:r>
    </w:p>
    <w:p>
      <w:pPr>
        <w:shd w:val="clear"/>
        <w:snapToGrid w:val="0"/>
        <w:spacing w:line="400" w:lineRule="exact"/>
        <w:jc w:val="left"/>
        <w:rPr>
          <w:rFonts w:asci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磋商保证金</w:t>
      </w:r>
      <w:bookmarkEnd w:id="74"/>
      <w:bookmarkEnd w:id="75"/>
      <w:bookmarkEnd w:id="76"/>
      <w:bookmarkEnd w:id="77"/>
      <w:r>
        <w:rPr>
          <w:rFonts w:hint="eastAsia" w:ascii="宋体" w:hAnsi="宋体"/>
          <w:b/>
          <w:color w:val="auto"/>
          <w:szCs w:val="21"/>
          <w:highlight w:val="none"/>
        </w:rPr>
        <w:t>：无。</w:t>
      </w:r>
    </w:p>
    <w:p>
      <w:pPr>
        <w:shd w:val="clear"/>
        <w:snapToGrid w:val="0"/>
        <w:spacing w:line="400" w:lineRule="exact"/>
        <w:jc w:val="left"/>
        <w:rPr>
          <w:rFonts w:ascii="宋体"/>
          <w:b/>
          <w:color w:val="auto"/>
          <w:szCs w:val="21"/>
          <w:highlight w:val="none"/>
        </w:rPr>
      </w:pPr>
      <w:bookmarkStart w:id="78" w:name="_Toc177824881"/>
      <w:bookmarkStart w:id="79" w:name="_Toc177870551"/>
      <w:bookmarkStart w:id="80" w:name="_Toc177824948"/>
      <w:bookmarkStart w:id="81" w:name="_Toc177825129"/>
      <w:r>
        <w:rPr>
          <w:rFonts w:ascii="宋体" w:hAnsi="宋体"/>
          <w:b/>
          <w:color w:val="auto"/>
          <w:szCs w:val="21"/>
          <w:highlight w:val="none"/>
        </w:rPr>
        <w:t>6.</w:t>
      </w:r>
      <w:r>
        <w:rPr>
          <w:rFonts w:hint="eastAsia" w:ascii="宋体" w:hAnsi="宋体"/>
          <w:b/>
          <w:color w:val="auto"/>
          <w:szCs w:val="21"/>
          <w:highlight w:val="none"/>
        </w:rPr>
        <w:t>磋商响应文件的签署和份数</w:t>
      </w:r>
      <w:bookmarkEnd w:id="78"/>
      <w:bookmarkEnd w:id="79"/>
      <w:bookmarkEnd w:id="80"/>
      <w:bookmarkEnd w:id="81"/>
    </w:p>
    <w:p>
      <w:pPr>
        <w:shd w:val="clear"/>
        <w:snapToGrid w:val="0"/>
        <w:spacing w:line="400" w:lineRule="exact"/>
        <w:jc w:val="left"/>
        <w:rPr>
          <w:rFonts w:ascii="宋体" w:cs="宋体"/>
          <w:b/>
          <w:bCs/>
          <w:color w:val="auto"/>
          <w:szCs w:val="21"/>
          <w:highlight w:val="none"/>
        </w:rPr>
      </w:pPr>
      <w:bookmarkStart w:id="82" w:name="_Toc18734"/>
      <w:bookmarkStart w:id="83" w:name="_Toc177870554"/>
      <w:r>
        <w:rPr>
          <w:rFonts w:hint="eastAsia" w:ascii="宋体" w:hAnsi="宋体" w:cs="宋体"/>
          <w:b/>
          <w:bCs/>
          <w:color w:val="auto"/>
          <w:szCs w:val="21"/>
          <w:highlight w:val="none"/>
        </w:rPr>
        <w:t>电子磋商响应文件</w:t>
      </w:r>
    </w:p>
    <w:p>
      <w:pPr>
        <w:shd w:val="clear"/>
        <w:snapToGrid w:val="0"/>
        <w:spacing w:line="400" w:lineRule="exact"/>
        <w:jc w:val="left"/>
        <w:rPr>
          <w:rStyle w:val="52"/>
          <w:rFonts w:ascii="宋体" w:hAnsi="宋体" w:cs="宋体"/>
          <w:b/>
          <w:bCs/>
          <w:color w:val="auto"/>
          <w:szCs w:val="21"/>
          <w:highlight w:val="none"/>
        </w:rPr>
      </w:pPr>
      <w:r>
        <w:rPr>
          <w:rFonts w:hint="eastAsia" w:ascii="宋体" w:hAnsi="宋体" w:cs="宋体"/>
          <w:color w:val="auto"/>
          <w:szCs w:val="21"/>
          <w:highlight w:val="none"/>
        </w:rPr>
        <w:t>电子磋商响应文件按政采云平台供应商电子招投标操作指南（网址：</w:t>
      </w:r>
      <w:r>
        <w:rPr>
          <w:rStyle w:val="52"/>
          <w:rFonts w:hint="eastAsia" w:ascii="宋体" w:hAnsi="宋体" w:eastAsia="宋体" w:cs="宋体"/>
          <w:color w:val="auto"/>
          <w:sz w:val="21"/>
          <w:szCs w:val="21"/>
          <w:highlight w:val="none"/>
        </w:rPr>
        <w:t>https://service.zcygov.cn/#/knowledges/CW1EtGwBFdiHxlNd6I3m/6IMVAG0BFdiHxlNdQ8Na</w:t>
      </w:r>
      <w:r>
        <w:rPr>
          <w:color w:val="auto"/>
          <w:highlight w:val="none"/>
        </w:rPr>
        <w:fldChar w:fldCharType="begin"/>
      </w:r>
      <w:r>
        <w:rPr>
          <w:color w:val="auto"/>
          <w:highlight w:val="none"/>
        </w:rPr>
        <w:instrText xml:space="preserve"> HYPERLINK "https://help.zcygov.cn/web/site_2/2018/12-28/2573.html）及本竞争性磋商文件规定的格式和顺序编制电子磋商响应文件并进行关联定位。建议根据竞争性磋商文件合格供应商的资格要求、磋商响应文件的编制及评审标准等内容一一关联。" </w:instrText>
      </w:r>
      <w:r>
        <w:rPr>
          <w:color w:val="auto"/>
          <w:highlight w:val="none"/>
        </w:rPr>
        <w:fldChar w:fldCharType="separate"/>
      </w:r>
      <w:r>
        <w:rPr>
          <w:rStyle w:val="52"/>
          <w:rFonts w:hint="eastAsia" w:ascii="宋体" w:hAnsi="宋体" w:cs="宋体"/>
          <w:color w:val="auto"/>
          <w:szCs w:val="21"/>
          <w:highlight w:val="none"/>
        </w:rPr>
        <w:t>）及本竞争性磋商文件规定的格式和顺序编制电子磋商响应文件并进行关联定位。</w:t>
      </w:r>
      <w:r>
        <w:rPr>
          <w:rStyle w:val="52"/>
          <w:rFonts w:hint="eastAsia" w:ascii="宋体" w:hAnsi="宋体" w:cs="宋体"/>
          <w:b/>
          <w:bCs/>
          <w:color w:val="auto"/>
          <w:szCs w:val="21"/>
          <w:highlight w:val="none"/>
        </w:rPr>
        <w:t>建议根据竞争性磋商文件合格供应商的资格要求、磋商响应文件的编制及评审标准等内容一一关联。</w:t>
      </w:r>
      <w:r>
        <w:rPr>
          <w:rStyle w:val="52"/>
          <w:rFonts w:hint="eastAsia" w:ascii="宋体" w:hAnsi="宋体" w:cs="宋体"/>
          <w:b/>
          <w:bCs/>
          <w:color w:val="auto"/>
          <w:szCs w:val="21"/>
          <w:highlight w:val="none"/>
        </w:rPr>
        <w:fldChar w:fldCharType="end"/>
      </w:r>
    </w:p>
    <w:p>
      <w:pPr>
        <w:pStyle w:val="94"/>
        <w:shd w:val="clear"/>
        <w:spacing w:line="400" w:lineRule="exact"/>
        <w:rPr>
          <w:rFonts w:ascii="宋体"/>
          <w:color w:val="auto"/>
          <w:sz w:val="21"/>
          <w:szCs w:val="21"/>
          <w:highlight w:val="none"/>
        </w:rPr>
      </w:pPr>
      <w:r>
        <w:rPr>
          <w:rFonts w:ascii="宋体"/>
          <w:color w:val="auto"/>
          <w:sz w:val="21"/>
          <w:szCs w:val="21"/>
          <w:highlight w:val="none"/>
        </w:rPr>
        <w:t>7.</w:t>
      </w:r>
      <w:r>
        <w:rPr>
          <w:rFonts w:hint="eastAsia" w:ascii="宋体"/>
          <w:color w:val="auto"/>
          <w:sz w:val="21"/>
          <w:szCs w:val="21"/>
          <w:highlight w:val="none"/>
        </w:rPr>
        <w:t>磋商响应文件修改和撤回</w:t>
      </w:r>
    </w:p>
    <w:p>
      <w:pPr>
        <w:shd w:val="clear"/>
        <w:spacing w:line="400" w:lineRule="exact"/>
        <w:ind w:hanging="3"/>
        <w:rPr>
          <w:rFonts w:ascii="宋体" w:cs="宋体"/>
          <w:b/>
          <w:color w:val="auto"/>
          <w:szCs w:val="21"/>
          <w:highlight w:val="none"/>
        </w:rPr>
      </w:pPr>
      <w:r>
        <w:rPr>
          <w:rFonts w:ascii="宋体" w:hAnsi="宋体" w:cs="宋体"/>
          <w:b/>
          <w:color w:val="auto"/>
          <w:szCs w:val="21"/>
          <w:highlight w:val="none"/>
        </w:rPr>
        <w:t>7.1</w:t>
      </w:r>
      <w:r>
        <w:rPr>
          <w:rFonts w:hint="eastAsia" w:ascii="宋体" w:hAnsi="宋体" w:cs="宋体"/>
          <w:b/>
          <w:color w:val="auto"/>
          <w:szCs w:val="21"/>
          <w:highlight w:val="none"/>
        </w:rPr>
        <w:t>在磋商截止时间前，供应商可对已提交的电子磋商响应文件进行补充、修改或撤回。补充、修改电子磋商响应文件的，应当先行撤回原文件，补充、修改后重新生成的电子磋商响应文件并重新传输递交；</w:t>
      </w:r>
    </w:p>
    <w:p>
      <w:pPr>
        <w:shd w:val="clear"/>
        <w:spacing w:line="400" w:lineRule="exact"/>
        <w:ind w:left="843" w:hanging="843" w:hangingChars="400"/>
        <w:rPr>
          <w:rFonts w:ascii="宋体" w:cs="宋体"/>
          <w:b/>
          <w:color w:val="auto"/>
          <w:szCs w:val="21"/>
          <w:highlight w:val="none"/>
        </w:rPr>
      </w:pPr>
      <w:r>
        <w:rPr>
          <w:rFonts w:ascii="宋体" w:hAnsi="宋体" w:cs="宋体"/>
          <w:b/>
          <w:color w:val="auto"/>
          <w:szCs w:val="21"/>
          <w:highlight w:val="none"/>
        </w:rPr>
        <w:t xml:space="preserve">7.2 </w:t>
      </w:r>
      <w:r>
        <w:rPr>
          <w:rFonts w:hint="eastAsia" w:ascii="宋体" w:hAnsi="宋体" w:cs="宋体"/>
          <w:b/>
          <w:color w:val="auto"/>
          <w:szCs w:val="21"/>
          <w:highlight w:val="none"/>
        </w:rPr>
        <w:t>补充、修改后重新提交的电子磋商响应文件应按竞争性磋商文件的规定编制、导入、提交；</w:t>
      </w:r>
    </w:p>
    <w:p>
      <w:pPr>
        <w:shd w:val="clear"/>
        <w:spacing w:line="400" w:lineRule="exact"/>
        <w:rPr>
          <w:color w:val="auto"/>
          <w:highlight w:val="none"/>
        </w:rPr>
      </w:pPr>
      <w:r>
        <w:rPr>
          <w:rFonts w:ascii="宋体" w:hAnsi="宋体" w:cs="宋体"/>
          <w:b/>
          <w:color w:val="auto"/>
          <w:szCs w:val="21"/>
          <w:highlight w:val="none"/>
        </w:rPr>
        <w:t>7.3</w:t>
      </w:r>
      <w:r>
        <w:rPr>
          <w:rFonts w:hint="eastAsia" w:ascii="宋体" w:hAnsi="宋体" w:cs="宋体"/>
          <w:b/>
          <w:color w:val="auto"/>
          <w:szCs w:val="21"/>
          <w:highlight w:val="none"/>
        </w:rPr>
        <w:t>在磋商截止时间后，供应商不得修改、撤回已提交的电子磋商响应文件。</w:t>
      </w:r>
    </w:p>
    <w:p>
      <w:pPr>
        <w:shd w:val="clear"/>
        <w:spacing w:before="156" w:beforeLines="50" w:after="156" w:afterLines="50" w:line="400" w:lineRule="exact"/>
        <w:ind w:left="238"/>
        <w:jc w:val="center"/>
        <w:outlineLvl w:val="1"/>
        <w:rPr>
          <w:rFonts w:ascii="宋体"/>
          <w:b/>
          <w:color w:val="auto"/>
          <w:sz w:val="28"/>
          <w:szCs w:val="28"/>
          <w:highlight w:val="none"/>
        </w:rPr>
      </w:pPr>
      <w:bookmarkStart w:id="84" w:name="_Toc2575"/>
      <w:bookmarkStart w:id="85" w:name="_Toc4693"/>
      <w:bookmarkStart w:id="86" w:name="_Toc32372"/>
      <w:bookmarkStart w:id="87" w:name="_Toc464"/>
      <w:bookmarkStart w:id="88" w:name="_Toc25400"/>
      <w:bookmarkStart w:id="89" w:name="_Toc13489"/>
      <w:bookmarkStart w:id="90" w:name="_Toc3429"/>
      <w:bookmarkStart w:id="91" w:name="_Toc10210"/>
      <w:r>
        <w:rPr>
          <w:rFonts w:hint="eastAsia" w:ascii="宋体" w:hAnsi="宋体"/>
          <w:b/>
          <w:color w:val="auto"/>
          <w:sz w:val="28"/>
          <w:szCs w:val="28"/>
          <w:highlight w:val="none"/>
        </w:rPr>
        <w:t>四、磋商前的准备</w:t>
      </w:r>
      <w:bookmarkEnd w:id="82"/>
      <w:bookmarkEnd w:id="84"/>
      <w:bookmarkEnd w:id="85"/>
      <w:bookmarkEnd w:id="86"/>
      <w:bookmarkEnd w:id="87"/>
      <w:bookmarkEnd w:id="88"/>
      <w:bookmarkEnd w:id="89"/>
      <w:bookmarkEnd w:id="90"/>
      <w:bookmarkEnd w:id="91"/>
    </w:p>
    <w:p>
      <w:pPr>
        <w:pStyle w:val="16"/>
        <w:shd w:val="clear"/>
        <w:spacing w:line="360" w:lineRule="auto"/>
        <w:ind w:left="2"/>
        <w:rPr>
          <w:rFonts w:hAnsi="宋体" w:cs="宋体"/>
          <w:color w:val="auto"/>
          <w:highlight w:val="none"/>
        </w:rPr>
      </w:pPr>
      <w:bookmarkStart w:id="92" w:name="_Toc107820050"/>
      <w:bookmarkStart w:id="93" w:name="_Toc170792769"/>
      <w:bookmarkStart w:id="94" w:name="_Toc177870553"/>
      <w:bookmarkStart w:id="95" w:name="_Toc21144"/>
      <w:r>
        <w:rPr>
          <w:rFonts w:hAnsi="宋体" w:cs="宋体"/>
          <w:color w:val="auto"/>
          <w:highlight w:val="none"/>
        </w:rPr>
        <w:t>1.</w:t>
      </w:r>
      <w:r>
        <w:rPr>
          <w:rFonts w:hint="eastAsia" w:hAnsi="宋体" w:cs="宋体"/>
          <w:color w:val="auto"/>
          <w:highlight w:val="none"/>
        </w:rPr>
        <w:t>本项目采用电子交易进行开标、磋商、评审，供应商均应当准时在线参加。</w:t>
      </w:r>
    </w:p>
    <w:p>
      <w:pPr>
        <w:pStyle w:val="16"/>
        <w:shd w:val="clear"/>
        <w:spacing w:line="360" w:lineRule="auto"/>
        <w:ind w:left="2"/>
        <w:rPr>
          <w:rFonts w:hAnsi="宋体" w:cs="宋体"/>
          <w:color w:val="auto"/>
          <w:highlight w:val="none"/>
        </w:rPr>
      </w:pPr>
      <w:r>
        <w:rPr>
          <w:rFonts w:hAnsi="宋体" w:cs="宋体"/>
          <w:color w:val="auto"/>
          <w:highlight w:val="none"/>
        </w:rPr>
        <w:t>2.</w:t>
      </w:r>
      <w:r>
        <w:rPr>
          <w:rFonts w:hint="eastAsia" w:hAnsi="宋体" w:cs="宋体"/>
          <w:color w:val="auto"/>
          <w:highlight w:val="none"/>
        </w:rPr>
        <w:t>准备工作程序：</w:t>
      </w:r>
    </w:p>
    <w:p>
      <w:pPr>
        <w:pStyle w:val="16"/>
        <w:shd w:val="clear"/>
        <w:spacing w:line="360" w:lineRule="auto"/>
        <w:ind w:left="2"/>
        <w:rPr>
          <w:rFonts w:hAnsi="宋体" w:cs="宋体"/>
          <w:color w:val="auto"/>
          <w:highlight w:val="none"/>
        </w:rPr>
      </w:pPr>
      <w:r>
        <w:rPr>
          <w:rFonts w:hAnsi="宋体" w:cs="宋体"/>
          <w:color w:val="auto"/>
          <w:highlight w:val="none"/>
        </w:rPr>
        <w:t>2.1</w:t>
      </w:r>
      <w:r>
        <w:rPr>
          <w:rFonts w:hint="eastAsia" w:hAnsi="宋体" w:cs="宋体"/>
          <w:color w:val="auto"/>
          <w:highlight w:val="none"/>
        </w:rPr>
        <w:t>会议由采购代理机构主持，主持人宣布会议开始；</w:t>
      </w:r>
    </w:p>
    <w:p>
      <w:pPr>
        <w:pStyle w:val="16"/>
        <w:shd w:val="clear"/>
        <w:spacing w:line="360" w:lineRule="auto"/>
        <w:ind w:left="2"/>
        <w:rPr>
          <w:rFonts w:hAnsi="宋体" w:cs="宋体"/>
          <w:color w:val="auto"/>
          <w:highlight w:val="none"/>
        </w:rPr>
      </w:pPr>
      <w:r>
        <w:rPr>
          <w:rFonts w:hAnsi="宋体" w:cs="宋体"/>
          <w:color w:val="auto"/>
          <w:highlight w:val="none"/>
        </w:rPr>
        <w:t>2.2</w:t>
      </w:r>
      <w:r>
        <w:rPr>
          <w:rFonts w:hint="eastAsia" w:hAnsi="宋体" w:cs="宋体"/>
          <w:color w:val="auto"/>
          <w:highlight w:val="none"/>
        </w:rPr>
        <w:t>介绍参加会议的人员名单（包括主持人、记录人和监督人等）；</w:t>
      </w:r>
    </w:p>
    <w:p>
      <w:pPr>
        <w:pStyle w:val="16"/>
        <w:shd w:val="clear"/>
        <w:spacing w:line="360" w:lineRule="auto"/>
        <w:ind w:left="2"/>
        <w:rPr>
          <w:rFonts w:hAnsi="宋体" w:cs="宋体"/>
          <w:color w:val="auto"/>
          <w:highlight w:val="none"/>
        </w:rPr>
      </w:pPr>
      <w:r>
        <w:rPr>
          <w:rFonts w:hAnsi="宋体" w:cs="宋体"/>
          <w:color w:val="auto"/>
          <w:highlight w:val="none"/>
        </w:rPr>
        <w:t>2.3</w:t>
      </w:r>
      <w:r>
        <w:rPr>
          <w:rFonts w:hint="eastAsia" w:hAnsi="宋体" w:cs="宋体"/>
          <w:color w:val="auto"/>
          <w:highlight w:val="none"/>
        </w:rPr>
        <w:t>告知是否应有回避人员；</w:t>
      </w:r>
    </w:p>
    <w:p>
      <w:pPr>
        <w:pStyle w:val="16"/>
        <w:shd w:val="clear"/>
        <w:spacing w:line="360" w:lineRule="auto"/>
        <w:ind w:left="2"/>
        <w:rPr>
          <w:rFonts w:hAnsi="宋体" w:cs="宋体"/>
          <w:color w:val="auto"/>
          <w:highlight w:val="none"/>
        </w:rPr>
      </w:pPr>
      <w:r>
        <w:rPr>
          <w:rFonts w:hAnsi="宋体" w:cs="宋体"/>
          <w:color w:val="auto"/>
          <w:highlight w:val="none"/>
        </w:rPr>
        <w:t>2.4</w:t>
      </w:r>
      <w:r>
        <w:rPr>
          <w:rFonts w:hint="eastAsia" w:hAnsi="宋体" w:cs="宋体"/>
          <w:color w:val="auto"/>
          <w:highlight w:val="none"/>
        </w:rPr>
        <w:t>宣布磋商期间的有关事项；</w:t>
      </w:r>
    </w:p>
    <w:p>
      <w:pPr>
        <w:pStyle w:val="16"/>
        <w:shd w:val="clear"/>
        <w:spacing w:line="360" w:lineRule="auto"/>
        <w:ind w:left="2"/>
        <w:rPr>
          <w:rFonts w:hAnsi="宋体" w:cs="宋体"/>
          <w:color w:val="auto"/>
          <w:highlight w:val="none"/>
        </w:rPr>
      </w:pPr>
      <w:r>
        <w:rPr>
          <w:rFonts w:hAnsi="宋体" w:cs="宋体"/>
          <w:color w:val="auto"/>
          <w:highlight w:val="none"/>
        </w:rPr>
        <w:t>2.5</w:t>
      </w:r>
      <w:r>
        <w:rPr>
          <w:rFonts w:hint="eastAsia" w:hAnsi="宋体" w:cs="宋体"/>
          <w:color w:val="auto"/>
          <w:highlight w:val="none"/>
        </w:rPr>
        <w:t>会议结束。</w:t>
      </w:r>
    </w:p>
    <w:p>
      <w:pPr>
        <w:pStyle w:val="16"/>
        <w:shd w:val="clear"/>
        <w:spacing w:line="360" w:lineRule="auto"/>
        <w:ind w:left="2"/>
        <w:rPr>
          <w:rFonts w:hAnsi="宋体" w:cs="宋体"/>
          <w:b/>
          <w:bCs/>
          <w:color w:val="auto"/>
          <w:highlight w:val="none"/>
        </w:rPr>
      </w:pPr>
      <w:r>
        <w:rPr>
          <w:rFonts w:hAnsi="宋体" w:cs="宋体"/>
          <w:b/>
          <w:bCs/>
          <w:color w:val="auto"/>
          <w:highlight w:val="none"/>
        </w:rPr>
        <w:t>3.</w:t>
      </w:r>
      <w:r>
        <w:rPr>
          <w:rFonts w:hint="eastAsia" w:hAnsi="宋体" w:cs="宋体"/>
          <w:b/>
          <w:bCs/>
          <w:color w:val="auto"/>
          <w:highlight w:val="none"/>
        </w:rPr>
        <w:t>磋商响应文件开启</w:t>
      </w:r>
    </w:p>
    <w:p>
      <w:pPr>
        <w:pStyle w:val="16"/>
        <w:shd w:val="clear"/>
        <w:spacing w:line="360" w:lineRule="auto"/>
        <w:ind w:left="2"/>
        <w:rPr>
          <w:rFonts w:hAnsi="宋体" w:cs="宋体"/>
          <w:b/>
          <w:bCs/>
          <w:color w:val="auto"/>
          <w:highlight w:val="none"/>
        </w:rPr>
      </w:pPr>
      <w:r>
        <w:rPr>
          <w:rFonts w:hAnsi="宋体" w:cs="宋体"/>
          <w:b/>
          <w:bCs/>
          <w:color w:val="auto"/>
          <w:highlight w:val="none"/>
        </w:rPr>
        <w:t>3.1</w:t>
      </w:r>
      <w:r>
        <w:rPr>
          <w:rFonts w:hint="eastAsia" w:hAnsi="宋体" w:cs="宋体"/>
          <w:b/>
          <w:bCs/>
          <w:color w:val="auto"/>
          <w:highlight w:val="none"/>
        </w:rPr>
        <w:t>电子磋商响应文件开标：磋商截止时间后，供应商登录政采云平台，用“项目采购</w:t>
      </w:r>
      <w:r>
        <w:rPr>
          <w:rFonts w:hAnsi="宋体" w:cs="宋体"/>
          <w:b/>
          <w:bCs/>
          <w:color w:val="auto"/>
          <w:highlight w:val="none"/>
        </w:rPr>
        <w:t>-</w:t>
      </w:r>
      <w:r>
        <w:rPr>
          <w:rFonts w:hint="eastAsia" w:hAnsi="宋体" w:cs="宋体"/>
          <w:b/>
          <w:bCs/>
          <w:color w:val="auto"/>
          <w:highlight w:val="none"/>
        </w:rPr>
        <w:t>开标评标”功能对电子磋商响应文件进行在线解密。在线解密电子磋商响应文件时间为磋商截止时间起</w:t>
      </w:r>
      <w:r>
        <w:rPr>
          <w:rFonts w:hAnsi="宋体" w:cs="宋体"/>
          <w:b/>
          <w:bCs/>
          <w:color w:val="auto"/>
          <w:highlight w:val="none"/>
        </w:rPr>
        <w:t>30</w:t>
      </w:r>
      <w:r>
        <w:rPr>
          <w:rFonts w:hint="eastAsia" w:hAnsi="宋体" w:cs="宋体"/>
          <w:b/>
          <w:bCs/>
          <w:color w:val="auto"/>
          <w:highlight w:val="none"/>
        </w:rPr>
        <w:t>分钟内。</w:t>
      </w:r>
    </w:p>
    <w:p>
      <w:pPr>
        <w:pStyle w:val="16"/>
        <w:shd w:val="clear"/>
        <w:spacing w:line="360" w:lineRule="auto"/>
        <w:ind w:left="2"/>
        <w:rPr>
          <w:rFonts w:hAnsi="宋体" w:cs="宋体"/>
          <w:b/>
          <w:bCs/>
          <w:color w:val="auto"/>
          <w:highlight w:val="none"/>
        </w:rPr>
      </w:pPr>
      <w:r>
        <w:rPr>
          <w:rFonts w:hAnsi="宋体" w:cs="宋体"/>
          <w:b/>
          <w:bCs/>
          <w:color w:val="auto"/>
          <w:highlight w:val="none"/>
        </w:rPr>
        <w:t>3.2</w:t>
      </w:r>
      <w:r>
        <w:rPr>
          <w:rFonts w:hint="eastAsia" w:hAnsi="宋体" w:cs="宋体"/>
          <w:b/>
          <w:bCs/>
          <w:color w:val="auto"/>
          <w:highlight w:val="none"/>
        </w:rPr>
        <w:t>电子磋商响应文件无法正常解密时，开启备份电子磋商响应文件。</w:t>
      </w:r>
    </w:p>
    <w:p>
      <w:pPr>
        <w:shd w:val="clear"/>
        <w:spacing w:before="156" w:beforeLines="50" w:after="156" w:afterLines="50" w:line="400" w:lineRule="exact"/>
        <w:ind w:left="238"/>
        <w:jc w:val="center"/>
        <w:outlineLvl w:val="1"/>
        <w:rPr>
          <w:rFonts w:ascii="宋体"/>
          <w:b/>
          <w:color w:val="auto"/>
          <w:sz w:val="28"/>
          <w:szCs w:val="28"/>
          <w:highlight w:val="none"/>
        </w:rPr>
      </w:pPr>
      <w:bookmarkStart w:id="96" w:name="_Toc5401"/>
      <w:bookmarkStart w:id="97" w:name="_Toc30019"/>
      <w:bookmarkStart w:id="98" w:name="_Toc28447"/>
      <w:bookmarkStart w:id="99" w:name="_Toc28547"/>
      <w:bookmarkStart w:id="100" w:name="_Toc18661"/>
      <w:bookmarkStart w:id="101" w:name="_Toc23439"/>
      <w:bookmarkStart w:id="102" w:name="_Toc11472"/>
      <w:bookmarkStart w:id="103" w:name="_Toc2850"/>
      <w:r>
        <w:rPr>
          <w:rFonts w:hint="eastAsia" w:ascii="宋体" w:hAnsi="宋体"/>
          <w:b/>
          <w:color w:val="auto"/>
          <w:sz w:val="28"/>
          <w:szCs w:val="28"/>
          <w:highlight w:val="none"/>
        </w:rPr>
        <w:t>五、</w:t>
      </w:r>
      <w:bookmarkEnd w:id="92"/>
      <w:bookmarkEnd w:id="93"/>
      <w:bookmarkEnd w:id="94"/>
      <w:r>
        <w:rPr>
          <w:rFonts w:hint="eastAsia" w:ascii="宋体" w:hAnsi="宋体"/>
          <w:b/>
          <w:color w:val="auto"/>
          <w:sz w:val="28"/>
          <w:szCs w:val="28"/>
          <w:highlight w:val="none"/>
        </w:rPr>
        <w:t>磋商程序</w:t>
      </w:r>
      <w:bookmarkEnd w:id="95"/>
      <w:bookmarkEnd w:id="96"/>
      <w:bookmarkEnd w:id="97"/>
      <w:bookmarkEnd w:id="98"/>
      <w:bookmarkEnd w:id="99"/>
      <w:bookmarkEnd w:id="100"/>
      <w:bookmarkEnd w:id="101"/>
      <w:bookmarkEnd w:id="102"/>
      <w:bookmarkEnd w:id="103"/>
    </w:p>
    <w:p>
      <w:pPr>
        <w:shd w:val="clear"/>
        <w:spacing w:line="360" w:lineRule="auto"/>
        <w:rPr>
          <w:rFonts w:asci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磋商流程</w:t>
      </w:r>
    </w:p>
    <w:p>
      <w:pPr>
        <w:shd w:val="clear"/>
        <w:spacing w:line="360" w:lineRule="auto"/>
        <w:rPr>
          <w:rFonts w:asci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磋商小组讨论、通过磋商工作流程和磋商要点。</w:t>
      </w:r>
    </w:p>
    <w:p>
      <w:pPr>
        <w:shd w:val="clear"/>
        <w:spacing w:line="360" w:lineRule="auto"/>
        <w:rPr>
          <w:rFonts w:ascii="宋体" w:cs="宋体"/>
          <w:color w:val="auto"/>
          <w:szCs w:val="21"/>
          <w:highlight w:val="none"/>
        </w:rPr>
      </w:pPr>
      <w:r>
        <w:rPr>
          <w:rFonts w:ascii="宋体" w:hAnsi="宋体" w:cs="宋体"/>
          <w:color w:val="auto"/>
          <w:szCs w:val="21"/>
          <w:highlight w:val="none"/>
        </w:rPr>
        <w:t>1.2</w:t>
      </w:r>
      <w:r>
        <w:rPr>
          <w:rFonts w:hint="eastAsia" w:ascii="宋体" w:hAnsi="宋体" w:cs="宋体"/>
          <w:color w:val="auto"/>
          <w:szCs w:val="21"/>
          <w:highlight w:val="none"/>
        </w:rPr>
        <w:t>主持人宣布磋商的有关事项；</w:t>
      </w:r>
    </w:p>
    <w:p>
      <w:pPr>
        <w:shd w:val="clear"/>
        <w:spacing w:line="360" w:lineRule="auto"/>
        <w:rPr>
          <w:rFonts w:asci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磋商小组对所提交的磋商响应文件进行审查，审查结束后，由主持人公布无效磋商响应方名单、磋商响应无效的原因废标情况；</w:t>
      </w:r>
    </w:p>
    <w:p>
      <w:pPr>
        <w:shd w:val="clear"/>
        <w:spacing w:line="360" w:lineRule="auto"/>
        <w:rPr>
          <w:rFonts w:ascii="宋体" w:cs="宋体"/>
          <w:color w:val="auto"/>
          <w:szCs w:val="21"/>
          <w:highlight w:val="none"/>
        </w:rPr>
      </w:pPr>
      <w:r>
        <w:rPr>
          <w:rFonts w:ascii="宋体" w:hAnsi="宋体" w:cs="宋体"/>
          <w:color w:val="auto"/>
          <w:szCs w:val="21"/>
          <w:highlight w:val="none"/>
        </w:rPr>
        <w:t>1.4</w:t>
      </w:r>
      <w:r>
        <w:rPr>
          <w:rFonts w:hint="eastAsia" w:ascii="宋体" w:hAnsi="宋体" w:cs="宋体"/>
          <w:color w:val="auto"/>
          <w:szCs w:val="21"/>
          <w:highlight w:val="none"/>
        </w:rPr>
        <w:t>磋商小组与各磋商响应方就公司情况、项目需求、服务内容、售后服务、价格构成、项目实施进度、付款方式等要素分别进行磋商。逐家磋商一次为一个轮次，磋商轮次为两轮。</w:t>
      </w:r>
    </w:p>
    <w:p>
      <w:pPr>
        <w:shd w:val="clear"/>
        <w:spacing w:line="360" w:lineRule="auto"/>
        <w:rPr>
          <w:rFonts w:asci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磋商结束后，主持人宣布本次最终报价的最高限价，并要求各磋商响应方在规定时间内进行最终报价。在规定时间内没有提交最终报价的磋商供应商，其磋商响应文件视为无效。</w:t>
      </w:r>
    </w:p>
    <w:p>
      <w:pPr>
        <w:shd w:val="clear"/>
        <w:spacing w:line="360" w:lineRule="auto"/>
        <w:rPr>
          <w:rFonts w:ascii="宋体" w:cs="宋体"/>
          <w:color w:val="auto"/>
          <w:szCs w:val="21"/>
          <w:highlight w:val="none"/>
        </w:rPr>
      </w:pPr>
      <w:r>
        <w:rPr>
          <w:rFonts w:ascii="宋体" w:hAnsi="宋体" w:cs="宋体"/>
          <w:color w:val="auto"/>
          <w:szCs w:val="21"/>
          <w:highlight w:val="none"/>
        </w:rPr>
        <w:t>1.6</w:t>
      </w:r>
      <w:r>
        <w:rPr>
          <w:rFonts w:hint="eastAsia" w:ascii="宋体" w:hAnsi="宋体" w:cs="宋体"/>
          <w:color w:val="auto"/>
          <w:szCs w:val="21"/>
          <w:highlight w:val="none"/>
        </w:rPr>
        <w:t>在各磋商响应方最终报价过程中，同时磋商小组根据第五章评审方法及评分标准对各磋商响应方的资信</w:t>
      </w:r>
      <w:r>
        <w:rPr>
          <w:rFonts w:hint="eastAsia" w:ascii="宋体" w:hAnsi="宋体" w:cs="宋体"/>
          <w:color w:val="auto"/>
          <w:szCs w:val="21"/>
          <w:highlight w:val="none"/>
          <w:lang w:val="en-US" w:eastAsia="zh-CN"/>
        </w:rPr>
        <w:t>商务及</w:t>
      </w:r>
      <w:r>
        <w:rPr>
          <w:rFonts w:hint="eastAsia" w:ascii="宋体" w:hAnsi="宋体" w:cs="宋体"/>
          <w:color w:val="auto"/>
          <w:szCs w:val="21"/>
          <w:highlight w:val="none"/>
        </w:rPr>
        <w:t>技术情况进行评审打分。嘉兴市明扬工程咨询有限公司工作人员协助磋商小组根据本项目的评分标准操作政府采购业务系统，由系统计算各供应商的得分。</w:t>
      </w:r>
    </w:p>
    <w:p>
      <w:pPr>
        <w:shd w:val="clear"/>
        <w:spacing w:line="360" w:lineRule="auto"/>
        <w:rPr>
          <w:rFonts w:ascii="宋体" w:cs="宋体"/>
          <w:color w:val="auto"/>
          <w:szCs w:val="21"/>
          <w:highlight w:val="none"/>
        </w:rPr>
      </w:pPr>
      <w:r>
        <w:rPr>
          <w:rFonts w:ascii="宋体" w:hAnsi="宋体" w:cs="宋体"/>
          <w:color w:val="auto"/>
          <w:szCs w:val="21"/>
          <w:highlight w:val="none"/>
        </w:rPr>
        <w:t>1.7</w:t>
      </w:r>
      <w:r>
        <w:rPr>
          <w:rFonts w:hint="eastAsia" w:ascii="宋体" w:hAnsi="宋体" w:cs="宋体"/>
          <w:color w:val="auto"/>
          <w:szCs w:val="21"/>
          <w:highlight w:val="none"/>
        </w:rPr>
        <w:t>主持人宣布磋商最终报价（价格标）评审的有关事项。</w:t>
      </w:r>
    </w:p>
    <w:p>
      <w:pPr>
        <w:shd w:val="clear"/>
        <w:spacing w:line="360" w:lineRule="auto"/>
        <w:rPr>
          <w:rFonts w:ascii="宋体" w:cs="宋体"/>
          <w:color w:val="auto"/>
          <w:szCs w:val="21"/>
          <w:highlight w:val="none"/>
        </w:rPr>
      </w:pPr>
      <w:r>
        <w:rPr>
          <w:rFonts w:ascii="宋体" w:hAnsi="宋体" w:cs="宋体"/>
          <w:color w:val="auto"/>
          <w:szCs w:val="21"/>
          <w:highlight w:val="none"/>
        </w:rPr>
        <w:t>1.8</w:t>
      </w:r>
      <w:r>
        <w:rPr>
          <w:rFonts w:hint="eastAsia" w:ascii="宋体" w:hAnsi="宋体" w:cs="宋体"/>
          <w:color w:val="auto"/>
          <w:szCs w:val="21"/>
          <w:highlight w:val="none"/>
        </w:rPr>
        <w:t>工作人员开启按规定进入价格标评审的磋商最终报价，并公开最终报价，最后要求磋商响应方公开确认无误。</w:t>
      </w:r>
    </w:p>
    <w:p>
      <w:pPr>
        <w:shd w:val="clear"/>
        <w:spacing w:line="360" w:lineRule="auto"/>
        <w:rPr>
          <w:rFonts w:ascii="宋体" w:cs="宋体"/>
          <w:color w:val="auto"/>
          <w:szCs w:val="21"/>
          <w:highlight w:val="none"/>
        </w:rPr>
      </w:pPr>
      <w:r>
        <w:rPr>
          <w:rFonts w:ascii="宋体" w:hAnsi="宋体" w:cs="宋体"/>
          <w:color w:val="auto"/>
          <w:szCs w:val="21"/>
          <w:highlight w:val="none"/>
        </w:rPr>
        <w:t>1.9</w:t>
      </w:r>
      <w:r>
        <w:rPr>
          <w:rFonts w:hint="eastAsia" w:ascii="宋体" w:hAnsi="宋体" w:cs="宋体"/>
          <w:color w:val="auto"/>
          <w:szCs w:val="21"/>
          <w:highlight w:val="none"/>
        </w:rPr>
        <w:t>磋商小组对最终报价的合理性进行审核，决定是否结束磋商。若报价合理，磋商小组则根据评审方法计算出总得分并推荐成交供应商；</w:t>
      </w:r>
    </w:p>
    <w:p>
      <w:pPr>
        <w:shd w:val="clear"/>
        <w:spacing w:line="360" w:lineRule="auto"/>
        <w:rPr>
          <w:rFonts w:ascii="宋体" w:cs="宋体"/>
          <w:color w:val="auto"/>
          <w:szCs w:val="21"/>
          <w:highlight w:val="none"/>
        </w:rPr>
      </w:pPr>
      <w:r>
        <w:rPr>
          <w:rFonts w:ascii="宋体" w:hAnsi="宋体" w:cs="宋体"/>
          <w:color w:val="auto"/>
          <w:szCs w:val="21"/>
          <w:highlight w:val="none"/>
        </w:rPr>
        <w:t>1.10</w:t>
      </w:r>
      <w:r>
        <w:rPr>
          <w:rFonts w:hint="eastAsia" w:ascii="宋体" w:hAnsi="宋体" w:cs="宋体"/>
          <w:color w:val="auto"/>
          <w:szCs w:val="21"/>
          <w:highlight w:val="none"/>
        </w:rPr>
        <w:t>磋商结束后，主持人公布有效磋商响应方的总得分结果和推荐的成交供应商。</w:t>
      </w:r>
    </w:p>
    <w:p>
      <w:pPr>
        <w:shd w:val="clear"/>
        <w:spacing w:line="360" w:lineRule="auto"/>
        <w:rPr>
          <w:rFonts w:ascii="宋体" w:cs="宋体"/>
          <w:color w:val="auto"/>
          <w:szCs w:val="21"/>
          <w:highlight w:val="none"/>
        </w:rPr>
      </w:pPr>
      <w:r>
        <w:rPr>
          <w:rFonts w:ascii="宋体" w:hAnsi="宋体" w:cs="宋体"/>
          <w:color w:val="auto"/>
          <w:szCs w:val="21"/>
          <w:highlight w:val="none"/>
        </w:rPr>
        <w:t>1.11</w:t>
      </w:r>
      <w:r>
        <w:rPr>
          <w:rFonts w:hint="eastAsia" w:ascii="宋体" w:hAnsi="宋体" w:cs="宋体"/>
          <w:color w:val="auto"/>
          <w:szCs w:val="21"/>
          <w:highlight w:val="none"/>
        </w:rPr>
        <w:t>磋商原则：磋商小组必须公平、公正、客观，不带任何倾向性和启发性；不得向外界透露任何与磋商有关的内容；任何单位和个人不得干扰、影响磋商的正常进行；磋商小组及有关工作人员不得私下与磋商响应方接触。</w:t>
      </w:r>
    </w:p>
    <w:p>
      <w:pPr>
        <w:shd w:val="clear"/>
        <w:spacing w:line="360" w:lineRule="auto"/>
        <w:rPr>
          <w:rFonts w:ascii="宋体" w:cs="宋体"/>
          <w:b/>
          <w:color w:val="auto"/>
          <w:szCs w:val="21"/>
          <w:highlight w:val="none"/>
        </w:rPr>
      </w:pPr>
      <w:bookmarkStart w:id="104" w:name="_Toc437979788"/>
      <w:bookmarkStart w:id="105" w:name="_Toc332724041"/>
      <w:r>
        <w:rPr>
          <w:rFonts w:ascii="宋体" w:hAnsi="宋体" w:cs="宋体"/>
          <w:b/>
          <w:color w:val="auto"/>
          <w:szCs w:val="21"/>
          <w:highlight w:val="none"/>
        </w:rPr>
        <w:t>2.</w:t>
      </w:r>
      <w:r>
        <w:rPr>
          <w:rFonts w:hint="eastAsia" w:ascii="宋体" w:hAnsi="宋体" w:cs="宋体"/>
          <w:b/>
          <w:color w:val="auto"/>
          <w:szCs w:val="21"/>
          <w:highlight w:val="none"/>
        </w:rPr>
        <w:t>磋商响应文件的澄清</w:t>
      </w:r>
      <w:bookmarkEnd w:id="104"/>
      <w:bookmarkEnd w:id="105"/>
    </w:p>
    <w:p>
      <w:pPr>
        <w:shd w:val="clear"/>
        <w:spacing w:line="360" w:lineRule="auto"/>
        <w:rPr>
          <w:rFonts w:ascii="宋体" w:cs="宋体"/>
          <w:color w:val="auto"/>
          <w:szCs w:val="21"/>
          <w:highlight w:val="none"/>
        </w:rPr>
      </w:pPr>
      <w:r>
        <w:rPr>
          <w:rFonts w:ascii="宋体" w:hAnsi="宋体" w:cs="宋体"/>
          <w:color w:val="auto"/>
          <w:szCs w:val="21"/>
          <w:highlight w:val="none"/>
        </w:rPr>
        <w:t>2.l</w:t>
      </w:r>
      <w:r>
        <w:rPr>
          <w:rFonts w:hint="eastAsia" w:ascii="宋体" w:hAnsi="宋体" w:cs="宋体"/>
          <w:color w:val="auto"/>
          <w:szCs w:val="21"/>
          <w:highlight w:val="none"/>
        </w:rPr>
        <w:t>在磋商期间，磋商小组有权要求磋商供应商对其磋商响应文件含义不明确、同类问题表述不一致或者有明显文字和计算错误的内容进行澄清。磋商供应商应在线接受询标。</w:t>
      </w:r>
    </w:p>
    <w:p>
      <w:pPr>
        <w:shd w:val="clear"/>
        <w:spacing w:line="360" w:lineRule="auto"/>
        <w:rPr>
          <w:rFonts w:asci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磋商小组认为有必要，可要求磋商供应商对某些问题作出必要的澄清、说明和纠正。供应商的澄清、说明或者补正应当采用书面形式，由其授权的代表签字。供应商的书面澄清材料作为磋商响应文件的补充。</w:t>
      </w:r>
    </w:p>
    <w:p>
      <w:pPr>
        <w:shd w:val="clear"/>
        <w:spacing w:line="360" w:lineRule="auto"/>
        <w:rPr>
          <w:rFonts w:ascii="宋体" w:cs="宋体"/>
          <w:color w:val="auto"/>
          <w:szCs w:val="21"/>
          <w:highlight w:val="none"/>
        </w:rPr>
      </w:pPr>
      <w:r>
        <w:rPr>
          <w:rFonts w:ascii="宋体" w:hAnsi="宋体" w:cs="宋体"/>
          <w:color w:val="auto"/>
          <w:szCs w:val="21"/>
          <w:highlight w:val="none"/>
        </w:rPr>
        <w:t>2.3</w:t>
      </w:r>
      <w:r>
        <w:rPr>
          <w:rFonts w:hint="eastAsia" w:ascii="宋体" w:hAnsi="宋体" w:cs="宋体"/>
          <w:color w:val="auto"/>
          <w:szCs w:val="21"/>
          <w:highlight w:val="none"/>
        </w:rPr>
        <w:t>磋商供应商不按磋商小组规定的时间和地点作澄清，将视为放弃该权利。</w:t>
      </w:r>
    </w:p>
    <w:p>
      <w:pPr>
        <w:shd w:val="clear"/>
        <w:spacing w:line="360" w:lineRule="auto"/>
        <w:rPr>
          <w:rFonts w:ascii="宋体" w:cs="宋体"/>
          <w:color w:val="auto"/>
          <w:szCs w:val="21"/>
          <w:highlight w:val="none"/>
        </w:rPr>
      </w:pPr>
      <w:r>
        <w:rPr>
          <w:rFonts w:ascii="宋体" w:hAnsi="宋体" w:cs="宋体"/>
          <w:color w:val="auto"/>
          <w:szCs w:val="21"/>
          <w:highlight w:val="none"/>
        </w:rPr>
        <w:t>2.4</w:t>
      </w:r>
      <w:r>
        <w:rPr>
          <w:rFonts w:hint="eastAsia" w:ascii="宋体" w:hAnsi="宋体" w:cs="宋体"/>
          <w:color w:val="auto"/>
          <w:szCs w:val="21"/>
          <w:highlight w:val="none"/>
        </w:rPr>
        <w:t>并非每个磋商供应商都将被询标。</w:t>
      </w:r>
    </w:p>
    <w:p>
      <w:pPr>
        <w:shd w:val="clear"/>
        <w:spacing w:line="360" w:lineRule="auto"/>
        <w:rPr>
          <w:rFonts w:ascii="宋体" w:cs="宋体"/>
          <w:b/>
          <w:color w:val="auto"/>
          <w:szCs w:val="21"/>
          <w:highlight w:val="none"/>
        </w:rPr>
      </w:pPr>
      <w:bookmarkStart w:id="106" w:name="_Toc437979789"/>
      <w:bookmarkStart w:id="107" w:name="_Toc332724042"/>
      <w:r>
        <w:rPr>
          <w:rFonts w:ascii="宋体" w:hAnsi="宋体" w:cs="宋体"/>
          <w:b/>
          <w:color w:val="auto"/>
          <w:szCs w:val="21"/>
          <w:highlight w:val="none"/>
        </w:rPr>
        <w:t>3</w:t>
      </w:r>
      <w:r>
        <w:rPr>
          <w:rFonts w:hint="eastAsia" w:ascii="宋体" w:hAnsi="宋体" w:cs="宋体"/>
          <w:b/>
          <w:color w:val="auto"/>
          <w:szCs w:val="21"/>
          <w:highlight w:val="none"/>
        </w:rPr>
        <w:t>．确定成交供应商</w:t>
      </w:r>
      <w:bookmarkEnd w:id="106"/>
      <w:bookmarkEnd w:id="107"/>
    </w:p>
    <w:p>
      <w:pPr>
        <w:shd w:val="clear"/>
        <w:spacing w:line="360" w:lineRule="auto"/>
        <w:rPr>
          <w:rFonts w:ascii="宋体" w:cs="宋体"/>
          <w:color w:val="auto"/>
          <w:szCs w:val="21"/>
          <w:highlight w:val="none"/>
        </w:rPr>
      </w:pPr>
      <w:r>
        <w:rPr>
          <w:rFonts w:ascii="宋体" w:hAnsi="宋体" w:cs="宋体"/>
          <w:color w:val="auto"/>
          <w:szCs w:val="21"/>
          <w:highlight w:val="none"/>
        </w:rPr>
        <w:t>3.1</w:t>
      </w:r>
      <w:r>
        <w:rPr>
          <w:rFonts w:hint="eastAsia" w:ascii="宋体" w:hAnsi="宋体" w:cs="宋体"/>
          <w:color w:val="auto"/>
          <w:szCs w:val="21"/>
          <w:highlight w:val="none"/>
        </w:rPr>
        <w:t>磋商小组将对通过资格性审查和符合性审查的磋商响应文件进行评价和比较。</w:t>
      </w:r>
    </w:p>
    <w:p>
      <w:pPr>
        <w:shd w:val="clear"/>
        <w:spacing w:line="360" w:lineRule="auto"/>
        <w:rPr>
          <w:rFonts w:asci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磋商小组按磋商文件第五章中公布的评定成交标准对磋商响应文件进行评审，确定成交候选人。最低报价等任何单项因素的最优不能作为成交的保证。</w:t>
      </w:r>
    </w:p>
    <w:p>
      <w:pPr>
        <w:shd w:val="clear"/>
        <w:spacing w:line="360" w:lineRule="auto"/>
        <w:rPr>
          <w:rFonts w:ascii="宋体" w:cs="宋体"/>
          <w:b/>
          <w:color w:val="auto"/>
          <w:szCs w:val="21"/>
          <w:highlight w:val="none"/>
        </w:rPr>
      </w:pPr>
      <w:bookmarkStart w:id="108" w:name="_Toc437979790"/>
      <w:bookmarkStart w:id="109" w:name="_Toc332724043"/>
      <w:r>
        <w:rPr>
          <w:rFonts w:ascii="宋体" w:hAnsi="宋体" w:cs="宋体"/>
          <w:b/>
          <w:color w:val="auto"/>
          <w:szCs w:val="21"/>
          <w:highlight w:val="none"/>
        </w:rPr>
        <w:t>4</w:t>
      </w:r>
      <w:r>
        <w:rPr>
          <w:rFonts w:hint="eastAsia" w:ascii="宋体" w:hAnsi="宋体" w:cs="宋体"/>
          <w:b/>
          <w:color w:val="auto"/>
          <w:szCs w:val="21"/>
          <w:highlight w:val="none"/>
        </w:rPr>
        <w:t>．磋商过程保密</w:t>
      </w:r>
      <w:bookmarkEnd w:id="108"/>
      <w:bookmarkEnd w:id="109"/>
    </w:p>
    <w:p>
      <w:pPr>
        <w:shd w:val="clear"/>
        <w:spacing w:line="360" w:lineRule="auto"/>
        <w:rPr>
          <w:rFonts w:ascii="宋体" w:cs="宋体"/>
          <w:color w:val="auto"/>
          <w:szCs w:val="21"/>
          <w:highlight w:val="none"/>
        </w:rPr>
      </w:pPr>
      <w:r>
        <w:rPr>
          <w:rFonts w:ascii="宋体" w:hAnsi="宋体" w:cs="宋体"/>
          <w:color w:val="auto"/>
          <w:szCs w:val="21"/>
          <w:highlight w:val="none"/>
        </w:rPr>
        <w:t>4.l</w:t>
      </w:r>
      <w:r>
        <w:rPr>
          <w:rFonts w:hint="eastAsia" w:ascii="宋体" w:hAnsi="宋体" w:cs="宋体"/>
          <w:color w:val="auto"/>
          <w:szCs w:val="21"/>
          <w:highlight w:val="none"/>
        </w:rPr>
        <w:t>在宣布成交结果之前，凡属于审查、澄清、评价、比较磋商响应文件等有关信息，相关当事人均不得泄露给任何磋商供应商或与磋商工作无关的人员。</w:t>
      </w:r>
    </w:p>
    <w:p>
      <w:pPr>
        <w:shd w:val="clear"/>
        <w:spacing w:line="360" w:lineRule="auto"/>
        <w:rPr>
          <w:rFonts w:ascii="宋体" w:cs="宋体"/>
          <w:color w:val="auto"/>
          <w:szCs w:val="21"/>
          <w:highlight w:val="none"/>
        </w:rPr>
      </w:pPr>
      <w:r>
        <w:rPr>
          <w:rFonts w:ascii="宋体" w:hAnsi="宋体" w:cs="宋体"/>
          <w:color w:val="auto"/>
          <w:szCs w:val="21"/>
          <w:highlight w:val="none"/>
        </w:rPr>
        <w:t>4.2</w:t>
      </w:r>
      <w:r>
        <w:rPr>
          <w:rFonts w:hint="eastAsia" w:ascii="宋体" w:hAnsi="宋体" w:cs="宋体"/>
          <w:color w:val="auto"/>
          <w:szCs w:val="21"/>
          <w:highlight w:val="none"/>
        </w:rPr>
        <w:t>磋商供应商不得探听上述信息，不得以任何行为影响磋商过程，否则其磋商响应文件将被作为无效磋商响应文件。</w:t>
      </w:r>
    </w:p>
    <w:p>
      <w:pPr>
        <w:shd w:val="clear"/>
        <w:spacing w:line="360" w:lineRule="auto"/>
        <w:rPr>
          <w:rFonts w:asci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在磋商期间，采购代理机构将有专门人员与磋商供应商进行联络。</w:t>
      </w:r>
    </w:p>
    <w:p>
      <w:pPr>
        <w:shd w:val="clear"/>
        <w:spacing w:line="360" w:lineRule="auto"/>
        <w:rPr>
          <w:rFonts w:asci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采购代理机构和磋商小组不向未成交的磋商供应商解释未成交原因，也不对磋商过程中的细节问题进行公布。</w:t>
      </w:r>
    </w:p>
    <w:p>
      <w:pPr>
        <w:shd w:val="clear"/>
        <w:spacing w:line="360" w:lineRule="auto"/>
        <w:rPr>
          <w:rFonts w:ascii="宋体" w:cs="宋体"/>
          <w:b/>
          <w:color w:val="auto"/>
          <w:szCs w:val="21"/>
          <w:highlight w:val="none"/>
        </w:rPr>
      </w:pPr>
      <w:bookmarkStart w:id="110" w:name="_Toc437979791"/>
      <w:bookmarkStart w:id="111" w:name="_Toc332724044"/>
      <w:r>
        <w:rPr>
          <w:rFonts w:ascii="宋体" w:hAnsi="宋体" w:cs="宋体"/>
          <w:b/>
          <w:color w:val="auto"/>
          <w:szCs w:val="21"/>
          <w:highlight w:val="none"/>
        </w:rPr>
        <w:t>5</w:t>
      </w:r>
      <w:r>
        <w:rPr>
          <w:rFonts w:hint="eastAsia" w:ascii="宋体" w:hAnsi="宋体" w:cs="宋体"/>
          <w:b/>
          <w:color w:val="auto"/>
          <w:szCs w:val="21"/>
          <w:highlight w:val="none"/>
        </w:rPr>
        <w:t>．磋商供应商不足三家的处理</w:t>
      </w:r>
      <w:bookmarkEnd w:id="110"/>
      <w:bookmarkEnd w:id="111"/>
    </w:p>
    <w:p>
      <w:pPr>
        <w:pStyle w:val="32"/>
        <w:shd w:val="clear"/>
        <w:spacing w:before="0" w:after="0" w:line="360" w:lineRule="auto"/>
        <w:ind w:firstLine="405"/>
        <w:jc w:val="left"/>
        <w:outlineLvl w:val="9"/>
        <w:rPr>
          <w:rFonts w:ascii="宋体" w:cs="宋体"/>
          <w:b w:val="0"/>
          <w:bCs w:val="0"/>
          <w:color w:val="auto"/>
          <w:sz w:val="21"/>
          <w:szCs w:val="21"/>
          <w:highlight w:val="none"/>
        </w:rPr>
      </w:pPr>
      <w:bookmarkStart w:id="112" w:name="_Toc16368"/>
      <w:bookmarkStart w:id="113" w:name="_Toc7166"/>
      <w:bookmarkStart w:id="114" w:name="_Toc21686"/>
      <w:bookmarkStart w:id="115" w:name="_Toc6989"/>
      <w:bookmarkStart w:id="116" w:name="_Toc19894"/>
      <w:bookmarkStart w:id="117" w:name="_Toc2178"/>
      <w:bookmarkStart w:id="118" w:name="_Toc4055"/>
      <w:bookmarkStart w:id="119" w:name="_Toc487802117"/>
      <w:bookmarkStart w:id="120" w:name="_Toc487802048"/>
      <w:bookmarkStart w:id="121" w:name="_Toc29238"/>
      <w:bookmarkStart w:id="122" w:name="_Toc487793403"/>
      <w:bookmarkStart w:id="123" w:name="_Toc5650"/>
      <w:bookmarkStart w:id="124" w:name="_Toc4733"/>
      <w:bookmarkStart w:id="125" w:name="_Toc523"/>
      <w:bookmarkStart w:id="126" w:name="_Toc31960"/>
      <w:r>
        <w:rPr>
          <w:rFonts w:hint="eastAsia" w:ascii="宋体" w:hAnsi="宋体" w:cs="宋体"/>
          <w:b w:val="0"/>
          <w:bCs w:val="0"/>
          <w:color w:val="auto"/>
          <w:sz w:val="21"/>
          <w:szCs w:val="21"/>
          <w:highlight w:val="none"/>
        </w:rPr>
        <w:t>根据财库</w:t>
      </w:r>
      <w:r>
        <w:rPr>
          <w:rFonts w:ascii="宋体" w:hAnsi="宋体" w:cs="宋体"/>
          <w:b w:val="0"/>
          <w:bCs w:val="0"/>
          <w:color w:val="auto"/>
          <w:sz w:val="21"/>
          <w:szCs w:val="21"/>
          <w:highlight w:val="none"/>
        </w:rPr>
        <w:t>[2015] 124</w:t>
      </w:r>
      <w:r>
        <w:rPr>
          <w:rFonts w:hint="eastAsia" w:ascii="宋体" w:hAnsi="宋体" w:cs="宋体"/>
          <w:b w:val="0"/>
          <w:bCs w:val="0"/>
          <w:color w:val="auto"/>
          <w:sz w:val="21"/>
          <w:szCs w:val="21"/>
          <w:highlight w:val="none"/>
        </w:rPr>
        <w:t>号规定采用竞争性磋商采购方式采购的政府购买服务项目（含政府和社会资本合作项目），在采购过程中符合要求的供应商（社会资本）只有</w:t>
      </w:r>
      <w:r>
        <w:rPr>
          <w:rFonts w:ascii="宋体" w:hAnsi="宋体" w:cs="宋体"/>
          <w:b w:val="0"/>
          <w:bCs w:val="0"/>
          <w:color w:val="auto"/>
          <w:sz w:val="21"/>
          <w:szCs w:val="21"/>
          <w:highlight w:val="none"/>
        </w:rPr>
        <w:t>2</w:t>
      </w:r>
      <w:r>
        <w:rPr>
          <w:rFonts w:hint="eastAsia" w:ascii="宋体" w:hAnsi="宋体" w:cs="宋体"/>
          <w:b w:val="0"/>
          <w:bCs w:val="0"/>
          <w:color w:val="auto"/>
          <w:sz w:val="21"/>
          <w:szCs w:val="21"/>
          <w:highlight w:val="none"/>
        </w:rPr>
        <w:t>家的，竞争性磋商采购活动可以继续进行。采用竞争性磋商采购方式采购的政府购买服务项目（含政府和社会资本合作项目），采购过程中符合要求的供应商（社会资本）只有</w:t>
      </w:r>
      <w:r>
        <w:rPr>
          <w:rFonts w:ascii="宋体" w:hAnsi="宋体" w:cs="宋体"/>
          <w:b w:val="0"/>
          <w:bCs w:val="0"/>
          <w:color w:val="auto"/>
          <w:sz w:val="21"/>
          <w:szCs w:val="21"/>
          <w:highlight w:val="none"/>
        </w:rPr>
        <w:t>1</w:t>
      </w:r>
      <w:r>
        <w:rPr>
          <w:rFonts w:hint="eastAsia" w:ascii="宋体" w:hAnsi="宋体" w:cs="宋体"/>
          <w:b w:val="0"/>
          <w:bCs w:val="0"/>
          <w:color w:val="auto"/>
          <w:sz w:val="21"/>
          <w:szCs w:val="21"/>
          <w:highlight w:val="none"/>
        </w:rPr>
        <w:t>家的，采购人（项目实施机构）或者采购代理机构应当终止竞争性磋商采购活动，发布项目终止公告并说明原因，重新开展采购活动。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shd w:val="clear"/>
        <w:spacing w:before="156" w:beforeLines="50" w:after="156" w:afterLines="50" w:line="400" w:lineRule="exact"/>
        <w:ind w:left="238"/>
        <w:jc w:val="center"/>
        <w:outlineLvl w:val="1"/>
        <w:rPr>
          <w:rFonts w:ascii="宋体"/>
          <w:b/>
          <w:color w:val="auto"/>
          <w:sz w:val="28"/>
          <w:szCs w:val="28"/>
          <w:highlight w:val="none"/>
        </w:rPr>
      </w:pPr>
      <w:bookmarkStart w:id="127" w:name="_Toc12929"/>
      <w:bookmarkStart w:id="128" w:name="_Toc30295"/>
      <w:bookmarkStart w:id="129" w:name="_Toc3128"/>
      <w:bookmarkStart w:id="130" w:name="_Toc1387"/>
      <w:bookmarkStart w:id="131" w:name="_Toc10509"/>
      <w:bookmarkStart w:id="132" w:name="_Toc18888"/>
      <w:bookmarkStart w:id="133" w:name="_Toc12589"/>
      <w:bookmarkStart w:id="134" w:name="_Toc31"/>
      <w:r>
        <w:rPr>
          <w:rFonts w:hint="eastAsia" w:ascii="宋体" w:hAnsi="宋体"/>
          <w:b/>
          <w:color w:val="auto"/>
          <w:sz w:val="28"/>
          <w:szCs w:val="28"/>
          <w:highlight w:val="none"/>
        </w:rPr>
        <w:t>六、</w:t>
      </w:r>
      <w:bookmarkEnd w:id="83"/>
      <w:r>
        <w:rPr>
          <w:rFonts w:hint="eastAsia" w:ascii="宋体" w:hAnsi="宋体"/>
          <w:b/>
          <w:color w:val="auto"/>
          <w:sz w:val="28"/>
          <w:szCs w:val="28"/>
          <w:highlight w:val="none"/>
        </w:rPr>
        <w:t>磋商</w:t>
      </w:r>
      <w:bookmarkEnd w:id="127"/>
      <w:bookmarkEnd w:id="128"/>
      <w:bookmarkEnd w:id="129"/>
      <w:bookmarkEnd w:id="130"/>
      <w:bookmarkEnd w:id="131"/>
      <w:bookmarkEnd w:id="132"/>
      <w:bookmarkEnd w:id="133"/>
      <w:bookmarkEnd w:id="134"/>
    </w:p>
    <w:p>
      <w:pPr>
        <w:pStyle w:val="16"/>
        <w:shd w:val="clear"/>
        <w:spacing w:line="400" w:lineRule="exact"/>
        <w:ind w:left="527" w:hanging="527" w:hangingChars="250"/>
        <w:jc w:val="left"/>
        <w:rPr>
          <w:rFonts w:hAnsi="宋体" w:cs="宋体-18030"/>
          <w:b/>
          <w:color w:val="auto"/>
          <w:szCs w:val="21"/>
          <w:highlight w:val="none"/>
        </w:rPr>
      </w:pPr>
      <w:r>
        <w:rPr>
          <w:rFonts w:hAnsi="宋体" w:cs="宋体-18030"/>
          <w:b/>
          <w:color w:val="auto"/>
          <w:szCs w:val="21"/>
          <w:highlight w:val="none"/>
        </w:rPr>
        <w:t>1.</w:t>
      </w:r>
      <w:r>
        <w:rPr>
          <w:rFonts w:hint="eastAsia" w:hAnsi="宋体" w:cs="宋体-18030"/>
          <w:b/>
          <w:color w:val="auto"/>
          <w:szCs w:val="21"/>
          <w:highlight w:val="none"/>
        </w:rPr>
        <w:t>组建磋商小组</w:t>
      </w:r>
    </w:p>
    <w:p>
      <w:pPr>
        <w:shd w:val="clear"/>
        <w:spacing w:line="400" w:lineRule="exact"/>
        <w:ind w:firstLine="211" w:firstLineChars="100"/>
        <w:rPr>
          <w:rFonts w:hAnsi="宋体"/>
          <w:b/>
          <w:bCs/>
          <w:color w:val="auto"/>
          <w:szCs w:val="21"/>
          <w:highlight w:val="none"/>
        </w:rPr>
      </w:pPr>
      <w:r>
        <w:rPr>
          <w:rFonts w:hint="eastAsia" w:ascii="宋体" w:hAnsi="宋体"/>
          <w:b/>
          <w:bCs/>
          <w:color w:val="auto"/>
          <w:highlight w:val="none"/>
        </w:rPr>
        <w:t>本项目磋商小组由政府采购评审专家共3人组成。</w:t>
      </w:r>
    </w:p>
    <w:p>
      <w:pPr>
        <w:pStyle w:val="16"/>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2.</w:t>
      </w:r>
      <w:r>
        <w:rPr>
          <w:rFonts w:hint="eastAsia" w:hAnsi="宋体"/>
          <w:b/>
          <w:color w:val="auto"/>
          <w:szCs w:val="21"/>
          <w:highlight w:val="none"/>
        </w:rPr>
        <w:t>磋商的方式</w:t>
      </w:r>
    </w:p>
    <w:p>
      <w:pPr>
        <w:pStyle w:val="16"/>
        <w:shd w:val="clear"/>
        <w:spacing w:line="400" w:lineRule="exact"/>
        <w:ind w:firstLine="210" w:firstLineChars="100"/>
        <w:jc w:val="left"/>
        <w:rPr>
          <w:rFonts w:hAnsi="宋体"/>
          <w:color w:val="auto"/>
          <w:szCs w:val="21"/>
          <w:highlight w:val="none"/>
        </w:rPr>
      </w:pPr>
      <w:r>
        <w:rPr>
          <w:rFonts w:hint="eastAsia" w:hAnsi="宋体"/>
          <w:color w:val="auto"/>
          <w:szCs w:val="21"/>
          <w:highlight w:val="none"/>
        </w:rPr>
        <w:t>本采购项目采用不公开方式磋商，磋商的依据为竞争性磋商文件和磋商响应文件。</w:t>
      </w:r>
    </w:p>
    <w:p>
      <w:pPr>
        <w:pStyle w:val="16"/>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3.</w:t>
      </w:r>
      <w:r>
        <w:rPr>
          <w:rFonts w:hint="eastAsia" w:hAnsi="宋体"/>
          <w:b/>
          <w:bCs/>
          <w:color w:val="auto"/>
          <w:szCs w:val="21"/>
          <w:highlight w:val="none"/>
        </w:rPr>
        <w:t>磋商程序</w:t>
      </w:r>
    </w:p>
    <w:p>
      <w:pPr>
        <w:shd w:val="clear"/>
        <w:spacing w:line="400" w:lineRule="exact"/>
        <w:jc w:val="left"/>
        <w:rPr>
          <w:rFonts w:ascii="宋体"/>
          <w:color w:val="auto"/>
          <w:szCs w:val="21"/>
          <w:highlight w:val="none"/>
        </w:rPr>
      </w:pPr>
      <w:r>
        <w:rPr>
          <w:rFonts w:ascii="宋体" w:hAnsi="宋体"/>
          <w:color w:val="auto"/>
          <w:szCs w:val="21"/>
          <w:highlight w:val="none"/>
        </w:rPr>
        <w:t>3.1</w:t>
      </w:r>
      <w:r>
        <w:rPr>
          <w:rFonts w:hint="eastAsia" w:ascii="宋体" w:hAnsi="宋体"/>
          <w:color w:val="auto"/>
          <w:szCs w:val="21"/>
          <w:highlight w:val="none"/>
        </w:rPr>
        <w:t>形式审查。</w:t>
      </w:r>
    </w:p>
    <w:p>
      <w:pPr>
        <w:shd w:val="clear"/>
        <w:spacing w:line="400" w:lineRule="exact"/>
        <w:jc w:val="left"/>
        <w:rPr>
          <w:rFonts w:ascii="宋体"/>
          <w:color w:val="auto"/>
          <w:szCs w:val="21"/>
          <w:highlight w:val="none"/>
        </w:rPr>
      </w:pPr>
      <w:r>
        <w:rPr>
          <w:rFonts w:ascii="宋体" w:hAnsi="宋体"/>
          <w:color w:val="auto"/>
          <w:szCs w:val="21"/>
          <w:highlight w:val="none"/>
        </w:rPr>
        <w:t>3.1.1</w:t>
      </w:r>
      <w:r>
        <w:rPr>
          <w:rFonts w:hint="eastAsia" w:ascii="宋体" w:hAnsi="宋体"/>
          <w:color w:val="auto"/>
          <w:szCs w:val="21"/>
          <w:highlight w:val="none"/>
        </w:rPr>
        <w:t>磋商小组对磋商供应商的资格和磋商响应文件的完整性、合法性等进行审查。</w:t>
      </w:r>
    </w:p>
    <w:p>
      <w:pPr>
        <w:shd w:val="clear"/>
        <w:spacing w:line="400" w:lineRule="exact"/>
        <w:jc w:val="left"/>
        <w:rPr>
          <w:rFonts w:ascii="宋体"/>
          <w:color w:val="auto"/>
          <w:szCs w:val="21"/>
          <w:highlight w:val="none"/>
        </w:rPr>
      </w:pPr>
      <w:r>
        <w:rPr>
          <w:rFonts w:ascii="宋体" w:hAnsi="宋体"/>
          <w:color w:val="auto"/>
          <w:szCs w:val="21"/>
          <w:highlight w:val="none"/>
        </w:rPr>
        <w:t>3.2</w:t>
      </w:r>
      <w:r>
        <w:rPr>
          <w:rFonts w:hint="eastAsia" w:ascii="宋体" w:hAnsi="宋体"/>
          <w:color w:val="auto"/>
          <w:szCs w:val="21"/>
          <w:highlight w:val="none"/>
        </w:rPr>
        <w:t>实质审查与比较。</w:t>
      </w:r>
    </w:p>
    <w:p>
      <w:pPr>
        <w:shd w:val="clear"/>
        <w:spacing w:line="400" w:lineRule="exact"/>
        <w:jc w:val="left"/>
        <w:rPr>
          <w:rFonts w:ascii="宋体"/>
          <w:color w:val="auto"/>
          <w:szCs w:val="21"/>
          <w:highlight w:val="none"/>
        </w:rPr>
      </w:pPr>
      <w:r>
        <w:rPr>
          <w:rFonts w:ascii="宋体" w:hAnsi="宋体"/>
          <w:color w:val="auto"/>
          <w:szCs w:val="21"/>
          <w:highlight w:val="none"/>
        </w:rPr>
        <w:t>3.2.1</w:t>
      </w:r>
      <w:r>
        <w:rPr>
          <w:rFonts w:hint="eastAsia" w:ascii="宋体" w:hAnsi="宋体"/>
          <w:color w:val="auto"/>
          <w:szCs w:val="21"/>
          <w:highlight w:val="none"/>
        </w:rPr>
        <w:t>磋商小组审查磋商响应文件的实质性内容是否符合竞争性磋商文件的实质性要求。</w:t>
      </w:r>
    </w:p>
    <w:p>
      <w:pPr>
        <w:shd w:val="clear"/>
        <w:spacing w:line="400" w:lineRule="exact"/>
        <w:jc w:val="left"/>
        <w:rPr>
          <w:rFonts w:ascii="宋体"/>
          <w:color w:val="auto"/>
          <w:szCs w:val="21"/>
          <w:highlight w:val="none"/>
        </w:rPr>
      </w:pPr>
      <w:r>
        <w:rPr>
          <w:rFonts w:ascii="宋体" w:hAnsi="宋体"/>
          <w:color w:val="auto"/>
          <w:szCs w:val="21"/>
          <w:highlight w:val="none"/>
        </w:rPr>
        <w:t>3.2.2</w:t>
      </w:r>
      <w:r>
        <w:rPr>
          <w:rFonts w:hint="eastAsia" w:ascii="宋体" w:hAnsi="宋体"/>
          <w:color w:val="auto"/>
          <w:szCs w:val="21"/>
          <w:highlight w:val="none"/>
        </w:rPr>
        <w:t>磋商小组将根据磋商供应商的磋商响应文件进行审查、核对</w:t>
      </w:r>
      <w:r>
        <w:rPr>
          <w:rFonts w:ascii="宋体"/>
          <w:color w:val="auto"/>
          <w:szCs w:val="21"/>
          <w:highlight w:val="none"/>
        </w:rPr>
        <w:t>,</w:t>
      </w:r>
      <w:r>
        <w:rPr>
          <w:rFonts w:hint="eastAsia" w:ascii="宋体" w:hAnsi="宋体"/>
          <w:color w:val="auto"/>
          <w:szCs w:val="21"/>
          <w:highlight w:val="none"/>
        </w:rPr>
        <w:t>如有疑问</w:t>
      </w:r>
      <w:r>
        <w:rPr>
          <w:rFonts w:ascii="宋体"/>
          <w:color w:val="auto"/>
          <w:szCs w:val="21"/>
          <w:highlight w:val="none"/>
        </w:rPr>
        <w:t>,</w:t>
      </w:r>
      <w:r>
        <w:rPr>
          <w:rFonts w:hint="eastAsia" w:ascii="宋体" w:hAnsi="宋体"/>
          <w:color w:val="auto"/>
          <w:szCs w:val="21"/>
          <w:highlight w:val="none"/>
        </w:rPr>
        <w:t>将对磋商供应商进行询标</w:t>
      </w:r>
      <w:r>
        <w:rPr>
          <w:rFonts w:ascii="宋体"/>
          <w:color w:val="auto"/>
          <w:szCs w:val="21"/>
          <w:highlight w:val="none"/>
        </w:rPr>
        <w:t>,</w:t>
      </w:r>
      <w:r>
        <w:rPr>
          <w:rFonts w:hint="eastAsia" w:ascii="宋体" w:hAnsi="宋体"/>
          <w:color w:val="auto"/>
          <w:szCs w:val="21"/>
          <w:highlight w:val="none"/>
        </w:rPr>
        <w:t>磋商供应商要向磋商小组澄清有关问题</w:t>
      </w:r>
      <w:r>
        <w:rPr>
          <w:rFonts w:ascii="宋体"/>
          <w:color w:val="auto"/>
          <w:szCs w:val="21"/>
          <w:highlight w:val="none"/>
        </w:rPr>
        <w:t>,</w:t>
      </w:r>
      <w:r>
        <w:rPr>
          <w:rFonts w:hint="eastAsia" w:ascii="宋体" w:hAnsi="宋体"/>
          <w:color w:val="auto"/>
          <w:szCs w:val="21"/>
          <w:highlight w:val="none"/>
        </w:rPr>
        <w:t>并最终以书面形式进行答复。</w:t>
      </w:r>
    </w:p>
    <w:p>
      <w:pPr>
        <w:shd w:val="clear"/>
        <w:spacing w:line="400" w:lineRule="exact"/>
        <w:jc w:val="left"/>
        <w:rPr>
          <w:rFonts w:ascii="宋体"/>
          <w:color w:val="auto"/>
          <w:szCs w:val="21"/>
          <w:highlight w:val="none"/>
        </w:rPr>
      </w:pPr>
      <w:r>
        <w:rPr>
          <w:rFonts w:hint="eastAsia" w:ascii="宋体" w:hAnsi="宋体"/>
          <w:color w:val="auto"/>
          <w:szCs w:val="21"/>
          <w:highlight w:val="none"/>
        </w:rPr>
        <w:t>询标时，磋商供应商代表拒绝澄清或者澄清的内容改变了磋商响应文件的实质性内容的，磋商小组有权对该磋商响应文件作出不利于磋商供应商的评判。</w:t>
      </w:r>
    </w:p>
    <w:p>
      <w:pPr>
        <w:shd w:val="clear"/>
        <w:spacing w:line="400" w:lineRule="exact"/>
        <w:jc w:val="left"/>
        <w:rPr>
          <w:rFonts w:ascii="宋体"/>
          <w:color w:val="auto"/>
          <w:szCs w:val="21"/>
          <w:highlight w:val="none"/>
        </w:rPr>
      </w:pPr>
      <w:r>
        <w:rPr>
          <w:rFonts w:ascii="宋体" w:hAnsi="宋体"/>
          <w:color w:val="auto"/>
          <w:szCs w:val="21"/>
          <w:highlight w:val="none"/>
        </w:rPr>
        <w:t>3.3</w:t>
      </w:r>
      <w:r>
        <w:rPr>
          <w:rFonts w:hint="eastAsia" w:ascii="宋体" w:hAnsi="宋体"/>
          <w:color w:val="auto"/>
          <w:szCs w:val="21"/>
          <w:highlight w:val="none"/>
        </w:rPr>
        <w:t>各磋商供应商的资信</w:t>
      </w:r>
      <w:r>
        <w:rPr>
          <w:rFonts w:hint="eastAsia" w:ascii="宋体" w:hAnsi="宋体"/>
          <w:color w:val="auto"/>
          <w:szCs w:val="21"/>
          <w:highlight w:val="none"/>
          <w:lang w:val="en-US" w:eastAsia="zh-CN"/>
        </w:rPr>
        <w:t>商务及</w:t>
      </w:r>
      <w:r>
        <w:rPr>
          <w:rFonts w:hint="eastAsia" w:ascii="宋体" w:hAnsi="宋体"/>
          <w:color w:val="auto"/>
          <w:szCs w:val="21"/>
          <w:highlight w:val="none"/>
        </w:rPr>
        <w:t>技术分按照磋商小组成员的独立评分汇总后的算术平均分计算。</w:t>
      </w:r>
    </w:p>
    <w:p>
      <w:pPr>
        <w:shd w:val="clear"/>
        <w:spacing w:line="400" w:lineRule="exact"/>
        <w:jc w:val="left"/>
        <w:rPr>
          <w:rFonts w:ascii="宋体"/>
          <w:color w:val="auto"/>
          <w:szCs w:val="21"/>
          <w:highlight w:val="none"/>
        </w:rPr>
      </w:pPr>
      <w:r>
        <w:rPr>
          <w:rFonts w:ascii="宋体" w:hAnsi="宋体"/>
          <w:color w:val="auto"/>
          <w:szCs w:val="21"/>
          <w:highlight w:val="none"/>
        </w:rPr>
        <w:t>3.4</w:t>
      </w:r>
      <w:r>
        <w:rPr>
          <w:rFonts w:hint="eastAsia" w:ascii="宋体" w:hAnsi="宋体"/>
          <w:color w:val="auto"/>
          <w:szCs w:val="21"/>
          <w:highlight w:val="none"/>
        </w:rPr>
        <w:t>代理公司工作人员协助磋商小组根据本项目的评分标准操作政府采购业务系统，由系统计算各磋商供应商的报价得分。</w:t>
      </w:r>
    </w:p>
    <w:p>
      <w:pPr>
        <w:shd w:val="clear"/>
        <w:spacing w:line="400" w:lineRule="exact"/>
        <w:jc w:val="left"/>
        <w:rPr>
          <w:rFonts w:ascii="宋体"/>
          <w:color w:val="auto"/>
          <w:szCs w:val="21"/>
          <w:highlight w:val="none"/>
        </w:rPr>
      </w:pPr>
      <w:r>
        <w:rPr>
          <w:rFonts w:ascii="宋体" w:hAnsi="宋体"/>
          <w:color w:val="auto"/>
          <w:szCs w:val="21"/>
          <w:highlight w:val="none"/>
        </w:rPr>
        <w:t>3.5</w:t>
      </w:r>
      <w:r>
        <w:rPr>
          <w:rFonts w:hint="eastAsia" w:ascii="宋体" w:hAnsi="宋体"/>
          <w:color w:val="auto"/>
          <w:szCs w:val="21"/>
          <w:highlight w:val="none"/>
        </w:rPr>
        <w:t>磋商小组完成评审后</w:t>
      </w:r>
      <w:r>
        <w:rPr>
          <w:rFonts w:ascii="宋体"/>
          <w:color w:val="auto"/>
          <w:szCs w:val="21"/>
          <w:highlight w:val="none"/>
        </w:rPr>
        <w:t>,</w:t>
      </w:r>
      <w:r>
        <w:rPr>
          <w:rFonts w:hint="eastAsia" w:ascii="宋体" w:hAnsi="宋体"/>
          <w:color w:val="auto"/>
          <w:szCs w:val="21"/>
          <w:highlight w:val="none"/>
        </w:rPr>
        <w:t>评委对各部分得分汇总</w:t>
      </w:r>
      <w:r>
        <w:rPr>
          <w:rFonts w:ascii="宋体"/>
          <w:color w:val="auto"/>
          <w:szCs w:val="21"/>
          <w:highlight w:val="none"/>
        </w:rPr>
        <w:t>,</w:t>
      </w:r>
      <w:r>
        <w:rPr>
          <w:rFonts w:hint="eastAsia" w:ascii="宋体" w:hAnsi="宋体"/>
          <w:color w:val="auto"/>
          <w:szCs w:val="21"/>
          <w:highlight w:val="none"/>
        </w:rPr>
        <w:t>计算出本项目最终得分、性价比、评标价等。磋商小组按评审原则推荐成交候选人同时起草评审报告。</w:t>
      </w:r>
    </w:p>
    <w:p>
      <w:pPr>
        <w:shd w:val="clear"/>
        <w:spacing w:line="400" w:lineRule="exact"/>
        <w:jc w:val="left"/>
        <w:rPr>
          <w:rFonts w:ascii="宋体"/>
          <w:b/>
          <w:color w:val="auto"/>
          <w:szCs w:val="21"/>
          <w:highlight w:val="none"/>
        </w:rPr>
      </w:pPr>
      <w:r>
        <w:rPr>
          <w:rFonts w:ascii="宋体" w:hAnsi="宋体"/>
          <w:b/>
          <w:color w:val="auto"/>
          <w:szCs w:val="21"/>
          <w:highlight w:val="none"/>
        </w:rPr>
        <w:t>4.</w:t>
      </w:r>
      <w:r>
        <w:rPr>
          <w:rFonts w:hint="eastAsia" w:ascii="宋体" w:hAnsi="宋体"/>
          <w:b/>
          <w:color w:val="auto"/>
          <w:szCs w:val="21"/>
          <w:highlight w:val="none"/>
        </w:rPr>
        <w:t>澄清问题的形式</w:t>
      </w:r>
    </w:p>
    <w:p>
      <w:pPr>
        <w:shd w:val="clear"/>
        <w:spacing w:line="400" w:lineRule="exact"/>
        <w:ind w:firstLine="420" w:firstLineChars="200"/>
        <w:jc w:val="left"/>
        <w:rPr>
          <w:rFonts w:ascii="宋体"/>
          <w:color w:val="auto"/>
          <w:szCs w:val="21"/>
          <w:highlight w:val="none"/>
        </w:rPr>
      </w:pPr>
      <w:r>
        <w:rPr>
          <w:rFonts w:hint="eastAsia" w:ascii="宋体" w:hAnsi="宋体"/>
          <w:color w:val="auto"/>
          <w:szCs w:val="21"/>
          <w:highlight w:val="none"/>
        </w:rPr>
        <w:t>对磋商响应文件中含义不明确、同类问题表述不一致或者有明显文字和计算错误的内容，磋商小组可以书面形式要求供应商作出必要的澄清、说明或者纠正。供应商的澄清、说明或者补正应当采用书面形式，由其法定代表人或委托代理人签字或盖章确认，并不得超出磋商响应文件的范围或者改变磋商响应文件的实质性内容。</w:t>
      </w:r>
    </w:p>
    <w:p>
      <w:pPr>
        <w:pStyle w:val="16"/>
        <w:shd w:val="clear"/>
        <w:spacing w:line="400" w:lineRule="exact"/>
        <w:ind w:left="527" w:hanging="527" w:hangingChars="250"/>
        <w:jc w:val="left"/>
        <w:rPr>
          <w:rFonts w:hAnsi="宋体"/>
          <w:b/>
          <w:color w:val="auto"/>
          <w:szCs w:val="21"/>
          <w:highlight w:val="none"/>
        </w:rPr>
      </w:pPr>
      <w:r>
        <w:rPr>
          <w:rFonts w:hAnsi="宋体"/>
          <w:b/>
          <w:color w:val="auto"/>
          <w:szCs w:val="21"/>
          <w:highlight w:val="none"/>
        </w:rPr>
        <w:t>5.</w:t>
      </w:r>
      <w:r>
        <w:rPr>
          <w:rFonts w:hint="eastAsia" w:hAnsi="宋体"/>
          <w:b/>
          <w:color w:val="auto"/>
          <w:szCs w:val="21"/>
          <w:highlight w:val="none"/>
        </w:rPr>
        <w:t>修正原则</w:t>
      </w:r>
    </w:p>
    <w:p>
      <w:pPr>
        <w:pStyle w:val="16"/>
        <w:shd w:val="clear"/>
        <w:spacing w:line="400" w:lineRule="exact"/>
        <w:rPr>
          <w:rFonts w:hAnsi="宋体"/>
          <w:color w:val="auto"/>
          <w:szCs w:val="21"/>
          <w:highlight w:val="none"/>
        </w:rPr>
      </w:pPr>
      <w:r>
        <w:rPr>
          <w:rFonts w:hint="eastAsia" w:hAnsi="宋体"/>
          <w:color w:val="auto"/>
          <w:szCs w:val="21"/>
          <w:highlight w:val="none"/>
        </w:rPr>
        <w:t>磋商响应文件如果出现计算或表达上的错误，修正错误的原则如下：</w:t>
      </w:r>
    </w:p>
    <w:p>
      <w:pPr>
        <w:shd w:val="clear"/>
        <w:spacing w:line="400" w:lineRule="exact"/>
        <w:jc w:val="left"/>
        <w:rPr>
          <w:rFonts w:ascii="宋体"/>
          <w:color w:val="auto"/>
          <w:szCs w:val="21"/>
          <w:highlight w:val="none"/>
        </w:rPr>
      </w:pPr>
      <w:r>
        <w:rPr>
          <w:rFonts w:ascii="宋体" w:hAnsi="宋体"/>
          <w:color w:val="auto"/>
          <w:szCs w:val="21"/>
          <w:highlight w:val="none"/>
        </w:rPr>
        <w:t>5.1</w:t>
      </w:r>
      <w:r>
        <w:rPr>
          <w:rFonts w:hint="eastAsia" w:ascii="宋体" w:hAnsi="宋体"/>
          <w:color w:val="auto"/>
          <w:szCs w:val="21"/>
          <w:highlight w:val="none"/>
        </w:rPr>
        <w:t>报价一览表总价与报价明细表汇总数不一致的，以报价一览表为准；</w:t>
      </w:r>
    </w:p>
    <w:p>
      <w:pPr>
        <w:pStyle w:val="16"/>
        <w:shd w:val="clear"/>
        <w:spacing w:line="400" w:lineRule="exact"/>
        <w:jc w:val="left"/>
        <w:rPr>
          <w:rFonts w:hAnsi="宋体"/>
          <w:color w:val="auto"/>
          <w:szCs w:val="21"/>
          <w:highlight w:val="none"/>
        </w:rPr>
      </w:pPr>
      <w:r>
        <w:rPr>
          <w:rFonts w:hAnsi="宋体"/>
          <w:color w:val="auto"/>
          <w:szCs w:val="21"/>
          <w:highlight w:val="none"/>
        </w:rPr>
        <w:t>5.2</w:t>
      </w:r>
      <w:r>
        <w:rPr>
          <w:rFonts w:hint="eastAsia" w:hAnsi="宋体"/>
          <w:color w:val="auto"/>
          <w:szCs w:val="21"/>
          <w:highlight w:val="none"/>
        </w:rPr>
        <w:t>磋商响应文件的大写金额和小写金额不一致的，以大写金额为准；</w:t>
      </w:r>
    </w:p>
    <w:p>
      <w:pPr>
        <w:pStyle w:val="16"/>
        <w:shd w:val="clear"/>
        <w:spacing w:line="400" w:lineRule="exact"/>
        <w:jc w:val="left"/>
        <w:rPr>
          <w:rFonts w:hAnsi="宋体"/>
          <w:color w:val="auto"/>
          <w:szCs w:val="21"/>
          <w:highlight w:val="none"/>
        </w:rPr>
      </w:pPr>
      <w:r>
        <w:rPr>
          <w:rFonts w:hAnsi="宋体"/>
          <w:color w:val="auto"/>
          <w:szCs w:val="21"/>
          <w:highlight w:val="none"/>
        </w:rPr>
        <w:t>5.3</w:t>
      </w:r>
      <w:r>
        <w:rPr>
          <w:rFonts w:hint="eastAsia" w:hAnsi="宋体"/>
          <w:color w:val="auto"/>
          <w:szCs w:val="21"/>
          <w:highlight w:val="none"/>
        </w:rPr>
        <w:t>总价金额与按单价汇总金额不一致的，以单价金额计算结果为准；</w:t>
      </w:r>
    </w:p>
    <w:p>
      <w:pPr>
        <w:shd w:val="clear"/>
        <w:spacing w:line="400" w:lineRule="exact"/>
        <w:jc w:val="left"/>
        <w:rPr>
          <w:rFonts w:ascii="宋体"/>
          <w:color w:val="auto"/>
          <w:szCs w:val="21"/>
          <w:highlight w:val="none"/>
        </w:rPr>
      </w:pPr>
      <w:r>
        <w:rPr>
          <w:rFonts w:ascii="宋体" w:hAnsi="宋体"/>
          <w:color w:val="auto"/>
          <w:szCs w:val="21"/>
          <w:highlight w:val="none"/>
        </w:rPr>
        <w:t>5.4</w:t>
      </w:r>
      <w:r>
        <w:rPr>
          <w:rFonts w:hint="eastAsia" w:ascii="宋体" w:hAnsi="宋体"/>
          <w:color w:val="auto"/>
          <w:szCs w:val="21"/>
          <w:highlight w:val="none"/>
        </w:rPr>
        <w:t>对不同文字文本</w:t>
      </w:r>
      <w:r>
        <w:rPr>
          <w:rFonts w:hint="eastAsia" w:hAnsi="宋体"/>
          <w:color w:val="auto"/>
          <w:szCs w:val="21"/>
          <w:highlight w:val="none"/>
        </w:rPr>
        <w:t>磋商响应</w:t>
      </w:r>
      <w:r>
        <w:rPr>
          <w:rFonts w:hint="eastAsia" w:ascii="宋体" w:hAnsi="宋体"/>
          <w:color w:val="auto"/>
          <w:szCs w:val="21"/>
          <w:highlight w:val="none"/>
        </w:rPr>
        <w:t>文件的解释发生异议的，以中文文本为准。</w:t>
      </w:r>
    </w:p>
    <w:p>
      <w:pPr>
        <w:shd w:val="clear"/>
        <w:spacing w:line="400" w:lineRule="exact"/>
        <w:ind w:firstLine="422" w:firstLineChars="200"/>
        <w:jc w:val="left"/>
        <w:rPr>
          <w:rFonts w:ascii="宋体"/>
          <w:b/>
          <w:bCs/>
          <w:color w:val="auto"/>
          <w:szCs w:val="21"/>
          <w:highlight w:val="none"/>
        </w:rPr>
      </w:pPr>
      <w:r>
        <w:rPr>
          <w:rFonts w:hint="eastAsia" w:ascii="宋体" w:hAnsi="宋体"/>
          <w:b/>
          <w:bCs/>
          <w:color w:val="auto"/>
          <w:szCs w:val="21"/>
          <w:highlight w:val="none"/>
        </w:rPr>
        <w:t>按上述修正错误的原则及方法调整或修正磋商响应文件的报价，磋商供应商同意并签字确认后，调整后的报价对磋商供应商具有约束作用。如果磋商供应商不接受修正后的报价，则其磋商将作为无效处理。</w:t>
      </w:r>
    </w:p>
    <w:p>
      <w:pPr>
        <w:pStyle w:val="16"/>
        <w:shd w:val="clear"/>
        <w:spacing w:line="400" w:lineRule="exact"/>
        <w:ind w:left="527" w:hanging="527" w:hangingChars="250"/>
        <w:jc w:val="left"/>
        <w:rPr>
          <w:rFonts w:hAnsi="宋体"/>
          <w:b/>
          <w:color w:val="auto"/>
          <w:szCs w:val="21"/>
          <w:highlight w:val="none"/>
        </w:rPr>
      </w:pPr>
      <w:bookmarkStart w:id="135" w:name="_Toc177870555"/>
      <w:r>
        <w:rPr>
          <w:rFonts w:hAnsi="宋体"/>
          <w:b/>
          <w:color w:val="auto"/>
          <w:szCs w:val="21"/>
          <w:highlight w:val="none"/>
        </w:rPr>
        <w:t>6.</w:t>
      </w:r>
      <w:r>
        <w:rPr>
          <w:rFonts w:hint="eastAsia" w:hAnsi="宋体"/>
          <w:b/>
          <w:color w:val="auto"/>
          <w:szCs w:val="21"/>
          <w:highlight w:val="none"/>
        </w:rPr>
        <w:t>评审原则和评审办法</w:t>
      </w:r>
    </w:p>
    <w:p>
      <w:pPr>
        <w:pStyle w:val="16"/>
        <w:shd w:val="clear"/>
        <w:snapToGrid w:val="0"/>
        <w:spacing w:line="360" w:lineRule="auto"/>
        <w:rPr>
          <w:rFonts w:hAnsi="宋体"/>
          <w:color w:val="auto"/>
          <w:kern w:val="0"/>
          <w:szCs w:val="21"/>
          <w:highlight w:val="none"/>
        </w:rPr>
      </w:pPr>
      <w:r>
        <w:rPr>
          <w:rFonts w:hAnsi="宋体"/>
          <w:color w:val="auto"/>
          <w:kern w:val="0"/>
          <w:szCs w:val="21"/>
          <w:highlight w:val="none"/>
        </w:rPr>
        <w:t>6.1</w:t>
      </w:r>
      <w:r>
        <w:rPr>
          <w:rFonts w:hint="eastAsia" w:hAnsi="宋体"/>
          <w:color w:val="auto"/>
          <w:kern w:val="0"/>
          <w:szCs w:val="21"/>
          <w:highlight w:val="none"/>
        </w:rPr>
        <w:t>评审原则。磋商小组必须公平、公正、客观，不带任何倾向性和启发性；不得向外界透露任何与评审有关的内容；任何单位和个人不得干扰、影响评审的正常进行；磋商小组及有关工作人员不得私下与磋商供应商接触。</w:t>
      </w:r>
    </w:p>
    <w:p>
      <w:pPr>
        <w:pStyle w:val="16"/>
        <w:shd w:val="clear"/>
        <w:snapToGrid w:val="0"/>
        <w:spacing w:line="360" w:lineRule="auto"/>
        <w:rPr>
          <w:rFonts w:hAnsi="宋体"/>
          <w:color w:val="auto"/>
          <w:kern w:val="0"/>
          <w:szCs w:val="21"/>
          <w:highlight w:val="none"/>
        </w:rPr>
      </w:pPr>
      <w:r>
        <w:rPr>
          <w:rFonts w:hAnsi="宋体"/>
          <w:color w:val="auto"/>
          <w:kern w:val="0"/>
          <w:szCs w:val="21"/>
          <w:highlight w:val="none"/>
        </w:rPr>
        <w:t>6.2</w:t>
      </w:r>
      <w:r>
        <w:rPr>
          <w:rFonts w:hint="eastAsia" w:hAnsi="宋体"/>
          <w:color w:val="auto"/>
          <w:kern w:val="0"/>
          <w:szCs w:val="21"/>
          <w:highlight w:val="none"/>
        </w:rPr>
        <w:t>评审办法。本项目评审办法是综合评分法，具体评审内容及评分标准等详见《第五章：评审办法》。</w:t>
      </w:r>
    </w:p>
    <w:p>
      <w:pPr>
        <w:shd w:val="clear"/>
        <w:spacing w:line="360" w:lineRule="auto"/>
        <w:rPr>
          <w:rFonts w:hAnsi="宋体"/>
          <w:b/>
          <w:color w:val="auto"/>
          <w:szCs w:val="21"/>
          <w:highlight w:val="none"/>
        </w:rPr>
      </w:pPr>
      <w:r>
        <w:rPr>
          <w:rFonts w:hAnsi="宋体"/>
          <w:b/>
          <w:color w:val="auto"/>
          <w:szCs w:val="21"/>
          <w:highlight w:val="none"/>
        </w:rPr>
        <w:t>7.</w:t>
      </w:r>
      <w:r>
        <w:rPr>
          <w:rFonts w:hint="eastAsia" w:ascii="宋体" w:hAnsi="宋体"/>
          <w:b/>
          <w:color w:val="auto"/>
          <w:highlight w:val="none"/>
        </w:rPr>
        <w:t>评审过程的监控</w:t>
      </w:r>
    </w:p>
    <w:p>
      <w:pPr>
        <w:shd w:val="clear"/>
        <w:spacing w:line="360" w:lineRule="auto"/>
        <w:ind w:firstLine="420" w:firstLineChars="200"/>
        <w:rPr>
          <w:rFonts w:hAnsi="宋体"/>
          <w:b/>
          <w:color w:val="auto"/>
          <w:sz w:val="30"/>
          <w:szCs w:val="30"/>
          <w:highlight w:val="none"/>
        </w:rPr>
      </w:pPr>
      <w:r>
        <w:rPr>
          <w:rFonts w:hint="eastAsia" w:ascii="宋体" w:hAnsi="宋体"/>
          <w:color w:val="auto"/>
          <w:highlight w:val="none"/>
        </w:rPr>
        <w:t>本项目评标过程实行全程录音、录像监控。磋商供应商在评审过程中所进行的试图影响评标结果的不公正活动，可能导致其磋商被拒绝。</w:t>
      </w:r>
    </w:p>
    <w:bookmarkEnd w:id="135"/>
    <w:p>
      <w:pPr>
        <w:shd w:val="clear"/>
        <w:spacing w:before="156" w:beforeLines="50" w:after="156" w:afterLines="50" w:line="400" w:lineRule="exact"/>
        <w:ind w:left="238"/>
        <w:jc w:val="center"/>
        <w:outlineLvl w:val="1"/>
        <w:rPr>
          <w:rFonts w:ascii="宋体"/>
          <w:b/>
          <w:color w:val="auto"/>
          <w:sz w:val="28"/>
          <w:szCs w:val="28"/>
          <w:highlight w:val="none"/>
        </w:rPr>
      </w:pPr>
      <w:bookmarkStart w:id="136" w:name="_Toc445"/>
      <w:bookmarkStart w:id="137" w:name="_Toc21136"/>
      <w:bookmarkStart w:id="138" w:name="_Toc32293"/>
      <w:bookmarkStart w:id="139" w:name="_Toc20505"/>
      <w:bookmarkStart w:id="140" w:name="_Toc22785"/>
      <w:bookmarkStart w:id="141" w:name="_Toc19087"/>
      <w:bookmarkStart w:id="142" w:name="_Toc11252"/>
      <w:bookmarkStart w:id="143" w:name="_Toc8978"/>
      <w:bookmarkStart w:id="144" w:name="_Toc16833"/>
      <w:r>
        <w:rPr>
          <w:rFonts w:hint="eastAsia" w:ascii="宋体" w:hAnsi="宋体"/>
          <w:b/>
          <w:color w:val="auto"/>
          <w:sz w:val="28"/>
          <w:szCs w:val="28"/>
          <w:highlight w:val="none"/>
        </w:rPr>
        <w:t>七、磋商结果的确定</w:t>
      </w:r>
      <w:bookmarkEnd w:id="136"/>
      <w:bookmarkEnd w:id="137"/>
      <w:bookmarkEnd w:id="138"/>
      <w:bookmarkEnd w:id="139"/>
      <w:bookmarkEnd w:id="140"/>
      <w:bookmarkEnd w:id="141"/>
      <w:bookmarkEnd w:id="142"/>
      <w:bookmarkEnd w:id="143"/>
      <w:bookmarkEnd w:id="144"/>
    </w:p>
    <w:p>
      <w:pPr>
        <w:pStyle w:val="10"/>
        <w:shd w:val="clear"/>
        <w:spacing w:line="360" w:lineRule="auto"/>
        <w:ind w:firstLine="0"/>
        <w:rPr>
          <w:rFonts w:ascii="宋体"/>
          <w:color w:val="auto"/>
          <w:szCs w:val="21"/>
          <w:highlight w:val="none"/>
        </w:rPr>
      </w:pPr>
      <w:bookmarkStart w:id="145" w:name="_Toc170792772"/>
      <w:bookmarkStart w:id="146" w:name="_Toc107820051"/>
      <w:r>
        <w:rPr>
          <w:rFonts w:ascii="宋体" w:hAnsi="宋体"/>
          <w:color w:val="auto"/>
          <w:szCs w:val="21"/>
          <w:highlight w:val="none"/>
        </w:rPr>
        <w:t>1.</w:t>
      </w:r>
      <w:r>
        <w:rPr>
          <w:rFonts w:hint="eastAsia" w:ascii="宋体" w:hAnsi="宋体"/>
          <w:color w:val="auto"/>
          <w:szCs w:val="21"/>
          <w:highlight w:val="none"/>
        </w:rPr>
        <w:t>磋商结果确定</w:t>
      </w:r>
    </w:p>
    <w:p>
      <w:pPr>
        <w:shd w:val="clear"/>
        <w:spacing w:line="360" w:lineRule="auto"/>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采购单位事先授权磋商小组直接确定成交供应商，磋商小组可直接确定成交供应商。</w:t>
      </w:r>
    </w:p>
    <w:p>
      <w:pPr>
        <w:shd w:val="clear"/>
        <w:spacing w:line="360" w:lineRule="auto"/>
        <w:rPr>
          <w:rFonts w:asci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没有事先授权的，采购代理机构在磋商结束后</w:t>
      </w:r>
      <w:r>
        <w:rPr>
          <w:rFonts w:ascii="宋体" w:hAnsi="宋体"/>
          <w:color w:val="auto"/>
          <w:szCs w:val="21"/>
          <w:highlight w:val="none"/>
        </w:rPr>
        <w:t>2</w:t>
      </w:r>
      <w:r>
        <w:rPr>
          <w:rFonts w:hint="eastAsia" w:ascii="宋体" w:hAnsi="宋体"/>
          <w:color w:val="auto"/>
          <w:szCs w:val="21"/>
          <w:highlight w:val="none"/>
        </w:rPr>
        <w:t>个工作日内将磋商结果交采购人确认。采购人应在收到后</w:t>
      </w:r>
      <w:r>
        <w:rPr>
          <w:rFonts w:ascii="宋体" w:hAnsi="宋体"/>
          <w:color w:val="auto"/>
          <w:szCs w:val="21"/>
          <w:highlight w:val="none"/>
        </w:rPr>
        <w:t>5</w:t>
      </w:r>
      <w:r>
        <w:rPr>
          <w:rFonts w:hint="eastAsia" w:ascii="宋体" w:hAnsi="宋体"/>
          <w:color w:val="auto"/>
          <w:szCs w:val="21"/>
          <w:highlight w:val="none"/>
        </w:rPr>
        <w:t>个工作日内对磋商结果进行确认。</w:t>
      </w:r>
    </w:p>
    <w:p>
      <w:pPr>
        <w:shd w:val="clear"/>
        <w:spacing w:line="360" w:lineRule="auto"/>
        <w:rPr>
          <w:rFonts w:asci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成交公告：公告</w:t>
      </w:r>
      <w:r>
        <w:rPr>
          <w:rFonts w:ascii="宋体" w:hAnsi="宋体"/>
          <w:color w:val="auto"/>
          <w:szCs w:val="21"/>
          <w:highlight w:val="none"/>
        </w:rPr>
        <w:t>1</w:t>
      </w:r>
      <w:r>
        <w:rPr>
          <w:rFonts w:hint="eastAsia" w:ascii="宋体" w:hAnsi="宋体"/>
          <w:color w:val="auto"/>
          <w:szCs w:val="21"/>
          <w:highlight w:val="none"/>
        </w:rPr>
        <w:t>个工作日。</w:t>
      </w:r>
    </w:p>
    <w:p>
      <w:pPr>
        <w:shd w:val="clear"/>
        <w:spacing w:before="156" w:beforeLines="50" w:after="156" w:afterLines="50" w:line="400" w:lineRule="exact"/>
        <w:jc w:val="center"/>
        <w:outlineLvl w:val="1"/>
        <w:rPr>
          <w:rFonts w:ascii="宋体"/>
          <w:b/>
          <w:color w:val="auto"/>
          <w:sz w:val="28"/>
          <w:szCs w:val="28"/>
          <w:highlight w:val="none"/>
        </w:rPr>
      </w:pPr>
      <w:bookmarkStart w:id="147" w:name="_Toc24697"/>
      <w:bookmarkStart w:id="148" w:name="_Toc10640"/>
      <w:bookmarkStart w:id="149" w:name="_Toc8957"/>
      <w:bookmarkStart w:id="150" w:name="_Toc7304"/>
      <w:bookmarkStart w:id="151" w:name="_Toc23891"/>
      <w:bookmarkStart w:id="152" w:name="_Toc10004"/>
      <w:bookmarkStart w:id="153" w:name="_Toc16812"/>
      <w:bookmarkStart w:id="154" w:name="_Toc30856"/>
      <w:r>
        <w:rPr>
          <w:rFonts w:hint="eastAsia" w:ascii="宋体" w:hAnsi="宋体"/>
          <w:b/>
          <w:color w:val="auto"/>
          <w:sz w:val="28"/>
          <w:szCs w:val="28"/>
          <w:highlight w:val="none"/>
        </w:rPr>
        <w:t>八、合同</w:t>
      </w:r>
      <w:bookmarkEnd w:id="145"/>
      <w:bookmarkEnd w:id="146"/>
      <w:r>
        <w:rPr>
          <w:rFonts w:hint="eastAsia" w:ascii="宋体" w:hAnsi="宋体"/>
          <w:b/>
          <w:color w:val="auto"/>
          <w:sz w:val="28"/>
          <w:szCs w:val="28"/>
          <w:highlight w:val="none"/>
        </w:rPr>
        <w:t>授予</w:t>
      </w:r>
      <w:bookmarkEnd w:id="147"/>
      <w:bookmarkEnd w:id="148"/>
      <w:bookmarkEnd w:id="149"/>
      <w:bookmarkEnd w:id="150"/>
      <w:bookmarkEnd w:id="151"/>
      <w:bookmarkEnd w:id="152"/>
      <w:bookmarkEnd w:id="153"/>
      <w:bookmarkEnd w:id="154"/>
    </w:p>
    <w:p>
      <w:pPr>
        <w:shd w:val="clear"/>
        <w:spacing w:line="400" w:lineRule="exact"/>
        <w:rPr>
          <w:rFonts w:ascii="宋体"/>
          <w:color w:val="auto"/>
          <w:szCs w:val="21"/>
          <w:highlight w:val="none"/>
        </w:rPr>
      </w:pPr>
      <w:r>
        <w:rPr>
          <w:rFonts w:ascii="宋体" w:hAnsi="宋体"/>
          <w:color w:val="auto"/>
          <w:szCs w:val="21"/>
          <w:highlight w:val="none"/>
        </w:rPr>
        <w:t>1</w:t>
      </w:r>
      <w:r>
        <w:rPr>
          <w:rFonts w:ascii="宋体"/>
          <w:color w:val="auto"/>
          <w:szCs w:val="21"/>
          <w:highlight w:val="none"/>
        </w:rPr>
        <w:t>.</w:t>
      </w:r>
      <w:r>
        <w:rPr>
          <w:rFonts w:hint="eastAsia" w:ascii="宋体" w:hAnsi="宋体"/>
          <w:color w:val="auto"/>
          <w:szCs w:val="21"/>
          <w:highlight w:val="none"/>
        </w:rPr>
        <w:t>签订合同</w:t>
      </w:r>
    </w:p>
    <w:p>
      <w:pPr>
        <w:shd w:val="clear"/>
        <w:spacing w:line="400" w:lineRule="exact"/>
        <w:rPr>
          <w:rFonts w:asci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成交人自接到成交通知书后</w:t>
      </w:r>
      <w:r>
        <w:rPr>
          <w:rFonts w:ascii="宋体" w:hAnsi="宋体"/>
          <w:color w:val="auto"/>
          <w:szCs w:val="21"/>
          <w:highlight w:val="none"/>
        </w:rPr>
        <w:t>30</w:t>
      </w:r>
      <w:r>
        <w:rPr>
          <w:rFonts w:hint="eastAsia" w:ascii="宋体" w:hAnsi="宋体"/>
          <w:color w:val="auto"/>
          <w:szCs w:val="21"/>
          <w:highlight w:val="none"/>
        </w:rPr>
        <w:t>日内与采购人签定合同，同时采购代理机构对合同内容进行审查，如发现与采购结果和磋商承诺内容不一致的，将予以纠正。</w:t>
      </w:r>
    </w:p>
    <w:p>
      <w:pPr>
        <w:shd w:val="clear"/>
        <w:spacing w:line="400" w:lineRule="exact"/>
        <w:rPr>
          <w:rFonts w:ascii="宋体"/>
          <w:color w:val="auto"/>
          <w:szCs w:val="21"/>
          <w:highlight w:val="none"/>
        </w:rPr>
      </w:pPr>
      <w:r>
        <w:rPr>
          <w:rFonts w:ascii="宋体" w:hAnsi="宋体"/>
          <w:color w:val="auto"/>
          <w:szCs w:val="21"/>
          <w:highlight w:val="none"/>
        </w:rPr>
        <w:t>1</w:t>
      </w:r>
      <w:r>
        <w:rPr>
          <w:rFonts w:asci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成交人拒绝与采购人签订合同的，采购人可以按照评审报告推荐的成交候选人名单排序，确定下一候选人为成交供应商，也可以重新开展政府采购活动。</w:t>
      </w:r>
    </w:p>
    <w:p>
      <w:pPr>
        <w:shd w:val="clear"/>
        <w:spacing w:line="400" w:lineRule="exact"/>
        <w:rPr>
          <w:rFonts w:ascii="宋体"/>
          <w:color w:val="auto"/>
          <w:szCs w:val="21"/>
          <w:highlight w:val="none"/>
        </w:rPr>
      </w:pPr>
      <w:r>
        <w:rPr>
          <w:rFonts w:ascii="宋体" w:hAnsi="宋体"/>
          <w:color w:val="auto"/>
          <w:szCs w:val="21"/>
          <w:highlight w:val="none"/>
        </w:rPr>
        <w:t>1.3</w:t>
      </w:r>
      <w:r>
        <w:rPr>
          <w:rFonts w:hint="eastAsia" w:ascii="宋体" w:hAnsi="宋体"/>
          <w:color w:val="auto"/>
          <w:szCs w:val="21"/>
          <w:highlight w:val="none"/>
        </w:rPr>
        <w:t>采购人应当自政府采购合同签订之日起</w:t>
      </w:r>
      <w:r>
        <w:rPr>
          <w:rFonts w:ascii="宋体" w:hAnsi="宋体"/>
          <w:color w:val="auto"/>
          <w:szCs w:val="21"/>
          <w:highlight w:val="none"/>
        </w:rPr>
        <w:t>2</w:t>
      </w:r>
      <w:r>
        <w:rPr>
          <w:rFonts w:hint="eastAsia" w:ascii="宋体" w:hAnsi="宋体"/>
          <w:color w:val="auto"/>
          <w:szCs w:val="21"/>
          <w:highlight w:val="none"/>
        </w:rPr>
        <w:t>个工作日内，将政府采购合同在省级以上人民政府财政部门指定的媒体上公告，但政府采购合同中涉及国家秘密、商业秘密的内容除外。</w:t>
      </w:r>
    </w:p>
    <w:p>
      <w:pPr>
        <w:pStyle w:val="16"/>
        <w:numPr>
          <w:ilvl w:val="0"/>
          <w:numId w:val="3"/>
        </w:numPr>
        <w:shd w:val="clear"/>
        <w:spacing w:line="400" w:lineRule="exact"/>
        <w:rPr>
          <w:rFonts w:hAnsi="宋体"/>
          <w:color w:val="auto"/>
          <w:szCs w:val="21"/>
          <w:highlight w:val="none"/>
        </w:rPr>
      </w:pPr>
      <w:r>
        <w:rPr>
          <w:rFonts w:hint="eastAsia" w:hAnsi="宋体"/>
          <w:color w:val="auto"/>
          <w:szCs w:val="21"/>
          <w:highlight w:val="none"/>
        </w:rPr>
        <w:t>履约保证金：无。</w:t>
      </w:r>
    </w:p>
    <w:p>
      <w:pPr>
        <w:shd w:val="clear"/>
        <w:snapToGrid w:val="0"/>
        <w:spacing w:line="400" w:lineRule="exact"/>
        <w:jc w:val="left"/>
        <w:rPr>
          <w:rFonts w:hint="eastAsia" w:hAnsi="宋体"/>
          <w:b/>
          <w:bCs/>
          <w:color w:val="auto"/>
          <w:szCs w:val="21"/>
          <w:highlight w:val="none"/>
        </w:rPr>
      </w:pPr>
      <w:r>
        <w:rPr>
          <w:rFonts w:hint="eastAsia" w:hAnsi="宋体"/>
          <w:b/>
          <w:bCs/>
          <w:color w:val="auto"/>
          <w:szCs w:val="21"/>
          <w:highlight w:val="none"/>
        </w:rPr>
        <w:t>▲3.成交供应商向招标代理机构按如下</w:t>
      </w:r>
      <w:r>
        <w:rPr>
          <w:rFonts w:hint="eastAsia" w:hAnsi="宋体"/>
          <w:b/>
          <w:bCs/>
          <w:color w:val="auto"/>
          <w:szCs w:val="21"/>
          <w:highlight w:val="none"/>
          <w:lang w:val="en-US" w:eastAsia="zh-CN"/>
        </w:rPr>
        <w:t>金额标准</w:t>
      </w:r>
      <w:r>
        <w:rPr>
          <w:rFonts w:hint="eastAsia" w:hAnsi="宋体"/>
          <w:b/>
          <w:bCs/>
          <w:color w:val="auto"/>
          <w:szCs w:val="21"/>
          <w:highlight w:val="none"/>
        </w:rPr>
        <w:t>交纳磋商代理服务费：成交单位需缴纳</w:t>
      </w:r>
      <w:r>
        <w:rPr>
          <w:rFonts w:hint="eastAsia" w:hAnsi="宋体"/>
          <w:b/>
          <w:bCs/>
          <w:color w:val="auto"/>
          <w:szCs w:val="21"/>
          <w:highlight w:val="none"/>
          <w:lang w:val="en-US" w:eastAsia="zh-CN"/>
        </w:rPr>
        <w:t>磋商</w:t>
      </w:r>
      <w:r>
        <w:rPr>
          <w:rFonts w:hint="eastAsia" w:hAnsi="宋体"/>
          <w:b/>
          <w:bCs/>
          <w:color w:val="auto"/>
          <w:szCs w:val="21"/>
          <w:highlight w:val="none"/>
        </w:rPr>
        <w:t>代理</w:t>
      </w:r>
      <w:r>
        <w:rPr>
          <w:rFonts w:hint="eastAsia" w:hAnsi="宋体"/>
          <w:b/>
          <w:bCs/>
          <w:color w:val="auto"/>
          <w:szCs w:val="21"/>
          <w:highlight w:val="none"/>
          <w:lang w:val="en-US" w:eastAsia="zh-CN"/>
        </w:rPr>
        <w:t>服务</w:t>
      </w:r>
      <w:r>
        <w:rPr>
          <w:rFonts w:hint="eastAsia" w:hAnsi="宋体"/>
          <w:b/>
          <w:bCs/>
          <w:color w:val="auto"/>
          <w:szCs w:val="21"/>
          <w:highlight w:val="none"/>
        </w:rPr>
        <w:t>费</w:t>
      </w:r>
      <w:r>
        <w:rPr>
          <w:rFonts w:hint="eastAsia" w:ascii="Times New Roman" w:hAnsi="宋体" w:eastAsia="宋体" w:cs="Times New Roman"/>
          <w:b/>
          <w:bCs/>
          <w:color w:val="auto"/>
          <w:sz w:val="21"/>
          <w:szCs w:val="21"/>
          <w:highlight w:val="none"/>
          <w:u w:val="none"/>
          <w:lang w:val="en-US" w:eastAsia="zh-CN"/>
        </w:rPr>
        <w:t>：</w:t>
      </w:r>
      <w:r>
        <w:rPr>
          <w:rFonts w:hint="eastAsia" w:ascii="宋体" w:hAnsi="宋体" w:eastAsia="宋体" w:cs="宋体"/>
          <w:b/>
          <w:color w:val="auto"/>
          <w:sz w:val="21"/>
          <w:szCs w:val="21"/>
          <w:highlight w:val="none"/>
          <w:shd w:val="clear" w:color="auto" w:fill="auto"/>
        </w:rPr>
        <w:t>按《招标代理服务收费管理暂行办法》计价格［2002］1980号文的</w:t>
      </w:r>
      <w:r>
        <w:rPr>
          <w:rFonts w:hint="eastAsia" w:ascii="宋体" w:hAnsi="宋体" w:eastAsia="宋体" w:cs="宋体"/>
          <w:b/>
          <w:color w:val="auto"/>
          <w:sz w:val="21"/>
          <w:szCs w:val="21"/>
          <w:highlight w:val="none"/>
          <w:shd w:val="clear" w:color="auto" w:fill="auto"/>
          <w:lang w:val="en-US" w:eastAsia="zh-CN"/>
        </w:rPr>
        <w:t>65</w:t>
      </w:r>
      <w:r>
        <w:rPr>
          <w:rFonts w:hint="eastAsia" w:ascii="宋体" w:hAnsi="宋体" w:eastAsia="宋体" w:cs="宋体"/>
          <w:b/>
          <w:color w:val="auto"/>
          <w:sz w:val="21"/>
          <w:szCs w:val="21"/>
          <w:highlight w:val="none"/>
          <w:shd w:val="clear" w:color="auto" w:fill="auto"/>
        </w:rPr>
        <w:t>%计取</w:t>
      </w:r>
      <w:r>
        <w:rPr>
          <w:rFonts w:hint="eastAsia" w:ascii="宋体" w:hAnsi="宋体" w:eastAsia="宋体" w:cs="宋体"/>
          <w:b/>
          <w:color w:val="auto"/>
          <w:sz w:val="21"/>
          <w:szCs w:val="21"/>
          <w:highlight w:val="none"/>
          <w:shd w:val="clear" w:color="auto" w:fill="auto"/>
          <w:lang w:eastAsia="zh-CN"/>
        </w:rPr>
        <w:t>，</w:t>
      </w:r>
      <w:r>
        <w:rPr>
          <w:rFonts w:hint="eastAsia" w:ascii="宋体" w:hAnsi="宋体" w:eastAsia="宋体" w:cs="宋体"/>
          <w:b/>
          <w:color w:val="auto"/>
          <w:sz w:val="21"/>
          <w:szCs w:val="21"/>
          <w:highlight w:val="none"/>
          <w:u w:val="none"/>
          <w:shd w:val="clear" w:color="auto" w:fill="auto"/>
          <w:lang w:val="en-US" w:eastAsia="zh-CN"/>
        </w:rPr>
        <w:t>代理费不足5000元按5000元计</w:t>
      </w:r>
      <w:r>
        <w:rPr>
          <w:rFonts w:hint="eastAsia" w:ascii="宋体" w:hAnsi="宋体" w:eastAsia="宋体" w:cs="宋体"/>
          <w:b/>
          <w:color w:val="auto"/>
          <w:sz w:val="21"/>
          <w:szCs w:val="21"/>
          <w:highlight w:val="none"/>
          <w:shd w:val="clear" w:color="auto" w:fill="auto"/>
        </w:rPr>
        <w:t>。</w:t>
      </w:r>
      <w:r>
        <w:rPr>
          <w:rFonts w:hint="eastAsia" w:hAnsi="宋体"/>
          <w:b/>
          <w:bCs/>
          <w:color w:val="auto"/>
          <w:szCs w:val="21"/>
          <w:highlight w:val="none"/>
        </w:rPr>
        <w:t>可采用</w:t>
      </w:r>
      <w:r>
        <w:rPr>
          <w:rFonts w:hint="eastAsia" w:hAnsi="宋体"/>
          <w:b/>
          <w:bCs/>
          <w:color w:val="auto"/>
          <w:szCs w:val="21"/>
          <w:highlight w:val="none"/>
          <w:lang w:val="en-US" w:eastAsia="zh-CN"/>
        </w:rPr>
        <w:t>转账、</w:t>
      </w:r>
      <w:r>
        <w:rPr>
          <w:rFonts w:hint="eastAsia" w:hAnsi="宋体"/>
          <w:b/>
          <w:bCs/>
          <w:color w:val="auto"/>
          <w:szCs w:val="21"/>
          <w:highlight w:val="none"/>
        </w:rPr>
        <w:t>支票、电汇等方式支付。磋商代理服务费用在成交通知书发出后10天内支付给招标代理机构。各供应商应在报价时充分考虑以上相关费用。</w:t>
      </w:r>
    </w:p>
    <w:p>
      <w:pPr>
        <w:keepNext w:val="0"/>
        <w:keepLines w:val="0"/>
        <w:pageBreakBefore w:val="0"/>
        <w:shd w:val="clear"/>
        <w:kinsoku/>
        <w:wordWrap/>
        <w:overflowPunct/>
        <w:topLinePunct w:val="0"/>
        <w:autoSpaceDE/>
        <w:autoSpaceDN/>
        <w:bidi w:val="0"/>
        <w:adjustRightInd/>
        <w:spacing w:line="380" w:lineRule="exact"/>
        <w:ind w:firstLine="632" w:firstLineChars="300"/>
        <w:jc w:val="left"/>
        <w:textAlignment w:val="auto"/>
        <w:rPr>
          <w:rFonts w:hint="eastAsia" w:ascii="宋体" w:hAnsi="宋体" w:eastAsia="宋体" w:cs="宋体"/>
          <w:b/>
          <w:bCs/>
          <w:color w:val="auto"/>
          <w:szCs w:val="21"/>
          <w:highlight w:val="none"/>
        </w:rPr>
      </w:pPr>
    </w:p>
    <w:p>
      <w:pPr>
        <w:keepNext w:val="0"/>
        <w:keepLines w:val="0"/>
        <w:pageBreakBefore w:val="0"/>
        <w:shd w:val="clear"/>
        <w:kinsoku/>
        <w:wordWrap/>
        <w:overflowPunct/>
        <w:topLinePunct w:val="0"/>
        <w:autoSpaceDE/>
        <w:autoSpaceDN/>
        <w:bidi w:val="0"/>
        <w:adjustRightInd/>
        <w:spacing w:line="380" w:lineRule="exact"/>
        <w:ind w:firstLine="632" w:firstLineChars="300"/>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单位全称：</w:t>
      </w:r>
      <w:r>
        <w:rPr>
          <w:rFonts w:hint="eastAsia" w:ascii="宋体" w:hAnsi="宋体" w:eastAsia="宋体" w:cs="宋体"/>
          <w:b/>
          <w:bCs/>
          <w:color w:val="auto"/>
          <w:szCs w:val="21"/>
          <w:highlight w:val="none"/>
          <w:lang w:eastAsia="zh-CN"/>
        </w:rPr>
        <w:t>嘉兴市明扬工程咨询有限公司</w:t>
      </w:r>
    </w:p>
    <w:p>
      <w:pPr>
        <w:keepNext w:val="0"/>
        <w:keepLines w:val="0"/>
        <w:pageBreakBefore w:val="0"/>
        <w:shd w:val="clear"/>
        <w:kinsoku/>
        <w:wordWrap/>
        <w:overflowPunct/>
        <w:topLinePunct w:val="0"/>
        <w:autoSpaceDE/>
        <w:autoSpaceDN/>
        <w:bidi w:val="0"/>
        <w:adjustRightInd/>
        <w:spacing w:line="38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开户银行：中国光大银行股份有限公司嘉兴分行</w:t>
      </w:r>
    </w:p>
    <w:p>
      <w:pPr>
        <w:keepNext w:val="0"/>
        <w:keepLines w:val="0"/>
        <w:pageBreakBefore w:val="0"/>
        <w:shd w:val="clear"/>
        <w:kinsoku/>
        <w:wordWrap/>
        <w:overflowPunct/>
        <w:topLinePunct w:val="0"/>
        <w:autoSpaceDE/>
        <w:autoSpaceDN/>
        <w:bidi w:val="0"/>
        <w:adjustRightInd/>
        <w:spacing w:line="380" w:lineRule="exact"/>
        <w:ind w:firstLine="632" w:firstLineChars="3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rPr>
        <w:t>银行账号：79650188000300492</w:t>
      </w:r>
    </w:p>
    <w:p>
      <w:pPr>
        <w:pStyle w:val="16"/>
        <w:shd w:val="clear"/>
        <w:spacing w:before="156" w:beforeLines="50" w:after="156" w:afterLines="50" w:line="400" w:lineRule="exact"/>
        <w:jc w:val="center"/>
        <w:outlineLvl w:val="0"/>
        <w:rPr>
          <w:rFonts w:hint="eastAsia" w:hAnsi="宋体"/>
          <w:b/>
          <w:color w:val="auto"/>
          <w:sz w:val="32"/>
          <w:szCs w:val="32"/>
          <w:highlight w:val="none"/>
        </w:rPr>
      </w:pPr>
      <w:bookmarkStart w:id="155" w:name="_Toc22331"/>
      <w:bookmarkStart w:id="156" w:name="_Toc19239"/>
      <w:bookmarkStart w:id="157" w:name="_Toc13152"/>
      <w:bookmarkStart w:id="158" w:name="_Toc24524"/>
      <w:bookmarkStart w:id="159" w:name="_Toc22734"/>
      <w:bookmarkStart w:id="160" w:name="_Toc10221"/>
      <w:bookmarkStart w:id="161" w:name="_Toc7140"/>
      <w:bookmarkStart w:id="162" w:name="_Toc26569"/>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int="eastAsia" w:hAnsi="宋体"/>
          <w:b/>
          <w:color w:val="auto"/>
          <w:sz w:val="32"/>
          <w:szCs w:val="32"/>
          <w:highlight w:val="none"/>
        </w:rPr>
      </w:pPr>
    </w:p>
    <w:p>
      <w:pPr>
        <w:pStyle w:val="16"/>
        <w:shd w:val="clear"/>
        <w:spacing w:before="156" w:beforeLines="50" w:after="156" w:afterLines="50" w:line="400" w:lineRule="exact"/>
        <w:jc w:val="center"/>
        <w:outlineLvl w:val="0"/>
        <w:rPr>
          <w:rFonts w:hAnsi="宋体"/>
          <w:b/>
          <w:color w:val="auto"/>
          <w:sz w:val="32"/>
          <w:szCs w:val="32"/>
          <w:highlight w:val="none"/>
        </w:rPr>
      </w:pPr>
      <w:r>
        <w:rPr>
          <w:rFonts w:hint="eastAsia" w:hAnsi="宋体"/>
          <w:b/>
          <w:color w:val="auto"/>
          <w:sz w:val="32"/>
          <w:szCs w:val="32"/>
          <w:highlight w:val="none"/>
        </w:rPr>
        <w:t>第三章  磋商项目要求</w:t>
      </w:r>
      <w:bookmarkEnd w:id="155"/>
      <w:bookmarkEnd w:id="156"/>
      <w:bookmarkEnd w:id="157"/>
      <w:bookmarkEnd w:id="158"/>
      <w:bookmarkEnd w:id="159"/>
      <w:bookmarkEnd w:id="160"/>
      <w:bookmarkEnd w:id="161"/>
      <w:bookmarkEnd w:id="162"/>
    </w:p>
    <w:p>
      <w:pPr>
        <w:shd w:val="clear"/>
        <w:rPr>
          <w:rFonts w:hint="eastAsia" w:ascii="宋体" w:hAnsi="宋体" w:eastAsia="宋体" w:cs="宋体"/>
          <w:b/>
          <w:bCs/>
          <w:color w:val="auto"/>
          <w:sz w:val="21"/>
          <w:szCs w:val="21"/>
          <w:highlight w:val="none"/>
          <w:lang w:eastAsia="zh-CN"/>
        </w:rPr>
      </w:pPr>
      <w:bookmarkStart w:id="163" w:name="_Toc11969"/>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项目名称：</w:t>
      </w:r>
      <w:r>
        <w:rPr>
          <w:rFonts w:hint="eastAsia" w:ascii="宋体" w:hAnsi="宋体" w:cs="宋体"/>
          <w:color w:val="auto"/>
          <w:sz w:val="21"/>
          <w:szCs w:val="21"/>
          <w:highlight w:val="none"/>
          <w:lang w:eastAsia="zh-CN"/>
        </w:rPr>
        <w:t>2024年南排工程河道堤防维修及一次性项目</w:t>
      </w:r>
    </w:p>
    <w:p>
      <w:pPr>
        <w:pStyle w:val="10"/>
        <w:shd w:val="clear"/>
        <w:rPr>
          <w:rFonts w:hint="eastAsia" w:ascii="宋体" w:hAnsi="宋体" w:cs="宋体"/>
          <w:color w:val="auto"/>
          <w:szCs w:val="21"/>
          <w:highlight w:val="none"/>
          <w:lang w:eastAsia="zh-CN"/>
        </w:rPr>
      </w:pPr>
    </w:p>
    <w:p>
      <w:pPr>
        <w:numPr>
          <w:ilvl w:val="0"/>
          <w:numId w:val="4"/>
        </w:numPr>
        <w:shd w:val="clea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项目概况（内容、用途、数量、简要技术要求等）：</w:t>
      </w:r>
    </w:p>
    <w:tbl>
      <w:tblPr>
        <w:tblStyle w:val="3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5756"/>
        <w:gridCol w:w="789"/>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9"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color w:val="auto"/>
                <w:szCs w:val="21"/>
                <w:highlight w:val="none"/>
              </w:rPr>
            </w:pPr>
            <w:r>
              <w:rPr>
                <w:rFonts w:hint="eastAsia" w:ascii="宋体" w:hAnsi="宋体" w:eastAsia="宋体" w:cs="宋体"/>
                <w:b/>
                <w:bCs/>
                <w:color w:val="auto"/>
                <w:kern w:val="0"/>
                <w:szCs w:val="21"/>
                <w:highlight w:val="none"/>
                <w:lang w:val="en-US" w:eastAsia="zh-CN"/>
              </w:rPr>
              <w:t>标项</w:t>
            </w:r>
          </w:p>
        </w:tc>
        <w:tc>
          <w:tcPr>
            <w:tcW w:w="5756"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color w:val="auto"/>
                <w:szCs w:val="21"/>
                <w:highlight w:val="none"/>
              </w:rPr>
            </w:pPr>
            <w:r>
              <w:rPr>
                <w:rFonts w:hint="eastAsia" w:ascii="宋体" w:hAnsi="宋体" w:eastAsia="宋体" w:cs="宋体"/>
                <w:b/>
                <w:bCs/>
                <w:color w:val="auto"/>
                <w:kern w:val="0"/>
                <w:szCs w:val="21"/>
                <w:highlight w:val="none"/>
                <w:lang w:val="en-US" w:eastAsia="zh-CN"/>
              </w:rPr>
              <w:t>标项</w:t>
            </w:r>
            <w:r>
              <w:rPr>
                <w:rFonts w:hint="eastAsia" w:ascii="宋体" w:hAnsi="宋体" w:eastAsia="宋体" w:cs="宋体"/>
                <w:b/>
                <w:bCs/>
                <w:color w:val="auto"/>
                <w:kern w:val="0"/>
                <w:szCs w:val="21"/>
                <w:highlight w:val="none"/>
              </w:rPr>
              <w:t>名称</w:t>
            </w:r>
          </w:p>
        </w:tc>
        <w:tc>
          <w:tcPr>
            <w:tcW w:w="789"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数量</w:t>
            </w:r>
          </w:p>
        </w:tc>
        <w:tc>
          <w:tcPr>
            <w:tcW w:w="1514"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bCs/>
                <w:color w:val="auto"/>
                <w:szCs w:val="21"/>
                <w:highlight w:val="none"/>
              </w:rPr>
            </w:pPr>
            <w:r>
              <w:rPr>
                <w:rFonts w:hint="eastAsia" w:ascii="宋体" w:hAnsi="宋体" w:eastAsia="宋体" w:cs="宋体"/>
                <w:b/>
                <w:bCs/>
                <w:color w:val="auto"/>
                <w:kern w:val="0"/>
                <w:szCs w:val="21"/>
                <w:highlight w:val="none"/>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一</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eastAsia="zh-CN"/>
              </w:rPr>
            </w:pPr>
            <w:r>
              <w:rPr>
                <w:rFonts w:hint="eastAsia" w:ascii="宋体" w:hAnsi="宋体" w:cs="宋体"/>
                <w:color w:val="auto"/>
                <w:sz w:val="21"/>
                <w:szCs w:val="21"/>
                <w:highlight w:val="none"/>
                <w:lang w:eastAsia="zh-CN"/>
              </w:rPr>
              <w:t>2024年南排工程河道堤防维修项目</w:t>
            </w:r>
          </w:p>
        </w:tc>
        <w:tc>
          <w:tcPr>
            <w:tcW w:w="789" w:type="dxa"/>
            <w:vMerge w:val="restart"/>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514"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bCs/>
                <w:color w:val="auto"/>
                <w:szCs w:val="21"/>
                <w:highlight w:val="none"/>
                <w:lang w:val="en-US"/>
              </w:rPr>
            </w:pPr>
            <w:r>
              <w:rPr>
                <w:rFonts w:hint="eastAsia" w:ascii="宋体" w:hAnsi="宋体" w:cs="宋体"/>
                <w:color w:val="auto"/>
                <w:sz w:val="21"/>
                <w:szCs w:val="21"/>
                <w:highlight w:val="none"/>
                <w:lang w:val="en-US" w:eastAsia="zh-CN"/>
              </w:rPr>
              <w:t>700400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1.1</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bCs/>
                <w:color w:val="auto"/>
                <w:szCs w:val="21"/>
                <w:highlight w:val="none"/>
                <w:lang w:val="en-US"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1.2</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1.3</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1.4</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220000</w:t>
            </w:r>
          </w:p>
        </w:tc>
      </w:tr>
    </w:tbl>
    <w:p>
      <w:pPr>
        <w:numPr>
          <w:ilvl w:val="-1"/>
          <w:numId w:val="0"/>
        </w:numPr>
        <w:shd w:val="clear"/>
        <w:rPr>
          <w:rFonts w:hint="eastAsia" w:ascii="宋体" w:hAnsi="宋体" w:cs="宋体"/>
          <w:color w:val="auto"/>
          <w:szCs w:val="21"/>
          <w:highlight w:val="none"/>
          <w:lang w:val="en-US" w:eastAsia="zh-CN"/>
        </w:rPr>
      </w:pPr>
    </w:p>
    <w:p>
      <w:pPr>
        <w:numPr>
          <w:ilvl w:val="-1"/>
          <w:numId w:val="0"/>
        </w:numPr>
        <w:shd w:val="clear"/>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Cs w:val="21"/>
          <w:highlight w:val="none"/>
          <w:lang w:val="en-US" w:eastAsia="zh-CN"/>
        </w:rPr>
        <w:t>1.1</w:t>
      </w:r>
      <w:r>
        <w:rPr>
          <w:rFonts w:hint="eastAsia" w:ascii="宋体" w:hAnsi="宋体" w:eastAsia="宋体" w:cs="宋体"/>
          <w:b/>
          <w:bCs/>
          <w:color w:val="auto"/>
          <w:sz w:val="21"/>
          <w:szCs w:val="21"/>
          <w:highlight w:val="none"/>
          <w:lang w:val="en-US" w:eastAsia="zh-CN"/>
        </w:rPr>
        <w:t>盐官枢纽（海宁河道站）河道护岸维修项目工程量清单</w:t>
      </w:r>
    </w:p>
    <w:tbl>
      <w:tblPr>
        <w:tblStyle w:val="35"/>
        <w:tblpPr w:leftFromText="180" w:rightFromText="180" w:vertAnchor="text" w:horzAnchor="page" w:tblpXSpec="center" w:tblpY="278"/>
        <w:tblOverlap w:val="never"/>
        <w:tblW w:w="93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6"/>
        <w:gridCol w:w="2518"/>
        <w:gridCol w:w="3739"/>
        <w:gridCol w:w="1072"/>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项目名称</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项目主要特征</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计量单位</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一</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建筑工程</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坑洞填补</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长山河右岸21K+070处坑洞填补</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位置：长山河右岸21K+070处。  </w:t>
            </w:r>
          </w:p>
          <w:p>
            <w:pPr>
              <w:keepNext w:val="0"/>
              <w:keepLines w:val="0"/>
              <w:widowControl/>
              <w:numPr>
                <w:ilvl w:val="0"/>
                <w:numId w:val="0"/>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2、长山河背水面陷坑：150cm*180cm*150cm。                                                       3、技术要求：挡墙内侧处用400g/m</w:t>
            </w:r>
            <w:r>
              <w:rPr>
                <w:rStyle w:val="113"/>
                <w:rFonts w:hint="eastAsia" w:asciiTheme="minorEastAsia" w:hAnsiTheme="minorEastAsia" w:eastAsiaTheme="minorEastAsia" w:cstheme="minorEastAsia"/>
                <w:sz w:val="21"/>
                <w:szCs w:val="21"/>
                <w:highlight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土工布铺设,土方填筑压实。</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盐官下河挡墙维修工程</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4"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墙身维修</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位置：盐官下河左岸16K+325--16K+400。     </w:t>
            </w:r>
          </w:p>
          <w:p>
            <w:pPr>
              <w:keepNext w:val="0"/>
              <w:keepLines w:val="0"/>
              <w:widowControl/>
              <w:numPr>
                <w:ilvl w:val="0"/>
                <w:numId w:val="0"/>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2、破损、下沉护岸挡墙为浆砌块石墙身、混凝土压顶。                              3、拆除破损、下沉挡墙并清理，新建浆砌块石挡墙、C25混凝土压顶。                           </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盐官下河护坡修复工程</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7"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盐官下河</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左岸1K+378-390处护坡修复</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1、位置：盐官下河左岸1K+378-390。                       2、护坡长宽为1200cm*600cm。             3、原护坡全部拆除并清理，铺设400g/m2土工布，设置伸缩缝用沥青板，重新铺设碎石垫层及C25混凝土浇筑，碎石垫层及混凝土与原护坡一致。          4、排水管修复。</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处</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河道清障</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left"/>
              <w:rPr>
                <w:rFonts w:hint="eastAsia" w:asciiTheme="minorEastAsia" w:hAnsiTheme="minorEastAsia" w:eastAsiaTheme="minorEastAsia" w:cstheme="minorEastAsia"/>
                <w:i w:val="0"/>
                <w:iCs w:val="0"/>
                <w:color w:val="000000"/>
                <w:sz w:val="21"/>
                <w:szCs w:val="21"/>
                <w:highlight w:val="none"/>
                <w:u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2"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三条河道清障</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位置：盐官下河、上塘河、长山河（海宁段）。                    </w:t>
            </w:r>
          </w:p>
          <w:p>
            <w:pPr>
              <w:keepNext w:val="0"/>
              <w:keepLines w:val="0"/>
              <w:widowControl/>
              <w:numPr>
                <w:ilvl w:val="0"/>
                <w:numId w:val="7"/>
              </w:numPr>
              <w:suppressLineNumbers w:val="0"/>
              <w:shd w:val="clear"/>
              <w:spacing w:before="0" w:beforeAutospacing="0" w:after="0" w:afterAutospacing="0"/>
              <w:ind w:left="0" w:leftChars="0" w:right="0" w:firstLine="0" w:firstLine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对三条河道进行清障处置，包括管理范围弃土、垃圾等其他影响河道工程安全的物体。</w:t>
            </w:r>
          </w:p>
          <w:p>
            <w:pPr>
              <w:keepNext w:val="0"/>
              <w:keepLines w:val="0"/>
              <w:widowControl/>
              <w:numPr>
                <w:ilvl w:val="0"/>
                <w:numId w:val="7"/>
              </w:numPr>
              <w:suppressLineNumbers w:val="0"/>
              <w:shd w:val="clear"/>
              <w:spacing w:before="0" w:beforeAutospacing="0" w:after="0" w:afterAutospacing="0"/>
              <w:ind w:left="0" w:leftChars="0" w:right="0" w:firstLine="0" w:firstLine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清障量不少于500</w:t>
            </w:r>
            <w:r>
              <w:rPr>
                <w:rFonts w:hint="eastAsia" w:asciiTheme="minorEastAsia" w:hAnsiTheme="minorEastAsia" w:eastAsiaTheme="minorEastAsia" w:cstheme="minorEastAsia"/>
                <w:i w:val="0"/>
                <w:iCs w:val="0"/>
                <w:color w:val="auto"/>
                <w:kern w:val="0"/>
                <w:sz w:val="21"/>
                <w:szCs w:val="21"/>
                <w:highlight w:val="none"/>
                <w:u w:val="none"/>
                <w:lang w:val="en-US" w:eastAsia="zh-CN"/>
              </w:rPr>
              <w:t>m3，清障物需合法处置。</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bl>
    <w:p>
      <w:pPr>
        <w:pStyle w:val="16"/>
        <w:numPr>
          <w:ilvl w:val="-1"/>
          <w:numId w:val="0"/>
        </w:numPr>
        <w:shd w:val="clear"/>
        <w:spacing w:before="156" w:beforeLines="50" w:after="156" w:afterLines="50" w:line="400" w:lineRule="exact"/>
        <w:jc w:val="left"/>
        <w:outlineLvl w:val="0"/>
        <w:rPr>
          <w:rFonts w:hint="default" w:ascii="宋体" w:hAnsi="宋体" w:cs="宋体"/>
          <w:b/>
          <w:bCs/>
          <w:color w:val="auto"/>
          <w:szCs w:val="21"/>
          <w:highlight w:val="none"/>
          <w:lang w:eastAsia="zh-CN"/>
        </w:rPr>
      </w:pPr>
      <w:r>
        <w:rPr>
          <w:rFonts w:hint="eastAsia" w:hAnsi="宋体" w:cs="宋体"/>
          <w:b/>
          <w:bCs/>
          <w:color w:val="auto"/>
          <w:szCs w:val="21"/>
          <w:highlight w:val="none"/>
          <w:lang w:val="en-US" w:eastAsia="zh-CN"/>
        </w:rPr>
        <w:t>1.2</w:t>
      </w:r>
      <w:r>
        <w:rPr>
          <w:rFonts w:hint="eastAsia" w:ascii="宋体" w:hAnsi="宋体" w:cs="宋体"/>
          <w:b/>
          <w:bCs/>
          <w:color w:val="auto"/>
          <w:szCs w:val="21"/>
          <w:highlight w:val="none"/>
          <w:lang w:eastAsia="zh-CN"/>
        </w:rPr>
        <w:t>南排工程管理服务中心河道护岸、堤防</w:t>
      </w:r>
      <w:r>
        <w:rPr>
          <w:rFonts w:hint="eastAsia" w:hAnsi="宋体" w:cs="宋体"/>
          <w:b/>
          <w:bCs/>
          <w:color w:val="auto"/>
          <w:szCs w:val="21"/>
          <w:highlight w:val="none"/>
          <w:lang w:val="en-US" w:eastAsia="zh-CN"/>
        </w:rPr>
        <w:t>维修项目</w:t>
      </w:r>
      <w:r>
        <w:rPr>
          <w:rFonts w:hint="eastAsia" w:ascii="宋体" w:hAnsi="宋体" w:eastAsia="宋体" w:cs="宋体"/>
          <w:b/>
          <w:bCs/>
          <w:color w:val="auto"/>
          <w:sz w:val="21"/>
          <w:szCs w:val="21"/>
          <w:highlight w:val="none"/>
          <w:lang w:val="en-US" w:eastAsia="zh-CN"/>
        </w:rPr>
        <w:t>工程量清单</w:t>
      </w:r>
    </w:p>
    <w:tbl>
      <w:tblPr>
        <w:tblStyle w:val="35"/>
        <w:tblW w:w="93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2546"/>
        <w:gridCol w:w="3700"/>
        <w:gridCol w:w="1071"/>
        <w:gridCol w:w="1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编号</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项目名称</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计量单位</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Theme="minorEastAsia" w:hAnsiTheme="minorEastAsia" w:eastAsiaTheme="minorEastAsia" w:cstheme="minorEastAsia"/>
                <w:b/>
                <w:bCs/>
                <w:i w:val="0"/>
                <w:iCs w:val="0"/>
                <w:color w:val="auto"/>
                <w:sz w:val="21"/>
                <w:szCs w:val="21"/>
                <w:highlight w:val="none"/>
                <w:u w:val="none"/>
              </w:rPr>
            </w:pP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南排工程管理服务中心</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需维修养护的破损堤防，</w:t>
            </w:r>
            <w:r>
              <w:rPr>
                <w:rFonts w:hint="eastAsia" w:asciiTheme="minorEastAsia" w:hAnsiTheme="minorEastAsia" w:eastAsiaTheme="minorEastAsia" w:cstheme="minorEastAsia"/>
                <w:spacing w:val="-2"/>
                <w:sz w:val="21"/>
                <w:szCs w:val="21"/>
                <w:highlight w:val="none"/>
                <w:lang w:val="en-US" w:eastAsia="zh-CN"/>
              </w:rPr>
              <w:t>维修点位分布在河道多个位置。</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1</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土方开挖</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1.运距：由施工单位自行考虑；</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eastAsia="zh-CN"/>
              </w:rPr>
              <w:t>2</w:t>
            </w:r>
            <w:r>
              <w:rPr>
                <w:rFonts w:hint="eastAsia" w:asciiTheme="minorEastAsia" w:hAnsiTheme="minorEastAsia" w:eastAsiaTheme="minorEastAsia" w:cstheme="minorEastAsia"/>
                <w:i w:val="0"/>
                <w:iCs w:val="0"/>
                <w:color w:val="auto"/>
                <w:sz w:val="21"/>
                <w:szCs w:val="21"/>
                <w:highlight w:val="none"/>
                <w:u w:val="none"/>
                <w:lang w:val="en-US" w:eastAsia="zh-CN"/>
              </w:rPr>
              <w:t>.护岸维修为零星工程，此工程量为预估，此项按实结算。</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m3</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 xml:space="preserve">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2</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土方回填</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1、回填要求原状土回填，土方回填机械夯填，不得有石块、砖块等杂物；                 2、土方来源由施工单位自行考虑； </w:t>
            </w:r>
          </w:p>
          <w:p>
            <w:pPr>
              <w:pStyle w:val="2"/>
              <w:keepNext w:val="0"/>
              <w:keepLines w:val="0"/>
              <w:suppressLineNumbers w:val="0"/>
              <w:shd w:val="clear"/>
              <w:spacing w:before="0" w:beforeAutospacing="0" w:after="0" w:afterAutospacing="0"/>
              <w:ind w:left="0" w:leftChars="0" w:right="0" w:firstLine="0" w:firstLineChars="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3、护岸维修为零星工程，此工程量为预估，此项按实结算。</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m3</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2"/>
                <w:sz w:val="21"/>
                <w:szCs w:val="21"/>
                <w:highlight w:val="none"/>
                <w:u w:val="none"/>
                <w:lang w:val="en-US" w:eastAsia="zh-CN" w:bidi="ar-SA"/>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土工布</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铺设土工布。</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m2</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4</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护岸块石拆除</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原有破损块石护岸拆除，清理外运。</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5</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混凝土护岸</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C25混凝土人工浇筑，含模板制作安装等相关内容。</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6</w:t>
            </w:r>
          </w:p>
        </w:tc>
        <w:tc>
          <w:tcPr>
            <w:tcW w:w="2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新建压顶</w:t>
            </w:r>
          </w:p>
        </w:tc>
        <w:tc>
          <w:tcPr>
            <w:tcW w:w="3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C25混凝土压顶人工浇筑，厚度为10cm,含模板制作安装等相关内容。</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r>
    </w:tbl>
    <w:p>
      <w:pPr>
        <w:pStyle w:val="16"/>
        <w:numPr>
          <w:ilvl w:val="-1"/>
          <w:numId w:val="0"/>
        </w:numPr>
        <w:shd w:val="clear"/>
        <w:spacing w:before="156" w:beforeLines="50" w:after="156" w:afterLines="50" w:line="400" w:lineRule="exact"/>
        <w:jc w:val="left"/>
        <w:outlineLvl w:val="0"/>
        <w:rPr>
          <w:rFonts w:hint="eastAsia" w:ascii="宋体" w:hAnsi="宋体" w:cs="宋体"/>
          <w:b/>
          <w:bCs/>
          <w:color w:val="auto"/>
          <w:szCs w:val="21"/>
          <w:highlight w:val="none"/>
          <w:lang w:eastAsia="zh-CN"/>
        </w:rPr>
      </w:pPr>
      <w:r>
        <w:rPr>
          <w:rFonts w:hint="eastAsia" w:hAnsi="宋体" w:cs="宋体"/>
          <w:b/>
          <w:bCs/>
          <w:color w:val="auto"/>
          <w:szCs w:val="21"/>
          <w:highlight w:val="none"/>
          <w:lang w:val="en-US" w:eastAsia="zh-CN"/>
        </w:rPr>
        <w:t>1.3</w:t>
      </w:r>
      <w:r>
        <w:rPr>
          <w:rFonts w:hint="eastAsia" w:ascii="宋体" w:hAnsi="宋体" w:cs="宋体"/>
          <w:b/>
          <w:bCs/>
          <w:color w:val="auto"/>
          <w:szCs w:val="21"/>
          <w:highlight w:val="none"/>
          <w:lang w:eastAsia="zh-CN"/>
        </w:rPr>
        <w:t>桐乡河道管理站河道护岸、堤防</w:t>
      </w:r>
      <w:r>
        <w:rPr>
          <w:rFonts w:hint="eastAsia" w:hAnsi="宋体" w:cs="宋体"/>
          <w:b/>
          <w:bCs/>
          <w:color w:val="auto"/>
          <w:szCs w:val="21"/>
          <w:highlight w:val="none"/>
          <w:lang w:val="en-US" w:eastAsia="zh-CN"/>
        </w:rPr>
        <w:t>维修项目</w:t>
      </w:r>
      <w:r>
        <w:rPr>
          <w:rFonts w:hint="eastAsia" w:ascii="宋体" w:hAnsi="宋体" w:eastAsia="宋体" w:cs="宋体"/>
          <w:b/>
          <w:bCs/>
          <w:color w:val="auto"/>
          <w:sz w:val="21"/>
          <w:szCs w:val="21"/>
          <w:highlight w:val="none"/>
          <w:lang w:val="en-US" w:eastAsia="zh-CN"/>
        </w:rPr>
        <w:t>工程量清单</w:t>
      </w:r>
    </w:p>
    <w:tbl>
      <w:tblPr>
        <w:tblStyle w:val="35"/>
        <w:tblW w:w="93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3"/>
        <w:gridCol w:w="2550"/>
        <w:gridCol w:w="3683"/>
        <w:gridCol w:w="1070"/>
        <w:gridCol w:w="1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桐乡河道管理站</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需维修养护的破损堤防，</w:t>
            </w:r>
            <w:r>
              <w:rPr>
                <w:rFonts w:hint="eastAsia" w:asciiTheme="minorEastAsia" w:hAnsiTheme="minorEastAsia" w:eastAsiaTheme="minorEastAsia" w:cstheme="minorEastAsia"/>
                <w:spacing w:val="-2"/>
                <w:sz w:val="21"/>
                <w:szCs w:val="21"/>
                <w:highlight w:val="none"/>
                <w:lang w:val="en-US" w:eastAsia="zh-CN"/>
              </w:rPr>
              <w:t>维修点位分布在河道多个位置。</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土方开挖</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r>
              <w:rPr>
                <w:rFonts w:hint="default" w:ascii="宋体" w:hAnsi="宋体" w:eastAsia="宋体" w:cs="宋体"/>
                <w:i w:val="0"/>
                <w:iCs w:val="0"/>
                <w:color w:val="auto"/>
                <w:sz w:val="21"/>
                <w:szCs w:val="21"/>
                <w:highlight w:val="none"/>
                <w:u w:val="none"/>
                <w:lang w:val="en-US" w:eastAsia="zh-CN"/>
              </w:rPr>
              <w:t>运距：由施工单位自行考虑</w:t>
            </w:r>
            <w:r>
              <w:rPr>
                <w:rFonts w:hint="eastAsia" w:ascii="宋体" w:hAnsi="宋体" w:cs="宋体"/>
                <w:i w:val="0"/>
                <w:iCs w:val="0"/>
                <w:color w:val="auto"/>
                <w:sz w:val="21"/>
                <w:szCs w:val="21"/>
                <w:highlight w:val="none"/>
                <w:u w:val="none"/>
                <w:lang w:val="en-US" w:eastAsia="zh-CN"/>
              </w:rPr>
              <w:t>；</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default" w:ascii="宋体" w:hAnsi="宋体" w:cs="宋体"/>
                <w:i w:val="0"/>
                <w:iCs w:val="0"/>
                <w:color w:val="auto"/>
                <w:sz w:val="21"/>
                <w:szCs w:val="21"/>
                <w:highlight w:val="none"/>
                <w:u w:val="none"/>
                <w:lang w:eastAsia="zh-CN"/>
              </w:rPr>
              <w:t>2</w:t>
            </w:r>
            <w:r>
              <w:rPr>
                <w:rFonts w:hint="eastAsia" w:ascii="宋体" w:hAnsi="宋体" w:eastAsia="宋体" w:cs="宋体"/>
                <w:i w:val="0"/>
                <w:iCs w:val="0"/>
                <w:color w:val="auto"/>
                <w:sz w:val="21"/>
                <w:szCs w:val="21"/>
                <w:highlight w:val="none"/>
                <w:u w:val="none"/>
                <w:lang w:val="en-US" w:eastAsia="zh-CN"/>
              </w:rPr>
              <w:t>.护岸维修为零星工程，此工程量为预估，此项按实结算</w:t>
            </w:r>
            <w:r>
              <w:rPr>
                <w:rFonts w:hint="eastAsia" w:ascii="宋体" w:hAnsi="宋体" w:cs="宋体"/>
                <w:i w:val="0"/>
                <w:iCs w:val="0"/>
                <w:color w:val="auto"/>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土方回填</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1、回填要求原状土回填，土方回填机械夯填，不得有石块、砖块等杂物</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2、土方来源由施工单位自行考虑</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3、护岸维修为零星工程，此工程量为预估，此项按实结算</w:t>
            </w:r>
            <w:r>
              <w:rPr>
                <w:rFonts w:hint="eastAsia" w:ascii="宋体" w:hAnsi="宋体" w:cs="宋体"/>
                <w:i w:val="0"/>
                <w:iCs w:val="0"/>
                <w:color w:val="auto"/>
                <w:kern w:val="0"/>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m3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土工布</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铺设土工布</w:t>
            </w:r>
            <w:r>
              <w:rPr>
                <w:rFonts w:hint="eastAsia" w:ascii="宋体" w:hAnsi="宋体" w:cs="宋体"/>
                <w:i w:val="0"/>
                <w:iCs w:val="0"/>
                <w:color w:val="auto"/>
                <w:kern w:val="0"/>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100</w:t>
            </w:r>
            <w:r>
              <w:rPr>
                <w:rFonts w:hint="eastAsia" w:ascii="宋体" w:hAnsi="宋体" w:eastAsia="宋体" w:cs="宋体"/>
                <w:i w:val="0"/>
                <w:iCs w:val="0"/>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护岸块石拆除</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原有破损块石护岸拆除，清理外运</w:t>
            </w:r>
            <w:r>
              <w:rPr>
                <w:rFonts w:hint="eastAsia" w:ascii="宋体" w:hAnsi="宋体" w:cs="宋体"/>
                <w:i w:val="0"/>
                <w:iCs w:val="0"/>
                <w:color w:val="auto"/>
                <w:kern w:val="0"/>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混凝土护岸</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C25混凝土人工浇筑，含模板制作安装等相关内容</w:t>
            </w:r>
            <w:r>
              <w:rPr>
                <w:rFonts w:hint="eastAsia" w:ascii="宋体" w:hAnsi="宋体" w:cs="宋体"/>
                <w:i w:val="0"/>
                <w:iCs w:val="0"/>
                <w:color w:val="auto"/>
                <w:kern w:val="0"/>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新建压顶</w:t>
            </w:r>
          </w:p>
        </w:tc>
        <w:tc>
          <w:tcPr>
            <w:tcW w:w="3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C25混凝土压顶人工浇筑，厚度为10cm,含模板制作安装等相关内容</w:t>
            </w:r>
            <w:r>
              <w:rPr>
                <w:rFonts w:hint="eastAsia" w:ascii="宋体" w:hAnsi="宋体" w:cs="宋体"/>
                <w:i w:val="0"/>
                <w:iCs w:val="0"/>
                <w:color w:val="auto"/>
                <w:kern w:val="0"/>
                <w:sz w:val="21"/>
                <w:szCs w:val="21"/>
                <w:highlight w:val="none"/>
                <w:u w:val="none"/>
                <w:lang w:val="en-US" w:eastAsia="zh-CN"/>
              </w:rPr>
              <w:t>。</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50</w:t>
            </w:r>
          </w:p>
        </w:tc>
      </w:tr>
    </w:tbl>
    <w:p>
      <w:pPr>
        <w:pStyle w:val="16"/>
        <w:numPr>
          <w:ilvl w:val="-1"/>
          <w:numId w:val="0"/>
        </w:numPr>
        <w:shd w:val="clear"/>
        <w:spacing w:before="156" w:beforeLines="50" w:after="156" w:afterLines="50" w:line="400" w:lineRule="exact"/>
        <w:jc w:val="left"/>
        <w:outlineLvl w:val="0"/>
        <w:rPr>
          <w:rFonts w:hint="default" w:ascii="宋体" w:hAnsi="宋体" w:cs="宋体"/>
          <w:b/>
          <w:bCs/>
          <w:color w:val="auto"/>
          <w:szCs w:val="21"/>
          <w:highlight w:val="none"/>
          <w:lang w:eastAsia="zh-CN"/>
        </w:rPr>
      </w:pPr>
      <w:r>
        <w:rPr>
          <w:rFonts w:hint="eastAsia" w:hAnsi="宋体" w:cs="宋体"/>
          <w:b/>
          <w:bCs/>
          <w:color w:val="auto"/>
          <w:szCs w:val="21"/>
          <w:highlight w:val="none"/>
          <w:lang w:val="en-US" w:eastAsia="zh-CN"/>
        </w:rPr>
        <w:t>1.4</w:t>
      </w:r>
      <w:r>
        <w:rPr>
          <w:rFonts w:hint="eastAsia" w:ascii="宋体" w:hAnsi="宋体" w:cs="宋体"/>
          <w:b/>
          <w:bCs/>
          <w:color w:val="auto"/>
          <w:szCs w:val="21"/>
          <w:highlight w:val="none"/>
          <w:lang w:eastAsia="zh-CN"/>
        </w:rPr>
        <w:t>南台头枢纽河道护岸、堤防</w:t>
      </w:r>
      <w:r>
        <w:rPr>
          <w:rFonts w:hint="eastAsia" w:hAnsi="宋体" w:cs="宋体"/>
          <w:b/>
          <w:bCs/>
          <w:color w:val="auto"/>
          <w:szCs w:val="21"/>
          <w:highlight w:val="none"/>
          <w:lang w:val="en-US" w:eastAsia="zh-CN"/>
        </w:rPr>
        <w:t>维修项目</w:t>
      </w:r>
      <w:r>
        <w:rPr>
          <w:rFonts w:hint="eastAsia" w:ascii="宋体" w:hAnsi="宋体" w:eastAsia="宋体" w:cs="宋体"/>
          <w:b/>
          <w:bCs/>
          <w:color w:val="auto"/>
          <w:sz w:val="21"/>
          <w:szCs w:val="21"/>
          <w:highlight w:val="none"/>
          <w:lang w:val="en-US" w:eastAsia="zh-CN"/>
        </w:rPr>
        <w:t>工程量清单</w:t>
      </w:r>
    </w:p>
    <w:tbl>
      <w:tblPr>
        <w:tblStyle w:val="35"/>
        <w:tblW w:w="9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2518"/>
        <w:gridCol w:w="3686"/>
        <w:gridCol w:w="1071"/>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cs="宋体"/>
                <w:b/>
                <w:bCs/>
                <w:i w:val="0"/>
                <w:iCs w:val="0"/>
                <w:color w:val="auto"/>
                <w:sz w:val="21"/>
                <w:szCs w:val="21"/>
                <w:highlight w:val="none"/>
                <w:u w:val="none"/>
                <w:lang w:val="en-US" w:eastAsia="zh-CN"/>
              </w:rPr>
              <w:t>一</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kern w:val="2"/>
                <w:sz w:val="21"/>
                <w:szCs w:val="21"/>
                <w:highlight w:val="none"/>
                <w:lang w:val="en-US" w:eastAsia="zh-CN" w:bidi="ar-SA"/>
              </w:rPr>
              <w:t>堤防护岸维修</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需维修养护的破损堤防</w:t>
            </w:r>
            <w:r>
              <w:rPr>
                <w:rFonts w:hint="eastAsia" w:ascii="宋体" w:hAnsi="宋体" w:cs="宋体"/>
                <w:b w:val="0"/>
                <w:bCs w:val="0"/>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m</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cs="宋体"/>
                <w:b w:val="0"/>
                <w:bCs w:val="0"/>
                <w:i w:val="0"/>
                <w:iCs w:val="0"/>
                <w:color w:val="auto"/>
                <w:kern w:val="0"/>
                <w:sz w:val="21"/>
                <w:szCs w:val="21"/>
                <w:highlight w:val="none"/>
                <w:u w:val="none"/>
                <w:lang w:val="en-US" w:eastAsia="zh-CN"/>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土方开挖</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r>
              <w:rPr>
                <w:rFonts w:hint="default" w:ascii="宋体" w:hAnsi="宋体" w:eastAsia="宋体" w:cs="宋体"/>
                <w:i w:val="0"/>
                <w:iCs w:val="0"/>
                <w:color w:val="auto"/>
                <w:sz w:val="21"/>
                <w:szCs w:val="21"/>
                <w:highlight w:val="none"/>
                <w:u w:val="none"/>
                <w:lang w:val="en-US" w:eastAsia="zh-CN"/>
              </w:rPr>
              <w:t>.运距：由施工单位自行考虑</w:t>
            </w:r>
            <w:r>
              <w:rPr>
                <w:rFonts w:hint="eastAsia" w:ascii="宋体" w:hAnsi="宋体" w:cs="宋体"/>
                <w:i w:val="0"/>
                <w:iCs w:val="0"/>
                <w:color w:val="auto"/>
                <w:sz w:val="21"/>
                <w:szCs w:val="21"/>
                <w:highlight w:val="none"/>
                <w:u w:val="none"/>
                <w:lang w:val="en-US" w:eastAsia="zh-CN"/>
              </w:rPr>
              <w:t>；</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lang w:val="en-US" w:eastAsia="zh-CN"/>
              </w:rPr>
            </w:pPr>
            <w:r>
              <w:rPr>
                <w:rFonts w:hint="default" w:ascii="宋体" w:hAnsi="宋体" w:cs="宋体"/>
                <w:i w:val="0"/>
                <w:iCs w:val="0"/>
                <w:color w:val="auto"/>
                <w:sz w:val="21"/>
                <w:szCs w:val="21"/>
                <w:highlight w:val="none"/>
                <w:u w:val="none"/>
                <w:lang w:eastAsia="zh-CN"/>
              </w:rPr>
              <w:t>2</w:t>
            </w:r>
            <w:r>
              <w:rPr>
                <w:rFonts w:hint="eastAsia" w:ascii="宋体" w:hAnsi="宋体" w:eastAsia="宋体" w:cs="宋体"/>
                <w:i w:val="0"/>
                <w:iCs w:val="0"/>
                <w:color w:val="auto"/>
                <w:sz w:val="21"/>
                <w:szCs w:val="21"/>
                <w:highlight w:val="none"/>
                <w:u w:val="none"/>
                <w:lang w:val="en-US" w:eastAsia="zh-CN"/>
              </w:rPr>
              <w:t>.护岸维修为零星工程，此工程量为预估，此项按实结算</w:t>
            </w:r>
            <w:r>
              <w:rPr>
                <w:rFonts w:hint="eastAsia" w:ascii="宋体" w:hAnsi="宋体" w:cs="宋体"/>
                <w:i w:val="0"/>
                <w:iCs w:val="0"/>
                <w:color w:val="auto"/>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m3</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土方回填</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1、回填要求原状土回填，土方回填机械夯填，不得有石块、砖块等杂物</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2、土方来源由施工单位自行考虑</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3、护岸维修为零星工程，此工程量为预估，此项按实结算</w:t>
            </w:r>
            <w:r>
              <w:rPr>
                <w:rFonts w:hint="eastAsia" w:ascii="宋体" w:hAnsi="宋体" w:cs="宋体"/>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m3</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土工布</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铺设土工布</w:t>
            </w:r>
            <w:r>
              <w:rPr>
                <w:rFonts w:hint="eastAsia" w:ascii="宋体" w:hAnsi="宋体" w:cs="宋体"/>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90</w:t>
            </w:r>
            <w:r>
              <w:rPr>
                <w:rFonts w:hint="eastAsia" w:ascii="宋体" w:hAnsi="宋体" w:eastAsia="宋体" w:cs="宋体"/>
                <w:i w:val="0"/>
                <w:iCs w:val="0"/>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护岸块石拆除</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原有破损块石护岸拆除，清理外运</w:t>
            </w:r>
            <w:r>
              <w:rPr>
                <w:rFonts w:hint="eastAsia" w:ascii="宋体" w:hAnsi="宋体" w:cs="宋体"/>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混凝土护岸</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C25混凝土人工浇筑，含模板制作安装等相关内容</w:t>
            </w:r>
            <w:r>
              <w:rPr>
                <w:rFonts w:hint="eastAsia" w:ascii="宋体" w:hAnsi="宋体" w:cs="宋体"/>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55</w:t>
            </w:r>
            <w:r>
              <w:rPr>
                <w:rFonts w:hint="eastAsia" w:ascii="宋体" w:hAnsi="宋体" w:eastAsia="宋体" w:cs="宋体"/>
                <w:i w:val="0"/>
                <w:iCs w:val="0"/>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新建压顶</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rPr>
              <w:t>C25混凝土压顶人工浇筑，厚度为10cm,含模板制作安装等相关内容</w:t>
            </w:r>
            <w:r>
              <w:rPr>
                <w:rFonts w:hint="eastAsia" w:ascii="宋体" w:hAnsi="宋体" w:cs="宋体"/>
                <w:i w:val="0"/>
                <w:iCs w:val="0"/>
                <w:color w:val="auto"/>
                <w:kern w:val="0"/>
                <w:sz w:val="21"/>
                <w:szCs w:val="21"/>
                <w:highlight w:val="none"/>
                <w:u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55</w:t>
            </w:r>
            <w:r>
              <w:rPr>
                <w:rFonts w:hint="eastAsia" w:ascii="宋体" w:hAnsi="宋体" w:eastAsia="宋体" w:cs="宋体"/>
                <w:i w:val="0"/>
                <w:iCs w:val="0"/>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cs="宋体"/>
                <w:i w:val="0"/>
                <w:iCs w:val="0"/>
                <w:color w:val="auto"/>
                <w:sz w:val="21"/>
                <w:szCs w:val="21"/>
                <w:highlight w:val="none"/>
                <w:u w:val="none"/>
                <w:lang w:val="en-US" w:eastAsia="zh-CN"/>
              </w:rPr>
            </w:pPr>
            <w:r>
              <w:rPr>
                <w:rFonts w:hint="eastAsia" w:ascii="宋体" w:hAnsi="宋体" w:cs="宋体"/>
                <w:color w:val="auto"/>
                <w:sz w:val="24"/>
                <w:szCs w:val="24"/>
                <w:highlight w:val="none"/>
                <w:lang w:eastAsia="zh-CN"/>
              </w:rPr>
              <w:t>二</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b/>
                <w:bCs/>
                <w:color w:val="auto"/>
                <w:kern w:val="2"/>
                <w:sz w:val="21"/>
                <w:szCs w:val="21"/>
                <w:highlight w:val="none"/>
                <w:lang w:val="en-US" w:eastAsia="zh-CN" w:bidi="ar-SA"/>
              </w:rPr>
              <w:t>河道清障</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1、位置：彭城港大横港、盐嘉塘、海盐塘北段（海盐段）、长山河（海盐段）、袁花支河（海盐段），总长度53公里。                    </w:t>
            </w:r>
          </w:p>
          <w:p>
            <w:pPr>
              <w:keepNext w:val="0"/>
              <w:keepLines w:val="0"/>
              <w:widowControl/>
              <w:numPr>
                <w:ilvl w:val="0"/>
                <w:numId w:val="0"/>
              </w:numPr>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2、对五段河道进行清障处置，包括管理范围弃土、垃圾等其他影响河道工程安全的物体。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left"/>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3、清障量不少于500</w:t>
            </w:r>
            <w:r>
              <w:rPr>
                <w:rFonts w:hint="eastAsia" w:asciiTheme="minorEastAsia" w:hAnsiTheme="minorEastAsia" w:eastAsiaTheme="minorEastAsia" w:cstheme="minorEastAsia"/>
                <w:i w:val="0"/>
                <w:iCs w:val="0"/>
                <w:color w:val="auto"/>
                <w:kern w:val="0"/>
                <w:sz w:val="21"/>
                <w:szCs w:val="21"/>
                <w:highlight w:val="none"/>
                <w:u w:val="none"/>
                <w:lang w:val="en-US" w:eastAsia="zh-CN"/>
              </w:rPr>
              <w:t>m3，清障物需合法处置。</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r>
    </w:tbl>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tbl>
      <w:tblPr>
        <w:tblStyle w:val="3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5756"/>
        <w:gridCol w:w="789"/>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779"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color w:val="auto"/>
                <w:szCs w:val="21"/>
                <w:highlight w:val="none"/>
              </w:rPr>
            </w:pPr>
            <w:r>
              <w:rPr>
                <w:rFonts w:hint="eastAsia" w:ascii="宋体" w:hAnsi="宋体" w:eastAsia="宋体" w:cs="宋体"/>
                <w:b/>
                <w:bCs/>
                <w:color w:val="auto"/>
                <w:kern w:val="0"/>
                <w:szCs w:val="21"/>
                <w:highlight w:val="none"/>
                <w:lang w:val="en-US" w:eastAsia="zh-CN"/>
              </w:rPr>
              <w:t>标项</w:t>
            </w:r>
          </w:p>
        </w:tc>
        <w:tc>
          <w:tcPr>
            <w:tcW w:w="5756"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color w:val="auto"/>
                <w:szCs w:val="21"/>
                <w:highlight w:val="none"/>
              </w:rPr>
            </w:pPr>
            <w:r>
              <w:rPr>
                <w:rFonts w:hint="eastAsia" w:ascii="宋体" w:hAnsi="宋体" w:eastAsia="宋体" w:cs="宋体"/>
                <w:b/>
                <w:bCs/>
                <w:color w:val="auto"/>
                <w:kern w:val="0"/>
                <w:szCs w:val="21"/>
                <w:highlight w:val="none"/>
                <w:lang w:val="en-US" w:eastAsia="zh-CN"/>
              </w:rPr>
              <w:t>标项</w:t>
            </w:r>
            <w:r>
              <w:rPr>
                <w:rFonts w:hint="eastAsia" w:ascii="宋体" w:hAnsi="宋体" w:eastAsia="宋体" w:cs="宋体"/>
                <w:b/>
                <w:bCs/>
                <w:color w:val="auto"/>
                <w:kern w:val="0"/>
                <w:szCs w:val="21"/>
                <w:highlight w:val="none"/>
              </w:rPr>
              <w:t>名称</w:t>
            </w:r>
          </w:p>
        </w:tc>
        <w:tc>
          <w:tcPr>
            <w:tcW w:w="789"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数量</w:t>
            </w:r>
          </w:p>
        </w:tc>
        <w:tc>
          <w:tcPr>
            <w:tcW w:w="1514" w:type="dxa"/>
            <w:vAlign w:val="center"/>
          </w:tcPr>
          <w:p>
            <w:pPr>
              <w:keepNext w:val="0"/>
              <w:keepLines w:val="0"/>
              <w:widowControl/>
              <w:suppressLineNumbers w:val="0"/>
              <w:shd w:val="clear"/>
              <w:wordWrap w:val="0"/>
              <w:spacing w:before="0" w:beforeAutospacing="0" w:after="0" w:afterAutospacing="0" w:line="240" w:lineRule="auto"/>
              <w:ind w:left="0" w:right="0"/>
              <w:jc w:val="center"/>
              <w:rPr>
                <w:rFonts w:hint="eastAsia" w:ascii="宋体" w:hAnsi="宋体" w:cs="宋体"/>
                <w:b/>
                <w:bCs/>
                <w:color w:val="auto"/>
                <w:szCs w:val="21"/>
                <w:highlight w:val="none"/>
              </w:rPr>
            </w:pPr>
            <w:r>
              <w:rPr>
                <w:rFonts w:hint="eastAsia" w:ascii="宋体" w:hAnsi="宋体" w:eastAsia="宋体" w:cs="宋体"/>
                <w:b/>
                <w:bCs/>
                <w:color w:val="auto"/>
                <w:kern w:val="0"/>
                <w:szCs w:val="21"/>
                <w:highlight w:val="none"/>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val="en-US" w:eastAsia="zh-CN"/>
              </w:rPr>
              <w:t>二</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eastAsia="zh-CN"/>
              </w:rPr>
            </w:pPr>
            <w:r>
              <w:rPr>
                <w:rFonts w:hint="eastAsia" w:ascii="宋体" w:hAnsi="宋体" w:cs="宋体"/>
                <w:color w:val="auto"/>
                <w:sz w:val="21"/>
                <w:szCs w:val="21"/>
                <w:highlight w:val="none"/>
                <w:lang w:eastAsia="zh-CN"/>
              </w:rPr>
              <w:t>2024年南排工程一次性项目</w:t>
            </w:r>
          </w:p>
        </w:tc>
        <w:tc>
          <w:tcPr>
            <w:tcW w:w="789" w:type="dxa"/>
            <w:vMerge w:val="restart"/>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514" w:type="dxa"/>
            <w:vAlign w:val="center"/>
          </w:tcPr>
          <w:p>
            <w:pPr>
              <w:keepNext w:val="0"/>
              <w:keepLines w:val="0"/>
              <w:suppressLineNumbers w:val="0"/>
              <w:shd w:val="clear"/>
              <w:snapToGrid w:val="0"/>
              <w:spacing w:before="0" w:beforeAutospacing="0" w:after="0" w:afterAutospacing="0"/>
              <w:ind w:left="0" w:right="0"/>
              <w:jc w:val="center"/>
              <w:rPr>
                <w:rFonts w:hint="default" w:ascii="宋体" w:hAnsi="宋体" w:cs="宋体"/>
                <w:bCs/>
                <w:color w:val="auto"/>
                <w:szCs w:val="21"/>
                <w:highlight w:val="none"/>
                <w:lang w:val="en-US"/>
              </w:rPr>
            </w:pPr>
            <w:r>
              <w:rPr>
                <w:rFonts w:hint="eastAsia" w:ascii="宋体" w:hAnsi="宋体" w:cs="宋体"/>
                <w:color w:val="auto"/>
                <w:sz w:val="21"/>
                <w:szCs w:val="21"/>
                <w:highlight w:val="none"/>
                <w:lang w:val="en-US" w:eastAsia="zh-CN"/>
              </w:rPr>
              <w:t>2059300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2.1</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bCs/>
                <w:color w:val="auto"/>
                <w:szCs w:val="21"/>
                <w:highlight w:val="none"/>
                <w:lang w:val="en-US"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2.1.1</w:t>
            </w:r>
          </w:p>
        </w:tc>
        <w:tc>
          <w:tcPr>
            <w:tcW w:w="5756"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主厂房电缆层漏水处理项目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bCs/>
                <w:color w:val="auto"/>
                <w:szCs w:val="21"/>
                <w:highlight w:val="none"/>
                <w:lang w:val="en-US"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2.1.2</w:t>
            </w:r>
          </w:p>
        </w:tc>
        <w:tc>
          <w:tcPr>
            <w:tcW w:w="5756"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盐官泵站事故闸止水、滑块、紧固件更换项目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bCs/>
                <w:color w:val="auto"/>
                <w:szCs w:val="21"/>
                <w:highlight w:val="none"/>
                <w:lang w:val="en-US"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2.2</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color w:val="auto"/>
                <w:szCs w:val="21"/>
                <w:highlight w:val="none"/>
                <w:lang w:val="en-US" w:eastAsia="zh-CN"/>
              </w:rPr>
              <w:t>146000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2.3</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color w:val="auto"/>
                <w:szCs w:val="21"/>
                <w:highlight w:val="none"/>
                <w:lang w:val="en-US" w:eastAsia="zh-CN"/>
              </w:rPr>
              <w:t>807000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9"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2.4</w:t>
            </w:r>
          </w:p>
        </w:tc>
        <w:tc>
          <w:tcPr>
            <w:tcW w:w="5756" w:type="dxa"/>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default"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9"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bookmarkStart w:id="164" w:name="_Toc1460"/>
            <w:bookmarkStart w:id="165" w:name="_Toc6777"/>
            <w:bookmarkStart w:id="166" w:name="_Toc13650"/>
            <w:bookmarkStart w:id="167" w:name="_Toc30710"/>
            <w:bookmarkStart w:id="168" w:name="_Toc710"/>
            <w:bookmarkStart w:id="169" w:name="_Toc9383"/>
            <w:bookmarkStart w:id="170" w:name="_Toc29753"/>
            <w:r>
              <w:rPr>
                <w:rFonts w:hint="eastAsia" w:ascii="宋体" w:hAnsi="宋体" w:cs="宋体"/>
                <w:bCs/>
                <w:color w:val="auto"/>
                <w:szCs w:val="21"/>
                <w:highlight w:val="none"/>
                <w:lang w:val="en-US" w:eastAsia="zh-CN"/>
              </w:rPr>
              <w:t>2.4.1</w:t>
            </w:r>
          </w:p>
        </w:tc>
        <w:tc>
          <w:tcPr>
            <w:tcW w:w="5756"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南台头闸内河侧闸门防腐及止水装置更换项目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9"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2.4.2</w:t>
            </w:r>
          </w:p>
        </w:tc>
        <w:tc>
          <w:tcPr>
            <w:tcW w:w="5756"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泵站门机、油缸及起重设备金属防腐项目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9"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2.4.3</w:t>
            </w:r>
          </w:p>
        </w:tc>
        <w:tc>
          <w:tcPr>
            <w:tcW w:w="5756"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泵站工作（事故）闸门行程改造项目</w:t>
            </w:r>
          </w:p>
        </w:tc>
        <w:tc>
          <w:tcPr>
            <w:tcW w:w="789" w:type="dxa"/>
            <w:vMerge w:val="continue"/>
            <w:vAlign w:val="center"/>
          </w:tcPr>
          <w:p>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eastAsia="zh-CN"/>
              </w:rPr>
            </w:pPr>
          </w:p>
        </w:tc>
        <w:tc>
          <w:tcPr>
            <w:tcW w:w="1514" w:type="dxa"/>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70000</w:t>
            </w:r>
          </w:p>
        </w:tc>
      </w:tr>
    </w:tbl>
    <w:p>
      <w:pPr>
        <w:pStyle w:val="16"/>
        <w:shd w:val="clear"/>
        <w:spacing w:before="156" w:beforeLines="50" w:after="156" w:afterLines="50" w:line="400" w:lineRule="exact"/>
        <w:jc w:val="center"/>
        <w:outlineLvl w:val="0"/>
        <w:rPr>
          <w:rFonts w:hint="default" w:hAnsi="宋体" w:cs="宋体"/>
          <w:b/>
          <w:bCs/>
          <w:color w:val="auto"/>
          <w:sz w:val="21"/>
          <w:szCs w:val="21"/>
          <w:highlight w:val="none"/>
          <w:lang w:val="en-US" w:eastAsia="zh-CN"/>
        </w:rPr>
      </w:pPr>
    </w:p>
    <w:p>
      <w:pPr>
        <w:numPr>
          <w:ilvl w:val="0"/>
          <w:numId w:val="0"/>
        </w:numPr>
        <w:shd w:val="clea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2.1盐官枢纽一次性项目</w:t>
      </w:r>
    </w:p>
    <w:p>
      <w:pPr>
        <w:numPr>
          <w:ilvl w:val="0"/>
          <w:numId w:val="0"/>
        </w:numPr>
        <w:shd w:val="clear"/>
        <w:rPr>
          <w:rFonts w:hint="eastAsia" w:ascii="宋体" w:hAnsi="宋体" w:eastAsia="宋体" w:cs="宋体"/>
          <w:b/>
          <w:bCs/>
          <w:color w:val="auto"/>
          <w:sz w:val="21"/>
          <w:szCs w:val="21"/>
          <w:highlight w:val="none"/>
          <w:lang w:val="en-US" w:eastAsia="zh-CN"/>
        </w:rPr>
      </w:pPr>
    </w:p>
    <w:p>
      <w:pPr>
        <w:numPr>
          <w:ilvl w:val="0"/>
          <w:numId w:val="0"/>
        </w:numPr>
        <w:shd w:val="clea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2.1.1主厂房电缆层漏水处理</w:t>
      </w:r>
      <w:r>
        <w:rPr>
          <w:rFonts w:hint="eastAsia" w:ascii="宋体" w:hAnsi="宋体" w:cs="宋体"/>
          <w:b/>
          <w:bCs/>
          <w:color w:val="auto"/>
          <w:sz w:val="21"/>
          <w:szCs w:val="21"/>
          <w:highlight w:val="none"/>
          <w:lang w:val="en-US" w:eastAsia="zh-CN"/>
        </w:rPr>
        <w:t>项目</w:t>
      </w:r>
    </w:p>
    <w:p>
      <w:pPr>
        <w:numPr>
          <w:ilvl w:val="0"/>
          <w:numId w:val="0"/>
        </w:numPr>
        <w:shd w:val="clear"/>
        <w:rPr>
          <w:rFonts w:hint="eastAsia" w:ascii="宋体" w:hAnsi="宋体" w:eastAsia="宋体" w:cs="宋体"/>
          <w:b/>
          <w:bCs/>
          <w:color w:val="auto"/>
          <w:sz w:val="21"/>
          <w:szCs w:val="21"/>
          <w:highlight w:val="none"/>
          <w:lang w:val="en-US" w:eastAsia="zh-CN"/>
        </w:rPr>
      </w:pPr>
    </w:p>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lang w:val="en-US" w:eastAsia="zh-CN"/>
        </w:rPr>
        <w:t>一、项目</w:t>
      </w:r>
      <w:r>
        <w:rPr>
          <w:rFonts w:hint="eastAsia" w:asciiTheme="minorEastAsia" w:hAnsiTheme="minorEastAsia" w:eastAsiaTheme="minorEastAsia" w:cstheme="minorEastAsia"/>
          <w:kern w:val="0"/>
          <w:sz w:val="21"/>
          <w:szCs w:val="21"/>
          <w:highlight w:val="none"/>
          <w:lang w:eastAsia="zh-CN"/>
        </w:rPr>
        <w:t>概况</w:t>
      </w:r>
    </w:p>
    <w:p>
      <w:pPr>
        <w:keepNext w:val="0"/>
        <w:keepLines w:val="0"/>
        <w:widowControl/>
        <w:suppressLineNumbers w:val="0"/>
        <w:shd w:val="clear"/>
        <w:ind w:firstLine="420" w:firstLineChars="200"/>
        <w:jc w:val="left"/>
        <w:rPr>
          <w:highlight w:val="none"/>
        </w:rPr>
      </w:pPr>
      <w:r>
        <w:rPr>
          <w:rFonts w:hint="eastAsia" w:asciiTheme="minorEastAsia" w:hAnsiTheme="minorEastAsia" w:eastAsiaTheme="minorEastAsia" w:cstheme="minorEastAsia"/>
          <w:kern w:val="0"/>
          <w:sz w:val="21"/>
          <w:szCs w:val="21"/>
          <w:highlight w:val="none"/>
          <w:lang w:eastAsia="zh-CN"/>
        </w:rPr>
        <w:t>盐官泵站</w:t>
      </w:r>
      <w:r>
        <w:rPr>
          <w:rFonts w:hint="eastAsia" w:asciiTheme="minorEastAsia" w:hAnsiTheme="minorEastAsia" w:eastAsiaTheme="minorEastAsia" w:cstheme="minorEastAsia"/>
          <w:kern w:val="0"/>
          <w:sz w:val="21"/>
          <w:szCs w:val="21"/>
          <w:highlight w:val="none"/>
          <w:lang w:val="en-US" w:eastAsia="zh-CN"/>
        </w:rPr>
        <w:t>主厂房站身宽50.29m，分为两块底板，每2台机组共用一块底板。主厂房从下到上可分为底板层（排水层）、流道层（水泵层）、电机层和地面层（检修层）、屋面层。主厂房跨度19.7m，从屋面至底板共高31.2m。本项目漏水处理所涉电机层0.96高程（黄海），</w:t>
      </w:r>
      <w:r>
        <w:rPr>
          <w:rFonts w:hint="eastAsia" w:asciiTheme="minorEastAsia" w:hAnsiTheme="minorEastAsia" w:eastAsiaTheme="minorEastAsia" w:cstheme="minorEastAsia"/>
          <w:kern w:val="0"/>
          <w:sz w:val="21"/>
          <w:szCs w:val="21"/>
          <w:highlight w:val="none"/>
          <w:lang w:eastAsia="zh-CN"/>
        </w:rPr>
        <w:t>墙体有局部渗水、漏水，进行埋管封缝，化学灌浆处理。</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eastAsia="zh-CN"/>
        </w:rPr>
      </w:pPr>
    </w:p>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二、</w:t>
      </w:r>
      <w:r>
        <w:rPr>
          <w:rFonts w:hint="eastAsia" w:asciiTheme="minorEastAsia" w:hAnsiTheme="minorEastAsia" w:eastAsiaTheme="minorEastAsia" w:cstheme="minorEastAsia"/>
          <w:sz w:val="21"/>
          <w:szCs w:val="21"/>
          <w:highlight w:val="none"/>
          <w:lang w:eastAsia="zh-CN"/>
        </w:rPr>
        <w:t>技术要求</w:t>
      </w:r>
      <w:r>
        <w:rPr>
          <w:rFonts w:hint="eastAsia" w:asciiTheme="minorEastAsia" w:hAnsiTheme="minorEastAsia" w:eastAsiaTheme="minorEastAsia" w:cstheme="minorEastAsia"/>
          <w:sz w:val="21"/>
          <w:szCs w:val="21"/>
          <w:highlight w:val="none"/>
          <w:lang w:val="en-US" w:eastAsia="zh-CN"/>
        </w:rPr>
        <w:t>及</w:t>
      </w:r>
      <w:r>
        <w:rPr>
          <w:rFonts w:hint="eastAsia" w:asciiTheme="minorEastAsia" w:hAnsiTheme="minorEastAsia" w:eastAsiaTheme="minorEastAsia" w:cstheme="minorEastAsia"/>
          <w:kern w:val="0"/>
          <w:sz w:val="21"/>
          <w:szCs w:val="21"/>
          <w:highlight w:val="none"/>
          <w:lang w:val="en-US" w:eastAsia="zh-CN"/>
        </w:rPr>
        <w:t>工程量清单</w:t>
      </w:r>
    </w:p>
    <w:tbl>
      <w:tblPr>
        <w:tblStyle w:val="35"/>
        <w:tblpPr w:leftFromText="180" w:rightFromText="180" w:vertAnchor="text" w:horzAnchor="page" w:tblpXSpec="center" w:tblpY="278"/>
        <w:tblOverlap w:val="never"/>
        <w:tblW w:w="93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6"/>
        <w:gridCol w:w="2518"/>
        <w:gridCol w:w="3739"/>
        <w:gridCol w:w="1072"/>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项目名称</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项目主要特征</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计量单位</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eastAsia="zh-CN"/>
              </w:rPr>
              <w:t>检查</w:t>
            </w:r>
            <w:r>
              <w:rPr>
                <w:rFonts w:hint="eastAsia" w:asciiTheme="minorEastAsia" w:hAnsiTheme="minorEastAsia" w:eastAsiaTheme="minorEastAsia" w:cstheme="minorEastAsia"/>
                <w:kern w:val="0"/>
                <w:sz w:val="21"/>
                <w:szCs w:val="21"/>
                <w:highlight w:val="none"/>
              </w:rPr>
              <w:t>渗漏水</w:t>
            </w:r>
            <w:r>
              <w:rPr>
                <w:rFonts w:hint="eastAsia" w:asciiTheme="minorEastAsia" w:hAnsiTheme="minorEastAsia" w:eastAsiaTheme="minorEastAsia" w:cstheme="minorEastAsia"/>
                <w:kern w:val="0"/>
                <w:sz w:val="21"/>
                <w:szCs w:val="21"/>
                <w:highlight w:val="none"/>
                <w:lang w:eastAsia="zh-CN"/>
              </w:rPr>
              <w:t>情况</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混凝土整体基面打凿，寻找裂缝及大出水点。裂缝处理前，先检查裂缝高程位置、形状、走向、缝长、渗漏水情况。</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7"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rPr>
              <w:t>钻孔</w:t>
            </w:r>
            <w:r>
              <w:rPr>
                <w:rFonts w:hint="eastAsia" w:asciiTheme="minorEastAsia" w:hAnsiTheme="minorEastAsia" w:eastAsiaTheme="minorEastAsia" w:cstheme="minorEastAsia"/>
                <w:kern w:val="0"/>
                <w:sz w:val="21"/>
                <w:szCs w:val="21"/>
                <w:highlight w:val="none"/>
                <w:lang w:eastAsia="zh-CN"/>
              </w:rPr>
              <w:t>、</w:t>
            </w:r>
            <w:r>
              <w:rPr>
                <w:rFonts w:hint="eastAsia" w:asciiTheme="minorEastAsia" w:hAnsiTheme="minorEastAsia" w:eastAsiaTheme="minorEastAsia" w:cstheme="minorEastAsia"/>
                <w:kern w:val="0"/>
                <w:sz w:val="21"/>
                <w:szCs w:val="21"/>
                <w:highlight w:val="none"/>
              </w:rPr>
              <w:t>埋管封缝</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rPr>
              <w:t>沿缝侧布置穿缝斜孔，孔间距30～50cm，孔深确保穿缝；沿缝布置适量骑缝孔，间距80～100cm。埋设灌浆管，同时采用快速封堵材料临时封堵漏水缝面，缝口留适量骑缝引水管</w:t>
            </w:r>
            <w:r>
              <w:rPr>
                <w:rFonts w:hint="eastAsia" w:asciiTheme="minorEastAsia" w:hAnsiTheme="minorEastAsia" w:eastAsiaTheme="minorEastAsia" w:cstheme="minorEastAsia"/>
                <w:kern w:val="0"/>
                <w:sz w:val="21"/>
                <w:szCs w:val="21"/>
                <w:highlight w:val="none"/>
                <w:lang w:eastAsia="zh-CN"/>
              </w:rPr>
              <w:t>。</w:t>
            </w:r>
          </w:p>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Theme="minorEastAsia" w:hAnsiTheme="minorEastAsia" w:eastAsiaTheme="minorEastAsia" w:cstheme="minorEastAsia"/>
                <w:kern w:val="0"/>
                <w:sz w:val="21"/>
                <w:szCs w:val="21"/>
                <w:highlight w:val="none"/>
              </w:rPr>
            </w:pPr>
          </w:p>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Theme="minorEastAsia" w:hAnsiTheme="minorEastAsia" w:eastAsiaTheme="minorEastAsia" w:cstheme="minorEastAsia"/>
                <w:kern w:val="0"/>
                <w:sz w:val="21"/>
                <w:szCs w:val="21"/>
                <w:highlight w:val="none"/>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m</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灌浆</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sz w:val="21"/>
                <w:szCs w:val="21"/>
                <w:highlight w:val="none"/>
              </w:rPr>
              <w:t>用配制好的LW/HW水溶性聚氨酯灌浆材料进行纯压式化学灌浆，灌浆压力0.5MPa。</w:t>
            </w:r>
            <w:r>
              <w:rPr>
                <w:rFonts w:hint="eastAsia" w:asciiTheme="minorEastAsia" w:hAnsiTheme="minorEastAsia" w:eastAsiaTheme="minorEastAsia" w:cstheme="minorEastAsia"/>
                <w:kern w:val="0"/>
                <w:sz w:val="21"/>
                <w:szCs w:val="21"/>
                <w:highlight w:val="none"/>
              </w:rPr>
              <w:t>对骑缝引水管进行补灌，彻底封堵漏水。</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m</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val="en-US" w:eastAsia="zh-CN"/>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LW/HW混合浆液（7:3）</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sz w:val="21"/>
                <w:szCs w:val="21"/>
                <w:highlight w:val="none"/>
              </w:rPr>
              <w:t>灌注聚氨酯灌浆材料，配比LW：HW=7:3</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Kg</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2"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EQ环氧胶泥</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按产品配比配制EQ环氧胶泥，并搅拌均匀待用；在清理干净并干燥的基面上均匀刮涂配制好的环氧胶泥，刮涂厚度1mm，宽度15～20cm。缝面满刮环氧胶泥，含缝面打磨找平，宽度20cm，厚度3mm。</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m</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2"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val="en-US" w:eastAsia="zh-CN"/>
              </w:rPr>
              <w:t>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引排管安装</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缝面预埋PVC管，HK-8505聚氨酯密封胶固定</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m</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val="en-US" w:eastAsia="zh-CN"/>
              </w:rPr>
              <w:t>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墙面渗漏处理</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止水针头灌注聚氨酯灌浆材料，墙面清理，聚合物砂浆封面。</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val="en-US" w:eastAsia="zh-CN"/>
              </w:rPr>
              <w:t>8</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措施费</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障碍物拆除及恢复</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9</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材料设备运输费</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材料设备进场运输费用</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kern w:val="0"/>
                <w:sz w:val="21"/>
                <w:szCs w:val="21"/>
                <w:highlight w:val="none"/>
                <w:lang w:eastAsia="zh-CN"/>
              </w:rPr>
              <w:t>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exact"/>
          <w:jc w:val="center"/>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10</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1"/>
                <w:szCs w:val="21"/>
                <w:highlight w:val="none"/>
                <w:u w:val="none"/>
                <w:lang w:eastAsia="zh-CN"/>
              </w:rPr>
            </w:pPr>
            <w:r>
              <w:rPr>
                <w:rFonts w:hint="eastAsia" w:asciiTheme="minorEastAsia" w:hAnsiTheme="minorEastAsia" w:eastAsiaTheme="minorEastAsia" w:cstheme="minorEastAsia"/>
                <w:kern w:val="0"/>
                <w:sz w:val="21"/>
                <w:szCs w:val="21"/>
                <w:highlight w:val="none"/>
                <w:lang w:eastAsia="zh-CN"/>
              </w:rPr>
              <w:t>场地清理</w:t>
            </w:r>
          </w:p>
        </w:tc>
        <w:tc>
          <w:tcPr>
            <w:tcW w:w="3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现场施工产生的相关垃圾进行清理及运出</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项</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kern w:val="0"/>
                <w:sz w:val="21"/>
                <w:szCs w:val="21"/>
                <w:highlight w:val="none"/>
              </w:rPr>
              <w:t>1</w:t>
            </w:r>
          </w:p>
        </w:tc>
      </w:tr>
    </w:tbl>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val="en-US" w:eastAsia="zh-CN"/>
        </w:rPr>
      </w:pPr>
    </w:p>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三、质量目标：</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1、渗漏水处理的技术要求遵照《地下工程防水技术规范》GB50108-2008 执行。</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2、防治效果及验收遵照《建筑工程施工质量验收统一标准》GB50300-2013及《水工混凝土建筑物修补加固技术规程》DL/T5315-2014标准。</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3、施工期间不得损坏原有的设施设备，须采取保护措施。如对电缆桥架及水管的保护。</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4、施工期间，无条件服从防汛排涝调度，不得影响闸门防汛排涝的正常运行，由此产生的费用由供应商自行承担。</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5、质保年限:结构缝及墙面防水1年。</w:t>
      </w:r>
    </w:p>
    <w:p>
      <w:pPr>
        <w:widowControl/>
        <w:shd w:val="clear"/>
        <w:spacing w:line="360" w:lineRule="auto"/>
        <w:ind w:firstLine="420" w:firstLineChars="200"/>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6、处理完成后，结构缝缝面及墙面无明显渗水，引排管排水通畅，无积水。</w:t>
      </w:r>
    </w:p>
    <w:p>
      <w:pPr>
        <w:shd w:val="clear"/>
        <w:spacing w:line="360" w:lineRule="auto"/>
        <w:jc w:val="center"/>
        <w:rPr>
          <w:rFonts w:hint="eastAsia" w:ascii="宋体" w:hAnsi="宋体" w:eastAsia="宋体" w:cs="宋体"/>
          <w:color w:val="auto"/>
          <w:highlight w:val="none"/>
          <w:lang w:val="en-US" w:eastAsia="zh-CN"/>
        </w:rPr>
      </w:pPr>
    </w:p>
    <w:p>
      <w:pPr>
        <w:shd w:val="clear"/>
        <w:spacing w:line="360" w:lineRule="auto"/>
        <w:jc w:val="both"/>
        <w:rPr>
          <w:rFonts w:hint="eastAsia" w:ascii="宋体" w:hAnsi="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2.1.2盐官泵站事故闸止水、滑块、紧固件更换</w:t>
      </w:r>
      <w:r>
        <w:rPr>
          <w:rFonts w:hint="eastAsia" w:ascii="宋体" w:hAnsi="宋体" w:cs="宋体"/>
          <w:b/>
          <w:bCs/>
          <w:color w:val="auto"/>
          <w:sz w:val="21"/>
          <w:szCs w:val="21"/>
          <w:highlight w:val="none"/>
          <w:lang w:val="en-US" w:eastAsia="zh-CN"/>
        </w:rPr>
        <w:t>项目</w:t>
      </w:r>
    </w:p>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eastAsia="zh-CN"/>
        </w:rPr>
      </w:pPr>
      <w:r>
        <w:rPr>
          <w:rFonts w:hint="eastAsia" w:asciiTheme="minorEastAsia" w:hAnsiTheme="minorEastAsia" w:eastAsiaTheme="minorEastAsia" w:cstheme="minorEastAsia"/>
          <w:sz w:val="21"/>
          <w:szCs w:val="21"/>
          <w:highlight w:val="none"/>
          <w:lang w:eastAsia="zh-CN"/>
        </w:rPr>
        <w:t>一、项目</w:t>
      </w:r>
      <w:r>
        <w:rPr>
          <w:rFonts w:hint="eastAsia" w:asciiTheme="minorEastAsia" w:hAnsiTheme="minorEastAsia" w:eastAsiaTheme="minorEastAsia" w:cstheme="minorEastAsia"/>
          <w:kern w:val="0"/>
          <w:sz w:val="21"/>
          <w:szCs w:val="21"/>
          <w:highlight w:val="none"/>
          <w:lang w:eastAsia="zh-CN"/>
        </w:rPr>
        <w:t>概况</w:t>
      </w:r>
    </w:p>
    <w:p>
      <w:pPr>
        <w:widowControl/>
        <w:shd w:val="clear"/>
        <w:spacing w:line="360" w:lineRule="auto"/>
        <w:ind w:firstLine="420" w:firstLineChars="200"/>
        <w:jc w:val="left"/>
        <w:textAlignment w:val="center"/>
        <w:rPr>
          <w:rFonts w:hint="default"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eastAsia="zh-CN"/>
        </w:rPr>
        <w:t>盐官泵站安装3650ZXQ50-2.97型斜式轴流泵4台，泵站总装机容量12000kW，设计排涝流量</w:t>
      </w:r>
      <w:r>
        <w:rPr>
          <w:rFonts w:hint="eastAsia" w:asciiTheme="minorEastAsia" w:hAnsiTheme="minorEastAsia" w:eastAsiaTheme="minorEastAsia" w:cstheme="minorEastAsia"/>
          <w:kern w:val="0"/>
          <w:sz w:val="21"/>
          <w:szCs w:val="21"/>
          <w:highlight w:val="none"/>
          <w:lang w:val="en-US" w:eastAsia="zh-CN"/>
        </w:rPr>
        <w:t>200</w:t>
      </w:r>
      <w:r>
        <w:rPr>
          <w:rFonts w:hint="eastAsia" w:asciiTheme="minorEastAsia" w:hAnsiTheme="minorEastAsia" w:eastAsiaTheme="minorEastAsia" w:cstheme="minorEastAsia"/>
          <w:kern w:val="0"/>
          <w:sz w:val="21"/>
          <w:szCs w:val="21"/>
          <w:highlight w:val="none"/>
          <w:lang w:eastAsia="zh-CN"/>
        </w:rPr>
        <w:t>m3/s。</w:t>
      </w:r>
      <w:r>
        <w:rPr>
          <w:rFonts w:hint="eastAsia" w:asciiTheme="minorEastAsia" w:hAnsiTheme="minorEastAsia" w:eastAsiaTheme="minorEastAsia" w:cstheme="minorEastAsia"/>
          <w:kern w:val="0"/>
          <w:sz w:val="21"/>
          <w:szCs w:val="21"/>
          <w:highlight w:val="none"/>
          <w:lang w:val="en-US" w:eastAsia="zh-CN" w:bidi="ar-SA"/>
        </w:rPr>
        <w:t>泵站出水口段设工作闸门和事故闸门。每台机组出水流道分为二孔，孔口宽4m、高5m。每孔设置带2扇小拍门的潜孔式平面钢结构快速定轮闸门（宽4m、高5m）一扇，</w:t>
      </w:r>
      <w:r>
        <w:rPr>
          <w:rFonts w:hint="eastAsia" w:asciiTheme="minorEastAsia" w:hAnsiTheme="minorEastAsia" w:eastAsiaTheme="minorEastAsia" w:cstheme="minorEastAsia"/>
          <w:b/>
          <w:bCs/>
          <w:kern w:val="0"/>
          <w:sz w:val="21"/>
          <w:szCs w:val="21"/>
          <w:highlight w:val="none"/>
          <w:lang w:val="en-US" w:eastAsia="zh-CN" w:bidi="ar-SA"/>
        </w:rPr>
        <w:t>外侧设置一扇宽4m、高5m的预应力钢筋混凝土平面滑块式事故挡潮门</w:t>
      </w:r>
      <w:r>
        <w:rPr>
          <w:rFonts w:hint="eastAsia" w:asciiTheme="minorEastAsia" w:hAnsiTheme="minorEastAsia" w:eastAsiaTheme="minorEastAsia" w:cstheme="minorEastAsia"/>
          <w:kern w:val="0"/>
          <w:sz w:val="21"/>
          <w:szCs w:val="21"/>
          <w:highlight w:val="none"/>
          <w:lang w:val="en-US" w:eastAsia="zh-CN" w:bidi="ar-SA"/>
        </w:rPr>
        <w:t>，快速闸门和事故门分别采用QPKY-1×400-6.03和QPKY-1×800-6.03型油压启闭机启闭。闸门与启闭机油缸采用一门一机布置。本项目所涉3扇事故门止水、滑块、紧固件等旧件拆除，更换新件，安装调试等工程量。</w:t>
      </w:r>
    </w:p>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二、</w:t>
      </w:r>
      <w:r>
        <w:rPr>
          <w:rFonts w:hint="eastAsia" w:asciiTheme="minorEastAsia" w:hAnsiTheme="minorEastAsia" w:eastAsiaTheme="minorEastAsia" w:cstheme="minorEastAsia"/>
          <w:sz w:val="21"/>
          <w:szCs w:val="21"/>
          <w:highlight w:val="none"/>
          <w:lang w:eastAsia="zh-CN"/>
        </w:rPr>
        <w:t>技术要求</w:t>
      </w:r>
      <w:r>
        <w:rPr>
          <w:rFonts w:hint="eastAsia" w:asciiTheme="minorEastAsia" w:hAnsiTheme="minorEastAsia" w:eastAsiaTheme="minorEastAsia" w:cstheme="minorEastAsia"/>
          <w:sz w:val="21"/>
          <w:szCs w:val="21"/>
          <w:highlight w:val="none"/>
          <w:lang w:val="en-US" w:eastAsia="zh-CN"/>
        </w:rPr>
        <w:t>及</w:t>
      </w:r>
      <w:r>
        <w:rPr>
          <w:rFonts w:hint="eastAsia" w:asciiTheme="minorEastAsia" w:hAnsiTheme="minorEastAsia" w:eastAsiaTheme="minorEastAsia" w:cstheme="minorEastAsia"/>
          <w:kern w:val="0"/>
          <w:sz w:val="21"/>
          <w:szCs w:val="21"/>
          <w:highlight w:val="none"/>
          <w:lang w:val="en-US" w:eastAsia="zh-CN"/>
        </w:rPr>
        <w:t>工程量清单</w:t>
      </w:r>
    </w:p>
    <w:tbl>
      <w:tblPr>
        <w:tblStyle w:val="35"/>
        <w:tblW w:w="9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2518"/>
        <w:gridCol w:w="3686"/>
        <w:gridCol w:w="1071"/>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项目名称</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计量单位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bCs/>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侧止水更换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val="0"/>
                <w:bCs w:val="0"/>
                <w:i w:val="0"/>
                <w:iCs w:val="0"/>
                <w:color w:val="auto"/>
                <w:sz w:val="21"/>
                <w:szCs w:val="21"/>
                <w:highlight w:val="none"/>
                <w:u w:val="none"/>
                <w:lang w:val="en-US"/>
              </w:rPr>
            </w:pPr>
            <w:r>
              <w:rPr>
                <w:rStyle w:val="114"/>
                <w:rFonts w:hint="eastAsia" w:asciiTheme="minorEastAsia" w:hAnsiTheme="minorEastAsia" w:eastAsiaTheme="minorEastAsia" w:cstheme="minorEastAsia"/>
                <w:sz w:val="21"/>
                <w:szCs w:val="21"/>
                <w:highlight w:val="none"/>
                <w:lang w:val="en-US" w:eastAsia="zh-CN" w:bidi="ar"/>
              </w:rPr>
              <w:t>规格P</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50</w:t>
            </w:r>
            <w:r>
              <w:rPr>
                <w:rStyle w:val="114"/>
                <w:rFonts w:hint="eastAsia" w:asciiTheme="minorEastAsia" w:hAnsiTheme="minorEastAsia" w:eastAsiaTheme="minorEastAsia" w:cstheme="minorEastAsia"/>
                <w:sz w:val="21"/>
                <w:szCs w:val="21"/>
                <w:highlight w:val="none"/>
                <w:lang w:val="en-US" w:eastAsia="zh-CN" w:bidi="ar"/>
              </w:rPr>
              <w:t>-5 L=5200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，SF6574,侧橡皮止水，每扇2件，共更换3扇计6件。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sz w:val="21"/>
                <w:szCs w:val="21"/>
                <w:highlight w:val="none"/>
                <w:u w:val="none"/>
                <w:lang w:val="en-US" w:eastAsia="zh-CN"/>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lang w:val="en-US"/>
              </w:rPr>
            </w:pPr>
            <w:r>
              <w:rPr>
                <w:rStyle w:val="114"/>
                <w:rFonts w:hint="eastAsia" w:asciiTheme="minorEastAsia" w:hAnsiTheme="minorEastAsia" w:eastAsiaTheme="minorEastAsia" w:cstheme="minorEastAsia"/>
                <w:sz w:val="21"/>
                <w:szCs w:val="21"/>
                <w:highlight w:val="none"/>
                <w:lang w:val="en-US" w:eastAsia="zh-CN" w:bidi="ar"/>
              </w:rPr>
              <w:t>规格P</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50</w:t>
            </w:r>
            <w:r>
              <w:rPr>
                <w:rStyle w:val="114"/>
                <w:rFonts w:hint="eastAsia" w:asciiTheme="minorEastAsia" w:hAnsiTheme="minorEastAsia" w:eastAsiaTheme="minorEastAsia" w:cstheme="minorEastAsia"/>
                <w:sz w:val="21"/>
                <w:szCs w:val="21"/>
                <w:highlight w:val="none"/>
                <w:lang w:val="en-US" w:eastAsia="zh-CN" w:bidi="ar"/>
              </w:rPr>
              <w:t>-5 L=4130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,SF6574，顶止水橡皮，每扇1件，共更换3扇计3件。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底止水更换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H16-5 L=3882,SF6574,底止水橡皮，每扇1件，共更换3扇计3件。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侧止水垫板更换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L=5080，SF6574垫板每扇2件，共更换3扇计6件。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L=4030，SF6574垫板每扇1件，共更换3扇计3件。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底止水垫板更换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L=4030，SF6574垫板每扇1件，共更换3扇计3件。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前后滑块更换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43*80*500高分子材料，每扇8件共更换3扇计24件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侧向滑块更换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43*80*200高分子材料，每扇4件共更换3扇计12件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顶止水压板更换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12Cr18Ni9-10×60×3860每扇1件，共更换3扇计3件。</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橡皮垫板（一）更换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16*160*390，SF6574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橡皮垫板（二）更换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8*160*700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16*300更换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A4-70材质，每扇46套共更换3扇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16*425更换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201材质，每扇16套共更换3扇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24*910更换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201材质，每扇16套共更换3扇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16*900更换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201材质，每扇94套共更换3扇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螺母（一）更换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AM16 GB6172-86，A4-70每扇308套共更换3扇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螺母（二）更换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AM24 GB6170-86 ，201材质每扇16套共更换3扇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18</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垫圈（一）更换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24GB6170-86，201材质每扇138个共更换3扇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垫圈（二）更换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16GB6170-86，201材质每扇16个共更换3扇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其他设备拆装调试</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启闭机油缸、管路、传感器等拆除、安装调试</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台</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安全措施</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施工单位根据实际情况考虑</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22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场地清理</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旧件搬运至甲方指定地点，所涉施工场地复原清理干净。</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bl>
    <w:p>
      <w:pPr>
        <w:widowControl/>
        <w:shd w:val="clear"/>
        <w:spacing w:line="360" w:lineRule="auto"/>
        <w:jc w:val="left"/>
        <w:textAlignment w:val="center"/>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三、质量目标</w:t>
      </w:r>
    </w:p>
    <w:p>
      <w:pPr>
        <w:shd w:val="clear"/>
        <w:spacing w:line="360" w:lineRule="auto"/>
        <w:ind w:firstLine="420" w:firstLineChars="200"/>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lang w:eastAsia="zh-CN"/>
        </w:rPr>
        <w:t>相关零部件更换尺寸应符合</w:t>
      </w:r>
      <w:r>
        <w:rPr>
          <w:rFonts w:hint="eastAsia" w:asciiTheme="minorEastAsia" w:hAnsiTheme="minorEastAsia" w:eastAsiaTheme="minorEastAsia" w:cstheme="minorEastAsia"/>
          <w:color w:val="auto"/>
          <w:sz w:val="21"/>
          <w:szCs w:val="21"/>
          <w:highlight w:val="none"/>
        </w:rPr>
        <w:t>设计图纸要求</w:t>
      </w:r>
      <w:r>
        <w:rPr>
          <w:rFonts w:hint="eastAsia" w:asciiTheme="minorEastAsia" w:hAnsiTheme="minorEastAsia" w:eastAsiaTheme="minorEastAsia" w:cstheme="minorEastAsia"/>
          <w:color w:val="auto"/>
          <w:sz w:val="21"/>
          <w:szCs w:val="21"/>
          <w:highlight w:val="none"/>
          <w:lang w:eastAsia="zh-CN"/>
        </w:rPr>
        <w:t>，并遵循《水闸技术管理规程》</w:t>
      </w:r>
      <w:r>
        <w:rPr>
          <w:rFonts w:hint="eastAsia" w:asciiTheme="minorEastAsia" w:hAnsiTheme="minorEastAsia" w:eastAsiaTheme="minorEastAsia" w:cstheme="minorEastAsia"/>
          <w:color w:val="auto"/>
          <w:sz w:val="21"/>
          <w:szCs w:val="21"/>
          <w:highlight w:val="none"/>
          <w:lang w:val="en-US" w:eastAsia="zh-CN"/>
        </w:rPr>
        <w:t>SL75-2014等有关规程规范。</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2、止水橡皮表面应光滑平整，侧止水中心距离和顶止水中心至底止水底缘距离符合设计图纸要求，压缩量应符合设计要求</w:t>
      </w:r>
      <w:r>
        <w:rPr>
          <w:rFonts w:hint="eastAsia" w:asciiTheme="minorEastAsia" w:hAnsiTheme="minorEastAsia" w:eastAsiaTheme="minorEastAsia" w:cstheme="minorEastAsia"/>
          <w:sz w:val="21"/>
          <w:szCs w:val="21"/>
          <w:highlight w:val="none"/>
        </w:rPr>
        <w:t>。</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用灯光或其他方法检查橡胶水封的</w:t>
      </w:r>
      <w:r>
        <w:rPr>
          <w:rFonts w:hint="eastAsia" w:asciiTheme="minorEastAsia" w:hAnsiTheme="minorEastAsia" w:eastAsiaTheme="minorEastAsia" w:cstheme="minorEastAsia"/>
          <w:sz w:val="21"/>
          <w:szCs w:val="21"/>
          <w:highlight w:val="none"/>
          <w:lang w:eastAsia="zh-CN"/>
        </w:rPr>
        <w:t>密封性</w:t>
      </w:r>
      <w:r>
        <w:rPr>
          <w:rFonts w:hint="eastAsia" w:asciiTheme="minorEastAsia" w:hAnsiTheme="minorEastAsia" w:eastAsiaTheme="minorEastAsia" w:cstheme="minorEastAsia"/>
          <w:sz w:val="21"/>
          <w:szCs w:val="21"/>
          <w:highlight w:val="none"/>
        </w:rPr>
        <w:t>，不应有</w:t>
      </w:r>
      <w:r>
        <w:rPr>
          <w:rFonts w:hint="eastAsia" w:asciiTheme="minorEastAsia" w:hAnsiTheme="minorEastAsia" w:eastAsiaTheme="minorEastAsia" w:cstheme="minorEastAsia"/>
          <w:sz w:val="21"/>
          <w:szCs w:val="21"/>
          <w:highlight w:val="none"/>
          <w:lang w:eastAsia="zh-CN"/>
        </w:rPr>
        <w:t>明显</w:t>
      </w:r>
      <w:r>
        <w:rPr>
          <w:rFonts w:hint="eastAsia" w:asciiTheme="minorEastAsia" w:hAnsiTheme="minorEastAsia" w:eastAsiaTheme="minorEastAsia" w:cstheme="minorEastAsia"/>
          <w:sz w:val="21"/>
          <w:szCs w:val="21"/>
          <w:highlight w:val="none"/>
        </w:rPr>
        <w:t>透亮或间隙</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通过任意1m长止水范围内漏水量不应超过0.1L/s。</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4、滑块安装应考虑现场门槽实际情况，保证闸门启闭平稳无卡阻。</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5、工程量清单中高分子材料部分技术参数如下：</w:t>
      </w:r>
    </w:p>
    <w:p>
      <w:pPr>
        <w:pStyle w:val="12"/>
        <w:shd w:val="clear"/>
        <w:spacing w:line="360" w:lineRule="auto"/>
        <w:ind w:right="342" w:firstLine="420" w:firstLineChars="200"/>
        <w:jc w:val="center"/>
        <w:rPr>
          <w:rFonts w:hint="default"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drawing>
          <wp:inline distT="0" distB="0" distL="114300" distR="114300">
            <wp:extent cx="2827655" cy="2202815"/>
            <wp:effectExtent l="0" t="0" r="1270" b="6985"/>
            <wp:docPr id="3" name="图片 3" descr="微信图片_2024042517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25175943"/>
                    <pic:cNvPicPr>
                      <a:picLocks noChangeAspect="1"/>
                    </pic:cNvPicPr>
                  </pic:nvPicPr>
                  <pic:blipFill>
                    <a:blip r:embed="rId13"/>
                    <a:stretch>
                      <a:fillRect/>
                    </a:stretch>
                  </pic:blipFill>
                  <pic:spPr>
                    <a:xfrm>
                      <a:off x="0" y="0"/>
                      <a:ext cx="2827655" cy="2202815"/>
                    </a:xfrm>
                    <a:prstGeom prst="rect">
                      <a:avLst/>
                    </a:prstGeom>
                  </pic:spPr>
                </pic:pic>
              </a:graphicData>
            </a:graphic>
          </wp:inline>
        </w:drawing>
      </w:r>
    </w:p>
    <w:p>
      <w:pPr>
        <w:numPr>
          <w:ilvl w:val="0"/>
          <w:numId w:val="0"/>
        </w:numPr>
        <w:shd w:val="clear"/>
        <w:rPr>
          <w:rFonts w:hint="eastAsia" w:ascii="宋体" w:hAnsi="宋体" w:eastAsia="宋体" w:cs="宋体"/>
          <w:b/>
          <w:bCs/>
          <w:color w:val="auto"/>
          <w:sz w:val="21"/>
          <w:szCs w:val="21"/>
          <w:highlight w:val="none"/>
          <w:lang w:val="en-US" w:eastAsia="zh-CN"/>
        </w:rPr>
      </w:pPr>
    </w:p>
    <w:p>
      <w:pPr>
        <w:numPr>
          <w:ilvl w:val="0"/>
          <w:numId w:val="0"/>
        </w:numPr>
        <w:shd w:val="clea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2.2独山枢纽一次性项目</w:t>
      </w:r>
    </w:p>
    <w:p>
      <w:pPr>
        <w:numPr>
          <w:ilvl w:val="0"/>
          <w:numId w:val="8"/>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工程概况</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独山</w:t>
      </w:r>
      <w:r>
        <w:rPr>
          <w:rFonts w:hint="eastAsia" w:asciiTheme="minorEastAsia" w:hAnsiTheme="minorEastAsia" w:eastAsiaTheme="minorEastAsia" w:cstheme="minorEastAsia"/>
          <w:sz w:val="21"/>
          <w:szCs w:val="21"/>
          <w:highlight w:val="none"/>
        </w:rPr>
        <w:t>闸设</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孔，</w:t>
      </w:r>
      <w:r>
        <w:rPr>
          <w:rFonts w:hint="eastAsia" w:asciiTheme="minorEastAsia" w:hAnsiTheme="minorEastAsia" w:eastAsiaTheme="minorEastAsia" w:cstheme="minorEastAsia"/>
          <w:sz w:val="21"/>
          <w:szCs w:val="21"/>
          <w:highlight w:val="none"/>
          <w:lang w:val="en-US" w:eastAsia="zh-CN"/>
        </w:rPr>
        <w:t>中孔</w:t>
      </w:r>
      <w:r>
        <w:rPr>
          <w:rFonts w:hint="eastAsia" w:asciiTheme="minorEastAsia" w:hAnsiTheme="minorEastAsia" w:eastAsiaTheme="minorEastAsia" w:cstheme="minorEastAsia"/>
          <w:sz w:val="21"/>
          <w:szCs w:val="21"/>
          <w:highlight w:val="none"/>
        </w:rPr>
        <w:t>孔净宽</w:t>
      </w:r>
      <w:r>
        <w:rPr>
          <w:rFonts w:hint="eastAsia" w:asciiTheme="minorEastAsia" w:hAnsiTheme="minorEastAsia" w:eastAsiaTheme="minorEastAsia" w:cstheme="minorEastAsia"/>
          <w:sz w:val="21"/>
          <w:szCs w:val="21"/>
          <w:highlight w:val="none"/>
          <w:lang w:val="en-US" w:eastAsia="zh-CN"/>
        </w:rPr>
        <w:t>14</w:t>
      </w:r>
      <w:r>
        <w:rPr>
          <w:rFonts w:hint="eastAsia" w:asciiTheme="minorEastAsia" w:hAnsiTheme="minorEastAsia" w:eastAsiaTheme="minorEastAsia" w:cstheme="minorEastAsia"/>
          <w:sz w:val="21"/>
          <w:szCs w:val="21"/>
          <w:highlight w:val="none"/>
        </w:rPr>
        <w:t>m，</w:t>
      </w:r>
      <w:r>
        <w:rPr>
          <w:rFonts w:hint="eastAsia" w:asciiTheme="minorEastAsia" w:hAnsiTheme="minorEastAsia" w:eastAsiaTheme="minorEastAsia" w:cstheme="minorEastAsia"/>
          <w:sz w:val="21"/>
          <w:szCs w:val="21"/>
          <w:highlight w:val="none"/>
          <w:lang w:val="en-US" w:eastAsia="zh-CN"/>
        </w:rPr>
        <w:t>边孔净宽16米，</w:t>
      </w:r>
      <w:r>
        <w:rPr>
          <w:rFonts w:hint="eastAsia" w:asciiTheme="minorEastAsia" w:hAnsiTheme="minorEastAsia" w:eastAsiaTheme="minorEastAsia" w:cstheme="minorEastAsia"/>
          <w:sz w:val="21"/>
          <w:szCs w:val="21"/>
          <w:highlight w:val="none"/>
        </w:rPr>
        <w:t>闸底板高程-2.8</w:t>
      </w:r>
      <w:r>
        <w:rPr>
          <w:rFonts w:hint="eastAsia" w:asciiTheme="minorEastAsia" w:hAnsiTheme="minorEastAsia" w:eastAsiaTheme="minorEastAsia" w:cstheme="minorEastAsia"/>
          <w:sz w:val="21"/>
          <w:szCs w:val="21"/>
          <w:highlight w:val="none"/>
          <w:lang w:val="en-US" w:eastAsia="zh-CN"/>
        </w:rPr>
        <w:t>0</w:t>
      </w:r>
      <w:r>
        <w:rPr>
          <w:rFonts w:hint="eastAsia" w:asciiTheme="minorEastAsia" w:hAnsiTheme="minorEastAsia" w:eastAsiaTheme="minorEastAsia" w:cstheme="minorEastAsia"/>
          <w:sz w:val="21"/>
          <w:szCs w:val="21"/>
          <w:highlight w:val="none"/>
        </w:rPr>
        <w:t>m，设计闸顶高程</w:t>
      </w:r>
      <w:r>
        <w:rPr>
          <w:rFonts w:hint="eastAsia" w:asciiTheme="minorEastAsia" w:hAnsiTheme="minorEastAsia" w:eastAsia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rPr>
        <w:t>.8</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m，闸室</w:t>
      </w:r>
      <w:r>
        <w:rPr>
          <w:rFonts w:hint="eastAsia" w:asciiTheme="minorEastAsia" w:hAnsiTheme="minorEastAsia" w:eastAsiaTheme="minorEastAsia" w:cstheme="minorEastAsia"/>
          <w:sz w:val="21"/>
          <w:szCs w:val="21"/>
          <w:highlight w:val="none"/>
          <w:lang w:val="en-US" w:eastAsia="zh-CN"/>
        </w:rPr>
        <w:t>中孔</w:t>
      </w:r>
      <w:r>
        <w:rPr>
          <w:rFonts w:hint="eastAsia" w:asciiTheme="minorEastAsia" w:hAnsiTheme="minorEastAsia" w:eastAsiaTheme="minorEastAsia" w:cstheme="minorEastAsia"/>
          <w:sz w:val="21"/>
          <w:szCs w:val="21"/>
          <w:highlight w:val="none"/>
        </w:rPr>
        <w:t>为胸墙式。</w:t>
      </w:r>
    </w:p>
    <w:p>
      <w:pPr>
        <w:numPr>
          <w:ilvl w:val="0"/>
          <w:numId w:val="8"/>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技术要求</w:t>
      </w:r>
      <w:r>
        <w:rPr>
          <w:rFonts w:hint="eastAsia" w:asciiTheme="minorEastAsia" w:hAnsiTheme="minorEastAsia" w:eastAsiaTheme="minorEastAsia" w:cstheme="minorEastAsia"/>
          <w:sz w:val="21"/>
          <w:szCs w:val="21"/>
          <w:highlight w:val="none"/>
          <w:lang w:val="en-US" w:eastAsia="zh-CN"/>
        </w:rPr>
        <w:t>及</w:t>
      </w:r>
      <w:r>
        <w:rPr>
          <w:rFonts w:hint="eastAsia" w:asciiTheme="minorEastAsia" w:hAnsiTheme="minorEastAsia" w:eastAsiaTheme="minorEastAsia" w:cstheme="minorEastAsia"/>
          <w:kern w:val="0"/>
          <w:sz w:val="21"/>
          <w:szCs w:val="21"/>
          <w:highlight w:val="none"/>
          <w:lang w:val="en-US" w:eastAsia="zh-CN"/>
        </w:rPr>
        <w:t>工程量清单</w:t>
      </w:r>
    </w:p>
    <w:tbl>
      <w:tblPr>
        <w:tblStyle w:val="35"/>
        <w:tblW w:w="9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2518"/>
        <w:gridCol w:w="3686"/>
        <w:gridCol w:w="1071"/>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内、外河侧检修门槽防腐</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sz w:val="21"/>
                <w:szCs w:val="21"/>
                <w:highlight w:val="none"/>
                <w:u w:val="none"/>
                <w:lang w:val="en-US" w:eastAsia="zh-CN"/>
              </w:rPr>
              <w:t>138.96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exac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内、外河门库门槽防腐</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lang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sz w:val="21"/>
                <w:szCs w:val="21"/>
                <w:highlight w:val="none"/>
                <w:u w:val="none"/>
                <w:lang w:val="en-US" w:eastAsia="zh-CN"/>
              </w:rPr>
              <w:t>94.08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exac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中孔、边孔工作门槽防腐</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kern w:val="0"/>
                <w:sz w:val="21"/>
                <w:szCs w:val="21"/>
                <w:highlight w:val="none"/>
                <w:u w:val="none"/>
                <w:lang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sz w:val="21"/>
                <w:szCs w:val="21"/>
                <w:highlight w:val="none"/>
                <w:u w:val="none"/>
                <w:lang w:val="en-US" w:eastAsia="zh-CN"/>
              </w:rPr>
              <w:t>98.43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工作门门库门槽防腐</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66.64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exac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201材质不锈钢格栅盖板2930*400</w:t>
            </w: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mm</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Theme="minorEastAsia" w:hAnsiTheme="minorEastAsia" w:eastAsiaTheme="minorEastAsia" w:cstheme="minorEastAsia"/>
                <w:i w:val="0"/>
                <w:iCs w:val="0"/>
                <w:color w:val="000000"/>
                <w:kern w:val="0"/>
                <w:sz w:val="21"/>
                <w:szCs w:val="21"/>
                <w:highlight w:val="none"/>
                <w:u w:val="none"/>
                <w:lang w:val="en-US" w:eastAsia="zh-CN" w:bidi="ar"/>
              </w:rPr>
            </w:pP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格栅板厚度6mm，格栅板宽度60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栅格间距320*60mm。</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件</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sz w:val="21"/>
                <w:szCs w:val="21"/>
                <w:highlight w:val="none"/>
                <w:u w:val="none"/>
                <w:lang w:val="en-US" w:eastAsia="zh-CN"/>
              </w:rPr>
              <w:t>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旧盖板移出</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default" w:ascii="宋体" w:hAnsi="宋体" w:eastAsia="宋体" w:cs="宋体"/>
                <w:i w:val="0"/>
                <w:iCs w:val="0"/>
                <w:color w:val="auto"/>
                <w:sz w:val="21"/>
                <w:szCs w:val="21"/>
                <w:highlight w:val="none"/>
                <w:u w:val="none"/>
              </w:rPr>
            </w:pPr>
            <w:r>
              <w:rPr>
                <w:rFonts w:hint="default" w:ascii="宋体" w:hAnsi="宋体" w:cs="宋体"/>
                <w:i w:val="0"/>
                <w:iCs w:val="0"/>
                <w:color w:val="auto"/>
                <w:sz w:val="21"/>
                <w:szCs w:val="21"/>
                <w:highlight w:val="none"/>
                <w:u w:val="none"/>
              </w:rPr>
              <w:t>旧件搬运至甲方指定地点，所涉施工场地清理干净。</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门槽防腐措施费</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防腐面积已扣水下部分3米。</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bl>
    <w:p>
      <w:pPr>
        <w:pStyle w:val="2"/>
        <w:shd w:val="clear"/>
        <w:rPr>
          <w:rFonts w:hint="eastAsia" w:asciiTheme="minorEastAsia" w:hAnsiTheme="minorEastAsia" w:eastAsiaTheme="minorEastAsia" w:cstheme="minorEastAsia"/>
          <w:kern w:val="0"/>
          <w:sz w:val="21"/>
          <w:szCs w:val="21"/>
          <w:highlight w:val="none"/>
          <w:lang w:val="en-US" w:eastAsia="zh-CN"/>
        </w:rPr>
      </w:pPr>
    </w:p>
    <w:p>
      <w:pPr>
        <w:numPr>
          <w:ilvl w:val="0"/>
          <w:numId w:val="8"/>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质量目标</w:t>
      </w:r>
    </w:p>
    <w:p>
      <w:pPr>
        <w:numPr>
          <w:ilvl w:val="0"/>
          <w:numId w:val="9"/>
        </w:numPr>
        <w:shd w:val="clear"/>
        <w:spacing w:line="360" w:lineRule="auto"/>
        <w:jc w:val="left"/>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门槽防腐</w:t>
      </w:r>
      <w:bookmarkStart w:id="171" w:name="_Toc131408805"/>
    </w:p>
    <w:p>
      <w:pPr>
        <w:numPr>
          <w:ilvl w:val="0"/>
          <w:numId w:val="0"/>
        </w:numPr>
        <w:shd w:val="clear"/>
        <w:spacing w:line="360" w:lineRule="auto"/>
        <w:jc w:val="left"/>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金属结构表面处理</w:t>
      </w:r>
      <w:bookmarkEnd w:id="171"/>
    </w:p>
    <w:p>
      <w:pPr>
        <w:shd w:val="clear"/>
        <w:spacing w:line="360" w:lineRule="auto"/>
        <w:ind w:firstLine="420" w:firstLineChars="200"/>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rPr>
        <w:t>金属结构表面处理质量的好坏，直接关系到防腐的使用寿命。进行表面处理的目的，一是除尽表面老化涂层、锈蚀及其它污物，二是增大表面粗糙度</w:t>
      </w:r>
      <w:r>
        <w:rPr>
          <w:rFonts w:hint="eastAsia" w:asciiTheme="minorEastAsia" w:hAnsiTheme="minorEastAsia" w:eastAsiaTheme="minorEastAsia" w:cstheme="minorEastAsia"/>
          <w:sz w:val="21"/>
          <w:szCs w:val="21"/>
          <w:highlight w:val="none"/>
          <w:lang w:val="en-US" w:eastAsia="zh-CN"/>
        </w:rPr>
        <w:t>以</w:t>
      </w:r>
      <w:r>
        <w:rPr>
          <w:rFonts w:hint="eastAsia" w:asciiTheme="minorEastAsia" w:hAnsiTheme="minorEastAsia" w:eastAsiaTheme="minorEastAsia" w:cstheme="minorEastAsia"/>
          <w:sz w:val="21"/>
          <w:szCs w:val="21"/>
          <w:highlight w:val="none"/>
        </w:rPr>
        <w:t>提高涂层附着力。本项目闸门</w:t>
      </w:r>
      <w:r>
        <w:rPr>
          <w:rFonts w:hint="eastAsia" w:asciiTheme="minorEastAsia" w:hAnsiTheme="minorEastAsia" w:eastAsiaTheme="minorEastAsia" w:cstheme="minorEastAsia"/>
          <w:sz w:val="21"/>
          <w:szCs w:val="21"/>
          <w:highlight w:val="none"/>
          <w:lang w:val="en-US" w:eastAsia="zh-CN"/>
        </w:rPr>
        <w:t>门槽</w:t>
      </w:r>
      <w:r>
        <w:rPr>
          <w:rFonts w:hint="eastAsia" w:asciiTheme="minorEastAsia" w:hAnsiTheme="minorEastAsia" w:eastAsiaTheme="minorEastAsia" w:cstheme="minorEastAsia"/>
          <w:sz w:val="21"/>
          <w:szCs w:val="21"/>
          <w:highlight w:val="none"/>
        </w:rPr>
        <w:t>采用机械</w:t>
      </w:r>
      <w:r>
        <w:rPr>
          <w:rFonts w:hint="eastAsia" w:asciiTheme="minorEastAsia" w:hAnsiTheme="minorEastAsia" w:eastAsiaTheme="minorEastAsia" w:cstheme="minorEastAsia"/>
          <w:sz w:val="21"/>
          <w:szCs w:val="21"/>
          <w:highlight w:val="none"/>
          <w:lang w:val="en-US" w:eastAsia="zh-CN"/>
        </w:rPr>
        <w:t>打磨</w:t>
      </w:r>
      <w:r>
        <w:rPr>
          <w:rFonts w:hint="eastAsia" w:asciiTheme="minorEastAsia" w:hAnsiTheme="minorEastAsia" w:eastAsiaTheme="minorEastAsia" w:cstheme="minorEastAsia"/>
          <w:sz w:val="21"/>
          <w:szCs w:val="21"/>
          <w:highlight w:val="none"/>
        </w:rPr>
        <w:t>，对闸门进行</w:t>
      </w:r>
      <w:r>
        <w:rPr>
          <w:rFonts w:hint="eastAsia" w:asciiTheme="minorEastAsia" w:hAnsiTheme="minorEastAsia" w:eastAsiaTheme="minorEastAsia" w:cstheme="minorEastAsia"/>
          <w:sz w:val="21"/>
          <w:szCs w:val="21"/>
          <w:highlight w:val="none"/>
          <w:lang w:val="en-US" w:eastAsia="zh-CN"/>
        </w:rPr>
        <w:t>打磨</w:t>
      </w:r>
      <w:r>
        <w:rPr>
          <w:rFonts w:hint="eastAsia" w:asciiTheme="minorEastAsia" w:hAnsiTheme="minorEastAsia" w:eastAsiaTheme="minorEastAsia" w:cstheme="minorEastAsia"/>
          <w:sz w:val="21"/>
          <w:szCs w:val="21"/>
          <w:highlight w:val="none"/>
        </w:rPr>
        <w:t>除锈</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涂装环氧底漆一道、中间漆一道、防污面漆两道。</w:t>
      </w:r>
      <w:bookmarkStart w:id="172" w:name="_Toc131408806"/>
    </w:p>
    <w:p>
      <w:pPr>
        <w:shd w:val="clear"/>
        <w:spacing w:line="360" w:lineRule="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防腐涂层涂装</w:t>
      </w:r>
      <w:bookmarkEnd w:id="172"/>
    </w:p>
    <w:p>
      <w:pPr>
        <w:pStyle w:val="7"/>
        <w:shd w:val="clea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底层涂层施工</w:t>
      </w:r>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水工金属结构防腐规范》（SL105-2007）规定，防腐蚀涂层系统宜由底漆、中间漆、面漆组成，底漆应具备良好的附着力和防腐蚀性能，中间漆应具备有屏蔽性能且与底、面漆结合良好，面漆应具有耐候性或耐水性。排涝闸工作闸门处于水位变动区（干湿交替），根据SL105-2016规范推荐的水工金属结构涂料配套参考表，结合其它水</w:t>
      </w:r>
      <w:r>
        <w:rPr>
          <w:rFonts w:hint="eastAsia" w:asciiTheme="minorEastAsia" w:hAnsiTheme="minorEastAsia" w:eastAsiaTheme="minorEastAsia" w:cstheme="minorEastAsia"/>
          <w:sz w:val="21"/>
          <w:szCs w:val="21"/>
          <w:highlight w:val="none"/>
          <w:lang w:val="en-US" w:eastAsia="zh-CN"/>
        </w:rPr>
        <w:t>闸</w:t>
      </w:r>
      <w:r>
        <w:rPr>
          <w:rFonts w:hint="eastAsia" w:asciiTheme="minorEastAsia" w:hAnsiTheme="minorEastAsia" w:eastAsiaTheme="minorEastAsia" w:cstheme="minorEastAsia"/>
          <w:sz w:val="21"/>
          <w:szCs w:val="21"/>
          <w:highlight w:val="none"/>
        </w:rPr>
        <w:t>实际使用情况，决定采用：底层涂料为环氧</w:t>
      </w:r>
      <w:r>
        <w:rPr>
          <w:rFonts w:hint="eastAsia" w:asciiTheme="minorEastAsia" w:hAnsiTheme="minorEastAsia" w:eastAsiaTheme="minorEastAsia" w:cstheme="minorEastAsia"/>
          <w:sz w:val="21"/>
          <w:szCs w:val="21"/>
          <w:highlight w:val="none"/>
          <w:lang w:val="en-US" w:eastAsia="zh-CN"/>
        </w:rPr>
        <w:t>多用途漆（红色）</w:t>
      </w:r>
      <w:r>
        <w:rPr>
          <w:rFonts w:hint="eastAsia" w:asciiTheme="minorEastAsia" w:hAnsiTheme="minorEastAsia" w:eastAsiaTheme="minorEastAsia" w:cstheme="minorEastAsia"/>
          <w:sz w:val="21"/>
          <w:szCs w:val="21"/>
          <w:highlight w:val="none"/>
        </w:rPr>
        <w:t>，体积固体含量60%以上，干膜厚度30μm。中间层涂料为</w:t>
      </w:r>
      <w:r>
        <w:rPr>
          <w:rFonts w:hint="eastAsia" w:asciiTheme="minorEastAsia" w:hAnsiTheme="minorEastAsia" w:eastAsiaTheme="minorEastAsia" w:cstheme="minorEastAsia"/>
          <w:sz w:val="21"/>
          <w:szCs w:val="21"/>
          <w:highlight w:val="none"/>
          <w:lang w:val="en-US" w:eastAsia="zh-CN"/>
        </w:rPr>
        <w:t>浅灰改性</w:t>
      </w:r>
      <w:r>
        <w:rPr>
          <w:rFonts w:hint="eastAsia" w:asciiTheme="minorEastAsia" w:hAnsiTheme="minorEastAsia" w:eastAsiaTheme="minorEastAsia" w:cstheme="minorEastAsia"/>
          <w:sz w:val="21"/>
          <w:szCs w:val="21"/>
          <w:highlight w:val="none"/>
        </w:rPr>
        <w:t>环氧</w:t>
      </w:r>
      <w:r>
        <w:rPr>
          <w:rFonts w:hint="eastAsia" w:asciiTheme="minorEastAsia" w:hAnsiTheme="minorEastAsia" w:eastAsiaTheme="minorEastAsia" w:cstheme="minorEastAsia"/>
          <w:sz w:val="21"/>
          <w:szCs w:val="21"/>
          <w:highlight w:val="none"/>
          <w:lang w:val="en-US" w:eastAsia="zh-CN"/>
        </w:rPr>
        <w:t>中间</w:t>
      </w:r>
      <w:r>
        <w:rPr>
          <w:rFonts w:hint="eastAsia" w:asciiTheme="minorEastAsia" w:hAnsiTheme="minorEastAsia" w:eastAsiaTheme="minorEastAsia" w:cstheme="minorEastAsia"/>
          <w:sz w:val="21"/>
          <w:szCs w:val="21"/>
          <w:highlight w:val="none"/>
        </w:rPr>
        <w:t>漆，能在2</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小时后进行覆涂下道油漆，干膜厚度</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0μm。面层涂料为</w:t>
      </w:r>
      <w:r>
        <w:rPr>
          <w:rFonts w:hint="eastAsia" w:asciiTheme="minorEastAsia" w:hAnsiTheme="minorEastAsia" w:eastAsiaTheme="minorEastAsia" w:cstheme="minorEastAsia"/>
          <w:sz w:val="21"/>
          <w:szCs w:val="21"/>
          <w:highlight w:val="none"/>
          <w:lang w:val="en-US" w:eastAsia="zh-CN"/>
        </w:rPr>
        <w:t>长效厚浆型</w:t>
      </w:r>
      <w:r>
        <w:rPr>
          <w:rFonts w:hint="eastAsia" w:asciiTheme="minorEastAsia" w:hAnsiTheme="minorEastAsia" w:eastAsiaTheme="minorEastAsia" w:cstheme="minorEastAsia"/>
          <w:sz w:val="21"/>
          <w:szCs w:val="21"/>
          <w:highlight w:val="none"/>
        </w:rPr>
        <w:t>防污面漆，干膜厚度</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00μm。</w:t>
      </w:r>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涂装底漆应在钢材表面清理干净后尽快进行，涂料涂刷要均匀周到，不可遗漏，在每层漆膜涂装前应对上一层涂</w:t>
      </w:r>
      <w:r>
        <w:rPr>
          <w:rFonts w:hint="eastAsia" w:asciiTheme="minorEastAsia" w:hAnsiTheme="minorEastAsia" w:eastAsiaTheme="minorEastAsia" w:cstheme="minorEastAsia"/>
          <w:sz w:val="21"/>
          <w:szCs w:val="21"/>
          <w:highlight w:val="none"/>
        </w:rPr>
        <w:t>层外</w:t>
      </w:r>
      <w:r>
        <w:rPr>
          <w:rFonts w:hint="eastAsia" w:asciiTheme="minorEastAsia" w:hAnsiTheme="minorEastAsia" w:eastAsiaTheme="minorEastAsia" w:cstheme="minorEastAsia"/>
          <w:sz w:val="21"/>
          <w:szCs w:val="21"/>
          <w:highlight w:val="none"/>
          <w:lang w:val="en-US" w:eastAsia="zh-CN"/>
        </w:rPr>
        <w:t>观</w:t>
      </w:r>
      <w:r>
        <w:rPr>
          <w:rFonts w:hint="eastAsia" w:asciiTheme="minorEastAsia" w:hAnsiTheme="minorEastAsia" w:eastAsiaTheme="minorEastAsia" w:cstheme="minorEastAsia"/>
          <w:sz w:val="21"/>
          <w:szCs w:val="21"/>
          <w:highlight w:val="none"/>
        </w:rPr>
        <w:t>进</w:t>
      </w:r>
      <w:r>
        <w:rPr>
          <w:rFonts w:hint="eastAsia" w:asciiTheme="minorEastAsia" w:hAnsiTheme="minorEastAsia" w:eastAsiaTheme="minorEastAsia" w:cstheme="minorEastAsia"/>
          <w:sz w:val="21"/>
          <w:szCs w:val="21"/>
          <w:highlight w:val="none"/>
        </w:rPr>
        <w:t>行检查，如有漏涂、流坠、皱皮等缺陷要及时处理，完毕后再进行下一层施工。涂层干膜厚度达到30μm，表面应光滑、平整、无流挂、无起泡等缺陷。同时，涂料配制应按涂料产品说明书规定进行，并由专人负责。</w:t>
      </w:r>
    </w:p>
    <w:p>
      <w:pPr>
        <w:pStyle w:val="7"/>
        <w:shd w:val="clea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中间漆层的施工</w:t>
      </w:r>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封闭底漆涂料的涂装封闭完成后就进行中间漆的涂装，一般用高压无气喷涂机进行喷涂。涂料涂刷要均匀周到，不可遗漏，在每层漆膜涂装前应对上一层涂层外观进行检查，如有漏涂、流坠、皱皮等缺陷要及时处理，完毕后再进行下一层施工。中间涂层干膜厚度达到</w:t>
      </w:r>
      <w:r>
        <w:rPr>
          <w:rFonts w:hint="eastAsia" w:asciiTheme="minorEastAsia" w:hAnsiTheme="minorEastAsia" w:eastAsiaTheme="minorEastAsia" w:cstheme="minorEastAsia"/>
          <w:sz w:val="21"/>
          <w:szCs w:val="21"/>
          <w:highlight w:val="none"/>
          <w:lang w:val="en-US" w:eastAsia="zh-CN"/>
        </w:rPr>
        <w:t>40</w:t>
      </w:r>
      <w:r>
        <w:rPr>
          <w:rFonts w:hint="eastAsia" w:asciiTheme="minorEastAsia" w:hAnsiTheme="minorEastAsia" w:eastAsiaTheme="minorEastAsia" w:cstheme="minorEastAsia"/>
          <w:sz w:val="21"/>
          <w:szCs w:val="21"/>
          <w:highlight w:val="none"/>
        </w:rPr>
        <w:t>μm。表面也应光滑、平整、无流挂、无起泡等涂层缺陷。</w:t>
      </w:r>
    </w:p>
    <w:p>
      <w:pPr>
        <w:pStyle w:val="7"/>
        <w:shd w:val="clea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面漆涂层施工</w:t>
      </w:r>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闸门</w:t>
      </w:r>
      <w:r>
        <w:rPr>
          <w:rFonts w:hint="eastAsia" w:asciiTheme="minorEastAsia" w:hAnsiTheme="minorEastAsia" w:eastAsiaTheme="minorEastAsia" w:cstheme="minorEastAsia"/>
          <w:sz w:val="21"/>
          <w:szCs w:val="21"/>
          <w:highlight w:val="none"/>
          <w:lang w:val="en-US" w:eastAsia="zh-CN"/>
        </w:rPr>
        <w:t>门槽</w:t>
      </w:r>
      <w:r>
        <w:rPr>
          <w:rFonts w:hint="eastAsia" w:asciiTheme="minorEastAsia" w:hAnsiTheme="minorEastAsia" w:eastAsiaTheme="minorEastAsia" w:cstheme="minorEastAsia"/>
          <w:sz w:val="21"/>
          <w:szCs w:val="21"/>
          <w:highlight w:val="none"/>
        </w:rPr>
        <w:t>整体表面清理干净后进行第一道面漆的涂装，涂装好第一道面漆涂层达到规定固化时间后（一般为24小时），转入下一道次涂装，在第二道次涂装前须清理表面浮尘后再进行，直到干膜厚度</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00μm为止。涂层表面应光滑、平整、无流挂、无起泡等缺陷。</w:t>
      </w:r>
    </w:p>
    <w:p>
      <w:pPr>
        <w:pStyle w:val="7"/>
        <w:shd w:val="clear"/>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防腐涂料施工注意事项</w:t>
      </w:r>
    </w:p>
    <w:p>
      <w:pPr>
        <w:pStyle w:val="100"/>
        <w:numPr>
          <w:ilvl w:val="0"/>
          <w:numId w:val="0"/>
        </w:numPr>
        <w:shd w:val="clear"/>
        <w:spacing w:line="360" w:lineRule="auto"/>
        <w:ind w:left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被涂基体金属表面温度低于露点3℃和相对湿度大于85%时，不得进行涂装。如涂料说明书另有规定时，则应按其要求施工。</w:t>
      </w:r>
    </w:p>
    <w:p>
      <w:pPr>
        <w:pStyle w:val="100"/>
        <w:numPr>
          <w:ilvl w:val="0"/>
          <w:numId w:val="0"/>
        </w:numPr>
        <w:shd w:val="clear"/>
        <w:spacing w:line="360" w:lineRule="auto"/>
        <w:ind w:left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涂装作业应在清洁环境中进行，避免未干的涂层被灰尘等污染。</w:t>
      </w:r>
    </w:p>
    <w:p>
      <w:pPr>
        <w:pStyle w:val="100"/>
        <w:numPr>
          <w:ilvl w:val="0"/>
          <w:numId w:val="0"/>
        </w:numPr>
        <w:shd w:val="clear"/>
        <w:spacing w:line="360" w:lineRule="auto"/>
        <w:ind w:left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涂装前应对不涂装的特殊部位如油孔、配合面和影响正常运行的部位等进行遮蔽，以免对正常运行等带来不利影响。</w:t>
      </w:r>
    </w:p>
    <w:p>
      <w:pPr>
        <w:pStyle w:val="100"/>
        <w:numPr>
          <w:ilvl w:val="0"/>
          <w:numId w:val="0"/>
        </w:numPr>
        <w:shd w:val="clear"/>
        <w:spacing w:line="360" w:lineRule="auto"/>
        <w:ind w:left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涂层系统各层间的涂覆间隔时间应按涂料制造厂的规定执行，如超过其最长间隔时间，则应将前一涂层用粗砂打毛后再进行涂装，以保证涂层间的结合力。</w:t>
      </w:r>
    </w:p>
    <w:p>
      <w:pPr>
        <w:pStyle w:val="100"/>
        <w:numPr>
          <w:ilvl w:val="0"/>
          <w:numId w:val="0"/>
        </w:numPr>
        <w:shd w:val="clear"/>
        <w:spacing w:line="360" w:lineRule="auto"/>
        <w:ind w:left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涂装后，涂膜应认真维护，在固化前避免雨淋、暴晒、践踏，在搬运物件时应避免对涂层造成任何损伤。</w:t>
      </w:r>
      <w:bookmarkStart w:id="173" w:name="_Toc131408807"/>
    </w:p>
    <w:p>
      <w:pPr>
        <w:pStyle w:val="100"/>
        <w:numPr>
          <w:ilvl w:val="0"/>
          <w:numId w:val="0"/>
        </w:numPr>
        <w:shd w:val="clear"/>
        <w:spacing w:line="360" w:lineRule="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防腐质量控制</w:t>
      </w:r>
      <w:bookmarkEnd w:id="173"/>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防腐施工工序检验标准按《水工金属结构防腐规范》（SL105-2007）中的要求进行，并应符合GB/T8923-1988和GB/T11373-1989的相关规定，防腐油漆涂料应符合SDZ014和DL/T5018-2004第6.3的规定。</w:t>
      </w:r>
      <w:bookmarkStart w:id="174" w:name="_Toc131408808"/>
    </w:p>
    <w:p>
      <w:pPr>
        <w:shd w:val="clear"/>
        <w:spacing w:line="360" w:lineRule="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工艺说明</w:t>
      </w:r>
      <w:bookmarkEnd w:id="174"/>
      <w:bookmarkStart w:id="175" w:name="_Toc131251487"/>
      <w:bookmarkEnd w:id="175"/>
      <w:bookmarkStart w:id="176" w:name="_Toc131251318"/>
      <w:bookmarkEnd w:id="176"/>
      <w:bookmarkStart w:id="177" w:name="_Toc131251009"/>
      <w:bookmarkEnd w:id="177"/>
    </w:p>
    <w:p>
      <w:pPr>
        <w:pStyle w:val="100"/>
        <w:numPr>
          <w:ilvl w:val="0"/>
          <w:numId w:val="0"/>
        </w:num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涂漆前对结构件表面原有涂层进行清除</w:t>
      </w:r>
      <w:r>
        <w:rPr>
          <w:rFonts w:hint="eastAsia" w:asciiTheme="minorEastAsia" w:hAnsiTheme="minorEastAsia" w:eastAsiaTheme="minorEastAsia" w:cstheme="minorEastAsia"/>
          <w:sz w:val="21"/>
          <w:szCs w:val="21"/>
          <w:highlight w:val="none"/>
          <w:lang w:eastAsia="zh-CN"/>
        </w:rPr>
        <w:t>。</w:t>
      </w:r>
    </w:p>
    <w:p>
      <w:pPr>
        <w:pStyle w:val="100"/>
        <w:shd w:val="clear"/>
        <w:spacing w:line="360" w:lineRule="auto"/>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（2）底漆</w:t>
      </w:r>
      <w:r>
        <w:rPr>
          <w:rFonts w:hint="eastAsia" w:asciiTheme="minorEastAsia" w:hAnsiTheme="minorEastAsia" w:eastAsiaTheme="minorEastAsia" w:cstheme="minorEastAsia"/>
          <w:sz w:val="21"/>
          <w:szCs w:val="21"/>
          <w:highlight w:val="none"/>
        </w:rPr>
        <w:t>：环氧底漆，体积固体含量60%以上，干膜厚度30μm。</w:t>
      </w:r>
    </w:p>
    <w:p>
      <w:pPr>
        <w:pStyle w:val="100"/>
        <w:shd w:val="clear"/>
        <w:spacing w:line="360" w:lineRule="auto"/>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中间层：</w:t>
      </w:r>
      <w:r>
        <w:rPr>
          <w:rFonts w:hint="eastAsia" w:asciiTheme="minorEastAsia" w:hAnsiTheme="minorEastAsia" w:eastAsiaTheme="minorEastAsia" w:cstheme="minorEastAsia"/>
          <w:sz w:val="21"/>
          <w:szCs w:val="21"/>
          <w:highlight w:val="none"/>
          <w:lang w:val="en-US" w:eastAsia="zh-CN"/>
        </w:rPr>
        <w:t>浅灰改性</w:t>
      </w:r>
      <w:r>
        <w:rPr>
          <w:rFonts w:hint="eastAsia" w:asciiTheme="minorEastAsia" w:hAnsiTheme="minorEastAsia" w:eastAsiaTheme="minorEastAsia" w:cstheme="minorEastAsia"/>
          <w:sz w:val="21"/>
          <w:szCs w:val="21"/>
          <w:highlight w:val="none"/>
        </w:rPr>
        <w:t>环氧</w:t>
      </w:r>
      <w:r>
        <w:rPr>
          <w:rFonts w:hint="eastAsia" w:asciiTheme="minorEastAsia" w:hAnsiTheme="minorEastAsia" w:eastAsiaTheme="minorEastAsia" w:cstheme="minorEastAsia"/>
          <w:sz w:val="21"/>
          <w:szCs w:val="21"/>
          <w:highlight w:val="none"/>
          <w:lang w:val="en-US" w:eastAsia="zh-CN"/>
        </w:rPr>
        <w:t>中间</w:t>
      </w:r>
      <w:r>
        <w:rPr>
          <w:rFonts w:hint="eastAsia" w:asciiTheme="minorEastAsia" w:hAnsiTheme="minorEastAsia" w:eastAsiaTheme="minorEastAsia" w:cstheme="minorEastAsia"/>
          <w:sz w:val="21"/>
          <w:szCs w:val="21"/>
          <w:highlight w:val="none"/>
        </w:rPr>
        <w:t>漆，在2</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个小时</w:t>
      </w:r>
      <w:r>
        <w:rPr>
          <w:rFonts w:hint="eastAsia" w:asciiTheme="minorEastAsia" w:hAnsiTheme="minorEastAsia" w:eastAsiaTheme="minorEastAsia" w:cstheme="minorEastAsia"/>
          <w:sz w:val="21"/>
          <w:szCs w:val="21"/>
          <w:highlight w:val="none"/>
          <w:lang w:val="en-US" w:eastAsia="zh-CN"/>
        </w:rPr>
        <w:t>实干</w:t>
      </w:r>
      <w:r>
        <w:rPr>
          <w:rFonts w:hint="eastAsia" w:asciiTheme="minorEastAsia" w:hAnsiTheme="minorEastAsia" w:eastAsiaTheme="minorEastAsia" w:cstheme="minorEastAsia"/>
          <w:sz w:val="21"/>
          <w:szCs w:val="21"/>
          <w:highlight w:val="none"/>
        </w:rPr>
        <w:t>后进行覆涂下道油漆，干膜厚度</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0μm。</w:t>
      </w:r>
    </w:p>
    <w:p>
      <w:pPr>
        <w:pStyle w:val="100"/>
        <w:shd w:val="clear"/>
        <w:spacing w:line="360" w:lineRule="auto"/>
        <w:ind w:firstLine="4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面层：</w:t>
      </w:r>
      <w:r>
        <w:rPr>
          <w:rFonts w:hint="eastAsia" w:asciiTheme="minorEastAsia" w:hAnsiTheme="minorEastAsia" w:eastAsiaTheme="minorEastAsia" w:cstheme="minorEastAsia"/>
          <w:sz w:val="21"/>
          <w:szCs w:val="21"/>
          <w:highlight w:val="none"/>
          <w:lang w:val="en-US" w:eastAsia="zh-CN"/>
        </w:rPr>
        <w:t>长效厚浆型</w:t>
      </w:r>
      <w:r>
        <w:rPr>
          <w:rFonts w:hint="eastAsia" w:asciiTheme="minorEastAsia" w:hAnsiTheme="minorEastAsia" w:eastAsiaTheme="minorEastAsia" w:cstheme="minorEastAsia"/>
          <w:sz w:val="21"/>
          <w:szCs w:val="21"/>
          <w:highlight w:val="none"/>
        </w:rPr>
        <w:t>防污面漆，干膜厚度</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00μm。</w:t>
      </w:r>
    </w:p>
    <w:p>
      <w:pPr>
        <w:shd w:val="clear"/>
        <w:spacing w:line="360" w:lineRule="auto"/>
        <w:ind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bidi="ar-SA"/>
        </w:rPr>
        <w:t>（</w:t>
      </w:r>
      <w:r>
        <w:rPr>
          <w:rFonts w:hint="default" w:asciiTheme="minorEastAsia" w:hAnsiTheme="minorEastAsia" w:eastAsiaTheme="minorEastAsia" w:cstheme="minorEastAsia"/>
          <w:kern w:val="2"/>
          <w:sz w:val="21"/>
          <w:szCs w:val="21"/>
          <w:highlight w:val="none"/>
          <w:lang w:eastAsia="zh-CN" w:bidi="ar-SA"/>
        </w:rPr>
        <w:t>5</w:t>
      </w:r>
      <w:r>
        <w:rPr>
          <w:rFonts w:hint="eastAsia" w:asciiTheme="minorEastAsia" w:hAnsiTheme="minorEastAsia" w:eastAsiaTheme="minorEastAsia" w:cstheme="minorEastAsia"/>
          <w:kern w:val="2"/>
          <w:sz w:val="21"/>
          <w:szCs w:val="21"/>
          <w:highlight w:val="none"/>
          <w:lang w:val="en-US" w:eastAsia="zh-CN" w:bidi="ar-SA"/>
        </w:rPr>
        <w:t>）格栅盖板与地面高差不大于5mm。</w:t>
      </w:r>
    </w:p>
    <w:p>
      <w:pPr>
        <w:numPr>
          <w:ilvl w:val="0"/>
          <w:numId w:val="0"/>
        </w:numPr>
        <w:shd w:val="clear"/>
        <w:spacing w:line="360" w:lineRule="auto"/>
        <w:rPr>
          <w:rFonts w:hint="eastAsia" w:ascii="宋体" w:hAnsi="宋体" w:eastAsia="宋体" w:cs="宋体"/>
          <w:b/>
          <w:bCs/>
          <w:color w:val="auto"/>
          <w:sz w:val="21"/>
          <w:szCs w:val="21"/>
          <w:highlight w:val="none"/>
          <w:lang w:val="en-US" w:eastAsia="zh-CN"/>
        </w:rPr>
      </w:pPr>
    </w:p>
    <w:p>
      <w:pPr>
        <w:numPr>
          <w:ilvl w:val="0"/>
          <w:numId w:val="0"/>
        </w:numPr>
        <w:shd w:val="clea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2.3长山河枢纽一次性项目</w:t>
      </w:r>
    </w:p>
    <w:p>
      <w:pPr>
        <w:numPr>
          <w:ilvl w:val="0"/>
          <w:numId w:val="10"/>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工程概况</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rPr>
        <w:t>长山闸设7孔，每孔净宽8m，闸底板高程-2.84m，设计闸顶高程10.86m，闸室为胸墙式，闸孔设前后两道预应力钢筋混凝土平面闸门（互为备用）。</w:t>
      </w:r>
    </w:p>
    <w:p>
      <w:pPr>
        <w:numPr>
          <w:ilvl w:val="0"/>
          <w:numId w:val="10"/>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技术要求</w:t>
      </w:r>
      <w:r>
        <w:rPr>
          <w:rFonts w:hint="eastAsia" w:asciiTheme="minorEastAsia" w:hAnsiTheme="minorEastAsia" w:eastAsiaTheme="minorEastAsia" w:cstheme="minorEastAsia"/>
          <w:sz w:val="21"/>
          <w:szCs w:val="21"/>
          <w:highlight w:val="none"/>
          <w:lang w:val="en-US" w:eastAsia="zh-CN"/>
        </w:rPr>
        <w:t>及</w:t>
      </w:r>
      <w:r>
        <w:rPr>
          <w:rFonts w:hint="eastAsia" w:asciiTheme="minorEastAsia" w:hAnsiTheme="minorEastAsia" w:eastAsiaTheme="minorEastAsia" w:cstheme="minorEastAsia"/>
          <w:kern w:val="0"/>
          <w:sz w:val="21"/>
          <w:szCs w:val="21"/>
          <w:highlight w:val="none"/>
          <w:lang w:val="en-US" w:eastAsia="zh-CN"/>
        </w:rPr>
        <w:t>工程量清单</w:t>
      </w:r>
    </w:p>
    <w:tbl>
      <w:tblPr>
        <w:tblStyle w:val="35"/>
        <w:tblW w:w="9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2518"/>
        <w:gridCol w:w="3686"/>
        <w:gridCol w:w="1071"/>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内河侧侧水封更换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P50-5，SF6574,含损耗每扇重量37kg-14扇.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内河侧侧水封垫板更换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H20-7,SF6574,含损耗每扇重量18kg-14扇.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外江侧侧水封更换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P50-5,SF6574,含损耗每扇重量37kg-14扇.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外江侧侧水封垫板更换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H20-7,SF6574,含损耗每扇重量18kg-14扇.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底水封更换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宋体" w:hAnsi="宋体" w:eastAsia="宋体" w:cs="宋体"/>
                <w:i w:val="0"/>
                <w:iCs w:val="0"/>
                <w:color w:val="auto"/>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H16-2,SF6574,含损耗每扇重量31kg-14扇.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顶水封垫板更换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H20-7,SF6574,含损耗每扇重量15kg-14扇.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顶水封更换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P50-5，SF6574,含损耗每扇重量30kg-14扇.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支承滑块垫板更换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厚度8*120，每扇8kg-14扇.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横梁、拉杆拆装</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节</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16*1220更换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A4-70材质，每扇62套-14扇.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16*1200更换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A4-70材质，每扇108套-14扇.</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侧挡滑块螺栓 20*1200更换</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每扇24套</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止水橡皮拆装</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双面止水</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3号内江外江门楣门槽加焊钢板</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含门楣门槽同等材料、损耗及测量定位焊接</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脚手架搭设安全措施</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门楣与侧水封门槽接头漏水处理</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default"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用灯光或其他方法检查橡胶水封的压缩程度，不应有透亮或间隙</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焊条需用与埋件匹配的同等材质</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门槽与抓梁、拉杆之间安装尺寸检查、调整</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闸门升降过程无</w:t>
            </w:r>
            <w:r>
              <w:rPr>
                <w:rFonts w:hint="eastAsia" w:asciiTheme="minorEastAsia" w:hAnsiTheme="minorEastAsia" w:eastAsiaTheme="minorEastAsia" w:cstheme="minorEastAsia"/>
                <w:sz w:val="21"/>
                <w:szCs w:val="21"/>
                <w:highlight w:val="none"/>
                <w:lang w:eastAsia="zh-CN"/>
              </w:rPr>
              <w:t>明显震动和</w:t>
            </w:r>
            <w:r>
              <w:rPr>
                <w:rFonts w:hint="eastAsia" w:asciiTheme="minorEastAsia" w:hAnsiTheme="minorEastAsia" w:eastAsiaTheme="minorEastAsia" w:cstheme="minorEastAsia"/>
                <w:sz w:val="21"/>
                <w:szCs w:val="21"/>
                <w:highlight w:val="none"/>
              </w:rPr>
              <w:t>卡阻</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18</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顶压块支座及横梁焊接及调整</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支</w:t>
            </w:r>
            <w:r>
              <w:rPr>
                <w:rFonts w:hint="eastAsia" w:asciiTheme="minorEastAsia" w:hAnsiTheme="minorEastAsia" w:eastAsiaTheme="minorEastAsia" w:cstheme="minorEastAsia"/>
                <w:sz w:val="21"/>
                <w:szCs w:val="21"/>
                <w:highlight w:val="none"/>
                <w:lang w:eastAsia="zh-CN"/>
              </w:rPr>
              <w:t>铰</w:t>
            </w:r>
            <w:r>
              <w:rPr>
                <w:rFonts w:hint="eastAsia" w:asciiTheme="minorEastAsia" w:hAnsiTheme="minorEastAsia" w:eastAsiaTheme="minorEastAsia" w:cstheme="minorEastAsia"/>
                <w:sz w:val="21"/>
                <w:szCs w:val="21"/>
                <w:highlight w:val="none"/>
              </w:rPr>
              <w:t>及</w:t>
            </w:r>
            <w:r>
              <w:rPr>
                <w:rFonts w:hint="eastAsia" w:asciiTheme="minorEastAsia" w:hAnsiTheme="minorEastAsia" w:eastAsiaTheme="minorEastAsia" w:cstheme="minorEastAsia"/>
                <w:sz w:val="21"/>
                <w:szCs w:val="21"/>
                <w:highlight w:val="none"/>
                <w:lang w:eastAsia="zh-CN"/>
              </w:rPr>
              <w:t>顶</w:t>
            </w:r>
            <w:r>
              <w:rPr>
                <w:rFonts w:hint="eastAsia" w:asciiTheme="minorEastAsia" w:hAnsiTheme="minorEastAsia" w:eastAsiaTheme="minorEastAsia" w:cstheme="minorEastAsia"/>
                <w:sz w:val="21"/>
                <w:szCs w:val="21"/>
                <w:highlight w:val="none"/>
              </w:rPr>
              <w:t>转动部位运行</w:t>
            </w:r>
            <w:r>
              <w:rPr>
                <w:rFonts w:hint="eastAsia" w:asciiTheme="minorEastAsia" w:hAnsiTheme="minorEastAsia" w:eastAsiaTheme="minorEastAsia" w:cstheme="minorEastAsia"/>
                <w:sz w:val="21"/>
                <w:szCs w:val="21"/>
                <w:highlight w:val="none"/>
                <w:lang w:eastAsia="zh-CN"/>
              </w:rPr>
              <w:t>正常</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2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金属结构局部分防腐处理</w:t>
            </w:r>
          </w:p>
        </w:tc>
        <w:tc>
          <w:tcPr>
            <w:tcW w:w="3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油漆刮擦部位打磨油漆</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bl>
    <w:p>
      <w:pPr>
        <w:keepNext w:val="0"/>
        <w:keepLines w:val="0"/>
        <w:pageBreakBefore w:val="0"/>
        <w:widowControl w:val="0"/>
        <w:numPr>
          <w:ilvl w:val="0"/>
          <w:numId w:val="0"/>
        </w:numPr>
        <w:suppressLineNumbers w:val="0"/>
        <w:shd w:val="clear"/>
        <w:kinsoku/>
        <w:wordWrap/>
        <w:overflowPunct/>
        <w:topLinePunct w:val="0"/>
        <w:autoSpaceDE/>
        <w:autoSpaceDN/>
        <w:bidi w:val="0"/>
        <w:spacing w:before="0" w:beforeAutospacing="0" w:after="0" w:afterAutospacing="0" w:line="360" w:lineRule="auto"/>
        <w:ind w:leftChars="0" w:right="0" w:rightChars="0" w:firstLine="422" w:firstLineChars="200"/>
        <w:jc w:val="both"/>
        <w:textAlignment w:val="auto"/>
        <w:rPr>
          <w:rFonts w:hint="eastAsia" w:asciiTheme="minorEastAsia" w:hAnsiTheme="minorEastAsia" w:eastAsiaTheme="minorEastAsia" w:cstheme="minorEastAsia"/>
          <w:b/>
          <w:bCs/>
          <w:kern w:val="2"/>
          <w:sz w:val="21"/>
          <w:szCs w:val="21"/>
          <w:highlight w:val="none"/>
          <w:lang w:val="en-US" w:eastAsia="zh-CN" w:bidi="ar-SA"/>
        </w:rPr>
      </w:pPr>
      <w:r>
        <w:rPr>
          <w:rFonts w:hint="eastAsia" w:asciiTheme="minorEastAsia" w:hAnsiTheme="minorEastAsia" w:eastAsiaTheme="minorEastAsia" w:cstheme="minorEastAsia"/>
          <w:b/>
          <w:bCs/>
          <w:kern w:val="2"/>
          <w:sz w:val="21"/>
          <w:szCs w:val="21"/>
          <w:highlight w:val="none"/>
          <w:lang w:val="en-US" w:eastAsia="zh-CN" w:bidi="ar-SA"/>
        </w:rPr>
        <w:t>备注：本项目施工时间需按照涨退潮时间进行</w:t>
      </w:r>
    </w:p>
    <w:p>
      <w:pPr>
        <w:numPr>
          <w:ilvl w:val="0"/>
          <w:numId w:val="10"/>
        </w:numPr>
        <w:shd w:val="clear"/>
        <w:spacing w:line="360" w:lineRule="auto"/>
        <w:jc w:val="left"/>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质量目标</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更换止水橡皮后进行</w:t>
      </w:r>
      <w:r>
        <w:rPr>
          <w:rFonts w:hint="eastAsia" w:asciiTheme="minorEastAsia" w:hAnsiTheme="minorEastAsia" w:eastAsiaTheme="minorEastAsia" w:cstheme="minorEastAsia"/>
          <w:sz w:val="21"/>
          <w:szCs w:val="21"/>
          <w:highlight w:val="none"/>
        </w:rPr>
        <w:t>闸门试验</w:t>
      </w:r>
      <w:r>
        <w:rPr>
          <w:rFonts w:hint="eastAsia" w:asciiTheme="minorEastAsia" w:hAnsiTheme="minorEastAsia" w:eastAsiaTheme="minorEastAsia" w:cstheme="minorEastAsia"/>
          <w:sz w:val="21"/>
          <w:szCs w:val="21"/>
          <w:highlight w:val="none"/>
          <w:lang w:eastAsia="zh-CN"/>
        </w:rPr>
        <w:t>：</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滚轮,支</w:t>
      </w:r>
      <w:r>
        <w:rPr>
          <w:rFonts w:hint="eastAsia" w:asciiTheme="minorEastAsia" w:hAnsiTheme="minorEastAsia" w:eastAsiaTheme="minorEastAsia" w:cstheme="minorEastAsia"/>
          <w:sz w:val="21"/>
          <w:szCs w:val="21"/>
          <w:highlight w:val="none"/>
          <w:lang w:eastAsia="zh-CN"/>
        </w:rPr>
        <w:t>铰</w:t>
      </w:r>
      <w:r>
        <w:rPr>
          <w:rFonts w:hint="eastAsia" w:asciiTheme="minorEastAsia" w:hAnsiTheme="minorEastAsia" w:eastAsiaTheme="minorEastAsia" w:cstheme="minorEastAsia"/>
          <w:sz w:val="21"/>
          <w:szCs w:val="21"/>
          <w:highlight w:val="none"/>
        </w:rPr>
        <w:t>及</w:t>
      </w:r>
      <w:r>
        <w:rPr>
          <w:rFonts w:hint="eastAsia" w:asciiTheme="minorEastAsia" w:hAnsiTheme="minorEastAsia" w:eastAsiaTheme="minorEastAsia" w:cstheme="minorEastAsia"/>
          <w:sz w:val="21"/>
          <w:szCs w:val="21"/>
          <w:highlight w:val="none"/>
          <w:lang w:eastAsia="zh-CN"/>
        </w:rPr>
        <w:t>顶、</w:t>
      </w:r>
      <w:r>
        <w:rPr>
          <w:rFonts w:hint="eastAsia" w:asciiTheme="minorEastAsia" w:hAnsiTheme="minorEastAsia" w:eastAsiaTheme="minorEastAsia" w:cstheme="minorEastAsia"/>
          <w:sz w:val="21"/>
          <w:szCs w:val="21"/>
          <w:highlight w:val="none"/>
        </w:rPr>
        <w:t>底枢等部位运行</w:t>
      </w:r>
      <w:r>
        <w:rPr>
          <w:rFonts w:hint="eastAsia" w:asciiTheme="minorEastAsia" w:hAnsiTheme="minorEastAsia" w:eastAsiaTheme="minorEastAsia" w:cstheme="minorEastAsia"/>
          <w:sz w:val="21"/>
          <w:szCs w:val="21"/>
          <w:highlight w:val="none"/>
          <w:lang w:eastAsia="zh-CN"/>
        </w:rPr>
        <w:t>正常</w:t>
      </w:r>
      <w:r>
        <w:rPr>
          <w:rFonts w:hint="eastAsia" w:asciiTheme="minorEastAsia" w:hAnsiTheme="minorEastAsia" w:eastAsiaTheme="minorEastAsia" w:cstheme="minorEastAsia"/>
          <w:sz w:val="21"/>
          <w:szCs w:val="21"/>
          <w:highlight w:val="none"/>
        </w:rPr>
        <w:t>。</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闸门升降过程无卡阻。</w:t>
      </w:r>
    </w:p>
    <w:p>
      <w:pPr>
        <w:pStyle w:val="12"/>
        <w:shd w:val="clear"/>
        <w:spacing w:line="360" w:lineRule="auto"/>
        <w:ind w:right="342" w:firstLine="420" w:firstLineChars="200"/>
        <w:jc w:val="both"/>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闸门全部处于工作部位后，用灯光或其他方法检查橡胶水封的压缩程度，不应有透亮或间隙</w:t>
      </w:r>
      <w:r>
        <w:rPr>
          <w:rFonts w:hint="eastAsia" w:asciiTheme="minorEastAsia" w:hAnsiTheme="minorEastAsia" w:eastAsiaTheme="minorEastAsia" w:cstheme="minorEastAsia"/>
          <w:sz w:val="21"/>
          <w:szCs w:val="21"/>
          <w:highlight w:val="none"/>
          <w:lang w:eastAsia="zh-CN"/>
        </w:rPr>
        <w:t>。</w:t>
      </w:r>
    </w:p>
    <w:p>
      <w:pPr>
        <w:shd w:val="clea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闸门在承受设计水头压力时，通过任意1m长止水范围内漏水量不应超过0.1L/s。</w:t>
      </w:r>
    </w:p>
    <w:p>
      <w:pPr>
        <w:shd w:val="clear"/>
        <w:spacing w:line="360" w:lineRule="auto"/>
        <w:ind w:firstLine="420" w:firstLineChars="200"/>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5、项目符合</w:t>
      </w:r>
      <w:r>
        <w:rPr>
          <w:rFonts w:hint="default" w:asciiTheme="minorEastAsia" w:hAnsiTheme="minorEastAsia" w:eastAsiaTheme="minorEastAsia" w:cstheme="minorEastAsia"/>
          <w:sz w:val="21"/>
          <w:szCs w:val="21"/>
          <w:highlight w:val="none"/>
          <w:lang w:val="en-US" w:eastAsia="zh-CN"/>
        </w:rPr>
        <w:t>水利水电工程钢闸门制造安装及验收规范</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DL</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T5018-94</w:t>
      </w:r>
      <w:r>
        <w:rPr>
          <w:rFonts w:hint="eastAsia" w:asciiTheme="minorEastAsia" w:hAnsiTheme="minorEastAsia" w:eastAsiaTheme="minorEastAsia" w:cstheme="minorEastAsia"/>
          <w:sz w:val="21"/>
          <w:szCs w:val="21"/>
          <w:highlight w:val="none"/>
          <w:lang w:val="en-US" w:eastAsia="zh-CN"/>
        </w:rPr>
        <w:t>）、水利水电工程启闭机制造、安装及验收规范（</w:t>
      </w:r>
      <w:r>
        <w:rPr>
          <w:rFonts w:hint="default" w:asciiTheme="minorEastAsia" w:hAnsiTheme="minorEastAsia" w:eastAsiaTheme="minorEastAsia" w:cstheme="minorEastAsia"/>
          <w:sz w:val="21"/>
          <w:szCs w:val="21"/>
          <w:highlight w:val="none"/>
          <w:lang w:val="en-US" w:eastAsia="zh-CN"/>
        </w:rPr>
        <w:t>DL</w:t>
      </w:r>
      <w:r>
        <w:rPr>
          <w:rFonts w:hint="eastAsia" w:asciiTheme="minorEastAsia" w:hAnsiTheme="minorEastAsia" w:eastAsiaTheme="minorEastAsia" w:cstheme="minorEastAsia"/>
          <w:sz w:val="21"/>
          <w:szCs w:val="21"/>
          <w:highlight w:val="none"/>
          <w:lang w:val="en-US" w:eastAsia="zh-CN"/>
        </w:rPr>
        <w:t>/</w:t>
      </w:r>
      <w:r>
        <w:rPr>
          <w:rFonts w:hint="default" w:asciiTheme="minorEastAsia" w:hAnsiTheme="minorEastAsia" w:eastAsiaTheme="minorEastAsia" w:cstheme="minorEastAsia"/>
          <w:sz w:val="21"/>
          <w:szCs w:val="21"/>
          <w:highlight w:val="none"/>
          <w:lang w:val="en-US" w:eastAsia="zh-CN"/>
        </w:rPr>
        <w:t>T501</w:t>
      </w:r>
      <w:r>
        <w:rPr>
          <w:rFonts w:hint="eastAsia" w:asciiTheme="minorEastAsia" w:hAnsiTheme="minorEastAsia" w:eastAsiaTheme="minorEastAsia" w:cstheme="minorEastAsia"/>
          <w:sz w:val="21"/>
          <w:szCs w:val="21"/>
          <w:highlight w:val="none"/>
          <w:lang w:val="en-US" w:eastAsia="zh-CN"/>
        </w:rPr>
        <w:t>9</w:t>
      </w:r>
      <w:r>
        <w:rPr>
          <w:rFonts w:hint="default" w:asciiTheme="minorEastAsia" w:hAnsiTheme="minorEastAsia" w:eastAsiaTheme="minorEastAsia" w:cstheme="minorEastAsia"/>
          <w:sz w:val="21"/>
          <w:szCs w:val="21"/>
          <w:highlight w:val="none"/>
          <w:lang w:val="en-US" w:eastAsia="zh-CN"/>
        </w:rPr>
        <w:t>-94</w:t>
      </w:r>
      <w:r>
        <w:rPr>
          <w:rFonts w:hint="eastAsia" w:asciiTheme="minorEastAsia" w:hAnsiTheme="minorEastAsia" w:eastAsiaTheme="minorEastAsia" w:cstheme="minorEastAsia"/>
          <w:sz w:val="21"/>
          <w:szCs w:val="21"/>
          <w:highlight w:val="none"/>
          <w:lang w:val="en-US" w:eastAsia="zh-CN"/>
        </w:rPr>
        <w:t>）的要求。</w:t>
      </w:r>
    </w:p>
    <w:p>
      <w:pPr>
        <w:shd w:val="clear"/>
        <w:spacing w:line="360" w:lineRule="auto"/>
        <w:ind w:firstLine="420" w:firstLineChars="200"/>
        <w:rPr>
          <w:rFonts w:hint="default" w:asciiTheme="minorEastAsia" w:hAnsiTheme="minorEastAsia" w:eastAsiaTheme="minorEastAsia" w:cstheme="minorEastAsia"/>
          <w:sz w:val="21"/>
          <w:szCs w:val="21"/>
          <w:highlight w:val="none"/>
          <w:lang w:val="en-US" w:eastAsia="zh-CN"/>
        </w:rPr>
      </w:pPr>
    </w:p>
    <w:p>
      <w:pPr>
        <w:numPr>
          <w:ilvl w:val="0"/>
          <w:numId w:val="0"/>
        </w:numPr>
        <w:shd w:val="clea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2.4南台头枢纽一次性项目</w:t>
      </w:r>
    </w:p>
    <w:p>
      <w:pPr>
        <w:numPr>
          <w:ilvl w:val="0"/>
          <w:numId w:val="0"/>
        </w:numPr>
        <w:shd w:val="clear"/>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一、项目概况</w:t>
      </w:r>
    </w:p>
    <w:p>
      <w:pPr>
        <w:widowControl/>
        <w:shd w:val="clear"/>
        <w:spacing w:line="432" w:lineRule="auto"/>
        <w:ind w:firstLine="420" w:firstLineChars="200"/>
        <w:jc w:val="left"/>
        <w:outlineLvl w:val="1"/>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南台头枢纽管理所是南排工程的出海口之一，位于杭州湾北岸海盐县武原街道城南村，管辖范围包括南台头闸站、海盐境内及所辖南排河道及四座节制闸，主要职责是承担辖区内杭嘉湖南排工程的运行、维修、养护等工作。南台头</w:t>
      </w:r>
      <w:r>
        <w:rPr>
          <w:rFonts w:hint="eastAsia" w:ascii="宋体" w:hAnsi="宋体" w:eastAsia="宋体" w:cs="宋体"/>
          <w:kern w:val="2"/>
          <w:sz w:val="21"/>
          <w:szCs w:val="21"/>
          <w:highlight w:val="none"/>
          <w:lang w:val="en-US" w:eastAsia="zh-CN" w:bidi="ar-SA"/>
        </w:rPr>
        <w:t>闸闸门共4孔，每</w:t>
      </w:r>
      <w:r>
        <w:rPr>
          <w:rFonts w:hint="eastAsia" w:ascii="宋体" w:hAnsi="宋体" w:eastAsia="宋体" w:cs="宋体"/>
          <w:kern w:val="2"/>
          <w:sz w:val="21"/>
          <w:szCs w:val="21"/>
          <w:highlight w:val="none"/>
          <w:lang w:val="en-US" w:eastAsia="zh-CN" w:bidi="ar-SA"/>
        </w:rPr>
        <w:t>孔设前后两道闸门，单孔闸门尺寸为8.50m×4.6m，门型结构为钢结构平面滑动闸门，启闭方式为液压启闭机启闭。工程闸门受潮汐影响出现频繁的干湿交替，河口水含泥沙量较大，具有一定冲蚀作用，腐蚀环境较为苛刻。南台头排水泵站出水口共布置8扇快速工作闸门（带拍门）和8扇快速事故闸门，活塞行程6.2m，闸门孔口尺寸为3.95×5.4m（宽×高），闸门采用液压启闭机启闭。快速工作闸门启闭机容量为1×630kN，快速事故闸门启闭机容量为1×800kN。南台头泵站设有检修门机、清污机、双向门机、移动启闭机等相关特种设备。（相关部分图例如下）</w:t>
      </w:r>
    </w:p>
    <w:p>
      <w:pPr>
        <w:widowControl/>
        <w:shd w:val="clear"/>
        <w:spacing w:line="432" w:lineRule="auto"/>
        <w:ind w:firstLine="420" w:firstLineChars="200"/>
        <w:jc w:val="left"/>
        <w:outlineLvl w:val="1"/>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目主要包含南台头闸内河侧四扇孔闸门及附属金属结构的防腐、止水装置更换，泵站事故闸门、工作闸门在原有设备基础上进行闸门行程改造，泵站检修门机、清污机、双向门机、移动启闭机门机、油缸及附属起重设备金属结构防腐等内容。</w:t>
      </w:r>
    </w:p>
    <w:p>
      <w:pPr>
        <w:widowControl/>
        <w:shd w:val="clear"/>
        <w:spacing w:line="432" w:lineRule="auto"/>
        <w:ind w:firstLine="0" w:firstLineChars="0"/>
        <w:jc w:val="left"/>
        <w:outlineLvl w:val="1"/>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drawing>
          <wp:inline distT="0" distB="0" distL="114300" distR="114300">
            <wp:extent cx="2558415" cy="2353945"/>
            <wp:effectExtent l="0" t="0" r="13335" b="7620"/>
            <wp:docPr id="1" name="图片 1" descr="2f7e4c904908e67d6f8f9cfea0020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7e4c904908e67d6f8f9cfea002023c"/>
                    <pic:cNvPicPr>
                      <a:picLocks noChangeAspect="1"/>
                    </pic:cNvPicPr>
                  </pic:nvPicPr>
                  <pic:blipFill>
                    <a:blip r:embed="rId14"/>
                    <a:srcRect l="13257" t="-6387" r="21696"/>
                    <a:stretch>
                      <a:fillRect/>
                    </a:stretch>
                  </pic:blipFill>
                  <pic:spPr>
                    <a:xfrm>
                      <a:off x="0" y="0"/>
                      <a:ext cx="2558415" cy="2353945"/>
                    </a:xfrm>
                    <a:prstGeom prst="rect">
                      <a:avLst/>
                    </a:prstGeom>
                    <a:noFill/>
                    <a:ln>
                      <a:noFill/>
                    </a:ln>
                  </pic:spPr>
                </pic:pic>
              </a:graphicData>
            </a:graphic>
          </wp:inline>
        </w:drawing>
      </w:r>
      <w:r>
        <w:rPr>
          <w:rFonts w:hint="eastAsia" w:ascii="宋体" w:hAnsi="宋体" w:eastAsia="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drawing>
          <wp:inline distT="0" distB="0" distL="114300" distR="114300">
            <wp:extent cx="2195830" cy="2133600"/>
            <wp:effectExtent l="0" t="0" r="0" b="13970"/>
            <wp:docPr id="2" name="图片 2" descr="IMG_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96"/>
                    <pic:cNvPicPr>
                      <a:picLocks noChangeAspect="1"/>
                    </pic:cNvPicPr>
                  </pic:nvPicPr>
                  <pic:blipFill>
                    <a:blip r:embed="rId15"/>
                    <a:srcRect l="13812" t="12883" r="18929"/>
                    <a:stretch>
                      <a:fillRect/>
                    </a:stretch>
                  </pic:blipFill>
                  <pic:spPr>
                    <a:xfrm rot="5400000">
                      <a:off x="0" y="0"/>
                      <a:ext cx="2195830" cy="2133600"/>
                    </a:xfrm>
                    <a:prstGeom prst="rect">
                      <a:avLst/>
                    </a:prstGeom>
                    <a:noFill/>
                    <a:ln>
                      <a:noFill/>
                    </a:ln>
                  </pic:spPr>
                </pic:pic>
              </a:graphicData>
            </a:graphic>
          </wp:inline>
        </w:drawing>
      </w:r>
      <w:r>
        <w:rPr>
          <w:rFonts w:hint="eastAsia" w:ascii="宋体" w:hAnsi="宋体" w:cs="宋体"/>
          <w:kern w:val="2"/>
          <w:sz w:val="21"/>
          <w:szCs w:val="21"/>
          <w:highlight w:val="none"/>
          <w:lang w:val="en-US" w:eastAsia="zh-CN" w:bidi="ar-SA"/>
        </w:rPr>
        <w:t xml:space="preserve">     </w:t>
      </w:r>
    </w:p>
    <w:p>
      <w:pPr>
        <w:pStyle w:val="2"/>
        <w:shd w:val="clear"/>
        <w:ind w:left="0" w:leftChars="0" w:firstLine="404" w:firstLineChars="200"/>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QMS1*320KN/100KN 双向门机                          愣子港节制闸图例</w:t>
      </w:r>
    </w:p>
    <w:p>
      <w:pPr>
        <w:pStyle w:val="2"/>
        <w:shd w:val="clear"/>
        <w:ind w:left="0" w:leftChars="0" w:firstLine="1010" w:firstLineChars="500"/>
        <w:rPr>
          <w:rFonts w:hint="eastAsia"/>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及启闭机油缸图例</w:t>
      </w:r>
    </w:p>
    <w:p>
      <w:pPr>
        <w:numPr>
          <w:ilvl w:val="0"/>
          <w:numId w:val="11"/>
        </w:numPr>
        <w:shd w:val="clear"/>
        <w:spacing w:line="360" w:lineRule="auto"/>
        <w:ind w:leftChars="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eastAsia="zh-CN"/>
        </w:rPr>
        <w:t>技术要求</w:t>
      </w:r>
      <w:r>
        <w:rPr>
          <w:rFonts w:hint="eastAsia" w:ascii="宋体" w:hAnsi="宋体" w:eastAsia="宋体" w:cs="宋体"/>
          <w:b/>
          <w:bCs/>
          <w:sz w:val="21"/>
          <w:szCs w:val="21"/>
          <w:highlight w:val="none"/>
          <w:lang w:val="en-US" w:eastAsia="zh-CN"/>
        </w:rPr>
        <w:t>及工程量清单</w:t>
      </w:r>
    </w:p>
    <w:p>
      <w:pPr>
        <w:pStyle w:val="2"/>
        <w:numPr>
          <w:ilvl w:val="0"/>
          <w:numId w:val="0"/>
        </w:numPr>
        <w:shd w:val="clear"/>
        <w:ind w:leftChars="0"/>
        <w:rPr>
          <w:rFonts w:hint="default"/>
          <w:b/>
          <w:bCs/>
          <w:sz w:val="21"/>
          <w:szCs w:val="21"/>
          <w:highlight w:val="none"/>
          <w:lang w:val="en-US" w:eastAsia="zh-CN"/>
        </w:rPr>
      </w:pPr>
      <w:r>
        <w:rPr>
          <w:rFonts w:hint="eastAsia"/>
          <w:b/>
          <w:bCs/>
          <w:sz w:val="21"/>
          <w:szCs w:val="21"/>
          <w:highlight w:val="none"/>
          <w:lang w:val="en-US" w:eastAsia="zh-CN"/>
        </w:rPr>
        <w:t>1、工程量清单</w:t>
      </w:r>
    </w:p>
    <w:tbl>
      <w:tblPr>
        <w:tblStyle w:val="35"/>
        <w:tblW w:w="9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5"/>
        <w:gridCol w:w="2518"/>
        <w:gridCol w:w="3686"/>
        <w:gridCol w:w="1071"/>
        <w:gridCol w:w="1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编号</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项目名称</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项目主要特征</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计量单位</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36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bCs/>
                <w:i w:val="0"/>
                <w:color w:val="000000"/>
                <w:kern w:val="0"/>
                <w:sz w:val="21"/>
                <w:szCs w:val="21"/>
                <w:highlight w:val="none"/>
                <w:u w:val="none"/>
                <w:lang w:val="en-US" w:eastAsia="zh-CN" w:bidi="ar"/>
              </w:rPr>
            </w:pPr>
            <w:r>
              <w:rPr>
                <w:rFonts w:hint="eastAsia" w:asciiTheme="minorEastAsia" w:hAnsiTheme="minorEastAsia" w:eastAsiaTheme="minorEastAsia" w:cstheme="minorEastAsia"/>
                <w:b/>
                <w:bCs/>
                <w:i w:val="0"/>
                <w:color w:val="auto"/>
                <w:kern w:val="0"/>
                <w:sz w:val="21"/>
                <w:szCs w:val="21"/>
                <w:highlight w:val="none"/>
                <w:u w:val="none"/>
                <w:lang w:val="en-US" w:eastAsia="zh-CN" w:bidi="ar"/>
              </w:rPr>
              <w:t>2.4.1</w:t>
            </w:r>
            <w:r>
              <w:rPr>
                <w:rFonts w:hint="eastAsia" w:asciiTheme="minorEastAsia" w:hAnsiTheme="minorEastAsia" w:eastAsiaTheme="minorEastAsia" w:cstheme="minorEastAsia"/>
                <w:b/>
                <w:bCs/>
                <w:color w:val="auto"/>
                <w:sz w:val="21"/>
                <w:szCs w:val="21"/>
                <w:highlight w:val="none"/>
              </w:rPr>
              <w:t>南台头闸内河侧闸门防腐及止水装置更换</w:t>
            </w:r>
            <w:r>
              <w:rPr>
                <w:rFonts w:hint="eastAsia" w:asciiTheme="minorEastAsia" w:hAnsiTheme="minorEastAsia" w:eastAsiaTheme="minorEastAsia" w:cstheme="minorEastAsia"/>
                <w:b/>
                <w:bCs/>
                <w:color w:val="auto"/>
                <w:sz w:val="21"/>
                <w:szCs w:val="21"/>
                <w:highlight w:val="none"/>
                <w:lang w:val="en-US" w:eastAsia="zh-CN"/>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c>
          <w:tcPr>
            <w:tcW w:w="838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内河侧闸门防腐（含阴级保护）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表面处理</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包含内河侧4扇闸门、前后孔拉杆16根、</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搁门装置</w:t>
            </w:r>
            <w:r>
              <w:rPr>
                <w:rFonts w:hint="eastAsia" w:asciiTheme="minorEastAsia" w:hAnsiTheme="minorEastAsia" w:eastAsiaTheme="minorEastAsia" w:cstheme="minorEastAsia"/>
                <w:b w:val="0"/>
                <w:bCs w:val="0"/>
                <w:i w:val="0"/>
                <w:color w:val="auto"/>
                <w:kern w:val="0"/>
                <w:sz w:val="21"/>
                <w:szCs w:val="21"/>
                <w:highlight w:val="none"/>
                <w:u w:val="none"/>
                <w:lang w:val="en" w:eastAsia="zh-CN" w:bidi="ar"/>
              </w:rPr>
              <w:t>16</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组、检修梁8块</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扇</w:t>
            </w:r>
          </w:p>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1.2</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内河侧门叶结构</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tabs>
                <w:tab w:val="left" w:pos="837"/>
              </w:tabs>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内河侧4扇闸门</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1137.04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1.3</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内河侧水封压板</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内河侧4扇闸门</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1.4</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前后闸拉杆和搁门装置</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eastAsia="zh-CN"/>
              </w:rPr>
            </w:pPr>
            <w:r>
              <w:rPr>
                <w:rFonts w:hint="eastAsia" w:asciiTheme="minorEastAsia" w:hAnsiTheme="minorEastAsia" w:eastAsiaTheme="minorEastAsia" w:cstheme="minorEastAsia"/>
                <w:b w:val="0"/>
                <w:bCs w:val="0"/>
                <w:i w:val="0"/>
                <w:iCs w:val="0"/>
                <w:color w:val="auto"/>
                <w:sz w:val="21"/>
                <w:szCs w:val="21"/>
                <w:highlight w:val="none"/>
                <w:u w:val="none"/>
                <w:lang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前后孔拉杆16根、</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搁门装置</w:t>
            </w:r>
            <w:r>
              <w:rPr>
                <w:rFonts w:hint="eastAsia" w:asciiTheme="minorEastAsia" w:hAnsiTheme="minorEastAsia" w:eastAsiaTheme="minorEastAsia" w:cstheme="minorEastAsia"/>
                <w:b w:val="0"/>
                <w:bCs w:val="0"/>
                <w:i w:val="0"/>
                <w:color w:val="auto"/>
                <w:kern w:val="0"/>
                <w:sz w:val="21"/>
                <w:szCs w:val="21"/>
                <w:highlight w:val="none"/>
                <w:u w:val="none"/>
                <w:lang w:val="en" w:eastAsia="zh-CN" w:bidi="ar"/>
              </w:rPr>
              <w:t>16</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220.16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1.5</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闸门检修梁部分</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含检修梁8块</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1.6</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内河侧闸门阳极锌块更换</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更换每扇闸门含铝锌铟合金阳极（AT-1）28支,四扇总计112支，包含拆卸、更换、焊接及辅材使用等完整工序。</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支</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sz w:val="21"/>
                <w:szCs w:val="21"/>
                <w:highlight w:val="none"/>
                <w:lang w:val="en-US" w:eastAsia="zh-CN"/>
              </w:rPr>
              <w:t>2</w:t>
            </w:r>
          </w:p>
        </w:tc>
        <w:tc>
          <w:tcPr>
            <w:tcW w:w="838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both"/>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sz w:val="21"/>
                <w:szCs w:val="21"/>
                <w:highlight w:val="none"/>
              </w:rPr>
              <w:t>内河侧</w:t>
            </w:r>
            <w:r>
              <w:rPr>
                <w:rFonts w:hint="eastAsia" w:asciiTheme="minorEastAsia" w:hAnsiTheme="minorEastAsia" w:eastAsiaTheme="minorEastAsia" w:cstheme="minorEastAsia"/>
                <w:b w:val="0"/>
                <w:bCs w:val="0"/>
                <w:sz w:val="21"/>
                <w:szCs w:val="21"/>
                <w:highlight w:val="none"/>
                <w:lang w:eastAsia="zh-CN"/>
              </w:rPr>
              <w:t>闸门</w:t>
            </w:r>
            <w:r>
              <w:rPr>
                <w:rFonts w:hint="eastAsia" w:asciiTheme="minorEastAsia" w:hAnsiTheme="minorEastAsia" w:eastAsiaTheme="minorEastAsia" w:cstheme="minorEastAsia"/>
                <w:b w:val="0"/>
                <w:bCs w:val="0"/>
                <w:sz w:val="21"/>
                <w:szCs w:val="21"/>
                <w:highlight w:val="none"/>
              </w:rPr>
              <w:t>止水装置更换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侧止水（Ⅰ）</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50*125*16*4700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2.2</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侧水封垫板（Ⅰ）</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2.3</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侧水封垫板（Ⅱ）</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2.4</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侧止水（Ⅱ）</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50*125*16*4300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2.5</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侧底止水（1）</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16*50*112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2.6</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侧底止水（2）</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16*112*1500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2.7</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侧底止水（3）</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14*50*112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2.8</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底止水</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16*112*8150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2.9</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顶止水垫板</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2.10</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顶止水</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50*125*16*4300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2.11</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转角止水</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 材料SF6574</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2.12</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M16*90 Q235B镀锌</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2.13</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M16*115 Q235B镀锌</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2.14</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M16*70 Q235B镀锌</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2.15</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六角螺母</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 Q235B镀锌</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w:t>
            </w:r>
          </w:p>
        </w:tc>
        <w:tc>
          <w:tcPr>
            <w:tcW w:w="838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内河侧闸门滑块更换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3.1</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侧向滑块装配</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组合件，单重2.23kg（300X130X60，侧向滑块材料：MGD）</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件</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3.2</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支承滑块装配</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组合件，单重5.8kg（630X140X56，支撑滑块材料：MGB）</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件</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 xml:space="preserve">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4</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闸门拉杆、止水橡皮（装置）拆装及调试</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防尘防护措施</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应有防护措施，防止如除锈、喷漆产生的尘雾对闸门启闭机、电气设备、视频设备等污染、损害。</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6</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36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Theme="minorEastAsia" w:hAnsiTheme="minorEastAsia" w:eastAsiaTheme="minorEastAsia" w:cstheme="minorEastAsia"/>
                <w:b/>
                <w:bCs/>
                <w:i w:val="0"/>
                <w:iCs w:val="0"/>
                <w:color w:val="000000"/>
                <w:sz w:val="21"/>
                <w:szCs w:val="21"/>
                <w:highlight w:val="none"/>
                <w:u w:val="none"/>
                <w:lang w:val="en-US" w:eastAsia="zh-CN"/>
              </w:rPr>
            </w:pPr>
            <w:r>
              <w:rPr>
                <w:rFonts w:hint="eastAsia" w:asciiTheme="minorEastAsia" w:hAnsiTheme="minorEastAsia" w:eastAsiaTheme="minorEastAsia" w:cstheme="minorEastAsia"/>
                <w:b/>
                <w:bCs/>
                <w:i w:val="0"/>
                <w:color w:val="auto"/>
                <w:kern w:val="0"/>
                <w:sz w:val="21"/>
                <w:szCs w:val="21"/>
                <w:highlight w:val="none"/>
                <w:u w:val="none"/>
                <w:lang w:val="en-US" w:eastAsia="zh-CN" w:bidi="ar"/>
              </w:rPr>
              <w:t>2.4.2</w:t>
            </w:r>
            <w:r>
              <w:rPr>
                <w:rFonts w:hint="eastAsia" w:asciiTheme="minorEastAsia" w:hAnsiTheme="minorEastAsia" w:eastAsiaTheme="minorEastAsia" w:cstheme="minorEastAsia"/>
                <w:b/>
                <w:bCs/>
                <w:color w:val="auto"/>
                <w:sz w:val="21"/>
                <w:szCs w:val="21"/>
                <w:highlight w:val="none"/>
                <w:lang w:val="en-US" w:eastAsia="zh-CN"/>
              </w:rPr>
              <w:t>泵站门机、油缸及起重设备金属防腐项目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5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轨道防腐</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除锈，打磨，清理，轨道防腐底漆一遍，面漆一遍，螺帽加涂黄油和保护套</w:t>
            </w:r>
          </w:p>
        </w:tc>
        <w:tc>
          <w:tcPr>
            <w:tcW w:w="1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米</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QM2*160KN检修门机防腐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额定起重32t 起升速度3.5m/min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起升高度20m 跨度2.8m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大车运行速度2-20m/min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QMS2*100KN清污机防腐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起升速度0.8-8m/min起升高度12.5m 轮距7.5m轨距3.65m清污宽度7m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大车运行速度2-20m/min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QMS1*320KN/100KN 双向门机防腐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额定起重32t 起升速度1.88m/min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起升高度25m 跨度9.5m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 xml:space="preserve">大车运行速度1.9-19m/min </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挡沙闸 QT2*500KN移动启闭机防</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腐(含吊钩及连接件）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启闭力2x50吨 起升速度1.83m/min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起升高度11m 吊点中心距6.63m</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行走速度1-10m/min行走距高5m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轨距9m 基距1.8m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QT2*500KN移动启闭机抓梁防腐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抓梁单位尺寸13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r>
              <w:rPr>
                <w:rFonts w:hint="eastAsia" w:asciiTheme="minorEastAsia" w:hAnsiTheme="minorEastAsia" w:eastAsiaTheme="minorEastAsia" w:cstheme="minorEastAsia"/>
                <w:i w:val="0"/>
                <w:iCs w:val="0"/>
                <w:color w:val="000000"/>
                <w:kern w:val="0"/>
                <w:sz w:val="21"/>
                <w:szCs w:val="21"/>
                <w:highlight w:val="none"/>
                <w:u w:val="none"/>
                <w:lang w:eastAsia="zh-CN" w:bidi="ar"/>
              </w:rPr>
              <w:t>85mx</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w:t>
            </w:r>
            <w:r>
              <w:rPr>
                <w:rFonts w:hint="eastAsia" w:asciiTheme="minorEastAsia" w:hAnsiTheme="minorEastAsia" w:eastAsiaTheme="minorEastAsia" w:cstheme="minorEastAsia"/>
                <w:i w:val="0"/>
                <w:iCs w:val="0"/>
                <w:color w:val="000000"/>
                <w:kern w:val="0"/>
                <w:sz w:val="21"/>
                <w:szCs w:val="21"/>
                <w:highlight w:val="none"/>
                <w:u w:val="none"/>
                <w:lang w:eastAsia="zh-CN" w:bidi="ar"/>
              </w:rPr>
              <w:t>74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eastAsia="zh-CN" w:bidi="ar"/>
              </w:rPr>
              <w:t>x</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w:t>
            </w:r>
            <w:r>
              <w:rPr>
                <w:rFonts w:hint="eastAsia" w:asciiTheme="minorEastAsia" w:hAnsiTheme="minorEastAsia" w:eastAsiaTheme="minorEastAsia" w:cstheme="minorEastAsia"/>
                <w:i w:val="0"/>
                <w:iCs w:val="0"/>
                <w:color w:val="000000"/>
                <w:kern w:val="0"/>
                <w:sz w:val="21"/>
                <w:szCs w:val="21"/>
                <w:highlight w:val="none"/>
                <w:u w:val="none"/>
                <w:lang w:eastAsia="zh-CN" w:bidi="ar"/>
              </w:rPr>
              <w:t>85</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液压启闭机油缸及室外液压管道防腐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单套油缸包含油缸、底座约2.3mX0.8mX0.45m、连接油管约26m，其中启闭机油缸内径0.28m，活塞行程6.2m。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盐平闸零星金属结构防腐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主要是</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液压启闭机油缸、液压油管等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金属构件的防腐处理。距离南台头闸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0.3</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武通南闸零星金属结构防腐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主要是</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液压启闭机油缸、液压油管等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金属构件的反腐处理。距离南台头闸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愣子港闸零星金属结构防腐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包括行程支撑杆4根（单根尺寸4.5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X0.15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X0.23</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）、楼梯面积约88平方米等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和尚浜闸零星金属结构防腐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包括行程支撑杆4根（单根尺寸4.5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X0.15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X0.23</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）、楼梯约66平方米等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3.8</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防尘防护措施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应有防护措施，防止如除锈、喷漆产生的尘雾对闸门启闭机、电气设备、视频</w:t>
            </w:r>
          </w:p>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设备等污染、损害。提交35KV主变安全施工隔离方案。</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000000"/>
                <w:sz w:val="21"/>
                <w:szCs w:val="21"/>
                <w:highlight w:val="none"/>
                <w:u w:val="none"/>
                <w:lang w:eastAsia="zh-CN"/>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000000"/>
                <w:sz w:val="21"/>
                <w:szCs w:val="21"/>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936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Theme="minorEastAsia" w:hAnsiTheme="minorEastAsia" w:eastAsiaTheme="minorEastAsia" w:cstheme="minorEastAsia"/>
                <w:b/>
                <w:bCs/>
                <w:i w:val="0"/>
                <w:iCs w:val="0"/>
                <w:color w:val="000000"/>
                <w:sz w:val="21"/>
                <w:szCs w:val="21"/>
                <w:highlight w:val="none"/>
                <w:u w:val="none"/>
                <w:lang w:val="en-US" w:eastAsia="zh-CN"/>
              </w:rPr>
            </w:pPr>
            <w:r>
              <w:rPr>
                <w:rFonts w:hint="eastAsia" w:asciiTheme="minorEastAsia" w:hAnsiTheme="minorEastAsia" w:eastAsiaTheme="minorEastAsia" w:cstheme="minorEastAsia"/>
                <w:b/>
                <w:bCs/>
                <w:i w:val="0"/>
                <w:color w:val="auto"/>
                <w:kern w:val="0"/>
                <w:sz w:val="21"/>
                <w:szCs w:val="21"/>
                <w:highlight w:val="none"/>
                <w:u w:val="none"/>
                <w:lang w:val="en-US" w:eastAsia="zh-CN" w:bidi="ar"/>
              </w:rPr>
              <w:t>2.4.3</w:t>
            </w:r>
            <w:r>
              <w:rPr>
                <w:rFonts w:hint="eastAsia" w:asciiTheme="minorEastAsia" w:hAnsiTheme="minorEastAsia" w:eastAsiaTheme="minorEastAsia" w:cstheme="minorEastAsia"/>
                <w:b/>
                <w:bCs/>
                <w:sz w:val="21"/>
                <w:szCs w:val="21"/>
                <w:highlight w:val="none"/>
                <w:lang w:val="en-US" w:eastAsia="zh-CN"/>
              </w:rPr>
              <w:t>泵站工作（事故）闸门行程改造项目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不锈钢标尺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材质应符合国家相关标准</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不锈钢箭头指针</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长15cmX宽10cm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不锈扁管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宽8cmX厚2cm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不锈钢抱箍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含安装一切耗材，安装需牢固，安装完成后不影响闸门正常启闭</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left"/>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w:t>
            </w:r>
          </w:p>
        </w:tc>
      </w:tr>
    </w:tbl>
    <w:p>
      <w:pPr>
        <w:pStyle w:val="2"/>
        <w:shd w:val="clear"/>
        <w:ind w:left="0" w:leftChars="0" w:firstLine="0" w:firstLineChars="0"/>
        <w:rPr>
          <w:rFonts w:hint="eastAsia" w:ascii="宋体" w:hAnsi="宋体" w:eastAsia="宋体" w:cs="宋体"/>
          <w:b/>
          <w:bCs/>
          <w:color w:val="000000"/>
          <w:kern w:val="0"/>
          <w:sz w:val="21"/>
          <w:szCs w:val="21"/>
          <w:highlight w:val="none"/>
          <w:lang w:val="en-US" w:eastAsia="zh-CN" w:bidi="ar"/>
        </w:rPr>
      </w:pPr>
    </w:p>
    <w:p>
      <w:pPr>
        <w:pStyle w:val="2"/>
        <w:shd w:val="clear"/>
        <w:ind w:left="0" w:leftChars="0" w:firstLine="0" w:firstLineChars="0"/>
        <w:rPr>
          <w:rFonts w:hint="default"/>
          <w:b/>
          <w:bCs/>
          <w:highlight w:val="none"/>
          <w:lang w:val="en-US" w:eastAsia="zh-CN"/>
        </w:rPr>
      </w:pPr>
      <w:r>
        <w:rPr>
          <w:rFonts w:hint="eastAsia" w:ascii="宋体" w:hAnsi="宋体" w:eastAsia="宋体" w:cs="宋体"/>
          <w:b/>
          <w:bCs/>
          <w:color w:val="000000"/>
          <w:kern w:val="0"/>
          <w:sz w:val="21"/>
          <w:szCs w:val="21"/>
          <w:highlight w:val="none"/>
          <w:lang w:val="en-US" w:eastAsia="zh-CN" w:bidi="ar"/>
        </w:rPr>
        <w:t>2、技术要求</w:t>
      </w:r>
    </w:p>
    <w:p>
      <w:pPr>
        <w:widowControl/>
        <w:numPr>
          <w:ilvl w:val="0"/>
          <w:numId w:val="0"/>
        </w:numPr>
        <w:shd w:val="clear"/>
        <w:spacing w:line="360" w:lineRule="auto"/>
        <w:ind w:firstLine="0" w:firstLineChars="0"/>
        <w:jc w:val="both"/>
        <w:textAlignment w:val="top"/>
        <w:rPr>
          <w:rFonts w:hint="eastAsia" w:ascii="宋体" w:hAnsi="宋体" w:eastAsia="宋体" w:cs="宋体"/>
          <w:b w:val="0"/>
          <w:bCs w:val="0"/>
          <w:color w:val="000000"/>
          <w:kern w:val="0"/>
          <w:sz w:val="21"/>
          <w:szCs w:val="21"/>
          <w:highlight w:val="none"/>
          <w:lang w:eastAsia="zh-CN" w:bidi="ar"/>
        </w:rPr>
      </w:pPr>
      <w:r>
        <w:rPr>
          <w:rFonts w:hint="eastAsia" w:ascii="宋体" w:hAnsi="宋体" w:eastAsia="宋体" w:cs="宋体"/>
          <w:b w:val="0"/>
          <w:bCs w:val="0"/>
          <w:color w:val="000000"/>
          <w:kern w:val="0"/>
          <w:sz w:val="21"/>
          <w:szCs w:val="21"/>
          <w:highlight w:val="none"/>
          <w:lang w:val="en-US" w:eastAsia="zh-CN" w:bidi="ar"/>
        </w:rPr>
        <w:t>1）</w:t>
      </w:r>
      <w:r>
        <w:rPr>
          <w:rFonts w:hint="eastAsia" w:ascii="宋体" w:hAnsi="宋体" w:cs="宋体"/>
          <w:b w:val="0"/>
          <w:bCs w:val="0"/>
          <w:color w:val="000000"/>
          <w:kern w:val="0"/>
          <w:sz w:val="21"/>
          <w:szCs w:val="21"/>
          <w:highlight w:val="none"/>
          <w:lang w:val="en-US" w:eastAsia="zh-CN" w:bidi="ar"/>
        </w:rPr>
        <w:t>闸门</w:t>
      </w:r>
      <w:r>
        <w:rPr>
          <w:rFonts w:hint="eastAsia" w:ascii="宋体" w:hAnsi="宋体" w:eastAsia="宋体" w:cs="宋体"/>
          <w:b w:val="0"/>
          <w:bCs w:val="0"/>
          <w:color w:val="000000"/>
          <w:kern w:val="0"/>
          <w:sz w:val="21"/>
          <w:szCs w:val="21"/>
          <w:highlight w:val="none"/>
          <w:lang w:eastAsia="zh-CN" w:bidi="ar"/>
        </w:rPr>
        <w:t>防腐施工满足下表：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286"/>
        <w:gridCol w:w="1886"/>
        <w:gridCol w:w="2263"/>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0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46"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工序名称</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施工方法</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技术要求</w:t>
            </w:r>
          </w:p>
        </w:tc>
        <w:tc>
          <w:tcPr>
            <w:tcW w:w="98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内河侧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restar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46" w:type="pct"/>
            <w:vMerge w:val="restar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表面处理</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清理淤泥</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无杂物</w:t>
            </w:r>
          </w:p>
        </w:tc>
        <w:tc>
          <w:tcPr>
            <w:tcW w:w="98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246" w:type="pct"/>
            <w:vMerge w:val="continue"/>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铲除起皮</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无遗漏</w:t>
            </w:r>
          </w:p>
        </w:tc>
        <w:tc>
          <w:tcPr>
            <w:tcW w:w="98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整体表面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vMerge w:val="continue"/>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246" w:type="pct"/>
            <w:vMerge w:val="continue"/>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动力打磨除锈</w:t>
            </w:r>
            <w:r>
              <w:rPr>
                <w:rFonts w:hint="eastAsia" w:ascii="宋体" w:hAnsi="宋体" w:cs="宋体"/>
                <w:color w:val="auto"/>
                <w:sz w:val="21"/>
                <w:szCs w:val="21"/>
                <w:highlight w:val="none"/>
                <w:lang w:val="en-US" w:eastAsia="zh-CN"/>
              </w:rPr>
              <w:t>或激光除锈</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St2级</w:t>
            </w:r>
          </w:p>
        </w:tc>
        <w:tc>
          <w:tcPr>
            <w:tcW w:w="98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锈蚀部位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0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46"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环氧富锌底漆一道</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保证锈蚀部位全涂装，干膜厚度40μm</w:t>
            </w:r>
          </w:p>
        </w:tc>
        <w:tc>
          <w:tcPr>
            <w:tcW w:w="98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46"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环氧云铁中间漆一道</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保证锈蚀部位全涂装，干膜厚度40μm</w:t>
            </w:r>
          </w:p>
        </w:tc>
        <w:tc>
          <w:tcPr>
            <w:tcW w:w="988" w:type="pct"/>
            <w:noWrap w:val="0"/>
            <w:vAlign w:val="top"/>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46"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环氧耐磨面漆</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道</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干膜厚度80μm</w:t>
            </w:r>
          </w:p>
        </w:tc>
        <w:tc>
          <w:tcPr>
            <w:tcW w:w="988" w:type="pct"/>
            <w:noWrap w:val="0"/>
            <w:vAlign w:val="top"/>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46"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船用防污漆</w:t>
            </w:r>
          </w:p>
        </w:tc>
        <w:tc>
          <w:tcPr>
            <w:tcW w:w="1028"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p>
        </w:tc>
        <w:tc>
          <w:tcPr>
            <w:tcW w:w="1233"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干膜厚度60μm</w:t>
            </w:r>
          </w:p>
        </w:tc>
        <w:tc>
          <w:tcPr>
            <w:tcW w:w="988" w:type="pct"/>
            <w:noWrap w:val="0"/>
            <w:vAlign w:val="top"/>
          </w:tcPr>
          <w:p>
            <w:pPr>
              <w:keepNext w:val="0"/>
              <w:keepLines w:val="0"/>
              <w:suppressLineNumbers w:val="0"/>
              <w:shd w:val="clear"/>
              <w:spacing w:before="0" w:beforeAutospacing="0" w:after="0" w:afterAutospacing="0" w:line="360" w:lineRule="auto"/>
              <w:ind w:left="0" w:right="0"/>
              <w:jc w:val="center"/>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刷涂或喷涂</w:t>
            </w:r>
            <w:r>
              <w:rPr>
                <w:rFonts w:hint="default" w:ascii="宋体" w:hAnsi="宋体" w:eastAsia="宋体" w:cs="宋体"/>
                <w:color w:val="auto"/>
                <w:sz w:val="21"/>
                <w:szCs w:val="21"/>
                <w:highlight w:val="none"/>
              </w:rPr>
              <w:t>（整体靠海的一面）</w:t>
            </w:r>
          </w:p>
        </w:tc>
      </w:tr>
    </w:tbl>
    <w:p>
      <w:pPr>
        <w:numPr>
          <w:ilvl w:val="0"/>
          <w:numId w:val="0"/>
        </w:numPr>
        <w:shd w:val="clear"/>
        <w:spacing w:line="360" w:lineRule="auto"/>
        <w:rPr>
          <w:rFonts w:hint="eastAsia" w:ascii="宋体" w:hAnsi="宋体" w:cs="宋体"/>
          <w:b/>
          <w:bCs/>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门机、油缸及起重设备金属防腐</w:t>
      </w:r>
      <w:r>
        <w:rPr>
          <w:rFonts w:hint="eastAsia" w:ascii="宋体" w:hAnsi="宋体" w:cs="宋体"/>
          <w:b/>
          <w:bCs/>
          <w:color w:val="auto"/>
          <w:sz w:val="21"/>
          <w:szCs w:val="21"/>
          <w:highlight w:val="none"/>
          <w:lang w:val="en-US" w:eastAsia="zh-CN"/>
        </w:rPr>
        <w:t>要求</w:t>
      </w:r>
    </w:p>
    <w:p>
      <w:pPr>
        <w:numPr>
          <w:ilvl w:val="0"/>
          <w:numId w:val="0"/>
        </w:numPr>
        <w:shd w:val="clear"/>
        <w:spacing w:line="360" w:lineRule="auto"/>
        <w:ind w:left="-15" w:leftChars="-7"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涂膜固化干燥后，漆膜厚度</w:t>
      </w:r>
      <w:r>
        <w:rPr>
          <w:rFonts w:hint="eastAsia" w:ascii="宋体" w:hAnsi="宋体" w:eastAsia="宋体" w:cs="宋体"/>
          <w:sz w:val="21"/>
          <w:szCs w:val="21"/>
          <w:highlight w:val="none"/>
          <w:lang w:val="en-US" w:eastAsia="zh-CN"/>
        </w:rPr>
        <w:t>检验标准</w:t>
      </w:r>
      <w:r>
        <w:rPr>
          <w:rFonts w:hint="eastAsia" w:ascii="宋体" w:hAnsi="宋体" w:eastAsia="宋体" w:cs="宋体"/>
          <w:sz w:val="21"/>
          <w:szCs w:val="21"/>
          <w:highlight w:val="none"/>
        </w:rPr>
        <w:t>85%以上测点的厚度要求如下表，最低厚度不低于要求厚度的85%。</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911"/>
        <w:gridCol w:w="1834"/>
        <w:gridCol w:w="1834"/>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w:t>
            </w:r>
          </w:p>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号</w:t>
            </w:r>
          </w:p>
        </w:tc>
        <w:tc>
          <w:tcPr>
            <w:tcW w:w="1587"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涂装程序</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涂装方法</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干膜厚度</w:t>
            </w:r>
          </w:p>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587"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基材表面处理</w:t>
            </w:r>
          </w:p>
        </w:tc>
        <w:tc>
          <w:tcPr>
            <w:tcW w:w="3000" w:type="pct"/>
            <w:gridSpan w:val="3"/>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动力打磨除锈</w:t>
            </w:r>
            <w:r>
              <w:rPr>
                <w:rFonts w:hint="eastAsia" w:ascii="宋体" w:hAnsi="宋体" w:cs="宋体"/>
                <w:color w:val="auto"/>
                <w:sz w:val="21"/>
                <w:szCs w:val="21"/>
                <w:highlight w:val="none"/>
                <w:lang w:val="en-US" w:eastAsia="zh-CN"/>
              </w:rPr>
              <w:t>或激光除锈，</w:t>
            </w:r>
            <w:r>
              <w:rPr>
                <w:rFonts w:hint="eastAsia" w:ascii="宋体" w:hAnsi="宋体" w:eastAsia="宋体" w:cs="宋体"/>
                <w:sz w:val="21"/>
                <w:szCs w:val="21"/>
                <w:highlight w:val="none"/>
              </w:rPr>
              <w:t>除去铁锈、氧化皮等杂物</w:t>
            </w:r>
            <w:r>
              <w:rPr>
                <w:rFonts w:hint="eastAsia" w:ascii="宋体" w:hAnsi="宋体" w:cs="宋体"/>
                <w:color w:val="auto"/>
                <w:sz w:val="21"/>
                <w:szCs w:val="21"/>
                <w:highlight w:val="none"/>
                <w:lang w:val="en-US" w:eastAsia="zh-CN"/>
              </w:rPr>
              <w:t>，</w:t>
            </w:r>
            <w:r>
              <w:rPr>
                <w:rFonts w:hint="eastAsia" w:ascii="宋体" w:hAnsi="宋体" w:eastAsia="宋体" w:cs="宋体"/>
                <w:sz w:val="21"/>
                <w:szCs w:val="21"/>
                <w:highlight w:val="none"/>
              </w:rPr>
              <w:t>表面处理达GB8923-2011规定的</w:t>
            </w:r>
            <w:r>
              <w:rPr>
                <w:rFonts w:hint="eastAsia" w:ascii="宋体" w:hAnsi="宋体" w:eastAsia="宋体" w:cs="宋体"/>
                <w:sz w:val="21"/>
                <w:szCs w:val="21"/>
                <w:highlight w:val="none"/>
                <w:lang w:val="en-US" w:eastAsia="zh-CN"/>
              </w:rPr>
              <w:t>St2</w:t>
            </w:r>
            <w:r>
              <w:rPr>
                <w:rFonts w:hint="eastAsia" w:ascii="宋体" w:hAnsi="宋体" w:eastAsia="宋体" w:cs="宋体"/>
                <w:sz w:val="21"/>
                <w:szCs w:val="21"/>
                <w:highlight w:val="none"/>
              </w:rPr>
              <w:t>级标准的要求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587"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底</w:t>
            </w:r>
            <w:r>
              <w:rPr>
                <w:rFonts w:hint="eastAsia" w:ascii="宋体" w:hAnsi="宋体" w:eastAsia="宋体" w:cs="宋体"/>
                <w:sz w:val="21"/>
                <w:szCs w:val="21"/>
                <w:highlight w:val="none"/>
                <w:lang w:val="en-US" w:eastAsia="zh-CN"/>
              </w:rPr>
              <w:t>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环氧富锌底漆</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587"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中涂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环氧云铁中间漆</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587"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面涂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户外漆（</w:t>
            </w:r>
            <w:r>
              <w:rPr>
                <w:rFonts w:hint="eastAsia" w:ascii="宋体" w:hAnsi="宋体" w:eastAsia="宋体" w:cs="宋体"/>
                <w:sz w:val="21"/>
                <w:szCs w:val="21"/>
                <w:highlight w:val="none"/>
                <w:lang w:eastAsia="zh-CN"/>
              </w:rPr>
              <w:t>与原有颜色保持一致</w:t>
            </w:r>
            <w:r>
              <w:rPr>
                <w:rFonts w:hint="eastAsia" w:ascii="宋体" w:hAnsi="宋体" w:eastAsia="宋体" w:cs="宋体"/>
                <w:sz w:val="21"/>
                <w:szCs w:val="21"/>
                <w:highlight w:val="none"/>
              </w:rPr>
              <w:t>）</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喷涂</w:t>
            </w:r>
          </w:p>
        </w:tc>
        <w:tc>
          <w:tcPr>
            <w:tcW w:w="1000" w:type="pct"/>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r>
    </w:tbl>
    <w:p>
      <w:pPr>
        <w:keepNext w:val="0"/>
        <w:keepLines w:val="0"/>
        <w:pageBreakBefore w:val="0"/>
        <w:widowControl w:val="0"/>
        <w:numPr>
          <w:ilvl w:val="0"/>
          <w:numId w:val="0"/>
        </w:numPr>
        <w:suppressLineNumbers w:val="0"/>
        <w:shd w:val="clear"/>
        <w:kinsoku/>
        <w:wordWrap/>
        <w:overflowPunct/>
        <w:topLinePunct w:val="0"/>
        <w:autoSpaceDE/>
        <w:autoSpaceDN/>
        <w:bidi w:val="0"/>
        <w:spacing w:before="0" w:beforeAutospacing="0" w:after="0" w:afterAutospacing="0" w:line="360" w:lineRule="auto"/>
        <w:ind w:right="0" w:rightChars="0"/>
        <w:jc w:val="both"/>
        <w:textAlignment w:val="auto"/>
        <w:rPr>
          <w:rFonts w:hint="eastAsia" w:ascii="宋体" w:hAnsi="宋体" w:eastAsia="宋体" w:cs="宋体"/>
          <w:kern w:val="2"/>
          <w:sz w:val="21"/>
          <w:szCs w:val="21"/>
          <w:highlight w:val="none"/>
          <w:lang w:val="en-US" w:eastAsia="zh-CN" w:bidi="ar-SA"/>
        </w:rPr>
      </w:pPr>
    </w:p>
    <w:p>
      <w:pPr>
        <w:numPr>
          <w:ilvl w:val="0"/>
          <w:numId w:val="0"/>
        </w:numPr>
        <w:shd w:val="clear"/>
        <w:spacing w:line="360" w:lineRule="auto"/>
        <w:ind w:firstLine="0" w:firstLineChars="0"/>
        <w:rPr>
          <w:rFonts w:hint="eastAsia" w:ascii="宋体" w:hAnsi="宋体" w:eastAsia="宋体" w:cs="宋体"/>
          <w:b/>
          <w:bCs/>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用于本工程的水封橡皮及材料必须符合国家标准，阴极保护使用寿命</w:t>
      </w:r>
      <w:r>
        <w:rPr>
          <w:rFonts w:hint="eastAsia" w:ascii="宋体" w:hAnsi="宋体" w:eastAsia="宋体" w:cs="宋体"/>
          <w:color w:val="auto"/>
          <w:sz w:val="21"/>
          <w:szCs w:val="21"/>
          <w:highlight w:val="none"/>
          <w:lang w:eastAsia="zh-CN"/>
        </w:rPr>
        <w:t>满足相关要求</w:t>
      </w:r>
      <w:r>
        <w:rPr>
          <w:rFonts w:hint="eastAsia" w:ascii="宋体" w:hAnsi="宋体" w:eastAsia="宋体" w:cs="宋体"/>
          <w:color w:val="auto"/>
          <w:sz w:val="21"/>
          <w:szCs w:val="21"/>
          <w:highlight w:val="none"/>
        </w:rPr>
        <w:t>。防腐蚀涂装用的涂料，为保证各涂层间的配套性，所用防腐涂料品牌选择须一致。</w:t>
      </w:r>
    </w:p>
    <w:p>
      <w:pPr>
        <w:pStyle w:val="2"/>
        <w:shd w:val="clear"/>
        <w:ind w:left="0" w:leftChars="0" w:firstLine="0" w:firstLineChars="0"/>
        <w:rPr>
          <w:rFonts w:hint="eastAsia"/>
          <w:highlight w:val="none"/>
        </w:rPr>
      </w:pPr>
    </w:p>
    <w:p>
      <w:pPr>
        <w:numPr>
          <w:ilvl w:val="0"/>
          <w:numId w:val="0"/>
        </w:numPr>
        <w:shd w:val="clea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相关零部件更换尺寸应符合</w:t>
      </w:r>
      <w:r>
        <w:rPr>
          <w:rFonts w:hint="eastAsia" w:ascii="宋体" w:hAnsi="宋体" w:eastAsia="宋体" w:cs="宋体"/>
          <w:color w:val="auto"/>
          <w:sz w:val="21"/>
          <w:szCs w:val="21"/>
          <w:highlight w:val="none"/>
        </w:rPr>
        <w:t>设计图纸要求</w:t>
      </w:r>
      <w:r>
        <w:rPr>
          <w:rFonts w:hint="eastAsia" w:ascii="宋体" w:hAnsi="宋体" w:eastAsia="宋体" w:cs="宋体"/>
          <w:color w:val="auto"/>
          <w:sz w:val="21"/>
          <w:szCs w:val="21"/>
          <w:highlight w:val="none"/>
          <w:lang w:eastAsia="zh-CN"/>
        </w:rPr>
        <w:t>，并遵循《水闸技术管理规程》</w:t>
      </w:r>
      <w:r>
        <w:rPr>
          <w:rFonts w:hint="eastAsia" w:ascii="宋体" w:hAnsi="宋体" w:eastAsia="宋体" w:cs="宋体"/>
          <w:color w:val="auto"/>
          <w:sz w:val="21"/>
          <w:szCs w:val="21"/>
          <w:highlight w:val="none"/>
          <w:lang w:val="en-US" w:eastAsia="zh-CN"/>
        </w:rPr>
        <w:t>SL75-2014等有关规程规范。</w:t>
      </w:r>
    </w:p>
    <w:p>
      <w:pPr>
        <w:numPr>
          <w:ilvl w:val="0"/>
          <w:numId w:val="0"/>
        </w:numPr>
        <w:shd w:val="clear"/>
        <w:spacing w:line="360" w:lineRule="auto"/>
        <w:rPr>
          <w:rFonts w:hint="eastAsia" w:ascii="宋体" w:hAnsi="宋体" w:eastAsia="宋体" w:cs="宋体"/>
          <w:color w:val="auto"/>
          <w:sz w:val="21"/>
          <w:szCs w:val="21"/>
          <w:highlight w:val="none"/>
        </w:rPr>
      </w:pP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符合</w:t>
      </w:r>
      <w:r>
        <w:rPr>
          <w:rFonts w:hint="eastAsia" w:ascii="宋体" w:hAnsi="宋体" w:eastAsia="宋体" w:cs="宋体"/>
          <w:sz w:val="21"/>
          <w:szCs w:val="21"/>
          <w:highlight w:val="none"/>
        </w:rPr>
        <w:t>《水工金属结构防腐规范》（SL105-2007）</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相关</w:t>
      </w:r>
      <w:r>
        <w:rPr>
          <w:rFonts w:hint="eastAsia" w:ascii="宋体" w:hAnsi="宋体" w:eastAsia="宋体" w:cs="宋体"/>
          <w:sz w:val="21"/>
          <w:szCs w:val="21"/>
          <w:highlight w:val="none"/>
          <w:lang w:eastAsia="zh-CN"/>
        </w:rPr>
        <w:t>国家标准规范</w:t>
      </w:r>
      <w:r>
        <w:rPr>
          <w:rFonts w:hint="eastAsia" w:ascii="宋体" w:hAnsi="宋体" w:eastAsia="宋体" w:cs="宋体"/>
          <w:sz w:val="21"/>
          <w:szCs w:val="21"/>
          <w:highlight w:val="none"/>
        </w:rPr>
        <w:t>规定，</w:t>
      </w:r>
      <w:r>
        <w:rPr>
          <w:rFonts w:hint="eastAsia" w:ascii="宋体" w:hAnsi="宋体" w:eastAsia="宋体" w:cs="宋体"/>
          <w:color w:val="auto"/>
          <w:sz w:val="21"/>
          <w:szCs w:val="21"/>
          <w:highlight w:val="none"/>
        </w:rPr>
        <w:t>油漆的质量及调制应</w:t>
      </w:r>
      <w:r>
        <w:rPr>
          <w:rFonts w:hint="eastAsia" w:ascii="宋体" w:hAnsi="宋体" w:eastAsia="宋体" w:cs="宋体"/>
          <w:sz w:val="21"/>
          <w:szCs w:val="21"/>
          <w:highlight w:val="none"/>
        </w:rPr>
        <w:t>符合SDZ014和DL/T5018-2004</w:t>
      </w:r>
      <w:r>
        <w:rPr>
          <w:rFonts w:hint="eastAsia" w:ascii="宋体" w:hAnsi="宋体" w:eastAsia="宋体" w:cs="宋体"/>
          <w:sz w:val="21"/>
          <w:szCs w:val="21"/>
          <w:highlight w:val="none"/>
          <w:lang w:eastAsia="zh-CN"/>
        </w:rPr>
        <w:t>相关</w:t>
      </w:r>
      <w:r>
        <w:rPr>
          <w:rFonts w:hint="eastAsia" w:ascii="宋体" w:hAnsi="宋体" w:eastAsia="宋体" w:cs="宋体"/>
          <w:sz w:val="21"/>
          <w:szCs w:val="21"/>
          <w:highlight w:val="none"/>
        </w:rPr>
        <w:t>规定</w:t>
      </w:r>
      <w:r>
        <w:rPr>
          <w:rFonts w:hint="eastAsia" w:ascii="宋体" w:hAnsi="宋体" w:eastAsia="宋体" w:cs="宋体"/>
          <w:sz w:val="21"/>
          <w:szCs w:val="21"/>
          <w:highlight w:val="none"/>
          <w:lang w:eastAsia="zh-CN"/>
        </w:rPr>
        <w:t>。</w:t>
      </w:r>
    </w:p>
    <w:p>
      <w:pPr>
        <w:numPr>
          <w:ilvl w:val="0"/>
          <w:numId w:val="0"/>
        </w:numPr>
        <w:shd w:val="clear"/>
        <w:spacing w:line="360" w:lineRule="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）阳极块需有质检报告，并符合国家标准GB/T20975.25-2008相关规定。</w:t>
      </w:r>
    </w:p>
    <w:p>
      <w:pPr>
        <w:shd w:val="clear"/>
        <w:spacing w:line="360" w:lineRule="auto"/>
        <w:rPr>
          <w:rFonts w:hint="eastAsia" w:ascii="宋体" w:hAnsi="宋体" w:eastAsia="宋体" w:cs="宋体"/>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sz w:val="21"/>
          <w:szCs w:val="21"/>
          <w:highlight w:val="none"/>
          <w:lang w:val="en-US" w:eastAsia="zh-CN"/>
        </w:rPr>
        <w:t>止水橡皮表面应光滑平整，侧止水中心距离和顶止水中心至底止水底缘距离符合设计图纸要求，压缩量应符合设计要求</w:t>
      </w:r>
      <w:r>
        <w:rPr>
          <w:rFonts w:hint="eastAsia" w:ascii="宋体" w:hAnsi="宋体" w:eastAsia="宋体" w:cs="宋体"/>
          <w:sz w:val="21"/>
          <w:szCs w:val="21"/>
          <w:highlight w:val="none"/>
        </w:rPr>
        <w:t>。</w:t>
      </w:r>
    </w:p>
    <w:p>
      <w:pPr>
        <w:shd w:val="clea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lang w:val="en-US" w:eastAsia="zh-CN"/>
        </w:rPr>
        <w:t>）止水橡皮</w:t>
      </w:r>
      <w:r>
        <w:rPr>
          <w:rFonts w:hint="eastAsia" w:ascii="宋体" w:hAnsi="宋体" w:eastAsia="宋体" w:cs="宋体"/>
          <w:color w:val="auto"/>
          <w:kern w:val="2"/>
          <w:sz w:val="21"/>
          <w:szCs w:val="21"/>
          <w:highlight w:val="none"/>
          <w:lang w:val="en-US" w:eastAsia="zh-CN" w:bidi="ar-SA"/>
        </w:rPr>
        <w:t>更换完成后闸门部位运行正常，闸门升降无卡阻，处于工作部位后，用灯光或其他方法检查橡胶水封的压缩程度，不应有透亮或间隙，在承受设计水头压力时，通过任意1m长止水范围内漏水量不应超过0.1L/s。</w:t>
      </w:r>
    </w:p>
    <w:p>
      <w:pPr>
        <w:pStyle w:val="12"/>
        <w:shd w:val="clear"/>
        <w:spacing w:line="360" w:lineRule="auto"/>
        <w:ind w:right="342"/>
        <w:jc w:val="both"/>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lang w:val="en-US" w:eastAsia="zh-CN"/>
        </w:rPr>
        <w:t>）滑块拆装应符合设计图纸要求，并考虑现场门槽实际情况，保证闸门启闭平稳无卡阻。</w:t>
      </w:r>
    </w:p>
    <w:p>
      <w:pPr>
        <w:shd w:val="clear"/>
        <w:spacing w:line="360" w:lineRule="auto"/>
        <w:ind w:firstLine="0" w:firstLineChars="0"/>
        <w:rPr>
          <w:rFonts w:hint="eastAsia" w:ascii="宋体" w:hAnsi="宋体" w:eastAsia="宋体" w:cs="宋体"/>
          <w:b/>
          <w:bCs/>
          <w:color w:val="auto"/>
          <w:sz w:val="21"/>
          <w:szCs w:val="21"/>
          <w:highlight w:val="none"/>
          <w:lang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）阳极拆装焊接</w:t>
      </w:r>
      <w:r>
        <w:rPr>
          <w:rFonts w:hint="eastAsia" w:ascii="宋体" w:hAnsi="宋体" w:eastAsia="宋体" w:cs="宋体"/>
          <w:color w:val="auto"/>
          <w:sz w:val="21"/>
          <w:szCs w:val="21"/>
          <w:highlight w:val="none"/>
          <w:lang w:eastAsia="zh-CN"/>
        </w:rPr>
        <w:t>符合相关要求，</w:t>
      </w:r>
      <w:r>
        <w:rPr>
          <w:rFonts w:hint="eastAsia" w:ascii="宋体" w:hAnsi="宋体" w:eastAsia="宋体" w:cs="宋体"/>
          <w:color w:val="auto"/>
          <w:sz w:val="21"/>
          <w:szCs w:val="21"/>
          <w:highlight w:val="none"/>
        </w:rPr>
        <w:t>阳极铁脚与钢板的焊点焊接前需机械或手工打磨，焊接完毕后将多余的焊渣清理掉，并将焊点处与铁脚进行与闸门门叶同等级别的防腐蚀涂层处理；对闸门进行防腐蚀涂层施工时需注意对阳极的保护，严禁将涂料涂覆在阳极上</w:t>
      </w:r>
      <w:r>
        <w:rPr>
          <w:rFonts w:hint="eastAsia" w:ascii="宋体" w:hAnsi="宋体" w:eastAsia="宋体" w:cs="宋体"/>
          <w:color w:val="auto"/>
          <w:sz w:val="21"/>
          <w:szCs w:val="21"/>
          <w:highlight w:val="none"/>
          <w:lang w:eastAsia="zh-CN"/>
        </w:rPr>
        <w:t>。</w:t>
      </w:r>
    </w:p>
    <w:p>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施工期间不得损坏原有的设施设备，须采取保护措施。如对油缸的保护支撑、对轴孔的遮蔽、电缆槽的防护、闸门高度传感器保护等。</w:t>
      </w:r>
    </w:p>
    <w:p>
      <w:pPr>
        <w:shd w:val="clear"/>
        <w:spacing w:line="360" w:lineRule="auto"/>
        <w:ind w:firstLine="0" w:firstLineChars="0"/>
        <w:rPr>
          <w:rFonts w:hint="eastAsia"/>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施工期间，无条件服从防汛排涝调度，不得影响闸门防汛排涝的正常运行，由此产生的费用供应商自行承担。</w:t>
      </w:r>
    </w:p>
    <w:p>
      <w:pPr>
        <w:numPr>
          <w:ilvl w:val="0"/>
          <w:numId w:val="0"/>
        </w:num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符合《水闸技术管理规程》</w:t>
      </w:r>
      <w:r>
        <w:rPr>
          <w:rFonts w:hint="eastAsia" w:ascii="宋体" w:hAnsi="宋体" w:eastAsia="宋体" w:cs="宋体"/>
          <w:color w:val="auto"/>
          <w:sz w:val="21"/>
          <w:szCs w:val="21"/>
          <w:highlight w:val="none"/>
          <w:lang w:val="en-US" w:eastAsia="zh-CN"/>
        </w:rPr>
        <w:t>SL75-2014等有关规程规范，</w:t>
      </w:r>
      <w:r>
        <w:rPr>
          <w:rFonts w:hint="eastAsia" w:ascii="宋体" w:hAnsi="宋体" w:eastAsia="宋体" w:cs="宋体"/>
          <w:sz w:val="21"/>
          <w:szCs w:val="21"/>
          <w:highlight w:val="none"/>
          <w:lang w:eastAsia="zh-CN"/>
        </w:rPr>
        <w:t>符合</w:t>
      </w:r>
      <w:r>
        <w:rPr>
          <w:rFonts w:hint="eastAsia" w:ascii="宋体" w:hAnsi="宋体" w:eastAsia="宋体" w:cs="宋体"/>
          <w:sz w:val="21"/>
          <w:szCs w:val="21"/>
          <w:highlight w:val="none"/>
        </w:rPr>
        <w:t>《水工金属结构防腐规范》（SL105-2007）</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相关</w:t>
      </w:r>
      <w:r>
        <w:rPr>
          <w:rFonts w:hint="eastAsia" w:ascii="宋体" w:hAnsi="宋体" w:eastAsia="宋体" w:cs="宋体"/>
          <w:sz w:val="21"/>
          <w:szCs w:val="21"/>
          <w:highlight w:val="none"/>
          <w:lang w:eastAsia="zh-CN"/>
        </w:rPr>
        <w:t>国家标准规范</w:t>
      </w:r>
      <w:r>
        <w:rPr>
          <w:rFonts w:hint="eastAsia" w:ascii="宋体" w:hAnsi="宋体" w:eastAsia="宋体" w:cs="宋体"/>
          <w:sz w:val="21"/>
          <w:szCs w:val="21"/>
          <w:highlight w:val="none"/>
        </w:rPr>
        <w:t>规定，</w:t>
      </w:r>
      <w:r>
        <w:rPr>
          <w:rFonts w:hint="eastAsia" w:ascii="宋体" w:hAnsi="宋体" w:eastAsia="宋体" w:cs="宋体"/>
          <w:color w:val="auto"/>
          <w:sz w:val="21"/>
          <w:szCs w:val="21"/>
          <w:highlight w:val="none"/>
        </w:rPr>
        <w:t>油漆的质量及调制应</w:t>
      </w:r>
      <w:r>
        <w:rPr>
          <w:rFonts w:hint="eastAsia" w:ascii="宋体" w:hAnsi="宋体" w:eastAsia="宋体" w:cs="宋体"/>
          <w:sz w:val="21"/>
          <w:szCs w:val="21"/>
          <w:highlight w:val="none"/>
        </w:rPr>
        <w:t>符合SDZ014和DL/T5018-2004</w:t>
      </w:r>
      <w:r>
        <w:rPr>
          <w:rFonts w:hint="eastAsia" w:ascii="宋体" w:hAnsi="宋体" w:eastAsia="宋体" w:cs="宋体"/>
          <w:sz w:val="21"/>
          <w:szCs w:val="21"/>
          <w:highlight w:val="none"/>
          <w:lang w:eastAsia="zh-CN"/>
        </w:rPr>
        <w:t>相关</w:t>
      </w:r>
      <w:r>
        <w:rPr>
          <w:rFonts w:hint="eastAsia" w:ascii="宋体" w:hAnsi="宋体" w:eastAsia="宋体" w:cs="宋体"/>
          <w:sz w:val="21"/>
          <w:szCs w:val="21"/>
          <w:highlight w:val="none"/>
        </w:rPr>
        <w:t>规定</w:t>
      </w:r>
      <w:r>
        <w:rPr>
          <w:rFonts w:hint="eastAsia" w:ascii="宋体" w:hAnsi="宋体" w:eastAsia="宋体" w:cs="宋体"/>
          <w:sz w:val="21"/>
          <w:szCs w:val="21"/>
          <w:highlight w:val="none"/>
          <w:lang w:eastAsia="zh-CN"/>
        </w:rPr>
        <w:t>。</w:t>
      </w:r>
    </w:p>
    <w:p>
      <w:pPr>
        <w:numPr>
          <w:ilvl w:val="0"/>
          <w:numId w:val="0"/>
        </w:numPr>
        <w:shd w:val="clear"/>
        <w:spacing w:line="360" w:lineRule="auto"/>
        <w:ind w:left="0" w:leftChars="0" w:firstLine="0" w:firstLineChars="0"/>
        <w:rPr>
          <w:rFonts w:hint="eastAsia" w:ascii="宋体" w:hAnsi="宋体" w:eastAsia="宋体" w:cs="宋体"/>
          <w:sz w:val="21"/>
          <w:szCs w:val="21"/>
          <w:highlight w:val="none"/>
        </w:rPr>
      </w:pPr>
      <w:r>
        <w:rPr>
          <w:rFonts w:hint="eastAsia" w:ascii="宋体" w:hAnsi="宋体" w:cs="宋体"/>
          <w:b w:val="0"/>
          <w:bCs w:val="0"/>
          <w:sz w:val="21"/>
          <w:szCs w:val="21"/>
          <w:highlight w:val="none"/>
          <w:lang w:val="en-US" w:eastAsia="zh-CN"/>
        </w:rPr>
        <w:t>14</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涂料工艺参数</w:t>
      </w:r>
      <w:r>
        <w:rPr>
          <w:rFonts w:hint="eastAsia" w:ascii="宋体" w:hAnsi="宋体" w:eastAsia="宋体" w:cs="宋体"/>
          <w:b w:val="0"/>
          <w:bCs w:val="0"/>
          <w:sz w:val="21"/>
          <w:szCs w:val="21"/>
          <w:highlight w:val="none"/>
          <w:lang w:eastAsia="zh-CN"/>
        </w:rPr>
        <w:t>满足规范要求，</w:t>
      </w:r>
      <w:r>
        <w:rPr>
          <w:rFonts w:hint="eastAsia" w:ascii="宋体" w:hAnsi="宋体" w:eastAsia="宋体" w:cs="宋体"/>
          <w:sz w:val="21"/>
          <w:szCs w:val="21"/>
          <w:highlight w:val="none"/>
        </w:rPr>
        <w:t>根据</w:t>
      </w:r>
      <w:r>
        <w:rPr>
          <w:rFonts w:hint="eastAsia" w:ascii="宋体" w:hAnsi="宋体" w:eastAsia="宋体" w:cs="宋体"/>
          <w:sz w:val="21"/>
          <w:szCs w:val="21"/>
          <w:highlight w:val="none"/>
          <w:lang w:eastAsia="zh-CN"/>
        </w:rPr>
        <w:t>适合的</w:t>
      </w:r>
      <w:r>
        <w:rPr>
          <w:rFonts w:hint="eastAsia" w:ascii="宋体" w:hAnsi="宋体" w:eastAsia="宋体" w:cs="宋体"/>
          <w:sz w:val="21"/>
          <w:szCs w:val="21"/>
          <w:highlight w:val="none"/>
        </w:rPr>
        <w:t>施工环境条件下</w:t>
      </w:r>
      <w:r>
        <w:rPr>
          <w:rFonts w:hint="eastAsia" w:ascii="宋体" w:hAnsi="宋体" w:eastAsia="宋体" w:cs="宋体"/>
          <w:sz w:val="21"/>
          <w:szCs w:val="21"/>
          <w:highlight w:val="none"/>
          <w:lang w:eastAsia="zh-CN"/>
        </w:rPr>
        <w:t>开展作业</w:t>
      </w:r>
      <w:r>
        <w:rPr>
          <w:rFonts w:hint="eastAsia" w:ascii="宋体" w:hAnsi="宋体" w:eastAsia="宋体" w:cs="宋体"/>
          <w:sz w:val="21"/>
          <w:szCs w:val="21"/>
          <w:highlight w:val="none"/>
        </w:rPr>
        <w:t>，涂层作业前清扫基体金属表面的灰尘，在清洁环境中进行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涂层系统各层间的涂覆间隔时间按涂料制造厂的规定执行。</w:t>
      </w:r>
    </w:p>
    <w:p>
      <w:pPr>
        <w:numPr>
          <w:ilvl w:val="0"/>
          <w:numId w:val="0"/>
        </w:numPr>
        <w:shd w:val="clear"/>
        <w:spacing w:line="360" w:lineRule="auto"/>
        <w:ind w:left="-15" w:leftChars="-7" w:firstLine="0" w:firstLineChars="0"/>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每层涂装时对前一道涂层进行外观检查，如发现缺陷，及时处理。涂装后，进行涂膜的外观检查</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涂膜认真维护，在固化前要避免踩踏、拆除脚手架过程中防止碰撞。对作业过程造成的局部损伤，按原工艺及时修补。</w:t>
      </w:r>
    </w:p>
    <w:p>
      <w:pPr>
        <w:numPr>
          <w:ilvl w:val="0"/>
          <w:numId w:val="0"/>
        </w:numPr>
        <w:shd w:val="clear"/>
        <w:spacing w:line="360" w:lineRule="auto"/>
        <w:ind w:left="-15" w:leftChars="-7" w:firstLine="0" w:firstLineChars="0"/>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16</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喷涂表面均匀、光滑、无杂物、流挂、起皮、皱纹、鼓泡、孔洞、粗颗粒、掉块及裂纹等缺陷。</w:t>
      </w:r>
    </w:p>
    <w:p>
      <w:pPr>
        <w:pStyle w:val="12"/>
        <w:numPr>
          <w:ilvl w:val="0"/>
          <w:numId w:val="0"/>
        </w:numPr>
        <w:shd w:val="clear"/>
        <w:tabs>
          <w:tab w:val="left" w:pos="0"/>
          <w:tab w:val="left" w:pos="420"/>
        </w:tabs>
        <w:adjustRightInd w:val="0"/>
        <w:spacing w:after="0" w:line="360" w:lineRule="auto"/>
        <w:ind w:left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17</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门机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液压启闭机油缸等防腐施工</w:t>
      </w:r>
      <w:r>
        <w:rPr>
          <w:rFonts w:hint="eastAsia" w:ascii="宋体" w:hAnsi="宋体" w:eastAsia="宋体" w:cs="宋体"/>
          <w:sz w:val="21"/>
          <w:szCs w:val="21"/>
          <w:highlight w:val="none"/>
          <w:lang w:val="zh-CN"/>
        </w:rPr>
        <w:t>各技术指标应符合</w:t>
      </w:r>
      <w:r>
        <w:rPr>
          <w:rFonts w:hint="eastAsia" w:ascii="宋体" w:hAnsi="宋体" w:eastAsia="宋体" w:cs="宋体"/>
          <w:sz w:val="21"/>
          <w:szCs w:val="21"/>
          <w:highlight w:val="none"/>
        </w:rPr>
        <w:t>国家和行业</w:t>
      </w:r>
      <w:r>
        <w:rPr>
          <w:rFonts w:hint="eastAsia" w:ascii="宋体" w:hAnsi="宋体" w:eastAsia="宋体" w:cs="宋体"/>
          <w:sz w:val="21"/>
          <w:szCs w:val="21"/>
          <w:highlight w:val="none"/>
          <w:lang w:val="zh-CN"/>
        </w:rPr>
        <w:t>规范及厂家技术要求，技术指标综合评价应优于修前水平</w:t>
      </w:r>
      <w:r>
        <w:rPr>
          <w:rFonts w:hint="eastAsia" w:ascii="宋体" w:hAnsi="宋体" w:eastAsia="宋体" w:cs="宋体"/>
          <w:sz w:val="21"/>
          <w:szCs w:val="21"/>
          <w:highlight w:val="none"/>
          <w:lang w:eastAsia="zh-CN"/>
        </w:rPr>
        <w:t>。</w:t>
      </w:r>
    </w:p>
    <w:p>
      <w:pPr>
        <w:pStyle w:val="12"/>
        <w:numPr>
          <w:ilvl w:val="0"/>
          <w:numId w:val="0"/>
        </w:numPr>
        <w:shd w:val="clear"/>
        <w:tabs>
          <w:tab w:val="left" w:pos="0"/>
          <w:tab w:val="left" w:pos="420"/>
        </w:tabs>
        <w:adjustRightInd w:val="0"/>
        <w:spacing w:after="0" w:line="360" w:lineRule="auto"/>
        <w:ind w:leftChars="0"/>
        <w:rPr>
          <w:rFonts w:hint="eastAsia" w:ascii="宋体" w:hAnsi="宋体" w:eastAsia="宋体" w:cs="宋体"/>
          <w:sz w:val="21"/>
          <w:szCs w:val="21"/>
          <w:highlight w:val="none"/>
          <w:lang w:val="zh-CN"/>
        </w:rPr>
      </w:pPr>
      <w:r>
        <w:rPr>
          <w:rFonts w:hint="eastAsia" w:ascii="宋体" w:hAnsi="宋体" w:cs="宋体"/>
          <w:sz w:val="21"/>
          <w:szCs w:val="21"/>
          <w:highlight w:val="none"/>
          <w:lang w:val="en-US" w:eastAsia="zh-CN"/>
        </w:rPr>
        <w:t>18</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lang w:val="zh-CN"/>
        </w:rPr>
        <w:t>施工期间，无条件服从防汛排涝调度，</w:t>
      </w:r>
      <w:r>
        <w:rPr>
          <w:rFonts w:hint="eastAsia" w:ascii="宋体" w:hAnsi="宋体" w:eastAsia="宋体" w:cs="宋体"/>
          <w:color w:val="auto"/>
          <w:sz w:val="21"/>
          <w:szCs w:val="21"/>
          <w:highlight w:val="none"/>
          <w:lang w:val="zh-CN" w:eastAsia="zh-CN"/>
        </w:rPr>
        <w:t>同时做好</w:t>
      </w:r>
      <w:r>
        <w:rPr>
          <w:rFonts w:hint="eastAsia" w:ascii="宋体" w:hAnsi="宋体" w:eastAsia="宋体" w:cs="宋体"/>
          <w:sz w:val="21"/>
          <w:szCs w:val="21"/>
          <w:highlight w:val="none"/>
          <w:lang w:val="zh-CN"/>
        </w:rPr>
        <w:t>施工区域进行钢性隔离，并设立安全警示标志。</w:t>
      </w:r>
    </w:p>
    <w:p>
      <w:pPr>
        <w:pStyle w:val="2"/>
        <w:numPr>
          <w:ilvl w:val="0"/>
          <w:numId w:val="0"/>
        </w:numPr>
        <w:shd w:val="clear"/>
        <w:ind w:leftChars="0"/>
        <w:rPr>
          <w:rFonts w:hint="default"/>
          <w:highlight w:val="none"/>
          <w:lang w:val="en-US" w:eastAsia="zh-CN"/>
        </w:rPr>
      </w:pPr>
    </w:p>
    <w:p>
      <w:pPr>
        <w:pStyle w:val="2"/>
        <w:numPr>
          <w:ilvl w:val="0"/>
          <w:numId w:val="0"/>
        </w:numPr>
        <w:shd w:val="clear"/>
        <w:ind w:leftChars="0"/>
        <w:rPr>
          <w:rFonts w:hint="default"/>
          <w:highlight w:val="none"/>
          <w:lang w:val="en-US" w:eastAsia="zh-CN"/>
        </w:rPr>
      </w:pPr>
    </w:p>
    <w:p>
      <w:pPr>
        <w:shd w:val="clear"/>
        <w:spacing w:line="360" w:lineRule="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三、质量目标：</w:t>
      </w:r>
      <w:r>
        <w:rPr>
          <w:rFonts w:hint="eastAsia" w:ascii="宋体" w:hAnsi="宋体" w:eastAsia="宋体" w:cs="宋体"/>
          <w:color w:val="auto"/>
          <w:highlight w:val="none"/>
          <w:lang w:val="en-US" w:eastAsia="zh-CN"/>
        </w:rPr>
        <w:t>合格。</w:t>
      </w:r>
    </w:p>
    <w:p>
      <w:pPr>
        <w:shd w:val="clear"/>
        <w:spacing w:line="360" w:lineRule="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四、工期：</w:t>
      </w:r>
      <w:r>
        <w:rPr>
          <w:rFonts w:hint="eastAsia"/>
          <w:color w:val="auto"/>
          <w:kern w:val="2"/>
          <w:sz w:val="21"/>
          <w:szCs w:val="21"/>
          <w:highlight w:val="none"/>
          <w:lang w:val="en-US" w:eastAsia="zh-CN"/>
        </w:rPr>
        <w:t>2024年10月15日前完工</w:t>
      </w:r>
      <w:r>
        <w:rPr>
          <w:rFonts w:hint="eastAsia"/>
          <w:color w:val="auto"/>
          <w:sz w:val="21"/>
          <w:szCs w:val="21"/>
          <w:highlight w:val="none"/>
        </w:rPr>
        <w:t>。</w:t>
      </w:r>
    </w:p>
    <w:p>
      <w:pPr>
        <w:shd w:val="clear"/>
        <w:spacing w:line="360" w:lineRule="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五、质保期：</w:t>
      </w:r>
      <w:r>
        <w:rPr>
          <w:rFonts w:hint="eastAsia" w:ascii="宋体" w:hAnsi="宋体" w:eastAsia="宋体" w:cs="宋体"/>
          <w:color w:val="auto"/>
          <w:highlight w:val="none"/>
        </w:rPr>
        <w:t>项目验收合格后一年</w:t>
      </w:r>
      <w:r>
        <w:rPr>
          <w:rFonts w:hint="eastAsia" w:ascii="宋体" w:hAnsi="宋体" w:eastAsia="宋体" w:cs="宋体"/>
          <w:color w:val="auto"/>
          <w:highlight w:val="none"/>
          <w:lang w:val="en-US" w:eastAsia="zh-CN"/>
        </w:rPr>
        <w:t>。</w:t>
      </w:r>
    </w:p>
    <w:p>
      <w:pPr>
        <w:shd w:val="clear"/>
        <w:spacing w:line="360" w:lineRule="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六、本项目最高限价：</w:t>
      </w:r>
      <w:r>
        <w:rPr>
          <w:rFonts w:hint="eastAsia" w:ascii="宋体" w:hAnsi="宋体" w:cs="宋体"/>
          <w:b w:val="0"/>
          <w:bCs/>
          <w:color w:val="auto"/>
          <w:szCs w:val="21"/>
          <w:highlight w:val="none"/>
          <w:lang w:eastAsia="zh-CN"/>
        </w:rPr>
        <w:t>标项一人民币</w:t>
      </w:r>
      <w:r>
        <w:rPr>
          <w:rFonts w:hint="eastAsia" w:ascii="宋体" w:hAnsi="宋体" w:cs="宋体"/>
          <w:b w:val="0"/>
          <w:bCs/>
          <w:color w:val="auto"/>
          <w:szCs w:val="21"/>
          <w:highlight w:val="none"/>
          <w:lang w:val="en-US" w:eastAsia="zh-CN"/>
        </w:rPr>
        <w:t>700400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240400</w:t>
      </w:r>
      <w:r>
        <w:rPr>
          <w:rFonts w:hint="eastAsia" w:ascii="宋体" w:hAnsi="宋体" w:eastAsia="宋体" w:cs="宋体"/>
          <w:b w:val="0"/>
          <w:bCs/>
          <w:color w:val="auto"/>
          <w:szCs w:val="21"/>
          <w:highlight w:val="none"/>
          <w:lang w:eastAsia="zh-CN"/>
        </w:rPr>
        <w:t>元；</w:t>
      </w: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eastAsia="宋体" w:cs="宋体"/>
          <w:b w:val="0"/>
          <w:bCs/>
          <w:color w:val="auto"/>
          <w:szCs w:val="21"/>
          <w:highlight w:val="none"/>
          <w:lang w:eastAsia="zh-CN"/>
        </w:rPr>
        <w:t>90000元；</w:t>
      </w: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1500</w:t>
      </w:r>
      <w:r>
        <w:rPr>
          <w:rFonts w:hint="eastAsia" w:ascii="宋体" w:hAnsi="宋体" w:eastAsia="宋体" w:cs="宋体"/>
          <w:b w:val="0"/>
          <w:bCs/>
          <w:color w:val="auto"/>
          <w:szCs w:val="21"/>
          <w:highlight w:val="none"/>
          <w:lang w:eastAsia="zh-CN"/>
        </w:rPr>
        <w:t>00元；</w:t>
      </w: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r>
        <w:rPr>
          <w:rFonts w:hint="eastAsia" w:ascii="宋体" w:hAnsi="宋体" w:cs="宋体"/>
          <w:b w:val="0"/>
          <w:bCs/>
          <w:color w:val="auto"/>
          <w:szCs w:val="21"/>
          <w:highlight w:val="none"/>
          <w:lang w:val="en-US" w:eastAsia="zh-CN"/>
        </w:rPr>
        <w:t>22</w:t>
      </w:r>
      <w:r>
        <w:rPr>
          <w:rFonts w:hint="eastAsia" w:ascii="宋体" w:hAnsi="宋体" w:eastAsia="宋体" w:cs="宋体"/>
          <w:b w:val="0"/>
          <w:bCs/>
          <w:color w:val="auto"/>
          <w:szCs w:val="21"/>
          <w:highlight w:val="none"/>
          <w:lang w:eastAsia="zh-CN"/>
        </w:rPr>
        <w:t>0000元</w:t>
      </w:r>
      <w:r>
        <w:rPr>
          <w:rFonts w:hint="eastAsia" w:ascii="宋体" w:hAnsi="宋体" w:cs="宋体"/>
          <w:b w:val="0"/>
          <w:bCs/>
          <w:color w:val="auto"/>
          <w:szCs w:val="21"/>
          <w:highlight w:val="none"/>
          <w:lang w:eastAsia="zh-CN"/>
        </w:rPr>
        <w:t>。</w:t>
      </w:r>
      <w:r>
        <w:rPr>
          <w:rFonts w:hint="eastAsia" w:ascii="宋体" w:hAnsi="宋体" w:eastAsia="宋体" w:cs="宋体"/>
          <w:b w:val="0"/>
          <w:bCs/>
          <w:color w:val="auto"/>
          <w:szCs w:val="21"/>
          <w:highlight w:val="none"/>
          <w:lang w:eastAsia="zh-CN"/>
        </w:rPr>
        <w:t>）</w:t>
      </w:r>
      <w:r>
        <w:rPr>
          <w:rFonts w:hint="eastAsia" w:ascii="宋体" w:hAnsi="宋体" w:cs="宋体"/>
          <w:b w:val="0"/>
          <w:bCs/>
          <w:color w:val="auto"/>
          <w:szCs w:val="21"/>
          <w:highlight w:val="none"/>
          <w:lang w:eastAsia="zh-CN"/>
        </w:rPr>
        <w:t>；标项二人民币</w:t>
      </w:r>
      <w:r>
        <w:rPr>
          <w:rFonts w:hint="eastAsia" w:ascii="宋体" w:hAnsi="宋体" w:cs="宋体"/>
          <w:b w:val="0"/>
          <w:bCs/>
          <w:color w:val="auto"/>
          <w:szCs w:val="21"/>
          <w:highlight w:val="none"/>
          <w:lang w:val="en-US" w:eastAsia="zh-CN"/>
        </w:rPr>
        <w:t>2059300</w:t>
      </w:r>
      <w:r>
        <w:rPr>
          <w:rFonts w:hint="eastAsia" w:ascii="宋体" w:hAnsi="宋体" w:cs="宋体"/>
          <w:b w:val="0"/>
          <w:bCs/>
          <w:color w:val="auto"/>
          <w:szCs w:val="21"/>
          <w:highlight w:val="none"/>
          <w:lang w:eastAsia="zh-CN"/>
        </w:rPr>
        <w:t>元（</w:t>
      </w:r>
      <w:r>
        <w:rPr>
          <w:rFonts w:hint="eastAsia" w:ascii="宋体" w:hAnsi="宋体" w:eastAsia="宋体" w:cs="宋体"/>
          <w:b w:val="0"/>
          <w:bCs/>
          <w:color w:val="auto"/>
          <w:szCs w:val="21"/>
          <w:highlight w:val="none"/>
          <w:lang w:eastAsia="zh-CN"/>
        </w:rPr>
        <w:t>其中</w:t>
      </w: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eastAsia="宋体" w:cs="宋体"/>
          <w:color w:val="auto"/>
          <w:sz w:val="21"/>
          <w:szCs w:val="21"/>
          <w:highlight w:val="none"/>
          <w:lang w:val="en-US" w:eastAsia="zh-CN"/>
        </w:rPr>
        <w:t>主厂房电缆层漏水处理项目</w:t>
      </w:r>
      <w:r>
        <w:rPr>
          <w:rFonts w:hint="eastAsia" w:ascii="宋体" w:hAnsi="宋体" w:cs="宋体"/>
          <w:b w:val="0"/>
          <w:bCs/>
          <w:color w:val="auto"/>
          <w:szCs w:val="21"/>
          <w:highlight w:val="none"/>
          <w:lang w:val="en-US" w:eastAsia="zh-CN"/>
        </w:rPr>
        <w:t>100000</w:t>
      </w:r>
      <w:r>
        <w:rPr>
          <w:rFonts w:hint="eastAsia" w:ascii="宋体" w:hAnsi="宋体" w:eastAsia="宋体" w:cs="宋体"/>
          <w:b w:val="0"/>
          <w:bCs/>
          <w:color w:val="auto"/>
          <w:szCs w:val="21"/>
          <w:highlight w:val="none"/>
          <w:lang w:eastAsia="zh-CN"/>
        </w:rPr>
        <w:t>元；</w:t>
      </w:r>
      <w:r>
        <w:rPr>
          <w:rFonts w:hint="eastAsia" w:ascii="宋体" w:hAnsi="宋体" w:eastAsia="宋体" w:cs="宋体"/>
          <w:color w:val="auto"/>
          <w:sz w:val="21"/>
          <w:szCs w:val="21"/>
          <w:highlight w:val="none"/>
          <w:lang w:val="en-US" w:eastAsia="zh-CN"/>
        </w:rPr>
        <w:t>盐官泵站事故闸止水、滑块、紧固件更换项目</w:t>
      </w:r>
      <w:r>
        <w:rPr>
          <w:rFonts w:hint="eastAsia" w:ascii="宋体" w:hAnsi="宋体" w:cs="宋体"/>
          <w:color w:val="auto"/>
          <w:sz w:val="21"/>
          <w:szCs w:val="21"/>
          <w:highlight w:val="none"/>
          <w:lang w:val="en-US" w:eastAsia="zh-CN"/>
        </w:rPr>
        <w:t>86300元。</w:t>
      </w: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146000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r>
        <w:rPr>
          <w:rFonts w:hint="eastAsia" w:ascii="宋体" w:hAnsi="宋体" w:cs="宋体"/>
          <w:b w:val="0"/>
          <w:bCs/>
          <w:color w:val="auto"/>
          <w:szCs w:val="21"/>
          <w:highlight w:val="none"/>
          <w:lang w:val="en-US" w:eastAsia="zh-CN"/>
        </w:rPr>
        <w:t>807000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r>
        <w:rPr>
          <w:rFonts w:hint="eastAsia" w:ascii="宋体" w:hAnsi="宋体" w:cs="宋体"/>
          <w:color w:val="auto"/>
          <w:sz w:val="21"/>
          <w:szCs w:val="21"/>
          <w:highlight w:val="none"/>
          <w:lang w:val="en-US" w:eastAsia="zh-CN"/>
        </w:rPr>
        <w:t>包括：</w:t>
      </w:r>
      <w:r>
        <w:rPr>
          <w:rFonts w:hint="eastAsia" w:ascii="宋体" w:hAnsi="宋体" w:cs="宋体"/>
          <w:color w:val="auto"/>
          <w:szCs w:val="21"/>
          <w:highlight w:val="none"/>
          <w:lang w:val="en-US" w:eastAsia="zh-CN"/>
        </w:rPr>
        <w:t>南台头闸内河侧闸门防腐及止水装置更换项目</w:t>
      </w:r>
      <w:r>
        <w:rPr>
          <w:rFonts w:hint="eastAsia" w:ascii="宋体" w:hAnsi="宋体" w:cs="宋体"/>
          <w:b w:val="0"/>
          <w:bCs/>
          <w:color w:val="auto"/>
          <w:szCs w:val="21"/>
          <w:highlight w:val="none"/>
          <w:lang w:val="en-US" w:eastAsia="zh-CN"/>
        </w:rPr>
        <w:t>400000</w:t>
      </w:r>
      <w:r>
        <w:rPr>
          <w:rFonts w:hint="eastAsia" w:ascii="宋体" w:hAnsi="宋体" w:eastAsia="宋体" w:cs="宋体"/>
          <w:b w:val="0"/>
          <w:bCs/>
          <w:color w:val="auto"/>
          <w:szCs w:val="21"/>
          <w:highlight w:val="none"/>
          <w:lang w:eastAsia="zh-CN"/>
        </w:rPr>
        <w:t>元</w:t>
      </w:r>
      <w:r>
        <w:rPr>
          <w:rFonts w:hint="eastAsia" w:ascii="宋体" w:hAnsi="宋体" w:cs="宋体"/>
          <w:b w:val="0"/>
          <w:bCs/>
          <w:color w:val="auto"/>
          <w:szCs w:val="21"/>
          <w:highlight w:val="none"/>
          <w:lang w:eastAsia="zh-CN"/>
        </w:rPr>
        <w:t>；</w:t>
      </w:r>
      <w:r>
        <w:rPr>
          <w:rFonts w:hint="eastAsia" w:ascii="宋体" w:hAnsi="宋体" w:cs="宋体"/>
          <w:color w:val="auto"/>
          <w:szCs w:val="21"/>
          <w:highlight w:val="none"/>
          <w:lang w:val="en-US" w:eastAsia="zh-CN"/>
        </w:rPr>
        <w:t>泵站门机、油缸及起重设备金属防腐项目450000元；泵站工作（事故）闸门行程改造项目70000元。</w:t>
      </w:r>
      <w:r>
        <w:rPr>
          <w:rFonts w:hint="eastAsia" w:ascii="宋体" w:hAnsi="宋体" w:cs="宋体"/>
          <w:b w:val="0"/>
          <w:bCs/>
          <w:color w:val="auto"/>
          <w:szCs w:val="21"/>
          <w:highlight w:val="none"/>
          <w:lang w:eastAsia="zh-CN"/>
        </w:rPr>
        <w:t>）。</w:t>
      </w:r>
      <w:r>
        <w:rPr>
          <w:rFonts w:hint="eastAsia" w:ascii="宋体" w:hAnsi="宋体" w:eastAsia="宋体" w:cs="宋体"/>
          <w:b/>
          <w:bCs w:val="0"/>
          <w:color w:val="auto"/>
          <w:szCs w:val="21"/>
          <w:highlight w:val="none"/>
          <w:lang w:val="en-US" w:eastAsia="zh-CN"/>
        </w:rPr>
        <w:t>报价超过最高限价或各单项预算金额的作无效标处理</w:t>
      </w:r>
      <w:r>
        <w:rPr>
          <w:rFonts w:hint="eastAsia" w:ascii="宋体" w:hAnsi="宋体" w:cs="宋体"/>
          <w:b w:val="0"/>
          <w:bCs/>
          <w:color w:val="auto"/>
          <w:szCs w:val="21"/>
          <w:highlight w:val="none"/>
        </w:rPr>
        <w:t>。</w:t>
      </w:r>
    </w:p>
    <w:p>
      <w:pPr>
        <w:shd w:val="clear"/>
        <w:spacing w:line="360" w:lineRule="auto"/>
        <w:rPr>
          <w:rFonts w:hint="eastAsia" w:ascii="宋体" w:hAnsi="宋体" w:eastAsia="宋体" w:cs="宋体"/>
          <w:color w:val="auto"/>
          <w:szCs w:val="21"/>
          <w:highlight w:val="none"/>
        </w:rPr>
      </w:pPr>
      <w:r>
        <w:rPr>
          <w:rFonts w:hint="eastAsia" w:ascii="宋体" w:hAnsi="宋体" w:eastAsia="宋体" w:cs="宋体"/>
          <w:b/>
          <w:bCs/>
          <w:color w:val="auto"/>
          <w:highlight w:val="none"/>
          <w:lang w:val="en-US" w:eastAsia="zh-CN"/>
        </w:rPr>
        <w:t>七、付款方式：</w:t>
      </w:r>
      <w:r>
        <w:rPr>
          <w:rFonts w:hint="eastAsia" w:ascii="宋体" w:hAnsi="宋体" w:eastAsia="宋体" w:cs="宋体"/>
          <w:color w:val="auto"/>
          <w:highlight w:val="none"/>
          <w:lang w:val="en-US" w:eastAsia="zh-CN"/>
        </w:rPr>
        <w:t>合同生效后预付合同总额的</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0%，</w:t>
      </w:r>
      <w:r>
        <w:rPr>
          <w:rFonts w:hint="eastAsia" w:ascii="宋体" w:hAnsi="宋体" w:cs="宋体"/>
          <w:color w:val="auto"/>
          <w:highlight w:val="none"/>
          <w:lang w:val="en-US" w:eastAsia="zh-CN"/>
        </w:rPr>
        <w:t>剩</w:t>
      </w:r>
      <w:r>
        <w:rPr>
          <w:rFonts w:hint="eastAsia" w:ascii="宋体" w:hAnsi="宋体" w:eastAsia="宋体" w:cs="宋体"/>
          <w:color w:val="auto"/>
          <w:highlight w:val="none"/>
          <w:lang w:val="en-US" w:eastAsia="zh-CN"/>
        </w:rPr>
        <w:t>余款项在项目验收合格（工程量按实结算）且经审价完成后，</w:t>
      </w:r>
      <w:r>
        <w:rPr>
          <w:rFonts w:hint="eastAsia" w:ascii="宋体" w:hAnsi="宋体" w:cs="宋体"/>
          <w:color w:val="auto"/>
          <w:highlight w:val="none"/>
          <w:lang w:val="en-US" w:eastAsia="zh-CN"/>
        </w:rPr>
        <w:t>采购单位</w:t>
      </w:r>
      <w:r>
        <w:rPr>
          <w:rFonts w:hint="eastAsia" w:ascii="宋体" w:hAnsi="宋体" w:eastAsia="宋体" w:cs="宋体"/>
          <w:color w:val="auto"/>
          <w:highlight w:val="none"/>
          <w:lang w:val="en-US" w:eastAsia="zh-CN"/>
        </w:rPr>
        <w:t>按审定价的100%结清工程款</w:t>
      </w:r>
      <w:r>
        <w:rPr>
          <w:rFonts w:hint="eastAsia" w:ascii="宋体" w:hAnsi="宋体" w:cs="宋体"/>
          <w:color w:val="auto"/>
          <w:highlight w:val="none"/>
          <w:lang w:val="en-US" w:eastAsia="zh-CN"/>
        </w:rPr>
        <w:t>。</w:t>
      </w:r>
    </w:p>
    <w:p>
      <w:pPr>
        <w:shd w:val="clear"/>
        <w:spacing w:line="360" w:lineRule="auto"/>
        <w:rPr>
          <w:rFonts w:hint="eastAsia" w:ascii="宋体" w:hAnsi="宋体" w:eastAsia="宋体" w:cs="宋体"/>
          <w:color w:val="auto"/>
          <w:highlight w:val="none"/>
          <w:lang w:val="en-US" w:eastAsia="zh-CN"/>
        </w:rPr>
      </w:pPr>
      <w:r>
        <w:rPr>
          <w:rFonts w:hint="eastAsia" w:ascii="宋体" w:hAnsi="宋体" w:eastAsia="宋体" w:cs="宋体"/>
          <w:b/>
          <w:bCs/>
          <w:color w:val="auto"/>
          <w:highlight w:val="none"/>
          <w:lang w:val="en-US" w:eastAsia="zh-CN"/>
        </w:rPr>
        <w:t>八、其他要求：</w:t>
      </w:r>
    </w:p>
    <w:p>
      <w:pPr>
        <w:shd w:val="clea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(1)施工期间，成交方应严格执行安全生产管理的相关规定，确保工程施工及人员安全；</w:t>
      </w:r>
    </w:p>
    <w:p>
      <w:pPr>
        <w:shd w:val="clear"/>
        <w:spacing w:line="360" w:lineRule="auto"/>
        <w:ind w:firstLine="420" w:firstLineChars="200"/>
        <w:rPr>
          <w:rFonts w:hint="eastAsia" w:ascii="宋体" w:hAnsi="宋体" w:eastAsia="宋体" w:cs="宋体"/>
          <w:color w:val="auto"/>
          <w:sz w:val="21"/>
          <w:szCs w:val="24"/>
          <w:highlight w:val="none"/>
          <w:lang w:val="en-US" w:eastAsia="zh-CN"/>
        </w:rPr>
        <w:sectPr>
          <w:pgSz w:w="11905" w:h="16838"/>
          <w:pgMar w:top="1304" w:right="1474" w:bottom="1304" w:left="1474" w:header="680" w:footer="680" w:gutter="0"/>
          <w:cols w:space="720" w:num="1"/>
          <w:docGrid w:linePitch="447" w:charSpace="0"/>
        </w:sectPr>
      </w:pPr>
      <w:r>
        <w:rPr>
          <w:rFonts w:hint="eastAsia" w:ascii="宋体" w:hAnsi="宋体" w:eastAsia="宋体" w:cs="宋体"/>
          <w:color w:val="auto"/>
          <w:highlight w:val="none"/>
          <w:lang w:val="en-US" w:eastAsia="zh-CN"/>
        </w:rPr>
        <w:t>(2)施工结束后，应对施工现场恢复原状。</w:t>
      </w:r>
    </w:p>
    <w:p>
      <w:pPr>
        <w:pStyle w:val="16"/>
        <w:keepNext w:val="0"/>
        <w:keepLines w:val="0"/>
        <w:pageBreakBefore w:val="0"/>
        <w:widowControl w:val="0"/>
        <w:shd w:val="clear"/>
        <w:kinsoku/>
        <w:wordWrap/>
        <w:overflowPunct/>
        <w:topLinePunct w:val="0"/>
        <w:autoSpaceDE/>
        <w:autoSpaceDN/>
        <w:bidi w:val="0"/>
        <w:adjustRightInd/>
        <w:snapToGrid/>
        <w:spacing w:before="156" w:beforeLines="50" w:after="156" w:afterLines="50" w:line="360" w:lineRule="auto"/>
        <w:jc w:val="center"/>
        <w:textAlignment w:val="auto"/>
        <w:outlineLvl w:val="0"/>
        <w:rPr>
          <w:rFonts w:hint="eastAsia" w:hAnsi="宋体"/>
          <w:b/>
          <w:color w:val="auto"/>
          <w:sz w:val="32"/>
          <w:szCs w:val="32"/>
          <w:highlight w:val="none"/>
        </w:rPr>
      </w:pPr>
      <w:r>
        <w:rPr>
          <w:rFonts w:hint="eastAsia" w:hAnsi="宋体"/>
          <w:b/>
          <w:color w:val="auto"/>
          <w:sz w:val="32"/>
          <w:szCs w:val="32"/>
          <w:highlight w:val="none"/>
          <w:lang w:val="en-US" w:eastAsia="zh-CN"/>
        </w:rPr>
        <w:t xml:space="preserve">第四章 </w:t>
      </w:r>
      <w:r>
        <w:rPr>
          <w:rFonts w:hint="eastAsia" w:hAnsi="宋体"/>
          <w:b/>
          <w:color w:val="auto"/>
          <w:sz w:val="32"/>
          <w:szCs w:val="32"/>
          <w:highlight w:val="none"/>
          <w:lang w:eastAsia="zh-CN"/>
        </w:rPr>
        <w:t>2024年南排工程河道堤防维修及一次性项目</w:t>
      </w:r>
      <w:r>
        <w:rPr>
          <w:rFonts w:hint="eastAsia" w:hAnsi="宋体"/>
          <w:b/>
          <w:color w:val="auto"/>
          <w:sz w:val="32"/>
          <w:szCs w:val="32"/>
          <w:highlight w:val="none"/>
        </w:rPr>
        <w:t>政府采购合同</w:t>
      </w:r>
      <w:bookmarkEnd w:id="163"/>
      <w:bookmarkEnd w:id="164"/>
      <w:bookmarkEnd w:id="165"/>
      <w:bookmarkEnd w:id="166"/>
      <w:bookmarkEnd w:id="167"/>
      <w:bookmarkEnd w:id="168"/>
      <w:bookmarkEnd w:id="169"/>
      <w:bookmarkEnd w:id="170"/>
    </w:p>
    <w:p>
      <w:pPr>
        <w:keepNext w:val="0"/>
        <w:keepLines w:val="0"/>
        <w:pageBreakBefore w:val="0"/>
        <w:widowControl w:val="0"/>
        <w:numPr>
          <w:ilvl w:val="0"/>
          <w:numId w:val="12"/>
        </w:numPr>
        <w:shd w:val="clear"/>
        <w:kinsoku/>
        <w:wordWrap/>
        <w:overflowPunct/>
        <w:topLinePunct w:val="0"/>
        <w:autoSpaceDE/>
        <w:autoSpaceDN/>
        <w:bidi w:val="0"/>
        <w:adjustRightInd/>
        <w:snapToGrid/>
        <w:spacing w:before="156" w:beforeLines="50" w:after="156" w:afterLines="50" w:line="320" w:lineRule="exact"/>
        <w:jc w:val="center"/>
        <w:textAlignment w:val="auto"/>
        <w:rPr>
          <w:rFonts w:ascii="宋体" w:hAnsi="宋体"/>
          <w:b/>
          <w:color w:val="auto"/>
          <w:sz w:val="32"/>
          <w:szCs w:val="32"/>
          <w:highlight w:val="none"/>
        </w:rPr>
      </w:pPr>
      <w:r>
        <w:rPr>
          <w:rFonts w:hint="eastAsia" w:ascii="宋体" w:hAnsi="宋体"/>
          <w:b/>
          <w:color w:val="auto"/>
          <w:sz w:val="32"/>
          <w:szCs w:val="32"/>
          <w:highlight w:val="none"/>
        </w:rPr>
        <w:t>通用必备条款部分</w:t>
      </w:r>
    </w:p>
    <w:p>
      <w:pPr>
        <w:shd w:val="clear"/>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合同编号：明扬代（202</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）第0</w:t>
      </w:r>
      <w:r>
        <w:rPr>
          <w:rFonts w:hint="eastAsia" w:ascii="宋体" w:hAnsi="宋体" w:cs="宋体"/>
          <w:b/>
          <w:color w:val="auto"/>
          <w:szCs w:val="21"/>
          <w:highlight w:val="none"/>
          <w:lang w:val="en-US" w:eastAsia="zh-CN"/>
        </w:rPr>
        <w:t>21</w:t>
      </w:r>
      <w:r>
        <w:rPr>
          <w:rFonts w:hint="eastAsia" w:ascii="宋体" w:hAnsi="宋体" w:cs="宋体"/>
          <w:b/>
          <w:color w:val="auto"/>
          <w:szCs w:val="21"/>
          <w:highlight w:val="none"/>
        </w:rPr>
        <w:t>号</w:t>
      </w:r>
    </w:p>
    <w:p>
      <w:pPr>
        <w:shd w:val="clea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政府采购计划（预算）确认号：</w:t>
      </w:r>
      <w:r>
        <w:rPr>
          <w:rFonts w:hint="eastAsia" w:ascii="宋体" w:hAnsi="宋体" w:cs="宋体"/>
          <w:color w:val="auto"/>
          <w:szCs w:val="21"/>
          <w:highlight w:val="none"/>
          <w:lang w:val="en-US" w:eastAsia="zh-CN"/>
        </w:rPr>
        <w:t>[2024]2572号、[2024]2371号</w:t>
      </w:r>
    </w:p>
    <w:p>
      <w:pPr>
        <w:pStyle w:val="16"/>
        <w:shd w:val="clear"/>
        <w:snapToGrid w:val="0"/>
        <w:spacing w:line="360" w:lineRule="exact"/>
        <w:jc w:val="left"/>
        <w:rPr>
          <w:rFonts w:hAnsi="宋体" w:cs="宋体"/>
          <w:color w:val="auto"/>
          <w:szCs w:val="21"/>
          <w:highlight w:val="none"/>
        </w:rPr>
      </w:pPr>
      <w:r>
        <w:rPr>
          <w:rFonts w:hint="eastAsia" w:hAnsi="宋体" w:cs="宋体"/>
          <w:color w:val="auto"/>
          <w:szCs w:val="21"/>
          <w:highlight w:val="none"/>
        </w:rPr>
        <w:t>预算金额：</w:t>
      </w:r>
      <w:r>
        <w:rPr>
          <w:rFonts w:hint="eastAsia" w:hAnsi="宋体" w:cs="宋体"/>
          <w:color w:val="auto"/>
          <w:szCs w:val="21"/>
          <w:highlight w:val="none"/>
          <w:lang w:val="en-US" w:eastAsia="zh-CN"/>
        </w:rPr>
        <w:t>标项一人民币700400元；标项二人民币2059300元</w:t>
      </w:r>
    </w:p>
    <w:p>
      <w:pPr>
        <w:pStyle w:val="16"/>
        <w:shd w:val="clear"/>
        <w:snapToGrid w:val="0"/>
        <w:spacing w:line="360" w:lineRule="exact"/>
        <w:jc w:val="left"/>
        <w:rPr>
          <w:rFonts w:hint="eastAsia" w:hAnsi="宋体" w:eastAsia="宋体" w:cs="宋体"/>
          <w:color w:val="auto"/>
          <w:kern w:val="0"/>
          <w:szCs w:val="21"/>
          <w:highlight w:val="none"/>
          <w:lang w:eastAsia="zh-CN"/>
        </w:rPr>
      </w:pPr>
      <w:r>
        <w:rPr>
          <w:rFonts w:hint="eastAsia" w:hAnsi="宋体" w:cs="宋体"/>
          <w:color w:val="auto"/>
          <w:szCs w:val="21"/>
          <w:highlight w:val="none"/>
        </w:rPr>
        <w:t>项目编号：</w:t>
      </w:r>
      <w:r>
        <w:rPr>
          <w:rFonts w:hint="eastAsia" w:hAnsi="宋体" w:cs="宋体"/>
          <w:color w:val="auto"/>
          <w:kern w:val="0"/>
          <w:szCs w:val="21"/>
          <w:highlight w:val="none"/>
          <w:lang w:eastAsia="zh-CN"/>
        </w:rPr>
        <w:t>JXMYZFCG-2024-021</w:t>
      </w:r>
    </w:p>
    <w:p>
      <w:pPr>
        <w:pStyle w:val="16"/>
        <w:shd w:val="clear"/>
        <w:snapToGrid w:val="0"/>
        <w:spacing w:line="360" w:lineRule="exact"/>
        <w:jc w:val="left"/>
        <w:rPr>
          <w:rFonts w:hAnsi="宋体" w:cs="宋体"/>
          <w:color w:val="auto"/>
          <w:szCs w:val="21"/>
          <w:highlight w:val="none"/>
        </w:rPr>
      </w:pPr>
      <w:r>
        <w:rPr>
          <w:rFonts w:hint="eastAsia" w:hAnsi="宋体" w:cs="宋体"/>
          <w:color w:val="auto"/>
          <w:szCs w:val="21"/>
          <w:highlight w:val="none"/>
        </w:rPr>
        <w:t>项目名称：</w:t>
      </w:r>
      <w:r>
        <w:rPr>
          <w:rFonts w:hint="eastAsia" w:hAnsi="宋体" w:cs="宋体"/>
          <w:color w:val="auto"/>
          <w:szCs w:val="21"/>
          <w:highlight w:val="none"/>
          <w:lang w:val="zh-CN"/>
        </w:rPr>
        <w:t xml:space="preserve">2024年南排工程河道堤防维修及一次性项目     </w:t>
      </w:r>
      <w:r>
        <w:rPr>
          <w:rFonts w:hint="eastAsia" w:hAnsi="宋体" w:cs="宋体"/>
          <w:color w:val="auto"/>
          <w:szCs w:val="21"/>
          <w:highlight w:val="none"/>
        </w:rPr>
        <w:t xml:space="preserve">            </w:t>
      </w:r>
    </w:p>
    <w:p>
      <w:pPr>
        <w:shd w:val="clear"/>
        <w:spacing w:line="360" w:lineRule="exact"/>
        <w:jc w:val="left"/>
        <w:rPr>
          <w:rFonts w:hint="default" w:ascii="宋体" w:hAnsi="宋体" w:cs="宋体"/>
          <w:color w:val="auto"/>
          <w:szCs w:val="21"/>
          <w:highlight w:val="none"/>
          <w:u w:val="single"/>
          <w:lang w:val="en-US"/>
        </w:rPr>
      </w:pPr>
      <w:r>
        <w:rPr>
          <w:rFonts w:hint="eastAsia" w:ascii="宋体" w:hAnsi="宋体" w:cs="宋体"/>
          <w:color w:val="auto"/>
          <w:szCs w:val="21"/>
          <w:highlight w:val="none"/>
        </w:rPr>
        <w:t>采购人（以下称甲方）：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pPr>
        <w:shd w:val="clear"/>
        <w:spacing w:line="360" w:lineRule="exact"/>
        <w:jc w:val="left"/>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供应商（以下称乙方）：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pPr>
        <w:shd w:val="clear"/>
        <w:spacing w:line="36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支付单位（以下称丙方）：</w:t>
      </w:r>
      <w:r>
        <w:rPr>
          <w:rFonts w:hint="eastAsia" w:ascii="宋体" w:hAnsi="宋体" w:cs="宋体"/>
          <w:color w:val="auto"/>
          <w:szCs w:val="21"/>
          <w:highlight w:val="none"/>
          <w:u w:val="single"/>
          <w:lang w:eastAsia="zh-CN"/>
        </w:rPr>
        <w:t>嘉兴市杭嘉湖南排工程管理服务中心</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p>
    <w:p>
      <w:pPr>
        <w:pStyle w:val="16"/>
        <w:shd w:val="clear"/>
        <w:snapToGrid w:val="0"/>
        <w:spacing w:line="360" w:lineRule="exact"/>
        <w:jc w:val="left"/>
        <w:rPr>
          <w:rFonts w:hAnsi="宋体" w:cs="宋体"/>
          <w:color w:val="auto"/>
          <w:szCs w:val="21"/>
          <w:highlight w:val="none"/>
        </w:rPr>
      </w:pPr>
      <w:r>
        <w:rPr>
          <w:rFonts w:hint="eastAsia" w:hAnsi="宋体" w:cs="宋体"/>
          <w:color w:val="auto"/>
          <w:szCs w:val="21"/>
          <w:highlight w:val="none"/>
        </w:rPr>
        <w:t>代理机构：</w:t>
      </w:r>
      <w:r>
        <w:rPr>
          <w:rFonts w:hint="eastAsia" w:hAnsi="宋体" w:cs="宋体"/>
          <w:color w:val="auto"/>
          <w:szCs w:val="21"/>
          <w:highlight w:val="none"/>
          <w:u w:val="single"/>
        </w:rPr>
        <w:t>嘉兴市明扬工程咨询有限公司</w:t>
      </w:r>
      <w:r>
        <w:rPr>
          <w:rFonts w:hint="eastAsia" w:hAnsi="宋体" w:cs="宋体"/>
          <w:color w:val="auto"/>
          <w:szCs w:val="21"/>
          <w:highlight w:val="none"/>
        </w:rPr>
        <w:t xml:space="preserve">   </w:t>
      </w:r>
    </w:p>
    <w:p>
      <w:pPr>
        <w:pStyle w:val="16"/>
        <w:shd w:val="clear"/>
        <w:snapToGrid w:val="0"/>
        <w:spacing w:line="360" w:lineRule="exact"/>
        <w:jc w:val="left"/>
        <w:rPr>
          <w:rFonts w:hint="eastAsia" w:hAnsi="宋体" w:cs="宋体"/>
          <w:color w:val="auto"/>
          <w:kern w:val="0"/>
          <w:szCs w:val="21"/>
          <w:highlight w:val="none"/>
        </w:rPr>
      </w:pPr>
      <w:r>
        <w:rPr>
          <w:rFonts w:hint="eastAsia" w:hAnsi="宋体" w:cs="宋体"/>
          <w:color w:val="auto"/>
          <w:kern w:val="0"/>
          <w:szCs w:val="21"/>
          <w:highlight w:val="none"/>
        </w:rPr>
        <w:t>采购方式：竞争性磋商</w:t>
      </w:r>
    </w:p>
    <w:p>
      <w:pPr>
        <w:pStyle w:val="16"/>
        <w:shd w:val="clear"/>
        <w:snapToGrid w:val="0"/>
        <w:spacing w:line="360" w:lineRule="exact"/>
        <w:jc w:val="left"/>
        <w:rPr>
          <w:rFonts w:hint="eastAsia" w:hAnsi="宋体" w:eastAsia="宋体" w:cs="宋体"/>
          <w:color w:val="auto"/>
          <w:kern w:val="0"/>
          <w:szCs w:val="21"/>
          <w:highlight w:val="none"/>
          <w:lang w:val="en-US" w:eastAsia="zh-CN"/>
        </w:rPr>
      </w:pPr>
      <w:r>
        <w:rPr>
          <w:rFonts w:hint="eastAsia" w:hAnsi="宋体" w:cs="宋体"/>
          <w:color w:val="auto"/>
          <w:kern w:val="0"/>
          <w:szCs w:val="21"/>
          <w:highlight w:val="none"/>
          <w:lang w:val="en-US" w:eastAsia="zh-CN"/>
        </w:rPr>
        <w:t>标项：</w:t>
      </w:r>
      <w:r>
        <w:rPr>
          <w:rFonts w:hint="eastAsia" w:ascii="宋体" w:hAnsi="宋体" w:cs="宋体"/>
          <w:color w:val="auto"/>
          <w:szCs w:val="21"/>
          <w:highlight w:val="none"/>
          <w:u w:val="single"/>
        </w:rPr>
        <w:t xml:space="preserve">          </w:t>
      </w:r>
    </w:p>
    <w:p>
      <w:pPr>
        <w:shd w:val="clear"/>
        <w:spacing w:line="360" w:lineRule="exact"/>
        <w:jc w:val="left"/>
        <w:rPr>
          <w:rFonts w:ascii="宋体" w:hAnsi="宋体" w:cs="宋体"/>
          <w:color w:val="auto"/>
          <w:szCs w:val="21"/>
          <w:highlight w:val="none"/>
        </w:rPr>
      </w:pPr>
      <w:r>
        <w:rPr>
          <w:rFonts w:hint="eastAsia" w:ascii="宋体" w:hAnsi="宋体" w:cs="宋体"/>
          <w:color w:val="auto"/>
          <w:szCs w:val="21"/>
          <w:highlight w:val="none"/>
        </w:rPr>
        <w:t xml:space="preserve">   根据《中华人民共和国政府采购法》、《中华人民共和国</w:t>
      </w:r>
      <w:r>
        <w:rPr>
          <w:rFonts w:hint="eastAsia" w:ascii="宋体" w:hAnsi="宋体" w:cs="宋体"/>
          <w:color w:val="auto"/>
          <w:szCs w:val="21"/>
          <w:highlight w:val="none"/>
          <w:lang w:val="en-US" w:eastAsia="zh-CN"/>
        </w:rPr>
        <w:t>民法典</w:t>
      </w:r>
      <w:r>
        <w:rPr>
          <w:rFonts w:hint="eastAsia" w:ascii="宋体" w:hAnsi="宋体" w:cs="宋体"/>
          <w:color w:val="auto"/>
          <w:szCs w:val="21"/>
          <w:highlight w:val="none"/>
        </w:rPr>
        <w:t>》等法律法规的规定，甲乙</w:t>
      </w:r>
      <w:r>
        <w:rPr>
          <w:rFonts w:hint="eastAsia" w:ascii="宋体" w:hAnsi="宋体" w:cs="宋体"/>
          <w:color w:val="auto"/>
          <w:szCs w:val="21"/>
          <w:highlight w:val="none"/>
          <w:lang w:val="en-US" w:eastAsia="zh-CN"/>
        </w:rPr>
        <w:t>丙三</w:t>
      </w:r>
      <w:r>
        <w:rPr>
          <w:rFonts w:hint="eastAsia" w:ascii="宋体" w:hAnsi="宋体" w:cs="宋体"/>
          <w:color w:val="auto"/>
          <w:szCs w:val="21"/>
          <w:highlight w:val="none"/>
        </w:rPr>
        <w:t>方按照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项目采购结果签订本合同。</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第一条 合同组成</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本次政府采购活动的相关文件为本合同的组成部分，这些文件包括但不限于：</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（1）本合同文本；</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（2）竞争性磋商文件与磋商响应文件；</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（3）成交通知书；</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组成本合同的所有文件必须为书面形式。政府采购合同备案时，须提供以上（1）、（3）两项，如由社会中介机构代理，须提供代理协议，合同如有变更的，须提供变更协议。</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第二条 合同标的与相关属性</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1、本次采购的是</w:t>
      </w:r>
      <w:r>
        <w:rPr>
          <w:rFonts w:hint="eastAsia" w:ascii="宋体" w:hAnsi="Courier New"/>
          <w:color w:val="auto"/>
          <w:highlight w:val="none"/>
          <w:u w:val="single"/>
        </w:rPr>
        <w:t xml:space="preserve">                                     </w:t>
      </w:r>
      <w:r>
        <w:rPr>
          <w:rFonts w:hint="eastAsia" w:ascii="宋体" w:hAnsi="Courier New"/>
          <w:color w:val="auto"/>
          <w:highlight w:val="none"/>
        </w:rPr>
        <w:t>。</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2、乙方是否属于中小微企业：□是  □否</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3、本合同项下产品属于（可多选）：□环保产品；□节能产品；□进口产品</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第三条 合同价款</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1、本合同项下总价款为（大写）</w:t>
      </w:r>
      <w:r>
        <w:rPr>
          <w:rFonts w:hint="eastAsia" w:ascii="宋体" w:hAnsi="Courier New"/>
          <w:color w:val="auto"/>
          <w:highlight w:val="none"/>
          <w:u w:val="single"/>
        </w:rPr>
        <w:t xml:space="preserve">                 </w:t>
      </w:r>
      <w:r>
        <w:rPr>
          <w:rFonts w:hint="eastAsia" w:ascii="宋体" w:hAnsi="Courier New"/>
          <w:color w:val="auto"/>
          <w:highlight w:val="none"/>
        </w:rPr>
        <w:t>人民币，分项价款见“价格清单”（如有）”。</w:t>
      </w:r>
    </w:p>
    <w:p>
      <w:pPr>
        <w:pStyle w:val="16"/>
        <w:shd w:val="clear"/>
        <w:spacing w:line="360" w:lineRule="exact"/>
        <w:ind w:firstLine="420"/>
        <w:jc w:val="left"/>
        <w:rPr>
          <w:rFonts w:hint="eastAsia" w:eastAsia="宋体"/>
          <w:color w:val="auto"/>
          <w:szCs w:val="21"/>
          <w:highlight w:val="none"/>
          <w:u w:val="single"/>
          <w:lang w:eastAsia="zh-CN"/>
        </w:rPr>
      </w:pPr>
      <w:r>
        <w:rPr>
          <w:rFonts w:hint="eastAsia"/>
          <w:color w:val="auto"/>
          <w:szCs w:val="21"/>
          <w:highlight w:val="none"/>
        </w:rPr>
        <w:t>2、</w:t>
      </w:r>
      <w:r>
        <w:rPr>
          <w:rFonts w:hint="eastAsia" w:cs="宋体"/>
          <w:color w:val="auto"/>
          <w:szCs w:val="21"/>
          <w:highlight w:val="none"/>
          <w:u w:val="single"/>
          <w:lang w:eastAsia="zh-CN"/>
        </w:rPr>
        <w:t>本项目磋商报价应包括提供正常服务所必需的人工费，材料费、机械设备费、</w:t>
      </w:r>
      <w:r>
        <w:rPr>
          <w:rFonts w:hint="eastAsia" w:cs="宋体"/>
          <w:color w:val="auto"/>
          <w:szCs w:val="21"/>
          <w:highlight w:val="none"/>
          <w:u w:val="single"/>
          <w:lang w:val="en-US" w:eastAsia="zh-CN"/>
        </w:rPr>
        <w:t>青苗补偿及借地</w:t>
      </w:r>
      <w:r>
        <w:rPr>
          <w:rFonts w:hint="eastAsia" w:ascii="宋体" w:hAnsi="宋体"/>
          <w:color w:val="auto"/>
          <w:szCs w:val="21"/>
          <w:highlight w:val="none"/>
          <w:u w:val="single"/>
          <w:lang w:val="en-US" w:eastAsia="zh-CN"/>
        </w:rPr>
        <w:t>费</w:t>
      </w:r>
      <w:r>
        <w:rPr>
          <w:rFonts w:hint="eastAsia" w:hAnsi="宋体"/>
          <w:color w:val="auto"/>
          <w:szCs w:val="21"/>
          <w:highlight w:val="none"/>
          <w:u w:val="single"/>
          <w:lang w:val="en-US" w:eastAsia="zh-CN"/>
        </w:rPr>
        <w:t>、措施费、交通费、</w:t>
      </w:r>
      <w:r>
        <w:rPr>
          <w:rFonts w:hint="eastAsia" w:cs="宋体"/>
          <w:color w:val="auto"/>
          <w:szCs w:val="21"/>
          <w:highlight w:val="none"/>
          <w:u w:val="single"/>
          <w:lang w:eastAsia="zh-CN"/>
        </w:rPr>
        <w:t>管理费、利润、所必需的设备、专用工具等完成本项目所需的一切费用和税金以及合同包含的所有风险、责任等各项全部费用。</w:t>
      </w:r>
    </w:p>
    <w:p>
      <w:pPr>
        <w:shd w:val="clear"/>
        <w:spacing w:line="360" w:lineRule="exact"/>
        <w:ind w:firstLine="210" w:firstLineChars="100"/>
        <w:jc w:val="left"/>
        <w:rPr>
          <w:rFonts w:ascii="宋体" w:hAnsi="Courier New"/>
          <w:color w:val="auto"/>
          <w:highlight w:val="none"/>
        </w:rPr>
      </w:pPr>
      <w:r>
        <w:rPr>
          <w:rFonts w:hint="eastAsia" w:ascii="宋体" w:hAnsi="Courier New"/>
          <w:color w:val="auto"/>
          <w:highlight w:val="none"/>
        </w:rPr>
        <w:t>3、本合同付款方式为以下第</w:t>
      </w:r>
      <w:r>
        <w:rPr>
          <w:rFonts w:hint="eastAsia" w:ascii="宋体" w:hAnsi="Courier New"/>
          <w:color w:val="auto"/>
          <w:highlight w:val="none"/>
          <w:u w:val="single"/>
        </w:rPr>
        <w:t xml:space="preserve">   </w:t>
      </w:r>
      <w:r>
        <w:rPr>
          <w:rFonts w:hint="eastAsia" w:ascii="宋体" w:hAnsi="Courier New"/>
          <w:color w:val="auto"/>
          <w:highlight w:val="none"/>
          <w:u w:val="single"/>
          <w:lang w:val="en-US" w:eastAsia="zh-CN"/>
        </w:rPr>
        <w:t xml:space="preserve">  </w:t>
      </w:r>
      <w:r>
        <w:rPr>
          <w:rFonts w:hint="eastAsia" w:ascii="宋体" w:hAnsi="Courier New"/>
          <w:color w:val="auto"/>
          <w:highlight w:val="none"/>
          <w:u w:val="single"/>
        </w:rPr>
        <w:t xml:space="preserve">  </w:t>
      </w:r>
      <w:r>
        <w:rPr>
          <w:rFonts w:hint="eastAsia" w:ascii="宋体" w:hAnsi="Courier New"/>
          <w:color w:val="auto"/>
          <w:highlight w:val="none"/>
        </w:rPr>
        <w:t>项：</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（1）本合同项下的采购资金系甲方自行支付，付款程序为</w:t>
      </w:r>
      <w:r>
        <w:rPr>
          <w:rFonts w:hint="eastAsia" w:ascii="宋体" w:hAnsi="Courier New"/>
          <w:color w:val="auto"/>
          <w:highlight w:val="none"/>
          <w:u w:val="single"/>
        </w:rPr>
        <w:t xml:space="preserve">                    </w:t>
      </w:r>
      <w:r>
        <w:rPr>
          <w:rFonts w:hint="eastAsia" w:ascii="宋体" w:hAnsi="Courier New"/>
          <w:color w:val="auto"/>
          <w:highlight w:val="none"/>
        </w:rPr>
        <w:t>；</w:t>
      </w:r>
    </w:p>
    <w:p>
      <w:pPr>
        <w:shd w:val="clear"/>
        <w:adjustRightInd w:val="0"/>
        <w:spacing w:line="400" w:lineRule="exact"/>
        <w:rPr>
          <w:rFonts w:ascii="宋体" w:hAnsi="Courier New"/>
          <w:color w:val="auto"/>
          <w:highlight w:val="none"/>
        </w:rPr>
      </w:pPr>
      <w:r>
        <w:rPr>
          <w:rFonts w:hint="eastAsia" w:ascii="宋体" w:hAnsi="Courier New"/>
          <w:color w:val="auto"/>
          <w:highlight w:val="none"/>
        </w:rPr>
        <w:t xml:space="preserve"> （2）本合同项下的采购资金须财政直接支付，付款程序为</w:t>
      </w:r>
      <w:r>
        <w:rPr>
          <w:rFonts w:hint="eastAsia" w:ascii="宋体" w:hAnsi="Courier New"/>
          <w:color w:val="auto"/>
          <w:highlight w:val="none"/>
          <w:u w:val="single"/>
        </w:rPr>
        <w:t xml:space="preserve"> </w:t>
      </w:r>
      <w:r>
        <w:rPr>
          <w:rFonts w:hint="eastAsia" w:ascii="宋体" w:hAnsi="Courier New"/>
          <w:color w:val="auto"/>
          <w:highlight w:val="none"/>
          <w:u w:val="single"/>
          <w:lang w:val="en-US" w:eastAsia="zh-CN"/>
        </w:rPr>
        <w:t xml:space="preserve">                 </w:t>
      </w:r>
      <w:r>
        <w:rPr>
          <w:rFonts w:hint="eastAsia" w:ascii="宋体" w:hAnsi="Courier New"/>
          <w:color w:val="auto"/>
          <w:highlight w:val="none"/>
          <w:u w:val="single"/>
        </w:rPr>
        <w:t xml:space="preserve">  </w:t>
      </w:r>
      <w:r>
        <w:rPr>
          <w:rFonts w:hint="eastAsia" w:ascii="宋体" w:hAnsi="Courier New"/>
          <w:color w:val="auto"/>
          <w:highlight w:val="none"/>
        </w:rPr>
        <w:t>；</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（3）其他方式：</w:t>
      </w:r>
    </w:p>
    <w:p>
      <w:pPr>
        <w:shd w:val="clear"/>
        <w:spacing w:line="360" w:lineRule="exact"/>
        <w:jc w:val="left"/>
        <w:rPr>
          <w:rFonts w:ascii="宋体" w:hAnsi="Courier New"/>
          <w:color w:val="auto"/>
          <w:highlight w:val="none"/>
        </w:rPr>
      </w:pPr>
      <w:r>
        <w:rPr>
          <w:rFonts w:hint="eastAsia" w:ascii="宋体" w:hAnsi="Courier New"/>
          <w:color w:val="auto"/>
          <w:highlight w:val="none"/>
        </w:rPr>
        <w:t xml:space="preserve">   4、本合同项下的采购资金付款进度按招投标文件规定，未规定时按以下第</w:t>
      </w:r>
      <w:r>
        <w:rPr>
          <w:rFonts w:hint="eastAsia" w:ascii="宋体" w:hAnsi="Courier New"/>
          <w:color w:val="auto"/>
          <w:highlight w:val="none"/>
          <w:u w:val="single"/>
        </w:rPr>
        <w:t xml:space="preserve">            </w:t>
      </w:r>
      <w:r>
        <w:rPr>
          <w:rFonts w:hint="eastAsia" w:ascii="宋体" w:hAnsi="Courier New"/>
          <w:color w:val="auto"/>
          <w:highlight w:val="none"/>
        </w:rPr>
        <w:t>项支付：</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（1）一次性付款：乙方合同履行达到</w:t>
      </w:r>
      <w:r>
        <w:rPr>
          <w:rFonts w:hint="eastAsia" w:ascii="宋体" w:hAnsi="Courier New"/>
          <w:color w:val="auto"/>
          <w:highlight w:val="none"/>
          <w:u w:val="single"/>
        </w:rPr>
        <w:t xml:space="preserve">         </w:t>
      </w:r>
      <w:r>
        <w:rPr>
          <w:rFonts w:hint="eastAsia" w:ascii="宋体" w:hAnsi="Courier New"/>
          <w:color w:val="auto"/>
          <w:highlight w:val="none"/>
        </w:rPr>
        <w:t>（条件）时，一次性付款；</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 xml:space="preserve">（2）分期付款 </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r>
        <w:rPr>
          <w:rFonts w:hint="eastAsia" w:ascii="宋体" w:hAnsi="Courier New"/>
          <w:color w:val="auto"/>
          <w:highlight w:val="none"/>
          <w:u w:val="single"/>
        </w:rPr>
        <w:t xml:space="preserve">         </w:t>
      </w:r>
      <w:r>
        <w:rPr>
          <w:rFonts w:hint="eastAsia" w:ascii="宋体" w:hAnsi="Courier New"/>
          <w:color w:val="auto"/>
          <w:highlight w:val="none"/>
        </w:rPr>
        <w:t>时支付</w:t>
      </w:r>
      <w:r>
        <w:rPr>
          <w:rFonts w:hint="eastAsia" w:ascii="宋体" w:hAnsi="Courier New"/>
          <w:color w:val="auto"/>
          <w:highlight w:val="none"/>
          <w:u w:val="single"/>
        </w:rPr>
        <w:t xml:space="preserve">         </w:t>
      </w:r>
      <w:r>
        <w:rPr>
          <w:rFonts w:hint="eastAsia" w:ascii="宋体" w:hAnsi="Courier New"/>
          <w:color w:val="auto"/>
          <w:highlight w:val="none"/>
        </w:rPr>
        <w:t>；</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第四条 履约保证金</w:t>
      </w:r>
    </w:p>
    <w:p>
      <w:pPr>
        <w:shd w:val="clear"/>
        <w:spacing w:line="360" w:lineRule="exact"/>
        <w:ind w:firstLine="420" w:firstLineChars="200"/>
        <w:jc w:val="left"/>
        <w:rPr>
          <w:rFonts w:ascii="宋体" w:hAnsi="Courier New"/>
          <w:color w:val="auto"/>
          <w:highlight w:val="none"/>
        </w:rPr>
      </w:pPr>
      <w:r>
        <w:rPr>
          <w:rFonts w:hint="eastAsia" w:ascii="宋体" w:hAnsi="Courier New"/>
          <w:color w:val="auto"/>
          <w:highlight w:val="none"/>
        </w:rPr>
        <w:t>按以下第</w:t>
      </w:r>
      <w:r>
        <w:rPr>
          <w:rFonts w:hint="eastAsia" w:ascii="宋体" w:hAnsi="Courier New"/>
          <w:color w:val="auto"/>
          <w:highlight w:val="none"/>
          <w:u w:val="single"/>
        </w:rPr>
        <w:t xml:space="preserve">   2  </w:t>
      </w:r>
      <w:r>
        <w:rPr>
          <w:rFonts w:hint="eastAsia" w:ascii="宋体" w:hAnsi="Courier New"/>
          <w:color w:val="auto"/>
          <w:highlight w:val="none"/>
        </w:rPr>
        <w:t>项处理：</w:t>
      </w:r>
    </w:p>
    <w:p>
      <w:pPr>
        <w:pStyle w:val="68"/>
        <w:shd w:val="clear"/>
        <w:snapToGrid w:val="0"/>
        <w:spacing w:line="360" w:lineRule="exact"/>
        <w:jc w:val="left"/>
        <w:rPr>
          <w:rFonts w:hint="eastAsia" w:eastAsia="宋体"/>
          <w:color w:val="auto"/>
          <w:kern w:val="2"/>
          <w:szCs w:val="24"/>
          <w:highlight w:val="none"/>
          <w:lang w:eastAsia="zh-CN"/>
        </w:rPr>
      </w:pPr>
      <w:r>
        <w:rPr>
          <w:rFonts w:hint="eastAsia"/>
          <w:color w:val="auto"/>
          <w:highlight w:val="none"/>
        </w:rPr>
        <w:t xml:space="preserve">    1、</w:t>
      </w:r>
      <w:r>
        <w:rPr>
          <w:rFonts w:hint="eastAsia" w:ascii="宋体" w:hAnsi="Courier New"/>
          <w:color w:val="auto"/>
          <w:kern w:val="2"/>
          <w:szCs w:val="24"/>
          <w:highlight w:val="none"/>
        </w:rPr>
        <w:t>本项目设置履约保证金，乙方应于</w:t>
      </w:r>
      <w:r>
        <w:rPr>
          <w:rFonts w:hint="eastAsia" w:ascii="宋体" w:hAnsi="Courier New"/>
          <w:color w:val="auto"/>
          <w:kern w:val="2"/>
          <w:szCs w:val="24"/>
          <w:highlight w:val="none"/>
          <w:u w:val="single"/>
        </w:rPr>
        <w:t xml:space="preserve">         </w:t>
      </w:r>
      <w:r>
        <w:rPr>
          <w:rFonts w:hint="eastAsia" w:ascii="宋体" w:hAnsi="Courier New"/>
          <w:color w:val="auto"/>
          <w:kern w:val="2"/>
          <w:szCs w:val="24"/>
          <w:highlight w:val="none"/>
        </w:rPr>
        <w:t>（时间）向甲方提交履约保证金</w:t>
      </w:r>
      <w:r>
        <w:rPr>
          <w:rFonts w:hint="eastAsia" w:ascii="宋体" w:hAnsi="Courier New"/>
          <w:color w:val="auto"/>
          <w:kern w:val="2"/>
          <w:szCs w:val="24"/>
          <w:highlight w:val="none"/>
          <w:u w:val="single"/>
        </w:rPr>
        <w:t xml:space="preserve">          </w:t>
      </w:r>
      <w:r>
        <w:rPr>
          <w:rFonts w:hint="eastAsia" w:ascii="宋体" w:hAnsi="Courier New"/>
          <w:color w:val="auto"/>
          <w:kern w:val="2"/>
          <w:szCs w:val="24"/>
          <w:highlight w:val="none"/>
        </w:rPr>
        <w:t>元。</w:t>
      </w:r>
      <w:r>
        <w:rPr>
          <w:rFonts w:hint="eastAsia" w:ascii="宋体" w:hAnsi="宋体" w:cs="宋体"/>
          <w:color w:val="auto"/>
          <w:szCs w:val="28"/>
          <w:highlight w:val="none"/>
        </w:rPr>
        <w:t>履约保证金在</w:t>
      </w:r>
      <w:r>
        <w:rPr>
          <w:rFonts w:hint="eastAsia" w:ascii="宋体" w:hAnsi="宋体" w:cs="宋体"/>
          <w:color w:val="auto"/>
          <w:szCs w:val="28"/>
          <w:highlight w:val="none"/>
          <w:u w:val="single"/>
        </w:rPr>
        <w:t xml:space="preserve">                               </w:t>
      </w:r>
      <w:r>
        <w:rPr>
          <w:rFonts w:hint="eastAsia" w:ascii="宋体" w:hAnsi="宋体" w:cs="宋体"/>
          <w:color w:val="auto"/>
          <w:szCs w:val="28"/>
          <w:highlight w:val="none"/>
        </w:rPr>
        <w:t>退还乙方</w:t>
      </w:r>
      <w:r>
        <w:rPr>
          <w:rFonts w:hint="eastAsia"/>
          <w:color w:val="auto"/>
          <w:kern w:val="2"/>
          <w:szCs w:val="24"/>
          <w:highlight w:val="none"/>
        </w:rPr>
        <w:t>。</w:t>
      </w:r>
    </w:p>
    <w:p>
      <w:pPr>
        <w:pStyle w:val="68"/>
        <w:shd w:val="clear"/>
        <w:snapToGrid w:val="0"/>
        <w:spacing w:line="360" w:lineRule="exact"/>
        <w:jc w:val="left"/>
        <w:rPr>
          <w:rFonts w:ascii="宋体" w:hAnsi="宋体"/>
          <w:color w:val="auto"/>
          <w:highlight w:val="none"/>
        </w:rPr>
      </w:pPr>
      <w:r>
        <w:rPr>
          <w:rFonts w:hint="eastAsia"/>
          <w:color w:val="auto"/>
          <w:kern w:val="2"/>
          <w:szCs w:val="24"/>
          <w:highlight w:val="none"/>
        </w:rPr>
        <w:t xml:space="preserve">    2、本项目不设置履约保证金。</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第五条 合同的变更和终止</w:t>
      </w:r>
    </w:p>
    <w:p>
      <w:pPr>
        <w:shd w:val="clear"/>
        <w:spacing w:line="360" w:lineRule="exact"/>
        <w:jc w:val="left"/>
        <w:rPr>
          <w:rFonts w:ascii="仿宋_GB2312" w:hAnsi="Arial" w:eastAsia="仿宋_GB2312" w:cs="Arial"/>
          <w:color w:val="auto"/>
          <w:kern w:val="0"/>
          <w:sz w:val="32"/>
          <w:szCs w:val="32"/>
          <w:highlight w:val="none"/>
        </w:rPr>
      </w:pPr>
      <w:r>
        <w:rPr>
          <w:rFonts w:hint="eastAsia"/>
          <w:color w:val="auto"/>
          <w:highlight w:val="none"/>
        </w:rPr>
        <w:t xml:space="preserve">    除《政府采购法》第</w:t>
      </w:r>
      <w:r>
        <w:rPr>
          <w:rFonts w:hint="eastAsia" w:ascii="宋体" w:hAnsi="宋体" w:cs="宋体"/>
          <w:color w:val="auto"/>
          <w:highlight w:val="none"/>
        </w:rPr>
        <w:t>49条、第50条第二款规定的情形外，本合同一经签订，甲乙</w:t>
      </w:r>
      <w:r>
        <w:rPr>
          <w:rFonts w:hint="eastAsia" w:ascii="宋体" w:hAnsi="宋体" w:cs="宋体"/>
          <w:color w:val="auto"/>
          <w:highlight w:val="none"/>
          <w:lang w:val="en-US" w:eastAsia="zh-CN"/>
        </w:rPr>
        <w:t>丙三</w:t>
      </w:r>
      <w:r>
        <w:rPr>
          <w:rFonts w:hint="eastAsia" w:ascii="宋体" w:hAnsi="宋体" w:cs="宋体"/>
          <w:color w:val="auto"/>
          <w:highlight w:val="none"/>
        </w:rPr>
        <w:t>方不得擅自终止合同或对合同实质性条款</w:t>
      </w:r>
      <w:r>
        <w:rPr>
          <w:rFonts w:hint="eastAsia"/>
          <w:color w:val="auto"/>
          <w:highlight w:val="none"/>
        </w:rPr>
        <w:t>进行变更。确有特殊情况的，须经同级财政部门备案同意。</w:t>
      </w:r>
    </w:p>
    <w:p>
      <w:p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第六条 合同的转让与分包</w:t>
      </w:r>
    </w:p>
    <w:p>
      <w:pPr>
        <w:shd w:val="clear"/>
        <w:spacing w:line="360" w:lineRule="exact"/>
        <w:jc w:val="left"/>
        <w:rPr>
          <w:color w:val="auto"/>
          <w:highlight w:val="none"/>
        </w:rPr>
      </w:pP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乙方不得擅自部分或全部转让其应履行的合同义务。</w:t>
      </w:r>
      <w:r>
        <w:rPr>
          <w:rFonts w:hint="eastAsia"/>
          <w:color w:val="auto"/>
          <w:highlight w:val="none"/>
          <w:lang w:val="en-US" w:eastAsia="zh-CN"/>
        </w:rPr>
        <w:t>本项目不允许分包</w:t>
      </w:r>
      <w:r>
        <w:rPr>
          <w:rFonts w:hint="eastAsia"/>
          <w:color w:val="auto"/>
          <w:highlight w:val="none"/>
        </w:rPr>
        <w:t>。</w:t>
      </w:r>
    </w:p>
    <w:p>
      <w:pPr>
        <w:numPr>
          <w:ilvl w:val="0"/>
          <w:numId w:val="13"/>
        </w:num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争议的解决</w:t>
      </w:r>
    </w:p>
    <w:p>
      <w:pPr>
        <w:shd w:val="clear"/>
        <w:spacing w:line="360" w:lineRule="exact"/>
        <w:jc w:val="left"/>
        <w:rPr>
          <w:color w:val="auto"/>
          <w:highlight w:val="none"/>
        </w:rPr>
      </w:pPr>
      <w:r>
        <w:rPr>
          <w:rFonts w:hint="eastAsia"/>
          <w:color w:val="auto"/>
          <w:highlight w:val="none"/>
        </w:rPr>
        <w:t xml:space="preserve">  1、因履行本合同引起的或与本合同有关的争议，</w:t>
      </w:r>
      <w:r>
        <w:rPr>
          <w:rFonts w:hint="eastAsia" w:ascii="宋体" w:hAnsi="宋体" w:cs="宋体"/>
          <w:color w:val="auto"/>
          <w:highlight w:val="none"/>
        </w:rPr>
        <w:t>甲乙丙</w:t>
      </w:r>
      <w:r>
        <w:rPr>
          <w:rFonts w:hint="eastAsia" w:ascii="宋体" w:hAnsi="宋体" w:cs="宋体"/>
          <w:color w:val="auto"/>
          <w:highlight w:val="none"/>
          <w:lang w:val="en-US" w:eastAsia="zh-CN"/>
        </w:rPr>
        <w:t>三</w:t>
      </w:r>
      <w:r>
        <w:rPr>
          <w:rFonts w:hint="eastAsia" w:ascii="宋体" w:hAnsi="宋体" w:cs="宋体"/>
          <w:color w:val="auto"/>
          <w:highlight w:val="none"/>
        </w:rPr>
        <w:t>方</w:t>
      </w:r>
      <w:r>
        <w:rPr>
          <w:rFonts w:hint="eastAsia"/>
          <w:color w:val="auto"/>
          <w:highlight w:val="none"/>
        </w:rPr>
        <w:t>应首先通过友好协商解决，如果协商不能解决争议，则采取以下第</w:t>
      </w:r>
      <w:r>
        <w:rPr>
          <w:rFonts w:hint="eastAsia"/>
          <w:color w:val="auto"/>
          <w:highlight w:val="none"/>
          <w:u w:val="single"/>
        </w:rPr>
        <w:t xml:space="preserve">         </w:t>
      </w:r>
      <w:r>
        <w:rPr>
          <w:rFonts w:hint="eastAsia"/>
          <w:color w:val="auto"/>
          <w:highlight w:val="none"/>
        </w:rPr>
        <w:t>种方式解决争议：</w:t>
      </w:r>
    </w:p>
    <w:p>
      <w:pPr>
        <w:shd w:val="clear"/>
        <w:spacing w:line="360" w:lineRule="exact"/>
        <w:jc w:val="left"/>
        <w:rPr>
          <w:color w:val="auto"/>
          <w:highlight w:val="none"/>
        </w:rPr>
      </w:pPr>
      <w:r>
        <w:rPr>
          <w:rFonts w:hint="eastAsia"/>
          <w:color w:val="auto"/>
          <w:highlight w:val="none"/>
        </w:rPr>
        <w:t>（1）向甲方所在地人民法院提起诉讼；</w:t>
      </w:r>
    </w:p>
    <w:p>
      <w:pPr>
        <w:shd w:val="clear"/>
        <w:spacing w:line="360" w:lineRule="exact"/>
        <w:jc w:val="left"/>
        <w:rPr>
          <w:color w:val="auto"/>
          <w:highlight w:val="none"/>
        </w:rPr>
      </w:pPr>
      <w:r>
        <w:rPr>
          <w:rFonts w:hint="eastAsia"/>
          <w:color w:val="auto"/>
          <w:highlight w:val="none"/>
        </w:rPr>
        <w:t>（2）向</w:t>
      </w:r>
      <w:r>
        <w:rPr>
          <w:rFonts w:hint="eastAsia"/>
          <w:color w:val="auto"/>
          <w:highlight w:val="none"/>
          <w:u w:val="single"/>
        </w:rPr>
        <w:t xml:space="preserve">     </w:t>
      </w:r>
      <w:r>
        <w:rPr>
          <w:rFonts w:hint="eastAsia"/>
          <w:color w:val="auto"/>
          <w:highlight w:val="none"/>
        </w:rPr>
        <w:t xml:space="preserve">仲裁委员申请仲裁。 </w:t>
      </w:r>
    </w:p>
    <w:p>
      <w:pPr>
        <w:numPr>
          <w:ilvl w:val="0"/>
          <w:numId w:val="13"/>
        </w:numPr>
        <w:shd w:val="clear"/>
        <w:spacing w:line="360" w:lineRule="exact"/>
        <w:jc w:val="left"/>
        <w:rPr>
          <w:rFonts w:ascii="宋体" w:hAnsi="宋体"/>
          <w:b/>
          <w:color w:val="auto"/>
          <w:szCs w:val="28"/>
          <w:highlight w:val="none"/>
        </w:rPr>
      </w:pPr>
      <w:r>
        <w:rPr>
          <w:rFonts w:hint="eastAsia" w:ascii="宋体" w:hAnsi="宋体"/>
          <w:b/>
          <w:color w:val="auto"/>
          <w:szCs w:val="28"/>
          <w:highlight w:val="none"/>
        </w:rPr>
        <w:t>合同备案及其他</w:t>
      </w:r>
    </w:p>
    <w:p>
      <w:pPr>
        <w:shd w:val="clear"/>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本合同一式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w:t>
      </w:r>
      <w:r>
        <w:rPr>
          <w:rFonts w:hint="eastAsia" w:ascii="宋体" w:hAnsi="宋体" w:cs="宋体"/>
          <w:color w:val="auto"/>
          <w:highlight w:val="none"/>
        </w:rPr>
        <w:t>甲乙</w:t>
      </w:r>
      <w:r>
        <w:rPr>
          <w:rFonts w:hint="eastAsia" w:ascii="宋体" w:hAnsi="宋体" w:cs="宋体"/>
          <w:color w:val="auto"/>
          <w:highlight w:val="none"/>
          <w:lang w:val="en-US" w:eastAsia="zh-CN"/>
        </w:rPr>
        <w:t>丙三</w:t>
      </w:r>
      <w:r>
        <w:rPr>
          <w:rFonts w:hint="eastAsia" w:ascii="宋体" w:hAnsi="宋体" w:cs="宋体"/>
          <w:color w:val="auto"/>
          <w:highlight w:val="none"/>
        </w:rPr>
        <w:t>方</w:t>
      </w:r>
      <w:r>
        <w:rPr>
          <w:rFonts w:hint="eastAsia" w:ascii="宋体" w:hAnsi="宋体" w:cs="宋体"/>
          <w:color w:val="auto"/>
          <w:kern w:val="0"/>
          <w:szCs w:val="21"/>
          <w:highlight w:val="none"/>
        </w:rPr>
        <w:t>各执</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份，1份报送政府采购监督管理部门备案，其余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hd w:val="clear"/>
        <w:spacing w:line="360" w:lineRule="exact"/>
        <w:ind w:firstLine="643" w:firstLineChars="200"/>
        <w:jc w:val="center"/>
        <w:rPr>
          <w:b/>
          <w:color w:val="auto"/>
          <w:sz w:val="32"/>
          <w:szCs w:val="32"/>
          <w:highlight w:val="none"/>
        </w:rPr>
      </w:pPr>
      <w:r>
        <w:rPr>
          <w:rFonts w:hint="eastAsia" w:ascii="宋体" w:hAnsi="宋体"/>
          <w:b/>
          <w:color w:val="auto"/>
          <w:sz w:val="32"/>
          <w:szCs w:val="32"/>
          <w:highlight w:val="none"/>
        </w:rPr>
        <w:t>二、特殊专用条款部分</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一</w:t>
      </w:r>
      <w:r>
        <w:rPr>
          <w:rFonts w:hint="eastAsia" w:ascii="宋体" w:hAnsi="宋体" w:eastAsia="宋体" w:cs="宋体"/>
          <w:b/>
          <w:color w:val="auto"/>
          <w:szCs w:val="21"/>
          <w:highlight w:val="none"/>
        </w:rPr>
        <w:t>条 合同标的、质量目标及要求</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1、合同标的</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本次采购的</w:t>
      </w:r>
      <w:r>
        <w:rPr>
          <w:rFonts w:hint="eastAsia" w:ascii="宋体" w:hAnsi="宋体" w:eastAsia="宋体" w:cs="宋体"/>
          <w:snapToGrid w:val="0"/>
          <w:color w:val="auto"/>
          <w:szCs w:val="21"/>
          <w:highlight w:val="none"/>
        </w:rPr>
        <w:t>主要</w:t>
      </w:r>
      <w:r>
        <w:rPr>
          <w:rFonts w:hint="eastAsia" w:ascii="宋体" w:hAnsi="宋体" w:eastAsia="宋体" w:cs="宋体"/>
          <w:color w:val="auto"/>
          <w:szCs w:val="21"/>
          <w:highlight w:val="none"/>
        </w:rPr>
        <w:t>是</w:t>
      </w:r>
      <w:r>
        <w:rPr>
          <w:rFonts w:hint="eastAsia" w:ascii="宋体" w:hAnsi="宋体" w:cs="宋体"/>
          <w:color w:val="auto"/>
          <w:szCs w:val="21"/>
          <w:highlight w:val="none"/>
          <w:lang w:eastAsia="zh-CN"/>
        </w:rPr>
        <w:t>2024年南排工程河道堤防维修及一次性项目</w:t>
      </w:r>
      <w:r>
        <w:rPr>
          <w:rFonts w:hint="eastAsia" w:ascii="宋体" w:hAnsi="宋体" w:eastAsia="宋体" w:cs="宋体"/>
          <w:color w:val="auto"/>
          <w:szCs w:val="21"/>
          <w:highlight w:val="none"/>
        </w:rPr>
        <w:t>，具体详见</w:t>
      </w:r>
      <w:r>
        <w:rPr>
          <w:rFonts w:hint="eastAsia" w:ascii="宋体" w:hAnsi="宋体" w:eastAsia="宋体" w:cs="宋体"/>
          <w:color w:val="auto"/>
          <w:szCs w:val="21"/>
          <w:highlight w:val="none"/>
          <w:lang w:val="en-US" w:eastAsia="zh-CN"/>
        </w:rPr>
        <w:t>竞争性磋商</w:t>
      </w:r>
      <w:r>
        <w:rPr>
          <w:rFonts w:hint="eastAsia" w:ascii="宋体" w:hAnsi="宋体" w:eastAsia="宋体" w:cs="宋体"/>
          <w:color w:val="auto"/>
          <w:szCs w:val="21"/>
          <w:highlight w:val="none"/>
        </w:rPr>
        <w:t>文件采购内容。</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2、质量目标及要求</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严格执行国家各专业有关规定、标准，质量要求达到合格标准。</w:t>
      </w:r>
      <w:r>
        <w:rPr>
          <w:rFonts w:hint="eastAsia" w:ascii="宋体" w:hAnsi="宋体" w:cs="宋体"/>
          <w:color w:val="auto"/>
          <w:highlight w:val="none"/>
          <w:lang w:val="en-US" w:eastAsia="zh-CN"/>
        </w:rPr>
        <w:t>乙方</w:t>
      </w:r>
      <w:r>
        <w:rPr>
          <w:rFonts w:hint="eastAsia" w:ascii="宋体" w:hAnsi="宋体" w:eastAsia="宋体" w:cs="宋体"/>
          <w:color w:val="auto"/>
          <w:highlight w:val="none"/>
        </w:rPr>
        <w:t>在施工过程中须严格按照设计图纸、合同文件、业主指令及工程相关的规范、规程组织施工，及时组织工程报验、整改，确保本工程质量与使用功能达到设计要求，观感效果符合</w:t>
      </w:r>
      <w:r>
        <w:rPr>
          <w:rFonts w:hint="eastAsia" w:ascii="宋体" w:hAnsi="宋体" w:eastAsia="宋体" w:cs="宋体"/>
          <w:color w:val="auto"/>
          <w:highlight w:val="none"/>
          <w:lang w:val="en-US" w:eastAsia="zh-CN"/>
        </w:rPr>
        <w:t>甲方</w:t>
      </w:r>
      <w:r>
        <w:rPr>
          <w:rFonts w:hint="eastAsia" w:ascii="宋体" w:hAnsi="宋体" w:eastAsia="宋体" w:cs="宋体"/>
          <w:color w:val="auto"/>
          <w:highlight w:val="none"/>
        </w:rPr>
        <w:t>要求。</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3、合同期限：     年   月   日至    年   月   日</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4、质保期：项目验收合格后</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年。</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二</w:t>
      </w:r>
      <w:r>
        <w:rPr>
          <w:rFonts w:hint="eastAsia" w:ascii="宋体" w:hAnsi="宋体" w:eastAsia="宋体" w:cs="宋体"/>
          <w:b/>
          <w:color w:val="auto"/>
          <w:szCs w:val="21"/>
          <w:highlight w:val="none"/>
        </w:rPr>
        <w:t>条 工程安全</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1、施工期间，乙方应严格执行安全生产管理的相关规定，</w:t>
      </w:r>
      <w:r>
        <w:rPr>
          <w:rFonts w:hint="eastAsia" w:ascii="宋体" w:hAnsi="宋体" w:eastAsia="宋体" w:cs="宋体"/>
          <w:color w:val="auto"/>
          <w:szCs w:val="21"/>
          <w:highlight w:val="none"/>
          <w:lang w:eastAsia="zh-CN"/>
        </w:rPr>
        <w:t>确保施工人员具备作业资质，</w:t>
      </w:r>
      <w:r>
        <w:rPr>
          <w:rFonts w:hint="eastAsia" w:ascii="宋体" w:hAnsi="宋体" w:eastAsia="宋体" w:cs="宋体"/>
          <w:color w:val="auto"/>
          <w:szCs w:val="21"/>
          <w:highlight w:val="none"/>
        </w:rPr>
        <w:t>确保工程施工及人员安全；</w:t>
      </w:r>
      <w:r>
        <w:rPr>
          <w:rFonts w:hint="eastAsia" w:ascii="宋体" w:hAnsi="宋体" w:eastAsia="宋体" w:cs="宋体"/>
          <w:color w:val="auto"/>
          <w:szCs w:val="21"/>
          <w:highlight w:val="none"/>
          <w:lang w:eastAsia="zh-CN"/>
        </w:rPr>
        <w:t>施工现场发生人员伤亡或其他财产</w:t>
      </w:r>
      <w:r>
        <w:rPr>
          <w:rFonts w:hint="eastAsia" w:ascii="宋体" w:hAnsi="宋体" w:cs="宋体"/>
          <w:color w:val="auto"/>
          <w:szCs w:val="21"/>
          <w:highlight w:val="none"/>
          <w:lang w:eastAsia="zh-CN"/>
        </w:rPr>
        <w:t>及安全</w:t>
      </w:r>
      <w:r>
        <w:rPr>
          <w:rFonts w:hint="eastAsia" w:ascii="宋体" w:hAnsi="宋体" w:eastAsia="宋体" w:cs="宋体"/>
          <w:color w:val="auto"/>
          <w:szCs w:val="21"/>
          <w:highlight w:val="none"/>
          <w:lang w:eastAsia="zh-CN"/>
        </w:rPr>
        <w:t>事故的，由乙方承担全部</w:t>
      </w:r>
      <w:r>
        <w:rPr>
          <w:rFonts w:hint="eastAsia" w:ascii="宋体" w:hAnsi="宋体" w:cs="宋体"/>
          <w:color w:val="auto"/>
          <w:szCs w:val="21"/>
          <w:highlight w:val="none"/>
          <w:lang w:eastAsia="zh-CN"/>
        </w:rPr>
        <w:t>民事、刑事、行政</w:t>
      </w:r>
      <w:r>
        <w:rPr>
          <w:rFonts w:hint="eastAsia" w:ascii="宋体" w:hAnsi="宋体" w:eastAsia="宋体" w:cs="宋体"/>
          <w:color w:val="auto"/>
          <w:szCs w:val="21"/>
          <w:highlight w:val="none"/>
          <w:lang w:eastAsia="zh-CN"/>
        </w:rPr>
        <w:t>责任</w:t>
      </w:r>
      <w:r>
        <w:rPr>
          <w:rFonts w:hint="eastAsia" w:ascii="宋体" w:hAnsi="宋体" w:eastAsia="宋体" w:cs="宋体"/>
          <w:color w:val="auto"/>
          <w:szCs w:val="21"/>
          <w:highlight w:val="none"/>
        </w:rPr>
        <w:t>；</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2、工程施工结束后，应对施工现场恢复原状。</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三</w:t>
      </w:r>
      <w:r>
        <w:rPr>
          <w:rFonts w:hint="eastAsia" w:ascii="宋体" w:hAnsi="宋体" w:eastAsia="宋体" w:cs="宋体"/>
          <w:b/>
          <w:color w:val="auto"/>
          <w:szCs w:val="21"/>
          <w:highlight w:val="none"/>
        </w:rPr>
        <w:t>条 合同价款及付款方式</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1、本合同采用单价合同，工程量按实调整。</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2、本合同总价款为（大写）人民币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，分项价款在“投标报价</w:t>
      </w:r>
      <w:r>
        <w:rPr>
          <w:rFonts w:hint="eastAsia" w:ascii="宋体" w:hAnsi="宋体" w:eastAsia="宋体" w:cs="宋体"/>
          <w:color w:val="auto"/>
          <w:szCs w:val="21"/>
          <w:highlight w:val="none"/>
          <w:lang w:val="en-US" w:eastAsia="zh-CN"/>
        </w:rPr>
        <w:t>明细</w:t>
      </w:r>
      <w:r>
        <w:rPr>
          <w:rFonts w:hint="eastAsia" w:ascii="宋体" w:hAnsi="宋体" w:eastAsia="宋体" w:cs="宋体"/>
          <w:color w:val="auto"/>
          <w:szCs w:val="21"/>
          <w:highlight w:val="none"/>
        </w:rPr>
        <w:t>表”中明确。</w:t>
      </w:r>
    </w:p>
    <w:p>
      <w:pPr>
        <w:shd w:val="clear"/>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3、乙方的投标报价为含税总价（以人民币为结算单位），应包括人工费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材料费、机械设备费、</w:t>
      </w:r>
      <w:r>
        <w:rPr>
          <w:rFonts w:hint="eastAsia" w:ascii="宋体" w:hAnsi="宋体" w:eastAsia="宋体" w:cs="宋体"/>
          <w:color w:val="auto"/>
          <w:szCs w:val="21"/>
          <w:highlight w:val="none"/>
          <w:lang w:val="en-US" w:eastAsia="zh-CN"/>
        </w:rPr>
        <w:t>青苗补偿及借地费、</w:t>
      </w:r>
      <w:r>
        <w:rPr>
          <w:rFonts w:hint="eastAsia" w:ascii="宋体" w:hAnsi="宋体" w:cs="宋体"/>
          <w:color w:val="auto"/>
          <w:szCs w:val="21"/>
          <w:highlight w:val="none"/>
          <w:lang w:val="en-US" w:eastAsia="zh-CN"/>
        </w:rPr>
        <w:t>措施费、交通费、</w:t>
      </w:r>
      <w:r>
        <w:rPr>
          <w:rFonts w:hint="eastAsia" w:ascii="宋体" w:hAnsi="宋体" w:eastAsia="宋体" w:cs="宋体"/>
          <w:color w:val="auto"/>
          <w:szCs w:val="21"/>
          <w:highlight w:val="none"/>
        </w:rPr>
        <w:t>管理费、利润、</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所必需的设备、专用工具等完成本项目所需的一切费用和税金。缺项、漏项视作报价已包含在其它子项中，不予以调整。</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4、本合同付款方式：</w:t>
      </w:r>
    </w:p>
    <w:p>
      <w:pPr>
        <w:widowControl w:val="0"/>
        <w:shd w:val="clear"/>
        <w:snapToGrid w:val="0"/>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合同生效后预付合同总额的</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0%，</w:t>
      </w:r>
      <w:r>
        <w:rPr>
          <w:rFonts w:hint="eastAsia" w:ascii="宋体" w:hAnsi="宋体" w:cs="宋体"/>
          <w:color w:val="auto"/>
          <w:highlight w:val="none"/>
          <w:lang w:val="en-US" w:eastAsia="zh-CN"/>
        </w:rPr>
        <w:t>剩</w:t>
      </w:r>
      <w:r>
        <w:rPr>
          <w:rFonts w:hint="eastAsia" w:ascii="宋体" w:hAnsi="宋体" w:eastAsia="宋体" w:cs="宋体"/>
          <w:color w:val="auto"/>
          <w:highlight w:val="none"/>
          <w:lang w:val="en-US" w:eastAsia="zh-CN"/>
        </w:rPr>
        <w:t>余款项在项目验收合格（工程量按实结算）且经审价完成后，</w:t>
      </w:r>
      <w:r>
        <w:rPr>
          <w:rFonts w:hint="eastAsia" w:ascii="宋体" w:hAnsi="宋体" w:cs="宋体"/>
          <w:color w:val="auto"/>
          <w:highlight w:val="none"/>
          <w:lang w:val="en-US" w:eastAsia="zh-CN"/>
        </w:rPr>
        <w:t>甲方</w:t>
      </w:r>
      <w:r>
        <w:rPr>
          <w:rFonts w:hint="eastAsia" w:ascii="宋体" w:hAnsi="宋体" w:eastAsia="宋体" w:cs="宋体"/>
          <w:color w:val="auto"/>
          <w:highlight w:val="none"/>
          <w:lang w:val="en-US" w:eastAsia="zh-CN"/>
        </w:rPr>
        <w:t>按审定价的100%结清工程款</w:t>
      </w:r>
      <w:r>
        <w:rPr>
          <w:rFonts w:hint="eastAsia" w:ascii="宋体" w:hAnsi="宋体" w:cs="宋体"/>
          <w:color w:val="auto"/>
          <w:highlight w:val="none"/>
          <w:lang w:val="en-US" w:eastAsia="zh-CN"/>
        </w:rPr>
        <w:t>。</w:t>
      </w:r>
    </w:p>
    <w:p>
      <w:pPr>
        <w:widowControl w:val="0"/>
        <w:shd w:val="clear"/>
        <w:snapToGrid w:val="0"/>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价款支付时，乙方需向甲方提供如下材料：《嘉兴市政府采购资金结算单》、合法发票原件、《采购合同》复印件等相关资料。甲方将审核后的结算资料按《嘉兴市政府采购资金支付管理暂行办法》提交至国库支付中心（或单位财务部门），经审核无误后，国库支付中心（或单位财务部门）在</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个工作日内支付。</w:t>
      </w:r>
    </w:p>
    <w:p>
      <w:pPr>
        <w:pStyle w:val="19"/>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乙方收款账户：</w:t>
      </w:r>
    </w:p>
    <w:p>
      <w:pPr>
        <w:pStyle w:val="19"/>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户名：                开户行：                   账号：</w:t>
      </w:r>
    </w:p>
    <w:p>
      <w:pPr>
        <w:pStyle w:val="19"/>
        <w:shd w:val="clear"/>
        <w:spacing w:before="211"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因乙方未及时提供竣工验收材料导致延期竣工的，或因乙方未及时提供竣工结算材料导致项目延期结算的，因此造成的损失由乙方自行承担。造成甲方损失的，甲方有权按照工程价款的日万分之四向乙方追究违约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四</w:t>
      </w:r>
      <w:r>
        <w:rPr>
          <w:rFonts w:hint="eastAsia" w:ascii="宋体" w:hAnsi="宋体" w:eastAsia="宋体" w:cs="宋体"/>
          <w:b/>
          <w:color w:val="auto"/>
          <w:szCs w:val="21"/>
          <w:highlight w:val="none"/>
        </w:rPr>
        <w:t>条 履约保证金</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本项目不设履约保证金。</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五</w:t>
      </w:r>
      <w:r>
        <w:rPr>
          <w:rFonts w:hint="eastAsia" w:ascii="宋体" w:hAnsi="宋体" w:eastAsia="宋体" w:cs="宋体"/>
          <w:b/>
          <w:color w:val="auto"/>
          <w:szCs w:val="21"/>
          <w:highlight w:val="none"/>
        </w:rPr>
        <w:t>条 合同的变更和终止</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本合同一经签订，甲乙</w:t>
      </w:r>
      <w:r>
        <w:rPr>
          <w:rFonts w:hint="eastAsia" w:ascii="宋体" w:hAnsi="宋体" w:cs="宋体"/>
          <w:color w:val="auto"/>
          <w:szCs w:val="21"/>
          <w:highlight w:val="none"/>
          <w:lang w:val="en-US" w:eastAsia="zh-CN"/>
        </w:rPr>
        <w:t>丙三</w:t>
      </w:r>
      <w:r>
        <w:rPr>
          <w:rFonts w:hint="eastAsia" w:ascii="宋体" w:hAnsi="宋体" w:eastAsia="宋体" w:cs="宋体"/>
          <w:color w:val="auto"/>
          <w:szCs w:val="21"/>
          <w:highlight w:val="none"/>
        </w:rPr>
        <w:t>方不得擅自终止合同或对合同实质性条款进行变更。确有特殊情况的，须经同级财政部门书面批准。</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六</w:t>
      </w:r>
      <w:r>
        <w:rPr>
          <w:rFonts w:hint="eastAsia" w:ascii="宋体" w:hAnsi="宋体" w:eastAsia="宋体" w:cs="宋体"/>
          <w:b/>
          <w:color w:val="auto"/>
          <w:szCs w:val="21"/>
          <w:highlight w:val="none"/>
        </w:rPr>
        <w:t>条 合同的转让与分包</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乙方不得擅自部分或全部转让其应履行的合同义务。</w:t>
      </w:r>
      <w:r>
        <w:rPr>
          <w:rFonts w:hint="eastAsia" w:ascii="宋体" w:hAnsi="宋体" w:eastAsia="宋体" w:cs="宋体"/>
          <w:color w:val="auto"/>
          <w:szCs w:val="21"/>
          <w:highlight w:val="none"/>
          <w:lang w:val="en-US" w:eastAsia="zh-CN"/>
        </w:rPr>
        <w:t>本项目不允许</w:t>
      </w:r>
      <w:r>
        <w:rPr>
          <w:rFonts w:hint="eastAsia" w:ascii="宋体" w:hAnsi="宋体" w:eastAsia="宋体" w:cs="宋体"/>
          <w:color w:val="auto"/>
          <w:szCs w:val="21"/>
          <w:highlight w:val="none"/>
        </w:rPr>
        <w:t>分包。</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七</w:t>
      </w:r>
      <w:r>
        <w:rPr>
          <w:rFonts w:hint="eastAsia" w:ascii="宋体" w:hAnsi="宋体" w:eastAsia="宋体" w:cs="宋体"/>
          <w:b/>
          <w:color w:val="auto"/>
          <w:szCs w:val="21"/>
          <w:highlight w:val="none"/>
        </w:rPr>
        <w:t>条 甲方责任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(1)提供实施本项目所需的技术资料、图纸及相应的技术、管理要求；</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(2)为乙方现场施工提供必要的工作条件，包括水、电、交通、起重、仓储、及施工场地；</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color w:val="auto"/>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八</w:t>
      </w:r>
      <w:r>
        <w:rPr>
          <w:rFonts w:hint="eastAsia" w:ascii="宋体" w:hAnsi="宋体" w:eastAsia="宋体" w:cs="宋体"/>
          <w:b/>
          <w:color w:val="auto"/>
          <w:szCs w:val="21"/>
          <w:highlight w:val="none"/>
        </w:rPr>
        <w:t xml:space="preserve">条 </w:t>
      </w:r>
      <w:r>
        <w:rPr>
          <w:rFonts w:hint="eastAsia" w:ascii="宋体" w:hAnsi="宋体" w:cs="宋体"/>
          <w:b/>
          <w:color w:val="auto"/>
          <w:szCs w:val="21"/>
          <w:highlight w:val="none"/>
          <w:lang w:val="en-US" w:eastAsia="zh-CN"/>
        </w:rPr>
        <w:t>乙</w:t>
      </w:r>
      <w:r>
        <w:rPr>
          <w:rFonts w:hint="eastAsia" w:ascii="宋体" w:hAnsi="宋体" w:eastAsia="宋体" w:cs="宋体"/>
          <w:b/>
          <w:color w:val="auto"/>
          <w:szCs w:val="21"/>
          <w:highlight w:val="none"/>
        </w:rPr>
        <w:t>方责任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(1)负责本项目的组织实施，按时完成项目施工；</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(2)施工质量符合设计和使用要求；</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(3)负责施工中人员及设备的安全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为施工人员购买足额的意外伤害保险</w:t>
      </w:r>
      <w:r>
        <w:rPr>
          <w:rFonts w:hint="eastAsia" w:ascii="宋体" w:hAnsi="宋体" w:eastAsia="宋体" w:cs="宋体"/>
          <w:color w:val="auto"/>
          <w:szCs w:val="21"/>
          <w:highlight w:val="none"/>
        </w:rPr>
        <w:t>；</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(4)供货及时，并保证供货质量。</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color w:val="auto"/>
          <w:highlight w:val="none"/>
        </w:rPr>
      </w:pPr>
      <w:r>
        <w:rPr>
          <w:rFonts w:hint="eastAsia" w:ascii="宋体" w:hAnsi="宋体" w:eastAsia="宋体" w:cs="宋体"/>
          <w:color w:val="auto"/>
          <w:szCs w:val="21"/>
          <w:highlight w:val="none"/>
        </w:rPr>
        <w:t>(5)乙方在本项目服务中违反国家相关法规或行业规范造成他人人身伤亡的，均由乙方负责处理并承担</w:t>
      </w:r>
      <w:r>
        <w:rPr>
          <w:rFonts w:hint="eastAsia" w:ascii="宋体" w:hAnsi="宋体" w:eastAsia="宋体" w:cs="宋体"/>
          <w:color w:val="auto"/>
          <w:szCs w:val="21"/>
          <w:highlight w:val="none"/>
          <w:lang w:val="en-US" w:eastAsia="zh-CN"/>
        </w:rPr>
        <w:t>全部</w:t>
      </w:r>
      <w:r>
        <w:rPr>
          <w:rFonts w:hint="eastAsia" w:ascii="宋体" w:hAnsi="宋体" w:eastAsia="宋体" w:cs="宋体"/>
          <w:color w:val="auto"/>
          <w:szCs w:val="21"/>
          <w:highlight w:val="none"/>
        </w:rPr>
        <w:t>责任，甲方不承担任何责任。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w:t>
      </w:r>
      <w:r>
        <w:rPr>
          <w:rFonts w:hint="eastAsia" w:ascii="宋体" w:hAnsi="宋体" w:cs="宋体"/>
          <w:b/>
          <w:color w:val="auto"/>
          <w:szCs w:val="21"/>
          <w:highlight w:val="none"/>
          <w:lang w:val="en-US" w:eastAsia="zh-CN"/>
        </w:rPr>
        <w:t>九</w:t>
      </w:r>
      <w:r>
        <w:rPr>
          <w:rFonts w:hint="eastAsia" w:ascii="宋体" w:hAnsi="宋体" w:eastAsia="宋体" w:cs="宋体"/>
          <w:b/>
          <w:color w:val="auto"/>
          <w:szCs w:val="21"/>
          <w:highlight w:val="none"/>
        </w:rPr>
        <w:t xml:space="preserve">条 </w:t>
      </w:r>
      <w:r>
        <w:rPr>
          <w:rFonts w:hint="eastAsia" w:ascii="宋体" w:hAnsi="宋体" w:cs="宋体"/>
          <w:b/>
          <w:color w:val="auto"/>
          <w:szCs w:val="21"/>
          <w:highlight w:val="none"/>
          <w:lang w:val="en-US" w:eastAsia="zh-CN"/>
        </w:rPr>
        <w:t>丙</w:t>
      </w:r>
      <w:r>
        <w:rPr>
          <w:rFonts w:hint="eastAsia" w:ascii="宋体" w:hAnsi="宋体" w:eastAsia="宋体" w:cs="宋体"/>
          <w:b/>
          <w:color w:val="auto"/>
          <w:szCs w:val="21"/>
          <w:highlight w:val="none"/>
        </w:rPr>
        <w:t>方责任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)按时支付工程款。</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color w:val="auto"/>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)根据优化本部门预算单位设置的要求，合同资金经甲方审核无误后由丙方予以支付。</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第十条 违约责任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(1)乙方未在约定的工期内完成施工的，每逾期一日，乙方需向甲方支付合同总价款万分之</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的违约金，逾期超过15日的，甲方有权解除合同并要求乙方承担除继续按合同总价款</w:t>
      </w:r>
      <w:r>
        <w:rPr>
          <w:rFonts w:hint="eastAsia" w:ascii="宋体" w:hAnsi="宋体" w:eastAsia="宋体" w:cs="宋体"/>
          <w:color w:val="auto"/>
          <w:szCs w:val="21"/>
          <w:highlight w:val="none"/>
          <w:lang w:val="en-US" w:eastAsia="zh-CN"/>
        </w:rPr>
        <w:t>每</w:t>
      </w:r>
      <w:r>
        <w:rPr>
          <w:rFonts w:hint="eastAsia" w:ascii="宋体" w:hAnsi="宋体" w:eastAsia="宋体" w:cs="宋体"/>
          <w:color w:val="auto"/>
          <w:szCs w:val="21"/>
          <w:highlight w:val="none"/>
        </w:rPr>
        <w:t>日万分之</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支付逾期完工违约金外，其他相应的赔偿责任。</w:t>
      </w:r>
    </w:p>
    <w:p>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因</w:t>
      </w:r>
      <w:r>
        <w:rPr>
          <w:rFonts w:hint="eastAsia" w:ascii="宋体" w:hAnsi="宋体" w:eastAsia="宋体" w:cs="宋体"/>
          <w:color w:val="auto"/>
          <w:szCs w:val="21"/>
          <w:highlight w:val="none"/>
        </w:rPr>
        <w:t>乙方</w:t>
      </w:r>
      <w:r>
        <w:rPr>
          <w:rFonts w:hint="eastAsia" w:ascii="宋体" w:hAnsi="宋体" w:cs="宋体"/>
          <w:color w:val="auto"/>
          <w:szCs w:val="21"/>
          <w:highlight w:val="none"/>
          <w:lang w:val="en-US" w:eastAsia="zh-CN"/>
        </w:rPr>
        <w:t>原因，造成甲方名誉、形象严重损害的，或者质量与合同要求严重不符时，</w:t>
      </w:r>
      <w:r>
        <w:rPr>
          <w:rFonts w:hint="eastAsia" w:ascii="宋体" w:hAnsi="宋体" w:eastAsia="宋体" w:cs="宋体"/>
          <w:color w:val="auto"/>
          <w:szCs w:val="21"/>
          <w:highlight w:val="none"/>
        </w:rPr>
        <w:t>甲方有权解除合同并要求乙方承担相应的违约金，违约金金额为合同总价款的</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0%。</w:t>
      </w:r>
    </w:p>
    <w:p>
      <w:pPr>
        <w:keepNext w:val="0"/>
        <w:keepLines w:val="0"/>
        <w:pageBreakBefore w:val="0"/>
        <w:widowControl/>
        <w:shd w:val="clear"/>
        <w:kinsoku/>
        <w:wordWrap/>
        <w:overflowPunct/>
        <w:topLinePunct w:val="0"/>
        <w:bidi w:val="0"/>
        <w:adjustRightInd w:val="0"/>
        <w:snapToGrid w:val="0"/>
        <w:spacing w:line="400" w:lineRule="exact"/>
        <w:ind w:left="0" w:leftChars="0" w:right="0" w:rightChars="0" w:firstLine="0" w:firstLineChars="0"/>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eastAsia="zh-CN"/>
        </w:rPr>
        <w:t>十</w:t>
      </w:r>
      <w:r>
        <w:rPr>
          <w:rFonts w:hint="eastAsia" w:ascii="宋体" w:hAnsi="宋体" w:eastAsia="宋体" w:cs="宋体"/>
          <w:b/>
          <w:color w:val="auto"/>
          <w:sz w:val="21"/>
          <w:szCs w:val="21"/>
          <w:highlight w:val="none"/>
          <w:lang w:val="en-US" w:eastAsia="zh-CN"/>
        </w:rPr>
        <w:t>一</w:t>
      </w:r>
      <w:r>
        <w:rPr>
          <w:rFonts w:hint="eastAsia" w:ascii="宋体" w:hAnsi="宋体" w:eastAsia="宋体" w:cs="宋体"/>
          <w:b/>
          <w:color w:val="auto"/>
          <w:sz w:val="21"/>
          <w:szCs w:val="21"/>
          <w:highlight w:val="none"/>
        </w:rPr>
        <w:t>条 不可抗力</w:t>
      </w:r>
    </w:p>
    <w:p>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 w:val="21"/>
          <w:szCs w:val="21"/>
          <w:highlight w:val="none"/>
        </w:rPr>
        <w:t>在合同有效期内，任何一方因不可抗力事件导致不能履行合同，应立即通知对方，并寄送有关权威机构出具的证明，则合同履行期可延长，其延长期与不可抗力影响期相同。出现上述情况不受合同有关逾期责任制约。</w:t>
      </w:r>
    </w:p>
    <w:p>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不可抗力影响时间持续30日以上时，</w:t>
      </w:r>
      <w:r>
        <w:rPr>
          <w:rFonts w:hint="eastAsia" w:ascii="宋体" w:hAnsi="宋体" w:cs="宋体"/>
          <w:color w:val="auto"/>
          <w:sz w:val="21"/>
          <w:szCs w:val="21"/>
          <w:highlight w:val="none"/>
          <w:lang w:eastAsia="zh-CN"/>
        </w:rPr>
        <w:t>甲乙丙三方</w:t>
      </w:r>
      <w:r>
        <w:rPr>
          <w:rFonts w:hint="eastAsia" w:ascii="宋体" w:hAnsi="宋体" w:eastAsia="宋体" w:cs="宋体"/>
          <w:color w:val="auto"/>
          <w:sz w:val="21"/>
          <w:szCs w:val="21"/>
          <w:highlight w:val="none"/>
        </w:rPr>
        <w:t>应及时解除合同。</w:t>
      </w:r>
    </w:p>
    <w:p>
      <w:pPr>
        <w:shd w:val="clear"/>
        <w:spacing w:line="42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本条所述“不可抗力”是指不可预见、不能克服及不能避免的事件，包括特大洪涝、特大酷暑大寒、地震、战争、台风、传染性疾病等。</w:t>
      </w:r>
    </w:p>
    <w:p>
      <w:pPr>
        <w:keepNext w:val="0"/>
        <w:keepLines w:val="0"/>
        <w:pageBreakBefore w:val="0"/>
        <w:shd w:val="clear"/>
        <w:kinsoku/>
        <w:wordWrap/>
        <w:overflowPunct/>
        <w:topLinePunct w:val="0"/>
        <w:bidi w:val="0"/>
        <w:snapToGrid w:val="0"/>
        <w:spacing w:line="400" w:lineRule="exact"/>
        <w:ind w:left="0" w:leftChars="0" w:right="0" w:rightChars="0" w:firstLine="0" w:firstLineChars="0"/>
        <w:jc w:val="left"/>
        <w:textAlignment w:val="auto"/>
        <w:outlineLvl w:val="9"/>
        <w:rPr>
          <w:rFonts w:hint="eastAsia" w:ascii="宋体" w:hAnsi="宋体" w:eastAsia="宋体" w:cs="宋体"/>
          <w:b/>
          <w:color w:val="auto"/>
          <w:sz w:val="21"/>
          <w:szCs w:val="21"/>
          <w:highlight w:val="none"/>
          <w:lang w:eastAsia="zh-CN"/>
        </w:rPr>
      </w:pPr>
      <w:r>
        <w:rPr>
          <w:rFonts w:hint="eastAsia" w:ascii="宋体" w:hAnsi="宋体" w:eastAsia="宋体" w:cs="宋体"/>
          <w:b/>
          <w:color w:val="auto"/>
          <w:szCs w:val="21"/>
          <w:highlight w:val="none"/>
        </w:rPr>
        <w:t>第十</w:t>
      </w:r>
      <w:r>
        <w:rPr>
          <w:rFonts w:hint="eastAsia" w:ascii="宋体" w:hAnsi="宋体" w:eastAsia="宋体" w:cs="宋体"/>
          <w:b/>
          <w:color w:val="auto"/>
          <w:szCs w:val="21"/>
          <w:highlight w:val="none"/>
          <w:lang w:val="en-US" w:eastAsia="zh-CN"/>
        </w:rPr>
        <w:t>二</w:t>
      </w:r>
      <w:r>
        <w:rPr>
          <w:rFonts w:hint="eastAsia" w:ascii="宋体" w:hAnsi="宋体" w:eastAsia="宋体" w:cs="宋体"/>
          <w:b/>
          <w:color w:val="auto"/>
          <w:szCs w:val="21"/>
          <w:highlight w:val="none"/>
        </w:rPr>
        <w:t xml:space="preserve">条 </w:t>
      </w:r>
      <w:r>
        <w:rPr>
          <w:rFonts w:hint="eastAsia" w:ascii="宋体" w:hAnsi="宋体" w:eastAsia="宋体" w:cs="宋体"/>
          <w:b/>
          <w:color w:val="auto"/>
          <w:sz w:val="21"/>
          <w:szCs w:val="21"/>
          <w:highlight w:val="none"/>
        </w:rPr>
        <w:t>解决合同纠纷的方式</w:t>
      </w:r>
    </w:p>
    <w:p>
      <w:pPr>
        <w:keepNext w:val="0"/>
        <w:keepLines w:val="0"/>
        <w:pageBreakBefore w:val="0"/>
        <w:shd w:val="clear"/>
        <w:kinsoku/>
        <w:wordWrap/>
        <w:overflowPunct/>
        <w:topLinePunct w:val="0"/>
        <w:bidi w:val="0"/>
        <w:snapToGrid w:val="0"/>
        <w:spacing w:line="400" w:lineRule="exact"/>
        <w:ind w:left="0" w:leftChars="0" w:right="0" w:rightChars="0" w:firstLine="420" w:firstLineChars="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 三方在执行合同中所发生的一切争议，应通过协商解决。如协商不成，可向甲方所在地法院起诉。</w:t>
      </w:r>
    </w:p>
    <w:p>
      <w:pPr>
        <w:keepNext w:val="0"/>
        <w:keepLines w:val="0"/>
        <w:pageBreakBefore w:val="0"/>
        <w:shd w:val="clear"/>
        <w:kinsoku/>
        <w:wordWrap/>
        <w:overflowPunct/>
        <w:topLinePunct w:val="0"/>
        <w:bidi w:val="0"/>
        <w:snapToGrid w:val="0"/>
        <w:spacing w:line="400" w:lineRule="exact"/>
        <w:ind w:right="0" w:rightChars="0"/>
        <w:jc w:val="left"/>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条 合同生效及其它</w:t>
      </w:r>
    </w:p>
    <w:p>
      <w:pPr>
        <w:pStyle w:val="16"/>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合同经</w:t>
      </w:r>
      <w:r>
        <w:rPr>
          <w:rFonts w:hint="eastAsia" w:hAnsi="宋体" w:cs="宋体"/>
          <w:color w:val="auto"/>
          <w:sz w:val="21"/>
          <w:szCs w:val="21"/>
          <w:highlight w:val="none"/>
          <w:lang w:val="en-US" w:eastAsia="zh-CN"/>
        </w:rPr>
        <w:t>三</w:t>
      </w:r>
      <w:r>
        <w:rPr>
          <w:rFonts w:hint="eastAsia" w:ascii="宋体" w:hAnsi="宋体" w:eastAsia="宋体" w:cs="宋体"/>
          <w:color w:val="auto"/>
          <w:sz w:val="21"/>
          <w:szCs w:val="21"/>
          <w:highlight w:val="none"/>
        </w:rPr>
        <w:t>方法定代表人或授权委托代理人签字并加盖单位公章后生效。</w:t>
      </w:r>
    </w:p>
    <w:p>
      <w:pPr>
        <w:pStyle w:val="16"/>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合同执行中涉及采购资金和采购内容修改或补充的，须经市财政部门审批，并签书面补充协议报政府采购监督管理部门备案，方可作为主合同不可分割的一部分。</w:t>
      </w:r>
    </w:p>
    <w:p>
      <w:pPr>
        <w:pStyle w:val="16"/>
        <w:shd w:val="clea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本合同未尽事宜，遵照《</w:t>
      </w:r>
      <w:r>
        <w:rPr>
          <w:rFonts w:hint="eastAsia" w:ascii="宋体" w:hAnsi="宋体" w:eastAsia="宋体" w:cs="宋体"/>
          <w:color w:val="auto"/>
          <w:sz w:val="21"/>
          <w:szCs w:val="21"/>
          <w:highlight w:val="none"/>
          <w:lang w:val="en-US" w:eastAsia="zh-CN"/>
        </w:rPr>
        <w:t>中华人民共和国民法典</w:t>
      </w:r>
      <w:r>
        <w:rPr>
          <w:rFonts w:hint="eastAsia" w:ascii="宋体" w:hAnsi="宋体" w:eastAsia="宋体" w:cs="宋体"/>
          <w:color w:val="auto"/>
          <w:sz w:val="21"/>
          <w:szCs w:val="21"/>
          <w:highlight w:val="none"/>
        </w:rPr>
        <w:t>》有关条文执行。</w:t>
      </w:r>
    </w:p>
    <w:p>
      <w:pPr>
        <w:pStyle w:val="16"/>
        <w:shd w:val="clear"/>
        <w:snapToGrid w:val="0"/>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本合同一式</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份，具有同等法律效力，甲</w:t>
      </w:r>
      <w:r>
        <w:rPr>
          <w:rFonts w:hint="eastAsia" w:hAnsi="宋体" w:cs="宋体"/>
          <w:color w:val="auto"/>
          <w:sz w:val="21"/>
          <w:szCs w:val="21"/>
          <w:highlight w:val="none"/>
          <w:lang w:val="en-US" w:eastAsia="zh-CN"/>
        </w:rPr>
        <w:t>方</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份，</w:t>
      </w:r>
      <w:r>
        <w:rPr>
          <w:rFonts w:hint="eastAsia" w:ascii="宋体" w:hAnsi="宋体" w:eastAsia="宋体" w:cs="宋体"/>
          <w:color w:val="auto"/>
          <w:sz w:val="21"/>
          <w:szCs w:val="21"/>
          <w:highlight w:val="none"/>
        </w:rPr>
        <w:t>乙</w:t>
      </w:r>
      <w:r>
        <w:rPr>
          <w:rFonts w:hint="eastAsia" w:hAnsi="宋体" w:cs="宋体"/>
          <w:color w:val="auto"/>
          <w:sz w:val="21"/>
          <w:szCs w:val="21"/>
          <w:highlight w:val="none"/>
          <w:lang w:val="en-US" w:eastAsia="zh-CN"/>
        </w:rPr>
        <w:t>方</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lang w:val="en-US" w:eastAsia="zh-CN"/>
        </w:rPr>
        <w:t>份，丙方</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份，代理机构一份。</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p>
    <w:p>
      <w:pPr>
        <w:pStyle w:val="2"/>
        <w:shd w:val="clear"/>
        <w:rPr>
          <w:rFonts w:hint="eastAsia" w:ascii="宋体" w:hAnsi="宋体" w:cs="宋体"/>
          <w:color w:val="auto"/>
          <w:sz w:val="21"/>
          <w:szCs w:val="21"/>
          <w:highlight w:val="none"/>
          <w:lang w:val="en-US" w:eastAsia="zh-CN"/>
        </w:rPr>
      </w:pPr>
    </w:p>
    <w:p>
      <w:pPr>
        <w:pStyle w:val="2"/>
        <w:shd w:val="clear"/>
        <w:rPr>
          <w:rFonts w:hint="eastAsia" w:ascii="宋体" w:hAnsi="宋体" w:cs="宋体"/>
          <w:color w:val="auto"/>
          <w:sz w:val="21"/>
          <w:szCs w:val="21"/>
          <w:highlight w:val="none"/>
          <w:lang w:val="en-US" w:eastAsia="zh-CN"/>
        </w:rPr>
      </w:pP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                             乙方： </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地址： </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                       法定代表人：</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开户银行及账号：</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联系电话</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lang w:val="en-US" w:eastAsia="zh-CN"/>
        </w:rPr>
      </w:pPr>
    </w:p>
    <w:p>
      <w:pPr>
        <w:pStyle w:val="5"/>
        <w:shd w:val="clear"/>
        <w:rPr>
          <w:rFonts w:hint="eastAsia" w:ascii="宋体" w:hAnsi="宋体" w:eastAsia="宋体" w:cs="宋体"/>
          <w:color w:val="auto"/>
          <w:sz w:val="21"/>
          <w:szCs w:val="21"/>
          <w:highlight w:val="none"/>
          <w:lang w:val="en-US" w:eastAsia="zh-CN"/>
        </w:rPr>
      </w:pPr>
    </w:p>
    <w:p>
      <w:pPr>
        <w:shd w:val="clear"/>
        <w:rPr>
          <w:rFonts w:hint="eastAsia" w:ascii="宋体" w:hAnsi="宋体" w:eastAsia="宋体" w:cs="宋体"/>
          <w:color w:val="auto"/>
          <w:sz w:val="21"/>
          <w:szCs w:val="21"/>
          <w:highlight w:val="none"/>
          <w:lang w:val="en-US" w:eastAsia="zh-CN"/>
        </w:rPr>
      </w:pPr>
    </w:p>
    <w:p>
      <w:pPr>
        <w:pStyle w:val="5"/>
        <w:shd w:val="clear"/>
        <w:rPr>
          <w:rFonts w:hint="eastAsia"/>
          <w:color w:val="auto"/>
          <w:highlight w:val="none"/>
          <w:lang w:val="en-US" w:eastAsia="zh-CN"/>
        </w:rPr>
      </w:pP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丙</w:t>
      </w:r>
      <w:r>
        <w:rPr>
          <w:rFonts w:hint="eastAsia" w:ascii="宋体" w:hAnsi="宋体" w:eastAsia="宋体" w:cs="宋体"/>
          <w:color w:val="auto"/>
          <w:sz w:val="21"/>
          <w:szCs w:val="21"/>
          <w:highlight w:val="none"/>
        </w:rPr>
        <w:t xml:space="preserve">方：                              </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p>
    <w:p>
      <w:pPr>
        <w:keepNext w:val="0"/>
        <w:keepLines w:val="0"/>
        <w:pageBreakBefore w:val="0"/>
        <w:shd w:val="clear"/>
        <w:kinsoku/>
        <w:wordWrap/>
        <w:overflowPunct/>
        <w:topLinePunct w:val="0"/>
        <w:autoSpaceDE w:val="0"/>
        <w:autoSpaceDN w:val="0"/>
        <w:bidi w:val="0"/>
        <w:adjustRightInd w:val="0"/>
        <w:spacing w:line="400" w:lineRule="exact"/>
        <w:ind w:left="0" w:leftChars="0" w:right="0" w:rightChars="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签订地点：                         </w:t>
      </w:r>
    </w:p>
    <w:p>
      <w:pPr>
        <w:shd w:val="clear"/>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签订日期：      年  月  日</w:t>
      </w: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pStyle w:val="5"/>
        <w:shd w:val="clear"/>
        <w:rPr>
          <w:rFonts w:hint="eastAsia" w:ascii="宋体" w:hAnsi="宋体" w:eastAsia="宋体" w:cs="宋体"/>
          <w:b/>
          <w:color w:val="auto"/>
          <w:sz w:val="32"/>
          <w:szCs w:val="32"/>
          <w:highlight w:val="none"/>
        </w:rPr>
      </w:pPr>
    </w:p>
    <w:p>
      <w:pPr>
        <w:shd w:val="clear"/>
        <w:rPr>
          <w:rFonts w:hint="eastAsia"/>
          <w:color w:val="auto"/>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p>
    <w:p>
      <w:pPr>
        <w:pStyle w:val="2"/>
        <w:shd w:val="clear"/>
        <w:rPr>
          <w:rFonts w:hint="eastAsia"/>
          <w:highlight w:val="none"/>
        </w:rPr>
      </w:pPr>
    </w:p>
    <w:p>
      <w:pPr>
        <w:shd w:val="clear"/>
        <w:spacing w:line="440" w:lineRule="exact"/>
        <w:jc w:val="center"/>
        <w:rPr>
          <w:rFonts w:hint="eastAsia" w:ascii="宋体" w:hAnsi="宋体" w:eastAsia="宋体" w:cs="宋体"/>
          <w:b/>
          <w:color w:val="auto"/>
          <w:sz w:val="32"/>
          <w:szCs w:val="32"/>
          <w:highlight w:val="none"/>
        </w:rPr>
      </w:pPr>
    </w:p>
    <w:p>
      <w:pPr>
        <w:shd w:val="clear"/>
        <w:spacing w:line="44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安全生产合同</w:t>
      </w:r>
    </w:p>
    <w:p>
      <w:pPr>
        <w:shd w:val="clear"/>
        <w:spacing w:line="500" w:lineRule="exact"/>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甲方</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val="en-US" w:eastAsia="zh-CN"/>
        </w:rPr>
        <w:t xml:space="preserve">  </w:t>
      </w:r>
    </w:p>
    <w:p>
      <w:pPr>
        <w:shd w:val="clear"/>
        <w:spacing w:line="50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乙方</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pPr>
        <w:shd w:val="clea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为</w:t>
      </w:r>
      <w:r>
        <w:rPr>
          <w:rFonts w:hint="eastAsia" w:ascii="宋体" w:hAnsi="宋体" w:cs="宋体"/>
          <w:color w:val="auto"/>
          <w:highlight w:val="none"/>
          <w:lang w:eastAsia="zh-CN"/>
        </w:rPr>
        <w:t>2024年南排工程河道堤防维修及一次性项目</w:t>
      </w:r>
      <w:r>
        <w:rPr>
          <w:rFonts w:hint="eastAsia" w:ascii="宋体" w:hAnsi="宋体" w:eastAsia="宋体" w:cs="宋体"/>
          <w:color w:val="auto"/>
          <w:highlight w:val="none"/>
        </w:rPr>
        <w:t>的实施过程中创造安全、高效的施工环境，切实搞好本项目的安全管理工作，本项目业主</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（以下简称“</w:t>
      </w:r>
      <w:r>
        <w:rPr>
          <w:rFonts w:hint="eastAsia" w:ascii="宋体" w:hAnsi="宋体" w:cs="宋体"/>
          <w:color w:val="auto"/>
          <w:highlight w:val="none"/>
          <w:lang w:val="en-US" w:eastAsia="zh-CN"/>
        </w:rPr>
        <w:t>甲方</w:t>
      </w:r>
      <w:r>
        <w:rPr>
          <w:rFonts w:hint="eastAsia" w:ascii="宋体" w:hAnsi="宋体" w:eastAsia="宋体" w:cs="宋体"/>
          <w:color w:val="auto"/>
          <w:highlight w:val="none"/>
        </w:rPr>
        <w:t>”）与</w:t>
      </w:r>
    </w:p>
    <w:p>
      <w:pPr>
        <w:shd w:val="clear"/>
        <w:spacing w:line="50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（以下简称“</w:t>
      </w:r>
      <w:r>
        <w:rPr>
          <w:rFonts w:hint="eastAsia" w:ascii="宋体" w:hAnsi="宋体" w:cs="宋体"/>
          <w:color w:val="auto"/>
          <w:highlight w:val="none"/>
          <w:lang w:val="en-US" w:eastAsia="zh-CN"/>
        </w:rPr>
        <w:t>乙方</w:t>
      </w:r>
      <w:r>
        <w:rPr>
          <w:rFonts w:hint="eastAsia" w:ascii="宋体" w:hAnsi="宋体" w:eastAsia="宋体" w:cs="宋体"/>
          <w:color w:val="auto"/>
          <w:highlight w:val="none"/>
        </w:rPr>
        <w:t>”）特此签订安全生产合同。</w:t>
      </w:r>
    </w:p>
    <w:p>
      <w:pPr>
        <w:pStyle w:val="110"/>
        <w:shd w:val="clear"/>
        <w:spacing w:line="500" w:lineRule="exact"/>
        <w:ind w:firstLine="409" w:firstLineChars="194"/>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w:t>
      </w:r>
      <w:r>
        <w:rPr>
          <w:rFonts w:hint="eastAsia" w:ascii="宋体" w:hAnsi="宋体" w:cs="宋体"/>
          <w:b/>
          <w:bCs/>
          <w:color w:val="auto"/>
          <w:szCs w:val="21"/>
          <w:highlight w:val="none"/>
          <w:lang w:val="en-US" w:eastAsia="zh-CN"/>
        </w:rPr>
        <w:t>甲方</w:t>
      </w:r>
      <w:r>
        <w:rPr>
          <w:rFonts w:hint="eastAsia" w:ascii="宋体" w:hAnsi="宋体" w:eastAsia="宋体" w:cs="宋体"/>
          <w:b/>
          <w:bCs/>
          <w:color w:val="auto"/>
          <w:szCs w:val="21"/>
          <w:highlight w:val="none"/>
        </w:rPr>
        <w:t>主要职责</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1、严格遵守国家有关安全生产的法律法规，认真执行工程承包合同中的有关安全要求。</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2、按照“安全第一、预防为主”和坚持“管生产必须管安全”的原则进行安全生产管理。</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3、定期召开安全生产会，及时传达地方有关安全生产的精神。    </w:t>
      </w:r>
    </w:p>
    <w:p>
      <w:pPr>
        <w:pStyle w:val="110"/>
        <w:shd w:val="clear"/>
        <w:spacing w:line="500" w:lineRule="exact"/>
        <w:ind w:firstLine="409" w:firstLineChars="194"/>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r>
        <w:rPr>
          <w:rFonts w:hint="eastAsia" w:ascii="宋体" w:hAnsi="宋体" w:cs="宋体"/>
          <w:b/>
          <w:bCs/>
          <w:color w:val="auto"/>
          <w:szCs w:val="21"/>
          <w:highlight w:val="none"/>
          <w:lang w:val="en-US" w:eastAsia="zh-CN"/>
        </w:rPr>
        <w:t>乙方</w:t>
      </w:r>
      <w:r>
        <w:rPr>
          <w:rFonts w:hint="eastAsia" w:ascii="宋体" w:hAnsi="宋体" w:eastAsia="宋体" w:cs="宋体"/>
          <w:b/>
          <w:bCs/>
          <w:color w:val="auto"/>
          <w:szCs w:val="21"/>
          <w:highlight w:val="none"/>
        </w:rPr>
        <w:t>主要职责</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1、严格遵守国家有关安全生产的法律法规，认真执行工程承包合同中的有关安全要求。</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2、坚持“安全第一、预防为主”和“管生产必须管安全”的原则，加强安全生产宣传教育，增强全员安全生产意识，建立健全各项安全生产的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pStyle w:val="110"/>
        <w:shd w:val="clear"/>
        <w:spacing w:line="500" w:lineRule="exact"/>
        <w:ind w:firstLine="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3、建立健全安全生产责任制。从派往项目实施的项目经理到生产工人（包括临时雇请的民工）的安全生产管理系统必须做到纵向到底，一环不漏；各职能部门、人员的安全生产责任制横向到边，人人有责。项目经理是安全生产的第一责任人。安全机构人员，有权按有关规定发布指令，并采取保护性措施防止事故发生。</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在任何时候都应采取各种合理的预防措施，防止其员工发生任何违法、违禁、暴力或妨碍治安的行为。</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必须具有劳动安全管理部门颁发的安全生产证书，</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lang w:val="en-US" w:eastAsia="zh-CN"/>
        </w:rPr>
        <w:t>保证</w:t>
      </w:r>
      <w:r>
        <w:rPr>
          <w:rFonts w:hint="eastAsia" w:ascii="宋体" w:hAnsi="宋体" w:eastAsia="宋体" w:cs="宋体"/>
          <w:color w:val="auto"/>
          <w:szCs w:val="21"/>
          <w:highlight w:val="none"/>
        </w:rPr>
        <w:t>参加施工人员</w:t>
      </w:r>
      <w:r>
        <w:rPr>
          <w:rFonts w:hint="eastAsia" w:ascii="宋体" w:hAnsi="宋体" w:eastAsia="宋体" w:cs="宋体"/>
          <w:color w:val="auto"/>
          <w:szCs w:val="21"/>
          <w:highlight w:val="none"/>
          <w:lang w:val="en-US" w:eastAsia="zh-CN"/>
        </w:rPr>
        <w:t>具备相关作业资质，</w:t>
      </w:r>
      <w:r>
        <w:rPr>
          <w:rFonts w:hint="eastAsia" w:ascii="宋体" w:hAnsi="宋体" w:eastAsia="宋体" w:cs="宋体"/>
          <w:color w:val="auto"/>
          <w:szCs w:val="21"/>
          <w:highlight w:val="none"/>
        </w:rPr>
        <w:t>必须接受安全技术教育，熟知和遵守本工种的各项安全技术操作规程，定期进行安全技术考核，合格者方准上岗操作。</w:t>
      </w:r>
      <w:r>
        <w:rPr>
          <w:rFonts w:hint="eastAsia" w:ascii="宋体" w:hAnsi="宋体" w:eastAsia="宋体" w:cs="宋体"/>
          <w:color w:val="auto"/>
          <w:szCs w:val="21"/>
          <w:highlight w:val="none"/>
          <w:lang w:val="en-US" w:eastAsia="zh-CN"/>
        </w:rPr>
        <w:t>对于因施工人员资质不全所导致的法律责任，均由</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lang w:val="en-US" w:eastAsia="zh-CN"/>
        </w:rPr>
        <w:t>承担</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由于施</w:t>
      </w:r>
      <w:r>
        <w:rPr>
          <w:rFonts w:hint="eastAsia" w:ascii="宋体" w:hAnsi="宋体" w:eastAsia="宋体" w:cs="宋体"/>
          <w:color w:val="auto"/>
          <w:szCs w:val="21"/>
          <w:highlight w:val="none"/>
        </w:rPr>
        <w:t>工造成的安全事故，由</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承担责任。</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6、对于易燃易爆、有毒的材料除应专门妥善保管之外，还应配备有足够的消防设施，所有施工人员都应熟悉消防设备的性能和使用方法；</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不得将任何种类的爆炸物给予、易货或以其他方式转让给任何其他人，或允许、容忍上述同样行为。</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7、所有施工机具设备均应定期检查，并有安全员的签字记录，保证其经常处于完好状态；不合格的机具、设备和劳动保护用品严禁使用。</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需与项目经理、生产工人（包括临时雇请的民工）签订安全生产责任书，并购买保险，严禁酒后作业。</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pStyle w:val="110"/>
        <w:shd w:val="clear"/>
        <w:spacing w:line="500" w:lineRule="exact"/>
        <w:ind w:firstLine="409" w:firstLineChars="194"/>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三、违约责任</w:t>
      </w:r>
    </w:p>
    <w:p>
      <w:pPr>
        <w:pStyle w:val="110"/>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如因</w:t>
      </w:r>
      <w:r>
        <w:rPr>
          <w:rFonts w:hint="eastAsia" w:ascii="宋体" w:hAnsi="宋体" w:cs="宋体"/>
          <w:color w:val="auto"/>
          <w:szCs w:val="21"/>
          <w:highlight w:val="none"/>
          <w:lang w:val="en-US" w:eastAsia="zh-CN"/>
        </w:rPr>
        <w:t>甲方</w:t>
      </w:r>
      <w:r>
        <w:rPr>
          <w:rFonts w:hint="eastAsia" w:ascii="宋体" w:hAnsi="宋体" w:eastAsia="宋体" w:cs="宋体"/>
          <w:color w:val="auto"/>
          <w:szCs w:val="21"/>
          <w:highlight w:val="none"/>
        </w:rPr>
        <w:t>或</w:t>
      </w:r>
      <w:r>
        <w:rPr>
          <w:rFonts w:hint="eastAsia" w:ascii="宋体" w:hAnsi="宋体" w:cs="宋体"/>
          <w:color w:val="auto"/>
          <w:szCs w:val="21"/>
          <w:highlight w:val="none"/>
          <w:lang w:val="en-US" w:eastAsia="zh-CN"/>
        </w:rPr>
        <w:t>乙方</w:t>
      </w:r>
      <w:r>
        <w:rPr>
          <w:rFonts w:hint="eastAsia" w:ascii="宋体" w:hAnsi="宋体" w:eastAsia="宋体" w:cs="宋体"/>
          <w:color w:val="auto"/>
          <w:szCs w:val="21"/>
          <w:highlight w:val="none"/>
        </w:rPr>
        <w:t>违约造成安全事故，将依法追究责任。</w:t>
      </w:r>
    </w:p>
    <w:p>
      <w:pPr>
        <w:pStyle w:val="111"/>
        <w:shd w:val="clear"/>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w:t>
      </w:r>
      <w:r>
        <w:rPr>
          <w:rFonts w:hint="eastAsia" w:ascii="宋体" w:hAnsi="宋体" w:eastAsia="宋体" w:cs="宋体"/>
          <w:b/>
          <w:bCs/>
          <w:color w:val="auto"/>
          <w:szCs w:val="21"/>
          <w:highlight w:val="none"/>
        </w:rPr>
        <w:t>、责任书份数</w:t>
      </w:r>
    </w:p>
    <w:p>
      <w:pPr>
        <w:pStyle w:val="112"/>
        <w:shd w:val="clear"/>
        <w:snapToGrid w:val="0"/>
        <w:spacing w:line="500" w:lineRule="exact"/>
        <w:ind w:firstLine="409" w:firstLineChars="195"/>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本合同一式肆份，双方各执贰份，每份合同具有同等法律效力。由双方法定代表人签署和加盖公章后生效，作为合同附件，其有效期限至合同期满。</w:t>
      </w: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甲      方</w:t>
      </w:r>
      <w:r>
        <w:rPr>
          <w:rFonts w:hint="eastAsia" w:ascii="宋体" w:hAnsi="宋体" w:eastAsia="宋体" w:cs="宋体"/>
          <w:color w:val="auto"/>
          <w:szCs w:val="21"/>
          <w:highlight w:val="none"/>
        </w:rPr>
        <w:t xml:space="preserve">：（公章）                  </w:t>
      </w:r>
      <w:r>
        <w:rPr>
          <w:rFonts w:hint="eastAsia" w:ascii="宋体" w:hAnsi="宋体" w:cs="宋体"/>
          <w:color w:val="auto"/>
          <w:szCs w:val="21"/>
          <w:highlight w:val="none"/>
          <w:lang w:val="en-US" w:eastAsia="zh-CN"/>
        </w:rPr>
        <w:t>乙     方</w:t>
      </w:r>
      <w:r>
        <w:rPr>
          <w:rFonts w:hint="eastAsia" w:ascii="宋体" w:hAnsi="宋体" w:eastAsia="宋体" w:cs="宋体"/>
          <w:color w:val="auto"/>
          <w:szCs w:val="21"/>
          <w:highlight w:val="none"/>
        </w:rPr>
        <w:t>：（公章）</w:t>
      </w: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                  法定代表人：（签字）</w:t>
      </w: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委托代理人：（签字）                  委托代理人：（签字）  </w:t>
      </w: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rPr>
          <w:rFonts w:hint="eastAsia" w:ascii="宋体" w:hAnsi="宋体" w:eastAsia="宋体" w:cs="宋体"/>
          <w:color w:val="auto"/>
          <w:szCs w:val="21"/>
          <w:highlight w:val="none"/>
        </w:rPr>
      </w:pPr>
    </w:p>
    <w:p>
      <w:pPr>
        <w:pStyle w:val="112"/>
        <w:shd w:val="clear"/>
        <w:snapToGrid w:val="0"/>
        <w:spacing w:line="440" w:lineRule="exact"/>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p>
      <w:pPr>
        <w:pStyle w:val="112"/>
        <w:shd w:val="clear"/>
        <w:snapToGrid w:val="0"/>
        <w:spacing w:line="440" w:lineRule="exact"/>
        <w:ind w:firstLine="420" w:firstLineChars="200"/>
        <w:jc w:val="righ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 xml:space="preserve"> </w:t>
      </w:r>
    </w:p>
    <w:p>
      <w:pPr>
        <w:shd w:val="clear"/>
        <w:tabs>
          <w:tab w:val="left" w:pos="6120"/>
        </w:tabs>
        <w:spacing w:line="360" w:lineRule="exact"/>
        <w:jc w:val="center"/>
        <w:rPr>
          <w:rFonts w:hint="eastAsia" w:ascii="宋体" w:hAnsi="宋体" w:eastAsia="宋体" w:cs="宋体"/>
          <w:b/>
          <w:bCs/>
          <w:color w:val="auto"/>
          <w:kern w:val="0"/>
          <w:sz w:val="28"/>
          <w:szCs w:val="28"/>
          <w:highlight w:val="none"/>
        </w:rPr>
      </w:pPr>
    </w:p>
    <w:p>
      <w:pPr>
        <w:pStyle w:val="2"/>
        <w:shd w:val="clear"/>
        <w:rPr>
          <w:rFonts w:hint="eastAsia" w:ascii="宋体" w:hAnsi="宋体" w:eastAsia="宋体" w:cs="宋体"/>
          <w:b/>
          <w:bCs/>
          <w:color w:val="auto"/>
          <w:kern w:val="0"/>
          <w:sz w:val="28"/>
          <w:szCs w:val="28"/>
          <w:highlight w:val="none"/>
        </w:rPr>
      </w:pPr>
    </w:p>
    <w:p>
      <w:pPr>
        <w:pStyle w:val="2"/>
        <w:shd w:val="clear"/>
        <w:rPr>
          <w:rFonts w:hint="eastAsia" w:ascii="宋体" w:hAnsi="宋体" w:eastAsia="宋体" w:cs="宋体"/>
          <w:b/>
          <w:bCs/>
          <w:color w:val="auto"/>
          <w:kern w:val="0"/>
          <w:sz w:val="28"/>
          <w:szCs w:val="28"/>
          <w:highlight w:val="none"/>
        </w:rPr>
      </w:pPr>
    </w:p>
    <w:p>
      <w:pPr>
        <w:shd w:val="clear"/>
        <w:tabs>
          <w:tab w:val="left" w:pos="6120"/>
        </w:tabs>
        <w:spacing w:line="360" w:lineRule="exact"/>
        <w:jc w:val="center"/>
        <w:rPr>
          <w:rFonts w:hint="eastAsia" w:ascii="宋体" w:hAnsi="宋体" w:eastAsia="宋体" w:cs="宋体"/>
          <w:b/>
          <w:bCs/>
          <w:color w:val="auto"/>
          <w:kern w:val="0"/>
          <w:sz w:val="28"/>
          <w:szCs w:val="28"/>
          <w:highlight w:val="none"/>
        </w:rPr>
      </w:pPr>
    </w:p>
    <w:p>
      <w:pPr>
        <w:shd w:val="clear"/>
        <w:tabs>
          <w:tab w:val="left" w:pos="6120"/>
        </w:tabs>
        <w:spacing w:line="36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kern w:val="0"/>
          <w:sz w:val="28"/>
          <w:szCs w:val="28"/>
          <w:highlight w:val="none"/>
        </w:rPr>
        <w:t>建设（维修）工程廉洁自律协议书</w:t>
      </w:r>
    </w:p>
    <w:p>
      <w:pPr>
        <w:numPr>
          <w:ilvl w:val="0"/>
          <w:numId w:val="14"/>
        </w:num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根据有关工程建设、廉政建设法律法规和政策规定，为了干净干事，确保</w:t>
      </w:r>
    </w:p>
    <w:p>
      <w:pPr>
        <w:numPr>
          <w:ilvl w:val="0"/>
          <w:numId w:val="0"/>
        </w:numPr>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工程项目优质、高效、廉洁、安全有序实施，经</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rPr>
        <w:t>（甲方）</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rPr>
        <w:t>与</w:t>
      </w:r>
      <w:r>
        <w:rPr>
          <w:rFonts w:hint="eastAsia" w:ascii="宋体" w:hAnsi="宋体" w:eastAsia="宋体" w:cs="宋体"/>
          <w:color w:val="auto"/>
          <w:highlight w:val="none"/>
          <w:u w:val="single"/>
        </w:rPr>
        <w:t xml:space="preserve">                            （乙方）                    </w:t>
      </w:r>
      <w:r>
        <w:rPr>
          <w:rFonts w:hint="eastAsia" w:ascii="宋体" w:hAnsi="宋体" w:eastAsia="宋体" w:cs="宋体"/>
          <w:color w:val="auto"/>
          <w:highlight w:val="none"/>
        </w:rPr>
        <w:t>协商制定本协议。</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第二条  甲乙双方权利和义务：双方应严格遵守有关法律、法规，相关政策以及廉政建设各项规定。自觉按合同办事。发现对方在业务活动中有违反廉政规定的行为，有及时提醒对方纠正的权利和义务。发现对方有严重违法违纪和违反合同义务条款的行为，有向其主管部门、纪检监察、检察机关反映和举报、建议给予处理并要求告知处理结果的权利。</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双方要把廉洁自律贯穿于工程建设的全过程，根据本协议内容，做到领导重视、组织到位；教育领先、思想到位；明确职责、责任到位；制定方案、措施到位；列入目标、考核到位。做到在布置建设任务的同时，布置廉洁自律要求；在检查工程的同时，检查廉洁自律协议执行情况；在验收工程的同时，考核廉洁自律协议的执行结果。</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第三条  甲方及其工作人员义务：甲方及其工作人员不得以任何形式向乙方索要回扣、好处费和接受乙方的礼金、有价证券和礼品，不得在乙方报销应由甲方及个人支付的费用。不得参加可能对公正执行公务有影响的宴请、旅游和娱乐活动。不得向乙方介绍家属或亲友从事与甲方工程有关的材料、设备供应等经济业务。不得要求或接受乙方为本人、亲属等住房装修、工作安排等提供方便。</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第四条  乙方及其工作人员义务：乙方通过正当途径开展业务工作，不得为获取自身利益而向甲方及其工作人员赠送礼金、有价证券和礼品等。不得为牟利与甲方及其工作人员就工程承包、工程费用、材料设备供应、工程量变动、工程验收、工程质量问题处理、工程造价审核等进行私下交易。不得以洽谈业务、签订经济合同为借口，邀请甲方及其工作人员参加宴会、旅游和娱乐活动。</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第五条  甲、乙双方如发现对方有违反上述协议的行为，应向</w:t>
      </w:r>
      <w:r>
        <w:rPr>
          <w:rFonts w:hint="eastAsia" w:ascii="宋体" w:hAnsi="宋体" w:eastAsia="宋体" w:cs="宋体"/>
          <w:color w:val="auto"/>
          <w:highlight w:val="none"/>
          <w:u w:val="single"/>
        </w:rPr>
        <w:t xml:space="preserve"> 嘉兴市水利局 </w:t>
      </w:r>
      <w:r>
        <w:rPr>
          <w:rFonts w:hint="eastAsia" w:ascii="宋体" w:hAnsi="宋体" w:eastAsia="宋体" w:cs="宋体"/>
          <w:color w:val="auto"/>
          <w:highlight w:val="none"/>
        </w:rPr>
        <w:t>纪检监察部门举报或向国家相关部门举报。</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甲、乙双方确有违反上述协议者，由嘉兴市水利局纪检监察部门会同有关部门按规定处理，同时罚没廉洁自律保证金。情节严重，触犯法律的移交司法机关处理。</w:t>
      </w:r>
    </w:p>
    <w:p>
      <w:pPr>
        <w:shd w:val="clear"/>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第六条  本协议作为甲方委托乙方建设（维修）工程承包合同的附件，经双方签署后同时生效。</w:t>
      </w:r>
    </w:p>
    <w:p>
      <w:pPr>
        <w:shd w:val="clear"/>
        <w:spacing w:line="360" w:lineRule="exact"/>
        <w:rPr>
          <w:rFonts w:hint="eastAsia" w:ascii="宋体" w:hAnsi="宋体" w:eastAsia="宋体" w:cs="宋体"/>
          <w:color w:val="auto"/>
          <w:highlight w:val="none"/>
        </w:rPr>
      </w:pPr>
    </w:p>
    <w:p>
      <w:pPr>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甲方：     （盖章）                       乙方：   （盖章）              </w:t>
      </w:r>
    </w:p>
    <w:p>
      <w:pPr>
        <w:shd w:val="clear"/>
        <w:spacing w:line="360" w:lineRule="exact"/>
        <w:rPr>
          <w:rFonts w:hint="eastAsia" w:ascii="宋体" w:hAnsi="宋体" w:eastAsia="宋体" w:cs="宋体"/>
          <w:color w:val="auto"/>
          <w:highlight w:val="none"/>
        </w:rPr>
      </w:pPr>
    </w:p>
    <w:p>
      <w:pPr>
        <w:shd w:val="clear"/>
        <w:spacing w:line="360" w:lineRule="exact"/>
        <w:ind w:left="267" w:leftChars="27" w:hanging="210" w:hangingChars="100"/>
        <w:rPr>
          <w:rFonts w:hint="eastAsia" w:ascii="宋体" w:hAnsi="宋体" w:eastAsia="宋体" w:cs="宋体"/>
          <w:color w:val="auto"/>
          <w:highlight w:val="none"/>
        </w:rPr>
      </w:pPr>
      <w:r>
        <w:rPr>
          <w:rFonts w:hint="eastAsia" w:ascii="宋体" w:hAnsi="宋体" w:eastAsia="宋体" w:cs="宋体"/>
          <w:color w:val="auto"/>
          <w:highlight w:val="none"/>
        </w:rPr>
        <w:t xml:space="preserve">甲方法定代表人（签字）：                 乙方法定代表人（签字）：        </w:t>
      </w:r>
    </w:p>
    <w:p>
      <w:pPr>
        <w:shd w:val="clear"/>
        <w:spacing w:line="460" w:lineRule="exact"/>
        <w:ind w:firstLine="1155" w:firstLineChars="550"/>
        <w:rPr>
          <w:rFonts w:hint="eastAsia" w:ascii="宋体" w:hAnsi="宋体" w:eastAsia="宋体" w:cs="宋体"/>
          <w:color w:val="auto"/>
          <w:highlight w:val="none"/>
        </w:rPr>
      </w:pPr>
      <w:r>
        <w:rPr>
          <w:rFonts w:hint="eastAsia" w:ascii="宋体" w:hAnsi="宋体" w:eastAsia="宋体" w:cs="宋体"/>
          <w:color w:val="auto"/>
          <w:highlight w:val="none"/>
        </w:rPr>
        <w:t>年 月 日                                  年 月 日</w:t>
      </w:r>
    </w:p>
    <w:p>
      <w:pPr>
        <w:pStyle w:val="28"/>
        <w:shd w:val="clear"/>
        <w:rPr>
          <w:rFonts w:hint="eastAsia" w:ascii="宋体" w:hAnsi="宋体" w:eastAsia="宋体" w:cs="宋体"/>
          <w:color w:val="auto"/>
          <w:sz w:val="21"/>
          <w:szCs w:val="21"/>
          <w:highlight w:val="none"/>
        </w:rPr>
        <w:sectPr>
          <w:pgSz w:w="11905" w:h="16838"/>
          <w:pgMar w:top="1304" w:right="1474" w:bottom="1304" w:left="1474" w:header="680" w:footer="680" w:gutter="0"/>
          <w:cols w:space="720" w:num="1"/>
          <w:docGrid w:linePitch="436" w:charSpace="0"/>
        </w:sectPr>
      </w:pPr>
    </w:p>
    <w:p>
      <w:pPr>
        <w:pStyle w:val="16"/>
        <w:shd w:val="clear"/>
        <w:spacing w:before="156" w:beforeLines="50" w:after="156" w:afterLines="50" w:line="400" w:lineRule="exact"/>
        <w:jc w:val="center"/>
        <w:outlineLvl w:val="0"/>
        <w:rPr>
          <w:rFonts w:hAnsi="宋体"/>
          <w:b/>
          <w:color w:val="auto"/>
          <w:sz w:val="32"/>
          <w:szCs w:val="32"/>
          <w:highlight w:val="none"/>
        </w:rPr>
      </w:pPr>
      <w:bookmarkStart w:id="178" w:name="_Toc9995"/>
      <w:bookmarkStart w:id="179" w:name="_Toc16393"/>
      <w:bookmarkStart w:id="180" w:name="_Toc12927"/>
      <w:bookmarkStart w:id="181" w:name="_Toc3974"/>
      <w:bookmarkStart w:id="182" w:name="_Toc21420"/>
      <w:bookmarkStart w:id="183" w:name="_Toc18846"/>
      <w:bookmarkStart w:id="184" w:name="_Toc18735"/>
      <w:bookmarkStart w:id="185" w:name="_Toc4860"/>
      <w:r>
        <w:rPr>
          <w:rFonts w:hint="eastAsia" w:hAnsi="宋体"/>
          <w:b/>
          <w:color w:val="auto"/>
          <w:sz w:val="32"/>
          <w:szCs w:val="32"/>
          <w:highlight w:val="none"/>
        </w:rPr>
        <w:t>第五章  评审办法</w:t>
      </w:r>
      <w:bookmarkEnd w:id="178"/>
      <w:bookmarkEnd w:id="179"/>
      <w:bookmarkEnd w:id="180"/>
      <w:bookmarkEnd w:id="181"/>
      <w:bookmarkEnd w:id="182"/>
      <w:bookmarkEnd w:id="183"/>
      <w:bookmarkEnd w:id="184"/>
      <w:bookmarkEnd w:id="185"/>
    </w:p>
    <w:p>
      <w:pPr>
        <w:shd w:val="clear"/>
        <w:spacing w:line="400" w:lineRule="exact"/>
        <w:ind w:firstLine="420"/>
        <w:jc w:val="left"/>
        <w:rPr>
          <w:color w:val="auto"/>
          <w:szCs w:val="21"/>
          <w:highlight w:val="none"/>
        </w:rPr>
      </w:pPr>
      <w:r>
        <w:rPr>
          <w:rFonts w:hint="eastAsia"/>
          <w:color w:val="auto"/>
          <w:szCs w:val="21"/>
          <w:highlight w:val="none"/>
        </w:rPr>
        <w:t>根据《中华人民共和国政府采购法》等有关法律法规的规定，结合本项目的实际，按照公正、公平、科学、择优的原则选择成交人，制定本办法。</w:t>
      </w:r>
    </w:p>
    <w:p>
      <w:pPr>
        <w:shd w:val="clear"/>
        <w:spacing w:line="400" w:lineRule="exact"/>
        <w:jc w:val="left"/>
        <w:rPr>
          <w:rFonts w:ascii="宋体"/>
          <w:b/>
          <w:color w:val="auto"/>
          <w:szCs w:val="21"/>
          <w:highlight w:val="none"/>
        </w:rPr>
      </w:pPr>
      <w:r>
        <w:rPr>
          <w:rFonts w:hint="eastAsia" w:ascii="宋体" w:hAnsi="宋体"/>
          <w:b/>
          <w:color w:val="auto"/>
          <w:szCs w:val="21"/>
          <w:highlight w:val="none"/>
        </w:rPr>
        <w:t>一、总则</w:t>
      </w:r>
    </w:p>
    <w:p>
      <w:pPr>
        <w:shd w:val="clear"/>
        <w:snapToGrid w:val="0"/>
        <w:spacing w:line="460" w:lineRule="exact"/>
        <w:ind w:firstLine="422" w:firstLineChars="200"/>
        <w:rPr>
          <w:rFonts w:hint="eastAsia"/>
          <w:color w:val="auto"/>
          <w:szCs w:val="21"/>
          <w:highlight w:val="none"/>
        </w:rPr>
      </w:pPr>
      <w:r>
        <w:rPr>
          <w:rFonts w:hint="eastAsia"/>
          <w:b/>
          <w:bCs/>
          <w:color w:val="auto"/>
          <w:szCs w:val="21"/>
          <w:highlight w:val="none"/>
        </w:rPr>
        <w:t>本项目</w:t>
      </w:r>
      <w:r>
        <w:rPr>
          <w:rFonts w:hint="eastAsia"/>
          <w:b/>
          <w:bCs/>
          <w:color w:val="auto"/>
          <w:szCs w:val="21"/>
          <w:highlight w:val="none"/>
          <w:lang w:val="en-US" w:eastAsia="zh-CN"/>
        </w:rPr>
        <w:t>磋商评审</w:t>
      </w:r>
      <w:r>
        <w:rPr>
          <w:rFonts w:hint="eastAsia"/>
          <w:b/>
          <w:bCs/>
          <w:color w:val="auto"/>
          <w:szCs w:val="21"/>
          <w:highlight w:val="none"/>
        </w:rPr>
        <w:t>顺序按标项一至标项</w:t>
      </w:r>
      <w:r>
        <w:rPr>
          <w:rFonts w:hint="eastAsia"/>
          <w:b/>
          <w:bCs/>
          <w:color w:val="auto"/>
          <w:szCs w:val="21"/>
          <w:highlight w:val="none"/>
          <w:lang w:val="en-US" w:eastAsia="zh-CN"/>
        </w:rPr>
        <w:t>二</w:t>
      </w:r>
      <w:r>
        <w:rPr>
          <w:rFonts w:hint="eastAsia"/>
          <w:b/>
          <w:bCs/>
          <w:color w:val="auto"/>
          <w:szCs w:val="21"/>
          <w:highlight w:val="none"/>
        </w:rPr>
        <w:t>的顺序依次开启，所有</w:t>
      </w:r>
      <w:r>
        <w:rPr>
          <w:rFonts w:hint="eastAsia"/>
          <w:b/>
          <w:bCs/>
          <w:color w:val="auto"/>
          <w:szCs w:val="21"/>
          <w:highlight w:val="none"/>
          <w:lang w:val="en-US" w:eastAsia="zh-CN"/>
        </w:rPr>
        <w:t>磋商</w:t>
      </w:r>
      <w:r>
        <w:rPr>
          <w:rFonts w:hint="eastAsia"/>
          <w:b/>
          <w:bCs/>
          <w:color w:val="auto"/>
          <w:szCs w:val="21"/>
          <w:highlight w:val="none"/>
        </w:rPr>
        <w:t>供应商只能中其中一个标项。同一</w:t>
      </w:r>
      <w:r>
        <w:rPr>
          <w:rFonts w:hint="eastAsia"/>
          <w:b/>
          <w:bCs/>
          <w:color w:val="auto"/>
          <w:szCs w:val="21"/>
          <w:highlight w:val="none"/>
          <w:lang w:val="en-US" w:eastAsia="zh-CN"/>
        </w:rPr>
        <w:t>供应商两</w:t>
      </w:r>
      <w:r>
        <w:rPr>
          <w:rFonts w:hint="eastAsia"/>
          <w:b/>
          <w:bCs/>
          <w:color w:val="auto"/>
          <w:szCs w:val="21"/>
          <w:highlight w:val="none"/>
        </w:rPr>
        <w:t>个标项</w:t>
      </w:r>
      <w:r>
        <w:rPr>
          <w:rFonts w:hint="eastAsia"/>
          <w:b/>
          <w:bCs/>
          <w:color w:val="auto"/>
          <w:szCs w:val="21"/>
          <w:highlight w:val="none"/>
          <w:lang w:val="en-US" w:eastAsia="zh-CN"/>
        </w:rPr>
        <w:t>均</w:t>
      </w:r>
      <w:r>
        <w:rPr>
          <w:rFonts w:hint="eastAsia"/>
          <w:b/>
          <w:bCs/>
          <w:color w:val="auto"/>
          <w:szCs w:val="21"/>
          <w:highlight w:val="none"/>
        </w:rPr>
        <w:t>得分最高，则按标项开启顺序确定</w:t>
      </w:r>
      <w:r>
        <w:rPr>
          <w:rFonts w:hint="eastAsia"/>
          <w:b/>
          <w:bCs/>
          <w:color w:val="auto"/>
          <w:szCs w:val="21"/>
          <w:highlight w:val="none"/>
          <w:lang w:val="en-US" w:eastAsia="zh-CN"/>
        </w:rPr>
        <w:t>成交</w:t>
      </w:r>
      <w:r>
        <w:rPr>
          <w:rFonts w:hint="eastAsia"/>
          <w:b/>
          <w:bCs/>
          <w:color w:val="auto"/>
          <w:szCs w:val="21"/>
          <w:highlight w:val="none"/>
        </w:rPr>
        <w:t>标项，</w:t>
      </w:r>
      <w:r>
        <w:rPr>
          <w:rFonts w:hint="eastAsia"/>
          <w:b/>
          <w:bCs/>
          <w:color w:val="auto"/>
          <w:szCs w:val="21"/>
          <w:highlight w:val="none"/>
          <w:lang w:val="en-US" w:eastAsia="zh-CN"/>
        </w:rPr>
        <w:t>成交</w:t>
      </w:r>
      <w:r>
        <w:rPr>
          <w:rFonts w:hint="eastAsia"/>
          <w:b/>
          <w:bCs/>
          <w:color w:val="auto"/>
          <w:szCs w:val="21"/>
          <w:highlight w:val="none"/>
        </w:rPr>
        <w:t>供应商不再推荐为其他标项的</w:t>
      </w:r>
      <w:r>
        <w:rPr>
          <w:rFonts w:hint="eastAsia"/>
          <w:b/>
          <w:bCs/>
          <w:color w:val="auto"/>
          <w:szCs w:val="21"/>
          <w:highlight w:val="none"/>
          <w:lang w:val="en-US" w:eastAsia="zh-CN"/>
        </w:rPr>
        <w:t>成交</w:t>
      </w:r>
      <w:r>
        <w:rPr>
          <w:rFonts w:hint="eastAsia"/>
          <w:b/>
          <w:bCs/>
          <w:color w:val="auto"/>
          <w:szCs w:val="21"/>
          <w:highlight w:val="none"/>
        </w:rPr>
        <w:t>人，但所投标项均为有效，其他标项由综合得分排序的第二名者</w:t>
      </w:r>
      <w:r>
        <w:rPr>
          <w:rFonts w:hint="eastAsia"/>
          <w:b/>
          <w:bCs/>
          <w:color w:val="auto"/>
          <w:szCs w:val="21"/>
          <w:highlight w:val="none"/>
          <w:lang w:val="en-US" w:eastAsia="zh-CN"/>
        </w:rPr>
        <w:t>成交</w:t>
      </w:r>
      <w:r>
        <w:rPr>
          <w:rFonts w:hint="eastAsia"/>
          <w:b/>
          <w:bCs/>
          <w:color w:val="auto"/>
          <w:szCs w:val="21"/>
          <w:highlight w:val="none"/>
        </w:rPr>
        <w:t>，依次类推。</w:t>
      </w:r>
    </w:p>
    <w:p>
      <w:pPr>
        <w:shd w:val="clear"/>
        <w:snapToGrid w:val="0"/>
        <w:spacing w:line="460" w:lineRule="exact"/>
        <w:ind w:firstLine="420" w:firstLineChars="200"/>
        <w:rPr>
          <w:color w:val="auto"/>
          <w:szCs w:val="21"/>
          <w:highlight w:val="none"/>
        </w:rPr>
      </w:pPr>
      <w:r>
        <w:rPr>
          <w:rFonts w:hint="eastAsia"/>
          <w:color w:val="auto"/>
          <w:szCs w:val="21"/>
          <w:highlight w:val="none"/>
        </w:rPr>
        <w:t>本次评标采用综合评分法，总分为100分，其中价格分</w:t>
      </w:r>
      <w:r>
        <w:rPr>
          <w:rFonts w:hint="eastAsia"/>
          <w:color w:val="auto"/>
          <w:szCs w:val="21"/>
          <w:highlight w:val="none"/>
          <w:lang w:val="en-US" w:eastAsia="zh-CN"/>
        </w:rPr>
        <w:t>20</w:t>
      </w:r>
      <w:r>
        <w:rPr>
          <w:rFonts w:hint="eastAsia"/>
          <w:color w:val="auto"/>
          <w:szCs w:val="21"/>
          <w:highlight w:val="none"/>
        </w:rPr>
        <w:t>分，资信商务</w:t>
      </w:r>
      <w:r>
        <w:rPr>
          <w:rFonts w:hint="eastAsia"/>
          <w:color w:val="auto"/>
          <w:szCs w:val="21"/>
          <w:highlight w:val="none"/>
          <w:lang w:val="en-US" w:eastAsia="zh-CN"/>
        </w:rPr>
        <w:t>及技术</w:t>
      </w:r>
      <w:r>
        <w:rPr>
          <w:rFonts w:hint="eastAsia"/>
          <w:color w:val="auto"/>
          <w:szCs w:val="21"/>
          <w:highlight w:val="none"/>
        </w:rPr>
        <w:t>分</w:t>
      </w:r>
      <w:r>
        <w:rPr>
          <w:rFonts w:hint="eastAsia"/>
          <w:color w:val="auto"/>
          <w:szCs w:val="21"/>
          <w:highlight w:val="none"/>
          <w:lang w:val="en-US" w:eastAsia="zh-CN"/>
        </w:rPr>
        <w:t>80</w:t>
      </w:r>
      <w:r>
        <w:rPr>
          <w:rFonts w:hint="eastAsia"/>
          <w:color w:val="auto"/>
          <w:szCs w:val="21"/>
          <w:highlight w:val="none"/>
        </w:rPr>
        <w:t>分。合格磋商供应商的评标得分为各评审项目的汇总得分</w:t>
      </w:r>
      <w:r>
        <w:rPr>
          <w:rFonts w:hint="eastAsia"/>
          <w:color w:val="auto"/>
          <w:szCs w:val="21"/>
          <w:highlight w:val="none"/>
          <w:lang w:eastAsia="zh-CN"/>
        </w:rPr>
        <w:t>，</w:t>
      </w:r>
      <w:r>
        <w:rPr>
          <w:rFonts w:hint="eastAsia"/>
          <w:color w:val="auto"/>
          <w:szCs w:val="21"/>
          <w:highlight w:val="none"/>
          <w:lang w:val="en-US" w:eastAsia="zh-CN"/>
        </w:rPr>
        <w:t>成交</w:t>
      </w:r>
      <w:r>
        <w:rPr>
          <w:rFonts w:hint="eastAsia"/>
          <w:color w:val="auto"/>
          <w:szCs w:val="21"/>
          <w:highlight w:val="none"/>
        </w:rPr>
        <w:t>候选资格按评标</w:t>
      </w:r>
      <w:r>
        <w:rPr>
          <w:rFonts w:hint="eastAsia"/>
          <w:color w:val="auto"/>
          <w:szCs w:val="21"/>
          <w:highlight w:val="none"/>
          <w:lang w:val="en-US" w:eastAsia="zh-CN"/>
        </w:rPr>
        <w:t>综合</w:t>
      </w:r>
      <w:r>
        <w:rPr>
          <w:rFonts w:hint="eastAsia"/>
          <w:color w:val="auto"/>
          <w:szCs w:val="21"/>
          <w:highlight w:val="none"/>
        </w:rPr>
        <w:t>得分由高到低顺序排列，得分相同的，按投标报价由低到高顺序排列；得分且投标报价相同的，按资信商务</w:t>
      </w:r>
      <w:r>
        <w:rPr>
          <w:rFonts w:hint="eastAsia"/>
          <w:color w:val="auto"/>
          <w:szCs w:val="21"/>
          <w:highlight w:val="none"/>
          <w:lang w:val="en-US" w:eastAsia="zh-CN"/>
        </w:rPr>
        <w:t>及技术</w:t>
      </w:r>
      <w:r>
        <w:rPr>
          <w:rFonts w:hint="eastAsia"/>
          <w:color w:val="auto"/>
          <w:szCs w:val="21"/>
          <w:highlight w:val="none"/>
        </w:rPr>
        <w:t>得分由高到低顺序排列。排名第一的</w:t>
      </w:r>
      <w:r>
        <w:rPr>
          <w:rFonts w:hint="eastAsia"/>
          <w:color w:val="auto"/>
          <w:szCs w:val="21"/>
          <w:highlight w:val="none"/>
          <w:lang w:val="en-US" w:eastAsia="zh-CN"/>
        </w:rPr>
        <w:t>供应商</w:t>
      </w:r>
      <w:r>
        <w:rPr>
          <w:rFonts w:hint="eastAsia"/>
          <w:color w:val="auto"/>
          <w:szCs w:val="21"/>
          <w:highlight w:val="none"/>
        </w:rPr>
        <w:t>为成交候选人，排名第二的</w:t>
      </w:r>
      <w:r>
        <w:rPr>
          <w:rFonts w:hint="eastAsia"/>
          <w:color w:val="auto"/>
          <w:szCs w:val="21"/>
          <w:highlight w:val="none"/>
          <w:lang w:val="en-US" w:eastAsia="zh-CN"/>
        </w:rPr>
        <w:t>供应商</w:t>
      </w:r>
      <w:r>
        <w:rPr>
          <w:rFonts w:hint="eastAsia"/>
          <w:color w:val="auto"/>
          <w:szCs w:val="21"/>
          <w:highlight w:val="none"/>
        </w:rPr>
        <w:t>为候补成交候选人。本项目成交候选人放弃成交或者因不可抗力提出不能履行合同，采购人可以确定候补成交候选人为成交供应商，候补成交候选人因前款同样的原因不能签订合同，采购人可以确定排名第三的成交候选人为成交供应商。评分过程中采用四舍五入法，并保留小数2位。</w:t>
      </w:r>
    </w:p>
    <w:p>
      <w:pPr>
        <w:shd w:val="clear"/>
        <w:snapToGrid w:val="0"/>
        <w:spacing w:line="460" w:lineRule="exact"/>
        <w:ind w:firstLine="420" w:firstLineChars="200"/>
        <w:rPr>
          <w:color w:val="auto"/>
          <w:szCs w:val="21"/>
          <w:highlight w:val="none"/>
        </w:rPr>
      </w:pPr>
      <w:r>
        <w:rPr>
          <w:rFonts w:hint="eastAsia"/>
          <w:color w:val="auto"/>
          <w:szCs w:val="21"/>
          <w:highlight w:val="none"/>
        </w:rPr>
        <w:t>评标综合得分=价格分+资信商务</w:t>
      </w:r>
      <w:r>
        <w:rPr>
          <w:rFonts w:hint="eastAsia"/>
          <w:color w:val="auto"/>
          <w:szCs w:val="21"/>
          <w:highlight w:val="none"/>
          <w:lang w:val="en-US" w:eastAsia="zh-CN"/>
        </w:rPr>
        <w:t>及技术</w:t>
      </w:r>
      <w:r>
        <w:rPr>
          <w:rFonts w:hint="eastAsia"/>
          <w:color w:val="auto"/>
          <w:szCs w:val="21"/>
          <w:highlight w:val="none"/>
        </w:rPr>
        <w:t>分</w:t>
      </w:r>
    </w:p>
    <w:p>
      <w:pPr>
        <w:shd w:val="clear"/>
        <w:spacing w:line="380" w:lineRule="exact"/>
        <w:jc w:val="left"/>
        <w:rPr>
          <w:rFonts w:ascii="宋体"/>
          <w:b/>
          <w:color w:val="auto"/>
          <w:szCs w:val="21"/>
          <w:highlight w:val="none"/>
        </w:rPr>
      </w:pPr>
      <w:r>
        <w:rPr>
          <w:rFonts w:hint="eastAsia" w:ascii="宋体" w:hAnsi="宋体"/>
          <w:b/>
          <w:color w:val="auto"/>
          <w:szCs w:val="21"/>
          <w:highlight w:val="none"/>
        </w:rPr>
        <w:t>二、评审办法</w:t>
      </w:r>
    </w:p>
    <w:p>
      <w:pPr>
        <w:shd w:val="clear"/>
        <w:adjustRightInd w:val="0"/>
        <w:snapToGrid w:val="0"/>
        <w:spacing w:line="380" w:lineRule="exact"/>
        <w:ind w:firstLine="420" w:firstLineChars="200"/>
        <w:jc w:val="left"/>
        <w:rPr>
          <w:color w:val="auto"/>
          <w:szCs w:val="21"/>
          <w:highlight w:val="none"/>
        </w:rPr>
      </w:pPr>
      <w:r>
        <w:rPr>
          <w:color w:val="auto"/>
          <w:szCs w:val="21"/>
          <w:highlight w:val="none"/>
        </w:rPr>
        <w:t>1</w:t>
      </w:r>
      <w:r>
        <w:rPr>
          <w:rFonts w:hint="eastAsia"/>
          <w:color w:val="auto"/>
          <w:szCs w:val="21"/>
          <w:highlight w:val="none"/>
        </w:rPr>
        <w:t>、本次采用综合评分法。</w:t>
      </w:r>
    </w:p>
    <w:p>
      <w:pPr>
        <w:shd w:val="clear"/>
        <w:adjustRightInd w:val="0"/>
        <w:snapToGrid w:val="0"/>
        <w:spacing w:line="380" w:lineRule="exact"/>
        <w:ind w:firstLine="420" w:firstLineChars="200"/>
        <w:jc w:val="left"/>
        <w:rPr>
          <w:color w:val="auto"/>
          <w:szCs w:val="21"/>
          <w:highlight w:val="none"/>
        </w:rPr>
      </w:pPr>
      <w:r>
        <w:rPr>
          <w:color w:val="auto"/>
          <w:szCs w:val="21"/>
          <w:highlight w:val="none"/>
        </w:rPr>
        <w:t>2</w:t>
      </w:r>
      <w:r>
        <w:rPr>
          <w:rFonts w:hint="eastAsia"/>
          <w:color w:val="auto"/>
          <w:szCs w:val="21"/>
          <w:highlight w:val="none"/>
        </w:rPr>
        <w:t>、磋商后，磋商小组将对各磋商响应文件进行审查，确定磋商响应文件是否合格，对磋商响应文件中的疑问，按磋商顺序对供应商进行询疑，供应商作出书面答复并作为磋商响应文件的补充文件。</w:t>
      </w:r>
    </w:p>
    <w:p>
      <w:pPr>
        <w:shd w:val="clear"/>
        <w:adjustRightInd w:val="0"/>
        <w:snapToGrid w:val="0"/>
        <w:spacing w:line="380" w:lineRule="exact"/>
        <w:ind w:firstLine="420" w:firstLineChars="200"/>
        <w:jc w:val="left"/>
        <w:rPr>
          <w:color w:val="auto"/>
          <w:szCs w:val="21"/>
          <w:highlight w:val="none"/>
        </w:rPr>
      </w:pPr>
      <w:r>
        <w:rPr>
          <w:color w:val="auto"/>
          <w:szCs w:val="21"/>
          <w:highlight w:val="none"/>
        </w:rPr>
        <w:t>3</w:t>
      </w:r>
      <w:r>
        <w:rPr>
          <w:rFonts w:hint="eastAsia"/>
          <w:color w:val="auto"/>
          <w:szCs w:val="21"/>
          <w:highlight w:val="none"/>
        </w:rPr>
        <w:t>、磋商小组以磋商响应文件、询疑为基础依据，综合考虑价格、技术、质量、业绩、服务期、服务能力等因素，对合格的供应商进行客观地分析、评价，并采用百分制评分，将综合得分最高的供应商作为成交候选人向采购人推荐，采购单位依据磋商小组推荐的成交候选人名单，最终确定成交供应商。</w:t>
      </w:r>
    </w:p>
    <w:p>
      <w:pPr>
        <w:shd w:val="clear"/>
        <w:spacing w:line="400" w:lineRule="exact"/>
        <w:jc w:val="left"/>
        <w:rPr>
          <w:b/>
          <w:color w:val="auto"/>
          <w:szCs w:val="21"/>
          <w:highlight w:val="none"/>
        </w:rPr>
      </w:pPr>
      <w:r>
        <w:rPr>
          <w:rFonts w:hint="eastAsia"/>
          <w:b/>
          <w:color w:val="auto"/>
          <w:szCs w:val="21"/>
          <w:highlight w:val="none"/>
        </w:rPr>
        <w:t>三、评分细则</w:t>
      </w:r>
    </w:p>
    <w:p>
      <w:pPr>
        <w:shd w:val="clear"/>
        <w:adjustRightInd w:val="0"/>
        <w:snapToGrid w:val="0"/>
        <w:spacing w:line="380" w:lineRule="exact"/>
        <w:jc w:val="left"/>
        <w:rPr>
          <w:rFonts w:hint="default" w:ascii="宋体" w:hAnsi="宋体" w:eastAsia="宋体"/>
          <w:b/>
          <w:color w:val="auto"/>
          <w:szCs w:val="21"/>
          <w:highlight w:val="none"/>
          <w:lang w:val="en-US" w:eastAsia="zh-CN"/>
        </w:rPr>
      </w:pPr>
      <w:r>
        <w:rPr>
          <w:rFonts w:hint="eastAsia" w:ascii="宋体" w:hAnsi="宋体"/>
          <w:b/>
          <w:color w:val="auto"/>
          <w:szCs w:val="21"/>
          <w:highlight w:val="none"/>
          <w:lang w:val="en-US" w:eastAsia="zh-CN"/>
        </w:rPr>
        <w:t>标项一评审办法：</w:t>
      </w:r>
    </w:p>
    <w:p>
      <w:pPr>
        <w:shd w:val="clear"/>
        <w:adjustRightInd w:val="0"/>
        <w:snapToGrid w:val="0"/>
        <w:spacing w:line="380" w:lineRule="exact"/>
        <w:jc w:val="left"/>
        <w:rPr>
          <w:rFonts w:ascii="宋体" w:hAnsi="宋体"/>
          <w:color w:val="auto"/>
          <w:szCs w:val="21"/>
          <w:highlight w:val="none"/>
        </w:rPr>
      </w:pPr>
      <w:r>
        <w:rPr>
          <w:rFonts w:hint="eastAsia" w:ascii="宋体" w:hAnsi="宋体"/>
          <w:b/>
          <w:color w:val="auto"/>
          <w:szCs w:val="21"/>
          <w:highlight w:val="none"/>
        </w:rPr>
        <w:t>（一）资信商务</w:t>
      </w:r>
      <w:r>
        <w:rPr>
          <w:rFonts w:hint="eastAsia" w:ascii="宋体" w:hAnsi="宋体"/>
          <w:b/>
          <w:color w:val="auto"/>
          <w:szCs w:val="21"/>
          <w:highlight w:val="none"/>
          <w:lang w:val="en-US" w:eastAsia="zh-CN"/>
        </w:rPr>
        <w:t>及</w:t>
      </w:r>
      <w:r>
        <w:rPr>
          <w:rFonts w:hint="eastAsia" w:ascii="宋体" w:hAnsi="宋体"/>
          <w:b/>
          <w:color w:val="auto"/>
          <w:szCs w:val="21"/>
          <w:highlight w:val="none"/>
        </w:rPr>
        <w:t>技术标：（0-</w:t>
      </w:r>
      <w:r>
        <w:rPr>
          <w:rFonts w:hint="eastAsia" w:ascii="宋体" w:hAnsi="宋体"/>
          <w:b/>
          <w:color w:val="auto"/>
          <w:szCs w:val="21"/>
          <w:highlight w:val="none"/>
          <w:lang w:val="en-US" w:eastAsia="zh-CN"/>
        </w:rPr>
        <w:t>80</w:t>
      </w:r>
      <w:r>
        <w:rPr>
          <w:rFonts w:hint="eastAsia" w:ascii="宋体" w:hAnsi="宋体"/>
          <w:b/>
          <w:color w:val="auto"/>
          <w:szCs w:val="21"/>
          <w:highlight w:val="none"/>
        </w:rPr>
        <w:t>分）</w:t>
      </w:r>
      <w:r>
        <w:rPr>
          <w:rFonts w:hint="eastAsia" w:ascii="宋体" w:hAnsi="宋体"/>
          <w:color w:val="auto"/>
          <w:szCs w:val="21"/>
          <w:highlight w:val="none"/>
        </w:rPr>
        <w:t>（保留小数点后2位，四舍五入法）</w:t>
      </w:r>
    </w:p>
    <w:p>
      <w:pPr>
        <w:shd w:val="clear"/>
        <w:adjustRightInd w:val="0"/>
        <w:snapToGrid w:val="0"/>
        <w:spacing w:line="38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磋商小组成员按评标具体办法独立进行评判，每人一张评分计算票，并记名。如某张票的一个因素项目超过规定的范围，则该张票无效。各供应商的资信商务</w:t>
      </w:r>
      <w:r>
        <w:rPr>
          <w:rFonts w:hint="eastAsia" w:ascii="宋体" w:hAnsi="宋体"/>
          <w:b/>
          <w:color w:val="auto"/>
          <w:szCs w:val="21"/>
          <w:highlight w:val="none"/>
          <w:lang w:val="en-US" w:eastAsia="zh-CN"/>
        </w:rPr>
        <w:t>及技术</w:t>
      </w:r>
      <w:r>
        <w:rPr>
          <w:rFonts w:hint="eastAsia" w:ascii="宋体" w:hAnsi="宋体"/>
          <w:b/>
          <w:color w:val="auto"/>
          <w:szCs w:val="21"/>
          <w:highlight w:val="none"/>
        </w:rPr>
        <w:t>分值为所有磋商小组成员给出的值</w:t>
      </w:r>
      <w:r>
        <w:rPr>
          <w:rFonts w:ascii="宋体" w:hAnsi="宋体"/>
          <w:b/>
          <w:color w:val="auto"/>
          <w:szCs w:val="21"/>
          <w:highlight w:val="none"/>
        </w:rPr>
        <w:t>的</w:t>
      </w:r>
      <w:r>
        <w:rPr>
          <w:rFonts w:hint="eastAsia" w:ascii="宋体" w:hAnsi="宋体"/>
          <w:b/>
          <w:color w:val="auto"/>
          <w:szCs w:val="21"/>
          <w:highlight w:val="none"/>
        </w:rPr>
        <w:t>算术平均值。</w:t>
      </w:r>
    </w:p>
    <w:p>
      <w:pPr>
        <w:pStyle w:val="2"/>
        <w:shd w:val="clear"/>
        <w:rPr>
          <w:rFonts w:hint="eastAsia"/>
          <w:highlight w:val="none"/>
        </w:rPr>
      </w:pPr>
    </w:p>
    <w:tbl>
      <w:tblPr>
        <w:tblStyle w:val="35"/>
        <w:tblpPr w:leftFromText="180" w:rightFromText="180" w:vertAnchor="text" w:horzAnchor="page" w:tblpXSpec="center" w:tblpY="50"/>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6381"/>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kern w:val="2"/>
                <w:sz w:val="21"/>
                <w:szCs w:val="21"/>
                <w:highlight w:val="none"/>
                <w:lang w:val="en-US" w:eastAsia="zh-CN"/>
              </w:rPr>
              <w:t>评标细则</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086" w:type="dxa"/>
            <w:vMerge w:val="restart"/>
            <w:vAlign w:val="center"/>
          </w:tcPr>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项目工作方案</w:t>
            </w:r>
          </w:p>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根据供应商项目工作方案的可操作性、完整性、合理性进行评分。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6" w:type="dxa"/>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对现状及需求的理解。</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6" w:type="dxa"/>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对本项目重点、难点的理解。</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6" w:type="dxa"/>
            <w:vMerge w:val="restart"/>
            <w:vAlign w:val="center"/>
          </w:tcPr>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项目组织实施方案（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项目组人员组织结构是否合理。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2086" w:type="dxa"/>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根据供应商为了保证项目进度计划的顺利实施，提供项目实施沟通管理、变更管理、风险管理等措施进行综合评分，未提供的不得分。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2086" w:type="dxa"/>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根据运用新技术、新工艺开展工作，酌情打分。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质量保证措施</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供应商按采购人要求有明确的质量保证目标，质量保证措施和体系合理并具有详细的实施内容等，进行综合评分。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进度保证措施</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根据供应商按采购人的项目进度要求所提供进度保证措施合理性进行综合评分。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文明施工组织措施（</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6381" w:type="dxa"/>
            <w:vAlign w:val="center"/>
          </w:tcPr>
          <w:p>
            <w:pPr>
              <w:pStyle w:val="16"/>
              <w:keepNext w:val="0"/>
              <w:keepLines w:val="0"/>
              <w:suppressLineNumbers w:val="0"/>
              <w:shd w:val="clear"/>
              <w:spacing w:before="0" w:beforeAutospacing="0" w:after="0" w:afterAutospacing="0" w:line="440" w:lineRule="exact"/>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针对本工程项目特点，应有现场文明施工、环境保护措施，各项措施周全、具体、有效。有具体实现现场文明施工目标的承诺。</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项目组人员情况</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numPr>
                <w:ilvl w:val="0"/>
                <w:numId w:val="15"/>
              </w:numPr>
              <w:suppressLineNumbers w:val="0"/>
              <w:shd w:val="clear"/>
              <w:adjustRightInd w:val="0"/>
              <w:snapToGrid w:val="0"/>
              <w:spacing w:before="0" w:beforeAutospacing="0" w:after="0" w:afterAutospacing="0" w:line="360" w:lineRule="atLeast"/>
              <w:ind w:left="0" w:right="0" w:righ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项目负责人具有工程师及以上专业技术职称证书且为本单位自有人员的，得1分；具有水利相关专业工程师及以上专业技术职称证书且为本单位自有人员的，得2分，此项最高2分。</w:t>
            </w:r>
          </w:p>
          <w:p>
            <w:pPr>
              <w:keepNext w:val="0"/>
              <w:keepLines w:val="0"/>
              <w:widowControl/>
              <w:numPr>
                <w:ilvl w:val="0"/>
                <w:numId w:val="0"/>
              </w:numPr>
              <w:suppressLineNumbers w:val="0"/>
              <w:shd w:val="clear"/>
              <w:adjustRightInd w:val="0"/>
              <w:snapToGrid w:val="0"/>
              <w:spacing w:before="0" w:beforeAutospacing="0" w:after="0" w:afterAutospacing="0" w:line="360" w:lineRule="atLeast"/>
              <w:ind w:left="0" w:right="0" w:rightChars="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拟派项目组成员中具有助理工程师及以上专业技术职称证书且为本单位自有人员的，每有一名的得1分，最高5分。</w:t>
            </w:r>
          </w:p>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注：提供以上人员专业技术职称证书扫描件、近3个月的社会保险证明扫描件。同一人只计一次分。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优惠措施（</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承诺</w:t>
            </w:r>
            <w:r>
              <w:rPr>
                <w:rFonts w:hint="eastAsia" w:ascii="宋体" w:hAnsi="宋体" w:eastAsia="宋体" w:cs="宋体"/>
                <w:color w:val="auto"/>
                <w:sz w:val="21"/>
                <w:szCs w:val="21"/>
                <w:highlight w:val="none"/>
                <w:lang w:val="en-US" w:eastAsia="zh-CN"/>
              </w:rPr>
              <w:t>延长质保期一年，加2分，最高得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类似项目业绩</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val="en-US" w:eastAsia="zh-CN"/>
              </w:rPr>
              <w:t>近三年</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截止时间</w:t>
            </w:r>
            <w:r>
              <w:rPr>
                <w:rFonts w:hint="default" w:ascii="宋体" w:hAnsi="宋体" w:eastAsia="宋体" w:cs="宋体"/>
                <w:color w:val="auto"/>
                <w:sz w:val="21"/>
                <w:szCs w:val="21"/>
                <w:highlight w:val="none"/>
              </w:rPr>
              <w:t>之日起往前追溯三年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以合同签订时间为准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类似项目业绩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经评标委员会认定后</w:t>
            </w:r>
            <w:r>
              <w:rPr>
                <w:rFonts w:hint="eastAsia" w:ascii="宋体" w:hAnsi="宋体" w:eastAsia="宋体" w:cs="宋体"/>
                <w:color w:val="auto"/>
                <w:sz w:val="21"/>
                <w:szCs w:val="21"/>
                <w:highlight w:val="none"/>
              </w:rPr>
              <w:t>每一项得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分。（提供合同</w:t>
            </w:r>
            <w:r>
              <w:rPr>
                <w:rFonts w:hint="eastAsia" w:ascii="宋体" w:hAnsi="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2086"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管理体系及资质</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381"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具有质量管理体系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具有环境管理体系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具有职业健康安全管理体系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2086" w:type="dxa"/>
            <w:vAlign w:val="center"/>
          </w:tcPr>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诚信分（3分）</w:t>
            </w:r>
          </w:p>
        </w:tc>
        <w:tc>
          <w:tcPr>
            <w:tcW w:w="6381" w:type="dxa"/>
            <w:vAlign w:val="center"/>
          </w:tcPr>
          <w:p>
            <w:pPr>
              <w:keepNext w:val="0"/>
              <w:keepLines w:val="0"/>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供应商磋商截止时间前三年受到行政处罚、列入不良行为的，此项得分为0；承诺磋商截止时间前三年未受到过处罚、记入不良行为的得3分（</w:t>
            </w:r>
            <w:r>
              <w:rPr>
                <w:rFonts w:hint="eastAsia" w:eastAsia="宋体"/>
                <w:color w:val="auto"/>
                <w:highlight w:val="none"/>
                <w:lang w:val="en-US" w:eastAsia="zh-CN"/>
              </w:rPr>
              <w:t>供应商</w:t>
            </w:r>
            <w:r>
              <w:rPr>
                <w:rFonts w:hint="eastAsia"/>
                <w:color w:val="auto"/>
                <w:highlight w:val="none"/>
              </w:rPr>
              <w:t>自行提供承诺</w:t>
            </w:r>
            <w:r>
              <w:rPr>
                <w:rFonts w:hint="eastAsia"/>
                <w:color w:val="auto"/>
                <w:highlight w:val="none"/>
                <w:lang w:val="en-US" w:eastAsia="zh-CN"/>
              </w:rPr>
              <w:t>函</w:t>
            </w:r>
            <w:r>
              <w:rPr>
                <w:rFonts w:hint="eastAsia"/>
                <w:color w:val="auto"/>
                <w:highlight w:val="none"/>
              </w:rPr>
              <w:t>，不提供承诺函的得0分，如有不良记录</w:t>
            </w:r>
            <w:r>
              <w:rPr>
                <w:rFonts w:hint="eastAsia"/>
                <w:color w:val="auto"/>
                <w:highlight w:val="none"/>
                <w:lang w:val="en-US" w:eastAsia="zh-CN"/>
              </w:rPr>
              <w:t>又</w:t>
            </w:r>
            <w:r>
              <w:rPr>
                <w:rFonts w:hint="eastAsia"/>
                <w:color w:val="auto"/>
                <w:highlight w:val="none"/>
              </w:rPr>
              <w:t>虚假</w:t>
            </w:r>
            <w:r>
              <w:rPr>
                <w:rFonts w:hint="eastAsia"/>
                <w:color w:val="auto"/>
                <w:highlight w:val="none"/>
                <w:lang w:val="en-US" w:eastAsia="zh-CN"/>
              </w:rPr>
              <w:t>承诺</w:t>
            </w:r>
            <w:r>
              <w:rPr>
                <w:rFonts w:hint="eastAsia"/>
                <w:color w:val="auto"/>
                <w:highlight w:val="none"/>
              </w:rPr>
              <w:t>的，一经发现将取消</w:t>
            </w:r>
            <w:r>
              <w:rPr>
                <w:rFonts w:hint="eastAsia"/>
                <w:color w:val="auto"/>
                <w:highlight w:val="none"/>
                <w:lang w:val="en-US" w:eastAsia="zh-CN"/>
              </w:rPr>
              <w:t>成交</w:t>
            </w:r>
            <w:r>
              <w:rPr>
                <w:rFonts w:hint="eastAsia"/>
                <w:color w:val="auto"/>
                <w:highlight w:val="none"/>
              </w:rPr>
              <w:t>资格并报监管部门依法处理</w:t>
            </w:r>
            <w:r>
              <w:rPr>
                <w:rFonts w:hint="eastAsia" w:ascii="宋体" w:hAnsi="宋体" w:eastAsia="宋体" w:cs="宋体"/>
                <w:color w:val="auto"/>
                <w:sz w:val="21"/>
                <w:szCs w:val="21"/>
                <w:highlight w:val="none"/>
              </w:rPr>
              <w:t>）</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r>
    </w:tbl>
    <w:p>
      <w:pPr>
        <w:shd w:val="clear"/>
        <w:adjustRightInd w:val="0"/>
        <w:snapToGrid w:val="0"/>
        <w:spacing w:line="400" w:lineRule="exact"/>
        <w:ind w:firstLine="420" w:firstLineChars="200"/>
        <w:jc w:val="left"/>
        <w:rPr>
          <w:color w:val="auto"/>
          <w:highlight w:val="none"/>
        </w:rPr>
      </w:pPr>
      <w:r>
        <w:rPr>
          <w:rFonts w:hint="eastAsia" w:ascii="宋体" w:hAnsi="宋体" w:cs="宋体"/>
          <w:color w:val="auto"/>
          <w:szCs w:val="21"/>
          <w:highlight w:val="none"/>
        </w:rPr>
        <w:t>注：以上所涉及项目，若附件格式未提供，请自行设计格式装订于磋商响应文件中。</w:t>
      </w:r>
    </w:p>
    <w:p>
      <w:pPr>
        <w:shd w:val="clear"/>
        <w:tabs>
          <w:tab w:val="left" w:pos="360"/>
        </w:tabs>
        <w:spacing w:line="360" w:lineRule="exact"/>
        <w:rPr>
          <w:rFonts w:ascii="新宋体" w:hAnsi="新宋体"/>
          <w:b/>
          <w:color w:val="auto"/>
          <w:szCs w:val="21"/>
          <w:highlight w:val="none"/>
        </w:rPr>
      </w:pPr>
      <w:r>
        <w:rPr>
          <w:rFonts w:hint="eastAsia" w:ascii="新宋体" w:hAnsi="新宋体" w:eastAsia="新宋体"/>
          <w:b/>
          <w:color w:val="auto"/>
          <w:szCs w:val="21"/>
          <w:highlight w:val="none"/>
        </w:rPr>
        <w:t>（二）磋商报价</w:t>
      </w:r>
      <w:r>
        <w:rPr>
          <w:rFonts w:hint="eastAsia" w:ascii="新宋体" w:hAnsi="新宋体" w:eastAsia="新宋体"/>
          <w:b/>
          <w:color w:val="auto"/>
          <w:szCs w:val="21"/>
          <w:highlight w:val="none"/>
          <w:lang w:val="en-US" w:eastAsia="zh-CN"/>
        </w:rPr>
        <w:t>20</w:t>
      </w:r>
      <w:r>
        <w:rPr>
          <w:rFonts w:hint="eastAsia" w:ascii="新宋体" w:hAnsi="新宋体" w:eastAsia="新宋体"/>
          <w:b/>
          <w:color w:val="auto"/>
          <w:szCs w:val="21"/>
          <w:highlight w:val="none"/>
        </w:rPr>
        <w:t>分：</w:t>
      </w:r>
      <w:r>
        <w:rPr>
          <w:rFonts w:hint="eastAsia"/>
          <w:color w:val="auto"/>
          <w:szCs w:val="21"/>
          <w:highlight w:val="none"/>
        </w:rPr>
        <w:t>（保留小数点后</w:t>
      </w:r>
      <w:r>
        <w:rPr>
          <w:color w:val="auto"/>
          <w:szCs w:val="21"/>
          <w:highlight w:val="none"/>
        </w:rPr>
        <w:t>2</w:t>
      </w:r>
      <w:r>
        <w:rPr>
          <w:rFonts w:hint="eastAsia"/>
          <w:color w:val="auto"/>
          <w:szCs w:val="21"/>
          <w:highlight w:val="none"/>
        </w:rPr>
        <w:t>位，</w:t>
      </w:r>
      <w:r>
        <w:rPr>
          <w:rFonts w:hint="eastAsia" w:ascii="宋体" w:hAnsi="宋体"/>
          <w:color w:val="auto"/>
          <w:szCs w:val="21"/>
          <w:highlight w:val="none"/>
        </w:rPr>
        <w:t>四舍五入法。）</w:t>
      </w:r>
    </w:p>
    <w:p>
      <w:pPr>
        <w:shd w:val="clear"/>
        <w:tabs>
          <w:tab w:val="left" w:pos="6264"/>
        </w:tabs>
        <w:snapToGrid w:val="0"/>
        <w:spacing w:line="40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磋商报价为采购人公布的</w:t>
      </w:r>
      <w:r>
        <w:rPr>
          <w:rFonts w:hint="eastAsia" w:ascii="新宋体" w:hAnsi="新宋体" w:eastAsia="新宋体"/>
          <w:color w:val="auto"/>
          <w:szCs w:val="21"/>
          <w:highlight w:val="none"/>
          <w:lang w:val="zh-CN"/>
        </w:rPr>
        <w:t>最高</w:t>
      </w:r>
      <w:r>
        <w:rPr>
          <w:rFonts w:hint="eastAsia" w:ascii="新宋体" w:hAnsi="新宋体" w:eastAsia="新宋体"/>
          <w:color w:val="auto"/>
          <w:szCs w:val="21"/>
          <w:highlight w:val="none"/>
        </w:rPr>
        <w:t>限价及以下、在各阶段评审中未被定为无效响应文件或废标，其供应商的磋商报价为有效报价。</w:t>
      </w:r>
    </w:p>
    <w:p>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综合评分法中的价格分统一采用低价优先法计算，即满足竞争性磋商文件要求且最终磋商报价最低的报价为评标基准价，其价格分为满分。其他供应商的价格分统一按照下列公式计算</w:t>
      </w:r>
      <w:r>
        <w:rPr>
          <w:rFonts w:ascii="新宋体" w:hAnsi="新宋体" w:eastAsia="新宋体"/>
          <w:color w:val="auto"/>
          <w:szCs w:val="21"/>
          <w:highlight w:val="none"/>
        </w:rPr>
        <w:t>:</w:t>
      </w:r>
    </w:p>
    <w:p>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报价得分</w:t>
      </w:r>
      <w:r>
        <w:rPr>
          <w:rFonts w:ascii="新宋体" w:hAnsi="新宋体" w:eastAsia="新宋体"/>
          <w:color w:val="auto"/>
          <w:szCs w:val="21"/>
          <w:highlight w:val="none"/>
        </w:rPr>
        <w:t>=(</w:t>
      </w:r>
      <w:r>
        <w:rPr>
          <w:rFonts w:hint="eastAsia" w:ascii="新宋体" w:hAnsi="新宋体" w:eastAsia="新宋体"/>
          <w:color w:val="auto"/>
          <w:szCs w:val="21"/>
          <w:highlight w:val="none"/>
        </w:rPr>
        <w:t>评标基准价</w:t>
      </w:r>
      <w:r>
        <w:rPr>
          <w:rFonts w:ascii="新宋体" w:hAnsi="新宋体" w:eastAsia="新宋体"/>
          <w:color w:val="auto"/>
          <w:szCs w:val="21"/>
          <w:highlight w:val="none"/>
        </w:rPr>
        <w:t>/</w:t>
      </w:r>
      <w:r>
        <w:rPr>
          <w:rFonts w:hint="eastAsia" w:ascii="新宋体" w:hAnsi="新宋体" w:eastAsia="新宋体"/>
          <w:color w:val="auto"/>
          <w:szCs w:val="21"/>
          <w:highlight w:val="none"/>
        </w:rPr>
        <w:t>最终磋商报价</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20</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ascii="新宋体" w:hAnsi="新宋体" w:eastAsia="新宋体"/>
          <w:color w:val="auto"/>
          <w:szCs w:val="21"/>
          <w:highlight w:val="none"/>
        </w:rPr>
        <w:t>100</w:t>
      </w:r>
    </w:p>
    <w:p>
      <w:pPr>
        <w:shd w:val="clear"/>
        <w:spacing w:line="360" w:lineRule="exact"/>
        <w:rPr>
          <w:rFonts w:hint="eastAsia" w:ascii="宋体" w:hAnsi="宋体" w:eastAsia="宋体" w:cs="Times New Roman"/>
          <w:b/>
          <w:bCs/>
          <w:color w:val="auto"/>
          <w:szCs w:val="21"/>
          <w:highlight w:val="none"/>
          <w:lang w:val="zh-CN" w:eastAsia="zh-CN"/>
        </w:rPr>
      </w:pPr>
      <w:r>
        <w:rPr>
          <w:rFonts w:hint="eastAsia" w:ascii="宋体" w:hAnsi="宋体"/>
          <w:b/>
          <w:bCs/>
          <w:color w:val="auto"/>
          <w:szCs w:val="21"/>
          <w:highlight w:val="none"/>
        </w:rPr>
        <w:t>注：1</w:t>
      </w:r>
      <w:r>
        <w:rPr>
          <w:rFonts w:hint="eastAsia" w:ascii="宋体" w:hAnsi="宋体" w:eastAsia="宋体" w:cs="Times New Roman"/>
          <w:b/>
          <w:bCs/>
          <w:color w:val="auto"/>
          <w:szCs w:val="21"/>
          <w:highlight w:val="none"/>
          <w:lang w:val="zh-CN"/>
        </w:rPr>
        <w:t>、本次磋商最高限价为</w:t>
      </w:r>
      <w:r>
        <w:rPr>
          <w:rFonts w:hint="eastAsia" w:ascii="宋体" w:hAnsi="宋体" w:cs="Times New Roman"/>
          <w:b/>
          <w:bCs/>
          <w:color w:val="auto"/>
          <w:szCs w:val="21"/>
          <w:highlight w:val="none"/>
          <w:lang w:val="zh-CN" w:eastAsia="zh-CN"/>
        </w:rPr>
        <w:t>人民币</w:t>
      </w:r>
      <w:r>
        <w:rPr>
          <w:rFonts w:hint="eastAsia" w:ascii="宋体" w:hAnsi="宋体" w:cs="Times New Roman"/>
          <w:b/>
          <w:bCs/>
          <w:color w:val="auto"/>
          <w:szCs w:val="21"/>
          <w:highlight w:val="none"/>
          <w:lang w:val="en-US" w:eastAsia="zh-CN"/>
        </w:rPr>
        <w:t>700400</w:t>
      </w:r>
      <w:r>
        <w:rPr>
          <w:rFonts w:hint="eastAsia" w:ascii="宋体" w:hAnsi="宋体" w:cs="Times New Roman"/>
          <w:b/>
          <w:bCs/>
          <w:color w:val="auto"/>
          <w:szCs w:val="21"/>
          <w:highlight w:val="none"/>
          <w:lang w:val="zh-CN" w:eastAsia="zh-CN"/>
        </w:rPr>
        <w:t>元（其中盐官枢纽（海宁河道站）河道护岸维</w:t>
      </w:r>
      <w:r>
        <w:rPr>
          <w:rFonts w:hint="eastAsia" w:ascii="宋体" w:hAnsi="宋体" w:cs="Times New Roman"/>
          <w:b/>
          <w:bCs/>
          <w:color w:val="auto"/>
          <w:szCs w:val="21"/>
          <w:highlight w:val="none"/>
          <w:lang w:val="en-US" w:eastAsia="zh-CN"/>
        </w:rPr>
        <w:t>修</w:t>
      </w:r>
      <w:r>
        <w:rPr>
          <w:rFonts w:hint="eastAsia" w:ascii="宋体" w:hAnsi="宋体" w:cs="Times New Roman"/>
          <w:b/>
          <w:bCs/>
          <w:color w:val="auto"/>
          <w:szCs w:val="21"/>
          <w:highlight w:val="none"/>
          <w:lang w:val="zh-CN" w:eastAsia="zh-CN"/>
        </w:rPr>
        <w:t>项目</w:t>
      </w:r>
      <w:r>
        <w:rPr>
          <w:rFonts w:hint="eastAsia" w:ascii="宋体" w:hAnsi="宋体" w:cs="Times New Roman"/>
          <w:b/>
          <w:bCs/>
          <w:color w:val="auto"/>
          <w:szCs w:val="21"/>
          <w:highlight w:val="none"/>
          <w:lang w:val="en-US" w:eastAsia="zh-CN"/>
        </w:rPr>
        <w:t>240400</w:t>
      </w:r>
      <w:r>
        <w:rPr>
          <w:rFonts w:hint="eastAsia" w:ascii="宋体" w:hAnsi="宋体" w:cs="Times New Roman"/>
          <w:b/>
          <w:bCs/>
          <w:color w:val="auto"/>
          <w:szCs w:val="21"/>
          <w:highlight w:val="none"/>
          <w:lang w:val="zh-CN" w:eastAsia="zh-CN"/>
        </w:rPr>
        <w:t>元；南排工程管理服务中心河道护岸、堤防</w:t>
      </w:r>
      <w:r>
        <w:rPr>
          <w:rFonts w:hint="eastAsia" w:ascii="宋体" w:hAnsi="宋体" w:cs="Times New Roman"/>
          <w:b/>
          <w:bCs/>
          <w:color w:val="auto"/>
          <w:szCs w:val="21"/>
          <w:highlight w:val="none"/>
          <w:lang w:val="en-US" w:eastAsia="zh-CN"/>
        </w:rPr>
        <w:t>维修</w:t>
      </w:r>
      <w:r>
        <w:rPr>
          <w:rFonts w:hint="eastAsia" w:ascii="宋体" w:hAnsi="宋体" w:cs="Times New Roman"/>
          <w:b/>
          <w:bCs/>
          <w:color w:val="auto"/>
          <w:szCs w:val="21"/>
          <w:highlight w:val="none"/>
          <w:lang w:val="zh-CN" w:eastAsia="zh-CN"/>
        </w:rPr>
        <w:t>项目90000元；桐乡河道管理站河道护岸、堤防</w:t>
      </w:r>
      <w:r>
        <w:rPr>
          <w:rFonts w:hint="eastAsia" w:ascii="宋体" w:hAnsi="宋体" w:cs="Times New Roman"/>
          <w:b/>
          <w:bCs/>
          <w:color w:val="auto"/>
          <w:szCs w:val="21"/>
          <w:highlight w:val="none"/>
          <w:lang w:val="en-US" w:eastAsia="zh-CN"/>
        </w:rPr>
        <w:t>维修</w:t>
      </w:r>
      <w:r>
        <w:rPr>
          <w:rFonts w:hint="eastAsia" w:ascii="宋体" w:hAnsi="宋体" w:cs="Times New Roman"/>
          <w:b/>
          <w:bCs/>
          <w:color w:val="auto"/>
          <w:szCs w:val="21"/>
          <w:highlight w:val="none"/>
          <w:lang w:val="zh-CN" w:eastAsia="zh-CN"/>
        </w:rPr>
        <w:t>项目</w:t>
      </w:r>
      <w:r>
        <w:rPr>
          <w:rFonts w:hint="eastAsia" w:ascii="宋体" w:hAnsi="宋体" w:cs="Times New Roman"/>
          <w:b/>
          <w:bCs/>
          <w:color w:val="auto"/>
          <w:szCs w:val="21"/>
          <w:highlight w:val="none"/>
          <w:lang w:val="en-US" w:eastAsia="zh-CN"/>
        </w:rPr>
        <w:t>1500</w:t>
      </w:r>
      <w:r>
        <w:rPr>
          <w:rFonts w:hint="eastAsia" w:ascii="宋体" w:hAnsi="宋体" w:cs="Times New Roman"/>
          <w:b/>
          <w:bCs/>
          <w:color w:val="auto"/>
          <w:szCs w:val="21"/>
          <w:highlight w:val="none"/>
          <w:lang w:val="zh-CN" w:eastAsia="zh-CN"/>
        </w:rPr>
        <w:t>00元；南台头枢纽河道护岸、堤防</w:t>
      </w:r>
      <w:r>
        <w:rPr>
          <w:rFonts w:hint="eastAsia" w:ascii="宋体" w:hAnsi="宋体" w:cs="Times New Roman"/>
          <w:b/>
          <w:bCs/>
          <w:color w:val="auto"/>
          <w:szCs w:val="21"/>
          <w:highlight w:val="none"/>
          <w:lang w:val="en-US" w:eastAsia="zh-CN"/>
        </w:rPr>
        <w:t>维修</w:t>
      </w:r>
      <w:r>
        <w:rPr>
          <w:rFonts w:hint="eastAsia" w:ascii="宋体" w:hAnsi="宋体" w:cs="Times New Roman"/>
          <w:b/>
          <w:bCs/>
          <w:color w:val="auto"/>
          <w:szCs w:val="21"/>
          <w:highlight w:val="none"/>
          <w:lang w:val="zh-CN" w:eastAsia="zh-CN"/>
        </w:rPr>
        <w:t>项目</w:t>
      </w:r>
      <w:r>
        <w:rPr>
          <w:rFonts w:hint="eastAsia" w:ascii="宋体" w:hAnsi="宋体" w:cs="Times New Roman"/>
          <w:b/>
          <w:bCs/>
          <w:color w:val="auto"/>
          <w:szCs w:val="21"/>
          <w:highlight w:val="none"/>
          <w:lang w:val="en-US" w:eastAsia="zh-CN"/>
        </w:rPr>
        <w:t>22</w:t>
      </w:r>
      <w:r>
        <w:rPr>
          <w:rFonts w:hint="eastAsia" w:ascii="宋体" w:hAnsi="宋体" w:cs="Times New Roman"/>
          <w:b/>
          <w:bCs/>
          <w:color w:val="auto"/>
          <w:szCs w:val="21"/>
          <w:highlight w:val="none"/>
          <w:lang w:val="zh-CN" w:eastAsia="zh-CN"/>
        </w:rPr>
        <w:t>0000元）</w:t>
      </w:r>
      <w:r>
        <w:rPr>
          <w:rFonts w:hint="eastAsia" w:ascii="宋体" w:hAnsi="宋体"/>
          <w:b/>
          <w:bCs/>
          <w:color w:val="auto"/>
          <w:szCs w:val="21"/>
          <w:highlight w:val="none"/>
          <w:lang w:val="zh-CN"/>
        </w:rPr>
        <w:t>，</w:t>
      </w:r>
      <w:r>
        <w:rPr>
          <w:rFonts w:hint="eastAsia" w:ascii="宋体" w:hAnsi="宋体" w:eastAsia="宋体" w:cs="Times New Roman"/>
          <w:b/>
          <w:bCs/>
          <w:color w:val="auto"/>
          <w:szCs w:val="21"/>
          <w:highlight w:val="none"/>
          <w:lang w:val="zh-CN" w:eastAsia="zh-CN"/>
        </w:rPr>
        <w:t>报价超过最高限价或各单项预算金额的作无效标处理。</w:t>
      </w:r>
    </w:p>
    <w:p>
      <w:pPr>
        <w:shd w:val="clea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最低报价不是成交的保证，磋商小组认为供应商的报价明显低于其他通过符合性审查供应商的报价，有可能影响服务质量或者不能诚信履约的，应当要求其在磋商合理的时间内提供书面说明，必要时提交相关证明材料；供应商不能证明其报价合理性的，磋商小组应当将其作为无效投标处理。磋商小组将推荐综合评分最高的供应商为成交候选人。</w:t>
      </w:r>
    </w:p>
    <w:p>
      <w:pPr>
        <w:shd w:val="clear"/>
        <w:adjustRightInd w:val="0"/>
        <w:snapToGrid w:val="0"/>
        <w:spacing w:line="380" w:lineRule="exact"/>
        <w:jc w:val="left"/>
        <w:rPr>
          <w:rFonts w:hint="eastAsia" w:ascii="宋体" w:hAnsi="宋体"/>
          <w:b/>
          <w:color w:val="auto"/>
          <w:szCs w:val="21"/>
          <w:highlight w:val="none"/>
          <w:lang w:val="en-US" w:eastAsia="zh-CN"/>
        </w:rPr>
      </w:pPr>
    </w:p>
    <w:p>
      <w:pPr>
        <w:shd w:val="clear"/>
        <w:adjustRightInd w:val="0"/>
        <w:snapToGrid w:val="0"/>
        <w:spacing w:line="380" w:lineRule="exact"/>
        <w:jc w:val="left"/>
        <w:rPr>
          <w:rFonts w:hint="eastAsia" w:ascii="宋体" w:hAnsi="宋体"/>
          <w:b/>
          <w:color w:val="auto"/>
          <w:szCs w:val="21"/>
          <w:highlight w:val="none"/>
          <w:lang w:val="en-US" w:eastAsia="zh-CN"/>
        </w:rPr>
      </w:pPr>
      <w:r>
        <w:rPr>
          <w:rFonts w:hint="eastAsia" w:ascii="宋体" w:hAnsi="宋体"/>
          <w:b/>
          <w:color w:val="auto"/>
          <w:szCs w:val="21"/>
          <w:highlight w:val="none"/>
          <w:lang w:val="en-US" w:eastAsia="zh-CN"/>
        </w:rPr>
        <w:t>标项二评审办法：</w:t>
      </w:r>
    </w:p>
    <w:p>
      <w:pPr>
        <w:shd w:val="clear"/>
        <w:adjustRightInd w:val="0"/>
        <w:snapToGrid w:val="0"/>
        <w:spacing w:line="380" w:lineRule="exact"/>
        <w:ind w:firstLine="211" w:firstLineChars="100"/>
        <w:jc w:val="left"/>
        <w:rPr>
          <w:rFonts w:ascii="宋体" w:hAnsi="宋体"/>
          <w:color w:val="auto"/>
          <w:szCs w:val="21"/>
          <w:highlight w:val="none"/>
        </w:rPr>
      </w:pP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一</w:t>
      </w:r>
      <w:r>
        <w:rPr>
          <w:rFonts w:hint="eastAsia" w:ascii="宋体" w:hAnsi="宋体"/>
          <w:b/>
          <w:color w:val="auto"/>
          <w:szCs w:val="21"/>
          <w:highlight w:val="none"/>
          <w:lang w:eastAsia="zh-CN"/>
        </w:rPr>
        <w:t>）</w:t>
      </w:r>
      <w:r>
        <w:rPr>
          <w:rFonts w:hint="eastAsia" w:ascii="宋体" w:hAnsi="宋体"/>
          <w:b/>
          <w:color w:val="auto"/>
          <w:szCs w:val="21"/>
          <w:highlight w:val="none"/>
        </w:rPr>
        <w:t>资信商务</w:t>
      </w:r>
      <w:r>
        <w:rPr>
          <w:rFonts w:hint="eastAsia" w:ascii="宋体" w:hAnsi="宋体"/>
          <w:b/>
          <w:color w:val="auto"/>
          <w:szCs w:val="21"/>
          <w:highlight w:val="none"/>
          <w:lang w:val="en-US" w:eastAsia="zh-CN"/>
        </w:rPr>
        <w:t>及</w:t>
      </w:r>
      <w:r>
        <w:rPr>
          <w:rFonts w:hint="eastAsia" w:ascii="宋体" w:hAnsi="宋体"/>
          <w:b/>
          <w:color w:val="auto"/>
          <w:szCs w:val="21"/>
          <w:highlight w:val="none"/>
        </w:rPr>
        <w:t>技术标：（0-</w:t>
      </w:r>
      <w:r>
        <w:rPr>
          <w:rFonts w:hint="eastAsia" w:ascii="宋体" w:hAnsi="宋体"/>
          <w:b/>
          <w:color w:val="auto"/>
          <w:szCs w:val="21"/>
          <w:highlight w:val="none"/>
          <w:lang w:val="en-US" w:eastAsia="zh-CN"/>
        </w:rPr>
        <w:t>80</w:t>
      </w:r>
      <w:r>
        <w:rPr>
          <w:rFonts w:hint="eastAsia" w:ascii="宋体" w:hAnsi="宋体"/>
          <w:b/>
          <w:color w:val="auto"/>
          <w:szCs w:val="21"/>
          <w:highlight w:val="none"/>
        </w:rPr>
        <w:t>分）</w:t>
      </w:r>
      <w:r>
        <w:rPr>
          <w:rFonts w:hint="eastAsia" w:ascii="宋体" w:hAnsi="宋体"/>
          <w:color w:val="auto"/>
          <w:szCs w:val="21"/>
          <w:highlight w:val="none"/>
        </w:rPr>
        <w:t>（保留小数点后2位，四舍五入法）</w:t>
      </w:r>
    </w:p>
    <w:p>
      <w:pPr>
        <w:shd w:val="clear"/>
        <w:adjustRightInd w:val="0"/>
        <w:snapToGrid w:val="0"/>
        <w:spacing w:line="38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rPr>
        <w:t>磋商小组成员按评标具体办法独立进行评判，每人一张评分计算票，并记名。如某张票的一个因素项目超过规定的范围，则该张票无效。各供应商的资信商务</w:t>
      </w:r>
      <w:r>
        <w:rPr>
          <w:rFonts w:hint="eastAsia" w:ascii="宋体" w:hAnsi="宋体"/>
          <w:b/>
          <w:color w:val="auto"/>
          <w:szCs w:val="21"/>
          <w:highlight w:val="none"/>
          <w:lang w:val="en-US" w:eastAsia="zh-CN"/>
        </w:rPr>
        <w:t>及技术</w:t>
      </w:r>
      <w:r>
        <w:rPr>
          <w:rFonts w:hint="eastAsia" w:ascii="宋体" w:hAnsi="宋体"/>
          <w:b/>
          <w:color w:val="auto"/>
          <w:szCs w:val="21"/>
          <w:highlight w:val="none"/>
        </w:rPr>
        <w:t>分值为所有磋商小组成员给出的值</w:t>
      </w:r>
      <w:r>
        <w:rPr>
          <w:rFonts w:ascii="宋体" w:hAnsi="宋体"/>
          <w:b/>
          <w:color w:val="auto"/>
          <w:szCs w:val="21"/>
          <w:highlight w:val="none"/>
        </w:rPr>
        <w:t>的</w:t>
      </w:r>
      <w:r>
        <w:rPr>
          <w:rFonts w:hint="eastAsia" w:ascii="宋体" w:hAnsi="宋体"/>
          <w:b/>
          <w:color w:val="auto"/>
          <w:szCs w:val="21"/>
          <w:highlight w:val="none"/>
        </w:rPr>
        <w:t>算术平均值。</w:t>
      </w:r>
    </w:p>
    <w:tbl>
      <w:tblPr>
        <w:tblStyle w:val="35"/>
        <w:tblpPr w:leftFromText="180" w:rightFromText="180" w:vertAnchor="text" w:horzAnchor="page" w:tblpXSpec="center" w:tblpY="50"/>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7"/>
        <w:gridCol w:w="6383"/>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blHeader/>
          <w:jc w:val="center"/>
        </w:trPr>
        <w:tc>
          <w:tcPr>
            <w:tcW w:w="2077"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w:t>
            </w:r>
          </w:p>
        </w:tc>
        <w:tc>
          <w:tcPr>
            <w:tcW w:w="6390" w:type="dxa"/>
            <w:gridSpan w:val="2"/>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kern w:val="2"/>
                <w:sz w:val="21"/>
                <w:szCs w:val="21"/>
                <w:highlight w:val="none"/>
                <w:lang w:val="en-US" w:eastAsia="zh-CN"/>
              </w:rPr>
              <w:t>评标细则</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084" w:type="dxa"/>
            <w:gridSpan w:val="2"/>
            <w:vMerge w:val="restart"/>
            <w:vAlign w:val="center"/>
          </w:tcPr>
          <w:p>
            <w:pPr>
              <w:keepNext w:val="0"/>
              <w:keepLines w:val="0"/>
              <w:widowControl w:val="0"/>
              <w:suppressLineNumbers w:val="0"/>
              <w:shd w:val="clear"/>
              <w:spacing w:before="0" w:beforeAutospacing="0" w:after="0" w:afterAutospacing="0" w:line="24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项目服务方案</w:t>
            </w:r>
          </w:p>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（6</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en-US" w:eastAsia="zh-CN"/>
              </w:rPr>
              <w:t>分）</w:t>
            </w: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方案总体设想：根据对项目的情况特点分析等综合打分。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根据对本项目维修养护方案是否详实和完备，是否科学、合理，并具有可操作性等情况综合打分。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根据对项目质量管理、质量标准、内部质量管理制度、安全管理制度等（考虑全面、有针对性，措施完善）情况综合打分。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对本项目的实施进度计划安排、进度保证措施以及人员落实等情况综合打分。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根据对本项目的特点，对本项目实施过程中的重点、难点进行的分析，同时提出相应的解决方式等情况综合打分。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根据对项目的实施提出的合理化建议及意见，以及投标人的服务承诺等情况综合打分。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根据拟投入本项目的主要物资的数量、选型配置、进场时间等情况综合打分。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lang w:val="en-US" w:eastAsia="zh-CN"/>
              </w:rPr>
              <w:t>-</w:t>
            </w:r>
            <w:r>
              <w:rPr>
                <w:rFonts w:hint="eastAsia" w:ascii="宋体" w:hAnsi="宋体" w:cs="宋体"/>
                <w:color w:val="auto"/>
                <w:kern w:val="2"/>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84" w:type="dxa"/>
            <w:gridSpan w:val="2"/>
            <w:vMerge w:val="continue"/>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突发事件的应急措施</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2084" w:type="dxa"/>
            <w:gridSpan w:val="2"/>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项目组人员情况</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6383" w:type="dxa"/>
            <w:vAlign w:val="center"/>
          </w:tcPr>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1、项目负责人具有工程师及以上专业技术职称证书且为本单位自有人员的，得1分；具有水利相关专业工程师及以上专业技术职称证书且为本单位自有人员的，得2分，此项最高2分。</w:t>
            </w:r>
          </w:p>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2、拟派项目组成员中具有助理工程师及以上专业技术职称证书且为本单位自有人员的，每有一名的得1分，最高</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en-US" w:eastAsia="zh-CN"/>
              </w:rPr>
              <w:t>分。</w:t>
            </w:r>
          </w:p>
          <w:p>
            <w:pPr>
              <w:keepNext w:val="0"/>
              <w:keepLines w:val="0"/>
              <w:widowControl w:val="0"/>
              <w:suppressLineNumbers w:val="0"/>
              <w:shd w:val="clear"/>
              <w:spacing w:before="0" w:beforeAutospacing="0" w:after="0" w:afterAutospacing="0" w:line="240" w:lineRule="auto"/>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注：提供以上人员专业技术职称证书扫描件、近3个月的社会保险证明扫描件。同一人只计一次分。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2084" w:type="dxa"/>
            <w:gridSpan w:val="2"/>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类似项目业绩</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6383"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cs="宋体"/>
                <w:color w:val="auto"/>
                <w:sz w:val="21"/>
                <w:szCs w:val="21"/>
                <w:highlight w:val="none"/>
                <w:lang w:val="en-US" w:eastAsia="zh-CN"/>
              </w:rPr>
              <w:t>近三年</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截止时间</w:t>
            </w:r>
            <w:r>
              <w:rPr>
                <w:rFonts w:hint="default" w:ascii="宋体" w:hAnsi="宋体" w:eastAsia="宋体" w:cs="宋体"/>
                <w:color w:val="auto"/>
                <w:sz w:val="21"/>
                <w:szCs w:val="21"/>
                <w:highlight w:val="none"/>
              </w:rPr>
              <w:t>之日起往前追溯三年</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以合同签订时间为准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类似项目业绩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经评标委员会认定后</w:t>
            </w:r>
            <w:r>
              <w:rPr>
                <w:rFonts w:hint="eastAsia" w:ascii="宋体" w:hAnsi="宋体" w:eastAsia="宋体" w:cs="宋体"/>
                <w:color w:val="auto"/>
                <w:sz w:val="21"/>
                <w:szCs w:val="21"/>
                <w:highlight w:val="none"/>
              </w:rPr>
              <w:t>每一项得</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分，最高得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分。（提供合同</w:t>
            </w:r>
            <w:r>
              <w:rPr>
                <w:rFonts w:hint="eastAsia" w:ascii="宋体" w:hAnsi="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jc w:val="center"/>
        </w:trPr>
        <w:tc>
          <w:tcPr>
            <w:tcW w:w="2084" w:type="dxa"/>
            <w:gridSpan w:val="2"/>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管理体系及资质</w:t>
            </w:r>
          </w:p>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6383"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具有质量管理体系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具有环境管理体系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p>
            <w:pPr>
              <w:keepNext w:val="0"/>
              <w:keepLines w:val="0"/>
              <w:widowControl/>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具有职业健康安全管理体系</w:t>
            </w:r>
            <w:r>
              <w:rPr>
                <w:rFonts w:hint="eastAsia" w:ascii="宋体" w:hAnsi="宋体" w:eastAsia="宋体" w:cs="宋体"/>
                <w:color w:val="auto"/>
                <w:sz w:val="21"/>
                <w:szCs w:val="21"/>
                <w:highlight w:val="none"/>
                <w:lang w:val="en-US" w:eastAsia="zh-CN"/>
              </w:rPr>
              <w:t>认证</w:t>
            </w:r>
            <w:r>
              <w:rPr>
                <w:rFonts w:hint="eastAsia" w:ascii="宋体" w:hAnsi="宋体" w:eastAsia="宋体" w:cs="宋体"/>
                <w:color w:val="auto"/>
                <w:sz w:val="21"/>
                <w:szCs w:val="21"/>
                <w:highlight w:val="none"/>
                <w:lang w:val="zh-CN"/>
              </w:rPr>
              <w:t>证书并在有效期内的得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分。</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0-</w:t>
            </w: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2084" w:type="dxa"/>
            <w:gridSpan w:val="2"/>
            <w:vAlign w:val="center"/>
          </w:tcPr>
          <w:p>
            <w:pPr>
              <w:keepNext w:val="0"/>
              <w:keepLines w:val="0"/>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诚信分（3分）</w:t>
            </w:r>
          </w:p>
        </w:tc>
        <w:tc>
          <w:tcPr>
            <w:tcW w:w="6383" w:type="dxa"/>
            <w:vAlign w:val="center"/>
          </w:tcPr>
          <w:p>
            <w:pPr>
              <w:keepNext w:val="0"/>
              <w:keepLines w:val="0"/>
              <w:suppressLineNumbers w:val="0"/>
              <w:shd w:val="clear"/>
              <w:adjustRightInd w:val="0"/>
              <w:snapToGrid w:val="0"/>
              <w:spacing w:before="0" w:beforeAutospacing="0" w:after="0" w:afterAutospacing="0" w:line="360" w:lineRule="atLeast"/>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供应商磋商截止时间前三年受到行政处罚、列入不良行为的，此项得分为0；承诺磋商截止时间前三年未受到过处罚、记入不良行为的得3分（</w:t>
            </w:r>
            <w:r>
              <w:rPr>
                <w:rFonts w:hint="eastAsia" w:eastAsia="宋体"/>
                <w:color w:val="auto"/>
                <w:highlight w:val="none"/>
                <w:lang w:val="en-US" w:eastAsia="zh-CN"/>
              </w:rPr>
              <w:t>供应商</w:t>
            </w:r>
            <w:r>
              <w:rPr>
                <w:rFonts w:hint="eastAsia"/>
                <w:color w:val="auto"/>
                <w:highlight w:val="none"/>
              </w:rPr>
              <w:t>自行提供承诺</w:t>
            </w:r>
            <w:r>
              <w:rPr>
                <w:rFonts w:hint="eastAsia"/>
                <w:color w:val="auto"/>
                <w:highlight w:val="none"/>
                <w:lang w:val="en-US" w:eastAsia="zh-CN"/>
              </w:rPr>
              <w:t>函</w:t>
            </w:r>
            <w:r>
              <w:rPr>
                <w:rFonts w:hint="eastAsia"/>
                <w:color w:val="auto"/>
                <w:highlight w:val="none"/>
              </w:rPr>
              <w:t>，不提供承诺函的得0分，如有不良记录</w:t>
            </w:r>
            <w:r>
              <w:rPr>
                <w:rFonts w:hint="eastAsia"/>
                <w:color w:val="auto"/>
                <w:highlight w:val="none"/>
                <w:lang w:val="en-US" w:eastAsia="zh-CN"/>
              </w:rPr>
              <w:t>又</w:t>
            </w:r>
            <w:r>
              <w:rPr>
                <w:rFonts w:hint="eastAsia"/>
                <w:color w:val="auto"/>
                <w:highlight w:val="none"/>
              </w:rPr>
              <w:t>虚假</w:t>
            </w:r>
            <w:r>
              <w:rPr>
                <w:rFonts w:hint="eastAsia"/>
                <w:color w:val="auto"/>
                <w:highlight w:val="none"/>
                <w:lang w:val="en-US" w:eastAsia="zh-CN"/>
              </w:rPr>
              <w:t>承诺</w:t>
            </w:r>
            <w:r>
              <w:rPr>
                <w:rFonts w:hint="eastAsia"/>
                <w:color w:val="auto"/>
                <w:highlight w:val="none"/>
              </w:rPr>
              <w:t>的，一经发现将取消</w:t>
            </w:r>
            <w:r>
              <w:rPr>
                <w:rFonts w:hint="eastAsia"/>
                <w:color w:val="auto"/>
                <w:highlight w:val="none"/>
                <w:lang w:val="en-US" w:eastAsia="zh-CN"/>
              </w:rPr>
              <w:t>成交</w:t>
            </w:r>
            <w:r>
              <w:rPr>
                <w:rFonts w:hint="eastAsia"/>
                <w:color w:val="auto"/>
                <w:highlight w:val="none"/>
              </w:rPr>
              <w:t>资格并报监管部门依法处理</w:t>
            </w:r>
            <w:r>
              <w:rPr>
                <w:rFonts w:hint="eastAsia" w:ascii="宋体" w:hAnsi="宋体" w:eastAsia="宋体" w:cs="宋体"/>
                <w:color w:val="auto"/>
                <w:sz w:val="21"/>
                <w:szCs w:val="21"/>
                <w:highlight w:val="none"/>
              </w:rPr>
              <w:t>）</w:t>
            </w:r>
          </w:p>
        </w:tc>
        <w:tc>
          <w:tcPr>
            <w:tcW w:w="1092" w:type="dxa"/>
            <w:vAlign w:val="center"/>
          </w:tcPr>
          <w:p>
            <w:pPr>
              <w:keepNext w:val="0"/>
              <w:keepLines w:val="0"/>
              <w:widowControl/>
              <w:suppressLineNumbers w:val="0"/>
              <w:shd w:val="clear"/>
              <w:adjustRightInd w:val="0"/>
              <w:snapToGrid w:val="0"/>
              <w:spacing w:before="0" w:beforeAutospacing="0" w:after="0" w:afterAutospacing="0" w:line="360" w:lineRule="atLeas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p>
        </w:tc>
      </w:tr>
    </w:tbl>
    <w:p>
      <w:pPr>
        <w:shd w:val="clear"/>
        <w:adjustRightInd w:val="0"/>
        <w:snapToGrid w:val="0"/>
        <w:spacing w:line="360" w:lineRule="exact"/>
        <w:jc w:val="left"/>
        <w:rPr>
          <w:rFonts w:hint="eastAsia" w:ascii="宋体" w:hAnsi="宋体"/>
          <w:b/>
          <w:color w:val="auto"/>
          <w:szCs w:val="21"/>
          <w:highlight w:val="none"/>
          <w:lang w:val="en-US" w:eastAsia="zh-CN"/>
        </w:rPr>
      </w:pPr>
    </w:p>
    <w:p>
      <w:pPr>
        <w:shd w:val="clear"/>
        <w:tabs>
          <w:tab w:val="left" w:pos="360"/>
        </w:tabs>
        <w:spacing w:line="360" w:lineRule="exact"/>
        <w:rPr>
          <w:rFonts w:ascii="新宋体" w:hAnsi="新宋体"/>
          <w:b/>
          <w:color w:val="auto"/>
          <w:szCs w:val="21"/>
          <w:highlight w:val="none"/>
        </w:rPr>
      </w:pPr>
      <w:r>
        <w:rPr>
          <w:rFonts w:hint="eastAsia" w:ascii="新宋体" w:hAnsi="新宋体" w:eastAsia="新宋体"/>
          <w:b/>
          <w:color w:val="auto"/>
          <w:szCs w:val="21"/>
          <w:highlight w:val="none"/>
        </w:rPr>
        <w:t>（二）磋商报价</w:t>
      </w:r>
      <w:r>
        <w:rPr>
          <w:rFonts w:hint="eastAsia" w:ascii="新宋体" w:hAnsi="新宋体" w:eastAsia="新宋体"/>
          <w:b/>
          <w:color w:val="auto"/>
          <w:szCs w:val="21"/>
          <w:highlight w:val="none"/>
          <w:lang w:val="en-US" w:eastAsia="zh-CN"/>
        </w:rPr>
        <w:t>20</w:t>
      </w:r>
      <w:r>
        <w:rPr>
          <w:rFonts w:hint="eastAsia" w:ascii="新宋体" w:hAnsi="新宋体" w:eastAsia="新宋体"/>
          <w:b/>
          <w:color w:val="auto"/>
          <w:szCs w:val="21"/>
          <w:highlight w:val="none"/>
        </w:rPr>
        <w:t>分：</w:t>
      </w:r>
      <w:r>
        <w:rPr>
          <w:rFonts w:hint="eastAsia"/>
          <w:color w:val="auto"/>
          <w:szCs w:val="21"/>
          <w:highlight w:val="none"/>
        </w:rPr>
        <w:t>（保留小数点后</w:t>
      </w:r>
      <w:r>
        <w:rPr>
          <w:color w:val="auto"/>
          <w:szCs w:val="21"/>
          <w:highlight w:val="none"/>
        </w:rPr>
        <w:t>2</w:t>
      </w:r>
      <w:r>
        <w:rPr>
          <w:rFonts w:hint="eastAsia"/>
          <w:color w:val="auto"/>
          <w:szCs w:val="21"/>
          <w:highlight w:val="none"/>
        </w:rPr>
        <w:t>位，</w:t>
      </w:r>
      <w:r>
        <w:rPr>
          <w:rFonts w:hint="eastAsia" w:ascii="宋体" w:hAnsi="宋体"/>
          <w:color w:val="auto"/>
          <w:szCs w:val="21"/>
          <w:highlight w:val="none"/>
        </w:rPr>
        <w:t>四舍五入法。）</w:t>
      </w:r>
    </w:p>
    <w:p>
      <w:pPr>
        <w:shd w:val="clear"/>
        <w:tabs>
          <w:tab w:val="left" w:pos="6264"/>
        </w:tabs>
        <w:snapToGrid w:val="0"/>
        <w:spacing w:line="40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磋商报价为采购人公布的</w:t>
      </w:r>
      <w:r>
        <w:rPr>
          <w:rFonts w:hint="eastAsia" w:ascii="新宋体" w:hAnsi="新宋体" w:eastAsia="新宋体"/>
          <w:color w:val="auto"/>
          <w:szCs w:val="21"/>
          <w:highlight w:val="none"/>
          <w:lang w:val="zh-CN"/>
        </w:rPr>
        <w:t>最高</w:t>
      </w:r>
      <w:r>
        <w:rPr>
          <w:rFonts w:hint="eastAsia" w:ascii="新宋体" w:hAnsi="新宋体" w:eastAsia="新宋体"/>
          <w:color w:val="auto"/>
          <w:szCs w:val="21"/>
          <w:highlight w:val="none"/>
        </w:rPr>
        <w:t>限价及以下、在各阶段评审中未被定为无效响应文件或废标，其供应商的磋商报价为有效报价。</w:t>
      </w:r>
    </w:p>
    <w:p>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综合评分法中的价格分统一采用低价优先法计算，即满足竞争性磋商文件要求且最终磋商报价最低的报价为评标基准价，其价格分为满分。其他供应商的价格分统一按照下列公式计算</w:t>
      </w:r>
      <w:r>
        <w:rPr>
          <w:rFonts w:ascii="新宋体" w:hAnsi="新宋体" w:eastAsia="新宋体"/>
          <w:color w:val="auto"/>
          <w:szCs w:val="21"/>
          <w:highlight w:val="none"/>
        </w:rPr>
        <w:t>:</w:t>
      </w:r>
    </w:p>
    <w:p>
      <w:pPr>
        <w:shd w:val="clear"/>
        <w:tabs>
          <w:tab w:val="left" w:pos="6264"/>
        </w:tabs>
        <w:snapToGrid w:val="0"/>
        <w:spacing w:line="360" w:lineRule="exact"/>
        <w:ind w:firstLine="476"/>
        <w:rPr>
          <w:rFonts w:ascii="新宋体" w:hAnsi="新宋体" w:eastAsia="新宋体"/>
          <w:color w:val="auto"/>
          <w:szCs w:val="21"/>
          <w:highlight w:val="none"/>
        </w:rPr>
      </w:pPr>
      <w:r>
        <w:rPr>
          <w:rFonts w:hint="eastAsia" w:ascii="新宋体" w:hAnsi="新宋体" w:eastAsia="新宋体"/>
          <w:color w:val="auto"/>
          <w:szCs w:val="21"/>
          <w:highlight w:val="none"/>
        </w:rPr>
        <w:t>报价得分</w:t>
      </w:r>
      <w:r>
        <w:rPr>
          <w:rFonts w:ascii="新宋体" w:hAnsi="新宋体" w:eastAsia="新宋体"/>
          <w:color w:val="auto"/>
          <w:szCs w:val="21"/>
          <w:highlight w:val="none"/>
        </w:rPr>
        <w:t>=(</w:t>
      </w:r>
      <w:r>
        <w:rPr>
          <w:rFonts w:hint="eastAsia" w:ascii="新宋体" w:hAnsi="新宋体" w:eastAsia="新宋体"/>
          <w:color w:val="auto"/>
          <w:szCs w:val="21"/>
          <w:highlight w:val="none"/>
        </w:rPr>
        <w:t>评标基准价</w:t>
      </w:r>
      <w:r>
        <w:rPr>
          <w:rFonts w:ascii="新宋体" w:hAnsi="新宋体" w:eastAsia="新宋体"/>
          <w:color w:val="auto"/>
          <w:szCs w:val="21"/>
          <w:highlight w:val="none"/>
        </w:rPr>
        <w:t>/</w:t>
      </w:r>
      <w:r>
        <w:rPr>
          <w:rFonts w:hint="eastAsia" w:ascii="新宋体" w:hAnsi="新宋体" w:eastAsia="新宋体"/>
          <w:color w:val="auto"/>
          <w:szCs w:val="21"/>
          <w:highlight w:val="none"/>
        </w:rPr>
        <w:t>最终磋商报价</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hint="eastAsia" w:ascii="新宋体" w:hAnsi="新宋体" w:eastAsia="新宋体"/>
          <w:color w:val="auto"/>
          <w:szCs w:val="21"/>
          <w:highlight w:val="none"/>
          <w:lang w:val="en-US" w:eastAsia="zh-CN"/>
        </w:rPr>
        <w:t>20</w:t>
      </w:r>
      <w:r>
        <w:rPr>
          <w:rFonts w:ascii="新宋体" w:hAnsi="新宋体" w:eastAsia="新宋体"/>
          <w:color w:val="auto"/>
          <w:szCs w:val="21"/>
          <w:highlight w:val="none"/>
        </w:rPr>
        <w:t>%</w:t>
      </w:r>
      <w:r>
        <w:rPr>
          <w:rFonts w:hint="eastAsia" w:ascii="新宋体" w:hAnsi="新宋体" w:eastAsia="新宋体"/>
          <w:color w:val="auto"/>
          <w:szCs w:val="21"/>
          <w:highlight w:val="none"/>
        </w:rPr>
        <w:t>×</w:t>
      </w:r>
      <w:r>
        <w:rPr>
          <w:rFonts w:ascii="新宋体" w:hAnsi="新宋体" w:eastAsia="新宋体"/>
          <w:color w:val="auto"/>
          <w:szCs w:val="21"/>
          <w:highlight w:val="none"/>
        </w:rPr>
        <w:t>100</w:t>
      </w:r>
    </w:p>
    <w:p>
      <w:pPr>
        <w:shd w:val="clear"/>
        <w:spacing w:line="360" w:lineRule="exact"/>
        <w:rPr>
          <w:rFonts w:hint="eastAsia" w:ascii="宋体" w:hAnsi="宋体" w:eastAsia="宋体" w:cs="Times New Roman"/>
          <w:b/>
          <w:bCs/>
          <w:color w:val="auto"/>
          <w:szCs w:val="21"/>
          <w:highlight w:val="none"/>
          <w:lang w:val="zh-CN" w:eastAsia="zh-CN"/>
        </w:rPr>
      </w:pPr>
      <w:r>
        <w:rPr>
          <w:rFonts w:hint="eastAsia" w:ascii="宋体" w:hAnsi="宋体"/>
          <w:b/>
          <w:bCs/>
          <w:color w:val="auto"/>
          <w:szCs w:val="21"/>
          <w:highlight w:val="none"/>
        </w:rPr>
        <w:t>注：1</w:t>
      </w:r>
      <w:r>
        <w:rPr>
          <w:rFonts w:hint="eastAsia" w:ascii="宋体" w:hAnsi="宋体" w:eastAsia="宋体" w:cs="Times New Roman"/>
          <w:b/>
          <w:bCs/>
          <w:color w:val="auto"/>
          <w:szCs w:val="21"/>
          <w:highlight w:val="none"/>
          <w:lang w:val="zh-CN"/>
        </w:rPr>
        <w:t>、本次磋商最高限价为</w:t>
      </w:r>
      <w:r>
        <w:rPr>
          <w:rFonts w:hint="eastAsia" w:ascii="宋体" w:hAnsi="宋体" w:cs="Times New Roman"/>
          <w:b/>
          <w:bCs/>
          <w:color w:val="auto"/>
          <w:szCs w:val="21"/>
          <w:highlight w:val="none"/>
          <w:lang w:val="zh-CN" w:eastAsia="zh-CN"/>
        </w:rPr>
        <w:t>人民币</w:t>
      </w:r>
      <w:r>
        <w:rPr>
          <w:rFonts w:hint="eastAsia" w:ascii="宋体" w:hAnsi="宋体" w:cs="Times New Roman"/>
          <w:b/>
          <w:bCs/>
          <w:color w:val="auto"/>
          <w:szCs w:val="21"/>
          <w:highlight w:val="none"/>
          <w:lang w:val="en-US" w:eastAsia="zh-CN"/>
        </w:rPr>
        <w:t>205</w:t>
      </w:r>
      <w:r>
        <w:rPr>
          <w:rFonts w:hint="eastAsia" w:ascii="宋体" w:hAnsi="宋体" w:eastAsia="宋体" w:cs="Times New Roman"/>
          <w:b/>
          <w:bCs/>
          <w:color w:val="auto"/>
          <w:szCs w:val="21"/>
          <w:highlight w:val="none"/>
          <w:lang w:val="en-US" w:eastAsia="zh-CN"/>
        </w:rPr>
        <w:t>9300</w:t>
      </w:r>
      <w:r>
        <w:rPr>
          <w:rFonts w:hint="eastAsia" w:ascii="宋体" w:hAnsi="宋体" w:eastAsia="宋体" w:cs="Times New Roman"/>
          <w:b/>
          <w:bCs/>
          <w:color w:val="auto"/>
          <w:szCs w:val="21"/>
          <w:highlight w:val="none"/>
          <w:lang w:val="zh-CN" w:eastAsia="zh-CN"/>
        </w:rPr>
        <w:t>元（其中盐官枢纽</w:t>
      </w:r>
      <w:r>
        <w:rPr>
          <w:rFonts w:hint="eastAsia" w:ascii="宋体" w:hAnsi="宋体" w:eastAsia="宋体" w:cs="Times New Roman"/>
          <w:b/>
          <w:bCs/>
          <w:color w:val="auto"/>
          <w:szCs w:val="21"/>
          <w:highlight w:val="none"/>
          <w:lang w:val="en-US" w:eastAsia="zh-CN"/>
        </w:rPr>
        <w:t>一次性项目包括：主厂房电缆层漏水处理项目100000</w:t>
      </w:r>
      <w:r>
        <w:rPr>
          <w:rFonts w:hint="eastAsia" w:ascii="宋体" w:hAnsi="宋体" w:eastAsia="宋体" w:cs="Times New Roman"/>
          <w:b/>
          <w:bCs/>
          <w:color w:val="auto"/>
          <w:szCs w:val="21"/>
          <w:highlight w:val="none"/>
          <w:lang w:val="zh-CN" w:eastAsia="zh-CN"/>
        </w:rPr>
        <w:t>元；</w:t>
      </w:r>
      <w:r>
        <w:rPr>
          <w:rFonts w:hint="eastAsia" w:ascii="宋体" w:hAnsi="宋体" w:eastAsia="宋体" w:cs="Times New Roman"/>
          <w:b/>
          <w:bCs/>
          <w:color w:val="auto"/>
          <w:szCs w:val="21"/>
          <w:highlight w:val="none"/>
          <w:lang w:val="en-US" w:eastAsia="zh-CN"/>
        </w:rPr>
        <w:t>盐官泵站事故闸止水、滑块、紧固件更换项目86300元。独山</w:t>
      </w:r>
      <w:r>
        <w:rPr>
          <w:rFonts w:hint="eastAsia" w:ascii="宋体" w:hAnsi="宋体" w:eastAsia="宋体" w:cs="Times New Roman"/>
          <w:b/>
          <w:bCs/>
          <w:color w:val="auto"/>
          <w:szCs w:val="21"/>
          <w:highlight w:val="none"/>
          <w:lang w:val="zh-CN" w:eastAsia="zh-CN"/>
        </w:rPr>
        <w:t>枢纽</w:t>
      </w:r>
      <w:r>
        <w:rPr>
          <w:rFonts w:hint="eastAsia" w:ascii="宋体" w:hAnsi="宋体" w:eastAsia="宋体" w:cs="Times New Roman"/>
          <w:b/>
          <w:bCs/>
          <w:color w:val="auto"/>
          <w:szCs w:val="21"/>
          <w:highlight w:val="none"/>
          <w:lang w:val="en-US" w:eastAsia="zh-CN"/>
        </w:rPr>
        <w:t>一次性项目146000</w:t>
      </w:r>
      <w:r>
        <w:rPr>
          <w:rFonts w:hint="eastAsia" w:ascii="宋体" w:hAnsi="宋体" w:eastAsia="宋体" w:cs="Times New Roman"/>
          <w:b/>
          <w:bCs/>
          <w:color w:val="auto"/>
          <w:szCs w:val="21"/>
          <w:highlight w:val="none"/>
          <w:lang w:val="zh-CN" w:eastAsia="zh-CN"/>
        </w:rPr>
        <w:t>元。</w:t>
      </w:r>
      <w:r>
        <w:rPr>
          <w:rFonts w:hint="eastAsia" w:ascii="宋体" w:hAnsi="宋体" w:eastAsia="宋体" w:cs="Times New Roman"/>
          <w:b/>
          <w:bCs/>
          <w:color w:val="auto"/>
          <w:szCs w:val="21"/>
          <w:highlight w:val="none"/>
          <w:lang w:val="en-US" w:eastAsia="zh-CN"/>
        </w:rPr>
        <w:t>长山河</w:t>
      </w:r>
      <w:r>
        <w:rPr>
          <w:rFonts w:hint="eastAsia" w:ascii="宋体" w:hAnsi="宋体" w:eastAsia="宋体" w:cs="Times New Roman"/>
          <w:b/>
          <w:bCs/>
          <w:color w:val="auto"/>
          <w:szCs w:val="21"/>
          <w:highlight w:val="none"/>
          <w:lang w:val="zh-CN" w:eastAsia="zh-CN"/>
        </w:rPr>
        <w:t>枢纽</w:t>
      </w:r>
      <w:r>
        <w:rPr>
          <w:rFonts w:hint="eastAsia" w:ascii="宋体" w:hAnsi="宋体" w:eastAsia="宋体" w:cs="Times New Roman"/>
          <w:b/>
          <w:bCs/>
          <w:color w:val="auto"/>
          <w:szCs w:val="21"/>
          <w:highlight w:val="none"/>
          <w:lang w:val="en-US" w:eastAsia="zh-CN"/>
        </w:rPr>
        <w:t>一次性项目807000</w:t>
      </w:r>
      <w:r>
        <w:rPr>
          <w:rFonts w:hint="eastAsia" w:ascii="宋体" w:hAnsi="宋体" w:eastAsia="宋体" w:cs="Times New Roman"/>
          <w:b/>
          <w:bCs/>
          <w:color w:val="auto"/>
          <w:szCs w:val="21"/>
          <w:highlight w:val="none"/>
          <w:lang w:val="zh-CN" w:eastAsia="zh-CN"/>
        </w:rPr>
        <w:t>元。南台头枢纽</w:t>
      </w:r>
      <w:r>
        <w:rPr>
          <w:rFonts w:hint="eastAsia" w:ascii="宋体" w:hAnsi="宋体" w:eastAsia="宋体" w:cs="Times New Roman"/>
          <w:b/>
          <w:bCs/>
          <w:color w:val="auto"/>
          <w:szCs w:val="21"/>
          <w:highlight w:val="none"/>
          <w:lang w:val="en-US" w:eastAsia="zh-CN"/>
        </w:rPr>
        <w:t>一次性项目包括：南台头闸内河侧闸门防腐及止水装置更换项目400000</w:t>
      </w:r>
      <w:r>
        <w:rPr>
          <w:rFonts w:hint="eastAsia" w:ascii="宋体" w:hAnsi="宋体" w:eastAsia="宋体" w:cs="Times New Roman"/>
          <w:b/>
          <w:bCs/>
          <w:color w:val="auto"/>
          <w:szCs w:val="21"/>
          <w:highlight w:val="none"/>
          <w:lang w:val="zh-CN" w:eastAsia="zh-CN"/>
        </w:rPr>
        <w:t>元；</w:t>
      </w:r>
      <w:r>
        <w:rPr>
          <w:rFonts w:hint="eastAsia" w:ascii="宋体" w:hAnsi="宋体" w:eastAsia="宋体" w:cs="Times New Roman"/>
          <w:b/>
          <w:bCs/>
          <w:color w:val="auto"/>
          <w:szCs w:val="21"/>
          <w:highlight w:val="none"/>
          <w:lang w:val="en-US" w:eastAsia="zh-CN"/>
        </w:rPr>
        <w:t>泵站门机、油缸及起重设备金属防腐项目450000元；泵站工作（事故）闸门行程改造项目70000元。</w:t>
      </w:r>
      <w:r>
        <w:rPr>
          <w:rFonts w:hint="eastAsia" w:ascii="宋体" w:hAnsi="宋体" w:eastAsia="宋体" w:cs="Times New Roman"/>
          <w:b/>
          <w:bCs/>
          <w:color w:val="auto"/>
          <w:szCs w:val="21"/>
          <w:highlight w:val="none"/>
          <w:lang w:val="zh-CN" w:eastAsia="zh-CN"/>
        </w:rPr>
        <w:t>）</w:t>
      </w:r>
      <w:r>
        <w:rPr>
          <w:rFonts w:hint="eastAsia" w:ascii="宋体" w:hAnsi="宋体" w:eastAsia="宋体" w:cs="Times New Roman"/>
          <w:b/>
          <w:bCs/>
          <w:color w:val="auto"/>
          <w:szCs w:val="21"/>
          <w:highlight w:val="none"/>
          <w:lang w:val="zh-CN"/>
        </w:rPr>
        <w:t>，</w:t>
      </w:r>
      <w:r>
        <w:rPr>
          <w:rFonts w:hint="eastAsia" w:ascii="宋体" w:hAnsi="宋体" w:eastAsia="宋体" w:cs="Times New Roman"/>
          <w:b/>
          <w:bCs/>
          <w:color w:val="auto"/>
          <w:szCs w:val="21"/>
          <w:highlight w:val="none"/>
          <w:lang w:val="zh-CN" w:eastAsia="zh-CN"/>
        </w:rPr>
        <w:t>报价超过最高限价或各单项预算金额的作无效标处理。</w:t>
      </w:r>
    </w:p>
    <w:p>
      <w:pPr>
        <w:shd w:val="clea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最低报价不是成交的保证，磋商小组认为供应商的报价明显低于其他通过符合性审查供应商的报价，有可能影响服务质量或者不能诚信履约的，应当要求其在磋商合理的时间内提供书面说明，必要时提交相关证明材料；供应商不能证明其报价合理性的，磋商小组应当将其作为无效投标处理。磋商小组将推荐综合评分最高的供应商为成交候选人。</w:t>
      </w:r>
    </w:p>
    <w:p>
      <w:pPr>
        <w:shd w:val="clear"/>
        <w:adjustRightInd w:val="0"/>
        <w:snapToGrid w:val="0"/>
        <w:spacing w:line="360" w:lineRule="exact"/>
        <w:jc w:val="left"/>
        <w:rPr>
          <w:rFonts w:hint="eastAsia" w:ascii="宋体" w:hAnsi="宋体"/>
          <w:b/>
          <w:color w:val="auto"/>
          <w:szCs w:val="21"/>
          <w:highlight w:val="none"/>
          <w:lang w:val="en-US" w:eastAsia="zh-CN"/>
        </w:rPr>
      </w:pPr>
    </w:p>
    <w:p>
      <w:pPr>
        <w:shd w:val="clear"/>
        <w:adjustRightInd w:val="0"/>
        <w:snapToGrid w:val="0"/>
        <w:spacing w:line="360" w:lineRule="exact"/>
        <w:jc w:val="left"/>
        <w:rPr>
          <w:rFonts w:asci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、定标办法</w:t>
      </w:r>
    </w:p>
    <w:p>
      <w:pPr>
        <w:shd w:val="clea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1.采购代理机构在评标结束后2个工作日内将评</w:t>
      </w:r>
      <w:r>
        <w:rPr>
          <w:rFonts w:hint="eastAsia" w:ascii="宋体" w:hAnsi="宋体"/>
          <w:color w:val="auto"/>
          <w:szCs w:val="21"/>
          <w:highlight w:val="none"/>
          <w:lang w:val="en-US" w:eastAsia="zh-CN"/>
        </w:rPr>
        <w:t>审</w:t>
      </w:r>
      <w:r>
        <w:rPr>
          <w:rFonts w:hint="eastAsia" w:ascii="宋体" w:hAnsi="宋体"/>
          <w:color w:val="auto"/>
          <w:szCs w:val="21"/>
          <w:highlight w:val="none"/>
        </w:rPr>
        <w:t>报告交采购人确认，同时在发布</w:t>
      </w:r>
      <w:r>
        <w:rPr>
          <w:rFonts w:hint="eastAsia" w:ascii="宋体" w:hAnsi="宋体"/>
          <w:color w:val="auto"/>
          <w:szCs w:val="21"/>
          <w:highlight w:val="none"/>
          <w:lang w:val="en-US" w:eastAsia="zh-CN"/>
        </w:rPr>
        <w:t>竞争性磋商</w:t>
      </w:r>
      <w:r>
        <w:rPr>
          <w:rFonts w:hint="eastAsia" w:ascii="宋体" w:hAnsi="宋体"/>
          <w:color w:val="auto"/>
          <w:szCs w:val="21"/>
          <w:highlight w:val="none"/>
        </w:rPr>
        <w:t>公告的网站上对评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结果进行公告。</w:t>
      </w:r>
    </w:p>
    <w:p>
      <w:pPr>
        <w:shd w:val="clea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供应商</w:t>
      </w:r>
      <w:r>
        <w:rPr>
          <w:rFonts w:hint="eastAsia" w:ascii="宋体" w:hAnsi="宋体"/>
          <w:color w:val="auto"/>
          <w:szCs w:val="21"/>
          <w:highlight w:val="none"/>
        </w:rPr>
        <w:t>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结果无异议的，采购人应在收到评</w:t>
      </w:r>
      <w:r>
        <w:rPr>
          <w:rFonts w:hint="eastAsia" w:ascii="宋体" w:hAnsi="宋体"/>
          <w:color w:val="auto"/>
          <w:szCs w:val="21"/>
          <w:highlight w:val="none"/>
          <w:lang w:val="en-US" w:eastAsia="zh-CN"/>
        </w:rPr>
        <w:t>审</w:t>
      </w:r>
      <w:r>
        <w:rPr>
          <w:rFonts w:hint="eastAsia" w:ascii="宋体" w:hAnsi="宋体"/>
          <w:color w:val="auto"/>
          <w:szCs w:val="21"/>
          <w:highlight w:val="none"/>
        </w:rPr>
        <w:t>报告后5个工作日内对评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结果进行确认。如有</w:t>
      </w:r>
      <w:r>
        <w:rPr>
          <w:rFonts w:hint="eastAsia" w:ascii="宋体" w:hAnsi="宋体"/>
          <w:color w:val="auto"/>
          <w:szCs w:val="21"/>
          <w:highlight w:val="none"/>
          <w:lang w:val="en-US" w:eastAsia="zh-CN"/>
        </w:rPr>
        <w:t>供应商</w:t>
      </w:r>
      <w:r>
        <w:rPr>
          <w:rFonts w:hint="eastAsia" w:ascii="宋体" w:hAnsi="宋体"/>
          <w:color w:val="auto"/>
          <w:szCs w:val="21"/>
          <w:highlight w:val="none"/>
        </w:rPr>
        <w:t>对评</w:t>
      </w:r>
      <w:r>
        <w:rPr>
          <w:rFonts w:hint="eastAsia" w:ascii="宋体" w:hAnsi="宋体"/>
          <w:color w:val="auto"/>
          <w:szCs w:val="21"/>
          <w:highlight w:val="none"/>
          <w:lang w:val="en-US" w:eastAsia="zh-CN"/>
        </w:rPr>
        <w:t>审</w:t>
      </w:r>
      <w:r>
        <w:rPr>
          <w:rFonts w:hint="eastAsia" w:ascii="宋体" w:hAnsi="宋体"/>
          <w:color w:val="auto"/>
          <w:szCs w:val="21"/>
          <w:highlight w:val="none"/>
        </w:rPr>
        <w:t>结果提出质疑的，采购人可在质疑处理完毕后确定</w:t>
      </w:r>
      <w:r>
        <w:rPr>
          <w:rFonts w:hint="eastAsia" w:ascii="宋体" w:hAnsi="宋体"/>
          <w:color w:val="auto"/>
          <w:szCs w:val="21"/>
          <w:highlight w:val="none"/>
          <w:lang w:val="en-US" w:eastAsia="zh-CN"/>
        </w:rPr>
        <w:t>成交供应商</w:t>
      </w:r>
      <w:r>
        <w:rPr>
          <w:rFonts w:hint="eastAsia" w:ascii="宋体" w:hAnsi="宋体"/>
          <w:color w:val="auto"/>
          <w:szCs w:val="21"/>
          <w:highlight w:val="none"/>
        </w:rPr>
        <w:t>。</w:t>
      </w:r>
    </w:p>
    <w:p>
      <w:pPr>
        <w:shd w:val="clear"/>
        <w:spacing w:line="360" w:lineRule="exact"/>
        <w:ind w:firstLine="420" w:firstLineChars="200"/>
        <w:rPr>
          <w:rFonts w:ascii="宋体"/>
          <w:color w:val="auto"/>
          <w:szCs w:val="21"/>
          <w:highlight w:val="none"/>
        </w:rPr>
      </w:pPr>
      <w:r>
        <w:rPr>
          <w:rFonts w:hint="eastAsia" w:ascii="宋体" w:hAnsi="宋体"/>
          <w:color w:val="auto"/>
          <w:szCs w:val="21"/>
          <w:highlight w:val="none"/>
        </w:rPr>
        <w:t>3.在公告</w:t>
      </w:r>
      <w:r>
        <w:rPr>
          <w:rFonts w:hint="eastAsia" w:ascii="宋体" w:hAnsi="宋体"/>
          <w:color w:val="auto"/>
          <w:szCs w:val="21"/>
          <w:highlight w:val="none"/>
          <w:lang w:val="en-US" w:eastAsia="zh-CN"/>
        </w:rPr>
        <w:t>成交</w:t>
      </w:r>
      <w:r>
        <w:rPr>
          <w:rFonts w:hint="eastAsia" w:ascii="宋体" w:hAnsi="宋体"/>
          <w:color w:val="auto"/>
          <w:szCs w:val="21"/>
          <w:highlight w:val="none"/>
        </w:rPr>
        <w:t>结果的同时，采购代理机构向</w:t>
      </w:r>
      <w:r>
        <w:rPr>
          <w:rFonts w:hint="eastAsia" w:ascii="宋体" w:hAnsi="宋体"/>
          <w:color w:val="auto"/>
          <w:szCs w:val="21"/>
          <w:highlight w:val="none"/>
          <w:lang w:val="en-US" w:eastAsia="zh-CN"/>
        </w:rPr>
        <w:t>成交供应商</w:t>
      </w:r>
      <w:r>
        <w:rPr>
          <w:rFonts w:hint="eastAsia" w:ascii="宋体" w:hAnsi="宋体"/>
          <w:color w:val="auto"/>
          <w:szCs w:val="21"/>
          <w:highlight w:val="none"/>
        </w:rPr>
        <w:t>发出</w:t>
      </w:r>
      <w:r>
        <w:rPr>
          <w:rFonts w:hint="eastAsia" w:ascii="宋体" w:hAnsi="宋体"/>
          <w:color w:val="auto"/>
          <w:szCs w:val="21"/>
          <w:highlight w:val="none"/>
          <w:lang w:val="en-US" w:eastAsia="zh-CN"/>
        </w:rPr>
        <w:t>成交</w:t>
      </w:r>
      <w:r>
        <w:rPr>
          <w:rFonts w:hint="eastAsia" w:ascii="宋体" w:hAnsi="宋体"/>
          <w:color w:val="auto"/>
          <w:szCs w:val="21"/>
          <w:highlight w:val="none"/>
        </w:rPr>
        <w:t>通知书。</w:t>
      </w:r>
    </w:p>
    <w:p>
      <w:pPr>
        <w:shd w:val="clear"/>
        <w:spacing w:line="360" w:lineRule="exact"/>
        <w:rPr>
          <w:rFonts w:ascii="宋体"/>
          <w:b/>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、供应商义务</w:t>
      </w:r>
    </w:p>
    <w:p>
      <w:pPr>
        <w:shd w:val="clear"/>
        <w:adjustRightInd w:val="0"/>
        <w:snapToGrid w:val="0"/>
        <w:spacing w:line="360" w:lineRule="exact"/>
        <w:ind w:firstLine="435"/>
        <w:jc w:val="left"/>
        <w:rPr>
          <w:color w:val="auto"/>
          <w:szCs w:val="21"/>
          <w:highlight w:val="none"/>
        </w:rPr>
      </w:pPr>
      <w:r>
        <w:rPr>
          <w:rFonts w:hint="eastAsia"/>
          <w:color w:val="auto"/>
          <w:szCs w:val="21"/>
          <w:highlight w:val="none"/>
        </w:rPr>
        <w:t>供应商应随时接受磋商小组的询标，解答有关的商务、技术问题等。磋商结束，所有磋商资料存采购代理机构备查。</w:t>
      </w:r>
    </w:p>
    <w:p>
      <w:pPr>
        <w:shd w:val="clear"/>
        <w:spacing w:line="400" w:lineRule="exact"/>
        <w:jc w:val="center"/>
        <w:outlineLvl w:val="0"/>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pStyle w:val="10"/>
        <w:shd w:val="clear"/>
        <w:rPr>
          <w:b/>
          <w:bCs/>
          <w:color w:val="auto"/>
          <w:sz w:val="32"/>
          <w:szCs w:val="32"/>
          <w:highlight w:val="none"/>
        </w:rPr>
      </w:pPr>
    </w:p>
    <w:p>
      <w:pPr>
        <w:shd w:val="clear"/>
        <w:spacing w:line="400" w:lineRule="exact"/>
        <w:jc w:val="center"/>
        <w:outlineLvl w:val="0"/>
        <w:rPr>
          <w:b/>
          <w:bCs/>
          <w:color w:val="auto"/>
          <w:sz w:val="32"/>
          <w:szCs w:val="32"/>
          <w:highlight w:val="none"/>
        </w:rPr>
      </w:pPr>
      <w:bookmarkStart w:id="186" w:name="_Toc12117"/>
      <w:bookmarkStart w:id="187" w:name="_Toc28223"/>
      <w:bookmarkStart w:id="188" w:name="_Toc12461"/>
      <w:bookmarkStart w:id="189" w:name="_Toc26275"/>
      <w:bookmarkStart w:id="190" w:name="_Toc21092"/>
      <w:bookmarkStart w:id="191" w:name="_Toc28689"/>
      <w:bookmarkStart w:id="192" w:name="_Toc1414"/>
      <w:bookmarkStart w:id="193" w:name="_Toc7605"/>
      <w:r>
        <w:rPr>
          <w:rFonts w:hint="eastAsia"/>
          <w:b/>
          <w:bCs/>
          <w:color w:val="auto"/>
          <w:sz w:val="32"/>
          <w:szCs w:val="32"/>
          <w:highlight w:val="none"/>
        </w:rPr>
        <w:t>第六章 磋商响应相关文件格式</w:t>
      </w:r>
      <w:bookmarkEnd w:id="186"/>
      <w:bookmarkEnd w:id="187"/>
      <w:bookmarkEnd w:id="188"/>
      <w:bookmarkEnd w:id="189"/>
      <w:bookmarkEnd w:id="190"/>
      <w:bookmarkEnd w:id="191"/>
      <w:bookmarkEnd w:id="192"/>
      <w:bookmarkEnd w:id="193"/>
    </w:p>
    <w:p>
      <w:pPr>
        <w:shd w:val="clear"/>
        <w:outlineLvl w:val="1"/>
        <w:rPr>
          <w:color w:val="auto"/>
          <w:highlight w:val="none"/>
        </w:rPr>
      </w:pPr>
    </w:p>
    <w:p>
      <w:pPr>
        <w:shd w:val="clear"/>
        <w:spacing w:line="588" w:lineRule="exact"/>
        <w:ind w:firstLine="667"/>
        <w:jc w:val="center"/>
        <w:rPr>
          <w:rFonts w:ascii="宋体" w:hAnsi="宋体"/>
          <w:b/>
          <w:color w:val="auto"/>
          <w:spacing w:val="6"/>
          <w:sz w:val="32"/>
          <w:highlight w:val="none"/>
        </w:rPr>
      </w:pPr>
      <w:bookmarkStart w:id="194" w:name="_Toc11046"/>
      <w:bookmarkStart w:id="195" w:name="_Toc12986"/>
      <w:bookmarkStart w:id="196" w:name="_Toc9881"/>
      <w:r>
        <w:rPr>
          <w:rFonts w:ascii="宋体" w:hAnsi="宋体"/>
          <w:b/>
          <w:color w:val="auto"/>
          <w:spacing w:val="6"/>
          <w:sz w:val="32"/>
          <w:highlight w:val="none"/>
        </w:rPr>
        <w:t>政府采购活动现场确认声明书</w:t>
      </w:r>
      <w:bookmarkEnd w:id="194"/>
      <w:bookmarkEnd w:id="195"/>
      <w:bookmarkEnd w:id="196"/>
    </w:p>
    <w:p>
      <w:pPr>
        <w:pStyle w:val="108"/>
        <w:shd w:val="clear"/>
        <w:snapToGrid w:val="0"/>
        <w:spacing w:line="440" w:lineRule="exact"/>
        <w:jc w:val="center"/>
        <w:rPr>
          <w:rFonts w:hint="eastAsia" w:hAnsi="宋体" w:cs="宋体"/>
          <w:b/>
          <w:color w:val="auto"/>
          <w:highlight w:val="none"/>
        </w:rPr>
      </w:pPr>
      <w:r>
        <w:rPr>
          <w:rFonts w:ascii="微软雅黑" w:hAnsi="微软雅黑" w:eastAsia="微软雅黑" w:cs="宋体"/>
          <w:b/>
          <w:color w:val="auto"/>
          <w:highlight w:val="none"/>
        </w:rPr>
        <w:t>（要求</w:t>
      </w:r>
      <w:r>
        <w:rPr>
          <w:rFonts w:hint="eastAsia" w:ascii="微软雅黑" w:hAnsi="微软雅黑" w:eastAsia="微软雅黑" w:cs="宋体"/>
          <w:b/>
          <w:color w:val="auto"/>
          <w:highlight w:val="none"/>
        </w:rPr>
        <w:t>在电子</w:t>
      </w:r>
      <w:r>
        <w:rPr>
          <w:rFonts w:hint="eastAsia" w:ascii="微软雅黑" w:hAnsi="微软雅黑" w:eastAsia="微软雅黑" w:cs="宋体"/>
          <w:b/>
          <w:color w:val="auto"/>
          <w:highlight w:val="none"/>
          <w:lang w:val="en-US" w:eastAsia="zh-CN"/>
        </w:rPr>
        <w:t>磋商响应</w:t>
      </w:r>
      <w:r>
        <w:rPr>
          <w:rFonts w:hint="eastAsia" w:ascii="微软雅黑" w:hAnsi="微软雅黑" w:eastAsia="微软雅黑" w:cs="宋体"/>
          <w:b/>
          <w:color w:val="auto"/>
          <w:highlight w:val="none"/>
        </w:rPr>
        <w:t>文件解密后，将以下表格填写完成后，再通过电子邮箱28509616@qq.com将照片传给代理公司，不要封存于</w:t>
      </w:r>
      <w:r>
        <w:rPr>
          <w:rFonts w:hint="eastAsia" w:ascii="微软雅黑" w:hAnsi="微软雅黑" w:eastAsia="微软雅黑" w:cs="宋体"/>
          <w:b/>
          <w:color w:val="auto"/>
          <w:highlight w:val="none"/>
          <w:lang w:val="en-US" w:eastAsia="zh-CN"/>
        </w:rPr>
        <w:t>磋商响应</w:t>
      </w:r>
      <w:r>
        <w:rPr>
          <w:rFonts w:hint="eastAsia" w:ascii="微软雅黑" w:hAnsi="微软雅黑" w:eastAsia="微软雅黑" w:cs="宋体"/>
          <w:b/>
          <w:color w:val="auto"/>
          <w:highlight w:val="none"/>
        </w:rPr>
        <w:t>文件里）</w:t>
      </w:r>
    </w:p>
    <w:p>
      <w:pPr>
        <w:pStyle w:val="63"/>
        <w:shd w:val="clear"/>
        <w:snapToGrid w:val="0"/>
        <w:spacing w:line="440" w:lineRule="exact"/>
        <w:ind w:firstLine="0" w:firstLineChars="0"/>
        <w:rPr>
          <w:rFonts w:hint="eastAsia" w:hAnsi="宋体" w:eastAsia="宋体" w:cs="宋体"/>
          <w:b/>
          <w:color w:val="auto"/>
          <w:sz w:val="21"/>
          <w:szCs w:val="21"/>
          <w:highlight w:val="none"/>
        </w:rPr>
      </w:pPr>
      <w:r>
        <w:rPr>
          <w:rFonts w:hint="eastAsia" w:hAnsi="宋体" w:eastAsia="宋体" w:cs="宋体"/>
          <w:color w:val="auto"/>
          <w:kern w:val="0"/>
          <w:sz w:val="21"/>
          <w:szCs w:val="21"/>
          <w:highlight w:val="none"/>
          <w:u w:val="single"/>
        </w:rPr>
        <w:t>嘉兴市明扬工程咨询有限公司</w:t>
      </w:r>
      <w:r>
        <w:rPr>
          <w:rFonts w:hint="eastAsia" w:hAnsi="宋体" w:eastAsia="宋体" w:cs="宋体"/>
          <w:color w:val="auto"/>
          <w:kern w:val="0"/>
          <w:sz w:val="21"/>
          <w:szCs w:val="21"/>
          <w:highlight w:val="none"/>
        </w:rPr>
        <w:t>：</w:t>
      </w:r>
    </w:p>
    <w:p>
      <w:pPr>
        <w:pStyle w:val="63"/>
        <w:shd w:val="clear"/>
        <w:snapToGrid w:val="0"/>
        <w:spacing w:line="440" w:lineRule="exact"/>
        <w:ind w:firstLine="448"/>
        <w:rPr>
          <w:rFonts w:hint="eastAsia" w:hAnsi="宋体" w:eastAsia="宋体" w:cs="宋体"/>
          <w:color w:val="auto"/>
          <w:spacing w:val="6"/>
          <w:sz w:val="21"/>
          <w:szCs w:val="21"/>
          <w:highlight w:val="none"/>
        </w:rPr>
      </w:pPr>
      <w:r>
        <w:rPr>
          <w:rFonts w:hint="eastAsia" w:hAnsi="宋体" w:eastAsia="宋体" w:cs="宋体"/>
          <w:color w:val="auto"/>
          <w:spacing w:val="6"/>
          <w:sz w:val="21"/>
          <w:szCs w:val="21"/>
          <w:highlight w:val="none"/>
        </w:rPr>
        <w:t>本人经由</w:t>
      </w:r>
      <w:r>
        <w:rPr>
          <w:rFonts w:hint="eastAsia" w:hAnsi="宋体" w:eastAsia="宋体" w:cs="宋体"/>
          <w:color w:val="auto"/>
          <w:spacing w:val="6"/>
          <w:sz w:val="21"/>
          <w:szCs w:val="21"/>
          <w:highlight w:val="none"/>
          <w:u w:val="single"/>
        </w:rPr>
        <w:t xml:space="preserve">                 （单位）</w:t>
      </w:r>
      <w:r>
        <w:rPr>
          <w:rFonts w:hint="eastAsia" w:hAnsi="宋体" w:eastAsia="宋体" w:cs="宋体"/>
          <w:color w:val="auto"/>
          <w:spacing w:val="6"/>
          <w:sz w:val="21"/>
          <w:szCs w:val="21"/>
          <w:highlight w:val="none"/>
        </w:rPr>
        <w:t>负责人</w:t>
      </w:r>
      <w:r>
        <w:rPr>
          <w:rFonts w:hint="eastAsia" w:hAnsi="宋体" w:eastAsia="宋体" w:cs="宋体"/>
          <w:color w:val="auto"/>
          <w:spacing w:val="6"/>
          <w:sz w:val="21"/>
          <w:szCs w:val="21"/>
          <w:highlight w:val="none"/>
          <w:u w:val="single"/>
        </w:rPr>
        <w:t xml:space="preserve">       （姓名）</w:t>
      </w:r>
      <w:r>
        <w:rPr>
          <w:rFonts w:hint="eastAsia" w:hAnsi="宋体" w:eastAsia="宋体" w:cs="宋体"/>
          <w:color w:val="auto"/>
          <w:spacing w:val="6"/>
          <w:sz w:val="21"/>
          <w:szCs w:val="21"/>
          <w:highlight w:val="none"/>
        </w:rPr>
        <w:t>合法授权参加</w:t>
      </w:r>
      <w:r>
        <w:rPr>
          <w:rFonts w:hint="eastAsia" w:hAnsi="宋体" w:eastAsia="宋体" w:cs="宋体"/>
          <w:color w:val="auto"/>
          <w:spacing w:val="6"/>
          <w:sz w:val="21"/>
          <w:szCs w:val="21"/>
          <w:highlight w:val="none"/>
          <w:u w:val="single"/>
          <w:lang w:eastAsia="zh-CN"/>
        </w:rPr>
        <w:t>2024年南排工程河道堤防维修及一次性项目</w:t>
      </w:r>
      <w:r>
        <w:rPr>
          <w:rFonts w:hint="eastAsia" w:hAnsi="宋体" w:eastAsia="宋体" w:cs="宋体"/>
          <w:color w:val="auto"/>
          <w:kern w:val="0"/>
          <w:sz w:val="21"/>
          <w:szCs w:val="21"/>
          <w:highlight w:val="none"/>
          <w:u w:val="single"/>
        </w:rPr>
        <w:t>（</w:t>
      </w:r>
      <w:r>
        <w:rPr>
          <w:rFonts w:hint="eastAsia" w:hAnsi="宋体" w:eastAsia="宋体" w:cs="宋体"/>
          <w:color w:val="auto"/>
          <w:spacing w:val="6"/>
          <w:sz w:val="21"/>
          <w:szCs w:val="21"/>
          <w:highlight w:val="none"/>
          <w:u w:val="single"/>
        </w:rPr>
        <w:t>编号：</w:t>
      </w:r>
      <w:r>
        <w:rPr>
          <w:rFonts w:hint="eastAsia" w:hAnsi="宋体" w:eastAsia="宋体" w:cs="宋体"/>
          <w:color w:val="auto"/>
          <w:kern w:val="0"/>
          <w:sz w:val="21"/>
          <w:szCs w:val="21"/>
          <w:highlight w:val="none"/>
          <w:u w:val="single"/>
          <w:lang w:eastAsia="zh-CN"/>
        </w:rPr>
        <w:t>JXMYZFCG-2024-021</w:t>
      </w:r>
      <w:r>
        <w:rPr>
          <w:rFonts w:hint="eastAsia" w:hAnsi="宋体" w:eastAsia="宋体" w:cs="宋体"/>
          <w:color w:val="auto"/>
          <w:spacing w:val="6"/>
          <w:sz w:val="21"/>
          <w:szCs w:val="21"/>
          <w:highlight w:val="none"/>
        </w:rPr>
        <w:t xml:space="preserve">）政府采购活动，经与本单位法人代表（负责人）联系确认，现就有关公平竞争事项郑重声明如下： </w:t>
      </w:r>
    </w:p>
    <w:p>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一、本单位与采购人之间 □不存在利害关系 □存在下列利害关系：</w:t>
      </w:r>
    </w:p>
    <w:p>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A.投资关系    B.行政隶属关系    C.业务指导关系</w:t>
      </w:r>
    </w:p>
    <w:p>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D.其他可能</w:t>
      </w:r>
      <w:r>
        <w:rPr>
          <w:rFonts w:hint="eastAsia" w:ascii="宋体" w:hAnsi="宋体" w:cs="宋体"/>
          <w:color w:val="auto"/>
          <w:sz w:val="21"/>
          <w:szCs w:val="21"/>
          <w:highlight w:val="none"/>
        </w:rPr>
        <w:t>影响采购公正的</w:t>
      </w:r>
      <w:r>
        <w:rPr>
          <w:rFonts w:hint="eastAsia" w:ascii="宋体" w:hAnsi="宋体" w:cs="宋体"/>
          <w:color w:val="auto"/>
          <w:kern w:val="0"/>
          <w:sz w:val="21"/>
          <w:szCs w:val="21"/>
          <w:highlight w:val="none"/>
        </w:rPr>
        <w:t>利害关系</w:t>
      </w:r>
      <w:r>
        <w:rPr>
          <w:rFonts w:hint="eastAsia" w:ascii="宋体" w:hAnsi="宋体" w:cs="宋体"/>
          <w:color w:val="auto"/>
          <w:kern w:val="0"/>
          <w:sz w:val="21"/>
          <w:szCs w:val="21"/>
          <w:highlight w:val="none"/>
          <w:u w:val="single"/>
        </w:rPr>
        <w:t xml:space="preserve">（如有，请如实说明）                 </w:t>
      </w:r>
      <w:r>
        <w:rPr>
          <w:rFonts w:hint="eastAsia" w:ascii="宋体" w:hAnsi="宋体" w:cs="宋体"/>
          <w:color w:val="auto"/>
          <w:kern w:val="0"/>
          <w:sz w:val="21"/>
          <w:szCs w:val="21"/>
          <w:highlight w:val="none"/>
        </w:rPr>
        <w:t>。</w:t>
      </w:r>
    </w:p>
    <w:p>
      <w:pPr>
        <w:pStyle w:val="64"/>
        <w:widowControl/>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spacing w:val="6"/>
          <w:sz w:val="21"/>
          <w:szCs w:val="21"/>
          <w:highlight w:val="none"/>
        </w:rPr>
        <w:t>二、</w:t>
      </w:r>
      <w:r>
        <w:rPr>
          <w:rFonts w:hint="eastAsia" w:ascii="宋体" w:hAnsi="宋体" w:cs="宋体"/>
          <w:color w:val="auto"/>
          <w:kern w:val="0"/>
          <w:sz w:val="21"/>
          <w:szCs w:val="21"/>
          <w:highlight w:val="none"/>
        </w:rPr>
        <w:t>现已清楚知道参加本项目采购活动的其他所有供应商名称，本单位 □与其他所有供应商之间均不存在利害关系 □与</w:t>
      </w:r>
      <w:r>
        <w:rPr>
          <w:rFonts w:hint="eastAsia" w:ascii="宋体" w:hAnsi="宋体" w:cs="宋体"/>
          <w:color w:val="auto"/>
          <w:kern w:val="0"/>
          <w:sz w:val="21"/>
          <w:szCs w:val="21"/>
          <w:highlight w:val="none"/>
          <w:u w:val="single"/>
        </w:rPr>
        <w:t xml:space="preserve">                              （供应商名称）</w:t>
      </w:r>
      <w:r>
        <w:rPr>
          <w:rFonts w:hint="eastAsia" w:ascii="宋体" w:hAnsi="宋体" w:cs="宋体"/>
          <w:color w:val="auto"/>
          <w:kern w:val="0"/>
          <w:sz w:val="21"/>
          <w:szCs w:val="21"/>
          <w:highlight w:val="none"/>
        </w:rPr>
        <w:t>之间存在下列利害关系：</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Cs w:val="21"/>
          <w:highlight w:val="none"/>
        </w:rPr>
        <w:t xml:space="preserve"> </w:t>
      </w:r>
      <w:r>
        <w:rPr>
          <w:rFonts w:hint="eastAsia" w:hAnsi="宋体" w:cs="宋体"/>
          <w:color w:val="auto"/>
          <w:kern w:val="0"/>
          <w:sz w:val="21"/>
          <w:szCs w:val="21"/>
          <w:highlight w:val="none"/>
        </w:rPr>
        <w:t xml:space="preserve"> A.法定代表人或负责人或实际控制人是同一人</w:t>
      </w:r>
    </w:p>
    <w:p>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B.法定代表人或负责人或实际控制人是夫妻关系</w:t>
      </w:r>
    </w:p>
    <w:p>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C.法定代表人或负责人或实际控制人是直系血亲关系</w:t>
      </w:r>
    </w:p>
    <w:p>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D.法定代表人或负责人或实际控制人存在三代以内旁系血亲关系</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E.法定代表人或负责人或实际控制人存在近姻亲关系</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F.法定代表人或负责人或实际控制人存在股份控制或实际控制关系</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w:t>
      </w:r>
      <w:bookmarkStart w:id="197" w:name="_Toc16376"/>
      <w:bookmarkStart w:id="198" w:name="_Toc26874"/>
      <w:bookmarkStart w:id="199" w:name="_Toc7993"/>
      <w:r>
        <w:rPr>
          <w:rFonts w:hint="eastAsia" w:hAnsi="宋体" w:cs="宋体"/>
          <w:color w:val="auto"/>
          <w:kern w:val="0"/>
          <w:sz w:val="21"/>
          <w:szCs w:val="21"/>
          <w:highlight w:val="none"/>
        </w:rPr>
        <w:t>G.存在共同直接或间接投资设立子公司、联营企业和合营企业情况</w:t>
      </w:r>
      <w:bookmarkEnd w:id="197"/>
      <w:bookmarkEnd w:id="198"/>
      <w:bookmarkEnd w:id="199"/>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H.存在分级代理或代销关系、同一生产制造商关系、管理关系、重要业务（占主营业务收入50%以上）或重要财务往来关系（如融资）等其他实质性控制关系</w:t>
      </w:r>
    </w:p>
    <w:p>
      <w:pPr>
        <w:pStyle w:val="67"/>
        <w:shd w:val="clear"/>
        <w:snapToGrid w:val="0"/>
        <w:spacing w:line="440" w:lineRule="exact"/>
        <w:jc w:val="left"/>
        <w:rPr>
          <w:rFonts w:hint="eastAsia" w:hAnsi="宋体" w:cs="宋体"/>
          <w:color w:val="auto"/>
          <w:spacing w:val="0"/>
          <w:kern w:val="0"/>
          <w:sz w:val="21"/>
          <w:szCs w:val="21"/>
          <w:highlight w:val="none"/>
        </w:rPr>
      </w:pPr>
      <w:r>
        <w:rPr>
          <w:rFonts w:hint="eastAsia" w:hAnsi="宋体" w:cs="宋体"/>
          <w:color w:val="auto"/>
          <w:kern w:val="0"/>
          <w:sz w:val="21"/>
          <w:szCs w:val="21"/>
          <w:highlight w:val="none"/>
        </w:rPr>
        <w:t xml:space="preserve">  </w:t>
      </w:r>
      <w:bookmarkStart w:id="200" w:name="_Toc25461"/>
      <w:bookmarkStart w:id="201" w:name="_Toc17025"/>
      <w:bookmarkStart w:id="202" w:name="_Toc7485"/>
      <w:r>
        <w:rPr>
          <w:rFonts w:hint="eastAsia" w:hAnsi="宋体" w:cs="宋体"/>
          <w:color w:val="auto"/>
          <w:kern w:val="0"/>
          <w:sz w:val="21"/>
          <w:szCs w:val="21"/>
          <w:highlight w:val="none"/>
        </w:rPr>
        <w:t>I.其他利害关系情况。</w:t>
      </w:r>
      <w:bookmarkEnd w:id="200"/>
      <w:bookmarkEnd w:id="201"/>
      <w:bookmarkEnd w:id="202"/>
    </w:p>
    <w:p>
      <w:pPr>
        <w:pStyle w:val="64"/>
        <w:widowControl/>
        <w:numPr>
          <w:ilvl w:val="0"/>
          <w:numId w:val="16"/>
        </w:numPr>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现已清楚知道并严格遵守政府采购法律法规和现场纪律。</w:t>
      </w:r>
    </w:p>
    <w:p>
      <w:pPr>
        <w:pStyle w:val="64"/>
        <w:widowControl/>
        <w:numPr>
          <w:ilvl w:val="0"/>
          <w:numId w:val="16"/>
        </w:numPr>
        <w:shd w:val="clear"/>
        <w:snapToGrid w:val="0"/>
        <w:spacing w:before="0" w:after="0" w:line="440" w:lineRule="exact"/>
        <w:ind w:firstLine="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我发现供应商之间存在或可能存在上述第二条第项利害关系。</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 xml:space="preserve">                                </w:t>
      </w:r>
    </w:p>
    <w:p>
      <w:pPr>
        <w:pStyle w:val="67"/>
        <w:shd w:val="clear"/>
        <w:snapToGrid w:val="0"/>
        <w:spacing w:line="44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供应商代表签名：</w:t>
      </w:r>
    </w:p>
    <w:p>
      <w:pPr>
        <w:pStyle w:val="67"/>
        <w:shd w:val="clear"/>
        <w:snapToGrid w:val="0"/>
        <w:spacing w:line="440" w:lineRule="exact"/>
        <w:jc w:val="left"/>
        <w:rPr>
          <w:rFonts w:hint="eastAsia" w:hAnsi="宋体" w:cs="宋体"/>
          <w:b w:val="0"/>
          <w:bCs w:val="0"/>
          <w:color w:val="auto"/>
          <w:kern w:val="0"/>
          <w:sz w:val="21"/>
          <w:szCs w:val="21"/>
          <w:highlight w:val="none"/>
        </w:rPr>
      </w:pPr>
      <w:r>
        <w:rPr>
          <w:rFonts w:hint="eastAsia" w:hAnsi="宋体" w:cs="宋体"/>
          <w:color w:val="auto"/>
          <w:kern w:val="0"/>
          <w:sz w:val="21"/>
          <w:szCs w:val="21"/>
          <w:highlight w:val="none"/>
        </w:rPr>
        <w:t xml:space="preserve">                                    年  月  日</w:t>
      </w:r>
    </w:p>
    <w:p>
      <w:pPr>
        <w:shd w:val="clear"/>
        <w:spacing w:before="156" w:beforeLines="50" w:line="360" w:lineRule="auto"/>
        <w:ind w:firstLine="2909" w:firstLineChars="1035"/>
        <w:rPr>
          <w:rFonts w:hint="eastAsia"/>
          <w:b/>
          <w:bCs/>
          <w:color w:val="auto"/>
          <w:sz w:val="28"/>
          <w:szCs w:val="28"/>
          <w:highlight w:val="none"/>
        </w:rPr>
      </w:pPr>
      <w:bookmarkStart w:id="203" w:name="_Toc12800"/>
      <w:bookmarkStart w:id="204" w:name="_Toc26849"/>
      <w:bookmarkStart w:id="205" w:name="_Toc24149"/>
      <w:bookmarkStart w:id="206" w:name="_Toc177870561"/>
      <w:bookmarkStart w:id="207" w:name="_Toc2992"/>
    </w:p>
    <w:p>
      <w:pPr>
        <w:shd w:val="clear"/>
        <w:spacing w:before="156" w:beforeLines="50" w:line="360" w:lineRule="auto"/>
        <w:ind w:firstLine="2909" w:firstLineChars="1035"/>
        <w:rPr>
          <w:b/>
          <w:bCs/>
          <w:color w:val="auto"/>
          <w:sz w:val="28"/>
          <w:szCs w:val="28"/>
          <w:highlight w:val="none"/>
        </w:rPr>
      </w:pPr>
      <w:r>
        <w:rPr>
          <w:rFonts w:hint="eastAsia"/>
          <w:b/>
          <w:bCs/>
          <w:color w:val="auto"/>
          <w:sz w:val="28"/>
          <w:szCs w:val="28"/>
          <w:highlight w:val="none"/>
        </w:rPr>
        <w:t>磋商响应文件封面格式</w:t>
      </w:r>
      <w:bookmarkEnd w:id="203"/>
      <w:bookmarkEnd w:id="204"/>
      <w:bookmarkEnd w:id="205"/>
      <w:bookmarkEnd w:id="206"/>
      <w:bookmarkEnd w:id="207"/>
    </w:p>
    <w:p>
      <w:pPr>
        <w:shd w:val="clear"/>
        <w:spacing w:before="156" w:beforeLines="50" w:line="360" w:lineRule="auto"/>
        <w:jc w:val="center"/>
        <w:rPr>
          <w:rFonts w:ascii="宋体"/>
          <w:b/>
          <w:color w:val="auto"/>
          <w:sz w:val="28"/>
          <w:szCs w:val="28"/>
          <w:highlight w:val="none"/>
        </w:rPr>
      </w:pPr>
      <w:r>
        <w:rPr>
          <w:rFonts w:hint="eastAsia" w:ascii="宋体" w:hAnsi="宋体"/>
          <w:b/>
          <w:color w:val="auto"/>
          <w:sz w:val="28"/>
          <w:szCs w:val="28"/>
          <w:highlight w:val="none"/>
        </w:rPr>
        <w:t>△政府采购项目（正、副本）</w:t>
      </w:r>
    </w:p>
    <w:p>
      <w:pPr>
        <w:shd w:val="clear"/>
        <w:spacing w:before="156" w:beforeLines="50" w:line="360" w:lineRule="auto"/>
        <w:ind w:firstLine="1377" w:firstLineChars="490"/>
        <w:jc w:val="center"/>
        <w:outlineLvl w:val="1"/>
        <w:rPr>
          <w:rFonts w:ascii="宋体"/>
          <w:b/>
          <w:bCs/>
          <w:color w:val="auto"/>
          <w:sz w:val="28"/>
          <w:szCs w:val="28"/>
          <w:highlight w:val="none"/>
        </w:rPr>
      </w:pPr>
    </w:p>
    <w:p>
      <w:pPr>
        <w:shd w:val="clear"/>
        <w:spacing w:before="156" w:beforeLines="50" w:line="360" w:lineRule="auto"/>
        <w:jc w:val="center"/>
        <w:rPr>
          <w:rFonts w:ascii="宋体"/>
          <w:color w:val="auto"/>
          <w:sz w:val="24"/>
          <w:highlight w:val="none"/>
        </w:rPr>
      </w:pPr>
      <w:r>
        <w:rPr>
          <w:rFonts w:hint="eastAsia" w:ascii="宋体" w:hAnsi="宋体"/>
          <w:b/>
          <w:color w:val="auto"/>
          <w:sz w:val="28"/>
          <w:szCs w:val="28"/>
          <w:highlight w:val="none"/>
        </w:rPr>
        <w:t>磋商响应文件</w:t>
      </w:r>
    </w:p>
    <w:p>
      <w:pPr>
        <w:shd w:val="clear"/>
        <w:spacing w:before="156" w:beforeLines="50" w:line="480" w:lineRule="auto"/>
        <w:ind w:firstLine="944" w:firstLineChars="392"/>
        <w:rPr>
          <w:rFonts w:ascii="宋体"/>
          <w:b/>
          <w:color w:val="auto"/>
          <w:sz w:val="24"/>
          <w:highlight w:val="none"/>
        </w:rPr>
      </w:pPr>
      <w:r>
        <w:rPr>
          <w:rFonts w:hint="eastAsia" w:ascii="宋体" w:hAnsi="宋体"/>
          <w:b/>
          <w:bCs/>
          <w:color w:val="auto"/>
          <w:sz w:val="24"/>
          <w:highlight w:val="none"/>
        </w:rPr>
        <w:t>项目名称：</w:t>
      </w:r>
    </w:p>
    <w:p>
      <w:pPr>
        <w:shd w:val="clear"/>
        <w:spacing w:before="156" w:beforeLines="50" w:line="480" w:lineRule="auto"/>
        <w:ind w:firstLine="954" w:firstLineChars="396"/>
        <w:rPr>
          <w:rFonts w:ascii="宋体"/>
          <w:b/>
          <w:color w:val="auto"/>
          <w:sz w:val="24"/>
          <w:highlight w:val="none"/>
        </w:rPr>
      </w:pPr>
      <w:r>
        <w:rPr>
          <w:rFonts w:hint="eastAsia" w:ascii="宋体" w:hAnsi="宋体"/>
          <w:b/>
          <w:bCs/>
          <w:color w:val="auto"/>
          <w:sz w:val="24"/>
          <w:highlight w:val="none"/>
        </w:rPr>
        <w:t>项目编号</w:t>
      </w:r>
      <w:r>
        <w:rPr>
          <w:rFonts w:hint="eastAsia" w:ascii="宋体" w:hAnsi="宋体"/>
          <w:b/>
          <w:color w:val="auto"/>
          <w:sz w:val="24"/>
          <w:highlight w:val="none"/>
        </w:rPr>
        <w:t>：</w:t>
      </w:r>
    </w:p>
    <w:p>
      <w:pPr>
        <w:shd w:val="clear"/>
        <w:spacing w:before="156" w:beforeLines="50" w:line="480" w:lineRule="auto"/>
        <w:ind w:firstLine="944" w:firstLineChars="392"/>
        <w:rPr>
          <w:rFonts w:hint="default"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标项：</w:t>
      </w:r>
    </w:p>
    <w:p>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磋商响应文件名称：（资信商务及技术文件）或（报价文件）</w:t>
      </w:r>
    </w:p>
    <w:p>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供应商名称：（盖章）</w:t>
      </w:r>
    </w:p>
    <w:p>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供应商地址：</w:t>
      </w:r>
    </w:p>
    <w:p>
      <w:pPr>
        <w:shd w:val="clear"/>
        <w:spacing w:before="156" w:beforeLines="50" w:line="480" w:lineRule="auto"/>
        <w:ind w:firstLine="944" w:firstLineChars="392"/>
        <w:rPr>
          <w:rFonts w:ascii="宋体"/>
          <w:b/>
          <w:bCs/>
          <w:color w:val="auto"/>
          <w:sz w:val="24"/>
          <w:highlight w:val="none"/>
        </w:rPr>
      </w:pPr>
      <w:r>
        <w:rPr>
          <w:rFonts w:hint="eastAsia" w:ascii="宋体" w:hAnsi="宋体"/>
          <w:b/>
          <w:bCs/>
          <w:color w:val="auto"/>
          <w:sz w:val="24"/>
          <w:highlight w:val="none"/>
        </w:rPr>
        <w:t>在  年  月  日  时  分之前不得启封</w:t>
      </w: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pStyle w:val="10"/>
        <w:shd w:val="clear"/>
        <w:ind w:firstLine="1497" w:firstLineChars="416"/>
        <w:rPr>
          <w:rFonts w:ascii="仿宋_GB2312" w:eastAsia="仿宋_GB2312"/>
          <w:color w:val="auto"/>
          <w:sz w:val="36"/>
          <w:highlight w:val="none"/>
        </w:rPr>
      </w:pPr>
    </w:p>
    <w:p>
      <w:pPr>
        <w:shd w:val="clear"/>
        <w:jc w:val="center"/>
        <w:rPr>
          <w:rFonts w:ascii="楷体_GB2312" w:eastAsia="楷体_GB2312"/>
          <w:b/>
          <w:color w:val="auto"/>
          <w:sz w:val="36"/>
          <w:szCs w:val="36"/>
          <w:highlight w:val="none"/>
        </w:rPr>
      </w:pPr>
      <w:r>
        <w:rPr>
          <w:rFonts w:hint="eastAsia" w:ascii="楷体_GB2312" w:eastAsia="楷体_GB2312"/>
          <w:b/>
          <w:color w:val="auto"/>
          <w:sz w:val="36"/>
          <w:szCs w:val="36"/>
          <w:highlight w:val="none"/>
        </w:rPr>
        <w:t>资信商务及技术文件目录</w:t>
      </w:r>
    </w:p>
    <w:p>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w:t>
      </w:r>
      <w:r>
        <w:rPr>
          <w:rFonts w:hint="eastAsia" w:ascii="宋体" w:hAnsi="宋体"/>
          <w:b/>
          <w:bCs/>
          <w:color w:val="auto"/>
          <w:szCs w:val="21"/>
          <w:highlight w:val="none"/>
        </w:rPr>
        <w:t>资信商务及技术文件</w:t>
      </w:r>
    </w:p>
    <w:p>
      <w:pPr>
        <w:widowControl/>
        <w:shd w:val="clear"/>
        <w:jc w:val="left"/>
        <w:rPr>
          <w:rFonts w:ascii="宋体"/>
          <w:b/>
          <w:bCs/>
          <w:color w:val="auto"/>
          <w:szCs w:val="21"/>
          <w:highlight w:val="none"/>
        </w:rPr>
      </w:pPr>
      <w:r>
        <w:rPr>
          <w:rFonts w:ascii="宋体" w:hAnsi="宋体"/>
          <w:b/>
          <w:bCs/>
          <w:color w:val="auto"/>
          <w:szCs w:val="21"/>
          <w:highlight w:val="none"/>
        </w:rPr>
        <w:t>1.1.1</w:t>
      </w:r>
      <w:r>
        <w:rPr>
          <w:rFonts w:hint="eastAsia" w:ascii="宋体" w:hAnsi="宋体"/>
          <w:b/>
          <w:bCs/>
          <w:color w:val="auto"/>
          <w:szCs w:val="21"/>
          <w:highlight w:val="none"/>
        </w:rPr>
        <w:t>资信商务文件：</w:t>
      </w:r>
    </w:p>
    <w:p>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）磋商声明书；</w:t>
      </w:r>
      <w:r>
        <w:rPr>
          <w:rFonts w:hint="eastAsia"/>
          <w:color w:val="auto"/>
          <w:szCs w:val="21"/>
          <w:highlight w:val="none"/>
        </w:rPr>
        <w:t>（</w:t>
      </w:r>
      <w:r>
        <w:rPr>
          <w:rFonts w:hint="eastAsia" w:ascii="宋体" w:hAnsi="宋体"/>
          <w:color w:val="auto"/>
          <w:szCs w:val="21"/>
          <w:highlight w:val="none"/>
        </w:rPr>
        <w:t>格式见附件</w:t>
      </w:r>
      <w:r>
        <w:rPr>
          <w:rFonts w:ascii="宋体" w:hAnsi="宋体"/>
          <w:color w:val="auto"/>
          <w:szCs w:val="21"/>
          <w:highlight w:val="none"/>
        </w:rPr>
        <w:t>1</w:t>
      </w:r>
      <w:r>
        <w:rPr>
          <w:rFonts w:hint="eastAsia" w:hAnsi="宋体"/>
          <w:color w:val="auto"/>
          <w:szCs w:val="21"/>
          <w:highlight w:val="none"/>
        </w:rPr>
        <w:t>）</w:t>
      </w:r>
    </w:p>
    <w:p>
      <w:pPr>
        <w:shd w:val="clear"/>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w:t>
      </w:r>
      <w:r>
        <w:rPr>
          <w:rFonts w:hint="eastAsia"/>
          <w:color w:val="auto"/>
          <w:szCs w:val="21"/>
          <w:highlight w:val="none"/>
        </w:rPr>
        <w:t>法定代表人授权委托书；（</w:t>
      </w:r>
      <w:r>
        <w:rPr>
          <w:rFonts w:hint="eastAsia" w:ascii="宋体" w:hAnsi="宋体"/>
          <w:color w:val="auto"/>
          <w:szCs w:val="21"/>
          <w:highlight w:val="none"/>
        </w:rPr>
        <w:t>格式见附件</w:t>
      </w:r>
      <w:r>
        <w:rPr>
          <w:rFonts w:ascii="宋体" w:hAnsi="宋体"/>
          <w:color w:val="auto"/>
          <w:szCs w:val="21"/>
          <w:highlight w:val="none"/>
        </w:rPr>
        <w:t>2</w:t>
      </w:r>
      <w:r>
        <w:rPr>
          <w:rFonts w:hint="eastAsia" w:hAnsi="宋体"/>
          <w:color w:val="auto"/>
          <w:szCs w:val="21"/>
          <w:highlight w:val="none"/>
        </w:rPr>
        <w:t>）</w:t>
      </w:r>
    </w:p>
    <w:p>
      <w:pPr>
        <w:widowControl/>
        <w:shd w:val="clear"/>
        <w:snapToGrid w:val="0"/>
        <w:spacing w:line="400" w:lineRule="exact"/>
        <w:jc w:val="left"/>
        <w:rPr>
          <w:rFonts w:asci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）所有资质文件；（格式见附件</w:t>
      </w:r>
      <w:r>
        <w:rPr>
          <w:rFonts w:ascii="宋体" w:hAnsi="宋体"/>
          <w:color w:val="auto"/>
          <w:szCs w:val="21"/>
          <w:highlight w:val="none"/>
        </w:rPr>
        <w:t>3</w:t>
      </w:r>
      <w:r>
        <w:rPr>
          <w:rFonts w:hint="eastAsia" w:ascii="宋体" w:hAnsi="宋体"/>
          <w:color w:val="auto"/>
          <w:szCs w:val="21"/>
          <w:highlight w:val="none"/>
        </w:rPr>
        <w:t>）</w:t>
      </w:r>
    </w:p>
    <w:p>
      <w:pPr>
        <w:shd w:val="clear"/>
        <w:adjustRightInd w:val="0"/>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供应商基本情况表、法人营业执照、符合参加政府采购活动应当具备的一般条件的承诺函、</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残疾人福利性单位声明函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监狱企业证明文件</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企业经营状况、优势、有关资信等级证明、荣誉获奖证书等资料。（以上证书复印件盖章）</w:t>
      </w:r>
    </w:p>
    <w:p>
      <w:pPr>
        <w:numPr>
          <w:ilvl w:val="0"/>
          <w:numId w:val="0"/>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pPr>
        <w:numPr>
          <w:ilvl w:val="0"/>
          <w:numId w:val="0"/>
        </w:numPr>
        <w:shd w:val="clear"/>
        <w:tabs>
          <w:tab w:val="left" w:pos="840"/>
        </w:tabs>
        <w:autoSpaceDE w:val="0"/>
        <w:autoSpaceDN w:val="0"/>
        <w:adjustRightInd w:val="0"/>
        <w:spacing w:line="440" w:lineRule="exact"/>
        <w:jc w:val="lef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s="宋体"/>
          <w:color w:val="auto"/>
          <w:szCs w:val="21"/>
          <w:highlight w:val="none"/>
        </w:rPr>
        <w:t>提供类似业绩证明材料</w:t>
      </w:r>
      <w:r>
        <w:rPr>
          <w:rFonts w:hint="eastAsia" w:ascii="宋体" w:hAnsi="宋体" w:cs="宋体"/>
          <w:color w:val="auto"/>
          <w:szCs w:val="21"/>
          <w:highlight w:val="none"/>
          <w:lang w:eastAsia="zh-CN"/>
        </w:rPr>
        <w:t>；</w:t>
      </w:r>
      <w:r>
        <w:rPr>
          <w:rFonts w:hint="eastAsia" w:ascii="宋体" w:hAnsi="宋体" w:cs="Arial"/>
          <w:color w:val="auto"/>
          <w:szCs w:val="21"/>
          <w:highlight w:val="none"/>
        </w:rPr>
        <w:t>（格式见附件4）</w:t>
      </w:r>
    </w:p>
    <w:p>
      <w:pPr>
        <w:numPr>
          <w:ilvl w:val="0"/>
          <w:numId w:val="0"/>
        </w:numPr>
        <w:shd w:val="clear"/>
        <w:tabs>
          <w:tab w:val="left" w:pos="840"/>
        </w:tabs>
        <w:autoSpaceDE w:val="0"/>
        <w:autoSpaceDN w:val="0"/>
        <w:adjustRightInd w:val="0"/>
        <w:spacing w:line="440" w:lineRule="exact"/>
        <w:rPr>
          <w:rFonts w:ascii="宋体" w:cs="Arial"/>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hAnsi="宋体"/>
          <w:color w:val="auto"/>
          <w:szCs w:val="21"/>
          <w:highlight w:val="none"/>
          <w:lang w:val="zh-CN"/>
        </w:rPr>
        <w:t>诚信</w:t>
      </w:r>
      <w:r>
        <w:rPr>
          <w:rFonts w:hint="eastAsia" w:ascii="宋体" w:hAnsi="宋体" w:cs="Arial"/>
          <w:color w:val="auto"/>
          <w:szCs w:val="21"/>
          <w:highlight w:val="none"/>
          <w:lang w:val="zh-CN"/>
        </w:rPr>
        <w:t>承诺书；</w:t>
      </w:r>
      <w:r>
        <w:rPr>
          <w:rFonts w:hint="eastAsia" w:ascii="宋体" w:hAnsi="宋体" w:cs="Arial"/>
          <w:color w:val="auto"/>
          <w:szCs w:val="21"/>
          <w:highlight w:val="none"/>
        </w:rPr>
        <w:t>（格式见附件5）</w:t>
      </w:r>
    </w:p>
    <w:p>
      <w:pPr>
        <w:widowControl/>
        <w:numPr>
          <w:ilvl w:val="0"/>
          <w:numId w:val="0"/>
        </w:numPr>
        <w:shd w:val="clear"/>
        <w:snapToGrid w:val="0"/>
        <w:spacing w:line="400" w:lineRule="exact"/>
        <w:jc w:val="lef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s="宋体"/>
          <w:color w:val="auto"/>
          <w:szCs w:val="21"/>
          <w:highlight w:val="none"/>
        </w:rPr>
        <w:t>商务条款偏离表</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（格式见附件6）</w:t>
      </w:r>
    </w:p>
    <w:p>
      <w:pPr>
        <w:shd w:val="clear"/>
        <w:snapToGrid w:val="0"/>
        <w:spacing w:line="380" w:lineRule="exact"/>
        <w:rPr>
          <w:rFonts w:hint="eastAsia" w:ascii="宋体" w:eastAsia="宋体"/>
          <w:color w:val="auto"/>
          <w:szCs w:val="21"/>
          <w:highlight w:val="none"/>
          <w:lang w:eastAsia="zh-CN"/>
        </w:rPr>
      </w:pPr>
      <w:r>
        <w:rPr>
          <w:rFonts w:hint="eastAsia" w:ascii="宋体" w:hAnsi="宋体"/>
          <w:color w:val="auto"/>
          <w:szCs w:val="21"/>
          <w:highlight w:val="none"/>
        </w:rPr>
        <w:t>（8）供应商认为需要的其他文件资料</w:t>
      </w:r>
      <w:r>
        <w:rPr>
          <w:rFonts w:hint="eastAsia" w:ascii="宋体" w:hAnsi="宋体"/>
          <w:color w:val="auto"/>
          <w:szCs w:val="21"/>
          <w:highlight w:val="none"/>
          <w:lang w:eastAsia="zh-CN"/>
        </w:rPr>
        <w:t>。</w:t>
      </w:r>
    </w:p>
    <w:p>
      <w:pPr>
        <w:widowControl/>
        <w:shd w:val="clear"/>
        <w:snapToGrid w:val="0"/>
        <w:spacing w:line="400" w:lineRule="exact"/>
        <w:jc w:val="left"/>
        <w:rPr>
          <w:rFonts w:ascii="宋体"/>
          <w:b/>
          <w:bCs/>
          <w:color w:val="auto"/>
          <w:szCs w:val="21"/>
          <w:highlight w:val="none"/>
        </w:rPr>
      </w:pPr>
      <w:r>
        <w:rPr>
          <w:rFonts w:ascii="宋体" w:hAnsi="宋体"/>
          <w:b/>
          <w:bCs/>
          <w:color w:val="auto"/>
          <w:szCs w:val="21"/>
          <w:highlight w:val="none"/>
        </w:rPr>
        <w:t>1.1.2</w:t>
      </w:r>
      <w:r>
        <w:rPr>
          <w:rFonts w:hint="eastAsia" w:ascii="宋体" w:hAnsi="宋体"/>
          <w:b/>
          <w:bCs/>
          <w:color w:val="auto"/>
          <w:szCs w:val="21"/>
          <w:highlight w:val="none"/>
        </w:rPr>
        <w:t>技术文件</w:t>
      </w:r>
    </w:p>
    <w:p>
      <w:pPr>
        <w:numPr>
          <w:ilvl w:val="0"/>
          <w:numId w:val="17"/>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对本项目总体要求的理解和阐述</w:t>
      </w:r>
      <w:r>
        <w:rPr>
          <w:rFonts w:hint="eastAsia" w:ascii="宋体" w:hAnsi="宋体" w:eastAsia="宋体" w:cs="Times New Roman"/>
          <w:color w:val="auto"/>
          <w:szCs w:val="21"/>
          <w:highlight w:val="none"/>
        </w:rPr>
        <w:t>；</w:t>
      </w:r>
    </w:p>
    <w:p>
      <w:pPr>
        <w:numPr>
          <w:ilvl w:val="0"/>
          <w:numId w:val="17"/>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供应商</w:t>
      </w:r>
      <w:r>
        <w:rPr>
          <w:rFonts w:hint="eastAsia" w:ascii="宋体" w:hAnsi="宋体" w:eastAsia="宋体" w:cs="Times New Roman"/>
          <w:color w:val="auto"/>
          <w:szCs w:val="21"/>
          <w:highlight w:val="none"/>
          <w:lang w:val="en-US" w:eastAsia="zh-CN"/>
        </w:rPr>
        <w:t>的</w:t>
      </w:r>
      <w:r>
        <w:rPr>
          <w:rFonts w:hint="eastAsia" w:ascii="宋体" w:hAnsi="宋体" w:eastAsia="宋体" w:cs="Times New Roman"/>
          <w:color w:val="auto"/>
          <w:szCs w:val="21"/>
          <w:highlight w:val="none"/>
        </w:rPr>
        <w:t>技术方案；</w:t>
      </w:r>
    </w:p>
    <w:p>
      <w:pPr>
        <w:numPr>
          <w:ilvl w:val="0"/>
          <w:numId w:val="17"/>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项目质量保证措施</w:t>
      </w:r>
      <w:r>
        <w:rPr>
          <w:rFonts w:hint="eastAsia" w:ascii="宋体" w:hAnsi="宋体" w:eastAsia="宋体" w:cs="Times New Roman"/>
          <w:color w:val="auto"/>
          <w:szCs w:val="21"/>
          <w:highlight w:val="none"/>
          <w:lang w:eastAsia="zh-CN"/>
        </w:rPr>
        <w:t>；</w:t>
      </w:r>
    </w:p>
    <w:p>
      <w:pPr>
        <w:numPr>
          <w:ilvl w:val="0"/>
          <w:numId w:val="17"/>
        </w:numPr>
        <w:shd w:val="clear"/>
        <w:spacing w:line="460" w:lineRule="exact"/>
        <w:ind w:left="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项目进度计划及进度保证</w:t>
      </w:r>
      <w:r>
        <w:rPr>
          <w:rFonts w:hint="eastAsia" w:ascii="宋体" w:hAnsi="宋体" w:eastAsia="宋体" w:cs="Times New Roman"/>
          <w:color w:val="auto"/>
          <w:szCs w:val="21"/>
          <w:highlight w:val="none"/>
          <w:lang w:eastAsia="zh-CN"/>
        </w:rPr>
        <w:t>；</w:t>
      </w:r>
    </w:p>
    <w:p>
      <w:pPr>
        <w:numPr>
          <w:ilvl w:val="0"/>
          <w:numId w:val="17"/>
        </w:numPr>
        <w:shd w:val="clear"/>
        <w:snapToGrid/>
        <w:spacing w:line="460" w:lineRule="exact"/>
        <w:ind w:left="0"/>
        <w:jc w:val="left"/>
        <w:rPr>
          <w:rFonts w:hint="eastAsia" w:ascii="宋体" w:hAnsi="宋体" w:cs="宋体"/>
          <w:color w:val="auto"/>
          <w:szCs w:val="21"/>
          <w:highlight w:val="none"/>
        </w:rPr>
      </w:pPr>
      <w:r>
        <w:rPr>
          <w:rFonts w:hint="eastAsia" w:ascii="宋体" w:hAnsi="宋体" w:eastAsia="宋体" w:cs="Times New Roman"/>
          <w:color w:val="auto"/>
          <w:szCs w:val="21"/>
          <w:highlight w:val="none"/>
        </w:rPr>
        <w:t>项目实施人员一览表（格式见附件</w:t>
      </w:r>
      <w:r>
        <w:rPr>
          <w:rFonts w:hint="eastAsia" w:ascii="宋体" w:hAnsi="宋体" w:eastAsia="宋体" w:cs="Times New Roman"/>
          <w:color w:val="auto"/>
          <w:szCs w:val="21"/>
          <w:highlight w:val="none"/>
          <w:lang w:val="en-US" w:eastAsia="zh-CN"/>
        </w:rPr>
        <w:t>7</w:t>
      </w:r>
      <w:r>
        <w:rPr>
          <w:rFonts w:hint="eastAsia" w:ascii="宋体" w:hAnsi="宋体" w:eastAsia="宋体" w:cs="Times New Roman"/>
          <w:color w:val="auto"/>
          <w:szCs w:val="21"/>
          <w:highlight w:val="none"/>
        </w:rPr>
        <w:t>）；</w:t>
      </w:r>
    </w:p>
    <w:p>
      <w:pPr>
        <w:numPr>
          <w:ilvl w:val="0"/>
          <w:numId w:val="17"/>
        </w:numPr>
        <w:shd w:val="clear"/>
        <w:spacing w:line="460" w:lineRule="exact"/>
        <w:ind w:left="0"/>
        <w:jc w:val="left"/>
        <w:rPr>
          <w:color w:val="auto"/>
          <w:highlight w:val="none"/>
        </w:rPr>
      </w:pPr>
      <w:r>
        <w:rPr>
          <w:rFonts w:hint="eastAsia" w:ascii="宋体" w:hAnsi="宋体" w:cs="宋体"/>
          <w:color w:val="auto"/>
          <w:szCs w:val="21"/>
          <w:highlight w:val="none"/>
        </w:rPr>
        <w:t>对本项目服务的理解和实施说明，以及合理化建议和改进措施</w:t>
      </w:r>
      <w:r>
        <w:rPr>
          <w:rFonts w:hint="eastAsia" w:ascii="宋体" w:hAnsi="宋体" w:cs="宋体"/>
          <w:color w:val="auto"/>
          <w:szCs w:val="21"/>
          <w:highlight w:val="none"/>
          <w:lang w:eastAsia="zh-CN"/>
        </w:rPr>
        <w:t>；</w:t>
      </w:r>
    </w:p>
    <w:p>
      <w:pPr>
        <w:numPr>
          <w:ilvl w:val="0"/>
          <w:numId w:val="17"/>
        </w:numPr>
        <w:shd w:val="clear"/>
        <w:spacing w:line="460" w:lineRule="exact"/>
        <w:ind w:left="0"/>
        <w:jc w:val="left"/>
        <w:rPr>
          <w:color w:val="auto"/>
          <w:highlight w:val="none"/>
        </w:rPr>
      </w:pPr>
      <w:r>
        <w:rPr>
          <w:rFonts w:hint="eastAsia" w:ascii="宋体" w:hAnsi="宋体" w:cs="宋体"/>
          <w:color w:val="auto"/>
          <w:szCs w:val="21"/>
          <w:highlight w:val="none"/>
        </w:rPr>
        <w:t>未尽事宜请各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按评分细则制作技术</w:t>
      </w:r>
      <w:r>
        <w:rPr>
          <w:rFonts w:hint="eastAsia" w:ascii="宋体" w:hAnsi="宋体" w:cs="宋体"/>
          <w:color w:val="auto"/>
          <w:szCs w:val="21"/>
          <w:highlight w:val="none"/>
          <w:lang w:val="en-US" w:eastAsia="zh-CN"/>
        </w:rPr>
        <w:t>部分。</w:t>
      </w:r>
    </w:p>
    <w:p>
      <w:pPr>
        <w:numPr>
          <w:ilvl w:val="-1"/>
          <w:numId w:val="0"/>
        </w:numPr>
        <w:shd w:val="clear"/>
        <w:spacing w:line="460" w:lineRule="exact"/>
        <w:rPr>
          <w:color w:val="auto"/>
          <w:highlight w:val="none"/>
        </w:rPr>
      </w:pPr>
    </w:p>
    <w:p>
      <w:pPr>
        <w:shd w:val="clear"/>
        <w:spacing w:line="460" w:lineRule="exact"/>
        <w:rPr>
          <w:color w:val="auto"/>
          <w:highlight w:val="none"/>
        </w:rPr>
      </w:pPr>
    </w:p>
    <w:p>
      <w:pPr>
        <w:widowControl/>
        <w:shd w:val="clear"/>
        <w:snapToGrid w:val="0"/>
        <w:spacing w:line="400" w:lineRule="exact"/>
        <w:jc w:val="left"/>
        <w:rPr>
          <w:rFonts w:ascii="宋体" w:cs="宋体"/>
          <w:color w:val="auto"/>
          <w:szCs w:val="21"/>
          <w:highlight w:val="none"/>
        </w:rPr>
      </w:pPr>
    </w:p>
    <w:p>
      <w:pPr>
        <w:pStyle w:val="31"/>
        <w:shd w:val="clear"/>
        <w:spacing w:line="432" w:lineRule="auto"/>
        <w:jc w:val="both"/>
        <w:rPr>
          <w:rFonts w:ascii="??" w:hAnsi="??"/>
          <w:b/>
          <w:bCs/>
          <w:color w:val="auto"/>
          <w:sz w:val="44"/>
          <w:szCs w:val="44"/>
          <w:highlight w:val="none"/>
        </w:rPr>
      </w:pPr>
    </w:p>
    <w:p>
      <w:pPr>
        <w:shd w:val="clear"/>
        <w:adjustRightInd w:val="0"/>
        <w:snapToGrid w:val="0"/>
        <w:spacing w:line="360" w:lineRule="auto"/>
        <w:rPr>
          <w:rFonts w:hint="eastAsia" w:ascii="宋体" w:hAnsi="宋体"/>
          <w:b/>
          <w:color w:val="auto"/>
          <w:sz w:val="32"/>
          <w:szCs w:val="32"/>
          <w:highlight w:val="none"/>
        </w:rPr>
      </w:pPr>
    </w:p>
    <w:p>
      <w:pPr>
        <w:shd w:val="clear"/>
        <w:adjustRightInd w:val="0"/>
        <w:snapToGrid w:val="0"/>
        <w:spacing w:line="360" w:lineRule="auto"/>
        <w:rPr>
          <w:b/>
          <w:color w:val="auto"/>
          <w:sz w:val="30"/>
          <w:szCs w:val="30"/>
          <w:highlight w:val="none"/>
        </w:rPr>
      </w:pPr>
      <w:r>
        <w:rPr>
          <w:rFonts w:hint="eastAsia" w:ascii="宋体" w:hAnsi="宋体"/>
          <w:b/>
          <w:color w:val="auto"/>
          <w:sz w:val="32"/>
          <w:szCs w:val="32"/>
          <w:highlight w:val="none"/>
        </w:rPr>
        <w:t>附件</w:t>
      </w:r>
      <w:r>
        <w:rPr>
          <w:rFonts w:ascii="宋体" w:hAnsi="宋体"/>
          <w:b/>
          <w:color w:val="auto"/>
          <w:sz w:val="32"/>
          <w:szCs w:val="32"/>
          <w:highlight w:val="none"/>
        </w:rPr>
        <w:t xml:space="preserve">1              </w:t>
      </w:r>
      <w:r>
        <w:rPr>
          <w:rFonts w:hint="eastAsia"/>
          <w:b/>
          <w:color w:val="auto"/>
          <w:sz w:val="30"/>
          <w:szCs w:val="30"/>
          <w:highlight w:val="none"/>
        </w:rPr>
        <w:t>磋商声明书</w:t>
      </w:r>
    </w:p>
    <w:p>
      <w:pPr>
        <w:shd w:val="clear"/>
        <w:adjustRightInd w:val="0"/>
        <w:snapToGrid w:val="0"/>
        <w:spacing w:line="360" w:lineRule="auto"/>
        <w:rPr>
          <w:color w:val="auto"/>
          <w:sz w:val="24"/>
          <w:highlight w:val="none"/>
        </w:rPr>
      </w:pPr>
    </w:p>
    <w:p>
      <w:pPr>
        <w:shd w:val="clear"/>
        <w:snapToGrid w:val="0"/>
        <w:spacing w:before="156" w:beforeLines="50" w:after="50" w:line="360" w:lineRule="auto"/>
        <w:rPr>
          <w:rFonts w:ascii="宋体"/>
          <w:color w:val="auto"/>
          <w:sz w:val="24"/>
          <w:szCs w:val="20"/>
          <w:highlight w:val="non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p>
    <w:p>
      <w:pPr>
        <w:shd w:val="clear"/>
        <w:snapToGrid w:val="0"/>
        <w:spacing w:before="156" w:beforeLines="50" w:after="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（供应商名称）系中华人民共和国合法企业，经营地址</w:t>
      </w:r>
      <w:r>
        <w:rPr>
          <w:rFonts w:ascii="宋体" w:hAnsi="宋体"/>
          <w:color w:val="auto"/>
          <w:sz w:val="24"/>
          <w:highlight w:val="none"/>
          <w:u w:val="single"/>
        </w:rPr>
        <w:t xml:space="preserve">                      </w:t>
      </w:r>
      <w:r>
        <w:rPr>
          <w:rFonts w:hint="eastAsia" w:ascii="宋体" w:hAnsi="宋体"/>
          <w:color w:val="auto"/>
          <w:sz w:val="24"/>
          <w:highlight w:val="none"/>
        </w:rPr>
        <w:t>。</w:t>
      </w:r>
    </w:p>
    <w:p>
      <w:pPr>
        <w:shd w:val="clear"/>
        <w:snapToGrid w:val="0"/>
        <w:spacing w:before="156" w:beforeLines="50" w:after="50" w:line="360" w:lineRule="auto"/>
        <w:ind w:firstLine="645"/>
        <w:rPr>
          <w:rFonts w:ascii="宋体"/>
          <w:color w:val="auto"/>
          <w:sz w:val="24"/>
          <w:szCs w:val="20"/>
          <w:highlight w:val="none"/>
        </w:rPr>
      </w:pPr>
      <w:r>
        <w:rPr>
          <w:rFonts w:hint="eastAsia" w:ascii="宋体" w:hAnsi="宋体"/>
          <w:color w:val="auto"/>
          <w:sz w:val="24"/>
          <w:highlight w:val="none"/>
        </w:rPr>
        <w:t>我</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olor w:val="auto"/>
          <w:sz w:val="24"/>
          <w:highlight w:val="none"/>
          <w:u w:val="single"/>
        </w:rPr>
        <w:t xml:space="preserve">                   </w:t>
      </w:r>
      <w:r>
        <w:rPr>
          <w:rFonts w:hint="eastAsia" w:ascii="宋体" w:hAnsi="宋体"/>
          <w:color w:val="auto"/>
          <w:sz w:val="24"/>
          <w:highlight w:val="none"/>
        </w:rPr>
        <w:t>（供应商名称）的法定代表人，我方愿意参加贵方组织的</w:t>
      </w:r>
      <w:r>
        <w:rPr>
          <w:rFonts w:ascii="宋体" w:hAnsi="宋体"/>
          <w:color w:val="auto"/>
          <w:sz w:val="24"/>
          <w:highlight w:val="none"/>
          <w:u w:val="single"/>
        </w:rPr>
        <w:t xml:space="preserve">                   </w:t>
      </w:r>
      <w:r>
        <w:rPr>
          <w:rFonts w:hint="eastAsia" w:ascii="宋体" w:hAnsi="宋体"/>
          <w:color w:val="auto"/>
          <w:sz w:val="24"/>
          <w:highlight w:val="none"/>
        </w:rPr>
        <w:t>项目的磋商，为便于贵方公正、择优地确定成交人及其磋商服务，我方就本次磋商有关事项郑重声明如下：</w:t>
      </w:r>
    </w:p>
    <w:p>
      <w:pPr>
        <w:shd w:val="clear"/>
        <w:snapToGrid w:val="0"/>
        <w:spacing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）我方向贵方提交的所有磋商响应文件、资料都是准确的和真实的。</w:t>
      </w:r>
    </w:p>
    <w:p>
      <w:pPr>
        <w:shd w:val="clear"/>
        <w:snapToGrid w:val="0"/>
        <w:spacing w:before="156" w:beforeLines="50"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）我方不是采购人的附属机构；在获知本项目采购信息后，与采购人聘请的为此项目提供咨询服务的公司及其附属机构没有任何联系。</w:t>
      </w:r>
    </w:p>
    <w:p>
      <w:pPr>
        <w:shd w:val="clear"/>
        <w:snapToGrid w:val="0"/>
        <w:spacing w:before="156" w:beforeLines="50" w:line="360" w:lineRule="auto"/>
        <w:ind w:firstLine="480" w:firstLineChars="200"/>
        <w:rPr>
          <w:rFonts w:ascii="宋体"/>
          <w:color w:val="auto"/>
          <w:sz w:val="24"/>
          <w:szCs w:val="20"/>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w:t>
      </w:r>
      <w:r>
        <w:rPr>
          <w:rFonts w:hint="eastAsia" w:hAnsi="宋体"/>
          <w:color w:val="auto"/>
          <w:sz w:val="24"/>
          <w:highlight w:val="none"/>
        </w:rPr>
        <w:t>我方及由本人担任法定代表人的其他机构最近三年内被通报或者被处罚的违法行为有：</w:t>
      </w:r>
      <w:r>
        <w:rPr>
          <w:rFonts w:hint="eastAsia" w:ascii="宋体" w:hAnsi="宋体"/>
          <w:color w:val="auto"/>
          <w:sz w:val="24"/>
          <w:highlight w:val="none"/>
          <w:u w:val="single"/>
        </w:rPr>
        <w:t>　　　　　　　　　　　　　　　　　　　　　　　　　　　　　　　　　　　　　　　　　　　　　</w:t>
      </w:r>
    </w:p>
    <w:p>
      <w:pPr>
        <w:shd w:val="clear"/>
        <w:snapToGrid w:val="0"/>
        <w:spacing w:line="360" w:lineRule="auto"/>
        <w:ind w:firstLine="480" w:firstLineChars="200"/>
        <w:rPr>
          <w:rFonts w:ascii="宋体"/>
          <w:color w:val="auto"/>
          <w:sz w:val="24"/>
          <w:szCs w:val="20"/>
          <w:highlight w:val="none"/>
        </w:rPr>
      </w:pPr>
      <w:r>
        <w:rPr>
          <w:rFonts w:hint="eastAsia" w:hAnsi="宋体"/>
          <w:color w:val="auto"/>
          <w:sz w:val="24"/>
          <w:highlight w:val="none"/>
        </w:rPr>
        <w:t>（</w:t>
      </w:r>
      <w:r>
        <w:rPr>
          <w:rFonts w:hAnsi="宋体"/>
          <w:color w:val="auto"/>
          <w:sz w:val="24"/>
          <w:highlight w:val="none"/>
        </w:rPr>
        <w:t>4</w:t>
      </w:r>
      <w:r>
        <w:rPr>
          <w:rFonts w:hint="eastAsia" w:hAnsi="宋体"/>
          <w:color w:val="auto"/>
          <w:sz w:val="24"/>
          <w:highlight w:val="none"/>
        </w:rPr>
        <w:t>）</w:t>
      </w:r>
      <w:r>
        <w:rPr>
          <w:rFonts w:hint="eastAsia" w:ascii="宋体" w:hAnsi="宋体"/>
          <w:color w:val="auto"/>
          <w:sz w:val="24"/>
          <w:highlight w:val="none"/>
        </w:rPr>
        <w:t>以上事项如有虚假或隐瞒，我方愿意承担一切后果，并不再寻求任何旨在减轻或免除法律责任的辩解。</w:t>
      </w:r>
    </w:p>
    <w:p>
      <w:pPr>
        <w:pStyle w:val="13"/>
        <w:shd w:val="clear"/>
        <w:tabs>
          <w:tab w:val="left" w:pos="939"/>
        </w:tabs>
        <w:snapToGrid w:val="0"/>
        <w:ind w:left="773" w:leftChars="150" w:hanging="458" w:hangingChars="191"/>
        <w:rPr>
          <w:rFonts w:ascii="宋体"/>
          <w:color w:val="auto"/>
          <w:sz w:val="24"/>
          <w:highlight w:val="none"/>
        </w:rPr>
      </w:pPr>
    </w:p>
    <w:p>
      <w:pPr>
        <w:pStyle w:val="66"/>
        <w:shd w:val="clear"/>
        <w:snapToGrid w:val="0"/>
        <w:spacing w:before="156" w:beforeLines="50"/>
        <w:ind w:firstLine="200"/>
        <w:rPr>
          <w:rFonts w:ascii="宋体"/>
          <w:color w:val="auto"/>
          <w:highlight w:val="none"/>
        </w:rPr>
      </w:pPr>
    </w:p>
    <w:p>
      <w:pPr>
        <w:shd w:val="clear"/>
        <w:snapToGrid w:val="0"/>
        <w:spacing w:before="156" w:beforeLines="50"/>
        <w:ind w:firstLine="200"/>
        <w:rPr>
          <w:rFonts w:ascii="宋体"/>
          <w:color w:val="auto"/>
          <w:sz w:val="24"/>
          <w:szCs w:val="20"/>
          <w:highlight w:val="none"/>
          <w:u w:val="single"/>
        </w:rPr>
      </w:pPr>
      <w:r>
        <w:rPr>
          <w:rFonts w:hint="eastAsia" w:ascii="宋体" w:hAnsi="宋体"/>
          <w:color w:val="auto"/>
          <w:sz w:val="24"/>
          <w:highlight w:val="none"/>
        </w:rPr>
        <w:t>法定代表人或被授权人签字（或签章）：</w:t>
      </w:r>
    </w:p>
    <w:p>
      <w:pPr>
        <w:shd w:val="clear"/>
        <w:adjustRightInd w:val="0"/>
        <w:spacing w:line="360" w:lineRule="auto"/>
        <w:ind w:firstLine="240" w:firstLineChars="100"/>
        <w:rPr>
          <w:rFonts w:ascii="宋体"/>
          <w:color w:val="auto"/>
          <w:sz w:val="24"/>
          <w:highlight w:val="none"/>
        </w:rPr>
      </w:pPr>
    </w:p>
    <w:p>
      <w:pPr>
        <w:shd w:val="clear"/>
        <w:adjustRightInd w:val="0"/>
        <w:spacing w:line="360" w:lineRule="auto"/>
        <w:ind w:firstLine="240" w:firstLineChars="100"/>
        <w:rPr>
          <w:rFonts w:ascii="宋体"/>
          <w:color w:val="auto"/>
          <w:sz w:val="24"/>
          <w:highlight w:val="none"/>
        </w:rPr>
      </w:pPr>
      <w:r>
        <w:rPr>
          <w:rFonts w:hint="eastAsia" w:ascii="宋体" w:hAnsi="宋体"/>
          <w:color w:val="auto"/>
          <w:sz w:val="24"/>
          <w:highlight w:val="none"/>
        </w:rPr>
        <w:t>供应商公章：</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shd w:val="clear"/>
        <w:adjustRightInd w:val="0"/>
        <w:spacing w:line="360" w:lineRule="auto"/>
        <w:rPr>
          <w:rFonts w:ascii="宋体"/>
          <w:color w:val="auto"/>
          <w:sz w:val="24"/>
          <w:highlight w:val="none"/>
        </w:rPr>
      </w:pPr>
    </w:p>
    <w:p>
      <w:pPr>
        <w:shd w:val="clear"/>
        <w:spacing w:before="156" w:beforeLines="50" w:line="360" w:lineRule="auto"/>
        <w:jc w:val="center"/>
        <w:rPr>
          <w:rFonts w:ascii="宋体"/>
          <w:b/>
          <w:color w:val="auto"/>
          <w:sz w:val="24"/>
          <w:highlight w:val="none"/>
        </w:rPr>
      </w:pPr>
    </w:p>
    <w:p>
      <w:pPr>
        <w:shd w:val="clear"/>
        <w:spacing w:before="156" w:beforeLines="50" w:line="360" w:lineRule="auto"/>
        <w:jc w:val="center"/>
        <w:rPr>
          <w:rFonts w:ascii="宋体"/>
          <w:b/>
          <w:color w:val="auto"/>
          <w:sz w:val="24"/>
          <w:highlight w:val="none"/>
        </w:rPr>
      </w:pPr>
    </w:p>
    <w:p>
      <w:pPr>
        <w:shd w:val="clear"/>
        <w:spacing w:before="156" w:beforeLines="50" w:line="360" w:lineRule="auto"/>
        <w:jc w:val="center"/>
        <w:rPr>
          <w:rFonts w:ascii="宋体"/>
          <w:b/>
          <w:color w:val="auto"/>
          <w:sz w:val="24"/>
          <w:highlight w:val="none"/>
        </w:rPr>
      </w:pPr>
    </w:p>
    <w:p>
      <w:pPr>
        <w:shd w:val="clear"/>
        <w:spacing w:before="156" w:beforeLines="50" w:line="360" w:lineRule="auto"/>
        <w:jc w:val="center"/>
        <w:rPr>
          <w:rFonts w:ascii="宋体"/>
          <w:b/>
          <w:color w:val="auto"/>
          <w:sz w:val="24"/>
          <w:highlight w:val="none"/>
        </w:rPr>
      </w:pPr>
    </w:p>
    <w:p>
      <w:pPr>
        <w:shd w:val="clear"/>
        <w:spacing w:before="156" w:beforeLines="50" w:line="360" w:lineRule="auto"/>
        <w:jc w:val="center"/>
        <w:rPr>
          <w:rFonts w:ascii="宋体"/>
          <w:b/>
          <w:color w:val="auto"/>
          <w:sz w:val="24"/>
          <w:highlight w:val="none"/>
        </w:rPr>
      </w:pPr>
    </w:p>
    <w:p>
      <w:pPr>
        <w:shd w:val="clear"/>
        <w:spacing w:before="156" w:beforeLines="50" w:line="360" w:lineRule="auto"/>
        <w:rPr>
          <w:rFonts w:ascii="宋体"/>
          <w:b/>
          <w:color w:val="auto"/>
          <w:sz w:val="32"/>
          <w:szCs w:val="32"/>
          <w:highlight w:val="none"/>
        </w:rPr>
      </w:pPr>
      <w:r>
        <w:rPr>
          <w:rFonts w:hint="eastAsia" w:ascii="宋体" w:hAnsi="宋体"/>
          <w:b/>
          <w:color w:val="auto"/>
          <w:sz w:val="32"/>
          <w:szCs w:val="32"/>
          <w:highlight w:val="none"/>
        </w:rPr>
        <w:t>附件2</w:t>
      </w:r>
      <w:r>
        <w:rPr>
          <w:rFonts w:ascii="宋体" w:hAnsi="宋体"/>
          <w:b/>
          <w:color w:val="auto"/>
          <w:sz w:val="32"/>
          <w:szCs w:val="32"/>
          <w:highlight w:val="none"/>
        </w:rPr>
        <w:t xml:space="preserve">           </w:t>
      </w:r>
      <w:r>
        <w:rPr>
          <w:rFonts w:hint="eastAsia" w:ascii="宋体" w:hAnsi="宋体"/>
          <w:b/>
          <w:color w:val="auto"/>
          <w:sz w:val="32"/>
          <w:szCs w:val="32"/>
          <w:highlight w:val="none"/>
        </w:rPr>
        <w:t>法定代表人授权委托书</w:t>
      </w:r>
    </w:p>
    <w:p>
      <w:pPr>
        <w:shd w:val="clear"/>
        <w:spacing w:before="156" w:beforeLines="50" w:line="360" w:lineRule="auto"/>
        <w:rPr>
          <w:rFonts w:ascii="宋体"/>
          <w:b/>
          <w:bCs/>
          <w:color w:val="auto"/>
          <w:sz w:val="24"/>
          <w:highlight w:val="none"/>
        </w:rPr>
      </w:pPr>
      <w:r>
        <w:rPr>
          <w:rFonts w:hint="eastAsia" w:ascii="宋体" w:hAnsi="宋体"/>
          <w:bCs/>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w:t>
      </w:r>
    </w:p>
    <w:p>
      <w:pPr>
        <w:shd w:val="clear"/>
        <w:spacing w:before="156" w:beforeLines="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（企业名称）系中华人民共和国合法企业，法定地址</w:t>
      </w:r>
      <w:r>
        <w:rPr>
          <w:rFonts w:ascii="宋体" w:hAnsi="宋体"/>
          <w:color w:val="auto"/>
          <w:sz w:val="24"/>
          <w:highlight w:val="none"/>
          <w:u w:val="single"/>
        </w:rPr>
        <w:t xml:space="preserve">                       </w:t>
      </w:r>
      <w:r>
        <w:rPr>
          <w:rFonts w:hint="eastAsia" w:ascii="宋体" w:hAnsi="宋体"/>
          <w:color w:val="auto"/>
          <w:sz w:val="24"/>
          <w:highlight w:val="none"/>
        </w:rPr>
        <w:t>。</w:t>
      </w:r>
    </w:p>
    <w:p>
      <w:pPr>
        <w:shd w:val="clear"/>
        <w:spacing w:before="156" w:beforeLines="50" w:line="360" w:lineRule="auto"/>
        <w:ind w:firstLine="720" w:firstLineChars="3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（法人）特授权</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代表我单位全权办理针对</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项目的磋商、签约等具体工作，并签署全部有关的文件、协议。</w:t>
      </w:r>
    </w:p>
    <w:p>
      <w:pPr>
        <w:shd w:val="clear"/>
        <w:spacing w:before="156" w:beforeLines="50" w:line="360" w:lineRule="auto"/>
        <w:ind w:firstLine="480" w:firstLineChars="200"/>
        <w:rPr>
          <w:rFonts w:ascii="宋体"/>
          <w:color w:val="auto"/>
          <w:sz w:val="24"/>
          <w:highlight w:val="none"/>
        </w:rPr>
      </w:pPr>
      <w:r>
        <w:rPr>
          <w:rFonts w:hint="eastAsia" w:ascii="宋体" w:hAnsi="宋体"/>
          <w:color w:val="auto"/>
          <w:sz w:val="24"/>
          <w:highlight w:val="none"/>
        </w:rPr>
        <w:t>我单位对被授权人的签名负全部责任。</w:t>
      </w:r>
    </w:p>
    <w:p>
      <w:pPr>
        <w:shd w:val="clear"/>
        <w:spacing w:before="156" w:beforeLines="50" w:line="360" w:lineRule="auto"/>
        <w:ind w:firstLine="360" w:firstLineChars="150"/>
        <w:rPr>
          <w:rFonts w:ascii="宋体"/>
          <w:color w:val="auto"/>
          <w:sz w:val="24"/>
          <w:highlight w:val="none"/>
        </w:rPr>
      </w:pPr>
      <w:r>
        <w:rPr>
          <w:rFonts w:hint="eastAsia" w:ascii="宋体" w:hAnsi="宋体"/>
          <w:color w:val="auto"/>
          <w:sz w:val="24"/>
          <w:highlight w:val="none"/>
        </w:rPr>
        <w:t>在撤销授权的书面通知以前，本授权书一直有效。被授权人签署的所有文件（在授权书有效期内签署的）不因授权的撤销而失效。</w:t>
      </w:r>
    </w:p>
    <w:p>
      <w:pPr>
        <w:shd w:val="clear"/>
        <w:spacing w:before="156" w:beforeLines="50" w:line="360" w:lineRule="auto"/>
        <w:rPr>
          <w:rFonts w:ascii="宋体"/>
          <w:color w:val="auto"/>
          <w:sz w:val="24"/>
          <w:highlight w:val="none"/>
        </w:rPr>
      </w:pPr>
    </w:p>
    <w:p>
      <w:pPr>
        <w:shd w:val="clear"/>
        <w:adjustRightInd w:val="0"/>
        <w:snapToGrid w:val="0"/>
        <w:spacing w:before="156" w:beforeLines="50" w:line="360" w:lineRule="auto"/>
        <w:rPr>
          <w:rFonts w:ascii="宋体" w:hAnsi="宋体"/>
          <w:color w:val="auto"/>
          <w:sz w:val="24"/>
          <w:highlight w:val="none"/>
          <w:u w:val="single"/>
        </w:rPr>
      </w:pPr>
      <w:r>
        <w:rPr>
          <w:rFonts w:hint="eastAsia" w:ascii="宋体" w:hAnsi="宋体"/>
          <w:color w:val="auto"/>
          <w:sz w:val="24"/>
          <w:highlight w:val="none"/>
        </w:rPr>
        <w:t>被授权人签字（或签章）：</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法定代表人</w:t>
      </w:r>
      <w:r>
        <w:rPr>
          <w:rFonts w:ascii="宋体" w:hAnsi="宋体"/>
          <w:color w:val="auto"/>
          <w:sz w:val="24"/>
          <w:highlight w:val="none"/>
        </w:rPr>
        <w:t>签</w:t>
      </w:r>
      <w:r>
        <w:rPr>
          <w:rFonts w:hint="eastAsia" w:ascii="宋体" w:hAnsi="宋体"/>
          <w:color w:val="auto"/>
          <w:sz w:val="24"/>
          <w:highlight w:val="none"/>
        </w:rPr>
        <w:t>字（或签章）</w:t>
      </w:r>
      <w:r>
        <w:rPr>
          <w:rFonts w:ascii="宋体" w:hAnsi="宋体"/>
          <w:color w:val="auto"/>
          <w:sz w:val="24"/>
          <w:highlight w:val="none"/>
        </w:rPr>
        <w:t>：</w:t>
      </w:r>
      <w:r>
        <w:rPr>
          <w:rFonts w:ascii="宋体" w:hAnsi="宋体"/>
          <w:color w:val="auto"/>
          <w:sz w:val="24"/>
          <w:highlight w:val="none"/>
          <w:u w:val="single"/>
        </w:rPr>
        <w:t xml:space="preserve">          </w:t>
      </w:r>
    </w:p>
    <w:p>
      <w:pPr>
        <w:shd w:val="clear"/>
        <w:adjustRightInd w:val="0"/>
        <w:snapToGrid w:val="0"/>
        <w:spacing w:before="156" w:beforeLines="50" w:line="360" w:lineRule="auto"/>
        <w:rPr>
          <w:rFonts w:ascii="宋体" w:hAnsi="宋体"/>
          <w:color w:val="auto"/>
          <w:sz w:val="24"/>
          <w:highlight w:val="none"/>
        </w:rPr>
      </w:pPr>
      <w:r>
        <w:rPr>
          <w:rFonts w:hint="eastAsia" w:ascii="宋体" w:hAnsi="宋体"/>
          <w:color w:val="auto"/>
          <w:sz w:val="24"/>
          <w:highlight w:val="none"/>
        </w:rPr>
        <w:t>职务：</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职务：</w:t>
      </w:r>
      <w:r>
        <w:rPr>
          <w:rFonts w:ascii="宋体" w:hAnsi="宋体"/>
          <w:color w:val="auto"/>
          <w:sz w:val="24"/>
          <w:highlight w:val="none"/>
          <w:u w:val="single"/>
        </w:rPr>
        <w:t xml:space="preserve">            </w:t>
      </w:r>
    </w:p>
    <w:p>
      <w:pPr>
        <w:shd w:val="clear"/>
        <w:adjustRightInd w:val="0"/>
        <w:snapToGrid w:val="0"/>
        <w:spacing w:before="156" w:beforeLines="50" w:line="360" w:lineRule="auto"/>
        <w:jc w:val="center"/>
        <w:rPr>
          <w:rFonts w:ascii="宋体" w:hAnsi="宋体"/>
          <w:color w:val="auto"/>
          <w:sz w:val="24"/>
          <w:highlight w:val="none"/>
        </w:rPr>
      </w:pPr>
    </w:p>
    <w:p>
      <w:pPr>
        <w:shd w:val="clear"/>
        <w:adjustRightInd w:val="0"/>
        <w:snapToGrid w:val="0"/>
        <w:spacing w:before="156" w:beforeLines="50" w:line="360" w:lineRule="auto"/>
        <w:jc w:val="center"/>
        <w:rPr>
          <w:rFonts w:ascii="宋体" w:hAnsi="宋体"/>
          <w:color w:val="auto"/>
          <w:sz w:val="24"/>
          <w:highlight w:val="none"/>
          <w:u w:val="single"/>
        </w:rPr>
      </w:pPr>
      <w:r>
        <w:rPr>
          <w:rFonts w:ascii="宋体" w:hAnsi="宋体"/>
          <w:color w:val="auto"/>
          <w:sz w:val="24"/>
          <w:highlight w:val="none"/>
        </w:rPr>
        <w:t xml:space="preserve">       </w:t>
      </w:r>
      <w:r>
        <w:rPr>
          <w:rFonts w:hint="eastAsia" w:ascii="宋体" w:hAnsi="宋体"/>
          <w:color w:val="auto"/>
          <w:sz w:val="24"/>
          <w:highlight w:val="none"/>
        </w:rPr>
        <w:t xml:space="preserve">                    </w:t>
      </w:r>
      <w:r>
        <w:rPr>
          <w:rFonts w:hint="eastAsia" w:ascii="宋体" w:hAnsi="宋体"/>
          <w:color w:val="auto"/>
          <w:spacing w:val="20"/>
          <w:sz w:val="24"/>
          <w:highlight w:val="none"/>
        </w:rPr>
        <w:t>供应商</w:t>
      </w:r>
      <w:r>
        <w:rPr>
          <w:rFonts w:hint="eastAsia" w:ascii="宋体" w:hAnsi="宋体"/>
          <w:color w:val="auto"/>
          <w:sz w:val="24"/>
          <w:highlight w:val="none"/>
        </w:rPr>
        <w:t>公章：</w:t>
      </w:r>
    </w:p>
    <w:p>
      <w:pPr>
        <w:shd w:val="clear"/>
        <w:adjustRightInd w:val="0"/>
        <w:snapToGrid w:val="0"/>
        <w:spacing w:before="156" w:beforeLines="50" w:line="360" w:lineRule="auto"/>
        <w:ind w:firstLine="5114" w:firstLineChars="2131"/>
        <w:rPr>
          <w:rFonts w:ascii="宋体" w:hAnsi="宋体"/>
          <w:color w:val="auto"/>
          <w:sz w:val="24"/>
          <w:highlight w:val="none"/>
        </w:rPr>
      </w:pPr>
      <w:r>
        <w:rPr>
          <w:rFonts w:hint="eastAsia" w:ascii="宋体" w:hAnsi="宋体"/>
          <w:color w:val="auto"/>
          <w:sz w:val="24"/>
          <w:highlight w:val="none"/>
        </w:rPr>
        <w:t>年    月    日</w:t>
      </w:r>
    </w:p>
    <w:p>
      <w:pPr>
        <w:shd w:val="clear"/>
        <w:spacing w:before="156" w:beforeLines="50" w:line="360" w:lineRule="auto"/>
        <w:rPr>
          <w:rFonts w:hAnsi="宋体"/>
          <w:b/>
          <w:color w:val="auto"/>
          <w:sz w:val="24"/>
          <w:highlight w:val="none"/>
        </w:rPr>
      </w:pPr>
    </w:p>
    <w:p>
      <w:pPr>
        <w:shd w:val="clear"/>
        <w:spacing w:before="156" w:beforeLines="50" w:line="360" w:lineRule="auto"/>
        <w:rPr>
          <w:rFonts w:hAnsi="宋体"/>
          <w:color w:val="auto"/>
          <w:sz w:val="24"/>
          <w:highlight w:val="none"/>
        </w:rPr>
      </w:pPr>
    </w:p>
    <w:p>
      <w:pPr>
        <w:shd w:val="clear"/>
        <w:snapToGrid w:val="0"/>
        <w:spacing w:before="156" w:beforeLines="50" w:after="50" w:line="360" w:lineRule="auto"/>
        <w:rPr>
          <w:rFonts w:ascii="宋体"/>
          <w:color w:val="auto"/>
          <w:sz w:val="24"/>
          <w:szCs w:val="32"/>
          <w:highlight w:val="none"/>
        </w:rPr>
      </w:pPr>
      <w:r>
        <w:rPr>
          <w:rFonts w:hint="eastAsia" w:ascii="宋体" w:hAnsi="宋体"/>
          <w:color w:val="auto"/>
          <w:sz w:val="24"/>
          <w:szCs w:val="32"/>
          <w:highlight w:val="none"/>
        </w:rPr>
        <w:t>法定代表人身份证粘贴处（正反面）</w:t>
      </w:r>
      <w:r>
        <w:rPr>
          <w:rFonts w:ascii="宋体" w:hAnsi="宋体"/>
          <w:color w:val="auto"/>
          <w:sz w:val="24"/>
          <w:szCs w:val="32"/>
          <w:highlight w:val="none"/>
        </w:rPr>
        <w:t xml:space="preserve">       </w:t>
      </w:r>
      <w:r>
        <w:rPr>
          <w:rFonts w:hint="eastAsia" w:ascii="宋体" w:hAnsi="宋体"/>
          <w:color w:val="auto"/>
          <w:sz w:val="24"/>
          <w:szCs w:val="32"/>
          <w:highlight w:val="none"/>
        </w:rPr>
        <w:t xml:space="preserve">   被授权人身份证粘贴处（正反面）</w:t>
      </w:r>
    </w:p>
    <w:p>
      <w:pPr>
        <w:shd w:val="clear"/>
        <w:spacing w:before="156" w:beforeLines="50" w:line="360" w:lineRule="auto"/>
        <w:rPr>
          <w:rFonts w:hAnsi="宋体"/>
          <w:b/>
          <w:color w:val="auto"/>
          <w:sz w:val="24"/>
          <w:highlight w:val="none"/>
        </w:rPr>
      </w:pPr>
    </w:p>
    <w:p>
      <w:pPr>
        <w:shd w:val="clear"/>
        <w:spacing w:before="156" w:beforeLines="50" w:line="360" w:lineRule="auto"/>
        <w:rPr>
          <w:rFonts w:hAnsi="宋体"/>
          <w:color w:val="auto"/>
          <w:sz w:val="24"/>
          <w:highlight w:val="none"/>
        </w:rPr>
      </w:pPr>
    </w:p>
    <w:p>
      <w:pPr>
        <w:shd w:val="clear"/>
        <w:spacing w:before="156" w:beforeLines="50" w:line="360" w:lineRule="auto"/>
        <w:rPr>
          <w:rFonts w:hAnsi="宋体"/>
          <w:color w:val="auto"/>
          <w:sz w:val="24"/>
          <w:highlight w:val="none"/>
        </w:rPr>
      </w:pPr>
    </w:p>
    <w:p>
      <w:pPr>
        <w:shd w:val="clear"/>
        <w:spacing w:before="156" w:beforeLines="50" w:line="360" w:lineRule="auto"/>
        <w:rPr>
          <w:rFonts w:hAnsi="宋体"/>
          <w:color w:val="auto"/>
          <w:sz w:val="24"/>
          <w:highlight w:val="none"/>
        </w:rPr>
      </w:pPr>
    </w:p>
    <w:p>
      <w:pPr>
        <w:shd w:val="clear"/>
        <w:spacing w:before="156" w:beforeLines="50" w:line="360" w:lineRule="auto"/>
        <w:rPr>
          <w:rFonts w:ascii="宋体"/>
          <w:b/>
          <w:color w:val="auto"/>
          <w:sz w:val="32"/>
          <w:szCs w:val="32"/>
          <w:highlight w:val="none"/>
        </w:rPr>
      </w:pPr>
      <w:r>
        <w:rPr>
          <w:rFonts w:hint="eastAsia" w:ascii="宋体" w:hAnsi="宋体"/>
          <w:b/>
          <w:color w:val="auto"/>
          <w:sz w:val="32"/>
          <w:szCs w:val="32"/>
          <w:highlight w:val="none"/>
        </w:rPr>
        <w:t>附件3</w:t>
      </w:r>
      <w:r>
        <w:rPr>
          <w:rFonts w:ascii="宋体" w:hAnsi="宋体"/>
          <w:b/>
          <w:color w:val="auto"/>
          <w:sz w:val="32"/>
          <w:szCs w:val="32"/>
          <w:highlight w:val="none"/>
        </w:rPr>
        <w:t xml:space="preserve">              </w:t>
      </w:r>
      <w:r>
        <w:rPr>
          <w:rFonts w:hint="eastAsia" w:ascii="宋体" w:hAnsi="宋体"/>
          <w:b/>
          <w:color w:val="auto"/>
          <w:sz w:val="32"/>
          <w:szCs w:val="32"/>
          <w:highlight w:val="none"/>
        </w:rPr>
        <w:t>关于资格的声明函</w:t>
      </w:r>
    </w:p>
    <w:p>
      <w:pPr>
        <w:shd w:val="clear"/>
        <w:spacing w:before="156" w:beforeLines="50" w:line="360" w:lineRule="auto"/>
        <w:rPr>
          <w:rFonts w:ascii="宋体"/>
          <w:color w:val="auto"/>
          <w:sz w:val="24"/>
          <w:highlight w:val="none"/>
          <w:u w:val="single"/>
        </w:rPr>
      </w:pPr>
      <w:r>
        <w:rPr>
          <w:rFonts w:hint="eastAsia" w:ascii="宋体" w:hAnsi="宋体"/>
          <w:color w:val="auto"/>
          <w:sz w:val="24"/>
          <w:highlight w:val="none"/>
        </w:rPr>
        <w:t>致：</w:t>
      </w:r>
    </w:p>
    <w:p>
      <w:pPr>
        <w:shd w:val="clear"/>
        <w:spacing w:before="156" w:beforeLines="50" w:line="360" w:lineRule="auto"/>
        <w:ind w:firstLine="645"/>
        <w:rPr>
          <w:rFonts w:ascii="宋体"/>
          <w:color w:val="auto"/>
          <w:sz w:val="24"/>
          <w:highlight w:val="none"/>
        </w:rPr>
      </w:pPr>
      <w:r>
        <w:rPr>
          <w:rFonts w:hint="eastAsia" w:ascii="宋体" w:hAnsi="宋体"/>
          <w:color w:val="auto"/>
          <w:sz w:val="24"/>
          <w:highlight w:val="none"/>
        </w:rPr>
        <w:t>关于贵方</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招标项目，本签字人愿意参加磋商，提供嘉兴政府采购一览表中规定的服务，并证实提交的下列文件和说明是准确的和真实的：</w:t>
      </w:r>
    </w:p>
    <w:p>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、供应商基本情况表。</w:t>
      </w:r>
    </w:p>
    <w:p>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、法人营业执照副本。（复印件盖章）</w:t>
      </w:r>
    </w:p>
    <w:p>
      <w:pPr>
        <w:shd w:val="clear"/>
        <w:spacing w:line="600" w:lineRule="exact"/>
        <w:ind w:firstLine="360" w:firstLineChars="15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eastAsia="宋体" w:cs="宋体"/>
          <w:color w:val="auto"/>
          <w:sz w:val="24"/>
          <w:highlight w:val="none"/>
        </w:rPr>
        <w:t>符合参加政府采购活动应当具备的一般条件的承诺函</w:t>
      </w:r>
      <w:r>
        <w:rPr>
          <w:rFonts w:hint="eastAsia" w:ascii="宋体" w:hAnsi="宋体" w:eastAsia="宋体" w:cs="宋体"/>
          <w:color w:val="auto"/>
          <w:sz w:val="24"/>
          <w:highlight w:val="none"/>
          <w:lang w:eastAsia="zh-CN"/>
        </w:rPr>
        <w:t>。</w:t>
      </w:r>
    </w:p>
    <w:p>
      <w:pPr>
        <w:shd w:val="clear"/>
        <w:spacing w:line="600" w:lineRule="exact"/>
        <w:ind w:firstLine="360" w:firstLineChars="150"/>
        <w:rPr>
          <w:rFonts w:hint="eastAsia" w:ascii="宋体" w:hAnsi="宋体" w:cs="宋体"/>
          <w:color w:val="auto"/>
          <w:sz w:val="24"/>
          <w:highlight w:val="none"/>
        </w:rPr>
      </w:pPr>
      <w:r>
        <w:rPr>
          <w:rFonts w:hint="eastAsia" w:ascii="宋体" w:hAnsi="宋体" w:cs="Times New Roman"/>
          <w:color w:val="auto"/>
          <w:sz w:val="24"/>
          <w:highlight w:val="none"/>
          <w:lang w:val="en-US" w:eastAsia="zh-CN"/>
        </w:rPr>
        <w:t>4、</w:t>
      </w:r>
      <w:r>
        <w:rPr>
          <w:rFonts w:hint="eastAsia" w:ascii="宋体" w:hAnsi="宋体" w:eastAsia="宋体" w:cs="Times New Roman"/>
          <w:color w:val="auto"/>
          <w:sz w:val="24"/>
          <w:highlight w:val="none"/>
        </w:rPr>
        <w:t>中小企业声明函；残疾人福利性单位声明函；监狱企业证明文件。</w:t>
      </w:r>
    </w:p>
    <w:p>
      <w:pPr>
        <w:shd w:val="clear"/>
        <w:spacing w:line="600" w:lineRule="exact"/>
        <w:ind w:firstLine="360" w:firstLineChars="150"/>
        <w:rPr>
          <w:rFonts w:asci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资信等级证明、荣誉获奖证书等资料（如有，复印件盖章）</w:t>
      </w:r>
    </w:p>
    <w:p>
      <w:pPr>
        <w:shd w:val="clear"/>
        <w:spacing w:line="600" w:lineRule="exact"/>
        <w:ind w:firstLine="360" w:firstLineChars="150"/>
        <w:rPr>
          <w:rFonts w:ascii="宋体" w:cs="宋体"/>
          <w:color w:val="auto"/>
          <w:sz w:val="24"/>
          <w:highlight w:val="none"/>
        </w:rPr>
      </w:pPr>
      <w:r>
        <w:rPr>
          <w:rFonts w:ascii="宋体" w:hAnsi="宋体" w:cs="宋体"/>
          <w:color w:val="auto"/>
          <w:sz w:val="24"/>
          <w:highlight w:val="none"/>
        </w:rPr>
        <w:t>N</w:t>
      </w:r>
      <w:r>
        <w:rPr>
          <w:rFonts w:hint="eastAsia" w:ascii="宋体" w:hAnsi="宋体" w:cs="宋体"/>
          <w:color w:val="auto"/>
          <w:sz w:val="24"/>
          <w:highlight w:val="none"/>
        </w:rPr>
        <w:t>、供应商认为有必要提供的声明及文件资料。</w:t>
      </w:r>
    </w:p>
    <w:p>
      <w:pPr>
        <w:shd w:val="clear"/>
        <w:spacing w:before="156" w:beforeLines="50" w:line="360" w:lineRule="auto"/>
        <w:rPr>
          <w:rFonts w:ascii="宋体"/>
          <w:color w:val="auto"/>
          <w:sz w:val="24"/>
          <w:highlight w:val="none"/>
        </w:rPr>
      </w:pPr>
    </w:p>
    <w:p>
      <w:pPr>
        <w:shd w:val="clear"/>
        <w:spacing w:before="156" w:beforeLines="50" w:line="360" w:lineRule="auto"/>
        <w:rPr>
          <w:rFonts w:ascii="宋体"/>
          <w:color w:val="auto"/>
          <w:sz w:val="24"/>
          <w:highlight w:val="none"/>
        </w:rPr>
      </w:pPr>
    </w:p>
    <w:p>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pPr>
        <w:shd w:val="clear"/>
        <w:spacing w:line="360" w:lineRule="auto"/>
        <w:ind w:firstLine="500" w:firstLineChars="200"/>
        <w:rPr>
          <w:rFonts w:ascii="宋体"/>
          <w:color w:val="auto"/>
          <w:spacing w:val="20"/>
          <w:szCs w:val="21"/>
          <w:highlight w:val="none"/>
          <w:u w:val="single"/>
        </w:rPr>
      </w:pPr>
    </w:p>
    <w:p>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pPr>
        <w:shd w:val="clear"/>
        <w:spacing w:line="360" w:lineRule="auto"/>
        <w:ind w:firstLine="3600" w:firstLineChars="1500"/>
        <w:rPr>
          <w:rFonts w:ascii="宋体" w:hAnsi="宋体"/>
          <w:color w:val="auto"/>
          <w:sz w:val="24"/>
          <w:highlight w:val="none"/>
        </w:rPr>
      </w:pPr>
    </w:p>
    <w:p>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日期：</w:t>
      </w:r>
    </w:p>
    <w:p>
      <w:pPr>
        <w:shd w:val="clear"/>
        <w:spacing w:line="360" w:lineRule="auto"/>
        <w:ind w:firstLine="3600" w:firstLineChars="1500"/>
        <w:rPr>
          <w:rFonts w:ascii="宋体" w:hAnsi="宋体"/>
          <w:color w:val="auto"/>
          <w:sz w:val="24"/>
          <w:highlight w:val="none"/>
        </w:rPr>
        <w:sectPr>
          <w:footerReference r:id="rId9" w:type="first"/>
          <w:footerReference r:id="rId8" w:type="default"/>
          <w:pgSz w:w="11906" w:h="16838"/>
          <w:pgMar w:top="1474" w:right="1466" w:bottom="1474" w:left="1797" w:header="851" w:footer="851" w:gutter="0"/>
          <w:cols w:space="720" w:num="1"/>
          <w:titlePg/>
          <w:docGrid w:type="lines" w:linePitch="312" w:charSpace="0"/>
        </w:sectPr>
      </w:pPr>
    </w:p>
    <w:p>
      <w:pPr>
        <w:shd w:val="clear"/>
        <w:spacing w:before="120" w:beforeLines="50" w:line="360" w:lineRule="auto"/>
        <w:jc w:val="center"/>
        <w:rPr>
          <w:rFonts w:ascii="宋体"/>
          <w:color w:val="auto"/>
          <w:sz w:val="24"/>
          <w:highlight w:val="none"/>
        </w:rPr>
      </w:pPr>
      <w:r>
        <w:rPr>
          <w:rFonts w:hint="eastAsia" w:ascii="仿宋_GB2312" w:eastAsia="仿宋_GB2312"/>
          <w:b/>
          <w:color w:val="auto"/>
          <w:sz w:val="32"/>
          <w:szCs w:val="32"/>
          <w:highlight w:val="none"/>
        </w:rPr>
        <w:t>供应商基本情况表</w:t>
      </w:r>
    </w:p>
    <w:tbl>
      <w:tblPr>
        <w:tblStyle w:val="35"/>
        <w:tblpPr w:leftFromText="180" w:rightFromText="180" w:vertAnchor="text" w:horzAnchor="margin" w:tblpXSpec="center" w:tblpY="166"/>
        <w:tblOverlap w:val="never"/>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35"/>
        <w:gridCol w:w="2160"/>
        <w:gridCol w:w="1958"/>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trPr>
        <w:tc>
          <w:tcPr>
            <w:tcW w:w="658" w:type="dxa"/>
            <w:vMerge w:val="restart"/>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供</w:t>
            </w: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应</w:t>
            </w: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商</w:t>
            </w:r>
          </w:p>
          <w:p>
            <w:pPr>
              <w:keepNext w:val="0"/>
              <w:keepLines w:val="0"/>
              <w:suppressLineNumbers w:val="0"/>
              <w:shd w:val="clear"/>
              <w:spacing w:before="0" w:beforeAutospacing="0" w:after="0" w:afterAutospacing="0"/>
              <w:ind w:left="0" w:right="0"/>
              <w:rPr>
                <w:rFonts w:hint="default" w:ascii="宋体"/>
                <w:color w:val="auto"/>
                <w:sz w:val="24"/>
                <w:highlight w:val="none"/>
              </w:rPr>
            </w:pP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概</w:t>
            </w:r>
          </w:p>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r>
              <w:rPr>
                <w:rFonts w:hint="eastAsia" w:ascii="宋体" w:hAnsi="宋体"/>
                <w:color w:val="auto"/>
                <w:sz w:val="24"/>
                <w:highlight w:val="none"/>
              </w:rPr>
              <w:t>况</w:t>
            </w: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公司名称</w:t>
            </w:r>
          </w:p>
        </w:tc>
        <w:tc>
          <w:tcPr>
            <w:tcW w:w="6927" w:type="dxa"/>
            <w:gridSpan w:val="3"/>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地址</w:t>
            </w:r>
          </w:p>
        </w:tc>
        <w:tc>
          <w:tcPr>
            <w:tcW w:w="6927" w:type="dxa"/>
            <w:gridSpan w:val="3"/>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经营范围</w:t>
            </w:r>
          </w:p>
        </w:tc>
        <w:tc>
          <w:tcPr>
            <w:tcW w:w="6927" w:type="dxa"/>
            <w:gridSpan w:val="3"/>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成立时间</w:t>
            </w:r>
          </w:p>
        </w:tc>
        <w:tc>
          <w:tcPr>
            <w:tcW w:w="2160"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经济性质</w:t>
            </w:r>
          </w:p>
        </w:tc>
        <w:tc>
          <w:tcPr>
            <w:tcW w:w="2809"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法定代表人</w:t>
            </w:r>
          </w:p>
        </w:tc>
        <w:tc>
          <w:tcPr>
            <w:tcW w:w="2160"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联系电话</w:t>
            </w:r>
          </w:p>
        </w:tc>
        <w:tc>
          <w:tcPr>
            <w:tcW w:w="2809"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注册资金</w:t>
            </w:r>
          </w:p>
        </w:tc>
        <w:tc>
          <w:tcPr>
            <w:tcW w:w="2160"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技术人员数</w:t>
            </w:r>
          </w:p>
        </w:tc>
        <w:tc>
          <w:tcPr>
            <w:tcW w:w="2809"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工商登记号</w:t>
            </w:r>
          </w:p>
        </w:tc>
        <w:tc>
          <w:tcPr>
            <w:tcW w:w="2160"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c>
          <w:tcPr>
            <w:tcW w:w="1958"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税务登记号</w:t>
            </w:r>
          </w:p>
        </w:tc>
        <w:tc>
          <w:tcPr>
            <w:tcW w:w="2809"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6"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1835" w:type="dxa"/>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r>
              <w:rPr>
                <w:rFonts w:hint="eastAsia" w:ascii="宋体" w:hAnsi="宋体"/>
                <w:color w:val="auto"/>
                <w:sz w:val="24"/>
                <w:highlight w:val="none"/>
              </w:rPr>
              <w:t>业绩、信誉</w:t>
            </w:r>
          </w:p>
        </w:tc>
        <w:tc>
          <w:tcPr>
            <w:tcW w:w="6927" w:type="dxa"/>
            <w:gridSpan w:val="3"/>
            <w:vAlign w:val="center"/>
          </w:tcPr>
          <w:p>
            <w:pPr>
              <w:keepNext w:val="0"/>
              <w:keepLines w:val="0"/>
              <w:suppressLineNumbers w:val="0"/>
              <w:shd w:val="clear"/>
              <w:spacing w:before="0" w:beforeAutospacing="0" w:after="0" w:afterAutospacing="0"/>
              <w:ind w:left="0" w:right="0"/>
              <w:jc w:val="center"/>
              <w:rPr>
                <w:rFonts w:hint="default" w:ascii="宋体"/>
                <w:color w:val="auto"/>
                <w:sz w:val="24"/>
                <w:highlight w:val="none"/>
              </w:rPr>
            </w:pPr>
          </w:p>
          <w:p>
            <w:pPr>
              <w:keepNext w:val="0"/>
              <w:keepLines w:val="0"/>
              <w:suppressLineNumbers w:val="0"/>
              <w:shd w:val="clear"/>
              <w:spacing w:before="0" w:beforeAutospacing="0" w:after="0" w:afterAutospacing="0"/>
              <w:ind w:left="0" w:right="0"/>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5" w:hRule="atLeast"/>
        </w:trPr>
        <w:tc>
          <w:tcPr>
            <w:tcW w:w="658" w:type="dxa"/>
            <w:vMerge w:val="continue"/>
            <w:vAlign w:val="center"/>
          </w:tcPr>
          <w:p>
            <w:pPr>
              <w:keepNext w:val="0"/>
              <w:keepLines w:val="0"/>
              <w:suppressLineNumbers w:val="0"/>
              <w:shd w:val="clear"/>
              <w:spacing w:before="0" w:beforeAutospacing="0" w:after="0" w:afterAutospacing="0"/>
              <w:ind w:left="0" w:right="0"/>
              <w:jc w:val="center"/>
              <w:rPr>
                <w:rFonts w:hint="default" w:ascii="仿宋_GB2312" w:eastAsia="仿宋_GB2312"/>
                <w:color w:val="auto"/>
                <w:sz w:val="24"/>
                <w:highlight w:val="none"/>
              </w:rPr>
            </w:pPr>
          </w:p>
        </w:tc>
        <w:tc>
          <w:tcPr>
            <w:tcW w:w="8762" w:type="dxa"/>
            <w:gridSpan w:val="4"/>
          </w:tcPr>
          <w:p>
            <w:pPr>
              <w:keepNext w:val="0"/>
              <w:keepLines w:val="0"/>
              <w:suppressLineNumbers w:val="0"/>
              <w:shd w:val="clear"/>
              <w:spacing w:before="0" w:beforeAutospacing="0" w:after="0" w:afterAutospacing="0"/>
              <w:ind w:left="0" w:right="0"/>
              <w:rPr>
                <w:rFonts w:hint="default" w:ascii="宋体"/>
                <w:color w:val="auto"/>
                <w:sz w:val="24"/>
                <w:highlight w:val="none"/>
              </w:rPr>
            </w:pPr>
            <w:r>
              <w:rPr>
                <w:rFonts w:hint="eastAsia" w:ascii="宋体" w:hAnsi="宋体"/>
                <w:color w:val="auto"/>
                <w:sz w:val="24"/>
                <w:highlight w:val="none"/>
              </w:rPr>
              <w:t>单位优势及特点：</w:t>
            </w:r>
          </w:p>
        </w:tc>
      </w:tr>
    </w:tbl>
    <w:p>
      <w:pPr>
        <w:shd w:val="clear"/>
        <w:spacing w:before="120" w:beforeLines="50" w:line="360" w:lineRule="auto"/>
        <w:rPr>
          <w:rFonts w:ascii="宋体"/>
          <w:color w:val="auto"/>
          <w:sz w:val="24"/>
          <w:highlight w:val="none"/>
        </w:rPr>
      </w:pPr>
    </w:p>
    <w:p>
      <w:pPr>
        <w:shd w:val="clear"/>
        <w:spacing w:before="120" w:beforeLines="50" w:line="360" w:lineRule="auto"/>
        <w:rPr>
          <w:rFonts w:ascii="宋体"/>
          <w:color w:val="auto"/>
          <w:spacing w:val="20"/>
          <w:sz w:val="24"/>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 w:val="24"/>
          <w:highlight w:val="none"/>
        </w:rPr>
        <w:t>：</w:t>
      </w:r>
    </w:p>
    <w:p>
      <w:pPr>
        <w:shd w:val="clear"/>
        <w:spacing w:line="360" w:lineRule="auto"/>
        <w:rPr>
          <w:rFonts w:ascii="宋体"/>
          <w:color w:val="auto"/>
          <w:spacing w:val="20"/>
          <w:sz w:val="24"/>
          <w:highlight w:val="none"/>
        </w:rPr>
      </w:pPr>
      <w:r>
        <w:rPr>
          <w:rFonts w:hint="eastAsia" w:ascii="宋体" w:hAnsi="宋体"/>
          <w:color w:val="auto"/>
          <w:spacing w:val="20"/>
          <w:sz w:val="24"/>
          <w:highlight w:val="none"/>
        </w:rPr>
        <w:t>供应商盖章：</w:t>
      </w:r>
    </w:p>
    <w:p>
      <w:pPr>
        <w:shd w:val="clear"/>
        <w:spacing w:line="360" w:lineRule="auto"/>
        <w:rPr>
          <w:rFonts w:ascii="宋体" w:hAnsi="宋体"/>
          <w:color w:val="auto"/>
          <w:spacing w:val="20"/>
          <w:sz w:val="24"/>
          <w:highlight w:val="none"/>
        </w:rPr>
      </w:pPr>
      <w:r>
        <w:rPr>
          <w:rFonts w:hint="eastAsia" w:ascii="宋体" w:hAnsi="宋体"/>
          <w:color w:val="auto"/>
          <w:spacing w:val="20"/>
          <w:sz w:val="24"/>
          <w:highlight w:val="none"/>
        </w:rPr>
        <w:t>日期：</w:t>
      </w:r>
    </w:p>
    <w:p>
      <w:pPr>
        <w:shd w:val="clear"/>
        <w:spacing w:line="360" w:lineRule="auto"/>
        <w:ind w:firstLine="420" w:firstLineChars="200"/>
        <w:jc w:val="left"/>
        <w:rPr>
          <w:rFonts w:ascii="宋体" w:hAnsi="宋体" w:cs="宋体"/>
          <w:color w:val="auto"/>
          <w:szCs w:val="21"/>
          <w:highlight w:val="none"/>
        </w:rPr>
      </w:pPr>
    </w:p>
    <w:p>
      <w:pPr>
        <w:shd w:val="clear"/>
        <w:spacing w:line="360" w:lineRule="auto"/>
        <w:ind w:firstLine="420" w:firstLineChars="200"/>
        <w:jc w:val="left"/>
        <w:rPr>
          <w:rFonts w:ascii="宋体" w:hAnsi="宋体" w:cs="宋体"/>
          <w:color w:val="auto"/>
          <w:szCs w:val="21"/>
          <w:highlight w:val="none"/>
        </w:rPr>
      </w:pPr>
    </w:p>
    <w:p>
      <w:pPr>
        <w:shd w:val="clear"/>
        <w:spacing w:line="360" w:lineRule="auto"/>
        <w:ind w:firstLine="420" w:firstLineChars="200"/>
        <w:jc w:val="left"/>
        <w:rPr>
          <w:rFonts w:ascii="宋体" w:hAnsi="宋体"/>
          <w:color w:val="auto"/>
          <w:spacing w:val="20"/>
          <w:sz w:val="24"/>
          <w:highlight w:val="none"/>
        </w:rPr>
      </w:pPr>
      <w:r>
        <w:rPr>
          <w:rFonts w:hint="eastAsia" w:ascii="宋体" w:hAnsi="宋体" w:cs="宋体"/>
          <w:color w:val="auto"/>
          <w:szCs w:val="21"/>
          <w:highlight w:val="none"/>
        </w:rPr>
        <w:t>提供自磋商公告发布之日起至磋商截止日内任意时间的“信用中国”网站（www.creditchina.gov.cn）、中国政府采购网（www.ccgp.gov.cn）供应商信用查询网页截图等（</w:t>
      </w:r>
      <w:r>
        <w:rPr>
          <w:rFonts w:hint="eastAsia" w:ascii="宋体" w:hAnsi="宋体" w:cs="宋体"/>
          <w:color w:val="auto"/>
          <w:kern w:val="0"/>
          <w:szCs w:val="21"/>
          <w:highlight w:val="none"/>
        </w:rPr>
        <w:t>以磋商当日磋商小组或代理机构网页查询记录为准</w:t>
      </w:r>
      <w:r>
        <w:rPr>
          <w:rFonts w:hint="eastAsia" w:ascii="宋体" w:hAnsi="宋体" w:cs="宋体"/>
          <w:color w:val="auto"/>
          <w:szCs w:val="21"/>
          <w:highlight w:val="none"/>
        </w:rPr>
        <w:t>）</w:t>
      </w:r>
    </w:p>
    <w:p>
      <w:pPr>
        <w:shd w:val="clear"/>
        <w:snapToGrid w:val="0"/>
        <w:spacing w:before="50"/>
        <w:jc w:val="center"/>
        <w:rPr>
          <w:rFonts w:ascii="宋体"/>
          <w:b/>
          <w:color w:val="auto"/>
          <w:sz w:val="30"/>
          <w:szCs w:val="30"/>
          <w:highlight w:val="none"/>
        </w:rPr>
        <w:sectPr>
          <w:pgSz w:w="11906" w:h="16838"/>
          <w:pgMar w:top="1474" w:right="1700" w:bottom="1247" w:left="1797" w:header="851" w:footer="851" w:gutter="0"/>
          <w:cols w:space="720" w:num="1"/>
          <w:titlePg/>
          <w:docGrid w:linePitch="312" w:charSpace="0"/>
        </w:sectPr>
      </w:pPr>
    </w:p>
    <w:p>
      <w:pPr>
        <w:pStyle w:val="5"/>
        <w:shd w:val="clea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符合参加政府采购活动应当具备的一般条件的承诺函</w:t>
      </w:r>
    </w:p>
    <w:p>
      <w:pPr>
        <w:shd w:val="clear"/>
        <w:spacing w:line="360" w:lineRule="auto"/>
        <w:rPr>
          <w:rFonts w:ascii="宋体" w:hAnsi="宋体"/>
          <w:color w:val="auto"/>
          <w:sz w:val="24"/>
          <w:szCs w:val="24"/>
          <w:highlight w:val="none"/>
        </w:rPr>
      </w:pPr>
      <w:r>
        <w:rPr>
          <w:rFonts w:ascii="宋体" w:hAnsi="宋体"/>
          <w:color w:val="auto"/>
          <w:sz w:val="24"/>
          <w:szCs w:val="24"/>
          <w:highlight w:val="none"/>
        </w:rPr>
        <w:t>致：</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rPr>
        <w:t>（招标采购单位名称）：</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我方参与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（项目名称）【项目编号：</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（采购编号）】政府采购活动，郑重承诺：</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（一）具备《中华人民共和国政府采购法》第二十二条第一款规定的条件：</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1、具有独立承担民事责任的能力；</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2、具有良好的商业信誉和健全的财务会计制度； </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3、具有履行合同所必需的设备和专业技术能力；</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4、有依法缴纳税收和社会保障资金的良好记录；</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5、参加政府采购活动前三年内，在经营活动中没有重大违法记录；</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6、具有法律、行政法规规定的其他条件。</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（二）未被信用中国（www.creditchina.gov.cn)、中国政府采购网（www.ccgp.gov.cn）列入失信被执行人、重大税收违法案件当事人名单、政府采购严重违法失信行为记录名单。</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（三）不存在以下情况：</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1、单位负责人为同一人或者存在直接控股、管理关系的不同供应商参加同一合同项下的政府采购活动的；</w:t>
      </w:r>
    </w:p>
    <w:p>
      <w:pPr>
        <w:widowControl/>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2、为采购项目提供整体设计、规范编制或者项目管理、监理、检测等服务后再参加该采购项目的其他采购活动的。</w:t>
      </w:r>
    </w:p>
    <w:p>
      <w:pPr>
        <w:shd w:val="clear"/>
        <w:tabs>
          <w:tab w:val="left" w:pos="1418"/>
        </w:tabs>
        <w:spacing w:line="360" w:lineRule="auto"/>
        <w:ind w:firstLine="240" w:firstLineChars="100"/>
        <w:rPr>
          <w:rFonts w:ascii="宋体" w:hAnsi="宋体"/>
          <w:color w:val="auto"/>
          <w:sz w:val="24"/>
          <w:szCs w:val="24"/>
          <w:highlight w:val="none"/>
        </w:rPr>
      </w:pPr>
    </w:p>
    <w:p>
      <w:pPr>
        <w:shd w:val="clear"/>
        <w:tabs>
          <w:tab w:val="left" w:pos="1418"/>
        </w:tabs>
        <w:spacing w:line="360" w:lineRule="auto"/>
        <w:ind w:firstLine="240" w:firstLineChars="100"/>
        <w:jc w:val="right"/>
        <w:rPr>
          <w:rFonts w:ascii="宋体" w:hAnsi="宋体"/>
          <w:color w:val="auto"/>
          <w:sz w:val="24"/>
          <w:szCs w:val="24"/>
          <w:highlight w:val="none"/>
        </w:rPr>
      </w:pPr>
    </w:p>
    <w:p>
      <w:pPr>
        <w:shd w:val="clear"/>
        <w:tabs>
          <w:tab w:val="left" w:pos="1418"/>
        </w:tabs>
        <w:spacing w:line="360" w:lineRule="auto"/>
        <w:ind w:firstLine="240" w:firstLineChars="100"/>
        <w:jc w:val="right"/>
        <w:rPr>
          <w:rFonts w:hint="eastAsia" w:ascii="宋体" w:hAnsi="宋体"/>
          <w:bCs/>
          <w:color w:val="auto"/>
          <w:sz w:val="24"/>
          <w:szCs w:val="24"/>
          <w:highlight w:val="none"/>
        </w:rPr>
      </w:pPr>
      <w:r>
        <w:rPr>
          <w:rFonts w:ascii="宋体" w:hAnsi="宋体"/>
          <w:color w:val="auto"/>
          <w:sz w:val="24"/>
          <w:szCs w:val="24"/>
          <w:highlight w:val="none"/>
        </w:rPr>
        <w:t>法定代表人或委托代理人签名：</w:t>
      </w:r>
      <w:r>
        <w:rPr>
          <w:rFonts w:hint="eastAsia" w:ascii="宋体" w:hAnsi="宋体"/>
          <w:bCs/>
          <w:color w:val="auto"/>
          <w:sz w:val="24"/>
          <w:szCs w:val="24"/>
          <w:highlight w:val="none"/>
        </w:rPr>
        <w:t xml:space="preserve"> </w:t>
      </w:r>
    </w:p>
    <w:p>
      <w:pPr>
        <w:shd w:val="clear"/>
        <w:tabs>
          <w:tab w:val="left" w:pos="1418"/>
        </w:tabs>
        <w:spacing w:line="360" w:lineRule="auto"/>
        <w:ind w:firstLine="240" w:firstLineChars="100"/>
        <w:jc w:val="right"/>
        <w:rPr>
          <w:rFonts w:hint="eastAsia" w:ascii="宋体" w:hAnsi="宋体"/>
          <w:bCs/>
          <w:color w:val="auto"/>
          <w:sz w:val="24"/>
          <w:szCs w:val="24"/>
          <w:highlight w:val="none"/>
        </w:rPr>
      </w:pPr>
      <w:r>
        <w:rPr>
          <w:rFonts w:hint="eastAsia" w:ascii="宋体" w:hAnsi="宋体"/>
          <w:bCs/>
          <w:color w:val="auto"/>
          <w:sz w:val="24"/>
          <w:szCs w:val="24"/>
          <w:highlight w:val="none"/>
        </w:rPr>
        <w:t xml:space="preserve">投 标 人（盖章）：                              </w:t>
      </w:r>
    </w:p>
    <w:p>
      <w:pPr>
        <w:shd w:val="clear"/>
        <w:tabs>
          <w:tab w:val="left" w:pos="1418"/>
        </w:tabs>
        <w:spacing w:line="360" w:lineRule="auto"/>
        <w:ind w:firstLine="240" w:firstLineChars="100"/>
        <w:jc w:val="right"/>
        <w:rPr>
          <w:rFonts w:ascii="宋体" w:hAnsi="宋体"/>
          <w:b/>
          <w:bCs/>
          <w:color w:val="auto"/>
          <w:sz w:val="24"/>
          <w:szCs w:val="24"/>
          <w:highlight w:val="none"/>
        </w:rPr>
      </w:pPr>
      <w:r>
        <w:rPr>
          <w:rFonts w:hint="eastAsia" w:ascii="宋体" w:hAnsi="宋体"/>
          <w:bCs/>
          <w:color w:val="auto"/>
          <w:sz w:val="24"/>
          <w:szCs w:val="24"/>
          <w:highlight w:val="none"/>
        </w:rPr>
        <w:t>年  月  日</w:t>
      </w:r>
    </w:p>
    <w:p>
      <w:pPr>
        <w:shd w:val="clear"/>
        <w:snapToGrid w:val="0"/>
        <w:spacing w:line="460" w:lineRule="exact"/>
        <w:jc w:val="center"/>
        <w:rPr>
          <w:rFonts w:hint="eastAsia" w:ascii="宋体" w:hAnsi="宋体" w:cs="宋体"/>
          <w:b/>
          <w:bCs/>
          <w:color w:val="auto"/>
          <w:sz w:val="32"/>
          <w:szCs w:val="32"/>
          <w:highlight w:val="none"/>
        </w:rPr>
      </w:pPr>
    </w:p>
    <w:p>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pPr>
        <w:shd w:val="clear"/>
        <w:snapToGrid w:val="0"/>
        <w:spacing w:line="460" w:lineRule="exact"/>
        <w:jc w:val="center"/>
        <w:rPr>
          <w:rFonts w:hint="eastAsia" w:ascii="宋体" w:hAnsi="宋体" w:eastAsia="宋体" w:cs="宋体"/>
          <w:b/>
          <w:bCs/>
          <w:color w:val="auto"/>
          <w:kern w:val="2"/>
          <w:sz w:val="32"/>
          <w:szCs w:val="32"/>
          <w:highlight w:val="none"/>
          <w:lang w:val="en-US" w:eastAsia="zh-CN" w:bidi="ar-SA"/>
        </w:rPr>
      </w:pPr>
    </w:p>
    <w:p>
      <w:pPr>
        <w:shd w:val="clear"/>
        <w:snapToGrid w:val="0"/>
        <w:spacing w:line="46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中小企业声明函（工程、服务）</w:t>
      </w:r>
    </w:p>
    <w:p>
      <w:pPr>
        <w:pStyle w:val="103"/>
        <w:shd w:val="clear"/>
        <w:spacing w:line="460" w:lineRule="exact"/>
        <w:ind w:right="157" w:firstLine="720" w:firstLineChars="300"/>
        <w:rPr>
          <w:rFonts w:hint="eastAsia" w:ascii="宋体" w:hAnsi="宋体" w:cs="宋体"/>
          <w:color w:val="auto"/>
          <w:szCs w:val="24"/>
          <w:highlight w:val="none"/>
        </w:rPr>
      </w:pPr>
      <w:r>
        <w:rPr>
          <w:rFonts w:hint="eastAsia" w:ascii="宋体" w:hAnsi="宋体" w:cs="宋体"/>
          <w:color w:val="auto"/>
          <w:szCs w:val="24"/>
          <w:highlight w:val="none"/>
        </w:rPr>
        <w:t xml:space="preserve">本公司（联合体）郑重声明，根据《政府采购促进中小企业发展管理办法》（财库﹝2020﹞46 号）的规定，本公司（联合体）参加 </w:t>
      </w:r>
      <w:r>
        <w:rPr>
          <w:rFonts w:hint="eastAsia" w:ascii="宋体" w:hAnsi="宋体" w:cs="宋体"/>
          <w:color w:val="auto"/>
          <w:szCs w:val="24"/>
          <w:highlight w:val="none"/>
          <w:u w:val="single"/>
        </w:rPr>
        <w:t>（单位名称）</w:t>
      </w:r>
      <w:r>
        <w:rPr>
          <w:rFonts w:hint="eastAsia" w:ascii="宋体" w:hAnsi="宋体" w:cs="宋体"/>
          <w:color w:val="auto"/>
          <w:szCs w:val="24"/>
          <w:highlight w:val="none"/>
        </w:rPr>
        <w:t xml:space="preserve"> 的 </w:t>
      </w:r>
      <w:r>
        <w:rPr>
          <w:rFonts w:hint="eastAsia" w:ascii="宋体" w:hAnsi="宋体" w:cs="宋体"/>
          <w:color w:val="auto"/>
          <w:szCs w:val="24"/>
          <w:highlight w:val="none"/>
          <w:u w:val="single"/>
        </w:rPr>
        <w:t>（项目名称）</w:t>
      </w:r>
      <w:r>
        <w:rPr>
          <w:rFonts w:hint="eastAsia" w:ascii="宋体" w:hAnsi="宋体" w:cs="宋体"/>
          <w:color w:val="auto"/>
          <w:szCs w:val="24"/>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pStyle w:val="103"/>
        <w:shd w:val="clear"/>
        <w:spacing w:line="460" w:lineRule="exact"/>
        <w:ind w:right="157" w:firstLine="1000" w:firstLineChars="417"/>
        <w:rPr>
          <w:rFonts w:hint="eastAsia" w:ascii="宋体" w:hAnsi="宋体" w:cs="宋体"/>
          <w:color w:val="auto"/>
          <w:szCs w:val="24"/>
          <w:highlight w:val="none"/>
        </w:rPr>
      </w:pPr>
      <w:r>
        <w:rPr>
          <w:rFonts w:hint="eastAsia" w:ascii="宋体" w:hAnsi="宋体" w:cs="宋体"/>
          <w:color w:val="auto"/>
          <w:szCs w:val="24"/>
          <w:highlight w:val="none"/>
        </w:rPr>
        <w:t xml:space="preserve">1. </w:t>
      </w:r>
      <w:r>
        <w:rPr>
          <w:rFonts w:hint="eastAsia" w:ascii="宋体" w:hAnsi="宋体" w:cs="宋体"/>
          <w:color w:val="auto"/>
          <w:szCs w:val="24"/>
          <w:highlight w:val="none"/>
          <w:u w:val="single"/>
        </w:rPr>
        <w:t xml:space="preserve">（标的名称） </w:t>
      </w:r>
      <w:r>
        <w:rPr>
          <w:rFonts w:hint="eastAsia" w:ascii="宋体" w:hAnsi="宋体" w:cs="宋体"/>
          <w:color w:val="auto"/>
          <w:szCs w:val="24"/>
          <w:highlight w:val="none"/>
        </w:rPr>
        <w:t>，属于</w:t>
      </w:r>
      <w:r>
        <w:rPr>
          <w:rFonts w:hint="eastAsia" w:ascii="宋体" w:hAnsi="宋体" w:cs="宋体"/>
          <w:color w:val="auto"/>
          <w:szCs w:val="24"/>
          <w:highlight w:val="none"/>
          <w:u w:val="single"/>
        </w:rPr>
        <w:t xml:space="preserve"> （采购文件中明确的所属行业）</w:t>
      </w:r>
      <w:r>
        <w:rPr>
          <w:rFonts w:hint="eastAsia" w:ascii="宋体" w:hAnsi="宋体" w:cs="宋体"/>
          <w:color w:val="auto"/>
          <w:szCs w:val="24"/>
          <w:highlight w:val="none"/>
        </w:rPr>
        <w:t xml:space="preserve"> ；承建（承接）企业为 </w:t>
      </w:r>
      <w:r>
        <w:rPr>
          <w:rFonts w:hint="eastAsia" w:ascii="宋体" w:hAnsi="宋体" w:cs="宋体"/>
          <w:color w:val="auto"/>
          <w:szCs w:val="24"/>
          <w:highlight w:val="none"/>
          <w:u w:val="single"/>
        </w:rPr>
        <w:t>（企业名称）</w:t>
      </w:r>
      <w:r>
        <w:rPr>
          <w:rFonts w:hint="eastAsia" w:ascii="宋体" w:hAnsi="宋体" w:cs="宋体"/>
          <w:color w:val="auto"/>
          <w:szCs w:val="24"/>
          <w:highlight w:val="none"/>
        </w:rPr>
        <w:t xml:space="preserve"> ，从业人员</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人，营业收入为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万元，资产总额为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万元，属于 </w:t>
      </w:r>
      <w:r>
        <w:rPr>
          <w:rFonts w:hint="eastAsia" w:ascii="宋体" w:hAnsi="宋体" w:cs="宋体"/>
          <w:color w:val="auto"/>
          <w:szCs w:val="24"/>
          <w:highlight w:val="none"/>
          <w:u w:val="single"/>
        </w:rPr>
        <w:t>（中型企业、小型企业、微型企业）</w:t>
      </w:r>
      <w:r>
        <w:rPr>
          <w:rFonts w:hint="eastAsia" w:ascii="宋体" w:hAnsi="宋体" w:cs="宋体"/>
          <w:color w:val="auto"/>
          <w:szCs w:val="24"/>
          <w:highlight w:val="none"/>
        </w:rPr>
        <w:t xml:space="preserve"> ；</w:t>
      </w:r>
    </w:p>
    <w:p>
      <w:pPr>
        <w:pStyle w:val="103"/>
        <w:shd w:val="clear"/>
        <w:spacing w:line="460" w:lineRule="exact"/>
        <w:ind w:right="157" w:firstLine="1000" w:firstLineChars="417"/>
        <w:rPr>
          <w:rFonts w:hint="eastAsia" w:ascii="宋体" w:hAnsi="宋体" w:cs="宋体"/>
          <w:color w:val="auto"/>
          <w:szCs w:val="24"/>
          <w:highlight w:val="none"/>
        </w:rPr>
      </w:pPr>
      <w:r>
        <w:rPr>
          <w:rFonts w:hint="eastAsia" w:ascii="宋体" w:hAnsi="宋体" w:cs="宋体"/>
          <w:color w:val="auto"/>
          <w:szCs w:val="24"/>
          <w:highlight w:val="none"/>
        </w:rPr>
        <w:t xml:space="preserve">2. </w:t>
      </w:r>
      <w:r>
        <w:rPr>
          <w:rFonts w:hint="eastAsia" w:ascii="宋体" w:hAnsi="宋体" w:cs="宋体"/>
          <w:color w:val="auto"/>
          <w:szCs w:val="24"/>
          <w:highlight w:val="none"/>
          <w:u w:val="single"/>
        </w:rPr>
        <w:t xml:space="preserve">（标的名称） </w:t>
      </w:r>
      <w:r>
        <w:rPr>
          <w:rFonts w:hint="eastAsia" w:ascii="宋体" w:hAnsi="宋体" w:cs="宋体"/>
          <w:color w:val="auto"/>
          <w:szCs w:val="24"/>
          <w:highlight w:val="none"/>
        </w:rPr>
        <w:t xml:space="preserve">，属于 </w:t>
      </w:r>
      <w:r>
        <w:rPr>
          <w:rFonts w:hint="eastAsia" w:ascii="宋体" w:hAnsi="宋体" w:cs="宋体"/>
          <w:color w:val="auto"/>
          <w:szCs w:val="24"/>
          <w:highlight w:val="none"/>
          <w:u w:val="single"/>
        </w:rPr>
        <w:t>（采购文件中明确的所属行业）</w:t>
      </w:r>
      <w:r>
        <w:rPr>
          <w:rFonts w:hint="eastAsia" w:ascii="宋体" w:hAnsi="宋体" w:cs="宋体"/>
          <w:color w:val="auto"/>
          <w:szCs w:val="24"/>
          <w:highlight w:val="none"/>
        </w:rPr>
        <w:t xml:space="preserve"> ；承建（承接）企业为 </w:t>
      </w:r>
      <w:r>
        <w:rPr>
          <w:rFonts w:hint="eastAsia" w:ascii="宋体" w:hAnsi="宋体" w:cs="宋体"/>
          <w:color w:val="auto"/>
          <w:szCs w:val="24"/>
          <w:highlight w:val="none"/>
          <w:u w:val="single"/>
        </w:rPr>
        <w:t>（企业名称）</w:t>
      </w:r>
      <w:r>
        <w:rPr>
          <w:rFonts w:hint="eastAsia" w:ascii="宋体" w:hAnsi="宋体" w:cs="宋体"/>
          <w:color w:val="auto"/>
          <w:szCs w:val="24"/>
          <w:highlight w:val="none"/>
        </w:rPr>
        <w:t xml:space="preserve"> ，从业人员</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人，营业收入为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万元，资产总额为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万元，属于 </w:t>
      </w:r>
      <w:r>
        <w:rPr>
          <w:rFonts w:hint="eastAsia" w:ascii="宋体" w:hAnsi="宋体" w:cs="宋体"/>
          <w:color w:val="auto"/>
          <w:szCs w:val="24"/>
          <w:highlight w:val="none"/>
          <w:u w:val="single"/>
        </w:rPr>
        <w:t>（中型企业、小型企业、微型企业）</w:t>
      </w:r>
      <w:r>
        <w:rPr>
          <w:rFonts w:hint="eastAsia" w:ascii="宋体" w:hAnsi="宋体" w:cs="宋体"/>
          <w:color w:val="auto"/>
          <w:szCs w:val="24"/>
          <w:highlight w:val="none"/>
        </w:rPr>
        <w:t xml:space="preserve"> ；</w:t>
      </w:r>
    </w:p>
    <w:p>
      <w:pPr>
        <w:pStyle w:val="103"/>
        <w:shd w:val="clear"/>
        <w:spacing w:line="460" w:lineRule="exact"/>
        <w:ind w:right="157" w:firstLine="1000" w:firstLineChars="417"/>
        <w:rPr>
          <w:rFonts w:hint="eastAsia" w:ascii="宋体" w:hAnsi="宋体" w:cs="宋体"/>
          <w:color w:val="auto"/>
          <w:szCs w:val="24"/>
          <w:highlight w:val="none"/>
        </w:rPr>
      </w:pPr>
      <w:r>
        <w:rPr>
          <w:rFonts w:hint="eastAsia" w:ascii="宋体" w:hAnsi="宋体" w:cs="宋体"/>
          <w:color w:val="auto"/>
          <w:szCs w:val="24"/>
          <w:highlight w:val="none"/>
        </w:rPr>
        <w:t>……</w:t>
      </w:r>
    </w:p>
    <w:p>
      <w:pPr>
        <w:pStyle w:val="103"/>
        <w:shd w:val="clear"/>
        <w:spacing w:line="460" w:lineRule="exact"/>
        <w:ind w:right="157" w:firstLine="642"/>
        <w:rPr>
          <w:rFonts w:hint="eastAsia" w:ascii="宋体" w:hAnsi="宋体" w:cs="宋体"/>
          <w:color w:val="auto"/>
          <w:szCs w:val="24"/>
          <w:highlight w:val="none"/>
        </w:rPr>
      </w:pPr>
      <w:r>
        <w:rPr>
          <w:rFonts w:hint="eastAsia" w:ascii="宋体" w:hAnsi="宋体" w:cs="宋体"/>
          <w:color w:val="auto"/>
          <w:szCs w:val="24"/>
          <w:highlight w:val="none"/>
        </w:rPr>
        <w:t>以上企业，不属于大企业的分支机构，不存在控股股东为大企业的情形，也不存在与大企业的负责人为同一人的情形。</w:t>
      </w:r>
    </w:p>
    <w:p>
      <w:pPr>
        <w:pStyle w:val="103"/>
        <w:shd w:val="clear"/>
        <w:spacing w:line="460" w:lineRule="exact"/>
        <w:ind w:right="157" w:firstLine="642"/>
        <w:rPr>
          <w:rFonts w:hint="eastAsia" w:ascii="宋体" w:hAnsi="宋体" w:cs="宋体"/>
          <w:color w:val="auto"/>
          <w:szCs w:val="24"/>
          <w:highlight w:val="none"/>
        </w:rPr>
      </w:pPr>
      <w:r>
        <w:rPr>
          <w:rFonts w:hint="eastAsia" w:ascii="宋体" w:hAnsi="宋体" w:cs="宋体"/>
          <w:color w:val="auto"/>
          <w:szCs w:val="24"/>
          <w:highlight w:val="none"/>
        </w:rPr>
        <w:t>本企业对上述声明内容的真实性负责。如有虚假，将依法承担相应责任。</w:t>
      </w:r>
    </w:p>
    <w:p>
      <w:pPr>
        <w:pStyle w:val="60"/>
        <w:shd w:val="clear"/>
        <w:spacing w:line="460" w:lineRule="exact"/>
        <w:rPr>
          <w:rFonts w:hint="eastAsia" w:ascii="宋体" w:hAnsi="宋体" w:cs="宋体"/>
          <w:color w:val="auto"/>
          <w:szCs w:val="24"/>
          <w:highlight w:val="none"/>
        </w:rPr>
      </w:pPr>
    </w:p>
    <w:p>
      <w:pPr>
        <w:pStyle w:val="103"/>
        <w:shd w:val="clear"/>
        <w:spacing w:line="460" w:lineRule="exact"/>
        <w:ind w:right="157" w:firstLine="642"/>
        <w:rPr>
          <w:rFonts w:hint="eastAsia" w:ascii="宋体" w:hAnsi="宋体" w:cs="宋体"/>
          <w:color w:val="auto"/>
          <w:spacing w:val="20"/>
          <w:szCs w:val="24"/>
          <w:highlight w:val="none"/>
          <w:u w:val="single"/>
        </w:rPr>
      </w:pPr>
      <w:r>
        <w:rPr>
          <w:rFonts w:hint="eastAsia" w:ascii="宋体" w:hAnsi="宋体" w:cs="宋体"/>
          <w:color w:val="auto"/>
          <w:spacing w:val="20"/>
          <w:szCs w:val="24"/>
          <w:highlight w:val="none"/>
        </w:rPr>
        <w:t>供应商名称：</w:t>
      </w:r>
      <w:r>
        <w:rPr>
          <w:rFonts w:hint="eastAsia" w:ascii="宋体" w:hAnsi="宋体" w:cs="宋体"/>
          <w:color w:val="auto"/>
          <w:spacing w:val="20"/>
          <w:szCs w:val="24"/>
          <w:highlight w:val="none"/>
          <w:u w:val="single"/>
        </w:rPr>
        <w:t xml:space="preserve">       （盖章）   </w:t>
      </w:r>
      <w:r>
        <w:rPr>
          <w:rFonts w:hint="eastAsia" w:ascii="宋体" w:hAnsi="宋体" w:cs="宋体"/>
          <w:color w:val="auto"/>
          <w:spacing w:val="20"/>
          <w:szCs w:val="24"/>
          <w:highlight w:val="none"/>
        </w:rPr>
        <w:t xml:space="preserve">      日  期：</w:t>
      </w:r>
    </w:p>
    <w:p>
      <w:pPr>
        <w:pStyle w:val="60"/>
        <w:shd w:val="clear"/>
        <w:spacing w:line="460" w:lineRule="exact"/>
        <w:rPr>
          <w:rFonts w:ascii="微软雅黑" w:hAnsi="微软雅黑" w:eastAsia="微软雅黑"/>
          <w:color w:val="auto"/>
          <w:sz w:val="21"/>
          <w:szCs w:val="21"/>
          <w:highlight w:val="none"/>
        </w:rPr>
      </w:pPr>
    </w:p>
    <w:p>
      <w:pPr>
        <w:pStyle w:val="60"/>
        <w:shd w:val="clear"/>
        <w:spacing w:line="460" w:lineRule="exact"/>
        <w:rPr>
          <w:rFonts w:ascii="微软雅黑" w:hAnsi="微软雅黑" w:eastAsia="微软雅黑"/>
          <w:color w:val="auto"/>
          <w:sz w:val="21"/>
          <w:szCs w:val="21"/>
          <w:highlight w:val="none"/>
        </w:rPr>
      </w:pPr>
    </w:p>
    <w:p>
      <w:pPr>
        <w:pStyle w:val="60"/>
        <w:shd w:val="clear"/>
        <w:spacing w:line="460" w:lineRule="exact"/>
        <w:rPr>
          <w:rFonts w:ascii="微软雅黑" w:hAnsi="微软雅黑" w:eastAsia="微软雅黑"/>
          <w:color w:val="auto"/>
          <w:sz w:val="21"/>
          <w:szCs w:val="21"/>
          <w:highlight w:val="none"/>
        </w:rPr>
      </w:pPr>
    </w:p>
    <w:p>
      <w:pPr>
        <w:pStyle w:val="16"/>
        <w:shd w:val="clear"/>
        <w:snapToGrid w:val="0"/>
        <w:spacing w:line="460" w:lineRule="exact"/>
        <w:ind w:firstLine="480" w:firstLineChars="200"/>
        <w:jc w:val="left"/>
        <w:rPr>
          <w:rFonts w:hint="eastAsia" w:hAnsi="宋体" w:cs="宋体"/>
          <w:color w:val="auto"/>
          <w:sz w:val="24"/>
          <w:szCs w:val="24"/>
          <w:highlight w:val="none"/>
        </w:rPr>
      </w:pPr>
      <w:r>
        <w:rPr>
          <w:rFonts w:hint="eastAsia" w:hAnsi="宋体" w:cs="宋体"/>
          <w:color w:val="auto"/>
          <w:sz w:val="24"/>
          <w:szCs w:val="24"/>
          <w:highlight w:val="none"/>
        </w:rPr>
        <w:t>从业人员、营业收入、资产总额填报上一年度数据，无上一年度数据的新成立企业可不填报。</w:t>
      </w:r>
    </w:p>
    <w:p>
      <w:pPr>
        <w:widowControl/>
        <w:shd w:val="clear"/>
        <w:spacing w:line="400" w:lineRule="exact"/>
        <w:rPr>
          <w:rFonts w:hint="eastAsia" w:ascii="宋体" w:hAnsi="宋体"/>
          <w:b/>
          <w:color w:val="auto"/>
          <w:sz w:val="32"/>
          <w:szCs w:val="32"/>
          <w:highlight w:val="none"/>
        </w:rPr>
      </w:pPr>
    </w:p>
    <w:p>
      <w:pPr>
        <w:pStyle w:val="16"/>
        <w:shd w:val="clear"/>
        <w:snapToGrid w:val="0"/>
        <w:spacing w:line="460" w:lineRule="exact"/>
        <w:ind w:firstLine="480" w:firstLineChars="200"/>
        <w:jc w:val="left"/>
        <w:rPr>
          <w:rFonts w:hint="eastAsia" w:ascii="宋体" w:hAnsi="宋体" w:eastAsia="宋体" w:cs="宋体"/>
          <w:color w:val="auto"/>
          <w:sz w:val="24"/>
          <w:szCs w:val="24"/>
          <w:highlight w:val="none"/>
          <w:lang w:val="en-US" w:eastAsia="zh-CN" w:bidi="ar-SA"/>
        </w:rPr>
      </w:pPr>
    </w:p>
    <w:p>
      <w:pPr>
        <w:shd w:val="clear"/>
        <w:tabs>
          <w:tab w:val="left" w:pos="6264"/>
        </w:tabs>
        <w:snapToGrid w:val="0"/>
        <w:spacing w:line="400" w:lineRule="exact"/>
        <w:ind w:firstLine="476"/>
        <w:rPr>
          <w:rFonts w:ascii="宋体"/>
          <w:bCs/>
          <w:color w:val="auto"/>
          <w:sz w:val="24"/>
          <w:highlight w:val="none"/>
        </w:rPr>
      </w:pPr>
    </w:p>
    <w:p>
      <w:pPr>
        <w:pStyle w:val="28"/>
        <w:shd w:val="clear"/>
        <w:rPr>
          <w:rFonts w:ascii="宋体"/>
          <w:bCs/>
          <w:color w:val="auto"/>
          <w:sz w:val="24"/>
          <w:highlight w:val="none"/>
        </w:rPr>
      </w:pPr>
    </w:p>
    <w:p>
      <w:pPr>
        <w:shd w:val="clear"/>
        <w:rPr>
          <w:color w:val="auto"/>
          <w:highlight w:val="none"/>
        </w:rPr>
      </w:pPr>
    </w:p>
    <w:p>
      <w:pPr>
        <w:shd w:val="clear"/>
        <w:rPr>
          <w:color w:val="auto"/>
          <w:highlight w:val="none"/>
        </w:rPr>
      </w:pPr>
    </w:p>
    <w:p>
      <w:pPr>
        <w:shd w:val="clear"/>
        <w:spacing w:line="360" w:lineRule="auto"/>
        <w:rPr>
          <w:rFonts w:ascii="宋体" w:hAnsi="宋体"/>
          <w:color w:val="auto"/>
          <w:highlight w:val="none"/>
        </w:rPr>
      </w:pPr>
    </w:p>
    <w:p>
      <w:pPr>
        <w:shd w:val="clear"/>
        <w:snapToGrid w:val="0"/>
        <w:jc w:val="center"/>
        <w:rPr>
          <w:rFonts w:hint="eastAsia" w:ascii="宋体" w:hAnsi="宋体"/>
          <w:b/>
          <w:bCs/>
          <w:color w:val="auto"/>
          <w:sz w:val="32"/>
          <w:szCs w:val="32"/>
          <w:highlight w:val="none"/>
        </w:rPr>
      </w:pPr>
    </w:p>
    <w:p>
      <w:pPr>
        <w:shd w:val="clear"/>
        <w:snapToGrid w:val="0"/>
        <w:jc w:val="center"/>
        <w:rPr>
          <w:rFonts w:hint="eastAsia" w:ascii="宋体" w:hAnsi="宋体"/>
          <w:b/>
          <w:bCs/>
          <w:color w:val="auto"/>
          <w:sz w:val="32"/>
          <w:szCs w:val="32"/>
          <w:highlight w:val="none"/>
        </w:rPr>
      </w:pPr>
    </w:p>
    <w:p>
      <w:pPr>
        <w:shd w:val="clear"/>
        <w:snapToGrid w:val="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残疾人福利性单位声明函</w:t>
      </w:r>
    </w:p>
    <w:p>
      <w:pPr>
        <w:pStyle w:val="10"/>
        <w:shd w:val="clear"/>
        <w:rPr>
          <w:color w:val="auto"/>
          <w:highlight w:val="none"/>
        </w:rPr>
      </w:pPr>
    </w:p>
    <w:p>
      <w:pPr>
        <w:widowControl/>
        <w:shd w:val="clear"/>
        <w:wordWrap w:val="0"/>
        <w:spacing w:line="360" w:lineRule="auto"/>
        <w:jc w:val="left"/>
        <w:textAlignment w:val="top"/>
        <w:rPr>
          <w:rFonts w:hint="eastAsia" w:ascii="宋体" w:hAnsi="宋体" w:eastAsia="宋体" w:cs="宋体"/>
          <w:color w:val="auto"/>
          <w:kern w:val="0"/>
          <w:sz w:val="24"/>
          <w:highlight w:val="none"/>
          <w:lang w:eastAsia="zh-CN"/>
        </w:rPr>
      </w:pPr>
      <w:r>
        <w:rPr>
          <w:rFonts w:ascii="微软雅黑" w:hAnsi="微软雅黑" w:eastAsia="微软雅黑" w:cs="微软雅黑"/>
          <w:color w:val="auto"/>
          <w:kern w:val="0"/>
          <w:sz w:val="24"/>
          <w:highlight w:val="none"/>
        </w:rPr>
        <w:t>      </w:t>
      </w:r>
      <w:r>
        <w:rPr>
          <w:rFonts w:hint="eastAsia" w:ascii="宋体" w:hAnsi="宋体" w:cs="宋体"/>
          <w:color w:val="auto"/>
          <w:kern w:val="0"/>
          <w:sz w:val="24"/>
          <w:highlight w:val="none"/>
        </w:rPr>
        <w:t>本单位郑重声明，根据《财政部</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民政部</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中国残疾人联合会关于促进残疾人就业政府采购政策的通知》（财库〔</w:t>
      </w:r>
      <w:r>
        <w:rPr>
          <w:rFonts w:ascii="宋体" w:hAnsi="宋体" w:cs="宋体"/>
          <w:color w:val="auto"/>
          <w:kern w:val="0"/>
          <w:sz w:val="24"/>
          <w:highlight w:val="none"/>
        </w:rPr>
        <w:t>2017</w:t>
      </w:r>
      <w:r>
        <w:rPr>
          <w:rFonts w:hint="eastAsia" w:ascii="宋体" w:hAnsi="宋体" w:cs="宋体"/>
          <w:color w:val="auto"/>
          <w:kern w:val="0"/>
          <w:sz w:val="24"/>
          <w:highlight w:val="none"/>
        </w:rPr>
        <w:t>〕</w:t>
      </w:r>
      <w:r>
        <w:rPr>
          <w:rFonts w:ascii="宋体" w:hAnsi="宋体" w:cs="宋体"/>
          <w:color w:val="auto"/>
          <w:kern w:val="0"/>
          <w:sz w:val="24"/>
          <w:highlight w:val="none"/>
        </w:rPr>
        <w:t>141</w:t>
      </w:r>
      <w:r>
        <w:rPr>
          <w:rFonts w:hint="eastAsia" w:ascii="宋体" w:hAnsi="宋体" w:cs="宋体"/>
          <w:color w:val="auto"/>
          <w:kern w:val="0"/>
          <w:sz w:val="24"/>
          <w:highlight w:val="none"/>
        </w:rPr>
        <w:t>号）的规定，本单位为符合条件的残疾人福利性单位，且本单位参加</w:t>
      </w:r>
      <w:r>
        <w:rPr>
          <w:rFonts w:ascii="宋体" w:hAnsi="宋体" w:cs="宋体"/>
          <w:color w:val="auto"/>
          <w:kern w:val="0"/>
          <w:sz w:val="24"/>
          <w:highlight w:val="none"/>
        </w:rPr>
        <w:t>______</w:t>
      </w:r>
      <w:r>
        <w:rPr>
          <w:rFonts w:hint="eastAsia" w:ascii="宋体" w:hAnsi="宋体" w:cs="宋体"/>
          <w:color w:val="auto"/>
          <w:kern w:val="0"/>
          <w:sz w:val="24"/>
          <w:highlight w:val="none"/>
        </w:rPr>
        <w:t>单位的</w:t>
      </w:r>
      <w:r>
        <w:rPr>
          <w:rFonts w:ascii="宋体" w:hAnsi="宋体" w:cs="宋体"/>
          <w:color w:val="auto"/>
          <w:kern w:val="0"/>
          <w:sz w:val="24"/>
          <w:highlight w:val="none"/>
        </w:rPr>
        <w:t>______</w:t>
      </w:r>
      <w:r>
        <w:rPr>
          <w:rFonts w:hint="eastAsia" w:ascii="宋体" w:hAnsi="宋体" w:cs="宋体"/>
          <w:color w:val="auto"/>
          <w:kern w:val="0"/>
          <w:sz w:val="24"/>
          <w:highlight w:val="none"/>
        </w:rPr>
        <w:t>项目采购活动提供本单位制造的货物（由本单位承担工程</w:t>
      </w:r>
      <w:r>
        <w:rPr>
          <w:rFonts w:ascii="宋体" w:hAnsi="宋体" w:cs="宋体"/>
          <w:color w:val="auto"/>
          <w:kern w:val="0"/>
          <w:sz w:val="24"/>
          <w:highlight w:val="none"/>
        </w:rPr>
        <w:t>/</w:t>
      </w:r>
      <w:r>
        <w:rPr>
          <w:rFonts w:hint="eastAsia" w:ascii="宋体" w:hAnsi="宋体" w:cs="宋体"/>
          <w:color w:val="auto"/>
          <w:kern w:val="0"/>
          <w:sz w:val="24"/>
          <w:highlight w:val="none"/>
        </w:rPr>
        <w:t>提供服务），或者提供其他残疾人福利性单位制造的货物（不包括使用非残疾人福利性单位注册商标的货物）。</w:t>
      </w:r>
    </w:p>
    <w:p>
      <w:pPr>
        <w:widowControl/>
        <w:shd w:val="clear"/>
        <w:wordWrap w:val="0"/>
        <w:spacing w:line="360" w:lineRule="auto"/>
        <w:jc w:val="left"/>
        <w:textAlignment w:val="top"/>
        <w:rPr>
          <w:rFonts w:ascii="宋体" w:cs="宋体"/>
          <w:color w:val="auto"/>
          <w:sz w:val="24"/>
          <w:highlight w:val="none"/>
        </w:rPr>
      </w:pPr>
      <w:r>
        <w:rPr>
          <w:rFonts w:ascii="宋体" w:cs="宋体"/>
          <w:color w:val="auto"/>
          <w:kern w:val="0"/>
          <w:sz w:val="24"/>
          <w:highlight w:val="none"/>
        </w:rPr>
        <w:t>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本单位对上述声明的真实性负责。如有虚假，将依法承担相应责任。</w:t>
      </w:r>
    </w:p>
    <w:p>
      <w:pPr>
        <w:widowControl/>
        <w:shd w:val="clear"/>
        <w:wordWrap w:val="0"/>
        <w:spacing w:line="23" w:lineRule="atLeast"/>
        <w:jc w:val="right"/>
        <w:textAlignment w:val="top"/>
        <w:rPr>
          <w:rFonts w:ascii="宋体" w:cs="宋体"/>
          <w:color w:val="auto"/>
          <w:kern w:val="0"/>
          <w:sz w:val="24"/>
          <w:highlight w:val="none"/>
        </w:rPr>
      </w:pPr>
    </w:p>
    <w:p>
      <w:pPr>
        <w:widowControl/>
        <w:shd w:val="clear"/>
        <w:spacing w:line="360" w:lineRule="auto"/>
        <w:jc w:val="right"/>
        <w:textAlignment w:val="top"/>
        <w:rPr>
          <w:rFonts w:hint="eastAsia" w:ascii="宋体" w:hAnsi="宋体" w:cs="宋体"/>
          <w:color w:val="auto"/>
          <w:kern w:val="0"/>
          <w:sz w:val="24"/>
          <w:highlight w:val="none"/>
        </w:rPr>
      </w:pPr>
      <w:r>
        <w:rPr>
          <w:rFonts w:hint="eastAsia" w:ascii="宋体" w:hAnsi="宋体" w:cs="宋体"/>
          <w:color w:val="auto"/>
          <w:kern w:val="0"/>
          <w:sz w:val="24"/>
          <w:highlight w:val="none"/>
        </w:rPr>
        <w:t>单位名称（盖章）：</w:t>
      </w:r>
    </w:p>
    <w:p>
      <w:pPr>
        <w:pStyle w:val="10"/>
        <w:shd w:val="clear"/>
        <w:rPr>
          <w:color w:val="auto"/>
          <w:highlight w:val="none"/>
        </w:rPr>
      </w:pPr>
    </w:p>
    <w:p>
      <w:pPr>
        <w:shd w:val="clear"/>
        <w:spacing w:line="400" w:lineRule="exact"/>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期：</w:t>
      </w: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hint="eastAsia" w:ascii="宋体" w:hAnsi="宋体"/>
          <w:b/>
          <w:color w:val="auto"/>
          <w:sz w:val="32"/>
          <w:szCs w:val="32"/>
          <w:highlight w:val="none"/>
        </w:rPr>
      </w:pPr>
    </w:p>
    <w:p>
      <w:pPr>
        <w:pStyle w:val="12"/>
        <w:shd w:val="clear"/>
        <w:rPr>
          <w:rFonts w:hint="eastAsia"/>
          <w:color w:val="auto"/>
          <w:highlight w:val="none"/>
        </w:rPr>
      </w:pPr>
    </w:p>
    <w:p>
      <w:pPr>
        <w:shd w:val="clear"/>
        <w:spacing w:line="400" w:lineRule="exact"/>
        <w:rPr>
          <w:rFonts w:hint="eastAsia" w:ascii="宋体" w:hAnsi="宋体"/>
          <w:b/>
          <w:color w:val="auto"/>
          <w:sz w:val="32"/>
          <w:szCs w:val="32"/>
          <w:highlight w:val="none"/>
        </w:rPr>
      </w:pPr>
    </w:p>
    <w:p>
      <w:pPr>
        <w:shd w:val="clear"/>
        <w:spacing w:line="400" w:lineRule="exact"/>
        <w:rPr>
          <w:rFonts w:ascii="宋体"/>
          <w:b/>
          <w:color w:val="auto"/>
          <w:sz w:val="32"/>
          <w:szCs w:val="32"/>
          <w:highlight w:val="none"/>
        </w:rPr>
      </w:pPr>
      <w:r>
        <w:rPr>
          <w:rFonts w:hint="eastAsia" w:ascii="宋体" w:hAnsi="宋体"/>
          <w:b/>
          <w:color w:val="auto"/>
          <w:sz w:val="32"/>
          <w:szCs w:val="32"/>
          <w:highlight w:val="none"/>
        </w:rPr>
        <w:t>附件4</w:t>
      </w:r>
      <w:r>
        <w:rPr>
          <w:rFonts w:ascii="宋体" w:hAnsi="宋体"/>
          <w:b/>
          <w:color w:val="auto"/>
          <w:sz w:val="32"/>
          <w:szCs w:val="32"/>
          <w:highlight w:val="none"/>
        </w:rPr>
        <w:t xml:space="preserve">  </w:t>
      </w:r>
      <w:r>
        <w:rPr>
          <w:rFonts w:hint="eastAsia" w:ascii="宋体" w:hAnsi="宋体"/>
          <w:b/>
          <w:color w:val="auto"/>
          <w:sz w:val="32"/>
          <w:szCs w:val="32"/>
          <w:highlight w:val="none"/>
        </w:rPr>
        <w:t xml:space="preserve">        供应商类似业绩一览表</w:t>
      </w:r>
    </w:p>
    <w:p>
      <w:pPr>
        <w:shd w:val="clear"/>
        <w:spacing w:line="400" w:lineRule="exact"/>
        <w:rPr>
          <w:rFonts w:ascii="楷体_GB2312" w:hAnsi="宋体" w:eastAsia="楷体_GB2312" w:cs="Arial"/>
          <w:color w:val="auto"/>
          <w:sz w:val="24"/>
          <w:highlight w:val="none"/>
        </w:rPr>
      </w:pPr>
    </w:p>
    <w:tbl>
      <w:tblPr>
        <w:tblStyle w:val="35"/>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0"/>
        <w:gridCol w:w="1619"/>
        <w:gridCol w:w="2170"/>
        <w:gridCol w:w="21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3" w:hRule="atLeast"/>
        </w:trPr>
        <w:tc>
          <w:tcPr>
            <w:tcW w:w="2600" w:type="dxa"/>
            <w:vMerge w:val="restart"/>
            <w:tcBorders>
              <w:top w:val="single" w:color="auto" w:sz="4" w:space="0"/>
              <w:bottom w:val="single" w:color="auto" w:sz="4" w:space="0"/>
              <w:right w:val="single" w:color="auto" w:sz="4" w:space="0"/>
            </w:tcBorders>
            <w:vAlign w:val="center"/>
          </w:tcPr>
          <w:p>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采购单位名称</w:t>
            </w:r>
          </w:p>
        </w:tc>
        <w:tc>
          <w:tcPr>
            <w:tcW w:w="161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项目名称</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合同金额</w:t>
            </w:r>
          </w:p>
          <w:p>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（万元）</w:t>
            </w:r>
          </w:p>
        </w:tc>
        <w:tc>
          <w:tcPr>
            <w:tcW w:w="2139" w:type="dxa"/>
            <w:vMerge w:val="restart"/>
            <w:tcBorders>
              <w:top w:val="single" w:color="auto" w:sz="4" w:space="0"/>
              <w:left w:val="single" w:color="auto" w:sz="4" w:space="0"/>
              <w:bottom w:val="single" w:color="auto" w:sz="4" w:space="0"/>
            </w:tcBorders>
            <w:vAlign w:val="center"/>
          </w:tcPr>
          <w:p>
            <w:pPr>
              <w:keepNext w:val="0"/>
              <w:keepLines w:val="0"/>
              <w:suppressLineNumbers w:val="0"/>
              <w:shd w:val="clear"/>
              <w:snapToGrid w:val="0"/>
              <w:spacing w:before="0" w:beforeAutospacing="0" w:after="0" w:afterAutospacing="0" w:line="240" w:lineRule="exact"/>
              <w:ind w:left="0" w:right="0"/>
              <w:jc w:val="center"/>
              <w:rPr>
                <w:rFonts w:hint="default" w:ascii="宋体"/>
                <w:color w:val="auto"/>
                <w:sz w:val="24"/>
                <w:highlight w:val="none"/>
              </w:rPr>
            </w:pPr>
            <w:r>
              <w:rPr>
                <w:rFonts w:hint="eastAsia" w:ascii="宋体" w:hAnsi="宋体"/>
                <w:color w:val="auto"/>
                <w:sz w:val="24"/>
                <w:highlight w:val="none"/>
              </w:rPr>
              <w:t>完成情况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2600" w:type="dxa"/>
            <w:vMerge w:val="continue"/>
            <w:tcBorders>
              <w:top w:val="single" w:color="auto" w:sz="4" w:space="0"/>
              <w:bottom w:val="single" w:color="auto" w:sz="4" w:space="0"/>
              <w:right w:val="single" w:color="auto" w:sz="4" w:space="0"/>
            </w:tcBorders>
            <w:vAlign w:val="center"/>
          </w:tcPr>
          <w:p>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161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c>
          <w:tcPr>
            <w:tcW w:w="2139" w:type="dxa"/>
            <w:vMerge w:val="continue"/>
            <w:tcBorders>
              <w:top w:val="single" w:color="auto" w:sz="4" w:space="0"/>
              <w:left w:val="single" w:color="auto" w:sz="4" w:space="0"/>
              <w:bottom w:val="single" w:color="auto" w:sz="4" w:space="0"/>
            </w:tcBorders>
            <w:vAlign w:val="center"/>
          </w:tcPr>
          <w:p>
            <w:pPr>
              <w:keepNext w:val="0"/>
              <w:keepLines w:val="0"/>
              <w:widowControl/>
              <w:suppressLineNumbers w:val="0"/>
              <w:shd w:val="clear"/>
              <w:spacing w:before="0" w:beforeAutospacing="0" w:after="0" w:afterAutospacing="0"/>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0" w:beforeAutospacing="0" w:after="0" w:afterAutospacing="0" w:line="240" w:lineRule="exact"/>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2600" w:type="dxa"/>
            <w:tcBorders>
              <w:top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1619"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70" w:type="dxa"/>
            <w:tcBorders>
              <w:top w:val="single" w:color="auto" w:sz="4" w:space="0"/>
              <w:left w:val="single" w:color="auto" w:sz="4" w:space="0"/>
              <w:bottom w:val="single" w:color="auto" w:sz="4" w:space="0"/>
              <w:right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c>
          <w:tcPr>
            <w:tcW w:w="2139" w:type="dxa"/>
            <w:tcBorders>
              <w:top w:val="single" w:color="auto" w:sz="4" w:space="0"/>
              <w:left w:val="single" w:color="auto" w:sz="4" w:space="0"/>
              <w:bottom w:val="single" w:color="auto" w:sz="4" w:space="0"/>
            </w:tcBorders>
          </w:tcPr>
          <w:p>
            <w:pPr>
              <w:keepNext w:val="0"/>
              <w:keepLines w:val="0"/>
              <w:suppressLineNumbers w:val="0"/>
              <w:shd w:val="clear"/>
              <w:snapToGrid w:val="0"/>
              <w:spacing w:before="50" w:beforeAutospacing="0" w:after="120" w:afterLines="50" w:afterAutospacing="0" w:line="400" w:lineRule="exact"/>
              <w:ind w:left="0" w:right="0"/>
              <w:jc w:val="left"/>
              <w:rPr>
                <w:rFonts w:hint="default" w:ascii="宋体"/>
                <w:color w:val="auto"/>
                <w:sz w:val="24"/>
                <w:highlight w:val="none"/>
              </w:rPr>
            </w:pPr>
          </w:p>
        </w:tc>
      </w:tr>
    </w:tbl>
    <w:p>
      <w:pPr>
        <w:shd w:val="clear"/>
        <w:autoSpaceDE w:val="0"/>
        <w:autoSpaceDN w:val="0"/>
        <w:adjustRightInd w:val="0"/>
        <w:spacing w:line="440" w:lineRule="exact"/>
        <w:rPr>
          <w:rFonts w:ascii="宋体"/>
          <w:color w:val="auto"/>
          <w:sz w:val="24"/>
          <w:highlight w:val="none"/>
        </w:rPr>
      </w:pPr>
      <w:r>
        <w:rPr>
          <w:rFonts w:hint="eastAsia" w:ascii="宋体" w:hAnsi="宋体"/>
          <w:b/>
          <w:color w:val="auto"/>
          <w:sz w:val="24"/>
          <w:highlight w:val="none"/>
        </w:rPr>
        <w:t>注：供应商可按上述的格式自行编制，须随表提交相应的合同</w:t>
      </w:r>
      <w:r>
        <w:rPr>
          <w:rFonts w:hint="eastAsia" w:ascii="宋体" w:hAnsi="宋体"/>
          <w:b/>
          <w:color w:val="auto"/>
          <w:sz w:val="24"/>
          <w:highlight w:val="none"/>
          <w:lang w:val="en-US" w:eastAsia="zh-CN"/>
        </w:rPr>
        <w:t>扫描</w:t>
      </w:r>
      <w:r>
        <w:rPr>
          <w:rFonts w:hint="eastAsia" w:ascii="宋体" w:hAnsi="宋体"/>
          <w:b/>
          <w:color w:val="auto"/>
          <w:sz w:val="24"/>
          <w:highlight w:val="none"/>
        </w:rPr>
        <w:t>件。（加盖单位公章）</w:t>
      </w:r>
    </w:p>
    <w:p>
      <w:pPr>
        <w:shd w:val="clear"/>
        <w:spacing w:line="300" w:lineRule="exact"/>
        <w:rPr>
          <w:rFonts w:ascii="宋体" w:hAnsi="宋体"/>
          <w:color w:val="auto"/>
          <w:spacing w:val="20"/>
          <w:sz w:val="24"/>
          <w:highlight w:val="none"/>
        </w:rPr>
      </w:pPr>
    </w:p>
    <w:p>
      <w:pPr>
        <w:shd w:val="clear"/>
        <w:spacing w:line="300" w:lineRule="exact"/>
        <w:ind w:firstLine="6860" w:firstLineChars="2450"/>
        <w:rPr>
          <w:rFonts w:ascii="宋体" w:hAnsi="宋体"/>
          <w:color w:val="auto"/>
          <w:spacing w:val="20"/>
          <w:sz w:val="24"/>
          <w:highlight w:val="none"/>
        </w:rPr>
      </w:pPr>
    </w:p>
    <w:p>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法定代表人或被授权人签字（或签章）：</w:t>
      </w:r>
    </w:p>
    <w:p>
      <w:pPr>
        <w:shd w:val="clear"/>
        <w:spacing w:before="120" w:beforeLines="50" w:line="360" w:lineRule="auto"/>
        <w:rPr>
          <w:rFonts w:ascii="宋体" w:hAnsi="宋体"/>
          <w:color w:val="auto"/>
          <w:sz w:val="24"/>
          <w:highlight w:val="none"/>
        </w:rPr>
      </w:pPr>
    </w:p>
    <w:p>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供应商盖章：</w:t>
      </w:r>
    </w:p>
    <w:p>
      <w:pPr>
        <w:shd w:val="clear"/>
        <w:spacing w:before="120" w:beforeLines="50" w:line="360" w:lineRule="auto"/>
        <w:rPr>
          <w:rFonts w:ascii="宋体" w:hAnsi="宋体"/>
          <w:color w:val="auto"/>
          <w:sz w:val="24"/>
          <w:highlight w:val="none"/>
        </w:rPr>
      </w:pPr>
    </w:p>
    <w:p>
      <w:pPr>
        <w:shd w:val="clear"/>
        <w:spacing w:before="120" w:beforeLines="50" w:line="360" w:lineRule="auto"/>
        <w:rPr>
          <w:rFonts w:ascii="宋体" w:hAnsi="宋体"/>
          <w:color w:val="auto"/>
          <w:sz w:val="24"/>
          <w:highlight w:val="none"/>
        </w:rPr>
      </w:pPr>
      <w:r>
        <w:rPr>
          <w:rFonts w:hint="eastAsia" w:ascii="宋体" w:hAnsi="宋体"/>
          <w:color w:val="auto"/>
          <w:sz w:val="24"/>
          <w:highlight w:val="none"/>
        </w:rPr>
        <w:t>日期：</w:t>
      </w:r>
    </w:p>
    <w:p>
      <w:pPr>
        <w:shd w:val="clear"/>
        <w:tabs>
          <w:tab w:val="left" w:pos="1418"/>
        </w:tabs>
        <w:spacing w:line="300" w:lineRule="exact"/>
        <w:jc w:val="left"/>
        <w:rPr>
          <w:rFonts w:ascii="宋体" w:hAnsi="宋体"/>
          <w:color w:val="auto"/>
          <w:spacing w:val="20"/>
          <w:sz w:val="24"/>
          <w:highlight w:val="none"/>
        </w:rPr>
      </w:pPr>
    </w:p>
    <w:p>
      <w:pPr>
        <w:shd w:val="clear"/>
        <w:tabs>
          <w:tab w:val="left" w:pos="1418"/>
        </w:tabs>
        <w:spacing w:line="300" w:lineRule="exact"/>
        <w:jc w:val="left"/>
        <w:rPr>
          <w:rFonts w:ascii="宋体" w:hAnsi="宋体"/>
          <w:color w:val="auto"/>
          <w:spacing w:val="20"/>
          <w:sz w:val="24"/>
          <w:highlight w:val="none"/>
        </w:rPr>
      </w:pPr>
    </w:p>
    <w:p>
      <w:pPr>
        <w:shd w:val="clear"/>
        <w:tabs>
          <w:tab w:val="left" w:pos="1418"/>
        </w:tabs>
        <w:spacing w:line="300" w:lineRule="exact"/>
        <w:jc w:val="left"/>
        <w:rPr>
          <w:rFonts w:ascii="宋体" w:hAnsi="宋体"/>
          <w:color w:val="auto"/>
          <w:spacing w:val="20"/>
          <w:sz w:val="24"/>
          <w:highlight w:val="none"/>
        </w:rPr>
      </w:pPr>
    </w:p>
    <w:p>
      <w:pPr>
        <w:shd w:val="clear"/>
        <w:tabs>
          <w:tab w:val="left" w:pos="1418"/>
        </w:tabs>
        <w:spacing w:line="300" w:lineRule="exact"/>
        <w:jc w:val="left"/>
        <w:rPr>
          <w:rFonts w:ascii="宋体" w:hAnsi="宋体"/>
          <w:color w:val="auto"/>
          <w:spacing w:val="20"/>
          <w:sz w:val="24"/>
          <w:highlight w:val="none"/>
        </w:rPr>
      </w:pPr>
    </w:p>
    <w:p>
      <w:pPr>
        <w:shd w:val="clear"/>
        <w:tabs>
          <w:tab w:val="left" w:pos="1418"/>
        </w:tabs>
        <w:spacing w:line="300" w:lineRule="exact"/>
        <w:jc w:val="left"/>
        <w:rPr>
          <w:rFonts w:ascii="宋体"/>
          <w:color w:val="auto"/>
          <w:spacing w:val="20"/>
          <w:sz w:val="24"/>
          <w:highlight w:val="none"/>
          <w:u w:val="single"/>
        </w:rPr>
        <w:sectPr>
          <w:pgSz w:w="11906" w:h="16838"/>
          <w:pgMar w:top="1247" w:right="1797" w:bottom="1474" w:left="1797" w:header="851" w:footer="851" w:gutter="0"/>
          <w:cols w:space="720" w:num="1"/>
          <w:titlePg/>
          <w:docGrid w:linePitch="312" w:charSpace="0"/>
        </w:sectPr>
      </w:pPr>
    </w:p>
    <w:p>
      <w:pPr>
        <w:shd w:val="clear"/>
        <w:snapToGrid w:val="0"/>
        <w:spacing w:line="360" w:lineRule="auto"/>
        <w:rPr>
          <w:rFonts w:ascii="宋体"/>
          <w:color w:val="auto"/>
          <w:sz w:val="24"/>
          <w:highlight w:val="none"/>
        </w:rPr>
      </w:pPr>
      <w:r>
        <w:rPr>
          <w:rFonts w:hint="eastAsia" w:hAnsi="宋体"/>
          <w:b/>
          <w:bCs/>
          <w:color w:val="auto"/>
          <w:sz w:val="30"/>
          <w:szCs w:val="30"/>
          <w:highlight w:val="none"/>
        </w:rPr>
        <w:t>附件5</w:t>
      </w:r>
      <w:r>
        <w:rPr>
          <w:rFonts w:hAnsi="宋体"/>
          <w:b/>
          <w:bCs/>
          <w:color w:val="auto"/>
          <w:sz w:val="30"/>
          <w:szCs w:val="30"/>
          <w:highlight w:val="none"/>
        </w:rPr>
        <w:t xml:space="preserve">         </w:t>
      </w:r>
    </w:p>
    <w:p>
      <w:pPr>
        <w:shd w:val="clear"/>
        <w:spacing w:line="360" w:lineRule="auto"/>
        <w:jc w:val="center"/>
        <w:rPr>
          <w:rFonts w:ascii="宋体"/>
          <w:b/>
          <w:color w:val="auto"/>
          <w:sz w:val="30"/>
          <w:szCs w:val="30"/>
          <w:highlight w:val="none"/>
        </w:rPr>
      </w:pPr>
      <w:r>
        <w:rPr>
          <w:rFonts w:hint="eastAsia" w:ascii="宋体" w:hAnsi="宋体"/>
          <w:b/>
          <w:color w:val="auto"/>
          <w:sz w:val="30"/>
          <w:szCs w:val="30"/>
          <w:highlight w:val="none"/>
        </w:rPr>
        <w:t>诚信承诺书</w:t>
      </w:r>
    </w:p>
    <w:p>
      <w:pPr>
        <w:shd w:val="clear"/>
        <w:rPr>
          <w:rFonts w:ascii="宋体"/>
          <w:color w:val="auto"/>
          <w:sz w:val="24"/>
          <w:highlight w:val="none"/>
        </w:rPr>
      </w:pPr>
      <w:r>
        <w:rPr>
          <w:rFonts w:hint="eastAsia" w:ascii="宋体" w:hAnsi="宋体"/>
          <w:color w:val="auto"/>
          <w:sz w:val="24"/>
          <w:highlight w:val="none"/>
          <w:u w:val="single"/>
        </w:rPr>
        <w:t>（采购人或招标组织机构）</w:t>
      </w:r>
      <w:r>
        <w:rPr>
          <w:rFonts w:hint="eastAsia" w:ascii="宋体" w:hAnsi="宋体"/>
          <w:color w:val="auto"/>
          <w:sz w:val="24"/>
          <w:highlight w:val="none"/>
        </w:rPr>
        <w:t>：</w:t>
      </w:r>
    </w:p>
    <w:p>
      <w:pPr>
        <w:shd w:val="clear"/>
        <w:ind w:firstLine="480" w:firstLineChars="200"/>
        <w:rPr>
          <w:rFonts w:ascii="宋体"/>
          <w:color w:val="auto"/>
          <w:sz w:val="24"/>
          <w:highlight w:val="none"/>
        </w:rPr>
      </w:pPr>
      <w:r>
        <w:rPr>
          <w:rFonts w:hint="eastAsia" w:ascii="宋体" w:hAnsi="宋体"/>
          <w:color w:val="auto"/>
          <w:sz w:val="24"/>
          <w:highlight w:val="none"/>
        </w:rPr>
        <w:t>我方在参加贵单位的＿＿＿＿＿＿＿＿＿＿政府采购项目的磋商活动中，郑重承诺如下：</w:t>
      </w:r>
    </w:p>
    <w:p>
      <w:pPr>
        <w:shd w:val="clear"/>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、我方申报的所有资料都是真实、准确、完整的；</w:t>
      </w:r>
    </w:p>
    <w:p>
      <w:pPr>
        <w:shd w:val="clear"/>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、我方无资质挂靠情形，保证不参与串标、围标及抬标；</w:t>
      </w:r>
    </w:p>
    <w:p>
      <w:pPr>
        <w:shd w:val="clear"/>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、我方未处于被各级行政主管部门做出停止市场行为处罚的期限内；</w:t>
      </w:r>
    </w:p>
    <w:p>
      <w:pPr>
        <w:shd w:val="clear"/>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、我方参加本项目政府采购活动前</w:t>
      </w:r>
      <w:r>
        <w:rPr>
          <w:rFonts w:ascii="宋体" w:hAnsi="宋体"/>
          <w:color w:val="auto"/>
          <w:sz w:val="24"/>
          <w:highlight w:val="none"/>
        </w:rPr>
        <w:t>3</w:t>
      </w:r>
      <w:r>
        <w:rPr>
          <w:rFonts w:hint="eastAsia" w:ascii="宋体" w:hAnsi="宋体"/>
          <w:color w:val="auto"/>
          <w:sz w:val="24"/>
          <w:highlight w:val="none"/>
        </w:rPr>
        <w:t>年内在经营活动中没有重大违法记录；</w:t>
      </w:r>
    </w:p>
    <w:p>
      <w:pPr>
        <w:shd w:val="clear"/>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、若我方成交，将严格按照规定及时与采购人签订合同；</w:t>
      </w:r>
    </w:p>
    <w:p>
      <w:pPr>
        <w:shd w:val="clear"/>
        <w:ind w:firstLine="480" w:firstLineChars="200"/>
        <w:rPr>
          <w:rFonts w:ascii="宋体"/>
          <w:color w:val="auto"/>
          <w:sz w:val="24"/>
          <w:highlight w:val="none"/>
        </w:rPr>
      </w:pPr>
      <w:r>
        <w:rPr>
          <w:rFonts w:ascii="宋体" w:hAnsi="宋体"/>
          <w:color w:val="auto"/>
          <w:sz w:val="24"/>
          <w:highlight w:val="none"/>
        </w:rPr>
        <w:t>6</w:t>
      </w:r>
      <w:r>
        <w:rPr>
          <w:rFonts w:hint="eastAsia" w:ascii="宋体" w:hAnsi="宋体"/>
          <w:color w:val="auto"/>
          <w:sz w:val="24"/>
          <w:highlight w:val="none"/>
        </w:rPr>
        <w:t>、若我方成交，将严格按照竞争性磋商文件要求及磋商响应文件承诺的报价、质量、服务期限、磋商方案、项目负责人等内容组织实施；</w:t>
      </w:r>
    </w:p>
    <w:p>
      <w:pPr>
        <w:shd w:val="clear"/>
        <w:ind w:firstLine="480" w:firstLineChars="200"/>
        <w:rPr>
          <w:rFonts w:ascii="宋体"/>
          <w:color w:val="auto"/>
          <w:sz w:val="24"/>
          <w:highlight w:val="none"/>
        </w:rPr>
      </w:pPr>
      <w:r>
        <w:rPr>
          <w:rFonts w:hint="eastAsia" w:ascii="宋体" w:hAnsi="宋体"/>
          <w:color w:val="auto"/>
          <w:sz w:val="24"/>
          <w:highlight w:val="none"/>
        </w:rPr>
        <w:t>我方若违反上述承诺，隐瞒、提供虚假资料或不按竞争性磋商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shd w:val="clear"/>
        <w:ind w:firstLine="480" w:firstLineChars="200"/>
        <w:rPr>
          <w:rFonts w:ascii="宋体"/>
          <w:color w:val="auto"/>
          <w:sz w:val="24"/>
          <w:highlight w:val="none"/>
        </w:rPr>
      </w:pPr>
      <w:r>
        <w:rPr>
          <w:rFonts w:hint="eastAsia" w:ascii="宋体" w:hAnsi="宋体"/>
          <w:color w:val="auto"/>
          <w:sz w:val="24"/>
          <w:highlight w:val="none"/>
        </w:rPr>
        <w:t>特此承诺。</w:t>
      </w:r>
    </w:p>
    <w:p>
      <w:pPr>
        <w:shd w:val="clear"/>
        <w:ind w:firstLine="480" w:firstLineChars="200"/>
        <w:rPr>
          <w:rFonts w:ascii="宋体"/>
          <w:color w:val="auto"/>
          <w:sz w:val="24"/>
          <w:highlight w:val="none"/>
        </w:rPr>
      </w:pPr>
      <w:r>
        <w:rPr>
          <w:rFonts w:hint="eastAsia" w:ascii="宋体" w:hAnsi="宋体"/>
          <w:color w:val="auto"/>
          <w:sz w:val="24"/>
          <w:highlight w:val="none"/>
        </w:rPr>
        <w:t>供应商（加盖公章）：＿＿＿＿＿＿＿＿＿＿＿＿＿＿＿</w:t>
      </w:r>
    </w:p>
    <w:p>
      <w:pPr>
        <w:shd w:val="clear"/>
        <w:ind w:firstLine="480" w:firstLineChars="200"/>
        <w:rPr>
          <w:rFonts w:ascii="宋体"/>
          <w:color w:val="auto"/>
          <w:sz w:val="24"/>
          <w:highlight w:val="none"/>
        </w:rPr>
      </w:pPr>
      <w:r>
        <w:rPr>
          <w:rFonts w:hint="eastAsia" w:ascii="宋体" w:hAnsi="宋体"/>
          <w:color w:val="auto"/>
          <w:sz w:val="24"/>
          <w:highlight w:val="none"/>
        </w:rPr>
        <w:t>法定代表人或被授权人签字（或签章）：＿＿＿＿＿＿＿＿＿＿＿＿＿＿＿</w:t>
      </w:r>
    </w:p>
    <w:p>
      <w:pPr>
        <w:shd w:val="clear"/>
        <w:ind w:firstLine="480" w:firstLineChars="200"/>
        <w:rPr>
          <w:rFonts w:ascii="宋体"/>
          <w:color w:val="auto"/>
          <w:sz w:val="24"/>
          <w:highlight w:val="none"/>
        </w:rPr>
      </w:pPr>
    </w:p>
    <w:p>
      <w:pPr>
        <w:shd w:val="clear"/>
        <w:ind w:firstLine="4920" w:firstLineChars="2050"/>
        <w:rPr>
          <w:rFonts w:asci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年＿＿月＿＿日</w:t>
      </w: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480" w:lineRule="exact"/>
        <w:rPr>
          <w:rFonts w:ascii="宋体"/>
          <w:b/>
          <w:color w:val="auto"/>
          <w:sz w:val="22"/>
          <w:szCs w:val="22"/>
          <w:highlight w:val="none"/>
        </w:rPr>
      </w:pPr>
    </w:p>
    <w:p>
      <w:pPr>
        <w:shd w:val="clear"/>
        <w:spacing w:line="360" w:lineRule="auto"/>
        <w:rPr>
          <w:rFonts w:ascii="宋体" w:cs="仿宋_GB2312"/>
          <w:color w:val="auto"/>
          <w:kern w:val="0"/>
          <w:sz w:val="24"/>
          <w:highlight w:val="none"/>
        </w:rPr>
      </w:pPr>
    </w:p>
    <w:p>
      <w:pPr>
        <w:shd w:val="clear"/>
        <w:spacing w:line="360" w:lineRule="auto"/>
        <w:rPr>
          <w:rFonts w:ascii="宋体" w:cs="仿宋_GB2312"/>
          <w:color w:val="auto"/>
          <w:kern w:val="0"/>
          <w:sz w:val="24"/>
          <w:highlight w:val="none"/>
        </w:rPr>
      </w:pPr>
    </w:p>
    <w:p>
      <w:pPr>
        <w:shd w:val="clear"/>
        <w:spacing w:line="360" w:lineRule="auto"/>
        <w:rPr>
          <w:rFonts w:ascii="宋体" w:cs="仿宋_GB2312"/>
          <w:color w:val="auto"/>
          <w:kern w:val="0"/>
          <w:sz w:val="24"/>
          <w:highlight w:val="none"/>
        </w:rPr>
      </w:pPr>
    </w:p>
    <w:p>
      <w:pPr>
        <w:shd w:val="clear"/>
        <w:spacing w:line="360" w:lineRule="auto"/>
        <w:rPr>
          <w:rFonts w:ascii="宋体" w:cs="仿宋_GB2312"/>
          <w:color w:val="auto"/>
          <w:kern w:val="0"/>
          <w:sz w:val="24"/>
          <w:highlight w:val="none"/>
        </w:rPr>
      </w:pPr>
    </w:p>
    <w:p>
      <w:pPr>
        <w:shd w:val="clear"/>
        <w:spacing w:line="360" w:lineRule="auto"/>
        <w:rPr>
          <w:rFonts w:ascii="宋体" w:cs="仿宋_GB2312"/>
          <w:color w:val="auto"/>
          <w:kern w:val="0"/>
          <w:sz w:val="24"/>
          <w:highlight w:val="none"/>
        </w:rPr>
      </w:pPr>
    </w:p>
    <w:p>
      <w:pPr>
        <w:shd w:val="clear"/>
        <w:spacing w:before="120" w:beforeLines="50" w:line="360" w:lineRule="auto"/>
        <w:rPr>
          <w:rFonts w:ascii="宋体" w:hAnsi="宋体"/>
          <w:b/>
          <w:color w:val="auto"/>
          <w:sz w:val="32"/>
          <w:szCs w:val="32"/>
          <w:highlight w:val="none"/>
        </w:rPr>
      </w:pPr>
    </w:p>
    <w:p>
      <w:pPr>
        <w:shd w:val="clear"/>
        <w:spacing w:before="120" w:beforeLines="50" w:line="360" w:lineRule="auto"/>
        <w:rPr>
          <w:rFonts w:hAnsi="宋体"/>
          <w:b/>
          <w:bCs/>
          <w:color w:val="auto"/>
          <w:sz w:val="30"/>
          <w:szCs w:val="30"/>
          <w:highlight w:val="none"/>
        </w:rPr>
      </w:pPr>
      <w:r>
        <w:rPr>
          <w:rFonts w:hint="eastAsia" w:ascii="宋体" w:hAnsi="宋体"/>
          <w:b/>
          <w:color w:val="auto"/>
          <w:sz w:val="32"/>
          <w:szCs w:val="32"/>
          <w:highlight w:val="none"/>
        </w:rPr>
        <w:t>附件6</w:t>
      </w:r>
      <w:r>
        <w:rPr>
          <w:rFonts w:hAnsi="宋体"/>
          <w:b/>
          <w:bCs/>
          <w:color w:val="auto"/>
          <w:sz w:val="30"/>
          <w:szCs w:val="30"/>
          <w:highlight w:val="none"/>
        </w:rPr>
        <w:t xml:space="preserve">               </w:t>
      </w:r>
      <w:r>
        <w:rPr>
          <w:rFonts w:hint="eastAsia" w:hAnsi="宋体"/>
          <w:b/>
          <w:bCs/>
          <w:color w:val="auto"/>
          <w:sz w:val="30"/>
          <w:szCs w:val="30"/>
          <w:highlight w:val="none"/>
        </w:rPr>
        <w:t>商务条款偏离表</w:t>
      </w:r>
    </w:p>
    <w:p>
      <w:pPr>
        <w:shd w:val="clear"/>
        <w:spacing w:before="120" w:beforeLines="50" w:line="360" w:lineRule="auto"/>
        <w:rPr>
          <w:rFonts w:hAnsi="宋体"/>
          <w:color w:val="auto"/>
          <w:sz w:val="24"/>
          <w:highlight w:val="none"/>
        </w:rPr>
      </w:pPr>
      <w:r>
        <w:rPr>
          <w:rFonts w:hint="eastAsia" w:hAnsi="宋体"/>
          <w:color w:val="auto"/>
          <w:sz w:val="24"/>
          <w:highlight w:val="none"/>
        </w:rPr>
        <w:t>请逐条对应竞争性磋商文件中要求的商务条件，认真填写该表。</w:t>
      </w:r>
    </w:p>
    <w:tbl>
      <w:tblPr>
        <w:tblStyle w:val="35"/>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317"/>
        <w:gridCol w:w="2434"/>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序号</w:t>
            </w:r>
          </w:p>
        </w:tc>
        <w:tc>
          <w:tcPr>
            <w:tcW w:w="3317" w:type="dxa"/>
            <w:vAlign w:val="center"/>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竞争性磋商文件的商务条款</w:t>
            </w:r>
          </w:p>
        </w:tc>
        <w:tc>
          <w:tcPr>
            <w:tcW w:w="2434" w:type="dxa"/>
            <w:vAlign w:val="center"/>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是否响应</w:t>
            </w:r>
          </w:p>
        </w:tc>
        <w:tc>
          <w:tcPr>
            <w:tcW w:w="2596" w:type="dxa"/>
            <w:vAlign w:val="center"/>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r>
              <w:rPr>
                <w:rFonts w:hint="eastAsia" w:hAnsi="宋体"/>
                <w:color w:val="auto"/>
                <w:sz w:val="24"/>
                <w:highlight w:val="none"/>
              </w:rPr>
              <w:t>供应商的承诺或说明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1</w:t>
            </w:r>
          </w:p>
        </w:tc>
        <w:tc>
          <w:tcPr>
            <w:tcW w:w="3317" w:type="dxa"/>
          </w:tcPr>
          <w:p>
            <w:pPr>
              <w:keepNext w:val="0"/>
              <w:keepLines w:val="0"/>
              <w:suppressLineNumbers w:val="0"/>
              <w:shd w:val="clear"/>
              <w:spacing w:before="120" w:beforeLines="50" w:beforeAutospacing="0" w:after="0" w:afterAutospacing="0" w:line="360" w:lineRule="auto"/>
              <w:ind w:left="0" w:right="0"/>
              <w:rPr>
                <w:rFonts w:hint="eastAsia" w:hAnsi="宋体" w:eastAsia="宋体"/>
                <w:color w:val="auto"/>
                <w:sz w:val="24"/>
                <w:highlight w:val="none"/>
                <w:lang w:eastAsia="zh-CN"/>
              </w:rPr>
            </w:pPr>
            <w:r>
              <w:rPr>
                <w:rFonts w:hint="eastAsia" w:hAnsi="宋体"/>
                <w:color w:val="auto"/>
                <w:sz w:val="24"/>
                <w:highlight w:val="none"/>
                <w:lang w:val="en-US" w:eastAsia="zh-CN"/>
              </w:rPr>
              <w:t>工期</w:t>
            </w:r>
          </w:p>
        </w:tc>
        <w:tc>
          <w:tcPr>
            <w:tcW w:w="2434" w:type="dxa"/>
            <w:vAlign w:val="center"/>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p>
        </w:tc>
        <w:tc>
          <w:tcPr>
            <w:tcW w:w="2596" w:type="dxa"/>
            <w:vAlign w:val="center"/>
          </w:tcPr>
          <w:p>
            <w:pPr>
              <w:keepNext w:val="0"/>
              <w:keepLines w:val="0"/>
              <w:suppressLineNumbers w:val="0"/>
              <w:shd w:val="clear"/>
              <w:spacing w:before="120" w:beforeLines="50" w:beforeAutospacing="0" w:after="0" w:afterAutospacing="0" w:line="360" w:lineRule="auto"/>
              <w:ind w:left="0" w:right="0"/>
              <w:jc w:val="center"/>
              <w:rPr>
                <w:rFonts w:hint="default"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2</w:t>
            </w: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eastAsia="宋体"/>
                <w:color w:val="auto"/>
                <w:sz w:val="24"/>
                <w:highlight w:val="none"/>
                <w:lang w:val="en-US" w:eastAsia="zh-CN"/>
              </w:rPr>
            </w:pPr>
            <w:r>
              <w:rPr>
                <w:rFonts w:hint="eastAsia" w:hAnsi="宋体"/>
                <w:color w:val="auto"/>
                <w:sz w:val="24"/>
                <w:highlight w:val="none"/>
                <w:lang w:val="en-US" w:eastAsia="zh-CN"/>
              </w:rPr>
              <w:t>质量目标</w:t>
            </w:r>
          </w:p>
        </w:tc>
        <w:tc>
          <w:tcPr>
            <w:tcW w:w="2434"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37" w:type="dxa"/>
          </w:tcPr>
          <w:p>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3</w:t>
            </w: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eastAsia="宋体" w:cs="Times New Roman"/>
                <w:color w:val="auto"/>
                <w:kern w:val="2"/>
                <w:sz w:val="24"/>
                <w:szCs w:val="24"/>
                <w:highlight w:val="none"/>
                <w:lang w:val="en-US" w:eastAsia="zh-CN" w:bidi="ar-SA"/>
              </w:rPr>
              <w:t>质保期</w:t>
            </w:r>
          </w:p>
        </w:tc>
        <w:tc>
          <w:tcPr>
            <w:tcW w:w="2434"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default" w:ascii="宋体"/>
                <w:color w:val="auto"/>
                <w:szCs w:val="24"/>
                <w:highlight w:val="none"/>
              </w:rPr>
            </w:pPr>
            <w:r>
              <w:rPr>
                <w:rFonts w:hint="default" w:ascii="宋体" w:hAnsi="宋体"/>
                <w:color w:val="auto"/>
                <w:szCs w:val="24"/>
                <w:highlight w:val="none"/>
              </w:rPr>
              <w:t>4</w:t>
            </w: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color w:val="auto"/>
                <w:sz w:val="24"/>
                <w:highlight w:val="none"/>
              </w:rPr>
              <w:t>付款条件</w:t>
            </w:r>
          </w:p>
        </w:tc>
        <w:tc>
          <w:tcPr>
            <w:tcW w:w="2434"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pStyle w:val="62"/>
              <w:keepNext w:val="0"/>
              <w:keepLines w:val="0"/>
              <w:suppressLineNumbers w:val="0"/>
              <w:shd w:val="clear"/>
              <w:spacing w:before="120" w:beforeLines="50" w:beforeAutospacing="0" w:after="120" w:afterAutospacing="0" w:line="360" w:lineRule="auto"/>
              <w:ind w:left="0" w:right="0" w:firstLine="0" w:firstLineChars="0"/>
              <w:jc w:val="center"/>
              <w:rPr>
                <w:rFonts w:hint="eastAsia" w:ascii="宋体" w:eastAsia="宋体"/>
                <w:color w:val="auto"/>
                <w:szCs w:val="24"/>
                <w:highlight w:val="none"/>
                <w:lang w:val="en-US" w:eastAsia="zh-CN"/>
              </w:rPr>
            </w:pPr>
            <w:r>
              <w:rPr>
                <w:rFonts w:hint="eastAsia" w:ascii="宋体"/>
                <w:color w:val="auto"/>
                <w:szCs w:val="24"/>
                <w:highlight w:val="none"/>
                <w:lang w:val="en-US" w:eastAsia="zh-CN"/>
              </w:rPr>
              <w:t>5</w:t>
            </w: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ascii="Times New Roman" w:hAnsi="宋体" w:eastAsia="宋体" w:cs="Times New Roman"/>
                <w:color w:val="auto"/>
                <w:kern w:val="2"/>
                <w:sz w:val="24"/>
                <w:szCs w:val="24"/>
                <w:highlight w:val="none"/>
                <w:lang w:val="en-US" w:eastAsia="zh-CN" w:bidi="ar-SA"/>
              </w:rPr>
            </w:pPr>
            <w:r>
              <w:rPr>
                <w:rFonts w:hint="eastAsia" w:hAnsi="宋体"/>
                <w:color w:val="auto"/>
                <w:sz w:val="24"/>
                <w:highlight w:val="none"/>
                <w:lang w:eastAsia="zh-CN"/>
              </w:rPr>
              <w:t>……</w:t>
            </w:r>
          </w:p>
        </w:tc>
        <w:tc>
          <w:tcPr>
            <w:tcW w:w="2434"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c>
          <w:tcPr>
            <w:tcW w:w="2596" w:type="dxa"/>
          </w:tcPr>
          <w:p>
            <w:pPr>
              <w:pStyle w:val="15"/>
              <w:keepNext w:val="0"/>
              <w:keepLines w:val="0"/>
              <w:suppressLineNumbers w:val="0"/>
              <w:shd w:val="clear"/>
              <w:spacing w:before="120" w:beforeLines="50" w:beforeAutospacing="0" w:after="120" w:afterAutospacing="0" w:line="360" w:lineRule="auto"/>
              <w:ind w:right="0" w:firstLine="480"/>
              <w:rPr>
                <w:rFonts w:hint="default"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pStyle w:val="62"/>
              <w:keepNext w:val="0"/>
              <w:keepLines w:val="0"/>
              <w:suppressLineNumbers w:val="0"/>
              <w:shd w:val="clear"/>
              <w:spacing w:before="120" w:beforeLines="50" w:beforeAutospacing="0" w:after="120" w:afterAutospacing="0" w:line="360" w:lineRule="auto"/>
              <w:ind w:left="0" w:right="0" w:firstLine="480"/>
              <w:rPr>
                <w:rFonts w:hint="default" w:ascii="宋体"/>
                <w:color w:val="auto"/>
                <w:szCs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3317"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434"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c>
          <w:tcPr>
            <w:tcW w:w="2596" w:type="dxa"/>
          </w:tcPr>
          <w:p>
            <w:pPr>
              <w:keepNext w:val="0"/>
              <w:keepLines w:val="0"/>
              <w:suppressLineNumbers w:val="0"/>
              <w:shd w:val="clear"/>
              <w:spacing w:before="120" w:beforeLines="50" w:beforeAutospacing="0" w:after="0" w:afterAutospacing="0" w:line="360" w:lineRule="auto"/>
              <w:ind w:left="0" w:right="0"/>
              <w:rPr>
                <w:rFonts w:hint="default" w:hAnsi="宋体"/>
                <w:color w:val="auto"/>
                <w:sz w:val="24"/>
                <w:highlight w:val="none"/>
              </w:rPr>
            </w:pPr>
          </w:p>
        </w:tc>
      </w:tr>
    </w:tbl>
    <w:p>
      <w:pPr>
        <w:shd w:val="clear"/>
        <w:spacing w:before="120" w:beforeLines="50" w:line="360" w:lineRule="auto"/>
        <w:ind w:firstLine="1200" w:firstLineChars="500"/>
        <w:rPr>
          <w:rFonts w:hAnsi="宋体"/>
          <w:color w:val="auto"/>
          <w:sz w:val="24"/>
          <w:highlight w:val="none"/>
        </w:rPr>
      </w:pPr>
    </w:p>
    <w:p>
      <w:pPr>
        <w:shd w:val="clear"/>
        <w:spacing w:before="120" w:beforeLines="50" w:line="360" w:lineRule="auto"/>
        <w:ind w:firstLine="1200" w:firstLineChars="500"/>
        <w:rPr>
          <w:rFonts w:hAnsi="宋体"/>
          <w:color w:val="auto"/>
          <w:sz w:val="24"/>
          <w:highlight w:val="none"/>
        </w:rPr>
      </w:pPr>
    </w:p>
    <w:p>
      <w:pPr>
        <w:shd w:val="clear"/>
        <w:spacing w:line="360" w:lineRule="auto"/>
        <w:ind w:firstLine="2160" w:firstLineChars="900"/>
        <w:rPr>
          <w:rFonts w:ascii="宋体"/>
          <w:color w:val="auto"/>
          <w:spacing w:val="20"/>
          <w:sz w:val="24"/>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 w:val="24"/>
          <w:highlight w:val="none"/>
        </w:rPr>
        <w:t>：</w:t>
      </w:r>
    </w:p>
    <w:p>
      <w:pPr>
        <w:shd w:val="clear"/>
        <w:spacing w:line="360" w:lineRule="auto"/>
        <w:ind w:right="560" w:firstLine="2240" w:firstLineChars="800"/>
        <w:rPr>
          <w:rFonts w:ascii="宋体"/>
          <w:color w:val="auto"/>
          <w:spacing w:val="20"/>
          <w:sz w:val="24"/>
          <w:highlight w:val="none"/>
          <w:u w:val="single"/>
        </w:rPr>
      </w:pPr>
      <w:r>
        <w:rPr>
          <w:rFonts w:hint="eastAsia" w:ascii="宋体" w:hAnsi="宋体"/>
          <w:color w:val="auto"/>
          <w:spacing w:val="20"/>
          <w:sz w:val="24"/>
          <w:highlight w:val="none"/>
        </w:rPr>
        <w:t>供应商盖章：</w:t>
      </w:r>
    </w:p>
    <w:p>
      <w:pPr>
        <w:shd w:val="clear"/>
        <w:spacing w:line="360" w:lineRule="auto"/>
        <w:ind w:firstLine="2240" w:firstLineChars="800"/>
        <w:rPr>
          <w:rFonts w:ascii="宋体"/>
          <w:color w:val="auto"/>
          <w:highlight w:val="none"/>
        </w:rPr>
        <w:sectPr>
          <w:pgSz w:w="11906" w:h="16838"/>
          <w:pgMar w:top="1247" w:right="1797" w:bottom="1474" w:left="1797" w:header="851" w:footer="851" w:gutter="0"/>
          <w:cols w:space="720" w:num="1"/>
          <w:titlePg/>
          <w:docGrid w:linePitch="312" w:charSpace="0"/>
        </w:sectPr>
      </w:pPr>
      <w:r>
        <w:rPr>
          <w:rFonts w:hint="eastAsia" w:ascii="宋体" w:hAnsi="宋体"/>
          <w:color w:val="auto"/>
          <w:spacing w:val="20"/>
          <w:sz w:val="24"/>
          <w:highlight w:val="none"/>
        </w:rPr>
        <w:t>日     期：</w:t>
      </w:r>
    </w:p>
    <w:p>
      <w:pPr>
        <w:numPr>
          <w:ilvl w:val="-1"/>
          <w:numId w:val="0"/>
        </w:numPr>
        <w:shd w:val="clear"/>
        <w:spacing w:line="460" w:lineRule="exact"/>
        <w:jc w:val="left"/>
        <w:rPr>
          <w:rFonts w:hint="eastAsia" w:ascii="宋体" w:hAnsi="宋体" w:eastAsia="宋体" w:cs="Times New Roman"/>
          <w:bCs/>
          <w:color w:val="auto"/>
          <w:sz w:val="30"/>
          <w:szCs w:val="30"/>
          <w:highlight w:val="none"/>
          <w:lang w:eastAsia="zh-CN"/>
        </w:rPr>
      </w:pPr>
      <w:r>
        <w:rPr>
          <w:rFonts w:hint="eastAsia" w:ascii="宋体" w:hAnsi="宋体"/>
          <w:bCs/>
          <w:color w:val="auto"/>
          <w:sz w:val="30"/>
          <w:szCs w:val="30"/>
          <w:highlight w:val="none"/>
          <w:lang w:val="en-US" w:eastAsia="zh-CN"/>
        </w:rPr>
        <w:t>对本项目总体要求的理解和阐述</w:t>
      </w:r>
      <w:r>
        <w:rPr>
          <w:rFonts w:hint="eastAsia" w:ascii="宋体" w:hAnsi="宋体"/>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pPr>
        <w:numPr>
          <w:ilvl w:val="-1"/>
          <w:numId w:val="0"/>
        </w:numPr>
        <w:shd w:val="clear"/>
        <w:spacing w:line="460" w:lineRule="exact"/>
        <w:ind w:firstLine="0" w:firstLineChars="0"/>
        <w:jc w:val="left"/>
        <w:rPr>
          <w:rFonts w:hint="eastAsia" w:ascii="宋体" w:hAnsi="宋体" w:eastAsia="宋体" w:cs="Times New Roman"/>
          <w:bCs/>
          <w:color w:val="auto"/>
          <w:sz w:val="30"/>
          <w:szCs w:val="30"/>
          <w:highlight w:val="none"/>
          <w:lang w:val="en-US" w:eastAsia="zh-CN"/>
        </w:rPr>
      </w:pPr>
    </w:p>
    <w:p>
      <w:pPr>
        <w:numPr>
          <w:ilvl w:val="-1"/>
          <w:numId w:val="0"/>
        </w:numPr>
        <w:shd w:val="clear"/>
        <w:spacing w:line="460" w:lineRule="exact"/>
        <w:ind w:firstLine="0" w:firstLineChars="0"/>
        <w:jc w:val="left"/>
        <w:rPr>
          <w:rFonts w:hint="eastAsia" w:ascii="宋体" w:hAnsi="宋体" w:eastAsia="宋体" w:cs="Times New Roman"/>
          <w:bCs/>
          <w:color w:val="auto"/>
          <w:sz w:val="30"/>
          <w:szCs w:val="30"/>
          <w:highlight w:val="none"/>
          <w:lang w:val="en-US" w:eastAsia="zh-CN"/>
        </w:rPr>
      </w:pPr>
    </w:p>
    <w:p>
      <w:pPr>
        <w:numPr>
          <w:ilvl w:val="-1"/>
          <w:numId w:val="0"/>
        </w:numPr>
        <w:shd w:val="clear"/>
        <w:spacing w:line="460" w:lineRule="exact"/>
        <w:ind w:firstLine="0" w:firstLineChars="0"/>
        <w:jc w:val="left"/>
        <w:rPr>
          <w:rFonts w:hint="eastAsia" w:ascii="宋体" w:hAnsi="宋体" w:cs="Times New Roman"/>
          <w:bCs/>
          <w:color w:val="auto"/>
          <w:sz w:val="30"/>
          <w:szCs w:val="30"/>
          <w:highlight w:val="none"/>
        </w:rPr>
      </w:pPr>
      <w:r>
        <w:rPr>
          <w:rFonts w:hint="eastAsia" w:ascii="宋体" w:hAnsi="宋体" w:eastAsia="宋体" w:cs="Times New Roman"/>
          <w:bCs/>
          <w:color w:val="auto"/>
          <w:sz w:val="30"/>
          <w:szCs w:val="30"/>
          <w:highlight w:val="none"/>
        </w:rPr>
        <w:t>供应商</w:t>
      </w:r>
      <w:r>
        <w:rPr>
          <w:rFonts w:hint="eastAsia" w:ascii="宋体" w:hAnsi="宋体" w:eastAsia="宋体" w:cs="Times New Roman"/>
          <w:bCs/>
          <w:color w:val="auto"/>
          <w:sz w:val="30"/>
          <w:szCs w:val="30"/>
          <w:highlight w:val="none"/>
          <w:lang w:val="en-US" w:eastAsia="zh-CN"/>
        </w:rPr>
        <w:t>的</w:t>
      </w:r>
      <w:r>
        <w:rPr>
          <w:rFonts w:hint="eastAsia" w:ascii="宋体" w:hAnsi="宋体" w:eastAsia="宋体" w:cs="Times New Roman"/>
          <w:bCs/>
          <w:color w:val="auto"/>
          <w:sz w:val="30"/>
          <w:szCs w:val="30"/>
          <w:highlight w:val="none"/>
        </w:rPr>
        <w:t>技术方案</w:t>
      </w:r>
      <w:r>
        <w:rPr>
          <w:rFonts w:hint="eastAsia" w:ascii="宋体" w:hAnsi="宋体"/>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pPr>
        <w:numPr>
          <w:ilvl w:val="-1"/>
          <w:numId w:val="0"/>
        </w:numPr>
        <w:shd w:val="clear"/>
        <w:spacing w:line="460" w:lineRule="exact"/>
        <w:jc w:val="left"/>
        <w:rPr>
          <w:rFonts w:hint="eastAsia" w:ascii="宋体" w:hAnsi="宋体" w:eastAsia="宋体" w:cs="Times New Roman"/>
          <w:bCs/>
          <w:color w:val="auto"/>
          <w:sz w:val="30"/>
          <w:szCs w:val="30"/>
          <w:highlight w:val="none"/>
        </w:rPr>
      </w:pPr>
    </w:p>
    <w:p>
      <w:pPr>
        <w:numPr>
          <w:ilvl w:val="-1"/>
          <w:numId w:val="0"/>
        </w:numPr>
        <w:shd w:val="clear"/>
        <w:spacing w:line="460" w:lineRule="exact"/>
        <w:jc w:val="left"/>
        <w:rPr>
          <w:rFonts w:hint="eastAsia" w:ascii="宋体" w:hAnsi="宋体" w:eastAsia="宋体" w:cs="Times New Roman"/>
          <w:bCs/>
          <w:color w:val="auto"/>
          <w:sz w:val="30"/>
          <w:szCs w:val="30"/>
          <w:highlight w:val="none"/>
        </w:rPr>
      </w:pPr>
    </w:p>
    <w:p>
      <w:pPr>
        <w:numPr>
          <w:ilvl w:val="-1"/>
          <w:numId w:val="0"/>
        </w:numPr>
        <w:shd w:val="clear"/>
        <w:spacing w:line="460" w:lineRule="exact"/>
        <w:jc w:val="left"/>
        <w:rPr>
          <w:rFonts w:hint="eastAsia" w:ascii="宋体" w:hAnsi="宋体" w:cs="Times New Roman"/>
          <w:bCs/>
          <w:color w:val="auto"/>
          <w:sz w:val="30"/>
          <w:szCs w:val="30"/>
          <w:highlight w:val="none"/>
        </w:rPr>
      </w:pPr>
      <w:r>
        <w:rPr>
          <w:rFonts w:hint="eastAsia" w:ascii="宋体" w:hAnsi="宋体" w:eastAsia="宋体" w:cs="Times New Roman"/>
          <w:bCs/>
          <w:color w:val="auto"/>
          <w:sz w:val="30"/>
          <w:szCs w:val="30"/>
          <w:highlight w:val="none"/>
        </w:rPr>
        <w:t>项目进度计划及进度保证</w:t>
      </w:r>
      <w:r>
        <w:rPr>
          <w:rFonts w:hint="eastAsia" w:ascii="宋体" w:hAnsi="宋体" w:cs="Times New Roman"/>
          <w:bCs/>
          <w:color w:val="auto"/>
          <w:sz w:val="30"/>
          <w:szCs w:val="30"/>
          <w:highlight w:val="none"/>
        </w:rPr>
        <w:t>；</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pPr>
        <w:numPr>
          <w:ilvl w:val="-1"/>
          <w:numId w:val="0"/>
        </w:numPr>
        <w:shd w:val="clear"/>
        <w:spacing w:line="460" w:lineRule="exact"/>
        <w:rPr>
          <w:rFonts w:hint="eastAsia" w:ascii="宋体" w:hAnsi="宋体" w:eastAsia="宋体" w:cs="Times New Roman"/>
          <w:bCs/>
          <w:color w:val="auto"/>
          <w:sz w:val="30"/>
          <w:szCs w:val="30"/>
          <w:highlight w:val="none"/>
        </w:rPr>
      </w:pPr>
    </w:p>
    <w:p>
      <w:pPr>
        <w:numPr>
          <w:ilvl w:val="-1"/>
          <w:numId w:val="0"/>
        </w:numPr>
        <w:shd w:val="clear"/>
        <w:spacing w:line="460" w:lineRule="exact"/>
        <w:rPr>
          <w:rFonts w:hint="eastAsia" w:ascii="宋体" w:hAnsi="宋体" w:eastAsia="宋体" w:cs="Times New Roman"/>
          <w:bCs/>
          <w:color w:val="auto"/>
          <w:sz w:val="30"/>
          <w:szCs w:val="30"/>
          <w:highlight w:val="none"/>
        </w:rPr>
      </w:pPr>
    </w:p>
    <w:p>
      <w:pPr>
        <w:numPr>
          <w:ilvl w:val="-1"/>
          <w:numId w:val="0"/>
        </w:numPr>
        <w:shd w:val="clear"/>
        <w:spacing w:line="460" w:lineRule="exact"/>
        <w:rPr>
          <w:rFonts w:hint="eastAsia" w:ascii="宋体" w:hAnsi="宋体"/>
          <w:bCs/>
          <w:color w:val="auto"/>
          <w:sz w:val="30"/>
          <w:szCs w:val="30"/>
          <w:highlight w:val="none"/>
        </w:rPr>
      </w:pPr>
      <w:r>
        <w:rPr>
          <w:rFonts w:hint="eastAsia" w:ascii="宋体" w:hAnsi="宋体" w:cs="Times New Roman"/>
          <w:bCs/>
          <w:color w:val="auto"/>
          <w:sz w:val="30"/>
          <w:szCs w:val="30"/>
          <w:highlight w:val="none"/>
        </w:rPr>
        <w:t>对本项目服务的理解和实施说明，以及合理化建议和改进措施。</w:t>
      </w:r>
      <w:r>
        <w:rPr>
          <w:rFonts w:hint="eastAsia" w:ascii="宋体" w:hAnsi="宋体"/>
          <w:bCs/>
          <w:color w:val="auto"/>
          <w:sz w:val="30"/>
          <w:szCs w:val="30"/>
          <w:highlight w:val="none"/>
          <w:lang w:eastAsia="zh-CN"/>
        </w:rPr>
        <w:t>（</w:t>
      </w:r>
      <w:r>
        <w:rPr>
          <w:rFonts w:hint="eastAsia" w:ascii="宋体" w:hAnsi="宋体"/>
          <w:bCs/>
          <w:color w:val="auto"/>
          <w:sz w:val="30"/>
          <w:szCs w:val="30"/>
          <w:highlight w:val="none"/>
          <w:lang w:val="en-US" w:eastAsia="zh-CN"/>
        </w:rPr>
        <w:t>格式自拟</w:t>
      </w:r>
      <w:r>
        <w:rPr>
          <w:rFonts w:hint="eastAsia" w:ascii="宋体" w:hAnsi="宋体"/>
          <w:bCs/>
          <w:color w:val="auto"/>
          <w:sz w:val="30"/>
          <w:szCs w:val="30"/>
          <w:highlight w:val="none"/>
          <w:lang w:eastAsia="zh-CN"/>
        </w:rPr>
        <w:t>）</w:t>
      </w:r>
    </w:p>
    <w:p>
      <w:pPr>
        <w:widowControl/>
        <w:shd w:val="clear"/>
        <w:snapToGrid w:val="0"/>
        <w:spacing w:line="400" w:lineRule="exact"/>
        <w:jc w:val="left"/>
        <w:rPr>
          <w:rFonts w:ascii="新宋体" w:hAnsi="新宋体" w:eastAsia="新宋体"/>
          <w:b/>
          <w:color w:val="auto"/>
          <w:sz w:val="28"/>
          <w:highlight w:val="none"/>
        </w:rPr>
      </w:pPr>
    </w:p>
    <w:p>
      <w:pPr>
        <w:shd w:val="clear"/>
        <w:jc w:val="center"/>
        <w:rPr>
          <w:rFonts w:ascii="宋体"/>
          <w:color w:val="auto"/>
          <w:spacing w:val="20"/>
          <w:sz w:val="24"/>
          <w:highlight w:val="none"/>
        </w:rPr>
      </w:pPr>
    </w:p>
    <w:p>
      <w:pPr>
        <w:shd w:val="clear"/>
        <w:spacing w:line="360" w:lineRule="auto"/>
        <w:ind w:firstLine="2160" w:firstLineChars="900"/>
        <w:rPr>
          <w:rFonts w:ascii="宋体" w:hAnsi="宋体"/>
          <w:color w:val="auto"/>
          <w:sz w:val="24"/>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shd w:val="clear"/>
        <w:adjustRightInd w:val="0"/>
        <w:snapToGrid w:val="0"/>
        <w:spacing w:line="360" w:lineRule="auto"/>
        <w:rPr>
          <w:rFonts w:ascii="宋体" w:hAnsi="宋体"/>
          <w:b/>
          <w:color w:val="auto"/>
          <w:spacing w:val="20"/>
          <w:sz w:val="30"/>
          <w:szCs w:val="30"/>
          <w:highlight w:val="none"/>
        </w:rPr>
      </w:pPr>
    </w:p>
    <w:p>
      <w:pPr>
        <w:pStyle w:val="12"/>
        <w:shd w:val="clear"/>
        <w:rPr>
          <w:rFonts w:ascii="宋体" w:hAnsi="宋体"/>
          <w:b/>
          <w:color w:val="auto"/>
          <w:spacing w:val="20"/>
          <w:sz w:val="30"/>
          <w:szCs w:val="30"/>
          <w:highlight w:val="none"/>
        </w:rPr>
      </w:pPr>
    </w:p>
    <w:p>
      <w:pPr>
        <w:pStyle w:val="34"/>
        <w:shd w:val="clear"/>
        <w:rPr>
          <w:rFonts w:ascii="宋体" w:hAnsi="宋体"/>
          <w:b/>
          <w:color w:val="auto"/>
          <w:spacing w:val="20"/>
          <w:sz w:val="30"/>
          <w:szCs w:val="30"/>
          <w:highlight w:val="none"/>
        </w:rPr>
      </w:pPr>
    </w:p>
    <w:p>
      <w:pPr>
        <w:shd w:val="clear"/>
        <w:rPr>
          <w:rFonts w:ascii="宋体" w:hAnsi="宋体"/>
          <w:b/>
          <w:color w:val="auto"/>
          <w:spacing w:val="20"/>
          <w:sz w:val="30"/>
          <w:szCs w:val="30"/>
          <w:highlight w:val="none"/>
        </w:rPr>
      </w:pPr>
    </w:p>
    <w:p>
      <w:pPr>
        <w:pStyle w:val="34"/>
        <w:shd w:val="clear"/>
        <w:ind w:left="0" w:leftChars="0" w:firstLine="0" w:firstLineChars="0"/>
        <w:rPr>
          <w:color w:val="auto"/>
          <w:highlight w:val="none"/>
        </w:rPr>
      </w:pPr>
    </w:p>
    <w:p>
      <w:pPr>
        <w:pStyle w:val="16"/>
        <w:shd w:val="clear"/>
        <w:tabs>
          <w:tab w:val="left" w:pos="0"/>
          <w:tab w:val="left" w:pos="540"/>
        </w:tabs>
        <w:spacing w:line="360" w:lineRule="auto"/>
        <w:rPr>
          <w:rFonts w:ascii="新宋体" w:hAnsi="新宋体" w:eastAsia="新宋体"/>
          <w:b/>
          <w:color w:val="auto"/>
          <w:sz w:val="28"/>
          <w:szCs w:val="28"/>
          <w:highlight w:val="none"/>
        </w:rPr>
      </w:pPr>
      <w:r>
        <w:rPr>
          <w:rFonts w:hint="eastAsia" w:hAnsi="宋体"/>
          <w:b/>
          <w:color w:val="auto"/>
          <w:spacing w:val="20"/>
          <w:sz w:val="30"/>
          <w:szCs w:val="30"/>
          <w:highlight w:val="none"/>
        </w:rPr>
        <w:t>附件</w:t>
      </w:r>
      <w:bookmarkStart w:id="208" w:name="_Toc10626"/>
      <w:bookmarkEnd w:id="208"/>
      <w:bookmarkStart w:id="209" w:name="_Toc5972"/>
      <w:bookmarkEnd w:id="209"/>
      <w:bookmarkStart w:id="210" w:name="_Toc6545"/>
      <w:bookmarkEnd w:id="210"/>
      <w:r>
        <w:rPr>
          <w:rFonts w:hint="eastAsia" w:hAnsi="宋体"/>
          <w:b/>
          <w:color w:val="auto"/>
          <w:spacing w:val="20"/>
          <w:sz w:val="30"/>
          <w:szCs w:val="30"/>
          <w:highlight w:val="none"/>
          <w:lang w:val="en-US" w:eastAsia="zh-CN"/>
        </w:rPr>
        <w:t>7</w:t>
      </w:r>
      <w:r>
        <w:rPr>
          <w:rFonts w:hint="eastAsia" w:hAnsi="宋体"/>
          <w:b/>
          <w:color w:val="auto"/>
          <w:spacing w:val="20"/>
          <w:sz w:val="30"/>
          <w:szCs w:val="30"/>
          <w:highlight w:val="none"/>
        </w:rPr>
        <w:t xml:space="preserve">           </w:t>
      </w:r>
      <w:r>
        <w:rPr>
          <w:rFonts w:hint="eastAsia" w:ascii="新宋体" w:hAnsi="新宋体" w:eastAsia="新宋体"/>
          <w:b/>
          <w:bCs/>
          <w:color w:val="auto"/>
          <w:sz w:val="28"/>
          <w:szCs w:val="28"/>
          <w:highlight w:val="none"/>
        </w:rPr>
        <w:t>项目实施人员一览表</w:t>
      </w:r>
    </w:p>
    <w:p>
      <w:pPr>
        <w:shd w:val="clear"/>
        <w:rPr>
          <w:color w:val="auto"/>
          <w:highlight w:val="none"/>
        </w:rPr>
      </w:pPr>
    </w:p>
    <w:p>
      <w:pPr>
        <w:shd w:val="clear"/>
        <w:ind w:firstLine="527" w:firstLineChars="250"/>
        <w:rPr>
          <w:rFonts w:ascii="新宋体" w:hAnsi="新宋体" w:eastAsia="新宋体"/>
          <w:b/>
          <w:color w:val="auto"/>
          <w:highlight w:val="none"/>
        </w:rPr>
      </w:pPr>
      <w:r>
        <w:rPr>
          <w:rFonts w:hint="eastAsia" w:ascii="新宋体" w:hAnsi="新宋体" w:eastAsia="新宋体"/>
          <w:b/>
          <w:color w:val="auto"/>
          <w:highlight w:val="none"/>
        </w:rPr>
        <w:t>项目名称：</w:t>
      </w:r>
    </w:p>
    <w:p>
      <w:pPr>
        <w:shd w:val="clear"/>
        <w:ind w:firstLine="527" w:firstLineChars="250"/>
        <w:rPr>
          <w:rFonts w:ascii="新宋体" w:hAnsi="新宋体" w:eastAsia="新宋体"/>
          <w:b/>
          <w:color w:val="auto"/>
          <w:highlight w:val="none"/>
        </w:rPr>
      </w:pPr>
      <w:r>
        <w:rPr>
          <w:rFonts w:hint="eastAsia" w:ascii="新宋体" w:hAnsi="新宋体" w:eastAsia="新宋体"/>
          <w:b/>
          <w:color w:val="auto"/>
          <w:highlight w:val="none"/>
        </w:rPr>
        <w:t>项目编号：</w:t>
      </w:r>
    </w:p>
    <w:tbl>
      <w:tblPr>
        <w:tblStyle w:val="35"/>
        <w:tblW w:w="9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292"/>
        <w:gridCol w:w="1696"/>
        <w:gridCol w:w="1847"/>
        <w:gridCol w:w="127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62"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项目</w:t>
            </w:r>
          </w:p>
        </w:tc>
        <w:tc>
          <w:tcPr>
            <w:tcW w:w="1292"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1696"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职业资格证书</w:t>
            </w:r>
          </w:p>
        </w:tc>
        <w:tc>
          <w:tcPr>
            <w:tcW w:w="1847"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职称证书</w:t>
            </w:r>
          </w:p>
        </w:tc>
        <w:tc>
          <w:tcPr>
            <w:tcW w:w="1276"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发证时间</w:t>
            </w:r>
          </w:p>
        </w:tc>
        <w:tc>
          <w:tcPr>
            <w:tcW w:w="2410" w:type="dxa"/>
            <w:vAlign w:val="center"/>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从事本工作时间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restart"/>
          </w:tcPr>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项</w:t>
            </w:r>
          </w:p>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目</w:t>
            </w:r>
          </w:p>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实</w:t>
            </w:r>
          </w:p>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施</w:t>
            </w:r>
          </w:p>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人</w:t>
            </w:r>
          </w:p>
          <w:p>
            <w:pPr>
              <w:keepNext w:val="0"/>
              <w:keepLines w:val="0"/>
              <w:suppressLineNumbers w:val="0"/>
              <w:shd w:val="clear"/>
              <w:adjustRightInd w:val="0"/>
              <w:spacing w:before="0" w:beforeAutospacing="0" w:after="0" w:afterAutospacing="0" w:line="360" w:lineRule="auto"/>
              <w:ind w:left="0" w:right="0"/>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员</w:t>
            </w:r>
          </w:p>
        </w:tc>
        <w:tc>
          <w:tcPr>
            <w:tcW w:w="1292"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62" w:type="dxa"/>
            <w:vMerge w:val="continue"/>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92"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69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847"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1276"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c>
          <w:tcPr>
            <w:tcW w:w="2410" w:type="dxa"/>
          </w:tcPr>
          <w:p>
            <w:pPr>
              <w:keepNext w:val="0"/>
              <w:keepLines w:val="0"/>
              <w:suppressLineNumbers w:val="0"/>
              <w:shd w:val="clear"/>
              <w:adjustRightInd w:val="0"/>
              <w:spacing w:before="0" w:beforeAutospacing="0" w:after="0" w:afterAutospacing="0" w:line="360" w:lineRule="auto"/>
              <w:ind w:left="0" w:right="0"/>
              <w:textAlignment w:val="baseline"/>
              <w:rPr>
                <w:rFonts w:hint="eastAsia" w:ascii="宋体" w:hAnsi="宋体" w:eastAsia="宋体" w:cs="宋体"/>
                <w:color w:val="auto"/>
                <w:highlight w:val="none"/>
              </w:rPr>
            </w:pPr>
          </w:p>
        </w:tc>
      </w:tr>
    </w:tbl>
    <w:p>
      <w:pPr>
        <w:shd w:val="clear"/>
        <w:spacing w:line="320" w:lineRule="exact"/>
        <w:ind w:firstLine="420" w:firstLineChars="200"/>
        <w:rPr>
          <w:rFonts w:hint="eastAsia" w:ascii="宋体" w:hAnsi="宋体" w:cs="宋体"/>
          <w:color w:val="auto"/>
          <w:sz w:val="21"/>
          <w:szCs w:val="21"/>
          <w:highlight w:val="none"/>
        </w:rPr>
      </w:pPr>
      <w:r>
        <w:rPr>
          <w:rFonts w:hint="eastAsia" w:ascii="宋体" w:hAnsi="宋体" w:eastAsia="宋体" w:cs="宋体"/>
          <w:color w:val="auto"/>
          <w:szCs w:val="21"/>
          <w:highlight w:val="none"/>
        </w:rPr>
        <w:t>注：在填写时，如本表格不适合供应商的实际情况，可根据本表格格式自行划表填写。</w:t>
      </w:r>
      <w:r>
        <w:rPr>
          <w:rFonts w:hint="eastAsia" w:ascii="宋体" w:hAnsi="宋体" w:eastAsia="宋体" w:cs="宋体"/>
          <w:color w:val="auto"/>
          <w:szCs w:val="21"/>
          <w:highlight w:val="none"/>
          <w:lang w:val="en-US" w:eastAsia="zh-CN"/>
        </w:rPr>
        <w:t>提供项目组人员</w:t>
      </w:r>
      <w:r>
        <w:rPr>
          <w:rFonts w:hint="eastAsia" w:ascii="宋体" w:hAnsi="宋体" w:cs="宋体"/>
          <w:color w:val="auto"/>
          <w:szCs w:val="21"/>
          <w:highlight w:val="none"/>
          <w:lang w:val="en-US" w:eastAsia="zh-CN"/>
        </w:rPr>
        <w:t>身份证</w:t>
      </w:r>
      <w:r>
        <w:rPr>
          <w:rFonts w:hint="eastAsia" w:ascii="宋体" w:hAnsi="宋体" w:eastAsia="宋体" w:cs="宋体"/>
          <w:color w:val="auto"/>
          <w:szCs w:val="21"/>
          <w:highlight w:val="none"/>
          <w:lang w:val="en-US" w:eastAsia="zh-CN"/>
        </w:rPr>
        <w:t>、专业技术职称证书及</w:t>
      </w:r>
      <w:r>
        <w:rPr>
          <w:rFonts w:hint="eastAsia" w:ascii="宋体" w:hAnsi="宋体" w:cs="宋体"/>
          <w:color w:val="auto"/>
          <w:szCs w:val="21"/>
          <w:highlight w:val="none"/>
          <w:lang w:val="en-US" w:eastAsia="zh-CN"/>
        </w:rPr>
        <w:t>近三个月的</w:t>
      </w:r>
      <w:r>
        <w:rPr>
          <w:rFonts w:hint="eastAsia" w:ascii="宋体" w:hAnsi="宋体" w:eastAsia="宋体" w:cs="宋体"/>
          <w:color w:val="auto"/>
          <w:szCs w:val="21"/>
          <w:highlight w:val="none"/>
          <w:lang w:val="en-US" w:eastAsia="zh-CN"/>
        </w:rPr>
        <w:t>社会保险证明</w:t>
      </w:r>
      <w:r>
        <w:rPr>
          <w:rFonts w:hint="eastAsia" w:ascii="宋体" w:hAnsi="宋体" w:cs="宋体"/>
          <w:color w:val="auto"/>
          <w:szCs w:val="21"/>
          <w:highlight w:val="none"/>
          <w:lang w:val="en-US" w:eastAsia="zh-CN"/>
        </w:rPr>
        <w:t>等扫描件</w:t>
      </w:r>
      <w:r>
        <w:rPr>
          <w:rFonts w:hint="eastAsia" w:ascii="宋体" w:hAnsi="宋体" w:eastAsia="宋体" w:cs="宋体"/>
          <w:color w:val="auto"/>
          <w:szCs w:val="21"/>
          <w:highlight w:val="none"/>
          <w:lang w:val="en-US" w:eastAsia="zh-CN"/>
        </w:rPr>
        <w:t>。</w:t>
      </w:r>
    </w:p>
    <w:p>
      <w:pPr>
        <w:pStyle w:val="16"/>
        <w:shd w:val="clear"/>
        <w:spacing w:line="360" w:lineRule="auto"/>
        <w:jc w:val="left"/>
        <w:rPr>
          <w:rFonts w:hAnsi="宋体"/>
          <w:bCs/>
          <w:color w:val="auto"/>
          <w:sz w:val="22"/>
          <w:szCs w:val="18"/>
          <w:highlight w:val="none"/>
        </w:rPr>
      </w:pPr>
    </w:p>
    <w:p>
      <w:pPr>
        <w:shd w:val="clear"/>
        <w:spacing w:line="400" w:lineRule="exact"/>
        <w:ind w:firstLine="3520" w:firstLineChars="1600"/>
        <w:rPr>
          <w:rFonts w:hint="eastAsia" w:ascii="新宋体" w:hAnsi="新宋体" w:eastAsia="新宋体"/>
          <w:color w:val="auto"/>
          <w:sz w:val="22"/>
          <w:szCs w:val="22"/>
          <w:highlight w:val="none"/>
        </w:rPr>
      </w:pPr>
    </w:p>
    <w:p>
      <w:pPr>
        <w:shd w:val="clear"/>
        <w:spacing w:line="400" w:lineRule="exact"/>
        <w:ind w:firstLine="3520" w:firstLineChars="1600"/>
        <w:rPr>
          <w:rFonts w:hint="eastAsia" w:ascii="新宋体" w:hAnsi="新宋体" w:eastAsia="新宋体"/>
          <w:color w:val="auto"/>
          <w:sz w:val="22"/>
          <w:szCs w:val="22"/>
          <w:highlight w:val="none"/>
        </w:rPr>
      </w:pPr>
    </w:p>
    <w:p>
      <w:pPr>
        <w:shd w:val="clear"/>
        <w:spacing w:line="400" w:lineRule="exact"/>
        <w:ind w:firstLine="3520" w:firstLineChars="1600"/>
        <w:rPr>
          <w:rFonts w:hint="eastAsia" w:ascii="新宋体" w:hAnsi="新宋体" w:eastAsia="新宋体"/>
          <w:color w:val="auto"/>
          <w:sz w:val="22"/>
          <w:szCs w:val="22"/>
          <w:highlight w:val="none"/>
        </w:rPr>
      </w:pPr>
    </w:p>
    <w:p>
      <w:pPr>
        <w:shd w:val="clear"/>
        <w:spacing w:line="400" w:lineRule="exact"/>
        <w:ind w:firstLine="3520" w:firstLineChars="16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供应商全称（盖章）：</w:t>
      </w:r>
    </w:p>
    <w:p>
      <w:pPr>
        <w:shd w:val="clear"/>
        <w:spacing w:line="400" w:lineRule="exact"/>
        <w:ind w:firstLine="3520" w:firstLineChars="16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法定代表人或被授权人签字（或签章）：</w:t>
      </w:r>
    </w:p>
    <w:p>
      <w:pPr>
        <w:shd w:val="clear"/>
        <w:spacing w:line="380" w:lineRule="exact"/>
        <w:ind w:firstLine="3520" w:firstLineChars="1600"/>
        <w:rPr>
          <w:rFonts w:ascii="宋体"/>
          <w:b/>
          <w:color w:val="auto"/>
          <w:spacing w:val="20"/>
          <w:sz w:val="30"/>
          <w:szCs w:val="30"/>
          <w:highlight w:val="none"/>
        </w:rPr>
      </w:pPr>
      <w:r>
        <w:rPr>
          <w:rFonts w:hint="eastAsia" w:ascii="新宋体" w:hAnsi="新宋体" w:eastAsia="新宋体"/>
          <w:color w:val="auto"/>
          <w:sz w:val="22"/>
          <w:szCs w:val="22"/>
          <w:highlight w:val="none"/>
        </w:rPr>
        <w:t>日期：</w:t>
      </w:r>
    </w:p>
    <w:p>
      <w:pPr>
        <w:shd w:val="clear"/>
        <w:adjustRightInd w:val="0"/>
        <w:snapToGrid w:val="0"/>
        <w:spacing w:line="360" w:lineRule="auto"/>
        <w:rPr>
          <w:rFonts w:hint="eastAsia" w:ascii="宋体" w:hAnsi="宋体"/>
          <w:b/>
          <w:color w:val="auto"/>
          <w:sz w:val="32"/>
          <w:szCs w:val="32"/>
          <w:highlight w:val="none"/>
        </w:rPr>
      </w:pPr>
    </w:p>
    <w:p>
      <w:pPr>
        <w:pStyle w:val="12"/>
        <w:shd w:val="clear"/>
        <w:rPr>
          <w:rFonts w:hint="eastAsia" w:ascii="宋体" w:hAnsi="宋体"/>
          <w:b/>
          <w:color w:val="auto"/>
          <w:sz w:val="32"/>
          <w:szCs w:val="32"/>
          <w:highlight w:val="none"/>
        </w:rPr>
      </w:pPr>
    </w:p>
    <w:p>
      <w:pPr>
        <w:pStyle w:val="34"/>
        <w:shd w:val="clear"/>
        <w:rPr>
          <w:rFonts w:hint="eastAsia" w:ascii="宋体" w:hAnsi="宋体"/>
          <w:b/>
          <w:color w:val="auto"/>
          <w:sz w:val="32"/>
          <w:szCs w:val="32"/>
          <w:highlight w:val="none"/>
        </w:rPr>
      </w:pPr>
    </w:p>
    <w:p>
      <w:pPr>
        <w:shd w:val="clear"/>
        <w:rPr>
          <w:rFonts w:hint="eastAsia" w:ascii="宋体" w:hAnsi="宋体"/>
          <w:b/>
          <w:color w:val="auto"/>
          <w:sz w:val="32"/>
          <w:szCs w:val="32"/>
          <w:highlight w:val="none"/>
        </w:rPr>
      </w:pPr>
    </w:p>
    <w:p>
      <w:pPr>
        <w:pStyle w:val="12"/>
        <w:shd w:val="clear"/>
        <w:rPr>
          <w:rFonts w:hint="eastAsia" w:ascii="宋体" w:hAnsi="宋体"/>
          <w:b/>
          <w:color w:val="auto"/>
          <w:sz w:val="32"/>
          <w:szCs w:val="32"/>
          <w:highlight w:val="none"/>
        </w:rPr>
      </w:pPr>
    </w:p>
    <w:p>
      <w:pPr>
        <w:pStyle w:val="34"/>
        <w:shd w:val="clear"/>
        <w:rPr>
          <w:rFonts w:hint="eastAsia" w:ascii="宋体" w:hAnsi="宋体"/>
          <w:b/>
          <w:color w:val="auto"/>
          <w:sz w:val="32"/>
          <w:szCs w:val="32"/>
          <w:highlight w:val="none"/>
        </w:rPr>
      </w:pPr>
    </w:p>
    <w:p>
      <w:pPr>
        <w:shd w:val="clear"/>
        <w:rPr>
          <w:rFonts w:hint="eastAsia" w:ascii="宋体" w:hAnsi="宋体"/>
          <w:b/>
          <w:color w:val="auto"/>
          <w:sz w:val="32"/>
          <w:szCs w:val="32"/>
          <w:highlight w:val="none"/>
        </w:rPr>
      </w:pPr>
    </w:p>
    <w:p>
      <w:pPr>
        <w:pStyle w:val="12"/>
        <w:shd w:val="clear"/>
        <w:rPr>
          <w:rFonts w:hint="eastAsia"/>
          <w:color w:val="auto"/>
          <w:highlight w:val="none"/>
        </w:rPr>
      </w:pPr>
    </w:p>
    <w:p>
      <w:pPr>
        <w:shd w:val="clear"/>
        <w:adjustRightInd w:val="0"/>
        <w:snapToGrid w:val="0"/>
        <w:spacing w:line="360" w:lineRule="auto"/>
        <w:rPr>
          <w:rFonts w:hint="eastAsia" w:ascii="宋体" w:eastAsia="宋体"/>
          <w:b/>
          <w:color w:val="auto"/>
          <w:sz w:val="32"/>
          <w:szCs w:val="32"/>
          <w:highlight w:val="none"/>
          <w:lang w:eastAsia="zh-CN"/>
        </w:rPr>
      </w:pPr>
      <w:r>
        <w:rPr>
          <w:rFonts w:hint="eastAsia" w:ascii="宋体" w:hAnsi="宋体"/>
          <w:b/>
          <w:color w:val="auto"/>
          <w:sz w:val="32"/>
          <w:szCs w:val="32"/>
          <w:highlight w:val="none"/>
        </w:rPr>
        <w:t>附件</w:t>
      </w:r>
      <w:r>
        <w:rPr>
          <w:rFonts w:hint="eastAsia" w:ascii="宋体" w:hAnsi="宋体"/>
          <w:b/>
          <w:color w:val="auto"/>
          <w:sz w:val="32"/>
          <w:szCs w:val="32"/>
          <w:highlight w:val="none"/>
          <w:lang w:val="en-US" w:eastAsia="zh-CN"/>
        </w:rPr>
        <w:t>8</w:t>
      </w:r>
    </w:p>
    <w:p>
      <w:pPr>
        <w:shd w:val="clear"/>
        <w:adjustRightInd w:val="0"/>
        <w:snapToGrid w:val="0"/>
        <w:spacing w:line="360" w:lineRule="auto"/>
        <w:jc w:val="center"/>
        <w:rPr>
          <w:b/>
          <w:color w:val="auto"/>
          <w:sz w:val="30"/>
          <w:szCs w:val="30"/>
          <w:highlight w:val="none"/>
        </w:rPr>
      </w:pPr>
      <w:r>
        <w:rPr>
          <w:rFonts w:hint="eastAsia"/>
          <w:b/>
          <w:color w:val="auto"/>
          <w:sz w:val="30"/>
          <w:szCs w:val="30"/>
          <w:highlight w:val="none"/>
        </w:rPr>
        <w:t>磋商响应函</w:t>
      </w:r>
    </w:p>
    <w:p>
      <w:pPr>
        <w:shd w:val="clear"/>
        <w:adjustRightInd w:val="0"/>
        <w:snapToGrid w:val="0"/>
        <w:spacing w:line="360" w:lineRule="auto"/>
        <w:rPr>
          <w:color w:val="auto"/>
          <w:sz w:val="24"/>
          <w:highlight w:val="none"/>
        </w:rPr>
      </w:pPr>
      <w:r>
        <w:rPr>
          <w:rFonts w:hint="eastAsia"/>
          <w:color w:val="auto"/>
          <w:sz w:val="24"/>
          <w:highlight w:val="none"/>
        </w:rPr>
        <w:t>致：</w:t>
      </w:r>
      <w:r>
        <w:rPr>
          <w:color w:val="auto"/>
          <w:sz w:val="24"/>
          <w:highlight w:val="none"/>
        </w:rPr>
        <w:t>__________________</w:t>
      </w:r>
      <w:r>
        <w:rPr>
          <w:rFonts w:hint="eastAsia"/>
          <w:color w:val="auto"/>
          <w:sz w:val="24"/>
          <w:highlight w:val="none"/>
        </w:rPr>
        <w:t>：</w:t>
      </w:r>
    </w:p>
    <w:p>
      <w:pPr>
        <w:shd w:val="clear"/>
        <w:adjustRightInd w:val="0"/>
        <w:snapToGrid w:val="0"/>
        <w:spacing w:line="360" w:lineRule="auto"/>
        <w:ind w:firstLine="480" w:firstLineChars="200"/>
        <w:rPr>
          <w:color w:val="auto"/>
          <w:sz w:val="24"/>
          <w:highlight w:val="none"/>
        </w:rPr>
      </w:pPr>
      <w:r>
        <w:rPr>
          <w:rFonts w:hint="eastAsia"/>
          <w:color w:val="auto"/>
          <w:sz w:val="24"/>
          <w:highlight w:val="none"/>
        </w:rPr>
        <w:t>根据贵方为</w:t>
      </w:r>
      <w:r>
        <w:rPr>
          <w:color w:val="auto"/>
          <w:sz w:val="24"/>
          <w:highlight w:val="none"/>
        </w:rPr>
        <w:t>__________________</w:t>
      </w:r>
      <w:r>
        <w:rPr>
          <w:rFonts w:hint="eastAsia"/>
          <w:color w:val="auto"/>
          <w:sz w:val="24"/>
          <w:highlight w:val="none"/>
        </w:rPr>
        <w:t>的竞争性磋商公告（</w:t>
      </w:r>
      <w:r>
        <w:rPr>
          <w:rFonts w:hint="eastAsia" w:cs="Arial"/>
          <w:bCs/>
          <w:color w:val="auto"/>
          <w:sz w:val="24"/>
          <w:highlight w:val="none"/>
        </w:rPr>
        <w:t>项目编号：</w:t>
      </w:r>
      <w:r>
        <w:rPr>
          <w:color w:val="auto"/>
          <w:sz w:val="24"/>
          <w:highlight w:val="none"/>
        </w:rPr>
        <w:t>__________________</w:t>
      </w:r>
      <w:r>
        <w:rPr>
          <w:rFonts w:hint="eastAsia"/>
          <w:color w:val="auto"/>
          <w:sz w:val="24"/>
          <w:highlight w:val="none"/>
        </w:rPr>
        <w:t>），签字代表</w:t>
      </w:r>
      <w:r>
        <w:rPr>
          <w:color w:val="auto"/>
          <w:sz w:val="24"/>
          <w:highlight w:val="none"/>
        </w:rPr>
        <w:t>____________________</w:t>
      </w:r>
      <w:r>
        <w:rPr>
          <w:rFonts w:hint="eastAsia"/>
          <w:color w:val="auto"/>
          <w:sz w:val="24"/>
          <w:highlight w:val="none"/>
        </w:rPr>
        <w:t>（全名）经正式授权并代表供应商</w:t>
      </w:r>
      <w:r>
        <w:rPr>
          <w:color w:val="auto"/>
          <w:sz w:val="24"/>
          <w:highlight w:val="none"/>
        </w:rPr>
        <w:t>________________________________________</w:t>
      </w:r>
      <w:r>
        <w:rPr>
          <w:rFonts w:hint="eastAsia"/>
          <w:color w:val="auto"/>
          <w:sz w:val="24"/>
          <w:highlight w:val="none"/>
        </w:rPr>
        <w:t>（供应商名称）提交资信商务及技术文件、报价文件。</w:t>
      </w:r>
    </w:p>
    <w:p>
      <w:pPr>
        <w:shd w:val="clear"/>
        <w:adjustRightInd w:val="0"/>
        <w:snapToGrid w:val="0"/>
        <w:spacing w:line="360" w:lineRule="auto"/>
        <w:ind w:firstLine="480" w:firstLineChars="200"/>
        <w:rPr>
          <w:color w:val="auto"/>
          <w:sz w:val="24"/>
          <w:highlight w:val="none"/>
        </w:rPr>
      </w:pPr>
      <w:r>
        <w:rPr>
          <w:rFonts w:hint="eastAsia"/>
          <w:color w:val="auto"/>
          <w:sz w:val="24"/>
          <w:highlight w:val="none"/>
        </w:rPr>
        <w:t>据此函，签字代表宣布同意如下：</w:t>
      </w:r>
    </w:p>
    <w:p>
      <w:pPr>
        <w:shd w:val="clear"/>
        <w:adjustRightInd w:val="0"/>
        <w:snapToGrid w:val="0"/>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rPr>
        <w:t>、供应商已详细审查全部“竞争性磋商文件”，包括修改文件（如有的话）以及全部参考资料和有关附件，已经了解我方对于竞争性磋商文件、采购过程、采购结果有依法进行询问、质疑、投诉的权利及相关渠道和要求。</w:t>
      </w:r>
    </w:p>
    <w:p>
      <w:pPr>
        <w:shd w:val="clear"/>
        <w:adjustRightInd w:val="0"/>
        <w:snapToGrid w:val="0"/>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、供应商在磋商之前已经与贵方进行了充分的沟通，完全理解并接受竞争性磋商文件的各项规定和要求，对竞争性磋商文件的合理性、合法性不再有异议。</w:t>
      </w:r>
    </w:p>
    <w:p>
      <w:pPr>
        <w:shd w:val="clear"/>
        <w:adjustRightInd w:val="0"/>
        <w:snapToGrid w:val="0"/>
        <w:spacing w:line="360" w:lineRule="auto"/>
        <w:ind w:firstLine="480" w:firstLineChars="200"/>
        <w:rPr>
          <w:color w:val="auto"/>
          <w:sz w:val="24"/>
          <w:highlight w:val="none"/>
        </w:rPr>
      </w:pPr>
      <w:r>
        <w:rPr>
          <w:color w:val="auto"/>
          <w:sz w:val="24"/>
          <w:highlight w:val="none"/>
        </w:rPr>
        <w:t>3</w:t>
      </w:r>
      <w:r>
        <w:rPr>
          <w:rFonts w:hint="eastAsia"/>
          <w:color w:val="auto"/>
          <w:sz w:val="24"/>
          <w:highlight w:val="none"/>
        </w:rPr>
        <w:t>、本磋商有效期自磋商截止日起</w:t>
      </w:r>
      <w:r>
        <w:rPr>
          <w:color w:val="auto"/>
          <w:sz w:val="24"/>
          <w:highlight w:val="none"/>
        </w:rPr>
        <w:t xml:space="preserve"> 90</w:t>
      </w:r>
      <w:r>
        <w:rPr>
          <w:rFonts w:hint="eastAsia"/>
          <w:color w:val="auto"/>
          <w:sz w:val="24"/>
          <w:highlight w:val="none"/>
        </w:rPr>
        <w:t>个日历天。</w:t>
      </w:r>
    </w:p>
    <w:p>
      <w:pPr>
        <w:shd w:val="clear"/>
        <w:adjustRightInd w:val="0"/>
        <w:snapToGrid w:val="0"/>
        <w:spacing w:line="360" w:lineRule="auto"/>
        <w:ind w:firstLine="480" w:firstLineChars="200"/>
        <w:rPr>
          <w:color w:val="auto"/>
          <w:sz w:val="24"/>
          <w:highlight w:val="none"/>
        </w:rPr>
      </w:pPr>
      <w:r>
        <w:rPr>
          <w:color w:val="auto"/>
          <w:sz w:val="24"/>
          <w:highlight w:val="none"/>
        </w:rPr>
        <w:t>4</w:t>
      </w:r>
      <w:r>
        <w:rPr>
          <w:rFonts w:hint="eastAsia"/>
          <w:color w:val="auto"/>
          <w:sz w:val="24"/>
          <w:highlight w:val="none"/>
        </w:rPr>
        <w:t>、如成交，本磋商响应文件至本项目合同履行完毕止均保持有效，本供应商将按“竞争性磋商文件”及政府采购法律、法规的规定履行合同责任和义务。</w:t>
      </w:r>
    </w:p>
    <w:p>
      <w:pPr>
        <w:shd w:val="clear"/>
        <w:adjustRightInd w:val="0"/>
        <w:snapToGrid w:val="0"/>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rPr>
        <w:t>、供应商同意按照贵方要求提供与磋商有关的一切数据或资料，并保证其真实性、合法性。</w:t>
      </w:r>
    </w:p>
    <w:p>
      <w:pPr>
        <w:shd w:val="clear"/>
        <w:adjustRightInd w:val="0"/>
        <w:snapToGrid w:val="0"/>
        <w:spacing w:line="360" w:lineRule="auto"/>
        <w:ind w:firstLine="480" w:firstLineChars="200"/>
        <w:rPr>
          <w:color w:val="auto"/>
          <w:sz w:val="24"/>
          <w:highlight w:val="none"/>
        </w:rPr>
      </w:pPr>
      <w:r>
        <w:rPr>
          <w:color w:val="auto"/>
          <w:sz w:val="24"/>
          <w:highlight w:val="none"/>
        </w:rPr>
        <w:t>6</w:t>
      </w:r>
      <w:r>
        <w:rPr>
          <w:rFonts w:hint="eastAsia"/>
          <w:color w:val="auto"/>
          <w:sz w:val="24"/>
          <w:highlight w:val="none"/>
        </w:rPr>
        <w:t>、与本磋商有关的一切正式往来信函请寄：</w:t>
      </w:r>
    </w:p>
    <w:p>
      <w:pPr>
        <w:shd w:val="clear"/>
        <w:adjustRightInd w:val="0"/>
        <w:snapToGrid w:val="0"/>
        <w:spacing w:line="360" w:lineRule="auto"/>
        <w:rPr>
          <w:color w:val="auto"/>
          <w:sz w:val="24"/>
          <w:highlight w:val="none"/>
        </w:rPr>
      </w:pPr>
      <w:r>
        <w:rPr>
          <w:rFonts w:hint="eastAsia"/>
          <w:color w:val="auto"/>
          <w:sz w:val="24"/>
          <w:highlight w:val="none"/>
        </w:rPr>
        <w:t>地址：</w:t>
      </w:r>
      <w:r>
        <w:rPr>
          <w:color w:val="auto"/>
          <w:sz w:val="24"/>
          <w:highlight w:val="none"/>
        </w:rPr>
        <w:t>____________________</w:t>
      </w:r>
      <w:r>
        <w:rPr>
          <w:rFonts w:hint="eastAsia"/>
          <w:color w:val="auto"/>
          <w:sz w:val="24"/>
          <w:highlight w:val="none"/>
        </w:rPr>
        <w:t>邮编：</w:t>
      </w:r>
      <w:r>
        <w:rPr>
          <w:color w:val="auto"/>
          <w:sz w:val="24"/>
          <w:highlight w:val="none"/>
        </w:rPr>
        <w:t xml:space="preserve">__________   </w:t>
      </w:r>
      <w:r>
        <w:rPr>
          <w:rFonts w:hint="eastAsia"/>
          <w:color w:val="auto"/>
          <w:sz w:val="24"/>
          <w:highlight w:val="none"/>
        </w:rPr>
        <w:t>电话：</w:t>
      </w:r>
      <w:r>
        <w:rPr>
          <w:color w:val="auto"/>
          <w:sz w:val="24"/>
          <w:highlight w:val="none"/>
        </w:rPr>
        <w:t>______________</w:t>
      </w:r>
    </w:p>
    <w:p>
      <w:pPr>
        <w:shd w:val="clear"/>
        <w:adjustRightInd w:val="0"/>
        <w:snapToGrid w:val="0"/>
        <w:spacing w:line="360" w:lineRule="auto"/>
        <w:rPr>
          <w:color w:val="auto"/>
          <w:sz w:val="24"/>
          <w:highlight w:val="none"/>
        </w:rPr>
      </w:pPr>
      <w:r>
        <w:rPr>
          <w:rFonts w:hint="eastAsia"/>
          <w:color w:val="auto"/>
          <w:sz w:val="24"/>
          <w:highlight w:val="none"/>
        </w:rPr>
        <w:t>传真：</w:t>
      </w:r>
      <w:r>
        <w:rPr>
          <w:color w:val="auto"/>
          <w:sz w:val="24"/>
          <w:highlight w:val="none"/>
        </w:rPr>
        <w:t>______________</w:t>
      </w:r>
      <w:r>
        <w:rPr>
          <w:rFonts w:hint="eastAsia"/>
          <w:color w:val="auto"/>
          <w:sz w:val="24"/>
          <w:highlight w:val="none"/>
        </w:rPr>
        <w:t>供应商代表姓名</w:t>
      </w:r>
      <w:r>
        <w:rPr>
          <w:color w:val="auto"/>
          <w:sz w:val="24"/>
          <w:highlight w:val="none"/>
        </w:rPr>
        <w:t xml:space="preserve"> ___________ </w:t>
      </w:r>
      <w:r>
        <w:rPr>
          <w:rFonts w:hint="eastAsia"/>
          <w:color w:val="auto"/>
          <w:sz w:val="24"/>
          <w:highlight w:val="none"/>
        </w:rPr>
        <w:t>职务：</w:t>
      </w:r>
      <w:r>
        <w:rPr>
          <w:color w:val="auto"/>
          <w:sz w:val="24"/>
          <w:highlight w:val="none"/>
        </w:rPr>
        <w:t>______________</w:t>
      </w:r>
    </w:p>
    <w:p>
      <w:pPr>
        <w:shd w:val="clear"/>
        <w:adjustRightInd w:val="0"/>
        <w:snapToGrid w:val="0"/>
        <w:spacing w:line="360" w:lineRule="auto"/>
        <w:rPr>
          <w:color w:val="auto"/>
          <w:sz w:val="24"/>
          <w:highlight w:val="none"/>
        </w:rPr>
      </w:pPr>
    </w:p>
    <w:p>
      <w:pPr>
        <w:shd w:val="clear"/>
        <w:adjustRightInd w:val="0"/>
        <w:snapToGrid w:val="0"/>
        <w:spacing w:line="360" w:lineRule="auto"/>
        <w:rPr>
          <w:color w:val="auto"/>
          <w:sz w:val="24"/>
          <w:highlight w:val="none"/>
        </w:rPr>
      </w:pPr>
    </w:p>
    <w:p>
      <w:pPr>
        <w:shd w:val="clear"/>
        <w:adjustRightInd w:val="0"/>
        <w:snapToGrid w:val="0"/>
        <w:spacing w:line="360" w:lineRule="auto"/>
        <w:rPr>
          <w:color w:val="auto"/>
          <w:sz w:val="24"/>
          <w:highlight w:val="none"/>
        </w:rPr>
      </w:pPr>
      <w:r>
        <w:rPr>
          <w:rFonts w:hint="eastAsia"/>
          <w:color w:val="auto"/>
          <w:sz w:val="24"/>
          <w:highlight w:val="none"/>
        </w:rPr>
        <w:t>供应商名称</w:t>
      </w:r>
      <w:r>
        <w:rPr>
          <w:color w:val="auto"/>
          <w:sz w:val="24"/>
          <w:highlight w:val="none"/>
        </w:rPr>
        <w:t>(</w:t>
      </w:r>
      <w:r>
        <w:rPr>
          <w:rFonts w:hint="eastAsia"/>
          <w:color w:val="auto"/>
          <w:sz w:val="24"/>
          <w:highlight w:val="none"/>
        </w:rPr>
        <w:t>盖章</w:t>
      </w:r>
      <w:r>
        <w:rPr>
          <w:color w:val="auto"/>
          <w:sz w:val="24"/>
          <w:highlight w:val="none"/>
        </w:rPr>
        <w:t>):___________________</w:t>
      </w:r>
    </w:p>
    <w:p>
      <w:pPr>
        <w:shd w:val="clear"/>
        <w:adjustRightInd w:val="0"/>
        <w:snapToGrid w:val="0"/>
        <w:spacing w:line="360" w:lineRule="auto"/>
        <w:rPr>
          <w:color w:val="auto"/>
          <w:sz w:val="24"/>
          <w:highlight w:val="none"/>
        </w:rPr>
      </w:pPr>
      <w:r>
        <w:rPr>
          <w:rFonts w:hint="eastAsia"/>
          <w:color w:val="auto"/>
          <w:sz w:val="24"/>
          <w:highlight w:val="none"/>
        </w:rPr>
        <w:t>开户银行：</w:t>
      </w:r>
      <w:r>
        <w:rPr>
          <w:rFonts w:hint="eastAsia"/>
          <w:color w:val="auto"/>
          <w:sz w:val="24"/>
          <w:highlight w:val="none"/>
          <w:u w:val="single"/>
        </w:rPr>
        <w:t xml:space="preserve">          </w:t>
      </w:r>
      <w:r>
        <w:rPr>
          <w:rFonts w:hint="eastAsia"/>
          <w:color w:val="auto"/>
          <w:sz w:val="24"/>
          <w:highlight w:val="none"/>
        </w:rPr>
        <w:t xml:space="preserve">  银行帐号：</w:t>
      </w:r>
      <w:r>
        <w:rPr>
          <w:color w:val="auto"/>
          <w:sz w:val="24"/>
          <w:highlight w:val="none"/>
        </w:rPr>
        <w:t>________________</w:t>
      </w:r>
    </w:p>
    <w:p>
      <w:pPr>
        <w:shd w:val="clear"/>
        <w:adjustRightInd w:val="0"/>
        <w:snapToGrid w:val="0"/>
        <w:spacing w:line="360" w:lineRule="auto"/>
        <w:rPr>
          <w:color w:val="auto"/>
          <w:sz w:val="24"/>
          <w:highlight w:val="none"/>
        </w:rPr>
      </w:pPr>
      <w:r>
        <w:rPr>
          <w:rFonts w:hint="eastAsia" w:ascii="宋体" w:hAnsi="宋体"/>
          <w:color w:val="auto"/>
          <w:sz w:val="24"/>
          <w:highlight w:val="none"/>
        </w:rPr>
        <w:t>法定代表人或被授权人签字（或签章）</w:t>
      </w:r>
      <w:r>
        <w:rPr>
          <w:color w:val="auto"/>
          <w:sz w:val="24"/>
          <w:highlight w:val="none"/>
        </w:rPr>
        <w:t>:___________</w:t>
      </w:r>
    </w:p>
    <w:p>
      <w:pPr>
        <w:shd w:val="clear"/>
        <w:adjustRightInd w:val="0"/>
        <w:snapToGrid w:val="0"/>
        <w:spacing w:line="360" w:lineRule="auto"/>
        <w:jc w:val="right"/>
        <w:rPr>
          <w:color w:val="auto"/>
          <w:sz w:val="24"/>
          <w:highlight w:val="none"/>
        </w:rPr>
      </w:pPr>
      <w:r>
        <w:rPr>
          <w:rFonts w:hint="eastAsia"/>
          <w:color w:val="auto"/>
          <w:sz w:val="24"/>
          <w:highlight w:val="none"/>
        </w:rPr>
        <w:t>日期</w:t>
      </w:r>
      <w:r>
        <w:rPr>
          <w:color w:val="auto"/>
          <w:sz w:val="24"/>
          <w:highlight w:val="none"/>
        </w:rPr>
        <w:t>:_____</w:t>
      </w:r>
      <w:r>
        <w:rPr>
          <w:rFonts w:hint="eastAsia"/>
          <w:color w:val="auto"/>
          <w:sz w:val="24"/>
          <w:highlight w:val="none"/>
        </w:rPr>
        <w:t>年</w:t>
      </w:r>
      <w:r>
        <w:rPr>
          <w:color w:val="auto"/>
          <w:sz w:val="24"/>
          <w:highlight w:val="none"/>
        </w:rPr>
        <w:t>___</w:t>
      </w:r>
      <w:r>
        <w:rPr>
          <w:rFonts w:hint="eastAsia"/>
          <w:color w:val="auto"/>
          <w:sz w:val="24"/>
          <w:highlight w:val="none"/>
        </w:rPr>
        <w:t>月</w:t>
      </w:r>
      <w:r>
        <w:rPr>
          <w:color w:val="auto"/>
          <w:sz w:val="24"/>
          <w:highlight w:val="none"/>
        </w:rPr>
        <w:t>___</w:t>
      </w:r>
      <w:r>
        <w:rPr>
          <w:rFonts w:hint="eastAsia"/>
          <w:color w:val="auto"/>
          <w:sz w:val="24"/>
          <w:highlight w:val="none"/>
        </w:rPr>
        <w:t>日</w:t>
      </w:r>
    </w:p>
    <w:p>
      <w:pPr>
        <w:shd w:val="clear"/>
        <w:ind w:firstLine="753" w:firstLineChars="250"/>
        <w:jc w:val="center"/>
        <w:rPr>
          <w:rFonts w:ascii="宋体"/>
          <w:b/>
          <w:color w:val="auto"/>
          <w:sz w:val="30"/>
          <w:szCs w:val="30"/>
          <w:highlight w:val="none"/>
        </w:rPr>
      </w:pPr>
    </w:p>
    <w:p>
      <w:pPr>
        <w:shd w:val="clear"/>
        <w:adjustRightInd w:val="0"/>
        <w:snapToGrid w:val="0"/>
        <w:spacing w:line="360" w:lineRule="auto"/>
        <w:rPr>
          <w:rFonts w:ascii="宋体" w:hAnsi="宋体"/>
          <w:b/>
          <w:color w:val="auto"/>
          <w:sz w:val="32"/>
          <w:szCs w:val="32"/>
          <w:highlight w:val="none"/>
        </w:rPr>
      </w:pPr>
    </w:p>
    <w:p>
      <w:pPr>
        <w:shd w:val="clear"/>
        <w:adjustRightInd w:val="0"/>
        <w:snapToGrid w:val="0"/>
        <w:spacing w:line="360" w:lineRule="auto"/>
        <w:rPr>
          <w:rFonts w:hint="eastAsia" w:ascii="宋体" w:eastAsia="宋体"/>
          <w:b/>
          <w:color w:val="auto"/>
          <w:sz w:val="32"/>
          <w:szCs w:val="32"/>
          <w:highlight w:val="none"/>
          <w:lang w:eastAsia="zh-CN"/>
        </w:rPr>
      </w:pPr>
      <w:r>
        <w:rPr>
          <w:rFonts w:hint="eastAsia" w:ascii="宋体" w:hAnsi="宋体"/>
          <w:b/>
          <w:color w:val="auto"/>
          <w:sz w:val="32"/>
          <w:szCs w:val="32"/>
          <w:highlight w:val="none"/>
        </w:rPr>
        <w:t>附件</w:t>
      </w:r>
      <w:r>
        <w:rPr>
          <w:rFonts w:hint="eastAsia" w:ascii="宋体" w:hAnsi="宋体"/>
          <w:b/>
          <w:color w:val="auto"/>
          <w:sz w:val="32"/>
          <w:szCs w:val="32"/>
          <w:highlight w:val="none"/>
          <w:lang w:val="en-US" w:eastAsia="zh-CN"/>
        </w:rPr>
        <w:t>9</w:t>
      </w:r>
    </w:p>
    <w:p>
      <w:pPr>
        <w:shd w:val="clear"/>
        <w:jc w:val="center"/>
        <w:rPr>
          <w:rFonts w:hint="eastAsia" w:ascii="宋体" w:hAnsi="宋体"/>
          <w:b/>
          <w:color w:val="auto"/>
          <w:sz w:val="30"/>
          <w:szCs w:val="30"/>
          <w:highlight w:val="none"/>
        </w:rPr>
      </w:pPr>
      <w:r>
        <w:rPr>
          <w:rFonts w:hint="eastAsia" w:ascii="宋体" w:hAnsi="宋体"/>
          <w:b/>
          <w:color w:val="auto"/>
          <w:sz w:val="30"/>
          <w:szCs w:val="30"/>
          <w:highlight w:val="none"/>
        </w:rPr>
        <w:t>报价一览表</w:t>
      </w:r>
    </w:p>
    <w:p>
      <w:pPr>
        <w:pStyle w:val="12"/>
        <w:shd w:val="clear"/>
        <w:jc w:val="center"/>
        <w:rPr>
          <w:rFonts w:hint="eastAsia" w:ascii="宋体" w:hAnsi="宋体"/>
          <w:b w:val="0"/>
          <w:bCs/>
          <w:color w:val="auto"/>
          <w:sz w:val="21"/>
          <w:szCs w:val="21"/>
          <w:highlight w:val="none"/>
          <w:u w:val="single"/>
          <w:lang w:val="en-US" w:eastAsia="zh-CN"/>
        </w:rPr>
      </w:pPr>
      <w:r>
        <w:rPr>
          <w:rFonts w:hint="eastAsia" w:ascii="宋体" w:hAnsi="宋体"/>
          <w:b w:val="0"/>
          <w:bCs/>
          <w:color w:val="auto"/>
          <w:sz w:val="21"/>
          <w:szCs w:val="21"/>
          <w:highlight w:val="none"/>
          <w:lang w:val="en-US" w:eastAsia="zh-CN"/>
        </w:rPr>
        <w:t xml:space="preserve">                                                     标项： </w:t>
      </w:r>
      <w:r>
        <w:rPr>
          <w:rFonts w:hint="eastAsia" w:ascii="宋体" w:hAnsi="宋体"/>
          <w:b w:val="0"/>
          <w:bCs/>
          <w:color w:val="auto"/>
          <w:sz w:val="21"/>
          <w:szCs w:val="21"/>
          <w:highlight w:val="none"/>
          <w:u w:val="single"/>
          <w:lang w:val="en-US" w:eastAsia="zh-CN"/>
        </w:rPr>
        <w:t xml:space="preserve">    </w:t>
      </w:r>
    </w:p>
    <w:tbl>
      <w:tblPr>
        <w:tblStyle w:val="35"/>
        <w:tblW w:w="86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620" w:type="dxa"/>
            <w:gridSpan w:val="2"/>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ascii="宋体" w:hAnsi="宋体" w:cs="宋体"/>
                <w:color w:val="auto"/>
                <w:sz w:val="22"/>
                <w:szCs w:val="22"/>
                <w:highlight w:val="none"/>
                <w:lang w:val="zh-CN"/>
              </w:rPr>
              <w:t>2024年南排工程河道堤防维修及一次性项目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572"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报价（元）</w:t>
            </w:r>
          </w:p>
        </w:tc>
        <w:tc>
          <w:tcPr>
            <w:tcW w:w="7048"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572"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项目负责人</w:t>
            </w:r>
          </w:p>
        </w:tc>
        <w:tc>
          <w:tcPr>
            <w:tcW w:w="7048"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572"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w:t>
            </w:r>
          </w:p>
        </w:tc>
        <w:tc>
          <w:tcPr>
            <w:tcW w:w="7048"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572"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质量目标</w:t>
            </w:r>
          </w:p>
        </w:tc>
        <w:tc>
          <w:tcPr>
            <w:tcW w:w="7048"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572"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7048" w:type="dxa"/>
            <w:vAlign w:val="center"/>
          </w:tcPr>
          <w:p>
            <w:pPr>
              <w:keepNext w:val="0"/>
              <w:keepLines w:val="0"/>
              <w:suppressLineNumbers w:val="0"/>
              <w:shd w:val="clear"/>
              <w:snapToGrid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bl>
    <w:p>
      <w:pPr>
        <w:shd w:val="clear"/>
        <w:adjustRightInd w:val="0"/>
        <w:spacing w:line="500" w:lineRule="exact"/>
        <w:rPr>
          <w:rFonts w:ascii="宋体" w:cs="Arial"/>
          <w:color w:val="auto"/>
          <w:sz w:val="24"/>
          <w:highlight w:val="none"/>
        </w:rPr>
      </w:pPr>
      <w:r>
        <w:rPr>
          <w:rFonts w:hint="eastAsia" w:ascii="宋体" w:hAnsi="宋体" w:cs="Arial"/>
          <w:bCs/>
          <w:color w:val="auto"/>
          <w:sz w:val="24"/>
          <w:highlight w:val="none"/>
        </w:rPr>
        <w:t>注</w:t>
      </w:r>
      <w:r>
        <w:rPr>
          <w:rFonts w:hint="eastAsia" w:ascii="宋体" w:hAnsi="宋体" w:cs="Arial"/>
          <w:color w:val="auto"/>
          <w:sz w:val="24"/>
          <w:highlight w:val="none"/>
        </w:rPr>
        <w:t>：</w:t>
      </w:r>
      <w:r>
        <w:rPr>
          <w:rFonts w:ascii="宋体" w:hAnsi="宋体" w:cs="Arial"/>
          <w:color w:val="auto"/>
          <w:sz w:val="24"/>
          <w:highlight w:val="none"/>
        </w:rPr>
        <w:t>1</w:t>
      </w:r>
      <w:r>
        <w:rPr>
          <w:rFonts w:hint="eastAsia" w:ascii="宋体" w:hAnsi="宋体" w:cs="Arial"/>
          <w:color w:val="auto"/>
          <w:sz w:val="24"/>
          <w:highlight w:val="none"/>
        </w:rPr>
        <w:t>、填写此表时不得改变表格的形式。</w:t>
      </w:r>
    </w:p>
    <w:p>
      <w:pPr>
        <w:shd w:val="clear"/>
        <w:adjustRightInd w:val="0"/>
        <w:spacing w:line="500" w:lineRule="exact"/>
        <w:ind w:firstLine="480" w:firstLineChars="200"/>
        <w:rPr>
          <w:rFonts w:ascii="宋体"/>
          <w:b/>
          <w:color w:val="auto"/>
          <w:sz w:val="30"/>
          <w:szCs w:val="30"/>
          <w:highlight w:val="none"/>
        </w:rPr>
      </w:pPr>
      <w:r>
        <w:rPr>
          <w:rFonts w:hint="eastAsia" w:ascii="宋体" w:hAnsi="宋体" w:cs="Arial"/>
          <w:color w:val="auto"/>
          <w:sz w:val="24"/>
          <w:highlight w:val="none"/>
        </w:rPr>
        <w:t>2、</w:t>
      </w:r>
      <w:r>
        <w:rPr>
          <w:rFonts w:hint="eastAsia" w:ascii="宋体" w:hAnsi="宋体" w:cs="Arial"/>
          <w:color w:val="auto"/>
          <w:sz w:val="24"/>
          <w:highlight w:val="none"/>
          <w:lang w:eastAsia="zh-CN"/>
        </w:rPr>
        <w:t>本项目磋商报价应包括提供正常服务所必需的人工费，材料费、机械设备费、</w:t>
      </w:r>
      <w:r>
        <w:rPr>
          <w:rFonts w:hint="eastAsia" w:ascii="宋体" w:hAnsi="宋体" w:cs="Arial"/>
          <w:color w:val="auto"/>
          <w:sz w:val="24"/>
          <w:highlight w:val="none"/>
          <w:lang w:val="en-US" w:eastAsia="zh-CN"/>
        </w:rPr>
        <w:t>青苗补偿及借地费、措施费、交通费、</w:t>
      </w:r>
      <w:r>
        <w:rPr>
          <w:rFonts w:hint="eastAsia" w:ascii="宋体" w:hAnsi="宋体" w:cs="Arial"/>
          <w:color w:val="auto"/>
          <w:sz w:val="24"/>
          <w:highlight w:val="none"/>
          <w:lang w:eastAsia="zh-CN"/>
        </w:rPr>
        <w:t>管理费、利润、所必需的设备、专用工具等完成本项目所需的一切费用和税金以及合同包含的所有风险、责任等各项全部费用。</w:t>
      </w:r>
    </w:p>
    <w:p>
      <w:pPr>
        <w:shd w:val="clear"/>
        <w:spacing w:line="360" w:lineRule="auto"/>
        <w:ind w:firstLine="3600" w:firstLineChars="1500"/>
        <w:rPr>
          <w:rFonts w:hint="eastAsia" w:ascii="宋体" w:hAnsi="宋体"/>
          <w:color w:val="auto"/>
          <w:sz w:val="24"/>
          <w:highlight w:val="none"/>
        </w:rPr>
      </w:pPr>
    </w:p>
    <w:p>
      <w:pPr>
        <w:shd w:val="clear"/>
        <w:spacing w:line="360" w:lineRule="auto"/>
        <w:ind w:firstLine="3600" w:firstLineChars="1500"/>
        <w:rPr>
          <w:rFonts w:ascii="宋体"/>
          <w:color w:val="auto"/>
          <w:spacing w:val="20"/>
          <w:szCs w:val="21"/>
          <w:highlight w:val="none"/>
          <w:u w:val="single"/>
        </w:rPr>
      </w:pPr>
      <w:r>
        <w:rPr>
          <w:rFonts w:hint="eastAsia" w:ascii="宋体" w:hAnsi="宋体"/>
          <w:color w:val="auto"/>
          <w:sz w:val="24"/>
          <w:highlight w:val="none"/>
        </w:rPr>
        <w:t>法定代表人或被授权人签字（或签章）</w:t>
      </w:r>
      <w:r>
        <w:rPr>
          <w:rFonts w:hint="eastAsia" w:ascii="宋体" w:hAnsi="宋体"/>
          <w:color w:val="auto"/>
          <w:spacing w:val="20"/>
          <w:szCs w:val="21"/>
          <w:highlight w:val="none"/>
        </w:rPr>
        <w:t>：</w:t>
      </w:r>
    </w:p>
    <w:p>
      <w:pPr>
        <w:shd w:val="clear"/>
        <w:spacing w:line="360" w:lineRule="auto"/>
        <w:ind w:firstLine="3600" w:firstLineChars="1500"/>
        <w:rPr>
          <w:rFonts w:ascii="宋体" w:hAnsi="宋体"/>
          <w:color w:val="auto"/>
          <w:sz w:val="24"/>
          <w:highlight w:val="none"/>
        </w:rPr>
      </w:pPr>
    </w:p>
    <w:p>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供应商盖章：</w:t>
      </w:r>
    </w:p>
    <w:p>
      <w:pPr>
        <w:shd w:val="clear"/>
        <w:spacing w:line="360" w:lineRule="auto"/>
        <w:ind w:firstLine="3600" w:firstLineChars="1500"/>
        <w:rPr>
          <w:rFonts w:ascii="宋体" w:hAnsi="宋体"/>
          <w:color w:val="auto"/>
          <w:sz w:val="24"/>
          <w:highlight w:val="none"/>
        </w:rPr>
      </w:pPr>
    </w:p>
    <w:p>
      <w:pPr>
        <w:shd w:val="clear"/>
        <w:spacing w:line="360" w:lineRule="auto"/>
        <w:ind w:firstLine="3600" w:firstLineChars="1500"/>
        <w:rPr>
          <w:rFonts w:ascii="宋体" w:hAnsi="宋体"/>
          <w:color w:val="auto"/>
          <w:sz w:val="24"/>
          <w:highlight w:val="none"/>
        </w:rPr>
      </w:pPr>
      <w:r>
        <w:rPr>
          <w:rFonts w:hint="eastAsia" w:ascii="宋体" w:hAnsi="宋体"/>
          <w:color w:val="auto"/>
          <w:sz w:val="24"/>
          <w:highlight w:val="none"/>
        </w:rPr>
        <w:t>日    期：</w:t>
      </w:r>
    </w:p>
    <w:p>
      <w:pPr>
        <w:shd w:val="clear"/>
        <w:spacing w:line="360" w:lineRule="exact"/>
        <w:rPr>
          <w:rFonts w:ascii="宋体" w:hAnsi="宋体"/>
          <w:color w:val="auto"/>
          <w:spacing w:val="20"/>
          <w:sz w:val="23"/>
          <w:szCs w:val="23"/>
          <w:highlight w:val="none"/>
        </w:rPr>
      </w:pPr>
      <w:r>
        <w:rPr>
          <w:rFonts w:hint="eastAsia" w:ascii="宋体" w:hAnsi="宋体"/>
          <w:b/>
          <w:color w:val="auto"/>
          <w:sz w:val="32"/>
          <w:szCs w:val="32"/>
          <w:highlight w:val="none"/>
        </w:rPr>
        <w:t>附件1</w:t>
      </w:r>
      <w:r>
        <w:rPr>
          <w:rFonts w:hint="eastAsia" w:ascii="宋体" w:hAnsi="宋体"/>
          <w:b/>
          <w:color w:val="auto"/>
          <w:sz w:val="32"/>
          <w:szCs w:val="32"/>
          <w:highlight w:val="none"/>
          <w:lang w:val="en-US" w:eastAsia="zh-CN"/>
        </w:rPr>
        <w:t>0</w:t>
      </w:r>
      <w:r>
        <w:rPr>
          <w:rFonts w:hint="eastAsia" w:ascii="宋体" w:hAnsi="宋体"/>
          <w:b/>
          <w:color w:val="auto"/>
          <w:sz w:val="32"/>
          <w:szCs w:val="32"/>
          <w:highlight w:val="none"/>
        </w:rPr>
        <w:t xml:space="preserve">              报价明细表</w:t>
      </w:r>
    </w:p>
    <w:p>
      <w:pPr>
        <w:pStyle w:val="16"/>
        <w:shd w:val="clear"/>
        <w:snapToGrid w:val="0"/>
        <w:spacing w:before="295" w:after="295"/>
        <w:ind w:firstLine="6825" w:firstLineChars="3250"/>
        <w:rPr>
          <w:rFonts w:hint="eastAsia" w:ascii="宋体" w:hAnsi="宋体"/>
          <w:b w:val="0"/>
          <w:bCs/>
          <w:color w:val="auto"/>
          <w:sz w:val="21"/>
          <w:szCs w:val="21"/>
          <w:highlight w:val="none"/>
          <w:u w:val="single"/>
          <w:lang w:val="en-US" w:eastAsia="zh-CN"/>
        </w:rPr>
      </w:pPr>
      <w:r>
        <w:rPr>
          <w:rFonts w:hint="eastAsia" w:ascii="宋体" w:hAnsi="宋体"/>
          <w:b w:val="0"/>
          <w:bCs/>
          <w:color w:val="auto"/>
          <w:sz w:val="21"/>
          <w:szCs w:val="21"/>
          <w:highlight w:val="none"/>
          <w:lang w:val="en-US" w:eastAsia="zh-CN"/>
        </w:rPr>
        <w:t>标项：</w:t>
      </w:r>
      <w:r>
        <w:rPr>
          <w:rFonts w:hint="eastAsia" w:ascii="宋体" w:hAnsi="宋体"/>
          <w:b w:val="0"/>
          <w:bCs/>
          <w:color w:val="auto"/>
          <w:sz w:val="21"/>
          <w:szCs w:val="21"/>
          <w:highlight w:val="none"/>
          <w:u w:val="single"/>
          <w:lang w:val="en-US" w:eastAsia="zh-CN"/>
        </w:rPr>
        <w:t xml:space="preserve">  </w:t>
      </w:r>
      <w:r>
        <w:rPr>
          <w:rFonts w:hint="eastAsia" w:hAnsi="宋体"/>
          <w:b w:val="0"/>
          <w:bCs/>
          <w:color w:val="auto"/>
          <w:sz w:val="21"/>
          <w:szCs w:val="21"/>
          <w:highlight w:val="none"/>
          <w:u w:val="single"/>
          <w:lang w:val="en-US" w:eastAsia="zh-CN"/>
        </w:rPr>
        <w:t>一</w:t>
      </w:r>
      <w:r>
        <w:rPr>
          <w:rFonts w:hint="eastAsia" w:ascii="宋体" w:hAnsi="宋体"/>
          <w:b w:val="0"/>
          <w:bCs/>
          <w:color w:val="auto"/>
          <w:sz w:val="21"/>
          <w:szCs w:val="21"/>
          <w:highlight w:val="none"/>
          <w:u w:val="single"/>
          <w:lang w:val="en-US" w:eastAsia="zh-CN"/>
        </w:rPr>
        <w:t xml:space="preserve">   </w:t>
      </w:r>
    </w:p>
    <w:p>
      <w:pPr>
        <w:pStyle w:val="16"/>
        <w:shd w:val="clear"/>
        <w:spacing w:before="156" w:beforeLines="50" w:after="156" w:afterLines="50" w:line="400" w:lineRule="exact"/>
        <w:jc w:val="center"/>
        <w:outlineLvl w:val="0"/>
        <w:rPr>
          <w:rFonts w:hint="default" w:hAnsi="宋体" w:cs="宋体"/>
          <w:b/>
          <w:bCs/>
          <w:color w:val="auto"/>
          <w:sz w:val="28"/>
          <w:szCs w:val="28"/>
          <w:highlight w:val="none"/>
          <w:lang w:val="en-US" w:eastAsia="zh-CN"/>
        </w:rPr>
      </w:pPr>
      <w:bookmarkStart w:id="211" w:name="_Toc6622"/>
      <w:bookmarkStart w:id="212" w:name="_Toc6866"/>
      <w:bookmarkStart w:id="213" w:name="_Toc28564"/>
      <w:bookmarkStart w:id="214" w:name="_Toc10740"/>
      <w:bookmarkStart w:id="215" w:name="_Toc22021"/>
      <w:bookmarkStart w:id="216" w:name="_Toc23938"/>
      <w:bookmarkStart w:id="217" w:name="_Toc11155"/>
      <w:bookmarkStart w:id="218" w:name="_Toc11537"/>
      <w:r>
        <w:rPr>
          <w:rFonts w:hint="eastAsia" w:ascii="宋体" w:hAnsi="宋体" w:eastAsia="宋体" w:cs="宋体"/>
          <w:b/>
          <w:bCs/>
          <w:color w:val="auto"/>
          <w:sz w:val="28"/>
          <w:szCs w:val="28"/>
          <w:highlight w:val="none"/>
          <w:lang w:val="zh-CN" w:eastAsia="zh-CN"/>
        </w:rPr>
        <w:t>2024年南排工程河道堤防维修项目</w:t>
      </w:r>
      <w:r>
        <w:rPr>
          <w:rFonts w:hint="eastAsia" w:ascii="宋体" w:hAnsi="宋体" w:eastAsia="宋体" w:cs="宋体"/>
          <w:b/>
          <w:bCs/>
          <w:color w:val="auto"/>
          <w:sz w:val="28"/>
          <w:szCs w:val="28"/>
          <w:highlight w:val="none"/>
          <w:lang w:val="en-US" w:eastAsia="zh-CN"/>
        </w:rPr>
        <w:t>汇</w:t>
      </w:r>
      <w:r>
        <w:rPr>
          <w:rFonts w:hint="eastAsia" w:hAnsi="宋体" w:cs="宋体"/>
          <w:b/>
          <w:bCs/>
          <w:color w:val="auto"/>
          <w:sz w:val="28"/>
          <w:szCs w:val="28"/>
          <w:highlight w:val="none"/>
          <w:lang w:val="en-US" w:eastAsia="zh-CN"/>
        </w:rPr>
        <w:t>总表</w:t>
      </w:r>
    </w:p>
    <w:tbl>
      <w:tblPr>
        <w:tblStyle w:val="3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815"/>
        <w:gridCol w:w="1321"/>
        <w:gridCol w:w="188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2815"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明细</w:t>
            </w:r>
          </w:p>
        </w:tc>
        <w:tc>
          <w:tcPr>
            <w:tcW w:w="1321"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数量</w:t>
            </w:r>
          </w:p>
        </w:tc>
        <w:tc>
          <w:tcPr>
            <w:tcW w:w="1887"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金额</w:t>
            </w:r>
            <w:r>
              <w:rPr>
                <w:rFonts w:hint="eastAsia" w:ascii="宋体" w:hAnsi="宋体" w:eastAsia="宋体" w:cs="宋体"/>
                <w:b/>
                <w:bCs/>
                <w:color w:val="auto"/>
                <w:sz w:val="21"/>
                <w:szCs w:val="21"/>
                <w:highlight w:val="none"/>
                <w:vertAlign w:val="baseline"/>
                <w:lang w:val="en-US" w:eastAsia="zh-CN"/>
              </w:rPr>
              <w:t>（元）</w:t>
            </w:r>
          </w:p>
        </w:tc>
        <w:tc>
          <w:tcPr>
            <w:tcW w:w="1558"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（一）</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盐官枢纽（海宁河道站）河道护岸维</w:t>
            </w:r>
            <w:r>
              <w:rPr>
                <w:rFonts w:hint="eastAsia" w:ascii="宋体" w:hAnsi="宋体" w:cs="宋体"/>
                <w:color w:val="auto"/>
                <w:szCs w:val="21"/>
                <w:highlight w:val="none"/>
                <w:lang w:val="en-US" w:eastAsia="zh-CN"/>
              </w:rPr>
              <w:t>修</w:t>
            </w:r>
            <w:r>
              <w:rPr>
                <w:rFonts w:hint="eastAsia" w:ascii="宋体" w:hAnsi="宋体" w:cs="宋体"/>
                <w:color w:val="auto"/>
                <w:szCs w:val="21"/>
                <w:highlight w:val="none"/>
                <w:lang w:eastAsia="zh-CN"/>
              </w:rPr>
              <w:t>项目</w:t>
            </w:r>
          </w:p>
        </w:tc>
        <w:tc>
          <w:tcPr>
            <w:tcW w:w="132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（二）</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南排工程管理服务中心河道护岸、堤防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（三）</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桐乡河道管理站河道护岸、堤防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（四）</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南台头枢纽河道护岸、堤防</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7" w:type="dxa"/>
            <w:gridSpan w:val="3"/>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shd w:val="clear" w:color="auto" w:fill="auto"/>
                <w:lang w:val="en-US" w:eastAsia="zh-CN"/>
              </w:rPr>
              <w:t>合计金额（元）</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p>
        </w:tc>
      </w:tr>
    </w:tbl>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pStyle w:val="16"/>
        <w:numPr>
          <w:ilvl w:val="-1"/>
          <w:numId w:val="0"/>
        </w:numPr>
        <w:shd w:val="clear"/>
        <w:spacing w:before="156" w:beforeLines="50" w:after="156" w:afterLines="50" w:line="400" w:lineRule="exact"/>
        <w:jc w:val="right"/>
        <w:outlineLvl w:val="0"/>
        <w:rPr>
          <w:rFonts w:hint="eastAsia" w:ascii="宋体" w:hAnsi="宋体" w:eastAsia="宋体" w:cs="宋体"/>
          <w:b/>
          <w:bCs/>
          <w:color w:val="auto"/>
          <w:szCs w:val="21"/>
          <w:highlight w:val="none"/>
          <w:lang w:eastAsia="zh-CN"/>
        </w:rPr>
      </w:pPr>
      <w:r>
        <w:rPr>
          <w:rFonts w:hint="eastAsia" w:ascii="宋体" w:hAnsi="宋体"/>
          <w:color w:val="auto"/>
          <w:spacing w:val="20"/>
          <w:sz w:val="23"/>
          <w:szCs w:val="23"/>
          <w:highlight w:val="none"/>
        </w:rPr>
        <w:t>供应商名称（盖章）：</w:t>
      </w: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pStyle w:val="16"/>
        <w:keepNext w:val="0"/>
        <w:keepLines w:val="0"/>
        <w:pageBreakBefore w:val="0"/>
        <w:widowControl w:val="0"/>
        <w:numPr>
          <w:ilvl w:val="0"/>
          <w:numId w:val="18"/>
        </w:numPr>
        <w:shd w:val="clear"/>
        <w:kinsoku/>
        <w:wordWrap/>
        <w:overflowPunct/>
        <w:topLinePunct w:val="0"/>
        <w:autoSpaceDE/>
        <w:autoSpaceDN/>
        <w:bidi w:val="0"/>
        <w:adjustRightInd/>
        <w:snapToGrid w:val="0"/>
        <w:jc w:val="center"/>
        <w:textAlignment w:val="auto"/>
        <w:rPr>
          <w:rFonts w:hint="eastAsia"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盐官枢纽（海宁河道站）河道护岸维修</w:t>
      </w:r>
      <w:r>
        <w:rPr>
          <w:rFonts w:hint="eastAsia" w:ascii="宋体" w:hAnsi="宋体" w:cs="宋体"/>
          <w:b/>
          <w:bCs/>
          <w:color w:val="auto"/>
          <w:sz w:val="24"/>
          <w:szCs w:val="24"/>
          <w:highlight w:val="none"/>
          <w:lang w:eastAsia="zh-CN"/>
        </w:rPr>
        <w:t>项目</w:t>
      </w:r>
    </w:p>
    <w:p>
      <w:pPr>
        <w:pStyle w:val="16"/>
        <w:keepNext w:val="0"/>
        <w:keepLines w:val="0"/>
        <w:pageBreakBefore w:val="0"/>
        <w:widowControl w:val="0"/>
        <w:numPr>
          <w:ilvl w:val="0"/>
          <w:numId w:val="0"/>
        </w:numPr>
        <w:shd w:val="clear"/>
        <w:kinsoku/>
        <w:wordWrap/>
        <w:overflowPunct/>
        <w:topLinePunct w:val="0"/>
        <w:autoSpaceDE/>
        <w:autoSpaceDN/>
        <w:bidi w:val="0"/>
        <w:adjustRightInd/>
        <w:snapToGrid w:val="0"/>
        <w:jc w:val="both"/>
        <w:textAlignment w:val="auto"/>
        <w:rPr>
          <w:rFonts w:hint="eastAsia" w:ascii="宋体" w:hAnsi="宋体" w:cs="宋体"/>
          <w:b/>
          <w:bCs/>
          <w:color w:val="auto"/>
          <w:sz w:val="24"/>
          <w:szCs w:val="24"/>
          <w:highlight w:val="none"/>
          <w:lang w:val="en-US" w:eastAsia="zh-CN"/>
        </w:rPr>
      </w:pPr>
    </w:p>
    <w:tbl>
      <w:tblPr>
        <w:tblStyle w:val="35"/>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5"/>
        <w:gridCol w:w="2243"/>
        <w:gridCol w:w="3205"/>
        <w:gridCol w:w="807"/>
        <w:gridCol w:w="1019"/>
        <w:gridCol w:w="772"/>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3"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一</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建筑工程</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坑洞填补</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长山河右岸21K+070处坑洞填补</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9"/>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位置：长山河右岸21K+070处。  </w:t>
            </w:r>
          </w:p>
          <w:p>
            <w:pPr>
              <w:keepNext w:val="0"/>
              <w:keepLines w:val="0"/>
              <w:widowControl/>
              <w:numPr>
                <w:ilvl w:val="0"/>
                <w:numId w:val="0"/>
              </w:numPr>
              <w:suppressLineNumbers w:val="0"/>
              <w:shd w:val="clear"/>
              <w:spacing w:before="0" w:beforeAutospacing="0" w:after="0" w:afterAutospacing="0"/>
              <w:ind w:left="0" w:leftChars="0" w:right="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2、长山河背水面陷坑：150cm*180cm*150cm。                                                       3、技术要求：挡墙内侧处用400g/m</w:t>
            </w:r>
            <w:r>
              <w:rPr>
                <w:rStyle w:val="113"/>
                <w:rFonts w:hint="eastAsia" w:asciiTheme="minorEastAsia" w:hAnsiTheme="minorEastAsia" w:eastAsiaTheme="minorEastAsia" w:cstheme="minorEastAsia"/>
                <w:sz w:val="21"/>
                <w:szCs w:val="21"/>
                <w:highlight w:val="none"/>
                <w:lang w:val="en-US" w:eastAsia="zh-CN" w:bidi="ar"/>
              </w:rPr>
              <w:t>2</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土工布铺设,土方填筑压实。</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盐官下河挡墙维修工程</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hd w:val="clear"/>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墙身维修</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0"/>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位置：盐官下河左岸16K+325--16K+400。     </w:t>
            </w:r>
          </w:p>
          <w:p>
            <w:pPr>
              <w:keepNext w:val="0"/>
              <w:keepLines w:val="0"/>
              <w:widowControl/>
              <w:numPr>
                <w:ilvl w:val="0"/>
                <w:numId w:val="0"/>
              </w:numPr>
              <w:suppressLineNumbers w:val="0"/>
              <w:shd w:val="clear"/>
              <w:spacing w:before="0" w:beforeAutospacing="0" w:after="0" w:afterAutospacing="0"/>
              <w:ind w:left="0" w:leftChars="0" w:right="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2、破损、下沉护岸挡墙为浆砌块石墙身、混凝土压顶。                              3、拆除破损、下沉挡墙并清理，新建浆砌块石挡墙、C25混凝土压顶。                           </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盐官下河护坡修复工程</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6"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盐官下河</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左岸1K+378-390处护坡修复</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1"/>
              </w:numPr>
              <w:suppressLineNumbers w:val="0"/>
              <w:shd w:val="clear"/>
              <w:spacing w:before="0" w:beforeAutospacing="0" w:after="0" w:afterAutospacing="0"/>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位置：盐官下河左岸1K+378-390。                       2、护坡长宽为1200cm*600cm。             3、原护坡全部拆除并清理，铺设400g/m2土工布，设置伸缩缝用沥青板，重新铺设碎石垫层及C25混凝土浇筑，碎石垫层及混凝土与原护坡一致。          </w:t>
            </w:r>
          </w:p>
          <w:p>
            <w:pPr>
              <w:keepNext w:val="0"/>
              <w:keepLines w:val="0"/>
              <w:widowControl/>
              <w:numPr>
                <w:ilvl w:val="0"/>
                <w:numId w:val="0"/>
              </w:numPr>
              <w:suppressLineNumbers w:val="0"/>
              <w:shd w:val="clear"/>
              <w:spacing w:before="0" w:beforeAutospacing="0" w:after="0" w:afterAutospacing="0"/>
              <w:ind w:left="0" w:right="0"/>
              <w:jc w:val="left"/>
              <w:textAlignment w:val="center"/>
              <w:rPr>
                <w:rFonts w:hint="eastAsia" w:eastAsia="宋体"/>
                <w:color w:val="auto"/>
                <w:highlight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4、排水管修复。</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处</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b/>
                <w:bCs/>
                <w:i w:val="0"/>
                <w:iCs w:val="0"/>
                <w:color w:val="000000"/>
                <w:kern w:val="0"/>
                <w:sz w:val="21"/>
                <w:szCs w:val="21"/>
                <w:highlight w:val="none"/>
                <w:u w:val="none"/>
                <w:lang w:val="en-US" w:eastAsia="zh-CN" w:bidi="ar"/>
              </w:rPr>
              <w:t>河道清障</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left"/>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kern w:val="2"/>
                <w:sz w:val="21"/>
                <w:szCs w:val="21"/>
                <w:highlight w:val="none"/>
                <w:u w:val="none"/>
                <w:lang w:val="en-US" w:eastAsia="zh-CN" w:bidi="ar-SA"/>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kern w:val="2"/>
                <w:sz w:val="21"/>
                <w:szCs w:val="21"/>
                <w:highlight w:val="none"/>
                <w:u w:val="none"/>
                <w:lang w:val="en-US" w:eastAsia="zh-CN" w:bidi="ar-SA"/>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w:t>
            </w:r>
          </w:p>
        </w:tc>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三条河道清障</w:t>
            </w:r>
          </w:p>
        </w:tc>
        <w:tc>
          <w:tcPr>
            <w:tcW w:w="3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1、位置：盐官下河、上塘河、长山河（海宁段）。                    </w:t>
            </w:r>
          </w:p>
          <w:p>
            <w:pPr>
              <w:keepNext w:val="0"/>
              <w:keepLines w:val="0"/>
              <w:widowControl/>
              <w:numPr>
                <w:ilvl w:val="0"/>
                <w:numId w:val="0"/>
              </w:numPr>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2、对三条河道进行清障处置，包括管理范围弃土、垃圾等其他影响河道工程安全的物体。</w:t>
            </w:r>
          </w:p>
          <w:p>
            <w:pPr>
              <w:keepNext w:val="0"/>
              <w:keepLines w:val="0"/>
              <w:widowControl/>
              <w:numPr>
                <w:ilvl w:val="0"/>
                <w:numId w:val="0"/>
              </w:numPr>
              <w:suppressLineNumbers w:val="0"/>
              <w:shd w:val="clear"/>
              <w:spacing w:before="0" w:beforeAutospacing="0" w:after="0" w:afterAutospacing="0"/>
              <w:ind w:left="0" w:leftChars="0" w:right="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3、清障量不少于500</w:t>
            </w:r>
            <w:r>
              <w:rPr>
                <w:rFonts w:hint="eastAsia" w:asciiTheme="minorEastAsia" w:hAnsiTheme="minorEastAsia" w:eastAsiaTheme="minorEastAsia" w:cstheme="minorEastAsia"/>
                <w:i w:val="0"/>
                <w:iCs w:val="0"/>
                <w:color w:val="auto"/>
                <w:kern w:val="0"/>
                <w:sz w:val="21"/>
                <w:szCs w:val="21"/>
                <w:highlight w:val="none"/>
                <w:u w:val="none"/>
                <w:lang w:val="en-US" w:eastAsia="zh-CN"/>
              </w:rPr>
              <w:t>m3，清障物需合法处置。</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10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61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61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shd w:val="clear"/>
        <w:snapToGrid w:val="0"/>
        <w:spacing w:before="50" w:after="50"/>
        <w:ind w:right="-817" w:rightChars="-389"/>
        <w:outlineLvl w:val="1"/>
        <w:rPr>
          <w:rFonts w:hint="eastAsia" w:ascii="宋体" w:hAnsi="宋体"/>
          <w:b/>
          <w:color w:val="auto"/>
          <w:szCs w:val="28"/>
          <w:highlight w:val="none"/>
        </w:rPr>
      </w:pPr>
    </w:p>
    <w:p>
      <w:pPr>
        <w:pStyle w:val="16"/>
        <w:keepNext w:val="0"/>
        <w:keepLines w:val="0"/>
        <w:pageBreakBefore w:val="0"/>
        <w:widowControl w:val="0"/>
        <w:numPr>
          <w:ilvl w:val="0"/>
          <w:numId w:val="18"/>
        </w:numPr>
        <w:shd w:val="clear"/>
        <w:kinsoku/>
        <w:wordWrap/>
        <w:overflowPunct/>
        <w:topLinePunct w:val="0"/>
        <w:autoSpaceDE/>
        <w:autoSpaceDN/>
        <w:bidi w:val="0"/>
        <w:adjustRightInd/>
        <w:snapToGrid w:val="0"/>
        <w:jc w:val="center"/>
        <w:textAlignment w:val="auto"/>
        <w:rPr>
          <w:rFonts w:hint="default"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南排工程管理服务中心河道护岸、堤防维修</w:t>
      </w:r>
      <w:r>
        <w:rPr>
          <w:rFonts w:hint="eastAsia" w:ascii="宋体" w:hAnsi="宋体" w:cs="宋体"/>
          <w:b/>
          <w:bCs/>
          <w:color w:val="auto"/>
          <w:sz w:val="24"/>
          <w:szCs w:val="24"/>
          <w:highlight w:val="none"/>
          <w:lang w:val="en-US" w:eastAsia="zh-CN"/>
        </w:rPr>
        <w:t>项目</w:t>
      </w:r>
    </w:p>
    <w:tbl>
      <w:tblPr>
        <w:tblStyle w:val="35"/>
        <w:tblW w:w="96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6"/>
        <w:gridCol w:w="2236"/>
        <w:gridCol w:w="3191"/>
        <w:gridCol w:w="818"/>
        <w:gridCol w:w="1009"/>
        <w:gridCol w:w="75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1"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leftChars="0" w:right="0" w:rightChars="0"/>
              <w:jc w:val="center"/>
              <w:rPr>
                <w:rFonts w:hint="eastAsia" w:ascii="宋体" w:hAnsi="宋体" w:eastAsia="宋体" w:cs="宋体"/>
                <w:b/>
                <w:bCs/>
                <w:i w:val="0"/>
                <w:iCs w:val="0"/>
                <w:color w:val="auto"/>
                <w:sz w:val="21"/>
                <w:szCs w:val="21"/>
                <w:highlight w:val="none"/>
                <w:u w:val="none"/>
              </w:rPr>
            </w:pP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南排工程管理服务中心</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需维修养护的破损堤防，</w:t>
            </w:r>
            <w:r>
              <w:rPr>
                <w:rFonts w:hint="eastAsia" w:asciiTheme="minorEastAsia" w:hAnsiTheme="minorEastAsia" w:eastAsiaTheme="minorEastAsia" w:cstheme="minorEastAsia"/>
                <w:spacing w:val="-2"/>
                <w:sz w:val="21"/>
                <w:szCs w:val="21"/>
                <w:highlight w:val="none"/>
                <w:lang w:val="en-US" w:eastAsia="zh-CN"/>
              </w:rPr>
              <w:t>维修点位分布在河道多个位置。</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1</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土方开挖</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1.运距：由施工单位自行考虑；</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eastAsia="zh-CN"/>
              </w:rPr>
              <w:t>2</w:t>
            </w:r>
            <w:r>
              <w:rPr>
                <w:rFonts w:hint="eastAsia" w:asciiTheme="minorEastAsia" w:hAnsiTheme="minorEastAsia" w:eastAsiaTheme="minorEastAsia" w:cstheme="minorEastAsia"/>
                <w:i w:val="0"/>
                <w:iCs w:val="0"/>
                <w:color w:val="auto"/>
                <w:sz w:val="21"/>
                <w:szCs w:val="21"/>
                <w:highlight w:val="none"/>
                <w:u w:val="none"/>
                <w:lang w:val="en-US" w:eastAsia="zh-CN"/>
              </w:rPr>
              <w:t>.护岸维修为零星工程，此工程量为预估，此项按实结算。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m3</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 xml:space="preserve">60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2</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土方回填</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2"/>
              </w:numPr>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回填要求原状土回填，土方回填机械夯填，不得有石块、砖块等杂物；                 </w:t>
            </w:r>
          </w:p>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2、土方来源由施工单位自行考虑； </w:t>
            </w:r>
          </w:p>
          <w:p>
            <w:pPr>
              <w:pStyle w:val="2"/>
              <w:keepNext w:val="0"/>
              <w:keepLines w:val="0"/>
              <w:suppressLineNumbers w:val="0"/>
              <w:shd w:val="clear"/>
              <w:spacing w:before="0" w:beforeAutospacing="0" w:after="0" w:afterAutospacing="0"/>
              <w:ind w:left="0" w:leftChars="0" w:right="0" w:rightChars="0" w:firstLine="0" w:firstLineChars="0"/>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3、护岸维修为零星工程，此工程量为预估，此项按实结算。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m3</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kern w:val="2"/>
                <w:sz w:val="21"/>
                <w:szCs w:val="21"/>
                <w:highlight w:val="none"/>
                <w:u w:val="none"/>
                <w:lang w:val="en-US" w:eastAsia="zh-CN" w:bidi="ar-SA"/>
              </w:rPr>
              <w:t>65</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土工布</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铺设土工布。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m2</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60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4</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护岸块石拆除</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原有破损块石护岸拆除，清理外运。</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5</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混凝土护岸</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C25混凝土人工浇筑，含模板制作安装等相关内容。</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6</w:t>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新建压顶</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C25混凝土压顶人工浇筑，厚度为10cm,含模板制作安装等相关内容。</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m</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30</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3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3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rPr>
            </w:pPr>
          </w:p>
        </w:tc>
      </w:tr>
    </w:tbl>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pStyle w:val="16"/>
        <w:numPr>
          <w:ilvl w:val="-1"/>
          <w:numId w:val="0"/>
        </w:numPr>
        <w:shd w:val="clear"/>
        <w:spacing w:before="156" w:beforeLines="50" w:after="156" w:afterLines="50" w:line="400" w:lineRule="exact"/>
        <w:jc w:val="right"/>
        <w:outlineLvl w:val="0"/>
        <w:rPr>
          <w:rFonts w:hint="eastAsia" w:ascii="宋体" w:hAnsi="宋体" w:eastAsia="宋体" w:cs="宋体"/>
          <w:b/>
          <w:bCs/>
          <w:color w:val="auto"/>
          <w:szCs w:val="21"/>
          <w:highlight w:val="none"/>
          <w:lang w:eastAsia="zh-CN"/>
        </w:rPr>
      </w:pPr>
      <w:r>
        <w:rPr>
          <w:rFonts w:hint="eastAsia" w:ascii="宋体" w:hAnsi="宋体"/>
          <w:color w:val="auto"/>
          <w:spacing w:val="20"/>
          <w:sz w:val="23"/>
          <w:szCs w:val="23"/>
          <w:highlight w:val="none"/>
        </w:rPr>
        <w:t>供应商名称（盖章）：</w:t>
      </w:r>
    </w:p>
    <w:p>
      <w:pPr>
        <w:pStyle w:val="16"/>
        <w:keepNext w:val="0"/>
        <w:keepLines w:val="0"/>
        <w:pageBreakBefore w:val="0"/>
        <w:widowControl w:val="0"/>
        <w:numPr>
          <w:ilvl w:val="0"/>
          <w:numId w:val="18"/>
        </w:numPr>
        <w:shd w:val="clear"/>
        <w:kinsoku/>
        <w:wordWrap/>
        <w:overflowPunct/>
        <w:topLinePunct w:val="0"/>
        <w:autoSpaceDE/>
        <w:autoSpaceDN/>
        <w:bidi w:val="0"/>
        <w:adjustRightInd/>
        <w:snapToGrid w:val="0"/>
        <w:jc w:val="center"/>
        <w:textAlignment w:val="auto"/>
        <w:rPr>
          <w:rFonts w:hint="eastAsia"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桐乡河道管理站河道护岸、堤防维修项</w:t>
      </w:r>
      <w:r>
        <w:rPr>
          <w:rFonts w:hint="eastAsia" w:ascii="宋体" w:hAnsi="宋体" w:cs="宋体"/>
          <w:b/>
          <w:bCs/>
          <w:color w:val="auto"/>
          <w:sz w:val="24"/>
          <w:szCs w:val="24"/>
          <w:highlight w:val="none"/>
          <w:lang w:val="en-US" w:eastAsia="zh-CN"/>
        </w:rPr>
        <w:t>目</w:t>
      </w:r>
    </w:p>
    <w:tbl>
      <w:tblPr>
        <w:tblStyle w:val="35"/>
        <w:tblW w:w="9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233"/>
        <w:gridCol w:w="3181"/>
        <w:gridCol w:w="804"/>
        <w:gridCol w:w="968"/>
        <w:gridCol w:w="801"/>
        <w:gridCol w:w="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leftChars="0" w:right="0" w:rightChars="0"/>
              <w:jc w:val="center"/>
              <w:rPr>
                <w:rFonts w:hint="eastAsia" w:ascii="宋体" w:hAnsi="宋体" w:eastAsia="宋体" w:cs="宋体"/>
                <w:b/>
                <w:bCs/>
                <w:i w:val="0"/>
                <w:iCs w:val="0"/>
                <w:color w:val="auto"/>
                <w:sz w:val="21"/>
                <w:szCs w:val="21"/>
                <w:highlight w:val="none"/>
                <w:u w:val="none"/>
              </w:rPr>
            </w:pP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桐乡河道管理站</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需维修养护的破损堤防，</w:t>
            </w:r>
            <w:r>
              <w:rPr>
                <w:rFonts w:hint="eastAsia" w:asciiTheme="minorEastAsia" w:hAnsiTheme="minorEastAsia" w:eastAsiaTheme="minorEastAsia" w:cstheme="minorEastAsia"/>
                <w:spacing w:val="-2"/>
                <w:sz w:val="21"/>
                <w:szCs w:val="21"/>
                <w:highlight w:val="none"/>
                <w:lang w:val="en-US" w:eastAsia="zh-CN"/>
              </w:rPr>
              <w:t>维修点位分布在河道多个位置。</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土方开挖</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r>
              <w:rPr>
                <w:rFonts w:hint="default" w:ascii="宋体" w:hAnsi="宋体" w:eastAsia="宋体" w:cs="宋体"/>
                <w:i w:val="0"/>
                <w:iCs w:val="0"/>
                <w:color w:val="auto"/>
                <w:sz w:val="21"/>
                <w:szCs w:val="21"/>
                <w:highlight w:val="none"/>
                <w:u w:val="none"/>
                <w:lang w:val="en-US" w:eastAsia="zh-CN"/>
              </w:rPr>
              <w:t>运距：由施工单位自行考虑</w:t>
            </w:r>
            <w:r>
              <w:rPr>
                <w:rFonts w:hint="eastAsia" w:ascii="宋体" w:hAnsi="宋体" w:cs="宋体"/>
                <w:i w:val="0"/>
                <w:iCs w:val="0"/>
                <w:color w:val="auto"/>
                <w:sz w:val="21"/>
                <w:szCs w:val="21"/>
                <w:highlight w:val="none"/>
                <w:u w:val="none"/>
                <w:lang w:val="en-US" w:eastAsia="zh-CN"/>
              </w:rPr>
              <w:t>；</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default" w:ascii="宋体" w:hAnsi="宋体" w:cs="宋体"/>
                <w:i w:val="0"/>
                <w:iCs w:val="0"/>
                <w:color w:val="auto"/>
                <w:sz w:val="21"/>
                <w:szCs w:val="21"/>
                <w:highlight w:val="none"/>
                <w:u w:val="none"/>
                <w:lang w:eastAsia="zh-CN"/>
              </w:rPr>
              <w:t>2</w:t>
            </w:r>
            <w:r>
              <w:rPr>
                <w:rFonts w:hint="eastAsia" w:ascii="宋体" w:hAnsi="宋体" w:eastAsia="宋体" w:cs="宋体"/>
                <w:i w:val="0"/>
                <w:iCs w:val="0"/>
                <w:color w:val="auto"/>
                <w:sz w:val="21"/>
                <w:szCs w:val="21"/>
                <w:highlight w:val="none"/>
                <w:u w:val="none"/>
                <w:lang w:val="en-US" w:eastAsia="zh-CN"/>
              </w:rPr>
              <w:t>.护岸维修为零星工程，此工程量为预估，此项按实结算</w:t>
            </w:r>
            <w:r>
              <w:rPr>
                <w:rFonts w:hint="eastAsia" w:ascii="宋体" w:hAnsi="宋体" w:cs="宋体"/>
                <w:i w:val="0"/>
                <w:iCs w:val="0"/>
                <w:color w:val="auto"/>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100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2</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土方回填</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3"/>
              </w:numPr>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回填要求原状土回填，土方回填机械夯填，不得有石块、砖块等杂物</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2、土方来源由施工单位自行考虑</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3、护岸维修为零星工程，此工程量为预估，此项按实结算</w:t>
            </w:r>
            <w:r>
              <w:rPr>
                <w:rFonts w:hint="eastAsia" w:ascii="宋体" w:hAnsi="宋体" w:cs="宋体"/>
                <w:i w:val="0"/>
                <w:iCs w:val="0"/>
                <w:color w:val="auto"/>
                <w:kern w:val="0"/>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m3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0"/>
                <w:sz w:val="21"/>
                <w:szCs w:val="21"/>
                <w:highlight w:val="none"/>
                <w:u w:val="none"/>
                <w:lang w:val="en-US" w:eastAsia="zh-CN"/>
              </w:rPr>
              <w:t>110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3</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土工布</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铺设土工布</w:t>
            </w:r>
            <w:r>
              <w:rPr>
                <w:rFonts w:hint="eastAsia" w:ascii="宋体" w:hAnsi="宋体" w:cs="宋体"/>
                <w:i w:val="0"/>
                <w:iCs w:val="0"/>
                <w:color w:val="auto"/>
                <w:kern w:val="0"/>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100</w:t>
            </w:r>
            <w:r>
              <w:rPr>
                <w:rFonts w:hint="eastAsia" w:ascii="宋体" w:hAnsi="宋体" w:eastAsia="宋体" w:cs="宋体"/>
                <w:i w:val="0"/>
                <w:iCs w:val="0"/>
                <w:color w:val="auto"/>
                <w:kern w:val="0"/>
                <w:sz w:val="21"/>
                <w:szCs w:val="21"/>
                <w:highlight w:val="none"/>
                <w:u w:val="none"/>
                <w:lang w:val="en-US" w:eastAsia="zh-CN"/>
              </w:rPr>
              <w:t xml:space="preserve"> </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4</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护岸块石拆除</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原有破损块石护岸拆除，清理外运</w:t>
            </w:r>
            <w:r>
              <w:rPr>
                <w:rFonts w:hint="eastAsia" w:ascii="宋体" w:hAnsi="宋体" w:cs="宋体"/>
                <w:i w:val="0"/>
                <w:iCs w:val="0"/>
                <w:color w:val="auto"/>
                <w:kern w:val="0"/>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5</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混凝土护岸</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C25混凝土人工浇筑，含模板制作安装等相关内容</w:t>
            </w:r>
            <w:r>
              <w:rPr>
                <w:rFonts w:hint="eastAsia" w:ascii="宋体" w:hAnsi="宋体" w:cs="宋体"/>
                <w:i w:val="0"/>
                <w:iCs w:val="0"/>
                <w:color w:val="auto"/>
                <w:kern w:val="0"/>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6</w:t>
            </w:r>
          </w:p>
        </w:tc>
        <w:tc>
          <w:tcPr>
            <w:tcW w:w="2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新建压顶</w:t>
            </w:r>
          </w:p>
        </w:tc>
        <w:tc>
          <w:tcPr>
            <w:tcW w:w="3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C25混凝土压顶人工浇筑，厚度为10cm,含模板制作安装等相关内容</w:t>
            </w:r>
            <w:r>
              <w:rPr>
                <w:rFonts w:hint="eastAsia" w:ascii="宋体" w:hAnsi="宋体" w:cs="宋体"/>
                <w:i w:val="0"/>
                <w:iCs w:val="0"/>
                <w:color w:val="auto"/>
                <w:kern w:val="0"/>
                <w:sz w:val="21"/>
                <w:szCs w:val="21"/>
                <w:highlight w:val="none"/>
                <w:u w:val="none"/>
                <w:lang w:val="en-US" w:eastAsia="zh-CN"/>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50</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3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jc w:val="center"/>
        </w:trPr>
        <w:tc>
          <w:tcPr>
            <w:tcW w:w="3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pStyle w:val="16"/>
        <w:numPr>
          <w:ilvl w:val="-1"/>
          <w:numId w:val="0"/>
        </w:numPr>
        <w:shd w:val="clear"/>
        <w:spacing w:before="156" w:beforeLines="50" w:after="156" w:afterLines="50" w:line="400" w:lineRule="exact"/>
        <w:jc w:val="right"/>
        <w:outlineLvl w:val="0"/>
        <w:rPr>
          <w:rFonts w:hint="eastAsia" w:ascii="宋体" w:hAnsi="宋体" w:eastAsia="宋体" w:cs="宋体"/>
          <w:b/>
          <w:bCs/>
          <w:color w:val="auto"/>
          <w:szCs w:val="21"/>
          <w:highlight w:val="none"/>
          <w:lang w:eastAsia="zh-CN"/>
        </w:rPr>
      </w:pPr>
      <w:r>
        <w:rPr>
          <w:rFonts w:hint="eastAsia" w:ascii="宋体" w:hAnsi="宋体"/>
          <w:color w:val="auto"/>
          <w:spacing w:val="20"/>
          <w:sz w:val="23"/>
          <w:szCs w:val="23"/>
          <w:highlight w:val="none"/>
        </w:rPr>
        <w:t>供应商名称（盖章）：</w:t>
      </w:r>
    </w:p>
    <w:p>
      <w:pPr>
        <w:pStyle w:val="16"/>
        <w:numPr>
          <w:ilvl w:val="-1"/>
          <w:numId w:val="0"/>
        </w:numPr>
        <w:shd w:val="clear"/>
        <w:spacing w:before="156" w:beforeLines="50" w:after="156" w:afterLines="50" w:line="400" w:lineRule="exact"/>
        <w:jc w:val="center"/>
        <w:outlineLvl w:val="0"/>
        <w:rPr>
          <w:rFonts w:hint="eastAsia" w:ascii="宋体" w:hAnsi="宋体" w:eastAsia="宋体" w:cs="宋体"/>
          <w:b/>
          <w:bCs/>
          <w:color w:val="auto"/>
          <w:szCs w:val="21"/>
          <w:highlight w:val="none"/>
          <w:lang w:eastAsia="zh-CN"/>
        </w:rPr>
      </w:pPr>
    </w:p>
    <w:p>
      <w:pPr>
        <w:pStyle w:val="16"/>
        <w:numPr>
          <w:ilvl w:val="-1"/>
          <w:numId w:val="0"/>
        </w:numPr>
        <w:shd w:val="clear"/>
        <w:spacing w:before="156" w:beforeLines="50" w:after="156" w:afterLines="50" w:line="400" w:lineRule="exact"/>
        <w:jc w:val="center"/>
        <w:outlineLvl w:val="0"/>
        <w:rPr>
          <w:rFonts w:hint="eastAsia" w:ascii="宋体" w:hAnsi="宋体" w:eastAsia="宋体" w:cs="宋体"/>
          <w:b/>
          <w:bCs/>
          <w:color w:val="auto"/>
          <w:szCs w:val="21"/>
          <w:highlight w:val="none"/>
          <w:lang w:eastAsia="zh-CN"/>
        </w:rPr>
      </w:pPr>
    </w:p>
    <w:p>
      <w:pPr>
        <w:pStyle w:val="16"/>
        <w:numPr>
          <w:ilvl w:val="-1"/>
          <w:numId w:val="0"/>
        </w:numPr>
        <w:shd w:val="clear"/>
        <w:spacing w:before="156" w:beforeLines="50" w:after="156" w:afterLines="50" w:line="400" w:lineRule="exact"/>
        <w:jc w:val="center"/>
        <w:outlineLvl w:val="0"/>
        <w:rPr>
          <w:rFonts w:hint="eastAsia" w:ascii="宋体" w:hAnsi="宋体" w:eastAsia="宋体" w:cs="宋体"/>
          <w:b/>
          <w:bCs/>
          <w:color w:val="auto"/>
          <w:szCs w:val="21"/>
          <w:highlight w:val="none"/>
          <w:lang w:eastAsia="zh-CN"/>
        </w:rPr>
      </w:pPr>
    </w:p>
    <w:p>
      <w:pPr>
        <w:pStyle w:val="16"/>
        <w:numPr>
          <w:ilvl w:val="-1"/>
          <w:numId w:val="0"/>
        </w:numPr>
        <w:shd w:val="clear"/>
        <w:spacing w:before="156" w:beforeLines="50" w:after="156" w:afterLines="50" w:line="400" w:lineRule="exact"/>
        <w:jc w:val="center"/>
        <w:outlineLvl w:val="0"/>
        <w:rPr>
          <w:rFonts w:hint="eastAsia" w:ascii="宋体" w:hAnsi="宋体" w:eastAsia="宋体" w:cs="宋体"/>
          <w:b/>
          <w:bCs/>
          <w:color w:val="auto"/>
          <w:szCs w:val="21"/>
          <w:highlight w:val="none"/>
          <w:lang w:eastAsia="zh-CN"/>
        </w:rPr>
      </w:pPr>
    </w:p>
    <w:p>
      <w:pPr>
        <w:pStyle w:val="16"/>
        <w:numPr>
          <w:ilvl w:val="-1"/>
          <w:numId w:val="0"/>
        </w:numPr>
        <w:shd w:val="clear"/>
        <w:spacing w:before="156" w:beforeLines="50" w:after="156" w:afterLines="50" w:line="400" w:lineRule="exact"/>
        <w:jc w:val="center"/>
        <w:outlineLvl w:val="0"/>
        <w:rPr>
          <w:rFonts w:hint="eastAsia" w:ascii="宋体" w:hAnsi="宋体" w:eastAsia="宋体" w:cs="宋体"/>
          <w:b/>
          <w:bCs/>
          <w:color w:val="auto"/>
          <w:szCs w:val="21"/>
          <w:highlight w:val="none"/>
          <w:lang w:eastAsia="zh-CN"/>
        </w:rPr>
      </w:pPr>
    </w:p>
    <w:p>
      <w:pPr>
        <w:pStyle w:val="16"/>
        <w:keepNext w:val="0"/>
        <w:keepLines w:val="0"/>
        <w:pageBreakBefore w:val="0"/>
        <w:widowControl w:val="0"/>
        <w:numPr>
          <w:ilvl w:val="0"/>
          <w:numId w:val="18"/>
        </w:numPr>
        <w:shd w:val="clear"/>
        <w:kinsoku/>
        <w:wordWrap/>
        <w:overflowPunct/>
        <w:topLinePunct w:val="0"/>
        <w:autoSpaceDE/>
        <w:autoSpaceDN/>
        <w:bidi w:val="0"/>
        <w:adjustRightInd/>
        <w:snapToGrid w:val="0"/>
        <w:jc w:val="center"/>
        <w:textAlignment w:val="auto"/>
        <w:rPr>
          <w:rFonts w:hint="default" w:ascii="宋体" w:hAnsi="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南台头枢纽河道护岸、堤防维修项</w:t>
      </w:r>
      <w:r>
        <w:rPr>
          <w:rFonts w:hint="eastAsia" w:ascii="宋体" w:hAnsi="宋体" w:cs="宋体"/>
          <w:b/>
          <w:bCs/>
          <w:color w:val="auto"/>
          <w:sz w:val="24"/>
          <w:szCs w:val="24"/>
          <w:highlight w:val="none"/>
          <w:lang w:val="en-US" w:eastAsia="zh-CN"/>
        </w:rPr>
        <w:t>目</w:t>
      </w: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ind w:left="0" w:leftChars="0" w:right="0" w:rightChars="0"/>
              <w:jc w:val="center"/>
              <w:rPr>
                <w:rFonts w:hint="eastAsia" w:ascii="宋体" w:hAnsi="宋体" w:eastAsia="宋体" w:cs="宋体"/>
                <w:b/>
                <w:bCs/>
                <w:i w:val="0"/>
                <w:iCs w:val="0"/>
                <w:color w:val="auto"/>
                <w:sz w:val="21"/>
                <w:szCs w:val="21"/>
                <w:highlight w:val="none"/>
                <w:u w:val="none"/>
              </w:rPr>
            </w:pPr>
            <w:r>
              <w:rPr>
                <w:rFonts w:hint="eastAsia" w:ascii="宋体" w:hAnsi="宋体" w:cs="宋体"/>
                <w:b/>
                <w:bCs/>
                <w:i w:val="0"/>
                <w:iCs w:val="0"/>
                <w:color w:val="auto"/>
                <w:sz w:val="21"/>
                <w:szCs w:val="21"/>
                <w:highlight w:val="none"/>
                <w:u w:val="none"/>
                <w:lang w:val="en-US" w:eastAsia="zh-CN"/>
              </w:rPr>
              <w:t>一</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kern w:val="2"/>
                <w:sz w:val="21"/>
                <w:szCs w:val="21"/>
                <w:highlight w:val="none"/>
                <w:lang w:val="en-US" w:eastAsia="zh-CN" w:bidi="ar-SA"/>
              </w:rPr>
              <w:t>堤防护岸维修</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需维修养护的破损堤防。</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cs="宋体"/>
                <w:b w:val="0"/>
                <w:bCs w:val="0"/>
                <w:i w:val="0"/>
                <w:iCs w:val="0"/>
                <w:color w:val="auto"/>
                <w:kern w:val="0"/>
                <w:sz w:val="21"/>
                <w:szCs w:val="21"/>
                <w:highlight w:val="none"/>
                <w:u w:val="none"/>
                <w:lang w:val="en-US" w:eastAsia="zh-CN"/>
              </w:rPr>
              <w:t>55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土方开挖</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w:t>
            </w:r>
            <w:r>
              <w:rPr>
                <w:rFonts w:hint="default" w:ascii="宋体" w:hAnsi="宋体" w:eastAsia="宋体" w:cs="宋体"/>
                <w:i w:val="0"/>
                <w:iCs w:val="0"/>
                <w:color w:val="auto"/>
                <w:sz w:val="21"/>
                <w:szCs w:val="21"/>
                <w:highlight w:val="none"/>
                <w:u w:val="none"/>
                <w:lang w:val="en-US" w:eastAsia="zh-CN"/>
              </w:rPr>
              <w:t>.运距：由施工单位自行考虑</w:t>
            </w:r>
            <w:r>
              <w:rPr>
                <w:rFonts w:hint="eastAsia" w:ascii="宋体" w:hAnsi="宋体" w:cs="宋体"/>
                <w:i w:val="0"/>
                <w:iCs w:val="0"/>
                <w:color w:val="auto"/>
                <w:sz w:val="21"/>
                <w:szCs w:val="21"/>
                <w:highlight w:val="none"/>
                <w:u w:val="none"/>
                <w:lang w:val="en-US" w:eastAsia="zh-CN"/>
              </w:rPr>
              <w:t>；</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default" w:ascii="宋体" w:hAnsi="宋体" w:cs="宋体"/>
                <w:i w:val="0"/>
                <w:iCs w:val="0"/>
                <w:color w:val="auto"/>
                <w:sz w:val="21"/>
                <w:szCs w:val="21"/>
                <w:highlight w:val="none"/>
                <w:u w:val="none"/>
                <w:lang w:eastAsia="zh-CN"/>
              </w:rPr>
              <w:t>2</w:t>
            </w:r>
            <w:r>
              <w:rPr>
                <w:rFonts w:hint="eastAsia" w:ascii="宋体" w:hAnsi="宋体" w:eastAsia="宋体" w:cs="宋体"/>
                <w:i w:val="0"/>
                <w:iCs w:val="0"/>
                <w:color w:val="auto"/>
                <w:sz w:val="21"/>
                <w:szCs w:val="21"/>
                <w:highlight w:val="none"/>
                <w:u w:val="none"/>
                <w:lang w:val="en-US" w:eastAsia="zh-CN"/>
              </w:rPr>
              <w:t>.护岸维修为零星工程，此工程量为预估，此项按实结算</w:t>
            </w:r>
            <w:r>
              <w:rPr>
                <w:rFonts w:hint="eastAsia" w:ascii="宋体" w:hAnsi="宋体" w:cs="宋体"/>
                <w:i w:val="0"/>
                <w:iCs w:val="0"/>
                <w:color w:val="auto"/>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90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土方回填</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4"/>
              </w:numPr>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回填要求原状土回填，土方回填机械夯填，不得有石块、砖块等杂物</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2、土方来源由施工单位自行考虑</w:t>
            </w:r>
            <w:r>
              <w:rPr>
                <w:rFonts w:hint="eastAsia" w:ascii="宋体" w:hAnsi="宋体" w:cs="宋体"/>
                <w:i w:val="0"/>
                <w:iCs w:val="0"/>
                <w:color w:val="auto"/>
                <w:kern w:val="0"/>
                <w:sz w:val="21"/>
                <w:szCs w:val="21"/>
                <w:highlight w:val="none"/>
                <w:u w:val="none"/>
                <w:lang w:val="en-US" w:eastAsia="zh-CN"/>
              </w:rPr>
              <w:t>；</w:t>
            </w:r>
            <w:r>
              <w:rPr>
                <w:rFonts w:hint="eastAsia" w:ascii="宋体" w:hAnsi="宋体" w:eastAsia="宋体" w:cs="宋体"/>
                <w:i w:val="0"/>
                <w:iCs w:val="0"/>
                <w:color w:val="auto"/>
                <w:kern w:val="0"/>
                <w:sz w:val="21"/>
                <w:szCs w:val="21"/>
                <w:highlight w:val="none"/>
                <w:u w:val="none"/>
                <w:lang w:val="en-US" w:eastAsia="zh-CN"/>
              </w:rPr>
              <w:t xml:space="preserve"> </w:t>
            </w:r>
          </w:p>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3、护岸维修为零星工程，此工程量为预估，此项按实结算</w:t>
            </w:r>
            <w:r>
              <w:rPr>
                <w:rFonts w:hint="eastAsia" w:ascii="宋体" w:hAnsi="宋体" w:cs="宋体"/>
                <w:i w:val="0"/>
                <w:iCs w:val="0"/>
                <w:color w:val="auto"/>
                <w:kern w:val="0"/>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m3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土工布</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铺设土工布</w:t>
            </w:r>
            <w:r>
              <w:rPr>
                <w:rFonts w:hint="eastAsia" w:ascii="宋体" w:hAnsi="宋体" w:cs="宋体"/>
                <w:i w:val="0"/>
                <w:iCs w:val="0"/>
                <w:color w:val="auto"/>
                <w:kern w:val="0"/>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90</w:t>
            </w:r>
            <w:r>
              <w:rPr>
                <w:rFonts w:hint="eastAsia" w:ascii="宋体" w:hAnsi="宋体" w:eastAsia="宋体" w:cs="宋体"/>
                <w:i w:val="0"/>
                <w:iCs w:val="0"/>
                <w:color w:val="auto"/>
                <w:kern w:val="0"/>
                <w:sz w:val="21"/>
                <w:szCs w:val="21"/>
                <w:highlight w:val="none"/>
                <w:u w:val="none"/>
                <w:lang w:val="en-US" w:eastAsia="zh-CN"/>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护岸块石拆除</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原有破损块石护岸拆除，清理外运</w:t>
            </w:r>
            <w:r>
              <w:rPr>
                <w:rFonts w:hint="eastAsia" w:ascii="宋体" w:hAnsi="宋体" w:cs="宋体"/>
                <w:i w:val="0"/>
                <w:iCs w:val="0"/>
                <w:color w:val="auto"/>
                <w:kern w:val="0"/>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混凝土护岸</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C25混凝土人工浇筑，含模板制作安装等相关内容</w:t>
            </w:r>
            <w:r>
              <w:rPr>
                <w:rFonts w:hint="eastAsia" w:ascii="宋体" w:hAnsi="宋体" w:cs="宋体"/>
                <w:i w:val="0"/>
                <w:iCs w:val="0"/>
                <w:color w:val="auto"/>
                <w:kern w:val="0"/>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55</w:t>
            </w:r>
            <w:r>
              <w:rPr>
                <w:rFonts w:hint="eastAsia" w:ascii="宋体" w:hAnsi="宋体" w:eastAsia="宋体" w:cs="宋体"/>
                <w:i w:val="0"/>
                <w:iCs w:val="0"/>
                <w:color w:val="auto"/>
                <w:kern w:val="0"/>
                <w:sz w:val="21"/>
                <w:szCs w:val="21"/>
                <w:highlight w:val="none"/>
                <w:u w:val="none"/>
                <w:lang w:val="en-US" w:eastAsia="zh-CN"/>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新建压顶</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C25混凝土压顶人工浇筑，厚度为10cm,含模板制作安装等相关内容</w:t>
            </w:r>
            <w:r>
              <w:rPr>
                <w:rFonts w:hint="eastAsia" w:ascii="宋体" w:hAnsi="宋体" w:cs="宋体"/>
                <w:i w:val="0"/>
                <w:iCs w:val="0"/>
                <w:color w:val="auto"/>
                <w:kern w:val="0"/>
                <w:sz w:val="21"/>
                <w:szCs w:val="21"/>
                <w:highlight w:val="none"/>
                <w:u w:val="none"/>
                <w:lang w:val="en-US"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55</w:t>
            </w:r>
            <w:r>
              <w:rPr>
                <w:rFonts w:hint="eastAsia" w:ascii="宋体" w:hAnsi="宋体" w:eastAsia="宋体" w:cs="宋体"/>
                <w:i w:val="0"/>
                <w:iCs w:val="0"/>
                <w:color w:val="auto"/>
                <w:kern w:val="0"/>
                <w:sz w:val="21"/>
                <w:szCs w:val="21"/>
                <w:highlight w:val="none"/>
                <w:u w:val="none"/>
                <w:lang w:val="en-US" w:eastAsia="zh-CN"/>
              </w:rPr>
              <w:t xml:space="preserve"> </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宋体" w:hAnsi="宋体" w:cs="宋体"/>
                <w:i w:val="0"/>
                <w:iCs w:val="0"/>
                <w:color w:val="auto"/>
                <w:sz w:val="21"/>
                <w:szCs w:val="21"/>
                <w:highlight w:val="none"/>
                <w:u w:val="none"/>
                <w:lang w:val="en-US" w:eastAsia="zh-CN"/>
              </w:rPr>
            </w:pPr>
            <w:r>
              <w:rPr>
                <w:rFonts w:hint="eastAsia" w:ascii="宋体" w:hAnsi="宋体" w:cs="宋体"/>
                <w:color w:val="auto"/>
                <w:sz w:val="24"/>
                <w:szCs w:val="24"/>
                <w:highlight w:val="none"/>
                <w:lang w:eastAsia="zh-CN"/>
              </w:rPr>
              <w:t>二</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b/>
                <w:bCs/>
                <w:color w:val="auto"/>
                <w:kern w:val="2"/>
                <w:sz w:val="21"/>
                <w:szCs w:val="21"/>
                <w:highlight w:val="none"/>
                <w:lang w:val="en-US" w:eastAsia="zh-CN" w:bidi="ar-SA"/>
              </w:rPr>
              <w:t>河道清障</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spacing w:before="0" w:beforeAutospacing="0" w:after="0" w:afterAutospacing="0"/>
              <w:ind w:left="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1、位置：彭城港大横港、盐嘉塘、海盐塘北段（海盐段）、长山河（海盐段）、袁花支河（海盐段），总长度53公里。                    </w:t>
            </w:r>
          </w:p>
          <w:p>
            <w:pPr>
              <w:keepNext w:val="0"/>
              <w:keepLines w:val="0"/>
              <w:widowControl/>
              <w:numPr>
                <w:ilvl w:val="0"/>
                <w:numId w:val="0"/>
              </w:numPr>
              <w:suppressLineNumbers w:val="0"/>
              <w:shd w:val="clear"/>
              <w:spacing w:before="0" w:beforeAutospacing="0" w:after="0" w:afterAutospacing="0"/>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2、对五段河道进行清障处置，包括管理范围弃土、垃圾等其他影响河道工程安全的物体。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left"/>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3、清障量不少于500</w:t>
            </w:r>
            <w:r>
              <w:rPr>
                <w:rFonts w:hint="eastAsia" w:asciiTheme="minorEastAsia" w:hAnsiTheme="minorEastAsia" w:eastAsiaTheme="minorEastAsia" w:cstheme="minorEastAsia"/>
                <w:i w:val="0"/>
                <w:iCs w:val="0"/>
                <w:color w:val="auto"/>
                <w:kern w:val="0"/>
                <w:sz w:val="21"/>
                <w:szCs w:val="21"/>
                <w:highlight w:val="none"/>
                <w:u w:val="none"/>
                <w:lang w:val="en-US" w:eastAsia="zh-CN"/>
              </w:rPr>
              <w:t>m3，清障物需合法处置。</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exact"/>
        <w:jc w:val="right"/>
        <w:rPr>
          <w:rFonts w:hint="eastAsia"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shd w:val="clear"/>
        <w:spacing w:line="360" w:lineRule="exact"/>
        <w:jc w:val="center"/>
        <w:rPr>
          <w:rFonts w:ascii="宋体" w:hAnsi="宋体"/>
          <w:color w:val="auto"/>
          <w:spacing w:val="20"/>
          <w:sz w:val="23"/>
          <w:szCs w:val="23"/>
          <w:highlight w:val="none"/>
        </w:rPr>
      </w:pPr>
      <w:r>
        <w:rPr>
          <w:rFonts w:hint="eastAsia" w:ascii="宋体" w:hAnsi="宋体"/>
          <w:b/>
          <w:color w:val="auto"/>
          <w:sz w:val="32"/>
          <w:szCs w:val="32"/>
          <w:highlight w:val="none"/>
        </w:rPr>
        <w:t>报价明细表</w:t>
      </w:r>
    </w:p>
    <w:p>
      <w:pPr>
        <w:pStyle w:val="16"/>
        <w:keepNext w:val="0"/>
        <w:keepLines w:val="0"/>
        <w:pageBreakBefore w:val="0"/>
        <w:widowControl w:val="0"/>
        <w:shd w:val="clear"/>
        <w:kinsoku/>
        <w:wordWrap/>
        <w:overflowPunct/>
        <w:topLinePunct w:val="0"/>
        <w:autoSpaceDE/>
        <w:autoSpaceDN/>
        <w:bidi w:val="0"/>
        <w:adjustRightInd/>
        <w:snapToGrid w:val="0"/>
        <w:ind w:firstLine="7035" w:firstLineChars="3350"/>
        <w:textAlignment w:val="auto"/>
        <w:rPr>
          <w:rFonts w:hint="eastAsia" w:ascii="宋体" w:hAnsi="宋体"/>
          <w:b w:val="0"/>
          <w:bCs/>
          <w:color w:val="auto"/>
          <w:sz w:val="21"/>
          <w:szCs w:val="21"/>
          <w:highlight w:val="none"/>
          <w:u w:val="single"/>
          <w:lang w:val="en-US" w:eastAsia="zh-CN"/>
        </w:rPr>
      </w:pPr>
      <w:r>
        <w:rPr>
          <w:rFonts w:hint="eastAsia" w:ascii="宋体" w:hAnsi="宋体"/>
          <w:b w:val="0"/>
          <w:bCs/>
          <w:color w:val="auto"/>
          <w:sz w:val="21"/>
          <w:szCs w:val="21"/>
          <w:highlight w:val="none"/>
          <w:lang w:val="en-US" w:eastAsia="zh-CN"/>
        </w:rPr>
        <w:t>标项：</w:t>
      </w:r>
      <w:r>
        <w:rPr>
          <w:rFonts w:hint="eastAsia" w:ascii="宋体" w:hAnsi="宋体"/>
          <w:b w:val="0"/>
          <w:bCs/>
          <w:color w:val="auto"/>
          <w:sz w:val="21"/>
          <w:szCs w:val="21"/>
          <w:highlight w:val="none"/>
          <w:u w:val="single"/>
          <w:lang w:val="en-US" w:eastAsia="zh-CN"/>
        </w:rPr>
        <w:t xml:space="preserve">  </w:t>
      </w:r>
      <w:r>
        <w:rPr>
          <w:rFonts w:hint="eastAsia" w:hAnsi="宋体"/>
          <w:b w:val="0"/>
          <w:bCs/>
          <w:color w:val="auto"/>
          <w:sz w:val="21"/>
          <w:szCs w:val="21"/>
          <w:highlight w:val="none"/>
          <w:u w:val="single"/>
          <w:lang w:val="en-US" w:eastAsia="zh-CN"/>
        </w:rPr>
        <w:t>二</w:t>
      </w:r>
      <w:r>
        <w:rPr>
          <w:rFonts w:hint="eastAsia" w:ascii="宋体" w:hAnsi="宋体"/>
          <w:b w:val="0"/>
          <w:bCs/>
          <w:color w:val="auto"/>
          <w:sz w:val="21"/>
          <w:szCs w:val="21"/>
          <w:highlight w:val="none"/>
          <w:u w:val="single"/>
          <w:lang w:val="en-US" w:eastAsia="zh-CN"/>
        </w:rPr>
        <w:t xml:space="preserve">   </w:t>
      </w:r>
    </w:p>
    <w:p>
      <w:pPr>
        <w:pStyle w:val="16"/>
        <w:shd w:val="clear"/>
        <w:spacing w:before="156" w:beforeLines="50" w:after="156" w:afterLines="50" w:line="400" w:lineRule="exact"/>
        <w:jc w:val="center"/>
        <w:outlineLvl w:val="0"/>
        <w:rPr>
          <w:rFonts w:hint="default" w:hAnsi="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2024年南排工程一次性项目汇</w:t>
      </w:r>
      <w:r>
        <w:rPr>
          <w:rFonts w:hint="eastAsia" w:hAnsi="宋体" w:cs="宋体"/>
          <w:b/>
          <w:bCs/>
          <w:color w:val="auto"/>
          <w:sz w:val="28"/>
          <w:szCs w:val="28"/>
          <w:highlight w:val="none"/>
          <w:lang w:val="en-US" w:eastAsia="zh-CN"/>
        </w:rPr>
        <w:t>总表</w:t>
      </w:r>
    </w:p>
    <w:tbl>
      <w:tblPr>
        <w:tblStyle w:val="3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815"/>
        <w:gridCol w:w="1321"/>
        <w:gridCol w:w="188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序号</w:t>
            </w:r>
          </w:p>
        </w:tc>
        <w:tc>
          <w:tcPr>
            <w:tcW w:w="2815"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明细</w:t>
            </w:r>
          </w:p>
        </w:tc>
        <w:tc>
          <w:tcPr>
            <w:tcW w:w="1321"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数量</w:t>
            </w:r>
          </w:p>
        </w:tc>
        <w:tc>
          <w:tcPr>
            <w:tcW w:w="1887"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cs="宋体"/>
                <w:b/>
                <w:bCs/>
                <w:color w:val="auto"/>
                <w:sz w:val="21"/>
                <w:szCs w:val="21"/>
                <w:highlight w:val="none"/>
                <w:vertAlign w:val="baseline"/>
                <w:lang w:val="en-US" w:eastAsia="zh-CN"/>
              </w:rPr>
              <w:t>金额</w:t>
            </w:r>
            <w:r>
              <w:rPr>
                <w:rFonts w:hint="eastAsia" w:ascii="宋体" w:hAnsi="宋体" w:eastAsia="宋体" w:cs="宋体"/>
                <w:b/>
                <w:bCs/>
                <w:color w:val="auto"/>
                <w:sz w:val="21"/>
                <w:szCs w:val="21"/>
                <w:highlight w:val="none"/>
                <w:vertAlign w:val="baseline"/>
                <w:lang w:val="en-US" w:eastAsia="zh-CN"/>
              </w:rPr>
              <w:t>（元）</w:t>
            </w:r>
          </w:p>
        </w:tc>
        <w:tc>
          <w:tcPr>
            <w:tcW w:w="1558" w:type="dxa"/>
            <w:shd w:val="clear" w:color="auto" w:fill="D7D7D7"/>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（一）</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盐官枢纽</w:t>
            </w:r>
            <w:r>
              <w:rPr>
                <w:rFonts w:hint="eastAsia" w:ascii="宋体" w:hAnsi="宋体" w:eastAsia="宋体" w:cs="宋体"/>
                <w:color w:val="auto"/>
                <w:sz w:val="21"/>
                <w:szCs w:val="21"/>
                <w:highlight w:val="none"/>
                <w:lang w:val="en-US" w:eastAsia="zh-CN"/>
              </w:rPr>
              <w:t>一次性项目</w:t>
            </w:r>
          </w:p>
        </w:tc>
        <w:tc>
          <w:tcPr>
            <w:tcW w:w="132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1</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主厂房电缆层漏水处理项目</w:t>
            </w:r>
          </w:p>
        </w:tc>
        <w:tc>
          <w:tcPr>
            <w:tcW w:w="132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2</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盐官泵站事故闸止水、滑块、紧固件更换项目</w:t>
            </w:r>
          </w:p>
        </w:tc>
        <w:tc>
          <w:tcPr>
            <w:tcW w:w="132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（二）</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独山</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（三）</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长山河</w:t>
            </w:r>
            <w:r>
              <w:rPr>
                <w:rFonts w:hint="eastAsia" w:ascii="宋体" w:hAnsi="宋体" w:cs="宋体"/>
                <w:color w:val="auto"/>
                <w:szCs w:val="21"/>
                <w:highlight w:val="none"/>
                <w:lang w:eastAsia="zh-CN"/>
              </w:rPr>
              <w:t>枢纽</w:t>
            </w:r>
            <w:r>
              <w:rPr>
                <w:rFonts w:hint="eastAsia" w:ascii="宋体" w:hAnsi="宋体" w:eastAsia="宋体" w:cs="宋体"/>
                <w:color w:val="auto"/>
                <w:sz w:val="21"/>
                <w:szCs w:val="21"/>
                <w:highlight w:val="none"/>
                <w:lang w:val="en-US" w:eastAsia="zh-CN"/>
              </w:rPr>
              <w:t>一次性项目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（四）</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南台头枢纽</w:t>
            </w:r>
            <w:r>
              <w:rPr>
                <w:rFonts w:hint="eastAsia" w:ascii="宋体" w:hAnsi="宋体" w:eastAsia="宋体" w:cs="宋体"/>
                <w:color w:val="auto"/>
                <w:sz w:val="21"/>
                <w:szCs w:val="21"/>
                <w:highlight w:val="none"/>
                <w:lang w:val="en-US" w:eastAsia="zh-CN"/>
              </w:rPr>
              <w:t>一次性项目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1</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南台头闸内河侧闸门防腐及止水装置更换项目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2</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泵站门机、油缸及起重设备金属防腐项目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1"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default" w:ascii="宋体" w:hAnsi="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vertAlign w:val="baseline"/>
                <w:lang w:val="en-US" w:eastAsia="zh-CN"/>
              </w:rPr>
              <w:t>3</w:t>
            </w:r>
          </w:p>
        </w:tc>
        <w:tc>
          <w:tcPr>
            <w:tcW w:w="2815" w:type="dxa"/>
            <w:noWrap w:val="0"/>
            <w:vAlign w:val="center"/>
          </w:tcPr>
          <w:p>
            <w:pPr>
              <w:keepNext w:val="0"/>
              <w:keepLines w:val="0"/>
              <w:suppressLineNumbers w:val="0"/>
              <w:shd w:val="clear"/>
              <w:snapToGrid w:val="0"/>
              <w:spacing w:before="0" w:beforeAutospacing="0" w:after="0" w:afterAutospacing="0"/>
              <w:ind w:left="0" w:leftChars="0" w:right="0" w:rightChars="0"/>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泵站工作（事故）闸门行程改造项目</w:t>
            </w:r>
          </w:p>
        </w:tc>
        <w:tc>
          <w:tcPr>
            <w:tcW w:w="1321" w:type="dxa"/>
            <w:noWrap w:val="0"/>
            <w:vAlign w:val="center"/>
          </w:tcPr>
          <w:p>
            <w:pPr>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val="0"/>
                <w:bCs w:val="0"/>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7" w:type="dxa"/>
            <w:gridSpan w:val="3"/>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r>
              <w:rPr>
                <w:rFonts w:hint="eastAsia" w:ascii="宋体" w:hAnsi="宋体" w:eastAsia="宋体" w:cs="宋体"/>
                <w:b/>
                <w:bCs/>
                <w:color w:val="auto"/>
                <w:sz w:val="21"/>
                <w:szCs w:val="21"/>
                <w:highlight w:val="none"/>
                <w:shd w:val="clear" w:color="auto" w:fill="auto"/>
                <w:lang w:val="en-US" w:eastAsia="zh-CN"/>
              </w:rPr>
              <w:t>合计金额（元）</w:t>
            </w:r>
          </w:p>
        </w:tc>
        <w:tc>
          <w:tcPr>
            <w:tcW w:w="1887"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p>
        </w:tc>
        <w:tc>
          <w:tcPr>
            <w:tcW w:w="1558" w:type="dxa"/>
            <w:noWrap w:val="0"/>
            <w:vAlign w:val="center"/>
          </w:tcPr>
          <w:p>
            <w:pPr>
              <w:pStyle w:val="4"/>
              <w:keepNext/>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宋体" w:hAnsi="宋体" w:eastAsia="宋体" w:cs="宋体"/>
                <w:b/>
                <w:bCs/>
                <w:color w:val="auto"/>
                <w:sz w:val="21"/>
                <w:szCs w:val="21"/>
                <w:highlight w:val="none"/>
                <w:vertAlign w:val="baseline"/>
              </w:rPr>
            </w:pPr>
          </w:p>
        </w:tc>
      </w:tr>
    </w:tbl>
    <w:p>
      <w:pPr>
        <w:pStyle w:val="16"/>
        <w:numPr>
          <w:ilvl w:val="-1"/>
          <w:numId w:val="0"/>
        </w:numPr>
        <w:shd w:val="clear"/>
        <w:spacing w:before="156" w:beforeLines="50" w:after="156" w:afterLines="50" w:line="400" w:lineRule="exact"/>
        <w:jc w:val="left"/>
        <w:outlineLvl w:val="0"/>
        <w:rPr>
          <w:rFonts w:hint="eastAsia" w:ascii="宋体" w:hAnsi="宋体" w:cs="宋体"/>
          <w:color w:val="auto"/>
          <w:szCs w:val="21"/>
          <w:highlight w:val="none"/>
          <w:lang w:eastAsia="zh-CN"/>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pStyle w:val="16"/>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r>
        <w:rPr>
          <w:rFonts w:hint="eastAsia" w:ascii="宋体" w:hAnsi="宋体"/>
          <w:color w:val="auto"/>
          <w:spacing w:val="20"/>
          <w:sz w:val="23"/>
          <w:szCs w:val="23"/>
          <w:highlight w:val="none"/>
          <w:lang w:val="en-US" w:eastAsia="zh-CN"/>
        </w:rPr>
        <w:t xml:space="preserve">                                    </w:t>
      </w:r>
      <w:r>
        <w:rPr>
          <w:rFonts w:hint="eastAsia" w:ascii="宋体" w:hAnsi="宋体"/>
          <w:color w:val="auto"/>
          <w:spacing w:val="20"/>
          <w:sz w:val="23"/>
          <w:szCs w:val="23"/>
          <w:highlight w:val="none"/>
        </w:rPr>
        <w:t>供应商名称（盖章）：</w:t>
      </w:r>
    </w:p>
    <w:p>
      <w:pPr>
        <w:pStyle w:val="16"/>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pPr>
        <w:pStyle w:val="16"/>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pPr>
        <w:pStyle w:val="16"/>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pPr>
        <w:pStyle w:val="16"/>
        <w:shd w:val="clear"/>
        <w:spacing w:before="156" w:beforeLines="50" w:after="156" w:afterLines="50" w:line="400" w:lineRule="exact"/>
        <w:jc w:val="center"/>
        <w:outlineLvl w:val="0"/>
        <w:rPr>
          <w:rFonts w:hint="eastAsia" w:hAnsi="宋体" w:cs="宋体"/>
          <w:b/>
          <w:bCs/>
          <w:color w:val="auto"/>
          <w:sz w:val="24"/>
          <w:szCs w:val="24"/>
          <w:highlight w:val="none"/>
          <w:lang w:val="en-US" w:eastAsia="zh-CN"/>
        </w:rPr>
      </w:pPr>
    </w:p>
    <w:p>
      <w:pPr>
        <w:shd w:val="clear"/>
        <w:rPr>
          <w:color w:val="auto"/>
          <w:highlight w:val="none"/>
        </w:rPr>
      </w:pPr>
    </w:p>
    <w:p>
      <w:pPr>
        <w:pStyle w:val="2"/>
        <w:shd w:val="clear"/>
        <w:rPr>
          <w:color w:val="auto"/>
          <w:highlight w:val="none"/>
        </w:rPr>
      </w:pPr>
    </w:p>
    <w:p>
      <w:pPr>
        <w:pStyle w:val="2"/>
        <w:shd w:val="clear"/>
        <w:rPr>
          <w:color w:val="auto"/>
          <w:highlight w:val="none"/>
        </w:rPr>
      </w:pPr>
    </w:p>
    <w:p>
      <w:pPr>
        <w:pStyle w:val="2"/>
        <w:shd w:val="clear"/>
        <w:rPr>
          <w:color w:val="auto"/>
          <w:highlight w:val="none"/>
        </w:rPr>
      </w:pPr>
    </w:p>
    <w:p>
      <w:pPr>
        <w:pStyle w:val="2"/>
        <w:shd w:val="clear"/>
        <w:rPr>
          <w:color w:val="auto"/>
          <w:highlight w:val="none"/>
        </w:rPr>
      </w:pPr>
    </w:p>
    <w:p>
      <w:pPr>
        <w:pStyle w:val="16"/>
        <w:keepNext w:val="0"/>
        <w:keepLines w:val="0"/>
        <w:pageBreakBefore w:val="0"/>
        <w:widowControl w:val="0"/>
        <w:numPr>
          <w:ilvl w:val="0"/>
          <w:numId w:val="25"/>
        </w:numPr>
        <w:shd w:val="clear"/>
        <w:kinsoku/>
        <w:wordWrap/>
        <w:overflowPunct/>
        <w:topLinePunct w:val="0"/>
        <w:autoSpaceDE/>
        <w:autoSpaceDN/>
        <w:bidi w:val="0"/>
        <w:adjustRightInd/>
        <w:snapToGrid w:val="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盐官枢纽一次性项目</w:t>
      </w:r>
    </w:p>
    <w:p>
      <w:pPr>
        <w:pStyle w:val="12"/>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1、主厂房电缆层漏水处理项目</w:t>
      </w: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2"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eastAsia="zh-CN"/>
              </w:rPr>
              <w:t>检查</w:t>
            </w:r>
            <w:r>
              <w:rPr>
                <w:rFonts w:hint="eastAsia" w:asciiTheme="minorEastAsia" w:hAnsiTheme="minorEastAsia" w:eastAsiaTheme="minorEastAsia" w:cstheme="minorEastAsia"/>
                <w:kern w:val="0"/>
                <w:sz w:val="21"/>
                <w:szCs w:val="21"/>
                <w:highlight w:val="none"/>
              </w:rPr>
              <w:t>渗漏水</w:t>
            </w:r>
            <w:r>
              <w:rPr>
                <w:rFonts w:hint="eastAsia" w:asciiTheme="minorEastAsia" w:hAnsiTheme="minorEastAsia" w:eastAsiaTheme="minorEastAsia" w:cstheme="minorEastAsia"/>
                <w:kern w:val="0"/>
                <w:sz w:val="21"/>
                <w:szCs w:val="21"/>
                <w:highlight w:val="none"/>
                <w:lang w:eastAsia="zh-CN"/>
              </w:rPr>
              <w:t>情况</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leftChars="0" w:right="0" w:rightChars="0" w:firstLine="420" w:firstLineChars="200"/>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混凝土整体基面打凿，寻找裂缝及大出水点。裂缝处理前，先检查裂缝高程位置、形状、走向、缝长、渗漏水情况。</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钻孔</w:t>
            </w:r>
            <w:r>
              <w:rPr>
                <w:rFonts w:hint="eastAsia" w:asciiTheme="minorEastAsia" w:hAnsiTheme="minorEastAsia" w:eastAsiaTheme="minorEastAsia" w:cstheme="minorEastAsia"/>
                <w:kern w:val="0"/>
                <w:sz w:val="21"/>
                <w:szCs w:val="21"/>
                <w:highlight w:val="none"/>
                <w:lang w:eastAsia="zh-CN"/>
              </w:rPr>
              <w:t>、</w:t>
            </w:r>
            <w:r>
              <w:rPr>
                <w:rFonts w:hint="eastAsia" w:asciiTheme="minorEastAsia" w:hAnsiTheme="minorEastAsia" w:eastAsiaTheme="minorEastAsia" w:cstheme="minorEastAsia"/>
                <w:kern w:val="0"/>
                <w:sz w:val="21"/>
                <w:szCs w:val="21"/>
                <w:highlight w:val="none"/>
              </w:rPr>
              <w:t>埋管封缝</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right="0" w:firstLine="420" w:firstLineChars="200"/>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沿缝侧布置穿缝斜孔，孔间距30～50cm，孔深确保穿缝；沿缝布置适量骑缝孔，间距80～100cm。埋设灌浆管，同时采用快速封堵材料临时封堵漏水缝面，缝口留适量骑缝引水管</w:t>
            </w:r>
            <w:r>
              <w:rPr>
                <w:rFonts w:hint="eastAsia" w:asciiTheme="minorEastAsia" w:hAnsiTheme="minorEastAsia" w:eastAsiaTheme="minorEastAsia" w:cstheme="minorEastAsia"/>
                <w:kern w:val="0"/>
                <w:sz w:val="21"/>
                <w:szCs w:val="21"/>
                <w:highlight w:val="none"/>
                <w:lang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灌浆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adjustRightInd w:val="0"/>
              <w:snapToGrid w:val="0"/>
              <w:spacing w:before="0" w:beforeAutospacing="0" w:after="0" w:afterAutospacing="0" w:line="360" w:lineRule="auto"/>
              <w:ind w:left="0" w:leftChars="0" w:right="0" w:rightChars="0" w:firstLine="420" w:firstLineChars="200"/>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用配制好的LW/HW水溶性聚氨酯灌浆材料进行纯压式化学灌浆，灌浆压力0.5MPa。</w:t>
            </w:r>
            <w:r>
              <w:rPr>
                <w:rFonts w:hint="eastAsia" w:asciiTheme="minorEastAsia" w:hAnsiTheme="minorEastAsia" w:eastAsiaTheme="minorEastAsia" w:cstheme="minorEastAsia"/>
                <w:kern w:val="0"/>
                <w:sz w:val="21"/>
                <w:szCs w:val="21"/>
                <w:highlight w:val="none"/>
              </w:rPr>
              <w:t>对骑缝引水管进行补灌，彻底封堵漏水。</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LW/HW混合浆液（7:3）</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sz w:val="21"/>
                <w:szCs w:val="21"/>
                <w:highlight w:val="none"/>
              </w:rPr>
              <w:t>灌注聚氨酯灌浆材料，配比LW：HW=7:3</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500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EQ环氧胶泥</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按产品配比配制EQ环氧胶泥，并搅拌均匀待用；在清理干净并干燥的基面上均匀刮涂配制好的环氧胶泥，刮涂厚度1mm，宽度15～20cm。缝面满刮环氧胶泥，含缝面打磨找平，宽度20cm，厚度3mm。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引排管安装</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缝面预埋PVC管，HK-8505聚氨酯密封胶固定</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墙面渗漏处理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止水针头灌注聚氨酯灌浆材料，墙面清理，聚合物砂浆封面。</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kern w:val="0"/>
                <w:sz w:val="21"/>
                <w:szCs w:val="21"/>
                <w:highlight w:val="none"/>
                <w:lang w:val="en-US" w:eastAsia="zh-CN"/>
              </w:rPr>
              <w:t>40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措施费</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障碍物拆除及恢复</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材料设备运输费</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材料设备进场运输费用</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val="en-US" w:eastAsia="zh-CN"/>
              </w:rPr>
              <w:t>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lang w:eastAsia="zh-CN"/>
              </w:rPr>
              <w:t>场地清理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现场施工产生的相关垃圾进行清理及运出</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kern w:val="0"/>
                <w:sz w:val="21"/>
                <w:szCs w:val="21"/>
                <w:highlight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napToGrid w:val="0"/>
        <w:spacing w:before="50" w:after="50"/>
        <w:ind w:right="-817" w:rightChars="-389"/>
        <w:outlineLvl w:val="1"/>
        <w:rPr>
          <w:rFonts w:hint="eastAsia" w:ascii="宋体" w:hAnsi="宋体"/>
          <w:b/>
          <w:color w:val="auto"/>
          <w:szCs w:val="28"/>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pStyle w:val="12"/>
        <w:shd w:val="clear"/>
        <w:rPr>
          <w:rFonts w:hint="eastAsia" w:ascii="宋体" w:hAnsi="宋体" w:eastAsia="宋体" w:cs="宋体"/>
          <w:color w:val="auto"/>
          <w:sz w:val="21"/>
          <w:szCs w:val="21"/>
          <w:highlight w:val="none"/>
          <w:lang w:val="en-US" w:eastAsia="zh-CN"/>
        </w:rPr>
      </w:pPr>
    </w:p>
    <w:p>
      <w:pPr>
        <w:pStyle w:val="12"/>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2、盐官泵站事故闸止水、滑块、紧固件更换项目</w:t>
      </w: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侧止水更换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Style w:val="114"/>
                <w:rFonts w:hint="eastAsia" w:asciiTheme="minorEastAsia" w:hAnsiTheme="minorEastAsia" w:eastAsiaTheme="minorEastAsia" w:cstheme="minorEastAsia"/>
                <w:sz w:val="21"/>
                <w:szCs w:val="21"/>
                <w:highlight w:val="none"/>
                <w:lang w:val="en-US" w:eastAsia="zh-CN" w:bidi="ar"/>
              </w:rPr>
              <w:t>规格P</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50</w:t>
            </w:r>
            <w:r>
              <w:rPr>
                <w:rStyle w:val="114"/>
                <w:rFonts w:hint="eastAsia" w:asciiTheme="minorEastAsia" w:hAnsiTheme="minorEastAsia" w:eastAsiaTheme="minorEastAsia" w:cstheme="minorEastAsia"/>
                <w:sz w:val="21"/>
                <w:szCs w:val="21"/>
                <w:highlight w:val="none"/>
                <w:lang w:val="en-US" w:eastAsia="zh-CN" w:bidi="ar"/>
              </w:rPr>
              <w:t>-5 L=5200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，SF6574,侧橡皮止水，每扇2件，共更换3扇计6件。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sz w:val="21"/>
                <w:szCs w:val="21"/>
                <w:highlight w:val="none"/>
                <w:u w:val="none"/>
                <w:lang w:val="en-US" w:eastAsia="zh-CN"/>
              </w:rPr>
              <w:t>114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Style w:val="114"/>
                <w:rFonts w:hint="eastAsia" w:asciiTheme="minorEastAsia" w:hAnsiTheme="minorEastAsia" w:eastAsiaTheme="minorEastAsia" w:cstheme="minorEastAsia"/>
                <w:sz w:val="21"/>
                <w:szCs w:val="21"/>
                <w:highlight w:val="none"/>
                <w:lang w:val="en-US" w:eastAsia="zh-CN" w:bidi="ar"/>
              </w:rPr>
              <w:t>规格P</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50</w:t>
            </w:r>
            <w:r>
              <w:rPr>
                <w:rStyle w:val="114"/>
                <w:rFonts w:hint="eastAsia" w:asciiTheme="minorEastAsia" w:hAnsiTheme="minorEastAsia" w:eastAsiaTheme="minorEastAsia" w:cstheme="minorEastAsia"/>
                <w:sz w:val="21"/>
                <w:szCs w:val="21"/>
                <w:highlight w:val="none"/>
                <w:lang w:val="en-US" w:eastAsia="zh-CN" w:bidi="ar"/>
              </w:rPr>
              <w:t>-5 L=4130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,SF6574，顶止水橡皮，每扇1件，共更换3扇计3件。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val="en-US" w:eastAsia="zh-CN"/>
              </w:rPr>
              <w:t>54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底止水更换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H16-5 L=3882,SF6574,底止水橡皮，每扇1件，共更换3扇计3件。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auto"/>
                <w:sz w:val="21"/>
                <w:szCs w:val="21"/>
                <w:highlight w:val="none"/>
                <w:u w:val="none"/>
                <w:lang w:val="en-US" w:eastAsia="zh-CN"/>
              </w:rPr>
              <w:t>22.8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侧止水垫板更换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L=5080，SF6574垫板每扇2件，共更换3扇计6件。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val="en-US" w:eastAsia="zh-CN"/>
              </w:rPr>
              <w:t>55.2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L=4030，SF6574垫板每扇1件，共更换3扇计3件。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val="en-US" w:eastAsia="zh-CN"/>
              </w:rPr>
              <w:t>22.2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底止水垫板更换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 L=4030，SF6574垫板每扇1件，共更换3扇计3件。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val="en-US" w:eastAsia="zh-CN"/>
              </w:rPr>
              <w:t>22.2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前后滑块更换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43*80*500高分子材料，每扇8件共更换3扇计24件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auto"/>
                <w:sz w:val="21"/>
                <w:szCs w:val="21"/>
                <w:highlight w:val="none"/>
                <w:u w:val="none"/>
                <w:lang w:val="en-US" w:eastAsia="zh-CN"/>
              </w:rPr>
              <w:t>80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侧向滑块更换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43*80*200高分子材料，每扇4件共更换3扇计12件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顶止水压板更换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12Cr18Ni9-10×60×3860每扇1件，共更换3扇计3件。</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63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橡皮垫板（一）更换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16*160*390，SF6574</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橡皮垫板（二）更换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8*160*700</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52.8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16*300更换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A4-70材质，每扇46套共更换3扇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138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16*425更换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201材质，每扇16套共更换3扇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48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24*910更换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201材质，每扇16套共更换3扇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48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16*900更换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201材质，每扇94套共更换3扇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282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螺母（一）更换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AM16 GB6172-86，A4-70每扇308套共更换3扇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924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螺母（二）更换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AM24 GB6170-86 ，201材质每扇16套共更换3扇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垫圈（一）更换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24GB6170-86，201材质每扇138个共更换3扇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垫圈（二）更换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16GB6170-86，201材质每扇16个共更换3扇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其他设备拆装调试</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启闭机油缸、管路、传感器等拆除、安装调试</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安全措施</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240" w:lineRule="auto"/>
              <w:ind w:left="0" w:leftChars="0" w:right="0" w:rightChars="0"/>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施工单位根据实际情况考虑</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auto"/>
                <w:sz w:val="21"/>
                <w:szCs w:val="21"/>
                <w:highlight w:val="none"/>
                <w:u w:val="none"/>
                <w:lang w:val="en-US" w:eastAsia="zh-CN"/>
              </w:rPr>
              <w:t>22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场地清理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旧件搬运至甲方指定地点，所涉施工场地复原清理干净。</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napToGrid w:val="0"/>
        <w:spacing w:before="50" w:after="50"/>
        <w:ind w:right="-817" w:rightChars="-389"/>
        <w:outlineLvl w:val="1"/>
        <w:rPr>
          <w:rFonts w:hint="eastAsia" w:ascii="宋体" w:hAnsi="宋体"/>
          <w:b/>
          <w:color w:val="auto"/>
          <w:szCs w:val="28"/>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16"/>
        <w:keepNext w:val="0"/>
        <w:keepLines w:val="0"/>
        <w:pageBreakBefore w:val="0"/>
        <w:widowControl w:val="0"/>
        <w:numPr>
          <w:ilvl w:val="0"/>
          <w:numId w:val="25"/>
        </w:numPr>
        <w:shd w:val="clear"/>
        <w:kinsoku/>
        <w:wordWrap/>
        <w:overflowPunct/>
        <w:topLinePunct w:val="0"/>
        <w:autoSpaceDE/>
        <w:autoSpaceDN/>
        <w:bidi w:val="0"/>
        <w:adjustRightInd/>
        <w:snapToGrid w:val="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独山枢纽一次性项目</w:t>
      </w:r>
    </w:p>
    <w:p>
      <w:pPr>
        <w:pStyle w:val="20"/>
        <w:shd w:val="clear"/>
        <w:rPr>
          <w:rFonts w:hint="eastAsia" w:ascii="宋体" w:hAnsi="宋体"/>
          <w:b/>
          <w:color w:val="auto"/>
          <w:szCs w:val="28"/>
          <w:highlight w:val="none"/>
        </w:rPr>
      </w:pP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内、外河侧检修门槽防腐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138.96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内、外河门库门槽防腐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94.08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中孔、边孔工作门槽防腐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sz w:val="21"/>
                <w:szCs w:val="21"/>
                <w:highlight w:val="none"/>
                <w:u w:val="none"/>
                <w:lang w:val="en-US" w:eastAsia="zh-CN"/>
              </w:rPr>
              <w:t>98.43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工作门门库门槽防腐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机械打磨除锈，环氧底漆一道，中间漆一道，防污面漆两道</w:t>
            </w:r>
            <w:r>
              <w:rPr>
                <w:rFonts w:hint="default" w:asciiTheme="minorEastAsia" w:hAnsiTheme="minorEastAsia" w:eastAsiaTheme="minorEastAsia" w:cstheme="minorEastAsia"/>
                <w:i w:val="0"/>
                <w:iCs w:val="0"/>
                <w:color w:val="000000"/>
                <w:sz w:val="21"/>
                <w:szCs w:val="21"/>
                <w:highlight w:val="none"/>
                <w:u w:val="none"/>
                <w:lang w:eastAsia="zh-CN"/>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66.64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201材质不锈钢格栅盖板2930*400</w:t>
            </w: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mm</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格栅板厚度6mm，格栅板宽度60</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r>
              <w:rPr>
                <w:rFonts w:hint="default" w:asciiTheme="minorEastAsia" w:hAnsiTheme="minorEastAsia" w:eastAsiaTheme="minorEastAsia" w:cstheme="minorEastAsia"/>
                <w:i w:val="0"/>
                <w:iCs w:val="0"/>
                <w:color w:val="000000"/>
                <w:kern w:val="0"/>
                <w:sz w:val="21"/>
                <w:szCs w:val="21"/>
                <w:highlight w:val="none"/>
                <w:u w:val="none"/>
                <w:lang w:val="en-US"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栅格间距320*60mm。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件</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sz w:val="21"/>
                <w:szCs w:val="21"/>
                <w:highlight w:val="none"/>
                <w:u w:val="none"/>
                <w:lang w:val="en-US" w:eastAsia="zh-CN"/>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旧盖板移出</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宋体" w:hAnsi="宋体" w:eastAsia="宋体" w:cs="宋体"/>
                <w:i w:val="0"/>
                <w:iCs w:val="0"/>
                <w:color w:val="auto"/>
                <w:sz w:val="21"/>
                <w:szCs w:val="21"/>
                <w:highlight w:val="none"/>
                <w:u w:val="none"/>
              </w:rPr>
            </w:pPr>
            <w:r>
              <w:rPr>
                <w:rFonts w:hint="default" w:ascii="宋体" w:hAnsi="宋体" w:cs="宋体"/>
                <w:i w:val="0"/>
                <w:iCs w:val="0"/>
                <w:color w:val="auto"/>
                <w:sz w:val="21"/>
                <w:szCs w:val="21"/>
                <w:highlight w:val="none"/>
                <w:u w:val="none"/>
              </w:rPr>
              <w:t>旧件搬运至甲方指定地点，所涉施工场地清理干净。</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sz w:val="21"/>
                <w:szCs w:val="21"/>
                <w:highlight w:val="none"/>
                <w:u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门槽防腐措施费</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防腐面积已扣水下部分3米。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hint="eastAsia"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16"/>
        <w:keepNext w:val="0"/>
        <w:keepLines w:val="0"/>
        <w:pageBreakBefore w:val="0"/>
        <w:widowControl w:val="0"/>
        <w:numPr>
          <w:ilvl w:val="0"/>
          <w:numId w:val="25"/>
        </w:numPr>
        <w:shd w:val="clear"/>
        <w:kinsoku/>
        <w:wordWrap/>
        <w:overflowPunct/>
        <w:topLinePunct w:val="0"/>
        <w:autoSpaceDE/>
        <w:autoSpaceDN/>
        <w:bidi w:val="0"/>
        <w:adjustRightInd/>
        <w:snapToGrid w:val="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长山河枢纽一次性项目</w:t>
      </w:r>
    </w:p>
    <w:p>
      <w:pPr>
        <w:pStyle w:val="16"/>
        <w:keepNext w:val="0"/>
        <w:keepLines w:val="0"/>
        <w:pageBreakBefore w:val="0"/>
        <w:widowControl w:val="0"/>
        <w:numPr>
          <w:ilvl w:val="0"/>
          <w:numId w:val="0"/>
        </w:numPr>
        <w:shd w:val="clear"/>
        <w:kinsoku/>
        <w:wordWrap/>
        <w:overflowPunct/>
        <w:topLinePunct w:val="0"/>
        <w:autoSpaceDE/>
        <w:autoSpaceDN/>
        <w:bidi w:val="0"/>
        <w:adjustRightInd/>
        <w:snapToGrid w:val="0"/>
        <w:jc w:val="both"/>
        <w:textAlignment w:val="auto"/>
        <w:rPr>
          <w:rFonts w:hint="eastAsia" w:ascii="宋体" w:hAnsi="宋体" w:eastAsia="宋体" w:cs="宋体"/>
          <w:b/>
          <w:bCs/>
          <w:color w:val="auto"/>
          <w:sz w:val="24"/>
          <w:szCs w:val="24"/>
          <w:highlight w:val="none"/>
          <w:lang w:val="en-US" w:eastAsia="zh-CN"/>
        </w:rPr>
      </w:pP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内河侧侧水封更换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P50-5，SF6574,含损耗每扇重量37kg-14扇.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内河侧侧水封垫板更换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H20-7,SF6574,含损耗每扇重量18kg-14扇.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外江侧侧水封更换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P50-5,SF6574,含损耗每扇重量37kg-14扇.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外江侧侧水封垫板更换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H20-7,SF6574,含损耗每扇重量18kg-14扇.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底水封更换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H16-2,SF6574,含损耗每扇重量31kg-14扇.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顶水封垫板更换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H20-7,SF6574,含损耗每扇重量15kg-14扇.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顶水封更换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P50-5，SF6574,含损耗每扇重量30kg-14扇.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420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支承滑块垫板更换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厚度8*120，每扇8kg-14扇.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kg</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横梁、拉杆拆装</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宋体" w:hAnsi="宋体" w:eastAsia="宋体" w:cs="宋体"/>
                <w:i w:val="0"/>
                <w:iCs w:val="0"/>
                <w:color w:val="auto"/>
                <w:kern w:val="0"/>
                <w:sz w:val="21"/>
                <w:szCs w:val="21"/>
                <w:highlight w:val="none"/>
                <w:u w:val="none"/>
                <w:lang w:val="en-US" w:eastAsia="zh-CN"/>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节</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16*1220更换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A4-70材质，每扇62套-14扇.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868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双头螺栓 16*1200更换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A4-70材质，每扇108套-14扇.</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1512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侧挡滑块螺栓 20*1200更换</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每扇24套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336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止水橡皮拆装</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双面止水</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3号内江外江门楣门槽加焊钢板</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含不锈钢板材料、损耗及测量定位焊接</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脚手架搭设安全措施</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宋体" w:hAnsi="宋体" w:eastAsia="宋体" w:cs="宋体"/>
                <w:i w:val="0"/>
                <w:iCs w:val="0"/>
                <w:color w:val="auto"/>
                <w:kern w:val="0"/>
                <w:sz w:val="21"/>
                <w:szCs w:val="21"/>
                <w:highlight w:val="none"/>
                <w:u w:val="none"/>
                <w:lang w:val="en-US" w:eastAsia="zh-CN"/>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门楣与侧水封门槽接头不平处理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用灯光或其他方法检查橡胶水封的压缩程度，不应有透亮或间隙</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门槽与抓梁、拉杆之间安装尺寸检查、调整</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闸门升降过程无</w:t>
            </w:r>
            <w:r>
              <w:rPr>
                <w:rFonts w:hint="eastAsia" w:asciiTheme="minorEastAsia" w:hAnsiTheme="minorEastAsia" w:eastAsiaTheme="minorEastAsia" w:cstheme="minorEastAsia"/>
                <w:sz w:val="21"/>
                <w:szCs w:val="21"/>
                <w:highlight w:val="none"/>
                <w:lang w:eastAsia="zh-CN"/>
              </w:rPr>
              <w:t>明显震动和</w:t>
            </w:r>
            <w:r>
              <w:rPr>
                <w:rFonts w:hint="eastAsia" w:asciiTheme="minorEastAsia" w:hAnsiTheme="minorEastAsia" w:eastAsiaTheme="minorEastAsia" w:cstheme="minorEastAsia"/>
                <w:sz w:val="21"/>
                <w:szCs w:val="21"/>
                <w:highlight w:val="none"/>
              </w:rPr>
              <w:t>卡阻</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扇</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顶压块支座及横梁焊接及调整</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sz w:val="21"/>
                <w:szCs w:val="21"/>
                <w:highlight w:val="none"/>
              </w:rPr>
              <w:t>支</w:t>
            </w:r>
            <w:r>
              <w:rPr>
                <w:rFonts w:hint="eastAsia" w:asciiTheme="minorEastAsia" w:hAnsiTheme="minorEastAsia" w:eastAsiaTheme="minorEastAsia" w:cstheme="minorEastAsia"/>
                <w:sz w:val="21"/>
                <w:szCs w:val="21"/>
                <w:highlight w:val="none"/>
                <w:lang w:eastAsia="zh-CN"/>
              </w:rPr>
              <w:t>铰</w:t>
            </w:r>
            <w:r>
              <w:rPr>
                <w:rFonts w:hint="eastAsia" w:asciiTheme="minorEastAsia" w:hAnsiTheme="minorEastAsia" w:eastAsiaTheme="minorEastAsia" w:cstheme="minorEastAsia"/>
                <w:sz w:val="21"/>
                <w:szCs w:val="21"/>
                <w:highlight w:val="none"/>
              </w:rPr>
              <w:t>及</w:t>
            </w:r>
            <w:r>
              <w:rPr>
                <w:rFonts w:hint="eastAsia" w:asciiTheme="minorEastAsia" w:hAnsiTheme="minorEastAsia" w:eastAsiaTheme="minorEastAsia" w:cstheme="minorEastAsia"/>
                <w:sz w:val="21"/>
                <w:szCs w:val="21"/>
                <w:highlight w:val="none"/>
                <w:lang w:eastAsia="zh-CN"/>
              </w:rPr>
              <w:t>顶</w:t>
            </w:r>
            <w:r>
              <w:rPr>
                <w:rFonts w:hint="eastAsia" w:asciiTheme="minorEastAsia" w:hAnsiTheme="minorEastAsia" w:eastAsiaTheme="minorEastAsia" w:cstheme="minorEastAsia"/>
                <w:sz w:val="21"/>
                <w:szCs w:val="21"/>
                <w:highlight w:val="none"/>
              </w:rPr>
              <w:t>转动部位运行</w:t>
            </w:r>
            <w:r>
              <w:rPr>
                <w:rFonts w:hint="eastAsia" w:asciiTheme="minorEastAsia" w:hAnsiTheme="minorEastAsia" w:eastAsiaTheme="minorEastAsia" w:cstheme="minorEastAsia"/>
                <w:sz w:val="21"/>
                <w:szCs w:val="21"/>
                <w:highlight w:val="none"/>
                <w:lang w:eastAsia="zh-CN"/>
              </w:rPr>
              <w:t>正常</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金属结构局部分防腐处理</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油漆刮擦部位打磨油漆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hint="eastAsia"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20"/>
        <w:shd w:val="clear"/>
        <w:rPr>
          <w:rFonts w:hint="eastAsia" w:ascii="宋体" w:hAnsi="宋体"/>
          <w:b/>
          <w:color w:val="auto"/>
          <w:szCs w:val="28"/>
          <w:highlight w:val="none"/>
        </w:rPr>
      </w:pPr>
    </w:p>
    <w:p>
      <w:pPr>
        <w:pStyle w:val="16"/>
        <w:keepNext w:val="0"/>
        <w:keepLines w:val="0"/>
        <w:pageBreakBefore w:val="0"/>
        <w:widowControl w:val="0"/>
        <w:numPr>
          <w:ilvl w:val="0"/>
          <w:numId w:val="25"/>
        </w:numPr>
        <w:shd w:val="clear"/>
        <w:kinsoku/>
        <w:wordWrap/>
        <w:overflowPunct/>
        <w:topLinePunct w:val="0"/>
        <w:autoSpaceDE/>
        <w:autoSpaceDN/>
        <w:bidi w:val="0"/>
        <w:adjustRightInd/>
        <w:snapToGrid w:val="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南台头枢纽一次性项目</w:t>
      </w:r>
    </w:p>
    <w:p>
      <w:pPr>
        <w:pStyle w:val="12"/>
        <w:shd w:val="clear"/>
        <w:rPr>
          <w:rFonts w:hint="eastAsia" w:ascii="宋体" w:hAnsi="宋体" w:eastAsia="宋体" w:cs="宋体"/>
          <w:color w:val="auto"/>
          <w:sz w:val="21"/>
          <w:szCs w:val="21"/>
          <w:highlight w:val="none"/>
          <w:lang w:val="en-US" w:eastAsia="zh-CN"/>
        </w:rPr>
      </w:pPr>
    </w:p>
    <w:p>
      <w:pPr>
        <w:pStyle w:val="12"/>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1、南台头闸内河侧闸门防腐及止水装置更换项目</w:t>
      </w:r>
    </w:p>
    <w:tbl>
      <w:tblPr>
        <w:tblStyle w:val="35"/>
        <w:tblW w:w="9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7"/>
        <w:gridCol w:w="2168"/>
        <w:gridCol w:w="3173"/>
        <w:gridCol w:w="105"/>
        <w:gridCol w:w="795"/>
        <w:gridCol w:w="22"/>
        <w:gridCol w:w="958"/>
        <w:gridCol w:w="830"/>
        <w:gridCol w:w="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编号</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项目名称</w:t>
            </w:r>
          </w:p>
        </w:tc>
        <w:tc>
          <w:tcPr>
            <w:tcW w:w="32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项目主要特征</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计量单位</w:t>
            </w:r>
          </w:p>
        </w:tc>
        <w:tc>
          <w:tcPr>
            <w:tcW w:w="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数量</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综合单价（元）</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b/>
                <w:bCs/>
                <w:i w:val="0"/>
                <w:iCs w:val="0"/>
                <w:color w:val="auto"/>
                <w:kern w:val="0"/>
                <w:sz w:val="21"/>
                <w:szCs w:val="21"/>
                <w:highlight w:val="none"/>
                <w:u w:val="none"/>
                <w:lang w:val="en-US" w:eastAsia="zh-CN"/>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c>
          <w:tcPr>
            <w:tcW w:w="72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内河侧闸门防腐（含阴级保护）</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表面处理</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包含内河侧4扇闸门、前后孔拉杆16根、</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搁门装置</w:t>
            </w:r>
            <w:r>
              <w:rPr>
                <w:rFonts w:hint="eastAsia" w:asciiTheme="minorEastAsia" w:hAnsiTheme="minorEastAsia" w:eastAsiaTheme="minorEastAsia" w:cstheme="minorEastAsia"/>
                <w:b w:val="0"/>
                <w:bCs w:val="0"/>
                <w:i w:val="0"/>
                <w:color w:val="auto"/>
                <w:kern w:val="0"/>
                <w:sz w:val="21"/>
                <w:szCs w:val="21"/>
                <w:highlight w:val="none"/>
                <w:u w:val="none"/>
                <w:lang w:val="en" w:eastAsia="zh-CN" w:bidi="ar"/>
              </w:rPr>
              <w:t>16</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组、检修梁8块</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扇</w:t>
            </w:r>
          </w:p>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center"/>
              <w:textAlignment w:val="bottom"/>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1.2</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内河侧门叶结构</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tabs>
                <w:tab w:val="left" w:pos="837"/>
              </w:tabs>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内河侧4扇闸门</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1137.04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1.3</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内河侧水封压板</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内河侧4扇闸门</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27.12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1.4</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前后闸拉杆和搁门装置</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sz w:val="21"/>
                <w:szCs w:val="21"/>
                <w:highlight w:val="none"/>
                <w:u w:val="none"/>
                <w:lang w:eastAsia="zh-CN"/>
              </w:rPr>
              <w:t>含</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前后孔拉杆16根、</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搁门装置</w:t>
            </w:r>
            <w:r>
              <w:rPr>
                <w:rFonts w:hint="eastAsia" w:asciiTheme="minorEastAsia" w:hAnsiTheme="minorEastAsia" w:eastAsiaTheme="minorEastAsia" w:cstheme="minorEastAsia"/>
                <w:b w:val="0"/>
                <w:bCs w:val="0"/>
                <w:i w:val="0"/>
                <w:color w:val="auto"/>
                <w:kern w:val="0"/>
                <w:sz w:val="21"/>
                <w:szCs w:val="21"/>
                <w:highlight w:val="none"/>
                <w:u w:val="none"/>
                <w:lang w:val="en" w:eastAsia="zh-CN" w:bidi="ar"/>
              </w:rPr>
              <w:t>16</w:t>
            </w: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220.16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1.5</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闸门检修梁部分</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含检修梁8块</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30.4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1.6</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内河侧闸门阳极锌块更换</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更换每扇闸门含铝锌铟合金阳极（AT-1）28支,四扇总计112支，包含拆卸、更换、焊接及辅材使用等完整工序。</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支</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112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sz w:val="21"/>
                <w:szCs w:val="21"/>
                <w:highlight w:val="none"/>
                <w:lang w:val="en-US" w:eastAsia="zh-CN"/>
              </w:rPr>
              <w:t>2</w:t>
            </w:r>
          </w:p>
        </w:tc>
        <w:tc>
          <w:tcPr>
            <w:tcW w:w="72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both"/>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sz w:val="21"/>
                <w:szCs w:val="21"/>
                <w:highlight w:val="none"/>
              </w:rPr>
              <w:t>内河侧</w:t>
            </w:r>
            <w:r>
              <w:rPr>
                <w:rFonts w:hint="eastAsia" w:asciiTheme="minorEastAsia" w:hAnsiTheme="minorEastAsia" w:eastAsiaTheme="minorEastAsia" w:cstheme="minorEastAsia"/>
                <w:b w:val="0"/>
                <w:bCs w:val="0"/>
                <w:sz w:val="21"/>
                <w:szCs w:val="21"/>
                <w:highlight w:val="none"/>
                <w:lang w:eastAsia="zh-CN"/>
              </w:rPr>
              <w:t>闸门</w:t>
            </w:r>
            <w:r>
              <w:rPr>
                <w:rFonts w:hint="eastAsia" w:asciiTheme="minorEastAsia" w:hAnsiTheme="minorEastAsia" w:eastAsiaTheme="minorEastAsia" w:cstheme="minorEastAsia"/>
                <w:b w:val="0"/>
                <w:bCs w:val="0"/>
                <w:sz w:val="21"/>
                <w:szCs w:val="21"/>
                <w:highlight w:val="none"/>
              </w:rPr>
              <w:t>止水装置更换</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侧止水（Ⅰ）</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50*125*16*4700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2.2</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侧水封垫板（Ⅰ）</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2.3</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侧水封垫板（Ⅱ）</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2.4</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侧止水（Ⅱ）</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50*125*16*4300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2.5</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侧底止水（1）</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16*50*112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2.6</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侧底止水（2）</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16*112*1500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2.7</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侧底止水（3）</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14*50*112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2.8</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底止水</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16*112*8150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2.9</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顶止水垫板</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异形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条</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2.10</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顶止水</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50*125*16*4300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2.11</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转角止水</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Style w:val="115"/>
                <w:rFonts w:hint="eastAsia" w:asciiTheme="minorEastAsia" w:hAnsiTheme="minorEastAsia" w:eastAsiaTheme="minorEastAsia" w:cstheme="minorEastAsia"/>
                <w:b w:val="0"/>
                <w:bCs w:val="0"/>
                <w:sz w:val="21"/>
                <w:szCs w:val="21"/>
                <w:highlight w:val="none"/>
                <w:lang w:val="en-US" w:eastAsia="zh-CN" w:bidi="ar"/>
              </w:rPr>
              <w:t>φ</w:t>
            </w: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50*125*16 材料SF6574</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套</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2.12</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M16*90 Q235B镀锌</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700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2.13</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M16*115 Q235B镀锌</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2.14</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六角螺栓</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M16*70 Q235B镀锌</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208</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2.15</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六角螺母</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M16 Q235B镀锌</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个</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924</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w:t>
            </w:r>
          </w:p>
        </w:tc>
        <w:tc>
          <w:tcPr>
            <w:tcW w:w="72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内河侧闸门滑块更换</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3.1</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侧向滑块装配</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组合件，单重2.23kg（300X130X60，侧向滑块材料：MGD）</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件</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16</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3.2</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支承滑块装配</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组合件，单重5.8kg（630X140X56，支撑滑块材料：MGB）</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件</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 xml:space="preserve">48 </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4</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闸门拉杆、止水橡皮（装置）拆装及调试</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auto"/>
                <w:kern w:val="0"/>
                <w:sz w:val="21"/>
                <w:szCs w:val="21"/>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1"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5</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防尘防护措施</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应有防护措施，防止如除锈、喷漆产生的尘雾对闸门启闭机、电气设备、视频设备等污染、损害。</w:t>
            </w: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auto"/>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6</w:t>
            </w:r>
          </w:p>
        </w:tc>
        <w:tc>
          <w:tcPr>
            <w:tcW w:w="2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31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92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2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合计（小写）</w:t>
            </w:r>
          </w:p>
        </w:tc>
        <w:tc>
          <w:tcPr>
            <w:tcW w:w="66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29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auto"/>
                <w:kern w:val="0"/>
                <w:sz w:val="21"/>
                <w:szCs w:val="21"/>
                <w:highlight w:val="none"/>
                <w:u w:val="none"/>
                <w:lang w:val="en-US" w:eastAsia="zh-CN"/>
              </w:rPr>
              <w:t>合计（大写）</w:t>
            </w:r>
          </w:p>
        </w:tc>
        <w:tc>
          <w:tcPr>
            <w:tcW w:w="66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auto"/>
                <w:kern w:val="0"/>
                <w:sz w:val="21"/>
                <w:szCs w:val="21"/>
                <w:highlight w:val="none"/>
                <w:u w:val="none"/>
                <w:lang w:val="en-US" w:eastAsia="zh-CN"/>
              </w:rPr>
            </w:pPr>
          </w:p>
        </w:tc>
      </w:tr>
    </w:tbl>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shd w:val="clear"/>
        <w:snapToGrid w:val="0"/>
        <w:spacing w:before="50" w:after="50"/>
        <w:ind w:right="-817" w:rightChars="-389"/>
        <w:outlineLvl w:val="1"/>
        <w:rPr>
          <w:rFonts w:hint="eastAsia" w:ascii="宋体" w:hAnsi="宋体"/>
          <w:b/>
          <w:color w:val="auto"/>
          <w:szCs w:val="28"/>
          <w:highlight w:val="none"/>
        </w:rPr>
      </w:pPr>
    </w:p>
    <w:p>
      <w:pPr>
        <w:pStyle w:val="12"/>
        <w:shd w:val="clea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2、泵站门机、油缸及起重设备金属防腐项目</w:t>
      </w: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轨道防腐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除锈，打磨，清理，轨道防腐底漆一遍，面漆一遍，螺帽加涂黄油和保护套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米</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QM2*160KN检修门机防腐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额定起重32t 起升速度3.5m/min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起升高度20m 跨度2.8m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大车运行速度2-20m/min </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QMS2*100KN清污机防腐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起升速度0.8-8m/min起升高度12.5m 轮距7.5m轨距3.65m清污宽度7m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大车运行速度2-20m/min </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QMS1*320KN/100KN 双向门机防腐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额定起重32t 起升速度1.88m/min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起升高度25m 跨度9.5m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 xml:space="preserve">大车运行速度1.9-19m/min </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挡沙闸 QT2*500KN移动启闭机防</w:t>
            </w: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腐(含吊钩及连接件）</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启闭力2x50吨 起升速度1.83m/min</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起升高度11m 吊点中心距6.63m</w:t>
            </w:r>
          </w:p>
          <w:p>
            <w:pPr>
              <w:keepNext w:val="0"/>
              <w:keepLines w:val="0"/>
              <w:widowControl/>
              <w:suppressLineNumbers w:val="0"/>
              <w:shd w:val="clear"/>
              <w:spacing w:before="0" w:beforeAutospacing="0" w:after="0" w:afterAutospacing="0" w:line="360" w:lineRule="auto"/>
              <w:ind w:left="0" w:right="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eastAsia="zh-CN" w:bidi="ar"/>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行走速度1-10m/min行走距高5m</w:t>
            </w:r>
          </w:p>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轨距9m 基距1.8m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QT2*500KN移动启闭机抓梁防腐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抓梁单位尺寸13</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w:t>
            </w:r>
            <w:r>
              <w:rPr>
                <w:rFonts w:hint="eastAsia" w:asciiTheme="minorEastAsia" w:hAnsiTheme="minorEastAsia" w:eastAsiaTheme="minorEastAsia" w:cstheme="minorEastAsia"/>
                <w:i w:val="0"/>
                <w:iCs w:val="0"/>
                <w:color w:val="000000"/>
                <w:kern w:val="0"/>
                <w:sz w:val="21"/>
                <w:szCs w:val="21"/>
                <w:highlight w:val="none"/>
                <w:u w:val="none"/>
                <w:lang w:eastAsia="zh-CN" w:bidi="ar"/>
              </w:rPr>
              <w:t>85mx</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w:t>
            </w:r>
            <w:r>
              <w:rPr>
                <w:rFonts w:hint="eastAsia" w:asciiTheme="minorEastAsia" w:hAnsiTheme="minorEastAsia" w:eastAsiaTheme="minorEastAsia" w:cstheme="minorEastAsia"/>
                <w:i w:val="0"/>
                <w:iCs w:val="0"/>
                <w:color w:val="000000"/>
                <w:kern w:val="0"/>
                <w:sz w:val="21"/>
                <w:szCs w:val="21"/>
                <w:highlight w:val="none"/>
                <w:u w:val="none"/>
                <w:lang w:eastAsia="zh-CN" w:bidi="ar"/>
              </w:rPr>
              <w:t>74</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eastAsia="zh-CN" w:bidi="ar"/>
              </w:rPr>
              <w:t>x</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w:t>
            </w:r>
            <w:r>
              <w:rPr>
                <w:rFonts w:hint="eastAsia" w:asciiTheme="minorEastAsia" w:hAnsiTheme="minorEastAsia" w:eastAsiaTheme="minorEastAsia" w:cstheme="minorEastAsia"/>
                <w:i w:val="0"/>
                <w:iCs w:val="0"/>
                <w:color w:val="000000"/>
                <w:kern w:val="0"/>
                <w:sz w:val="21"/>
                <w:szCs w:val="21"/>
                <w:highlight w:val="none"/>
                <w:u w:val="none"/>
                <w:lang w:eastAsia="zh-CN" w:bidi="ar"/>
              </w:rPr>
              <w:t>85</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液压启闭机油缸及室外液压管道防腐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单套油缸包含油缸、底座约2.3mX0.8mX0.45m、连接油管约26m，其中启闭机油缸内径0.28m，活塞行程6.2m。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盐平闸零星金属结构防腐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主要是</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液压启闭机油缸、液压油管等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金属构件的防腐处理。距离南台头闸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0.3</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武通南闸零星金属结构防腐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eastAsia="zh-CN" w:bidi="ar"/>
              </w:rPr>
              <w:t>主要是</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液压启闭机油缸、液压油管等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金属构件的反腐处理。距离南台头闸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愣子港闸零星金属结构防腐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包括行程支撑杆4根（单根尺寸4.5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X0.15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X0.23</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）、楼梯面积约88平方米等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cs="宋体"/>
                <w:i w:val="0"/>
                <w:iCs w:val="0"/>
                <w:color w:val="auto"/>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和尚浜闸零星金属结构防腐</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包括行程支撑杆4根（单根尺寸4.5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X0.15</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X0.23</w:t>
            </w:r>
            <w:r>
              <w:rPr>
                <w:rFonts w:hint="eastAsia" w:asciiTheme="minorEastAsia" w:hAnsiTheme="minorEastAsia" w:eastAsiaTheme="minorEastAsia" w:cstheme="minorEastAsia"/>
                <w:i w:val="0"/>
                <w:iCs w:val="0"/>
                <w:color w:val="000000"/>
                <w:kern w:val="0"/>
                <w:sz w:val="21"/>
                <w:szCs w:val="21"/>
                <w:highlight w:val="none"/>
                <w:u w:val="none"/>
                <w:lang w:val="en" w:eastAsia="zh-CN" w:bidi="ar"/>
              </w:rPr>
              <w:t>m</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）、楼梯约66平方米等</w:t>
            </w:r>
            <w:r>
              <w:rPr>
                <w:rFonts w:hint="eastAsia" w:asciiTheme="minorEastAsia" w:hAnsiTheme="minorEastAsia" w:eastAsiaTheme="minorEastAsia" w:cstheme="minorEastAsia"/>
                <w:i w:val="0"/>
                <w:iCs w:val="0"/>
                <w:color w:val="000000"/>
                <w:kern w:val="0"/>
                <w:sz w:val="21"/>
                <w:szCs w:val="21"/>
                <w:highlight w:val="none"/>
                <w:u w:val="none"/>
                <w:lang w:eastAsia="zh-CN" w:bidi="ar"/>
              </w:rPr>
              <w:t>。距离南台头闸</w:t>
            </w: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3.8</w:t>
            </w:r>
            <w:r>
              <w:rPr>
                <w:rFonts w:hint="eastAsia" w:asciiTheme="minorEastAsia" w:hAnsiTheme="minorEastAsia" w:eastAsiaTheme="minorEastAsia" w:cstheme="minorEastAsia"/>
                <w:i w:val="0"/>
                <w:iCs w:val="0"/>
                <w:color w:val="000000"/>
                <w:kern w:val="0"/>
                <w:sz w:val="21"/>
                <w:szCs w:val="21"/>
                <w:highlight w:val="none"/>
                <w:u w:val="none"/>
                <w:lang w:eastAsia="zh-CN" w:bidi="ar"/>
              </w:rPr>
              <w:t>公里</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top"/>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防尘防护措施</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top"/>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rPr>
              <w:t>应有防护措施，防止如除锈、喷漆产生的尘雾对闸门启闭机、电气设备、视频设备等污染、损害。提交35KV主变安全施工隔离方案。</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bottom"/>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13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000000"/>
                <w:sz w:val="21"/>
                <w:szCs w:val="21"/>
                <w:highlight w:val="none"/>
                <w:u w:val="none"/>
                <w:lang w:eastAsia="zh-CN"/>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Theme="minorEastAsia" w:hAnsiTheme="minorEastAsia" w:eastAsiaTheme="minorEastAsia" w:cstheme="minorEastAsia"/>
                <w:i w:val="0"/>
                <w:iCs w:val="0"/>
                <w:color w:val="000000"/>
                <w:kern w:val="0"/>
                <w:sz w:val="21"/>
                <w:szCs w:val="21"/>
                <w:highlight w:val="none"/>
                <w:u w:val="none"/>
                <w:lang w:val="en-US" w:eastAsia="zh-CN" w:bidi="ar"/>
              </w:rPr>
            </w:pPr>
            <w:r>
              <w:rPr>
                <w:rFonts w:hint="eastAsia" w:asciiTheme="minorEastAsia" w:hAnsiTheme="minorEastAsia" w:eastAsiaTheme="minorEastAsia" w:cstheme="minorEastAsia"/>
                <w:b w:val="0"/>
                <w:bCs w:val="0"/>
                <w:i w:val="0"/>
                <w:iCs w:val="0"/>
                <w:color w:val="000000"/>
                <w:sz w:val="21"/>
                <w:szCs w:val="21"/>
                <w:highlight w:val="none"/>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hint="eastAsia"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shd w:val="clear"/>
        <w:snapToGrid w:val="0"/>
        <w:spacing w:before="50" w:after="50"/>
        <w:ind w:right="-817" w:rightChars="-389"/>
        <w:outlineLvl w:val="1"/>
        <w:rPr>
          <w:rFonts w:hint="eastAsia" w:ascii="宋体" w:hAnsi="宋体"/>
          <w:b/>
          <w:color w:val="auto"/>
          <w:szCs w:val="28"/>
          <w:highlight w:val="none"/>
        </w:rPr>
      </w:pPr>
    </w:p>
    <w:p>
      <w:pPr>
        <w:pStyle w:val="12"/>
        <w:shd w:val="clear"/>
        <w:rPr>
          <w:rFonts w:hint="eastAsia" w:ascii="宋体" w:hAnsi="宋体" w:cs="宋体"/>
          <w:color w:val="auto"/>
          <w:sz w:val="21"/>
          <w:szCs w:val="21"/>
          <w:highlight w:val="none"/>
          <w:lang w:val="en-US" w:eastAsia="zh-CN"/>
        </w:rPr>
      </w:pPr>
    </w:p>
    <w:p>
      <w:pPr>
        <w:pStyle w:val="12"/>
        <w:shd w:val="clear"/>
        <w:rPr>
          <w:rFonts w:hint="eastAsia" w:ascii="宋体" w:hAnsi="宋体" w:cs="宋体"/>
          <w:color w:val="auto"/>
          <w:sz w:val="21"/>
          <w:szCs w:val="21"/>
          <w:highlight w:val="none"/>
          <w:lang w:val="en-US" w:eastAsia="zh-CN"/>
        </w:rPr>
      </w:pPr>
    </w:p>
    <w:p>
      <w:pPr>
        <w:pStyle w:val="12"/>
        <w:shd w:val="clea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3、泵站工作（事故）闸门行程改造项目</w:t>
      </w:r>
    </w:p>
    <w:tbl>
      <w:tblPr>
        <w:tblStyle w:val="35"/>
        <w:tblW w:w="95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2250"/>
        <w:gridCol w:w="3164"/>
        <w:gridCol w:w="791"/>
        <w:gridCol w:w="975"/>
        <w:gridCol w:w="825"/>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编号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项目名称</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项目主要特征</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计量单位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rPr>
              <w:t>工程</w:t>
            </w:r>
          </w:p>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综合单价（元）</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b/>
                <w:bCs/>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不锈钢标尺</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材质应符合国家相关标准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米</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96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不锈钢箭头指针</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长15cmX宽10cm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不锈扁管</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Theme="minorEastAsia" w:hAnsiTheme="minorEastAsia" w:eastAsiaTheme="minorEastAsia" w:cstheme="minorEastAsia"/>
                <w:b w:val="0"/>
                <w:bCs w:val="0"/>
                <w:i w:val="0"/>
                <w:iCs w:val="0"/>
                <w:color w:val="auto"/>
                <w:kern w:val="2"/>
                <w:sz w:val="21"/>
                <w:szCs w:val="21"/>
                <w:highlight w:val="none"/>
                <w:u w:val="none"/>
                <w:lang w:val="en-US" w:eastAsia="zh-CN" w:bidi="ar-SA"/>
              </w:rPr>
              <w:t>宽8cmX厚2cm</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米</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112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不锈钢抱箍</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64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安装</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含安装一切耗材，安装需牢固，安装完成后不影响闸门正常启闭</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val="0"/>
                <w:i w:val="0"/>
                <w:color w:val="000000"/>
                <w:kern w:val="0"/>
                <w:sz w:val="21"/>
                <w:szCs w:val="21"/>
                <w:highlight w:val="none"/>
                <w:u w:val="none"/>
                <w:lang w:val="en-US" w:eastAsia="zh-CN" w:bidi="ar"/>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b w:val="0"/>
                <w:bCs w:val="0"/>
                <w:i w:val="0"/>
                <w:iCs w:val="0"/>
                <w:color w:val="000000"/>
                <w:kern w:val="0"/>
                <w:sz w:val="21"/>
                <w:szCs w:val="21"/>
                <w:highlight w:val="none"/>
                <w:u w:val="none"/>
                <w:lang w:val="en-US" w:eastAsia="zh-CN" w:bidi="ar"/>
              </w:rPr>
              <w:t>施工安全措施</w:t>
            </w:r>
          </w:p>
        </w:tc>
        <w:tc>
          <w:tcPr>
            <w:tcW w:w="31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rightChars="0"/>
              <w:jc w:val="left"/>
              <w:rPr>
                <w:rFonts w:hint="eastAsia" w:ascii="宋体" w:hAnsi="宋体" w:eastAsia="宋体" w:cs="宋体"/>
                <w:i w:val="0"/>
                <w:iCs w:val="0"/>
                <w:color w:val="auto"/>
                <w:sz w:val="21"/>
                <w:szCs w:val="21"/>
                <w:highlight w:val="none"/>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项</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1"/>
                <w:szCs w:val="21"/>
                <w:highlight w:val="none"/>
                <w:u w:val="none"/>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合计（小写）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29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合计（大写）</w:t>
            </w:r>
          </w:p>
        </w:tc>
        <w:tc>
          <w:tcPr>
            <w:tcW w:w="6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p>
        </w:tc>
      </w:tr>
    </w:tbl>
    <w:p>
      <w:pPr>
        <w:shd w:val="clear"/>
        <w:spacing w:line="360" w:lineRule="auto"/>
        <w:jc w:val="right"/>
        <w:rPr>
          <w:rFonts w:hint="eastAsia"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法定代表人或被授权人签字（或签章）：</w:t>
      </w:r>
    </w:p>
    <w:p>
      <w:pPr>
        <w:shd w:val="clear"/>
        <w:spacing w:line="360" w:lineRule="auto"/>
        <w:jc w:val="right"/>
        <w:rPr>
          <w:rFonts w:ascii="宋体" w:hAnsi="宋体"/>
          <w:color w:val="auto"/>
          <w:spacing w:val="20"/>
          <w:sz w:val="23"/>
          <w:szCs w:val="23"/>
          <w:highlight w:val="none"/>
        </w:rPr>
      </w:pPr>
    </w:p>
    <w:p>
      <w:pPr>
        <w:shd w:val="clear"/>
        <w:spacing w:line="360" w:lineRule="auto"/>
        <w:jc w:val="right"/>
        <w:rPr>
          <w:rFonts w:ascii="宋体" w:hAnsi="宋体"/>
          <w:color w:val="auto"/>
          <w:spacing w:val="20"/>
          <w:sz w:val="23"/>
          <w:szCs w:val="23"/>
          <w:highlight w:val="none"/>
        </w:rPr>
      </w:pPr>
      <w:r>
        <w:rPr>
          <w:rFonts w:hint="eastAsia" w:ascii="宋体" w:hAnsi="宋体"/>
          <w:color w:val="auto"/>
          <w:spacing w:val="20"/>
          <w:sz w:val="23"/>
          <w:szCs w:val="23"/>
          <w:highlight w:val="none"/>
        </w:rPr>
        <w:t>供应商名称（盖章）：</w:t>
      </w:r>
    </w:p>
    <w:p>
      <w:pPr>
        <w:shd w:val="clear"/>
        <w:snapToGrid w:val="0"/>
        <w:spacing w:before="50" w:after="50"/>
        <w:ind w:right="-817" w:rightChars="-389"/>
        <w:outlineLvl w:val="1"/>
        <w:rPr>
          <w:rFonts w:hint="eastAsia" w:ascii="宋体" w:hAnsi="宋体"/>
          <w:b/>
          <w:color w:val="auto"/>
          <w:szCs w:val="28"/>
          <w:highlight w:val="none"/>
        </w:rPr>
      </w:pPr>
    </w:p>
    <w:p>
      <w:pPr>
        <w:shd w:val="clear"/>
        <w:snapToGrid w:val="0"/>
        <w:spacing w:before="50" w:after="50"/>
        <w:ind w:right="-817" w:rightChars="-389"/>
        <w:outlineLvl w:val="1"/>
        <w:rPr>
          <w:rFonts w:hint="eastAsia" w:ascii="宋体" w:hAnsi="宋体"/>
          <w:b/>
          <w:color w:val="auto"/>
          <w:szCs w:val="28"/>
          <w:highlight w:val="none"/>
        </w:rPr>
      </w:pPr>
    </w:p>
    <w:p>
      <w:pPr>
        <w:shd w:val="clear"/>
        <w:snapToGrid w:val="0"/>
        <w:spacing w:before="50" w:after="50"/>
        <w:ind w:right="-817" w:rightChars="-389"/>
        <w:outlineLvl w:val="1"/>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pStyle w:val="2"/>
        <w:shd w:val="clear"/>
        <w:rPr>
          <w:rFonts w:hint="eastAsia" w:ascii="宋体" w:hAnsi="宋体"/>
          <w:b/>
          <w:color w:val="auto"/>
          <w:szCs w:val="28"/>
          <w:highlight w:val="none"/>
        </w:rPr>
      </w:pPr>
    </w:p>
    <w:p>
      <w:pPr>
        <w:shd w:val="clear"/>
        <w:snapToGrid w:val="0"/>
        <w:spacing w:before="50" w:after="50"/>
        <w:ind w:right="-817" w:rightChars="-389"/>
        <w:outlineLvl w:val="1"/>
        <w:rPr>
          <w:b/>
          <w:color w:val="auto"/>
          <w:szCs w:val="28"/>
          <w:highlight w:val="none"/>
        </w:rPr>
      </w:pPr>
      <w:r>
        <w:rPr>
          <w:rFonts w:hint="eastAsia" w:ascii="宋体" w:hAnsi="宋体"/>
          <w:b/>
          <w:color w:val="auto"/>
          <w:szCs w:val="28"/>
          <w:highlight w:val="none"/>
        </w:rPr>
        <w:t>附：供应</w:t>
      </w:r>
      <w:r>
        <w:rPr>
          <w:rFonts w:hint="eastAsia"/>
          <w:b/>
          <w:color w:val="auto"/>
          <w:szCs w:val="28"/>
          <w:highlight w:val="none"/>
        </w:rPr>
        <w:t>商注册流程</w:t>
      </w:r>
      <w:bookmarkEnd w:id="211"/>
      <w:bookmarkEnd w:id="212"/>
      <w:bookmarkEnd w:id="213"/>
      <w:bookmarkEnd w:id="214"/>
      <w:bookmarkEnd w:id="215"/>
      <w:bookmarkEnd w:id="216"/>
      <w:bookmarkEnd w:id="217"/>
      <w:bookmarkEnd w:id="218"/>
    </w:p>
    <w:p>
      <w:pPr>
        <w:shd w:val="clear"/>
        <w:rPr>
          <w:color w:val="auto"/>
          <w:highlight w:val="none"/>
        </w:rPr>
      </w:pPr>
      <w:r>
        <w:rPr>
          <w:rFonts w:hint="eastAsia" w:ascii="宋体" w:hAnsi="宋体"/>
          <w:color w:val="auto"/>
          <w:szCs w:val="28"/>
          <w:highlight w:val="none"/>
        </w:rPr>
        <w:t>进入浙江政府采购网</w:t>
      </w:r>
      <w:r>
        <w:rPr>
          <w:rFonts w:ascii="宋体" w:hAnsi="宋体" w:cs="Arial"/>
          <w:color w:val="auto"/>
          <w:szCs w:val="28"/>
          <w:highlight w:val="none"/>
        </w:rPr>
        <w:t>(</w:t>
      </w:r>
      <w:r>
        <w:rPr>
          <w:rFonts w:hint="eastAsia"/>
          <w:color w:val="auto"/>
          <w:highlight w:val="none"/>
        </w:rPr>
        <w:t>http://zfcg.czt.zj.gov.cn/</w:t>
      </w:r>
      <w:r>
        <w:rPr>
          <w:rFonts w:ascii="宋体" w:hAnsi="宋体" w:cs="Arial"/>
          <w:color w:val="auto"/>
          <w:szCs w:val="28"/>
          <w:highlight w:val="none"/>
        </w:rPr>
        <w:t>)</w:t>
      </w:r>
      <w:r>
        <w:rPr>
          <w:rFonts w:hint="eastAsia" w:ascii="宋体" w:hAnsi="宋体" w:cs="Arial"/>
          <w:color w:val="auto"/>
          <w:szCs w:val="28"/>
          <w:highlight w:val="none"/>
        </w:rPr>
        <w:t>→政府采购供应商注册→按下图提示进行。</w:t>
      </w:r>
      <w:r>
        <w:rPr>
          <w:rFonts w:hint="eastAsia" w:ascii="宋体" w:hAnsi="宋体"/>
          <w:color w:val="auto"/>
          <w:szCs w:val="28"/>
          <w:highlight w:val="none"/>
        </w:rPr>
        <w:t>（注册联系电话：</w:t>
      </w:r>
      <w:r>
        <w:rPr>
          <w:rFonts w:hint="eastAsia" w:ascii="宋体" w:hAnsi="宋体"/>
          <w:color w:val="auto"/>
          <w:szCs w:val="28"/>
          <w:highlight w:val="none"/>
          <w:lang w:val="en-US" w:eastAsia="zh-CN"/>
        </w:rPr>
        <w:t>95763</w:t>
      </w:r>
      <w:r>
        <w:rPr>
          <w:rFonts w:hint="eastAsia" w:ascii="宋体" w:hAnsi="宋体"/>
          <w:color w:val="auto"/>
          <w:szCs w:val="28"/>
          <w:highlight w:val="none"/>
        </w:rPr>
        <w:t>）</w:t>
      </w:r>
    </w:p>
    <w:p>
      <w:pPr>
        <w:shd w:val="clear"/>
        <w:rPr>
          <w:rFonts w:ascii="宋体" w:hAnsi="宋体" w:cs="Arial"/>
          <w:color w:val="auto"/>
          <w:szCs w:val="28"/>
          <w:highlight w:val="none"/>
        </w:rPr>
      </w:pPr>
      <w:r>
        <w:rPr>
          <w:color w:val="auto"/>
          <w:highlight w:val="none"/>
        </w:rPr>
        <w:drawing>
          <wp:inline distT="0" distB="0" distL="0" distR="0">
            <wp:extent cx="5404485" cy="7271385"/>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6" cstate="print"/>
                    <a:srcRect l="590" t="9550"/>
                    <a:stretch>
                      <a:fillRect/>
                    </a:stretch>
                  </pic:blipFill>
                  <pic:spPr>
                    <a:xfrm>
                      <a:off x="0" y="0"/>
                      <a:ext cx="5404485" cy="7271385"/>
                    </a:xfrm>
                    <a:prstGeom prst="rect">
                      <a:avLst/>
                    </a:prstGeom>
                    <a:ln>
                      <a:noFill/>
                    </a:ln>
                  </pic:spPr>
                </pic:pic>
              </a:graphicData>
            </a:graphic>
          </wp:inline>
        </w:drawing>
      </w:r>
    </w:p>
    <w:p>
      <w:pPr>
        <w:shd w:val="clear"/>
        <w:rPr>
          <w:rFonts w:ascii="宋体" w:hAnsi="宋体" w:cs="Arial"/>
          <w:color w:val="auto"/>
          <w:szCs w:val="28"/>
          <w:highlight w:val="none"/>
        </w:rPr>
      </w:pPr>
    </w:p>
    <w:bookmarkEnd w:id="219"/>
    <w:sectPr>
      <w:headerReference r:id="rId10" w:type="default"/>
      <w:footerReference r:id="rId11"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0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3000509000000000000"/>
    <w:charset w:val="88"/>
    <w:family w:val="script"/>
    <w:pitch w:val="default"/>
    <w:sig w:usb0="00000000" w:usb1="00000000" w:usb2="00000016" w:usb3="00000000" w:csb0="00100001" w:csb1="00000000"/>
  </w:font>
  <w:font w:name="隶书">
    <w:altName w:val="微软雅黑"/>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宋体-18030">
    <w:altName w:val="微软雅黑"/>
    <w:panose1 w:val="00000000000000000000"/>
    <w:charset w:val="86"/>
    <w:family w:val="auto"/>
    <w:pitch w:val="default"/>
    <w:sig w:usb0="00000000" w:usb1="00000000" w:usb2="00000010" w:usb3="00000000" w:csb0="00040000" w:csb1="00000000"/>
  </w:font>
  <w:font w:name="??">
    <w:altName w:val="Segoe Print"/>
    <w:panose1 w:val="00000000000000000000"/>
    <w:charset w:val="00"/>
    <w:family w:val="auto"/>
    <w:pitch w:val="default"/>
    <w:sig w:usb0="00000000" w:usb1="00000000" w:usb2="00000000" w:usb3="00000000" w:csb0="00000001" w:csb1="00000000"/>
  </w:font>
  <w:font w:name="Microsoft JhengHei Light">
    <w:panose1 w:val="020B0304030504040204"/>
    <w:charset w:val="88"/>
    <w:family w:val="auto"/>
    <w:pitch w:val="default"/>
    <w:sig w:usb0="8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rPr>
        <w:rFonts w:ascii="仿宋_GB2312" w:eastAsia="仿宋_GB2312"/>
        <w:sz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II</w:t>
                          </w:r>
                          <w: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lU1nRAQAAn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eeTsGEAfujxJiQaGd8dIVDLPVHisNvGhtmWl04iluXic51sPv9X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Y5VNZ0QEAAJ4DAAAOAAAAAAAAAAEAIAAAAB8BAABk&#10;cnMvZTJvRG9jLnhtbFBLBQYAAAAABgAGAFkBAABi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II</w:t>
                    </w:r>
                    <w:r>
                      <w:fldChar w:fldCharType="end"/>
                    </w:r>
                  </w:p>
                </w:txbxContent>
              </v:textbox>
            </v:rect>
          </w:pict>
        </mc:Fallback>
      </mc:AlternateContent>
    </w:r>
  </w:p>
  <w:p>
    <w:pPr>
      <w:pStyle w:val="22"/>
      <w:ind w:right="360"/>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46"/>
      </w:rPr>
    </w:pPr>
    <w:r>
      <w:fldChar w:fldCharType="begin"/>
    </w:r>
    <w:r>
      <w:rPr>
        <w:rStyle w:val="46"/>
      </w:rPr>
      <w:instrText xml:space="preserve">PAGE  </w:instrText>
    </w:r>
    <w:r>
      <w:fldChar w:fldCharType="end"/>
    </w:r>
  </w:p>
  <w:p>
    <w:pPr>
      <w:pStyle w:val="22"/>
      <w:ind w:right="360"/>
    </w:pPr>
    <w:r>
      <mc:AlternateContent>
        <mc:Choice Requires="wps">
          <w:drawing>
            <wp:anchor distT="0" distB="0" distL="0" distR="0" simplePos="0" relativeHeight="251659264" behindDoc="0" locked="0" layoutInCell="1" allowOverlap="1">
              <wp:simplePos x="0" y="0"/>
              <wp:positionH relativeFrom="column">
                <wp:posOffset>2533015</wp:posOffset>
              </wp:positionH>
              <wp:positionV relativeFrom="paragraph">
                <wp:posOffset>175895</wp:posOffset>
              </wp:positionV>
              <wp:extent cx="5678805" cy="6350"/>
              <wp:effectExtent l="0" t="4445" r="10795" b="8255"/>
              <wp:wrapNone/>
              <wp:docPr id="4097" name="4097"/>
              <wp:cNvGraphicFramePr/>
              <a:graphic xmlns:a="http://schemas.openxmlformats.org/drawingml/2006/main">
                <a:graphicData uri="http://schemas.microsoft.com/office/word/2010/wordprocessingShape">
                  <wps:wsp>
                    <wps:cNvCnPr/>
                    <wps:spPr>
                      <a:xfrm>
                        <a:off x="0" y="0"/>
                        <a:ext cx="5678805" cy="6350"/>
                      </a:xfrm>
                      <a:prstGeom prst="line">
                        <a:avLst/>
                      </a:prstGeom>
                      <a:ln w="9525" cap="flat" cmpd="sng">
                        <a:solidFill>
                          <a:srgbClr val="000000"/>
                        </a:solidFill>
                        <a:prstDash val="solid"/>
                        <a:round/>
                      </a:ln>
                    </wps:spPr>
                    <wps:bodyPr/>
                  </wps:wsp>
                </a:graphicData>
              </a:graphic>
            </wp:anchor>
          </w:drawing>
        </mc:Choice>
        <mc:Fallback>
          <w:pict>
            <v:line id="4097" o:spid="_x0000_s1026" o:spt="20" style="position:absolute;left:0pt;margin-left:199.45pt;margin-top:13.85pt;height:0.5pt;width:447.15pt;z-index:251659264;mso-width-relative:page;mso-height-relative:page;" filled="f" stroked="t" coordsize="21600,21600" o:gfxdata="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9o+69gAAAAKAQAADwAAAAAAAAABACAAAAAiAAAAZHJzL2Rvd25yZXYueG1sUEsB&#10;AhQAFAAAAAgAh07iQMuz7mq8AQAAhwMAAA4AAAAAAAAAAQAgAAAAJwEAAGRycy9lMm9Eb2MueG1s&#10;UEsFBgAAAAAGAAYAWQEAAFUFA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I</w:t>
                          </w:r>
                          <w:r>
                            <w:fldChar w:fldCharType="end"/>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3PunTAQAAngMAAA4AAABkcnMvZTJvRG9jLnhtbK1TS27bMBDdF+gd&#10;CO5ryW5RO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V15dceaEpTc//fxx+vXn&#10;9Ps7e5sc6gNWdPA+3MGUIYVJ7tCCTV8Swobs6vHiqhoik7Q5Xy6Wy5IMl1Q7J4RTPF4PgPGD8pal&#10;oOZAz5bdFIdPGMej5yOpm3Fpdf5WGzNW006RaI7EUhSH7TCx3frmSCpp6Am88/CNs56evOaOJpwz&#10;89GRo2k6zgGcg+05EE7SxZpHzvYB9K7Lk5RoYLjZR6KSeabGY7eJDz1bVjqNWJqLf/N86vG3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3PunTAQAAngMAAA4AAAAAAAAAAQAgAAAAHwEA&#10;AGRycy9lMm9Eb2MueG1sUEsFBgAAAAAGAAYAWQEAAGQ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I</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rPr>
        <w:rFonts w:ascii="仿宋_GB2312" w:eastAsia="仿宋_GB2312"/>
        <w:sz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29</w:t>
                          </w:r>
                          <w:r>
                            <w:fldChar w:fldCharType="end"/>
                          </w: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JQKXDXQAQAAngMAAA4AAAAAAAAAAQAgAAAAHwEAAGRy&#10;cy9lMm9Eb2MueG1sUEsFBgAAAAAGAAYAWQEAAGEFA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29</w:t>
                    </w:r>
                    <w:r>
                      <w:fldChar w:fldCharType="end"/>
                    </w:r>
                  </w:p>
                </w:txbxContent>
              </v:textbox>
            </v:rect>
          </w:pict>
        </mc:Fallback>
      </mc:AlternateContent>
    </w:r>
  </w:p>
  <w:p>
    <w:pPr>
      <w:pStyle w:val="22"/>
      <w:ind w:right="360"/>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40</w:t>
                          </w:r>
                          <w:r>
                            <w:fldChar w:fldCharType="end"/>
                          </w:r>
                        </w:p>
                      </w:txbxContent>
                    </wps:txbx>
                    <wps:bodyPr vert="horz" wrap="none" lIns="0" tIns="0" rIns="0" bIns="0" anchor="t"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CivQhe0QEAAJ8DAAAOAAAAAAAAAAEAIAAAAB8BAABk&#10;cnMvZTJvRG9jLnhtbFBLBQYAAAAABgAGAFkBAABiBQ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2"/>
                          </w:pPr>
                          <w:r>
                            <w:fldChar w:fldCharType="begin"/>
                          </w:r>
                          <w:r>
                            <w:instrText xml:space="preserve"> PAGE  \* MERGEFORMAT </w:instrText>
                          </w:r>
                          <w:r>
                            <w:fldChar w:fldCharType="separate"/>
                          </w:r>
                          <w:r>
                            <w:t>47</w:t>
                          </w:r>
                          <w:r>
                            <w:fldChar w:fldCharType="end"/>
                          </w:r>
                        </w:p>
                      </w:txbxContent>
                    </wps:txbx>
                    <wps:bodyPr vert="horz" wrap="none" lIns="0" tIns="0" rIns="0" bIns="0" anchor="t" upright="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s/2MbNIBAACfAwAADgAAAAAAAAABACAAAAAfAQAA&#10;ZHJzL2Uyb0RvYy54bWxQSwUGAAAAAAYABgBZAQAAYwUAAAAA&#10;">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47</w:t>
                    </w:r>
                    <w:r>
                      <w:fldChar w:fldCharType="end"/>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103" name="4103"/>
              <wp:cNvGraphicFramePr/>
              <a:graphic xmlns:a="http://schemas.openxmlformats.org/drawingml/2006/main">
                <a:graphicData uri="http://schemas.microsoft.com/office/word/2010/wordprocessingShape">
                  <wps:wsp>
                    <wps:cNvSpPr/>
                    <wps:spPr>
                      <a:xfrm>
                        <a:off x="0" y="0"/>
                        <a:ext cx="114934" cy="131445"/>
                      </a:xfrm>
                      <a:prstGeom prst="rect">
                        <a:avLst/>
                      </a:prstGeom>
                      <a:ln>
                        <a:noFill/>
                      </a:ln>
                    </wps:spPr>
                    <wps:txbx>
                      <w:txbxContent>
                        <w:p>
                          <w:pPr>
                            <w:pStyle w:val="22"/>
                          </w:pPr>
                        </w:p>
                      </w:txbxContent>
                    </wps:txbx>
                    <wps:bodyPr vert="horz" wrap="none" lIns="0" tIns="0" rIns="0" bIns="0" anchor="t" upright="1">
                      <a:spAutoFit/>
                    </wps:bodyPr>
                  </wps:wsp>
                </a:graphicData>
              </a:graphic>
            </wp:anchor>
          </w:drawing>
        </mc:Choice>
        <mc:Fallback>
          <w:pict>
            <v:rect id="4103" o:spid="_x0000_s1026" o:spt="1"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S/0sLQAAAAAwEAAA8AAAAAAAAAAQAgAAAAIgAAAGRycy9kb3ducmV2LnhtbFBLAQIU&#10;ABQAAAAIAIdO4kB6V+M+wgEAAJUDAAAOAAAAAAAAAAEAIAAAAB8BAABkcnMvZTJvRG9jLnhtbFBL&#10;BQYAAAAABgAGAFkBAABTBQAAAAA=&#10;">
              <v:fill on="f" focussize="0,0"/>
              <v:stroke on="f"/>
              <v:imagedata o:title=""/>
              <o:lock v:ext="edit" aspectratio="f"/>
              <v:textbox inset="0mm,0mm,0mm,0mm" style="mso-fit-shape-to-text:t;">
                <w:txbxContent>
                  <w:p>
                    <w:pPr>
                      <w:pStyle w:val="22"/>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ascii="宋体" w:hAnsi="宋体" w:cs="宋体"/>
        <w:szCs w:val="21"/>
      </w:rPr>
    </w:pPr>
    <w:r>
      <w:rPr>
        <w:rFonts w:hint="eastAsia" w:ascii="宋体" w:hAnsi="宋体" w:cs="宋体"/>
        <w:sz w:val="18"/>
        <w:szCs w:val="18"/>
        <w:lang w:eastAsia="zh-CN"/>
      </w:rPr>
      <w:t>2024年南排工程河道堤防维修及一次性项目</w:t>
    </w:r>
    <w:r>
      <w:rPr>
        <w:rFonts w:hint="eastAsia" w:ascii="宋体" w:hAnsi="宋体" w:cs="宋体"/>
        <w:sz w:val="18"/>
        <w:szCs w:val="18"/>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18"/>
        <w:szCs w:val="18"/>
      </w:rPr>
    </w:pPr>
    <w:r>
      <w:rPr>
        <w:rFonts w:hint="eastAsia" w:ascii="仿宋_GB2312" w:hAnsi="宋体"/>
        <w:sz w:val="18"/>
        <w:szCs w:val="18"/>
        <w:lang w:eastAsia="zh-CN"/>
      </w:rPr>
      <w:t>2024年南排工程河道堤防维修及一次性项目</w:t>
    </w:r>
    <w:r>
      <w:rPr>
        <w:rFonts w:hint="eastAsia" w:ascii="仿宋_GB2312" w:hAnsi="宋体"/>
        <w:sz w:val="18"/>
        <w:szCs w:val="18"/>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ascii="宋体"/>
      </w:rPr>
    </w:pPr>
    <w:r>
      <w:rPr>
        <w:rFonts w:hint="eastAsia" w:hAnsi="宋体" w:cs="仿宋_GB2312"/>
        <w:sz w:val="18"/>
        <w:szCs w:val="18"/>
        <w:lang w:val="zh-CN"/>
      </w:rPr>
      <w:t>2024年南排工程河道堤防维修及一次性项目</w:t>
    </w:r>
    <w:r>
      <w:rPr>
        <w:rFonts w:hint="eastAsia"/>
        <w:sz w:val="18"/>
        <w:szCs w:val="18"/>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40B0F"/>
    <w:multiLevelType w:val="singleLevel"/>
    <w:tmpl w:val="93040B0F"/>
    <w:lvl w:ilvl="0" w:tentative="0">
      <w:start w:val="1"/>
      <w:numFmt w:val="decimal"/>
      <w:suff w:val="nothing"/>
      <w:lvlText w:val="%1、"/>
      <w:lvlJc w:val="left"/>
    </w:lvl>
  </w:abstractNum>
  <w:abstractNum w:abstractNumId="1">
    <w:nsid w:val="AF4ED1FF"/>
    <w:multiLevelType w:val="singleLevel"/>
    <w:tmpl w:val="AF4ED1FF"/>
    <w:lvl w:ilvl="0" w:tentative="0">
      <w:start w:val="1"/>
      <w:numFmt w:val="chineseCounting"/>
      <w:suff w:val="nothing"/>
      <w:lvlText w:val="（%1）"/>
      <w:lvlJc w:val="left"/>
      <w:rPr>
        <w:rFonts w:hint="eastAsia"/>
      </w:rPr>
    </w:lvl>
  </w:abstractNum>
  <w:abstractNum w:abstractNumId="2">
    <w:nsid w:val="C97478CB"/>
    <w:multiLevelType w:val="singleLevel"/>
    <w:tmpl w:val="C97478CB"/>
    <w:lvl w:ilvl="0" w:tentative="0">
      <w:start w:val="1"/>
      <w:numFmt w:val="chineseCounting"/>
      <w:suff w:val="nothing"/>
      <w:lvlText w:val="%1、"/>
      <w:lvlJc w:val="left"/>
      <w:rPr>
        <w:rFonts w:hint="eastAsia"/>
      </w:rPr>
    </w:lvl>
  </w:abstractNum>
  <w:abstractNum w:abstractNumId="3">
    <w:nsid w:val="C9ACF77D"/>
    <w:multiLevelType w:val="singleLevel"/>
    <w:tmpl w:val="C9ACF77D"/>
    <w:lvl w:ilvl="0" w:tentative="0">
      <w:start w:val="1"/>
      <w:numFmt w:val="decimal"/>
      <w:suff w:val="nothing"/>
      <w:lvlText w:val="%1、"/>
      <w:lvlJc w:val="left"/>
    </w:lvl>
  </w:abstractNum>
  <w:abstractNum w:abstractNumId="4">
    <w:nsid w:val="CE97AA22"/>
    <w:multiLevelType w:val="singleLevel"/>
    <w:tmpl w:val="CE97AA22"/>
    <w:lvl w:ilvl="0" w:tentative="0">
      <w:start w:val="1"/>
      <w:numFmt w:val="decimal"/>
      <w:suff w:val="nothing"/>
      <w:lvlText w:val="%1、"/>
      <w:lvlJc w:val="left"/>
    </w:lvl>
  </w:abstractNum>
  <w:abstractNum w:abstractNumId="5">
    <w:nsid w:val="D7185EEA"/>
    <w:multiLevelType w:val="singleLevel"/>
    <w:tmpl w:val="D7185EEA"/>
    <w:lvl w:ilvl="0" w:tentative="0">
      <w:start w:val="1"/>
      <w:numFmt w:val="decimal"/>
      <w:suff w:val="nothing"/>
      <w:lvlText w:val="%1、"/>
      <w:lvlJc w:val="left"/>
    </w:lvl>
  </w:abstractNum>
  <w:abstractNum w:abstractNumId="6">
    <w:nsid w:val="DD4D6268"/>
    <w:multiLevelType w:val="singleLevel"/>
    <w:tmpl w:val="DD4D6268"/>
    <w:lvl w:ilvl="0" w:tentative="0">
      <w:start w:val="1"/>
      <w:numFmt w:val="decimal"/>
      <w:suff w:val="nothing"/>
      <w:lvlText w:val="%1、"/>
      <w:lvlJc w:val="left"/>
    </w:lvl>
  </w:abstractNum>
  <w:abstractNum w:abstractNumId="7">
    <w:nsid w:val="DFBF5CE2"/>
    <w:multiLevelType w:val="singleLevel"/>
    <w:tmpl w:val="DFBF5CE2"/>
    <w:lvl w:ilvl="0" w:tentative="0">
      <w:start w:val="1"/>
      <w:numFmt w:val="chineseCounting"/>
      <w:suff w:val="nothing"/>
      <w:lvlText w:val="%1、"/>
      <w:lvlJc w:val="left"/>
      <w:rPr>
        <w:rFonts w:hint="eastAsia"/>
      </w:rPr>
    </w:lvl>
  </w:abstractNum>
  <w:abstractNum w:abstractNumId="8">
    <w:nsid w:val="E4C5A2B6"/>
    <w:multiLevelType w:val="singleLevel"/>
    <w:tmpl w:val="E4C5A2B6"/>
    <w:lvl w:ilvl="0" w:tentative="0">
      <w:start w:val="1"/>
      <w:numFmt w:val="decimal"/>
      <w:suff w:val="nothing"/>
      <w:lvlText w:val="%1、"/>
      <w:lvlJc w:val="left"/>
    </w:lvl>
  </w:abstractNum>
  <w:abstractNum w:abstractNumId="9">
    <w:nsid w:val="FD7BA634"/>
    <w:multiLevelType w:val="singleLevel"/>
    <w:tmpl w:val="FD7BA634"/>
    <w:lvl w:ilvl="0" w:tentative="0">
      <w:start w:val="1"/>
      <w:numFmt w:val="decimal"/>
      <w:suff w:val="nothing"/>
      <w:lvlText w:val="%1、"/>
      <w:lvlJc w:val="left"/>
    </w:lvl>
  </w:abstractNum>
  <w:abstractNum w:abstractNumId="10">
    <w:nsid w:val="FFB0D1A7"/>
    <w:multiLevelType w:val="singleLevel"/>
    <w:tmpl w:val="FFB0D1A7"/>
    <w:lvl w:ilvl="0" w:tentative="0">
      <w:start w:val="2"/>
      <w:numFmt w:val="chineseCounting"/>
      <w:suff w:val="nothing"/>
      <w:lvlText w:val="%1、"/>
      <w:lvlJc w:val="left"/>
      <w:rPr>
        <w:rFonts w:hint="eastAsia"/>
      </w:rPr>
    </w:lvl>
  </w:abstractNum>
  <w:abstractNum w:abstractNumId="11">
    <w:nsid w:val="00000001"/>
    <w:multiLevelType w:val="singleLevel"/>
    <w:tmpl w:val="00000001"/>
    <w:lvl w:ilvl="0" w:tentative="0">
      <w:start w:val="2"/>
      <w:numFmt w:val="chineseCounting"/>
      <w:suff w:val="nothing"/>
      <w:lvlText w:val="%1、"/>
      <w:lvlJc w:val="left"/>
      <w:rPr>
        <w:rFonts w:hint="eastAsia"/>
      </w:rPr>
    </w:lvl>
  </w:abstractNum>
  <w:abstractNum w:abstractNumId="12">
    <w:nsid w:val="00000003"/>
    <w:multiLevelType w:val="singleLevel"/>
    <w:tmpl w:val="00000003"/>
    <w:lvl w:ilvl="0" w:tentative="0">
      <w:start w:val="4"/>
      <w:numFmt w:val="decimal"/>
      <w:suff w:val="nothing"/>
      <w:lvlText w:val="（%1）"/>
      <w:lvlJc w:val="left"/>
      <w:rPr>
        <w:rFonts w:cs="Times New Roman"/>
      </w:rPr>
    </w:lvl>
  </w:abstractNum>
  <w:abstractNum w:abstractNumId="13">
    <w:nsid w:val="00000004"/>
    <w:multiLevelType w:val="singleLevel"/>
    <w:tmpl w:val="00000004"/>
    <w:lvl w:ilvl="0" w:tentative="0">
      <w:start w:val="2"/>
      <w:numFmt w:val="decimal"/>
      <w:lvlText w:val="%1."/>
      <w:lvlJc w:val="left"/>
      <w:pPr>
        <w:tabs>
          <w:tab w:val="left" w:pos="312"/>
        </w:tabs>
      </w:pPr>
    </w:lvl>
  </w:abstractNum>
  <w:abstractNum w:abstractNumId="14">
    <w:nsid w:val="00000005"/>
    <w:multiLevelType w:val="singleLevel"/>
    <w:tmpl w:val="00000005"/>
    <w:lvl w:ilvl="0" w:tentative="0">
      <w:start w:val="3"/>
      <w:numFmt w:val="chineseCounting"/>
      <w:suff w:val="nothing"/>
      <w:lvlText w:val="%1、"/>
      <w:lvlJc w:val="left"/>
    </w:lvl>
  </w:abstractNum>
  <w:abstractNum w:abstractNumId="15">
    <w:nsid w:val="00000007"/>
    <w:multiLevelType w:val="singleLevel"/>
    <w:tmpl w:val="00000007"/>
    <w:lvl w:ilvl="0" w:tentative="0">
      <w:start w:val="1"/>
      <w:numFmt w:val="decimal"/>
      <w:suff w:val="nothing"/>
      <w:lvlText w:val="%1、"/>
      <w:lvlJc w:val="left"/>
    </w:lvl>
  </w:abstractNum>
  <w:abstractNum w:abstractNumId="16">
    <w:nsid w:val="00000008"/>
    <w:multiLevelType w:val="singleLevel"/>
    <w:tmpl w:val="00000008"/>
    <w:lvl w:ilvl="0" w:tentative="0">
      <w:start w:val="7"/>
      <w:numFmt w:val="chineseCounting"/>
      <w:suff w:val="space"/>
      <w:lvlText w:val="第%1条"/>
      <w:lvlJc w:val="left"/>
    </w:lvl>
  </w:abstractNum>
  <w:abstractNum w:abstractNumId="17">
    <w:nsid w:val="00000009"/>
    <w:multiLevelType w:val="singleLevel"/>
    <w:tmpl w:val="00000009"/>
    <w:lvl w:ilvl="0" w:tentative="0">
      <w:start w:val="1"/>
      <w:numFmt w:val="chineseCounting"/>
      <w:suff w:val="nothing"/>
      <w:lvlText w:val="%1、"/>
      <w:lvlJc w:val="left"/>
    </w:lvl>
  </w:abstractNum>
  <w:abstractNum w:abstractNumId="18">
    <w:nsid w:val="0000000A"/>
    <w:multiLevelType w:val="singleLevel"/>
    <w:tmpl w:val="0000000A"/>
    <w:lvl w:ilvl="0" w:tentative="0">
      <w:start w:val="1"/>
      <w:numFmt w:val="decimal"/>
      <w:suff w:val="nothing"/>
      <w:lvlText w:val="（%1）"/>
      <w:lvlJc w:val="left"/>
    </w:lvl>
  </w:abstractNum>
  <w:abstractNum w:abstractNumId="19">
    <w:nsid w:val="0000000B"/>
    <w:multiLevelType w:val="singleLevel"/>
    <w:tmpl w:val="0000000B"/>
    <w:lvl w:ilvl="0" w:tentative="0">
      <w:start w:val="1"/>
      <w:numFmt w:val="decimal"/>
      <w:suff w:val="nothing"/>
      <w:lvlText w:val="（%1）"/>
      <w:lvlJc w:val="left"/>
      <w:pPr>
        <w:ind w:left="210"/>
      </w:pPr>
    </w:lvl>
  </w:abstractNum>
  <w:abstractNum w:abstractNumId="20">
    <w:nsid w:val="184D5870"/>
    <w:multiLevelType w:val="singleLevel"/>
    <w:tmpl w:val="184D5870"/>
    <w:lvl w:ilvl="0" w:tentative="0">
      <w:start w:val="1"/>
      <w:numFmt w:val="decimal"/>
      <w:suff w:val="nothing"/>
      <w:lvlText w:val="%1、"/>
      <w:lvlJc w:val="left"/>
    </w:lvl>
  </w:abstractNum>
  <w:abstractNum w:abstractNumId="21">
    <w:nsid w:val="37B59CE2"/>
    <w:multiLevelType w:val="singleLevel"/>
    <w:tmpl w:val="37B59CE2"/>
    <w:lvl w:ilvl="0" w:tentative="0">
      <w:start w:val="1"/>
      <w:numFmt w:val="chineseCounting"/>
      <w:suff w:val="nothing"/>
      <w:lvlText w:val="（%1）"/>
      <w:lvlJc w:val="left"/>
      <w:rPr>
        <w:rFonts w:hint="eastAsia"/>
      </w:rPr>
    </w:lvl>
  </w:abstractNum>
  <w:abstractNum w:abstractNumId="22">
    <w:nsid w:val="3D86B1AA"/>
    <w:multiLevelType w:val="singleLevel"/>
    <w:tmpl w:val="3D86B1AA"/>
    <w:lvl w:ilvl="0" w:tentative="0">
      <w:start w:val="1"/>
      <w:numFmt w:val="chineseCounting"/>
      <w:suff w:val="space"/>
      <w:lvlText w:val="第%1条"/>
      <w:lvlJc w:val="left"/>
      <w:rPr>
        <w:rFonts w:hint="eastAsia"/>
      </w:rPr>
    </w:lvl>
  </w:abstractNum>
  <w:abstractNum w:abstractNumId="23">
    <w:nsid w:val="403351B2"/>
    <w:multiLevelType w:val="singleLevel"/>
    <w:tmpl w:val="403351B2"/>
    <w:lvl w:ilvl="0" w:tentative="0">
      <w:start w:val="1"/>
      <w:numFmt w:val="decimal"/>
      <w:suff w:val="nothing"/>
      <w:lvlText w:val="%1、"/>
      <w:lvlJc w:val="left"/>
    </w:lvl>
  </w:abstractNum>
  <w:abstractNum w:abstractNumId="24">
    <w:nsid w:val="62EF03C2"/>
    <w:multiLevelType w:val="singleLevel"/>
    <w:tmpl w:val="62EF03C2"/>
    <w:lvl w:ilvl="0" w:tentative="0">
      <w:start w:val="1"/>
      <w:numFmt w:val="decimal"/>
      <w:suff w:val="nothing"/>
      <w:lvlText w:val="%1、"/>
      <w:lvlJc w:val="left"/>
    </w:lvl>
  </w:abstractNum>
  <w:num w:numId="1">
    <w:abstractNumId w:val="12"/>
  </w:num>
  <w:num w:numId="2">
    <w:abstractNumId w:val="19"/>
  </w:num>
  <w:num w:numId="3">
    <w:abstractNumId w:val="13"/>
  </w:num>
  <w:num w:numId="4">
    <w:abstractNumId w:val="11"/>
  </w:num>
  <w:num w:numId="5">
    <w:abstractNumId w:val="24"/>
  </w:num>
  <w:num w:numId="6">
    <w:abstractNumId w:val="8"/>
  </w:num>
  <w:num w:numId="7">
    <w:abstractNumId w:val="5"/>
  </w:num>
  <w:num w:numId="8">
    <w:abstractNumId w:val="7"/>
  </w:num>
  <w:num w:numId="9">
    <w:abstractNumId w:val="20"/>
  </w:num>
  <w:num w:numId="10">
    <w:abstractNumId w:val="2"/>
  </w:num>
  <w:num w:numId="11">
    <w:abstractNumId w:val="10"/>
  </w:num>
  <w:num w:numId="12">
    <w:abstractNumId w:val="17"/>
  </w:num>
  <w:num w:numId="13">
    <w:abstractNumId w:val="16"/>
  </w:num>
  <w:num w:numId="14">
    <w:abstractNumId w:val="22"/>
  </w:num>
  <w:num w:numId="15">
    <w:abstractNumId w:val="15"/>
  </w:num>
  <w:num w:numId="16">
    <w:abstractNumId w:val="14"/>
  </w:num>
  <w:num w:numId="17">
    <w:abstractNumId w:val="18"/>
  </w:num>
  <w:num w:numId="18">
    <w:abstractNumId w:val="21"/>
  </w:num>
  <w:num w:numId="19">
    <w:abstractNumId w:val="9"/>
  </w:num>
  <w:num w:numId="20">
    <w:abstractNumId w:val="4"/>
  </w:num>
  <w:num w:numId="21">
    <w:abstractNumId w:val="3"/>
  </w:num>
  <w:num w:numId="22">
    <w:abstractNumId w:val="23"/>
  </w:num>
  <w:num w:numId="23">
    <w:abstractNumId w:val="0"/>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10"/>
  <w:drawingGridVerticalSpacing w:val="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000000"/>
    <w:rsid w:val="0101237C"/>
    <w:rsid w:val="01027E5C"/>
    <w:rsid w:val="03347AF5"/>
    <w:rsid w:val="03EF2612"/>
    <w:rsid w:val="05052CD5"/>
    <w:rsid w:val="0C0B0272"/>
    <w:rsid w:val="0C79269E"/>
    <w:rsid w:val="0D3C0869"/>
    <w:rsid w:val="13E516D9"/>
    <w:rsid w:val="16B66E4C"/>
    <w:rsid w:val="1A317BC8"/>
    <w:rsid w:val="1D083E1C"/>
    <w:rsid w:val="1D1E0C70"/>
    <w:rsid w:val="1DFF1754"/>
    <w:rsid w:val="200A7EAB"/>
    <w:rsid w:val="27DF3B7E"/>
    <w:rsid w:val="28610868"/>
    <w:rsid w:val="2A41271B"/>
    <w:rsid w:val="2B990888"/>
    <w:rsid w:val="2BFC7C62"/>
    <w:rsid w:val="2CA03C68"/>
    <w:rsid w:val="2F373043"/>
    <w:rsid w:val="304657BB"/>
    <w:rsid w:val="36A23E50"/>
    <w:rsid w:val="3780495F"/>
    <w:rsid w:val="38980E32"/>
    <w:rsid w:val="391F5A58"/>
    <w:rsid w:val="39D24CEC"/>
    <w:rsid w:val="3AFB6916"/>
    <w:rsid w:val="3C067321"/>
    <w:rsid w:val="3DBA03C3"/>
    <w:rsid w:val="3DEEC9D8"/>
    <w:rsid w:val="3E8B1ACD"/>
    <w:rsid w:val="3EE96943"/>
    <w:rsid w:val="3EFF0856"/>
    <w:rsid w:val="3EFF101C"/>
    <w:rsid w:val="3FD72A24"/>
    <w:rsid w:val="41064514"/>
    <w:rsid w:val="43E22422"/>
    <w:rsid w:val="451B5D10"/>
    <w:rsid w:val="45EF1BAF"/>
    <w:rsid w:val="49294B90"/>
    <w:rsid w:val="4D4F3C6A"/>
    <w:rsid w:val="4F0022F6"/>
    <w:rsid w:val="549A19F5"/>
    <w:rsid w:val="567BB4FF"/>
    <w:rsid w:val="5735B1C0"/>
    <w:rsid w:val="57F710AD"/>
    <w:rsid w:val="5842574A"/>
    <w:rsid w:val="58FD2772"/>
    <w:rsid w:val="59795237"/>
    <w:rsid w:val="59E96E87"/>
    <w:rsid w:val="5D403360"/>
    <w:rsid w:val="5F6C07A7"/>
    <w:rsid w:val="5FB35DFF"/>
    <w:rsid w:val="5FFE49CA"/>
    <w:rsid w:val="5FFF954E"/>
    <w:rsid w:val="604A41BB"/>
    <w:rsid w:val="61A84F42"/>
    <w:rsid w:val="644F48B8"/>
    <w:rsid w:val="656B62C3"/>
    <w:rsid w:val="682B188C"/>
    <w:rsid w:val="68CC0936"/>
    <w:rsid w:val="6917BA9C"/>
    <w:rsid w:val="6AEA1A38"/>
    <w:rsid w:val="6C481FE6"/>
    <w:rsid w:val="6EB128F0"/>
    <w:rsid w:val="72FE769B"/>
    <w:rsid w:val="73224B82"/>
    <w:rsid w:val="73F7E6B6"/>
    <w:rsid w:val="7469781C"/>
    <w:rsid w:val="747F37F7"/>
    <w:rsid w:val="75FFF5ED"/>
    <w:rsid w:val="77DCDFAE"/>
    <w:rsid w:val="77EB7816"/>
    <w:rsid w:val="787F3456"/>
    <w:rsid w:val="79DE147A"/>
    <w:rsid w:val="7A8A2622"/>
    <w:rsid w:val="7AB975BF"/>
    <w:rsid w:val="7BBF8263"/>
    <w:rsid w:val="7CB04E4B"/>
    <w:rsid w:val="7CF7BAEA"/>
    <w:rsid w:val="7DDFDAD2"/>
    <w:rsid w:val="7E7FAF00"/>
    <w:rsid w:val="7EE67DD0"/>
    <w:rsid w:val="7EFF6547"/>
    <w:rsid w:val="7EFFCAAA"/>
    <w:rsid w:val="7FC37374"/>
    <w:rsid w:val="97F79027"/>
    <w:rsid w:val="B9DFCC4A"/>
    <w:rsid w:val="B9E40028"/>
    <w:rsid w:val="BBFF1A17"/>
    <w:rsid w:val="BFAFA3E6"/>
    <w:rsid w:val="BFFBF5E9"/>
    <w:rsid w:val="C97D5F8D"/>
    <w:rsid w:val="CCDCB9D7"/>
    <w:rsid w:val="D17F1301"/>
    <w:rsid w:val="DBCE60E8"/>
    <w:rsid w:val="DF9F55DE"/>
    <w:rsid w:val="DFF927B1"/>
    <w:rsid w:val="E5E257F3"/>
    <w:rsid w:val="E6BFFF6F"/>
    <w:rsid w:val="EDEDCCB9"/>
    <w:rsid w:val="EEF196F3"/>
    <w:rsid w:val="EF7F2F2A"/>
    <w:rsid w:val="EFE69C0B"/>
    <w:rsid w:val="F17C310E"/>
    <w:rsid w:val="F39BD4E9"/>
    <w:rsid w:val="F59FE9A1"/>
    <w:rsid w:val="F9FB5808"/>
    <w:rsid w:val="FACF487A"/>
    <w:rsid w:val="FDF4C5CE"/>
    <w:rsid w:val="FDFD2E1C"/>
    <w:rsid w:val="FECF8B10"/>
    <w:rsid w:val="FF574D72"/>
    <w:rsid w:val="FFAF45E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0"/>
    <w:autoRedefine/>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71"/>
    <w:autoRedefine/>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72"/>
    <w:autoRedefine/>
    <w:qFormat/>
    <w:uiPriority w:val="99"/>
    <w:pPr>
      <w:keepNext/>
      <w:keepLines/>
      <w:spacing w:before="260" w:after="260" w:line="416" w:lineRule="auto"/>
      <w:outlineLvl w:val="2"/>
    </w:pPr>
    <w:rPr>
      <w:b/>
      <w:bCs/>
      <w:sz w:val="32"/>
      <w:szCs w:val="32"/>
    </w:rPr>
  </w:style>
  <w:style w:type="paragraph" w:styleId="7">
    <w:name w:val="heading 4"/>
    <w:basedOn w:val="1"/>
    <w:next w:val="1"/>
    <w:link w:val="73"/>
    <w:autoRedefine/>
    <w:qFormat/>
    <w:uiPriority w:val="99"/>
    <w:pPr>
      <w:tabs>
        <w:tab w:val="left" w:pos="1575"/>
        <w:tab w:val="left" w:pos="1680"/>
        <w:tab w:val="left" w:pos="1771"/>
        <w:tab w:val="left" w:pos="1995"/>
        <w:tab w:val="left" w:pos="2100"/>
      </w:tabs>
      <w:adjustRightInd w:val="0"/>
      <w:spacing w:before="0" w:after="0" w:line="400" w:lineRule="exact"/>
      <w:textAlignment w:val="baseline"/>
      <w:outlineLvl w:val="3"/>
    </w:pPr>
    <w:rPr>
      <w:kern w:val="0"/>
      <w:sz w:val="24"/>
      <w:szCs w:val="20"/>
    </w:rPr>
  </w:style>
  <w:style w:type="character" w:default="1" w:styleId="44">
    <w:name w:val="Default Paragraph Font"/>
    <w:autoRedefine/>
    <w:qFormat/>
    <w:uiPriority w:val="1"/>
  </w:style>
  <w:style w:type="table" w:default="1" w:styleId="35">
    <w:name w:val="Normal Table"/>
    <w:autoRedefin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autoRedefine/>
    <w:qFormat/>
    <w:uiPriority w:val="99"/>
    <w:pPr>
      <w:spacing w:line="240" w:lineRule="auto"/>
      <w:ind w:left="420" w:leftChars="200" w:firstLine="420" w:firstLineChars="200"/>
    </w:pPr>
    <w:rPr>
      <w:rFonts w:ascii="Times New Roman"/>
    </w:rPr>
  </w:style>
  <w:style w:type="paragraph" w:styleId="3">
    <w:name w:val="Body Text Indent"/>
    <w:basedOn w:val="1"/>
    <w:next w:val="1"/>
    <w:link w:val="75"/>
    <w:autoRedefine/>
    <w:qFormat/>
    <w:uiPriority w:val="99"/>
    <w:pPr>
      <w:spacing w:line="200" w:lineRule="exact"/>
      <w:ind w:firstLine="301"/>
    </w:pPr>
    <w:rPr>
      <w:rFonts w:ascii="宋体" w:hAnsi="Courier New"/>
      <w:spacing w:val="-4"/>
      <w:sz w:val="18"/>
      <w:szCs w:val="20"/>
    </w:rPr>
  </w:style>
  <w:style w:type="paragraph" w:styleId="8">
    <w:name w:val="toc 7"/>
    <w:basedOn w:val="1"/>
    <w:next w:val="1"/>
    <w:autoRedefine/>
    <w:qFormat/>
    <w:uiPriority w:val="99"/>
    <w:pPr>
      <w:ind w:left="2520" w:leftChars="1200"/>
    </w:pPr>
  </w:style>
  <w:style w:type="paragraph" w:styleId="9">
    <w:name w:val="List Number"/>
    <w:basedOn w:val="1"/>
    <w:autoRedefine/>
    <w:qFormat/>
    <w:uiPriority w:val="99"/>
    <w:pPr>
      <w:widowControl/>
      <w:tabs>
        <w:tab w:val="left" w:pos="454"/>
        <w:tab w:val="left" w:pos="1290"/>
      </w:tabs>
      <w:spacing w:afterLines="50"/>
      <w:ind w:left="454" w:hanging="284"/>
      <w:jc w:val="left"/>
    </w:pPr>
    <w:rPr>
      <w:kern w:val="0"/>
      <w:sz w:val="24"/>
      <w:szCs w:val="20"/>
    </w:rPr>
  </w:style>
  <w:style w:type="paragraph" w:styleId="10">
    <w:name w:val="Normal Indent"/>
    <w:basedOn w:val="1"/>
    <w:autoRedefine/>
    <w:qFormat/>
    <w:uiPriority w:val="99"/>
    <w:pPr>
      <w:ind w:firstLine="420"/>
    </w:pPr>
    <w:rPr>
      <w:szCs w:val="20"/>
    </w:rPr>
  </w:style>
  <w:style w:type="paragraph" w:styleId="11">
    <w:name w:val="annotation text"/>
    <w:basedOn w:val="1"/>
    <w:link w:val="91"/>
    <w:autoRedefine/>
    <w:qFormat/>
    <w:uiPriority w:val="0"/>
    <w:pPr>
      <w:jc w:val="left"/>
    </w:pPr>
  </w:style>
  <w:style w:type="paragraph" w:styleId="12">
    <w:name w:val="Body Text"/>
    <w:basedOn w:val="1"/>
    <w:link w:val="74"/>
    <w:autoRedefine/>
    <w:qFormat/>
    <w:uiPriority w:val="99"/>
    <w:pPr>
      <w:spacing w:after="120"/>
    </w:pPr>
    <w:rPr>
      <w:rFonts w:ascii="Calibri" w:hAnsi="Calibri"/>
    </w:rPr>
  </w:style>
  <w:style w:type="paragraph" w:styleId="13">
    <w:name w:val="List 2"/>
    <w:basedOn w:val="1"/>
    <w:autoRedefine/>
    <w:qFormat/>
    <w:uiPriority w:val="99"/>
    <w:pPr>
      <w:ind w:left="100" w:leftChars="200" w:hanging="200" w:hangingChars="200"/>
    </w:pPr>
    <w:rPr>
      <w:sz w:val="28"/>
    </w:rPr>
  </w:style>
  <w:style w:type="paragraph" w:styleId="14">
    <w:name w:val="toc 5"/>
    <w:basedOn w:val="1"/>
    <w:next w:val="1"/>
    <w:autoRedefine/>
    <w:qFormat/>
    <w:uiPriority w:val="99"/>
    <w:pPr>
      <w:ind w:left="1680" w:leftChars="800"/>
    </w:pPr>
  </w:style>
  <w:style w:type="paragraph" w:styleId="15">
    <w:name w:val="toc 3"/>
    <w:basedOn w:val="1"/>
    <w:next w:val="1"/>
    <w:autoRedefine/>
    <w:qFormat/>
    <w:uiPriority w:val="99"/>
    <w:pPr>
      <w:ind w:left="840" w:leftChars="400"/>
    </w:pPr>
  </w:style>
  <w:style w:type="paragraph" w:styleId="16">
    <w:name w:val="Plain Text"/>
    <w:basedOn w:val="1"/>
    <w:link w:val="76"/>
    <w:autoRedefine/>
    <w:qFormat/>
    <w:uiPriority w:val="99"/>
    <w:rPr>
      <w:rFonts w:ascii="宋体" w:hAnsi="Courier New"/>
      <w:szCs w:val="20"/>
    </w:rPr>
  </w:style>
  <w:style w:type="paragraph" w:styleId="17">
    <w:name w:val="toc 8"/>
    <w:basedOn w:val="1"/>
    <w:next w:val="1"/>
    <w:autoRedefine/>
    <w:qFormat/>
    <w:uiPriority w:val="99"/>
    <w:pPr>
      <w:ind w:left="2940" w:leftChars="1400"/>
    </w:pPr>
  </w:style>
  <w:style w:type="paragraph" w:styleId="18">
    <w:name w:val="Date"/>
    <w:basedOn w:val="1"/>
    <w:next w:val="1"/>
    <w:link w:val="77"/>
    <w:autoRedefine/>
    <w:qFormat/>
    <w:uiPriority w:val="99"/>
    <w:pPr>
      <w:ind w:left="2500" w:leftChars="2500"/>
    </w:pPr>
    <w:rPr>
      <w:rFonts w:eastAsia="楷体_GB2312"/>
      <w:sz w:val="32"/>
      <w:szCs w:val="20"/>
    </w:rPr>
  </w:style>
  <w:style w:type="paragraph" w:styleId="19">
    <w:name w:val="Body Text Indent 2"/>
    <w:basedOn w:val="1"/>
    <w:next w:val="20"/>
    <w:autoRedefine/>
    <w:qFormat/>
    <w:uiPriority w:val="0"/>
    <w:pPr>
      <w:snapToGrid w:val="0"/>
      <w:ind w:firstLine="542" w:firstLineChars="225"/>
    </w:pPr>
    <w:rPr>
      <w:rFonts w:ascii="仿宋_GB2312" w:hAnsi="宋体" w:cs="Arial"/>
      <w:b/>
      <w:bCs/>
      <w:color w:val="000000"/>
      <w:sz w:val="24"/>
    </w:rPr>
  </w:style>
  <w:style w:type="paragraph" w:customStyle="1" w:styleId="20">
    <w:name w:val="z正文"/>
    <w:basedOn w:val="16"/>
    <w:autoRedefine/>
    <w:qFormat/>
    <w:uiPriority w:val="99"/>
    <w:pPr>
      <w:tabs>
        <w:tab w:val="left" w:pos="525"/>
      </w:tabs>
      <w:snapToGrid w:val="0"/>
      <w:spacing w:line="360" w:lineRule="auto"/>
    </w:pPr>
    <w:rPr>
      <w:rFonts w:hAnsi="宋体"/>
      <w:sz w:val="24"/>
      <w:szCs w:val="20"/>
    </w:rPr>
  </w:style>
  <w:style w:type="paragraph" w:styleId="21">
    <w:name w:val="Balloon Text"/>
    <w:basedOn w:val="1"/>
    <w:link w:val="78"/>
    <w:autoRedefine/>
    <w:qFormat/>
    <w:uiPriority w:val="99"/>
    <w:rPr>
      <w:sz w:val="18"/>
      <w:szCs w:val="18"/>
    </w:rPr>
  </w:style>
  <w:style w:type="paragraph" w:styleId="22">
    <w:name w:val="footer"/>
    <w:basedOn w:val="1"/>
    <w:link w:val="79"/>
    <w:autoRedefine/>
    <w:qFormat/>
    <w:uiPriority w:val="99"/>
    <w:pPr>
      <w:tabs>
        <w:tab w:val="center" w:pos="4153"/>
        <w:tab w:val="right" w:pos="8306"/>
      </w:tabs>
      <w:snapToGrid w:val="0"/>
      <w:jc w:val="left"/>
    </w:pPr>
    <w:rPr>
      <w:sz w:val="18"/>
      <w:szCs w:val="18"/>
    </w:rPr>
  </w:style>
  <w:style w:type="paragraph" w:styleId="23">
    <w:name w:val="header"/>
    <w:basedOn w:val="1"/>
    <w:link w:val="80"/>
    <w:autoRedefine/>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style>
  <w:style w:type="paragraph" w:styleId="25">
    <w:name w:val="toc 4"/>
    <w:basedOn w:val="1"/>
    <w:next w:val="1"/>
    <w:autoRedefine/>
    <w:qFormat/>
    <w:uiPriority w:val="99"/>
    <w:pPr>
      <w:ind w:left="1260" w:leftChars="600"/>
    </w:pPr>
  </w:style>
  <w:style w:type="paragraph" w:styleId="26">
    <w:name w:val="toc 6"/>
    <w:basedOn w:val="1"/>
    <w:next w:val="1"/>
    <w:autoRedefine/>
    <w:qFormat/>
    <w:uiPriority w:val="99"/>
    <w:pPr>
      <w:ind w:left="2100" w:leftChars="1000"/>
    </w:pPr>
  </w:style>
  <w:style w:type="paragraph" w:styleId="27">
    <w:name w:val="Body Text Indent 3"/>
    <w:basedOn w:val="1"/>
    <w:autoRedefine/>
    <w:qFormat/>
    <w:uiPriority w:val="0"/>
    <w:pPr>
      <w:snapToGrid w:val="0"/>
      <w:ind w:firstLine="480" w:firstLineChars="200"/>
      <w:jc w:val="left"/>
    </w:pPr>
    <w:rPr>
      <w:rFonts w:ascii="仿宋_GB2312" w:hAnsi="宋体" w:eastAsia="仿宋_GB2312"/>
      <w:color w:val="000000"/>
      <w:sz w:val="24"/>
    </w:rPr>
  </w:style>
  <w:style w:type="paragraph" w:styleId="28">
    <w:name w:val="table of figures"/>
    <w:basedOn w:val="1"/>
    <w:next w:val="1"/>
    <w:autoRedefine/>
    <w:qFormat/>
    <w:uiPriority w:val="99"/>
    <w:pPr>
      <w:tabs>
        <w:tab w:val="left" w:pos="1270"/>
      </w:tabs>
      <w:spacing w:line="360" w:lineRule="auto"/>
      <w:ind w:left="1270" w:hanging="420"/>
      <w:jc w:val="left"/>
    </w:pPr>
    <w:rPr>
      <w:smallCaps/>
      <w:sz w:val="20"/>
      <w:szCs w:val="20"/>
    </w:rPr>
  </w:style>
  <w:style w:type="paragraph" w:styleId="29">
    <w:name w:val="toc 2"/>
    <w:basedOn w:val="1"/>
    <w:next w:val="1"/>
    <w:autoRedefine/>
    <w:qFormat/>
    <w:uiPriority w:val="39"/>
    <w:pPr>
      <w:ind w:left="420" w:leftChars="200"/>
    </w:pPr>
  </w:style>
  <w:style w:type="paragraph" w:styleId="30">
    <w:name w:val="toc 9"/>
    <w:basedOn w:val="1"/>
    <w:next w:val="1"/>
    <w:autoRedefine/>
    <w:qFormat/>
    <w:uiPriority w:val="99"/>
    <w:pPr>
      <w:ind w:left="3360" w:leftChars="1600"/>
    </w:pPr>
  </w:style>
  <w:style w:type="paragraph" w:styleId="3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32">
    <w:name w:val="Title"/>
    <w:basedOn w:val="1"/>
    <w:next w:val="1"/>
    <w:link w:val="81"/>
    <w:autoRedefine/>
    <w:qFormat/>
    <w:uiPriority w:val="99"/>
    <w:pPr>
      <w:spacing w:before="240" w:after="60"/>
      <w:jc w:val="center"/>
      <w:outlineLvl w:val="0"/>
    </w:pPr>
    <w:rPr>
      <w:rFonts w:ascii="Cambria" w:hAnsi="Cambria"/>
      <w:b/>
      <w:bCs/>
      <w:sz w:val="32"/>
      <w:szCs w:val="32"/>
    </w:rPr>
  </w:style>
  <w:style w:type="paragraph" w:styleId="33">
    <w:name w:val="annotation subject"/>
    <w:basedOn w:val="11"/>
    <w:next w:val="11"/>
    <w:link w:val="92"/>
    <w:autoRedefine/>
    <w:qFormat/>
    <w:uiPriority w:val="0"/>
    <w:rPr>
      <w:b/>
      <w:bCs/>
    </w:rPr>
  </w:style>
  <w:style w:type="paragraph" w:styleId="34">
    <w:name w:val="Body Text First Indent"/>
    <w:basedOn w:val="12"/>
    <w:next w:val="1"/>
    <w:autoRedefine/>
    <w:qFormat/>
    <w:uiPriority w:val="0"/>
    <w:pPr>
      <w:spacing w:line="520" w:lineRule="exact"/>
      <w:ind w:firstLine="100" w:firstLineChars="100"/>
      <w:jc w:val="left"/>
    </w:pPr>
    <w:rPr>
      <w:sz w:val="28"/>
    </w:rPr>
  </w:style>
  <w:style w:type="table" w:styleId="36">
    <w:name w:val="Table Grid"/>
    <w:basedOn w:val="3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Medium Grid 3"/>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38">
    <w:name w:val="Medium Grid 3 Accent 1"/>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39">
    <w:name w:val="Medium Grid 3 Accent 2"/>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40">
    <w:name w:val="Medium Grid 3 Accent 3"/>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41">
    <w:name w:val="Medium Grid 3 Accent 4"/>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42">
    <w:name w:val="Medium Grid 3 Accent 5"/>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43">
    <w:name w:val="Medium Grid 3 Accent 6"/>
    <w:basedOn w:val="35"/>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45">
    <w:name w:val="Strong"/>
    <w:autoRedefine/>
    <w:qFormat/>
    <w:uiPriority w:val="99"/>
    <w:rPr>
      <w:rFonts w:ascii="微软雅黑" w:hAnsi="微软雅黑" w:eastAsia="微软雅黑" w:cs="Times New Roman"/>
      <w:b/>
    </w:rPr>
  </w:style>
  <w:style w:type="character" w:styleId="46">
    <w:name w:val="page number"/>
    <w:autoRedefine/>
    <w:qFormat/>
    <w:uiPriority w:val="99"/>
    <w:rPr>
      <w:rFonts w:cs="Times New Roman"/>
    </w:rPr>
  </w:style>
  <w:style w:type="character" w:styleId="47">
    <w:name w:val="FollowedHyperlink"/>
    <w:autoRedefine/>
    <w:qFormat/>
    <w:uiPriority w:val="99"/>
    <w:rPr>
      <w:rFonts w:cs="Times New Roman"/>
      <w:color w:val="333333"/>
      <w:u w:val="none"/>
    </w:rPr>
  </w:style>
  <w:style w:type="character" w:styleId="48">
    <w:name w:val="Emphasis"/>
    <w:autoRedefine/>
    <w:qFormat/>
    <w:uiPriority w:val="99"/>
    <w:rPr>
      <w:rFonts w:cs="Times New Roman"/>
    </w:rPr>
  </w:style>
  <w:style w:type="character" w:styleId="49">
    <w:name w:val="HTML Definition"/>
    <w:autoRedefine/>
    <w:qFormat/>
    <w:uiPriority w:val="99"/>
    <w:rPr>
      <w:rFonts w:cs="Times New Roman"/>
    </w:rPr>
  </w:style>
  <w:style w:type="character" w:styleId="50">
    <w:name w:val="HTML Typewriter"/>
    <w:autoRedefine/>
    <w:qFormat/>
    <w:uiPriority w:val="99"/>
    <w:rPr>
      <w:rFonts w:ascii="微软雅黑" w:hAnsi="微软雅黑" w:eastAsia="微软雅黑" w:cs="Times New Roman"/>
      <w:sz w:val="20"/>
    </w:rPr>
  </w:style>
  <w:style w:type="character" w:styleId="51">
    <w:name w:val="HTML Variable"/>
    <w:autoRedefine/>
    <w:qFormat/>
    <w:uiPriority w:val="99"/>
    <w:rPr>
      <w:rFonts w:cs="Times New Roman"/>
    </w:rPr>
  </w:style>
  <w:style w:type="character" w:styleId="52">
    <w:name w:val="Hyperlink"/>
    <w:basedOn w:val="44"/>
    <w:autoRedefine/>
    <w:qFormat/>
    <w:uiPriority w:val="99"/>
    <w:rPr>
      <w:rFonts w:cs="Times New Roman"/>
      <w:color w:val="333333"/>
      <w:u w:val="none"/>
    </w:rPr>
  </w:style>
  <w:style w:type="character" w:styleId="53">
    <w:name w:val="HTML Code"/>
    <w:autoRedefine/>
    <w:qFormat/>
    <w:uiPriority w:val="99"/>
    <w:rPr>
      <w:rFonts w:ascii="Courier New" w:hAnsi="Courier New" w:cs="Times New Roman"/>
      <w:sz w:val="20"/>
    </w:rPr>
  </w:style>
  <w:style w:type="character" w:styleId="54">
    <w:name w:val="annotation reference"/>
    <w:autoRedefine/>
    <w:qFormat/>
    <w:uiPriority w:val="0"/>
    <w:rPr>
      <w:sz w:val="21"/>
      <w:szCs w:val="21"/>
    </w:rPr>
  </w:style>
  <w:style w:type="character" w:styleId="55">
    <w:name w:val="HTML Cite"/>
    <w:autoRedefine/>
    <w:qFormat/>
    <w:uiPriority w:val="99"/>
    <w:rPr>
      <w:rFonts w:cs="Times New Roman"/>
    </w:rPr>
  </w:style>
  <w:style w:type="paragraph" w:customStyle="1" w:styleId="56">
    <w:name w:val="标准正文"/>
    <w:basedOn w:val="1"/>
    <w:autoRedefine/>
    <w:qFormat/>
    <w:uiPriority w:val="0"/>
    <w:pPr>
      <w:spacing w:line="360" w:lineRule="auto"/>
      <w:ind w:firstLine="200" w:firstLineChars="200"/>
    </w:pPr>
    <w:rPr>
      <w:sz w:val="24"/>
      <w:szCs w:val="20"/>
    </w:rPr>
  </w:style>
  <w:style w:type="paragraph" w:customStyle="1" w:styleId="57">
    <w:name w:val="一级标题"/>
    <w:basedOn w:val="1"/>
    <w:next w:val="12"/>
    <w:autoRedefine/>
    <w:qFormat/>
    <w:uiPriority w:val="0"/>
    <w:pPr>
      <w:outlineLvl w:val="0"/>
    </w:pPr>
    <w:rPr>
      <w:b/>
      <w:bCs/>
      <w:sz w:val="32"/>
    </w:rPr>
  </w:style>
  <w:style w:type="paragraph" w:customStyle="1" w:styleId="58">
    <w:name w:val="Char Char3 Char Char"/>
    <w:basedOn w:val="1"/>
    <w:autoRedefine/>
    <w:qFormat/>
    <w:uiPriority w:val="0"/>
  </w:style>
  <w:style w:type="paragraph" w:customStyle="1" w:styleId="59">
    <w:name w:val="默认段落字体 Para Char Char Char Char"/>
    <w:basedOn w:val="1"/>
    <w:autoRedefine/>
    <w:qFormat/>
    <w:uiPriority w:val="99"/>
    <w:pPr>
      <w:spacing w:line="360" w:lineRule="auto"/>
      <w:ind w:firstLine="200" w:firstLineChars="200"/>
    </w:pPr>
  </w:style>
  <w:style w:type="paragraph" w:customStyle="1" w:styleId="60">
    <w:name w:val="Default"/>
    <w:autoRedefine/>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1">
    <w:name w:val="简单回函地址"/>
    <w:basedOn w:val="1"/>
    <w:autoRedefine/>
    <w:qFormat/>
    <w:uiPriority w:val="99"/>
    <w:rPr>
      <w:szCs w:val="20"/>
    </w:rPr>
  </w:style>
  <w:style w:type="paragraph" w:customStyle="1" w:styleId="62">
    <w:name w:val="正文段"/>
    <w:basedOn w:val="1"/>
    <w:autoRedefine/>
    <w:qFormat/>
    <w:uiPriority w:val="99"/>
    <w:pPr>
      <w:widowControl/>
      <w:snapToGrid w:val="0"/>
      <w:spacing w:afterLines="50"/>
      <w:ind w:firstLine="200" w:firstLineChars="200"/>
    </w:pPr>
    <w:rPr>
      <w:kern w:val="0"/>
      <w:sz w:val="24"/>
      <w:szCs w:val="20"/>
    </w:rPr>
  </w:style>
  <w:style w:type="paragraph" w:customStyle="1" w:styleId="63">
    <w:name w:val="纯文本2"/>
    <w:basedOn w:val="1"/>
    <w:autoRedefine/>
    <w:qFormat/>
    <w:uiPriority w:val="99"/>
    <w:pPr>
      <w:widowControl/>
      <w:adjustRightInd w:val="0"/>
      <w:spacing w:line="300" w:lineRule="exact"/>
      <w:ind w:firstLine="200" w:firstLineChars="200"/>
      <w:jc w:val="left"/>
      <w:textAlignment w:val="baseline"/>
    </w:pPr>
    <w:rPr>
      <w:rFonts w:ascii="宋体" w:hAnsi="Courier New" w:eastAsia="楷体_GB2312"/>
      <w:sz w:val="26"/>
      <w:szCs w:val="20"/>
    </w:rPr>
  </w:style>
  <w:style w:type="paragraph" w:customStyle="1" w:styleId="64">
    <w:name w:val="正文1"/>
    <w:next w:val="1"/>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正文2"/>
    <w:autoRedefine/>
    <w:qFormat/>
    <w:uiPriority w:val="99"/>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66">
    <w:name w:val="默认段落字体 Para Char Char Char Char Char Char Char Char Char1 Char Char Char Char"/>
    <w:basedOn w:val="1"/>
    <w:autoRedefine/>
    <w:qFormat/>
    <w:uiPriority w:val="99"/>
    <w:rPr>
      <w:rFonts w:ascii="Tahoma" w:hAnsi="Tahoma"/>
      <w:sz w:val="24"/>
      <w:szCs w:val="20"/>
    </w:rPr>
  </w:style>
  <w:style w:type="paragraph" w:customStyle="1" w:styleId="67">
    <w:name w:val="纯文本1"/>
    <w:basedOn w:val="1"/>
    <w:next w:val="1"/>
    <w:autoRedefine/>
    <w:qFormat/>
    <w:uiPriority w:val="99"/>
    <w:rPr>
      <w:rFonts w:ascii="宋体" w:hAnsi="Courier New"/>
      <w:sz w:val="24"/>
    </w:rPr>
  </w:style>
  <w:style w:type="paragraph" w:customStyle="1" w:styleId="68">
    <w:name w:val="p0"/>
    <w:basedOn w:val="1"/>
    <w:autoRedefine/>
    <w:qFormat/>
    <w:uiPriority w:val="99"/>
    <w:pPr>
      <w:widowControl/>
    </w:pPr>
    <w:rPr>
      <w:kern w:val="0"/>
      <w:szCs w:val="21"/>
    </w:rPr>
  </w:style>
  <w:style w:type="paragraph" w:customStyle="1" w:styleId="69">
    <w:name w:val="列出段落1"/>
    <w:basedOn w:val="1"/>
    <w:autoRedefine/>
    <w:qFormat/>
    <w:uiPriority w:val="99"/>
    <w:pPr>
      <w:ind w:firstLine="420" w:firstLineChars="200"/>
    </w:pPr>
  </w:style>
  <w:style w:type="character" w:customStyle="1" w:styleId="70">
    <w:name w:val="标题 1 Char"/>
    <w:link w:val="4"/>
    <w:autoRedefine/>
    <w:qFormat/>
    <w:uiPriority w:val="99"/>
    <w:rPr>
      <w:rFonts w:cs="Times New Roman"/>
      <w:b/>
      <w:bCs/>
      <w:kern w:val="44"/>
      <w:sz w:val="44"/>
      <w:szCs w:val="44"/>
    </w:rPr>
  </w:style>
  <w:style w:type="character" w:customStyle="1" w:styleId="71">
    <w:name w:val="标题 2 Char"/>
    <w:link w:val="5"/>
    <w:autoRedefine/>
    <w:qFormat/>
    <w:uiPriority w:val="99"/>
    <w:rPr>
      <w:rFonts w:ascii="Cambria" w:hAnsi="Cambria" w:eastAsia="宋体" w:cs="Times New Roman"/>
      <w:b/>
      <w:bCs/>
      <w:sz w:val="32"/>
      <w:szCs w:val="32"/>
    </w:rPr>
  </w:style>
  <w:style w:type="character" w:customStyle="1" w:styleId="72">
    <w:name w:val="标题 3 Char"/>
    <w:link w:val="6"/>
    <w:autoRedefine/>
    <w:qFormat/>
    <w:uiPriority w:val="99"/>
    <w:rPr>
      <w:rFonts w:cs="Times New Roman"/>
      <w:b/>
      <w:bCs/>
      <w:sz w:val="32"/>
      <w:szCs w:val="32"/>
    </w:rPr>
  </w:style>
  <w:style w:type="character" w:customStyle="1" w:styleId="73">
    <w:name w:val="标题 4 Char"/>
    <w:link w:val="7"/>
    <w:autoRedefine/>
    <w:qFormat/>
    <w:uiPriority w:val="99"/>
    <w:rPr>
      <w:rFonts w:ascii="Cambria" w:hAnsi="Cambria" w:eastAsia="宋体" w:cs="Times New Roman"/>
      <w:b/>
      <w:bCs/>
      <w:sz w:val="28"/>
      <w:szCs w:val="28"/>
    </w:rPr>
  </w:style>
  <w:style w:type="character" w:customStyle="1" w:styleId="74">
    <w:name w:val="正文文本 Char"/>
    <w:link w:val="12"/>
    <w:autoRedefine/>
    <w:qFormat/>
    <w:uiPriority w:val="99"/>
    <w:rPr>
      <w:rFonts w:ascii="Calibri" w:hAnsi="Calibri" w:cs="Times New Roman"/>
      <w:kern w:val="2"/>
      <w:sz w:val="24"/>
      <w:szCs w:val="24"/>
    </w:rPr>
  </w:style>
  <w:style w:type="character" w:customStyle="1" w:styleId="75">
    <w:name w:val="正文文本缩进 Char"/>
    <w:link w:val="3"/>
    <w:autoRedefine/>
    <w:qFormat/>
    <w:uiPriority w:val="99"/>
    <w:rPr>
      <w:rFonts w:cs="Times New Roman"/>
      <w:sz w:val="24"/>
      <w:szCs w:val="24"/>
    </w:rPr>
  </w:style>
  <w:style w:type="character" w:customStyle="1" w:styleId="76">
    <w:name w:val="纯文本 Char"/>
    <w:link w:val="16"/>
    <w:autoRedefine/>
    <w:qFormat/>
    <w:uiPriority w:val="99"/>
    <w:rPr>
      <w:rFonts w:ascii="宋体" w:hAnsi="Courier New" w:eastAsia="宋体" w:cs="Times New Roman"/>
      <w:kern w:val="2"/>
      <w:sz w:val="21"/>
      <w:lang w:val="en-US" w:eastAsia="zh-CN"/>
    </w:rPr>
  </w:style>
  <w:style w:type="character" w:customStyle="1" w:styleId="77">
    <w:name w:val="日期 Char"/>
    <w:link w:val="18"/>
    <w:autoRedefine/>
    <w:qFormat/>
    <w:uiPriority w:val="99"/>
    <w:rPr>
      <w:rFonts w:cs="Times New Roman"/>
      <w:sz w:val="24"/>
      <w:szCs w:val="24"/>
    </w:rPr>
  </w:style>
  <w:style w:type="character" w:customStyle="1" w:styleId="78">
    <w:name w:val="批注框文本 Char"/>
    <w:link w:val="21"/>
    <w:autoRedefine/>
    <w:qFormat/>
    <w:uiPriority w:val="99"/>
    <w:rPr>
      <w:rFonts w:cs="Times New Roman"/>
      <w:sz w:val="2"/>
    </w:rPr>
  </w:style>
  <w:style w:type="character" w:customStyle="1" w:styleId="79">
    <w:name w:val="页脚 Char"/>
    <w:link w:val="22"/>
    <w:autoRedefine/>
    <w:qFormat/>
    <w:uiPriority w:val="99"/>
    <w:rPr>
      <w:rFonts w:cs="Times New Roman"/>
      <w:sz w:val="18"/>
      <w:szCs w:val="18"/>
    </w:rPr>
  </w:style>
  <w:style w:type="character" w:customStyle="1" w:styleId="80">
    <w:name w:val="页眉 Char"/>
    <w:link w:val="23"/>
    <w:autoRedefine/>
    <w:qFormat/>
    <w:uiPriority w:val="99"/>
    <w:rPr>
      <w:rFonts w:cs="Times New Roman"/>
      <w:sz w:val="18"/>
      <w:szCs w:val="18"/>
    </w:rPr>
  </w:style>
  <w:style w:type="character" w:customStyle="1" w:styleId="81">
    <w:name w:val="标题 Char"/>
    <w:link w:val="32"/>
    <w:autoRedefine/>
    <w:qFormat/>
    <w:uiPriority w:val="99"/>
    <w:rPr>
      <w:rFonts w:ascii="Cambria" w:hAnsi="Cambria" w:cs="Times New Roman"/>
      <w:b/>
      <w:bCs/>
      <w:sz w:val="32"/>
      <w:szCs w:val="32"/>
    </w:rPr>
  </w:style>
  <w:style w:type="character" w:customStyle="1" w:styleId="82">
    <w:name w:val="slider_ctrl_con"/>
    <w:autoRedefine/>
    <w:qFormat/>
    <w:uiPriority w:val="99"/>
    <w:rPr>
      <w:shd w:val="clear" w:color="auto" w:fill="666666"/>
    </w:rPr>
  </w:style>
  <w:style w:type="character" w:customStyle="1" w:styleId="83">
    <w:name w:val="current"/>
    <w:autoRedefine/>
    <w:qFormat/>
    <w:uiPriority w:val="99"/>
    <w:rPr>
      <w:shd w:val="clear" w:color="auto" w:fill="A00303"/>
    </w:rPr>
  </w:style>
  <w:style w:type="character" w:customStyle="1" w:styleId="84">
    <w:name w:val="textcolor1"/>
    <w:autoRedefine/>
    <w:qFormat/>
    <w:uiPriority w:val="99"/>
    <w:rPr>
      <w:color w:val="FF6600"/>
    </w:rPr>
  </w:style>
  <w:style w:type="character" w:customStyle="1" w:styleId="85">
    <w:name w:val="纯文本 Char2"/>
    <w:autoRedefine/>
    <w:qFormat/>
    <w:uiPriority w:val="99"/>
    <w:rPr>
      <w:rFonts w:ascii="宋体" w:hAnsi="Courier New" w:eastAsia="宋体"/>
      <w:kern w:val="2"/>
      <w:sz w:val="20"/>
      <w:lang w:val="en-US" w:eastAsia="zh-CN"/>
    </w:rPr>
  </w:style>
  <w:style w:type="paragraph" w:customStyle="1" w:styleId="86">
    <w:name w:val="工经所正文"/>
    <w:basedOn w:val="1"/>
    <w:autoRedefine/>
    <w:qFormat/>
    <w:uiPriority w:val="0"/>
    <w:pPr>
      <w:spacing w:line="600" w:lineRule="exact"/>
      <w:ind w:firstLine="616" w:firstLineChars="200"/>
    </w:pPr>
    <w:rPr>
      <w:rFonts w:eastAsia="仿宋_GB2312" w:cs="仿宋_GB2312"/>
      <w:spacing w:val="-6"/>
      <w:sz w:val="32"/>
      <w:szCs w:val="32"/>
      <w:shd w:val="clear" w:color="auto" w:fill="FFFFFF"/>
      <w:lang w:val="zh-CN"/>
    </w:rPr>
  </w:style>
  <w:style w:type="paragraph" w:customStyle="1" w:styleId="87">
    <w:name w:val="样式1"/>
    <w:basedOn w:val="10"/>
    <w:autoRedefine/>
    <w:qFormat/>
    <w:uiPriority w:val="0"/>
    <w:pPr>
      <w:ind w:firstLine="510"/>
    </w:pPr>
    <w:rPr>
      <w:rFonts w:ascii="宋体"/>
    </w:rPr>
  </w:style>
  <w:style w:type="paragraph" w:customStyle="1" w:styleId="88">
    <w:name w:val="保留正文"/>
    <w:basedOn w:val="1"/>
    <w:autoRedefine/>
    <w:qFormat/>
    <w:uiPriority w:val="0"/>
    <w:pPr>
      <w:keepNext/>
      <w:spacing w:line="480" w:lineRule="auto"/>
    </w:pPr>
    <w:rPr>
      <w:rFonts w:ascii="宋体"/>
    </w:rPr>
  </w:style>
  <w:style w:type="paragraph" w:customStyle="1" w:styleId="89">
    <w:name w:val="目录"/>
    <w:basedOn w:val="24"/>
    <w:autoRedefine/>
    <w:qFormat/>
    <w:uiPriority w:val="0"/>
    <w:pPr>
      <w:tabs>
        <w:tab w:val="right" w:leader="dot" w:pos="7937"/>
      </w:tabs>
      <w:spacing w:line="360" w:lineRule="auto"/>
      <w:jc w:val="center"/>
    </w:pPr>
    <w:rPr>
      <w:rFonts w:ascii="宋体" w:eastAsia="黑体"/>
      <w:b/>
      <w:caps/>
      <w:sz w:val="30"/>
    </w:rPr>
  </w:style>
  <w:style w:type="paragraph" w:customStyle="1" w:styleId="90">
    <w:name w:val="单位"/>
    <w:basedOn w:val="1"/>
    <w:autoRedefine/>
    <w:qFormat/>
    <w:uiPriority w:val="0"/>
    <w:pPr>
      <w:jc w:val="center"/>
    </w:pPr>
    <w:rPr>
      <w:rFonts w:ascii="宋体"/>
      <w:b/>
      <w:sz w:val="32"/>
    </w:rPr>
  </w:style>
  <w:style w:type="character" w:customStyle="1" w:styleId="91">
    <w:name w:val="批注文字 Char"/>
    <w:link w:val="11"/>
    <w:autoRedefine/>
    <w:qFormat/>
    <w:uiPriority w:val="0"/>
    <w:rPr>
      <w:kern w:val="2"/>
      <w:sz w:val="21"/>
      <w:szCs w:val="24"/>
    </w:rPr>
  </w:style>
  <w:style w:type="character" w:customStyle="1" w:styleId="92">
    <w:name w:val="批注主题 Char"/>
    <w:link w:val="33"/>
    <w:autoRedefine/>
    <w:qFormat/>
    <w:uiPriority w:val="0"/>
    <w:rPr>
      <w:b/>
      <w:bCs/>
      <w:kern w:val="2"/>
      <w:sz w:val="21"/>
      <w:szCs w:val="24"/>
    </w:rPr>
  </w:style>
  <w:style w:type="character" w:customStyle="1" w:styleId="93">
    <w:name w:val="large1"/>
    <w:autoRedefine/>
    <w:qFormat/>
    <w:uiPriority w:val="99"/>
    <w:rPr>
      <w:rFonts w:ascii="宋体" w:hAnsi="宋体" w:eastAsia="宋体"/>
      <w:sz w:val="21"/>
    </w:rPr>
  </w:style>
  <w:style w:type="paragraph" w:customStyle="1" w:styleId="94">
    <w:name w:val="样式 标题 31.1.1标题 333rd levelBOD 0Bold HeadCTH3H31Heading ...1"/>
    <w:basedOn w:val="6"/>
    <w:autoRedefine/>
    <w:qFormat/>
    <w:uiPriority w:val="99"/>
    <w:pPr>
      <w:spacing w:before="0" w:after="0"/>
    </w:pPr>
    <w:rPr>
      <w:rFonts w:hAnsi="宋体" w:cs="宋体"/>
      <w:sz w:val="24"/>
    </w:rPr>
  </w:style>
  <w:style w:type="paragraph" w:customStyle="1" w:styleId="95">
    <w:name w:val="CM2"/>
    <w:basedOn w:val="1"/>
    <w:next w:val="1"/>
    <w:autoRedefine/>
    <w:qFormat/>
    <w:uiPriority w:val="99"/>
    <w:pPr>
      <w:autoSpaceDE w:val="0"/>
      <w:autoSpaceDN w:val="0"/>
      <w:adjustRightInd w:val="0"/>
      <w:spacing w:line="343" w:lineRule="atLeast"/>
      <w:jc w:val="left"/>
    </w:pPr>
    <w:rPr>
      <w:rFonts w:ascii="宋体"/>
      <w:kern w:val="0"/>
      <w:sz w:val="24"/>
    </w:rPr>
  </w:style>
  <w:style w:type="character" w:customStyle="1" w:styleId="96">
    <w:name w:val="无"/>
    <w:autoRedefine/>
    <w:qFormat/>
    <w:uiPriority w:val="99"/>
  </w:style>
  <w:style w:type="character" w:customStyle="1" w:styleId="97">
    <w:name w:val="bookmark-item"/>
    <w:basedOn w:val="44"/>
    <w:autoRedefine/>
    <w:qFormat/>
    <w:uiPriority w:val="0"/>
  </w:style>
  <w:style w:type="character" w:customStyle="1" w:styleId="98">
    <w:name w:val="sub"/>
    <w:basedOn w:val="44"/>
    <w:autoRedefine/>
    <w:qFormat/>
    <w:uiPriority w:val="0"/>
  </w:style>
  <w:style w:type="paragraph" w:customStyle="1" w:styleId="99">
    <w:name w:val="List Paragraph1"/>
    <w:basedOn w:val="1"/>
    <w:autoRedefine/>
    <w:qFormat/>
    <w:uiPriority w:val="99"/>
    <w:pPr>
      <w:ind w:firstLine="420" w:firstLineChars="200"/>
    </w:pPr>
  </w:style>
  <w:style w:type="paragraph" w:styleId="100">
    <w:name w:val="List Paragraph"/>
    <w:basedOn w:val="1"/>
    <w:autoRedefine/>
    <w:qFormat/>
    <w:uiPriority w:val="34"/>
    <w:pPr>
      <w:ind w:firstLine="420" w:firstLineChars="200"/>
    </w:pPr>
  </w:style>
  <w:style w:type="paragraph" w:customStyle="1" w:styleId="101">
    <w:name w:val="正文 A"/>
    <w:autoRedefine/>
    <w:qFormat/>
    <w:uiPriority w:val="0"/>
    <w:pPr>
      <w:widowControl w:val="0"/>
      <w:jc w:val="both"/>
    </w:pPr>
    <w:rPr>
      <w:rFonts w:ascii="Calibri" w:hAnsi="Calibri" w:eastAsia="Arial Unicode MS" w:cs="Arial Unicode MS"/>
      <w:color w:val="000000"/>
      <w:kern w:val="2"/>
      <w:sz w:val="21"/>
      <w:szCs w:val="21"/>
      <w:lang w:val="en-US" w:eastAsia="zh-CN" w:bidi="ar-SA"/>
    </w:rPr>
  </w:style>
  <w:style w:type="paragraph" w:customStyle="1" w:styleId="102">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03">
    <w:name w:val="CM11"/>
    <w:basedOn w:val="60"/>
    <w:next w:val="60"/>
    <w:autoRedefine/>
    <w:qFormat/>
    <w:uiPriority w:val="99"/>
    <w:pPr>
      <w:spacing w:line="520" w:lineRule="atLeast"/>
    </w:pPr>
  </w:style>
  <w:style w:type="character" w:customStyle="1" w:styleId="104">
    <w:name w:val="font71"/>
    <w:basedOn w:val="44"/>
    <w:autoRedefine/>
    <w:qFormat/>
    <w:uiPriority w:val="0"/>
    <w:rPr>
      <w:rFonts w:hint="eastAsia" w:ascii="宋体" w:hAnsi="宋体" w:eastAsia="宋体" w:cs="宋体"/>
      <w:color w:val="FF0000"/>
      <w:sz w:val="20"/>
      <w:szCs w:val="20"/>
      <w:u w:val="none"/>
    </w:rPr>
  </w:style>
  <w:style w:type="character" w:customStyle="1" w:styleId="105">
    <w:name w:val="font81"/>
    <w:basedOn w:val="44"/>
    <w:autoRedefine/>
    <w:qFormat/>
    <w:uiPriority w:val="0"/>
    <w:rPr>
      <w:rFonts w:hint="default" w:ascii="Times New Roman" w:hAnsi="Times New Roman" w:cs="Times New Roman"/>
      <w:b/>
      <w:bCs/>
      <w:color w:val="FF0000"/>
      <w:sz w:val="20"/>
      <w:szCs w:val="20"/>
      <w:u w:val="none"/>
    </w:rPr>
  </w:style>
  <w:style w:type="character" w:customStyle="1" w:styleId="106">
    <w:name w:val="font41"/>
    <w:basedOn w:val="44"/>
    <w:autoRedefine/>
    <w:qFormat/>
    <w:uiPriority w:val="0"/>
    <w:rPr>
      <w:rFonts w:hint="eastAsia" w:ascii="宋体" w:hAnsi="宋体" w:eastAsia="宋体" w:cs="宋体"/>
      <w:b/>
      <w:bCs/>
      <w:color w:val="FF0000"/>
      <w:sz w:val="20"/>
      <w:szCs w:val="20"/>
      <w:u w:val="none"/>
    </w:rPr>
  </w:style>
  <w:style w:type="character" w:customStyle="1" w:styleId="107">
    <w:name w:val="font91"/>
    <w:basedOn w:val="44"/>
    <w:autoRedefine/>
    <w:qFormat/>
    <w:uiPriority w:val="0"/>
    <w:rPr>
      <w:rFonts w:hint="default" w:ascii="Times New Roman" w:hAnsi="Times New Roman" w:cs="Times New Roman"/>
      <w:color w:val="FF0000"/>
      <w:sz w:val="20"/>
      <w:szCs w:val="20"/>
      <w:u w:val="none"/>
    </w:rPr>
  </w:style>
  <w:style w:type="paragraph" w:customStyle="1" w:styleId="108">
    <w:name w:val="Plain Text_b95d2b5f-71c2-4d6d-9119-51e39a3b0bde"/>
    <w:basedOn w:val="1"/>
    <w:autoRedefine/>
    <w:qFormat/>
    <w:uiPriority w:val="0"/>
    <w:rPr>
      <w:rFonts w:ascii="宋体" w:hAnsi="Courier New" w:eastAsia="仿宋_GB2312"/>
      <w:sz w:val="24"/>
      <w:lang w:eastAsia="en-US"/>
    </w:rPr>
  </w:style>
  <w:style w:type="character" w:customStyle="1" w:styleId="109">
    <w:name w:val="font11"/>
    <w:basedOn w:val="44"/>
    <w:autoRedefine/>
    <w:qFormat/>
    <w:uiPriority w:val="0"/>
    <w:rPr>
      <w:rFonts w:hint="eastAsia" w:ascii="仿宋" w:hAnsi="仿宋" w:eastAsia="仿宋" w:cs="仿宋"/>
      <w:color w:val="000000"/>
      <w:sz w:val="22"/>
      <w:szCs w:val="22"/>
      <w:u w:val="none"/>
    </w:rPr>
  </w:style>
  <w:style w:type="paragraph" w:customStyle="1" w:styleId="110">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3">
    <w:name w:val="font51"/>
    <w:basedOn w:val="44"/>
    <w:autoRedefine/>
    <w:qFormat/>
    <w:uiPriority w:val="0"/>
    <w:rPr>
      <w:rFonts w:hint="eastAsia" w:ascii="仿宋" w:hAnsi="仿宋" w:eastAsia="仿宋" w:cs="仿宋"/>
      <w:color w:val="000000"/>
      <w:sz w:val="24"/>
      <w:szCs w:val="24"/>
      <w:u w:val="none"/>
      <w:vertAlign w:val="superscript"/>
    </w:rPr>
  </w:style>
  <w:style w:type="character" w:customStyle="1" w:styleId="114">
    <w:name w:val="font01"/>
    <w:basedOn w:val="44"/>
    <w:autoRedefine/>
    <w:qFormat/>
    <w:uiPriority w:val="0"/>
    <w:rPr>
      <w:rFonts w:hint="eastAsia" w:ascii="等线" w:hAnsi="等线" w:eastAsia="等线" w:cs="等线"/>
      <w:color w:val="000000"/>
      <w:sz w:val="22"/>
      <w:szCs w:val="22"/>
      <w:u w:val="none"/>
    </w:rPr>
  </w:style>
  <w:style w:type="character" w:customStyle="1" w:styleId="115">
    <w:name w:val="font31"/>
    <w:basedOn w:val="44"/>
    <w:autoRedefine/>
    <w:qFormat/>
    <w:uiPriority w:val="0"/>
    <w:rPr>
      <w:rFonts w:hint="eastAsia" w:ascii="宋体" w:hAnsi="宋体" w:eastAsia="宋体" w:cs="宋体"/>
      <w:color w:val="000000"/>
      <w:sz w:val="24"/>
      <w:szCs w:val="24"/>
      <w:u w:val="none"/>
    </w:rPr>
  </w:style>
  <w:style w:type="paragraph" w:customStyle="1" w:styleId="116">
    <w:name w:val="样式 段前: 6 磅 段后: 6 磅 行距: 1.5 倍行距"/>
    <w:basedOn w:val="1"/>
    <w:autoRedefine/>
    <w:qFormat/>
    <w:uiPriority w:val="0"/>
    <w:pPr>
      <w:spacing w:before="120" w:after="120" w:line="360" w:lineRule="auto"/>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emf"/><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83</Pages>
  <Words>32744</Words>
  <Characters>36179</Characters>
  <Lines>1</Lines>
  <Paragraphs>1</Paragraphs>
  <TotalTime>35</TotalTime>
  <ScaleCrop>false</ScaleCrop>
  <LinksUpToDate>false</LinksUpToDate>
  <CharactersWithSpaces>40146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2019-10-18T22:03:00Z</dcterms:created>
  <dc:creator>john</dc:creator>
  <cp:lastModifiedBy>奶奶的孙女</cp:lastModifiedBy>
  <cp:lastPrinted>2020-11-25T23:18:00Z</cp:lastPrinted>
  <dcterms:modified xsi:type="dcterms:W3CDTF">2024-04-25T11:30:37Z</dcterms:modified>
  <dc:title>嘉兴市体育局关于</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EAB2E6570A7DB8744B7C1F6653BDD88F</vt:lpwstr>
  </property>
  <property fmtid="{D5CDD505-2E9C-101B-9397-08002B2CF9AE}" pid="4" name="woTemplateTypoMode" linkTarget="0">
    <vt:lpwstr>web</vt:lpwstr>
  </property>
  <property fmtid="{D5CDD505-2E9C-101B-9397-08002B2CF9AE}" pid="5" name="woTemplate" linkTarget="0">
    <vt:i4>1</vt:i4>
  </property>
</Properties>
</file>