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503681">
      <w:pPr>
        <w:rPr>
          <w:rFonts w:ascii="宋体" w:cs="宋体"/>
          <w:b/>
          <w:bCs/>
          <w:color w:val="auto"/>
          <w:sz w:val="48"/>
          <w:szCs w:val="48"/>
          <w:highlight w:val="none"/>
        </w:rPr>
      </w:pPr>
      <w:bookmarkStart w:id="0" w:name="_Toc177870533"/>
    </w:p>
    <w:p w14:paraId="7775A548">
      <w:pPr>
        <w:spacing w:line="800" w:lineRule="exact"/>
        <w:jc w:val="center"/>
        <w:rPr>
          <w:rFonts w:hint="eastAsia" w:ascii="宋体" w:eastAsia="宋体"/>
          <w:b/>
          <w:bCs/>
          <w:color w:val="auto"/>
          <w:sz w:val="48"/>
          <w:szCs w:val="48"/>
          <w:highlight w:val="none"/>
          <w:lang w:eastAsia="zh-CN"/>
        </w:rPr>
      </w:pPr>
      <w:r>
        <w:rPr>
          <w:rFonts w:hint="eastAsia" w:ascii="宋体" w:cs="宋体"/>
          <w:b/>
          <w:bCs/>
          <w:color w:val="auto"/>
          <w:sz w:val="48"/>
          <w:szCs w:val="48"/>
          <w:highlight w:val="none"/>
          <w:lang w:eastAsia="zh-CN"/>
        </w:rPr>
        <w:t>浙江省南湖监狱安防设施维保项目（2025）</w:t>
      </w:r>
    </w:p>
    <w:p w14:paraId="3E03E31E">
      <w:pPr>
        <w:rPr>
          <w:rFonts w:ascii="宋体"/>
          <w:color w:val="auto"/>
          <w:highlight w:val="none"/>
        </w:rPr>
      </w:pPr>
    </w:p>
    <w:p w14:paraId="298F6848">
      <w:pPr>
        <w:pStyle w:val="70"/>
        <w:spacing w:before="120"/>
        <w:ind w:firstLine="0"/>
        <w:rPr>
          <w:rFonts w:ascii="宋体"/>
          <w:color w:val="auto"/>
          <w:highlight w:val="none"/>
        </w:rPr>
      </w:pPr>
    </w:p>
    <w:p w14:paraId="2A4ABB9F">
      <w:pPr>
        <w:rPr>
          <w:rFonts w:ascii="宋体"/>
          <w:color w:val="auto"/>
          <w:highlight w:val="none"/>
        </w:rPr>
      </w:pPr>
    </w:p>
    <w:p w14:paraId="5D617BFD">
      <w:pPr>
        <w:rPr>
          <w:rFonts w:ascii="宋体"/>
          <w:color w:val="auto"/>
          <w:highlight w:val="none"/>
        </w:rPr>
      </w:pPr>
    </w:p>
    <w:p w14:paraId="4B43AF1C">
      <w:pPr>
        <w:pStyle w:val="55"/>
        <w:rPr>
          <w:rFonts w:ascii="宋体"/>
          <w:color w:val="auto"/>
          <w:highlight w:val="none"/>
        </w:rPr>
      </w:pPr>
    </w:p>
    <w:p w14:paraId="6D1F0C99">
      <w:pPr>
        <w:rPr>
          <w:color w:val="auto"/>
          <w:highlight w:val="none"/>
        </w:rPr>
      </w:pPr>
    </w:p>
    <w:p w14:paraId="4825EEEF">
      <w:pPr>
        <w:pStyle w:val="70"/>
        <w:spacing w:before="120"/>
        <w:rPr>
          <w:color w:val="auto"/>
          <w:highlight w:val="none"/>
        </w:rPr>
      </w:pPr>
    </w:p>
    <w:p w14:paraId="5B5522D2">
      <w:pPr>
        <w:rPr>
          <w:rFonts w:ascii="宋体"/>
          <w:color w:val="auto"/>
          <w:highlight w:val="none"/>
        </w:rPr>
      </w:pPr>
    </w:p>
    <w:p w14:paraId="0696B256">
      <w:pPr>
        <w:jc w:val="center"/>
        <w:rPr>
          <w:rFonts w:ascii="宋体"/>
          <w:color w:val="auto"/>
          <w:sz w:val="72"/>
          <w:szCs w:val="72"/>
          <w:highlight w:val="none"/>
        </w:rPr>
      </w:pPr>
      <w:r>
        <w:rPr>
          <w:rFonts w:hint="eastAsia" w:ascii="宋体"/>
          <w:b/>
          <w:color w:val="auto"/>
          <w:sz w:val="72"/>
          <w:szCs w:val="72"/>
          <w:highlight w:val="none"/>
        </w:rPr>
        <w:t>公开招标文件</w:t>
      </w:r>
    </w:p>
    <w:p w14:paraId="4A272ABB">
      <w:pPr>
        <w:jc w:val="center"/>
        <w:rPr>
          <w:rFonts w:ascii="宋体"/>
          <w:color w:val="auto"/>
          <w:sz w:val="28"/>
          <w:szCs w:val="28"/>
          <w:highlight w:val="none"/>
        </w:rPr>
      </w:pPr>
    </w:p>
    <w:p w14:paraId="4F5D30AC">
      <w:pPr>
        <w:jc w:val="center"/>
        <w:rPr>
          <w:rFonts w:ascii="宋体"/>
          <w:color w:val="auto"/>
          <w:sz w:val="28"/>
          <w:szCs w:val="28"/>
          <w:highlight w:val="none"/>
        </w:rPr>
      </w:pPr>
    </w:p>
    <w:p w14:paraId="73E481E6">
      <w:pPr>
        <w:jc w:val="center"/>
        <w:rPr>
          <w:rFonts w:ascii="宋体"/>
          <w:color w:val="auto"/>
          <w:sz w:val="30"/>
          <w:szCs w:val="30"/>
          <w:highlight w:val="none"/>
        </w:rPr>
      </w:pPr>
    </w:p>
    <w:p w14:paraId="4E833C67">
      <w:pPr>
        <w:jc w:val="center"/>
        <w:rPr>
          <w:rFonts w:ascii="宋体"/>
          <w:color w:val="auto"/>
          <w:sz w:val="30"/>
          <w:szCs w:val="30"/>
          <w:highlight w:val="none"/>
        </w:rPr>
      </w:pPr>
    </w:p>
    <w:p w14:paraId="541D79FC">
      <w:pPr>
        <w:jc w:val="center"/>
        <w:rPr>
          <w:rFonts w:ascii="宋体"/>
          <w:color w:val="auto"/>
          <w:sz w:val="30"/>
          <w:szCs w:val="30"/>
          <w:highlight w:val="none"/>
        </w:rPr>
      </w:pPr>
    </w:p>
    <w:p w14:paraId="23B21F36">
      <w:pPr>
        <w:jc w:val="center"/>
        <w:rPr>
          <w:rFonts w:ascii="宋体"/>
          <w:color w:val="auto"/>
          <w:sz w:val="30"/>
          <w:szCs w:val="30"/>
          <w:highlight w:val="none"/>
        </w:rPr>
      </w:pPr>
    </w:p>
    <w:p w14:paraId="2CE104FB">
      <w:pPr>
        <w:rPr>
          <w:rFonts w:ascii="宋体"/>
          <w:color w:val="auto"/>
          <w:sz w:val="28"/>
          <w:szCs w:val="28"/>
          <w:highlight w:val="none"/>
        </w:rPr>
      </w:pPr>
    </w:p>
    <w:p w14:paraId="241BD4CC">
      <w:pPr>
        <w:spacing w:line="600" w:lineRule="exact"/>
        <w:ind w:firstLine="980" w:firstLineChars="350"/>
        <w:rPr>
          <w:rFonts w:hint="eastAsia" w:ascii="宋体" w:eastAsia="宋体"/>
          <w:color w:val="auto"/>
          <w:sz w:val="28"/>
          <w:szCs w:val="28"/>
          <w:highlight w:val="none"/>
          <w:lang w:eastAsia="zh-CN"/>
        </w:rPr>
      </w:pPr>
      <w:bookmarkStart w:id="1" w:name="_Toc293916797"/>
      <w:r>
        <w:rPr>
          <w:rFonts w:hint="eastAsia" w:ascii="宋体"/>
          <w:color w:val="auto"/>
          <w:sz w:val="28"/>
          <w:szCs w:val="28"/>
          <w:highlight w:val="none"/>
        </w:rPr>
        <w:t>项 目  编 号：</w:t>
      </w:r>
      <w:r>
        <w:rPr>
          <w:rFonts w:hint="eastAsia" w:ascii="宋体"/>
          <w:color w:val="auto"/>
          <w:sz w:val="28"/>
          <w:szCs w:val="28"/>
          <w:highlight w:val="none"/>
          <w:lang w:eastAsia="zh-CN"/>
        </w:rPr>
        <w:t>SNH-B202514028</w:t>
      </w:r>
    </w:p>
    <w:p w14:paraId="56A959B7">
      <w:pPr>
        <w:pStyle w:val="70"/>
        <w:spacing w:before="120"/>
        <w:rPr>
          <w:color w:val="auto"/>
          <w:highlight w:val="none"/>
        </w:rPr>
      </w:pPr>
    </w:p>
    <w:p w14:paraId="7B8FEED6">
      <w:pPr>
        <w:spacing w:line="600" w:lineRule="exact"/>
        <w:ind w:firstLine="980" w:firstLineChars="350"/>
        <w:rPr>
          <w:rFonts w:hint="eastAsia" w:ascii="宋体" w:eastAsia="宋体"/>
          <w:color w:val="auto"/>
          <w:sz w:val="28"/>
          <w:szCs w:val="28"/>
          <w:highlight w:val="none"/>
          <w:lang w:eastAsia="zh-CN"/>
        </w:rPr>
      </w:pPr>
      <w:r>
        <w:rPr>
          <w:rFonts w:hint="eastAsia" w:ascii="宋体"/>
          <w:color w:val="auto"/>
          <w:sz w:val="28"/>
          <w:szCs w:val="28"/>
          <w:highlight w:val="none"/>
          <w:lang w:eastAsia="zh-CN"/>
        </w:rPr>
        <w:t>招</w:t>
      </w:r>
      <w:r>
        <w:rPr>
          <w:rFonts w:hint="eastAsia" w:ascii="宋体"/>
          <w:color w:val="auto"/>
          <w:sz w:val="28"/>
          <w:szCs w:val="28"/>
          <w:highlight w:val="none"/>
          <w:lang w:val="en-US" w:eastAsia="zh-CN"/>
        </w:rPr>
        <w:t xml:space="preserve"> </w:t>
      </w:r>
      <w:r>
        <w:rPr>
          <w:rFonts w:hint="eastAsia" w:ascii="宋体"/>
          <w:color w:val="auto"/>
          <w:sz w:val="28"/>
          <w:szCs w:val="28"/>
          <w:highlight w:val="none"/>
          <w:lang w:eastAsia="zh-CN"/>
        </w:rPr>
        <w:t>标</w:t>
      </w:r>
      <w:r>
        <w:rPr>
          <w:rFonts w:hint="eastAsia" w:ascii="宋体"/>
          <w:color w:val="auto"/>
          <w:sz w:val="28"/>
          <w:szCs w:val="28"/>
          <w:highlight w:val="none"/>
        </w:rPr>
        <w:t xml:space="preserve">  单 位：</w:t>
      </w:r>
      <w:r>
        <w:rPr>
          <w:rFonts w:hint="eastAsia" w:ascii="宋体"/>
          <w:color w:val="auto"/>
          <w:sz w:val="28"/>
          <w:szCs w:val="28"/>
          <w:highlight w:val="none"/>
          <w:lang w:eastAsia="zh-CN"/>
        </w:rPr>
        <w:t>浙江省南湖监狱</w:t>
      </w:r>
    </w:p>
    <w:p w14:paraId="6D2B862F">
      <w:pPr>
        <w:spacing w:line="600" w:lineRule="exact"/>
        <w:ind w:firstLine="735" w:firstLineChars="350"/>
        <w:rPr>
          <w:rFonts w:ascii="宋体"/>
          <w:color w:val="auto"/>
          <w:highlight w:val="none"/>
        </w:rPr>
      </w:pPr>
    </w:p>
    <w:p w14:paraId="64B742E3">
      <w:pPr>
        <w:spacing w:line="600" w:lineRule="exact"/>
        <w:ind w:firstLine="980" w:firstLineChars="350"/>
        <w:rPr>
          <w:rFonts w:hint="eastAsia" w:ascii="宋体" w:eastAsia="宋体"/>
          <w:color w:val="auto"/>
          <w:sz w:val="28"/>
          <w:szCs w:val="28"/>
          <w:highlight w:val="none"/>
          <w:lang w:eastAsia="zh-CN"/>
        </w:rPr>
      </w:pPr>
      <w:r>
        <w:rPr>
          <w:rFonts w:hint="eastAsia" w:ascii="宋体"/>
          <w:color w:val="auto"/>
          <w:sz w:val="28"/>
          <w:szCs w:val="28"/>
          <w:highlight w:val="none"/>
          <w:lang w:eastAsia="zh-CN"/>
        </w:rPr>
        <w:t>招标</w:t>
      </w:r>
      <w:r>
        <w:rPr>
          <w:rFonts w:hint="eastAsia" w:ascii="宋体"/>
          <w:color w:val="auto"/>
          <w:sz w:val="28"/>
          <w:szCs w:val="28"/>
          <w:highlight w:val="none"/>
        </w:rPr>
        <w:t>代理机构：</w:t>
      </w:r>
      <w:r>
        <w:rPr>
          <w:rFonts w:hint="eastAsia" w:ascii="宋体"/>
          <w:color w:val="auto"/>
          <w:sz w:val="28"/>
          <w:szCs w:val="28"/>
          <w:highlight w:val="none"/>
          <w:lang w:val="en-US" w:eastAsia="zh-CN"/>
        </w:rPr>
        <w:t>浙江勋达工程咨询有限公司</w:t>
      </w:r>
    </w:p>
    <w:p w14:paraId="6704F84E">
      <w:pPr>
        <w:spacing w:line="600" w:lineRule="exact"/>
        <w:rPr>
          <w:rFonts w:ascii="宋体"/>
          <w:color w:val="auto"/>
          <w:highlight w:val="none"/>
        </w:rPr>
      </w:pPr>
    </w:p>
    <w:p w14:paraId="0C749657">
      <w:pPr>
        <w:snapToGrid w:val="0"/>
        <w:spacing w:line="600" w:lineRule="exact"/>
        <w:jc w:val="center"/>
        <w:rPr>
          <w:rFonts w:ascii="宋体"/>
          <w:color w:val="auto"/>
          <w:sz w:val="28"/>
          <w:szCs w:val="28"/>
          <w:highlight w:val="none"/>
        </w:rPr>
      </w:pPr>
    </w:p>
    <w:p w14:paraId="4461403B">
      <w:pPr>
        <w:snapToGrid w:val="0"/>
        <w:spacing w:line="600" w:lineRule="exact"/>
        <w:jc w:val="center"/>
        <w:rPr>
          <w:rFonts w:ascii="宋体"/>
          <w:color w:val="auto"/>
          <w:sz w:val="28"/>
          <w:szCs w:val="28"/>
          <w:highlight w:val="none"/>
        </w:rPr>
      </w:pPr>
      <w:r>
        <w:rPr>
          <w:rFonts w:hint="eastAsia" w:ascii="宋体"/>
          <w:color w:val="auto"/>
          <w:sz w:val="28"/>
          <w:szCs w:val="28"/>
          <w:highlight w:val="none"/>
        </w:rPr>
        <w:t>二○二</w:t>
      </w:r>
      <w:r>
        <w:rPr>
          <w:rFonts w:hint="eastAsia" w:ascii="宋体"/>
          <w:color w:val="auto"/>
          <w:sz w:val="28"/>
          <w:szCs w:val="28"/>
          <w:highlight w:val="none"/>
          <w:lang w:val="en-US" w:eastAsia="zh-CN"/>
        </w:rPr>
        <w:t>五</w:t>
      </w:r>
      <w:r>
        <w:rPr>
          <w:rFonts w:hint="eastAsia" w:ascii="宋体"/>
          <w:color w:val="auto"/>
          <w:sz w:val="28"/>
          <w:szCs w:val="28"/>
          <w:highlight w:val="none"/>
        </w:rPr>
        <w:t>年</w:t>
      </w:r>
      <w:r>
        <w:rPr>
          <w:rFonts w:hint="eastAsia" w:ascii="宋体"/>
          <w:color w:val="auto"/>
          <w:sz w:val="28"/>
          <w:szCs w:val="28"/>
          <w:highlight w:val="none"/>
          <w:lang w:val="en-US" w:eastAsia="zh-CN"/>
        </w:rPr>
        <w:t>七</w:t>
      </w:r>
      <w:r>
        <w:rPr>
          <w:rFonts w:hint="eastAsia" w:ascii="宋体"/>
          <w:color w:val="auto"/>
          <w:sz w:val="28"/>
          <w:szCs w:val="28"/>
          <w:highlight w:val="none"/>
        </w:rPr>
        <w:t>月</w:t>
      </w:r>
    </w:p>
    <w:p w14:paraId="714FE8EE">
      <w:pPr>
        <w:pStyle w:val="25"/>
        <w:spacing w:beforeLines="0" w:afterLines="0" w:line="360" w:lineRule="auto"/>
        <w:ind w:left="0" w:firstLine="0"/>
        <w:jc w:val="center"/>
        <w:rPr>
          <w:b/>
          <w:color w:val="auto"/>
          <w:sz w:val="48"/>
          <w:szCs w:val="48"/>
          <w:highlight w:val="none"/>
        </w:rPr>
      </w:pPr>
      <w:r>
        <w:rPr>
          <w:b/>
          <w:color w:val="auto"/>
          <w:sz w:val="32"/>
          <w:szCs w:val="32"/>
          <w:highlight w:val="none"/>
        </w:rPr>
        <w:br w:type="page"/>
      </w:r>
      <w:r>
        <w:rPr>
          <w:rFonts w:hint="eastAsia"/>
          <w:b/>
          <w:color w:val="auto"/>
          <w:sz w:val="48"/>
          <w:szCs w:val="48"/>
          <w:highlight w:val="none"/>
        </w:rPr>
        <w:t>目    录</w:t>
      </w:r>
      <w:bookmarkEnd w:id="1"/>
    </w:p>
    <w:p w14:paraId="3C823AC1">
      <w:pPr>
        <w:pStyle w:val="33"/>
        <w:keepNext w:val="0"/>
        <w:keepLines w:val="0"/>
        <w:pageBreakBefore w:val="0"/>
        <w:widowControl w:val="0"/>
        <w:tabs>
          <w:tab w:val="right" w:leader="dot" w:pos="8504"/>
          <w:tab w:val="clear" w:pos="1200"/>
        </w:tabs>
        <w:kinsoku/>
        <w:wordWrap/>
        <w:overflowPunct/>
        <w:topLinePunct w:val="0"/>
        <w:autoSpaceDE/>
        <w:autoSpaceDN/>
        <w:bidi w:val="0"/>
        <w:adjustRightInd/>
        <w:snapToGrid/>
        <w:spacing w:beforeLines="0" w:afterLines="0" w:line="400" w:lineRule="exact"/>
        <w:textAlignment w:val="auto"/>
        <w:rPr>
          <w:rFonts w:ascii="宋体" w:cs="宋体"/>
          <w:b w:val="0"/>
          <w:bCs w:val="0"/>
          <w:color w:val="auto"/>
          <w:sz w:val="24"/>
          <w:szCs w:val="24"/>
          <w:highlight w:val="none"/>
        </w:rPr>
      </w:pP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TOC \o "1-2" \h  \u </w:instrText>
      </w:r>
      <w:r>
        <w:rPr>
          <w:rFonts w:hint="eastAsia" w:ascii="宋体" w:cs="宋体"/>
          <w:b w:val="0"/>
          <w:bCs w:val="0"/>
          <w:color w:val="auto"/>
          <w:sz w:val="24"/>
          <w:szCs w:val="24"/>
          <w:highlight w:val="none"/>
        </w:rPr>
        <w:fldChar w:fldCharType="separate"/>
      </w:r>
      <w:r>
        <w:rPr>
          <w:color w:val="auto"/>
          <w:highlight w:val="none"/>
        </w:rPr>
        <w:fldChar w:fldCharType="begin"/>
      </w:r>
      <w:r>
        <w:rPr>
          <w:color w:val="auto"/>
          <w:highlight w:val="none"/>
        </w:rPr>
        <w:instrText xml:space="preserve"> HYPERLINK \l "_Toc9790" </w:instrText>
      </w:r>
      <w:r>
        <w:rPr>
          <w:color w:val="auto"/>
          <w:highlight w:val="none"/>
        </w:rPr>
        <w:fldChar w:fldCharType="separate"/>
      </w:r>
      <w:r>
        <w:rPr>
          <w:rFonts w:hint="eastAsia" w:ascii="宋体" w:cs="宋体"/>
          <w:b w:val="0"/>
          <w:bCs w:val="0"/>
          <w:color w:val="auto"/>
          <w:sz w:val="24"/>
          <w:szCs w:val="24"/>
          <w:highlight w:val="none"/>
        </w:rPr>
        <w:t>第一章、公开招标采购公告</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_Toc9790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2</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14:paraId="7A219ADD">
      <w:pPr>
        <w:pStyle w:val="33"/>
        <w:keepNext w:val="0"/>
        <w:keepLines w:val="0"/>
        <w:pageBreakBefore w:val="0"/>
        <w:widowControl w:val="0"/>
        <w:tabs>
          <w:tab w:val="right" w:leader="dot" w:pos="8504"/>
          <w:tab w:val="clear" w:pos="1200"/>
        </w:tabs>
        <w:kinsoku/>
        <w:wordWrap/>
        <w:overflowPunct/>
        <w:topLinePunct w:val="0"/>
        <w:autoSpaceDE/>
        <w:autoSpaceDN/>
        <w:bidi w:val="0"/>
        <w:adjustRightInd/>
        <w:snapToGrid/>
        <w:spacing w:beforeLines="0" w:afterLines="0" w:line="400" w:lineRule="exact"/>
        <w:textAlignment w:val="auto"/>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"_Toc24399" </w:instrText>
      </w:r>
      <w:r>
        <w:rPr>
          <w:color w:val="auto"/>
          <w:highlight w:val="none"/>
        </w:rPr>
        <w:fldChar w:fldCharType="separate"/>
      </w:r>
      <w:r>
        <w:rPr>
          <w:rFonts w:hint="eastAsia" w:ascii="宋体" w:cs="宋体"/>
          <w:b w:val="0"/>
          <w:bCs w:val="0"/>
          <w:color w:val="auto"/>
          <w:sz w:val="24"/>
          <w:szCs w:val="24"/>
          <w:highlight w:val="none"/>
        </w:rPr>
        <w:t>第二章、招标需求</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_Toc24399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5</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14:paraId="18183C9F">
      <w:pPr>
        <w:pStyle w:val="33"/>
        <w:keepNext w:val="0"/>
        <w:keepLines w:val="0"/>
        <w:pageBreakBefore w:val="0"/>
        <w:widowControl w:val="0"/>
        <w:tabs>
          <w:tab w:val="right" w:leader="dot" w:pos="8504"/>
          <w:tab w:val="clear" w:pos="1200"/>
        </w:tabs>
        <w:kinsoku/>
        <w:wordWrap/>
        <w:overflowPunct/>
        <w:topLinePunct w:val="0"/>
        <w:autoSpaceDE/>
        <w:autoSpaceDN/>
        <w:bidi w:val="0"/>
        <w:adjustRightInd/>
        <w:snapToGrid/>
        <w:spacing w:beforeLines="0" w:afterLines="0" w:line="400" w:lineRule="exact"/>
        <w:textAlignment w:val="auto"/>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"_Toc4239" </w:instrText>
      </w:r>
      <w:r>
        <w:rPr>
          <w:color w:val="auto"/>
          <w:highlight w:val="none"/>
        </w:rPr>
        <w:fldChar w:fldCharType="separate"/>
      </w:r>
      <w:r>
        <w:rPr>
          <w:rFonts w:hint="eastAsia" w:ascii="宋体" w:cs="宋体"/>
          <w:b w:val="0"/>
          <w:bCs w:val="0"/>
          <w:color w:val="auto"/>
          <w:sz w:val="24"/>
          <w:szCs w:val="24"/>
          <w:highlight w:val="none"/>
        </w:rPr>
        <w:t>第三章、投标人须知</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_Toc4239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11</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14:paraId="442F073B">
      <w:pPr>
        <w:pStyle w:val="39"/>
        <w:keepNext w:val="0"/>
        <w:keepLines w:val="0"/>
        <w:pageBreakBefore w:val="0"/>
        <w:widowControl w:val="0"/>
        <w:tabs>
          <w:tab w:val="right" w:leader="dot" w:pos="8504"/>
        </w:tabs>
        <w:kinsoku/>
        <w:wordWrap/>
        <w:overflowPunct/>
        <w:topLinePunct w:val="0"/>
        <w:autoSpaceDE/>
        <w:autoSpaceDN/>
        <w:bidi w:val="0"/>
        <w:adjustRightInd/>
        <w:snapToGrid/>
        <w:spacing w:line="400" w:lineRule="exact"/>
        <w:ind w:left="0" w:firstLine="400" w:firstLineChars="200"/>
        <w:textAlignment w:val="auto"/>
        <w:rPr>
          <w:rFonts w:ascii="宋体" w:cs="宋体"/>
          <w:color w:val="auto"/>
          <w:sz w:val="24"/>
          <w:szCs w:val="24"/>
          <w:highlight w:val="none"/>
        </w:rPr>
      </w:pPr>
      <w:r>
        <w:rPr>
          <w:color w:val="auto"/>
          <w:highlight w:val="none"/>
        </w:rPr>
        <w:fldChar w:fldCharType="begin"/>
      </w:r>
      <w:r>
        <w:rPr>
          <w:color w:val="auto"/>
          <w:highlight w:val="none"/>
        </w:rPr>
        <w:instrText xml:space="preserve"> HYPERLINK \l "_Toc31589" </w:instrText>
      </w:r>
      <w:r>
        <w:rPr>
          <w:color w:val="auto"/>
          <w:highlight w:val="none"/>
        </w:rPr>
        <w:fldChar w:fldCharType="separate"/>
      </w:r>
      <w:r>
        <w:rPr>
          <w:rFonts w:hint="eastAsia" w:ascii="宋体" w:cs="宋体"/>
          <w:color w:val="auto"/>
          <w:sz w:val="24"/>
          <w:szCs w:val="24"/>
          <w:highlight w:val="none"/>
        </w:rPr>
        <w:t>投标须知前附表</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_Toc31589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12</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14:paraId="0AB6576E">
      <w:pPr>
        <w:pStyle w:val="39"/>
        <w:keepNext w:val="0"/>
        <w:keepLines w:val="0"/>
        <w:pageBreakBefore w:val="0"/>
        <w:widowControl w:val="0"/>
        <w:tabs>
          <w:tab w:val="right" w:leader="dot" w:pos="8504"/>
        </w:tabs>
        <w:kinsoku/>
        <w:wordWrap/>
        <w:overflowPunct/>
        <w:topLinePunct w:val="0"/>
        <w:autoSpaceDE/>
        <w:autoSpaceDN/>
        <w:bidi w:val="0"/>
        <w:adjustRightInd/>
        <w:snapToGrid/>
        <w:spacing w:line="400" w:lineRule="exact"/>
        <w:ind w:left="0" w:firstLine="400" w:firstLineChars="200"/>
        <w:textAlignment w:val="auto"/>
        <w:rPr>
          <w:rFonts w:ascii="宋体" w:cs="宋体"/>
          <w:color w:val="auto"/>
          <w:sz w:val="24"/>
          <w:szCs w:val="24"/>
          <w:highlight w:val="none"/>
        </w:rPr>
      </w:pPr>
      <w:r>
        <w:rPr>
          <w:color w:val="auto"/>
          <w:highlight w:val="none"/>
        </w:rPr>
        <w:fldChar w:fldCharType="begin"/>
      </w:r>
      <w:r>
        <w:rPr>
          <w:color w:val="auto"/>
          <w:highlight w:val="none"/>
        </w:rPr>
        <w:instrText xml:space="preserve"> HYPERLINK \l "_Toc17241" </w:instrText>
      </w:r>
      <w:r>
        <w:rPr>
          <w:color w:val="auto"/>
          <w:highlight w:val="none"/>
        </w:rPr>
        <w:fldChar w:fldCharType="separate"/>
      </w:r>
      <w:r>
        <w:rPr>
          <w:rFonts w:hint="eastAsia" w:ascii="宋体" w:cs="宋体"/>
          <w:color w:val="auto"/>
          <w:sz w:val="24"/>
          <w:szCs w:val="24"/>
          <w:highlight w:val="none"/>
        </w:rPr>
        <w:t>一、总则</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_Toc17241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15</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14:paraId="4A7C1B48">
      <w:pPr>
        <w:pStyle w:val="39"/>
        <w:keepNext w:val="0"/>
        <w:keepLines w:val="0"/>
        <w:pageBreakBefore w:val="0"/>
        <w:widowControl w:val="0"/>
        <w:tabs>
          <w:tab w:val="right" w:leader="dot" w:pos="8504"/>
        </w:tabs>
        <w:kinsoku/>
        <w:wordWrap/>
        <w:overflowPunct/>
        <w:topLinePunct w:val="0"/>
        <w:autoSpaceDE/>
        <w:autoSpaceDN/>
        <w:bidi w:val="0"/>
        <w:adjustRightInd/>
        <w:snapToGrid/>
        <w:spacing w:line="400" w:lineRule="exact"/>
        <w:ind w:left="0" w:firstLine="400" w:firstLineChars="200"/>
        <w:textAlignment w:val="auto"/>
        <w:rPr>
          <w:rFonts w:ascii="宋体" w:cs="宋体"/>
          <w:color w:val="auto"/>
          <w:sz w:val="24"/>
          <w:szCs w:val="24"/>
          <w:highlight w:val="none"/>
        </w:rPr>
      </w:pPr>
      <w:r>
        <w:rPr>
          <w:color w:val="auto"/>
          <w:highlight w:val="none"/>
        </w:rPr>
        <w:fldChar w:fldCharType="begin"/>
      </w:r>
      <w:r>
        <w:rPr>
          <w:color w:val="auto"/>
          <w:highlight w:val="none"/>
        </w:rPr>
        <w:instrText xml:space="preserve"> HYPERLINK \l "_Toc1418" </w:instrText>
      </w:r>
      <w:r>
        <w:rPr>
          <w:color w:val="auto"/>
          <w:highlight w:val="none"/>
        </w:rPr>
        <w:fldChar w:fldCharType="separate"/>
      </w:r>
      <w:r>
        <w:rPr>
          <w:rFonts w:hint="eastAsia" w:ascii="宋体" w:cs="宋体"/>
          <w:color w:val="auto"/>
          <w:sz w:val="24"/>
          <w:szCs w:val="24"/>
          <w:highlight w:val="none"/>
        </w:rPr>
        <w:t>二、招标文件</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_Toc1418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17</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14:paraId="2C54FD55">
      <w:pPr>
        <w:pStyle w:val="39"/>
        <w:keepNext w:val="0"/>
        <w:keepLines w:val="0"/>
        <w:pageBreakBefore w:val="0"/>
        <w:widowControl w:val="0"/>
        <w:tabs>
          <w:tab w:val="right" w:leader="dot" w:pos="8504"/>
        </w:tabs>
        <w:kinsoku/>
        <w:wordWrap/>
        <w:overflowPunct/>
        <w:topLinePunct w:val="0"/>
        <w:autoSpaceDE/>
        <w:autoSpaceDN/>
        <w:bidi w:val="0"/>
        <w:adjustRightInd/>
        <w:snapToGrid/>
        <w:spacing w:line="400" w:lineRule="exact"/>
        <w:ind w:left="0" w:firstLine="400" w:firstLineChars="200"/>
        <w:textAlignment w:val="auto"/>
        <w:rPr>
          <w:rFonts w:ascii="宋体" w:cs="宋体"/>
          <w:color w:val="auto"/>
          <w:sz w:val="24"/>
          <w:szCs w:val="24"/>
          <w:highlight w:val="none"/>
        </w:rPr>
      </w:pPr>
      <w:r>
        <w:rPr>
          <w:color w:val="auto"/>
          <w:highlight w:val="none"/>
        </w:rPr>
        <w:fldChar w:fldCharType="begin"/>
      </w:r>
      <w:r>
        <w:rPr>
          <w:color w:val="auto"/>
          <w:highlight w:val="none"/>
        </w:rPr>
        <w:instrText xml:space="preserve"> HYPERLINK \l "_Toc5756" </w:instrText>
      </w:r>
      <w:r>
        <w:rPr>
          <w:color w:val="auto"/>
          <w:highlight w:val="none"/>
        </w:rPr>
        <w:fldChar w:fldCharType="separate"/>
      </w:r>
      <w:r>
        <w:rPr>
          <w:rFonts w:hint="eastAsia" w:ascii="宋体" w:cs="宋体"/>
          <w:color w:val="auto"/>
          <w:sz w:val="24"/>
          <w:szCs w:val="24"/>
          <w:highlight w:val="none"/>
        </w:rPr>
        <w:t>三、投标文件的编制</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_Toc5756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17</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14:paraId="49209221">
      <w:pPr>
        <w:pStyle w:val="39"/>
        <w:keepNext w:val="0"/>
        <w:keepLines w:val="0"/>
        <w:pageBreakBefore w:val="0"/>
        <w:widowControl w:val="0"/>
        <w:tabs>
          <w:tab w:val="right" w:leader="dot" w:pos="8504"/>
        </w:tabs>
        <w:kinsoku/>
        <w:wordWrap/>
        <w:overflowPunct/>
        <w:topLinePunct w:val="0"/>
        <w:autoSpaceDE/>
        <w:autoSpaceDN/>
        <w:bidi w:val="0"/>
        <w:adjustRightInd/>
        <w:snapToGrid/>
        <w:spacing w:line="400" w:lineRule="exact"/>
        <w:ind w:left="0" w:firstLine="400" w:firstLineChars="200"/>
        <w:textAlignment w:val="auto"/>
        <w:rPr>
          <w:rFonts w:ascii="宋体" w:cs="宋体"/>
          <w:color w:val="auto"/>
          <w:sz w:val="24"/>
          <w:szCs w:val="24"/>
          <w:highlight w:val="none"/>
        </w:rPr>
      </w:pPr>
      <w:r>
        <w:rPr>
          <w:color w:val="auto"/>
          <w:highlight w:val="none"/>
        </w:rPr>
        <w:fldChar w:fldCharType="begin"/>
      </w:r>
      <w:r>
        <w:rPr>
          <w:color w:val="auto"/>
          <w:highlight w:val="none"/>
        </w:rPr>
        <w:instrText xml:space="preserve"> HYPERLINK \l "_Toc11267" </w:instrText>
      </w:r>
      <w:r>
        <w:rPr>
          <w:color w:val="auto"/>
          <w:highlight w:val="none"/>
        </w:rPr>
        <w:fldChar w:fldCharType="separate"/>
      </w:r>
      <w:r>
        <w:rPr>
          <w:rFonts w:hint="eastAsia" w:ascii="宋体" w:cs="宋体"/>
          <w:color w:val="auto"/>
          <w:sz w:val="24"/>
          <w:szCs w:val="24"/>
          <w:highlight w:val="none"/>
        </w:rPr>
        <w:t>四、开标</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_Toc11267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22</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14:paraId="23E20721">
      <w:pPr>
        <w:pStyle w:val="39"/>
        <w:keepNext w:val="0"/>
        <w:keepLines w:val="0"/>
        <w:pageBreakBefore w:val="0"/>
        <w:widowControl w:val="0"/>
        <w:tabs>
          <w:tab w:val="right" w:leader="dot" w:pos="8504"/>
        </w:tabs>
        <w:kinsoku/>
        <w:wordWrap/>
        <w:overflowPunct/>
        <w:topLinePunct w:val="0"/>
        <w:autoSpaceDE/>
        <w:autoSpaceDN/>
        <w:bidi w:val="0"/>
        <w:adjustRightInd/>
        <w:snapToGrid/>
        <w:spacing w:line="400" w:lineRule="exact"/>
        <w:ind w:left="0" w:firstLine="400" w:firstLineChars="200"/>
        <w:textAlignment w:val="auto"/>
        <w:rPr>
          <w:rFonts w:ascii="宋体" w:cs="宋体"/>
          <w:color w:val="auto"/>
          <w:sz w:val="24"/>
          <w:szCs w:val="24"/>
          <w:highlight w:val="none"/>
        </w:rPr>
      </w:pPr>
      <w:r>
        <w:rPr>
          <w:color w:val="auto"/>
          <w:highlight w:val="none"/>
        </w:rPr>
        <w:fldChar w:fldCharType="begin"/>
      </w:r>
      <w:r>
        <w:rPr>
          <w:color w:val="auto"/>
          <w:highlight w:val="none"/>
        </w:rPr>
        <w:instrText xml:space="preserve"> HYPERLINK \l "_Toc25997" </w:instrText>
      </w:r>
      <w:r>
        <w:rPr>
          <w:color w:val="auto"/>
          <w:highlight w:val="none"/>
        </w:rPr>
        <w:fldChar w:fldCharType="separate"/>
      </w:r>
      <w:r>
        <w:rPr>
          <w:rFonts w:hint="eastAsia" w:ascii="宋体" w:cs="宋体"/>
          <w:color w:val="auto"/>
          <w:sz w:val="24"/>
          <w:szCs w:val="24"/>
          <w:highlight w:val="none"/>
        </w:rPr>
        <w:t>五、资格证明文件审查</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_Toc25997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23</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14:paraId="210B6023">
      <w:pPr>
        <w:pStyle w:val="39"/>
        <w:keepNext w:val="0"/>
        <w:keepLines w:val="0"/>
        <w:pageBreakBefore w:val="0"/>
        <w:widowControl w:val="0"/>
        <w:tabs>
          <w:tab w:val="right" w:leader="dot" w:pos="8504"/>
        </w:tabs>
        <w:kinsoku/>
        <w:wordWrap/>
        <w:overflowPunct/>
        <w:topLinePunct w:val="0"/>
        <w:autoSpaceDE/>
        <w:autoSpaceDN/>
        <w:bidi w:val="0"/>
        <w:adjustRightInd/>
        <w:snapToGrid/>
        <w:spacing w:line="400" w:lineRule="exact"/>
        <w:ind w:left="0" w:firstLine="400" w:firstLineChars="200"/>
        <w:textAlignment w:val="auto"/>
        <w:rPr>
          <w:rFonts w:ascii="宋体" w:cs="宋体"/>
          <w:color w:val="auto"/>
          <w:sz w:val="24"/>
          <w:szCs w:val="24"/>
          <w:highlight w:val="none"/>
        </w:rPr>
      </w:pPr>
      <w:r>
        <w:rPr>
          <w:color w:val="auto"/>
          <w:highlight w:val="none"/>
        </w:rPr>
        <w:fldChar w:fldCharType="begin"/>
      </w:r>
      <w:r>
        <w:rPr>
          <w:color w:val="auto"/>
          <w:highlight w:val="none"/>
        </w:rPr>
        <w:instrText xml:space="preserve"> HYPERLINK \l "_Toc4354" </w:instrText>
      </w:r>
      <w:r>
        <w:rPr>
          <w:color w:val="auto"/>
          <w:highlight w:val="none"/>
        </w:rPr>
        <w:fldChar w:fldCharType="separate"/>
      </w:r>
      <w:r>
        <w:rPr>
          <w:rFonts w:hint="eastAsia" w:ascii="宋体" w:cs="宋体"/>
          <w:color w:val="auto"/>
          <w:sz w:val="24"/>
          <w:szCs w:val="24"/>
          <w:highlight w:val="none"/>
        </w:rPr>
        <w:t>六、评标</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_Toc4354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23</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14:paraId="4B2F2330">
      <w:pPr>
        <w:pStyle w:val="39"/>
        <w:keepNext w:val="0"/>
        <w:keepLines w:val="0"/>
        <w:pageBreakBefore w:val="0"/>
        <w:widowControl w:val="0"/>
        <w:tabs>
          <w:tab w:val="right" w:leader="dot" w:pos="8504"/>
        </w:tabs>
        <w:kinsoku/>
        <w:wordWrap/>
        <w:overflowPunct/>
        <w:topLinePunct w:val="0"/>
        <w:autoSpaceDE/>
        <w:autoSpaceDN/>
        <w:bidi w:val="0"/>
        <w:adjustRightInd/>
        <w:snapToGrid/>
        <w:spacing w:line="400" w:lineRule="exact"/>
        <w:ind w:left="0" w:firstLine="400" w:firstLineChars="200"/>
        <w:textAlignment w:val="auto"/>
        <w:rPr>
          <w:rFonts w:ascii="宋体" w:cs="宋体"/>
          <w:color w:val="auto"/>
          <w:sz w:val="24"/>
          <w:szCs w:val="24"/>
          <w:highlight w:val="none"/>
        </w:rPr>
      </w:pPr>
      <w:r>
        <w:rPr>
          <w:color w:val="auto"/>
          <w:highlight w:val="none"/>
        </w:rPr>
        <w:fldChar w:fldCharType="begin"/>
      </w:r>
      <w:r>
        <w:rPr>
          <w:color w:val="auto"/>
          <w:highlight w:val="none"/>
        </w:rPr>
        <w:instrText xml:space="preserve"> HYPERLINK \l "_Toc29465" </w:instrText>
      </w:r>
      <w:r>
        <w:rPr>
          <w:color w:val="auto"/>
          <w:highlight w:val="none"/>
        </w:rPr>
        <w:fldChar w:fldCharType="separate"/>
      </w:r>
      <w:r>
        <w:rPr>
          <w:rFonts w:hint="eastAsia" w:ascii="宋体" w:cs="宋体"/>
          <w:color w:val="auto"/>
          <w:sz w:val="24"/>
          <w:szCs w:val="24"/>
          <w:highlight w:val="none"/>
        </w:rPr>
        <w:t>六、定标</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_Toc29465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25</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14:paraId="13AECB01">
      <w:pPr>
        <w:pStyle w:val="39"/>
        <w:keepNext w:val="0"/>
        <w:keepLines w:val="0"/>
        <w:pageBreakBefore w:val="0"/>
        <w:widowControl w:val="0"/>
        <w:tabs>
          <w:tab w:val="right" w:leader="dot" w:pos="8504"/>
        </w:tabs>
        <w:kinsoku/>
        <w:wordWrap/>
        <w:overflowPunct/>
        <w:topLinePunct w:val="0"/>
        <w:autoSpaceDE/>
        <w:autoSpaceDN/>
        <w:bidi w:val="0"/>
        <w:adjustRightInd/>
        <w:snapToGrid/>
        <w:spacing w:line="400" w:lineRule="exact"/>
        <w:ind w:left="0" w:firstLine="400" w:firstLineChars="200"/>
        <w:textAlignment w:val="auto"/>
        <w:rPr>
          <w:rFonts w:ascii="宋体" w:cs="宋体"/>
          <w:color w:val="auto"/>
          <w:sz w:val="24"/>
          <w:szCs w:val="24"/>
          <w:highlight w:val="none"/>
        </w:rPr>
      </w:pPr>
      <w:r>
        <w:rPr>
          <w:color w:val="auto"/>
          <w:highlight w:val="none"/>
        </w:rPr>
        <w:fldChar w:fldCharType="begin"/>
      </w:r>
      <w:r>
        <w:rPr>
          <w:color w:val="auto"/>
          <w:highlight w:val="none"/>
        </w:rPr>
        <w:instrText xml:space="preserve"> HYPERLINK \l "_Toc6498" </w:instrText>
      </w:r>
      <w:r>
        <w:rPr>
          <w:color w:val="auto"/>
          <w:highlight w:val="none"/>
        </w:rPr>
        <w:fldChar w:fldCharType="separate"/>
      </w:r>
      <w:r>
        <w:rPr>
          <w:rFonts w:hint="eastAsia" w:ascii="宋体" w:cs="宋体"/>
          <w:color w:val="auto"/>
          <w:sz w:val="24"/>
          <w:szCs w:val="24"/>
          <w:highlight w:val="none"/>
        </w:rPr>
        <w:t>七、合同授予</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_Toc6498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25</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14:paraId="597AB558">
      <w:pPr>
        <w:pStyle w:val="33"/>
        <w:keepNext w:val="0"/>
        <w:keepLines w:val="0"/>
        <w:pageBreakBefore w:val="0"/>
        <w:widowControl w:val="0"/>
        <w:tabs>
          <w:tab w:val="right" w:leader="dot" w:pos="8504"/>
          <w:tab w:val="clear" w:pos="1200"/>
        </w:tabs>
        <w:kinsoku/>
        <w:wordWrap/>
        <w:overflowPunct/>
        <w:topLinePunct w:val="0"/>
        <w:autoSpaceDE/>
        <w:autoSpaceDN/>
        <w:bidi w:val="0"/>
        <w:adjustRightInd/>
        <w:snapToGrid/>
        <w:spacing w:beforeLines="0" w:afterLines="0" w:line="400" w:lineRule="exact"/>
        <w:textAlignment w:val="auto"/>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"_Toc4875" </w:instrText>
      </w:r>
      <w:r>
        <w:rPr>
          <w:color w:val="auto"/>
          <w:highlight w:val="none"/>
        </w:rPr>
        <w:fldChar w:fldCharType="separate"/>
      </w:r>
      <w:r>
        <w:rPr>
          <w:rFonts w:hint="eastAsia" w:ascii="宋体" w:cs="宋体"/>
          <w:b w:val="0"/>
          <w:bCs w:val="0"/>
          <w:color w:val="auto"/>
          <w:sz w:val="24"/>
          <w:szCs w:val="24"/>
          <w:highlight w:val="none"/>
        </w:rPr>
        <w:t>第四章、评标办法及评分标准</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_Toc4875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26</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14:paraId="24B5B2F7">
      <w:pPr>
        <w:pStyle w:val="33"/>
        <w:keepNext w:val="0"/>
        <w:keepLines w:val="0"/>
        <w:pageBreakBefore w:val="0"/>
        <w:widowControl w:val="0"/>
        <w:tabs>
          <w:tab w:val="right" w:leader="dot" w:pos="8504"/>
          <w:tab w:val="clear" w:pos="1200"/>
        </w:tabs>
        <w:kinsoku/>
        <w:wordWrap/>
        <w:overflowPunct/>
        <w:topLinePunct w:val="0"/>
        <w:autoSpaceDE/>
        <w:autoSpaceDN/>
        <w:bidi w:val="0"/>
        <w:adjustRightInd/>
        <w:snapToGrid/>
        <w:spacing w:beforeLines="0" w:afterLines="0" w:line="400" w:lineRule="exact"/>
        <w:textAlignment w:val="auto"/>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"_Toc10740" </w:instrText>
      </w:r>
      <w:r>
        <w:rPr>
          <w:color w:val="auto"/>
          <w:highlight w:val="none"/>
        </w:rPr>
        <w:fldChar w:fldCharType="separate"/>
      </w:r>
      <w:r>
        <w:rPr>
          <w:rFonts w:hint="eastAsia" w:ascii="宋体" w:cs="宋体"/>
          <w:b w:val="0"/>
          <w:bCs w:val="0"/>
          <w:color w:val="auto"/>
          <w:sz w:val="24"/>
          <w:szCs w:val="24"/>
          <w:highlight w:val="none"/>
        </w:rPr>
        <w:t>第五章、合同主要条款</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_Toc10740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27</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14:paraId="3F47F251">
      <w:pPr>
        <w:pStyle w:val="33"/>
        <w:keepNext w:val="0"/>
        <w:keepLines w:val="0"/>
        <w:pageBreakBefore w:val="0"/>
        <w:widowControl w:val="0"/>
        <w:tabs>
          <w:tab w:val="right" w:leader="dot" w:pos="8504"/>
          <w:tab w:val="clear" w:pos="1200"/>
        </w:tabs>
        <w:kinsoku/>
        <w:wordWrap/>
        <w:overflowPunct/>
        <w:topLinePunct w:val="0"/>
        <w:autoSpaceDE/>
        <w:autoSpaceDN/>
        <w:bidi w:val="0"/>
        <w:adjustRightInd/>
        <w:snapToGrid/>
        <w:spacing w:beforeLines="0" w:afterLines="0" w:line="400" w:lineRule="exact"/>
        <w:textAlignment w:val="auto"/>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"_Toc15674" </w:instrText>
      </w:r>
      <w:r>
        <w:rPr>
          <w:color w:val="auto"/>
          <w:highlight w:val="none"/>
        </w:rPr>
        <w:fldChar w:fldCharType="separate"/>
      </w:r>
      <w:r>
        <w:rPr>
          <w:rFonts w:hint="eastAsia" w:ascii="宋体" w:cs="宋体"/>
          <w:b w:val="0"/>
          <w:bCs w:val="0"/>
          <w:color w:val="auto"/>
          <w:sz w:val="24"/>
          <w:szCs w:val="24"/>
          <w:highlight w:val="none"/>
        </w:rPr>
        <w:t>第六章、投标文件格式</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_Toc15674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30</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14:paraId="3CFD28E6">
      <w:pPr>
        <w:pStyle w:val="33"/>
        <w:keepNext w:val="0"/>
        <w:keepLines w:val="0"/>
        <w:pageBreakBefore w:val="0"/>
        <w:widowControl w:val="0"/>
        <w:tabs>
          <w:tab w:val="right" w:leader="dot" w:pos="8504"/>
          <w:tab w:val="clear" w:pos="1200"/>
        </w:tabs>
        <w:kinsoku/>
        <w:wordWrap/>
        <w:overflowPunct/>
        <w:topLinePunct w:val="0"/>
        <w:autoSpaceDE/>
        <w:autoSpaceDN/>
        <w:bidi w:val="0"/>
        <w:adjustRightInd/>
        <w:snapToGrid/>
        <w:spacing w:beforeLines="0" w:afterLines="0" w:line="400" w:lineRule="exact"/>
        <w:textAlignment w:val="auto"/>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"_Toc4182" </w:instrText>
      </w:r>
      <w:r>
        <w:rPr>
          <w:color w:val="auto"/>
          <w:highlight w:val="none"/>
        </w:rPr>
        <w:fldChar w:fldCharType="separate"/>
      </w:r>
      <w:r>
        <w:rPr>
          <w:rFonts w:hint="eastAsia" w:ascii="宋体" w:cs="宋体"/>
          <w:b w:val="0"/>
          <w:bCs w:val="0"/>
          <w:color w:val="auto"/>
          <w:sz w:val="24"/>
          <w:szCs w:val="24"/>
          <w:highlight w:val="none"/>
        </w:rPr>
        <w:t>第七章、专家评分索引表</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_Toc4182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57</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14:paraId="63757321">
      <w:pPr>
        <w:pStyle w:val="25"/>
        <w:keepNext w:val="0"/>
        <w:keepLines w:val="0"/>
        <w:pageBreakBefore w:val="0"/>
        <w:widowControl w:val="0"/>
        <w:kinsoku/>
        <w:wordWrap/>
        <w:overflowPunct/>
        <w:topLinePunct w:val="0"/>
        <w:autoSpaceDE/>
        <w:autoSpaceDN/>
        <w:bidi w:val="0"/>
        <w:adjustRightInd/>
        <w:snapToGrid/>
        <w:spacing w:beforeLines="0" w:afterLines="0"/>
        <w:ind w:left="0" w:firstLine="0"/>
        <w:textAlignment w:val="auto"/>
        <w:rPr>
          <w:color w:val="auto"/>
          <w:highlight w:val="none"/>
        </w:rPr>
      </w:pPr>
      <w:r>
        <w:rPr>
          <w:rFonts w:hint="eastAsia" w:cs="宋体"/>
          <w:color w:val="auto"/>
          <w:highlight w:val="none"/>
        </w:rPr>
        <w:fldChar w:fldCharType="end"/>
      </w:r>
    </w:p>
    <w:p w14:paraId="670AF2D8">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0"/>
        <w:rPr>
          <w:rFonts w:ascii="宋体"/>
          <w:b/>
          <w:bCs/>
          <w:color w:val="auto"/>
          <w:sz w:val="32"/>
          <w:szCs w:val="30"/>
          <w:highlight w:val="none"/>
        </w:rPr>
      </w:pPr>
      <w:bookmarkStart w:id="2" w:name="_Toc293916280"/>
      <w:bookmarkStart w:id="3" w:name="_Toc293915929"/>
      <w:bookmarkStart w:id="4" w:name="_Toc293917008"/>
      <w:bookmarkStart w:id="5" w:name="_Toc293916798"/>
      <w:r>
        <w:rPr>
          <w:rFonts w:hint="eastAsia" w:ascii="宋体"/>
          <w:color w:val="auto"/>
          <w:szCs w:val="21"/>
          <w:highlight w:val="none"/>
        </w:rPr>
        <w:br w:type="page"/>
      </w:r>
      <w:bookmarkStart w:id="6" w:name="_Toc13565"/>
      <w:bookmarkStart w:id="7" w:name="_Toc10839"/>
      <w:bookmarkStart w:id="8" w:name="_Toc9790"/>
      <w:bookmarkStart w:id="9" w:name="_Toc424544525"/>
      <w:bookmarkStart w:id="10" w:name="_Toc424544804"/>
      <w:bookmarkStart w:id="11" w:name="_Toc26608"/>
      <w:bookmarkStart w:id="12" w:name="_Toc32477"/>
      <w:bookmarkStart w:id="13" w:name="_Toc3087"/>
      <w:r>
        <w:rPr>
          <w:rFonts w:hint="eastAsia" w:ascii="宋体"/>
          <w:b/>
          <w:bCs/>
          <w:color w:val="auto"/>
          <w:sz w:val="32"/>
          <w:szCs w:val="30"/>
          <w:highlight w:val="none"/>
        </w:rPr>
        <w:t>第一章</w:t>
      </w:r>
      <w:bookmarkEnd w:id="0"/>
      <w:r>
        <w:rPr>
          <w:rFonts w:hint="eastAsia" w:ascii="宋体"/>
          <w:b/>
          <w:bCs/>
          <w:color w:val="auto"/>
          <w:sz w:val="32"/>
          <w:szCs w:val="30"/>
          <w:highlight w:val="none"/>
        </w:rPr>
        <w:t>、公开招标采购公告</w:t>
      </w:r>
      <w:bookmarkEnd w:id="2"/>
      <w:bookmarkEnd w:id="3"/>
      <w:bookmarkEnd w:id="4"/>
      <w:bookmarkEnd w:id="5"/>
      <w:bookmarkEnd w:id="6"/>
      <w:bookmarkEnd w:id="7"/>
      <w:bookmarkEnd w:id="8"/>
      <w:bookmarkEnd w:id="9"/>
      <w:bookmarkEnd w:id="10"/>
      <w:bookmarkEnd w:id="11"/>
      <w:bookmarkEnd w:id="12"/>
      <w:bookmarkEnd w:id="13"/>
    </w:p>
    <w:tbl>
      <w:tblPr>
        <w:tblStyle w:val="60"/>
        <w:tblW w:w="858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4"/>
      </w:tblGrid>
      <w:tr w14:paraId="4227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8584" w:type="dxa"/>
          </w:tcPr>
          <w:p w14:paraId="00690F88">
            <w:pPr>
              <w:widowControl/>
              <w:spacing w:line="400" w:lineRule="atLeas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项目概况</w:t>
            </w:r>
            <w:r>
              <w:rPr>
                <w:rFonts w:hint="eastAsia" w:ascii="宋体" w:hAnsi="宋体" w:eastAsia="宋体" w:cs="宋体"/>
                <w:color w:val="auto"/>
                <w:kern w:val="0"/>
                <w:sz w:val="21"/>
                <w:szCs w:val="21"/>
                <w:highlight w:val="none"/>
              </w:rPr>
              <w:t xml:space="preserve">  </w:t>
            </w:r>
          </w:p>
          <w:p w14:paraId="68C27008">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浙江省南湖监狱安防设施维保项目（2025）</w:t>
            </w:r>
            <w:r>
              <w:rPr>
                <w:rFonts w:hint="eastAsia" w:ascii="宋体" w:hAnsi="宋体" w:eastAsia="宋体" w:cs="宋体"/>
                <w:color w:val="auto"/>
                <w:kern w:val="0"/>
                <w:sz w:val="21"/>
                <w:szCs w:val="21"/>
                <w:highlight w:val="none"/>
              </w:rPr>
              <w:t>的潜在投标人应在政府采购云平台http://www.zcygov.cn（以下简称“政采云平台”）；获取（下载）招标文件，并于20</w:t>
            </w: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日 09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kern w:val="0"/>
                <w:sz w:val="21"/>
                <w:szCs w:val="21"/>
                <w:highlight w:val="none"/>
              </w:rPr>
              <w:t xml:space="preserve">（北京时间）前递交（上传）投标文件。 </w:t>
            </w:r>
          </w:p>
        </w:tc>
      </w:tr>
    </w:tbl>
    <w:p w14:paraId="6755B755">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一、项目基本情况  </w:t>
      </w:r>
    </w:p>
    <w:p w14:paraId="04E511B5">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项目编号：</w:t>
      </w:r>
      <w:r>
        <w:rPr>
          <w:rFonts w:hint="eastAsia" w:ascii="宋体" w:hAnsi="宋体" w:cs="宋体"/>
          <w:color w:val="auto"/>
          <w:kern w:val="0"/>
          <w:sz w:val="21"/>
          <w:szCs w:val="21"/>
          <w:highlight w:val="none"/>
          <w:lang w:eastAsia="zh-CN"/>
        </w:rPr>
        <w:t>SNH-B202514028</w:t>
      </w:r>
    </w:p>
    <w:p w14:paraId="4FD7FC7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r>
        <w:rPr>
          <w:rFonts w:hint="eastAsia" w:ascii="宋体" w:hAnsi="宋体" w:cs="宋体"/>
          <w:color w:val="auto"/>
          <w:kern w:val="0"/>
          <w:sz w:val="21"/>
          <w:szCs w:val="21"/>
          <w:highlight w:val="none"/>
          <w:lang w:eastAsia="zh-CN"/>
        </w:rPr>
        <w:t>浙江省南湖监狱安防设施维保项目（2025）</w:t>
      </w:r>
    </w:p>
    <w:p w14:paraId="1797DB2E">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预算金额（元）：</w:t>
      </w:r>
      <w:r>
        <w:rPr>
          <w:rFonts w:hint="eastAsia" w:ascii="宋体" w:hAnsi="宋体" w:cs="宋体"/>
          <w:color w:val="auto"/>
          <w:kern w:val="0"/>
          <w:sz w:val="21"/>
          <w:szCs w:val="21"/>
          <w:highlight w:val="none"/>
          <w:lang w:val="en-US" w:eastAsia="zh-CN"/>
        </w:rPr>
        <w:t>700</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00</w:t>
      </w:r>
    </w:p>
    <w:p w14:paraId="0848C7A8">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最高限价（元）：</w:t>
      </w:r>
      <w:r>
        <w:rPr>
          <w:rFonts w:hint="eastAsia" w:ascii="宋体" w:hAnsi="宋体" w:cs="宋体"/>
          <w:color w:val="auto"/>
          <w:kern w:val="0"/>
          <w:sz w:val="21"/>
          <w:szCs w:val="21"/>
          <w:highlight w:val="none"/>
          <w:lang w:val="en-US" w:eastAsia="zh-CN"/>
        </w:rPr>
        <w:t>700</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 xml:space="preserve">00 </w:t>
      </w:r>
    </w:p>
    <w:p w14:paraId="31FD0FA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采购需求：</w:t>
      </w:r>
    </w:p>
    <w:p w14:paraId="6DCBBDE0">
      <w:pPr>
        <w:spacing w:line="400" w:lineRule="exact"/>
        <w:ind w:firstLine="420" w:firstLineChars="200"/>
        <w:jc w:val="left"/>
        <w:rPr>
          <w:rFonts w:hint="eastAsia" w:ascii="宋体" w:hAnsi="宋体" w:eastAsia="宋体" w:cs="宋体"/>
          <w:color w:val="auto"/>
          <w:kern w:val="0"/>
          <w:sz w:val="21"/>
          <w:szCs w:val="21"/>
          <w:highlight w:val="none"/>
        </w:rPr>
      </w:pPr>
    </w:p>
    <w:p w14:paraId="4ED0B558">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标项名称：</w:t>
      </w:r>
      <w:r>
        <w:rPr>
          <w:rFonts w:hint="eastAsia" w:ascii="宋体" w:hAnsi="宋体" w:cs="宋体"/>
          <w:color w:val="auto"/>
          <w:kern w:val="0"/>
          <w:sz w:val="21"/>
          <w:szCs w:val="21"/>
          <w:highlight w:val="none"/>
          <w:lang w:eastAsia="zh-CN"/>
        </w:rPr>
        <w:t>浙江省南湖监狱安防设施维保项目（2025）</w:t>
      </w:r>
      <w:r>
        <w:rPr>
          <w:rFonts w:hint="eastAsia" w:ascii="宋体" w:hAnsi="宋体" w:eastAsia="宋体" w:cs="宋体"/>
          <w:color w:val="auto"/>
          <w:kern w:val="0"/>
          <w:sz w:val="21"/>
          <w:szCs w:val="21"/>
          <w:highlight w:val="none"/>
        </w:rPr>
        <w:t> </w:t>
      </w:r>
    </w:p>
    <w:p w14:paraId="74512B5E">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数量：不限  </w:t>
      </w:r>
    </w:p>
    <w:p w14:paraId="0E40E93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预算金额（元）：</w:t>
      </w:r>
      <w:r>
        <w:rPr>
          <w:rFonts w:hint="eastAsia" w:ascii="宋体" w:hAnsi="宋体" w:cs="宋体"/>
          <w:color w:val="auto"/>
          <w:kern w:val="0"/>
          <w:sz w:val="21"/>
          <w:szCs w:val="21"/>
          <w:highlight w:val="none"/>
          <w:lang w:val="en-US" w:eastAsia="zh-CN"/>
        </w:rPr>
        <w:t>700</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00</w:t>
      </w:r>
    </w:p>
    <w:p w14:paraId="51B13ACC">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简要规格描述</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详见招标文件</w:t>
      </w:r>
    </w:p>
    <w:p w14:paraId="466A1209">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备注：投标报价不得超</w:t>
      </w:r>
      <w:r>
        <w:rPr>
          <w:rFonts w:hint="eastAsia" w:ascii="宋体" w:hAnsi="宋体" w:eastAsia="宋体" w:cs="宋体"/>
          <w:color w:val="auto"/>
          <w:kern w:val="0"/>
          <w:sz w:val="21"/>
          <w:szCs w:val="21"/>
          <w:highlight w:val="none"/>
          <w:lang w:val="en-US" w:eastAsia="zh-CN"/>
        </w:rPr>
        <w:t>预算金额</w:t>
      </w:r>
      <w:r>
        <w:rPr>
          <w:rFonts w:hint="eastAsia" w:ascii="宋体" w:hAnsi="宋体" w:eastAsia="宋体" w:cs="宋体"/>
          <w:bCs/>
          <w:color w:val="auto"/>
          <w:sz w:val="21"/>
          <w:szCs w:val="21"/>
          <w:highlight w:val="none"/>
          <w:lang w:val="en-US" w:eastAsia="zh-CN"/>
        </w:rPr>
        <w:t>和最高限价</w:t>
      </w:r>
      <w:r>
        <w:rPr>
          <w:rFonts w:hint="eastAsia" w:ascii="宋体" w:hAnsi="宋体" w:eastAsia="宋体" w:cs="宋体"/>
          <w:color w:val="auto"/>
          <w:kern w:val="0"/>
          <w:sz w:val="21"/>
          <w:szCs w:val="21"/>
          <w:highlight w:val="none"/>
        </w:rPr>
        <w:t>，否则投标无效。</w:t>
      </w:r>
    </w:p>
    <w:p w14:paraId="1F4724EF">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合同履约期限：标项1，</w:t>
      </w:r>
      <w:r>
        <w:rPr>
          <w:rFonts w:hint="eastAsia" w:ascii="宋体" w:hAnsi="宋体" w:cs="宋体"/>
          <w:color w:val="auto"/>
          <w:sz w:val="21"/>
          <w:szCs w:val="21"/>
          <w:highlight w:val="none"/>
          <w:lang w:val="en-US" w:eastAsia="zh-CN"/>
        </w:rPr>
        <w:t>1年，自合同签订之日计起</w:t>
      </w:r>
      <w:r>
        <w:rPr>
          <w:rFonts w:hint="eastAsia" w:ascii="宋体" w:hAnsi="宋体" w:eastAsia="宋体" w:cs="宋体"/>
          <w:color w:val="auto"/>
          <w:sz w:val="21"/>
          <w:szCs w:val="21"/>
          <w:highlight w:val="none"/>
          <w:lang w:val="zh-TW" w:eastAsia="zh-TW"/>
        </w:rPr>
        <w:t>。</w:t>
      </w:r>
    </w:p>
    <w:p w14:paraId="55CA1B4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项目（否）接受联合体投标。</w:t>
      </w:r>
    </w:p>
    <w:p w14:paraId="1C9E981F">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二、申请人的资格要求：</w:t>
      </w:r>
    </w:p>
    <w:p w14:paraId="401D31C8">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1FB4CDF">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2.落实政府采购政策需满足的资格要求：</w:t>
      </w:r>
      <w:r>
        <w:rPr>
          <w:rFonts w:hint="eastAsia" w:ascii="宋体" w:hAnsi="宋体" w:cs="宋体"/>
          <w:color w:val="auto"/>
          <w:kern w:val="0"/>
          <w:sz w:val="21"/>
          <w:szCs w:val="21"/>
          <w:highlight w:val="none"/>
          <w:lang w:eastAsia="zh-CN" w:bidi="ar"/>
        </w:rPr>
        <w:t>无</w:t>
      </w:r>
      <w:r>
        <w:rPr>
          <w:rFonts w:hint="eastAsia" w:ascii="宋体" w:hAnsi="宋体" w:eastAsia="宋体" w:cs="宋体"/>
          <w:color w:val="auto"/>
          <w:kern w:val="0"/>
          <w:sz w:val="21"/>
          <w:szCs w:val="21"/>
          <w:highlight w:val="none"/>
        </w:rPr>
        <w:t>；</w:t>
      </w:r>
    </w:p>
    <w:p w14:paraId="5FCED6A4">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3.本项目的特定资格要求：无。</w:t>
      </w:r>
    </w:p>
    <w:p w14:paraId="5E55D841">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 xml:space="preserve">三、获取招标文件 </w:t>
      </w:r>
    </w:p>
    <w:p w14:paraId="0A7E51C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时间：/至202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日，每天上午00:00至12:00，下午12:00至23:59（北京时间，线上获取法定节假日均可，线下获取文件法定节假日除外）</w:t>
      </w:r>
    </w:p>
    <w:p w14:paraId="09B400C1">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地点（网址）：政府采购云平台http://www.zcygov.cn（以下简称“政采云平台”）； </w:t>
      </w:r>
    </w:p>
    <w:p w14:paraId="4BD6DA8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方式：</w:t>
      </w:r>
      <w:r>
        <w:rPr>
          <w:rFonts w:hint="eastAsia" w:ascii="宋体" w:hAnsi="宋体" w:eastAsia="宋体" w:cs="宋体"/>
          <w:color w:val="auto"/>
          <w:sz w:val="21"/>
          <w:szCs w:val="21"/>
          <w:highlight w:val="none"/>
        </w:rPr>
        <w:t>供应商登录政采云平台https://www.zcygov.cn/在线申请获取采购文件（进入“项目采购”应用，在获取采购文件菜单中选择项目，申请获取采购文件）</w:t>
      </w:r>
      <w:r>
        <w:rPr>
          <w:rFonts w:hint="eastAsia" w:ascii="宋体" w:hAnsi="宋体" w:eastAsia="宋体" w:cs="宋体"/>
          <w:color w:val="auto"/>
          <w:kern w:val="0"/>
          <w:sz w:val="21"/>
          <w:szCs w:val="21"/>
          <w:highlight w:val="none"/>
        </w:rPr>
        <w:t xml:space="preserve">； </w:t>
      </w:r>
    </w:p>
    <w:p w14:paraId="6455516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售价（元）：0 </w:t>
      </w:r>
    </w:p>
    <w:p w14:paraId="7ABB3B6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四、提交投标文件截止时间、开标时间和地点</w:t>
      </w:r>
    </w:p>
    <w:p w14:paraId="607596FC">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提交投标文件截止时间：202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日 09:</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0（北京时间）</w:t>
      </w:r>
    </w:p>
    <w:p w14:paraId="04AC1DD4">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投标地点（网址）：通过“政府采购云平台（www.zcygov.cn）”实行在线投标及开标。 </w:t>
      </w:r>
    </w:p>
    <w:p w14:paraId="72173E4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开标时间：202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日 09:</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0 </w:t>
      </w:r>
    </w:p>
    <w:p w14:paraId="7ECB9595">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开标地点（网址）：通过“政府采购云平台（www.zcygov.cn）”实行在线投标及开标。  </w:t>
      </w:r>
    </w:p>
    <w:p w14:paraId="11D72819">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 xml:space="preserve">五、公告期限 </w:t>
      </w:r>
    </w:p>
    <w:p w14:paraId="3120CCC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自本公告发布之日起5个工作日。</w:t>
      </w:r>
    </w:p>
    <w:p w14:paraId="21A290CA">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六、其他补充事宜</w:t>
      </w:r>
    </w:p>
    <w:p w14:paraId="6E81AA8D">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B3C005A">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A162E4">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895A99">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4.其他事项：</w:t>
      </w:r>
    </w:p>
    <w:p w14:paraId="24E6B85A">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1）本项目执行的政府采购政策：</w:t>
      </w:r>
    </w:p>
    <w:p w14:paraId="1D8266A5">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《政府采购促进中小企业发展管理办法》（财库﹝2020﹞46号）</w:t>
      </w:r>
      <w:r>
        <w:rPr>
          <w:rFonts w:hint="eastAsia" w:ascii="宋体" w:hAnsi="宋体" w:eastAsia="宋体" w:cs="宋体"/>
          <w:color w:val="auto"/>
          <w:kern w:val="0"/>
          <w:sz w:val="21"/>
          <w:szCs w:val="21"/>
          <w:highlight w:val="none"/>
        </w:rPr>
        <w:t>；</w:t>
      </w:r>
    </w:p>
    <w:p w14:paraId="70D90866">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color w:val="auto"/>
          <w:szCs w:val="21"/>
          <w:highlight w:val="none"/>
        </w:rPr>
        <w:t>《财政部关于进一步加大政府采购支持中小企业力度的通知》（财库﹝2022﹞19号）</w:t>
      </w:r>
    </w:p>
    <w:p w14:paraId="0F3ED416">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《财政部、司法部关于政府采购支持监狱企业发展有关问题的通知》（财库〔2014〕68号）；</w:t>
      </w:r>
    </w:p>
    <w:p w14:paraId="100ABC92">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《国务院办公厅关于建立政府强制采购节能产品制度的通知》（国办发〔2007〕51号）；</w:t>
      </w:r>
    </w:p>
    <w:p w14:paraId="01670268">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《财政部、国家环保总局关于环境标志产品政府采购实施的意见》（财库[2006]90号）；</w:t>
      </w:r>
    </w:p>
    <w:p w14:paraId="346F9CE1">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财政部民政部中国残疾人联合会《关于促进残疾人就业政府采购政策的通知》（财库〔2017〕141号）。</w:t>
      </w:r>
    </w:p>
    <w:p w14:paraId="7A1B9D2E">
      <w:pPr>
        <w:spacing w:line="400" w:lineRule="exact"/>
        <w:ind w:left="420" w:left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2）资格审查：本项目采用资格后审。</w:t>
      </w:r>
    </w:p>
    <w:p w14:paraId="1DC62A9F">
      <w:pPr>
        <w:spacing w:line="400" w:lineRule="exact"/>
        <w:ind w:left="420" w:left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3）采购代理费用由中标人支付。</w:t>
      </w:r>
    </w:p>
    <w:p w14:paraId="66FF1A22">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七、对本次采购提出询问、质疑、投诉，请按以下方式联系</w:t>
      </w:r>
    </w:p>
    <w:p w14:paraId="73A1BD5C">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1.采购人信息</w:t>
      </w:r>
    </w:p>
    <w:p w14:paraId="54E6C392">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名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称：</w:t>
      </w:r>
      <w:r>
        <w:rPr>
          <w:rFonts w:hint="eastAsia" w:ascii="宋体" w:hAnsi="宋体" w:cs="宋体"/>
          <w:color w:val="auto"/>
          <w:kern w:val="0"/>
          <w:sz w:val="21"/>
          <w:szCs w:val="21"/>
          <w:highlight w:val="none"/>
          <w:lang w:eastAsia="zh-CN"/>
        </w:rPr>
        <w:t>浙江省南湖监狱</w:t>
      </w:r>
    </w:p>
    <w:p w14:paraId="5164938A">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地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址：</w:t>
      </w:r>
      <w:r>
        <w:rPr>
          <w:rFonts w:hint="eastAsia" w:ascii="宋体" w:hAnsi="宋体"/>
          <w:color w:val="auto"/>
          <w:sz w:val="21"/>
          <w:szCs w:val="21"/>
          <w:highlight w:val="none"/>
        </w:rPr>
        <w:t xml:space="preserve">安吉县天子湖镇北林场 </w:t>
      </w:r>
    </w:p>
    <w:p w14:paraId="6BFE8182">
      <w:pPr>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项目联系人（询问）：</w:t>
      </w:r>
      <w:r>
        <w:rPr>
          <w:rFonts w:hint="eastAsia" w:ascii="宋体" w:hAnsi="宋体" w:cs="宋体"/>
          <w:color w:val="auto"/>
          <w:kern w:val="0"/>
          <w:sz w:val="21"/>
          <w:szCs w:val="21"/>
          <w:highlight w:val="none"/>
          <w:lang w:val="en-US" w:eastAsia="zh-CN"/>
        </w:rPr>
        <w:t>卢先生</w:t>
      </w:r>
    </w:p>
    <w:p w14:paraId="4B3FC275">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项目联系方式（询问）：</w:t>
      </w:r>
      <w:r>
        <w:rPr>
          <w:rFonts w:hint="eastAsia" w:ascii="宋体" w:hAnsi="宋体"/>
          <w:color w:val="auto"/>
          <w:sz w:val="21"/>
          <w:szCs w:val="21"/>
          <w:highlight w:val="none"/>
          <w:lang w:eastAsia="zh-CN"/>
        </w:rPr>
        <w:t>0572-5100818</w:t>
      </w:r>
    </w:p>
    <w:p w14:paraId="5A47D062">
      <w:pPr>
        <w:spacing w:line="400" w:lineRule="exact"/>
        <w:ind w:firstLine="420" w:firstLineChars="200"/>
        <w:jc w:val="left"/>
        <w:rPr>
          <w:rFonts w:hint="eastAsia" w:ascii="宋体" w:hAnsi="宋体" w:eastAsia="微软雅黑" w:cs="宋体"/>
          <w:color w:val="auto"/>
          <w:sz w:val="21"/>
          <w:szCs w:val="21"/>
          <w:highlight w:val="none"/>
          <w:lang w:val="en-US" w:eastAsia="zh-CN"/>
        </w:rPr>
      </w:pPr>
      <w:r>
        <w:rPr>
          <w:rFonts w:hint="eastAsia" w:ascii="宋体" w:hAnsi="宋体" w:eastAsia="宋体" w:cs="宋体"/>
          <w:color w:val="auto"/>
          <w:kern w:val="0"/>
          <w:sz w:val="21"/>
          <w:szCs w:val="21"/>
          <w:highlight w:val="none"/>
        </w:rPr>
        <w:t>质疑联系人：</w:t>
      </w:r>
      <w:r>
        <w:rPr>
          <w:rFonts w:hint="eastAsia" w:ascii="宋体" w:hAnsi="宋体" w:cs="宋体"/>
          <w:color w:val="auto"/>
          <w:kern w:val="0"/>
          <w:sz w:val="21"/>
          <w:szCs w:val="21"/>
          <w:highlight w:val="none"/>
          <w:lang w:val="en-US" w:eastAsia="zh-CN"/>
        </w:rPr>
        <w:t>陈先生</w:t>
      </w:r>
    </w:p>
    <w:p w14:paraId="5A5E1E7D">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质疑联系方式：</w:t>
      </w:r>
      <w:r>
        <w:rPr>
          <w:rFonts w:hint="eastAsia" w:ascii="宋体" w:hAnsi="宋体" w:cs="宋体"/>
          <w:color w:val="auto"/>
          <w:kern w:val="0"/>
          <w:sz w:val="21"/>
          <w:szCs w:val="21"/>
          <w:highlight w:val="none"/>
          <w:lang w:val="en-US" w:eastAsia="zh-CN"/>
        </w:rPr>
        <w:t>0572-5807793</w:t>
      </w:r>
    </w:p>
    <w:p w14:paraId="20D9E328">
      <w:pPr>
        <w:spacing w:line="400" w:lineRule="exact"/>
        <w:ind w:firstLine="420" w:firstLineChars="200"/>
        <w:jc w:val="left"/>
        <w:rPr>
          <w:rFonts w:hint="eastAsia" w:ascii="宋体" w:hAnsi="宋体" w:eastAsia="宋体" w:cs="宋体"/>
          <w:color w:val="auto"/>
          <w:kern w:val="0"/>
          <w:sz w:val="21"/>
          <w:szCs w:val="21"/>
          <w:highlight w:val="none"/>
        </w:rPr>
      </w:pPr>
    </w:p>
    <w:p w14:paraId="0F76D32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2.采购代理机构信息</w:t>
      </w:r>
    </w:p>
    <w:p w14:paraId="1F286736">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名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称：</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浙江勋达工程咨询有限公司</w:t>
      </w:r>
    </w:p>
    <w:p w14:paraId="1B81D7CB">
      <w:pPr>
        <w:spacing w:line="400" w:lineRule="exact"/>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地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址：</w:t>
      </w:r>
      <w:r>
        <w:rPr>
          <w:rFonts w:hint="eastAsia" w:ascii="宋体" w:hAnsi="宋体" w:cs="宋体"/>
          <w:color w:val="auto"/>
          <w:kern w:val="0"/>
          <w:sz w:val="21"/>
          <w:szCs w:val="21"/>
          <w:highlight w:val="none"/>
          <w:lang w:val="en-US" w:eastAsia="zh-CN"/>
        </w:rPr>
        <w:t>安吉县天目中路771号5楼</w:t>
      </w:r>
    </w:p>
    <w:p w14:paraId="21AC6BE8">
      <w:pPr>
        <w:spacing w:line="400" w:lineRule="exact"/>
        <w:ind w:firstLine="420" w:firstLineChars="200"/>
        <w:jc w:val="left"/>
        <w:rPr>
          <w:rFonts w:hint="eastAsia" w:eastAsia="宋体"/>
          <w:color w:val="auto"/>
          <w:highlight w:val="none"/>
          <w:lang w:eastAsia="zh-CN"/>
        </w:rPr>
      </w:pPr>
      <w:r>
        <w:rPr>
          <w:rFonts w:hint="eastAsia" w:ascii="宋体" w:hAnsi="宋体" w:eastAsia="宋体" w:cs="宋体"/>
          <w:color w:val="auto"/>
          <w:kern w:val="0"/>
          <w:sz w:val="21"/>
          <w:szCs w:val="21"/>
          <w:highlight w:val="none"/>
        </w:rPr>
        <w:t>传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真：</w:t>
      </w:r>
      <w:r>
        <w:rPr>
          <w:rFonts w:hint="eastAsia" w:ascii="宋体" w:hAnsi="宋体" w:cs="宋体"/>
          <w:color w:val="auto"/>
          <w:kern w:val="0"/>
          <w:sz w:val="21"/>
          <w:szCs w:val="21"/>
          <w:highlight w:val="none"/>
          <w:lang w:val="en-US" w:eastAsia="zh-CN"/>
        </w:rPr>
        <w:t xml:space="preserve"> </w:t>
      </w:r>
    </w:p>
    <w:p w14:paraId="19F81354">
      <w:pPr>
        <w:spacing w:line="400" w:lineRule="exact"/>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项目联系人（询问）：</w:t>
      </w:r>
      <w:r>
        <w:rPr>
          <w:rFonts w:hint="eastAsia" w:ascii="宋体" w:hAnsi="宋体" w:cs="宋体"/>
          <w:color w:val="auto"/>
          <w:kern w:val="0"/>
          <w:sz w:val="21"/>
          <w:szCs w:val="21"/>
          <w:highlight w:val="none"/>
          <w:lang w:val="en-US" w:eastAsia="zh-CN"/>
        </w:rPr>
        <w:t>陈工</w:t>
      </w:r>
    </w:p>
    <w:p w14:paraId="23C6324A">
      <w:pPr>
        <w:spacing w:line="40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项目联系方式（询问）：</w:t>
      </w:r>
      <w:r>
        <w:rPr>
          <w:rFonts w:hint="eastAsia" w:ascii="宋体" w:hAnsi="宋体" w:cs="宋体"/>
          <w:color w:val="auto"/>
          <w:kern w:val="0"/>
          <w:sz w:val="21"/>
          <w:szCs w:val="21"/>
          <w:highlight w:val="none"/>
          <w:lang w:val="en-US" w:eastAsia="zh-CN"/>
        </w:rPr>
        <w:t>18868214707</w:t>
      </w:r>
    </w:p>
    <w:p w14:paraId="0AD58540">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质疑联系人：陈夜林</w:t>
      </w:r>
    </w:p>
    <w:p w14:paraId="4CEF1D6C">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质疑联系方式：13587245220</w:t>
      </w:r>
    </w:p>
    <w:p w14:paraId="503BCC79">
      <w:pPr>
        <w:spacing w:line="400" w:lineRule="exact"/>
        <w:ind w:firstLine="420" w:firstLineChars="200"/>
        <w:jc w:val="left"/>
        <w:rPr>
          <w:rFonts w:hint="eastAsia" w:ascii="宋体" w:hAnsi="宋体" w:eastAsia="宋体" w:cs="宋体"/>
          <w:color w:val="auto"/>
          <w:kern w:val="0"/>
          <w:sz w:val="21"/>
          <w:szCs w:val="21"/>
          <w:highlight w:val="none"/>
        </w:rPr>
      </w:pPr>
    </w:p>
    <w:p w14:paraId="28E77E0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3.同级政府采购监督管理部门</w:t>
      </w:r>
    </w:p>
    <w:p w14:paraId="1E8E2DFB">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名</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称：</w:t>
      </w:r>
      <w:r>
        <w:rPr>
          <w:rFonts w:hint="eastAsia" w:ascii="宋体" w:hAnsi="宋体" w:cs="宋体"/>
          <w:color w:val="auto"/>
          <w:kern w:val="0"/>
          <w:sz w:val="21"/>
          <w:szCs w:val="21"/>
          <w:highlight w:val="none"/>
          <w:lang w:val="en-US" w:eastAsia="zh-CN"/>
        </w:rPr>
        <w:t>浙江省政府采购行政裁决服务中心（杭州市上城区清泰街549号城建综合大楼11楼）</w:t>
      </w:r>
    </w:p>
    <w:p w14:paraId="543B8CC6">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地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址：</w:t>
      </w:r>
      <w:r>
        <w:rPr>
          <w:rFonts w:hint="eastAsia" w:ascii="宋体" w:hAnsi="宋体" w:cs="宋体"/>
          <w:color w:val="auto"/>
          <w:kern w:val="0"/>
          <w:sz w:val="21"/>
          <w:szCs w:val="21"/>
          <w:highlight w:val="none"/>
          <w:lang w:val="en-US" w:eastAsia="zh-CN"/>
        </w:rPr>
        <w:t>杭州市上城区清泰街549号城建综合大楼11楼</w:t>
      </w:r>
    </w:p>
    <w:p w14:paraId="5D483656">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人：匡老师</w:t>
      </w:r>
      <w:r>
        <w:rPr>
          <w:rFonts w:hint="eastAsia" w:ascii="宋体" w:hAnsi="宋体" w:cs="宋体"/>
          <w:color w:val="auto"/>
          <w:kern w:val="0"/>
          <w:sz w:val="21"/>
          <w:szCs w:val="21"/>
          <w:highlight w:val="none"/>
          <w:lang w:val="en-US" w:eastAsia="zh-CN"/>
        </w:rPr>
        <w:t xml:space="preserve"> </w:t>
      </w:r>
    </w:p>
    <w:p w14:paraId="49195120">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监督投诉电话：</w:t>
      </w:r>
      <w:r>
        <w:rPr>
          <w:rFonts w:hint="eastAsia" w:ascii="宋体" w:hAnsi="宋体" w:cs="宋体"/>
          <w:color w:val="auto"/>
          <w:kern w:val="0"/>
          <w:sz w:val="21"/>
          <w:szCs w:val="21"/>
          <w:highlight w:val="none"/>
          <w:lang w:val="en-US" w:eastAsia="zh-CN"/>
        </w:rPr>
        <w:t>0571-87807798</w:t>
      </w:r>
    </w:p>
    <w:p w14:paraId="7DF14F39">
      <w:pPr>
        <w:spacing w:line="400" w:lineRule="exact"/>
        <w:jc w:val="right"/>
        <w:rPr>
          <w:rFonts w:ascii="宋体"/>
          <w:bCs/>
          <w:color w:val="auto"/>
          <w:szCs w:val="21"/>
          <w:highlight w:val="none"/>
        </w:rPr>
      </w:pPr>
    </w:p>
    <w:p w14:paraId="2DFEE242">
      <w:pPr>
        <w:spacing w:line="400" w:lineRule="exact"/>
        <w:jc w:val="right"/>
        <w:rPr>
          <w:rFonts w:ascii="宋体"/>
          <w:bCs/>
          <w:color w:val="auto"/>
          <w:szCs w:val="21"/>
          <w:highlight w:val="none"/>
        </w:rPr>
      </w:pPr>
    </w:p>
    <w:p w14:paraId="3539193F">
      <w:pPr>
        <w:spacing w:line="400" w:lineRule="exact"/>
        <w:jc w:val="right"/>
        <w:rPr>
          <w:rFonts w:ascii="宋体"/>
          <w:bCs/>
          <w:color w:val="auto"/>
          <w:szCs w:val="21"/>
          <w:highlight w:val="none"/>
        </w:rPr>
      </w:pPr>
    </w:p>
    <w:p w14:paraId="01123BEA">
      <w:pPr>
        <w:spacing w:line="400" w:lineRule="exact"/>
        <w:jc w:val="right"/>
        <w:rPr>
          <w:rFonts w:ascii="宋体"/>
          <w:bCs/>
          <w:color w:val="auto"/>
          <w:szCs w:val="21"/>
          <w:highlight w:val="none"/>
        </w:rPr>
      </w:pPr>
    </w:p>
    <w:p w14:paraId="13395A19">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0"/>
        <w:rPr>
          <w:rFonts w:ascii="宋体"/>
          <w:color w:val="auto"/>
          <w:sz w:val="30"/>
          <w:szCs w:val="30"/>
          <w:highlight w:val="none"/>
        </w:rPr>
      </w:pPr>
      <w:r>
        <w:rPr>
          <w:rFonts w:hint="eastAsia" w:ascii="宋体"/>
          <w:color w:val="auto"/>
          <w:szCs w:val="21"/>
          <w:highlight w:val="none"/>
        </w:rPr>
        <w:br w:type="page"/>
      </w:r>
      <w:bookmarkStart w:id="14" w:name="_Toc424544526"/>
      <w:bookmarkStart w:id="15" w:name="_Toc24399"/>
      <w:bookmarkStart w:id="16" w:name="_Toc15114"/>
      <w:bookmarkStart w:id="17" w:name="_Toc25445"/>
      <w:bookmarkStart w:id="18" w:name="_Toc4306"/>
      <w:bookmarkStart w:id="19" w:name="_Toc23707"/>
      <w:bookmarkStart w:id="20" w:name="_Toc16731"/>
      <w:bookmarkStart w:id="21" w:name="_Toc424544805"/>
      <w:bookmarkStart w:id="22" w:name="_Toc293916869"/>
      <w:bookmarkStart w:id="23" w:name="_Toc293916351"/>
      <w:bookmarkStart w:id="24" w:name="_Toc293917015"/>
      <w:bookmarkStart w:id="25" w:name="_Toc177870534"/>
      <w:bookmarkStart w:id="26" w:name="_Toc293916000"/>
      <w:r>
        <w:rPr>
          <w:rFonts w:hint="eastAsia" w:ascii="宋体"/>
          <w:b/>
          <w:bCs/>
          <w:color w:val="auto"/>
          <w:sz w:val="32"/>
          <w:szCs w:val="30"/>
          <w:highlight w:val="none"/>
        </w:rPr>
        <w:t>第二章、招标需求</w:t>
      </w:r>
      <w:bookmarkEnd w:id="14"/>
      <w:bookmarkEnd w:id="15"/>
      <w:bookmarkEnd w:id="16"/>
      <w:bookmarkEnd w:id="17"/>
      <w:bookmarkEnd w:id="18"/>
      <w:bookmarkEnd w:id="19"/>
      <w:bookmarkEnd w:id="20"/>
      <w:bookmarkEnd w:id="21"/>
    </w:p>
    <w:p w14:paraId="42B54B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eastAsia="宋体"/>
          <w:color w:val="auto"/>
          <w:szCs w:val="21"/>
          <w:highlight w:val="none"/>
          <w:lang w:eastAsia="zh-CN"/>
        </w:rPr>
      </w:pPr>
      <w:bookmarkStart w:id="27" w:name="_Toc293915997"/>
      <w:bookmarkStart w:id="28" w:name="_Toc293916866"/>
      <w:bookmarkStart w:id="29" w:name="_Toc293916348"/>
      <w:bookmarkStart w:id="30" w:name="_Toc293917012"/>
      <w:r>
        <w:rPr>
          <w:rFonts w:hint="eastAsia" w:ascii="宋体"/>
          <w:b/>
          <w:color w:val="auto"/>
          <w:szCs w:val="21"/>
          <w:highlight w:val="none"/>
        </w:rPr>
        <w:t>项目编号</w:t>
      </w:r>
      <w:bookmarkStart w:id="31" w:name="_Toc424544806"/>
      <w:bookmarkStart w:id="32" w:name="_Toc424544527"/>
      <w:bookmarkStart w:id="33" w:name="_Toc424544826"/>
      <w:r>
        <w:rPr>
          <w:rFonts w:hint="eastAsia" w:ascii="宋体"/>
          <w:color w:val="auto"/>
          <w:szCs w:val="21"/>
          <w:highlight w:val="none"/>
        </w:rPr>
        <w:t>：</w:t>
      </w:r>
      <w:r>
        <w:rPr>
          <w:rFonts w:hint="eastAsia" w:ascii="宋体"/>
          <w:color w:val="auto"/>
          <w:szCs w:val="21"/>
          <w:highlight w:val="none"/>
          <w:lang w:eastAsia="zh-CN"/>
        </w:rPr>
        <w:t>SNH-B202514028</w:t>
      </w:r>
    </w:p>
    <w:p w14:paraId="6C2AAF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eastAsia="宋体" w:cs="宋体"/>
          <w:color w:val="auto"/>
          <w:szCs w:val="21"/>
          <w:highlight w:val="none"/>
          <w:lang w:eastAsia="zh-CN"/>
        </w:rPr>
      </w:pPr>
      <w:r>
        <w:rPr>
          <w:rFonts w:hint="eastAsia" w:ascii="宋体"/>
          <w:b/>
          <w:color w:val="auto"/>
          <w:szCs w:val="21"/>
          <w:highlight w:val="none"/>
        </w:rPr>
        <w:t>项目名称</w:t>
      </w:r>
      <w:bookmarkEnd w:id="31"/>
      <w:bookmarkEnd w:id="32"/>
      <w:bookmarkEnd w:id="33"/>
      <w:r>
        <w:rPr>
          <w:rFonts w:hint="eastAsia" w:ascii="宋体"/>
          <w:b/>
          <w:color w:val="auto"/>
          <w:szCs w:val="21"/>
          <w:highlight w:val="none"/>
        </w:rPr>
        <w:t>：</w:t>
      </w:r>
      <w:r>
        <w:rPr>
          <w:rFonts w:hint="eastAsia" w:ascii="宋体" w:cs="宋体"/>
          <w:color w:val="auto"/>
          <w:szCs w:val="21"/>
          <w:highlight w:val="none"/>
          <w:lang w:eastAsia="zh-CN"/>
        </w:rPr>
        <w:t>浙江省南湖监狱安防设施维保项目（2025）</w:t>
      </w:r>
    </w:p>
    <w:p w14:paraId="3B5DD5E8">
      <w:pPr>
        <w:keepNext w:val="0"/>
        <w:keepLines w:val="0"/>
        <w:pageBreakBefore w:val="0"/>
        <w:widowControl w:val="0"/>
        <w:kinsoku/>
        <w:wordWrap/>
        <w:overflowPunct/>
        <w:topLinePunct w:val="0"/>
        <w:autoSpaceDE/>
        <w:autoSpaceDN/>
        <w:bidi w:val="0"/>
        <w:adjustRightInd/>
        <w:snapToGrid/>
        <w:spacing w:line="400" w:lineRule="exact"/>
        <w:ind w:right="420"/>
        <w:textAlignment w:val="auto"/>
        <w:rPr>
          <w:rFonts w:hint="eastAsia" w:ascii="宋体" w:eastAsia="宋体"/>
          <w:bCs/>
          <w:color w:val="auto"/>
          <w:szCs w:val="21"/>
          <w:highlight w:val="none"/>
          <w:lang w:eastAsia="zh-CN"/>
        </w:rPr>
      </w:pPr>
      <w:r>
        <w:rPr>
          <w:rFonts w:hint="eastAsia" w:ascii="宋体"/>
          <w:b/>
          <w:color w:val="auto"/>
          <w:szCs w:val="21"/>
          <w:highlight w:val="none"/>
        </w:rPr>
        <w:t>采购单位：</w:t>
      </w:r>
      <w:r>
        <w:rPr>
          <w:rFonts w:hint="eastAsia" w:ascii="宋体"/>
          <w:bCs/>
          <w:color w:val="auto"/>
          <w:szCs w:val="21"/>
          <w:highlight w:val="none"/>
          <w:lang w:eastAsia="zh-CN"/>
        </w:rPr>
        <w:t>浙江省南湖监狱</w:t>
      </w:r>
    </w:p>
    <w:bookmarkEnd w:id="27"/>
    <w:bookmarkEnd w:id="28"/>
    <w:bookmarkEnd w:id="29"/>
    <w:bookmarkEnd w:id="30"/>
    <w:p w14:paraId="210F8B46">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510" w:hanging="510"/>
        <w:jc w:val="left"/>
        <w:textAlignment w:val="auto"/>
        <w:outlineLvl w:val="1"/>
        <w:rPr>
          <w:rFonts w:hint="eastAsia" w:ascii="宋体" w:hAnsi="宋体" w:cs="宋体"/>
          <w:b/>
          <w:color w:val="auto"/>
          <w:sz w:val="24"/>
          <w:highlight w:val="none"/>
        </w:rPr>
      </w:pPr>
      <w:bookmarkStart w:id="34" w:name="_Toc406664508"/>
      <w:bookmarkStart w:id="35" w:name="_Toc424544531"/>
      <w:bookmarkStart w:id="36" w:name="_Toc424544810"/>
      <w:bookmarkStart w:id="37" w:name="_Toc1302"/>
      <w:r>
        <w:rPr>
          <w:rFonts w:hint="eastAsia" w:ascii="宋体" w:hAnsi="宋体" w:cs="宋体"/>
          <w:b/>
          <w:color w:val="auto"/>
          <w:sz w:val="24"/>
          <w:highlight w:val="none"/>
        </w:rPr>
        <w:t>采购清单</w:t>
      </w:r>
    </w:p>
    <w:tbl>
      <w:tblPr>
        <w:tblStyle w:val="60"/>
        <w:tblW w:w="8452"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125"/>
        <w:gridCol w:w="844"/>
        <w:gridCol w:w="1717"/>
      </w:tblGrid>
      <w:tr w14:paraId="7A03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vAlign w:val="center"/>
          </w:tcPr>
          <w:p w14:paraId="7415AA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125" w:type="dxa"/>
            <w:vAlign w:val="center"/>
          </w:tcPr>
          <w:p w14:paraId="4E8214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844" w:type="dxa"/>
            <w:vAlign w:val="center"/>
          </w:tcPr>
          <w:p w14:paraId="6A0A6F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717" w:type="dxa"/>
            <w:vAlign w:val="center"/>
          </w:tcPr>
          <w:p w14:paraId="24B77E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预算</w:t>
            </w:r>
          </w:p>
        </w:tc>
      </w:tr>
      <w:tr w14:paraId="34AC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vAlign w:val="center"/>
          </w:tcPr>
          <w:p w14:paraId="334E28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25" w:type="dxa"/>
            <w:vAlign w:val="center"/>
          </w:tcPr>
          <w:p w14:paraId="62C054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浙江省南湖监狱安防设施维保项目（2025）</w:t>
            </w:r>
          </w:p>
        </w:tc>
        <w:tc>
          <w:tcPr>
            <w:tcW w:w="844" w:type="dxa"/>
            <w:vAlign w:val="center"/>
          </w:tcPr>
          <w:p w14:paraId="437EA5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1家</w:t>
            </w:r>
          </w:p>
        </w:tc>
        <w:tc>
          <w:tcPr>
            <w:tcW w:w="1717" w:type="dxa"/>
            <w:vAlign w:val="center"/>
          </w:tcPr>
          <w:p w14:paraId="6C7D52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70万元</w:t>
            </w:r>
          </w:p>
        </w:tc>
      </w:tr>
      <w:tr w14:paraId="696D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2" w:type="dxa"/>
            <w:gridSpan w:val="4"/>
            <w:vAlign w:val="center"/>
          </w:tcPr>
          <w:p w14:paraId="1E13F6E6">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auto"/>
                <w:sz w:val="21"/>
                <w:szCs w:val="21"/>
                <w:highlight w:val="none"/>
                <w:lang w:val="en-US" w:eastAsia="zh-CN"/>
              </w:rPr>
            </w:pPr>
            <w:bookmarkStart w:id="38" w:name="_Toc6527"/>
            <w:r>
              <w:rPr>
                <w:rFonts w:hint="eastAsia" w:ascii="宋体" w:hAnsi="宋体" w:cs="宋体"/>
                <w:color w:val="auto"/>
                <w:sz w:val="21"/>
                <w:szCs w:val="21"/>
                <w:highlight w:val="none"/>
                <w:lang w:val="en-US" w:eastAsia="zh-CN"/>
              </w:rPr>
              <w:t>注：</w:t>
            </w:r>
            <w:r>
              <w:rPr>
                <w:rFonts w:hint="eastAsia" w:ascii="宋体"/>
                <w:bCs/>
                <w:color w:val="auto"/>
                <w:szCs w:val="21"/>
                <w:highlight w:val="none"/>
              </w:rPr>
              <w:t>报价时不得超过</w:t>
            </w:r>
            <w:r>
              <w:rPr>
                <w:rFonts w:hint="eastAsia" w:ascii="宋体"/>
                <w:bCs/>
                <w:color w:val="auto"/>
                <w:szCs w:val="21"/>
                <w:highlight w:val="none"/>
                <w:lang w:val="en-US" w:eastAsia="zh-CN"/>
              </w:rPr>
              <w:t>预算金额</w:t>
            </w:r>
            <w:r>
              <w:rPr>
                <w:rFonts w:hint="eastAsia" w:ascii="宋体"/>
                <w:bCs/>
                <w:color w:val="auto"/>
                <w:szCs w:val="21"/>
                <w:highlight w:val="none"/>
              </w:rPr>
              <w:t>，否则作无效标处理</w:t>
            </w:r>
            <w:r>
              <w:rPr>
                <w:rFonts w:hint="eastAsia" w:ascii="宋体"/>
                <w:bCs/>
                <w:color w:val="auto"/>
                <w:szCs w:val="21"/>
                <w:highlight w:val="none"/>
                <w:lang w:eastAsia="zh-CN"/>
              </w:rPr>
              <w:t>。</w:t>
            </w:r>
          </w:p>
        </w:tc>
      </w:tr>
    </w:tbl>
    <w:p w14:paraId="2F25F2C2">
      <w:pPr>
        <w:keepNext w:val="0"/>
        <w:keepLines w:val="0"/>
        <w:pageBreakBefore w:val="0"/>
        <w:numPr>
          <w:ilvl w:val="0"/>
          <w:numId w:val="15"/>
        </w:numPr>
        <w:kinsoku/>
        <w:wordWrap/>
        <w:overflowPunct/>
        <w:topLinePunct w:val="0"/>
        <w:autoSpaceDE/>
        <w:autoSpaceDN/>
        <w:bidi w:val="0"/>
        <w:adjustRightInd/>
        <w:spacing w:line="400" w:lineRule="exact"/>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维保服务内容</w:t>
      </w:r>
    </w:p>
    <w:p w14:paraId="3CFE7EA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防设备维修：安防设备维修具体包括：东关押点、南关押点、西关押点、北关押点及各关押点会见楼、防暴指挥中心大楼、档案馆及监狱下属单位附属楼所有超过免费质保期的信息化安防设施，包含且不仅限于以下子系统的软硬件设备：综合布线、网络、监控、报警、门禁、巡更、对讲、广播、会见、亲情电话、UPS不间断电源、车底扫描设备、AB门管理系统、指挥中心DLP大屏系统、驻监武警部队协同作战安防信息设施等，参考《DB33_T 2115-2018(L1) 监狱安全防范信息系统建设规范》、《武警部队看押勤务“智慧磐石”工程建设规范》及采购人解释。</w:t>
      </w:r>
    </w:p>
    <w:p w14:paraId="78B9A30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防系统巡检/维护：安防系统巡检/维护服务具体包括：视频监控系统、入侵报警系统、声音复核子系统、门禁系统、巡更系统、对讲系统、公共广播系统、会见系统、亲情电话系统、AB门管理系统、指挥中心大屏系统、UPS系统及所有的安防系统定期巡检服务，巡检内容必须记录系统运行状况、设备运行状况、存在的各种隐患，检查各系统/设备是否安全、稳定有效的运行，检查UPS供电是否正常、各系统主干线传输是否正常，并保证各机房设备的卫生清洁及机房环境的卫生清洁，安防系统巡检/维护过程中如发现设备故障问题要马上解决，另外要求监狱设备报修的应急响应服务级别达到7*24小时响应服务，确保通过维保服务，保证监狱安防系统的安全、高效、稳定地运行。</w:t>
      </w:r>
    </w:p>
    <w:p w14:paraId="0D40645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网络/机房维护：网络/机房维护具体包括：东关押点、南关押点、西关押点、北关押点及监狱下属单位附属楼所有超过免费质保期机房内的数据、存储服务器、网络核心交换机、汇聚层交换机、接入层交换机、精密空调与普通空调、防雷与接地、各类软件的更新、各种设备的升级、大型网络IP地扯的管理及相关设备的维护与管理。</w:t>
      </w:r>
    </w:p>
    <w:p w14:paraId="51018E0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维护：对发现的线路破损、设备故障、系统异常和配置设置问题及时处理和解决，对视频监控图像质量不到位、方向不正确和范围不准确及时处理和解决，视频监控的前端摄像机每半年清一灰并清洗外罩，对安防系统信息终端的软件系统每月清理维护一次（包括升级软件、查杀木马病毒、清理垃圾文件、处理运行异常等工作）。</w:t>
      </w:r>
    </w:p>
    <w:p w14:paraId="136F1E5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5、配合/协助/监督/落实：一、配合</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单位协助、监督目前在建、待建项目的工艺、工序等工作，尽量避免因施工引起的线路被损坏、设备被损坏等问题，尽量避免因工艺、工序引起的二次施工二次整改等问题，配合</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完成每一个在建、待建的项目。二、未过质保期的设备跟踪管理，针对部分未过质保期设备、系统，由</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组织相关供应商对维保单位进行培训，在紧急情况下可以应急处置，除紧急情况外未过质保期的设备、系统的日常维护仍然由原中标单位完成。三、配合</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完成部份因实际使用需要变动调整或老化需更换的设备。四、积极完成</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因监狱工作需要紧急新增、安装、调整设备布局、调试零星设备等工作（包括但不限于监控、报警、门禁、大屏等），</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负责提供设备及相关辅材配件，运维人员负责实施并确保相关功能运行正常。</w:t>
      </w:r>
    </w:p>
    <w:p w14:paraId="6CC5EC3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、完成业务管理部门布置的安防维护专项任务，包含维保工作日报记录、安防类统计报表、安防类软件部署、安防维修设备的领用与登记、安防硬件设备新装或移位及调试工作等</w:t>
      </w:r>
      <w:r>
        <w:rPr>
          <w:rFonts w:hint="eastAsia" w:ascii="宋体" w:hAnsi="宋体" w:cs="宋体"/>
          <w:color w:val="auto"/>
          <w:szCs w:val="21"/>
          <w:highlight w:val="none"/>
          <w:lang w:eastAsia="zh-CN"/>
        </w:rPr>
        <w:t>。</w:t>
      </w:r>
    </w:p>
    <w:p w14:paraId="5B927EFB">
      <w:pPr>
        <w:keepNext w:val="0"/>
        <w:keepLines w:val="0"/>
        <w:pageBreakBefore w:val="0"/>
        <w:widowControl w:val="0"/>
        <w:numPr>
          <w:ilvl w:val="0"/>
          <w:numId w:val="15"/>
        </w:numPr>
        <w:kinsoku/>
        <w:wordWrap/>
        <w:overflowPunct/>
        <w:topLinePunct w:val="0"/>
        <w:autoSpaceDE/>
        <w:autoSpaceDN/>
        <w:bidi w:val="0"/>
        <w:adjustRightInd/>
        <w:spacing w:line="400" w:lineRule="exact"/>
        <w:jc w:val="left"/>
        <w:textAlignment w:val="auto"/>
        <w:outlineLvl w:val="1"/>
        <w:rPr>
          <w:rFonts w:ascii="宋体" w:hAnsi="宋体" w:cs="宋体"/>
          <w:b/>
          <w:color w:val="auto"/>
          <w:sz w:val="24"/>
          <w:highlight w:val="none"/>
        </w:rPr>
      </w:pPr>
      <w:r>
        <w:rPr>
          <w:rFonts w:hint="eastAsia" w:ascii="宋体" w:hAnsi="宋体"/>
          <w:b/>
          <w:color w:val="auto"/>
          <w:sz w:val="24"/>
          <w:highlight w:val="none"/>
          <w:lang w:val="en-US" w:eastAsia="zh-CN"/>
        </w:rPr>
        <w:t>维保服务概况</w:t>
      </w:r>
    </w:p>
    <w:p w14:paraId="04BE966B">
      <w:pPr>
        <w:keepNext w:val="0"/>
        <w:keepLines w:val="0"/>
        <w:pageBreakBefore w:val="0"/>
        <w:widowControl w:val="0"/>
        <w:numPr>
          <w:ilvl w:val="0"/>
          <w:numId w:val="16"/>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设备维修情况表</w:t>
      </w:r>
    </w:p>
    <w:tbl>
      <w:tblPr>
        <w:tblStyle w:val="60"/>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32"/>
        <w:gridCol w:w="6332"/>
      </w:tblGrid>
      <w:tr w14:paraId="3DBE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1608A0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532" w:type="dxa"/>
            <w:vAlign w:val="center"/>
          </w:tcPr>
          <w:p w14:paraId="234924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6332" w:type="dxa"/>
            <w:vAlign w:val="center"/>
          </w:tcPr>
          <w:p w14:paraId="590F78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设备情况</w:t>
            </w:r>
          </w:p>
        </w:tc>
      </w:tr>
      <w:tr w14:paraId="3A24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268062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32" w:type="dxa"/>
            <w:vAlign w:val="center"/>
          </w:tcPr>
          <w:p w14:paraId="155FA1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视频监控系统</w:t>
            </w:r>
          </w:p>
        </w:tc>
        <w:tc>
          <w:tcPr>
            <w:tcW w:w="6332" w:type="dxa"/>
            <w:vAlign w:val="center"/>
          </w:tcPr>
          <w:p w14:paraId="769EAAB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约</w:t>
            </w:r>
            <w:r>
              <w:rPr>
                <w:rFonts w:hint="eastAsia" w:ascii="宋体" w:hAnsi="宋体" w:eastAsia="宋体" w:cs="宋体"/>
                <w:color w:val="auto"/>
                <w:kern w:val="0"/>
                <w:sz w:val="21"/>
                <w:szCs w:val="21"/>
                <w:highlight w:val="none"/>
                <w:lang w:val="en-US" w:eastAsia="zh-CN"/>
              </w:rPr>
              <w:t>7700</w:t>
            </w:r>
            <w:r>
              <w:rPr>
                <w:rFonts w:hint="eastAsia" w:ascii="宋体" w:hAnsi="宋体" w:eastAsia="宋体" w:cs="宋体"/>
                <w:color w:val="auto"/>
                <w:kern w:val="0"/>
                <w:sz w:val="21"/>
                <w:szCs w:val="21"/>
                <w:highlight w:val="none"/>
              </w:rPr>
              <w:t>路摄像、</w:t>
            </w:r>
            <w:r>
              <w:rPr>
                <w:rFonts w:hint="eastAsia" w:ascii="宋体" w:hAnsi="宋体" w:eastAsia="宋体" w:cs="宋体"/>
                <w:color w:val="auto"/>
                <w:kern w:val="0"/>
                <w:sz w:val="21"/>
                <w:szCs w:val="21"/>
                <w:highlight w:val="none"/>
                <w:lang w:val="en-US" w:eastAsia="zh-CN"/>
              </w:rPr>
              <w:t>250</w:t>
            </w:r>
            <w:r>
              <w:rPr>
                <w:rFonts w:hint="eastAsia" w:ascii="宋体" w:hAnsi="宋体" w:eastAsia="宋体" w:cs="宋体"/>
                <w:color w:val="auto"/>
                <w:kern w:val="0"/>
                <w:sz w:val="21"/>
                <w:szCs w:val="21"/>
                <w:highlight w:val="none"/>
              </w:rPr>
              <w:t>台硬盘录像机、</w:t>
            </w:r>
            <w:r>
              <w:rPr>
                <w:rFonts w:hint="eastAsia" w:ascii="宋体" w:hAnsi="宋体" w:eastAsia="宋体" w:cs="宋体"/>
                <w:color w:val="auto"/>
                <w:kern w:val="0"/>
                <w:sz w:val="21"/>
                <w:szCs w:val="21"/>
                <w:highlight w:val="none"/>
                <w:lang w:val="en-US" w:eastAsia="zh-CN"/>
              </w:rPr>
              <w:t>56台云存储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rPr>
              <w:t>0台</w:t>
            </w:r>
            <w:r>
              <w:rPr>
                <w:rFonts w:hint="eastAsia" w:ascii="宋体" w:hAnsi="宋体" w:eastAsia="宋体" w:cs="宋体"/>
                <w:color w:val="auto"/>
                <w:kern w:val="0"/>
                <w:sz w:val="21"/>
                <w:szCs w:val="21"/>
                <w:highlight w:val="none"/>
                <w:lang w:val="en-US" w:eastAsia="zh-CN"/>
              </w:rPr>
              <w:t>55</w:t>
            </w:r>
            <w:r>
              <w:rPr>
                <w:rFonts w:hint="eastAsia" w:ascii="宋体" w:hAnsi="宋体" w:eastAsia="宋体" w:cs="宋体"/>
                <w:color w:val="auto"/>
                <w:kern w:val="0"/>
                <w:sz w:val="21"/>
                <w:szCs w:val="21"/>
                <w:highlight w:val="none"/>
              </w:rPr>
              <w:t>寸液晶监视器、</w:t>
            </w:r>
            <w:r>
              <w:rPr>
                <w:rFonts w:hint="eastAsia" w:ascii="宋体" w:hAnsi="宋体" w:eastAsia="宋体" w:cs="宋体"/>
                <w:color w:val="auto"/>
                <w:kern w:val="0"/>
                <w:sz w:val="21"/>
                <w:szCs w:val="21"/>
                <w:highlight w:val="none"/>
                <w:lang w:val="en-US" w:eastAsia="zh-CN"/>
              </w:rPr>
              <w:t>67</w:t>
            </w:r>
            <w:r>
              <w:rPr>
                <w:rFonts w:hint="eastAsia" w:ascii="宋体" w:hAnsi="宋体" w:eastAsia="宋体" w:cs="宋体"/>
                <w:color w:val="auto"/>
                <w:kern w:val="0"/>
                <w:sz w:val="21"/>
                <w:szCs w:val="21"/>
                <w:highlight w:val="none"/>
              </w:rPr>
              <w:t>套</w:t>
            </w:r>
            <w:r>
              <w:rPr>
                <w:rFonts w:hint="eastAsia" w:ascii="宋体" w:hAnsi="宋体" w:eastAsia="宋体" w:cs="宋体"/>
                <w:color w:val="auto"/>
                <w:kern w:val="0"/>
                <w:sz w:val="21"/>
                <w:szCs w:val="21"/>
                <w:highlight w:val="none"/>
                <w:lang w:val="en-US" w:eastAsia="zh-CN"/>
              </w:rPr>
              <w:t>大屏解码器</w:t>
            </w:r>
            <w:r>
              <w:rPr>
                <w:rFonts w:hint="eastAsia" w:ascii="宋体" w:hAnsi="宋体" w:eastAsia="宋体" w:cs="宋体"/>
                <w:color w:val="auto"/>
                <w:kern w:val="0"/>
                <w:sz w:val="21"/>
                <w:szCs w:val="21"/>
                <w:highlight w:val="none"/>
              </w:rPr>
              <w:t>，另包含矩阵、分配器、管理软件及安防平台等设备</w:t>
            </w:r>
          </w:p>
        </w:tc>
      </w:tr>
      <w:tr w14:paraId="5B7F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24645E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32" w:type="dxa"/>
            <w:vAlign w:val="center"/>
          </w:tcPr>
          <w:p w14:paraId="16BD82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入侵报警系统</w:t>
            </w:r>
          </w:p>
        </w:tc>
        <w:tc>
          <w:tcPr>
            <w:tcW w:w="6332" w:type="dxa"/>
            <w:vAlign w:val="center"/>
          </w:tcPr>
          <w:p w14:paraId="5AB3F4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紧急按钮</w:t>
            </w:r>
            <w:r>
              <w:rPr>
                <w:rFonts w:hint="eastAsia" w:ascii="宋体" w:hAnsi="宋体" w:eastAsia="宋体" w:cs="宋体"/>
                <w:color w:val="auto"/>
                <w:kern w:val="0"/>
                <w:sz w:val="21"/>
                <w:szCs w:val="21"/>
                <w:highlight w:val="none"/>
                <w:lang w:val="en-US" w:eastAsia="zh-CN"/>
              </w:rPr>
              <w:t>1255</w:t>
            </w:r>
            <w:r>
              <w:rPr>
                <w:rFonts w:hint="eastAsia" w:ascii="宋体" w:hAnsi="宋体" w:eastAsia="宋体" w:cs="宋体"/>
                <w:color w:val="auto"/>
                <w:kern w:val="0"/>
                <w:sz w:val="21"/>
                <w:szCs w:val="21"/>
                <w:highlight w:val="none"/>
              </w:rPr>
              <w:t>个、对射</w:t>
            </w:r>
            <w:r>
              <w:rPr>
                <w:rFonts w:hint="eastAsia" w:ascii="宋体" w:hAnsi="宋体" w:eastAsia="宋体" w:cs="宋体"/>
                <w:color w:val="auto"/>
                <w:kern w:val="0"/>
                <w:sz w:val="21"/>
                <w:szCs w:val="21"/>
                <w:highlight w:val="none"/>
                <w:lang w:val="en-US" w:eastAsia="zh-CN"/>
              </w:rPr>
              <w:t>172</w:t>
            </w: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val="en-US" w:eastAsia="zh-CN"/>
              </w:rPr>
              <w:t>151台</w:t>
            </w:r>
            <w:r>
              <w:rPr>
                <w:rFonts w:hint="eastAsia" w:ascii="宋体" w:hAnsi="宋体" w:eastAsia="宋体" w:cs="宋体"/>
                <w:color w:val="auto"/>
                <w:kern w:val="0"/>
                <w:sz w:val="21"/>
                <w:szCs w:val="21"/>
                <w:highlight w:val="none"/>
              </w:rPr>
              <w:t>报警器及主机设备</w:t>
            </w:r>
          </w:p>
        </w:tc>
      </w:tr>
      <w:tr w14:paraId="2300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1701E2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32" w:type="dxa"/>
            <w:vAlign w:val="center"/>
          </w:tcPr>
          <w:p w14:paraId="23CFA3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声音复核子系统</w:t>
            </w:r>
          </w:p>
        </w:tc>
        <w:tc>
          <w:tcPr>
            <w:tcW w:w="6332" w:type="dxa"/>
            <w:vAlign w:val="center"/>
          </w:tcPr>
          <w:p w14:paraId="3C9BC70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1200</w:t>
            </w:r>
            <w:r>
              <w:rPr>
                <w:rFonts w:hint="eastAsia" w:ascii="宋体" w:hAnsi="宋体" w:eastAsia="宋体" w:cs="宋体"/>
                <w:color w:val="auto"/>
                <w:kern w:val="0"/>
                <w:sz w:val="21"/>
                <w:szCs w:val="21"/>
                <w:highlight w:val="none"/>
              </w:rPr>
              <w:t>个拾音器及相关主机设备（三级主机、二级主机、一级主机、电源等相关设备）</w:t>
            </w:r>
          </w:p>
        </w:tc>
      </w:tr>
      <w:tr w14:paraId="484F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4A7A07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532" w:type="dxa"/>
            <w:vAlign w:val="center"/>
          </w:tcPr>
          <w:p w14:paraId="46F28E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门禁系统</w:t>
            </w:r>
          </w:p>
        </w:tc>
        <w:tc>
          <w:tcPr>
            <w:tcW w:w="6332" w:type="dxa"/>
            <w:vAlign w:val="center"/>
          </w:tcPr>
          <w:p w14:paraId="5AAB4A1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625</w:t>
            </w:r>
            <w:r>
              <w:rPr>
                <w:rFonts w:hint="eastAsia" w:ascii="宋体" w:hAnsi="宋体" w:eastAsia="宋体" w:cs="宋体"/>
                <w:color w:val="auto"/>
                <w:kern w:val="0"/>
                <w:sz w:val="21"/>
                <w:szCs w:val="21"/>
                <w:highlight w:val="none"/>
              </w:rPr>
              <w:t>个读卡器、</w:t>
            </w:r>
            <w:r>
              <w:rPr>
                <w:rFonts w:hint="eastAsia" w:ascii="宋体" w:hAnsi="宋体" w:eastAsia="宋体" w:cs="宋体"/>
                <w:color w:val="auto"/>
                <w:kern w:val="0"/>
                <w:sz w:val="21"/>
                <w:szCs w:val="21"/>
                <w:highlight w:val="none"/>
                <w:lang w:val="en-US" w:eastAsia="zh-CN"/>
              </w:rPr>
              <w:t>指纹仪12台，人脸门禁36</w:t>
            </w:r>
            <w:r>
              <w:rPr>
                <w:rFonts w:hint="eastAsia" w:ascii="宋体" w:hAnsi="宋体" w:eastAsia="宋体" w:cs="宋体"/>
                <w:color w:val="auto"/>
                <w:kern w:val="0"/>
                <w:sz w:val="21"/>
                <w:szCs w:val="21"/>
                <w:highlight w:val="none"/>
              </w:rPr>
              <w:t>台，门禁服务器4台、</w:t>
            </w:r>
            <w:r>
              <w:rPr>
                <w:rFonts w:hint="eastAsia" w:ascii="宋体" w:hAnsi="宋体" w:eastAsia="宋体" w:cs="宋体"/>
                <w:color w:val="auto"/>
                <w:kern w:val="0"/>
                <w:sz w:val="21"/>
                <w:szCs w:val="21"/>
                <w:highlight w:val="none"/>
                <w:lang w:val="en-US" w:eastAsia="zh-CN"/>
              </w:rPr>
              <w:t>256</w:t>
            </w:r>
            <w:r>
              <w:rPr>
                <w:rFonts w:hint="eastAsia" w:ascii="宋体" w:hAnsi="宋体" w:eastAsia="宋体" w:cs="宋体"/>
                <w:color w:val="auto"/>
                <w:kern w:val="0"/>
                <w:sz w:val="21"/>
                <w:szCs w:val="21"/>
                <w:highlight w:val="none"/>
              </w:rPr>
              <w:t>个四门控制器及门禁系统相关设备及软件</w:t>
            </w:r>
          </w:p>
        </w:tc>
      </w:tr>
      <w:tr w14:paraId="366F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6D9BD2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532" w:type="dxa"/>
            <w:vAlign w:val="center"/>
          </w:tcPr>
          <w:p w14:paraId="483EAE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巡更系统</w:t>
            </w:r>
          </w:p>
        </w:tc>
        <w:tc>
          <w:tcPr>
            <w:tcW w:w="6332" w:type="dxa"/>
            <w:vAlign w:val="center"/>
          </w:tcPr>
          <w:p w14:paraId="65251B8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rPr>
              <w:t>723</w:t>
            </w:r>
            <w:r>
              <w:rPr>
                <w:rFonts w:hint="eastAsia" w:ascii="宋体" w:hAnsi="宋体" w:eastAsia="宋体" w:cs="宋体"/>
                <w:color w:val="auto"/>
                <w:kern w:val="0"/>
                <w:sz w:val="21"/>
                <w:szCs w:val="21"/>
                <w:highlight w:val="none"/>
              </w:rPr>
              <w:t>个巡更点、</w:t>
            </w:r>
            <w:r>
              <w:rPr>
                <w:rFonts w:hint="eastAsia" w:ascii="宋体" w:hAnsi="宋体" w:eastAsia="宋体" w:cs="宋体"/>
                <w:color w:val="auto"/>
                <w:kern w:val="0"/>
                <w:sz w:val="21"/>
                <w:szCs w:val="21"/>
                <w:highlight w:val="none"/>
                <w:lang w:val="en-US"/>
              </w:rPr>
              <w:t>90</w:t>
            </w:r>
            <w:r>
              <w:rPr>
                <w:rFonts w:hint="eastAsia" w:ascii="宋体" w:hAnsi="宋体" w:eastAsia="宋体" w:cs="宋体"/>
                <w:color w:val="auto"/>
                <w:kern w:val="0"/>
                <w:sz w:val="21"/>
                <w:szCs w:val="21"/>
                <w:highlight w:val="none"/>
              </w:rPr>
              <w:t>个巡更主机及相关配套设备</w:t>
            </w:r>
          </w:p>
        </w:tc>
      </w:tr>
      <w:tr w14:paraId="6469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405A3C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532" w:type="dxa"/>
            <w:vAlign w:val="center"/>
          </w:tcPr>
          <w:p w14:paraId="6F7073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对讲系统</w:t>
            </w:r>
          </w:p>
        </w:tc>
        <w:tc>
          <w:tcPr>
            <w:tcW w:w="6332" w:type="dxa"/>
            <w:vAlign w:val="center"/>
          </w:tcPr>
          <w:p w14:paraId="7A4C4C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w:t>
            </w:r>
            <w:r>
              <w:rPr>
                <w:rFonts w:hint="eastAsia" w:ascii="宋体" w:hAnsi="宋体" w:eastAsia="宋体" w:cs="宋体"/>
                <w:color w:val="auto"/>
                <w:kern w:val="0"/>
                <w:sz w:val="21"/>
                <w:szCs w:val="21"/>
                <w:highlight w:val="none"/>
                <w:lang w:val="en-US" w:eastAsia="zh-CN"/>
              </w:rPr>
              <w:t>780</w:t>
            </w:r>
            <w:r>
              <w:rPr>
                <w:rFonts w:hint="eastAsia" w:ascii="宋体" w:hAnsi="宋体" w:eastAsia="宋体" w:cs="宋体"/>
                <w:color w:val="auto"/>
                <w:kern w:val="0"/>
                <w:sz w:val="21"/>
                <w:szCs w:val="21"/>
                <w:highlight w:val="none"/>
              </w:rPr>
              <w:t>个对讲分机及</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rPr>
              <w:t>套对讲主机及相关配套设备</w:t>
            </w:r>
          </w:p>
        </w:tc>
      </w:tr>
      <w:tr w14:paraId="26C5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162C3A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532" w:type="dxa"/>
            <w:vAlign w:val="center"/>
          </w:tcPr>
          <w:p w14:paraId="448995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公共广播系统</w:t>
            </w:r>
          </w:p>
        </w:tc>
        <w:tc>
          <w:tcPr>
            <w:tcW w:w="6332" w:type="dxa"/>
            <w:vAlign w:val="center"/>
          </w:tcPr>
          <w:p w14:paraId="42E587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273</w:t>
            </w:r>
            <w:r>
              <w:rPr>
                <w:rFonts w:hint="eastAsia" w:ascii="宋体" w:hAnsi="宋体" w:eastAsia="宋体" w:cs="宋体"/>
                <w:color w:val="auto"/>
                <w:kern w:val="0"/>
                <w:sz w:val="21"/>
                <w:szCs w:val="21"/>
                <w:highlight w:val="none"/>
              </w:rPr>
              <w:t>个喇叭及</w:t>
            </w:r>
            <w:r>
              <w:rPr>
                <w:rFonts w:hint="eastAsia" w:ascii="宋体" w:hAnsi="宋体" w:eastAsia="宋体" w:cs="宋体"/>
                <w:color w:val="auto"/>
                <w:kern w:val="0"/>
                <w:sz w:val="21"/>
                <w:szCs w:val="21"/>
                <w:highlight w:val="none"/>
                <w:lang w:val="en-US"/>
              </w:rPr>
              <w:t>91</w:t>
            </w:r>
            <w:r>
              <w:rPr>
                <w:rFonts w:hint="eastAsia" w:ascii="宋体" w:hAnsi="宋体" w:eastAsia="宋体" w:cs="宋体"/>
                <w:color w:val="auto"/>
                <w:kern w:val="0"/>
                <w:sz w:val="21"/>
                <w:szCs w:val="21"/>
                <w:highlight w:val="none"/>
              </w:rPr>
              <w:t>套功放等及相关设备</w:t>
            </w:r>
          </w:p>
        </w:tc>
      </w:tr>
      <w:tr w14:paraId="1CD9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41513A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532" w:type="dxa"/>
            <w:vAlign w:val="center"/>
          </w:tcPr>
          <w:p w14:paraId="77E8C7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AB门管理系统</w:t>
            </w:r>
          </w:p>
        </w:tc>
        <w:tc>
          <w:tcPr>
            <w:tcW w:w="6332" w:type="dxa"/>
            <w:vAlign w:val="center"/>
          </w:tcPr>
          <w:p w14:paraId="24F5BC5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各</w:t>
            </w:r>
            <w:r>
              <w:rPr>
                <w:rFonts w:hint="eastAsia" w:ascii="宋体" w:hAnsi="宋体" w:eastAsia="宋体" w:cs="宋体"/>
                <w:color w:val="auto"/>
                <w:kern w:val="0"/>
                <w:sz w:val="21"/>
                <w:szCs w:val="21"/>
                <w:highlight w:val="none"/>
              </w:rPr>
              <w:t>关押点三辊闸、门禁、对讲、监控、AB门管理软件、车底扫描设备等</w:t>
            </w:r>
          </w:p>
        </w:tc>
      </w:tr>
      <w:tr w14:paraId="528E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497938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532" w:type="dxa"/>
            <w:vAlign w:val="center"/>
          </w:tcPr>
          <w:p w14:paraId="0E6E75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会见录音及亲情电话系统</w:t>
            </w:r>
          </w:p>
        </w:tc>
        <w:tc>
          <w:tcPr>
            <w:tcW w:w="6332" w:type="dxa"/>
            <w:vAlign w:val="center"/>
          </w:tcPr>
          <w:p w14:paraId="770962E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各</w:t>
            </w:r>
            <w:r>
              <w:rPr>
                <w:rFonts w:hint="eastAsia" w:ascii="宋体" w:hAnsi="宋体" w:eastAsia="宋体" w:cs="宋体"/>
                <w:color w:val="auto"/>
                <w:kern w:val="0"/>
                <w:sz w:val="21"/>
                <w:szCs w:val="21"/>
                <w:highlight w:val="none"/>
              </w:rPr>
              <w:t>关押点会见录音系统及亲情电话系统，包括控制主机及软件，叫号及复听设备，大屏滚动显示屏，电话机等设备。</w:t>
            </w:r>
          </w:p>
        </w:tc>
      </w:tr>
      <w:tr w14:paraId="610C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5FADD2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532" w:type="dxa"/>
            <w:vAlign w:val="center"/>
          </w:tcPr>
          <w:p w14:paraId="212A70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指挥中心DLP大屏系统</w:t>
            </w:r>
          </w:p>
        </w:tc>
        <w:tc>
          <w:tcPr>
            <w:tcW w:w="6332" w:type="dxa"/>
            <w:vAlign w:val="center"/>
          </w:tcPr>
          <w:p w14:paraId="1F68C70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监狱指挥中心14块</w:t>
            </w:r>
            <w:r>
              <w:rPr>
                <w:rFonts w:hint="eastAsia" w:ascii="宋体" w:hAnsi="宋体" w:eastAsia="宋体" w:cs="宋体"/>
                <w:color w:val="auto"/>
                <w:kern w:val="0"/>
                <w:sz w:val="21"/>
                <w:szCs w:val="21"/>
                <w:highlight w:val="none"/>
                <w:lang w:val="en-US" w:eastAsia="zh-CN"/>
              </w:rPr>
              <w:t>拼接屏</w:t>
            </w:r>
            <w:r>
              <w:rPr>
                <w:rFonts w:hint="eastAsia" w:ascii="宋体" w:hAnsi="宋体" w:eastAsia="宋体" w:cs="宋体"/>
                <w:color w:val="auto"/>
                <w:kern w:val="0"/>
                <w:sz w:val="21"/>
                <w:szCs w:val="21"/>
                <w:highlight w:val="none"/>
              </w:rPr>
              <w:t>，解码主机，控制单元，RGB/AV矩阵，及大屏控制电脑和软件，电脑VGA连接线，分配器等。</w:t>
            </w:r>
          </w:p>
        </w:tc>
      </w:tr>
      <w:tr w14:paraId="1786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31DF46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532" w:type="dxa"/>
            <w:vAlign w:val="center"/>
          </w:tcPr>
          <w:p w14:paraId="304831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UPS系统</w:t>
            </w:r>
          </w:p>
        </w:tc>
        <w:tc>
          <w:tcPr>
            <w:tcW w:w="6332" w:type="dxa"/>
            <w:vAlign w:val="center"/>
          </w:tcPr>
          <w:p w14:paraId="2A0B057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UPS主机</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套、UPS电池</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组</w:t>
            </w:r>
          </w:p>
        </w:tc>
      </w:tr>
      <w:tr w14:paraId="3D5E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44CA83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532" w:type="dxa"/>
            <w:vAlign w:val="center"/>
          </w:tcPr>
          <w:p w14:paraId="037ADE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机房设备/安防网络</w:t>
            </w:r>
          </w:p>
        </w:tc>
        <w:tc>
          <w:tcPr>
            <w:tcW w:w="6332" w:type="dxa"/>
            <w:vAlign w:val="center"/>
          </w:tcPr>
          <w:p w14:paraId="614F0A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精密空调</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套、柜式空调6套、壁装空调4套，机房防雷系统2套、安防设备服务器10台、流媒体服务器6台、智能分析9台、广播服务器3台，核心交换机5台，汇聚交换机4台、接入层交换机112台，IP地扯管理约3500个，刀片服务器3台，普通服务器17台等相关安防设备、服务器及软件，</w:t>
            </w:r>
          </w:p>
        </w:tc>
      </w:tr>
      <w:tr w14:paraId="357C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4572D2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532" w:type="dxa"/>
            <w:vAlign w:val="center"/>
          </w:tcPr>
          <w:p w14:paraId="67DDF3C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目前主要系统在用设备品牌</w:t>
            </w:r>
          </w:p>
        </w:tc>
        <w:tc>
          <w:tcPr>
            <w:tcW w:w="6332" w:type="dxa"/>
            <w:vAlign w:val="center"/>
          </w:tcPr>
          <w:p w14:paraId="0D0A8086">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视频监控系统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海康、大华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、入侵报警系统（大华），门禁系统、巡更系统（纽贝尔），对讲系统（来邦，狄耐克），广播系统（ITC），AB门管理系统（四方），会见录音及亲情电话系统（华亭），指挥中心大屏相关系统（大华），</w:t>
            </w:r>
            <w:r>
              <w:rPr>
                <w:rFonts w:hint="eastAsia" w:ascii="宋体" w:hAnsi="宋体" w:eastAsia="宋体" w:cs="宋体"/>
                <w:color w:val="auto"/>
                <w:sz w:val="21"/>
                <w:szCs w:val="21"/>
                <w:highlight w:val="none"/>
                <w:lang w:val="en-US" w:eastAsia="zh-CN"/>
              </w:rPr>
              <w:t>UPS</w:t>
            </w:r>
            <w:r>
              <w:rPr>
                <w:rFonts w:hint="eastAsia" w:ascii="宋体" w:hAnsi="宋体" w:eastAsia="宋体" w:cs="宋体"/>
                <w:color w:val="auto"/>
                <w:sz w:val="21"/>
                <w:szCs w:val="21"/>
                <w:highlight w:val="none"/>
              </w:rPr>
              <w:t>系统（金武士、艾迪威，科华、蓝代斯克等），网络系统（华三、大华），双备份电源（四方）。</w:t>
            </w:r>
          </w:p>
        </w:tc>
      </w:tr>
    </w:tbl>
    <w:p w14:paraId="4858D779">
      <w:pPr>
        <w:keepNext w:val="0"/>
        <w:keepLines w:val="0"/>
        <w:pageBreakBefore w:val="0"/>
        <w:widowControl w:val="0"/>
        <w:numPr>
          <w:ilvl w:val="0"/>
          <w:numId w:val="16"/>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设备巡检/维护内容</w:t>
      </w:r>
    </w:p>
    <w:tbl>
      <w:tblPr>
        <w:tblStyle w:val="60"/>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19"/>
        <w:gridCol w:w="6348"/>
      </w:tblGrid>
      <w:tr w14:paraId="54E8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1" w:type="dxa"/>
            <w:vAlign w:val="center"/>
          </w:tcPr>
          <w:p w14:paraId="3ABC04D2">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519" w:type="dxa"/>
            <w:vAlign w:val="center"/>
          </w:tcPr>
          <w:p w14:paraId="220312D5">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6348" w:type="dxa"/>
            <w:vAlign w:val="center"/>
          </w:tcPr>
          <w:p w14:paraId="3542BC94">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巡检/维护情况</w:t>
            </w:r>
          </w:p>
        </w:tc>
      </w:tr>
      <w:tr w14:paraId="7284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731" w:type="dxa"/>
            <w:vAlign w:val="center"/>
          </w:tcPr>
          <w:p w14:paraId="18171DC8">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19" w:type="dxa"/>
            <w:vAlign w:val="center"/>
          </w:tcPr>
          <w:p w14:paraId="7640EC69">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视频监控系统</w:t>
            </w:r>
          </w:p>
        </w:tc>
        <w:tc>
          <w:tcPr>
            <w:tcW w:w="6348" w:type="dxa"/>
            <w:shd w:val="clear" w:color="auto" w:fill="auto"/>
            <w:vAlign w:val="center"/>
          </w:tcPr>
          <w:p w14:paraId="0D0CB7C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控摄像机、监视器、操作台等设备卫生清洁，图像云台水平、垂直转动功能；镜头调焦、聚焦、光圈调节功能；牢固程度，是否生锈，检查各台视频监控工作站软件是否正常运行，能否远程回放录像。信号传输线路连接状态是否正常；信号传输衰减，绝缘电阻大小，有无线路干扰；硬盘录像机：视频录像、前端控制、图像显示、参数调节、磁盘等功能是否正常；监控器：图像显示是否清晰，画面调节功能是否正常等工作，监控故障率要求低于8‰。</w:t>
            </w:r>
          </w:p>
        </w:tc>
      </w:tr>
      <w:tr w14:paraId="0E90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31" w:type="dxa"/>
            <w:vAlign w:val="center"/>
          </w:tcPr>
          <w:p w14:paraId="249330B7">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19" w:type="dxa"/>
            <w:vAlign w:val="center"/>
          </w:tcPr>
          <w:p w14:paraId="29DC4B8F">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入侵报警系统</w:t>
            </w:r>
          </w:p>
        </w:tc>
        <w:tc>
          <w:tcPr>
            <w:tcW w:w="6348" w:type="dxa"/>
            <w:vAlign w:val="center"/>
          </w:tcPr>
          <w:p w14:paraId="40F3B5F6">
            <w:pPr>
              <w:keepNext w:val="0"/>
              <w:keepLines w:val="0"/>
              <w:pageBreakBefore w:val="0"/>
              <w:kinsoku/>
              <w:wordWrap/>
              <w:overflowPunct/>
              <w:topLinePunct w:val="0"/>
              <w:bidi w:val="0"/>
              <w:snapToGrid/>
              <w:spacing w:line="400" w:lineRule="exact"/>
              <w:jc w:val="both"/>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对所有报警探测器的表面进行清洁；检查各点位报警器是否正常运行；探测是否灵敏、探测范围是否有效, 防范系统与其他系统进行集成时检查系统接口，通信功能和传输信息等情况。</w:t>
            </w:r>
          </w:p>
        </w:tc>
      </w:tr>
      <w:tr w14:paraId="7EDA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31" w:type="dxa"/>
            <w:vAlign w:val="center"/>
          </w:tcPr>
          <w:p w14:paraId="73109AF2">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19" w:type="dxa"/>
            <w:vAlign w:val="center"/>
          </w:tcPr>
          <w:p w14:paraId="72E35E67">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声音复核子系统</w:t>
            </w:r>
          </w:p>
        </w:tc>
        <w:tc>
          <w:tcPr>
            <w:tcW w:w="6348" w:type="dxa"/>
            <w:vAlign w:val="center"/>
          </w:tcPr>
          <w:p w14:paraId="6731F68C">
            <w:pPr>
              <w:keepNext w:val="0"/>
              <w:keepLines w:val="0"/>
              <w:pageBreakBefore w:val="0"/>
              <w:kinsoku/>
              <w:wordWrap/>
              <w:overflowPunct/>
              <w:topLinePunct w:val="0"/>
              <w:bidi w:val="0"/>
              <w:snapToGrid/>
              <w:spacing w:line="4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检查各个信息点拾音头安装牢固度，检查一次各个拾音头的监听效果，检查声音的实时监听和声音的同步录制等情况。</w:t>
            </w:r>
          </w:p>
        </w:tc>
      </w:tr>
      <w:tr w14:paraId="3C1D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5C87A7D5">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519" w:type="dxa"/>
            <w:vAlign w:val="center"/>
          </w:tcPr>
          <w:p w14:paraId="3D60F398">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门禁系统</w:t>
            </w:r>
          </w:p>
        </w:tc>
        <w:tc>
          <w:tcPr>
            <w:tcW w:w="6348" w:type="dxa"/>
            <w:vAlign w:val="center"/>
          </w:tcPr>
          <w:p w14:paraId="7A4E54EF">
            <w:pPr>
              <w:keepNext w:val="0"/>
              <w:keepLines w:val="0"/>
              <w:pageBreakBefore w:val="0"/>
              <w:kinsoku/>
              <w:wordWrap/>
              <w:overflowPunct/>
              <w:topLinePunct w:val="0"/>
              <w:bidi w:val="0"/>
              <w:snapToGrid/>
              <w:spacing w:line="400" w:lineRule="exact"/>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检查门禁运行情况，能否正常刷卡开门、电磁锁状态灯是否正常、门开关状态是否正确、出门按钮是否有效，检查指纹仪运行情况，能否正常读取指纹开门，检查门禁管理设备是否运行正常，门禁系统与其他系统进行集成时检查系统接口，通信功能和传输信息等情况</w:t>
            </w:r>
            <w:r>
              <w:rPr>
                <w:rFonts w:hint="eastAsia" w:ascii="宋体" w:hAnsi="宋体" w:eastAsia="宋体" w:cs="宋体"/>
                <w:color w:val="auto"/>
                <w:kern w:val="0"/>
                <w:sz w:val="21"/>
                <w:szCs w:val="21"/>
                <w:highlight w:val="none"/>
                <w:lang w:eastAsia="zh-CN"/>
              </w:rPr>
              <w:t>。</w:t>
            </w:r>
          </w:p>
        </w:tc>
      </w:tr>
      <w:tr w14:paraId="5B4D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533A95DC">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519" w:type="dxa"/>
            <w:vAlign w:val="center"/>
          </w:tcPr>
          <w:p w14:paraId="2F9F946F">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巡更系统</w:t>
            </w:r>
          </w:p>
        </w:tc>
        <w:tc>
          <w:tcPr>
            <w:tcW w:w="6348" w:type="dxa"/>
            <w:vAlign w:val="center"/>
          </w:tcPr>
          <w:p w14:paraId="4091E661">
            <w:pPr>
              <w:keepNext w:val="0"/>
              <w:keepLines w:val="0"/>
              <w:pageBreakBefore w:val="0"/>
              <w:kinsoku/>
              <w:wordWrap/>
              <w:overflowPunct/>
              <w:topLinePunct w:val="0"/>
              <w:bidi w:val="0"/>
              <w:snapToGrid/>
              <w:spacing w:line="400" w:lineRule="exact"/>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巡更管理设备运行情况检查，巡更终端安装位置，安装牢固度情况检查，故障报警及准确性情况，巡更系统对巡更人员的监督及记录情况，巡更系统的联网功能检查等情况</w:t>
            </w:r>
            <w:r>
              <w:rPr>
                <w:rFonts w:hint="eastAsia" w:ascii="宋体" w:hAnsi="宋体" w:eastAsia="宋体" w:cs="宋体"/>
                <w:color w:val="auto"/>
                <w:kern w:val="0"/>
                <w:sz w:val="21"/>
                <w:szCs w:val="21"/>
                <w:highlight w:val="none"/>
                <w:lang w:eastAsia="zh-CN"/>
              </w:rPr>
              <w:t>。</w:t>
            </w:r>
          </w:p>
        </w:tc>
      </w:tr>
      <w:tr w14:paraId="3760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1D72C87F">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519" w:type="dxa"/>
            <w:vAlign w:val="center"/>
          </w:tcPr>
          <w:p w14:paraId="7F345388">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对讲系统</w:t>
            </w:r>
          </w:p>
        </w:tc>
        <w:tc>
          <w:tcPr>
            <w:tcW w:w="6348" w:type="dxa"/>
            <w:vAlign w:val="center"/>
          </w:tcPr>
          <w:p w14:paraId="0DD631A7">
            <w:pPr>
              <w:keepNext w:val="0"/>
              <w:keepLines w:val="0"/>
              <w:pageBreakBefore w:val="0"/>
              <w:kinsoku/>
              <w:wordWrap/>
              <w:overflowPunct/>
              <w:topLinePunct w:val="0"/>
              <w:bidi w:val="0"/>
              <w:snapToGrid/>
              <w:spacing w:line="400" w:lineRule="exact"/>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对讲系统的音频视频信号调节及功能调节测试，主机安装牢固度，安装位置，总线信号进行分户解码、信号放大和匹配，故障隔离保护，联网功能正常调节，测试与管理中心主机通讯正常情况，</w:t>
            </w:r>
            <w:r>
              <w:rPr>
                <w:rFonts w:hint="eastAsia" w:ascii="宋体" w:hAnsi="宋体" w:eastAsia="宋体" w:cs="宋体"/>
                <w:color w:val="auto"/>
                <w:sz w:val="21"/>
                <w:szCs w:val="21"/>
                <w:highlight w:val="none"/>
              </w:rPr>
              <w:t>信号传输线路：线路连接状态，信号传输衰减，绝缘电阻大小，有无线路干扰，有无氧化</w:t>
            </w:r>
            <w:r>
              <w:rPr>
                <w:rFonts w:hint="eastAsia" w:ascii="宋体" w:hAnsi="宋体" w:eastAsia="宋体" w:cs="宋体"/>
                <w:color w:val="auto"/>
                <w:sz w:val="21"/>
                <w:szCs w:val="21"/>
                <w:highlight w:val="none"/>
                <w:lang w:eastAsia="zh-CN"/>
              </w:rPr>
              <w:t>。</w:t>
            </w:r>
          </w:p>
        </w:tc>
      </w:tr>
      <w:tr w14:paraId="1983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634C2B84">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519" w:type="dxa"/>
            <w:vAlign w:val="center"/>
          </w:tcPr>
          <w:p w14:paraId="001B7401">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公共广播系统</w:t>
            </w:r>
          </w:p>
        </w:tc>
        <w:tc>
          <w:tcPr>
            <w:tcW w:w="6348" w:type="dxa"/>
            <w:vAlign w:val="center"/>
          </w:tcPr>
          <w:p w14:paraId="17ED89DB">
            <w:pPr>
              <w:keepNext w:val="0"/>
              <w:keepLines w:val="0"/>
              <w:pageBreakBefore w:val="0"/>
              <w:kinsoku/>
              <w:wordWrap/>
              <w:overflowPunct/>
              <w:topLinePunct w:val="0"/>
              <w:bidi w:val="0"/>
              <w:snapToGrid/>
              <w:spacing w:line="400" w:lineRule="exact"/>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公共广播系统响度，音质，音色检查，突发事件时紧急呼叫切换功能检测，广播扬声器、功率放大器、传输线路及其他传输设备、管理控制设备（硬件和软件）、寻呼设备，传音器和其他信号源设备运行等情况</w:t>
            </w:r>
            <w:r>
              <w:rPr>
                <w:rFonts w:hint="eastAsia" w:ascii="宋体" w:hAnsi="宋体" w:eastAsia="宋体" w:cs="宋体"/>
                <w:color w:val="auto"/>
                <w:kern w:val="0"/>
                <w:sz w:val="21"/>
                <w:szCs w:val="21"/>
                <w:highlight w:val="none"/>
                <w:lang w:eastAsia="zh-CN"/>
              </w:rPr>
              <w:t>。</w:t>
            </w:r>
          </w:p>
        </w:tc>
      </w:tr>
      <w:tr w14:paraId="374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4873CF9F">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519" w:type="dxa"/>
            <w:vAlign w:val="center"/>
          </w:tcPr>
          <w:p w14:paraId="2D3E3D69">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AB门管理系统</w:t>
            </w:r>
          </w:p>
        </w:tc>
        <w:tc>
          <w:tcPr>
            <w:tcW w:w="6348" w:type="dxa"/>
            <w:vAlign w:val="center"/>
          </w:tcPr>
          <w:p w14:paraId="732A0598">
            <w:pPr>
              <w:keepNext w:val="0"/>
              <w:keepLines w:val="0"/>
              <w:pageBreakBefore w:val="0"/>
              <w:kinsoku/>
              <w:wordWrap/>
              <w:overflowPunct/>
              <w:topLinePunct w:val="0"/>
              <w:bidi w:val="0"/>
              <w:snapToGrid/>
              <w:spacing w:line="400" w:lineRule="exact"/>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AB门换证系统是否正常，人行道A门运行情况，人行道B门运行情况，车行道A门运行情况，车行道B门运行情况，AB门摄像头是否正常运行，大门组件是否完好，设备卫生是否清洁，地探是否运行正常，设备是否做好防水措施等</w:t>
            </w:r>
            <w:r>
              <w:rPr>
                <w:rFonts w:hint="eastAsia" w:ascii="宋体" w:hAnsi="宋体" w:eastAsia="宋体" w:cs="宋体"/>
                <w:color w:val="auto"/>
                <w:kern w:val="0"/>
                <w:sz w:val="21"/>
                <w:szCs w:val="21"/>
                <w:highlight w:val="none"/>
                <w:lang w:eastAsia="zh-CN"/>
              </w:rPr>
              <w:t>。</w:t>
            </w:r>
          </w:p>
        </w:tc>
      </w:tr>
      <w:tr w14:paraId="6D07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2E1100DD">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519" w:type="dxa"/>
            <w:vAlign w:val="center"/>
          </w:tcPr>
          <w:p w14:paraId="5C01BE51">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会见录音系统</w:t>
            </w:r>
          </w:p>
        </w:tc>
        <w:tc>
          <w:tcPr>
            <w:tcW w:w="6348" w:type="dxa"/>
            <w:vAlign w:val="center"/>
          </w:tcPr>
          <w:p w14:paraId="0A7F1CFC">
            <w:pPr>
              <w:keepNext w:val="0"/>
              <w:keepLines w:val="0"/>
              <w:pageBreakBefore w:val="0"/>
              <w:kinsoku/>
              <w:wordWrap/>
              <w:overflowPunct/>
              <w:topLinePunct w:val="0"/>
              <w:bidi w:val="0"/>
              <w:snapToGrid/>
              <w:spacing w:line="400" w:lineRule="exact"/>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会见设备是否运行正常，会见系统软件是否正常，会见数据网络连通状况，记录是否可查询，电话机是否正常，设备卫生是否清洁</w:t>
            </w:r>
            <w:r>
              <w:rPr>
                <w:rFonts w:hint="eastAsia" w:ascii="宋体" w:hAnsi="宋体" w:eastAsia="宋体" w:cs="宋体"/>
                <w:color w:val="auto"/>
                <w:kern w:val="0"/>
                <w:sz w:val="21"/>
                <w:szCs w:val="21"/>
                <w:highlight w:val="none"/>
                <w:lang w:eastAsia="zh-CN"/>
              </w:rPr>
              <w:t>。</w:t>
            </w:r>
          </w:p>
        </w:tc>
      </w:tr>
      <w:tr w14:paraId="26CE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6A20616B">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519" w:type="dxa"/>
            <w:vAlign w:val="center"/>
          </w:tcPr>
          <w:p w14:paraId="4E590E5F">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指挥中心大屏系统</w:t>
            </w:r>
          </w:p>
        </w:tc>
        <w:tc>
          <w:tcPr>
            <w:tcW w:w="6348" w:type="dxa"/>
            <w:vAlign w:val="center"/>
          </w:tcPr>
          <w:p w14:paraId="4F8B32B8">
            <w:pPr>
              <w:keepNext w:val="0"/>
              <w:keepLines w:val="0"/>
              <w:pageBreakBefore w:val="0"/>
              <w:kinsoku/>
              <w:wordWrap/>
              <w:overflowPunct/>
              <w:topLinePunct w:val="0"/>
              <w:bidi w:val="0"/>
              <w:snapToGrid/>
              <w:spacing w:line="400" w:lineRule="exact"/>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环境是否干净卫生，温湿度是否正常，解码主机、控制单元是否正常，软件切换是否正常，显示画面是否正常，有无色差等情况</w:t>
            </w:r>
            <w:r>
              <w:rPr>
                <w:rFonts w:hint="eastAsia" w:ascii="宋体" w:hAnsi="宋体" w:eastAsia="宋体" w:cs="宋体"/>
                <w:color w:val="auto"/>
                <w:kern w:val="0"/>
                <w:sz w:val="21"/>
                <w:szCs w:val="21"/>
                <w:highlight w:val="none"/>
                <w:lang w:eastAsia="zh-CN"/>
              </w:rPr>
              <w:t>。</w:t>
            </w:r>
          </w:p>
        </w:tc>
      </w:tr>
      <w:tr w14:paraId="012C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454595EF">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519" w:type="dxa"/>
            <w:vAlign w:val="center"/>
          </w:tcPr>
          <w:p w14:paraId="34E7653A">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UPS系统</w:t>
            </w:r>
          </w:p>
        </w:tc>
        <w:tc>
          <w:tcPr>
            <w:tcW w:w="6348" w:type="dxa"/>
            <w:vAlign w:val="center"/>
          </w:tcPr>
          <w:p w14:paraId="1DD07B05">
            <w:pPr>
              <w:keepNext w:val="0"/>
              <w:keepLines w:val="0"/>
              <w:pageBreakBefore w:val="0"/>
              <w:kinsoku/>
              <w:wordWrap/>
              <w:overflowPunct/>
              <w:topLinePunct w:val="0"/>
              <w:bidi w:val="0"/>
              <w:snapToGrid/>
              <w:spacing w:line="400" w:lineRule="exact"/>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检查UPS主机是否运行正常，检查输入/输入电压/电流是否正常，设备卫生是否清洁，检查线路是否负载等情况</w:t>
            </w:r>
            <w:r>
              <w:rPr>
                <w:rFonts w:hint="eastAsia" w:ascii="宋体" w:hAnsi="宋体" w:eastAsia="宋体" w:cs="宋体"/>
                <w:color w:val="auto"/>
                <w:kern w:val="0"/>
                <w:sz w:val="21"/>
                <w:szCs w:val="21"/>
                <w:highlight w:val="none"/>
                <w:lang w:eastAsia="zh-CN"/>
              </w:rPr>
              <w:t>。</w:t>
            </w:r>
          </w:p>
        </w:tc>
      </w:tr>
      <w:tr w14:paraId="6113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2A336C28">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519" w:type="dxa"/>
            <w:vAlign w:val="center"/>
          </w:tcPr>
          <w:p w14:paraId="4E883E69">
            <w:pPr>
              <w:keepNext w:val="0"/>
              <w:keepLines w:val="0"/>
              <w:pageBreakBefore w:val="0"/>
              <w:kinsoku/>
              <w:wordWrap/>
              <w:overflowPunct/>
              <w:topLinePunct w:val="0"/>
              <w:bidi w:val="0"/>
              <w:snapToGri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网络/机房设备</w:t>
            </w:r>
          </w:p>
        </w:tc>
        <w:tc>
          <w:tcPr>
            <w:tcW w:w="6348" w:type="dxa"/>
            <w:vAlign w:val="center"/>
          </w:tcPr>
          <w:p w14:paraId="10FF24D3">
            <w:pPr>
              <w:keepNext w:val="0"/>
              <w:keepLines w:val="0"/>
              <w:pageBreakBefore w:val="0"/>
              <w:numPr>
                <w:ilvl w:val="0"/>
                <w:numId w:val="0"/>
              </w:numPr>
              <w:kinsoku/>
              <w:wordWrap/>
              <w:overflowPunct/>
              <w:topLinePunct w:val="0"/>
              <w:bidi w:val="0"/>
              <w:snapToGrid/>
              <w:spacing w:line="400" w:lineRule="exact"/>
              <w:ind w:left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根据厂家提供的软件升级版本对网络设备及软件进行更换及升级，并在更新前对现有的重要文件进行备份。</w:t>
            </w:r>
          </w:p>
          <w:p w14:paraId="571BB8C9">
            <w:pPr>
              <w:keepNext w:val="0"/>
              <w:keepLines w:val="0"/>
              <w:pageBreakBefore w:val="0"/>
              <w:numPr>
                <w:ilvl w:val="0"/>
                <w:numId w:val="0"/>
              </w:numPr>
              <w:kinsoku/>
              <w:wordWrap/>
              <w:overflowPunct/>
              <w:topLinePunct w:val="0"/>
              <w:bidi w:val="0"/>
              <w:snapToGrid/>
              <w:spacing w:line="400" w:lineRule="exact"/>
              <w:ind w:left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定期对机房供电、空调、温湿度控制等设施进行检查记录，并保持机房卫生清洁。</w:t>
            </w:r>
          </w:p>
          <w:p w14:paraId="6B3AF360">
            <w:pPr>
              <w:keepNext w:val="0"/>
              <w:keepLines w:val="0"/>
              <w:pageBreakBefore w:val="0"/>
              <w:numPr>
                <w:ilvl w:val="0"/>
                <w:numId w:val="0"/>
              </w:numPr>
              <w:kinsoku/>
              <w:wordWrap/>
              <w:overflowPunct/>
              <w:topLinePunct w:val="0"/>
              <w:bidi w:val="0"/>
              <w:snapToGrid/>
              <w:spacing w:line="400" w:lineRule="exact"/>
              <w:ind w:leftChars="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根据客户情况，制定系统数据备份计划，确定合理的系统备份策略</w:t>
            </w:r>
            <w:r>
              <w:rPr>
                <w:rFonts w:hint="eastAsia" w:ascii="宋体" w:hAnsi="宋体" w:eastAsia="宋体" w:cs="宋体"/>
                <w:color w:val="auto"/>
                <w:kern w:val="0"/>
                <w:sz w:val="21"/>
                <w:szCs w:val="21"/>
                <w:highlight w:val="none"/>
                <w:lang w:eastAsia="zh-CN"/>
              </w:rPr>
              <w:t>。</w:t>
            </w:r>
          </w:p>
          <w:p w14:paraId="1D1D7C88">
            <w:pPr>
              <w:keepNext w:val="0"/>
              <w:keepLines w:val="0"/>
              <w:pageBreakBefore w:val="0"/>
              <w:numPr>
                <w:ilvl w:val="0"/>
                <w:numId w:val="0"/>
              </w:numPr>
              <w:kinsoku/>
              <w:wordWrap/>
              <w:overflowPunct/>
              <w:topLinePunct w:val="0"/>
              <w:bidi w:val="0"/>
              <w:snapToGrid/>
              <w:spacing w:line="400" w:lineRule="exact"/>
              <w:ind w:leftChars="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定期进行备份介质的维护、更新、替换、轮转、保证备份介质可靠有效</w:t>
            </w:r>
            <w:r>
              <w:rPr>
                <w:rFonts w:hint="eastAsia" w:ascii="宋体" w:hAnsi="宋体" w:eastAsia="宋体" w:cs="宋体"/>
                <w:color w:val="auto"/>
                <w:kern w:val="0"/>
                <w:sz w:val="21"/>
                <w:szCs w:val="21"/>
                <w:highlight w:val="none"/>
                <w:lang w:eastAsia="zh-CN"/>
              </w:rPr>
              <w:t>。</w:t>
            </w:r>
          </w:p>
          <w:p w14:paraId="52DB3E15">
            <w:pPr>
              <w:keepNext w:val="0"/>
              <w:keepLines w:val="0"/>
              <w:pageBreakBefore w:val="0"/>
              <w:numPr>
                <w:ilvl w:val="0"/>
                <w:numId w:val="0"/>
              </w:numPr>
              <w:kinsoku/>
              <w:wordWrap/>
              <w:overflowPunct/>
              <w:topLinePunct w:val="0"/>
              <w:bidi w:val="0"/>
              <w:snapToGrid/>
              <w:spacing w:line="400" w:lineRule="exact"/>
              <w:ind w:leftChars="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5、协助网络工程师</w:t>
            </w:r>
            <w:r>
              <w:rPr>
                <w:rFonts w:hint="eastAsia" w:ascii="宋体" w:hAnsi="宋体" w:eastAsia="宋体" w:cs="宋体"/>
                <w:color w:val="auto"/>
                <w:kern w:val="0"/>
                <w:sz w:val="21"/>
                <w:szCs w:val="21"/>
                <w:highlight w:val="none"/>
              </w:rPr>
              <w:t>对所有的服务器设备、线路等做好检查维护发现故障及时报告</w:t>
            </w:r>
            <w:r>
              <w:rPr>
                <w:rFonts w:hint="eastAsia" w:ascii="宋体" w:hAnsi="宋体" w:eastAsia="宋体" w:cs="宋体"/>
                <w:color w:val="auto"/>
                <w:kern w:val="0"/>
                <w:sz w:val="21"/>
                <w:szCs w:val="21"/>
                <w:highlight w:val="none"/>
                <w:lang w:eastAsia="zh-CN"/>
              </w:rPr>
              <w:t>。</w:t>
            </w:r>
          </w:p>
          <w:p w14:paraId="5E77161A">
            <w:pPr>
              <w:keepNext w:val="0"/>
              <w:keepLines w:val="0"/>
              <w:pageBreakBefore w:val="0"/>
              <w:numPr>
                <w:ilvl w:val="0"/>
                <w:numId w:val="0"/>
              </w:numPr>
              <w:kinsoku/>
              <w:wordWrap/>
              <w:overflowPunct/>
              <w:topLinePunct w:val="0"/>
              <w:bidi w:val="0"/>
              <w:snapToGrid/>
              <w:spacing w:line="400" w:lineRule="exact"/>
              <w:ind w:left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val="en-US" w:eastAsia="zh-CN"/>
              </w:rPr>
              <w:t>安防</w:t>
            </w:r>
            <w:r>
              <w:rPr>
                <w:rFonts w:hint="eastAsia" w:ascii="宋体" w:hAnsi="宋体" w:eastAsia="宋体" w:cs="宋体"/>
                <w:color w:val="auto"/>
                <w:kern w:val="0"/>
                <w:sz w:val="21"/>
                <w:szCs w:val="21"/>
                <w:highlight w:val="none"/>
              </w:rPr>
              <w:t>设备、线路运行及维修记录，按重要性级别定期书面检查报告。</w:t>
            </w:r>
          </w:p>
          <w:p w14:paraId="07313980">
            <w:pPr>
              <w:keepNext w:val="0"/>
              <w:keepLines w:val="0"/>
              <w:pageBreakBefore w:val="0"/>
              <w:numPr>
                <w:ilvl w:val="0"/>
                <w:numId w:val="0"/>
              </w:numPr>
              <w:kinsoku/>
              <w:wordWrap/>
              <w:overflowPunct/>
              <w:topLinePunct w:val="0"/>
              <w:bidi w:val="0"/>
              <w:snapToGrid/>
              <w:spacing w:line="400" w:lineRule="exact"/>
              <w:ind w:left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7、协助网络工程师做好</w:t>
            </w:r>
            <w:r>
              <w:rPr>
                <w:rFonts w:hint="eastAsia" w:ascii="宋体" w:hAnsi="宋体" w:eastAsia="宋体" w:cs="宋体"/>
                <w:color w:val="auto"/>
                <w:kern w:val="0"/>
                <w:sz w:val="21"/>
                <w:szCs w:val="21"/>
                <w:highlight w:val="none"/>
              </w:rPr>
              <w:t>监狱所有IP地扯的划分及管理。</w:t>
            </w:r>
          </w:p>
        </w:tc>
      </w:tr>
    </w:tbl>
    <w:p w14:paraId="1DAF49F6">
      <w:pPr>
        <w:pStyle w:val="4"/>
        <w:keepNext w:val="0"/>
        <w:keepLines w:val="0"/>
        <w:pageBreakBefore w:val="0"/>
        <w:widowControl w:val="0"/>
        <w:kinsoku/>
        <w:wordWrap/>
        <w:overflowPunct/>
        <w:topLinePunct w:val="0"/>
        <w:autoSpaceDE/>
        <w:autoSpaceDN/>
        <w:bidi w:val="0"/>
        <w:adjustRightInd/>
        <w:snapToGrid/>
        <w:spacing w:before="0" w:after="0" w:line="400" w:lineRule="exact"/>
        <w:ind w:left="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注：巡检/维护过程中如有设备故障需立即修复，若现场无法解决或需更换部件等，需上报相关部门经批准后进行修复，若有报修需立即赶往处理。</w:t>
      </w:r>
    </w:p>
    <w:p w14:paraId="764D536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 维保要求</w:t>
      </w:r>
    </w:p>
    <w:p w14:paraId="3BCE4D0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1、服务要求：</w:t>
      </w:r>
    </w:p>
    <w:p w14:paraId="73FC80D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（1）派驻现场的维保服务人员人数不少于7人，必须为男性，无刑事犯罪记录，工作主动勤恳，能遵守采购人单位的管理制度，熟练掌握安防系统各类设备的操作检修与系统软件的配置应用，熟悉</w:t>
      </w:r>
      <w:bookmarkStart w:id="39" w:name="_Hlk212364977"/>
      <w:r>
        <w:rPr>
          <w:rFonts w:hint="eastAsia" w:ascii="宋体" w:hAnsi="宋体" w:eastAsia="宋体" w:cs="宋体"/>
          <w:color w:val="auto"/>
          <w:szCs w:val="21"/>
          <w:highlight w:val="none"/>
          <w:lang w:val="en-US" w:eastAsia="zh-CN"/>
        </w:rPr>
        <w:t>《浙江省电子政务网络技术规范》、《浙江省电子政务网络安全规范》等。服务期内驻场维保人员专职为</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lang w:val="en-US" w:eastAsia="zh-CN"/>
        </w:rPr>
        <w:t>提供安防信息设施维保服务，其工作模式、工作时间、地点、内容由采购人单位安排</w:t>
      </w:r>
      <w:bookmarkEnd w:id="39"/>
      <w:r>
        <w:rPr>
          <w:rFonts w:hint="eastAsia" w:ascii="宋体" w:hAnsi="宋体" w:eastAsia="宋体" w:cs="宋体"/>
          <w:color w:val="auto"/>
          <w:szCs w:val="21"/>
          <w:highlight w:val="none"/>
          <w:lang w:val="en-US" w:eastAsia="zh-CN"/>
        </w:rPr>
        <w:t>。</w:t>
      </w:r>
      <w:r>
        <w:rPr>
          <w:rFonts w:hint="eastAsia"/>
          <w:color w:val="auto"/>
          <w:highlight w:val="none"/>
        </w:rPr>
        <w:t>合同签订后， 中标单位需提供派驻现场驻点维保人员为公司员工的证明材料。</w:t>
      </w:r>
    </w:p>
    <w:p w14:paraId="0EBA70A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（2）投标人应建立健全维修人员上岗考勤制度、值班制度。每月25日之前提供下一月度的值班表，</w:t>
      </w:r>
      <w:r>
        <w:rPr>
          <w:rFonts w:hint="eastAsia" w:ascii="宋体" w:hAnsi="宋体" w:cs="宋体"/>
          <w:color w:val="auto"/>
          <w:szCs w:val="21"/>
          <w:highlight w:val="none"/>
          <w:lang w:val="en-US" w:eastAsia="zh-CN"/>
        </w:rPr>
        <w:t>行政班的</w:t>
      </w:r>
      <w:r>
        <w:rPr>
          <w:rFonts w:hint="eastAsia" w:ascii="宋体" w:hAnsi="宋体" w:eastAsia="宋体" w:cs="宋体"/>
          <w:color w:val="auto"/>
          <w:szCs w:val="21"/>
          <w:highlight w:val="none"/>
          <w:lang w:val="en-US" w:eastAsia="zh-CN"/>
        </w:rPr>
        <w:t>上下班时间参照南湖监狱工作人员的上下班时间进行</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工作日</w:t>
      </w:r>
      <w:r>
        <w:rPr>
          <w:rFonts w:hint="eastAsia" w:ascii="宋体" w:hAnsi="宋体" w:cs="宋体"/>
          <w:color w:val="auto"/>
          <w:szCs w:val="21"/>
          <w:highlight w:val="none"/>
          <w:lang w:val="en-US" w:eastAsia="zh-CN"/>
        </w:rPr>
        <w:t>下班后</w:t>
      </w:r>
      <w:r>
        <w:rPr>
          <w:rFonts w:hint="eastAsia" w:ascii="宋体" w:hAnsi="宋体" w:eastAsia="宋体" w:cs="宋体"/>
          <w:color w:val="auto"/>
          <w:szCs w:val="21"/>
          <w:highlight w:val="none"/>
          <w:lang w:val="en-US" w:eastAsia="zh-CN"/>
        </w:rPr>
        <w:t>、公休日及法定节假日需要安排有一名维护人员值班，确保实现24小时维护响应；</w:t>
      </w:r>
    </w:p>
    <w:p w14:paraId="72B80DD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（3）关于维保人员的工作模式由</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lang w:val="en-US" w:eastAsia="zh-CN"/>
        </w:rPr>
        <w:t>根据实际情况确定并调整，派驻现场的维保人员应服从</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lang w:val="en-US" w:eastAsia="zh-CN"/>
        </w:rPr>
        <w:t>的管理和安排。符合监内辅警工作条件的应以监管安全要求相适应配备服装、设备等，具体服装、设备由中标单位提供。</w:t>
      </w:r>
    </w:p>
    <w:p w14:paraId="0CE8851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（4）日常建立相关巡检台帐；若遇国家重大疾病流行期间，根据省局、监狱的实际要求，运维人员须根据本单位防疫制度进行调整值班、备勤模式，服从单位整体安排，严格遵守单位防疫制度。</w:t>
      </w:r>
    </w:p>
    <w:p w14:paraId="27815DF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（5）中标人在维护过程中必须严格按照监狱信息化系统的维护操作规程实施，保证系统设备正常运行。</w:t>
      </w:r>
    </w:p>
    <w:p w14:paraId="181DB81B">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2、故障响应要求：</w:t>
      </w:r>
    </w:p>
    <w:p w14:paraId="6D00923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（1）故障类响应时间不得超过30分钟；</w:t>
      </w:r>
    </w:p>
    <w:p w14:paraId="3186B54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（2）维修任务以监狱接处警平台为主，需要在1小时内完成签收，24小时内结单。每次检查、维修均以专门的表格记录并存档。</w:t>
      </w:r>
    </w:p>
    <w:p w14:paraId="6851CF7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3、运维工具保障：</w:t>
      </w:r>
    </w:p>
    <w:p w14:paraId="6369FF0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（1）驻场工程师配备专用通讯手机，必须24小时开机；</w:t>
      </w:r>
    </w:p>
    <w:p w14:paraId="35EBD2F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（2）根据实际工作需要开通VPN及堡垒机运维账号</w:t>
      </w:r>
    </w:p>
    <w:p w14:paraId="41C553B2">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4、物资仓储管理：</w:t>
      </w:r>
    </w:p>
    <w:p w14:paraId="102D3306">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（1）日常设备更换，必须有出入库记录，5个工作日内由分管民警确认；</w:t>
      </w:r>
    </w:p>
    <w:p w14:paraId="67301EF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（2）物资仓库每月整理一次，做到堆放整齐，符合消防要求。</w:t>
      </w:r>
    </w:p>
    <w:p w14:paraId="16BD9D9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5、报表资料管理：</w:t>
      </w:r>
    </w:p>
    <w:p w14:paraId="732AB8C9">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出具日维修报表，巡检报表，月度巡检报表，季度UPS巡检报告。</w:t>
      </w:r>
    </w:p>
    <w:p w14:paraId="43EF4DB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6、遵规守纪要求：</w:t>
      </w:r>
    </w:p>
    <w:p w14:paraId="612BCD3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驻点人员一旦确定，须与省南湖监狱签订保密协议，服务单位对涉密信息系统和设备进行维护时，要求采购人相关使用人全程在场，如果因为服务单位过失引起的泄密事故，将依法追究其相关法律责任。合同期内在未得到省南湖监狱允许前不得变更人员，否则省南湖监狱有权终止合同，中标单位承担全部损失。</w:t>
      </w:r>
    </w:p>
    <w:p w14:paraId="5A826ED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（2）自觉遵守采购人相关规定，不得将违规品、违禁品带入监管区。</w:t>
      </w:r>
    </w:p>
    <w:p w14:paraId="154F3814">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7、常规巡检要求：</w:t>
      </w:r>
    </w:p>
    <w:p w14:paraId="2C859AF2">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（1）中心、二级机房实行日巡检制度；</w:t>
      </w:r>
    </w:p>
    <w:p w14:paraId="5329EDC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（2）五一、国庆、春节重大节假日，省厅局专项检查前7天内完成安防设备自查，并做重点整改。</w:t>
      </w:r>
    </w:p>
    <w:p w14:paraId="2EDBDC0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8、其他要求</w:t>
      </w:r>
    </w:p>
    <w:p w14:paraId="537591E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（1）因服务公司的运维人员人为因素造成的损失由服务公司承担；</w:t>
      </w:r>
    </w:p>
    <w:p w14:paraId="1E6C9E9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（2）所有进场运维服务人员必须服从省南湖监狱信息技术科的领导和管理，包括制定工作制度、监督工作制度的执行质量、分配和调整工作任务和资源等。</w:t>
      </w:r>
    </w:p>
    <w:p w14:paraId="2351348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（3）认真完成省南湖监狱安排的其他工作任务。</w:t>
      </w:r>
    </w:p>
    <w:p w14:paraId="6AF834A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9、过渡期要求</w:t>
      </w:r>
    </w:p>
    <w:p w14:paraId="4E93BB1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为了确保采购人安防维保工作的稳定性和延续性，采购人在中标之后，需在上年度维护合同到期前15天，即2025年9月1日开始派遣7名维保人员到达采购人指定的服务地点进行环境熟悉和任务交接工作。采购人将根据派遣维保人员在15天的工作表现进行考核，考核合格后作为合同履约期内的现场维保人员。如果考核不通过，将要求投标人重新委派其他维保人员进行补充，在新一轮考核合格之前期间，投标人必须确保人员流转不对采购人的安防维保工作产生实际影响，如果2轮考核仍不通过，采购人将有权中止合同，所有因派遣人员不符合采购人实际需求而导致的损失，全部由投标人承担。</w:t>
      </w:r>
    </w:p>
    <w:p w14:paraId="34B53DE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 服务质量保障及考核要求：</w:t>
      </w:r>
    </w:p>
    <w:p w14:paraId="1DA6B0A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3.4.1服务质量跟踪</w:t>
      </w:r>
    </w:p>
    <w:p w14:paraId="3E8612E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标人如若更换运维人员的，运维人员需满足上述3.3第（1）款基本要求，且需提前书面通知采购人，征得采购人同意后方可更换运维人员。采购人如对投标人所指派技术人员的服务不满意（包括技术能力、服务态度等），也有权通过书面形式提出撤换该技术人员的要求，投标人应无条件予以执行。</w:t>
      </w:r>
    </w:p>
    <w:p w14:paraId="5EC34A4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3.4.2 服务质量考核</w:t>
      </w:r>
    </w:p>
    <w:p w14:paraId="5E9CD12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服务考核采用</w:t>
      </w:r>
      <w:r>
        <w:rPr>
          <w:rFonts w:hint="eastAsia" w:ascii="宋体" w:hAnsi="宋体" w:eastAsia="宋体" w:cs="宋体"/>
          <w:color w:val="auto"/>
          <w:szCs w:val="21"/>
          <w:highlight w:val="none"/>
          <w:lang w:val="en-US" w:eastAsia="zh-CN"/>
        </w:rPr>
        <w:t>月度考核</w:t>
      </w:r>
      <w:r>
        <w:rPr>
          <w:rFonts w:hint="eastAsia" w:ascii="宋体" w:hAnsi="宋体" w:eastAsia="宋体" w:cs="宋体"/>
          <w:color w:val="auto"/>
          <w:szCs w:val="21"/>
          <w:highlight w:val="none"/>
          <w:lang w:val="en-US" w:eastAsia="zh-CN"/>
        </w:rPr>
        <w:t>（扣分制），考核费用在合同期最后一次结算中体现的方式进行，具体运维考核办法由采购人发布实施，驻点运维人员参照执行。</w:t>
      </w:r>
    </w:p>
    <w:p w14:paraId="2AA957BC">
      <w:pPr>
        <w:keepNext w:val="0"/>
        <w:keepLines w:val="0"/>
        <w:pageBreakBefore w:val="0"/>
        <w:widowControl w:val="0"/>
        <w:numPr>
          <w:ilvl w:val="0"/>
          <w:numId w:val="15"/>
        </w:numPr>
        <w:kinsoku/>
        <w:wordWrap/>
        <w:overflowPunct/>
        <w:topLinePunct w:val="0"/>
        <w:autoSpaceDE/>
        <w:autoSpaceDN/>
        <w:bidi w:val="0"/>
        <w:adjustRightInd/>
        <w:spacing w:line="400" w:lineRule="exact"/>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费用构成及支付方式</w:t>
      </w:r>
    </w:p>
    <w:p w14:paraId="6EE1183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1、费用构成及说明</w:t>
      </w:r>
    </w:p>
    <w:p w14:paraId="304BFF6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运维服务费预算价为70万，超过预算价的投标视为无效；（本项目为纯人工运维项目，不包含维修耗材等费用）</w:t>
      </w:r>
    </w:p>
    <w:p w14:paraId="7B3B838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2、运维服务费支付方式</w:t>
      </w:r>
    </w:p>
    <w:p w14:paraId="2B9259D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合同签订后，每3个月支付一次费用。运维服务费按照其投标价的23%支付。</w:t>
      </w:r>
    </w:p>
    <w:p w14:paraId="38EAF0A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运维服务费投标价的8%作为驻场人员考核奖励费用，本项费用于最后一次财务结算中体现。采购人依据考核办法出具年度考核结果，根据考核结果于发放对应考核费用。驻场维护人员年度没有考核扣分的，招标单位应足额支付考核奖励费用。</w:t>
      </w:r>
    </w:p>
    <w:p w14:paraId="4D5254B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标人应按时足额支付每位驻场工程师/技术员的工资、奖金和奖励费用。如若出现因中标人拖欠工资等原因造成驻场工程师/技术员消极怠工、无故旷工或生活困难等情况的，招标单位有权提前终止合同并另行招标，由此引起的一切后果概由中标人承担。</w:t>
      </w:r>
    </w:p>
    <w:bookmarkEnd w:id="34"/>
    <w:bookmarkEnd w:id="38"/>
    <w:p w14:paraId="22F3B8A6">
      <w:pPr>
        <w:keepNext w:val="0"/>
        <w:keepLines w:val="0"/>
        <w:pageBreakBefore w:val="0"/>
        <w:widowControl w:val="0"/>
        <w:numPr>
          <w:ilvl w:val="0"/>
          <w:numId w:val="15"/>
        </w:numPr>
        <w:kinsoku/>
        <w:wordWrap/>
        <w:overflowPunct/>
        <w:topLinePunct w:val="0"/>
        <w:autoSpaceDE/>
        <w:autoSpaceDN/>
        <w:bidi w:val="0"/>
        <w:adjustRightInd/>
        <w:spacing w:line="400" w:lineRule="exact"/>
        <w:jc w:val="left"/>
        <w:textAlignment w:val="auto"/>
        <w:outlineLvl w:val="1"/>
        <w:rPr>
          <w:rFonts w:ascii="宋体" w:hAnsi="宋体" w:cs="宋体"/>
          <w:b/>
          <w:color w:val="auto"/>
          <w:sz w:val="24"/>
          <w:highlight w:val="none"/>
        </w:rPr>
      </w:pPr>
      <w:bookmarkStart w:id="40" w:name="_Toc20559"/>
      <w:bookmarkStart w:id="41" w:name="_Toc4239"/>
      <w:bookmarkStart w:id="42" w:name="_Toc29429"/>
      <w:bookmarkStart w:id="43" w:name="_Toc4739"/>
      <w:bookmarkStart w:id="44" w:name="_Toc13960"/>
      <w:r>
        <w:rPr>
          <w:rFonts w:hint="eastAsia" w:ascii="宋体" w:hAnsi="宋体" w:cs="宋体"/>
          <w:b/>
          <w:color w:val="auto"/>
          <w:sz w:val="24"/>
          <w:highlight w:val="none"/>
        </w:rPr>
        <w:t>商务要求表</w:t>
      </w:r>
    </w:p>
    <w:tbl>
      <w:tblPr>
        <w:tblStyle w:val="60"/>
        <w:tblW w:w="8609" w:type="dxa"/>
        <w:tblInd w:w="-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7477"/>
      </w:tblGrid>
      <w:tr w14:paraId="79577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32" w:type="dxa"/>
            <w:tcBorders>
              <w:top w:val="single" w:color="auto" w:sz="4" w:space="0"/>
              <w:left w:val="single" w:color="auto" w:sz="4" w:space="0"/>
              <w:bottom w:val="single" w:color="auto" w:sz="4" w:space="0"/>
              <w:right w:val="single" w:color="auto" w:sz="4" w:space="0"/>
            </w:tcBorders>
            <w:vAlign w:val="center"/>
          </w:tcPr>
          <w:p w14:paraId="16BEAAC7">
            <w:pPr>
              <w:keepNext w:val="0"/>
              <w:keepLines w:val="0"/>
              <w:pageBreakBefore w:val="0"/>
              <w:widowControl w:val="0"/>
              <w:kinsoku/>
              <w:wordWrap/>
              <w:overflowPunct/>
              <w:topLinePunct w:val="0"/>
              <w:autoSpaceDE/>
              <w:autoSpaceDN/>
              <w:bidi w:val="0"/>
              <w:spacing w:line="400" w:lineRule="exact"/>
              <w:contextualSpacing/>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服务期限及地点</w:t>
            </w:r>
          </w:p>
        </w:tc>
        <w:tc>
          <w:tcPr>
            <w:tcW w:w="7477" w:type="dxa"/>
            <w:tcBorders>
              <w:top w:val="single" w:color="auto" w:sz="4" w:space="0"/>
              <w:left w:val="single" w:color="auto" w:sz="4" w:space="0"/>
              <w:bottom w:val="single" w:color="auto" w:sz="4" w:space="0"/>
              <w:right w:val="single" w:color="auto" w:sz="4" w:space="0"/>
            </w:tcBorders>
            <w:vAlign w:val="center"/>
          </w:tcPr>
          <w:p w14:paraId="5A10A9DB">
            <w:pPr>
              <w:keepNext w:val="0"/>
              <w:keepLines w:val="0"/>
              <w:pageBreakBefore w:val="0"/>
              <w:widowControl w:val="0"/>
              <w:numPr>
                <w:ilvl w:val="0"/>
                <w:numId w:val="0"/>
              </w:numPr>
              <w:kinsoku/>
              <w:wordWrap/>
              <w:overflowPunct/>
              <w:topLinePunct w:val="0"/>
              <w:autoSpaceDE/>
              <w:autoSpaceDN/>
              <w:bidi w:val="0"/>
              <w:spacing w:line="400" w:lineRule="exact"/>
              <w:contextualSpacing/>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1、服务时间：1</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自合同签订之日计起</w:t>
            </w:r>
            <w:r>
              <w:rPr>
                <w:rFonts w:hint="eastAsia" w:ascii="宋体" w:hAnsi="宋体" w:eastAsia="宋体" w:cs="宋体"/>
                <w:color w:val="auto"/>
                <w:kern w:val="0"/>
                <w:sz w:val="21"/>
                <w:szCs w:val="21"/>
                <w:highlight w:val="none"/>
                <w:lang w:eastAsia="zh-CN"/>
              </w:rPr>
              <w:t>。</w:t>
            </w:r>
          </w:p>
          <w:p w14:paraId="035E64A2">
            <w:pPr>
              <w:keepNext w:val="0"/>
              <w:keepLines w:val="0"/>
              <w:pageBreakBefore w:val="0"/>
              <w:widowControl w:val="0"/>
              <w:numPr>
                <w:ilvl w:val="0"/>
                <w:numId w:val="0"/>
              </w:numPr>
              <w:kinsoku/>
              <w:wordWrap/>
              <w:overflowPunct/>
              <w:topLinePunct w:val="0"/>
              <w:autoSpaceDE/>
              <w:autoSpaceDN/>
              <w:bidi w:val="0"/>
              <w:spacing w:line="400" w:lineRule="exact"/>
              <w:contextualSpacing/>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2、服务地点：采购人指定地点。</w:t>
            </w:r>
          </w:p>
        </w:tc>
      </w:tr>
      <w:tr w14:paraId="32591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32" w:type="dxa"/>
            <w:tcBorders>
              <w:top w:val="single" w:color="auto" w:sz="4" w:space="0"/>
              <w:left w:val="single" w:color="auto" w:sz="4" w:space="0"/>
              <w:bottom w:val="single" w:color="auto" w:sz="4" w:space="0"/>
              <w:right w:val="single" w:color="auto" w:sz="4" w:space="0"/>
            </w:tcBorders>
            <w:vAlign w:val="center"/>
          </w:tcPr>
          <w:p w14:paraId="008DA26B">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7477" w:type="dxa"/>
            <w:tcBorders>
              <w:top w:val="single" w:color="auto" w:sz="4" w:space="0"/>
              <w:left w:val="single" w:color="auto" w:sz="4" w:space="0"/>
              <w:bottom w:val="single" w:color="auto" w:sz="4" w:space="0"/>
              <w:right w:val="single" w:color="auto" w:sz="4" w:space="0"/>
            </w:tcBorders>
            <w:vAlign w:val="center"/>
          </w:tcPr>
          <w:p w14:paraId="1383360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合同签订</w:t>
            </w:r>
            <w:r>
              <w:rPr>
                <w:rFonts w:hint="eastAsia" w:ascii="宋体" w:hAnsi="宋体" w:cs="宋体"/>
                <w:color w:val="auto"/>
                <w:sz w:val="21"/>
                <w:szCs w:val="21"/>
                <w:highlight w:val="none"/>
                <w:lang w:val="en-US" w:eastAsia="zh-CN"/>
              </w:rPr>
              <w:t>后5个工作日</w:t>
            </w:r>
            <w:r>
              <w:rPr>
                <w:rFonts w:hint="eastAsia" w:ascii="宋体" w:hAnsi="宋体" w:eastAsia="宋体" w:cs="宋体"/>
                <w:color w:val="auto"/>
                <w:sz w:val="21"/>
                <w:szCs w:val="21"/>
                <w:highlight w:val="none"/>
                <w:lang w:eastAsia="zh-CN"/>
              </w:rPr>
              <w:t>，中标人向采购人</w:t>
            </w:r>
            <w:r>
              <w:rPr>
                <w:rFonts w:hint="eastAsia" w:ascii="宋体" w:hAnsi="宋体" w:cs="宋体"/>
                <w:color w:val="auto"/>
                <w:sz w:val="21"/>
                <w:szCs w:val="21"/>
                <w:highlight w:val="none"/>
                <w:lang w:val="en-US" w:eastAsia="zh-CN"/>
              </w:rPr>
              <w:t>缴纳合同金额</w:t>
            </w:r>
            <w:r>
              <w:rPr>
                <w:rFonts w:hint="eastAsia" w:ascii="宋体" w:hAnsi="宋体" w:eastAsia="宋体" w:cs="宋体"/>
                <w:color w:val="auto"/>
                <w:sz w:val="21"/>
                <w:szCs w:val="21"/>
                <w:highlight w:val="none"/>
                <w:lang w:eastAsia="zh-CN"/>
              </w:rPr>
              <w:t>1%的履约保证金，履约保证金在合同履约期间无违约情形的，服务期满后无息退还；</w:t>
            </w:r>
          </w:p>
          <w:p w14:paraId="69B73A0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提交方式：以</w:t>
            </w:r>
            <w:r>
              <w:rPr>
                <w:rFonts w:hint="eastAsia"/>
                <w:color w:val="auto"/>
                <w:highlight w:val="none"/>
                <w:lang w:eastAsia="zh-CN"/>
              </w:rPr>
              <w:t>转账、</w:t>
            </w:r>
            <w:r>
              <w:rPr>
                <w:rFonts w:hint="eastAsia" w:ascii="宋体" w:hAnsi="宋体" w:eastAsia="宋体" w:cs="宋体"/>
                <w:color w:val="auto"/>
                <w:sz w:val="21"/>
                <w:szCs w:val="21"/>
                <w:highlight w:val="none"/>
                <w:lang w:eastAsia="zh-CN"/>
              </w:rPr>
              <w:t>支票、汇票、本票或金融机构的保函等非现金形式。</w:t>
            </w:r>
          </w:p>
        </w:tc>
      </w:tr>
    </w:tbl>
    <w:p w14:paraId="5F35C3C7">
      <w:pPr>
        <w:snapToGrid w:val="0"/>
        <w:spacing w:line="400" w:lineRule="exact"/>
        <w:ind w:firstLine="420" w:firstLineChars="200"/>
        <w:rPr>
          <w:rFonts w:hint="eastAsia" w:ascii="宋体" w:hAnsi="宋体"/>
          <w:color w:val="auto"/>
          <w:szCs w:val="21"/>
          <w:highlight w:val="none"/>
          <w:u w:val="single"/>
        </w:rPr>
      </w:pPr>
    </w:p>
    <w:p w14:paraId="7DC2166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u w:val="single"/>
        </w:rPr>
        <w:t>注：本招标文件中带“</w:t>
      </w:r>
      <w:r>
        <w:rPr>
          <w:rFonts w:hint="eastAsia" w:ascii="宋体" w:hAnsi="宋体" w:cs="Arial"/>
          <w:b/>
          <w:snapToGrid w:val="0"/>
          <w:color w:val="auto"/>
          <w:kern w:val="0"/>
          <w:szCs w:val="21"/>
          <w:highlight w:val="none"/>
          <w:u w:val="single"/>
        </w:rPr>
        <w:t>▲</w:t>
      </w:r>
      <w:r>
        <w:rPr>
          <w:rFonts w:hint="eastAsia" w:ascii="宋体" w:hAnsi="宋体"/>
          <w:color w:val="auto"/>
          <w:szCs w:val="21"/>
          <w:highlight w:val="none"/>
          <w:u w:val="single"/>
        </w:rPr>
        <w:t>”的有关技术和商务条款为实质性条款，投标人必须在投标文件中作出实质性响应，否则投标无效。</w:t>
      </w:r>
    </w:p>
    <w:p w14:paraId="6AC7C250">
      <w:pPr>
        <w:rPr>
          <w:rFonts w:hint="eastAsia" w:ascii="宋体" w:hAnsi="宋体"/>
          <w:color w:val="auto"/>
          <w:szCs w:val="21"/>
          <w:highlight w:val="none"/>
          <w:u w:val="single"/>
        </w:rPr>
      </w:pPr>
      <w:r>
        <w:rPr>
          <w:rFonts w:hint="eastAsia" w:ascii="宋体" w:hAnsi="宋体"/>
          <w:color w:val="auto"/>
          <w:szCs w:val="21"/>
          <w:highlight w:val="none"/>
          <w:u w:val="single"/>
        </w:rPr>
        <w:br w:type="page"/>
      </w:r>
    </w:p>
    <w:p w14:paraId="510281CF">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baseline"/>
        <w:outlineLvl w:val="0"/>
        <w:rPr>
          <w:rFonts w:ascii="宋体"/>
          <w:b/>
          <w:bCs/>
          <w:color w:val="auto"/>
          <w:sz w:val="32"/>
          <w:szCs w:val="30"/>
          <w:highlight w:val="none"/>
        </w:rPr>
      </w:pPr>
      <w:r>
        <w:rPr>
          <w:rFonts w:hint="eastAsia" w:ascii="宋体"/>
          <w:b/>
          <w:bCs/>
          <w:color w:val="auto"/>
          <w:sz w:val="32"/>
          <w:szCs w:val="30"/>
          <w:highlight w:val="none"/>
        </w:rPr>
        <w:t>第三章、投标人须知</w:t>
      </w:r>
      <w:bookmarkEnd w:id="22"/>
      <w:bookmarkEnd w:id="23"/>
      <w:bookmarkEnd w:id="24"/>
      <w:bookmarkEnd w:id="25"/>
      <w:bookmarkEnd w:id="26"/>
      <w:bookmarkEnd w:id="35"/>
      <w:bookmarkEnd w:id="36"/>
      <w:bookmarkEnd w:id="37"/>
      <w:bookmarkEnd w:id="40"/>
      <w:bookmarkEnd w:id="41"/>
      <w:bookmarkEnd w:id="42"/>
      <w:bookmarkEnd w:id="43"/>
      <w:bookmarkEnd w:id="44"/>
    </w:p>
    <w:p w14:paraId="0A900E90">
      <w:pPr>
        <w:spacing w:line="400" w:lineRule="exact"/>
        <w:jc w:val="center"/>
        <w:rPr>
          <w:rFonts w:ascii="宋体"/>
          <w:b/>
          <w:color w:val="auto"/>
          <w:szCs w:val="21"/>
          <w:highlight w:val="none"/>
        </w:rPr>
      </w:pPr>
      <w:bookmarkStart w:id="45" w:name="_Toc31589"/>
      <w:bookmarkStart w:id="46" w:name="_Toc32363"/>
      <w:bookmarkStart w:id="47" w:name="_Toc293916352"/>
      <w:bookmarkStart w:id="48" w:name="_Toc293917016"/>
      <w:bookmarkStart w:id="49" w:name="_Toc293916001"/>
      <w:bookmarkStart w:id="50" w:name="_Toc177870535"/>
      <w:bookmarkStart w:id="51" w:name="_Toc8586"/>
      <w:bookmarkStart w:id="52" w:name="_Toc424544532"/>
      <w:bookmarkStart w:id="53" w:name="_Toc5456"/>
      <w:bookmarkStart w:id="54" w:name="_Toc28344"/>
      <w:bookmarkStart w:id="55" w:name="_Toc19160"/>
      <w:bookmarkStart w:id="56" w:name="_Toc424544811"/>
      <w:bookmarkStart w:id="57" w:name="_Toc293916870"/>
      <w:r>
        <w:rPr>
          <w:rFonts w:hint="eastAsia" w:ascii="宋体"/>
          <w:b/>
          <w:color w:val="auto"/>
          <w:szCs w:val="21"/>
          <w:highlight w:val="none"/>
        </w:rPr>
        <w:t>投标须知前附表</w:t>
      </w:r>
      <w:bookmarkEnd w:id="45"/>
      <w:bookmarkEnd w:id="46"/>
      <w:bookmarkEnd w:id="47"/>
      <w:bookmarkEnd w:id="48"/>
      <w:bookmarkEnd w:id="49"/>
      <w:bookmarkEnd w:id="50"/>
      <w:bookmarkEnd w:id="51"/>
      <w:bookmarkEnd w:id="52"/>
      <w:bookmarkEnd w:id="53"/>
      <w:bookmarkEnd w:id="54"/>
      <w:bookmarkEnd w:id="55"/>
      <w:bookmarkEnd w:id="56"/>
      <w:bookmarkEnd w:id="57"/>
    </w:p>
    <w:tbl>
      <w:tblPr>
        <w:tblStyle w:val="60"/>
        <w:tblW w:w="86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8"/>
        <w:gridCol w:w="8015"/>
      </w:tblGrid>
      <w:tr w14:paraId="528B8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654F075F">
            <w:pPr>
              <w:keepNext w:val="0"/>
              <w:keepLines w:val="0"/>
              <w:pageBreakBefore w:val="0"/>
              <w:kinsoku/>
              <w:wordWrap/>
              <w:overflowPunct/>
              <w:topLinePunct w:val="0"/>
              <w:bidi w:val="0"/>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015" w:type="dxa"/>
            <w:vAlign w:val="center"/>
          </w:tcPr>
          <w:p w14:paraId="0C65D049">
            <w:pPr>
              <w:keepNext w:val="0"/>
              <w:keepLines w:val="0"/>
              <w:pageBreakBefore w:val="0"/>
              <w:kinsoku/>
              <w:wordWrap/>
              <w:overflowPunct/>
              <w:topLinePunct w:val="0"/>
              <w:bidi w:val="0"/>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14:paraId="1E32D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2ABAB168">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015" w:type="dxa"/>
            <w:vAlign w:val="center"/>
          </w:tcPr>
          <w:p w14:paraId="5230EDDA">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浙江省南湖监狱安防设施维保项目（2025）</w:t>
            </w:r>
          </w:p>
        </w:tc>
      </w:tr>
      <w:tr w14:paraId="6E4AB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11445B76">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015" w:type="dxa"/>
            <w:vAlign w:val="center"/>
          </w:tcPr>
          <w:p w14:paraId="79D50CE1">
            <w:pPr>
              <w:keepNext w:val="0"/>
              <w:keepLines w:val="0"/>
              <w:pageBreakBefore w:val="0"/>
              <w:kinsoku/>
              <w:wordWrap/>
              <w:overflowPunct/>
              <w:topLinePunct w:val="0"/>
              <w:bidi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采购内容：详见第二章招标需求部分</w:t>
            </w:r>
          </w:p>
        </w:tc>
      </w:tr>
      <w:tr w14:paraId="7C3C7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7BD14ADF">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015" w:type="dxa"/>
            <w:vAlign w:val="center"/>
          </w:tcPr>
          <w:p w14:paraId="15F960BD">
            <w:pPr>
              <w:keepNext w:val="0"/>
              <w:keepLines w:val="0"/>
              <w:pageBreakBefore w:val="0"/>
              <w:kinsoku/>
              <w:wordWrap/>
              <w:overflowPunct/>
              <w:topLinePunct w:val="0"/>
              <w:bidi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投标报价及费用：</w:t>
            </w:r>
          </w:p>
          <w:p w14:paraId="5BDAC99E">
            <w:pPr>
              <w:keepNext w:val="0"/>
              <w:keepLines w:val="0"/>
              <w:pageBreakBefore w:val="0"/>
              <w:kinsoku/>
              <w:wordWrap/>
              <w:overflowPunct/>
              <w:topLinePunct w:val="0"/>
              <w:bidi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1、本项目投标应以人民币报价；</w:t>
            </w:r>
          </w:p>
          <w:p w14:paraId="4B952716">
            <w:pPr>
              <w:keepNext w:val="0"/>
              <w:keepLines w:val="0"/>
              <w:pageBreakBefore w:val="0"/>
              <w:kinsoku/>
              <w:wordWrap/>
              <w:overflowPunct/>
              <w:topLinePunct w:val="0"/>
              <w:bidi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2、不论投标结果如何，投标人均应自行承担所有与投标有关的全部费用；</w:t>
            </w:r>
          </w:p>
          <w:p w14:paraId="20257DB9">
            <w:pPr>
              <w:keepNext w:val="0"/>
              <w:keepLines w:val="0"/>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3、招标代理费用</w:t>
            </w:r>
            <w:r>
              <w:rPr>
                <w:rFonts w:hint="eastAsia" w:ascii="宋体" w:hAnsi="宋体" w:cs="宋体"/>
                <w:color w:val="auto"/>
                <w:szCs w:val="21"/>
                <w:highlight w:val="none"/>
                <w:lang w:val="en-US" w:eastAsia="zh-CN"/>
              </w:rPr>
              <w:t>5200元</w:t>
            </w:r>
            <w:r>
              <w:rPr>
                <w:rFonts w:hint="eastAsia" w:ascii="宋体" w:hAnsi="宋体" w:cs="宋体"/>
                <w:color w:val="auto"/>
                <w:szCs w:val="21"/>
                <w:highlight w:val="none"/>
              </w:rPr>
              <w:t>，由</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单位在领取</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通知书时支付。</w:t>
            </w:r>
          </w:p>
        </w:tc>
      </w:tr>
      <w:tr w14:paraId="20040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731F963A">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015" w:type="dxa"/>
            <w:vAlign w:val="center"/>
          </w:tcPr>
          <w:p w14:paraId="4240CCD8">
            <w:pPr>
              <w:keepNext w:val="0"/>
              <w:keepLines w:val="0"/>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现场踏勘：投标人自行联系采购人对项目现场和周围环境进行踏勘，踏勘现场所发生的费用由投标人自己承担。</w:t>
            </w:r>
          </w:p>
        </w:tc>
      </w:tr>
      <w:tr w14:paraId="43D28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520C5D68">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015" w:type="dxa"/>
            <w:vAlign w:val="center"/>
          </w:tcPr>
          <w:p w14:paraId="4FA0FDE4">
            <w:pPr>
              <w:keepNext w:val="0"/>
              <w:keepLines w:val="0"/>
              <w:pageBreakBefore w:val="0"/>
              <w:kinsoku/>
              <w:wordWrap/>
              <w:overflowPunct/>
              <w:topLinePunct w:val="0"/>
              <w:bidi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答疑与澄清：</w:t>
            </w:r>
          </w:p>
          <w:p w14:paraId="26F1ACD0">
            <w:pPr>
              <w:keepNext w:val="0"/>
              <w:keepLines w:val="0"/>
              <w:pageBreakBefore w:val="0"/>
              <w:kinsoku/>
              <w:wordWrap/>
              <w:overflowPunct/>
              <w:topLinePunct w:val="0"/>
              <w:bidi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投标人认为招标文件、采购过程、中标或者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37576F0A">
            <w:pPr>
              <w:keepNext w:val="0"/>
              <w:keepLines w:val="0"/>
              <w:pageBreakBefore w:val="0"/>
              <w:kinsoku/>
              <w:wordWrap/>
              <w:overflowPunct/>
              <w:topLinePunct w:val="0"/>
              <w:bidi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2、质疑和投诉按照《政府采购质疑和投诉办法》（财政部令第94号）规定，范本在《浙江政府采购网》中“下载专区”内下载。质疑时要求供应商在法定质疑期内一次性提出针对同一采购程序环节的质疑。</w:t>
            </w:r>
          </w:p>
          <w:p w14:paraId="69A8620D">
            <w:pPr>
              <w:keepNext w:val="0"/>
              <w:keepLines w:val="0"/>
              <w:pageBreakBefore w:val="0"/>
              <w:kinsoku/>
              <w:wordWrap/>
              <w:overflowPunct/>
              <w:topLinePunct w:val="0"/>
              <w:bidi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提出质疑的供应商应当是参与所质疑项目采购活动的供应商。潜在供应商已依法获取其可质疑的招标文件的，可以对该文件提出质疑。对招标文件提出质疑的，应当在获取招标文件或者招标文件公告期限届满之日起7个工作日内提出。</w:t>
            </w:r>
          </w:p>
          <w:p w14:paraId="07DA5E5F">
            <w:pPr>
              <w:keepNext w:val="0"/>
              <w:keepLines w:val="0"/>
              <w:pageBreakBefore w:val="0"/>
              <w:kinsoku/>
              <w:wordWrap/>
              <w:overflowPunct/>
              <w:topLinePunct w:val="0"/>
              <w:bidi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4、质疑受理：</w:t>
            </w:r>
          </w:p>
          <w:p w14:paraId="318F1D86">
            <w:pPr>
              <w:keepNext w:val="0"/>
              <w:keepLines w:val="0"/>
              <w:pageBreakBefore w:val="0"/>
              <w:kinsoku/>
              <w:wordWrap/>
              <w:overflowPunct/>
              <w:topLinePunct w:val="0"/>
              <w:bidi w:val="0"/>
              <w:spacing w:line="400" w:lineRule="exact"/>
              <w:jc w:val="left"/>
              <w:rPr>
                <w:rFonts w:ascii="宋体" w:hAnsi="宋体" w:cs="宋体"/>
                <w:color w:val="auto"/>
                <w:szCs w:val="21"/>
                <w:highlight w:val="none"/>
              </w:rPr>
            </w:pPr>
            <w:r>
              <w:rPr>
                <w:rFonts w:hint="eastAsia" w:ascii="宋体" w:hAnsi="宋体" w:cs="宋体"/>
                <w:color w:val="auto"/>
                <w:kern w:val="0"/>
                <w:szCs w:val="21"/>
                <w:highlight w:val="none"/>
              </w:rPr>
              <w:t>质疑受理人：</w:t>
            </w:r>
            <w:r>
              <w:rPr>
                <w:rFonts w:hint="eastAsia" w:ascii="宋体" w:hAnsi="宋体" w:cs="宋体"/>
                <w:color w:val="auto"/>
                <w:kern w:val="0"/>
                <w:szCs w:val="21"/>
                <w:highlight w:val="none"/>
                <w:lang w:val="en-US" w:eastAsia="zh-CN"/>
              </w:rPr>
              <w:t>陈夜林</w:t>
            </w: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val="en-US" w:eastAsia="zh-CN"/>
              </w:rPr>
              <w:t>13587245220</w:t>
            </w:r>
            <w:r>
              <w:rPr>
                <w:rFonts w:hint="eastAsia" w:ascii="宋体" w:hAnsi="宋体" w:cs="宋体"/>
                <w:color w:val="auto"/>
                <w:kern w:val="0"/>
                <w:szCs w:val="21"/>
                <w:highlight w:val="none"/>
              </w:rPr>
              <w:t>，邮箱：</w:t>
            </w:r>
            <w:r>
              <w:rPr>
                <w:rFonts w:hint="eastAsia" w:ascii="宋体" w:hAnsi="宋体" w:cs="宋体"/>
                <w:color w:val="auto"/>
                <w:kern w:val="0"/>
                <w:szCs w:val="21"/>
                <w:highlight w:val="none"/>
                <w:lang w:val="en-US" w:eastAsia="zh-CN"/>
              </w:rPr>
              <w:t>491643138</w:t>
            </w:r>
            <w:r>
              <w:rPr>
                <w:rFonts w:hint="eastAsia" w:ascii="宋体" w:hAnsi="宋体" w:cs="宋体"/>
                <w:color w:val="auto"/>
                <w:kern w:val="0"/>
                <w:szCs w:val="21"/>
                <w:highlight w:val="none"/>
              </w:rPr>
              <w:t>@qq.com，投标人须将书面质疑函邮寄至</w:t>
            </w:r>
            <w:r>
              <w:rPr>
                <w:rFonts w:hint="eastAsia" w:ascii="宋体" w:hAnsi="宋体" w:cs="宋体"/>
                <w:color w:val="auto"/>
                <w:kern w:val="0"/>
                <w:szCs w:val="21"/>
                <w:highlight w:val="none"/>
                <w:lang w:val="en-US" w:eastAsia="zh-CN"/>
              </w:rPr>
              <w:t>491643138</w:t>
            </w:r>
            <w:r>
              <w:rPr>
                <w:rFonts w:hint="eastAsia" w:ascii="宋体" w:hAnsi="宋体" w:cs="宋体"/>
                <w:color w:val="auto"/>
                <w:kern w:val="0"/>
                <w:szCs w:val="21"/>
                <w:highlight w:val="none"/>
              </w:rPr>
              <w:t>@qq.com，并将质疑函扫描件发送至受理人邮箱。</w:t>
            </w:r>
          </w:p>
        </w:tc>
      </w:tr>
      <w:tr w14:paraId="62AD5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71B7D6C5">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015" w:type="dxa"/>
            <w:vAlign w:val="center"/>
          </w:tcPr>
          <w:p w14:paraId="2C8F3387">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b/>
                <w:color w:val="auto"/>
                <w:szCs w:val="21"/>
                <w:highlight w:val="none"/>
              </w:rPr>
            </w:pPr>
            <w:r>
              <w:rPr>
                <w:rFonts w:hint="eastAsia" w:ascii="宋体" w:hAnsi="宋体" w:cs="宋体"/>
                <w:b/>
                <w:color w:val="auto"/>
                <w:szCs w:val="21"/>
                <w:highlight w:val="none"/>
              </w:rPr>
              <w:t>投标文件组成：</w:t>
            </w:r>
          </w:p>
          <w:p w14:paraId="2FD4D69D">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投标文件组成：</w:t>
            </w:r>
          </w:p>
          <w:p w14:paraId="7E4D0FF1">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资格证明文件、商务技术文件、报价文件。</w:t>
            </w:r>
          </w:p>
          <w:p w14:paraId="6D363EB1">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投标文件编制：</w:t>
            </w:r>
          </w:p>
          <w:p w14:paraId="084F70B4">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供应商应先安装“政采云电子交易客户端”，并按照本采购文件和“政采云平台”的要求，通过“政采云电子交易客户端”编制并加密投标文件。</w:t>
            </w:r>
          </w:p>
          <w:p w14:paraId="6209ABC7">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投标文件的形式：</w:t>
            </w:r>
          </w:p>
          <w:p w14:paraId="70A856C9">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☑电子投标文件（包括“电子加密投标文件”和“备份投标文件”，在投标文件编制完成后同时生成），纸质响应文件。</w:t>
            </w:r>
          </w:p>
          <w:p w14:paraId="518765BF">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5C841EBF">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bCs/>
                <w:color w:val="auto"/>
                <w:szCs w:val="21"/>
                <w:highlight w:val="none"/>
              </w:rPr>
            </w:pPr>
            <w:r>
              <w:rPr>
                <w:rFonts w:hint="eastAsia" w:ascii="宋体" w:hAnsi="宋体" w:cs="宋体"/>
                <w:color w:val="auto"/>
                <w:szCs w:val="21"/>
                <w:highlight w:val="none"/>
              </w:rPr>
              <w:t>（4）</w:t>
            </w:r>
            <w:r>
              <w:rPr>
                <w:rFonts w:hint="eastAsia" w:ascii="宋体" w:hAnsi="宋体" w:cs="宋体"/>
                <w:bCs/>
                <w:color w:val="auto"/>
                <w:szCs w:val="21"/>
                <w:highlight w:val="none"/>
              </w:rPr>
              <w:t>投标文件份数：</w:t>
            </w:r>
          </w:p>
          <w:p w14:paraId="1B63A72F">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“电子加密投标文件”(必须提交）：在线上传递交一份。</w:t>
            </w:r>
          </w:p>
          <w:p w14:paraId="4E86E1B5">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“备份投标文件”、“纸质响应文件”（不强制提交）：密封包装后在投标截止时间前邮寄至</w:t>
            </w:r>
            <w:r>
              <w:rPr>
                <w:rFonts w:hint="eastAsia" w:ascii="宋体" w:hAnsi="宋体" w:cs="宋体"/>
                <w:bCs/>
                <w:color w:val="auto"/>
                <w:szCs w:val="21"/>
                <w:highlight w:val="none"/>
                <w:lang w:val="en-US" w:eastAsia="zh-CN"/>
              </w:rPr>
              <w:t>安吉县天目中路771号5楼</w:t>
            </w:r>
            <w:r>
              <w:rPr>
                <w:rFonts w:hint="eastAsia" w:ascii="宋体" w:hAnsi="宋体" w:cs="宋体"/>
                <w:bCs/>
                <w:color w:val="auto"/>
                <w:szCs w:val="21"/>
                <w:highlight w:val="none"/>
              </w:rPr>
              <w:t>，联系人</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陈工</w:t>
            </w:r>
            <w:r>
              <w:rPr>
                <w:rFonts w:hint="eastAsia" w:ascii="宋体" w:hAnsi="宋体" w:cs="宋体"/>
                <w:bCs/>
                <w:color w:val="auto"/>
                <w:szCs w:val="21"/>
                <w:highlight w:val="none"/>
              </w:rPr>
              <w:t>，联系电话</w:t>
            </w:r>
            <w:r>
              <w:rPr>
                <w:rFonts w:hint="eastAsia" w:ascii="宋体" w:hAnsi="宋体" w:cs="宋体"/>
                <w:bCs/>
                <w:color w:val="auto"/>
                <w:szCs w:val="21"/>
                <w:highlight w:val="none"/>
                <w:lang w:val="en-US" w:eastAsia="zh-CN"/>
              </w:rPr>
              <w:t>：18868214707</w:t>
            </w:r>
            <w:r>
              <w:rPr>
                <w:rFonts w:hint="eastAsia" w:ascii="宋体" w:hAnsi="宋体" w:cs="宋体"/>
                <w:bCs/>
                <w:color w:val="auto"/>
                <w:szCs w:val="21"/>
                <w:highlight w:val="none"/>
              </w:rPr>
              <w:t>，数量为U盘一份。</w:t>
            </w:r>
          </w:p>
        </w:tc>
      </w:tr>
      <w:tr w14:paraId="10822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1BB0DE76">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015" w:type="dxa"/>
            <w:vAlign w:val="center"/>
          </w:tcPr>
          <w:p w14:paraId="3543E21B">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投标文件的上传和递交：</w:t>
            </w:r>
          </w:p>
          <w:p w14:paraId="036D88F3">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（1）“电子加密投标文件”的上传、递交：</w:t>
            </w:r>
          </w:p>
          <w:p w14:paraId="5C79BEFF">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供应商应在投标截止时间前将“电子加密投标文件”成功上传递交至“政采云平台”，否则投标无效。</w:t>
            </w:r>
          </w:p>
          <w:p w14:paraId="18200560">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“电子加密投标文件”成功上传递交后，供应商可自行打印投标文件接收回执。</w:t>
            </w:r>
          </w:p>
          <w:p w14:paraId="2805940F">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（2）“备份投标文件”的密封包装、递交：</w:t>
            </w:r>
          </w:p>
          <w:p w14:paraId="6D23084C">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供应商在“政采云平台”完成“电子加密投标文件”的上传递交后，还可以在投标截止时间前递交以介质（U盘）存储的 “备份投标文件”（一份）；</w:t>
            </w:r>
          </w:p>
          <w:p w14:paraId="4DCB390A">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“备份投标文件”应当密封包装，并在包装上标注投标项目名称、投标单位名称并加盖公章。没有密封包装或者逾期送达的“备份投标文件”无效；</w:t>
            </w:r>
          </w:p>
          <w:p w14:paraId="765ACFB0">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通过“政府采购云平台”成功上传递交的“电子加密投标文件”已按时解密的，“备份投标文件”自动失效。投标截止时间前，供应商仅递交了“备份投标文件”而未将“电子加密投标文件”成功上传至“政采云平台”的，投标无效。</w:t>
            </w:r>
          </w:p>
          <w:p w14:paraId="71BCF072">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（3）“纸质响应文件”的密封包装、递交：（不强制提交）</w:t>
            </w:r>
          </w:p>
          <w:p w14:paraId="4EE05F63">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供应商在“政府采购云平台”完成“电子加密响应文件”的上传递交后，在投标截止时间前递交“纸质响应文件”（一份）；</w:t>
            </w:r>
          </w:p>
          <w:p w14:paraId="7753782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“纸质响应文件”应当密封包装，并在包装上标注项目名称、供应商名称并加盖公章。没有密封包装或者逾期送达至投标地点的“纸质响应文件”将不予接收；</w:t>
            </w:r>
          </w:p>
          <w:p w14:paraId="7349643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通过“政府采购云平台”成功上传递交的“电子加密响应文件”已按时解密的，“纸质响应文件”自动失效。投标截止时间前，投标供应商仅递交了“纸质响应文件”而未将“电子加密响应文件”成功上传至“政府采购云平台”的，投标无效。</w:t>
            </w:r>
          </w:p>
        </w:tc>
      </w:tr>
      <w:tr w14:paraId="5E7C6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38F63C30">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015" w:type="dxa"/>
            <w:vAlign w:val="center"/>
          </w:tcPr>
          <w:p w14:paraId="52F1D66C">
            <w:pPr>
              <w:keepNext w:val="0"/>
              <w:keepLines w:val="0"/>
              <w:pageBreakBefore w:val="0"/>
              <w:kinsoku/>
              <w:wordWrap/>
              <w:overflowPunct/>
              <w:topLinePunct w:val="0"/>
              <w:bidi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投标截止时间及地点：</w:t>
            </w:r>
          </w:p>
          <w:p w14:paraId="0543B3B3">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zh-CN"/>
              </w:rPr>
              <w:t>地点</w:t>
            </w:r>
            <w:r>
              <w:rPr>
                <w:rFonts w:hint="eastAsia" w:ascii="宋体" w:hAnsi="宋体" w:cs="宋体"/>
                <w:color w:val="auto"/>
                <w:szCs w:val="21"/>
                <w:highlight w:val="none"/>
              </w:rPr>
              <w:t>：通过“政采云平台（www.zcygov.cn）”实行在线投标响应</w:t>
            </w:r>
          </w:p>
          <w:p w14:paraId="124FF252">
            <w:pPr>
              <w:pStyle w:val="109"/>
              <w:keepNext w:val="0"/>
              <w:keepLines w:val="0"/>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lang w:val="zh-CN"/>
              </w:rPr>
              <w:t>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rPr>
              <w:t>日</w:t>
            </w:r>
            <w:r>
              <w:rPr>
                <w:rFonts w:hint="eastAsia" w:ascii="宋体" w:hAnsi="宋体" w:cs="宋体"/>
                <w:color w:val="auto"/>
                <w:szCs w:val="21"/>
                <w:highlight w:val="none"/>
              </w:rPr>
              <w:t>09</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0分</w:t>
            </w:r>
          </w:p>
        </w:tc>
      </w:tr>
      <w:tr w14:paraId="3EF50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613A773C">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015" w:type="dxa"/>
            <w:vAlign w:val="center"/>
          </w:tcPr>
          <w:p w14:paraId="3E8C5EFE">
            <w:pPr>
              <w:keepNext w:val="0"/>
              <w:keepLines w:val="0"/>
              <w:pageBreakBefore w:val="0"/>
              <w:kinsoku/>
              <w:wordWrap/>
              <w:overflowPunct/>
              <w:topLinePunct w:val="0"/>
              <w:bidi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开标时间及地点：</w:t>
            </w:r>
          </w:p>
          <w:p w14:paraId="35FD3E0C">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zh-CN"/>
              </w:rPr>
              <w:t>地点</w:t>
            </w:r>
            <w:r>
              <w:rPr>
                <w:rFonts w:hint="eastAsia" w:ascii="宋体" w:hAnsi="宋体" w:cs="宋体"/>
                <w:color w:val="auto"/>
                <w:szCs w:val="21"/>
                <w:highlight w:val="none"/>
              </w:rPr>
              <w:t>：通过“政采云平台（www.zcygov.cn）”实行在线投标响应</w:t>
            </w:r>
          </w:p>
          <w:p w14:paraId="05FECA98">
            <w:pPr>
              <w:pStyle w:val="109"/>
              <w:keepNext w:val="0"/>
              <w:keepLines w:val="0"/>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lang w:val="zh-CN"/>
              </w:rPr>
              <w:t>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rPr>
              <w:t>日</w:t>
            </w:r>
            <w:r>
              <w:rPr>
                <w:rFonts w:hint="eastAsia" w:ascii="宋体" w:hAnsi="宋体" w:cs="宋体"/>
                <w:color w:val="auto"/>
                <w:szCs w:val="21"/>
                <w:highlight w:val="none"/>
              </w:rPr>
              <w:t>09</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0分</w:t>
            </w:r>
          </w:p>
        </w:tc>
      </w:tr>
      <w:tr w14:paraId="68BB6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715B2129">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015" w:type="dxa"/>
            <w:vAlign w:val="center"/>
          </w:tcPr>
          <w:p w14:paraId="65D21141">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p w14:paraId="2FF9FD17">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（1）开标后，采购组织机构将向各供应商发出“电子加密投标文件”的解密通知，各供应商代表应当在接到解密通知后30分钟内自行完成“电子加密投标文件”的在线解密。</w:t>
            </w:r>
          </w:p>
          <w:p w14:paraId="56B6B7A5">
            <w:pPr>
              <w:keepNext w:val="0"/>
              <w:keepLines w:val="0"/>
              <w:pageBreakBefore w:val="0"/>
              <w:kinsoku/>
              <w:wordWrap/>
              <w:overflowPunct/>
              <w:topLinePunct w:val="0"/>
              <w:autoSpaceDE w:val="0"/>
              <w:autoSpaceDN w:val="0"/>
              <w:bidi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通过“政采云平台”成功上传递交的“电子加密投标文件”无法按时解密的，供应商如按规定递交了“备份投标文件”的，以“备份投标文件”为依据（由采购组织机构按“政采云平台”操作规范将“备份投标文件”上传至“政采云平台”，上传成功后，“电子加密投标文件”自动失效），否则视为投标文件撤回。</w:t>
            </w:r>
          </w:p>
          <w:p w14:paraId="5149BD6F">
            <w:pPr>
              <w:pStyle w:val="2"/>
              <w:keepNext w:val="0"/>
              <w:keepLines w:val="0"/>
              <w:pageBreakBefore w:val="0"/>
              <w:kinsoku/>
              <w:wordWrap/>
              <w:overflowPunct/>
              <w:topLinePunct w:val="0"/>
              <w:bidi w:val="0"/>
              <w:spacing w:line="400" w:lineRule="exact"/>
              <w:ind w:firstLine="0"/>
              <w:rPr>
                <w:rFonts w:hAnsi="宋体" w:cs="宋体"/>
                <w:color w:val="auto"/>
                <w:sz w:val="21"/>
                <w:szCs w:val="21"/>
                <w:highlight w:val="none"/>
              </w:rPr>
            </w:pPr>
            <w:r>
              <w:rPr>
                <w:rFonts w:hint="eastAsia" w:hAnsi="宋体" w:cs="宋体"/>
                <w:color w:val="auto"/>
                <w:sz w:val="21"/>
                <w:szCs w:val="21"/>
                <w:highlight w:val="none"/>
              </w:rPr>
              <w:t>（3）若由于电子交易平台发生故障而无法登录访问等解密异常情况无法在线解密全部供应商的“电子加密响应文件”及“备份响应文件”时，经采购人、采购代理机构、监管人员认定后以纸质响应文件为准进行线下投标。</w:t>
            </w:r>
          </w:p>
          <w:p w14:paraId="2B8487D1">
            <w:pPr>
              <w:pStyle w:val="109"/>
              <w:keepNext w:val="0"/>
              <w:keepLines w:val="0"/>
              <w:pageBreakBefore w:val="0"/>
              <w:kinsoku/>
              <w:wordWrap/>
              <w:overflowPunct/>
              <w:topLinePunct w:val="0"/>
              <w:bidi w:val="0"/>
              <w:spacing w:line="400" w:lineRule="exact"/>
              <w:rPr>
                <w:rFonts w:ascii="宋体" w:hAnsi="宋体" w:cs="宋体"/>
                <w:color w:val="auto"/>
                <w:szCs w:val="21"/>
                <w:highlight w:val="none"/>
                <w:lang w:val="zh-CN"/>
              </w:rPr>
            </w:pPr>
            <w:r>
              <w:rPr>
                <w:rFonts w:hint="eastAsia" w:ascii="宋体" w:hAnsi="宋体" w:cs="宋体"/>
                <w:color w:val="auto"/>
                <w:szCs w:val="21"/>
                <w:highlight w:val="none"/>
              </w:rPr>
              <w:t>（4）投标截止时间前，供应商仅递交了“备份投标文件”、“纸质响应文件”而未将电子加密投标文件上传至“政府采购云平台”的，投标无效。</w:t>
            </w:r>
          </w:p>
        </w:tc>
      </w:tr>
      <w:tr w14:paraId="0DE8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26BBE346">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015" w:type="dxa"/>
            <w:vAlign w:val="center"/>
          </w:tcPr>
          <w:p w14:paraId="11CAC9D9">
            <w:pPr>
              <w:pStyle w:val="5"/>
              <w:keepNext w:val="0"/>
              <w:keepLines w:val="0"/>
              <w:pageBreakBefore w:val="0"/>
              <w:kinsoku/>
              <w:wordWrap/>
              <w:overflowPunct/>
              <w:topLinePunct w:val="0"/>
              <w:bidi w:val="0"/>
              <w:spacing w:line="400" w:lineRule="exact"/>
              <w:ind w:left="0" w:firstLine="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可中止电子交易活动的情形：</w:t>
            </w:r>
          </w:p>
          <w:p w14:paraId="5A5522C9">
            <w:pPr>
              <w:keepNext w:val="0"/>
              <w:keepLines w:val="0"/>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采购过程中出现以下情形，导致电子交易平台无法正常运行，或者无法保证电子交易的公平、公正和安全时，采购组织机构可中止电子交易活动：</w:t>
            </w:r>
          </w:p>
          <w:p w14:paraId="335342D3">
            <w:pPr>
              <w:keepNext w:val="0"/>
              <w:keepLines w:val="0"/>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14:paraId="40A49A81">
            <w:pPr>
              <w:keepNext w:val="0"/>
              <w:keepLines w:val="0"/>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45AAA6CF">
            <w:pPr>
              <w:keepNext w:val="0"/>
              <w:keepLines w:val="0"/>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4412FDE3">
            <w:pPr>
              <w:keepNext w:val="0"/>
              <w:keepLines w:val="0"/>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（4）病毒发作导致不能进行正常操作的；</w:t>
            </w:r>
          </w:p>
          <w:p w14:paraId="52F13280">
            <w:pPr>
              <w:keepNext w:val="0"/>
              <w:keepLines w:val="0"/>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7A64143D">
            <w:pPr>
              <w:pStyle w:val="109"/>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349EC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4E1DAE88">
            <w:pPr>
              <w:keepNext w:val="0"/>
              <w:keepLines w:val="0"/>
              <w:pageBreakBefore w:val="0"/>
              <w:kinsoku/>
              <w:wordWrap/>
              <w:overflowPunct/>
              <w:topLinePunct w:val="0"/>
              <w:bidi w:val="0"/>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015" w:type="dxa"/>
            <w:vAlign w:val="center"/>
          </w:tcPr>
          <w:p w14:paraId="3F294C38">
            <w:pPr>
              <w:keepNext w:val="0"/>
              <w:keepLines w:val="0"/>
              <w:pageBreakBefore w:val="0"/>
              <w:kinsoku/>
              <w:wordWrap/>
              <w:overflowPunct/>
              <w:topLinePunct w:val="0"/>
              <w:autoSpaceDE w:val="0"/>
              <w:autoSpaceDN w:val="0"/>
              <w:bidi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评标办法及标准：按照招标文件第四章评标办法及评分标准</w:t>
            </w:r>
          </w:p>
        </w:tc>
      </w:tr>
      <w:tr w14:paraId="1504C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5E0A3057">
            <w:pPr>
              <w:keepNext w:val="0"/>
              <w:keepLines w:val="0"/>
              <w:pageBreakBefore w:val="0"/>
              <w:kinsoku/>
              <w:wordWrap/>
              <w:overflowPunct/>
              <w:topLinePunct w:val="0"/>
              <w:bidi w:val="0"/>
              <w:adjustRightInd w:val="0"/>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8015" w:type="dxa"/>
            <w:vAlign w:val="center"/>
          </w:tcPr>
          <w:p w14:paraId="74E176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eastAsia="宋体" w:cs="宋体"/>
                <w:b/>
                <w:bCs/>
                <w:color w:val="auto"/>
                <w:kern w:val="0"/>
                <w:sz w:val="20"/>
                <w:szCs w:val="20"/>
                <w:highlight w:val="none"/>
                <w:lang w:val="en-US" w:eastAsia="zh-CN" w:bidi="ar"/>
              </w:rPr>
              <w:t>支持绿色采购</w:t>
            </w:r>
            <w:r>
              <w:rPr>
                <w:rFonts w:hint="eastAsia" w:ascii="宋体" w:hAnsi="宋体" w:cs="宋体"/>
                <w:b/>
                <w:bCs/>
                <w:color w:val="auto"/>
                <w:kern w:val="0"/>
                <w:sz w:val="20"/>
                <w:szCs w:val="20"/>
                <w:highlight w:val="none"/>
                <w:lang w:val="en-US" w:eastAsia="zh-CN" w:bidi="ar"/>
              </w:rPr>
              <w:t>：</w:t>
            </w:r>
          </w:p>
          <w:p w14:paraId="2E013E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1、根据财政部、国家发改委最新一期“节能产品政府采购清单的通知”（以下简称“节 </w:t>
            </w:r>
          </w:p>
          <w:p w14:paraId="1E8476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 </w:t>
            </w:r>
          </w:p>
          <w:p w14:paraId="3DBFD7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 </w:t>
            </w:r>
          </w:p>
          <w:p w14:paraId="30FA90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2、对于采购货物的配置中，优先采购绿色低碳产品。 </w:t>
            </w:r>
          </w:p>
          <w:p w14:paraId="2F2BBF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修缮、装修类项目采购建材的，采购人应将绿色建筑和绿色建材性能、指标等作为实质性条件纳入招标文件和合同。 </w:t>
            </w:r>
          </w:p>
          <w:p w14:paraId="675417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3、优先采购绿色包装产品、绿色物流配送服务以及循环利用产品。 </w:t>
            </w:r>
          </w:p>
          <w:p w14:paraId="60CEAD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政府采购货物、工程和服务项目中涉及商品包装和快递包装的，供应商提供产品及相关快递服务的具体包装要求要参考《商品包装政府采购需求标准（试行）》、《快递包装政府采购需求标准（试行）》 </w:t>
            </w:r>
          </w:p>
          <w:p w14:paraId="71EF0F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选择合理运输路线，有效利用车辆，科学配装，提高运输效率，降低物流成本和资源消耗，并降低尾气排放。 </w:t>
            </w:r>
          </w:p>
          <w:p w14:paraId="656625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SA"/>
              </w:rPr>
              <w:t>4、加大新能源、清洁能源公务交通工具政府采购力度，机要通信等公务用车除特殊地理环境等因素外原则上采购新能源汽车，优先采购提供新能源交通工具的租赁服务。</w:t>
            </w:r>
          </w:p>
        </w:tc>
      </w:tr>
      <w:tr w14:paraId="7759B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3002C4E0">
            <w:pPr>
              <w:keepNext w:val="0"/>
              <w:keepLines w:val="0"/>
              <w:pageBreakBefore w:val="0"/>
              <w:kinsoku/>
              <w:wordWrap/>
              <w:overflowPunct/>
              <w:topLinePunct w:val="0"/>
              <w:bidi w:val="0"/>
              <w:adjustRightInd w:val="0"/>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8015" w:type="dxa"/>
            <w:vAlign w:val="center"/>
          </w:tcPr>
          <w:p w14:paraId="6D8BC1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支持科技创新</w:t>
            </w:r>
            <w:r>
              <w:rPr>
                <w:rFonts w:hint="eastAsia" w:ascii="宋体" w:hAnsi="宋体" w:cs="宋体"/>
                <w:b/>
                <w:bCs/>
                <w:color w:val="auto"/>
                <w:kern w:val="0"/>
                <w:sz w:val="20"/>
                <w:szCs w:val="20"/>
                <w:highlight w:val="none"/>
                <w:lang w:val="en-US" w:eastAsia="zh-CN" w:bidi="ar"/>
              </w:rPr>
              <w:t>：</w:t>
            </w:r>
          </w:p>
          <w:p w14:paraId="2AD33E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采购人优先采购被认定为首台套产品和“制造精品”的自主创新产品。 </w:t>
            </w:r>
          </w:p>
          <w:p w14:paraId="33C6A1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SA"/>
              </w:rPr>
              <w:t>对省级以上主管部门认定的首台套产品，自纳入《省推广应用指导目录》起三年内参加政府采购活动，视同已具备相应销售业绩，业绩分为满分。</w:t>
            </w:r>
          </w:p>
        </w:tc>
      </w:tr>
      <w:tr w14:paraId="42A38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589A9CA7">
            <w:pPr>
              <w:keepNext w:val="0"/>
              <w:keepLines w:val="0"/>
              <w:pageBreakBefore w:val="0"/>
              <w:kinsoku/>
              <w:wordWrap/>
              <w:overflowPunct/>
              <w:topLinePunct w:val="0"/>
              <w:bidi w:val="0"/>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15</w:t>
            </w:r>
          </w:p>
        </w:tc>
        <w:tc>
          <w:tcPr>
            <w:tcW w:w="8015" w:type="dxa"/>
            <w:vAlign w:val="center"/>
          </w:tcPr>
          <w:p w14:paraId="54E8F586">
            <w:pPr>
              <w:keepNext w:val="0"/>
              <w:keepLines w:val="0"/>
              <w:pageBreakBefore w:val="0"/>
              <w:widowControl w:val="0"/>
              <w:kinsoku w:val="0"/>
              <w:wordWrap w:val="0"/>
              <w:overflowPunct/>
              <w:topLinePunct w:val="0"/>
              <w:autoSpaceDE w:val="0"/>
              <w:autoSpaceDN w:val="0"/>
              <w:bidi w:val="0"/>
              <w:adjustRightInd w:val="0"/>
              <w:snapToGrid w:val="0"/>
              <w:spacing w:line="40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中标公告及中标通知书：评标结束后，中标公告发布于浙江政府采购网（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67"/>
                <w:rFonts w:hint="eastAsia" w:ascii="宋体" w:hAnsi="宋体" w:cs="宋体"/>
                <w:color w:val="auto"/>
                <w:szCs w:val="21"/>
                <w:highlight w:val="none"/>
              </w:rPr>
              <w:t>http：//www.zjzfcg.gov.cn</w:t>
            </w:r>
            <w:r>
              <w:rPr>
                <w:rStyle w:val="67"/>
                <w:rFonts w:hint="eastAsia" w:ascii="宋体" w:hAnsi="宋体" w:cs="宋体"/>
                <w:color w:val="auto"/>
                <w:szCs w:val="21"/>
                <w:highlight w:val="none"/>
              </w:rPr>
              <w:fldChar w:fldCharType="end"/>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安吉县公共资源交易网站（</w:t>
            </w:r>
            <w:r>
              <w:rPr>
                <w:rFonts w:hint="eastAsia" w:ascii="宋体" w:hAnsi="宋体" w:cs="宋体"/>
                <w:color w:val="auto"/>
                <w:szCs w:val="21"/>
                <w:highlight w:val="none"/>
                <w:lang w:eastAsia="zh-CN"/>
              </w:rPr>
              <w:t>http://www.anji.gov.cn/col/col1229656840/index.html</w:t>
            </w:r>
            <w:r>
              <w:rPr>
                <w:rFonts w:hint="eastAsia" w:ascii="宋体" w:hAnsi="宋体" w:cs="宋体"/>
                <w:color w:val="auto"/>
                <w:szCs w:val="21"/>
                <w:highlight w:val="none"/>
              </w:rPr>
              <w:t>）</w:t>
            </w:r>
          </w:p>
        </w:tc>
      </w:tr>
      <w:tr w14:paraId="4CA98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25CCC482">
            <w:pPr>
              <w:keepNext w:val="0"/>
              <w:keepLines w:val="0"/>
              <w:pageBreakBefore w:val="0"/>
              <w:kinsoku/>
              <w:wordWrap/>
              <w:overflowPunct/>
              <w:topLinePunct w:val="0"/>
              <w:bidi w:val="0"/>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16</w:t>
            </w:r>
          </w:p>
        </w:tc>
        <w:tc>
          <w:tcPr>
            <w:tcW w:w="8015" w:type="dxa"/>
            <w:vAlign w:val="center"/>
          </w:tcPr>
          <w:p w14:paraId="06B8B215">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签订合同：中标通知书发出后30天内。</w:t>
            </w:r>
          </w:p>
        </w:tc>
      </w:tr>
      <w:tr w14:paraId="1FEE3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75D3EA4A">
            <w:pPr>
              <w:keepNext w:val="0"/>
              <w:keepLines w:val="0"/>
              <w:pageBreakBefore w:val="0"/>
              <w:kinsoku/>
              <w:wordWrap/>
              <w:overflowPunct/>
              <w:topLinePunct w:val="0"/>
              <w:bidi w:val="0"/>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17</w:t>
            </w:r>
          </w:p>
        </w:tc>
        <w:tc>
          <w:tcPr>
            <w:tcW w:w="8015" w:type="dxa"/>
            <w:vAlign w:val="center"/>
          </w:tcPr>
          <w:p w14:paraId="50E1597B">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采购资金来源：预算资金，已落实</w:t>
            </w:r>
          </w:p>
        </w:tc>
      </w:tr>
      <w:tr w14:paraId="6FD79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5BED5996">
            <w:pPr>
              <w:keepNext w:val="0"/>
              <w:keepLines w:val="0"/>
              <w:pageBreakBefore w:val="0"/>
              <w:kinsoku/>
              <w:wordWrap/>
              <w:overflowPunct/>
              <w:topLinePunct w:val="0"/>
              <w:bidi w:val="0"/>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18</w:t>
            </w:r>
          </w:p>
        </w:tc>
        <w:tc>
          <w:tcPr>
            <w:tcW w:w="8015" w:type="dxa"/>
            <w:vAlign w:val="center"/>
          </w:tcPr>
          <w:p w14:paraId="251C6789">
            <w:pPr>
              <w:keepNext w:val="0"/>
              <w:keepLines w:val="0"/>
              <w:pageBreakBefore w:val="0"/>
              <w:widowControl w:val="0"/>
              <w:kinsoku/>
              <w:wordWrap/>
              <w:overflowPunct/>
              <w:topLinePunct w:val="0"/>
              <w:bidi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付款方式：采购人自行支付</w:t>
            </w:r>
          </w:p>
        </w:tc>
      </w:tr>
      <w:tr w14:paraId="71BD1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7D7F1A2D">
            <w:pPr>
              <w:keepNext w:val="0"/>
              <w:keepLines w:val="0"/>
              <w:pageBreakBefore w:val="0"/>
              <w:kinsoku/>
              <w:wordWrap/>
              <w:overflowPunct/>
              <w:topLinePunct w:val="0"/>
              <w:bidi w:val="0"/>
              <w:adjustRightInd w:val="0"/>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8015" w:type="dxa"/>
            <w:vAlign w:val="center"/>
          </w:tcPr>
          <w:p w14:paraId="287FDFA3">
            <w:pPr>
              <w:keepNext w:val="0"/>
              <w:keepLines w:val="0"/>
              <w:pageBreakBefore w:val="0"/>
              <w:widowControl w:val="0"/>
              <w:kinsoku/>
              <w:wordWrap/>
              <w:overflowPunct/>
              <w:topLinePunct w:val="0"/>
              <w:bidi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投标文件有效期：</w:t>
            </w:r>
            <w:r>
              <w:rPr>
                <w:rFonts w:hint="eastAsia" w:ascii="宋体" w:hAnsi="宋体" w:cs="宋体"/>
                <w:color w:val="auto"/>
                <w:szCs w:val="21"/>
                <w:highlight w:val="none"/>
                <w:u w:val="single"/>
              </w:rPr>
              <w:t>90</w:t>
            </w:r>
            <w:r>
              <w:rPr>
                <w:rFonts w:hint="eastAsia" w:ascii="宋体" w:hAnsi="宋体" w:cs="宋体"/>
                <w:color w:val="auto"/>
                <w:szCs w:val="21"/>
                <w:highlight w:val="none"/>
              </w:rPr>
              <w:t xml:space="preserve"> 天</w:t>
            </w:r>
          </w:p>
        </w:tc>
      </w:tr>
      <w:tr w14:paraId="280D3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14:paraId="07CC15E3">
            <w:pPr>
              <w:keepNext w:val="0"/>
              <w:keepLines w:val="0"/>
              <w:pageBreakBefore w:val="0"/>
              <w:kinsoku/>
              <w:wordWrap/>
              <w:overflowPunct/>
              <w:topLinePunct w:val="0"/>
              <w:bidi w:val="0"/>
              <w:adjustRightInd w:val="0"/>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8015" w:type="dxa"/>
            <w:vAlign w:val="center"/>
          </w:tcPr>
          <w:p w14:paraId="38EFA204">
            <w:pPr>
              <w:keepNext w:val="0"/>
              <w:keepLines w:val="0"/>
              <w:pageBreakBefore w:val="0"/>
              <w:widowControl w:val="0"/>
              <w:kinsoku/>
              <w:wordWrap/>
              <w:overflowPunct/>
              <w:topLinePunct w:val="0"/>
              <w:bidi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解释：本招标文件的解释权属于招标采购单位</w:t>
            </w:r>
          </w:p>
        </w:tc>
      </w:tr>
    </w:tbl>
    <w:p w14:paraId="13A8831E">
      <w:pPr>
        <w:keepNext w:val="0"/>
        <w:keepLines w:val="0"/>
        <w:pageBreakBefore w:val="0"/>
        <w:widowControl w:val="0"/>
        <w:kinsoku/>
        <w:wordWrap/>
        <w:overflowPunct/>
        <w:topLinePunct w:val="0"/>
        <w:autoSpaceDE/>
        <w:autoSpaceDN/>
        <w:bidi w:val="0"/>
        <w:spacing w:line="400" w:lineRule="exact"/>
        <w:textAlignment w:val="auto"/>
        <w:outlineLvl w:val="1"/>
        <w:rPr>
          <w:rFonts w:ascii="宋体"/>
          <w:b/>
          <w:bCs/>
          <w:color w:val="auto"/>
          <w:sz w:val="24"/>
          <w:highlight w:val="none"/>
        </w:rPr>
      </w:pPr>
      <w:bookmarkStart w:id="58" w:name="_Toc27357"/>
      <w:bookmarkStart w:id="59" w:name="_Toc293916871"/>
      <w:bookmarkStart w:id="60" w:name="_Toc293916353"/>
      <w:bookmarkStart w:id="61" w:name="_Toc16816"/>
      <w:bookmarkStart w:id="62" w:name="_Toc424544533"/>
      <w:bookmarkStart w:id="63" w:name="_Toc25726"/>
      <w:bookmarkStart w:id="64" w:name="_Toc17241"/>
      <w:bookmarkStart w:id="65" w:name="_Toc293916002"/>
      <w:bookmarkStart w:id="66" w:name="_Toc424544812"/>
      <w:bookmarkStart w:id="67" w:name="_Toc177870536"/>
      <w:bookmarkStart w:id="68" w:name="_Toc6354"/>
      <w:bookmarkStart w:id="69" w:name="_Toc188"/>
      <w:bookmarkStart w:id="70" w:name="_Toc293917017"/>
      <w:r>
        <w:rPr>
          <w:rFonts w:hint="eastAsia" w:ascii="宋体"/>
          <w:b/>
          <w:bCs/>
          <w:color w:val="auto"/>
          <w:sz w:val="24"/>
          <w:highlight w:val="none"/>
        </w:rPr>
        <w:t>一、总则</w:t>
      </w:r>
      <w:bookmarkEnd w:id="58"/>
      <w:bookmarkEnd w:id="59"/>
      <w:bookmarkEnd w:id="60"/>
      <w:bookmarkEnd w:id="61"/>
      <w:bookmarkEnd w:id="62"/>
      <w:bookmarkEnd w:id="63"/>
      <w:bookmarkEnd w:id="64"/>
      <w:bookmarkEnd w:id="65"/>
      <w:bookmarkEnd w:id="66"/>
      <w:bookmarkEnd w:id="67"/>
      <w:bookmarkEnd w:id="68"/>
      <w:bookmarkEnd w:id="69"/>
      <w:bookmarkEnd w:id="70"/>
    </w:p>
    <w:p w14:paraId="0F9A4C6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bookmarkStart w:id="71" w:name="_Toc293916003"/>
      <w:bookmarkStart w:id="72" w:name="_Toc177825120"/>
      <w:bookmarkStart w:id="73" w:name="_Toc293916354"/>
      <w:bookmarkStart w:id="74" w:name="_Toc177824939"/>
      <w:bookmarkStart w:id="75" w:name="_Toc177824872"/>
      <w:bookmarkStart w:id="76" w:name="_Toc177870537"/>
      <w:r>
        <w:rPr>
          <w:rFonts w:hint="eastAsia" w:ascii="宋体"/>
          <w:b/>
          <w:color w:val="auto"/>
          <w:szCs w:val="21"/>
          <w:highlight w:val="none"/>
        </w:rPr>
        <w:t>（一）适用范围</w:t>
      </w:r>
      <w:bookmarkEnd w:id="71"/>
      <w:bookmarkEnd w:id="72"/>
      <w:bookmarkEnd w:id="73"/>
      <w:bookmarkEnd w:id="74"/>
      <w:bookmarkEnd w:id="75"/>
      <w:bookmarkEnd w:id="76"/>
    </w:p>
    <w:p w14:paraId="5C04581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本招标文件适用于</w:t>
      </w:r>
      <w:r>
        <w:rPr>
          <w:rFonts w:hint="eastAsia" w:ascii="宋体"/>
          <w:color w:val="auto"/>
          <w:szCs w:val="21"/>
          <w:highlight w:val="none"/>
          <w:lang w:eastAsia="zh-CN"/>
        </w:rPr>
        <w:t>浙江省南湖监狱安防设施维保项目（2025）</w:t>
      </w:r>
      <w:r>
        <w:rPr>
          <w:rFonts w:hint="eastAsia" w:ascii="宋体"/>
          <w:color w:val="auto"/>
          <w:szCs w:val="21"/>
          <w:highlight w:val="none"/>
        </w:rPr>
        <w:t>的招标、评标、定标、验收、合同履约、付款等（法律、法规另有规定的，从其规定）。</w:t>
      </w:r>
    </w:p>
    <w:p w14:paraId="53F3E6D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bookmarkStart w:id="77" w:name="_Toc177870538"/>
      <w:bookmarkStart w:id="78" w:name="_Toc177824873"/>
      <w:bookmarkStart w:id="79" w:name="_Toc293916355"/>
      <w:bookmarkStart w:id="80" w:name="_Toc293916004"/>
      <w:bookmarkStart w:id="81" w:name="_Toc177824940"/>
      <w:bookmarkStart w:id="82" w:name="_Toc177825121"/>
      <w:r>
        <w:rPr>
          <w:rFonts w:hint="eastAsia" w:ascii="宋体"/>
          <w:b/>
          <w:color w:val="auto"/>
          <w:szCs w:val="21"/>
          <w:highlight w:val="none"/>
        </w:rPr>
        <w:t>（二）定义</w:t>
      </w:r>
      <w:bookmarkEnd w:id="77"/>
      <w:bookmarkEnd w:id="78"/>
      <w:bookmarkEnd w:id="79"/>
      <w:bookmarkEnd w:id="80"/>
      <w:bookmarkEnd w:id="81"/>
      <w:bookmarkEnd w:id="82"/>
    </w:p>
    <w:p w14:paraId="617EBDF4">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b/>
          <w:color w:val="auto"/>
          <w:szCs w:val="21"/>
          <w:highlight w:val="none"/>
        </w:rPr>
      </w:pPr>
      <w:bookmarkStart w:id="83" w:name="_Toc293916356"/>
      <w:bookmarkStart w:id="84" w:name="_Toc293916005"/>
      <w:r>
        <w:rPr>
          <w:rFonts w:hint="eastAsia" w:ascii="宋体"/>
          <w:color w:val="auto"/>
          <w:szCs w:val="21"/>
          <w:highlight w:val="none"/>
        </w:rPr>
        <w:t>1、“招标采购单位”系指组织本次采购的采购人（“招标人”）和代理机构。</w:t>
      </w:r>
      <w:bookmarkEnd w:id="83"/>
      <w:bookmarkEnd w:id="84"/>
    </w:p>
    <w:p w14:paraId="656AB17A">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b/>
          <w:color w:val="auto"/>
          <w:szCs w:val="21"/>
          <w:highlight w:val="none"/>
        </w:rPr>
      </w:pPr>
      <w:bookmarkStart w:id="85" w:name="_Toc293916006"/>
      <w:bookmarkStart w:id="86" w:name="_Toc293916357"/>
      <w:r>
        <w:rPr>
          <w:rFonts w:hint="eastAsia" w:ascii="宋体"/>
          <w:color w:val="auto"/>
          <w:szCs w:val="21"/>
          <w:highlight w:val="none"/>
        </w:rPr>
        <w:t>2、“投标人”系指向招标采购单位提交投标文件的单位。</w:t>
      </w:r>
      <w:bookmarkEnd w:id="85"/>
      <w:bookmarkEnd w:id="86"/>
    </w:p>
    <w:p w14:paraId="650A7775">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b/>
          <w:color w:val="auto"/>
          <w:szCs w:val="21"/>
          <w:highlight w:val="none"/>
        </w:rPr>
      </w:pPr>
      <w:bookmarkStart w:id="87" w:name="_Toc293916007"/>
      <w:bookmarkStart w:id="88" w:name="_Toc293916358"/>
      <w:r>
        <w:rPr>
          <w:rFonts w:hint="eastAsia" w:ascii="宋体"/>
          <w:color w:val="auto"/>
          <w:szCs w:val="21"/>
          <w:highlight w:val="none"/>
        </w:rPr>
        <w:t>3、“产品”系指供方按招标文件规定，须向采购人提供的一切设备、保险、税金、备品备件、工具、手册及其它有关技术资料和材料。</w:t>
      </w:r>
      <w:bookmarkEnd w:id="87"/>
      <w:bookmarkEnd w:id="88"/>
    </w:p>
    <w:p w14:paraId="0E84519A">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b/>
          <w:color w:val="auto"/>
          <w:szCs w:val="21"/>
          <w:highlight w:val="none"/>
        </w:rPr>
      </w:pPr>
      <w:bookmarkStart w:id="89" w:name="_Toc293916359"/>
      <w:bookmarkStart w:id="90" w:name="_Toc293916008"/>
      <w:r>
        <w:rPr>
          <w:rFonts w:hint="eastAsia" w:ascii="宋体"/>
          <w:color w:val="auto"/>
          <w:szCs w:val="21"/>
          <w:highlight w:val="none"/>
        </w:rPr>
        <w:t>4、“服务”系指招标文件规定投标人须承担的安装、调试、技术协助、校准、培训、技术指导以及其他类似的义务。</w:t>
      </w:r>
      <w:bookmarkEnd w:id="89"/>
      <w:bookmarkEnd w:id="90"/>
    </w:p>
    <w:p w14:paraId="43EBF5FF">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b/>
          <w:color w:val="auto"/>
          <w:szCs w:val="21"/>
          <w:highlight w:val="none"/>
        </w:rPr>
      </w:pPr>
      <w:bookmarkStart w:id="91" w:name="_Toc293916360"/>
      <w:bookmarkStart w:id="92" w:name="_Toc293916009"/>
      <w:r>
        <w:rPr>
          <w:rFonts w:hint="eastAsia" w:ascii="宋体"/>
          <w:color w:val="auto"/>
          <w:szCs w:val="21"/>
          <w:highlight w:val="none"/>
        </w:rPr>
        <w:t>5、“项目”系指投标人按招标文件规定向采购人提供的产品和服务。</w:t>
      </w:r>
      <w:bookmarkEnd w:id="91"/>
      <w:bookmarkEnd w:id="92"/>
    </w:p>
    <w:p w14:paraId="7C7EAA1C">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b/>
          <w:color w:val="auto"/>
          <w:szCs w:val="21"/>
          <w:highlight w:val="none"/>
        </w:rPr>
      </w:pPr>
      <w:bookmarkStart w:id="93" w:name="_Toc293916361"/>
      <w:bookmarkStart w:id="94" w:name="_Toc293916010"/>
      <w:r>
        <w:rPr>
          <w:rFonts w:hint="eastAsia" w:ascii="宋体"/>
          <w:color w:val="auto"/>
          <w:szCs w:val="21"/>
          <w:highlight w:val="none"/>
        </w:rPr>
        <w:t>6、“书面形式”包括信函、传真、电子文档等。</w:t>
      </w:r>
      <w:bookmarkEnd w:id="93"/>
      <w:bookmarkEnd w:id="94"/>
    </w:p>
    <w:p w14:paraId="1CCE0744">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left"/>
        <w:textAlignment w:val="auto"/>
        <w:rPr>
          <w:rFonts w:ascii="宋体"/>
          <w:b/>
          <w:color w:val="auto"/>
          <w:szCs w:val="21"/>
          <w:highlight w:val="none"/>
        </w:rPr>
      </w:pPr>
      <w:bookmarkStart w:id="95" w:name="_Toc293916011"/>
      <w:bookmarkStart w:id="96" w:name="_Toc293916362"/>
      <w:r>
        <w:rPr>
          <w:rFonts w:hint="eastAsia" w:ascii="宋体"/>
          <w:color w:val="auto"/>
          <w:szCs w:val="21"/>
          <w:highlight w:val="none"/>
        </w:rPr>
        <w:t>7、“▲”系指实质性要求条款。</w:t>
      </w:r>
      <w:bookmarkEnd w:id="95"/>
      <w:bookmarkEnd w:id="96"/>
    </w:p>
    <w:p w14:paraId="438A6C7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bookmarkStart w:id="97" w:name="_Toc293916363"/>
      <w:bookmarkStart w:id="98" w:name="_Toc177870539"/>
      <w:bookmarkStart w:id="99" w:name="_Toc293916012"/>
      <w:r>
        <w:rPr>
          <w:rFonts w:hint="eastAsia" w:ascii="宋体"/>
          <w:b/>
          <w:color w:val="auto"/>
          <w:szCs w:val="21"/>
          <w:highlight w:val="none"/>
        </w:rPr>
        <w:t>（三）招标方式</w:t>
      </w:r>
      <w:bookmarkEnd w:id="97"/>
      <w:bookmarkEnd w:id="98"/>
      <w:bookmarkEnd w:id="99"/>
      <w:r>
        <w:rPr>
          <w:rFonts w:hint="eastAsia" w:ascii="宋体"/>
          <w:b/>
          <w:color w:val="auto"/>
          <w:szCs w:val="21"/>
          <w:highlight w:val="none"/>
        </w:rPr>
        <w:t>：</w:t>
      </w:r>
    </w:p>
    <w:p w14:paraId="295DCBD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1、本次招标采用公开招标方式进行。</w:t>
      </w:r>
    </w:p>
    <w:p w14:paraId="6F417D3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2、本次招标设定预算</w:t>
      </w:r>
      <w:r>
        <w:rPr>
          <w:rFonts w:hint="eastAsia" w:ascii="宋体"/>
          <w:color w:val="auto"/>
          <w:szCs w:val="21"/>
          <w:highlight w:val="none"/>
          <w:lang w:eastAsia="zh-CN"/>
        </w:rPr>
        <w:t>及最高限价</w:t>
      </w:r>
      <w:r>
        <w:rPr>
          <w:rFonts w:hint="eastAsia" w:ascii="宋体"/>
          <w:color w:val="auto"/>
          <w:szCs w:val="21"/>
          <w:highlight w:val="none"/>
        </w:rPr>
        <w:t>，预算</w:t>
      </w:r>
      <w:r>
        <w:rPr>
          <w:rFonts w:hint="eastAsia" w:ascii="宋体"/>
          <w:color w:val="auto"/>
          <w:szCs w:val="21"/>
          <w:highlight w:val="none"/>
          <w:lang w:eastAsia="zh-CN"/>
        </w:rPr>
        <w:t>及最高限价</w:t>
      </w:r>
      <w:r>
        <w:rPr>
          <w:rFonts w:hint="eastAsia" w:ascii="宋体"/>
          <w:color w:val="auto"/>
          <w:szCs w:val="21"/>
          <w:highlight w:val="none"/>
        </w:rPr>
        <w:t>由采购人确定并在招标文件中明确。</w:t>
      </w:r>
    </w:p>
    <w:p w14:paraId="05302E3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bookmarkStart w:id="100" w:name="_Toc293916013"/>
      <w:bookmarkStart w:id="101" w:name="_Toc177870540"/>
      <w:bookmarkStart w:id="102" w:name="_Toc177824941"/>
      <w:bookmarkStart w:id="103" w:name="_Toc293916364"/>
      <w:bookmarkStart w:id="104" w:name="_Toc177825122"/>
      <w:bookmarkStart w:id="105" w:name="_Toc177824874"/>
      <w:r>
        <w:rPr>
          <w:rFonts w:hint="eastAsia" w:ascii="宋体"/>
          <w:b/>
          <w:color w:val="auto"/>
          <w:szCs w:val="21"/>
          <w:highlight w:val="none"/>
        </w:rPr>
        <w:t>（四）投标委托</w:t>
      </w:r>
      <w:bookmarkEnd w:id="100"/>
      <w:bookmarkEnd w:id="101"/>
      <w:bookmarkEnd w:id="102"/>
      <w:bookmarkEnd w:id="103"/>
      <w:bookmarkEnd w:id="104"/>
      <w:bookmarkEnd w:id="105"/>
    </w:p>
    <w:p w14:paraId="40B0B373">
      <w:pPr>
        <w:pStyle w:val="2"/>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color w:val="auto"/>
          <w:spacing w:val="0"/>
          <w:sz w:val="21"/>
          <w:szCs w:val="21"/>
          <w:highlight w:val="none"/>
        </w:rPr>
      </w:pPr>
      <w:r>
        <w:rPr>
          <w:rFonts w:hint="eastAsia"/>
          <w:color w:val="auto"/>
          <w:spacing w:val="0"/>
          <w:sz w:val="21"/>
          <w:szCs w:val="21"/>
          <w:highlight w:val="none"/>
        </w:rPr>
        <w:t>如投标人代表不是法定代表人，须有法定代表人出具的授权委托书（格式见第六章）。</w:t>
      </w:r>
    </w:p>
    <w:p w14:paraId="52D89A3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bookmarkStart w:id="106" w:name="_Toc293916014"/>
      <w:bookmarkStart w:id="107" w:name="_Toc177824942"/>
      <w:bookmarkStart w:id="108" w:name="_Toc177825123"/>
      <w:bookmarkStart w:id="109" w:name="_Toc293916365"/>
      <w:bookmarkStart w:id="110" w:name="_Toc177870541"/>
      <w:bookmarkStart w:id="111" w:name="_Toc177824875"/>
      <w:r>
        <w:rPr>
          <w:rFonts w:hint="eastAsia" w:ascii="宋体"/>
          <w:b/>
          <w:color w:val="auto"/>
          <w:szCs w:val="21"/>
          <w:highlight w:val="none"/>
        </w:rPr>
        <w:t>（五）投标费用</w:t>
      </w:r>
      <w:bookmarkEnd w:id="106"/>
      <w:bookmarkEnd w:id="107"/>
      <w:bookmarkEnd w:id="108"/>
      <w:bookmarkEnd w:id="109"/>
      <w:bookmarkEnd w:id="110"/>
      <w:bookmarkEnd w:id="111"/>
    </w:p>
    <w:p w14:paraId="37A78C4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不论投标结果如何，投标人均应自行承担所有与投标有关的全部费用。</w:t>
      </w:r>
    </w:p>
    <w:p w14:paraId="471BDCB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r>
        <w:rPr>
          <w:rFonts w:hint="eastAsia" w:ascii="宋体"/>
          <w:b/>
          <w:color w:val="auto"/>
          <w:szCs w:val="21"/>
          <w:highlight w:val="none"/>
        </w:rPr>
        <w:t>（六）合格投标人的资格要求</w:t>
      </w:r>
    </w:p>
    <w:p w14:paraId="3C190B3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符合第一章第</w:t>
      </w:r>
      <w:r>
        <w:rPr>
          <w:rFonts w:hint="eastAsia" w:ascii="宋体" w:cs="Arial"/>
          <w:color w:val="auto"/>
          <w:szCs w:val="21"/>
          <w:highlight w:val="none"/>
        </w:rPr>
        <w:t>四</w:t>
      </w:r>
      <w:r>
        <w:rPr>
          <w:rFonts w:hint="eastAsia" w:ascii="宋体"/>
          <w:color w:val="auto"/>
          <w:szCs w:val="21"/>
          <w:highlight w:val="none"/>
        </w:rPr>
        <w:t>条的规定。</w:t>
      </w:r>
    </w:p>
    <w:p w14:paraId="47695DA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r>
        <w:rPr>
          <w:rFonts w:hint="eastAsia" w:ascii="宋体"/>
          <w:b/>
          <w:color w:val="auto"/>
          <w:szCs w:val="21"/>
          <w:highlight w:val="none"/>
        </w:rPr>
        <w:t>（七）转包与分包</w:t>
      </w:r>
    </w:p>
    <w:p w14:paraId="2210B0F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s="宋体"/>
          <w:color w:val="auto"/>
          <w:kern w:val="0"/>
          <w:szCs w:val="21"/>
          <w:highlight w:val="none"/>
        </w:rPr>
      </w:pPr>
      <w:r>
        <w:rPr>
          <w:rFonts w:hint="eastAsia" w:ascii="宋体" w:cs="宋体"/>
          <w:color w:val="auto"/>
          <w:kern w:val="0"/>
          <w:szCs w:val="21"/>
          <w:highlight w:val="none"/>
        </w:rPr>
        <w:t>本项目不允许转包或分包。</w:t>
      </w:r>
    </w:p>
    <w:p w14:paraId="6C99BA4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
          <w:color w:val="auto"/>
          <w:szCs w:val="21"/>
          <w:highlight w:val="none"/>
        </w:rPr>
      </w:pPr>
      <w:r>
        <w:rPr>
          <w:rFonts w:hint="eastAsia" w:ascii="宋体"/>
          <w:b/>
          <w:color w:val="auto"/>
          <w:szCs w:val="21"/>
          <w:highlight w:val="none"/>
        </w:rPr>
        <w:t>（</w:t>
      </w:r>
      <w:r>
        <w:rPr>
          <w:rFonts w:hint="eastAsia" w:ascii="宋体" w:cs="宋体"/>
          <w:b/>
          <w:color w:val="auto"/>
          <w:kern w:val="0"/>
          <w:szCs w:val="21"/>
          <w:highlight w:val="none"/>
        </w:rPr>
        <w:t>八</w:t>
      </w:r>
      <w:r>
        <w:rPr>
          <w:rFonts w:hint="eastAsia" w:ascii="宋体"/>
          <w:b/>
          <w:color w:val="auto"/>
          <w:szCs w:val="21"/>
          <w:highlight w:val="none"/>
        </w:rPr>
        <w:t>）</w:t>
      </w:r>
      <w:bookmarkStart w:id="112" w:name="_Toc177870542"/>
      <w:r>
        <w:rPr>
          <w:rFonts w:hint="eastAsia" w:ascii="宋体"/>
          <w:b/>
          <w:color w:val="auto"/>
          <w:szCs w:val="21"/>
          <w:highlight w:val="none"/>
        </w:rPr>
        <w:t>特别说明</w:t>
      </w:r>
      <w:bookmarkEnd w:id="112"/>
      <w:r>
        <w:rPr>
          <w:rFonts w:hint="eastAsia" w:ascii="宋体"/>
          <w:b/>
          <w:color w:val="auto"/>
          <w:szCs w:val="21"/>
          <w:highlight w:val="none"/>
        </w:rPr>
        <w:t>：</w:t>
      </w:r>
    </w:p>
    <w:p w14:paraId="320BC72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多家供应商参加投标，如其中两家或两家以上供应商的法定代表人为同一人或相互之间存在投资关系且达到控股的，应当按一个供应商认定。评审时，取其中通过资格审查后的报价最低的一家为有效供应商；当报价相同时，则以技术标最优一家为有效供应商；均相同时，由评标委员会集体决定。</w:t>
      </w:r>
    </w:p>
    <w:p w14:paraId="6E397DD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lang w:val="en-US" w:eastAsia="zh-CN"/>
        </w:rPr>
        <w:t>2</w:t>
      </w:r>
      <w:r>
        <w:rPr>
          <w:rFonts w:hint="eastAsia" w:ascii="宋体"/>
          <w:color w:val="auto"/>
          <w:szCs w:val="21"/>
          <w:highlight w:val="none"/>
        </w:rPr>
        <w:t>、</w:t>
      </w:r>
      <w:r>
        <w:rPr>
          <w:rFonts w:hint="eastAsia" w:ascii="宋体"/>
          <w:b/>
          <w:color w:val="auto"/>
          <w:szCs w:val="21"/>
          <w:highlight w:val="none"/>
        </w:rPr>
        <w:t>投标人在投标活动中提供任何虚假材料或从事其他违法活动的，其投标无效，并报监管部门查处；</w:t>
      </w:r>
      <w:r>
        <w:rPr>
          <w:rFonts w:hint="eastAsia" w:ascii="宋体"/>
          <w:color w:val="auto"/>
          <w:szCs w:val="21"/>
          <w:highlight w:val="none"/>
        </w:rPr>
        <w:t>中标后发现的，中标人须依照《中华人民共和国消费者权益保护法》第49条之规定双倍赔偿采购人，且民事赔偿并不免除违法投标人的行政与刑事责任。</w:t>
      </w:r>
    </w:p>
    <w:p w14:paraId="7EC65E0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lang w:val="en-US" w:eastAsia="zh-CN"/>
        </w:rPr>
        <w:t>3</w:t>
      </w:r>
      <w:r>
        <w:rPr>
          <w:rFonts w:hint="eastAsia" w:ascii="宋体"/>
          <w:color w:val="auto"/>
          <w:szCs w:val="21"/>
          <w:highlight w:val="none"/>
        </w:rPr>
        <w:t>、投标人应仔细阅读招标文件所有内容，对招标文件的要求作出实质性响应，按照招标文件的要求提交投标文件，并对所提供的全部资料的真实性承担法律责任。</w:t>
      </w:r>
      <w:bookmarkStart w:id="113" w:name="_Toc177870543"/>
    </w:p>
    <w:p w14:paraId="4629C91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
          <w:bCs/>
          <w:color w:val="auto"/>
          <w:szCs w:val="21"/>
          <w:highlight w:val="none"/>
        </w:rPr>
      </w:pPr>
      <w:r>
        <w:rPr>
          <w:rFonts w:hint="eastAsia" w:ascii="宋体" w:cs="宋体"/>
          <w:b/>
          <w:color w:val="auto"/>
          <w:kern w:val="0"/>
          <w:szCs w:val="21"/>
          <w:highlight w:val="none"/>
        </w:rPr>
        <w:t>（九）</w:t>
      </w:r>
      <w:r>
        <w:rPr>
          <w:rFonts w:hint="eastAsia" w:ascii="宋体"/>
          <w:b/>
          <w:bCs/>
          <w:color w:val="auto"/>
          <w:szCs w:val="21"/>
          <w:highlight w:val="none"/>
        </w:rPr>
        <w:t>质疑</w:t>
      </w:r>
      <w:bookmarkEnd w:id="113"/>
      <w:r>
        <w:rPr>
          <w:rFonts w:hint="eastAsia" w:ascii="宋体"/>
          <w:b/>
          <w:bCs/>
          <w:color w:val="auto"/>
          <w:szCs w:val="21"/>
          <w:highlight w:val="none"/>
        </w:rPr>
        <w:t>和投诉</w:t>
      </w:r>
    </w:p>
    <w:p w14:paraId="61663CB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1、投标人认为招标文件、招标过程和中标结果使自己的合法权益受到损害的，应当在知道或者应知其权益受到损害之日起7个工作日内，以书面形式向招标采购单位提出质疑。投标人对招标采购单位的质疑答复不满意或者招标采购单位未在规定时间内作出答复的，可以在答复期满后15个工作日内向同级政府采购监管部门投诉。</w:t>
      </w:r>
    </w:p>
    <w:p w14:paraId="5759B2A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2、质疑、投诉应当采用书面形式，质疑书、投诉书均应明确阐述招标文件、招标过程和中标结果中使自己合法权益受到损害的实质性内容，提供相关事实、依据和证据及其来源或线索，便于有关单位调查、答复和处理。</w:t>
      </w:r>
      <w:bookmarkStart w:id="114" w:name="_Toc293916872"/>
      <w:bookmarkStart w:id="115" w:name="_Toc177870544"/>
      <w:bookmarkStart w:id="116" w:name="_Toc293916366"/>
      <w:bookmarkStart w:id="117" w:name="_Toc293917018"/>
      <w:bookmarkStart w:id="118" w:name="_Toc293916015"/>
    </w:p>
    <w:p w14:paraId="44391A0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3、质疑和投诉按照《政府采购质疑和投诉办法》（财政部令第94号）规定，范本在《浙江政府采购网》中“下载专区”内下载。质疑时要求供应商在法定质疑期内一次性提出针对同一采购程序环节的质疑。</w:t>
      </w:r>
    </w:p>
    <w:p w14:paraId="1E3BB5FE">
      <w:pPr>
        <w:keepNext w:val="0"/>
        <w:keepLines w:val="0"/>
        <w:pageBreakBefore w:val="0"/>
        <w:widowControl w:val="0"/>
        <w:kinsoku/>
        <w:wordWrap/>
        <w:overflowPunct/>
        <w:topLinePunct w:val="0"/>
        <w:autoSpaceDE/>
        <w:autoSpaceDN/>
        <w:bidi w:val="0"/>
        <w:spacing w:line="400" w:lineRule="exact"/>
        <w:textAlignment w:val="auto"/>
        <w:outlineLvl w:val="1"/>
        <w:rPr>
          <w:rFonts w:ascii="宋体"/>
          <w:b/>
          <w:bCs/>
          <w:color w:val="auto"/>
          <w:sz w:val="24"/>
          <w:highlight w:val="none"/>
        </w:rPr>
      </w:pPr>
      <w:bookmarkStart w:id="119" w:name="_Toc2452"/>
      <w:bookmarkStart w:id="120" w:name="_Toc14313"/>
      <w:bookmarkStart w:id="121" w:name="_Toc424544813"/>
      <w:bookmarkStart w:id="122" w:name="_Toc16060"/>
      <w:bookmarkStart w:id="123" w:name="_Toc270"/>
      <w:bookmarkStart w:id="124" w:name="_Toc1418"/>
      <w:bookmarkStart w:id="125" w:name="_Toc424544534"/>
      <w:bookmarkStart w:id="126" w:name="_Toc30909"/>
      <w:r>
        <w:rPr>
          <w:rFonts w:hint="eastAsia" w:ascii="宋体"/>
          <w:b/>
          <w:bCs/>
          <w:color w:val="auto"/>
          <w:sz w:val="24"/>
          <w:highlight w:val="none"/>
        </w:rPr>
        <w:t>二、招标文件</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231F074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r>
        <w:rPr>
          <w:rFonts w:hint="eastAsia" w:ascii="宋体"/>
          <w:b/>
          <w:color w:val="auto"/>
          <w:szCs w:val="21"/>
          <w:highlight w:val="none"/>
        </w:rPr>
        <w:t>（一）招标文件的构成。本招标文件由以下部份组成：</w:t>
      </w:r>
    </w:p>
    <w:p w14:paraId="54A32FE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1、招标公告；</w:t>
      </w:r>
    </w:p>
    <w:p w14:paraId="79BCB03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2、招标需求；</w:t>
      </w:r>
    </w:p>
    <w:p w14:paraId="365251A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3、投标人须知；</w:t>
      </w:r>
    </w:p>
    <w:p w14:paraId="3EF7C74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4、评标办法及标准；</w:t>
      </w:r>
    </w:p>
    <w:p w14:paraId="3DAD7AA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5、合同主要条款；</w:t>
      </w:r>
    </w:p>
    <w:p w14:paraId="7026033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6、投标文件格式；</w:t>
      </w:r>
    </w:p>
    <w:p w14:paraId="5F55B8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7、本项目招标文件的澄清、答复、修改、补充的内容。</w:t>
      </w:r>
    </w:p>
    <w:p w14:paraId="7E6ED9B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r>
        <w:rPr>
          <w:rFonts w:hint="eastAsia" w:ascii="宋体"/>
          <w:b/>
          <w:color w:val="auto"/>
          <w:szCs w:val="21"/>
          <w:highlight w:val="none"/>
        </w:rPr>
        <w:t>（二）投标人的风险</w:t>
      </w:r>
    </w:p>
    <w:p w14:paraId="0DE8373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投标人没有按照招标文件要求提供全部资料，或者投标人没有对招标文件在各方面作出实质性响应是投标人的风险，并可能导致其投标被拒绝。</w:t>
      </w:r>
    </w:p>
    <w:p w14:paraId="41A8B9D7">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Lines="0" w:line="400" w:lineRule="exact"/>
        <w:textAlignment w:val="auto"/>
        <w:rPr>
          <w:rFonts w:ascii="宋体"/>
          <w:b/>
          <w:color w:val="auto"/>
          <w:sz w:val="21"/>
          <w:szCs w:val="21"/>
          <w:highlight w:val="none"/>
        </w:rPr>
      </w:pPr>
      <w:r>
        <w:rPr>
          <w:rFonts w:hint="eastAsia" w:ascii="宋体"/>
          <w:b/>
          <w:color w:val="auto"/>
          <w:sz w:val="21"/>
          <w:szCs w:val="21"/>
          <w:highlight w:val="none"/>
        </w:rPr>
        <w:t xml:space="preserve">（三）招标文件的澄清与修改 </w:t>
      </w:r>
    </w:p>
    <w:p w14:paraId="13C9BC44">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kern w:val="0"/>
          <w:sz w:val="21"/>
          <w:szCs w:val="21"/>
          <w:highlight w:val="none"/>
        </w:rPr>
      </w:pPr>
      <w:r>
        <w:rPr>
          <w:rFonts w:hint="eastAsia"/>
          <w:color w:val="auto"/>
          <w:kern w:val="0"/>
          <w:sz w:val="21"/>
          <w:szCs w:val="21"/>
          <w:highlight w:val="none"/>
        </w:rPr>
        <w:t>1、投标人应认真阅读本招标文件，发现其中有误或有不合理要求的，投标人必须在招标公告规定的时间前以书面形式要求招标采购单位澄清，</w:t>
      </w:r>
      <w:r>
        <w:rPr>
          <w:color w:val="auto"/>
          <w:highlight w:val="none"/>
        </w:rPr>
        <w:fldChar w:fldCharType="begin"/>
      </w:r>
      <w:r>
        <w:rPr>
          <w:color w:val="auto"/>
          <w:highlight w:val="none"/>
        </w:rPr>
        <w:instrText xml:space="preserve"> HYPERLINK "mailto:同时请将该书面文件的电子文档发送至2585075248@qq.com" </w:instrText>
      </w:r>
      <w:r>
        <w:rPr>
          <w:color w:val="auto"/>
          <w:highlight w:val="none"/>
        </w:rPr>
        <w:fldChar w:fldCharType="separate"/>
      </w:r>
      <w:r>
        <w:rPr>
          <w:rStyle w:val="67"/>
          <w:rFonts w:hint="eastAsia"/>
          <w:color w:val="auto"/>
          <w:kern w:val="0"/>
          <w:sz w:val="21"/>
          <w:szCs w:val="21"/>
          <w:highlight w:val="none"/>
        </w:rPr>
        <w:t>同时请将该书面文件的电子文档发送至</w:t>
      </w:r>
      <w:r>
        <w:rPr>
          <w:rStyle w:val="67"/>
          <w:rFonts w:hint="eastAsia"/>
          <w:color w:val="auto"/>
          <w:kern w:val="0"/>
          <w:sz w:val="21"/>
          <w:szCs w:val="21"/>
          <w:highlight w:val="none"/>
          <w:lang w:val="en-US" w:eastAsia="zh-CN"/>
        </w:rPr>
        <w:t>491643138</w:t>
      </w:r>
      <w:r>
        <w:rPr>
          <w:rStyle w:val="67"/>
          <w:rFonts w:hint="eastAsia"/>
          <w:color w:val="auto"/>
          <w:kern w:val="0"/>
          <w:sz w:val="21"/>
          <w:szCs w:val="21"/>
          <w:highlight w:val="none"/>
        </w:rPr>
        <w:t>@qq.com</w:t>
      </w:r>
      <w:r>
        <w:rPr>
          <w:rStyle w:val="67"/>
          <w:rFonts w:hint="eastAsia"/>
          <w:color w:val="auto"/>
          <w:kern w:val="0"/>
          <w:sz w:val="21"/>
          <w:szCs w:val="21"/>
          <w:highlight w:val="none"/>
        </w:rPr>
        <w:fldChar w:fldCharType="end"/>
      </w:r>
      <w:r>
        <w:rPr>
          <w:rFonts w:hint="eastAsia"/>
          <w:color w:val="auto"/>
          <w:kern w:val="0"/>
          <w:sz w:val="21"/>
          <w:szCs w:val="21"/>
          <w:highlight w:val="none"/>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14:paraId="79F6B4B9">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kern w:val="0"/>
          <w:sz w:val="21"/>
          <w:szCs w:val="21"/>
          <w:highlight w:val="none"/>
        </w:rPr>
      </w:pPr>
      <w:r>
        <w:rPr>
          <w:rFonts w:hint="eastAsia"/>
          <w:color w:val="auto"/>
          <w:kern w:val="0"/>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14:paraId="187B41E8">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kern w:val="0"/>
          <w:sz w:val="21"/>
          <w:szCs w:val="21"/>
          <w:highlight w:val="none"/>
        </w:rPr>
      </w:pPr>
      <w:r>
        <w:rPr>
          <w:rFonts w:hint="eastAsia"/>
          <w:color w:val="auto"/>
          <w:kern w:val="0"/>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393EFF40">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kern w:val="0"/>
          <w:sz w:val="21"/>
          <w:szCs w:val="21"/>
          <w:highlight w:val="none"/>
        </w:rPr>
        <w:t>4、招标文件的澄清、答复、修改或补充都应该通过本代理机构以法定形式发布，采购人非通过本机构，不得擅自澄清、答复、修改或补充招标文件。</w:t>
      </w:r>
    </w:p>
    <w:p w14:paraId="4F604BCC">
      <w:pPr>
        <w:keepNext w:val="0"/>
        <w:keepLines w:val="0"/>
        <w:pageBreakBefore w:val="0"/>
        <w:widowControl w:val="0"/>
        <w:kinsoku/>
        <w:wordWrap/>
        <w:overflowPunct/>
        <w:topLinePunct w:val="0"/>
        <w:autoSpaceDE/>
        <w:autoSpaceDN/>
        <w:bidi w:val="0"/>
        <w:spacing w:line="400" w:lineRule="exact"/>
        <w:textAlignment w:val="auto"/>
        <w:outlineLvl w:val="1"/>
        <w:rPr>
          <w:rFonts w:ascii="宋体"/>
          <w:b/>
          <w:bCs/>
          <w:color w:val="auto"/>
          <w:sz w:val="24"/>
          <w:highlight w:val="none"/>
        </w:rPr>
      </w:pPr>
      <w:bookmarkStart w:id="127" w:name="_Toc177870545"/>
      <w:bookmarkStart w:id="128" w:name="_Toc293916016"/>
      <w:bookmarkStart w:id="129" w:name="_Toc13244"/>
      <w:bookmarkStart w:id="130" w:name="_Toc293916367"/>
      <w:bookmarkStart w:id="131" w:name="_Toc293916875"/>
      <w:bookmarkStart w:id="132" w:name="_Toc293917019"/>
      <w:bookmarkStart w:id="133" w:name="_Toc16104"/>
      <w:bookmarkStart w:id="134" w:name="_Toc542"/>
      <w:bookmarkStart w:id="135" w:name="_Toc424544814"/>
      <w:bookmarkStart w:id="136" w:name="_Toc424544535"/>
      <w:bookmarkStart w:id="137" w:name="_Toc10650"/>
      <w:bookmarkStart w:id="138" w:name="_Toc10356"/>
      <w:bookmarkStart w:id="139" w:name="_Toc5756"/>
      <w:r>
        <w:rPr>
          <w:rFonts w:hint="eastAsia" w:ascii="宋体"/>
          <w:b/>
          <w:bCs/>
          <w:color w:val="auto"/>
          <w:sz w:val="24"/>
          <w:highlight w:val="none"/>
        </w:rPr>
        <w:t>三、投标文件</w:t>
      </w:r>
      <w:bookmarkEnd w:id="127"/>
      <w:r>
        <w:rPr>
          <w:rFonts w:hint="eastAsia" w:ascii="宋体"/>
          <w:b/>
          <w:bCs/>
          <w:color w:val="auto"/>
          <w:sz w:val="24"/>
          <w:highlight w:val="none"/>
        </w:rPr>
        <w:t>的编制</w:t>
      </w:r>
      <w:bookmarkEnd w:id="128"/>
      <w:bookmarkEnd w:id="129"/>
      <w:bookmarkEnd w:id="130"/>
      <w:bookmarkEnd w:id="131"/>
      <w:bookmarkEnd w:id="132"/>
      <w:bookmarkEnd w:id="133"/>
      <w:bookmarkEnd w:id="134"/>
      <w:bookmarkEnd w:id="135"/>
      <w:bookmarkEnd w:id="136"/>
      <w:bookmarkEnd w:id="137"/>
      <w:bookmarkEnd w:id="138"/>
      <w:bookmarkEnd w:id="139"/>
    </w:p>
    <w:p w14:paraId="65C2575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bookmarkStart w:id="140" w:name="_Toc177825124"/>
      <w:bookmarkStart w:id="141" w:name="_Toc177824943"/>
      <w:bookmarkStart w:id="142" w:name="_Toc177870546"/>
      <w:bookmarkStart w:id="143" w:name="_Toc293916017"/>
      <w:bookmarkStart w:id="144" w:name="_Toc293916368"/>
      <w:bookmarkStart w:id="145" w:name="_Toc177824876"/>
      <w:r>
        <w:rPr>
          <w:rFonts w:hint="eastAsia" w:ascii="宋体"/>
          <w:b/>
          <w:color w:val="auto"/>
          <w:szCs w:val="21"/>
          <w:highlight w:val="none"/>
        </w:rPr>
        <w:t>（</w:t>
      </w:r>
      <w:r>
        <w:rPr>
          <w:rFonts w:hint="eastAsia" w:ascii="宋体"/>
          <w:color w:val="auto"/>
          <w:szCs w:val="21"/>
          <w:highlight w:val="none"/>
        </w:rPr>
        <w:t>一</w:t>
      </w:r>
      <w:r>
        <w:rPr>
          <w:rFonts w:hint="eastAsia" w:ascii="宋体"/>
          <w:b/>
          <w:color w:val="auto"/>
          <w:szCs w:val="21"/>
          <w:highlight w:val="none"/>
        </w:rPr>
        <w:t>）投标文件的组成</w:t>
      </w:r>
      <w:bookmarkEnd w:id="140"/>
      <w:bookmarkEnd w:id="141"/>
      <w:bookmarkEnd w:id="142"/>
      <w:bookmarkEnd w:id="143"/>
      <w:bookmarkEnd w:id="144"/>
      <w:bookmarkEnd w:id="145"/>
    </w:p>
    <w:p w14:paraId="1719E7E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b/>
          <w:color w:val="auto"/>
          <w:szCs w:val="21"/>
          <w:highlight w:val="none"/>
          <w:u w:val="single"/>
        </w:rPr>
      </w:pPr>
      <w:r>
        <w:rPr>
          <w:rFonts w:hint="eastAsia" w:ascii="宋体"/>
          <w:color w:val="auto"/>
          <w:szCs w:val="21"/>
          <w:highlight w:val="none"/>
        </w:rPr>
        <w:t>投标文件由</w:t>
      </w:r>
      <w:r>
        <w:rPr>
          <w:rFonts w:hint="eastAsia" w:ascii="宋体"/>
          <w:b/>
          <w:color w:val="auto"/>
          <w:szCs w:val="21"/>
          <w:highlight w:val="none"/>
        </w:rPr>
        <w:t>资格证明文件、商务文件、技术文件和报价文件</w:t>
      </w:r>
      <w:r>
        <w:rPr>
          <w:rFonts w:hint="eastAsia" w:ascii="宋体"/>
          <w:color w:val="auto"/>
          <w:szCs w:val="21"/>
          <w:highlight w:val="none"/>
        </w:rPr>
        <w:t>四部分组成。《</w:t>
      </w:r>
      <w:r>
        <w:rPr>
          <w:rFonts w:hint="eastAsia" w:ascii="宋体"/>
          <w:b/>
          <w:color w:val="auto"/>
          <w:szCs w:val="21"/>
          <w:highlight w:val="none"/>
        </w:rPr>
        <w:t>资格证明文件</w:t>
      </w:r>
      <w:r>
        <w:rPr>
          <w:rFonts w:hint="eastAsia" w:ascii="宋体"/>
          <w:color w:val="auto"/>
          <w:szCs w:val="21"/>
          <w:highlight w:val="none"/>
        </w:rPr>
        <w:t>》</w:t>
      </w:r>
      <w:r>
        <w:rPr>
          <w:rFonts w:hint="eastAsia" w:ascii="宋体"/>
          <w:b/>
          <w:color w:val="auto"/>
          <w:szCs w:val="21"/>
          <w:highlight w:val="none"/>
          <w:u w:val="single"/>
        </w:rPr>
        <w:t>装订成一册，《商务文件》和《技术文件》两部分可装订成一册，《报价文件》装订成一册。</w:t>
      </w:r>
    </w:p>
    <w:p w14:paraId="14DAB973">
      <w:pPr>
        <w:keepNext w:val="0"/>
        <w:keepLines w:val="0"/>
        <w:pageBreakBefore w:val="0"/>
        <w:widowControl w:val="0"/>
        <w:kinsoku/>
        <w:wordWrap/>
        <w:overflowPunct/>
        <w:topLinePunct w:val="0"/>
        <w:autoSpaceDE/>
        <w:autoSpaceDN/>
        <w:bidi w:val="0"/>
        <w:adjustRightInd w:val="0"/>
        <w:snapToGrid w:val="0"/>
        <w:spacing w:line="400" w:lineRule="exact"/>
        <w:ind w:left="0" w:firstLine="422" w:firstLineChars="200"/>
        <w:jc w:val="left"/>
        <w:textAlignment w:val="auto"/>
        <w:rPr>
          <w:rFonts w:ascii="宋体"/>
          <w:b/>
          <w:color w:val="auto"/>
          <w:szCs w:val="21"/>
          <w:highlight w:val="none"/>
        </w:rPr>
      </w:pPr>
      <w:r>
        <w:rPr>
          <w:rFonts w:hint="eastAsia" w:ascii="宋体"/>
          <w:b/>
          <w:color w:val="auto"/>
          <w:szCs w:val="21"/>
          <w:highlight w:val="none"/>
        </w:rPr>
        <w:t>1、资格证明文件包括：</w:t>
      </w:r>
    </w:p>
    <w:p w14:paraId="4618B6BA">
      <w:pPr>
        <w:keepNext w:val="0"/>
        <w:keepLines w:val="0"/>
        <w:pageBreakBefore w:val="0"/>
        <w:widowControl w:val="0"/>
        <w:numPr>
          <w:ilvl w:val="0"/>
          <w:numId w:val="17"/>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color w:val="auto"/>
          <w:szCs w:val="21"/>
          <w:highlight w:val="none"/>
        </w:rPr>
      </w:pPr>
      <w:r>
        <w:rPr>
          <w:rFonts w:hint="eastAsia" w:ascii="宋体"/>
          <w:color w:val="auto"/>
          <w:szCs w:val="21"/>
          <w:highlight w:val="none"/>
        </w:rPr>
        <w:t>符合参加政府采购活动应当具备的一般条件的承诺函（格式见附件）；</w:t>
      </w:r>
    </w:p>
    <w:p w14:paraId="15E1429A">
      <w:pPr>
        <w:keepNext w:val="0"/>
        <w:keepLines w:val="0"/>
        <w:pageBreakBefore w:val="0"/>
        <w:widowControl w:val="0"/>
        <w:numPr>
          <w:ilvl w:val="0"/>
          <w:numId w:val="17"/>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color w:val="auto"/>
          <w:szCs w:val="21"/>
          <w:highlight w:val="none"/>
        </w:rPr>
      </w:pPr>
      <w:r>
        <w:rPr>
          <w:rFonts w:hint="eastAsia" w:ascii="宋体"/>
          <w:color w:val="auto"/>
          <w:szCs w:val="21"/>
          <w:highlight w:val="none"/>
        </w:rPr>
        <w:t>营业执照复印件；</w:t>
      </w:r>
    </w:p>
    <w:p w14:paraId="2596F45E">
      <w:pPr>
        <w:keepNext w:val="0"/>
        <w:keepLines w:val="0"/>
        <w:pageBreakBefore w:val="0"/>
        <w:widowControl w:val="0"/>
        <w:numPr>
          <w:ilvl w:val="0"/>
          <w:numId w:val="17"/>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color w:val="auto"/>
          <w:szCs w:val="21"/>
          <w:highlight w:val="none"/>
        </w:rPr>
      </w:pPr>
      <w:r>
        <w:rPr>
          <w:rFonts w:hint="eastAsia" w:ascii="宋体"/>
          <w:color w:val="auto"/>
          <w:szCs w:val="21"/>
          <w:highlight w:val="none"/>
        </w:rPr>
        <w:t>法定代表人身份证明书和授权委托书（格式见附件）；</w:t>
      </w:r>
    </w:p>
    <w:p w14:paraId="0F11A71F">
      <w:pPr>
        <w:keepNext w:val="0"/>
        <w:keepLines w:val="0"/>
        <w:pageBreakBefore w:val="0"/>
        <w:widowControl w:val="0"/>
        <w:kinsoku/>
        <w:wordWrap/>
        <w:overflowPunct/>
        <w:topLinePunct w:val="0"/>
        <w:autoSpaceDE/>
        <w:autoSpaceDN/>
        <w:bidi w:val="0"/>
        <w:adjustRightInd w:val="0"/>
        <w:snapToGrid w:val="0"/>
        <w:spacing w:line="400" w:lineRule="exact"/>
        <w:ind w:left="0" w:firstLine="422" w:firstLineChars="200"/>
        <w:jc w:val="left"/>
        <w:textAlignment w:val="auto"/>
        <w:rPr>
          <w:rFonts w:ascii="宋体"/>
          <w:color w:val="auto"/>
          <w:szCs w:val="21"/>
          <w:highlight w:val="none"/>
        </w:rPr>
      </w:pPr>
      <w:r>
        <w:rPr>
          <w:rFonts w:hint="eastAsia" w:ascii="宋体"/>
          <w:b/>
          <w:color w:val="auto"/>
          <w:szCs w:val="21"/>
          <w:highlight w:val="none"/>
        </w:rPr>
        <w:t>2、商务文件包括：</w:t>
      </w:r>
    </w:p>
    <w:p w14:paraId="7BD565AB">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color w:val="auto"/>
          <w:szCs w:val="21"/>
          <w:highlight w:val="none"/>
        </w:rPr>
      </w:pPr>
      <w:r>
        <w:rPr>
          <w:rFonts w:hint="eastAsia" w:ascii="宋体"/>
          <w:color w:val="auto"/>
          <w:szCs w:val="21"/>
          <w:highlight w:val="none"/>
        </w:rPr>
        <w:t>投标函（格式见附件）；</w:t>
      </w:r>
    </w:p>
    <w:p w14:paraId="7096C5A1">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color w:val="auto"/>
          <w:szCs w:val="21"/>
          <w:highlight w:val="none"/>
        </w:rPr>
      </w:pPr>
      <w:r>
        <w:rPr>
          <w:rFonts w:hint="eastAsia" w:ascii="宋体"/>
          <w:color w:val="auto"/>
          <w:szCs w:val="21"/>
          <w:highlight w:val="none"/>
        </w:rPr>
        <w:t>法定代表人身份证明书、法定代表人授权委托书（格式见附件）；</w:t>
      </w:r>
    </w:p>
    <w:p w14:paraId="5CA770F0">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color w:val="auto"/>
          <w:szCs w:val="21"/>
          <w:highlight w:val="none"/>
        </w:rPr>
      </w:pPr>
      <w:r>
        <w:rPr>
          <w:rFonts w:hint="eastAsia" w:ascii="宋体"/>
          <w:color w:val="auto"/>
          <w:szCs w:val="21"/>
          <w:highlight w:val="none"/>
        </w:rPr>
        <w:t>投标人情况一览表（格式见附件）；</w:t>
      </w:r>
    </w:p>
    <w:p w14:paraId="313FF4C9">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商务响应表（格式见附件）；</w:t>
      </w:r>
    </w:p>
    <w:p w14:paraId="2018D907">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color w:val="auto"/>
          <w:highlight w:val="none"/>
          <w:lang w:val="en-US" w:eastAsia="zh-CN"/>
        </w:rPr>
        <w:t>企业资信；</w:t>
      </w:r>
    </w:p>
    <w:p w14:paraId="6E776344">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权威认证</w:t>
      </w:r>
      <w:r>
        <w:rPr>
          <w:rFonts w:hint="eastAsia" w:ascii="宋体" w:hAnsi="宋体" w:cs="宋体"/>
          <w:snapToGrid w:val="0"/>
          <w:color w:val="auto"/>
          <w:szCs w:val="21"/>
          <w:highlight w:val="none"/>
        </w:rPr>
        <w:t>；</w:t>
      </w:r>
    </w:p>
    <w:p w14:paraId="748D841C">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成功案例及业绩（同类项目实施情况）（格式见附件）；</w:t>
      </w:r>
    </w:p>
    <w:p w14:paraId="0B89853D">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投标人认为可以证明其能力或业绩的其他材料。 </w:t>
      </w:r>
    </w:p>
    <w:p w14:paraId="70164524">
      <w:pPr>
        <w:keepNext w:val="0"/>
        <w:keepLines w:val="0"/>
        <w:pageBreakBefore w:val="0"/>
        <w:widowControl w:val="0"/>
        <w:kinsoku/>
        <w:wordWrap/>
        <w:overflowPunct/>
        <w:topLinePunct w:val="0"/>
        <w:autoSpaceDE/>
        <w:autoSpaceDN/>
        <w:bidi w:val="0"/>
        <w:adjustRightInd w:val="0"/>
        <w:snapToGrid w:val="0"/>
        <w:spacing w:line="400" w:lineRule="exact"/>
        <w:ind w:left="0" w:firstLine="422" w:firstLineChars="200"/>
        <w:jc w:val="left"/>
        <w:textAlignment w:val="auto"/>
        <w:rPr>
          <w:rFonts w:ascii="宋体"/>
          <w:b/>
          <w:color w:val="auto"/>
          <w:szCs w:val="21"/>
          <w:highlight w:val="none"/>
        </w:rPr>
      </w:pPr>
      <w:r>
        <w:rPr>
          <w:rFonts w:hint="eastAsia" w:ascii="宋体"/>
          <w:b/>
          <w:color w:val="auto"/>
          <w:szCs w:val="21"/>
          <w:highlight w:val="none"/>
        </w:rPr>
        <w:t>3、技术文件包括：</w:t>
      </w:r>
    </w:p>
    <w:p w14:paraId="74BDA35F">
      <w:pPr>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服务</w:t>
      </w:r>
      <w:r>
        <w:rPr>
          <w:rFonts w:hint="eastAsia" w:ascii="宋体" w:hAnsi="宋体" w:cs="宋体"/>
          <w:color w:val="auto"/>
          <w:szCs w:val="21"/>
          <w:highlight w:val="none"/>
        </w:rPr>
        <w:t>响应表（格式见附件）；</w:t>
      </w:r>
    </w:p>
    <w:p w14:paraId="47B2BB7A">
      <w:pPr>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lang w:eastAsia="zh-CN"/>
        </w:rPr>
        <w:t>承诺函</w:t>
      </w:r>
      <w:r>
        <w:rPr>
          <w:rFonts w:hint="eastAsia" w:ascii="宋体" w:hAnsi="宋体" w:cs="宋体"/>
          <w:color w:val="auto"/>
          <w:sz w:val="21"/>
          <w:szCs w:val="21"/>
          <w:highlight w:val="none"/>
        </w:rPr>
        <w:t>（格式见附件）</w:t>
      </w:r>
      <w:r>
        <w:rPr>
          <w:rFonts w:hint="eastAsia" w:ascii="宋体" w:hAnsi="宋体" w:cs="宋体"/>
          <w:color w:val="auto"/>
          <w:sz w:val="21"/>
          <w:szCs w:val="21"/>
          <w:highlight w:val="none"/>
          <w:lang w:eastAsia="zh-CN"/>
        </w:rPr>
        <w:t>；</w:t>
      </w:r>
    </w:p>
    <w:p w14:paraId="64CAAE73">
      <w:pPr>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需求理解和分析</w:t>
      </w:r>
      <w:r>
        <w:rPr>
          <w:rFonts w:hint="eastAsia" w:ascii="宋体" w:hAnsi="宋体" w:cs="宋体"/>
          <w:color w:val="auto"/>
          <w:szCs w:val="21"/>
          <w:highlight w:val="none"/>
        </w:rPr>
        <w:t>；</w:t>
      </w:r>
    </w:p>
    <w:p w14:paraId="21F1250F">
      <w:pPr>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b w:val="0"/>
          <w:bCs w:val="0"/>
          <w:snapToGrid w:val="0"/>
          <w:color w:val="auto"/>
          <w:sz w:val="21"/>
          <w:szCs w:val="21"/>
          <w:highlight w:val="none"/>
          <w:lang w:val="en-US" w:eastAsia="zh-CN"/>
        </w:rPr>
        <w:t>服务方案</w:t>
      </w:r>
      <w:r>
        <w:rPr>
          <w:rFonts w:hint="eastAsia" w:ascii="宋体" w:hAnsi="宋体" w:cs="宋体"/>
          <w:b w:val="0"/>
          <w:bCs w:val="0"/>
          <w:snapToGrid w:val="0"/>
          <w:color w:val="auto"/>
          <w:sz w:val="21"/>
          <w:szCs w:val="21"/>
          <w:highlight w:val="none"/>
          <w:lang w:val="en-US" w:eastAsia="zh-CN"/>
        </w:rPr>
        <w:t>；</w:t>
      </w:r>
    </w:p>
    <w:p w14:paraId="0E39DCD6">
      <w:pPr>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b w:val="0"/>
          <w:bCs w:val="0"/>
          <w:snapToGrid w:val="0"/>
          <w:color w:val="auto"/>
          <w:sz w:val="21"/>
          <w:szCs w:val="21"/>
          <w:highlight w:val="none"/>
          <w:lang w:val="en-US" w:eastAsia="zh-CN"/>
        </w:rPr>
        <w:t>处理方案</w:t>
      </w:r>
      <w:r>
        <w:rPr>
          <w:rFonts w:hint="eastAsia" w:ascii="宋体" w:hAnsi="宋体" w:cs="宋体"/>
          <w:b w:val="0"/>
          <w:bCs w:val="0"/>
          <w:snapToGrid w:val="0"/>
          <w:color w:val="auto"/>
          <w:sz w:val="21"/>
          <w:szCs w:val="21"/>
          <w:highlight w:val="none"/>
          <w:lang w:val="en-US" w:eastAsia="zh-CN"/>
        </w:rPr>
        <w:t>；</w:t>
      </w:r>
    </w:p>
    <w:p w14:paraId="50AAEF57">
      <w:pPr>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维保质量管理方案</w:t>
      </w:r>
      <w:r>
        <w:rPr>
          <w:rFonts w:hint="eastAsia" w:ascii="宋体" w:hAnsi="宋体" w:cs="宋体"/>
          <w:b w:val="0"/>
          <w:bCs w:val="0"/>
          <w:color w:val="auto"/>
          <w:kern w:val="2"/>
          <w:sz w:val="21"/>
          <w:szCs w:val="21"/>
          <w:highlight w:val="none"/>
          <w:lang w:val="en-US" w:eastAsia="zh-CN" w:bidi="ar-SA"/>
        </w:rPr>
        <w:t>；</w:t>
      </w:r>
    </w:p>
    <w:p w14:paraId="48E6F4F8">
      <w:pPr>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巡检报告制度</w:t>
      </w:r>
      <w:r>
        <w:rPr>
          <w:rFonts w:hint="eastAsia" w:ascii="宋体" w:hAnsi="宋体" w:cs="宋体"/>
          <w:color w:val="auto"/>
          <w:sz w:val="21"/>
          <w:szCs w:val="21"/>
          <w:highlight w:val="none"/>
          <w:lang w:val="en-US" w:eastAsia="zh-CN"/>
        </w:rPr>
        <w:t>；</w:t>
      </w:r>
    </w:p>
    <w:p w14:paraId="36E7DC1A">
      <w:pPr>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稳过渡方案</w:t>
      </w:r>
      <w:r>
        <w:rPr>
          <w:rFonts w:hint="eastAsia" w:ascii="宋体" w:hAnsi="宋体" w:cs="宋体"/>
          <w:color w:val="auto"/>
          <w:sz w:val="21"/>
          <w:szCs w:val="21"/>
          <w:highlight w:val="none"/>
          <w:lang w:eastAsia="zh-CN"/>
        </w:rPr>
        <w:t>；</w:t>
      </w:r>
    </w:p>
    <w:p w14:paraId="3BFB3125">
      <w:pPr>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项目技术力量投入（非驻点维保人员）（格式见附件）</w:t>
      </w:r>
    </w:p>
    <w:p w14:paraId="29FA41DD">
      <w:pPr>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投标人认为需要提供的其他技术资料。</w:t>
      </w:r>
    </w:p>
    <w:p w14:paraId="02A978FA">
      <w:pPr>
        <w:keepNext w:val="0"/>
        <w:keepLines w:val="0"/>
        <w:pageBreakBefore w:val="0"/>
        <w:widowControl w:val="0"/>
        <w:kinsoku/>
        <w:wordWrap/>
        <w:overflowPunct/>
        <w:topLinePunct w:val="0"/>
        <w:autoSpaceDE/>
        <w:autoSpaceDN/>
        <w:bidi w:val="0"/>
        <w:adjustRightInd w:val="0"/>
        <w:snapToGrid w:val="0"/>
        <w:spacing w:line="400" w:lineRule="exact"/>
        <w:ind w:left="0" w:firstLine="422" w:firstLineChars="200"/>
        <w:jc w:val="left"/>
        <w:textAlignment w:val="auto"/>
        <w:rPr>
          <w:rFonts w:ascii="宋体"/>
          <w:b/>
          <w:color w:val="auto"/>
          <w:szCs w:val="21"/>
          <w:highlight w:val="none"/>
        </w:rPr>
      </w:pPr>
      <w:r>
        <w:rPr>
          <w:rFonts w:hint="eastAsia" w:ascii="宋体"/>
          <w:b/>
          <w:color w:val="auto"/>
          <w:szCs w:val="21"/>
          <w:highlight w:val="none"/>
        </w:rPr>
        <w:t>4、报价文件：</w:t>
      </w:r>
    </w:p>
    <w:p w14:paraId="5F3748E2">
      <w:pPr>
        <w:keepNext w:val="0"/>
        <w:keepLines w:val="0"/>
        <w:pageBreakBefore w:val="0"/>
        <w:widowControl w:val="0"/>
        <w:numPr>
          <w:ilvl w:val="0"/>
          <w:numId w:val="20"/>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开标一览表（格式见附件）；</w:t>
      </w:r>
    </w:p>
    <w:p w14:paraId="1C199506">
      <w:pPr>
        <w:keepNext w:val="0"/>
        <w:keepLines w:val="0"/>
        <w:pageBreakBefore w:val="0"/>
        <w:widowControl w:val="0"/>
        <w:numPr>
          <w:ilvl w:val="0"/>
          <w:numId w:val="20"/>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color w:val="auto"/>
          <w:szCs w:val="21"/>
          <w:highlight w:val="none"/>
        </w:rPr>
        <w:t>中小企业声明函（格式见附件）</w:t>
      </w:r>
      <w:r>
        <w:rPr>
          <w:rFonts w:hint="eastAsia" w:ascii="宋体"/>
          <w:color w:val="auto"/>
          <w:szCs w:val="21"/>
          <w:highlight w:val="none"/>
          <w:lang w:val="en-US" w:eastAsia="zh-CN"/>
        </w:rPr>
        <w:t>;</w:t>
      </w:r>
    </w:p>
    <w:p w14:paraId="0AD7725A">
      <w:pPr>
        <w:keepNext w:val="0"/>
        <w:keepLines w:val="0"/>
        <w:pageBreakBefore w:val="0"/>
        <w:widowControl w:val="0"/>
        <w:numPr>
          <w:ilvl w:val="0"/>
          <w:numId w:val="20"/>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color w:val="auto"/>
          <w:szCs w:val="21"/>
          <w:highlight w:val="none"/>
        </w:rPr>
        <w:t>投标人</w:t>
      </w:r>
      <w:r>
        <w:rPr>
          <w:rFonts w:hint="eastAsia" w:ascii="宋体" w:hAnsi="宋体" w:cs="宋体"/>
          <w:color w:val="auto"/>
          <w:szCs w:val="21"/>
          <w:highlight w:val="none"/>
        </w:rPr>
        <w:t>针对报价需要说明的其他文件和说明（格式自拟）。</w:t>
      </w:r>
    </w:p>
    <w:p w14:paraId="53B4E81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ascii="宋体"/>
          <w:b/>
          <w:color w:val="auto"/>
          <w:szCs w:val="21"/>
          <w:highlight w:val="none"/>
          <w:u w:val="single"/>
        </w:rPr>
      </w:pPr>
      <w:r>
        <w:rPr>
          <w:rFonts w:hint="eastAsia" w:ascii="宋体"/>
          <w:b/>
          <w:color w:val="auto"/>
          <w:szCs w:val="21"/>
          <w:highlight w:val="none"/>
          <w:u w:val="single"/>
        </w:rPr>
        <w:t>▲注：法定代表人授权委托书、投标声明书、投标函、开标一览表必须由法定代表人签名并加盖单位公章。</w:t>
      </w:r>
      <w:bookmarkStart w:id="146" w:name="_Toc177824877"/>
      <w:bookmarkStart w:id="147" w:name="_Toc177870547"/>
      <w:bookmarkStart w:id="148" w:name="_Toc177825125"/>
      <w:bookmarkStart w:id="149" w:name="_Toc177824944"/>
    </w:p>
    <w:p w14:paraId="4DB72F4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r>
        <w:rPr>
          <w:rFonts w:hint="eastAsia" w:ascii="宋体"/>
          <w:b/>
          <w:color w:val="auto"/>
          <w:szCs w:val="21"/>
          <w:highlight w:val="none"/>
        </w:rPr>
        <w:t>（二）投标文件的语言</w:t>
      </w:r>
      <w:bookmarkEnd w:id="146"/>
      <w:bookmarkEnd w:id="147"/>
      <w:bookmarkEnd w:id="148"/>
      <w:bookmarkEnd w:id="149"/>
      <w:r>
        <w:rPr>
          <w:rFonts w:hint="eastAsia" w:ascii="宋体"/>
          <w:b/>
          <w:color w:val="auto"/>
          <w:szCs w:val="21"/>
          <w:highlight w:val="none"/>
        </w:rPr>
        <w:t>及度量衡单位</w:t>
      </w:r>
    </w:p>
    <w:p w14:paraId="44036F4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b/>
          <w:color w:val="auto"/>
          <w:szCs w:val="21"/>
          <w:highlight w:val="none"/>
        </w:rPr>
      </w:pPr>
      <w:r>
        <w:rPr>
          <w:rFonts w:hint="eastAsia" w:ascii="宋体"/>
          <w:color w:val="auto"/>
          <w:szCs w:val="21"/>
          <w:highlight w:val="none"/>
        </w:rPr>
        <w:t>1、投标文件以及投标人与招标采购单位就有关投标事宜的所有来往函电，均应以中文书写。</w:t>
      </w:r>
    </w:p>
    <w:p w14:paraId="4011717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b/>
          <w:color w:val="auto"/>
          <w:szCs w:val="21"/>
          <w:highlight w:val="none"/>
        </w:rPr>
      </w:pPr>
      <w:r>
        <w:rPr>
          <w:rFonts w:hint="eastAsia" w:ascii="宋体"/>
          <w:color w:val="auto"/>
          <w:szCs w:val="21"/>
          <w:highlight w:val="none"/>
        </w:rPr>
        <w:t>2、投标文件所使用的度量衡单位，均采用我国法定计量单位。</w:t>
      </w:r>
      <w:bookmarkStart w:id="150" w:name="_Toc177824878"/>
      <w:bookmarkStart w:id="151" w:name="_Toc177870548"/>
      <w:bookmarkStart w:id="152" w:name="_Toc177825126"/>
      <w:bookmarkStart w:id="153" w:name="_Toc177824945"/>
    </w:p>
    <w:p w14:paraId="5862070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r>
        <w:rPr>
          <w:rFonts w:hint="eastAsia" w:ascii="宋体"/>
          <w:b/>
          <w:color w:val="auto"/>
          <w:szCs w:val="21"/>
          <w:highlight w:val="none"/>
        </w:rPr>
        <w:t>（三）投标报价</w:t>
      </w:r>
      <w:bookmarkEnd w:id="150"/>
      <w:bookmarkEnd w:id="151"/>
      <w:bookmarkEnd w:id="152"/>
      <w:bookmarkEnd w:id="153"/>
    </w:p>
    <w:p w14:paraId="7B55B32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微软雅黑"/>
          <w:color w:val="auto"/>
          <w:szCs w:val="21"/>
          <w:highlight w:val="none"/>
        </w:rPr>
      </w:pPr>
      <w:r>
        <w:rPr>
          <w:rFonts w:hint="eastAsia" w:ascii="宋体" w:hAnsi="宋体" w:cs="微软雅黑"/>
          <w:color w:val="auto"/>
          <w:szCs w:val="21"/>
          <w:highlight w:val="none"/>
        </w:rPr>
        <w:t>1、投标报价应按招标文件中相关附表格式填写。</w:t>
      </w:r>
    </w:p>
    <w:p w14:paraId="037B003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微软雅黑"/>
          <w:color w:val="auto"/>
          <w:szCs w:val="21"/>
          <w:highlight w:val="none"/>
        </w:rPr>
      </w:pPr>
      <w:r>
        <w:rPr>
          <w:rFonts w:hint="eastAsia" w:ascii="宋体" w:hAnsi="宋体" w:cs="微软雅黑"/>
          <w:color w:val="auto"/>
          <w:szCs w:val="21"/>
          <w:highlight w:val="none"/>
        </w:rPr>
        <w:t>▲2、</w:t>
      </w:r>
      <w:r>
        <w:rPr>
          <w:rFonts w:hint="eastAsia" w:ascii="宋体" w:hAnsi="宋体"/>
          <w:color w:val="auto"/>
          <w:szCs w:val="21"/>
          <w:highlight w:val="none"/>
        </w:rPr>
        <w:t>投标报价应包括</w:t>
      </w:r>
      <w:r>
        <w:rPr>
          <w:rFonts w:hint="eastAsia" w:ascii="宋体" w:hAnsi="宋体" w:cs="宋体"/>
          <w:color w:val="auto"/>
          <w:kern w:val="0"/>
          <w:szCs w:val="30"/>
          <w:highlight w:val="none"/>
        </w:rPr>
        <w:t>运维与技术服务、人工、管理、售后服务、保险、利润、税金、风险费及其他等所有费用</w:t>
      </w:r>
      <w:r>
        <w:rPr>
          <w:rFonts w:hint="eastAsia" w:ascii="宋体" w:hAnsi="宋体" w:cs="微软雅黑"/>
          <w:color w:val="auto"/>
          <w:szCs w:val="21"/>
          <w:highlight w:val="none"/>
        </w:rPr>
        <w:t>。</w:t>
      </w:r>
    </w:p>
    <w:p w14:paraId="66F9541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微软雅黑"/>
          <w:color w:val="auto"/>
          <w:szCs w:val="21"/>
          <w:highlight w:val="none"/>
        </w:rPr>
      </w:pPr>
      <w:r>
        <w:rPr>
          <w:rFonts w:hint="eastAsia" w:ascii="宋体" w:hAnsi="宋体" w:cs="微软雅黑"/>
          <w:color w:val="auto"/>
          <w:szCs w:val="21"/>
          <w:highlight w:val="none"/>
        </w:rPr>
        <w:t>3、招标采购单位不接受备选方案。</w:t>
      </w:r>
    </w:p>
    <w:p w14:paraId="7C697D3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微软雅黑"/>
          <w:color w:val="auto"/>
          <w:szCs w:val="21"/>
          <w:highlight w:val="none"/>
        </w:rPr>
      </w:pPr>
      <w:r>
        <w:rPr>
          <w:rFonts w:hint="eastAsia" w:ascii="宋体" w:hAnsi="宋体" w:cs="微软雅黑"/>
          <w:color w:val="auto"/>
          <w:szCs w:val="21"/>
          <w:highlight w:val="none"/>
        </w:rPr>
        <w:t>4、投标人应充分考虑因各种原因可能发生的费用。对没有填报的费用，采购人认为所有费用已包含在报价中，除合同条款另有规定外，不得进行调整。</w:t>
      </w:r>
    </w:p>
    <w:p w14:paraId="4235F64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Lines="0" w:line="400" w:lineRule="exact"/>
        <w:textAlignment w:val="auto"/>
        <w:rPr>
          <w:rFonts w:ascii="宋体"/>
          <w:b/>
          <w:color w:val="auto"/>
          <w:sz w:val="21"/>
          <w:szCs w:val="21"/>
          <w:highlight w:val="none"/>
        </w:rPr>
      </w:pPr>
      <w:r>
        <w:rPr>
          <w:rFonts w:hint="eastAsia" w:ascii="宋体"/>
          <w:b/>
          <w:color w:val="auto"/>
          <w:sz w:val="21"/>
          <w:szCs w:val="21"/>
          <w:highlight w:val="none"/>
        </w:rPr>
        <w:t>（四）投标文件的有效期</w:t>
      </w:r>
    </w:p>
    <w:p w14:paraId="4BCE207A">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Lines="0" w:line="400" w:lineRule="exact"/>
        <w:ind w:firstLine="420" w:firstLineChars="200"/>
        <w:textAlignment w:val="auto"/>
        <w:rPr>
          <w:rFonts w:ascii="宋体"/>
          <w:color w:val="auto"/>
          <w:sz w:val="21"/>
          <w:szCs w:val="21"/>
          <w:highlight w:val="none"/>
        </w:rPr>
      </w:pPr>
      <w:r>
        <w:rPr>
          <w:rFonts w:hint="eastAsia" w:ascii="宋体"/>
          <w:color w:val="auto"/>
          <w:sz w:val="21"/>
          <w:szCs w:val="21"/>
          <w:highlight w:val="none"/>
        </w:rPr>
        <w:t>1、自投标截止日起</w:t>
      </w:r>
      <w:r>
        <w:rPr>
          <w:rFonts w:hint="eastAsia" w:ascii="宋体"/>
          <w:color w:val="auto"/>
          <w:sz w:val="21"/>
          <w:szCs w:val="21"/>
          <w:highlight w:val="none"/>
          <w:u w:val="single"/>
        </w:rPr>
        <w:t>90</w:t>
      </w:r>
      <w:r>
        <w:rPr>
          <w:rFonts w:hint="eastAsia" w:ascii="宋体"/>
          <w:color w:val="auto"/>
          <w:sz w:val="21"/>
          <w:szCs w:val="21"/>
          <w:highlight w:val="none"/>
        </w:rPr>
        <w:t>天投标书应保持有效。有效期短于这个规定期限的投标将被拒绝。</w:t>
      </w:r>
    </w:p>
    <w:p w14:paraId="57A7D617">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Lines="0" w:line="400" w:lineRule="exact"/>
        <w:textAlignment w:val="auto"/>
        <w:rPr>
          <w:rFonts w:ascii="宋体"/>
          <w:color w:val="auto"/>
          <w:sz w:val="21"/>
          <w:szCs w:val="21"/>
          <w:highlight w:val="none"/>
        </w:rPr>
      </w:pPr>
      <w:r>
        <w:rPr>
          <w:rFonts w:hint="eastAsia" w:ascii="宋体"/>
          <w:color w:val="auto"/>
          <w:sz w:val="21"/>
          <w:szCs w:val="21"/>
          <w:highlight w:val="none"/>
        </w:rPr>
        <w:t xml:space="preserve">    2、在特殊情况下，采购人可与投标人协商延长投标书的有效期，这种要求和答复均以书面形式进行。</w:t>
      </w:r>
      <w:bookmarkStart w:id="154" w:name="_Toc177870549"/>
      <w:bookmarkStart w:id="155" w:name="_Toc177824946"/>
      <w:bookmarkStart w:id="156" w:name="_Toc177825127"/>
      <w:bookmarkStart w:id="157" w:name="_Toc177824879"/>
    </w:p>
    <w:p w14:paraId="2520440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Lines="0" w:line="400" w:lineRule="exact"/>
        <w:textAlignment w:val="auto"/>
        <w:rPr>
          <w:rFonts w:ascii="宋体"/>
          <w:b/>
          <w:color w:val="auto"/>
          <w:sz w:val="21"/>
          <w:szCs w:val="21"/>
          <w:highlight w:val="none"/>
        </w:rPr>
      </w:pPr>
      <w:r>
        <w:rPr>
          <w:rFonts w:hint="eastAsia" w:ascii="宋体"/>
          <w:color w:val="auto"/>
          <w:sz w:val="21"/>
          <w:szCs w:val="21"/>
          <w:highlight w:val="none"/>
        </w:rPr>
        <w:t xml:space="preserve">    3、投标人可拒绝接受延期要求。同意延长有效期的投标人不能修改投标文件。</w:t>
      </w:r>
      <w:bookmarkEnd w:id="154"/>
      <w:bookmarkEnd w:id="155"/>
      <w:bookmarkEnd w:id="156"/>
      <w:bookmarkEnd w:id="157"/>
    </w:p>
    <w:p w14:paraId="6CBBFF9B">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Lines="0" w:line="400" w:lineRule="exact"/>
        <w:textAlignment w:val="auto"/>
        <w:rPr>
          <w:rFonts w:ascii="宋体"/>
          <w:color w:val="auto"/>
          <w:sz w:val="21"/>
          <w:szCs w:val="21"/>
          <w:highlight w:val="none"/>
        </w:rPr>
      </w:pPr>
      <w:r>
        <w:rPr>
          <w:rFonts w:hint="eastAsia" w:ascii="宋体"/>
          <w:color w:val="auto"/>
          <w:sz w:val="21"/>
          <w:szCs w:val="21"/>
          <w:highlight w:val="none"/>
        </w:rPr>
        <w:t xml:space="preserve">    4、中标人的投标文件自开标之日起至合同履行完毕止均应保持有效。</w:t>
      </w:r>
    </w:p>
    <w:p w14:paraId="068DCFE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bookmarkStart w:id="158" w:name="_Toc177870551"/>
      <w:bookmarkStart w:id="159" w:name="_Toc293916019"/>
      <w:bookmarkStart w:id="160" w:name="_Toc293916370"/>
      <w:bookmarkStart w:id="161" w:name="_Toc177824948"/>
      <w:bookmarkStart w:id="162" w:name="_Toc177825129"/>
      <w:bookmarkStart w:id="163" w:name="_Toc177824881"/>
      <w:r>
        <w:rPr>
          <w:rFonts w:hint="eastAsia" w:ascii="宋体"/>
          <w:b/>
          <w:color w:val="auto"/>
          <w:szCs w:val="21"/>
          <w:highlight w:val="none"/>
        </w:rPr>
        <w:t>（五）投标文件的</w:t>
      </w:r>
      <w:bookmarkEnd w:id="158"/>
      <w:bookmarkEnd w:id="159"/>
      <w:bookmarkEnd w:id="160"/>
      <w:bookmarkEnd w:id="161"/>
      <w:bookmarkEnd w:id="162"/>
      <w:bookmarkEnd w:id="163"/>
      <w:r>
        <w:rPr>
          <w:rFonts w:hint="eastAsia" w:ascii="宋体"/>
          <w:b/>
          <w:color w:val="auto"/>
          <w:szCs w:val="21"/>
          <w:highlight w:val="none"/>
        </w:rPr>
        <w:t>编制</w:t>
      </w:r>
    </w:p>
    <w:p w14:paraId="05DD02D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1、本项目通过“政采云平台（www.zcygov.cn）”实行在线投标响应（电子投标）。供应商应通过“政采云电子交易客户端”，并按照本采购文件和“政府采购云平台”的要求编制并加密投标文件。</w:t>
      </w:r>
    </w:p>
    <w:p w14:paraId="1AE7991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2、供应商应当按照本章节 “投标文件的组成”规定的内容及顺序在“政采云电子交易客户端”编制投标文件。其中《资格证明文件》和《商务技术文件》中不得出现本项目投标报价，如因供应商原因提前泄露投标报价的，是供应商的责任。</w:t>
      </w:r>
    </w:p>
    <w:p w14:paraId="588DA3E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208BBD4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4、投标文件内容不完整、编排混乱导致投标文件被误读、漏读或者查找不到相关内容的，是供应商的责任。</w:t>
      </w:r>
    </w:p>
    <w:p w14:paraId="327EF92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5、投标文件因字迹潦草或表达不清所引起的后果由供应商负责。</w:t>
      </w:r>
    </w:p>
    <w:p w14:paraId="741A108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6、供应商没有按照本采购文件内 “投标文件的组成”要求提供全部资料，或者没有仔细阅读采购文件，或者没有对采购文件在各方面的要求作出实质性响应是供应商的风险，由此造成的一切后果由供应商自行承担。</w:t>
      </w:r>
    </w:p>
    <w:p w14:paraId="6B66D2E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7、投标文件的签章</w:t>
      </w:r>
    </w:p>
    <w:p w14:paraId="3B048E4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7.1 投标文件的签章见《前附表》；</w:t>
      </w:r>
    </w:p>
    <w:p w14:paraId="4AE4EF8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7.2 投标文件应由供应商法定代表人或其授权代表签字（或盖章），并加盖供应商公章。</w:t>
      </w:r>
    </w:p>
    <w:p w14:paraId="12D9ABB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7.3 参与在线投标时如遇平台技术问题详询400-881-7190。</w:t>
      </w:r>
    </w:p>
    <w:p w14:paraId="5772DA1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8、投标文件的形式</w:t>
      </w:r>
    </w:p>
    <w:p w14:paraId="618FF36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8.1 投标文件的形式：见《前附表》；</w:t>
      </w:r>
    </w:p>
    <w:p w14:paraId="5FD2C78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8.2 “电子加密投标文件”：“电子加密投标文件”是指通过“政采云电子交易客户端”完成投标文件编制后生成并加密的数据电文形式的投标文件。</w:t>
      </w:r>
    </w:p>
    <w:p w14:paraId="0FEBF21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8.3 “备份投标文件”：“备份投标文件”是指与“电子加密投标文件”同时生成的数据电文形式的电子文件（备份标书），其他方式编制的“备份投标文件”视为无效的“备份投标文件”。</w:t>
      </w:r>
    </w:p>
    <w:p w14:paraId="2702DDD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8.4 “纸质响应文件”。</w:t>
      </w:r>
    </w:p>
    <w:p w14:paraId="0C4ED93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9、投标文件的份数</w:t>
      </w:r>
    </w:p>
    <w:p w14:paraId="72C4903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投标文件的份数：见《前附表》。</w:t>
      </w:r>
    </w:p>
    <w:p w14:paraId="58FF474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b/>
          <w:color w:val="auto"/>
          <w:szCs w:val="21"/>
          <w:highlight w:val="none"/>
        </w:rPr>
      </w:pPr>
      <w:r>
        <w:rPr>
          <w:rFonts w:hint="eastAsia" w:ascii="宋体"/>
          <w:b/>
          <w:color w:val="auto"/>
          <w:szCs w:val="21"/>
          <w:highlight w:val="none"/>
        </w:rPr>
        <w:t>（六）投标文件的递交</w:t>
      </w:r>
    </w:p>
    <w:p w14:paraId="01FD09AF">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bookmarkStart w:id="164" w:name="_Toc177870552"/>
      <w:r>
        <w:rPr>
          <w:rFonts w:hint="eastAsia" w:ascii="宋体"/>
          <w:color w:val="auto"/>
          <w:szCs w:val="21"/>
          <w:highlight w:val="none"/>
        </w:rPr>
        <w:t>1、投标文件的上传、递交</w:t>
      </w:r>
    </w:p>
    <w:p w14:paraId="21CED119">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投标文件”的上传、递交：见《前附表》。</w:t>
      </w:r>
    </w:p>
    <w:p w14:paraId="462155A6">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2、“电子加密投标文件”解密和异常情况处理</w:t>
      </w:r>
    </w:p>
    <w:p w14:paraId="3EA71218">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“电子加密投标文件”解密：见《前附表》。</w:t>
      </w:r>
    </w:p>
    <w:p w14:paraId="764B2B16">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3、投标文件的补充、修改或撤回</w:t>
      </w:r>
    </w:p>
    <w:p w14:paraId="3FBCA730">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3.1 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5AE96A41">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3.2 投标截止时间后，供应商不得撤回、修改《投标文件》。</w:t>
      </w:r>
    </w:p>
    <w:p w14:paraId="62696F70">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4、投标文件的备选方案</w:t>
      </w:r>
    </w:p>
    <w:p w14:paraId="6004BB9E">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供应商不得递交任何的投标备选（替代）方案，否则其投标文件将作无效标处理。与“电子加密投标文件”同时生成的“备份投标文件”不是投标备选方案。</w:t>
      </w:r>
    </w:p>
    <w:p w14:paraId="38B4D995">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5、投标截止期</w:t>
      </w:r>
    </w:p>
    <w:p w14:paraId="15C0386F">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5.1</w:t>
      </w:r>
      <w:r>
        <w:rPr>
          <w:rFonts w:hint="eastAsia" w:ascii="宋体"/>
          <w:color w:val="auto"/>
          <w:szCs w:val="21"/>
          <w:highlight w:val="none"/>
          <w:lang w:val="en-US" w:eastAsia="zh-CN"/>
        </w:rPr>
        <w:t xml:space="preserve"> </w:t>
      </w:r>
      <w:r>
        <w:rPr>
          <w:rFonts w:hint="eastAsia" w:ascii="宋体"/>
          <w:color w:val="auto"/>
          <w:szCs w:val="21"/>
          <w:highlight w:val="none"/>
        </w:rPr>
        <w:t>供应商应按前附表规定的时间、地点将投标文件递交给采购代理机构，采购代理机构将拒绝接受逾期送达的投标文件。</w:t>
      </w:r>
    </w:p>
    <w:p w14:paraId="58914686">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5.2 采购人可以按本须知规定以补充通知的方式，酌情延长递交投标文件的截止日期。在上述情况下，采购人与供应商以前在投标截止期方面的全部权利、责任和义务，将适用于延长至新的投标截止期</w:t>
      </w:r>
      <w:r>
        <w:rPr>
          <w:rFonts w:hint="eastAsia" w:ascii="宋体"/>
          <w:bCs/>
          <w:color w:val="auto"/>
          <w:szCs w:val="21"/>
          <w:highlight w:val="none"/>
        </w:rPr>
        <w:t>。</w:t>
      </w:r>
    </w:p>
    <w:p w14:paraId="05DAAD3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
          <w:color w:val="auto"/>
          <w:szCs w:val="21"/>
          <w:highlight w:val="none"/>
        </w:rPr>
      </w:pPr>
      <w:r>
        <w:rPr>
          <w:rFonts w:hint="eastAsia" w:ascii="宋体"/>
          <w:b/>
          <w:color w:val="auto"/>
          <w:szCs w:val="21"/>
          <w:highlight w:val="none"/>
        </w:rPr>
        <w:t>（七）投标无效的情形</w:t>
      </w:r>
      <w:bookmarkEnd w:id="164"/>
    </w:p>
    <w:p w14:paraId="11DE7B6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bookmarkStart w:id="165" w:name="_Toc170792769"/>
      <w:bookmarkStart w:id="166" w:name="_Toc177870553"/>
      <w:bookmarkStart w:id="167" w:name="_Toc293916371"/>
      <w:bookmarkStart w:id="168" w:name="_Toc107820050"/>
      <w:bookmarkStart w:id="169" w:name="_Toc293916879"/>
      <w:bookmarkStart w:id="170" w:name="_Toc293917020"/>
      <w:bookmarkStart w:id="171" w:name="_Toc293916020"/>
      <w:r>
        <w:rPr>
          <w:rFonts w:hint="eastAsia" w:ascii="宋体"/>
          <w:color w:val="auto"/>
          <w:szCs w:val="21"/>
          <w:highlight w:val="none"/>
        </w:rPr>
        <w:t>实质上没有响应招标文件要求的投标将被视为无效投标。在评审时，如发现下列情形之一的，投标文件将被视为无效：</w:t>
      </w:r>
    </w:p>
    <w:p w14:paraId="1365A35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 w:val="21"/>
          <w:szCs w:val="21"/>
          <w:highlight w:val="none"/>
        </w:rPr>
      </w:pPr>
      <w:r>
        <w:rPr>
          <w:rFonts w:hint="eastAsia" w:ascii="宋体"/>
          <w:color w:val="auto"/>
          <w:sz w:val="21"/>
          <w:szCs w:val="21"/>
          <w:highlight w:val="none"/>
        </w:rPr>
        <w:t>1、在资格审查时，如发现下列情形之一的，投标文件将被视为无效：</w:t>
      </w:r>
    </w:p>
    <w:p w14:paraId="3A6DE6A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 w:val="21"/>
          <w:szCs w:val="21"/>
          <w:highlight w:val="none"/>
        </w:rPr>
      </w:pPr>
      <w:r>
        <w:rPr>
          <w:rFonts w:hint="eastAsia" w:ascii="宋体"/>
          <w:color w:val="auto"/>
          <w:sz w:val="21"/>
          <w:szCs w:val="21"/>
          <w:highlight w:val="none"/>
        </w:rPr>
        <w:t>（1）资格证明文件不全的，或者不符合招标文件标明的资格要求的；</w:t>
      </w:r>
    </w:p>
    <w:p w14:paraId="7C756AB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 w:val="21"/>
          <w:szCs w:val="21"/>
          <w:highlight w:val="none"/>
        </w:rPr>
      </w:pPr>
      <w:r>
        <w:rPr>
          <w:rFonts w:hint="eastAsia" w:ascii="宋体"/>
          <w:color w:val="auto"/>
          <w:sz w:val="21"/>
          <w:szCs w:val="21"/>
          <w:highlight w:val="none"/>
        </w:rPr>
        <w:t>（2）投标人是采购人不具有独立法人资格的附属机构（单位）；</w:t>
      </w:r>
    </w:p>
    <w:p w14:paraId="3CA29D3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 w:val="21"/>
          <w:szCs w:val="21"/>
          <w:highlight w:val="none"/>
        </w:rPr>
      </w:pPr>
      <w:r>
        <w:rPr>
          <w:rFonts w:hint="eastAsia" w:ascii="宋体"/>
          <w:color w:val="auto"/>
          <w:sz w:val="21"/>
          <w:szCs w:val="21"/>
          <w:highlight w:val="none"/>
        </w:rPr>
        <w:t>（3）仅提供“备份投标文件”、“纸质响应文件”的；</w:t>
      </w:r>
    </w:p>
    <w:p w14:paraId="2A9D1AF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 w:val="21"/>
          <w:szCs w:val="21"/>
          <w:highlight w:val="none"/>
        </w:rPr>
      </w:pPr>
      <w:r>
        <w:rPr>
          <w:rFonts w:hint="eastAsia" w:ascii="宋体"/>
          <w:color w:val="auto"/>
          <w:sz w:val="21"/>
          <w:szCs w:val="21"/>
          <w:highlight w:val="none"/>
        </w:rPr>
        <w:t>（4）电子投标文件解密失败的，且未在规定时间内提交备份投标文件的；</w:t>
      </w:r>
    </w:p>
    <w:p w14:paraId="3ED5BCF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s="微软雅黑"/>
          <w:color w:val="auto"/>
          <w:sz w:val="21"/>
          <w:szCs w:val="21"/>
          <w:highlight w:val="none"/>
        </w:rPr>
      </w:pPr>
      <w:r>
        <w:rPr>
          <w:rFonts w:hint="eastAsia" w:ascii="宋体"/>
          <w:color w:val="auto"/>
          <w:sz w:val="21"/>
          <w:szCs w:val="21"/>
          <w:highlight w:val="none"/>
        </w:rPr>
        <w:t>（5）</w:t>
      </w:r>
      <w:r>
        <w:rPr>
          <w:rFonts w:hint="eastAsia" w:ascii="宋体" w:cs="微软雅黑"/>
          <w:color w:val="auto"/>
          <w:sz w:val="21"/>
          <w:szCs w:val="21"/>
          <w:highlight w:val="none"/>
        </w:rPr>
        <w:t>至本项目投标截止时间前，投标人在“信用中国”网站www.creditchina.gov.cn、“中国政府采购网”www.ccgp.gov.cn中被列入失信被执行人、重大税收违法案件当事人名单、政府采购严重违法失信行为记录名单的。</w:t>
      </w:r>
    </w:p>
    <w:p w14:paraId="4B791C8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color w:val="auto"/>
          <w:sz w:val="21"/>
          <w:szCs w:val="21"/>
          <w:highlight w:val="none"/>
        </w:rPr>
      </w:pPr>
      <w:r>
        <w:rPr>
          <w:rFonts w:hint="eastAsia" w:ascii="宋体"/>
          <w:color w:val="auto"/>
          <w:sz w:val="21"/>
          <w:szCs w:val="21"/>
          <w:highlight w:val="none"/>
        </w:rPr>
        <w:t>（6）《中小企业声明函》填写出现以下错误的，投标（响应）文件无效：</w:t>
      </w:r>
    </w:p>
    <w:p w14:paraId="213DB90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color w:val="auto"/>
          <w:sz w:val="21"/>
          <w:szCs w:val="21"/>
          <w:highlight w:val="none"/>
        </w:rPr>
      </w:pPr>
      <w:r>
        <w:rPr>
          <w:rFonts w:hint="eastAsia" w:ascii="宋体"/>
          <w:color w:val="auto"/>
          <w:sz w:val="21"/>
          <w:szCs w:val="21"/>
          <w:highlight w:val="none"/>
        </w:rPr>
        <w:t>6.1</w:t>
      </w:r>
      <w:r>
        <w:rPr>
          <w:rFonts w:hint="eastAsia" w:ascii="宋体"/>
          <w:color w:val="auto"/>
          <w:sz w:val="21"/>
          <w:szCs w:val="21"/>
          <w:highlight w:val="none"/>
          <w:lang w:val="en-US" w:eastAsia="zh-CN"/>
        </w:rPr>
        <w:t xml:space="preserve"> </w:t>
      </w:r>
      <w:r>
        <w:rPr>
          <w:rFonts w:hint="eastAsia" w:ascii="宋体"/>
          <w:color w:val="auto"/>
          <w:sz w:val="21"/>
          <w:szCs w:val="21"/>
          <w:highlight w:val="none"/>
        </w:rPr>
        <w:t>中小企业声明函的行业填写错误（错填为“采购文件确定的行业”、或未填写行业全称经评审小组认定为明显笔误的除外）或者未填写行业的；</w:t>
      </w:r>
    </w:p>
    <w:p w14:paraId="20D9F3A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color w:val="auto"/>
          <w:sz w:val="21"/>
          <w:szCs w:val="21"/>
          <w:highlight w:val="none"/>
        </w:rPr>
      </w:pPr>
      <w:r>
        <w:rPr>
          <w:rFonts w:hint="eastAsia" w:ascii="宋体"/>
          <w:color w:val="auto"/>
          <w:sz w:val="21"/>
          <w:szCs w:val="21"/>
          <w:highlight w:val="none"/>
        </w:rPr>
        <w:t>6.2</w:t>
      </w:r>
      <w:r>
        <w:rPr>
          <w:rFonts w:hint="eastAsia" w:ascii="宋体"/>
          <w:color w:val="auto"/>
          <w:sz w:val="21"/>
          <w:szCs w:val="21"/>
          <w:highlight w:val="none"/>
          <w:lang w:val="en-US" w:eastAsia="zh-CN"/>
        </w:rPr>
        <w:t xml:space="preserve"> </w:t>
      </w:r>
      <w:r>
        <w:rPr>
          <w:rFonts w:hint="eastAsia" w:ascii="宋体"/>
          <w:color w:val="auto"/>
          <w:sz w:val="21"/>
          <w:szCs w:val="21"/>
          <w:highlight w:val="none"/>
        </w:rPr>
        <w:t>供应商填写的行业不是采购文件明确的行业的（如采购文件明确的行业类型是租赁和商务服务业，供应商填写为制造业或其他行业的）；</w:t>
      </w:r>
    </w:p>
    <w:p w14:paraId="28CE2AE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color w:val="auto"/>
          <w:sz w:val="21"/>
          <w:szCs w:val="21"/>
          <w:highlight w:val="none"/>
        </w:rPr>
      </w:pPr>
      <w:r>
        <w:rPr>
          <w:rFonts w:hint="eastAsia" w:ascii="宋体"/>
          <w:color w:val="auto"/>
          <w:sz w:val="21"/>
          <w:szCs w:val="21"/>
          <w:highlight w:val="none"/>
        </w:rPr>
        <w:t>6.3</w:t>
      </w:r>
      <w:r>
        <w:rPr>
          <w:rFonts w:hint="eastAsia" w:ascii="宋体"/>
          <w:color w:val="auto"/>
          <w:sz w:val="21"/>
          <w:szCs w:val="21"/>
          <w:highlight w:val="none"/>
          <w:lang w:val="en-US" w:eastAsia="zh-CN"/>
        </w:rPr>
        <w:t xml:space="preserve"> </w:t>
      </w:r>
      <w:r>
        <w:rPr>
          <w:rFonts w:hint="eastAsia" w:ascii="宋体"/>
          <w:color w:val="auto"/>
          <w:sz w:val="21"/>
          <w:szCs w:val="21"/>
          <w:highlight w:val="none"/>
        </w:rPr>
        <w:t>供应商填写的类型正确、但数据错误的，供应商对填报的数据来源不能作出合理解释或解释不合理磋商小组不认可的；</w:t>
      </w:r>
    </w:p>
    <w:p w14:paraId="23E0054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color w:val="auto"/>
          <w:sz w:val="21"/>
          <w:szCs w:val="21"/>
          <w:highlight w:val="none"/>
        </w:rPr>
      </w:pPr>
      <w:r>
        <w:rPr>
          <w:rFonts w:hint="eastAsia" w:ascii="宋体"/>
          <w:color w:val="auto"/>
          <w:sz w:val="21"/>
          <w:szCs w:val="21"/>
          <w:highlight w:val="none"/>
        </w:rPr>
        <w:t>6.4</w:t>
      </w:r>
      <w:r>
        <w:rPr>
          <w:rFonts w:hint="eastAsia" w:ascii="宋体"/>
          <w:color w:val="auto"/>
          <w:sz w:val="21"/>
          <w:szCs w:val="21"/>
          <w:highlight w:val="none"/>
          <w:lang w:val="en-US" w:eastAsia="zh-CN"/>
        </w:rPr>
        <w:t xml:space="preserve"> </w:t>
      </w:r>
      <w:r>
        <w:rPr>
          <w:rFonts w:hint="eastAsia" w:ascii="宋体"/>
          <w:color w:val="auto"/>
          <w:sz w:val="21"/>
          <w:szCs w:val="21"/>
          <w:highlight w:val="none"/>
        </w:rPr>
        <w:t>供应商填写的类型错误，大型企业填写为中型、或小型、或微型企业的。</w:t>
      </w:r>
    </w:p>
    <w:p w14:paraId="2AFB71A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color w:val="auto"/>
          <w:sz w:val="21"/>
          <w:szCs w:val="21"/>
          <w:highlight w:val="none"/>
        </w:rPr>
      </w:pPr>
      <w:r>
        <w:rPr>
          <w:rFonts w:hint="eastAsia" w:ascii="宋体"/>
          <w:color w:val="auto"/>
          <w:sz w:val="21"/>
          <w:szCs w:val="21"/>
          <w:highlight w:val="none"/>
        </w:rPr>
        <w:t>（7）在电子交易中，出现以下情形的，相关供应商的投标（响应）文件均无效：</w:t>
      </w:r>
    </w:p>
    <w:p w14:paraId="182D380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eastAsia="宋体"/>
          <w:color w:val="auto"/>
          <w:sz w:val="21"/>
          <w:szCs w:val="21"/>
          <w:highlight w:val="none"/>
          <w:lang w:eastAsia="zh-CN"/>
        </w:rPr>
      </w:pPr>
      <w:r>
        <w:rPr>
          <w:rFonts w:hint="eastAsia" w:ascii="宋体"/>
          <w:color w:val="auto"/>
          <w:sz w:val="21"/>
          <w:szCs w:val="21"/>
          <w:highlight w:val="none"/>
        </w:rPr>
        <w:t>7.1</w:t>
      </w:r>
      <w:r>
        <w:rPr>
          <w:rFonts w:hint="eastAsia" w:ascii="宋体"/>
          <w:color w:val="auto"/>
          <w:sz w:val="21"/>
          <w:szCs w:val="21"/>
          <w:highlight w:val="none"/>
          <w:lang w:val="en-US" w:eastAsia="zh-CN"/>
        </w:rPr>
        <w:t xml:space="preserve"> </w:t>
      </w:r>
      <w:r>
        <w:rPr>
          <w:rFonts w:hint="eastAsia" w:ascii="宋体"/>
          <w:color w:val="auto"/>
          <w:sz w:val="21"/>
          <w:szCs w:val="21"/>
          <w:highlight w:val="none"/>
        </w:rPr>
        <w:t>不同供应商的电子投标（响应）文件上传计算机的网卡MAC地址、CPU序列号和硬盘序本系统别号等硬件信息相同的</w:t>
      </w:r>
      <w:r>
        <w:rPr>
          <w:rFonts w:hint="eastAsia" w:ascii="宋体"/>
          <w:color w:val="auto"/>
          <w:sz w:val="21"/>
          <w:szCs w:val="21"/>
          <w:highlight w:val="none"/>
          <w:lang w:eastAsia="zh-CN"/>
        </w:rPr>
        <w:t>；</w:t>
      </w:r>
    </w:p>
    <w:p w14:paraId="279DE77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eastAsia="宋体"/>
          <w:color w:val="auto"/>
          <w:sz w:val="21"/>
          <w:szCs w:val="21"/>
          <w:highlight w:val="none"/>
          <w:lang w:eastAsia="zh-CN"/>
        </w:rPr>
      </w:pPr>
      <w:r>
        <w:rPr>
          <w:rFonts w:hint="eastAsia" w:ascii="宋体"/>
          <w:color w:val="auto"/>
          <w:sz w:val="21"/>
          <w:szCs w:val="21"/>
          <w:highlight w:val="none"/>
        </w:rPr>
        <w:t>7.2</w:t>
      </w:r>
      <w:r>
        <w:rPr>
          <w:rFonts w:hint="eastAsia" w:ascii="宋体"/>
          <w:color w:val="auto"/>
          <w:sz w:val="21"/>
          <w:szCs w:val="21"/>
          <w:highlight w:val="none"/>
          <w:lang w:val="en-US" w:eastAsia="zh-CN"/>
        </w:rPr>
        <w:t xml:space="preserve"> </w:t>
      </w:r>
      <w:r>
        <w:rPr>
          <w:rFonts w:hint="eastAsia" w:ascii="宋体"/>
          <w:color w:val="auto"/>
          <w:sz w:val="21"/>
          <w:szCs w:val="21"/>
          <w:highlight w:val="none"/>
        </w:rPr>
        <w:t>上传的电子投标（响应）文件若出现使用本项目其他投标（响应）供应商的数字证书加密的，或者加盖本项目其他投标（响应）供应商的电子印章的</w:t>
      </w:r>
      <w:r>
        <w:rPr>
          <w:rFonts w:hint="eastAsia" w:ascii="宋体"/>
          <w:color w:val="auto"/>
          <w:sz w:val="21"/>
          <w:szCs w:val="21"/>
          <w:highlight w:val="none"/>
          <w:lang w:eastAsia="zh-CN"/>
        </w:rPr>
        <w:t>；</w:t>
      </w:r>
    </w:p>
    <w:p w14:paraId="6CCFE67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eastAsia="宋体"/>
          <w:color w:val="auto"/>
          <w:sz w:val="21"/>
          <w:szCs w:val="21"/>
          <w:highlight w:val="none"/>
          <w:lang w:eastAsia="zh-CN"/>
        </w:rPr>
      </w:pPr>
      <w:r>
        <w:rPr>
          <w:rFonts w:hint="eastAsia" w:ascii="宋体"/>
          <w:color w:val="auto"/>
          <w:sz w:val="21"/>
          <w:szCs w:val="21"/>
          <w:highlight w:val="none"/>
        </w:rPr>
        <w:t>7.3</w:t>
      </w:r>
      <w:r>
        <w:rPr>
          <w:rFonts w:hint="eastAsia" w:ascii="宋体"/>
          <w:color w:val="auto"/>
          <w:sz w:val="21"/>
          <w:szCs w:val="21"/>
          <w:highlight w:val="none"/>
          <w:lang w:val="en-US" w:eastAsia="zh-CN"/>
        </w:rPr>
        <w:t xml:space="preserve"> </w:t>
      </w:r>
      <w:r>
        <w:rPr>
          <w:rFonts w:hint="eastAsia" w:ascii="宋体"/>
          <w:color w:val="auto"/>
          <w:sz w:val="21"/>
          <w:szCs w:val="21"/>
          <w:highlight w:val="none"/>
        </w:rPr>
        <w:t>不同供应商的投标（响应）文件的内容存在三处(含)以上错误一致，且无法合理解释的</w:t>
      </w:r>
      <w:r>
        <w:rPr>
          <w:rFonts w:hint="eastAsia" w:ascii="宋体"/>
          <w:color w:val="auto"/>
          <w:sz w:val="21"/>
          <w:szCs w:val="21"/>
          <w:highlight w:val="none"/>
          <w:lang w:eastAsia="zh-CN"/>
        </w:rPr>
        <w:t>；</w:t>
      </w:r>
    </w:p>
    <w:p w14:paraId="36AF31B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color w:val="auto"/>
          <w:sz w:val="21"/>
          <w:szCs w:val="21"/>
          <w:highlight w:val="none"/>
        </w:rPr>
      </w:pPr>
      <w:r>
        <w:rPr>
          <w:rFonts w:hint="eastAsia" w:ascii="宋体"/>
          <w:color w:val="auto"/>
          <w:sz w:val="21"/>
          <w:szCs w:val="21"/>
          <w:highlight w:val="none"/>
        </w:rPr>
        <w:t>7.4</w:t>
      </w:r>
      <w:r>
        <w:rPr>
          <w:rFonts w:hint="eastAsia" w:ascii="宋体"/>
          <w:color w:val="auto"/>
          <w:sz w:val="21"/>
          <w:szCs w:val="21"/>
          <w:highlight w:val="none"/>
          <w:lang w:val="en-US" w:eastAsia="zh-CN"/>
        </w:rPr>
        <w:t xml:space="preserve"> </w:t>
      </w:r>
      <w:r>
        <w:rPr>
          <w:rFonts w:hint="eastAsia" w:ascii="宋体"/>
          <w:color w:val="auto"/>
          <w:sz w:val="21"/>
          <w:szCs w:val="21"/>
          <w:highlight w:val="none"/>
        </w:rPr>
        <w:t>不同供应商联系人为同一人或不同联系人的联系电话一致，且无法合理解释的。</w:t>
      </w:r>
    </w:p>
    <w:p w14:paraId="5BFCF00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2、在符合性审查时，如发现下列情形之一的，投标文件将被视为无效：</w:t>
      </w:r>
    </w:p>
    <w:p w14:paraId="1B5212E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（1）授权代理人未经有效授权的；</w:t>
      </w:r>
    </w:p>
    <w:p w14:paraId="1966F7B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（2）投标文件未按照招标文件规定的要求签署、盖章的；</w:t>
      </w:r>
    </w:p>
    <w:p w14:paraId="59485C5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（3）投标有效期、交货期（服务期）、质保期等不能满足招标文件要求的；</w:t>
      </w:r>
    </w:p>
    <w:p w14:paraId="3B64318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（4）不响应或者擅自改变招标文件要求或者投标文件有采购人不能接受的附加条件的；</w:t>
      </w:r>
    </w:p>
    <w:p w14:paraId="3006621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（5）未提供或未如实提供服务内容，或者虚假投标的；</w:t>
      </w:r>
    </w:p>
    <w:p w14:paraId="22A791D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3、在技术评审时，如发现下列情形之一的，投标文件将被视为无效：</w:t>
      </w:r>
    </w:p>
    <w:p w14:paraId="6B5D2FD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（1）与招标文件中标“▲”的服务指标、主要服务要求发生实质性偏离的；</w:t>
      </w:r>
    </w:p>
    <w:p w14:paraId="7C8B37C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（2）投标项目方案不明确，存在一个或一个以上备选（替代）投标方案且未注明哪个有效的；</w:t>
      </w:r>
    </w:p>
    <w:p w14:paraId="6E37FC0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w:t>
      </w:r>
      <w:r>
        <w:rPr>
          <w:rFonts w:hint="eastAsia" w:ascii="宋体"/>
          <w:bCs/>
          <w:color w:val="auto"/>
          <w:szCs w:val="21"/>
          <w:highlight w:val="none"/>
        </w:rPr>
        <w:t>项目方案不符合项目需求或不具有操作性的</w:t>
      </w:r>
      <w:r>
        <w:rPr>
          <w:rFonts w:hint="eastAsia" w:ascii="宋体"/>
          <w:color w:val="auto"/>
          <w:szCs w:val="21"/>
          <w:highlight w:val="none"/>
        </w:rPr>
        <w:t>。</w:t>
      </w:r>
    </w:p>
    <w:p w14:paraId="36C0D9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4、在价格评审时，如发现下列情形之一的，投标文件将被视为无效：</w:t>
      </w:r>
    </w:p>
    <w:p w14:paraId="3482481F">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（1）未采用人民币报价或者未按照招标文件标明的币种报价的；</w:t>
      </w:r>
    </w:p>
    <w:p w14:paraId="0D67DA59">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（2）报价超出采购预算金额或最高限价（自主创新产品除外）的；</w:t>
      </w:r>
    </w:p>
    <w:p w14:paraId="2368F935">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（3）投标报价具有选择性，且未注明哪个有效的；</w:t>
      </w:r>
    </w:p>
    <w:p w14:paraId="57A58FA1">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（4）投标报价出现前后不一致且不同意按照招标文件规定的方法进行修正的；</w:t>
      </w:r>
    </w:p>
    <w:p w14:paraId="52E8C2C6">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14:paraId="2F2C774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5、投标人串通投标的，投标无效。</w:t>
      </w:r>
    </w:p>
    <w:p w14:paraId="03D780E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投标人有以下情形之一的，视为投标人串通投标：</w:t>
      </w:r>
    </w:p>
    <w:p w14:paraId="496E73B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（1）不同投标人的投标文件由同一单位或者个人编制；</w:t>
      </w:r>
    </w:p>
    <w:p w14:paraId="07CC2F9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（2）不同投标人委托同一单位或者个人办理投标事宜；</w:t>
      </w:r>
    </w:p>
    <w:p w14:paraId="7C30449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（3）不同投标人的投标文件载明的项目管理成员或者联系人员为同一人；</w:t>
      </w:r>
    </w:p>
    <w:p w14:paraId="3FEC909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（4）不同投标人的投标文件异常一致或者投标报价呈规律性差异；</w:t>
      </w:r>
    </w:p>
    <w:p w14:paraId="7A64847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（5）不同投标人的投标文件相互混装；</w:t>
      </w:r>
    </w:p>
    <w:p w14:paraId="5266400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6、法律、法规和招标文件规定的其他无效标情形。</w:t>
      </w:r>
    </w:p>
    <w:p w14:paraId="3ED74108">
      <w:pPr>
        <w:keepNext w:val="0"/>
        <w:keepLines w:val="0"/>
        <w:pageBreakBefore w:val="0"/>
        <w:widowControl w:val="0"/>
        <w:kinsoku/>
        <w:wordWrap/>
        <w:overflowPunct/>
        <w:topLinePunct w:val="0"/>
        <w:autoSpaceDE/>
        <w:autoSpaceDN/>
        <w:bidi w:val="0"/>
        <w:spacing w:line="400" w:lineRule="exact"/>
        <w:textAlignment w:val="auto"/>
        <w:rPr>
          <w:rFonts w:ascii="宋体"/>
          <w:b/>
          <w:bCs/>
          <w:color w:val="auto"/>
          <w:szCs w:val="21"/>
          <w:highlight w:val="none"/>
        </w:rPr>
      </w:pPr>
      <w:r>
        <w:rPr>
          <w:rFonts w:hint="eastAsia" w:ascii="宋体"/>
          <w:b/>
          <w:bCs/>
          <w:color w:val="auto"/>
          <w:szCs w:val="21"/>
          <w:highlight w:val="none"/>
        </w:rPr>
        <w:t>（八）废标的情形</w:t>
      </w:r>
    </w:p>
    <w:p w14:paraId="5F1D353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在招标采购中，出现下列情形之一的，应予废标：</w:t>
      </w:r>
    </w:p>
    <w:p w14:paraId="774351A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（1）符合专业条件的供应商或者对招标文件作实质性响应的供应商不足三家的；</w:t>
      </w:r>
    </w:p>
    <w:p w14:paraId="0928738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（2）出现影响采购公正的违法、违规行为的；</w:t>
      </w:r>
    </w:p>
    <w:p w14:paraId="3A5A579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（3）投标人的报价均超过了采购</w:t>
      </w:r>
      <w:r>
        <w:rPr>
          <w:rFonts w:hint="eastAsia" w:ascii="宋体"/>
          <w:color w:val="auto"/>
          <w:szCs w:val="21"/>
          <w:highlight w:val="none"/>
          <w:lang w:val="en-US" w:eastAsia="zh-CN"/>
        </w:rPr>
        <w:t>预算金额</w:t>
      </w:r>
      <w:r>
        <w:rPr>
          <w:rFonts w:hint="eastAsia" w:ascii="宋体"/>
          <w:color w:val="auto"/>
          <w:szCs w:val="21"/>
          <w:highlight w:val="none"/>
        </w:rPr>
        <w:t>，采购人不能支付的；</w:t>
      </w:r>
    </w:p>
    <w:p w14:paraId="67F787B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 xml:space="preserve">（4）因重大变故，采购任务取消的。 </w:t>
      </w:r>
    </w:p>
    <w:p w14:paraId="781FE2C6">
      <w:pPr>
        <w:keepNext w:val="0"/>
        <w:keepLines w:val="0"/>
        <w:pageBreakBefore w:val="0"/>
        <w:widowControl w:val="0"/>
        <w:kinsoku/>
        <w:wordWrap/>
        <w:overflowPunct/>
        <w:topLinePunct w:val="0"/>
        <w:autoSpaceDE/>
        <w:autoSpaceDN/>
        <w:bidi w:val="0"/>
        <w:spacing w:line="400" w:lineRule="exact"/>
        <w:textAlignment w:val="auto"/>
        <w:rPr>
          <w:rFonts w:ascii="宋体"/>
          <w:b/>
          <w:bCs/>
          <w:color w:val="auto"/>
          <w:szCs w:val="21"/>
          <w:highlight w:val="none"/>
        </w:rPr>
      </w:pPr>
      <w:bookmarkStart w:id="172" w:name="_Toc25715"/>
      <w:bookmarkStart w:id="173" w:name="_Toc3324"/>
      <w:bookmarkStart w:id="174" w:name="_Toc424544815"/>
      <w:bookmarkStart w:id="175" w:name="_Toc18"/>
      <w:bookmarkStart w:id="176" w:name="_Toc424544536"/>
      <w:bookmarkStart w:id="177" w:name="_Toc22928"/>
      <w:bookmarkStart w:id="178" w:name="_Toc11267"/>
      <w:bookmarkStart w:id="179" w:name="_Toc23210"/>
      <w:r>
        <w:rPr>
          <w:rFonts w:hint="eastAsia" w:ascii="宋体"/>
          <w:b/>
          <w:bCs/>
          <w:color w:val="auto"/>
          <w:szCs w:val="21"/>
          <w:highlight w:val="none"/>
        </w:rPr>
        <w:t>（九）可中止电子交易活动的情形</w:t>
      </w:r>
    </w:p>
    <w:p w14:paraId="58BDB9C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采购过程中出现以下情形，导致电子交易平台无法正常运行，或者无法保证电子交易的公平、公正和安全时，采购组织机构可中止电子交易活动：</w:t>
      </w:r>
    </w:p>
    <w:p w14:paraId="20DD1E2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1、电子交易平台发生故障而无法登录访问的；</w:t>
      </w:r>
    </w:p>
    <w:p w14:paraId="480DB3A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2、电子交易平台应用或数据库出现错误，不能进行正常操作的；</w:t>
      </w:r>
    </w:p>
    <w:p w14:paraId="79B6ECF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3、电子交易平台发现严重安全漏洞，有潜在泄密危险的；</w:t>
      </w:r>
    </w:p>
    <w:p w14:paraId="0C63421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ascii="宋体"/>
          <w:color w:val="auto"/>
          <w:szCs w:val="21"/>
          <w:highlight w:val="none"/>
        </w:rPr>
        <w:t>4、病毒发作导致不能进行正常操作的；</w:t>
      </w:r>
    </w:p>
    <w:p w14:paraId="3C48AAE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ascii="宋体"/>
          <w:color w:val="auto"/>
          <w:szCs w:val="21"/>
          <w:highlight w:val="none"/>
        </w:rPr>
        <w:t>5、其他无法保证电子交易的公平、公正和安全的情况。</w:t>
      </w:r>
    </w:p>
    <w:p w14:paraId="63CCFE6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ascii="宋体"/>
          <w:color w:val="auto"/>
          <w:szCs w:val="21"/>
          <w:highlight w:val="none"/>
        </w:rPr>
        <w:t>出现上述情形，不影响采购公平、公正性的，采购组织机构可以待上述情形消除后继续组织电子交易活动；影响或可能影响采购公平、公正性的，应当重新采购。</w:t>
      </w:r>
    </w:p>
    <w:p w14:paraId="37DB6349">
      <w:pPr>
        <w:keepNext w:val="0"/>
        <w:keepLines w:val="0"/>
        <w:pageBreakBefore w:val="0"/>
        <w:widowControl w:val="0"/>
        <w:kinsoku/>
        <w:wordWrap/>
        <w:overflowPunct/>
        <w:topLinePunct w:val="0"/>
        <w:autoSpaceDE/>
        <w:autoSpaceDN/>
        <w:bidi w:val="0"/>
        <w:spacing w:line="400" w:lineRule="exact"/>
        <w:textAlignment w:val="auto"/>
        <w:outlineLvl w:val="1"/>
        <w:rPr>
          <w:rFonts w:ascii="宋体"/>
          <w:b/>
          <w:bCs/>
          <w:color w:val="auto"/>
          <w:sz w:val="24"/>
          <w:highlight w:val="none"/>
        </w:rPr>
      </w:pPr>
      <w:r>
        <w:rPr>
          <w:rFonts w:hint="eastAsia" w:ascii="宋体"/>
          <w:b/>
          <w:bCs/>
          <w:color w:val="auto"/>
          <w:sz w:val="24"/>
          <w:highlight w:val="none"/>
        </w:rPr>
        <w:t>四、开标</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B82026D">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bookmarkStart w:id="180" w:name="_Toc293916880"/>
      <w:r>
        <w:rPr>
          <w:rFonts w:hint="eastAsia"/>
          <w:b/>
          <w:color w:val="auto"/>
          <w:sz w:val="21"/>
          <w:szCs w:val="21"/>
          <w:highlight w:val="none"/>
        </w:rPr>
        <w:t>（一）开标准备</w:t>
      </w:r>
      <w:bookmarkEnd w:id="180"/>
    </w:p>
    <w:p w14:paraId="4F3250A1">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bookmarkStart w:id="181" w:name="_Toc293916881"/>
      <w:r>
        <w:rPr>
          <w:rFonts w:hint="eastAsia"/>
          <w:color w:val="auto"/>
          <w:sz w:val="21"/>
          <w:szCs w:val="21"/>
          <w:highlight w:val="none"/>
        </w:rPr>
        <w:t>采购组织机构将按照采购文件规定的时间通过“政采云平台”组织开标、开启投标文件，所有供应商均应当准时在线参加。</w:t>
      </w:r>
      <w:bookmarkEnd w:id="181"/>
    </w:p>
    <w:p w14:paraId="77932DAC">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bookmarkStart w:id="182" w:name="_Toc424544537"/>
      <w:bookmarkStart w:id="183" w:name="_Toc14711"/>
      <w:bookmarkStart w:id="184" w:name="_Toc293916372"/>
      <w:bookmarkStart w:id="185" w:name="_Toc3325"/>
      <w:bookmarkStart w:id="186" w:name="_Toc293917021"/>
      <w:bookmarkStart w:id="187" w:name="_Toc1773"/>
      <w:bookmarkStart w:id="188" w:name="_Toc293916021"/>
      <w:bookmarkStart w:id="189" w:name="_Toc12582"/>
      <w:bookmarkStart w:id="190" w:name="_Toc424544816"/>
      <w:bookmarkStart w:id="191" w:name="_Toc5941"/>
      <w:bookmarkStart w:id="192" w:name="_Toc293916883"/>
      <w:r>
        <w:rPr>
          <w:rFonts w:hint="eastAsia"/>
          <w:b/>
          <w:color w:val="auto"/>
          <w:sz w:val="21"/>
          <w:szCs w:val="21"/>
          <w:highlight w:val="none"/>
        </w:rPr>
        <w:t>（二） 开标准备</w:t>
      </w:r>
    </w:p>
    <w:p w14:paraId="3B44DA9F">
      <w:pPr>
        <w:keepNext w:val="0"/>
        <w:keepLines w:val="0"/>
        <w:pageBreakBefore w:val="0"/>
        <w:widowControl w:val="0"/>
        <w:kinsoku/>
        <w:wordWrap/>
        <w:overflowPunct/>
        <w:topLinePunct w:val="0"/>
        <w:autoSpaceDE/>
        <w:autoSpaceDN/>
        <w:bidi w:val="0"/>
        <w:spacing w:line="400" w:lineRule="exact"/>
        <w:ind w:firstLine="369" w:firstLineChars="176"/>
        <w:textAlignment w:val="auto"/>
        <w:rPr>
          <w:rFonts w:ascii="宋体"/>
          <w:color w:val="auto"/>
          <w:szCs w:val="21"/>
          <w:highlight w:val="none"/>
        </w:rPr>
      </w:pPr>
      <w:r>
        <w:rPr>
          <w:rFonts w:hint="eastAsia" w:ascii="宋体"/>
          <w:color w:val="auto"/>
          <w:szCs w:val="21"/>
          <w:highlight w:val="none"/>
        </w:rPr>
        <w:t>1、开标的准备工作由采购组织机构负责落实；</w:t>
      </w:r>
    </w:p>
    <w:p w14:paraId="324F8546">
      <w:pPr>
        <w:keepNext w:val="0"/>
        <w:keepLines w:val="0"/>
        <w:pageBreakBefore w:val="0"/>
        <w:widowControl w:val="0"/>
        <w:kinsoku/>
        <w:wordWrap/>
        <w:overflowPunct/>
        <w:topLinePunct w:val="0"/>
        <w:autoSpaceDE/>
        <w:autoSpaceDN/>
        <w:bidi w:val="0"/>
        <w:spacing w:line="400" w:lineRule="exact"/>
        <w:ind w:firstLine="369" w:firstLineChars="176"/>
        <w:textAlignment w:val="auto"/>
        <w:rPr>
          <w:rFonts w:ascii="宋体"/>
          <w:color w:val="auto"/>
          <w:szCs w:val="21"/>
          <w:highlight w:val="none"/>
        </w:rPr>
      </w:pPr>
      <w:r>
        <w:rPr>
          <w:rFonts w:hint="eastAsia" w:ascii="宋体"/>
          <w:color w:val="auto"/>
          <w:szCs w:val="21"/>
          <w:highlight w:val="none"/>
        </w:rPr>
        <w:t>2、采购组织机构将按照采购文件规定的时间通过“政采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行承担。</w:t>
      </w:r>
    </w:p>
    <w:p w14:paraId="5F4270A3">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r>
        <w:rPr>
          <w:rFonts w:hint="eastAsia"/>
          <w:b/>
          <w:color w:val="auto"/>
          <w:sz w:val="21"/>
          <w:szCs w:val="21"/>
          <w:highlight w:val="none"/>
        </w:rPr>
        <w:t>（三）开标流程</w:t>
      </w:r>
    </w:p>
    <w:p w14:paraId="7961E8DA">
      <w:pPr>
        <w:keepNext w:val="0"/>
        <w:keepLines w:val="0"/>
        <w:pageBreakBefore w:val="0"/>
        <w:widowControl w:val="0"/>
        <w:kinsoku/>
        <w:wordWrap/>
        <w:overflowPunct/>
        <w:topLinePunct w:val="0"/>
        <w:autoSpaceDE/>
        <w:autoSpaceDN/>
        <w:bidi w:val="0"/>
        <w:spacing w:line="400" w:lineRule="exact"/>
        <w:ind w:firstLine="369" w:firstLineChars="176"/>
        <w:textAlignment w:val="auto"/>
        <w:rPr>
          <w:rFonts w:ascii="宋体"/>
          <w:color w:val="auto"/>
          <w:szCs w:val="21"/>
          <w:highlight w:val="none"/>
        </w:rPr>
      </w:pPr>
      <w:r>
        <w:rPr>
          <w:rFonts w:hint="eastAsia" w:ascii="宋体"/>
          <w:color w:val="auto"/>
          <w:szCs w:val="21"/>
          <w:highlight w:val="none"/>
        </w:rPr>
        <w:t>1、开标、开启响应文件时，电子交易平台自动提取所有投标、响应文件，提示采购组织机构和供应商按采购文件规定的方式和时间在线解密。给予供应商在线解密的时间为30分钟。</w:t>
      </w:r>
    </w:p>
    <w:p w14:paraId="19FA03BE">
      <w:pPr>
        <w:keepNext w:val="0"/>
        <w:keepLines w:val="0"/>
        <w:pageBreakBefore w:val="0"/>
        <w:widowControl w:val="0"/>
        <w:kinsoku/>
        <w:wordWrap/>
        <w:overflowPunct/>
        <w:topLinePunct w:val="0"/>
        <w:autoSpaceDE/>
        <w:autoSpaceDN/>
        <w:bidi w:val="0"/>
        <w:spacing w:line="400" w:lineRule="exact"/>
        <w:ind w:firstLine="369" w:firstLineChars="176"/>
        <w:textAlignment w:val="auto"/>
        <w:rPr>
          <w:rFonts w:ascii="宋体"/>
          <w:color w:val="auto"/>
          <w:szCs w:val="21"/>
          <w:highlight w:val="none"/>
        </w:rPr>
      </w:pPr>
      <w:r>
        <w:rPr>
          <w:rFonts w:hint="eastAsia" w:ascii="宋体"/>
          <w:color w:val="auto"/>
          <w:szCs w:val="21"/>
          <w:highlight w:val="none"/>
        </w:rPr>
        <w:t>2、供应商在规定的时间内无法完成已递交的“电子加密投标文件”解密的：如已按规定递交了备份投标文件的，将由采购组织机构按“政采云平台”操作规范将备份投标文件上传至“政采云平台”，上传成功后，“电子加密投标文件”自动失效；供应商如未按规定递交备份投标文件的，视为投标文件撤回。</w:t>
      </w:r>
    </w:p>
    <w:p w14:paraId="430BDAA8">
      <w:pPr>
        <w:keepNext w:val="0"/>
        <w:keepLines w:val="0"/>
        <w:pageBreakBefore w:val="0"/>
        <w:widowControl w:val="0"/>
        <w:kinsoku/>
        <w:wordWrap/>
        <w:overflowPunct/>
        <w:topLinePunct w:val="0"/>
        <w:autoSpaceDE/>
        <w:autoSpaceDN/>
        <w:bidi w:val="0"/>
        <w:spacing w:line="400" w:lineRule="exact"/>
        <w:ind w:firstLine="369" w:firstLineChars="176"/>
        <w:textAlignment w:val="auto"/>
        <w:rPr>
          <w:rFonts w:ascii="宋体"/>
          <w:color w:val="auto"/>
          <w:szCs w:val="21"/>
          <w:highlight w:val="none"/>
        </w:rPr>
      </w:pPr>
      <w:r>
        <w:rPr>
          <w:rFonts w:hint="eastAsia" w:ascii="宋体"/>
          <w:color w:val="auto"/>
          <w:szCs w:val="21"/>
          <w:highlight w:val="none"/>
        </w:rPr>
        <w:t>3、投标文件解密后，采购人及采购代理机构将对依法对供应商的资格进行审查，资格审查结束后进入符合性审查和资信技术的评审工作。</w:t>
      </w:r>
    </w:p>
    <w:p w14:paraId="41ECD542">
      <w:pPr>
        <w:keepNext w:val="0"/>
        <w:keepLines w:val="0"/>
        <w:pageBreakBefore w:val="0"/>
        <w:widowControl w:val="0"/>
        <w:kinsoku/>
        <w:wordWrap/>
        <w:overflowPunct/>
        <w:topLinePunct w:val="0"/>
        <w:autoSpaceDE/>
        <w:autoSpaceDN/>
        <w:bidi w:val="0"/>
        <w:spacing w:line="400" w:lineRule="exact"/>
        <w:ind w:firstLine="369" w:firstLineChars="176"/>
        <w:textAlignment w:val="auto"/>
        <w:rPr>
          <w:rFonts w:ascii="宋体"/>
          <w:color w:val="auto"/>
          <w:szCs w:val="21"/>
          <w:highlight w:val="none"/>
        </w:rPr>
      </w:pPr>
      <w:r>
        <w:rPr>
          <w:rFonts w:hint="eastAsia" w:ascii="宋体"/>
          <w:color w:val="auto"/>
          <w:szCs w:val="21"/>
          <w:highlight w:val="none"/>
        </w:rPr>
        <w:t>4、符合性审查、资信技术评审结束后，开启报价文件。</w:t>
      </w:r>
    </w:p>
    <w:p w14:paraId="28383A6E">
      <w:pPr>
        <w:keepNext w:val="0"/>
        <w:keepLines w:val="0"/>
        <w:pageBreakBefore w:val="0"/>
        <w:widowControl w:val="0"/>
        <w:kinsoku/>
        <w:wordWrap/>
        <w:overflowPunct/>
        <w:topLinePunct w:val="0"/>
        <w:autoSpaceDE/>
        <w:autoSpaceDN/>
        <w:bidi w:val="0"/>
        <w:spacing w:line="400" w:lineRule="exact"/>
        <w:ind w:firstLine="369" w:firstLineChars="176"/>
        <w:textAlignment w:val="auto"/>
        <w:rPr>
          <w:rFonts w:ascii="宋体"/>
          <w:color w:val="auto"/>
          <w:szCs w:val="21"/>
          <w:highlight w:val="none"/>
        </w:rPr>
      </w:pPr>
      <w:r>
        <w:rPr>
          <w:rFonts w:hint="eastAsia" w:ascii="宋体"/>
          <w:color w:val="auto"/>
          <w:szCs w:val="21"/>
          <w:highlight w:val="none"/>
        </w:rPr>
        <w:t>5、评标委员会对报价的合理性、准确性等进行审查核实。</w:t>
      </w:r>
    </w:p>
    <w:p w14:paraId="4CF17C1B">
      <w:pPr>
        <w:keepNext w:val="0"/>
        <w:keepLines w:val="0"/>
        <w:pageBreakBefore w:val="0"/>
        <w:widowControl w:val="0"/>
        <w:kinsoku/>
        <w:wordWrap/>
        <w:overflowPunct/>
        <w:topLinePunct w:val="0"/>
        <w:autoSpaceDE/>
        <w:autoSpaceDN/>
        <w:bidi w:val="0"/>
        <w:spacing w:line="400" w:lineRule="exact"/>
        <w:ind w:firstLine="369" w:firstLineChars="176"/>
        <w:textAlignment w:val="auto"/>
        <w:rPr>
          <w:rFonts w:ascii="宋体"/>
          <w:color w:val="auto"/>
          <w:szCs w:val="21"/>
          <w:highlight w:val="none"/>
        </w:rPr>
      </w:pPr>
      <w:r>
        <w:rPr>
          <w:rFonts w:hint="eastAsia" w:ascii="宋体"/>
          <w:color w:val="auto"/>
          <w:szCs w:val="21"/>
          <w:highlight w:val="none"/>
        </w:rPr>
        <w:t>6、评标委员会完成评审后，通过电子交易平台向采购人及其委托的代理机构提交评审报告。同时打印纸质评审报告签署后由采购代理机构保存。</w:t>
      </w:r>
    </w:p>
    <w:p w14:paraId="293E4BE2">
      <w:pPr>
        <w:keepNext w:val="0"/>
        <w:keepLines w:val="0"/>
        <w:pageBreakBefore w:val="0"/>
        <w:widowControl w:val="0"/>
        <w:kinsoku/>
        <w:wordWrap/>
        <w:overflowPunct/>
        <w:topLinePunct w:val="0"/>
        <w:autoSpaceDE/>
        <w:autoSpaceDN/>
        <w:bidi w:val="0"/>
        <w:spacing w:line="400" w:lineRule="exact"/>
        <w:ind w:firstLine="369" w:firstLineChars="176"/>
        <w:textAlignment w:val="auto"/>
        <w:rPr>
          <w:rFonts w:ascii="宋体"/>
          <w:color w:val="auto"/>
          <w:szCs w:val="21"/>
          <w:highlight w:val="none"/>
        </w:rPr>
      </w:pPr>
      <w:r>
        <w:rPr>
          <w:rFonts w:hint="eastAsia" w:ascii="宋体"/>
          <w:color w:val="auto"/>
          <w:szCs w:val="21"/>
          <w:highlight w:val="none"/>
        </w:rPr>
        <w:t>7、评审结束后，代理机构通过电子交易平台或发送邮件形式向各投标人公布中标（中标）候选供应商名单，及采购人最终确定中标或中标供应商名单的时间和公告方式等。</w:t>
      </w:r>
    </w:p>
    <w:p w14:paraId="1EF58BBD">
      <w:pPr>
        <w:keepNext w:val="0"/>
        <w:keepLines w:val="0"/>
        <w:pageBreakBefore w:val="0"/>
        <w:widowControl w:val="0"/>
        <w:kinsoku/>
        <w:wordWrap/>
        <w:overflowPunct/>
        <w:topLinePunct w:val="0"/>
        <w:autoSpaceDE/>
        <w:autoSpaceDN/>
        <w:bidi w:val="0"/>
        <w:spacing w:line="400" w:lineRule="exact"/>
        <w:ind w:firstLine="369" w:firstLineChars="176"/>
        <w:textAlignment w:val="auto"/>
        <w:rPr>
          <w:rFonts w:ascii="宋体"/>
          <w:color w:val="auto"/>
          <w:szCs w:val="21"/>
          <w:highlight w:val="none"/>
        </w:rPr>
      </w:pPr>
      <w:r>
        <w:rPr>
          <w:rFonts w:hint="eastAsia" w:ascii="宋体"/>
          <w:color w:val="auto"/>
          <w:szCs w:val="21"/>
          <w:highlight w:val="none"/>
        </w:rPr>
        <w:t>8、开标会议结束。</w:t>
      </w:r>
    </w:p>
    <w:p w14:paraId="5D5E65BB">
      <w:pPr>
        <w:keepNext w:val="0"/>
        <w:keepLines w:val="0"/>
        <w:pageBreakBefore w:val="0"/>
        <w:widowControl w:val="0"/>
        <w:kinsoku/>
        <w:wordWrap/>
        <w:overflowPunct/>
        <w:topLinePunct w:val="0"/>
        <w:autoSpaceDE/>
        <w:autoSpaceDN/>
        <w:bidi w:val="0"/>
        <w:spacing w:line="400" w:lineRule="exact"/>
        <w:ind w:firstLine="373" w:firstLineChars="177"/>
        <w:jc w:val="left"/>
        <w:textAlignment w:val="auto"/>
        <w:rPr>
          <w:rFonts w:ascii="宋体" w:hAnsi="宋体" w:cs="宋体"/>
          <w:b/>
          <w:color w:val="auto"/>
          <w:szCs w:val="21"/>
          <w:highlight w:val="none"/>
        </w:rPr>
      </w:pPr>
      <w:r>
        <w:rPr>
          <w:rFonts w:hint="eastAsia" w:ascii="宋体" w:hAnsi="宋体" w:cs="宋体"/>
          <w:b/>
          <w:color w:val="auto"/>
          <w:kern w:val="0"/>
          <w:szCs w:val="21"/>
          <w:highlight w:val="none"/>
        </w:rPr>
        <w:t>特别说明：如遇“政府采购云平台”电子化开标或评审程序调整的，按调整后程序执行。</w:t>
      </w:r>
    </w:p>
    <w:p w14:paraId="0BEC10A1">
      <w:pPr>
        <w:keepNext w:val="0"/>
        <w:keepLines w:val="0"/>
        <w:pageBreakBefore w:val="0"/>
        <w:widowControl w:val="0"/>
        <w:kinsoku/>
        <w:wordWrap/>
        <w:overflowPunct/>
        <w:topLinePunct w:val="0"/>
        <w:autoSpaceDE/>
        <w:autoSpaceDN/>
        <w:bidi w:val="0"/>
        <w:spacing w:line="400" w:lineRule="exact"/>
        <w:textAlignment w:val="auto"/>
        <w:outlineLvl w:val="1"/>
        <w:rPr>
          <w:rFonts w:ascii="宋体"/>
          <w:b/>
          <w:bCs/>
          <w:color w:val="auto"/>
          <w:sz w:val="24"/>
          <w:highlight w:val="none"/>
        </w:rPr>
      </w:pPr>
      <w:bookmarkStart w:id="193" w:name="_Toc25997"/>
      <w:r>
        <w:rPr>
          <w:rFonts w:hint="eastAsia" w:ascii="宋体"/>
          <w:b/>
          <w:bCs/>
          <w:color w:val="auto"/>
          <w:sz w:val="24"/>
          <w:highlight w:val="none"/>
        </w:rPr>
        <w:t>五、资格证明文件审查</w:t>
      </w:r>
      <w:bookmarkEnd w:id="193"/>
    </w:p>
    <w:p w14:paraId="12F87752">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r>
        <w:rPr>
          <w:rFonts w:hint="eastAsia"/>
          <w:b/>
          <w:color w:val="auto"/>
          <w:sz w:val="21"/>
          <w:szCs w:val="21"/>
          <w:highlight w:val="none"/>
        </w:rPr>
        <w:t>（一）审查人员</w:t>
      </w:r>
    </w:p>
    <w:p w14:paraId="35445B08">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采购人及采购代理机构负责审查。</w:t>
      </w:r>
    </w:p>
    <w:p w14:paraId="411AC350">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r>
        <w:rPr>
          <w:rFonts w:hint="eastAsia"/>
          <w:b/>
          <w:color w:val="auto"/>
          <w:sz w:val="21"/>
          <w:szCs w:val="21"/>
          <w:highlight w:val="none"/>
        </w:rPr>
        <w:t>（二）审查依据</w:t>
      </w:r>
    </w:p>
    <w:p w14:paraId="63118A07">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招标文件、投标人的资格证明文件、“信用中国”网站www.creditchina.gov.cn及“中国政府采购网”www.ccgp.gov.cn查询结果。</w:t>
      </w:r>
    </w:p>
    <w:p w14:paraId="0C34BB70">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r>
        <w:rPr>
          <w:rFonts w:hint="eastAsia"/>
          <w:b/>
          <w:color w:val="auto"/>
          <w:sz w:val="21"/>
          <w:szCs w:val="21"/>
          <w:highlight w:val="none"/>
        </w:rPr>
        <w:t>（三）审查方法</w:t>
      </w:r>
    </w:p>
    <w:p w14:paraId="4BCFB017">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1、审查投标人资格证明文件及相应原件的完整性、符合性。</w:t>
      </w:r>
    </w:p>
    <w:p w14:paraId="72D7D341">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2、采购人及采购代理机构登录“信用中国”网站www.creditchina.gov.cn、“中国政府采购网”www.ccgp.gov.cn查询投标截止时间前各投标人的信用记录。</w:t>
      </w:r>
    </w:p>
    <w:p w14:paraId="5AB5DA92">
      <w:pPr>
        <w:keepNext w:val="0"/>
        <w:keepLines w:val="0"/>
        <w:pageBreakBefore w:val="0"/>
        <w:widowControl w:val="0"/>
        <w:kinsoku/>
        <w:wordWrap/>
        <w:overflowPunct/>
        <w:topLinePunct w:val="0"/>
        <w:autoSpaceDE/>
        <w:autoSpaceDN/>
        <w:bidi w:val="0"/>
        <w:spacing w:line="400" w:lineRule="exact"/>
        <w:textAlignment w:val="auto"/>
        <w:outlineLvl w:val="1"/>
        <w:rPr>
          <w:rFonts w:ascii="宋体"/>
          <w:b/>
          <w:bCs/>
          <w:color w:val="auto"/>
          <w:sz w:val="24"/>
          <w:highlight w:val="none"/>
        </w:rPr>
      </w:pPr>
      <w:bookmarkStart w:id="194" w:name="_Toc4354"/>
      <w:r>
        <w:rPr>
          <w:rFonts w:hint="eastAsia" w:ascii="宋体"/>
          <w:b/>
          <w:bCs/>
          <w:color w:val="auto"/>
          <w:sz w:val="24"/>
          <w:highlight w:val="none"/>
        </w:rPr>
        <w:t>六、评标</w:t>
      </w:r>
      <w:bookmarkEnd w:id="182"/>
      <w:bookmarkEnd w:id="183"/>
      <w:bookmarkEnd w:id="184"/>
      <w:bookmarkEnd w:id="185"/>
      <w:bookmarkEnd w:id="186"/>
      <w:bookmarkEnd w:id="187"/>
      <w:bookmarkEnd w:id="188"/>
      <w:bookmarkEnd w:id="189"/>
      <w:bookmarkEnd w:id="190"/>
      <w:bookmarkEnd w:id="191"/>
      <w:bookmarkEnd w:id="192"/>
      <w:bookmarkEnd w:id="194"/>
    </w:p>
    <w:p w14:paraId="597EF7D4">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bookmarkStart w:id="195" w:name="_Toc293916884"/>
      <w:r>
        <w:rPr>
          <w:rFonts w:hint="eastAsia"/>
          <w:b/>
          <w:color w:val="auto"/>
          <w:sz w:val="21"/>
          <w:szCs w:val="21"/>
          <w:highlight w:val="none"/>
        </w:rPr>
        <w:t>（一）组建评标委员会</w:t>
      </w:r>
      <w:bookmarkEnd w:id="195"/>
    </w:p>
    <w:p w14:paraId="3A25AD28">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bookmarkStart w:id="196" w:name="_Toc293916886"/>
      <w:r>
        <w:rPr>
          <w:rFonts w:hint="eastAsia"/>
          <w:color w:val="auto"/>
          <w:sz w:val="21"/>
          <w:szCs w:val="21"/>
          <w:highlight w:val="none"/>
        </w:rPr>
        <w:t>本项目评标委员会成员由5人组成。</w:t>
      </w:r>
    </w:p>
    <w:p w14:paraId="06E71FB2">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r>
        <w:rPr>
          <w:rFonts w:hint="eastAsia"/>
          <w:b/>
          <w:color w:val="auto"/>
          <w:sz w:val="21"/>
          <w:szCs w:val="21"/>
          <w:highlight w:val="none"/>
        </w:rPr>
        <w:t>（二）评标的方式</w:t>
      </w:r>
      <w:bookmarkEnd w:id="196"/>
    </w:p>
    <w:p w14:paraId="2C2BBBE5">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bookmarkStart w:id="197" w:name="_Toc293916887"/>
      <w:r>
        <w:rPr>
          <w:rFonts w:hint="eastAsia"/>
          <w:color w:val="auto"/>
          <w:sz w:val="21"/>
          <w:szCs w:val="21"/>
          <w:highlight w:val="none"/>
        </w:rPr>
        <w:t>本项目采用不公开方式评标，评标的依据为招标文件和投标文件。</w:t>
      </w:r>
      <w:bookmarkEnd w:id="197"/>
    </w:p>
    <w:p w14:paraId="38CC1D4A">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bookmarkStart w:id="198" w:name="_Toc293916888"/>
      <w:r>
        <w:rPr>
          <w:rFonts w:hint="eastAsia"/>
          <w:b/>
          <w:color w:val="auto"/>
          <w:sz w:val="21"/>
          <w:szCs w:val="21"/>
          <w:highlight w:val="none"/>
        </w:rPr>
        <w:t xml:space="preserve">（三） </w:t>
      </w:r>
      <w:r>
        <w:rPr>
          <w:rFonts w:hint="eastAsia"/>
          <w:b/>
          <w:bCs/>
          <w:color w:val="auto"/>
          <w:sz w:val="21"/>
          <w:szCs w:val="21"/>
          <w:highlight w:val="none"/>
        </w:rPr>
        <w:t>评标程序</w:t>
      </w:r>
      <w:bookmarkEnd w:id="198"/>
    </w:p>
    <w:p w14:paraId="2EB286E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1、采购人代表和采购代理机构人员对投标人资格的完整性、合法性等进行审查。</w:t>
      </w:r>
    </w:p>
    <w:p w14:paraId="44BEB4C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2、评标委员会审查投标文件的实质性内容是否符合招标文件的实质性要求。</w:t>
      </w:r>
    </w:p>
    <w:p w14:paraId="0B6A3AE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3、评标委员会将根据投标人的投标文件进行审查、核对，如有疑问，将对投标人进行询标，投标人要向评标委员会澄清有关问题，并最终以书面形式进行答复。</w:t>
      </w:r>
    </w:p>
    <w:p w14:paraId="115A142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b/>
          <w:color w:val="auto"/>
          <w:szCs w:val="21"/>
          <w:highlight w:val="none"/>
        </w:rPr>
      </w:pPr>
      <w:r>
        <w:rPr>
          <w:rFonts w:hint="eastAsia" w:ascii="宋体"/>
          <w:bCs/>
          <w:color w:val="auto"/>
          <w:szCs w:val="21"/>
          <w:highlight w:val="none"/>
        </w:rPr>
        <w:t>4、评标委员会完成评标后，评标委员会按评标原则确定中标候选人同时起草评标报告。</w:t>
      </w:r>
    </w:p>
    <w:p w14:paraId="297EC1B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color w:val="auto"/>
          <w:szCs w:val="21"/>
          <w:highlight w:val="none"/>
        </w:rPr>
      </w:pPr>
      <w:r>
        <w:rPr>
          <w:rFonts w:hint="eastAsia" w:ascii="宋体"/>
          <w:color w:val="auto"/>
          <w:szCs w:val="21"/>
          <w:highlight w:val="none"/>
        </w:rPr>
        <w:t xml:space="preserve">    5、全权代表未到场或者拒绝澄清或者澄清的内容改变了投标文件的实质性内容的，评标委员会有权对该投标文件作出不利于投标人的评判。</w:t>
      </w:r>
    </w:p>
    <w:p w14:paraId="4798A5D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
          <w:color w:val="auto"/>
          <w:szCs w:val="21"/>
          <w:highlight w:val="none"/>
        </w:rPr>
      </w:pPr>
      <w:r>
        <w:rPr>
          <w:rFonts w:hint="eastAsia" w:ascii="宋体"/>
          <w:b/>
          <w:color w:val="auto"/>
          <w:szCs w:val="21"/>
          <w:highlight w:val="none"/>
        </w:rPr>
        <w:t>（四）澄清问题的形式</w:t>
      </w:r>
    </w:p>
    <w:p w14:paraId="4FCEE80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bCs/>
          <w:color w:val="auto"/>
          <w:szCs w:val="21"/>
          <w:highlight w:val="none"/>
        </w:rPr>
      </w:pPr>
      <w:bookmarkStart w:id="199" w:name="_Toc293916889"/>
      <w:r>
        <w:rPr>
          <w:rFonts w:hint="eastAsia" w:ascii="宋体"/>
          <w:bCs/>
          <w:color w:val="auto"/>
          <w:szCs w:val="21"/>
          <w:highlight w:val="none"/>
        </w:rPr>
        <w:t>1、对于投标文件中含义不明确、同类问题表述不一致或者有明显文字和计算错误的内容，评标委员会将以书面形式（或通过“政府采购云平台”在线询标）的形式要求供应商在规定的时间内作出必要的澄清、说明或者补正，供应商澄清、说明或补正时间为30分钟。</w:t>
      </w:r>
    </w:p>
    <w:p w14:paraId="3DA4D27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bCs/>
          <w:color w:val="auto"/>
          <w:szCs w:val="21"/>
          <w:highlight w:val="none"/>
        </w:rPr>
      </w:pPr>
      <w:r>
        <w:rPr>
          <w:rFonts w:hint="eastAsia" w:ascii="宋体"/>
          <w:bCs/>
          <w:color w:val="auto"/>
          <w:szCs w:val="21"/>
          <w:highlight w:val="none"/>
        </w:rPr>
        <w:t>2、评标过程中评标委员会对供应商提出质询或要求供应商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2C2AB358">
      <w:pPr>
        <w:keepNext w:val="0"/>
        <w:keepLines w:val="0"/>
        <w:pageBreakBefore w:val="0"/>
        <w:widowControl w:val="0"/>
        <w:kinsoku/>
        <w:wordWrap/>
        <w:overflowPunct/>
        <w:topLinePunct w:val="0"/>
        <w:autoSpaceDE/>
        <w:autoSpaceDN/>
        <w:bidi w:val="0"/>
        <w:adjustRightInd w:val="0"/>
        <w:snapToGrid w:val="0"/>
        <w:spacing w:line="400" w:lineRule="exact"/>
        <w:textAlignment w:val="auto"/>
        <w:rPr>
          <w:b/>
          <w:color w:val="auto"/>
          <w:szCs w:val="21"/>
          <w:highlight w:val="none"/>
        </w:rPr>
      </w:pPr>
      <w:r>
        <w:rPr>
          <w:rFonts w:hint="eastAsia"/>
          <w:b/>
          <w:color w:val="auto"/>
          <w:szCs w:val="21"/>
          <w:highlight w:val="none"/>
        </w:rPr>
        <w:t>（五） 错误修正</w:t>
      </w:r>
      <w:bookmarkEnd w:id="199"/>
    </w:p>
    <w:p w14:paraId="3FE1D092">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bookmarkStart w:id="200" w:name="_Toc293916895"/>
      <w:r>
        <w:rPr>
          <w:rFonts w:hint="eastAsia"/>
          <w:color w:val="auto"/>
          <w:sz w:val="21"/>
          <w:szCs w:val="21"/>
          <w:highlight w:val="none"/>
        </w:rPr>
        <w:t>投标文件如果出现计算或表达上的错误，修正错误的原则如下：</w:t>
      </w:r>
    </w:p>
    <w:p w14:paraId="783CC5BE">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b w:val="0"/>
          <w:bCs/>
          <w:color w:val="auto"/>
          <w:sz w:val="21"/>
          <w:szCs w:val="21"/>
          <w:highlight w:val="none"/>
        </w:rPr>
      </w:pPr>
      <w:r>
        <w:rPr>
          <w:rFonts w:hint="eastAsia"/>
          <w:b w:val="0"/>
          <w:bCs/>
          <w:color w:val="auto"/>
          <w:sz w:val="21"/>
          <w:szCs w:val="21"/>
          <w:highlight w:val="none"/>
        </w:rPr>
        <w:t>1、开标一览表总价与投标报价明细表汇总数不一致的，以开标一览表为准；</w:t>
      </w:r>
    </w:p>
    <w:p w14:paraId="2DD0F7F9">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2、大写金额和小写金额不一致的，以大写金额为准；</w:t>
      </w:r>
    </w:p>
    <w:p w14:paraId="7722CFB7">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3、单价金额小数点有明显错位的，应以开标一览表的总价为准，并修改单价；</w:t>
      </w:r>
    </w:p>
    <w:p w14:paraId="5691CC79">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4、总价金额与按单价汇总金额不一致的，以单价金额计算结果为准；</w:t>
      </w:r>
    </w:p>
    <w:p w14:paraId="62866431">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5、对不同文字文本投标文件的解释发生异议的，以中文文本为准。</w:t>
      </w:r>
    </w:p>
    <w:p w14:paraId="1E3372DD">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同时出现两种以上不一致的，按照上述规定的顺序修正，由投标人以书面形式进行修正，并加盖公章或者由法定代表人或其授权的代表签字。投标人确认后产生约束力；投标人不确认的，其投标无效。</w:t>
      </w:r>
    </w:p>
    <w:p w14:paraId="02B13594">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r>
        <w:rPr>
          <w:rFonts w:hint="eastAsia"/>
          <w:b/>
          <w:color w:val="auto"/>
          <w:sz w:val="21"/>
          <w:szCs w:val="21"/>
          <w:highlight w:val="none"/>
        </w:rPr>
        <w:t>（六） 评标过程的保密</w:t>
      </w:r>
      <w:bookmarkEnd w:id="200"/>
    </w:p>
    <w:p w14:paraId="29AA68EB">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bookmarkStart w:id="201" w:name="_Toc293916896"/>
      <w:r>
        <w:rPr>
          <w:rFonts w:hint="eastAsia"/>
          <w:color w:val="auto"/>
          <w:sz w:val="21"/>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bookmarkEnd w:id="201"/>
    </w:p>
    <w:p w14:paraId="3C32110F">
      <w:pPr>
        <w:pStyle w:val="25"/>
        <w:keepNext w:val="0"/>
        <w:keepLines w:val="0"/>
        <w:pageBreakBefore w:val="0"/>
        <w:widowControl w:val="0"/>
        <w:tabs>
          <w:tab w:val="left" w:pos="630"/>
        </w:tabs>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bookmarkStart w:id="202" w:name="_Toc293916897"/>
      <w:r>
        <w:rPr>
          <w:rFonts w:hint="eastAsia"/>
          <w:b/>
          <w:color w:val="auto"/>
          <w:sz w:val="21"/>
          <w:szCs w:val="21"/>
          <w:highlight w:val="none"/>
        </w:rPr>
        <w:t>（七）评标原则和评标办法</w:t>
      </w:r>
      <w:bookmarkEnd w:id="202"/>
    </w:p>
    <w:p w14:paraId="267F1475">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bookmarkStart w:id="203" w:name="_Toc293916898"/>
      <w:r>
        <w:rPr>
          <w:rFonts w:hint="eastAsia"/>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203"/>
    </w:p>
    <w:p w14:paraId="4DDE8261">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bookmarkStart w:id="204" w:name="_Toc293916899"/>
      <w:r>
        <w:rPr>
          <w:rFonts w:hint="eastAsia"/>
          <w:color w:val="auto"/>
          <w:sz w:val="21"/>
          <w:szCs w:val="21"/>
          <w:highlight w:val="none"/>
          <w:lang w:val="en-US" w:eastAsia="zh-CN"/>
        </w:rPr>
        <w:t>2</w:t>
      </w:r>
      <w:r>
        <w:rPr>
          <w:rFonts w:hint="eastAsia"/>
          <w:color w:val="auto"/>
          <w:sz w:val="21"/>
          <w:szCs w:val="21"/>
          <w:highlight w:val="none"/>
        </w:rPr>
        <w:t>、评标办法。本项目采用综合评分法，详见《第四章：评标办法及评分标准》。</w:t>
      </w:r>
      <w:bookmarkEnd w:id="204"/>
    </w:p>
    <w:p w14:paraId="1796F0F4">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color w:val="auto"/>
          <w:sz w:val="21"/>
          <w:szCs w:val="21"/>
          <w:highlight w:val="none"/>
        </w:rPr>
      </w:pPr>
      <w:r>
        <w:rPr>
          <w:rFonts w:hint="eastAsia"/>
          <w:b/>
          <w:color w:val="auto"/>
          <w:sz w:val="21"/>
          <w:szCs w:val="21"/>
          <w:highlight w:val="none"/>
        </w:rPr>
        <w:t>（八）评标过程的监控</w:t>
      </w:r>
    </w:p>
    <w:p w14:paraId="5F16B38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本项目评标过程实行全程录音、录像监控。投标人在评标过程中所进行的试图影响评标结果的不公正活动，可能导致其投标被拒绝。</w:t>
      </w:r>
    </w:p>
    <w:p w14:paraId="5DC5BA7C">
      <w:pPr>
        <w:keepNext w:val="0"/>
        <w:keepLines w:val="0"/>
        <w:pageBreakBefore w:val="0"/>
        <w:widowControl w:val="0"/>
        <w:kinsoku/>
        <w:wordWrap/>
        <w:overflowPunct/>
        <w:topLinePunct w:val="0"/>
        <w:autoSpaceDE/>
        <w:autoSpaceDN/>
        <w:bidi w:val="0"/>
        <w:spacing w:line="400" w:lineRule="exact"/>
        <w:textAlignment w:val="auto"/>
        <w:outlineLvl w:val="1"/>
        <w:rPr>
          <w:rFonts w:ascii="宋体"/>
          <w:b/>
          <w:bCs/>
          <w:color w:val="auto"/>
          <w:sz w:val="24"/>
          <w:highlight w:val="none"/>
        </w:rPr>
      </w:pPr>
      <w:bookmarkStart w:id="205" w:name="_Toc25731"/>
      <w:bookmarkStart w:id="206" w:name="_Toc10944"/>
      <w:bookmarkStart w:id="207" w:name="_Toc424544538"/>
      <w:bookmarkStart w:id="208" w:name="_Toc29465"/>
      <w:bookmarkStart w:id="209" w:name="_Toc424544817"/>
      <w:bookmarkStart w:id="210" w:name="_Toc293916373"/>
      <w:bookmarkStart w:id="211" w:name="_Toc27366"/>
      <w:bookmarkStart w:id="212" w:name="_Toc293916022"/>
      <w:bookmarkStart w:id="213" w:name="_Toc27877"/>
      <w:bookmarkStart w:id="214" w:name="_Toc293916900"/>
      <w:bookmarkStart w:id="215" w:name="_Toc293917022"/>
      <w:bookmarkStart w:id="216" w:name="_Toc25169"/>
      <w:r>
        <w:rPr>
          <w:rFonts w:hint="eastAsia" w:ascii="宋体"/>
          <w:b/>
          <w:bCs/>
          <w:color w:val="auto"/>
          <w:sz w:val="24"/>
          <w:highlight w:val="none"/>
        </w:rPr>
        <w:t>六、定标</w:t>
      </w:r>
      <w:bookmarkEnd w:id="205"/>
      <w:bookmarkEnd w:id="206"/>
      <w:bookmarkEnd w:id="207"/>
      <w:bookmarkEnd w:id="208"/>
      <w:bookmarkEnd w:id="209"/>
      <w:bookmarkEnd w:id="210"/>
      <w:bookmarkEnd w:id="211"/>
      <w:bookmarkEnd w:id="212"/>
      <w:bookmarkEnd w:id="213"/>
      <w:bookmarkEnd w:id="214"/>
      <w:bookmarkEnd w:id="215"/>
      <w:bookmarkEnd w:id="216"/>
    </w:p>
    <w:p w14:paraId="721A4A9E">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1"/>
        <w:rPr>
          <w:rFonts w:ascii="宋体" w:cs="宋体"/>
          <w:color w:val="auto"/>
          <w:szCs w:val="21"/>
          <w:highlight w:val="none"/>
        </w:rPr>
      </w:pPr>
      <w:bookmarkStart w:id="217" w:name="_Toc28487"/>
      <w:bookmarkStart w:id="218" w:name="_Toc3917"/>
      <w:bookmarkStart w:id="219" w:name="_Toc293917023"/>
      <w:bookmarkStart w:id="220" w:name="_Toc293916901"/>
      <w:bookmarkStart w:id="221" w:name="_Toc293916023"/>
      <w:bookmarkStart w:id="222" w:name="_Toc293916374"/>
      <w:bookmarkStart w:id="223" w:name="_Toc6498"/>
      <w:bookmarkStart w:id="224" w:name="_Toc424544818"/>
      <w:bookmarkStart w:id="225" w:name="_Toc26012"/>
      <w:bookmarkStart w:id="226" w:name="_Toc424544539"/>
      <w:bookmarkStart w:id="227" w:name="_Toc28404"/>
      <w:bookmarkStart w:id="228" w:name="_Toc9175"/>
      <w:r>
        <w:rPr>
          <w:rFonts w:ascii="宋体" w:hAnsi="宋体" w:cs="宋体"/>
          <w:color w:val="auto"/>
          <w:szCs w:val="21"/>
          <w:highlight w:val="none"/>
        </w:rPr>
        <w:t>1</w:t>
      </w:r>
      <w:r>
        <w:rPr>
          <w:rFonts w:hint="eastAsia" w:ascii="宋体" w:hAnsi="宋体" w:cs="宋体"/>
          <w:color w:val="auto"/>
          <w:szCs w:val="21"/>
          <w:highlight w:val="none"/>
        </w:rPr>
        <w:t>、本项目由采购人确定中标供应商。</w:t>
      </w:r>
    </w:p>
    <w:p w14:paraId="7FC709A8">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1"/>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、本次评审采用综合评分法，即在质量和服务均能满足招标文件实质性要求且综合得分由高到低的原则确定中标供应商。</w:t>
      </w:r>
      <w:r>
        <w:rPr>
          <w:rFonts w:ascii="宋体" w:hAnsi="宋体" w:cs="宋体"/>
          <w:color w:val="auto"/>
          <w:szCs w:val="21"/>
          <w:highlight w:val="none"/>
        </w:rPr>
        <w:t xml:space="preserve"> </w:t>
      </w:r>
    </w:p>
    <w:p w14:paraId="39C5F19D">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1"/>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、开标结束后，评标小组拟制评标报告。</w:t>
      </w:r>
      <w:r>
        <w:rPr>
          <w:rFonts w:ascii="宋体" w:hAnsi="宋体" w:cs="宋体"/>
          <w:color w:val="auto"/>
          <w:szCs w:val="21"/>
          <w:highlight w:val="none"/>
        </w:rPr>
        <w:t xml:space="preserve"> </w:t>
      </w:r>
    </w:p>
    <w:p w14:paraId="761C369F">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1"/>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、采购代理机构在评标结束后</w:t>
      </w:r>
      <w:r>
        <w:rPr>
          <w:rFonts w:ascii="宋体" w:hAnsi="宋体" w:cs="宋体"/>
          <w:color w:val="auto"/>
          <w:szCs w:val="21"/>
          <w:highlight w:val="none"/>
        </w:rPr>
        <w:t>2</w:t>
      </w:r>
      <w:r>
        <w:rPr>
          <w:rFonts w:hint="eastAsia" w:ascii="宋体" w:hAnsi="宋体" w:cs="宋体"/>
          <w:color w:val="auto"/>
          <w:szCs w:val="21"/>
          <w:highlight w:val="none"/>
        </w:rPr>
        <w:t>个工作日内将评标报告交采购人确认。</w:t>
      </w:r>
      <w:r>
        <w:rPr>
          <w:rFonts w:ascii="宋体" w:hAnsi="宋体" w:cs="宋体"/>
          <w:color w:val="auto"/>
          <w:szCs w:val="21"/>
          <w:highlight w:val="none"/>
        </w:rPr>
        <w:t xml:space="preserve"> </w:t>
      </w:r>
    </w:p>
    <w:p w14:paraId="46D05C63">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1"/>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、采购人在收到评标报告后</w:t>
      </w:r>
      <w:r>
        <w:rPr>
          <w:rFonts w:ascii="宋体" w:hAnsi="宋体" w:cs="宋体"/>
          <w:color w:val="auto"/>
          <w:szCs w:val="21"/>
          <w:highlight w:val="none"/>
        </w:rPr>
        <w:t>5</w:t>
      </w:r>
      <w:r>
        <w:rPr>
          <w:rFonts w:hint="eastAsia" w:ascii="宋体" w:hAnsi="宋体" w:cs="宋体"/>
          <w:color w:val="auto"/>
          <w:szCs w:val="21"/>
          <w:highlight w:val="none"/>
        </w:rPr>
        <w:t>个工作日内对评标结果进行确认。</w:t>
      </w:r>
    </w:p>
    <w:p w14:paraId="7928D484">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1"/>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、采购人确定中标供应商后</w:t>
      </w:r>
      <w:r>
        <w:rPr>
          <w:rFonts w:ascii="宋体" w:hAnsi="宋体" w:cs="宋体"/>
          <w:color w:val="auto"/>
          <w:szCs w:val="21"/>
          <w:highlight w:val="none"/>
        </w:rPr>
        <w:t>2</w:t>
      </w:r>
      <w:r>
        <w:rPr>
          <w:rFonts w:hint="eastAsia" w:ascii="宋体" w:hAnsi="宋体" w:cs="宋体"/>
          <w:color w:val="auto"/>
          <w:szCs w:val="21"/>
          <w:highlight w:val="none"/>
        </w:rPr>
        <w:t>个工作日内，采购代理机构在相关网站上发布中标公告，同时发出中标通知书。</w:t>
      </w:r>
    </w:p>
    <w:p w14:paraId="626AB387">
      <w:pPr>
        <w:keepNext w:val="0"/>
        <w:keepLines w:val="0"/>
        <w:pageBreakBefore w:val="0"/>
        <w:widowControl w:val="0"/>
        <w:kinsoku/>
        <w:wordWrap/>
        <w:overflowPunct/>
        <w:topLinePunct w:val="0"/>
        <w:autoSpaceDE/>
        <w:autoSpaceDN/>
        <w:bidi w:val="0"/>
        <w:spacing w:line="400" w:lineRule="exact"/>
        <w:textAlignment w:val="auto"/>
        <w:outlineLvl w:val="1"/>
        <w:rPr>
          <w:rFonts w:ascii="宋体"/>
          <w:b/>
          <w:bCs/>
          <w:color w:val="auto"/>
          <w:sz w:val="24"/>
          <w:highlight w:val="none"/>
        </w:rPr>
      </w:pPr>
      <w:r>
        <w:rPr>
          <w:rFonts w:hint="eastAsia" w:ascii="宋体"/>
          <w:b/>
          <w:bCs/>
          <w:color w:val="auto"/>
          <w:sz w:val="24"/>
          <w:highlight w:val="none"/>
        </w:rPr>
        <w:t>七、合同授予</w:t>
      </w:r>
      <w:bookmarkEnd w:id="217"/>
      <w:bookmarkEnd w:id="218"/>
      <w:bookmarkEnd w:id="219"/>
      <w:bookmarkEnd w:id="220"/>
      <w:bookmarkEnd w:id="221"/>
      <w:bookmarkEnd w:id="222"/>
      <w:bookmarkEnd w:id="223"/>
      <w:bookmarkEnd w:id="224"/>
      <w:bookmarkEnd w:id="225"/>
      <w:bookmarkEnd w:id="226"/>
      <w:bookmarkEnd w:id="227"/>
      <w:bookmarkEnd w:id="228"/>
    </w:p>
    <w:p w14:paraId="1EE79F3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
          <w:color w:val="auto"/>
          <w:szCs w:val="21"/>
          <w:highlight w:val="none"/>
        </w:rPr>
      </w:pPr>
      <w:r>
        <w:rPr>
          <w:rFonts w:hint="eastAsia" w:ascii="宋体"/>
          <w:b/>
          <w:color w:val="auto"/>
          <w:szCs w:val="21"/>
          <w:highlight w:val="none"/>
        </w:rPr>
        <w:t>（一）签订合同</w:t>
      </w:r>
    </w:p>
    <w:p w14:paraId="37BBBEA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1、中标人应自接到中标通知书后</w:t>
      </w:r>
      <w:r>
        <w:rPr>
          <w:rFonts w:hint="eastAsia" w:ascii="宋体"/>
          <w:color w:val="auto"/>
          <w:szCs w:val="21"/>
          <w:highlight w:val="none"/>
          <w:u w:val="single"/>
        </w:rPr>
        <w:t>30</w:t>
      </w:r>
      <w:r>
        <w:rPr>
          <w:rFonts w:hint="eastAsia" w:ascii="宋体"/>
          <w:color w:val="auto"/>
          <w:szCs w:val="21"/>
          <w:highlight w:val="none"/>
        </w:rPr>
        <w:t>天内与采购人签订合同。同时，采购人对合同内容进行审查，如发现与采购结果和投标承诺内容不一致的，应予以纠正。</w:t>
      </w:r>
    </w:p>
    <w:p w14:paraId="6172713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2、中标人拖延、拒签合同的，将被取消中标资格。</w:t>
      </w:r>
    </w:p>
    <w:p w14:paraId="25C1E349">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0"/>
        <w:textAlignment w:val="auto"/>
        <w:rPr>
          <w:b/>
          <w:bCs/>
          <w:color w:val="auto"/>
          <w:sz w:val="21"/>
          <w:szCs w:val="21"/>
          <w:highlight w:val="none"/>
        </w:rPr>
      </w:pPr>
      <w:bookmarkStart w:id="229" w:name="_Toc293916902"/>
      <w:r>
        <w:rPr>
          <w:rFonts w:hint="eastAsia"/>
          <w:b/>
          <w:bCs/>
          <w:color w:val="auto"/>
          <w:sz w:val="21"/>
          <w:szCs w:val="21"/>
          <w:highlight w:val="none"/>
        </w:rPr>
        <w:t>（二）招标代理服务费</w:t>
      </w:r>
      <w:bookmarkEnd w:id="229"/>
    </w:p>
    <w:p w14:paraId="447645F5">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bookmarkStart w:id="230" w:name="_Toc293916903"/>
      <w:r>
        <w:rPr>
          <w:rFonts w:hint="eastAsia"/>
          <w:color w:val="auto"/>
          <w:sz w:val="21"/>
          <w:szCs w:val="21"/>
          <w:highlight w:val="none"/>
        </w:rPr>
        <w:t>1、领取中标通知书时，中标人应按招标文件约定向采购代理机构缴纳招标代理服务费。</w:t>
      </w:r>
      <w:bookmarkEnd w:id="230"/>
    </w:p>
    <w:p w14:paraId="0E6D31D1">
      <w:pPr>
        <w:pStyle w:val="25"/>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bookmarkStart w:id="231" w:name="_Toc177870559"/>
      <w:r>
        <w:rPr>
          <w:rFonts w:hint="eastAsia"/>
          <w:color w:val="auto"/>
          <w:sz w:val="21"/>
          <w:szCs w:val="21"/>
          <w:highlight w:val="none"/>
        </w:rPr>
        <w:t>2、</w:t>
      </w:r>
      <w:r>
        <w:rPr>
          <w:rFonts w:hint="eastAsia" w:cs="宋体"/>
          <w:color w:val="auto"/>
          <w:sz w:val="21"/>
          <w:szCs w:val="21"/>
          <w:highlight w:val="none"/>
        </w:rPr>
        <w:t>招标代理费由中标单位支付。</w:t>
      </w:r>
    </w:p>
    <w:p w14:paraId="58EE8506">
      <w:pPr>
        <w:pStyle w:val="25"/>
        <w:adjustRightInd w:val="0"/>
        <w:snapToGrid w:val="0"/>
        <w:spacing w:beforeLines="0" w:afterLines="0"/>
        <w:ind w:left="0" w:firstLine="0"/>
        <w:jc w:val="left"/>
        <w:rPr>
          <w:b/>
          <w:color w:val="auto"/>
          <w:sz w:val="21"/>
          <w:szCs w:val="21"/>
          <w:highlight w:val="none"/>
        </w:rPr>
        <w:sectPr>
          <w:headerReference r:id="rId3" w:type="default"/>
          <w:footerReference r:id="rId4" w:type="default"/>
          <w:footerReference r:id="rId5" w:type="even"/>
          <w:pgSz w:w="11906" w:h="16838"/>
          <w:pgMar w:top="1361" w:right="1701" w:bottom="1361" w:left="1701" w:header="851" w:footer="907" w:gutter="0"/>
          <w:pgNumType w:start="0"/>
          <w:cols w:space="720" w:num="1"/>
          <w:titlePg/>
          <w:docGrid w:linePitch="312" w:charSpace="0"/>
        </w:sectPr>
      </w:pPr>
    </w:p>
    <w:p w14:paraId="1568426B">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0"/>
        <w:rPr>
          <w:rFonts w:ascii="宋体"/>
          <w:b/>
          <w:bCs/>
          <w:color w:val="auto"/>
          <w:sz w:val="32"/>
          <w:szCs w:val="30"/>
          <w:highlight w:val="none"/>
        </w:rPr>
      </w:pPr>
      <w:bookmarkStart w:id="232" w:name="_Toc299"/>
      <w:bookmarkStart w:id="233" w:name="_Toc28315"/>
      <w:bookmarkStart w:id="234" w:name="_Toc293916024"/>
      <w:bookmarkStart w:id="235" w:name="_Toc293916375"/>
      <w:bookmarkStart w:id="236" w:name="_Toc293917024"/>
      <w:bookmarkStart w:id="237" w:name="_Toc4875"/>
      <w:bookmarkStart w:id="238" w:name="_Toc293916907"/>
      <w:bookmarkStart w:id="239" w:name="_Toc26423"/>
      <w:bookmarkStart w:id="240" w:name="_Toc424544819"/>
      <w:bookmarkStart w:id="241" w:name="_Toc4587"/>
      <w:bookmarkStart w:id="242" w:name="_Toc424544540"/>
      <w:bookmarkStart w:id="243" w:name="_Toc11128"/>
      <w:r>
        <w:rPr>
          <w:rFonts w:hint="eastAsia" w:ascii="宋体"/>
          <w:b/>
          <w:bCs/>
          <w:color w:val="auto"/>
          <w:sz w:val="32"/>
          <w:szCs w:val="30"/>
          <w:highlight w:val="none"/>
        </w:rPr>
        <w:t>第四章、评标办法及评分标准</w:t>
      </w:r>
      <w:bookmarkEnd w:id="232"/>
      <w:bookmarkEnd w:id="233"/>
      <w:bookmarkEnd w:id="234"/>
      <w:bookmarkEnd w:id="235"/>
      <w:bookmarkEnd w:id="236"/>
      <w:bookmarkEnd w:id="237"/>
      <w:bookmarkEnd w:id="238"/>
      <w:bookmarkEnd w:id="239"/>
      <w:bookmarkEnd w:id="240"/>
      <w:bookmarkEnd w:id="241"/>
      <w:bookmarkEnd w:id="242"/>
      <w:bookmarkEnd w:id="243"/>
    </w:p>
    <w:p w14:paraId="05423A9B">
      <w:pPr>
        <w:adjustRightInd w:val="0"/>
        <w:snapToGrid w:val="0"/>
        <w:spacing w:line="400" w:lineRule="exact"/>
        <w:ind w:firstLine="420" w:firstLineChars="200"/>
        <w:rPr>
          <w:rFonts w:ascii="宋体"/>
          <w:color w:val="auto"/>
          <w:szCs w:val="21"/>
          <w:highlight w:val="none"/>
        </w:rPr>
      </w:pPr>
      <w:bookmarkStart w:id="244" w:name="_Toc293917026"/>
      <w:bookmarkStart w:id="245" w:name="_Toc10014"/>
      <w:bookmarkStart w:id="246" w:name="_Toc293916026"/>
      <w:bookmarkStart w:id="247" w:name="_Toc424544542"/>
      <w:bookmarkStart w:id="248" w:name="_Toc424544821"/>
      <w:bookmarkStart w:id="249" w:name="_Toc13283"/>
      <w:bookmarkStart w:id="250" w:name="_Toc26272"/>
      <w:bookmarkStart w:id="251" w:name="_Toc27595"/>
      <w:bookmarkStart w:id="252" w:name="_Toc293916377"/>
      <w:bookmarkStart w:id="253" w:name="_Toc21124"/>
      <w:bookmarkStart w:id="254" w:name="_Toc293916909"/>
      <w:bookmarkStart w:id="255" w:name="_Toc293916027"/>
      <w:bookmarkStart w:id="256" w:name="_Toc293916910"/>
      <w:bookmarkStart w:id="257" w:name="_Toc293916378"/>
      <w:bookmarkStart w:id="258" w:name="_Toc293917027"/>
      <w:r>
        <w:rPr>
          <w:rFonts w:hint="eastAsia" w:ascii="宋体"/>
          <w:color w:val="auto"/>
          <w:szCs w:val="21"/>
          <w:highlight w:val="none"/>
        </w:rPr>
        <w:t>为公正、公平、科学地选择中标人，根据《中华人民共和国政府采购法》等有关法律法规的规定，并结合本项目的实际，制定本办法。</w:t>
      </w:r>
    </w:p>
    <w:p w14:paraId="2C088F00">
      <w:pPr>
        <w:adjustRightInd w:val="0"/>
        <w:snapToGrid w:val="0"/>
        <w:spacing w:line="400" w:lineRule="exact"/>
        <w:ind w:firstLine="420" w:firstLineChars="200"/>
        <w:rPr>
          <w:rFonts w:ascii="宋体"/>
          <w:bCs/>
          <w:color w:val="auto"/>
          <w:szCs w:val="21"/>
          <w:highlight w:val="none"/>
        </w:rPr>
      </w:pPr>
      <w:r>
        <w:rPr>
          <w:rFonts w:hint="eastAsia" w:ascii="宋体"/>
          <w:color w:val="auto"/>
          <w:szCs w:val="21"/>
          <w:highlight w:val="none"/>
        </w:rPr>
        <w:t>本办法适用于</w:t>
      </w:r>
      <w:r>
        <w:rPr>
          <w:rFonts w:hint="eastAsia" w:ascii="宋体" w:cs="宋体"/>
          <w:color w:val="auto"/>
          <w:szCs w:val="21"/>
          <w:highlight w:val="none"/>
          <w:lang w:eastAsia="zh-CN"/>
        </w:rPr>
        <w:t>浙江省南湖监狱安防设施维保项目（</w:t>
      </w:r>
      <w:bookmarkStart w:id="299" w:name="_GoBack"/>
      <w:r>
        <w:rPr>
          <w:rFonts w:hint="eastAsia" w:ascii="宋体" w:cs="宋体"/>
          <w:color w:val="auto"/>
          <w:szCs w:val="21"/>
          <w:highlight w:val="none"/>
          <w:lang w:eastAsia="zh-CN"/>
        </w:rPr>
        <w:t>2025</w:t>
      </w:r>
      <w:bookmarkEnd w:id="299"/>
      <w:r>
        <w:rPr>
          <w:rFonts w:hint="eastAsia" w:ascii="宋体" w:cs="宋体"/>
          <w:color w:val="auto"/>
          <w:szCs w:val="21"/>
          <w:highlight w:val="none"/>
          <w:lang w:eastAsia="zh-CN"/>
        </w:rPr>
        <w:t>）</w:t>
      </w:r>
      <w:r>
        <w:rPr>
          <w:rFonts w:hint="eastAsia" w:ascii="宋体"/>
          <w:bCs/>
          <w:color w:val="auto"/>
          <w:szCs w:val="21"/>
          <w:highlight w:val="none"/>
        </w:rPr>
        <w:t>的评标。</w:t>
      </w:r>
    </w:p>
    <w:p w14:paraId="459049A9">
      <w:pPr>
        <w:spacing w:line="400" w:lineRule="exact"/>
        <w:rPr>
          <w:rFonts w:ascii="宋体"/>
          <w:b/>
          <w:color w:val="auto"/>
          <w:szCs w:val="21"/>
          <w:highlight w:val="none"/>
        </w:rPr>
      </w:pPr>
      <w:bookmarkStart w:id="259" w:name="_Toc424544820"/>
      <w:bookmarkStart w:id="260" w:name="_Toc1440"/>
      <w:bookmarkStart w:id="261" w:name="_Toc3256"/>
      <w:bookmarkStart w:id="262" w:name="_Toc15123"/>
      <w:bookmarkStart w:id="263" w:name="_Toc28834"/>
      <w:bookmarkStart w:id="264" w:name="_Toc24532"/>
      <w:bookmarkStart w:id="265" w:name="_Toc424544541"/>
      <w:r>
        <w:rPr>
          <w:rFonts w:hint="eastAsia" w:ascii="宋体"/>
          <w:b/>
          <w:color w:val="auto"/>
          <w:szCs w:val="21"/>
          <w:highlight w:val="none"/>
        </w:rPr>
        <w:t>一、总则</w:t>
      </w:r>
      <w:bookmarkEnd w:id="259"/>
      <w:bookmarkEnd w:id="260"/>
      <w:bookmarkEnd w:id="261"/>
      <w:bookmarkEnd w:id="262"/>
      <w:bookmarkEnd w:id="263"/>
      <w:bookmarkEnd w:id="264"/>
      <w:bookmarkEnd w:id="265"/>
    </w:p>
    <w:p w14:paraId="24DABCE6">
      <w:pPr>
        <w:autoSpaceDE w:val="0"/>
        <w:autoSpaceDN w:val="0"/>
        <w:adjustRightInd w:val="0"/>
        <w:spacing w:line="400" w:lineRule="exact"/>
        <w:ind w:firstLine="424" w:firstLineChars="202"/>
        <w:rPr>
          <w:rFonts w:ascii="宋体"/>
          <w:color w:val="auto"/>
          <w:szCs w:val="21"/>
          <w:highlight w:val="none"/>
        </w:rPr>
      </w:pPr>
      <w:r>
        <w:rPr>
          <w:rFonts w:hint="eastAsia" w:ascii="宋体"/>
          <w:color w:val="auto"/>
          <w:szCs w:val="21"/>
          <w:highlight w:val="none"/>
        </w:rPr>
        <w:t>本次评标采用综合评分法，总分为100分。其中价格分</w:t>
      </w:r>
      <w:r>
        <w:rPr>
          <w:rFonts w:hint="eastAsia" w:ascii="宋体"/>
          <w:color w:val="auto"/>
          <w:szCs w:val="21"/>
          <w:highlight w:val="none"/>
          <w:lang w:val="en-US" w:eastAsia="zh-CN"/>
        </w:rPr>
        <w:t>50</w:t>
      </w:r>
      <w:r>
        <w:rPr>
          <w:rFonts w:hint="eastAsia" w:ascii="宋体"/>
          <w:color w:val="auto"/>
          <w:szCs w:val="21"/>
          <w:highlight w:val="none"/>
        </w:rPr>
        <w:t>分，商务技术分为</w:t>
      </w:r>
      <w:r>
        <w:rPr>
          <w:rFonts w:hint="eastAsia" w:ascii="宋体"/>
          <w:color w:val="auto"/>
          <w:szCs w:val="21"/>
          <w:highlight w:val="none"/>
          <w:lang w:val="en-US" w:eastAsia="zh-CN"/>
        </w:rPr>
        <w:t>5</w:t>
      </w:r>
      <w:r>
        <w:rPr>
          <w:rFonts w:hint="eastAsia" w:ascii="宋体"/>
          <w:color w:val="auto"/>
          <w:szCs w:val="21"/>
          <w:highlight w:val="none"/>
        </w:rPr>
        <w:t>0分。合格投标人的评标得分为各项目汇总得分，中标候选资格按评标得分由高到低顺序排列，得分相同的，按投标报价由低到高顺序排列；得分且投标报价相同的并列。排名第一的投标人为中标人，排名第二的投标人为中标候选人......其他投标人中标候选资格以此类推。评分过程中采用四舍五入法，并保留小数2位。</w:t>
      </w:r>
    </w:p>
    <w:p w14:paraId="6B985FF3">
      <w:pPr>
        <w:autoSpaceDE w:val="0"/>
        <w:autoSpaceDN w:val="0"/>
        <w:adjustRightIn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投标人评标综合得分=价格分+（技术、商务及其他分）</w:t>
      </w:r>
    </w:p>
    <w:p w14:paraId="2A18275E">
      <w:pPr>
        <w:autoSpaceDE w:val="0"/>
        <w:autoSpaceDN w:val="0"/>
        <w:adjustRightIn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技术、商务及其他分按照评标委员会成员的独立评分结果汇总后的算术平均分计算，计算公式为：</w:t>
      </w:r>
    </w:p>
    <w:p w14:paraId="4BED7BD8">
      <w:pPr>
        <w:autoSpaceDE w:val="0"/>
        <w:autoSpaceDN w:val="0"/>
        <w:adjustRightIn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技术、商务及其他分=评标委员会所有成员评分合计数/评标委员会组成人员数</w:t>
      </w:r>
    </w:p>
    <w:p w14:paraId="2CC755BB">
      <w:pPr>
        <w:spacing w:line="400" w:lineRule="exact"/>
        <w:rPr>
          <w:rFonts w:ascii="宋体"/>
          <w:b/>
          <w:color w:val="auto"/>
          <w:szCs w:val="21"/>
          <w:highlight w:val="none"/>
        </w:rPr>
      </w:pPr>
      <w:r>
        <w:rPr>
          <w:rFonts w:hint="eastAsia" w:ascii="宋体"/>
          <w:b/>
          <w:color w:val="auto"/>
          <w:szCs w:val="21"/>
          <w:highlight w:val="none"/>
        </w:rPr>
        <w:t>二、评标内容及标准</w:t>
      </w:r>
    </w:p>
    <w:p w14:paraId="6D17179F">
      <w:pPr>
        <w:numPr>
          <w:ilvl w:val="0"/>
          <w:numId w:val="21"/>
        </w:num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价格分（</w:t>
      </w:r>
      <w:r>
        <w:rPr>
          <w:rFonts w:hint="eastAsia" w:ascii="宋体" w:hAnsi="宋体"/>
          <w:b/>
          <w:color w:val="auto"/>
          <w:szCs w:val="21"/>
          <w:highlight w:val="none"/>
          <w:lang w:val="en-US" w:eastAsia="zh-CN"/>
        </w:rPr>
        <w:t>5</w:t>
      </w:r>
      <w:r>
        <w:rPr>
          <w:rFonts w:hint="eastAsia" w:ascii="宋体" w:hAnsi="宋体"/>
          <w:b/>
          <w:color w:val="auto"/>
          <w:szCs w:val="21"/>
          <w:highlight w:val="none"/>
        </w:rPr>
        <w:t>0分）</w:t>
      </w:r>
    </w:p>
    <w:p w14:paraId="47997F72">
      <w:pPr>
        <w:spacing w:line="400" w:lineRule="exact"/>
        <w:ind w:firstLine="420" w:firstLineChars="200"/>
        <w:rPr>
          <w:rFonts w:ascii="宋体" w:hAnsi="宋体"/>
          <w:color w:val="auto"/>
          <w:szCs w:val="21"/>
          <w:highlight w:val="none"/>
        </w:rPr>
      </w:pPr>
      <w:r>
        <w:rPr>
          <w:rStyle w:val="74"/>
          <w:rFonts w:hint="eastAsia" w:ascii="宋体" w:hAnsi="宋体" w:cs="宋体"/>
          <w:color w:val="auto"/>
          <w:highlight w:val="none"/>
        </w:rPr>
        <w:t>1、</w:t>
      </w:r>
      <w:r>
        <w:rPr>
          <w:rStyle w:val="74"/>
          <w:rFonts w:ascii="宋体" w:hAnsi="宋体" w:cs="宋体"/>
          <w:color w:val="auto"/>
          <w:highlight w:val="none"/>
          <w:lang w:val="zh-TW" w:eastAsia="zh-TW"/>
        </w:rPr>
        <w:t>满足招标文件要求且投标</w:t>
      </w:r>
      <w:r>
        <w:rPr>
          <w:rStyle w:val="74"/>
          <w:rFonts w:hint="eastAsia" w:ascii="宋体" w:hAnsi="宋体" w:cs="宋体"/>
          <w:color w:val="auto"/>
          <w:highlight w:val="none"/>
          <w:lang w:val="zh-TW"/>
        </w:rPr>
        <w:t>报价</w:t>
      </w:r>
      <w:r>
        <w:rPr>
          <w:rStyle w:val="74"/>
          <w:rFonts w:ascii="宋体" w:hAnsi="宋体" w:cs="宋体"/>
          <w:color w:val="auto"/>
          <w:highlight w:val="none"/>
          <w:lang w:val="zh-TW" w:eastAsia="zh-TW"/>
        </w:rPr>
        <w:t>最低</w:t>
      </w:r>
      <w:r>
        <w:rPr>
          <w:rStyle w:val="74"/>
          <w:rFonts w:hint="eastAsia" w:ascii="宋体" w:hAnsi="宋体" w:cs="宋体"/>
          <w:color w:val="auto"/>
          <w:highlight w:val="none"/>
          <w:lang w:val="zh-TW"/>
        </w:rPr>
        <w:t>的</w:t>
      </w:r>
      <w:r>
        <w:rPr>
          <w:rStyle w:val="74"/>
          <w:rFonts w:ascii="宋体" w:hAnsi="宋体" w:cs="宋体"/>
          <w:color w:val="auto"/>
          <w:highlight w:val="none"/>
          <w:lang w:val="zh-TW" w:eastAsia="zh-TW"/>
        </w:rPr>
        <w:t>为评标基准价，有效投标人的投标</w:t>
      </w:r>
      <w:r>
        <w:rPr>
          <w:rStyle w:val="74"/>
          <w:rFonts w:hint="eastAsia" w:ascii="宋体" w:hAnsi="宋体" w:cs="宋体"/>
          <w:color w:val="auto"/>
          <w:highlight w:val="none"/>
          <w:lang w:val="zh-TW"/>
        </w:rPr>
        <w:t>报价</w:t>
      </w:r>
      <w:r>
        <w:rPr>
          <w:rStyle w:val="74"/>
          <w:rFonts w:ascii="宋体" w:hAnsi="宋体" w:cs="宋体"/>
          <w:color w:val="auto"/>
          <w:highlight w:val="none"/>
          <w:lang w:val="zh-TW" w:eastAsia="zh-TW"/>
        </w:rPr>
        <w:t>等于评标基准价时其报价分为满分</w:t>
      </w:r>
      <w:r>
        <w:rPr>
          <w:rStyle w:val="74"/>
          <w:rFonts w:hint="eastAsia" w:ascii="宋体" w:hAnsi="宋体" w:cs="宋体"/>
          <w:color w:val="auto"/>
          <w:highlight w:val="none"/>
          <w:lang w:val="en-US" w:eastAsia="zh-CN"/>
        </w:rPr>
        <w:t>50</w:t>
      </w:r>
      <w:r>
        <w:rPr>
          <w:rStyle w:val="74"/>
          <w:rFonts w:ascii="宋体" w:hAnsi="宋体" w:cs="宋体"/>
          <w:color w:val="auto"/>
          <w:highlight w:val="none"/>
          <w:lang w:val="zh-TW" w:eastAsia="zh-TW"/>
        </w:rPr>
        <w:t>分，其他投标人的价格分按照下列公式计算</w:t>
      </w:r>
      <w:r>
        <w:rPr>
          <w:rFonts w:hint="eastAsia" w:ascii="宋体" w:hAnsi="宋体"/>
          <w:color w:val="auto"/>
          <w:szCs w:val="21"/>
          <w:highlight w:val="none"/>
        </w:rPr>
        <w:t>：</w:t>
      </w:r>
    </w:p>
    <w:p w14:paraId="4FB7EE0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价格分=（</w:t>
      </w:r>
      <w:r>
        <w:rPr>
          <w:rStyle w:val="74"/>
          <w:rFonts w:ascii="宋体" w:hAnsi="宋体" w:cs="宋体"/>
          <w:color w:val="auto"/>
          <w:highlight w:val="none"/>
          <w:lang w:val="zh-TW" w:eastAsia="zh-TW"/>
        </w:rPr>
        <w:t>评标基准价</w:t>
      </w:r>
      <w:r>
        <w:rPr>
          <w:rStyle w:val="74"/>
          <w:rFonts w:ascii="宋体" w:hAnsi="宋体" w:cs="宋体"/>
          <w:color w:val="auto"/>
          <w:highlight w:val="none"/>
        </w:rPr>
        <w:t>/</w:t>
      </w:r>
      <w:r>
        <w:rPr>
          <w:rStyle w:val="74"/>
          <w:rFonts w:ascii="宋体" w:hAnsi="宋体" w:cs="宋体"/>
          <w:color w:val="auto"/>
          <w:highlight w:val="none"/>
          <w:lang w:val="zh-TW" w:eastAsia="zh-TW"/>
        </w:rPr>
        <w:t>投标</w:t>
      </w:r>
      <w:r>
        <w:rPr>
          <w:rStyle w:val="74"/>
          <w:rFonts w:hint="eastAsia" w:ascii="宋体" w:hAnsi="宋体" w:cs="宋体"/>
          <w:color w:val="auto"/>
          <w:highlight w:val="none"/>
          <w:lang w:val="zh-TW"/>
        </w:rPr>
        <w:t>单价</w:t>
      </w:r>
      <w:r>
        <w:rPr>
          <w:rFonts w:hint="eastAsia" w:ascii="宋体" w:hAnsi="宋体"/>
          <w:color w:val="auto"/>
          <w:szCs w:val="21"/>
          <w:highlight w:val="none"/>
        </w:rPr>
        <w:t>）×</w:t>
      </w:r>
      <w:r>
        <w:rPr>
          <w:rFonts w:hint="eastAsia" w:ascii="宋体" w:hAnsi="宋体"/>
          <w:color w:val="auto"/>
          <w:szCs w:val="21"/>
          <w:highlight w:val="none"/>
          <w:lang w:val="en-US" w:eastAsia="zh-CN"/>
        </w:rPr>
        <w:t>50</w:t>
      </w:r>
      <w:r>
        <w:rPr>
          <w:rFonts w:hint="eastAsia" w:ascii="宋体" w:hAnsi="宋体"/>
          <w:color w:val="auto"/>
          <w:szCs w:val="21"/>
          <w:highlight w:val="none"/>
        </w:rPr>
        <w:t>%×100（保留小数2位）</w:t>
      </w:r>
    </w:p>
    <w:p w14:paraId="3F8C5A89">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2、投标人的投标报价超过采购人给定的</w:t>
      </w:r>
      <w:r>
        <w:rPr>
          <w:rFonts w:hint="eastAsia" w:ascii="宋体" w:hAnsi="宋体"/>
          <w:b/>
          <w:bCs/>
          <w:color w:val="auto"/>
          <w:szCs w:val="21"/>
          <w:highlight w:val="none"/>
          <w:lang w:val="en-US" w:eastAsia="zh-CN"/>
        </w:rPr>
        <w:t>预算</w:t>
      </w:r>
      <w:r>
        <w:rPr>
          <w:rFonts w:hint="eastAsia" w:ascii="宋体" w:hAnsi="宋体"/>
          <w:b/>
          <w:bCs/>
          <w:color w:val="auto"/>
          <w:szCs w:val="21"/>
          <w:highlight w:val="none"/>
        </w:rPr>
        <w:t>的，作无效标处理。</w:t>
      </w:r>
    </w:p>
    <w:p w14:paraId="0FFDEA3B">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rPr>
        <w:t>3、</w:t>
      </w:r>
      <w:r>
        <w:rPr>
          <w:rFonts w:hint="eastAsia" w:ascii="宋体" w:hAnsi="宋体"/>
          <w:b w:val="0"/>
          <w:bCs w:val="0"/>
          <w:color w:val="auto"/>
          <w:szCs w:val="21"/>
          <w:highlight w:val="none"/>
          <w:lang w:val="zh-TW" w:eastAsia="zh-TW"/>
        </w:rPr>
        <w:t>根据《政府采购促进中小企业发展管理办法》（财库﹝2020﹞46 号）</w:t>
      </w:r>
      <w:r>
        <w:rPr>
          <w:rFonts w:hint="eastAsia" w:ascii="宋体" w:hAnsi="宋体"/>
          <w:color w:val="auto"/>
          <w:szCs w:val="21"/>
          <w:highlight w:val="none"/>
        </w:rPr>
        <w:t>和据《财政部关于进一步加大政府采购支持中小企业力度的通知》（财库﹝2022﹞19号）</w:t>
      </w:r>
      <w:r>
        <w:rPr>
          <w:rFonts w:hint="eastAsia" w:ascii="宋体" w:hAnsi="宋体"/>
          <w:b w:val="0"/>
          <w:bCs w:val="0"/>
          <w:color w:val="auto"/>
          <w:szCs w:val="21"/>
          <w:highlight w:val="none"/>
          <w:lang w:val="zh-TW" w:eastAsia="zh-TW"/>
        </w:rPr>
        <w:t>，对小型或微型企业参加投标且投标产品（或服务）为小型或微型企业生产（提供服务）的，价格给予10%的扣除，用扣除后的价格参与价格评分。小型、微型企业以联合体参加投标的，联合体协议中约定，小型、微型企业产品的协议合同金额占到联合体协议合同总金额30%以上的，投标报价给予</w:t>
      </w:r>
      <w:r>
        <w:rPr>
          <w:rFonts w:hint="eastAsia" w:ascii="宋体" w:hAnsi="宋体"/>
          <w:b w:val="0"/>
          <w:bCs w:val="0"/>
          <w:color w:val="auto"/>
          <w:szCs w:val="21"/>
          <w:highlight w:val="none"/>
          <w:lang w:val="en-US" w:eastAsia="zh-CN"/>
        </w:rPr>
        <w:t>4</w:t>
      </w:r>
      <w:r>
        <w:rPr>
          <w:rFonts w:hint="eastAsia" w:ascii="宋体" w:hAnsi="宋体"/>
          <w:b w:val="0"/>
          <w:bCs w:val="0"/>
          <w:color w:val="auto"/>
          <w:szCs w:val="21"/>
          <w:highlight w:val="none"/>
          <w:lang w:val="zh-TW" w:eastAsia="zh-TW"/>
        </w:rPr>
        <w:t xml:space="preserve">%的扣除，并用扣除后的价格计算价格评分。组成联合体的大中型企业和其他自然人、法人或者其他组织，与小型、微型企业之间不得存在投资关系，否则不予价格扣除。 </w:t>
      </w:r>
    </w:p>
    <w:p w14:paraId="68C6281D">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 xml:space="preserve">投标人提供服务的企业按照《关于印发中小企业划型标准规定的通知》（工信部联企业〔2011〕300 号）的所属行业规定为小型、微型企业。投标文件中必须提供《中小企业声明函》； </w:t>
      </w:r>
    </w:p>
    <w:p w14:paraId="3A6E6ED5">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en-US" w:eastAsia="zh-CN"/>
        </w:rPr>
        <w:t>4、</w:t>
      </w:r>
      <w:r>
        <w:rPr>
          <w:rFonts w:hint="eastAsia" w:ascii="宋体" w:hAnsi="宋体"/>
          <w:b w:val="0"/>
          <w:bCs w:val="0"/>
          <w:color w:val="auto"/>
          <w:szCs w:val="21"/>
          <w:highlight w:val="none"/>
          <w:lang w:val="zh-TW" w:eastAsia="zh-TW"/>
        </w:rPr>
        <w:t xml:space="preserve">残疾人福利性单位视同小微企业，其产品参加本项目投标的，享受小微企业同等的价格扣除。 </w:t>
      </w:r>
    </w:p>
    <w:p w14:paraId="7B410E9E">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 xml:space="preserve">4.1 残疾人福利性单位应当同时满足以下条件： </w:t>
      </w:r>
    </w:p>
    <w:p w14:paraId="38C0A3E4">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 xml:space="preserve">① 安置的残疾人占本单位在职职工人数的比例不低于 25%（含 25%），并且安置的残疾人人数不少于10人（含10人）； </w:t>
      </w:r>
    </w:p>
    <w:p w14:paraId="0458B0E9">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 xml:space="preserve">②依法与安置的每位残疾人签订了一年以上（含一年）的劳动合同或服务协议； </w:t>
      </w:r>
    </w:p>
    <w:p w14:paraId="3A824C79">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 xml:space="preserve">③为安置的每位残疾人按月足额缴纳了基本养老保险、基本医疗保险、失业保险、工伤保险和生育保险等社会保险费； </w:t>
      </w:r>
    </w:p>
    <w:p w14:paraId="36308321">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 xml:space="preserve">④通过银行等金融机构向安置的每位残疾人，按月支付了不低于单位所在区县适用的经省级人民政府批准的月最低工资标准的工资； </w:t>
      </w:r>
    </w:p>
    <w:p w14:paraId="546EF567">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 xml:space="preserve">⑤提供本单位制造的货物、承担的工程或者服务（以下简称产品），或者提供其他残疾人福利性单位制 造的货物（不包括使用非残疾人福利性单位注册商标的货物）。 </w:t>
      </w:r>
    </w:p>
    <w:p w14:paraId="75FB4202">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 xml:space="preserve">4.2 同时提供以下所有证明材料的投标人被认定为残疾人福利性单位： </w:t>
      </w:r>
    </w:p>
    <w:p w14:paraId="5615EC0F">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 xml:space="preserve">① 提供《残疾人福利性单位声明函》； </w:t>
      </w:r>
    </w:p>
    <w:p w14:paraId="0CB8962A">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 xml:space="preserve">② 提供社保缴纳人员名单、录用的残疾人的《中华人民共和国残疾人证》或者《中华人民共和国残疾军人证(1 至 8 级)》复印件。 </w:t>
      </w:r>
    </w:p>
    <w:p w14:paraId="701BE700">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en-US" w:eastAsia="zh-CN"/>
        </w:rPr>
        <w:t>5、</w:t>
      </w:r>
      <w:r>
        <w:rPr>
          <w:rFonts w:hint="eastAsia" w:ascii="宋体" w:hAnsi="宋体"/>
          <w:b w:val="0"/>
          <w:bCs w:val="0"/>
          <w:color w:val="auto"/>
          <w:szCs w:val="21"/>
          <w:highlight w:val="none"/>
          <w:lang w:val="zh-TW" w:eastAsia="zh-TW"/>
        </w:rPr>
        <w:t xml:space="preserve">监狱企业视同小微企业，其产品参加本项目投标的，享受小微企业同等的价格扣除。 </w:t>
      </w:r>
    </w:p>
    <w:p w14:paraId="2BABDE28">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 xml:space="preserve">提供以下证明材料的投标人被认定为监狱企业：省级以上监狱管理局、戒毒管理局（含新疆生产建设兵团）出具的属于监狱企业的证明文件复印件。  </w:t>
      </w:r>
    </w:p>
    <w:p w14:paraId="3C2A889C">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en-US" w:eastAsia="zh-CN"/>
        </w:rPr>
        <w:t>6、</w:t>
      </w:r>
      <w:r>
        <w:rPr>
          <w:rFonts w:hint="eastAsia" w:ascii="宋体" w:hAnsi="宋体"/>
          <w:b w:val="0"/>
          <w:bCs w:val="0"/>
          <w:color w:val="auto"/>
          <w:szCs w:val="21"/>
          <w:highlight w:val="none"/>
          <w:lang w:val="zh-TW" w:eastAsia="zh-TW"/>
        </w:rPr>
        <w:t>评审中出现下列情形之一的，评标委员会应当启动异常低价投标（响应）审查程序：</w:t>
      </w:r>
    </w:p>
    <w:p w14:paraId="3E44BA4C">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（一）投标（响应）报价低于全部通过符合性审查供应商投标（响应）报价平均值50%的，即投标（响应）报价</w:t>
      </w:r>
      <w:r>
        <w:rPr>
          <w:rFonts w:hint="eastAsia" w:ascii="宋体" w:hAnsi="宋体"/>
          <w:b w:val="0"/>
          <w:bCs w:val="0"/>
          <w:color w:val="auto"/>
          <w:szCs w:val="21"/>
          <w:highlight w:val="none"/>
          <w:lang w:val="en-US" w:eastAsia="zh-CN"/>
        </w:rPr>
        <w:t>＜</w:t>
      </w:r>
      <w:r>
        <w:rPr>
          <w:rFonts w:hint="eastAsia" w:ascii="宋体" w:hAnsi="宋体"/>
          <w:b w:val="0"/>
          <w:bCs w:val="0"/>
          <w:color w:val="auto"/>
          <w:szCs w:val="21"/>
          <w:highlight w:val="none"/>
          <w:lang w:val="zh-TW" w:eastAsia="zh-TW"/>
        </w:rPr>
        <w:t>全部通过符合性审查供应商投标（响应）报价平均值×50%；</w:t>
      </w:r>
    </w:p>
    <w:p w14:paraId="55179B03">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（二）投标（响应）报价低于通过符合性审查且报价次低供应商投标（响应）报价50%的，即投标（响应）报价</w:t>
      </w:r>
      <w:r>
        <w:rPr>
          <w:rFonts w:hint="eastAsia" w:ascii="宋体" w:hAnsi="宋体"/>
          <w:b w:val="0"/>
          <w:bCs w:val="0"/>
          <w:color w:val="auto"/>
          <w:szCs w:val="21"/>
          <w:highlight w:val="none"/>
          <w:lang w:val="en-US" w:eastAsia="zh-CN"/>
        </w:rPr>
        <w:t>＜</w:t>
      </w:r>
      <w:r>
        <w:rPr>
          <w:rFonts w:hint="eastAsia" w:ascii="宋体" w:hAnsi="宋体"/>
          <w:b w:val="0"/>
          <w:bCs w:val="0"/>
          <w:color w:val="auto"/>
          <w:szCs w:val="21"/>
          <w:highlight w:val="none"/>
          <w:lang w:val="zh-TW" w:eastAsia="zh-TW"/>
        </w:rPr>
        <w:t>通过符合性审查且报价次低供应商投标（响应）报价×50%；</w:t>
      </w:r>
    </w:p>
    <w:p w14:paraId="42BFCAA5">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（三）投标（响应）报价低于采购项目最高限价45%的，即投标（响应）报价</w:t>
      </w:r>
      <w:r>
        <w:rPr>
          <w:rFonts w:hint="eastAsia" w:ascii="宋体" w:hAnsi="宋体"/>
          <w:b w:val="0"/>
          <w:bCs w:val="0"/>
          <w:color w:val="auto"/>
          <w:szCs w:val="21"/>
          <w:highlight w:val="none"/>
          <w:lang w:val="en-US" w:eastAsia="zh-CN"/>
        </w:rPr>
        <w:t>＜</w:t>
      </w:r>
      <w:r>
        <w:rPr>
          <w:rFonts w:hint="eastAsia" w:ascii="宋体" w:hAnsi="宋体"/>
          <w:b w:val="0"/>
          <w:bCs w:val="0"/>
          <w:color w:val="auto"/>
          <w:szCs w:val="21"/>
          <w:highlight w:val="none"/>
          <w:lang w:val="zh-TW" w:eastAsia="zh-TW"/>
        </w:rPr>
        <w:t>采购项目最高限价×45%；</w:t>
      </w:r>
    </w:p>
    <w:p w14:paraId="4DD020FA">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（四）其他评审委员会认为供应商报价过低，有可能影响产品质量或者不能诚信履约的情形。</w:t>
      </w:r>
    </w:p>
    <w:p w14:paraId="5E2D4F40">
      <w:pPr>
        <w:spacing w:line="400" w:lineRule="exact"/>
        <w:ind w:firstLine="420" w:firstLineChars="200"/>
        <w:rPr>
          <w:rFonts w:hint="eastAsia" w:ascii="宋体" w:hAnsi="宋体"/>
          <w:b w:val="0"/>
          <w:bCs w:val="0"/>
          <w:color w:val="auto"/>
          <w:szCs w:val="21"/>
          <w:highlight w:val="none"/>
          <w:lang w:val="zh-TW" w:eastAsia="zh-TW"/>
        </w:rPr>
      </w:pPr>
      <w:r>
        <w:rPr>
          <w:rFonts w:hint="eastAsia" w:ascii="宋体" w:hAnsi="宋体"/>
          <w:b w:val="0"/>
          <w:bCs w:val="0"/>
          <w:color w:val="auto"/>
          <w:szCs w:val="21"/>
          <w:highlight w:val="none"/>
          <w:lang w:val="zh-TW" w:eastAsia="zh-TW"/>
        </w:rPr>
        <w:t>评审委员会启动异常低价投标（响应）审查后，要求投标人在评审现场30分钟内提供书面说明及必要的证明材料，对投标（响应）价格作出解释。书面说明、证明材料主要是项目具体成本测算等与报价合理性相关的说明、材料。</w:t>
      </w:r>
    </w:p>
    <w:p w14:paraId="0EE35D29">
      <w:pPr>
        <w:spacing w:line="400" w:lineRule="exact"/>
        <w:ind w:firstLine="420" w:firstLineChars="200"/>
        <w:rPr>
          <w:rFonts w:ascii="宋体" w:hAnsi="宋体"/>
          <w:b w:val="0"/>
          <w:bCs w:val="0"/>
          <w:color w:val="auto"/>
          <w:szCs w:val="21"/>
          <w:highlight w:val="none"/>
        </w:rPr>
      </w:pPr>
      <w:r>
        <w:rPr>
          <w:rFonts w:hint="eastAsia" w:ascii="宋体" w:hAnsi="宋体"/>
          <w:b w:val="0"/>
          <w:bCs w:val="0"/>
          <w:color w:val="auto"/>
          <w:szCs w:val="21"/>
          <w:highlight w:val="none"/>
          <w:lang w:val="zh-TW" w:eastAsia="zh-TW"/>
        </w:rPr>
        <w:t>如果投标（响应）供应商不提供书面说明、证明材料，或者提供的书面说明、证明材料不能证明其报价合理性的，应当将其作为无效投标（响应）处理。审查相关情况应当在评审报告中记录。</w:t>
      </w:r>
    </w:p>
    <w:bookmarkEnd w:id="244"/>
    <w:bookmarkEnd w:id="245"/>
    <w:bookmarkEnd w:id="246"/>
    <w:bookmarkEnd w:id="247"/>
    <w:bookmarkEnd w:id="248"/>
    <w:bookmarkEnd w:id="249"/>
    <w:bookmarkEnd w:id="250"/>
    <w:bookmarkEnd w:id="251"/>
    <w:bookmarkEnd w:id="252"/>
    <w:bookmarkEnd w:id="253"/>
    <w:bookmarkEnd w:id="254"/>
    <w:p w14:paraId="0B3BDE84">
      <w:pPr>
        <w:spacing w:line="400" w:lineRule="exact"/>
        <w:ind w:firstLine="422" w:firstLineChars="200"/>
        <w:rPr>
          <w:rFonts w:ascii="宋体" w:hAnsi="宋体"/>
          <w:b/>
          <w:color w:val="auto"/>
          <w:szCs w:val="21"/>
          <w:highlight w:val="none"/>
        </w:rPr>
      </w:pPr>
      <w:bookmarkStart w:id="266" w:name="_Toc10740"/>
      <w:bookmarkStart w:id="267" w:name="_Toc10087"/>
      <w:bookmarkStart w:id="268" w:name="_Toc23846"/>
      <w:bookmarkStart w:id="269" w:name="_Toc29739"/>
      <w:bookmarkStart w:id="270" w:name="_Toc22798"/>
      <w:bookmarkStart w:id="271" w:name="_Toc24896"/>
      <w:bookmarkStart w:id="272" w:name="_Toc424544543"/>
      <w:bookmarkStart w:id="273" w:name="_Toc424544822"/>
      <w:r>
        <w:rPr>
          <w:rFonts w:hint="eastAsia" w:ascii="宋体" w:hAnsi="宋体"/>
          <w:b/>
          <w:color w:val="auto"/>
          <w:szCs w:val="21"/>
          <w:highlight w:val="none"/>
        </w:rPr>
        <w:t>（二）</w:t>
      </w:r>
      <w:r>
        <w:rPr>
          <w:rFonts w:hint="eastAsia" w:ascii="宋体" w:hAnsi="宋体" w:cs="Arial"/>
          <w:b/>
          <w:snapToGrid w:val="0"/>
          <w:color w:val="auto"/>
          <w:kern w:val="0"/>
          <w:szCs w:val="21"/>
          <w:highlight w:val="none"/>
        </w:rPr>
        <w:t>技术、商务及其他分</w:t>
      </w:r>
      <w:r>
        <w:rPr>
          <w:rFonts w:hint="eastAsia" w:ascii="宋体" w:hAnsi="宋体"/>
          <w:b/>
          <w:color w:val="auto"/>
          <w:szCs w:val="21"/>
          <w:highlight w:val="none"/>
        </w:rPr>
        <w:t>（</w:t>
      </w:r>
      <w:r>
        <w:rPr>
          <w:rFonts w:hint="eastAsia" w:ascii="宋体" w:hAnsi="宋体"/>
          <w:b/>
          <w:color w:val="auto"/>
          <w:szCs w:val="21"/>
          <w:highlight w:val="none"/>
          <w:lang w:val="en-US" w:eastAsia="zh-CN"/>
        </w:rPr>
        <w:t>5</w:t>
      </w:r>
      <w:r>
        <w:rPr>
          <w:rFonts w:hint="eastAsia" w:ascii="宋体" w:hAnsi="宋体"/>
          <w:b/>
          <w:color w:val="auto"/>
          <w:szCs w:val="21"/>
          <w:highlight w:val="none"/>
        </w:rPr>
        <w:t>0分）</w:t>
      </w:r>
    </w:p>
    <w:tbl>
      <w:tblPr>
        <w:tblStyle w:val="60"/>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87"/>
        <w:gridCol w:w="638"/>
        <w:gridCol w:w="6162"/>
      </w:tblGrid>
      <w:tr w14:paraId="50D7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60CE33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snapToGrid w:val="0"/>
                <w:color w:val="auto"/>
                <w:sz w:val="21"/>
                <w:szCs w:val="21"/>
                <w:highlight w:val="none"/>
              </w:rPr>
              <w:t>序号</w:t>
            </w:r>
          </w:p>
        </w:tc>
        <w:tc>
          <w:tcPr>
            <w:tcW w:w="1187" w:type="dxa"/>
            <w:vAlign w:val="center"/>
          </w:tcPr>
          <w:p w14:paraId="64BC68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638" w:type="dxa"/>
            <w:vAlign w:val="center"/>
          </w:tcPr>
          <w:p w14:paraId="3D21D6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162" w:type="dxa"/>
            <w:vAlign w:val="center"/>
          </w:tcPr>
          <w:p w14:paraId="46922E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0729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41C340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p>
        </w:tc>
        <w:tc>
          <w:tcPr>
            <w:tcW w:w="1187" w:type="dxa"/>
            <w:vAlign w:val="center"/>
          </w:tcPr>
          <w:p w14:paraId="28D2B8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需求理解和分析</w:t>
            </w:r>
          </w:p>
        </w:tc>
        <w:tc>
          <w:tcPr>
            <w:tcW w:w="638" w:type="dxa"/>
            <w:vAlign w:val="center"/>
          </w:tcPr>
          <w:p w14:paraId="3AEB781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162" w:type="dxa"/>
            <w:vAlign w:val="center"/>
          </w:tcPr>
          <w:p w14:paraId="43564F2F">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p w14:paraId="158526B9">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浙江省南湖监狱安防设备维修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安防系统巡检/维护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网络/机房维护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设备维护</w:t>
            </w:r>
            <w:r>
              <w:rPr>
                <w:rFonts w:hint="eastAsia" w:ascii="宋体" w:hAnsi="宋体" w:eastAsia="宋体" w:cs="宋体"/>
                <w:color w:val="auto"/>
                <w:sz w:val="21"/>
                <w:szCs w:val="21"/>
                <w:highlight w:val="none"/>
              </w:rPr>
              <w:t>的需求理解和分析，根据提供的项目分析方案的完整性、合理性进行打分</w:t>
            </w:r>
            <w:r>
              <w:rPr>
                <w:rFonts w:hint="eastAsia" w:ascii="宋体" w:hAnsi="宋体" w:eastAsia="宋体" w:cs="宋体"/>
                <w:color w:val="auto"/>
                <w:sz w:val="21"/>
                <w:szCs w:val="21"/>
                <w:highlight w:val="none"/>
                <w:lang w:eastAsia="zh-CN"/>
              </w:rPr>
              <w:t>，分别给予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未提供的不得分。</w:t>
            </w:r>
          </w:p>
        </w:tc>
      </w:tr>
      <w:tr w14:paraId="1608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0FFA16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2</w:t>
            </w:r>
          </w:p>
        </w:tc>
        <w:tc>
          <w:tcPr>
            <w:tcW w:w="1187" w:type="dxa"/>
            <w:vAlign w:val="center"/>
          </w:tcPr>
          <w:p w14:paraId="54B457E4">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服务方案</w:t>
            </w:r>
          </w:p>
        </w:tc>
        <w:tc>
          <w:tcPr>
            <w:tcW w:w="638" w:type="dxa"/>
            <w:vAlign w:val="center"/>
          </w:tcPr>
          <w:p w14:paraId="0F1453E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4</w:t>
            </w:r>
          </w:p>
        </w:tc>
        <w:tc>
          <w:tcPr>
            <w:tcW w:w="6162" w:type="dxa"/>
            <w:vAlign w:val="center"/>
          </w:tcPr>
          <w:p w14:paraId="4C9D717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p w14:paraId="77683899">
            <w:pPr>
              <w:pStyle w:val="4"/>
              <w:keepNext w:val="0"/>
              <w:keepLines w:val="0"/>
              <w:pageBreakBefore w:val="0"/>
              <w:widowControl/>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浙江省南湖监狱所有安防设施维保方案和管理工作方案（包括维保服务内容、维保服务要求、维保服务流程等），根据提供方案的完整性、合理性进行打分，分别给予4分、3分、2分、1分，未提供的不得分。</w:t>
            </w:r>
          </w:p>
        </w:tc>
      </w:tr>
      <w:tr w14:paraId="0CB9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0C4C13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val="en-US" w:eastAsia="zh-CN"/>
              </w:rPr>
              <w:t>3</w:t>
            </w:r>
          </w:p>
        </w:tc>
        <w:tc>
          <w:tcPr>
            <w:tcW w:w="1187" w:type="dxa"/>
            <w:vAlign w:val="center"/>
          </w:tcPr>
          <w:p w14:paraId="5859D7C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处理方案</w:t>
            </w:r>
          </w:p>
        </w:tc>
        <w:tc>
          <w:tcPr>
            <w:tcW w:w="638" w:type="dxa"/>
            <w:vAlign w:val="center"/>
          </w:tcPr>
          <w:p w14:paraId="4E61C75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5</w:t>
            </w:r>
          </w:p>
        </w:tc>
        <w:tc>
          <w:tcPr>
            <w:tcW w:w="6162" w:type="dxa"/>
            <w:vAlign w:val="center"/>
          </w:tcPr>
          <w:p w14:paraId="4A722E9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p w14:paraId="46E9F2A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浙江省南湖监狱</w:t>
            </w:r>
            <w:r>
              <w:rPr>
                <w:rFonts w:hint="eastAsia" w:ascii="宋体" w:hAnsi="宋体" w:eastAsia="宋体" w:cs="宋体"/>
                <w:b w:val="0"/>
                <w:bCs w:val="0"/>
                <w:color w:val="auto"/>
                <w:kern w:val="2"/>
                <w:sz w:val="21"/>
                <w:szCs w:val="21"/>
                <w:highlight w:val="none"/>
                <w:lang w:val="en-US" w:eastAsia="zh-CN" w:bidi="ar-SA"/>
              </w:rPr>
              <w:t>的安防设施平台的运维管理、故障管理处理方案（包括系统故障、网络故障等），提供相关的处置机构、事件处理工作制度、现场应急处理、后期处理、日常应对措施等，根据方案的完整性、合理性进行打分，分别给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3分、2分、1分，未提供的不得分。</w:t>
            </w:r>
          </w:p>
        </w:tc>
      </w:tr>
      <w:tr w14:paraId="72AD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0E2C798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val="en-US" w:eastAsia="zh-CN"/>
              </w:rPr>
              <w:t>4</w:t>
            </w:r>
          </w:p>
        </w:tc>
        <w:tc>
          <w:tcPr>
            <w:tcW w:w="1187" w:type="dxa"/>
            <w:vAlign w:val="center"/>
          </w:tcPr>
          <w:p w14:paraId="1496A43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维保质量管理方案</w:t>
            </w:r>
          </w:p>
        </w:tc>
        <w:tc>
          <w:tcPr>
            <w:tcW w:w="638" w:type="dxa"/>
            <w:vAlign w:val="center"/>
          </w:tcPr>
          <w:p w14:paraId="4B2F42E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c>
          <w:tcPr>
            <w:tcW w:w="6162" w:type="dxa"/>
            <w:vAlign w:val="center"/>
          </w:tcPr>
          <w:p w14:paraId="1E65CA5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p w14:paraId="00CBDEE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投标人提供对基础维保响应、例行巡检、故障响应、应急响应、故障问题分析、维修效率提升等维保相关事件管理方案，根据方案的完整性、合理性进行打分，分别给予4分、3分、2分、1分，未提供的不得分。</w:t>
            </w:r>
          </w:p>
        </w:tc>
      </w:tr>
      <w:tr w14:paraId="0FF3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267214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val="en-US" w:eastAsia="zh-CN"/>
              </w:rPr>
              <w:t>5</w:t>
            </w:r>
          </w:p>
        </w:tc>
        <w:tc>
          <w:tcPr>
            <w:tcW w:w="1187" w:type="dxa"/>
            <w:vAlign w:val="center"/>
          </w:tcPr>
          <w:p w14:paraId="662D70A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巡检报告制度</w:t>
            </w:r>
          </w:p>
        </w:tc>
        <w:tc>
          <w:tcPr>
            <w:tcW w:w="638" w:type="dxa"/>
            <w:vAlign w:val="center"/>
          </w:tcPr>
          <w:p w14:paraId="11A981B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162" w:type="dxa"/>
            <w:vAlign w:val="center"/>
          </w:tcPr>
          <w:p w14:paraId="2EEF1C1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p w14:paraId="43958A65">
            <w:pPr>
              <w:pStyle w:val="57"/>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投标人根据采购文件要求制定相应的巡检报告制度并定期向采购人提交巡检报告，</w:t>
            </w:r>
            <w:r>
              <w:rPr>
                <w:rFonts w:hint="eastAsia" w:ascii="宋体" w:hAnsi="宋体" w:eastAsia="宋体" w:cs="宋体"/>
                <w:b w:val="0"/>
                <w:bCs w:val="0"/>
                <w:color w:val="auto"/>
                <w:kern w:val="2"/>
                <w:sz w:val="21"/>
                <w:szCs w:val="21"/>
                <w:highlight w:val="none"/>
                <w:lang w:val="en-US" w:eastAsia="zh-CN" w:bidi="ar-SA"/>
              </w:rPr>
              <w:t>根据方案的完整性、合理性进行打分，分别给予4分、3分、2分、1分，未提供的不得分。</w:t>
            </w:r>
          </w:p>
        </w:tc>
      </w:tr>
      <w:tr w14:paraId="3664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19656A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6</w:t>
            </w:r>
          </w:p>
        </w:tc>
        <w:tc>
          <w:tcPr>
            <w:tcW w:w="1187" w:type="dxa"/>
            <w:vAlign w:val="center"/>
          </w:tcPr>
          <w:p w14:paraId="50C882E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稳过渡方案</w:t>
            </w:r>
          </w:p>
        </w:tc>
        <w:tc>
          <w:tcPr>
            <w:tcW w:w="638" w:type="dxa"/>
            <w:vAlign w:val="center"/>
          </w:tcPr>
          <w:p w14:paraId="58D8AE4C">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162" w:type="dxa"/>
            <w:vAlign w:val="center"/>
          </w:tcPr>
          <w:p w14:paraId="4B3982C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p w14:paraId="207831A8">
            <w:pPr>
              <w:pStyle w:val="57"/>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为保证维保护单位交接能平稳过渡，不影响采购人工作正常进行，提供包含人员及工作交接过渡的方案，根据方案的合理可行性</w:t>
            </w:r>
            <w:r>
              <w:rPr>
                <w:rFonts w:hint="eastAsia" w:ascii="宋体" w:hAnsi="宋体" w:eastAsia="宋体" w:cs="宋体"/>
                <w:b w:val="0"/>
                <w:bCs w:val="0"/>
                <w:color w:val="auto"/>
                <w:kern w:val="2"/>
                <w:sz w:val="21"/>
                <w:szCs w:val="21"/>
                <w:highlight w:val="none"/>
                <w:lang w:val="en-US" w:eastAsia="zh-CN" w:bidi="ar-SA"/>
              </w:rPr>
              <w:t>进行打分，分别给予4分、3分、2分、1分，未提供的不得分。</w:t>
            </w:r>
          </w:p>
        </w:tc>
      </w:tr>
      <w:tr w14:paraId="0B2C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35B6A8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7</w:t>
            </w:r>
          </w:p>
        </w:tc>
        <w:tc>
          <w:tcPr>
            <w:tcW w:w="1187" w:type="dxa"/>
            <w:vAlign w:val="center"/>
          </w:tcPr>
          <w:p w14:paraId="68276F3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项目技术力量投入</w:t>
            </w:r>
          </w:p>
        </w:tc>
        <w:tc>
          <w:tcPr>
            <w:tcW w:w="638" w:type="dxa"/>
            <w:vAlign w:val="center"/>
          </w:tcPr>
          <w:p w14:paraId="6FB9547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6162" w:type="dxa"/>
            <w:vAlign w:val="center"/>
          </w:tcPr>
          <w:p w14:paraId="4E0276E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p w14:paraId="53506BB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项目技术力量投入是指</w:t>
            </w:r>
            <w:r>
              <w:rPr>
                <w:rFonts w:hint="eastAsia" w:ascii="宋体" w:hAnsi="宋体" w:eastAsia="宋体" w:cs="宋体"/>
                <w:color w:val="auto"/>
                <w:kern w:val="0"/>
                <w:sz w:val="21"/>
                <w:szCs w:val="21"/>
                <w:highlight w:val="none"/>
              </w:rPr>
              <w:t>当</w:t>
            </w:r>
            <w:r>
              <w:rPr>
                <w:rFonts w:hint="eastAsia" w:ascii="宋体" w:hAnsi="宋体" w:eastAsia="宋体" w:cs="宋体"/>
                <w:b w:val="0"/>
                <w:bCs w:val="0"/>
                <w:color w:val="auto"/>
                <w:kern w:val="2"/>
                <w:sz w:val="21"/>
                <w:szCs w:val="21"/>
                <w:highlight w:val="none"/>
                <w:lang w:val="en-US" w:eastAsia="zh-CN" w:bidi="ar-SA"/>
              </w:rPr>
              <w:t>驻点维保人员无法解决技术问题，需要中标人另行派人现场技术支持。</w:t>
            </w:r>
          </w:p>
          <w:p w14:paraId="200F16B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1、项目负责人（1人）具有信息系统项目管理工程师、计算机网络工程师证书的，每个得1分，本项最高得2分；</w:t>
            </w:r>
          </w:p>
          <w:p w14:paraId="7D729E64">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提供项目负责人的证书</w:t>
            </w:r>
            <w:r>
              <w:rPr>
                <w:rFonts w:hint="eastAsia" w:ascii="宋体" w:hAnsi="宋体" w:eastAsia="宋体" w:cs="宋体"/>
                <w:b/>
                <w:bCs w:val="0"/>
                <w:color w:val="auto"/>
                <w:sz w:val="21"/>
                <w:szCs w:val="21"/>
                <w:highlight w:val="none"/>
              </w:rPr>
              <w:t>复印件</w:t>
            </w:r>
            <w:r>
              <w:rPr>
                <w:rFonts w:hint="eastAsia" w:ascii="宋体" w:hAnsi="宋体" w:eastAsia="宋体" w:cs="宋体"/>
                <w:b/>
                <w:bCs w:val="0"/>
                <w:color w:val="auto"/>
                <w:sz w:val="21"/>
                <w:szCs w:val="21"/>
                <w:highlight w:val="none"/>
                <w:lang w:eastAsia="zh-CN"/>
              </w:rPr>
              <w:t>（或扫描</w:t>
            </w:r>
            <w:r>
              <w:rPr>
                <w:rFonts w:hint="eastAsia" w:ascii="宋体" w:hAnsi="宋体" w:eastAsia="宋体" w:cs="宋体"/>
                <w:b/>
                <w:bCs w:val="0"/>
                <w:color w:val="auto"/>
                <w:sz w:val="21"/>
                <w:szCs w:val="21"/>
                <w:highlight w:val="none"/>
              </w:rPr>
              <w:t>件</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color w:val="auto"/>
                <w:kern w:val="2"/>
                <w:sz w:val="21"/>
                <w:szCs w:val="21"/>
                <w:highlight w:val="none"/>
                <w:lang w:val="en-US" w:eastAsia="zh-CN" w:bidi="ar-SA"/>
              </w:rPr>
              <w:t>、近三个月内任意一个月的社保缴纳证明，否则不计分。</w:t>
            </w:r>
          </w:p>
          <w:p w14:paraId="4DEFBBD3">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2、项目负责人</w:t>
            </w:r>
            <w:r>
              <w:rPr>
                <w:rFonts w:hint="eastAsia" w:ascii="宋体" w:hAnsi="宋体" w:eastAsia="宋体" w:cs="宋体"/>
                <w:color w:val="auto"/>
                <w:sz w:val="21"/>
                <w:szCs w:val="21"/>
                <w:highlight w:val="none"/>
              </w:rPr>
              <w:t>自</w:t>
            </w:r>
            <w:r>
              <w:rPr>
                <w:rFonts w:hint="eastAsia" w:ascii="宋体" w:hAnsi="宋体" w:eastAsia="宋体" w:cs="宋体"/>
                <w:color w:val="auto"/>
                <w:spacing w:val="-6"/>
                <w:sz w:val="21"/>
                <w:szCs w:val="21"/>
                <w:highlight w:val="none"/>
              </w:rPr>
              <w:t>202</w:t>
            </w: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年1月1日至今（以合同签订时间为准）以来，具有</w:t>
            </w:r>
            <w:r>
              <w:rPr>
                <w:rFonts w:hint="eastAsia" w:ascii="宋体" w:hAnsi="宋体" w:eastAsia="宋体" w:cs="宋体"/>
                <w:color w:val="auto"/>
                <w:spacing w:val="-6"/>
                <w:sz w:val="21"/>
                <w:szCs w:val="21"/>
                <w:highlight w:val="none"/>
                <w:lang w:val="en-US" w:eastAsia="zh-CN"/>
              </w:rPr>
              <w:t>类似</w:t>
            </w:r>
            <w:r>
              <w:rPr>
                <w:rFonts w:hint="eastAsia" w:ascii="宋体" w:hAnsi="宋体" w:eastAsia="宋体" w:cs="宋体"/>
                <w:color w:val="auto"/>
                <w:sz w:val="21"/>
                <w:szCs w:val="21"/>
                <w:highlight w:val="none"/>
              </w:rPr>
              <w:t>项目</w:t>
            </w:r>
            <w:r>
              <w:rPr>
                <w:rFonts w:hint="eastAsia" w:ascii="宋体" w:hAnsi="宋体" w:eastAsia="宋体" w:cs="宋体"/>
                <w:color w:val="auto"/>
                <w:spacing w:val="-6"/>
                <w:sz w:val="21"/>
                <w:szCs w:val="21"/>
                <w:highlight w:val="none"/>
              </w:rPr>
              <w:t>业绩</w:t>
            </w:r>
            <w:r>
              <w:rPr>
                <w:rFonts w:hint="eastAsia" w:ascii="宋体" w:hAnsi="宋体" w:eastAsia="宋体" w:cs="宋体"/>
                <w:color w:val="auto"/>
                <w:spacing w:val="-6"/>
                <w:sz w:val="21"/>
                <w:szCs w:val="21"/>
                <w:highlight w:val="none"/>
                <w:lang w:val="en-US" w:eastAsia="zh-CN"/>
              </w:rPr>
              <w:t>的</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每提供1个得1分，最高得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59D194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提供合同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w:t>
            </w:r>
            <w:r>
              <w:rPr>
                <w:rFonts w:hint="eastAsia" w:ascii="宋体" w:hAnsi="宋体" w:eastAsia="宋体" w:cs="宋体"/>
                <w:b/>
                <w:bCs/>
                <w:color w:val="auto"/>
                <w:sz w:val="21"/>
                <w:szCs w:val="21"/>
                <w:highlight w:val="none"/>
                <w:lang w:eastAsia="zh-CN"/>
              </w:rPr>
              <w:t>（成交）</w:t>
            </w:r>
            <w:r>
              <w:rPr>
                <w:rFonts w:hint="eastAsia" w:ascii="宋体" w:hAnsi="宋体" w:eastAsia="宋体" w:cs="宋体"/>
                <w:b/>
                <w:bCs/>
                <w:color w:val="auto"/>
                <w:sz w:val="21"/>
                <w:szCs w:val="21"/>
                <w:highlight w:val="none"/>
              </w:rPr>
              <w:t>通知书</w:t>
            </w:r>
            <w:r>
              <w:rPr>
                <w:rFonts w:hint="eastAsia" w:ascii="宋体" w:hAnsi="宋体" w:eastAsia="宋体" w:cs="宋体"/>
                <w:b/>
                <w:bCs/>
                <w:color w:val="auto"/>
                <w:sz w:val="21"/>
                <w:szCs w:val="21"/>
                <w:highlight w:val="none"/>
                <w:lang w:val="en-US" w:eastAsia="zh-CN"/>
              </w:rPr>
              <w:t>复印件（或扫描件），</w:t>
            </w:r>
            <w:r>
              <w:rPr>
                <w:rFonts w:hint="eastAsia" w:ascii="宋体" w:hAnsi="宋体" w:eastAsia="宋体" w:cs="宋体"/>
                <w:b/>
                <w:bCs/>
                <w:color w:val="auto"/>
                <w:sz w:val="21"/>
                <w:szCs w:val="21"/>
                <w:highlight w:val="none"/>
                <w:lang w:eastAsia="zh-CN"/>
              </w:rPr>
              <w:t>若</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w:t>
            </w:r>
            <w:r>
              <w:rPr>
                <w:rFonts w:hint="eastAsia" w:ascii="宋体" w:hAnsi="宋体" w:eastAsia="宋体" w:cs="宋体"/>
                <w:b/>
                <w:bCs/>
                <w:color w:val="auto"/>
                <w:sz w:val="21"/>
                <w:szCs w:val="21"/>
                <w:highlight w:val="none"/>
                <w:lang w:eastAsia="zh-CN"/>
              </w:rPr>
              <w:t>（成交）</w:t>
            </w:r>
            <w:r>
              <w:rPr>
                <w:rFonts w:hint="eastAsia" w:ascii="宋体" w:hAnsi="宋体" w:eastAsia="宋体" w:cs="宋体"/>
                <w:b/>
                <w:bCs/>
                <w:color w:val="auto"/>
                <w:sz w:val="21"/>
                <w:szCs w:val="21"/>
                <w:highlight w:val="none"/>
              </w:rPr>
              <w:t>通知书</w:t>
            </w:r>
            <w:r>
              <w:rPr>
                <w:rFonts w:hint="eastAsia" w:ascii="宋体" w:hAnsi="宋体" w:eastAsia="宋体" w:cs="宋体"/>
                <w:b/>
                <w:bCs/>
                <w:color w:val="auto"/>
                <w:sz w:val="21"/>
                <w:szCs w:val="21"/>
                <w:highlight w:val="none"/>
                <w:lang w:eastAsia="zh-CN"/>
              </w:rPr>
              <w:t>无法体现项目负责人的，投标人还须提供</w:t>
            </w:r>
            <w:r>
              <w:rPr>
                <w:rFonts w:hint="eastAsia" w:ascii="宋体" w:hAnsi="宋体" w:eastAsia="宋体" w:cs="宋体"/>
                <w:b/>
                <w:bCs/>
                <w:color w:val="auto"/>
                <w:kern w:val="0"/>
                <w:sz w:val="21"/>
                <w:szCs w:val="21"/>
                <w:highlight w:val="none"/>
              </w:rPr>
              <w:t>盖业主单位公章的证明材料</w:t>
            </w:r>
            <w:r>
              <w:rPr>
                <w:rFonts w:hint="eastAsia" w:ascii="宋体" w:hAnsi="宋体" w:eastAsia="宋体" w:cs="宋体"/>
                <w:b/>
                <w:bCs/>
                <w:color w:val="auto"/>
                <w:sz w:val="21"/>
                <w:szCs w:val="21"/>
                <w:highlight w:val="none"/>
                <w:lang w:val="en-US" w:eastAsia="zh-CN"/>
              </w:rPr>
              <w:t>复印件（或扫描件）</w:t>
            </w:r>
            <w:r>
              <w:rPr>
                <w:rFonts w:hint="eastAsia" w:ascii="宋体" w:hAnsi="宋体" w:eastAsia="宋体" w:cs="宋体"/>
                <w:b/>
                <w:bCs/>
                <w:color w:val="auto"/>
                <w:sz w:val="21"/>
                <w:szCs w:val="21"/>
                <w:highlight w:val="none"/>
              </w:rPr>
              <w:t>，缺一不</w:t>
            </w:r>
            <w:r>
              <w:rPr>
                <w:rFonts w:hint="eastAsia" w:ascii="宋体" w:hAnsi="宋体" w:eastAsia="宋体" w:cs="宋体"/>
                <w:b/>
                <w:bCs/>
                <w:color w:val="auto"/>
                <w:sz w:val="21"/>
                <w:szCs w:val="21"/>
                <w:highlight w:val="none"/>
                <w:lang w:val="en-US" w:eastAsia="zh-CN"/>
              </w:rPr>
              <w:t>可，否则不得分</w:t>
            </w:r>
            <w:r>
              <w:rPr>
                <w:rFonts w:hint="eastAsia" w:ascii="宋体" w:hAnsi="宋体" w:eastAsia="宋体" w:cs="宋体"/>
                <w:b/>
                <w:bCs/>
                <w:color w:val="auto"/>
                <w:sz w:val="21"/>
                <w:szCs w:val="21"/>
                <w:highlight w:val="none"/>
              </w:rPr>
              <w:t>。</w:t>
            </w:r>
          </w:p>
          <w:p w14:paraId="039B338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3、项目技术力量投入其他人员（除项目负责人外）中每一人具有安防、信息技术、弱电智能化、计算机、网络类等相关专业中级及以上职称的得1分，本项最高得2分，同一人不重复计分。</w:t>
            </w:r>
          </w:p>
          <w:p w14:paraId="0F24C32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提供相关人员的证书</w:t>
            </w:r>
            <w:r>
              <w:rPr>
                <w:rFonts w:hint="eastAsia" w:ascii="宋体" w:hAnsi="宋体" w:eastAsia="宋体" w:cs="宋体"/>
                <w:b/>
                <w:bCs w:val="0"/>
                <w:color w:val="auto"/>
                <w:sz w:val="21"/>
                <w:szCs w:val="21"/>
                <w:highlight w:val="none"/>
              </w:rPr>
              <w:t>复印件</w:t>
            </w:r>
            <w:r>
              <w:rPr>
                <w:rFonts w:hint="eastAsia" w:ascii="宋体" w:hAnsi="宋体" w:eastAsia="宋体" w:cs="宋体"/>
                <w:b/>
                <w:bCs w:val="0"/>
                <w:color w:val="auto"/>
                <w:sz w:val="21"/>
                <w:szCs w:val="21"/>
                <w:highlight w:val="none"/>
                <w:lang w:eastAsia="zh-CN"/>
              </w:rPr>
              <w:t>（或扫描</w:t>
            </w:r>
            <w:r>
              <w:rPr>
                <w:rFonts w:hint="eastAsia" w:ascii="宋体" w:hAnsi="宋体" w:eastAsia="宋体" w:cs="宋体"/>
                <w:b/>
                <w:bCs w:val="0"/>
                <w:color w:val="auto"/>
                <w:sz w:val="21"/>
                <w:szCs w:val="21"/>
                <w:highlight w:val="none"/>
              </w:rPr>
              <w:t>件</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color w:val="auto"/>
                <w:kern w:val="2"/>
                <w:sz w:val="21"/>
                <w:szCs w:val="21"/>
                <w:highlight w:val="none"/>
                <w:lang w:val="en-US" w:eastAsia="zh-CN" w:bidi="ar-SA"/>
              </w:rPr>
              <w:t>、近三个月内任意一个月的社保缴纳证明，否则不计分。</w:t>
            </w:r>
          </w:p>
          <w:p w14:paraId="531F72CF">
            <w:pPr>
              <w:pStyle w:val="18"/>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4、投标人</w:t>
            </w:r>
            <w:r>
              <w:rPr>
                <w:rFonts w:hint="eastAsia" w:ascii="宋体" w:hAnsi="宋体" w:eastAsia="宋体" w:cs="宋体"/>
                <w:color w:val="auto"/>
                <w:sz w:val="21"/>
                <w:szCs w:val="21"/>
                <w:highlight w:val="none"/>
                <w:lang w:eastAsia="zh-CN"/>
              </w:rPr>
              <w:t>承诺派驻现场驻点</w:t>
            </w:r>
            <w:r>
              <w:rPr>
                <w:rFonts w:hint="eastAsia" w:ascii="宋体" w:hAnsi="宋体" w:eastAsia="宋体" w:cs="宋体"/>
                <w:color w:val="auto"/>
                <w:sz w:val="21"/>
                <w:szCs w:val="21"/>
                <w:highlight w:val="none"/>
                <w:lang w:val="en-US" w:eastAsia="zh-CN"/>
              </w:rPr>
              <w:t>维保</w:t>
            </w:r>
            <w:r>
              <w:rPr>
                <w:rFonts w:hint="eastAsia" w:ascii="宋体" w:hAnsi="宋体" w:eastAsia="宋体" w:cs="宋体"/>
                <w:color w:val="auto"/>
                <w:sz w:val="21"/>
                <w:szCs w:val="21"/>
                <w:highlight w:val="none"/>
                <w:lang w:eastAsia="zh-CN"/>
              </w:rPr>
              <w:t>人员</w:t>
            </w:r>
            <w:r>
              <w:rPr>
                <w:rFonts w:hint="eastAsia" w:ascii="宋体" w:hAnsi="宋体" w:eastAsia="宋体" w:cs="宋体"/>
                <w:b w:val="0"/>
                <w:bCs w:val="0"/>
                <w:color w:val="auto"/>
                <w:kern w:val="2"/>
                <w:sz w:val="21"/>
                <w:szCs w:val="21"/>
                <w:highlight w:val="none"/>
                <w:lang w:val="en-US" w:eastAsia="zh-CN" w:bidi="ar-SA"/>
              </w:rPr>
              <w:t>具有安防、信息技术、弱电智能化、计算机、网络类等相关专业中级及以上职称的</w:t>
            </w:r>
            <w:r>
              <w:rPr>
                <w:rFonts w:hint="eastAsia" w:ascii="宋体" w:hAnsi="宋体" w:cs="宋体"/>
                <w:b w:val="0"/>
                <w:bCs w:val="0"/>
                <w:color w:val="auto"/>
                <w:kern w:val="2"/>
                <w:sz w:val="21"/>
                <w:szCs w:val="21"/>
                <w:highlight w:val="none"/>
                <w:lang w:val="en-US" w:eastAsia="zh-CN" w:bidi="ar-SA"/>
              </w:rPr>
              <w:t>，每个证书</w:t>
            </w:r>
            <w:r>
              <w:rPr>
                <w:rFonts w:hint="eastAsia" w:ascii="宋体" w:hAnsi="宋体" w:eastAsia="宋体" w:cs="宋体"/>
                <w:b w:val="0"/>
                <w:bCs w:val="0"/>
                <w:color w:val="auto"/>
                <w:kern w:val="2"/>
                <w:sz w:val="21"/>
                <w:szCs w:val="21"/>
                <w:highlight w:val="none"/>
                <w:lang w:val="en-US" w:eastAsia="zh-CN" w:bidi="ar-SA"/>
              </w:rPr>
              <w:t>得1分，最高得2分。</w:t>
            </w:r>
          </w:p>
          <w:p w14:paraId="21FCA07F">
            <w:pPr>
              <w:pStyle w:val="18"/>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提供承诺函，格式自拟。</w:t>
            </w:r>
          </w:p>
        </w:tc>
      </w:tr>
      <w:tr w14:paraId="7F9C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320AF7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w:t>
            </w:r>
          </w:p>
        </w:tc>
        <w:tc>
          <w:tcPr>
            <w:tcW w:w="1187" w:type="dxa"/>
            <w:vAlign w:val="center"/>
          </w:tcPr>
          <w:p w14:paraId="644A988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企业资信</w:t>
            </w:r>
          </w:p>
        </w:tc>
        <w:tc>
          <w:tcPr>
            <w:tcW w:w="638" w:type="dxa"/>
            <w:vAlign w:val="center"/>
          </w:tcPr>
          <w:p w14:paraId="7B09A8F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162" w:type="dxa"/>
            <w:vAlign w:val="center"/>
          </w:tcPr>
          <w:p w14:paraId="0949345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p w14:paraId="235BAD54">
            <w:pPr>
              <w:pStyle w:val="57"/>
              <w:keepNext w:val="0"/>
              <w:keepLines w:val="0"/>
              <w:pageBreakBefore w:val="0"/>
              <w:widowControl w:val="0"/>
              <w:kinsoku/>
              <w:wordWrap/>
              <w:overflowPunct/>
              <w:topLinePunct w:val="0"/>
              <w:autoSpaceDE/>
              <w:autoSpaceDN/>
              <w:bidi w:val="0"/>
              <w:spacing w:after="0" w:line="400" w:lineRule="exact"/>
              <w:ind w:firstLine="0" w:firstLineChars="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1、投标人具有信息安全服务资质认证证书的，得2分；</w:t>
            </w:r>
          </w:p>
          <w:p w14:paraId="45817853">
            <w:pPr>
              <w:pStyle w:val="57"/>
              <w:keepNext w:val="0"/>
              <w:keepLines w:val="0"/>
              <w:pageBreakBefore w:val="0"/>
              <w:widowControl w:val="0"/>
              <w:kinsoku/>
              <w:wordWrap/>
              <w:overflowPunct/>
              <w:topLinePunct w:val="0"/>
              <w:autoSpaceDE/>
              <w:autoSpaceDN/>
              <w:bidi w:val="0"/>
              <w:spacing w:after="0" w:line="400" w:lineRule="exact"/>
              <w:ind w:firstLine="0" w:firstLineChars="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2、投标人具有涉及国家秘密的计算机信息系统集成资质证书的，得2分；</w:t>
            </w:r>
          </w:p>
          <w:p w14:paraId="047A6308">
            <w:pPr>
              <w:pStyle w:val="57"/>
              <w:keepNext w:val="0"/>
              <w:keepLines w:val="0"/>
              <w:pageBreakBefore w:val="0"/>
              <w:widowControl w:val="0"/>
              <w:kinsoku/>
              <w:wordWrap/>
              <w:overflowPunct/>
              <w:topLinePunct w:val="0"/>
              <w:autoSpaceDE/>
              <w:autoSpaceDN/>
              <w:bidi w:val="0"/>
              <w:spacing w:after="0" w:line="400" w:lineRule="exact"/>
              <w:ind w:firstLine="0" w:firstLineChars="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3、投标人具有ITSS信息技术服务运行维护证书的，三级得1分，二级及以上得2分。</w:t>
            </w:r>
          </w:p>
          <w:p w14:paraId="5356137D">
            <w:pPr>
              <w:pStyle w:val="57"/>
              <w:keepNext w:val="0"/>
              <w:keepLines w:val="0"/>
              <w:pageBreakBefore w:val="0"/>
              <w:widowControl w:val="0"/>
              <w:kinsoku/>
              <w:wordWrap/>
              <w:overflowPunct/>
              <w:topLinePunct w:val="0"/>
              <w:autoSpaceDE/>
              <w:autoSpaceDN/>
              <w:bidi w:val="0"/>
              <w:spacing w:after="0" w:line="400" w:lineRule="exact"/>
              <w:ind w:firstLine="0" w:firstLineChars="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提供</w:t>
            </w:r>
            <w:r>
              <w:rPr>
                <w:rFonts w:hint="eastAsia" w:ascii="宋体" w:hAnsi="宋体" w:eastAsia="宋体" w:cs="宋体"/>
                <w:b/>
                <w:bCs w:val="0"/>
                <w:color w:val="auto"/>
                <w:sz w:val="21"/>
                <w:szCs w:val="21"/>
                <w:highlight w:val="none"/>
                <w:lang w:eastAsia="zh-CN"/>
              </w:rPr>
              <w:t>证书</w:t>
            </w:r>
            <w:r>
              <w:rPr>
                <w:rFonts w:hint="eastAsia" w:ascii="宋体" w:hAnsi="宋体" w:eastAsia="宋体" w:cs="宋体"/>
                <w:b/>
                <w:bCs w:val="0"/>
                <w:color w:val="auto"/>
                <w:sz w:val="21"/>
                <w:szCs w:val="21"/>
                <w:highlight w:val="none"/>
              </w:rPr>
              <w:t>复印件</w:t>
            </w:r>
            <w:r>
              <w:rPr>
                <w:rFonts w:hint="eastAsia" w:ascii="宋体" w:hAnsi="宋体" w:eastAsia="宋体" w:cs="宋体"/>
                <w:b/>
                <w:bCs w:val="0"/>
                <w:color w:val="auto"/>
                <w:sz w:val="21"/>
                <w:szCs w:val="21"/>
                <w:highlight w:val="none"/>
                <w:lang w:eastAsia="zh-CN"/>
              </w:rPr>
              <w:t>（或扫描</w:t>
            </w:r>
            <w:r>
              <w:rPr>
                <w:rFonts w:hint="eastAsia" w:ascii="宋体" w:hAnsi="宋体" w:eastAsia="宋体" w:cs="宋体"/>
                <w:b/>
                <w:bCs w:val="0"/>
                <w:color w:val="auto"/>
                <w:sz w:val="21"/>
                <w:szCs w:val="21"/>
                <w:highlight w:val="none"/>
              </w:rPr>
              <w:t>件</w:t>
            </w:r>
            <w:r>
              <w:rPr>
                <w:rFonts w:hint="eastAsia" w:ascii="宋体" w:hAnsi="宋体" w:eastAsia="宋体" w:cs="宋体"/>
                <w:b/>
                <w:bCs w:val="0"/>
                <w:color w:val="auto"/>
                <w:sz w:val="21"/>
                <w:szCs w:val="21"/>
                <w:highlight w:val="none"/>
                <w:lang w:eastAsia="zh-CN"/>
              </w:rPr>
              <w:t>）并</w:t>
            </w:r>
            <w:r>
              <w:rPr>
                <w:rFonts w:hint="eastAsia" w:ascii="宋体" w:hAnsi="宋体" w:eastAsia="宋体" w:cs="宋体"/>
                <w:b/>
                <w:bCs w:val="0"/>
                <w:color w:val="auto"/>
                <w:sz w:val="21"/>
                <w:szCs w:val="21"/>
                <w:highlight w:val="none"/>
              </w:rPr>
              <w:t>加盖投标人公章，否则不计分。</w:t>
            </w:r>
          </w:p>
        </w:tc>
      </w:tr>
      <w:tr w14:paraId="5CB0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shd w:val="clear" w:color="auto" w:fill="auto"/>
            <w:vAlign w:val="center"/>
          </w:tcPr>
          <w:p w14:paraId="4B11C2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9</w:t>
            </w:r>
          </w:p>
        </w:tc>
        <w:tc>
          <w:tcPr>
            <w:tcW w:w="1187" w:type="dxa"/>
            <w:shd w:val="clear" w:color="auto" w:fill="auto"/>
            <w:vAlign w:val="center"/>
          </w:tcPr>
          <w:p w14:paraId="6A9DA23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权威认证</w:t>
            </w:r>
          </w:p>
        </w:tc>
        <w:tc>
          <w:tcPr>
            <w:tcW w:w="638" w:type="dxa"/>
            <w:shd w:val="clear" w:color="auto" w:fill="auto"/>
            <w:vAlign w:val="center"/>
          </w:tcPr>
          <w:p w14:paraId="5EBCD8A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162" w:type="dxa"/>
            <w:shd w:val="clear" w:color="auto" w:fill="auto"/>
            <w:vAlign w:val="center"/>
          </w:tcPr>
          <w:p w14:paraId="52F380D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p w14:paraId="59BA04A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投标人具有有效期内的质量体系认证证书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环境管理体系认证证书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职业健康体系认证证书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信息安全管理体系认证证书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信息技术服务管理体系认证证书的，</w:t>
            </w:r>
            <w:r>
              <w:rPr>
                <w:rFonts w:hint="eastAsia" w:ascii="宋体" w:hAnsi="宋体" w:eastAsia="宋体" w:cs="宋体"/>
                <w:color w:val="auto"/>
                <w:sz w:val="21"/>
                <w:szCs w:val="21"/>
                <w:highlight w:val="none"/>
                <w:lang w:val="en-US" w:eastAsia="zh-CN"/>
              </w:rPr>
              <w:t>每个</w:t>
            </w:r>
            <w:r>
              <w:rPr>
                <w:rFonts w:hint="eastAsia" w:ascii="宋体" w:hAnsi="宋体" w:eastAsia="宋体" w:cs="宋体"/>
                <w:color w:val="auto"/>
                <w:sz w:val="21"/>
                <w:szCs w:val="21"/>
                <w:highlight w:val="none"/>
              </w:rPr>
              <w:t>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最高得5分</w:t>
            </w:r>
            <w:r>
              <w:rPr>
                <w:rFonts w:hint="eastAsia" w:ascii="宋体" w:hAnsi="宋体" w:eastAsia="宋体" w:cs="宋体"/>
                <w:color w:val="auto"/>
                <w:sz w:val="21"/>
                <w:szCs w:val="21"/>
                <w:highlight w:val="none"/>
              </w:rPr>
              <w:t>。</w:t>
            </w:r>
          </w:p>
          <w:p w14:paraId="63EB1EB8">
            <w:pPr>
              <w:pStyle w:val="57"/>
              <w:keepNext w:val="0"/>
              <w:keepLines w:val="0"/>
              <w:pageBreakBefore w:val="0"/>
              <w:widowControl w:val="0"/>
              <w:kinsoku/>
              <w:wordWrap/>
              <w:overflowPunct/>
              <w:topLinePunct w:val="0"/>
              <w:autoSpaceDE/>
              <w:autoSpaceDN/>
              <w:bidi w:val="0"/>
              <w:spacing w:after="0" w:line="400" w:lineRule="exact"/>
              <w:ind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提供证书复印件</w:t>
            </w:r>
            <w:r>
              <w:rPr>
                <w:rFonts w:hint="eastAsia" w:ascii="宋体" w:hAnsi="宋体" w:eastAsia="宋体" w:cs="宋体"/>
                <w:b/>
                <w:bCs w:val="0"/>
                <w:color w:val="auto"/>
                <w:sz w:val="21"/>
                <w:szCs w:val="21"/>
                <w:highlight w:val="none"/>
                <w:lang w:eastAsia="zh-CN"/>
              </w:rPr>
              <w:t>（或扫描</w:t>
            </w:r>
            <w:r>
              <w:rPr>
                <w:rFonts w:hint="eastAsia" w:ascii="宋体" w:hAnsi="宋体" w:eastAsia="宋体" w:cs="宋体"/>
                <w:b/>
                <w:bCs w:val="0"/>
                <w:color w:val="auto"/>
                <w:sz w:val="21"/>
                <w:szCs w:val="21"/>
                <w:highlight w:val="none"/>
              </w:rPr>
              <w:t>件</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及国家</w:t>
            </w:r>
            <w:r>
              <w:rPr>
                <w:rFonts w:hint="eastAsia" w:ascii="宋体" w:hAnsi="宋体" w:eastAsia="宋体" w:cs="宋体"/>
                <w:b/>
                <w:bCs w:val="0"/>
                <w:color w:val="auto"/>
                <w:sz w:val="21"/>
                <w:szCs w:val="21"/>
                <w:highlight w:val="none"/>
                <w:lang w:val="en-US" w:eastAsia="zh-CN"/>
              </w:rPr>
              <w:t>认证认可监督委员会</w:t>
            </w:r>
            <w:r>
              <w:rPr>
                <w:rFonts w:hint="eastAsia" w:ascii="宋体" w:hAnsi="宋体" w:eastAsia="宋体" w:cs="宋体"/>
                <w:b/>
                <w:bCs w:val="0"/>
                <w:color w:val="auto"/>
                <w:sz w:val="21"/>
                <w:szCs w:val="21"/>
                <w:highlight w:val="none"/>
              </w:rPr>
              <w:t>官网查询页面截图，缺一不得分。</w:t>
            </w:r>
          </w:p>
        </w:tc>
      </w:tr>
      <w:tr w14:paraId="49D1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shd w:val="clear" w:color="auto" w:fill="auto"/>
            <w:vAlign w:val="center"/>
          </w:tcPr>
          <w:p w14:paraId="6D1405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10</w:t>
            </w:r>
          </w:p>
        </w:tc>
        <w:tc>
          <w:tcPr>
            <w:tcW w:w="1187" w:type="dxa"/>
            <w:vAlign w:val="center"/>
          </w:tcPr>
          <w:p w14:paraId="7FE103D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638" w:type="dxa"/>
            <w:vAlign w:val="center"/>
          </w:tcPr>
          <w:p w14:paraId="618175B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162" w:type="dxa"/>
            <w:vAlign w:val="center"/>
          </w:tcPr>
          <w:p w14:paraId="2240B186">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p w14:paraId="7F00AB26">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w:t>
            </w:r>
            <w:r>
              <w:rPr>
                <w:rFonts w:hint="eastAsia" w:ascii="宋体" w:hAnsi="宋体" w:eastAsia="宋体" w:cs="宋体"/>
                <w:color w:val="auto"/>
                <w:spacing w:val="-6"/>
                <w:sz w:val="21"/>
                <w:szCs w:val="21"/>
                <w:highlight w:val="none"/>
              </w:rPr>
              <w:t>202</w:t>
            </w: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年1月1日至今（以合同签订时间为准）以来，具有</w:t>
            </w:r>
            <w:r>
              <w:rPr>
                <w:rFonts w:hint="eastAsia" w:ascii="宋体" w:hAnsi="宋体" w:eastAsia="宋体" w:cs="宋体"/>
                <w:color w:val="auto"/>
                <w:spacing w:val="-6"/>
                <w:sz w:val="21"/>
                <w:szCs w:val="21"/>
                <w:highlight w:val="none"/>
                <w:lang w:val="en-US" w:eastAsia="zh-CN"/>
              </w:rPr>
              <w:t>类似</w:t>
            </w:r>
            <w:r>
              <w:rPr>
                <w:rFonts w:hint="eastAsia" w:ascii="宋体" w:hAnsi="宋体" w:eastAsia="宋体" w:cs="宋体"/>
                <w:color w:val="auto"/>
                <w:sz w:val="21"/>
                <w:szCs w:val="21"/>
                <w:highlight w:val="none"/>
              </w:rPr>
              <w:t>项目</w:t>
            </w:r>
            <w:r>
              <w:rPr>
                <w:rFonts w:hint="eastAsia" w:ascii="宋体" w:hAnsi="宋体" w:eastAsia="宋体" w:cs="宋体"/>
                <w:color w:val="auto"/>
                <w:spacing w:val="-6"/>
                <w:sz w:val="21"/>
                <w:szCs w:val="21"/>
                <w:highlight w:val="none"/>
              </w:rPr>
              <w:t>业绩</w:t>
            </w:r>
            <w:r>
              <w:rPr>
                <w:rFonts w:hint="eastAsia" w:ascii="宋体" w:hAnsi="宋体" w:eastAsia="宋体" w:cs="宋体"/>
                <w:color w:val="auto"/>
                <w:spacing w:val="-6"/>
                <w:sz w:val="21"/>
                <w:szCs w:val="21"/>
                <w:highlight w:val="none"/>
                <w:lang w:val="en-US" w:eastAsia="zh-CN"/>
              </w:rPr>
              <w:t>的</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每提供1个得1分，最高得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D67C4F8">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提供合同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w:t>
            </w:r>
            <w:r>
              <w:rPr>
                <w:rFonts w:hint="eastAsia" w:ascii="宋体" w:hAnsi="宋体" w:eastAsia="宋体" w:cs="宋体"/>
                <w:b/>
                <w:bCs/>
                <w:color w:val="auto"/>
                <w:sz w:val="21"/>
                <w:szCs w:val="21"/>
                <w:highlight w:val="none"/>
                <w:lang w:eastAsia="zh-CN"/>
              </w:rPr>
              <w:t>（成交）</w:t>
            </w:r>
            <w:r>
              <w:rPr>
                <w:rFonts w:hint="eastAsia" w:ascii="宋体" w:hAnsi="宋体" w:eastAsia="宋体" w:cs="宋体"/>
                <w:b/>
                <w:bCs/>
                <w:color w:val="auto"/>
                <w:sz w:val="21"/>
                <w:szCs w:val="21"/>
                <w:highlight w:val="none"/>
              </w:rPr>
              <w:t>通知书</w:t>
            </w:r>
            <w:r>
              <w:rPr>
                <w:rFonts w:hint="eastAsia" w:ascii="宋体" w:hAnsi="宋体" w:eastAsia="宋体" w:cs="宋体"/>
                <w:b/>
                <w:bCs/>
                <w:color w:val="auto"/>
                <w:sz w:val="21"/>
                <w:szCs w:val="21"/>
                <w:highlight w:val="none"/>
                <w:lang w:val="en-US" w:eastAsia="zh-CN"/>
              </w:rPr>
              <w:t>复印件（或扫描件）</w:t>
            </w:r>
            <w:r>
              <w:rPr>
                <w:rFonts w:hint="eastAsia" w:ascii="宋体" w:hAnsi="宋体" w:eastAsia="宋体" w:cs="宋体"/>
                <w:b/>
                <w:bCs/>
                <w:color w:val="auto"/>
                <w:sz w:val="21"/>
                <w:szCs w:val="21"/>
                <w:highlight w:val="none"/>
              </w:rPr>
              <w:t>，缺一不</w:t>
            </w:r>
            <w:r>
              <w:rPr>
                <w:rFonts w:hint="eastAsia" w:ascii="宋体" w:hAnsi="宋体" w:eastAsia="宋体" w:cs="宋体"/>
                <w:b/>
                <w:bCs/>
                <w:color w:val="auto"/>
                <w:sz w:val="21"/>
                <w:szCs w:val="21"/>
                <w:highlight w:val="none"/>
                <w:lang w:val="en-US" w:eastAsia="zh-CN"/>
              </w:rPr>
              <w:t>可，否则不得分</w:t>
            </w:r>
            <w:r>
              <w:rPr>
                <w:rFonts w:hint="eastAsia" w:ascii="宋体" w:hAnsi="宋体" w:eastAsia="宋体" w:cs="宋体"/>
                <w:b/>
                <w:bCs/>
                <w:color w:val="auto"/>
                <w:sz w:val="21"/>
                <w:szCs w:val="21"/>
                <w:highlight w:val="none"/>
              </w:rPr>
              <w:t>。</w:t>
            </w:r>
          </w:p>
        </w:tc>
      </w:tr>
    </w:tbl>
    <w:p w14:paraId="26889BF9">
      <w:pPr>
        <w:rPr>
          <w:rFonts w:hint="eastAsia" w:ascii="宋体"/>
          <w:b/>
          <w:bCs/>
          <w:color w:val="auto"/>
          <w:sz w:val="32"/>
          <w:szCs w:val="30"/>
          <w:highlight w:val="none"/>
        </w:rPr>
      </w:pPr>
      <w:r>
        <w:rPr>
          <w:rFonts w:hint="eastAsia" w:ascii="宋体"/>
          <w:b/>
          <w:bCs/>
          <w:color w:val="auto"/>
          <w:sz w:val="32"/>
          <w:szCs w:val="30"/>
          <w:highlight w:val="none"/>
        </w:rPr>
        <w:br w:type="page"/>
      </w:r>
    </w:p>
    <w:p w14:paraId="47A612E3">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0"/>
        <w:rPr>
          <w:rFonts w:hint="eastAsia" w:ascii="宋体"/>
          <w:b/>
          <w:bCs/>
          <w:color w:val="auto"/>
          <w:sz w:val="32"/>
          <w:szCs w:val="30"/>
          <w:highlight w:val="none"/>
        </w:rPr>
      </w:pPr>
      <w:r>
        <w:rPr>
          <w:rFonts w:hint="eastAsia" w:ascii="宋体"/>
          <w:b/>
          <w:bCs/>
          <w:color w:val="auto"/>
          <w:sz w:val="32"/>
          <w:szCs w:val="30"/>
          <w:highlight w:val="none"/>
        </w:rPr>
        <w:t>第五章、合同主要条款</w:t>
      </w:r>
      <w:bookmarkEnd w:id="255"/>
      <w:bookmarkEnd w:id="256"/>
      <w:bookmarkEnd w:id="257"/>
      <w:bookmarkEnd w:id="258"/>
      <w:bookmarkEnd w:id="266"/>
      <w:bookmarkEnd w:id="267"/>
      <w:bookmarkEnd w:id="268"/>
      <w:bookmarkEnd w:id="269"/>
      <w:bookmarkEnd w:id="270"/>
      <w:bookmarkEnd w:id="271"/>
      <w:bookmarkEnd w:id="272"/>
      <w:bookmarkEnd w:id="273"/>
    </w:p>
    <w:p w14:paraId="1561AA5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olor w:val="auto"/>
          <w:sz w:val="24"/>
          <w:szCs w:val="24"/>
          <w:highlight w:val="none"/>
        </w:rPr>
      </w:pPr>
      <w:r>
        <w:rPr>
          <w:rFonts w:hint="eastAsia" w:ascii="宋体"/>
          <w:b/>
          <w:bCs/>
          <w:color w:val="auto"/>
          <w:sz w:val="24"/>
          <w:szCs w:val="24"/>
          <w:highlight w:val="none"/>
        </w:rPr>
        <w:t>（本合同条款仅供参考，供需双方在签订合同时，应在不违背本项目采购文件实质性条款的基础上，视具体情况进行补充或删减）</w:t>
      </w:r>
    </w:p>
    <w:bookmarkEnd w:id="231"/>
    <w:p w14:paraId="417E442F">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0"/>
        <w:rPr>
          <w:rFonts w:hint="eastAsia" w:ascii="宋体"/>
          <w:b/>
          <w:bCs/>
          <w:color w:val="auto"/>
          <w:sz w:val="32"/>
          <w:szCs w:val="30"/>
          <w:highlight w:val="none"/>
        </w:rPr>
      </w:pPr>
      <w:bookmarkStart w:id="274" w:name="_Toc13621"/>
      <w:bookmarkStart w:id="275" w:name="_Toc424544823"/>
      <w:bookmarkStart w:id="276" w:name="_Toc424544544"/>
      <w:bookmarkStart w:id="277" w:name="_Toc293916380"/>
      <w:bookmarkStart w:id="278" w:name="_Toc13438"/>
      <w:bookmarkStart w:id="279" w:name="_Toc31677"/>
      <w:bookmarkStart w:id="280" w:name="_Toc15674"/>
      <w:bookmarkStart w:id="281" w:name="_Toc293917028"/>
      <w:bookmarkStart w:id="282" w:name="_Toc293916029"/>
      <w:bookmarkStart w:id="283" w:name="_Toc16711"/>
      <w:bookmarkStart w:id="284" w:name="_Toc10367"/>
      <w:bookmarkStart w:id="285" w:name="_Toc293916978"/>
      <w:r>
        <w:rPr>
          <w:rFonts w:hint="eastAsia" w:ascii="宋体"/>
          <w:b/>
          <w:bCs/>
          <w:color w:val="auto"/>
          <w:sz w:val="32"/>
          <w:szCs w:val="30"/>
          <w:highlight w:val="none"/>
        </w:rPr>
        <w:t>浙江省南湖监狱安防设施维保项目（2025）</w:t>
      </w:r>
    </w:p>
    <w:p w14:paraId="6191B097">
      <w:pPr>
        <w:keepNext w:val="0"/>
        <w:keepLines w:val="0"/>
        <w:pageBreakBefore w:val="0"/>
        <w:widowControl w:val="0"/>
        <w:kinsoku/>
        <w:wordWrap/>
        <w:overflowPunct/>
        <w:topLinePunct w:val="0"/>
        <w:bidi w:val="0"/>
        <w:adjustRightInd w:val="0"/>
        <w:snapToGrid w:val="0"/>
        <w:spacing w:line="400" w:lineRule="exact"/>
        <w:ind w:firstLine="0" w:firstLineChars="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甲方：</w:t>
      </w:r>
      <w:r>
        <w:rPr>
          <w:rFonts w:hint="eastAsia" w:ascii="宋体" w:hAnsi="宋体" w:eastAsia="宋体" w:cs="宋体"/>
          <w:caps w:val="0"/>
          <w:color w:val="auto"/>
          <w:spacing w:val="0"/>
          <w:sz w:val="21"/>
          <w:szCs w:val="21"/>
          <w:highlight w:val="none"/>
          <w:u w:val="single"/>
        </w:rPr>
        <w:t>浙江省南湖监狱</w:t>
      </w:r>
      <w:r>
        <w:rPr>
          <w:rFonts w:hint="eastAsia" w:ascii="宋体" w:hAnsi="宋体" w:eastAsia="宋体" w:cs="宋体"/>
          <w:caps w:val="0"/>
          <w:color w:val="auto"/>
          <w:spacing w:val="0"/>
          <w:sz w:val="21"/>
          <w:szCs w:val="21"/>
          <w:highlight w:val="none"/>
        </w:rPr>
        <w:t>（以下简称甲方）</w:t>
      </w:r>
    </w:p>
    <w:p w14:paraId="6A07B43E">
      <w:pPr>
        <w:keepNext w:val="0"/>
        <w:keepLines w:val="0"/>
        <w:pageBreakBefore w:val="0"/>
        <w:widowControl w:val="0"/>
        <w:kinsoku/>
        <w:wordWrap/>
        <w:overflowPunct/>
        <w:topLinePunct w:val="0"/>
        <w:bidi w:val="0"/>
        <w:adjustRightInd w:val="0"/>
        <w:snapToGrid w:val="0"/>
        <w:spacing w:line="400" w:lineRule="exact"/>
        <w:ind w:firstLine="0" w:firstLineChars="0"/>
        <w:jc w:val="left"/>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乙方：</w:t>
      </w:r>
      <w:r>
        <w:rPr>
          <w:rFonts w:hint="eastAsia" w:ascii="宋体" w:hAnsi="宋体" w:eastAsia="宋体" w:cs="宋体"/>
          <w:caps w:val="0"/>
          <w:color w:val="auto"/>
          <w:spacing w:val="0"/>
          <w:sz w:val="21"/>
          <w:szCs w:val="21"/>
          <w:highlight w:val="none"/>
          <w:u w:val="single"/>
          <w:lang w:val="en-US" w:eastAsia="zh-CN"/>
        </w:rPr>
        <w:t xml:space="preserve">                      </w:t>
      </w:r>
      <w:r>
        <w:rPr>
          <w:rFonts w:hint="eastAsia" w:ascii="宋体" w:hAnsi="宋体" w:eastAsia="宋体" w:cs="宋体"/>
          <w:caps w:val="0"/>
          <w:color w:val="auto"/>
          <w:spacing w:val="0"/>
          <w:sz w:val="21"/>
          <w:szCs w:val="21"/>
          <w:highlight w:val="none"/>
        </w:rPr>
        <w:t>(以下简称乙方）</w:t>
      </w:r>
    </w:p>
    <w:p w14:paraId="7601A91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u w:val="single"/>
        </w:rPr>
      </w:pPr>
      <w:r>
        <w:rPr>
          <w:rFonts w:hint="eastAsia" w:ascii="宋体" w:hAnsi="宋体" w:eastAsia="宋体" w:cs="宋体"/>
          <w:caps w:val="0"/>
          <w:color w:val="auto"/>
          <w:spacing w:val="0"/>
          <w:sz w:val="21"/>
          <w:szCs w:val="21"/>
          <w:highlight w:val="none"/>
        </w:rPr>
        <w:t>甲、乙双方根据项目名称：</w:t>
      </w:r>
      <w:r>
        <w:rPr>
          <w:rFonts w:hint="eastAsia" w:ascii="宋体" w:hAnsi="宋体" w:eastAsia="宋体" w:cs="宋体"/>
          <w:caps w:val="0"/>
          <w:color w:val="auto"/>
          <w:spacing w:val="0"/>
          <w:sz w:val="21"/>
          <w:szCs w:val="21"/>
          <w:highlight w:val="none"/>
          <w:u w:val="single"/>
        </w:rPr>
        <w:t>浙江省南湖监狱安防设施维保项目（2025）</w:t>
      </w:r>
      <w:r>
        <w:rPr>
          <w:rFonts w:hint="eastAsia" w:ascii="宋体" w:hAnsi="宋体" w:eastAsia="宋体" w:cs="宋体"/>
          <w:bCs/>
          <w:caps w:val="0"/>
          <w:color w:val="auto"/>
          <w:spacing w:val="0"/>
          <w:kern w:val="0"/>
          <w:sz w:val="21"/>
          <w:szCs w:val="21"/>
          <w:highlight w:val="none"/>
        </w:rPr>
        <w:t>；项目</w:t>
      </w:r>
      <w:r>
        <w:rPr>
          <w:rFonts w:hint="eastAsia" w:ascii="宋体" w:hAnsi="宋体" w:eastAsia="宋体" w:cs="宋体"/>
          <w:caps w:val="0"/>
          <w:color w:val="auto"/>
          <w:spacing w:val="0"/>
          <w:sz w:val="21"/>
          <w:szCs w:val="21"/>
          <w:highlight w:val="none"/>
        </w:rPr>
        <w:t>编号：</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u w:val="single"/>
          <w:lang w:val="en-US" w:eastAsia="zh-CN"/>
        </w:rPr>
        <w:t xml:space="preserve">             </w:t>
      </w:r>
      <w:r>
        <w:rPr>
          <w:rFonts w:hint="eastAsia" w:ascii="宋体" w:hAnsi="宋体" w:eastAsia="宋体" w:cs="宋体"/>
          <w:caps w:val="0"/>
          <w:color w:val="auto"/>
          <w:spacing w:val="0"/>
          <w:sz w:val="21"/>
          <w:szCs w:val="21"/>
          <w:highlight w:val="none"/>
        </w:rPr>
        <w:t>公开招标结果和招标文件的要求，经双方平等协商，在真实、充分地表达各自意愿的基础上，根据《中华人民共和国政府采购法》《中华人民共和国民法典》的规定，达成如下协议，并由双方共同遵守</w:t>
      </w:r>
      <w:r>
        <w:rPr>
          <w:rFonts w:hint="eastAsia" w:ascii="宋体" w:hAnsi="宋体" w:eastAsia="宋体" w:cs="宋体"/>
          <w:caps w:val="0"/>
          <w:color w:val="auto"/>
          <w:spacing w:val="0"/>
          <w:sz w:val="21"/>
          <w:szCs w:val="21"/>
          <w:highlight w:val="none"/>
          <w:lang w:val="en-US" w:eastAsia="zh-CN"/>
        </w:rPr>
        <w:t>履</w:t>
      </w:r>
      <w:r>
        <w:rPr>
          <w:rFonts w:hint="eastAsia" w:ascii="宋体" w:hAnsi="宋体" w:eastAsia="宋体" w:cs="宋体"/>
          <w:caps w:val="0"/>
          <w:color w:val="auto"/>
          <w:spacing w:val="0"/>
          <w:sz w:val="21"/>
          <w:szCs w:val="21"/>
          <w:highlight w:val="none"/>
        </w:rPr>
        <w:t>行。</w:t>
      </w:r>
    </w:p>
    <w:p w14:paraId="0B4EDEE0">
      <w:pPr>
        <w:pStyle w:val="192"/>
        <w:keepNext w:val="0"/>
        <w:keepLines w:val="0"/>
        <w:pageBreakBefore w:val="0"/>
        <w:widowControl w:val="0"/>
        <w:kinsoku/>
        <w:wordWrap/>
        <w:overflowPunct/>
        <w:topLinePunct w:val="0"/>
        <w:bidi w:val="0"/>
        <w:adjustRightInd w:val="0"/>
        <w:snapToGrid w:val="0"/>
        <w:spacing w:line="400" w:lineRule="exact"/>
        <w:ind w:firstLine="0" w:firstLineChars="0"/>
        <w:rPr>
          <w:rFonts w:hint="eastAsia" w:ascii="宋体" w:hAnsi="宋体" w:eastAsia="宋体" w:cs="宋体"/>
          <w:caps w:val="0"/>
          <w:color w:val="auto"/>
          <w:spacing w:val="0"/>
          <w:sz w:val="21"/>
          <w:szCs w:val="21"/>
          <w:highlight w:val="none"/>
        </w:rPr>
      </w:pPr>
      <w:r>
        <w:rPr>
          <w:rFonts w:hint="eastAsia" w:ascii="宋体" w:hAnsi="宋体" w:eastAsia="宋体" w:cs="宋体"/>
          <w:b/>
          <w:caps w:val="0"/>
          <w:color w:val="auto"/>
          <w:spacing w:val="0"/>
          <w:sz w:val="21"/>
          <w:szCs w:val="21"/>
          <w:highlight w:val="none"/>
        </w:rPr>
        <w:t>一、合同金额</w:t>
      </w:r>
    </w:p>
    <w:p w14:paraId="40760EB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1.维保服务费总</w:t>
      </w:r>
      <w:r>
        <w:rPr>
          <w:rFonts w:hint="eastAsia" w:ascii="宋体" w:hAnsi="宋体" w:eastAsia="宋体" w:cs="宋体"/>
          <w:caps w:val="0"/>
          <w:color w:val="auto"/>
          <w:spacing w:val="0"/>
          <w:sz w:val="21"/>
          <w:szCs w:val="21"/>
          <w:highlight w:val="none"/>
          <w:lang w:val="zh-TW" w:eastAsia="zh-TW"/>
        </w:rPr>
        <w:t>金额为人民币（大写）</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u w:val="single"/>
          <w:lang w:val="en-US" w:eastAsia="zh-CN"/>
        </w:rPr>
        <w:t xml:space="preserve">   </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lang w:val="zh-TW" w:eastAsia="zh-TW"/>
        </w:rPr>
        <w:t>（</w:t>
      </w:r>
      <w:r>
        <w:rPr>
          <w:rFonts w:hint="eastAsia" w:ascii="宋体" w:hAnsi="宋体" w:eastAsia="宋体" w:cs="宋体"/>
          <w:caps w:val="0"/>
          <w:color w:val="auto"/>
          <w:spacing w:val="0"/>
          <w:sz w:val="21"/>
          <w:szCs w:val="21"/>
          <w:highlight w:val="none"/>
        </w:rPr>
        <w:t>小写：</w:t>
      </w:r>
      <w:r>
        <w:rPr>
          <w:rFonts w:hint="eastAsia" w:ascii="宋体" w:hAnsi="宋体" w:eastAsia="宋体" w:cs="宋体"/>
          <w:caps w:val="0"/>
          <w:color w:val="auto"/>
          <w:spacing w:val="0"/>
          <w:sz w:val="21"/>
          <w:szCs w:val="21"/>
          <w:highlight w:val="none"/>
          <w:u w:val="single"/>
          <w:lang w:val="zh-TW" w:eastAsia="zh-TW"/>
        </w:rPr>
        <w:t>￥</w:t>
      </w:r>
      <w:r>
        <w:rPr>
          <w:rFonts w:hint="eastAsia" w:ascii="宋体" w:hAnsi="宋体" w:eastAsia="宋体" w:cs="宋体"/>
          <w:caps w:val="0"/>
          <w:color w:val="auto"/>
          <w:spacing w:val="0"/>
          <w:sz w:val="21"/>
          <w:szCs w:val="21"/>
          <w:highlight w:val="none"/>
          <w:u w:val="single"/>
          <w:lang w:val="en-US" w:eastAsia="zh-CN"/>
        </w:rPr>
        <w:t xml:space="preserve">       </w:t>
      </w:r>
      <w:r>
        <w:rPr>
          <w:rFonts w:hint="eastAsia" w:ascii="宋体" w:hAnsi="宋体" w:eastAsia="宋体" w:cs="宋体"/>
          <w:caps w:val="0"/>
          <w:color w:val="auto"/>
          <w:spacing w:val="0"/>
          <w:sz w:val="21"/>
          <w:szCs w:val="21"/>
          <w:highlight w:val="none"/>
          <w:lang w:val="zh-TW" w:eastAsia="zh-TW"/>
        </w:rPr>
        <w:t>元）（含税）。</w:t>
      </w:r>
    </w:p>
    <w:p w14:paraId="0A1C6BD9">
      <w:pPr>
        <w:pStyle w:val="33"/>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22" w:firstLineChars="200"/>
        <w:textAlignment w:val="auto"/>
        <w:rPr>
          <w:rFonts w:hint="eastAsia" w:ascii="宋体" w:hAnsi="宋体" w:eastAsia="宋体" w:cs="宋体"/>
          <w:caps w:val="0"/>
          <w:color w:val="auto"/>
          <w:spacing w:val="0"/>
          <w:sz w:val="21"/>
          <w:szCs w:val="21"/>
          <w:highlight w:val="none"/>
          <w:lang w:val="zh-TW"/>
        </w:rPr>
      </w:pPr>
      <w:r>
        <w:rPr>
          <w:rFonts w:hint="eastAsia" w:ascii="宋体" w:hAnsi="宋体" w:eastAsia="宋体" w:cs="宋体"/>
          <w:caps w:val="0"/>
          <w:color w:val="auto"/>
          <w:spacing w:val="0"/>
          <w:sz w:val="21"/>
          <w:szCs w:val="21"/>
          <w:highlight w:val="none"/>
        </w:rPr>
        <w:t>2.维保服务费</w:t>
      </w:r>
      <w:r>
        <w:rPr>
          <w:rFonts w:hint="eastAsia" w:ascii="宋体" w:hAnsi="宋体" w:eastAsia="宋体" w:cs="宋体"/>
          <w:caps w:val="0"/>
          <w:color w:val="auto"/>
          <w:spacing w:val="0"/>
          <w:sz w:val="21"/>
          <w:szCs w:val="21"/>
          <w:highlight w:val="none"/>
          <w:lang w:val="zh-TW" w:eastAsia="zh-TW"/>
        </w:rPr>
        <w:t>暂定不含税金额为人民币（大写）</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u w:val="single"/>
          <w:lang w:val="en-US" w:eastAsia="zh-CN"/>
        </w:rPr>
        <w:t xml:space="preserve"> </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lang w:val="zh-TW" w:eastAsia="zh-TW"/>
        </w:rPr>
        <w:t>（</w:t>
      </w:r>
      <w:r>
        <w:rPr>
          <w:rFonts w:hint="eastAsia" w:ascii="宋体" w:hAnsi="宋体" w:eastAsia="宋体" w:cs="宋体"/>
          <w:caps w:val="0"/>
          <w:color w:val="auto"/>
          <w:spacing w:val="0"/>
          <w:sz w:val="21"/>
          <w:szCs w:val="21"/>
          <w:highlight w:val="none"/>
        </w:rPr>
        <w:t>小写：</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u w:val="single"/>
          <w:lang w:val="en-US" w:eastAsia="zh-CN"/>
        </w:rPr>
        <w:t xml:space="preserve">  </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lang w:val="zh-TW" w:eastAsia="zh-TW"/>
        </w:rPr>
        <w:t>元）</w:t>
      </w:r>
      <w:r>
        <w:rPr>
          <w:rFonts w:hint="eastAsia" w:ascii="宋体" w:hAnsi="宋体" w:eastAsia="宋体" w:cs="宋体"/>
          <w:caps w:val="0"/>
          <w:color w:val="auto"/>
          <w:spacing w:val="0"/>
          <w:sz w:val="21"/>
          <w:szCs w:val="21"/>
          <w:highlight w:val="none"/>
          <w:lang w:val="zh-TW"/>
        </w:rPr>
        <w:t>。</w:t>
      </w:r>
    </w:p>
    <w:p w14:paraId="124B56E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lang w:val="zh-TW"/>
        </w:rPr>
      </w:pPr>
      <w:r>
        <w:rPr>
          <w:rFonts w:hint="eastAsia" w:ascii="宋体" w:hAnsi="宋体" w:eastAsia="宋体" w:cs="宋体"/>
          <w:caps w:val="0"/>
          <w:color w:val="auto"/>
          <w:spacing w:val="0"/>
          <w:sz w:val="21"/>
          <w:szCs w:val="21"/>
          <w:highlight w:val="none"/>
        </w:rPr>
        <w:t>3.维保服务费</w:t>
      </w:r>
      <w:r>
        <w:rPr>
          <w:rFonts w:hint="eastAsia" w:ascii="宋体" w:hAnsi="宋体" w:eastAsia="宋体" w:cs="宋体"/>
          <w:caps w:val="0"/>
          <w:color w:val="auto"/>
          <w:spacing w:val="0"/>
          <w:sz w:val="21"/>
          <w:szCs w:val="21"/>
          <w:highlight w:val="none"/>
          <w:lang w:val="zh-TW" w:eastAsia="zh-TW"/>
        </w:rPr>
        <w:t>增值税税率为</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u w:val="single"/>
          <w:lang w:val="en-US" w:eastAsia="zh-CN"/>
        </w:rPr>
        <w:t xml:space="preserve"> </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lang w:val="zh-TW" w:eastAsia="zh-TW"/>
        </w:rPr>
        <w:t>%，税额为人民币（大写）</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u w:val="single"/>
          <w:lang w:val="en-US" w:eastAsia="zh-CN"/>
        </w:rPr>
        <w:t xml:space="preserve"> </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rPr>
        <w:t>小写：</w:t>
      </w:r>
      <w:r>
        <w:rPr>
          <w:rFonts w:hint="eastAsia" w:ascii="宋体" w:hAnsi="宋体" w:eastAsia="宋体" w:cs="宋体"/>
          <w:caps w:val="0"/>
          <w:color w:val="auto"/>
          <w:spacing w:val="0"/>
          <w:sz w:val="21"/>
          <w:szCs w:val="21"/>
          <w:highlight w:val="none"/>
          <w:u w:val="single"/>
          <w:lang w:val="zh-TW"/>
        </w:rPr>
        <w:t xml:space="preserve"> </w:t>
      </w:r>
      <w:r>
        <w:rPr>
          <w:rFonts w:hint="eastAsia" w:ascii="宋体" w:hAnsi="宋体" w:eastAsia="宋体" w:cs="宋体"/>
          <w:caps w:val="0"/>
          <w:color w:val="auto"/>
          <w:spacing w:val="0"/>
          <w:sz w:val="21"/>
          <w:szCs w:val="21"/>
          <w:highlight w:val="none"/>
          <w:u w:val="single"/>
          <w:lang w:val="en-US" w:eastAsia="zh-CN"/>
        </w:rPr>
        <w:t xml:space="preserve"> </w:t>
      </w:r>
      <w:r>
        <w:rPr>
          <w:rFonts w:hint="eastAsia" w:ascii="宋体" w:hAnsi="宋体" w:eastAsia="宋体" w:cs="宋体"/>
          <w:caps w:val="0"/>
          <w:color w:val="auto"/>
          <w:spacing w:val="0"/>
          <w:sz w:val="21"/>
          <w:szCs w:val="21"/>
          <w:highlight w:val="none"/>
        </w:rPr>
        <w:t>元</w:t>
      </w:r>
      <w:r>
        <w:rPr>
          <w:rFonts w:hint="eastAsia" w:ascii="宋体" w:hAnsi="宋体" w:eastAsia="宋体" w:cs="宋体"/>
          <w:caps w:val="0"/>
          <w:color w:val="auto"/>
          <w:spacing w:val="0"/>
          <w:sz w:val="21"/>
          <w:szCs w:val="21"/>
          <w:highlight w:val="none"/>
          <w:lang w:val="zh-TW" w:eastAsia="zh-TW"/>
        </w:rPr>
        <w:t>）。</w:t>
      </w:r>
    </w:p>
    <w:p w14:paraId="1F0BA2DD">
      <w:pPr>
        <w:pStyle w:val="20"/>
        <w:keepNext w:val="0"/>
        <w:keepLines w:val="0"/>
        <w:pageBreakBefore w:val="0"/>
        <w:widowControl w:val="0"/>
        <w:kinsoku/>
        <w:wordWrap/>
        <w:overflowPunct/>
        <w:topLinePunct w:val="0"/>
        <w:autoSpaceDE/>
        <w:autoSpaceDN/>
        <w:bidi w:val="0"/>
        <w:snapToGrid w:val="0"/>
        <w:spacing w:after="0"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lang w:val="en-US" w:eastAsia="zh-CN"/>
        </w:rPr>
        <w:t>4</w:t>
      </w:r>
      <w:r>
        <w:rPr>
          <w:rFonts w:hint="eastAsia" w:ascii="宋体" w:hAnsi="宋体" w:eastAsia="宋体" w:cs="宋体"/>
          <w:caps w:val="0"/>
          <w:color w:val="auto"/>
          <w:spacing w:val="0"/>
          <w:sz w:val="21"/>
          <w:szCs w:val="21"/>
          <w:highlight w:val="none"/>
        </w:rPr>
        <w:t>.</w:t>
      </w:r>
      <w:r>
        <w:rPr>
          <w:rFonts w:hint="eastAsia" w:ascii="宋体" w:hAnsi="宋体" w:eastAsia="宋体" w:cs="宋体"/>
          <w:caps w:val="0"/>
          <w:color w:val="auto"/>
          <w:spacing w:val="0"/>
          <w:sz w:val="21"/>
          <w:szCs w:val="21"/>
          <w:highlight w:val="none"/>
          <w:lang w:val="zh-TW" w:eastAsia="zh-TW"/>
        </w:rPr>
        <w:t>若国家出台新的税收政策，则按新政策执行。</w:t>
      </w:r>
    </w:p>
    <w:p w14:paraId="501736C6">
      <w:pPr>
        <w:keepNext w:val="0"/>
        <w:keepLines w:val="0"/>
        <w:pageBreakBefore w:val="0"/>
        <w:widowControl w:val="0"/>
        <w:kinsoku/>
        <w:wordWrap/>
        <w:overflowPunct/>
        <w:topLinePunct w:val="0"/>
        <w:bidi w:val="0"/>
        <w:adjustRightInd w:val="0"/>
        <w:snapToGrid w:val="0"/>
        <w:spacing w:line="400" w:lineRule="exact"/>
        <w:ind w:firstLine="0" w:firstLineChars="0"/>
        <w:rPr>
          <w:rFonts w:hint="eastAsia" w:ascii="宋体" w:hAnsi="宋体" w:eastAsia="宋体" w:cs="宋体"/>
          <w:b/>
          <w:caps w:val="0"/>
          <w:color w:val="auto"/>
          <w:spacing w:val="0"/>
          <w:sz w:val="21"/>
          <w:szCs w:val="21"/>
          <w:highlight w:val="none"/>
        </w:rPr>
      </w:pPr>
      <w:r>
        <w:rPr>
          <w:rFonts w:hint="eastAsia" w:ascii="宋体" w:hAnsi="宋体" w:eastAsia="宋体" w:cs="宋体"/>
          <w:b/>
          <w:caps w:val="0"/>
          <w:color w:val="auto"/>
          <w:spacing w:val="0"/>
          <w:sz w:val="21"/>
          <w:szCs w:val="21"/>
          <w:highlight w:val="none"/>
        </w:rPr>
        <w:t>二、服务期限、地点</w:t>
      </w:r>
    </w:p>
    <w:p w14:paraId="14CC7F8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1.服务期限：自合同签订之日起1年。</w:t>
      </w:r>
    </w:p>
    <w:p w14:paraId="57F8CA8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aps w:val="0"/>
          <w:color w:val="auto"/>
          <w:spacing w:val="0"/>
          <w:sz w:val="21"/>
          <w:szCs w:val="21"/>
          <w:highlight w:val="none"/>
        </w:rPr>
      </w:pPr>
      <w:r>
        <w:rPr>
          <w:rFonts w:hint="eastAsia" w:ascii="宋体" w:hAnsi="宋体" w:eastAsia="宋体" w:cs="宋体"/>
          <w:caps w:val="0"/>
          <w:color w:val="auto"/>
          <w:spacing w:val="0"/>
          <w:sz w:val="21"/>
          <w:szCs w:val="21"/>
          <w:highlight w:val="none"/>
        </w:rPr>
        <w:t>2.服务地点：浙江省南湖监狱（浙江省安吉县天子湖镇）</w:t>
      </w:r>
      <w:r>
        <w:rPr>
          <w:rFonts w:hint="eastAsia" w:ascii="宋体" w:hAnsi="宋体" w:eastAsia="宋体" w:cs="宋体"/>
          <w:bCs/>
          <w:caps w:val="0"/>
          <w:color w:val="auto"/>
          <w:spacing w:val="0"/>
          <w:sz w:val="21"/>
          <w:szCs w:val="21"/>
          <w:highlight w:val="none"/>
        </w:rPr>
        <w:t>。</w:t>
      </w:r>
    </w:p>
    <w:p w14:paraId="3649C7EB">
      <w:pPr>
        <w:keepNext w:val="0"/>
        <w:keepLines w:val="0"/>
        <w:pageBreakBefore w:val="0"/>
        <w:widowControl w:val="0"/>
        <w:kinsoku/>
        <w:wordWrap/>
        <w:overflowPunct/>
        <w:topLinePunct w:val="0"/>
        <w:bidi w:val="0"/>
        <w:adjustRightInd w:val="0"/>
        <w:snapToGrid w:val="0"/>
        <w:spacing w:line="400" w:lineRule="exact"/>
        <w:ind w:firstLine="0" w:firstLineChars="0"/>
        <w:rPr>
          <w:rFonts w:hint="eastAsia" w:ascii="宋体" w:hAnsi="宋体" w:eastAsia="宋体" w:cs="宋体"/>
          <w:b/>
          <w:caps w:val="0"/>
          <w:color w:val="auto"/>
          <w:spacing w:val="0"/>
          <w:sz w:val="21"/>
          <w:szCs w:val="21"/>
          <w:highlight w:val="none"/>
        </w:rPr>
      </w:pPr>
      <w:r>
        <w:rPr>
          <w:rFonts w:hint="eastAsia" w:ascii="宋体" w:hAnsi="宋体" w:eastAsia="宋体" w:cs="宋体"/>
          <w:b/>
          <w:caps w:val="0"/>
          <w:color w:val="auto"/>
          <w:spacing w:val="0"/>
          <w:sz w:val="21"/>
          <w:szCs w:val="21"/>
          <w:highlight w:val="none"/>
        </w:rPr>
        <w:t>三、服务要求</w:t>
      </w:r>
    </w:p>
    <w:p w14:paraId="4BFE52FB">
      <w:pPr>
        <w:keepNext w:val="0"/>
        <w:keepLines w:val="0"/>
        <w:pageBreakBefore w:val="0"/>
        <w:widowControl w:val="0"/>
        <w:kinsoku/>
        <w:wordWrap/>
        <w:overflowPunct/>
        <w:topLinePunct w:val="0"/>
        <w:bidi w:val="0"/>
        <w:adjustRightInd w:val="0"/>
        <w:snapToGrid w:val="0"/>
        <w:spacing w:line="400" w:lineRule="exact"/>
        <w:ind w:firstLine="422" w:firstLineChars="200"/>
        <w:rPr>
          <w:rFonts w:hint="eastAsia" w:ascii="宋体" w:hAnsi="宋体" w:eastAsia="宋体" w:cs="宋体"/>
          <w:caps w:val="0"/>
          <w:color w:val="auto"/>
          <w:spacing w:val="0"/>
          <w:sz w:val="21"/>
          <w:szCs w:val="21"/>
          <w:highlight w:val="none"/>
        </w:rPr>
      </w:pPr>
      <w:r>
        <w:rPr>
          <w:rFonts w:hint="eastAsia" w:ascii="宋体" w:hAnsi="宋体" w:eastAsia="宋体" w:cs="宋体"/>
          <w:b/>
          <w:bCs/>
          <w:caps w:val="0"/>
          <w:color w:val="auto"/>
          <w:spacing w:val="0"/>
          <w:sz w:val="21"/>
          <w:szCs w:val="21"/>
          <w:highlight w:val="none"/>
        </w:rPr>
        <w:t>1.具体要求如下：</w:t>
      </w:r>
    </w:p>
    <w:p w14:paraId="4E0C3D6B">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lang w:val="zh-TW" w:eastAsia="zh-TW"/>
        </w:rPr>
      </w:pPr>
      <w:r>
        <w:rPr>
          <w:rFonts w:hint="eastAsia" w:ascii="宋体" w:hAnsi="宋体" w:eastAsia="宋体" w:cs="宋体"/>
          <w:caps w:val="0"/>
          <w:color w:val="auto"/>
          <w:spacing w:val="0"/>
          <w:sz w:val="21"/>
          <w:szCs w:val="21"/>
          <w:highlight w:val="none"/>
        </w:rPr>
        <w:t>1.1 派驻现场的维保服务人员人数7人，必须为男性，无刑事犯罪记录，工作主动勤恳，能遵守甲方的管理制度，熟练掌握安防系统各类设备的操作检修与系统软件的配置应用，熟悉《浙江省电子政务网络技术规范》《浙江省电子政务网络安全规范》等</w:t>
      </w:r>
      <w:r>
        <w:rPr>
          <w:rFonts w:hint="eastAsia" w:ascii="宋体" w:hAnsi="宋体" w:eastAsia="宋体" w:cs="宋体"/>
          <w:caps w:val="0"/>
          <w:color w:val="auto"/>
          <w:spacing w:val="0"/>
          <w:sz w:val="21"/>
          <w:szCs w:val="21"/>
          <w:highlight w:val="none"/>
          <w:lang w:val="en-US" w:eastAsia="zh-CN"/>
        </w:rPr>
        <w:t>法规规定</w:t>
      </w:r>
      <w:r>
        <w:rPr>
          <w:rFonts w:hint="eastAsia" w:ascii="宋体" w:hAnsi="宋体" w:eastAsia="宋体" w:cs="宋体"/>
          <w:caps w:val="0"/>
          <w:color w:val="auto"/>
          <w:spacing w:val="0"/>
          <w:sz w:val="21"/>
          <w:szCs w:val="21"/>
          <w:highlight w:val="none"/>
        </w:rPr>
        <w:t>。服务期内驻场维保人员专职为甲方提供安防信息设施维保服务，其工作时间、地点、内容由甲方单位安排。</w:t>
      </w:r>
    </w:p>
    <w:p w14:paraId="61097AFE">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1.2 乙方应建立健全</w:t>
      </w:r>
      <w:r>
        <w:rPr>
          <w:rFonts w:hint="eastAsia" w:ascii="宋体" w:hAnsi="宋体" w:eastAsia="宋体" w:cs="宋体"/>
          <w:caps w:val="0"/>
          <w:color w:val="auto"/>
          <w:spacing w:val="0"/>
          <w:sz w:val="21"/>
          <w:szCs w:val="21"/>
          <w:highlight w:val="none"/>
          <w:lang w:eastAsia="zh-CN"/>
        </w:rPr>
        <w:t>维保人员</w:t>
      </w:r>
      <w:r>
        <w:rPr>
          <w:rFonts w:hint="eastAsia" w:ascii="宋体" w:hAnsi="宋体" w:eastAsia="宋体" w:cs="宋体"/>
          <w:caps w:val="0"/>
          <w:color w:val="auto"/>
          <w:spacing w:val="0"/>
          <w:sz w:val="21"/>
          <w:szCs w:val="21"/>
          <w:highlight w:val="none"/>
        </w:rPr>
        <w:t>上岗考勤制度、值班制度。</w:t>
      </w:r>
      <w:r>
        <w:rPr>
          <w:rFonts w:hint="eastAsia" w:ascii="宋体" w:hAnsi="宋体" w:eastAsia="宋体" w:cs="宋体"/>
          <w:color w:val="auto"/>
          <w:szCs w:val="21"/>
          <w:highlight w:val="none"/>
          <w:lang w:val="en-US" w:eastAsia="zh-CN"/>
        </w:rPr>
        <w:t>每月25日之前提供下一月度的值班表，</w:t>
      </w:r>
      <w:r>
        <w:rPr>
          <w:rFonts w:hint="eastAsia" w:ascii="宋体" w:hAnsi="宋体" w:cs="宋体"/>
          <w:color w:val="auto"/>
          <w:szCs w:val="21"/>
          <w:highlight w:val="none"/>
          <w:lang w:val="en-US" w:eastAsia="zh-CN"/>
        </w:rPr>
        <w:t>行政班的</w:t>
      </w:r>
      <w:r>
        <w:rPr>
          <w:rFonts w:hint="eastAsia" w:ascii="宋体" w:hAnsi="宋体" w:eastAsia="宋体" w:cs="宋体"/>
          <w:color w:val="auto"/>
          <w:szCs w:val="21"/>
          <w:highlight w:val="none"/>
          <w:lang w:val="en-US" w:eastAsia="zh-CN"/>
        </w:rPr>
        <w:t>上下班时间参照南湖监狱工作人员的上下班时间进行</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工作日</w:t>
      </w:r>
      <w:r>
        <w:rPr>
          <w:rFonts w:hint="eastAsia" w:ascii="宋体" w:hAnsi="宋体" w:cs="宋体"/>
          <w:color w:val="auto"/>
          <w:szCs w:val="21"/>
          <w:highlight w:val="none"/>
          <w:lang w:val="en-US" w:eastAsia="zh-CN"/>
        </w:rPr>
        <w:t>下班后</w:t>
      </w:r>
      <w:r>
        <w:rPr>
          <w:rFonts w:hint="eastAsia" w:ascii="宋体" w:hAnsi="宋体" w:eastAsia="宋体" w:cs="宋体"/>
          <w:color w:val="auto"/>
          <w:szCs w:val="21"/>
          <w:highlight w:val="none"/>
          <w:lang w:val="en-US" w:eastAsia="zh-CN"/>
        </w:rPr>
        <w:t>、公休日及法定节假日需要安排有一名维护人员值班，确保实现24小时维护响应</w:t>
      </w:r>
      <w:r>
        <w:rPr>
          <w:rFonts w:hint="eastAsia" w:ascii="宋体" w:hAnsi="宋体" w:eastAsia="宋体" w:cs="宋体"/>
          <w:caps w:val="0"/>
          <w:color w:val="auto"/>
          <w:spacing w:val="0"/>
          <w:sz w:val="21"/>
          <w:szCs w:val="21"/>
          <w:highlight w:val="none"/>
        </w:rPr>
        <w:t>；日常建立相关巡检台帐；若遇国家重大疾病流行期间，根据省局、监狱的实际要求，运维人员须根据甲方防疫制度进行调整值班、备勤模式，服从甲方整体安排，严格遵守甲方防疫制度。</w:t>
      </w:r>
    </w:p>
    <w:p w14:paraId="0408A580">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1.3 乙方在维护过程中必须严格按照甲方信息化系统的维护操作规程实施，保证系统设备正常运行。</w:t>
      </w:r>
    </w:p>
    <w:p w14:paraId="16246CE8">
      <w:pPr>
        <w:pStyle w:val="3"/>
        <w:keepNext w:val="0"/>
        <w:keepLines w:val="0"/>
        <w:pageBreakBefore w:val="0"/>
        <w:widowControl w:val="0"/>
        <w:kinsoku/>
        <w:wordWrap/>
        <w:overflowPunct/>
        <w:topLinePunct w:val="0"/>
        <w:bidi w:val="0"/>
        <w:adjustRightInd w:val="0"/>
        <w:spacing w:before="0" w:after="0" w:line="400" w:lineRule="exact"/>
        <w:ind w:firstLine="420" w:firstLineChars="200"/>
        <w:rPr>
          <w:rFonts w:hint="eastAsia" w:ascii="宋体" w:hAnsi="宋体" w:eastAsia="宋体" w:cs="宋体"/>
          <w:b w:val="0"/>
          <w:bCs w:val="0"/>
          <w:caps w:val="0"/>
          <w:color w:val="auto"/>
          <w:spacing w:val="0"/>
          <w:kern w:val="2"/>
          <w:sz w:val="21"/>
          <w:szCs w:val="21"/>
          <w:highlight w:val="none"/>
          <w:lang w:val="en-US" w:eastAsia="zh-CN" w:bidi="ar-SA"/>
        </w:rPr>
      </w:pPr>
      <w:r>
        <w:rPr>
          <w:rFonts w:hint="eastAsia" w:ascii="宋体" w:hAnsi="宋体" w:eastAsia="宋体" w:cs="宋体"/>
          <w:b w:val="0"/>
          <w:bCs w:val="0"/>
          <w:caps w:val="0"/>
          <w:color w:val="auto"/>
          <w:spacing w:val="0"/>
          <w:kern w:val="2"/>
          <w:sz w:val="21"/>
          <w:szCs w:val="21"/>
          <w:highlight w:val="none"/>
          <w:lang w:val="en-US" w:eastAsia="zh-CN" w:bidi="ar-SA"/>
        </w:rPr>
        <w:t>1.4 关于维保人员的工作模式由甲方根据实际情况确定并调整，派驻现场的维保人员应服从甲方的管理和安排。符合监内辅警工作条件的应以监管安全要求相适应配备服装、设备等，具体服装、设备由乙方提供。</w:t>
      </w:r>
    </w:p>
    <w:p w14:paraId="5EDC1659">
      <w:pPr>
        <w:keepNext w:val="0"/>
        <w:keepLines w:val="0"/>
        <w:pageBreakBefore w:val="0"/>
        <w:widowControl w:val="0"/>
        <w:kinsoku/>
        <w:wordWrap/>
        <w:overflowPunct/>
        <w:topLinePunct w:val="0"/>
        <w:bidi w:val="0"/>
        <w:adjustRightInd w:val="0"/>
        <w:snapToGrid w:val="0"/>
        <w:spacing w:line="400" w:lineRule="exact"/>
        <w:ind w:firstLine="422" w:firstLineChars="200"/>
        <w:rPr>
          <w:rFonts w:hint="eastAsia" w:ascii="宋体" w:hAnsi="宋体" w:eastAsia="宋体" w:cs="宋体"/>
          <w:b/>
          <w:bCs/>
          <w:caps w:val="0"/>
          <w:color w:val="auto"/>
          <w:spacing w:val="0"/>
          <w:sz w:val="21"/>
          <w:szCs w:val="21"/>
          <w:highlight w:val="none"/>
        </w:rPr>
      </w:pPr>
      <w:r>
        <w:rPr>
          <w:rFonts w:hint="eastAsia" w:ascii="宋体" w:hAnsi="宋体" w:eastAsia="宋体" w:cs="宋体"/>
          <w:b/>
          <w:bCs/>
          <w:caps w:val="0"/>
          <w:color w:val="auto"/>
          <w:spacing w:val="0"/>
          <w:sz w:val="21"/>
          <w:szCs w:val="21"/>
          <w:highlight w:val="none"/>
        </w:rPr>
        <w:t>2.故障响应要求：</w:t>
      </w:r>
    </w:p>
    <w:p w14:paraId="1D31F6DD">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2.1 故障类响应时间不得超过15分钟；</w:t>
      </w:r>
    </w:p>
    <w:p w14:paraId="5CC245E0">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2.2 维修任务以甲方接处警平台为主，需要在半小时内完成签收，12小时内结单（特殊情况导致维修延期的，在平台侧申请延期，并在延期时间之前完成维修）。</w:t>
      </w:r>
    </w:p>
    <w:p w14:paraId="47E52993">
      <w:pPr>
        <w:keepNext w:val="0"/>
        <w:keepLines w:val="0"/>
        <w:pageBreakBefore w:val="0"/>
        <w:widowControl w:val="0"/>
        <w:kinsoku/>
        <w:wordWrap/>
        <w:overflowPunct/>
        <w:topLinePunct w:val="0"/>
        <w:bidi w:val="0"/>
        <w:adjustRightInd w:val="0"/>
        <w:snapToGrid w:val="0"/>
        <w:spacing w:line="400" w:lineRule="exact"/>
        <w:ind w:firstLine="422" w:firstLineChars="200"/>
        <w:rPr>
          <w:rFonts w:hint="eastAsia" w:ascii="宋体" w:hAnsi="宋体" w:eastAsia="宋体" w:cs="宋体"/>
          <w:b/>
          <w:bCs/>
          <w:caps w:val="0"/>
          <w:color w:val="auto"/>
          <w:spacing w:val="0"/>
          <w:sz w:val="21"/>
          <w:szCs w:val="21"/>
          <w:highlight w:val="none"/>
        </w:rPr>
      </w:pPr>
      <w:r>
        <w:rPr>
          <w:rFonts w:hint="eastAsia" w:ascii="宋体" w:hAnsi="宋体" w:eastAsia="宋体" w:cs="宋体"/>
          <w:b/>
          <w:bCs/>
          <w:caps w:val="0"/>
          <w:color w:val="auto"/>
          <w:spacing w:val="0"/>
          <w:sz w:val="21"/>
          <w:szCs w:val="21"/>
          <w:highlight w:val="none"/>
        </w:rPr>
        <w:t>3.运维工具保障：</w:t>
      </w:r>
    </w:p>
    <w:p w14:paraId="29F0E6EC">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3.1 驻场工程师配备专用通讯手机，24小时开机；</w:t>
      </w:r>
    </w:p>
    <w:p w14:paraId="7E77B854">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3.2 根据实际工作需要开通VPN及堡垒机运维账号。</w:t>
      </w:r>
    </w:p>
    <w:p w14:paraId="6EE1D420">
      <w:pPr>
        <w:keepNext w:val="0"/>
        <w:keepLines w:val="0"/>
        <w:pageBreakBefore w:val="0"/>
        <w:widowControl w:val="0"/>
        <w:kinsoku/>
        <w:wordWrap/>
        <w:overflowPunct/>
        <w:topLinePunct w:val="0"/>
        <w:bidi w:val="0"/>
        <w:adjustRightInd w:val="0"/>
        <w:snapToGrid w:val="0"/>
        <w:spacing w:line="400" w:lineRule="exact"/>
        <w:ind w:firstLine="422" w:firstLineChars="200"/>
        <w:rPr>
          <w:rFonts w:hint="eastAsia" w:ascii="宋体" w:hAnsi="宋体" w:eastAsia="宋体" w:cs="宋体"/>
          <w:b/>
          <w:bCs/>
          <w:caps w:val="0"/>
          <w:color w:val="auto"/>
          <w:spacing w:val="0"/>
          <w:sz w:val="21"/>
          <w:szCs w:val="21"/>
          <w:highlight w:val="none"/>
        </w:rPr>
      </w:pPr>
      <w:r>
        <w:rPr>
          <w:rFonts w:hint="eastAsia" w:ascii="宋体" w:hAnsi="宋体" w:eastAsia="宋体" w:cs="宋体"/>
          <w:b/>
          <w:bCs/>
          <w:caps w:val="0"/>
          <w:color w:val="auto"/>
          <w:spacing w:val="0"/>
          <w:sz w:val="21"/>
          <w:szCs w:val="21"/>
          <w:highlight w:val="none"/>
        </w:rPr>
        <w:t>4.报表资料管理：</w:t>
      </w:r>
    </w:p>
    <w:p w14:paraId="7618EF2A">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4.1 出具日维修报表，日巡检报表，月度巡检报表，季度UPS巡检报告。</w:t>
      </w:r>
    </w:p>
    <w:p w14:paraId="5754EF30">
      <w:pPr>
        <w:keepNext w:val="0"/>
        <w:keepLines w:val="0"/>
        <w:pageBreakBefore w:val="0"/>
        <w:widowControl w:val="0"/>
        <w:kinsoku/>
        <w:wordWrap/>
        <w:overflowPunct/>
        <w:topLinePunct w:val="0"/>
        <w:bidi w:val="0"/>
        <w:adjustRightInd w:val="0"/>
        <w:snapToGrid w:val="0"/>
        <w:spacing w:line="400" w:lineRule="exact"/>
        <w:ind w:firstLine="422" w:firstLineChars="200"/>
        <w:rPr>
          <w:rFonts w:hint="eastAsia" w:ascii="宋体" w:hAnsi="宋体" w:eastAsia="宋体" w:cs="宋体"/>
          <w:b/>
          <w:bCs/>
          <w:caps w:val="0"/>
          <w:color w:val="auto"/>
          <w:spacing w:val="0"/>
          <w:sz w:val="21"/>
          <w:szCs w:val="21"/>
          <w:highlight w:val="none"/>
        </w:rPr>
      </w:pPr>
      <w:r>
        <w:rPr>
          <w:rFonts w:hint="eastAsia" w:ascii="宋体" w:hAnsi="宋体" w:eastAsia="宋体" w:cs="宋体"/>
          <w:b/>
          <w:bCs/>
          <w:caps w:val="0"/>
          <w:color w:val="auto"/>
          <w:spacing w:val="0"/>
          <w:sz w:val="21"/>
          <w:szCs w:val="21"/>
          <w:highlight w:val="none"/>
        </w:rPr>
        <w:t>5.遵规守纪要求：</w:t>
      </w:r>
    </w:p>
    <w:p w14:paraId="13ACE4BA">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5.1 驻点工程师和技术员一旦确定，须与甲方签订保密协议，乙方对涉密信息系统和设备进行维护时，要求甲方相关使用人全程在场，如果因为乙方过失引起的泄密事故，将依法追究其相关法律责任。合同期内在未得到甲方允许前不得变更人员，否则省甲方有权终止合同，乙方承担全部损失。</w:t>
      </w:r>
    </w:p>
    <w:p w14:paraId="5C789E7B">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5.2 自觉遵守甲方相关规定，不得将违规品、违禁品带入监管区。</w:t>
      </w:r>
    </w:p>
    <w:p w14:paraId="7DA2573C">
      <w:pPr>
        <w:keepNext w:val="0"/>
        <w:keepLines w:val="0"/>
        <w:pageBreakBefore w:val="0"/>
        <w:widowControl w:val="0"/>
        <w:kinsoku/>
        <w:wordWrap/>
        <w:overflowPunct/>
        <w:topLinePunct w:val="0"/>
        <w:bidi w:val="0"/>
        <w:adjustRightInd w:val="0"/>
        <w:snapToGrid w:val="0"/>
        <w:spacing w:line="400" w:lineRule="exact"/>
        <w:ind w:firstLine="422" w:firstLineChars="200"/>
        <w:rPr>
          <w:rFonts w:hint="eastAsia" w:ascii="宋体" w:hAnsi="宋体" w:eastAsia="宋体" w:cs="宋体"/>
          <w:b/>
          <w:bCs/>
          <w:caps w:val="0"/>
          <w:color w:val="auto"/>
          <w:spacing w:val="0"/>
          <w:sz w:val="21"/>
          <w:szCs w:val="21"/>
          <w:highlight w:val="none"/>
        </w:rPr>
      </w:pPr>
      <w:r>
        <w:rPr>
          <w:rFonts w:hint="eastAsia" w:ascii="宋体" w:hAnsi="宋体" w:eastAsia="宋体" w:cs="宋体"/>
          <w:b/>
          <w:bCs/>
          <w:caps w:val="0"/>
          <w:color w:val="auto"/>
          <w:spacing w:val="0"/>
          <w:sz w:val="21"/>
          <w:szCs w:val="21"/>
          <w:highlight w:val="none"/>
        </w:rPr>
        <w:t>6.常规巡检要求：</w:t>
      </w:r>
    </w:p>
    <w:p w14:paraId="456418D5">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6.1 中心机房、二级机房，中心UPS、二级UPS间实行日巡检制度；</w:t>
      </w:r>
    </w:p>
    <w:p w14:paraId="40CCABFE">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6.2 五一、国庆、春节等重大节假日前做好重点区域的巡查，并针对发现的问题重点整改。</w:t>
      </w:r>
    </w:p>
    <w:p w14:paraId="3E81CA25">
      <w:pPr>
        <w:keepNext w:val="0"/>
        <w:keepLines w:val="0"/>
        <w:pageBreakBefore w:val="0"/>
        <w:widowControl w:val="0"/>
        <w:kinsoku/>
        <w:wordWrap/>
        <w:overflowPunct/>
        <w:topLinePunct w:val="0"/>
        <w:bidi w:val="0"/>
        <w:adjustRightInd w:val="0"/>
        <w:snapToGrid w:val="0"/>
        <w:spacing w:line="400" w:lineRule="exact"/>
        <w:ind w:firstLine="422" w:firstLineChars="200"/>
        <w:rPr>
          <w:rFonts w:hint="eastAsia" w:ascii="宋体" w:hAnsi="宋体" w:eastAsia="宋体" w:cs="宋体"/>
          <w:b/>
          <w:bCs/>
          <w:caps w:val="0"/>
          <w:color w:val="auto"/>
          <w:spacing w:val="0"/>
          <w:sz w:val="21"/>
          <w:szCs w:val="21"/>
          <w:highlight w:val="none"/>
        </w:rPr>
      </w:pPr>
      <w:r>
        <w:rPr>
          <w:rFonts w:hint="eastAsia" w:ascii="宋体" w:hAnsi="宋体" w:eastAsia="宋体" w:cs="宋体"/>
          <w:b/>
          <w:bCs/>
          <w:caps w:val="0"/>
          <w:color w:val="auto"/>
          <w:spacing w:val="0"/>
          <w:sz w:val="21"/>
          <w:szCs w:val="21"/>
          <w:highlight w:val="none"/>
        </w:rPr>
        <w:t>7.其他要求：</w:t>
      </w:r>
    </w:p>
    <w:p w14:paraId="5D07A64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7.1 因乙方的运维人员人为因素造成的损失由乙方承担；</w:t>
      </w:r>
    </w:p>
    <w:p w14:paraId="4100BD9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7.2 所有进场运维服务人员必须服从甲方信息技术科的领导和管理，包括制定工作制度、监督工作制度的执行质量、分配和调整工作任务和资源等。</w:t>
      </w:r>
    </w:p>
    <w:p w14:paraId="32B2153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7.3 由于配件的原因，若送修设备不能在10个工作日内修复的，乙方须为此类故障提供备件。</w:t>
      </w:r>
    </w:p>
    <w:p w14:paraId="1F91E989">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bCs/>
          <w:caps w:val="0"/>
          <w:color w:val="auto"/>
          <w:spacing w:val="0"/>
          <w:sz w:val="21"/>
          <w:szCs w:val="21"/>
          <w:highlight w:val="none"/>
        </w:rPr>
      </w:pPr>
      <w:r>
        <w:rPr>
          <w:rFonts w:hint="eastAsia" w:ascii="宋体" w:hAnsi="宋体" w:eastAsia="宋体" w:cs="宋体"/>
          <w:caps w:val="0"/>
          <w:color w:val="auto"/>
          <w:spacing w:val="0"/>
          <w:sz w:val="21"/>
          <w:szCs w:val="21"/>
          <w:highlight w:val="none"/>
        </w:rPr>
        <w:t>7.4 认真完成甲方布置的其他工作或临时工作任务。</w:t>
      </w:r>
    </w:p>
    <w:p w14:paraId="2ACC8558">
      <w:pPr>
        <w:keepNext w:val="0"/>
        <w:keepLines w:val="0"/>
        <w:pageBreakBefore w:val="0"/>
        <w:widowControl w:val="0"/>
        <w:kinsoku/>
        <w:wordWrap/>
        <w:overflowPunct/>
        <w:topLinePunct w:val="0"/>
        <w:bidi w:val="0"/>
        <w:adjustRightInd w:val="0"/>
        <w:snapToGrid w:val="0"/>
        <w:spacing w:line="400" w:lineRule="exact"/>
        <w:ind w:firstLine="0" w:firstLineChars="0"/>
        <w:rPr>
          <w:rFonts w:hint="eastAsia" w:ascii="宋体" w:hAnsi="宋体" w:eastAsia="宋体" w:cs="宋体"/>
          <w:bCs/>
          <w:caps w:val="0"/>
          <w:color w:val="auto"/>
          <w:spacing w:val="0"/>
          <w:sz w:val="21"/>
          <w:szCs w:val="21"/>
          <w:highlight w:val="none"/>
        </w:rPr>
      </w:pPr>
      <w:r>
        <w:rPr>
          <w:rFonts w:hint="eastAsia" w:ascii="宋体" w:hAnsi="宋体" w:eastAsia="宋体" w:cs="宋体"/>
          <w:b/>
          <w:caps w:val="0"/>
          <w:color w:val="auto"/>
          <w:spacing w:val="0"/>
          <w:sz w:val="21"/>
          <w:szCs w:val="21"/>
          <w:highlight w:val="none"/>
        </w:rPr>
        <w:t>四、验收标准</w:t>
      </w:r>
    </w:p>
    <w:p w14:paraId="28F63C2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1.验收标准按国家或地方标准</w:t>
      </w:r>
      <w:r>
        <w:rPr>
          <w:rFonts w:hint="eastAsia" w:ascii="宋体" w:hAnsi="宋体" w:eastAsia="宋体" w:cs="宋体"/>
          <w:caps w:val="0"/>
          <w:color w:val="auto"/>
          <w:spacing w:val="0"/>
          <w:sz w:val="21"/>
          <w:szCs w:val="21"/>
          <w:highlight w:val="none"/>
          <w:lang w:val="en-US" w:eastAsia="zh-CN"/>
        </w:rPr>
        <w:t>或甲方相关文件</w:t>
      </w:r>
      <w:r>
        <w:rPr>
          <w:rFonts w:hint="eastAsia" w:ascii="宋体" w:hAnsi="宋体" w:eastAsia="宋体" w:cs="宋体"/>
          <w:caps w:val="0"/>
          <w:color w:val="auto"/>
          <w:spacing w:val="0"/>
          <w:sz w:val="21"/>
          <w:szCs w:val="21"/>
          <w:highlight w:val="none"/>
        </w:rPr>
        <w:t>执行。</w:t>
      </w:r>
    </w:p>
    <w:p w14:paraId="2B4AF2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2.服务考核采用月度考核（扣分制），考核费用在合同期最后一次结算中体现的方式进行，具体运维考核办法由甲方发布实施，驻点运维人员参照执行。</w:t>
      </w:r>
    </w:p>
    <w:p w14:paraId="55649ADB">
      <w:pPr>
        <w:keepNext w:val="0"/>
        <w:keepLines w:val="0"/>
        <w:pageBreakBefore w:val="0"/>
        <w:widowControl w:val="0"/>
        <w:kinsoku/>
        <w:wordWrap/>
        <w:overflowPunct/>
        <w:topLinePunct w:val="0"/>
        <w:bidi w:val="0"/>
        <w:adjustRightInd w:val="0"/>
        <w:snapToGrid w:val="0"/>
        <w:spacing w:line="400" w:lineRule="exact"/>
        <w:ind w:firstLine="0" w:firstLineChars="0"/>
        <w:rPr>
          <w:rFonts w:hint="eastAsia" w:ascii="宋体" w:hAnsi="宋体" w:eastAsia="宋体" w:cs="宋体"/>
          <w:b/>
          <w:bCs/>
          <w:caps w:val="0"/>
          <w:color w:val="auto"/>
          <w:spacing w:val="0"/>
          <w:sz w:val="21"/>
          <w:szCs w:val="21"/>
          <w:highlight w:val="none"/>
        </w:rPr>
      </w:pPr>
      <w:r>
        <w:rPr>
          <w:rFonts w:hint="eastAsia" w:ascii="宋体" w:hAnsi="宋体" w:eastAsia="宋体" w:cs="宋体"/>
          <w:b/>
          <w:bCs/>
          <w:caps w:val="0"/>
          <w:color w:val="auto"/>
          <w:spacing w:val="0"/>
          <w:sz w:val="21"/>
          <w:szCs w:val="21"/>
          <w:highlight w:val="none"/>
        </w:rPr>
        <w:t>五、付款方式</w:t>
      </w:r>
    </w:p>
    <w:p w14:paraId="7D8D02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aps w:val="0"/>
          <w:color w:val="auto"/>
          <w:spacing w:val="0"/>
          <w:sz w:val="21"/>
          <w:szCs w:val="21"/>
          <w:highlight w:val="none"/>
          <w:lang w:val="en-US" w:eastAsia="zh-CN"/>
        </w:rPr>
      </w:pPr>
      <w:r>
        <w:rPr>
          <w:rFonts w:hint="eastAsia" w:ascii="宋体" w:hAnsi="宋体" w:eastAsia="宋体" w:cs="宋体"/>
          <w:caps w:val="0"/>
          <w:color w:val="auto"/>
          <w:spacing w:val="0"/>
          <w:sz w:val="21"/>
          <w:szCs w:val="21"/>
          <w:highlight w:val="none"/>
          <w:lang w:val="en-US" w:eastAsia="zh-CN"/>
        </w:rPr>
        <w:t>1、</w:t>
      </w:r>
      <w:r>
        <w:rPr>
          <w:rFonts w:hint="eastAsia" w:ascii="宋体" w:hAnsi="宋体" w:eastAsia="宋体" w:cs="宋体"/>
          <w:caps w:val="0"/>
          <w:color w:val="auto"/>
          <w:spacing w:val="0"/>
          <w:sz w:val="21"/>
          <w:szCs w:val="21"/>
          <w:highlight w:val="none"/>
        </w:rPr>
        <w:t>合同签订后，每</w:t>
      </w:r>
      <w:r>
        <w:rPr>
          <w:rFonts w:hint="eastAsia" w:ascii="宋体" w:hAnsi="宋体" w:eastAsia="宋体" w:cs="宋体"/>
          <w:caps w:val="0"/>
          <w:color w:val="auto"/>
          <w:spacing w:val="0"/>
          <w:sz w:val="21"/>
          <w:szCs w:val="21"/>
          <w:highlight w:val="none"/>
          <w:lang w:val="en-US" w:eastAsia="zh-CN"/>
        </w:rPr>
        <w:t>3个月</w:t>
      </w:r>
      <w:r>
        <w:rPr>
          <w:rFonts w:hint="eastAsia" w:ascii="宋体" w:hAnsi="宋体" w:eastAsia="宋体" w:cs="宋体"/>
          <w:caps w:val="0"/>
          <w:color w:val="auto"/>
          <w:spacing w:val="0"/>
          <w:sz w:val="21"/>
          <w:szCs w:val="21"/>
          <w:highlight w:val="none"/>
        </w:rPr>
        <w:t>支付一次费用。</w:t>
      </w:r>
      <w:r>
        <w:rPr>
          <w:rFonts w:hint="eastAsia" w:ascii="宋体" w:hAnsi="宋体" w:eastAsia="宋体" w:cs="宋体"/>
          <w:caps w:val="0"/>
          <w:color w:val="auto"/>
          <w:spacing w:val="0"/>
          <w:sz w:val="21"/>
          <w:szCs w:val="21"/>
          <w:highlight w:val="none"/>
          <w:lang w:val="en-US" w:eastAsia="zh-CN"/>
        </w:rPr>
        <w:t>运维服务费按照其投标价的23%支付。</w:t>
      </w:r>
    </w:p>
    <w:p w14:paraId="648B86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aps w:val="0"/>
          <w:color w:val="auto"/>
          <w:spacing w:val="0"/>
          <w:sz w:val="21"/>
          <w:szCs w:val="21"/>
          <w:highlight w:val="none"/>
          <w:lang w:val="en-US" w:eastAsia="zh-CN"/>
        </w:rPr>
      </w:pPr>
      <w:r>
        <w:rPr>
          <w:rFonts w:hint="eastAsia" w:ascii="宋体" w:hAnsi="宋体" w:eastAsia="宋体" w:cs="宋体"/>
          <w:caps w:val="0"/>
          <w:color w:val="auto"/>
          <w:spacing w:val="0"/>
          <w:sz w:val="21"/>
          <w:szCs w:val="21"/>
          <w:highlight w:val="none"/>
          <w:lang w:val="en-US" w:eastAsia="zh-CN"/>
        </w:rPr>
        <w:t>2、运维服务费投标价的8%作为驻场人员考核奖励费用，本项费用于最后一次财务结算中体现。甲方依据考核办法出具年度考核结果，根据考核结果于发放对应考核费用。驻场维护人员年度没有考核扣分的，甲方应足额支付考核奖励费用。</w:t>
      </w:r>
    </w:p>
    <w:p w14:paraId="759B2763">
      <w:pPr>
        <w:keepNext w:val="0"/>
        <w:keepLines w:val="0"/>
        <w:pageBreakBefore w:val="0"/>
        <w:widowControl w:val="0"/>
        <w:kinsoku/>
        <w:wordWrap/>
        <w:overflowPunct/>
        <w:topLinePunct w:val="0"/>
        <w:bidi w:val="0"/>
        <w:adjustRightInd w:val="0"/>
        <w:snapToGrid w:val="0"/>
        <w:spacing w:line="400" w:lineRule="exact"/>
        <w:ind w:firstLine="0" w:firstLineChars="0"/>
        <w:rPr>
          <w:rFonts w:hint="eastAsia" w:ascii="宋体" w:hAnsi="宋体" w:eastAsia="宋体" w:cs="宋体"/>
          <w:b/>
          <w:bCs/>
          <w:caps w:val="0"/>
          <w:color w:val="auto"/>
          <w:spacing w:val="0"/>
          <w:sz w:val="21"/>
          <w:szCs w:val="21"/>
          <w:highlight w:val="none"/>
        </w:rPr>
      </w:pPr>
      <w:r>
        <w:rPr>
          <w:rFonts w:hint="eastAsia" w:ascii="宋体" w:hAnsi="宋体" w:eastAsia="宋体" w:cs="宋体"/>
          <w:b/>
          <w:bCs/>
          <w:caps w:val="0"/>
          <w:color w:val="auto"/>
          <w:spacing w:val="0"/>
          <w:sz w:val="21"/>
          <w:szCs w:val="21"/>
          <w:highlight w:val="none"/>
        </w:rPr>
        <w:t>六、履约保证</w:t>
      </w:r>
      <w:r>
        <w:rPr>
          <w:rFonts w:hint="eastAsia" w:ascii="宋体" w:hAnsi="宋体" w:eastAsia="宋体" w:cs="宋体"/>
          <w:b/>
          <w:bCs/>
          <w:caps w:val="0"/>
          <w:color w:val="auto"/>
          <w:spacing w:val="0"/>
          <w:sz w:val="21"/>
          <w:szCs w:val="21"/>
          <w:highlight w:val="none"/>
        </w:rPr>
        <w:t>金</w:t>
      </w:r>
    </w:p>
    <w:p w14:paraId="2A83B67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1.合同签订</w:t>
      </w:r>
      <w:r>
        <w:rPr>
          <w:rFonts w:hint="eastAsia" w:ascii="宋体" w:hAnsi="宋体" w:eastAsia="宋体" w:cs="宋体"/>
          <w:caps w:val="0"/>
          <w:color w:val="auto"/>
          <w:spacing w:val="0"/>
          <w:sz w:val="21"/>
          <w:szCs w:val="21"/>
          <w:highlight w:val="none"/>
          <w:lang w:val="en-US" w:eastAsia="zh-CN"/>
        </w:rPr>
        <w:t>后5个工作日内</w:t>
      </w:r>
      <w:r>
        <w:rPr>
          <w:rFonts w:hint="eastAsia" w:ascii="宋体" w:hAnsi="宋体" w:eastAsia="宋体" w:cs="宋体"/>
          <w:caps w:val="0"/>
          <w:color w:val="auto"/>
          <w:spacing w:val="0"/>
          <w:sz w:val="21"/>
          <w:szCs w:val="21"/>
          <w:highlight w:val="none"/>
        </w:rPr>
        <w:t>，乙方向甲方提交</w:t>
      </w:r>
      <w:r>
        <w:rPr>
          <w:rFonts w:hint="eastAsia" w:ascii="宋体" w:hAnsi="宋体" w:eastAsia="宋体" w:cs="宋体"/>
          <w:caps w:val="0"/>
          <w:color w:val="auto"/>
          <w:spacing w:val="0"/>
          <w:sz w:val="21"/>
          <w:szCs w:val="21"/>
          <w:highlight w:val="none"/>
          <w:lang w:val="en-US" w:eastAsia="zh-CN"/>
        </w:rPr>
        <w:t>合同</w:t>
      </w:r>
      <w:r>
        <w:rPr>
          <w:rFonts w:hint="eastAsia" w:ascii="宋体" w:hAnsi="宋体" w:eastAsia="宋体" w:cs="宋体"/>
          <w:caps w:val="0"/>
          <w:color w:val="auto"/>
          <w:spacing w:val="0"/>
          <w:sz w:val="21"/>
          <w:szCs w:val="21"/>
          <w:highlight w:val="none"/>
        </w:rPr>
        <w:t>总价1%的履约保证金，即大写：</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u w:val="single"/>
          <w:lang w:val="en-US" w:eastAsia="zh-CN"/>
        </w:rPr>
        <w:t xml:space="preserve">  </w:t>
      </w:r>
      <w:r>
        <w:rPr>
          <w:rFonts w:hint="eastAsia" w:ascii="宋体" w:hAnsi="宋体" w:eastAsia="宋体" w:cs="宋体"/>
          <w:caps w:val="0"/>
          <w:color w:val="auto"/>
          <w:spacing w:val="0"/>
          <w:sz w:val="21"/>
          <w:szCs w:val="21"/>
          <w:highlight w:val="none"/>
          <w:u w:val="single"/>
        </w:rPr>
        <w:t xml:space="preserve"> </w:t>
      </w:r>
      <w:r>
        <w:rPr>
          <w:rFonts w:hint="eastAsia" w:ascii="宋体" w:hAnsi="宋体" w:eastAsia="宋体" w:cs="宋体"/>
          <w:caps w:val="0"/>
          <w:color w:val="auto"/>
          <w:spacing w:val="0"/>
          <w:sz w:val="21"/>
          <w:szCs w:val="21"/>
          <w:highlight w:val="none"/>
        </w:rPr>
        <w:t>元整，（小写：</w:t>
      </w:r>
      <w:r>
        <w:rPr>
          <w:rFonts w:hint="eastAsia" w:ascii="宋体" w:hAnsi="宋体" w:eastAsia="宋体" w:cs="宋体"/>
          <w:caps w:val="0"/>
          <w:color w:val="auto"/>
          <w:spacing w:val="0"/>
          <w:sz w:val="21"/>
          <w:szCs w:val="21"/>
          <w:highlight w:val="none"/>
          <w:u w:val="single"/>
          <w:lang w:val="zh-TW" w:eastAsia="zh-TW"/>
        </w:rPr>
        <w:t>￥</w:t>
      </w:r>
      <w:r>
        <w:rPr>
          <w:rFonts w:hint="eastAsia" w:ascii="宋体" w:hAnsi="宋体" w:eastAsia="宋体" w:cs="宋体"/>
          <w:caps w:val="0"/>
          <w:color w:val="auto"/>
          <w:spacing w:val="0"/>
          <w:sz w:val="21"/>
          <w:szCs w:val="21"/>
          <w:highlight w:val="none"/>
          <w:u w:val="single"/>
          <w:lang w:val="en-US" w:eastAsia="zh-CN"/>
        </w:rPr>
        <w:t xml:space="preserve">     </w:t>
      </w:r>
      <w:r>
        <w:rPr>
          <w:rFonts w:hint="eastAsia" w:ascii="宋体" w:hAnsi="宋体" w:eastAsia="宋体" w:cs="宋体"/>
          <w:caps w:val="0"/>
          <w:color w:val="auto"/>
          <w:spacing w:val="0"/>
          <w:sz w:val="21"/>
          <w:szCs w:val="21"/>
          <w:highlight w:val="none"/>
          <w:u w:val="single"/>
          <w:lang w:val="zh-TW" w:eastAsia="zh-TW"/>
        </w:rPr>
        <w:t>元</w:t>
      </w:r>
      <w:r>
        <w:rPr>
          <w:rFonts w:hint="eastAsia" w:ascii="宋体" w:hAnsi="宋体" w:eastAsia="宋体" w:cs="宋体"/>
          <w:caps w:val="0"/>
          <w:color w:val="auto"/>
          <w:spacing w:val="0"/>
          <w:sz w:val="21"/>
          <w:szCs w:val="21"/>
          <w:highlight w:val="none"/>
        </w:rPr>
        <w:t>）履约保证金在合同履约期间无违约情形的，服务期满后无息退还；</w:t>
      </w:r>
    </w:p>
    <w:p w14:paraId="48D94C1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2.提交方式：以支票、汇票、本票或金融机构的保函等非现金形式。</w:t>
      </w:r>
    </w:p>
    <w:p w14:paraId="614F9A7F">
      <w:pPr>
        <w:keepNext w:val="0"/>
        <w:keepLines w:val="0"/>
        <w:pageBreakBefore w:val="0"/>
        <w:widowControl w:val="0"/>
        <w:kinsoku/>
        <w:wordWrap/>
        <w:overflowPunct/>
        <w:topLinePunct w:val="0"/>
        <w:bidi w:val="0"/>
        <w:adjustRightInd w:val="0"/>
        <w:snapToGrid w:val="0"/>
        <w:spacing w:line="400" w:lineRule="exact"/>
        <w:ind w:firstLine="0" w:firstLineChars="0"/>
        <w:jc w:val="left"/>
        <w:rPr>
          <w:rFonts w:hint="eastAsia" w:ascii="宋体" w:hAnsi="宋体" w:eastAsia="宋体" w:cs="宋体"/>
          <w:b/>
          <w:caps w:val="0"/>
          <w:color w:val="auto"/>
          <w:spacing w:val="0"/>
          <w:sz w:val="21"/>
          <w:szCs w:val="21"/>
          <w:highlight w:val="none"/>
        </w:rPr>
      </w:pPr>
      <w:r>
        <w:rPr>
          <w:rFonts w:hint="eastAsia" w:ascii="宋体" w:hAnsi="宋体" w:eastAsia="宋体" w:cs="宋体"/>
          <w:b/>
          <w:caps w:val="0"/>
          <w:color w:val="auto"/>
          <w:spacing w:val="0"/>
          <w:sz w:val="21"/>
          <w:szCs w:val="21"/>
          <w:highlight w:val="none"/>
        </w:rPr>
        <w:t>七、违约责任</w:t>
      </w:r>
    </w:p>
    <w:p w14:paraId="298F9C20">
      <w:pPr>
        <w:pStyle w:val="2"/>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服务期间，乙方不履行甲方保密要求或不履行本合同其他约定内容及响应时的承诺，或从事其他有损甲方利益行为的，甲方有权视情节轻重，扣除乙方履约保证金或解除合同；造成严重后果的，甲方有权终止本合同并追究乙方相关法律责任。</w:t>
      </w:r>
    </w:p>
    <w:p w14:paraId="6493C10A">
      <w:pPr>
        <w:keepNext w:val="0"/>
        <w:keepLines w:val="0"/>
        <w:pageBreakBefore w:val="0"/>
        <w:widowControl w:val="0"/>
        <w:tabs>
          <w:tab w:val="left" w:pos="3420"/>
          <w:tab w:val="left" w:pos="9180"/>
        </w:tabs>
        <w:kinsoku/>
        <w:wordWrap/>
        <w:overflowPunct/>
        <w:topLinePunct w:val="0"/>
        <w:bidi w:val="0"/>
        <w:adjustRightInd w:val="0"/>
        <w:snapToGrid w:val="0"/>
        <w:spacing w:line="400" w:lineRule="exact"/>
        <w:ind w:firstLine="0" w:firstLineChars="0"/>
        <w:rPr>
          <w:rFonts w:hint="eastAsia" w:ascii="宋体" w:hAnsi="宋体" w:eastAsia="宋体" w:cs="宋体"/>
          <w:b/>
          <w:caps w:val="0"/>
          <w:color w:val="auto"/>
          <w:spacing w:val="0"/>
          <w:sz w:val="21"/>
          <w:szCs w:val="21"/>
          <w:highlight w:val="none"/>
        </w:rPr>
      </w:pPr>
      <w:r>
        <w:rPr>
          <w:rFonts w:hint="eastAsia" w:ascii="宋体" w:hAnsi="宋体" w:eastAsia="宋体" w:cs="宋体"/>
          <w:b/>
          <w:caps w:val="0"/>
          <w:color w:val="auto"/>
          <w:spacing w:val="0"/>
          <w:sz w:val="21"/>
          <w:szCs w:val="21"/>
          <w:highlight w:val="none"/>
        </w:rPr>
        <w:t>八、争议的解决方式</w:t>
      </w:r>
    </w:p>
    <w:p w14:paraId="31EF8ECD">
      <w:pPr>
        <w:pStyle w:val="192"/>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aps w:val="0"/>
          <w:color w:val="auto"/>
          <w:spacing w:val="0"/>
          <w:sz w:val="21"/>
          <w:szCs w:val="21"/>
          <w:highlight w:val="none"/>
        </w:rPr>
      </w:pPr>
      <w:r>
        <w:rPr>
          <w:rFonts w:hint="eastAsia" w:ascii="宋体" w:hAnsi="宋体" w:eastAsia="宋体" w:cs="宋体"/>
          <w:bCs/>
          <w:caps w:val="0"/>
          <w:color w:val="auto"/>
          <w:spacing w:val="0"/>
          <w:sz w:val="21"/>
          <w:szCs w:val="21"/>
          <w:highlight w:val="none"/>
        </w:rPr>
        <w:t>甲乙双方应通过友好协商，解决在</w:t>
      </w:r>
      <w:r>
        <w:rPr>
          <w:rFonts w:hint="eastAsia" w:ascii="宋体" w:hAnsi="宋体" w:eastAsia="宋体" w:cs="宋体"/>
          <w:bCs/>
          <w:caps w:val="0"/>
          <w:color w:val="auto"/>
          <w:spacing w:val="0"/>
          <w:sz w:val="21"/>
          <w:szCs w:val="21"/>
          <w:highlight w:val="none"/>
          <w:lang w:val="en-US" w:eastAsia="zh-CN"/>
        </w:rPr>
        <w:t>履</w:t>
      </w:r>
      <w:r>
        <w:rPr>
          <w:rFonts w:hint="eastAsia" w:ascii="宋体" w:hAnsi="宋体" w:eastAsia="宋体" w:cs="宋体"/>
          <w:bCs/>
          <w:caps w:val="0"/>
          <w:color w:val="auto"/>
          <w:spacing w:val="0"/>
          <w:sz w:val="21"/>
          <w:szCs w:val="21"/>
          <w:highlight w:val="none"/>
        </w:rPr>
        <w:t>行合同中所发生的或与本合同有关的一切争端。如从协商开始十五天内仍不能解决，双方可向甲方所在地的人民法院提起诉讼。</w:t>
      </w:r>
    </w:p>
    <w:p w14:paraId="48A65A02">
      <w:pPr>
        <w:pStyle w:val="192"/>
        <w:keepNext w:val="0"/>
        <w:keepLines w:val="0"/>
        <w:pageBreakBefore w:val="0"/>
        <w:widowControl w:val="0"/>
        <w:kinsoku/>
        <w:wordWrap/>
        <w:overflowPunct/>
        <w:topLinePunct w:val="0"/>
        <w:bidi w:val="0"/>
        <w:adjustRightInd w:val="0"/>
        <w:snapToGrid w:val="0"/>
        <w:spacing w:line="400" w:lineRule="exact"/>
        <w:ind w:firstLine="0" w:firstLineChars="0"/>
        <w:rPr>
          <w:rFonts w:hint="eastAsia" w:ascii="宋体" w:hAnsi="宋体" w:eastAsia="宋体" w:cs="宋体"/>
          <w:bCs/>
          <w:caps w:val="0"/>
          <w:color w:val="auto"/>
          <w:spacing w:val="0"/>
          <w:sz w:val="21"/>
          <w:szCs w:val="21"/>
          <w:highlight w:val="none"/>
        </w:rPr>
      </w:pPr>
      <w:r>
        <w:rPr>
          <w:rFonts w:hint="eastAsia" w:ascii="宋体" w:hAnsi="宋体" w:eastAsia="宋体" w:cs="宋体"/>
          <w:b/>
          <w:caps w:val="0"/>
          <w:color w:val="auto"/>
          <w:spacing w:val="0"/>
          <w:sz w:val="21"/>
          <w:szCs w:val="21"/>
          <w:highlight w:val="none"/>
        </w:rPr>
        <w:t>九、转让和分包</w:t>
      </w:r>
    </w:p>
    <w:p w14:paraId="598A7F4F">
      <w:pPr>
        <w:pStyle w:val="192"/>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aps w:val="0"/>
          <w:color w:val="auto"/>
          <w:spacing w:val="0"/>
          <w:sz w:val="21"/>
          <w:szCs w:val="21"/>
          <w:highlight w:val="none"/>
        </w:rPr>
      </w:pPr>
      <w:r>
        <w:rPr>
          <w:rFonts w:hint="eastAsia" w:ascii="宋体" w:hAnsi="宋体" w:eastAsia="宋体" w:cs="宋体"/>
          <w:bCs/>
          <w:caps w:val="0"/>
          <w:color w:val="auto"/>
          <w:spacing w:val="0"/>
          <w:sz w:val="21"/>
          <w:szCs w:val="21"/>
          <w:highlight w:val="none"/>
        </w:rPr>
        <w:t>乙方不得部分转让或全部转让其应履行的合同义务。如有转让和未经甲方同意的分包行为，甲方有权解除合同，没收履约保证金并追究乙方的违约责任。</w:t>
      </w:r>
    </w:p>
    <w:p w14:paraId="0B637EE6">
      <w:pPr>
        <w:pStyle w:val="192"/>
        <w:keepNext w:val="0"/>
        <w:keepLines w:val="0"/>
        <w:pageBreakBefore w:val="0"/>
        <w:widowControl w:val="0"/>
        <w:kinsoku/>
        <w:wordWrap/>
        <w:overflowPunct/>
        <w:topLinePunct w:val="0"/>
        <w:bidi w:val="0"/>
        <w:adjustRightInd w:val="0"/>
        <w:snapToGrid w:val="0"/>
        <w:spacing w:line="400" w:lineRule="exact"/>
        <w:ind w:firstLine="0" w:firstLineChars="0"/>
        <w:rPr>
          <w:rFonts w:hint="eastAsia" w:ascii="宋体" w:hAnsi="宋体" w:eastAsia="宋体" w:cs="宋体"/>
          <w:b/>
          <w:caps w:val="0"/>
          <w:color w:val="auto"/>
          <w:spacing w:val="0"/>
          <w:sz w:val="21"/>
          <w:szCs w:val="21"/>
          <w:highlight w:val="none"/>
        </w:rPr>
      </w:pPr>
      <w:r>
        <w:rPr>
          <w:rFonts w:hint="eastAsia" w:ascii="宋体" w:hAnsi="宋体" w:eastAsia="宋体" w:cs="宋体"/>
          <w:b/>
          <w:caps w:val="0"/>
          <w:color w:val="auto"/>
          <w:spacing w:val="0"/>
          <w:sz w:val="21"/>
          <w:szCs w:val="21"/>
          <w:highlight w:val="none"/>
        </w:rPr>
        <w:t>十、其它</w:t>
      </w:r>
    </w:p>
    <w:p w14:paraId="0CDCF15D">
      <w:pPr>
        <w:pStyle w:val="192"/>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aps w:val="0"/>
          <w:color w:val="auto"/>
          <w:spacing w:val="0"/>
          <w:sz w:val="21"/>
          <w:szCs w:val="21"/>
          <w:highlight w:val="none"/>
        </w:rPr>
      </w:pPr>
      <w:r>
        <w:rPr>
          <w:rFonts w:hint="eastAsia" w:ascii="宋体" w:hAnsi="宋体" w:eastAsia="宋体" w:cs="宋体"/>
          <w:bCs/>
          <w:caps w:val="0"/>
          <w:color w:val="auto"/>
          <w:spacing w:val="0"/>
          <w:sz w:val="21"/>
          <w:szCs w:val="21"/>
          <w:highlight w:val="none"/>
        </w:rPr>
        <w:t>1.乙方应保证所提供的服务不会侵犯任何第三方的知识产权。</w:t>
      </w:r>
    </w:p>
    <w:p w14:paraId="09B7DDFF">
      <w:pPr>
        <w:pStyle w:val="192"/>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aps w:val="0"/>
          <w:color w:val="auto"/>
          <w:spacing w:val="0"/>
          <w:sz w:val="21"/>
          <w:szCs w:val="21"/>
          <w:highlight w:val="none"/>
        </w:rPr>
      </w:pPr>
      <w:r>
        <w:rPr>
          <w:rFonts w:hint="eastAsia" w:ascii="宋体" w:hAnsi="宋体" w:eastAsia="宋体" w:cs="宋体"/>
          <w:bCs/>
          <w:caps w:val="0"/>
          <w:color w:val="auto"/>
          <w:spacing w:val="0"/>
          <w:sz w:val="21"/>
          <w:szCs w:val="21"/>
          <w:highlight w:val="none"/>
        </w:rPr>
        <w:t>2.采购文件、响应文件、补充协议、询标答复纪要及合同谈判纪要作为本合同的附件，与本合同具有同等法律效力。</w:t>
      </w:r>
    </w:p>
    <w:p w14:paraId="116CCB43">
      <w:pPr>
        <w:pStyle w:val="192"/>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aps w:val="0"/>
          <w:color w:val="auto"/>
          <w:spacing w:val="0"/>
          <w:sz w:val="21"/>
          <w:szCs w:val="21"/>
          <w:highlight w:val="none"/>
        </w:rPr>
      </w:pPr>
      <w:r>
        <w:rPr>
          <w:rFonts w:hint="eastAsia" w:ascii="宋体" w:hAnsi="宋体" w:eastAsia="宋体" w:cs="宋体"/>
          <w:bCs/>
          <w:caps w:val="0"/>
          <w:color w:val="auto"/>
          <w:spacing w:val="0"/>
          <w:sz w:val="21"/>
          <w:szCs w:val="21"/>
          <w:highlight w:val="none"/>
        </w:rPr>
        <w:t>3.本合同未尽事宜，遵照《中华人民共和国民法典》有关条文执行。</w:t>
      </w:r>
    </w:p>
    <w:p w14:paraId="62FE184A">
      <w:pPr>
        <w:pStyle w:val="192"/>
        <w:keepNext w:val="0"/>
        <w:keepLines w:val="0"/>
        <w:pageBreakBefore w:val="0"/>
        <w:widowControl w:val="0"/>
        <w:kinsoku/>
        <w:wordWrap/>
        <w:overflowPunct/>
        <w:topLinePunct w:val="0"/>
        <w:bidi w:val="0"/>
        <w:adjustRightInd w:val="0"/>
        <w:snapToGrid w:val="0"/>
        <w:spacing w:line="400" w:lineRule="exact"/>
        <w:ind w:firstLine="0" w:firstLineChars="0"/>
        <w:rPr>
          <w:rFonts w:hint="eastAsia" w:ascii="宋体" w:hAnsi="宋体" w:eastAsia="宋体" w:cs="宋体"/>
          <w:b/>
          <w:caps w:val="0"/>
          <w:color w:val="auto"/>
          <w:spacing w:val="0"/>
          <w:sz w:val="21"/>
          <w:szCs w:val="21"/>
          <w:highlight w:val="none"/>
        </w:rPr>
      </w:pPr>
      <w:r>
        <w:rPr>
          <w:rFonts w:hint="eastAsia" w:ascii="宋体" w:hAnsi="宋体" w:eastAsia="宋体" w:cs="宋体"/>
          <w:b/>
          <w:caps w:val="0"/>
          <w:color w:val="auto"/>
          <w:spacing w:val="0"/>
          <w:sz w:val="21"/>
          <w:szCs w:val="21"/>
          <w:highlight w:val="none"/>
        </w:rPr>
        <w:t>十一、合同份数：</w:t>
      </w:r>
    </w:p>
    <w:p w14:paraId="26141813">
      <w:pPr>
        <w:pStyle w:val="192"/>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本合同一式捌份，甲方执肆份，乙方执肆份</w:t>
      </w:r>
      <w:r>
        <w:rPr>
          <w:rFonts w:hint="eastAsia" w:ascii="宋体" w:hAnsi="宋体" w:eastAsia="宋体" w:cs="宋体"/>
          <w:caps w:val="0"/>
          <w:color w:val="auto"/>
          <w:spacing w:val="0"/>
          <w:sz w:val="21"/>
          <w:szCs w:val="21"/>
          <w:highlight w:val="none"/>
          <w:lang w:eastAsia="zh-CN"/>
        </w:rPr>
        <w:t>，</w:t>
      </w:r>
      <w:r>
        <w:rPr>
          <w:rFonts w:hint="eastAsia" w:ascii="宋体" w:hAnsi="宋体" w:eastAsia="宋体" w:cs="宋体"/>
          <w:caps w:val="0"/>
          <w:color w:val="auto"/>
          <w:spacing w:val="0"/>
          <w:sz w:val="21"/>
          <w:szCs w:val="21"/>
          <w:highlight w:val="none"/>
        </w:rPr>
        <w:t>都具有同等法律效力。双方签字盖</w:t>
      </w:r>
      <w:r>
        <w:rPr>
          <w:rFonts w:hint="eastAsia" w:ascii="宋体" w:hAnsi="宋体" w:eastAsia="宋体" w:cs="宋体"/>
          <w:caps w:val="0"/>
          <w:color w:val="auto"/>
          <w:spacing w:val="0"/>
          <w:sz w:val="21"/>
          <w:szCs w:val="21"/>
          <w:highlight w:val="none"/>
        </w:rPr>
        <w:t>章</w:t>
      </w:r>
      <w:r>
        <w:rPr>
          <w:rFonts w:hint="eastAsia" w:ascii="宋体" w:hAnsi="宋体" w:eastAsia="宋体" w:cs="宋体"/>
          <w:caps w:val="0"/>
          <w:color w:val="auto"/>
          <w:spacing w:val="0"/>
          <w:sz w:val="21"/>
          <w:szCs w:val="21"/>
          <w:highlight w:val="none"/>
          <w:lang w:val="en-US" w:eastAsia="zh-CN"/>
        </w:rPr>
        <w:t>后</w:t>
      </w:r>
      <w:r>
        <w:rPr>
          <w:rFonts w:hint="eastAsia" w:ascii="宋体" w:hAnsi="宋体" w:eastAsia="宋体" w:cs="宋体"/>
          <w:caps w:val="0"/>
          <w:color w:val="auto"/>
          <w:spacing w:val="0"/>
          <w:sz w:val="21"/>
          <w:szCs w:val="21"/>
          <w:highlight w:val="none"/>
        </w:rPr>
        <w:t>生效。</w:t>
      </w:r>
    </w:p>
    <w:tbl>
      <w:tblPr>
        <w:tblStyle w:val="61"/>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0"/>
        <w:gridCol w:w="4042"/>
      </w:tblGrid>
      <w:tr w14:paraId="04FE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80" w:type="dxa"/>
          </w:tcPr>
          <w:p w14:paraId="0DD37467">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甲方（盖章）：</w:t>
            </w:r>
            <w:r>
              <w:rPr>
                <w:rFonts w:hint="eastAsia" w:ascii="宋体" w:hAnsi="宋体" w:eastAsia="宋体" w:cs="宋体"/>
                <w:color w:val="auto"/>
                <w:kern w:val="0"/>
                <w:highlight w:val="none"/>
              </w:rPr>
              <w:t>浙江省南湖监狱</w:t>
            </w:r>
          </w:p>
          <w:p w14:paraId="699335EC">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kern w:val="0"/>
                <w:highlight w:val="none"/>
              </w:rPr>
            </w:pPr>
          </w:p>
          <w:p w14:paraId="2EB99E6E">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法定代表人或委托代理人（签字）</w:t>
            </w:r>
          </w:p>
          <w:p w14:paraId="7A884449">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kern w:val="0"/>
                <w:highlight w:val="none"/>
              </w:rPr>
            </w:pPr>
          </w:p>
          <w:p w14:paraId="58992E17">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电话：</w:t>
            </w:r>
            <w:r>
              <w:rPr>
                <w:rFonts w:hint="eastAsia" w:ascii="宋体" w:hAnsi="宋体" w:eastAsia="宋体" w:cs="宋体"/>
                <w:color w:val="auto"/>
                <w:kern w:val="0"/>
                <w:highlight w:val="none"/>
              </w:rPr>
              <w:t>0572-5100930</w:t>
            </w:r>
          </w:p>
          <w:p w14:paraId="757465BB">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kern w:val="0"/>
                <w:highlight w:val="none"/>
              </w:rPr>
            </w:pPr>
          </w:p>
          <w:p w14:paraId="15282F47">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 xml:space="preserve">日期：年  月   日   </w:t>
            </w:r>
          </w:p>
        </w:tc>
        <w:tc>
          <w:tcPr>
            <w:tcW w:w="4042" w:type="dxa"/>
          </w:tcPr>
          <w:p w14:paraId="4AF68B19">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乙方（盖章）：</w:t>
            </w:r>
          </w:p>
          <w:p w14:paraId="744E7BA9">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kern w:val="0"/>
                <w:highlight w:val="none"/>
              </w:rPr>
            </w:pPr>
          </w:p>
          <w:p w14:paraId="763EE601">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法定代表人或委托代理人（签字）</w:t>
            </w:r>
          </w:p>
          <w:p w14:paraId="5DF09977">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kern w:val="0"/>
                <w:highlight w:val="none"/>
              </w:rPr>
            </w:pPr>
          </w:p>
          <w:p w14:paraId="7B61CFAE">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电话：</w:t>
            </w:r>
          </w:p>
          <w:p w14:paraId="55E4CFB9">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kern w:val="0"/>
                <w:highlight w:val="none"/>
              </w:rPr>
            </w:pPr>
          </w:p>
          <w:p w14:paraId="4E50FAB5">
            <w:pPr>
              <w:pStyle w:val="192"/>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kern w:val="0"/>
                <w:highlight w:val="none"/>
              </w:rPr>
            </w:pPr>
            <w:r>
              <w:rPr>
                <w:rFonts w:hint="eastAsia" w:ascii="宋体" w:hAnsi="宋体" w:eastAsia="宋体" w:cs="宋体"/>
                <w:bCs/>
                <w:color w:val="auto"/>
                <w:kern w:val="0"/>
                <w:highlight w:val="none"/>
              </w:rPr>
              <w:t xml:space="preserve">日期：年  月   日   </w:t>
            </w:r>
          </w:p>
        </w:tc>
      </w:tr>
    </w:tbl>
    <w:p w14:paraId="6285D302">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0"/>
        <w:rPr>
          <w:rFonts w:hint="eastAsia" w:ascii="宋体"/>
          <w:b/>
          <w:bCs/>
          <w:color w:val="auto"/>
          <w:sz w:val="32"/>
          <w:szCs w:val="30"/>
          <w:highlight w:val="none"/>
        </w:rPr>
      </w:pPr>
    </w:p>
    <w:p w14:paraId="1B427BB0">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0"/>
        <w:rPr>
          <w:rFonts w:hint="eastAsia" w:ascii="宋体"/>
          <w:b/>
          <w:bCs/>
          <w:color w:val="auto"/>
          <w:sz w:val="32"/>
          <w:szCs w:val="30"/>
          <w:highlight w:val="none"/>
        </w:rPr>
      </w:pPr>
    </w:p>
    <w:p w14:paraId="670F01D4">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0"/>
        <w:rPr>
          <w:rFonts w:ascii="宋体"/>
          <w:color w:val="auto"/>
          <w:sz w:val="30"/>
          <w:szCs w:val="30"/>
          <w:highlight w:val="none"/>
        </w:rPr>
      </w:pPr>
      <w:r>
        <w:rPr>
          <w:rFonts w:hint="eastAsia" w:ascii="宋体"/>
          <w:b/>
          <w:bCs/>
          <w:color w:val="auto"/>
          <w:sz w:val="32"/>
          <w:szCs w:val="30"/>
          <w:highlight w:val="none"/>
        </w:rPr>
        <w:t>第六章、投标文件格式</w:t>
      </w:r>
      <w:bookmarkEnd w:id="274"/>
      <w:bookmarkEnd w:id="275"/>
      <w:bookmarkEnd w:id="276"/>
      <w:bookmarkEnd w:id="277"/>
      <w:bookmarkEnd w:id="278"/>
      <w:bookmarkEnd w:id="279"/>
      <w:bookmarkEnd w:id="280"/>
      <w:bookmarkEnd w:id="281"/>
      <w:bookmarkEnd w:id="282"/>
      <w:bookmarkEnd w:id="283"/>
      <w:bookmarkEnd w:id="284"/>
      <w:bookmarkEnd w:id="285"/>
    </w:p>
    <w:p w14:paraId="631C22AA">
      <w:pPr>
        <w:jc w:val="center"/>
        <w:rPr>
          <w:rFonts w:ascii="宋体"/>
          <w:color w:val="auto"/>
          <w:szCs w:val="21"/>
          <w:highlight w:val="none"/>
        </w:rPr>
      </w:pPr>
      <w:bookmarkStart w:id="286" w:name="_Toc293916381"/>
      <w:bookmarkStart w:id="287" w:name="_Toc293916030"/>
    </w:p>
    <w:p w14:paraId="2B4F80C4">
      <w:pPr>
        <w:jc w:val="center"/>
        <w:rPr>
          <w:rFonts w:ascii="宋体"/>
          <w:color w:val="auto"/>
          <w:szCs w:val="21"/>
          <w:highlight w:val="none"/>
        </w:rPr>
      </w:pPr>
      <w:r>
        <w:rPr>
          <w:rFonts w:hint="eastAsia" w:ascii="宋体"/>
          <w:color w:val="auto"/>
          <w:szCs w:val="21"/>
          <w:highlight w:val="none"/>
        </w:rPr>
        <w:t>投标方提交投标文件须知</w:t>
      </w:r>
    </w:p>
    <w:p w14:paraId="3714C599">
      <w:pPr>
        <w:spacing w:line="520" w:lineRule="exact"/>
        <w:ind w:firstLine="420" w:firstLineChars="200"/>
        <w:rPr>
          <w:rFonts w:ascii="宋体"/>
          <w:color w:val="auto"/>
          <w:szCs w:val="21"/>
          <w:highlight w:val="none"/>
        </w:rPr>
      </w:pPr>
    </w:p>
    <w:p w14:paraId="4BC5FB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1、标方应严格按照以下顺序填写和提交下述规定的全部格式文件以及其他有关资料，混乱的编排导致投标文件被误读或招标方查找不到有效文件是投标方的风险。</w:t>
      </w:r>
    </w:p>
    <w:p w14:paraId="2425C4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2、所附表格中要求回答的全部问题、信息都必须正面回答。</w:t>
      </w:r>
    </w:p>
    <w:p w14:paraId="3892FF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3、本资格声明的签字人应保证全部声明和问题的回答是真实的和正确的。</w:t>
      </w:r>
    </w:p>
    <w:p w14:paraId="0EF04D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4、招标方将应用投标方提交的资料判断和考虑决定投标方履行合同的合格性及能力。</w:t>
      </w:r>
    </w:p>
    <w:p w14:paraId="4140D3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5、投标方提交的材料将被保密保存，但不退还。</w:t>
      </w:r>
    </w:p>
    <w:p w14:paraId="616BE4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6、全部文件应按投标方须知中规定的语言和份数提交。</w:t>
      </w:r>
    </w:p>
    <w:bookmarkEnd w:id="286"/>
    <w:bookmarkEnd w:id="287"/>
    <w:p w14:paraId="34755298">
      <w:pPr>
        <w:jc w:val="center"/>
        <w:outlineLvl w:val="1"/>
        <w:rPr>
          <w:b/>
          <w:bCs/>
          <w:color w:val="auto"/>
          <w:sz w:val="28"/>
          <w:highlight w:val="none"/>
        </w:rPr>
      </w:pPr>
      <w:r>
        <w:rPr>
          <w:rFonts w:hint="eastAsia" w:ascii="宋体"/>
          <w:color w:val="auto"/>
          <w:szCs w:val="21"/>
          <w:highlight w:val="none"/>
        </w:rPr>
        <w:br w:type="page"/>
      </w:r>
      <w:bookmarkStart w:id="288" w:name="_Toc318084367"/>
      <w:bookmarkStart w:id="289" w:name="_Toc495242046"/>
      <w:bookmarkStart w:id="290" w:name="_Toc3798"/>
      <w:bookmarkStart w:id="291" w:name="_Toc23643"/>
      <w:r>
        <w:rPr>
          <w:rFonts w:hint="eastAsia"/>
          <w:b/>
          <w:bCs/>
          <w:color w:val="auto"/>
          <w:sz w:val="28"/>
          <w:highlight w:val="none"/>
        </w:rPr>
        <w:t>一、格式</w:t>
      </w:r>
      <w:bookmarkEnd w:id="288"/>
      <w:bookmarkEnd w:id="289"/>
      <w:bookmarkEnd w:id="290"/>
      <w:bookmarkEnd w:id="291"/>
    </w:p>
    <w:p w14:paraId="491558E0">
      <w:pPr>
        <w:jc w:val="center"/>
        <w:rPr>
          <w:b/>
          <w:bCs/>
          <w:color w:val="auto"/>
          <w:sz w:val="28"/>
          <w:highlight w:val="none"/>
        </w:rPr>
      </w:pPr>
    </w:p>
    <w:p w14:paraId="1A3B67D7">
      <w:pPr>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lang w:eastAsia="zh-CN"/>
        </w:rPr>
        <w:t>一</w:t>
      </w:r>
      <w:r>
        <w:rPr>
          <w:rFonts w:hint="eastAsia" w:ascii="宋体"/>
          <w:b/>
          <w:color w:val="auto"/>
          <w:szCs w:val="21"/>
          <w:highlight w:val="none"/>
        </w:rPr>
        <w:t xml:space="preserve">、资格证明文件/商务/技术文件封面格式： </w:t>
      </w:r>
    </w:p>
    <w:p w14:paraId="50CE36E4">
      <w:pPr>
        <w:adjustRightInd w:val="0"/>
        <w:snapToGrid w:val="0"/>
        <w:spacing w:before="120" w:beforeLines="50" w:after="120" w:afterLines="50" w:line="500" w:lineRule="exact"/>
        <w:jc w:val="left"/>
        <w:rPr>
          <w:rFonts w:ascii="宋体"/>
          <w:b/>
          <w:bCs/>
          <w:color w:val="auto"/>
          <w:szCs w:val="21"/>
          <w:highlight w:val="none"/>
        </w:rPr>
      </w:pPr>
    </w:p>
    <w:p w14:paraId="19D2631B">
      <w:pPr>
        <w:adjustRightInd w:val="0"/>
        <w:snapToGrid w:val="0"/>
        <w:spacing w:line="500" w:lineRule="exact"/>
        <w:jc w:val="right"/>
        <w:rPr>
          <w:rFonts w:ascii="宋体"/>
          <w:b/>
          <w:bCs/>
          <w:color w:val="auto"/>
          <w:sz w:val="32"/>
          <w:szCs w:val="32"/>
          <w:highlight w:val="none"/>
        </w:rPr>
      </w:pPr>
    </w:p>
    <w:p w14:paraId="068D2A13">
      <w:pPr>
        <w:adjustRightInd w:val="0"/>
        <w:snapToGrid w:val="0"/>
        <w:jc w:val="center"/>
        <w:rPr>
          <w:rStyle w:val="64"/>
          <w:rFonts w:ascii="宋体"/>
          <w:b/>
          <w:color w:val="auto"/>
          <w:szCs w:val="21"/>
          <w:highlight w:val="none"/>
        </w:rPr>
      </w:pPr>
    </w:p>
    <w:p w14:paraId="7A1776AB">
      <w:pPr>
        <w:adjustRightInd w:val="0"/>
        <w:snapToGrid w:val="0"/>
        <w:jc w:val="center"/>
        <w:rPr>
          <w:rStyle w:val="64"/>
          <w:rFonts w:ascii="宋体"/>
          <w:color w:val="auto"/>
          <w:sz w:val="52"/>
          <w:szCs w:val="52"/>
          <w:highlight w:val="none"/>
        </w:rPr>
      </w:pPr>
    </w:p>
    <w:p w14:paraId="05D65A2A">
      <w:pPr>
        <w:adjustRightInd w:val="0"/>
        <w:snapToGrid w:val="0"/>
        <w:spacing w:line="600" w:lineRule="exact"/>
        <w:jc w:val="center"/>
        <w:rPr>
          <w:rFonts w:hint="eastAsia" w:ascii="宋体" w:eastAsia="宋体"/>
          <w:b/>
          <w:bCs/>
          <w:color w:val="auto"/>
          <w:sz w:val="46"/>
          <w:szCs w:val="46"/>
          <w:highlight w:val="none"/>
          <w:lang w:eastAsia="zh-CN"/>
        </w:rPr>
      </w:pPr>
      <w:r>
        <w:rPr>
          <w:rFonts w:hint="eastAsia" w:ascii="宋体" w:cs="宋体"/>
          <w:b/>
          <w:bCs/>
          <w:color w:val="auto"/>
          <w:sz w:val="46"/>
          <w:szCs w:val="46"/>
          <w:highlight w:val="none"/>
          <w:lang w:eastAsia="zh-CN"/>
        </w:rPr>
        <w:t>浙江省南湖监狱安防设施维保项目（2025）</w:t>
      </w:r>
    </w:p>
    <w:p w14:paraId="05761015">
      <w:pPr>
        <w:adjustRightInd w:val="0"/>
        <w:snapToGrid w:val="0"/>
        <w:jc w:val="center"/>
        <w:rPr>
          <w:rFonts w:ascii="宋体"/>
          <w:b/>
          <w:color w:val="auto"/>
          <w:sz w:val="33"/>
          <w:szCs w:val="21"/>
          <w:highlight w:val="none"/>
        </w:rPr>
      </w:pPr>
    </w:p>
    <w:p w14:paraId="29E7EE6D">
      <w:pPr>
        <w:pStyle w:val="109"/>
        <w:rPr>
          <w:color w:val="auto"/>
          <w:highlight w:val="none"/>
        </w:rPr>
      </w:pPr>
    </w:p>
    <w:p w14:paraId="35E9883F">
      <w:pPr>
        <w:adjustRightInd w:val="0"/>
        <w:snapToGrid w:val="0"/>
        <w:spacing w:line="360" w:lineRule="auto"/>
        <w:jc w:val="center"/>
        <w:rPr>
          <w:rFonts w:ascii="宋体"/>
          <w:color w:val="auto"/>
          <w:sz w:val="33"/>
          <w:szCs w:val="21"/>
          <w:highlight w:val="none"/>
        </w:rPr>
      </w:pPr>
    </w:p>
    <w:p w14:paraId="4AF4BE53">
      <w:pPr>
        <w:adjustRightInd w:val="0"/>
        <w:snapToGrid w:val="0"/>
        <w:spacing w:line="360" w:lineRule="auto"/>
        <w:jc w:val="center"/>
        <w:rPr>
          <w:rFonts w:ascii="宋体"/>
          <w:color w:val="auto"/>
          <w:sz w:val="52"/>
          <w:szCs w:val="52"/>
          <w:highlight w:val="none"/>
        </w:rPr>
      </w:pPr>
      <w:r>
        <w:rPr>
          <w:rFonts w:hint="eastAsia" w:ascii="宋体"/>
          <w:color w:val="auto"/>
          <w:sz w:val="52"/>
          <w:szCs w:val="52"/>
          <w:highlight w:val="none"/>
        </w:rPr>
        <w:t>资格证明文件/商务/技术文件</w:t>
      </w:r>
    </w:p>
    <w:p w14:paraId="58BB7941">
      <w:pPr>
        <w:adjustRightInd w:val="0"/>
        <w:snapToGrid w:val="0"/>
        <w:spacing w:line="500" w:lineRule="exact"/>
        <w:ind w:firstLine="955" w:firstLineChars="455"/>
        <w:rPr>
          <w:rFonts w:ascii="宋体"/>
          <w:bCs/>
          <w:color w:val="auto"/>
          <w:szCs w:val="21"/>
          <w:highlight w:val="none"/>
        </w:rPr>
      </w:pPr>
    </w:p>
    <w:p w14:paraId="6AA66B8D">
      <w:pPr>
        <w:adjustRightInd w:val="0"/>
        <w:snapToGrid w:val="0"/>
        <w:spacing w:line="500" w:lineRule="exact"/>
        <w:ind w:firstLine="955" w:firstLineChars="455"/>
        <w:rPr>
          <w:rFonts w:ascii="宋体"/>
          <w:bCs/>
          <w:color w:val="auto"/>
          <w:szCs w:val="21"/>
          <w:highlight w:val="none"/>
        </w:rPr>
      </w:pPr>
    </w:p>
    <w:p w14:paraId="405F6AD5">
      <w:pPr>
        <w:adjustRightInd w:val="0"/>
        <w:snapToGrid w:val="0"/>
        <w:spacing w:line="500" w:lineRule="exact"/>
        <w:ind w:firstLine="955" w:firstLineChars="455"/>
        <w:rPr>
          <w:rFonts w:ascii="宋体"/>
          <w:bCs/>
          <w:color w:val="auto"/>
          <w:szCs w:val="21"/>
          <w:highlight w:val="none"/>
        </w:rPr>
      </w:pPr>
    </w:p>
    <w:p w14:paraId="4F0CDDC9">
      <w:pPr>
        <w:adjustRightInd w:val="0"/>
        <w:snapToGrid w:val="0"/>
        <w:spacing w:line="500" w:lineRule="exact"/>
        <w:ind w:firstLine="955" w:firstLineChars="455"/>
        <w:rPr>
          <w:rFonts w:ascii="宋体"/>
          <w:bCs/>
          <w:color w:val="auto"/>
          <w:szCs w:val="21"/>
          <w:highlight w:val="none"/>
        </w:rPr>
      </w:pPr>
    </w:p>
    <w:p w14:paraId="5F90B4E9">
      <w:pPr>
        <w:adjustRightInd w:val="0"/>
        <w:snapToGrid w:val="0"/>
        <w:spacing w:line="500" w:lineRule="exact"/>
        <w:rPr>
          <w:rFonts w:ascii="宋体"/>
          <w:bCs/>
          <w:color w:val="auto"/>
          <w:szCs w:val="21"/>
          <w:highlight w:val="none"/>
        </w:rPr>
      </w:pPr>
    </w:p>
    <w:p w14:paraId="4F8F6D30">
      <w:pPr>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项目名称：</w:t>
      </w:r>
      <w:r>
        <w:rPr>
          <w:rFonts w:hint="eastAsia" w:ascii="宋体"/>
          <w:bCs/>
          <w:color w:val="auto"/>
          <w:szCs w:val="21"/>
          <w:highlight w:val="none"/>
          <w:u w:val="single"/>
        </w:rPr>
        <w:t xml:space="preserve">                                       </w:t>
      </w:r>
    </w:p>
    <w:p w14:paraId="4D30BB12">
      <w:pPr>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项目编号：</w:t>
      </w:r>
      <w:r>
        <w:rPr>
          <w:rFonts w:hint="eastAsia" w:ascii="宋体"/>
          <w:bCs/>
          <w:color w:val="auto"/>
          <w:szCs w:val="21"/>
          <w:highlight w:val="none"/>
          <w:u w:val="single"/>
        </w:rPr>
        <w:t xml:space="preserve">                                        </w:t>
      </w:r>
      <w:r>
        <w:rPr>
          <w:rFonts w:hint="eastAsia" w:ascii="宋体"/>
          <w:bCs/>
          <w:color w:val="auto"/>
          <w:szCs w:val="21"/>
          <w:highlight w:val="none"/>
        </w:rPr>
        <w:t xml:space="preserve"> </w:t>
      </w:r>
    </w:p>
    <w:p w14:paraId="1F30AD79">
      <w:pPr>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投标人名称（盖章）：</w:t>
      </w:r>
      <w:r>
        <w:rPr>
          <w:rFonts w:hint="eastAsia" w:ascii="宋体"/>
          <w:color w:val="auto"/>
          <w:szCs w:val="21"/>
          <w:highlight w:val="none"/>
          <w:u w:val="single"/>
        </w:rPr>
        <w:t xml:space="preserve">                              </w:t>
      </w:r>
    </w:p>
    <w:p w14:paraId="3B38C9C1">
      <w:pPr>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投标人地址：</w:t>
      </w:r>
      <w:r>
        <w:rPr>
          <w:rFonts w:hint="eastAsia" w:ascii="宋体"/>
          <w:color w:val="auto"/>
          <w:szCs w:val="21"/>
          <w:highlight w:val="none"/>
          <w:u w:val="single"/>
        </w:rPr>
        <w:t xml:space="preserve">                                      </w:t>
      </w:r>
    </w:p>
    <w:p w14:paraId="0977808B">
      <w:pPr>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授权代表签字或盖章：</w:t>
      </w:r>
      <w:r>
        <w:rPr>
          <w:rFonts w:hint="eastAsia" w:ascii="宋体"/>
          <w:bCs/>
          <w:color w:val="auto"/>
          <w:szCs w:val="21"/>
          <w:highlight w:val="none"/>
          <w:u w:val="single"/>
        </w:rPr>
        <w:t xml:space="preserve">                              </w:t>
      </w:r>
    </w:p>
    <w:p w14:paraId="687D2074">
      <w:pPr>
        <w:adjustRightInd w:val="0"/>
        <w:snapToGrid w:val="0"/>
        <w:spacing w:before="120" w:beforeLines="50" w:after="120" w:afterLines="50" w:line="500" w:lineRule="exact"/>
        <w:ind w:firstLine="840" w:firstLineChars="400"/>
        <w:rPr>
          <w:rFonts w:ascii="宋体"/>
          <w:bCs/>
          <w:color w:val="auto"/>
          <w:szCs w:val="21"/>
          <w:highlight w:val="none"/>
        </w:rPr>
      </w:pPr>
      <w:r>
        <w:rPr>
          <w:rFonts w:hint="eastAsia" w:ascii="宋体"/>
          <w:bCs/>
          <w:color w:val="auto"/>
          <w:szCs w:val="21"/>
          <w:highlight w:val="none"/>
          <w:u w:val="single"/>
        </w:rPr>
        <w:t xml:space="preserve">       </w:t>
      </w:r>
      <w:r>
        <w:rPr>
          <w:rFonts w:hint="eastAsia" w:ascii="宋体"/>
          <w:bCs/>
          <w:color w:val="auto"/>
          <w:szCs w:val="21"/>
          <w:highlight w:val="none"/>
        </w:rPr>
        <w:t>年</w:t>
      </w:r>
      <w:r>
        <w:rPr>
          <w:rFonts w:hint="eastAsia" w:ascii="宋体"/>
          <w:bCs/>
          <w:color w:val="auto"/>
          <w:szCs w:val="21"/>
          <w:highlight w:val="none"/>
          <w:u w:val="single"/>
        </w:rPr>
        <w:t xml:space="preserve">    </w:t>
      </w:r>
      <w:r>
        <w:rPr>
          <w:rFonts w:hint="eastAsia" w:ascii="宋体"/>
          <w:bCs/>
          <w:color w:val="auto"/>
          <w:szCs w:val="21"/>
          <w:highlight w:val="none"/>
        </w:rPr>
        <w:t>月</w:t>
      </w:r>
      <w:r>
        <w:rPr>
          <w:rFonts w:hint="eastAsia" w:ascii="宋体"/>
          <w:bCs/>
          <w:color w:val="auto"/>
          <w:szCs w:val="21"/>
          <w:highlight w:val="none"/>
          <w:u w:val="single"/>
        </w:rPr>
        <w:t xml:space="preserve">    </w:t>
      </w:r>
      <w:r>
        <w:rPr>
          <w:rFonts w:hint="eastAsia" w:ascii="宋体"/>
          <w:bCs/>
          <w:color w:val="auto"/>
          <w:szCs w:val="21"/>
          <w:highlight w:val="none"/>
        </w:rPr>
        <w:t>日</w:t>
      </w:r>
    </w:p>
    <w:p w14:paraId="6A229C8C">
      <w:pPr>
        <w:adjustRightInd w:val="0"/>
        <w:snapToGrid w:val="0"/>
        <w:spacing w:line="360" w:lineRule="exact"/>
        <w:outlineLvl w:val="2"/>
        <w:rPr>
          <w:rFonts w:ascii="宋体"/>
          <w:b/>
          <w:color w:val="auto"/>
          <w:szCs w:val="21"/>
          <w:highlight w:val="none"/>
        </w:rPr>
      </w:pPr>
      <w:r>
        <w:rPr>
          <w:rFonts w:hint="eastAsia" w:ascii="宋体"/>
          <w:b/>
          <w:color w:val="auto"/>
          <w:szCs w:val="21"/>
          <w:highlight w:val="none"/>
        </w:rPr>
        <w:br w:type="page"/>
      </w:r>
      <w:r>
        <w:rPr>
          <w:rFonts w:hint="eastAsia" w:ascii="宋体"/>
          <w:b/>
          <w:color w:val="auto"/>
          <w:szCs w:val="21"/>
          <w:highlight w:val="none"/>
          <w:lang w:eastAsia="zh-CN"/>
        </w:rPr>
        <w:t>二</w:t>
      </w:r>
      <w:r>
        <w:rPr>
          <w:rFonts w:hint="eastAsia" w:ascii="宋体"/>
          <w:b/>
          <w:color w:val="auto"/>
          <w:szCs w:val="21"/>
          <w:highlight w:val="none"/>
        </w:rPr>
        <w:t>、资格证明文件目录</w:t>
      </w:r>
    </w:p>
    <w:p w14:paraId="2841F61A">
      <w:pPr>
        <w:adjustRightInd w:val="0"/>
        <w:snapToGrid w:val="0"/>
        <w:spacing w:line="400" w:lineRule="exact"/>
        <w:jc w:val="center"/>
        <w:rPr>
          <w:rFonts w:ascii="宋体"/>
          <w:b/>
          <w:color w:val="auto"/>
          <w:szCs w:val="21"/>
          <w:highlight w:val="none"/>
        </w:rPr>
      </w:pPr>
    </w:p>
    <w:p w14:paraId="0A425A12">
      <w:pPr>
        <w:numPr>
          <w:ilvl w:val="0"/>
          <w:numId w:val="22"/>
        </w:numPr>
        <w:adjustRightInd w:val="0"/>
        <w:snapToGrid w:val="0"/>
        <w:spacing w:line="400" w:lineRule="exact"/>
        <w:ind w:left="0" w:firstLine="420" w:firstLineChars="200"/>
        <w:jc w:val="left"/>
        <w:rPr>
          <w:rFonts w:ascii="宋体"/>
          <w:color w:val="auto"/>
          <w:szCs w:val="21"/>
          <w:highlight w:val="none"/>
        </w:rPr>
      </w:pPr>
      <w:r>
        <w:rPr>
          <w:rFonts w:hint="eastAsia" w:ascii="宋体"/>
          <w:color w:val="auto"/>
          <w:szCs w:val="21"/>
          <w:highlight w:val="none"/>
        </w:rPr>
        <w:t>符合参加政府采购活动应当具备的一般条件的承诺函（格式见附件）；</w:t>
      </w:r>
    </w:p>
    <w:p w14:paraId="1E415B5A">
      <w:pPr>
        <w:numPr>
          <w:ilvl w:val="0"/>
          <w:numId w:val="22"/>
        </w:numPr>
        <w:adjustRightInd w:val="0"/>
        <w:snapToGrid w:val="0"/>
        <w:spacing w:line="400" w:lineRule="exact"/>
        <w:ind w:left="0" w:firstLine="420" w:firstLineChars="200"/>
        <w:jc w:val="left"/>
        <w:rPr>
          <w:rFonts w:ascii="宋体"/>
          <w:color w:val="auto"/>
          <w:szCs w:val="21"/>
          <w:highlight w:val="none"/>
        </w:rPr>
      </w:pPr>
      <w:r>
        <w:rPr>
          <w:rFonts w:hint="eastAsia" w:ascii="宋体"/>
          <w:color w:val="auto"/>
          <w:szCs w:val="21"/>
          <w:highlight w:val="none"/>
        </w:rPr>
        <w:t>营业执照复印件；</w:t>
      </w:r>
    </w:p>
    <w:p w14:paraId="5C39CD33">
      <w:pPr>
        <w:numPr>
          <w:ilvl w:val="0"/>
          <w:numId w:val="22"/>
        </w:numPr>
        <w:adjustRightInd w:val="0"/>
        <w:snapToGrid w:val="0"/>
        <w:spacing w:line="400" w:lineRule="exact"/>
        <w:ind w:left="0" w:firstLine="420" w:firstLineChars="200"/>
        <w:jc w:val="left"/>
        <w:rPr>
          <w:rFonts w:ascii="宋体"/>
          <w:color w:val="auto"/>
          <w:szCs w:val="21"/>
          <w:highlight w:val="none"/>
        </w:rPr>
      </w:pPr>
      <w:r>
        <w:rPr>
          <w:rFonts w:hint="eastAsia" w:ascii="宋体"/>
          <w:color w:val="auto"/>
          <w:szCs w:val="21"/>
          <w:highlight w:val="none"/>
        </w:rPr>
        <w:t>法定代表人身份证明书和授权委托书（格式见附件）；</w:t>
      </w:r>
    </w:p>
    <w:p w14:paraId="07B0F015">
      <w:pPr>
        <w:adjustRightInd w:val="0"/>
        <w:snapToGrid w:val="0"/>
        <w:spacing w:line="400" w:lineRule="exact"/>
        <w:rPr>
          <w:rFonts w:ascii="宋体"/>
          <w:b/>
          <w:color w:val="auto"/>
          <w:szCs w:val="21"/>
          <w:highlight w:val="none"/>
        </w:rPr>
      </w:pPr>
    </w:p>
    <w:p w14:paraId="0B7B3B0B">
      <w:pPr>
        <w:adjustRightInd w:val="0"/>
        <w:snapToGrid w:val="0"/>
        <w:spacing w:line="400" w:lineRule="exact"/>
        <w:rPr>
          <w:rFonts w:ascii="宋体"/>
          <w:b/>
          <w:color w:val="auto"/>
          <w:szCs w:val="21"/>
          <w:highlight w:val="none"/>
        </w:rPr>
      </w:pPr>
    </w:p>
    <w:p w14:paraId="41DFC688">
      <w:pPr>
        <w:adjustRightInd w:val="0"/>
        <w:snapToGrid w:val="0"/>
        <w:spacing w:line="400" w:lineRule="exact"/>
        <w:rPr>
          <w:rFonts w:ascii="宋体"/>
          <w:color w:val="auto"/>
          <w:szCs w:val="21"/>
          <w:highlight w:val="none"/>
        </w:rPr>
      </w:pPr>
      <w:r>
        <w:rPr>
          <w:rFonts w:hint="eastAsia" w:ascii="宋体"/>
          <w:b/>
          <w:color w:val="auto"/>
          <w:szCs w:val="21"/>
          <w:highlight w:val="none"/>
        </w:rPr>
        <w:t>以上资格证明文件组成部分招标文件有格式的参照后附件格式，无格式的投标单位自拟。</w:t>
      </w:r>
    </w:p>
    <w:p w14:paraId="76BA497A">
      <w:pPr>
        <w:adjustRightInd w:val="0"/>
        <w:snapToGrid w:val="0"/>
        <w:spacing w:line="400" w:lineRule="exact"/>
        <w:rPr>
          <w:rFonts w:ascii="宋体"/>
          <w:b/>
          <w:color w:val="auto"/>
          <w:szCs w:val="21"/>
          <w:highlight w:val="none"/>
        </w:rPr>
      </w:pPr>
    </w:p>
    <w:p w14:paraId="0CE54901">
      <w:pPr>
        <w:adjustRightInd w:val="0"/>
        <w:snapToGrid w:val="0"/>
        <w:spacing w:line="400" w:lineRule="exact"/>
        <w:rPr>
          <w:rFonts w:ascii="宋体"/>
          <w:b/>
          <w:color w:val="auto"/>
          <w:szCs w:val="21"/>
          <w:highlight w:val="none"/>
        </w:rPr>
      </w:pPr>
    </w:p>
    <w:p w14:paraId="2E24E852">
      <w:pPr>
        <w:adjustRightInd w:val="0"/>
        <w:snapToGrid w:val="0"/>
        <w:spacing w:line="400" w:lineRule="exact"/>
        <w:ind w:firstLine="413" w:firstLineChars="196"/>
        <w:rPr>
          <w:rFonts w:ascii="宋体"/>
          <w:b/>
          <w:color w:val="auto"/>
          <w:szCs w:val="21"/>
          <w:highlight w:val="none"/>
        </w:rPr>
      </w:pPr>
    </w:p>
    <w:p w14:paraId="2F307290">
      <w:pPr>
        <w:adjustRightInd w:val="0"/>
        <w:snapToGrid w:val="0"/>
        <w:spacing w:line="400" w:lineRule="exact"/>
        <w:ind w:firstLine="413" w:firstLineChars="196"/>
        <w:rPr>
          <w:rFonts w:ascii="宋体"/>
          <w:b/>
          <w:color w:val="auto"/>
          <w:szCs w:val="21"/>
          <w:highlight w:val="none"/>
        </w:rPr>
      </w:pPr>
    </w:p>
    <w:p w14:paraId="3F9348AE">
      <w:pPr>
        <w:adjustRightInd w:val="0"/>
        <w:snapToGrid w:val="0"/>
        <w:spacing w:line="400" w:lineRule="exact"/>
        <w:ind w:firstLine="413" w:firstLineChars="196"/>
        <w:rPr>
          <w:rFonts w:ascii="宋体"/>
          <w:b/>
          <w:color w:val="auto"/>
          <w:szCs w:val="21"/>
          <w:highlight w:val="none"/>
        </w:rPr>
      </w:pPr>
    </w:p>
    <w:p w14:paraId="1C471171">
      <w:pPr>
        <w:adjustRightInd w:val="0"/>
        <w:snapToGrid w:val="0"/>
        <w:spacing w:line="400" w:lineRule="exact"/>
        <w:ind w:firstLine="413" w:firstLineChars="196"/>
        <w:rPr>
          <w:rFonts w:ascii="宋体"/>
          <w:b/>
          <w:color w:val="auto"/>
          <w:szCs w:val="21"/>
          <w:highlight w:val="none"/>
        </w:rPr>
      </w:pPr>
    </w:p>
    <w:p w14:paraId="07505CE8">
      <w:pPr>
        <w:adjustRightInd w:val="0"/>
        <w:snapToGrid w:val="0"/>
        <w:spacing w:line="400" w:lineRule="exact"/>
        <w:ind w:firstLine="413" w:firstLineChars="196"/>
        <w:rPr>
          <w:rFonts w:ascii="宋体"/>
          <w:b/>
          <w:color w:val="auto"/>
          <w:szCs w:val="21"/>
          <w:highlight w:val="none"/>
        </w:rPr>
      </w:pPr>
    </w:p>
    <w:p w14:paraId="2B5B03FD">
      <w:pPr>
        <w:rPr>
          <w:color w:val="auto"/>
          <w:highlight w:val="none"/>
        </w:rPr>
      </w:pPr>
    </w:p>
    <w:p w14:paraId="472488F7">
      <w:pPr>
        <w:adjustRightInd w:val="0"/>
        <w:snapToGrid w:val="0"/>
        <w:spacing w:line="400" w:lineRule="exact"/>
        <w:ind w:firstLine="413" w:firstLineChars="196"/>
        <w:rPr>
          <w:rFonts w:ascii="宋体"/>
          <w:b/>
          <w:color w:val="auto"/>
          <w:szCs w:val="21"/>
          <w:highlight w:val="none"/>
        </w:rPr>
      </w:pPr>
    </w:p>
    <w:p w14:paraId="75FEE7D4">
      <w:pPr>
        <w:adjustRightInd w:val="0"/>
        <w:snapToGrid w:val="0"/>
        <w:spacing w:line="400" w:lineRule="exact"/>
        <w:ind w:firstLine="413" w:firstLineChars="196"/>
        <w:rPr>
          <w:rFonts w:ascii="宋体"/>
          <w:b/>
          <w:color w:val="auto"/>
          <w:szCs w:val="21"/>
          <w:highlight w:val="none"/>
        </w:rPr>
      </w:pPr>
    </w:p>
    <w:p w14:paraId="6C62D52E">
      <w:pPr>
        <w:adjustRightInd w:val="0"/>
        <w:snapToGrid w:val="0"/>
        <w:spacing w:line="400" w:lineRule="exact"/>
        <w:ind w:firstLine="413" w:firstLineChars="196"/>
        <w:rPr>
          <w:rFonts w:ascii="宋体"/>
          <w:b/>
          <w:color w:val="auto"/>
          <w:szCs w:val="21"/>
          <w:highlight w:val="none"/>
        </w:rPr>
      </w:pPr>
    </w:p>
    <w:p w14:paraId="55F96DE3">
      <w:pPr>
        <w:adjustRightInd w:val="0"/>
        <w:snapToGrid w:val="0"/>
        <w:spacing w:line="400" w:lineRule="exact"/>
        <w:ind w:firstLine="413" w:firstLineChars="196"/>
        <w:rPr>
          <w:rFonts w:ascii="宋体"/>
          <w:b/>
          <w:color w:val="auto"/>
          <w:szCs w:val="21"/>
          <w:highlight w:val="none"/>
        </w:rPr>
      </w:pPr>
    </w:p>
    <w:p w14:paraId="542B315E">
      <w:pPr>
        <w:adjustRightInd w:val="0"/>
        <w:snapToGrid w:val="0"/>
        <w:spacing w:line="400" w:lineRule="exact"/>
        <w:ind w:firstLine="413" w:firstLineChars="196"/>
        <w:rPr>
          <w:rFonts w:ascii="宋体"/>
          <w:b/>
          <w:color w:val="auto"/>
          <w:szCs w:val="21"/>
          <w:highlight w:val="none"/>
        </w:rPr>
      </w:pPr>
    </w:p>
    <w:p w14:paraId="3B18476E">
      <w:pPr>
        <w:adjustRightInd w:val="0"/>
        <w:snapToGrid w:val="0"/>
        <w:spacing w:line="400" w:lineRule="exact"/>
        <w:ind w:firstLine="413" w:firstLineChars="196"/>
        <w:rPr>
          <w:rFonts w:ascii="宋体"/>
          <w:b/>
          <w:color w:val="auto"/>
          <w:szCs w:val="21"/>
          <w:highlight w:val="none"/>
        </w:rPr>
      </w:pPr>
    </w:p>
    <w:p w14:paraId="2D8F387B">
      <w:pPr>
        <w:adjustRightInd w:val="0"/>
        <w:snapToGrid w:val="0"/>
        <w:spacing w:line="400" w:lineRule="exact"/>
        <w:ind w:firstLine="413" w:firstLineChars="196"/>
        <w:rPr>
          <w:rFonts w:ascii="宋体"/>
          <w:b/>
          <w:color w:val="auto"/>
          <w:szCs w:val="21"/>
          <w:highlight w:val="none"/>
        </w:rPr>
      </w:pPr>
    </w:p>
    <w:p w14:paraId="4603D2D8">
      <w:pPr>
        <w:adjustRightInd w:val="0"/>
        <w:snapToGrid w:val="0"/>
        <w:spacing w:line="400" w:lineRule="exact"/>
        <w:ind w:firstLine="413" w:firstLineChars="196"/>
        <w:rPr>
          <w:rFonts w:ascii="宋体"/>
          <w:b/>
          <w:color w:val="auto"/>
          <w:szCs w:val="21"/>
          <w:highlight w:val="none"/>
        </w:rPr>
      </w:pPr>
    </w:p>
    <w:p w14:paraId="4104E4D7">
      <w:pPr>
        <w:adjustRightInd w:val="0"/>
        <w:snapToGrid w:val="0"/>
        <w:spacing w:line="400" w:lineRule="exact"/>
        <w:ind w:firstLine="413" w:firstLineChars="196"/>
        <w:rPr>
          <w:rFonts w:ascii="宋体"/>
          <w:b/>
          <w:color w:val="auto"/>
          <w:szCs w:val="21"/>
          <w:highlight w:val="none"/>
        </w:rPr>
      </w:pPr>
    </w:p>
    <w:p w14:paraId="46AB5A04">
      <w:pPr>
        <w:adjustRightInd w:val="0"/>
        <w:snapToGrid w:val="0"/>
        <w:spacing w:line="400" w:lineRule="exact"/>
        <w:ind w:firstLine="413" w:firstLineChars="196"/>
        <w:rPr>
          <w:rFonts w:ascii="宋体"/>
          <w:b/>
          <w:color w:val="auto"/>
          <w:szCs w:val="21"/>
          <w:highlight w:val="none"/>
        </w:rPr>
      </w:pPr>
    </w:p>
    <w:p w14:paraId="3E8C41CB">
      <w:pPr>
        <w:adjustRightInd w:val="0"/>
        <w:snapToGrid w:val="0"/>
        <w:spacing w:line="400" w:lineRule="exact"/>
        <w:outlineLvl w:val="2"/>
        <w:rPr>
          <w:rFonts w:ascii="宋体"/>
          <w:b/>
          <w:color w:val="auto"/>
          <w:szCs w:val="21"/>
          <w:highlight w:val="none"/>
        </w:rPr>
      </w:pPr>
      <w:r>
        <w:rPr>
          <w:rFonts w:ascii="宋体"/>
          <w:b/>
          <w:color w:val="auto"/>
          <w:szCs w:val="21"/>
          <w:highlight w:val="none"/>
        </w:rPr>
        <w:br w:type="page"/>
      </w:r>
      <w:r>
        <w:rPr>
          <w:rFonts w:hint="eastAsia" w:ascii="宋体"/>
          <w:b/>
          <w:color w:val="auto"/>
          <w:szCs w:val="21"/>
          <w:highlight w:val="none"/>
          <w:lang w:eastAsia="zh-CN"/>
        </w:rPr>
        <w:t>三</w:t>
      </w:r>
      <w:r>
        <w:rPr>
          <w:rFonts w:hint="eastAsia" w:ascii="宋体"/>
          <w:b/>
          <w:color w:val="auto"/>
          <w:szCs w:val="21"/>
          <w:highlight w:val="none"/>
        </w:rPr>
        <w:t>、投标声明书格式：</w:t>
      </w:r>
    </w:p>
    <w:p w14:paraId="6B6D01B2">
      <w:pPr>
        <w:adjustRightInd w:val="0"/>
        <w:snapToGrid w:val="0"/>
        <w:spacing w:line="440" w:lineRule="exact"/>
        <w:jc w:val="center"/>
        <w:rPr>
          <w:rFonts w:ascii="宋体"/>
          <w:b/>
          <w:color w:val="auto"/>
          <w:szCs w:val="21"/>
          <w:highlight w:val="none"/>
        </w:rPr>
      </w:pPr>
      <w:r>
        <w:rPr>
          <w:rFonts w:hint="eastAsia" w:ascii="宋体"/>
          <w:b/>
          <w:color w:val="auto"/>
          <w:szCs w:val="21"/>
          <w:highlight w:val="none"/>
        </w:rPr>
        <w:t>符合参加政府采购活动应当具备的一般条件的承诺函</w:t>
      </w:r>
    </w:p>
    <w:p w14:paraId="24F72D51">
      <w:pPr>
        <w:adjustRightInd w:val="0"/>
        <w:snapToGrid w:val="0"/>
        <w:spacing w:line="440" w:lineRule="exact"/>
        <w:rPr>
          <w:rFonts w:ascii="宋体"/>
          <w:color w:val="auto"/>
          <w:szCs w:val="21"/>
          <w:highlight w:val="none"/>
        </w:rPr>
      </w:pPr>
    </w:p>
    <w:p w14:paraId="574E981D">
      <w:pPr>
        <w:spacing w:line="440" w:lineRule="exact"/>
        <w:rPr>
          <w:rFonts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rPr>
        <w:t xml:space="preserve">   （招标采购单位名称）   </w:t>
      </w:r>
      <w:r>
        <w:rPr>
          <w:rFonts w:hint="eastAsia" w:ascii="宋体"/>
          <w:color w:val="auto"/>
          <w:szCs w:val="21"/>
          <w:highlight w:val="none"/>
        </w:rPr>
        <w:t>：</w:t>
      </w:r>
    </w:p>
    <w:p w14:paraId="6FF3B877">
      <w:pPr>
        <w:spacing w:line="440" w:lineRule="exact"/>
        <w:rPr>
          <w:rFonts w:ascii="宋体"/>
          <w:color w:val="auto"/>
          <w:szCs w:val="21"/>
          <w:highlight w:val="none"/>
        </w:rPr>
      </w:pPr>
      <w:r>
        <w:rPr>
          <w:rFonts w:hint="eastAsia" w:ascii="宋体"/>
          <w:color w:val="auto"/>
          <w:szCs w:val="21"/>
          <w:highlight w:val="none"/>
          <w:u w:val="single"/>
        </w:rPr>
        <w:t>（采购代理机构）</w:t>
      </w:r>
      <w:r>
        <w:rPr>
          <w:rFonts w:hint="eastAsia" w:ascii="宋体"/>
          <w:color w:val="auto"/>
          <w:szCs w:val="21"/>
          <w:highlight w:val="none"/>
        </w:rPr>
        <w:t>：</w:t>
      </w:r>
    </w:p>
    <w:p w14:paraId="667D8367">
      <w:pPr>
        <w:spacing w:line="440" w:lineRule="exact"/>
        <w:ind w:firstLine="420" w:firstLineChars="200"/>
        <w:rPr>
          <w:rFonts w:ascii="宋体"/>
          <w:color w:val="auto"/>
          <w:szCs w:val="21"/>
          <w:highlight w:val="none"/>
        </w:rPr>
      </w:pPr>
      <w:r>
        <w:rPr>
          <w:rFonts w:hint="eastAsia" w:ascii="宋体"/>
          <w:color w:val="auto"/>
          <w:szCs w:val="21"/>
          <w:highlight w:val="none"/>
          <w:u w:val="single"/>
        </w:rPr>
        <w:t xml:space="preserve">（投标人名称）    </w:t>
      </w:r>
      <w:r>
        <w:rPr>
          <w:rFonts w:hint="eastAsia" w:ascii="宋体"/>
          <w:color w:val="auto"/>
          <w:szCs w:val="21"/>
          <w:highlight w:val="none"/>
        </w:rPr>
        <w:t>系中华人民共和国合法企业，经营地址</w:t>
      </w:r>
      <w:r>
        <w:rPr>
          <w:rFonts w:hint="eastAsia" w:ascii="宋体"/>
          <w:color w:val="auto"/>
          <w:szCs w:val="21"/>
          <w:highlight w:val="none"/>
          <w:u w:val="single"/>
        </w:rPr>
        <w:t xml:space="preserve">            </w:t>
      </w:r>
      <w:r>
        <w:rPr>
          <w:rFonts w:hint="eastAsia" w:ascii="宋体"/>
          <w:color w:val="auto"/>
          <w:szCs w:val="21"/>
          <w:highlight w:val="none"/>
        </w:rPr>
        <w:t>。</w:t>
      </w:r>
    </w:p>
    <w:p w14:paraId="3B2A1662">
      <w:pPr>
        <w:spacing w:line="440" w:lineRule="exact"/>
        <w:ind w:firstLine="420" w:firstLineChars="200"/>
        <w:rPr>
          <w:rFonts w:ascii="宋体"/>
          <w:color w:val="auto"/>
          <w:szCs w:val="21"/>
          <w:highlight w:val="none"/>
        </w:rPr>
      </w:pPr>
      <w:r>
        <w:rPr>
          <w:rFonts w:hint="eastAsia" w:ascii="宋体"/>
          <w:color w:val="auto"/>
          <w:szCs w:val="21"/>
          <w:highlight w:val="none"/>
        </w:rPr>
        <w:t>我</w:t>
      </w:r>
      <w:r>
        <w:rPr>
          <w:rFonts w:hint="eastAsia" w:ascii="宋体"/>
          <w:color w:val="auto"/>
          <w:szCs w:val="21"/>
          <w:highlight w:val="none"/>
          <w:u w:val="single"/>
        </w:rPr>
        <w:t xml:space="preserve"> （姓名） </w:t>
      </w:r>
      <w:r>
        <w:rPr>
          <w:rFonts w:hint="eastAsia" w:ascii="宋体"/>
          <w:color w:val="auto"/>
          <w:szCs w:val="21"/>
          <w:highlight w:val="none"/>
        </w:rPr>
        <w:t>系</w:t>
      </w:r>
      <w:r>
        <w:rPr>
          <w:rFonts w:hint="eastAsia" w:ascii="宋体"/>
          <w:color w:val="auto"/>
          <w:szCs w:val="21"/>
          <w:highlight w:val="none"/>
          <w:u w:val="single"/>
        </w:rPr>
        <w:t xml:space="preserve"> （投标人名称） </w:t>
      </w:r>
      <w:r>
        <w:rPr>
          <w:rFonts w:hint="eastAsia" w:ascii="宋体"/>
          <w:color w:val="auto"/>
          <w:szCs w:val="21"/>
          <w:highlight w:val="none"/>
        </w:rPr>
        <w:t>的法定代表人，我方愿意参加贵方组织的</w:t>
      </w:r>
      <w:r>
        <w:rPr>
          <w:rFonts w:hint="eastAsia" w:ascii="宋体"/>
          <w:color w:val="auto"/>
          <w:szCs w:val="21"/>
          <w:highlight w:val="none"/>
          <w:u w:val="single"/>
        </w:rPr>
        <w:t xml:space="preserve">           项目</w:t>
      </w:r>
      <w:r>
        <w:rPr>
          <w:rFonts w:hint="eastAsia" w:ascii="宋体"/>
          <w:color w:val="auto"/>
          <w:szCs w:val="21"/>
          <w:highlight w:val="none"/>
        </w:rPr>
        <w:t>的投标，为便于贵方公正、择优地确定中标人及其投标产品和服务，我方就本次投标有关事项郑重声明如下：</w:t>
      </w:r>
    </w:p>
    <w:p w14:paraId="6179FCCD">
      <w:pPr>
        <w:spacing w:line="440" w:lineRule="exact"/>
        <w:ind w:firstLine="420" w:firstLineChars="200"/>
        <w:rPr>
          <w:rFonts w:ascii="宋体"/>
          <w:color w:val="auto"/>
          <w:szCs w:val="21"/>
          <w:highlight w:val="none"/>
        </w:rPr>
      </w:pPr>
      <w:r>
        <w:rPr>
          <w:rFonts w:hint="eastAsia" w:ascii="宋体"/>
          <w:color w:val="auto"/>
          <w:szCs w:val="21"/>
          <w:highlight w:val="none"/>
        </w:rPr>
        <w:t>1.我方向贵方提交的所有投标文件、资料都是准确的和真实的。</w:t>
      </w:r>
    </w:p>
    <w:p w14:paraId="43AE1071">
      <w:pPr>
        <w:spacing w:line="440" w:lineRule="exact"/>
        <w:ind w:firstLine="420" w:firstLineChars="200"/>
        <w:rPr>
          <w:rFonts w:ascii="宋体"/>
          <w:color w:val="auto"/>
          <w:szCs w:val="21"/>
          <w:highlight w:val="none"/>
        </w:rPr>
      </w:pPr>
      <w:r>
        <w:rPr>
          <w:rFonts w:hint="eastAsia" w:ascii="宋体"/>
          <w:color w:val="auto"/>
          <w:szCs w:val="21"/>
          <w:highlight w:val="none"/>
        </w:rPr>
        <w:t>2.我方不是采购人的附属机构；在获知本项目采购信息后，与采购人聘请的为此项目提供咨询服务的公司及其附属机构没有任何联系。　　　　　　　　　　　　　　　　　　　　　　　　　　　　　　　　　　　　　　　　　　　　　　　　　　　　　　</w:t>
      </w:r>
    </w:p>
    <w:p w14:paraId="1AE061CC">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3.我方承诺已经具备招标文件规定的参加本项目政府采购活动的投标人应当具备的条件：</w:t>
      </w:r>
    </w:p>
    <w:p w14:paraId="0487DA58">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6E930A2E">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14:paraId="08589C06">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14:paraId="6D2E0744">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14:paraId="0CCFA6FA">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（5）参加本次政府采购活动前三年内，在经营活动中没有重大违法记录；</w:t>
      </w:r>
    </w:p>
    <w:p w14:paraId="4F0A6C00">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（6）至本项目投标截止时间前，我方未列入失信被执行人、重大税收违法案件当事人名单、政府采购严重违法失信行为记录名单；</w:t>
      </w:r>
    </w:p>
    <w:p w14:paraId="54830BC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4.我方承诺：最近三年我方无行贿犯罪行为，若我方中标，愿意接受社会监督和检察院调查。                                                  </w:t>
      </w:r>
    </w:p>
    <w:p w14:paraId="622A8CB8">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5.以上事项如有虚假或隐瞒，我方愿意承担一切后果和责任。</w:t>
      </w:r>
    </w:p>
    <w:p w14:paraId="348D83ED">
      <w:pPr>
        <w:adjustRightInd w:val="0"/>
        <w:snapToGrid w:val="0"/>
        <w:spacing w:line="440" w:lineRule="exact"/>
        <w:ind w:firstLine="420" w:firstLineChars="200"/>
        <w:rPr>
          <w:rFonts w:ascii="宋体"/>
          <w:color w:val="auto"/>
          <w:szCs w:val="21"/>
          <w:highlight w:val="none"/>
        </w:rPr>
      </w:pPr>
    </w:p>
    <w:p w14:paraId="7881B4EE">
      <w:pPr>
        <w:adjustRightInd w:val="0"/>
        <w:snapToGrid w:val="0"/>
        <w:spacing w:line="440" w:lineRule="exact"/>
        <w:ind w:firstLine="420" w:firstLineChars="200"/>
        <w:rPr>
          <w:rFonts w:ascii="宋体"/>
          <w:color w:val="auto"/>
          <w:szCs w:val="21"/>
          <w:highlight w:val="none"/>
        </w:rPr>
      </w:pPr>
    </w:p>
    <w:p w14:paraId="65427FBC">
      <w:pPr>
        <w:adjustRightInd w:val="0"/>
        <w:snapToGrid w:val="0"/>
        <w:spacing w:line="440" w:lineRule="exact"/>
        <w:ind w:firstLine="420" w:firstLineChars="200"/>
        <w:rPr>
          <w:rFonts w:ascii="宋体"/>
          <w:color w:val="auto"/>
          <w:szCs w:val="21"/>
          <w:highlight w:val="none"/>
        </w:rPr>
      </w:pPr>
    </w:p>
    <w:p w14:paraId="7A95382B">
      <w:pPr>
        <w:adjustRightInd w:val="0"/>
        <w:snapToGrid w:val="0"/>
        <w:spacing w:line="440" w:lineRule="exact"/>
        <w:ind w:firstLine="420" w:firstLineChars="200"/>
        <w:rPr>
          <w:rFonts w:ascii="宋体"/>
          <w:color w:val="auto"/>
          <w:szCs w:val="21"/>
          <w:highlight w:val="none"/>
          <w:u w:val="single"/>
        </w:rPr>
      </w:pPr>
      <w:r>
        <w:rPr>
          <w:rFonts w:hint="eastAsia" w:ascii="宋体"/>
          <w:color w:val="auto"/>
          <w:szCs w:val="21"/>
          <w:highlight w:val="none"/>
        </w:rPr>
        <w:t>法定代表人签字或盖章：</w:t>
      </w:r>
      <w:r>
        <w:rPr>
          <w:rFonts w:hint="eastAsia" w:ascii="宋体"/>
          <w:color w:val="auto"/>
          <w:szCs w:val="21"/>
          <w:highlight w:val="none"/>
          <w:u w:val="single"/>
        </w:rPr>
        <w:t xml:space="preserve">         </w:t>
      </w:r>
    </w:p>
    <w:p w14:paraId="52947DE1">
      <w:pPr>
        <w:adjustRightInd w:val="0"/>
        <w:snapToGrid w:val="0"/>
        <w:spacing w:line="440" w:lineRule="exact"/>
        <w:ind w:firstLine="420" w:firstLineChars="200"/>
        <w:rPr>
          <w:rFonts w:ascii="宋体"/>
          <w:color w:val="auto"/>
          <w:szCs w:val="21"/>
          <w:highlight w:val="none"/>
          <w:u w:val="single"/>
        </w:rPr>
      </w:pPr>
      <w:r>
        <w:rPr>
          <w:rFonts w:hint="eastAsia" w:ascii="宋体"/>
          <w:color w:val="auto"/>
          <w:szCs w:val="21"/>
          <w:highlight w:val="none"/>
        </w:rPr>
        <w:t>投标人盖章：</w:t>
      </w:r>
      <w:r>
        <w:rPr>
          <w:rFonts w:hint="eastAsia" w:ascii="宋体"/>
          <w:color w:val="auto"/>
          <w:szCs w:val="21"/>
          <w:highlight w:val="none"/>
          <w:u w:val="single"/>
        </w:rPr>
        <w:t xml:space="preserve">                   </w:t>
      </w:r>
    </w:p>
    <w:p w14:paraId="231792A2">
      <w:pPr>
        <w:adjustRightInd w:val="0"/>
        <w:snapToGrid w:val="0"/>
        <w:spacing w:line="440" w:lineRule="exact"/>
        <w:ind w:firstLine="420" w:firstLineChars="200"/>
        <w:rPr>
          <w:rFonts w:ascii="宋体"/>
          <w:bCs/>
          <w:color w:val="auto"/>
          <w:szCs w:val="21"/>
          <w:highlight w:val="none"/>
        </w:rPr>
      </w:pPr>
      <w:r>
        <w:rPr>
          <w:rFonts w:hint="eastAsia" w:ascii="宋体"/>
          <w:bCs/>
          <w:color w:val="auto"/>
          <w:szCs w:val="21"/>
          <w:highlight w:val="none"/>
          <w:u w:val="single"/>
        </w:rPr>
        <w:t xml:space="preserve">        </w:t>
      </w:r>
      <w:r>
        <w:rPr>
          <w:rFonts w:hint="eastAsia" w:ascii="宋体"/>
          <w:bCs/>
          <w:color w:val="auto"/>
          <w:szCs w:val="21"/>
          <w:highlight w:val="none"/>
        </w:rPr>
        <w:t>年</w:t>
      </w:r>
      <w:r>
        <w:rPr>
          <w:rFonts w:hint="eastAsia" w:ascii="宋体"/>
          <w:bCs/>
          <w:color w:val="auto"/>
          <w:szCs w:val="21"/>
          <w:highlight w:val="none"/>
          <w:u w:val="single"/>
        </w:rPr>
        <w:t xml:space="preserve">    </w:t>
      </w:r>
      <w:r>
        <w:rPr>
          <w:rFonts w:hint="eastAsia" w:ascii="宋体"/>
          <w:bCs/>
          <w:color w:val="auto"/>
          <w:szCs w:val="21"/>
          <w:highlight w:val="none"/>
        </w:rPr>
        <w:t>月</w:t>
      </w:r>
      <w:r>
        <w:rPr>
          <w:rFonts w:hint="eastAsia" w:ascii="宋体"/>
          <w:bCs/>
          <w:color w:val="auto"/>
          <w:szCs w:val="21"/>
          <w:highlight w:val="none"/>
          <w:u w:val="single"/>
        </w:rPr>
        <w:t xml:space="preserve">    </w:t>
      </w:r>
      <w:r>
        <w:rPr>
          <w:rFonts w:hint="eastAsia" w:ascii="宋体"/>
          <w:bCs/>
          <w:color w:val="auto"/>
          <w:szCs w:val="21"/>
          <w:highlight w:val="none"/>
        </w:rPr>
        <w:t>日</w:t>
      </w:r>
    </w:p>
    <w:p w14:paraId="753AB194">
      <w:pPr>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rPr>
        <w:br w:type="page"/>
      </w:r>
      <w:r>
        <w:rPr>
          <w:rFonts w:hint="eastAsia" w:ascii="宋体"/>
          <w:b/>
          <w:color w:val="auto"/>
          <w:szCs w:val="21"/>
          <w:highlight w:val="none"/>
          <w:lang w:eastAsia="zh-CN"/>
        </w:rPr>
        <w:t>四</w:t>
      </w:r>
      <w:r>
        <w:rPr>
          <w:rFonts w:hint="eastAsia" w:ascii="宋体"/>
          <w:b/>
          <w:color w:val="auto"/>
          <w:szCs w:val="21"/>
          <w:highlight w:val="none"/>
        </w:rPr>
        <w:t>、法人代表身份证明书格式：</w:t>
      </w:r>
    </w:p>
    <w:p w14:paraId="7B5E6878">
      <w:pPr>
        <w:jc w:val="center"/>
        <w:rPr>
          <w:rFonts w:ascii="宋体"/>
          <w:b/>
          <w:color w:val="auto"/>
          <w:szCs w:val="21"/>
          <w:highlight w:val="none"/>
        </w:rPr>
      </w:pPr>
    </w:p>
    <w:p w14:paraId="331E53B6">
      <w:pPr>
        <w:adjustRightInd w:val="0"/>
        <w:snapToGrid w:val="0"/>
        <w:spacing w:line="440" w:lineRule="exact"/>
        <w:jc w:val="center"/>
        <w:rPr>
          <w:rFonts w:ascii="宋体"/>
          <w:b/>
          <w:color w:val="auto"/>
          <w:szCs w:val="21"/>
          <w:highlight w:val="none"/>
        </w:rPr>
      </w:pPr>
      <w:r>
        <w:rPr>
          <w:rFonts w:hint="eastAsia" w:ascii="宋体"/>
          <w:b/>
          <w:color w:val="auto"/>
          <w:szCs w:val="21"/>
          <w:highlight w:val="none"/>
        </w:rPr>
        <w:t>法定代表人身份证明书</w:t>
      </w:r>
    </w:p>
    <w:p w14:paraId="3CE9949D">
      <w:pPr>
        <w:jc w:val="center"/>
        <w:rPr>
          <w:rFonts w:ascii="宋体"/>
          <w:b/>
          <w:color w:val="auto"/>
          <w:szCs w:val="21"/>
          <w:highlight w:val="none"/>
        </w:rPr>
      </w:pPr>
    </w:p>
    <w:p w14:paraId="7A43E4F8">
      <w:pPr>
        <w:spacing w:line="480" w:lineRule="exact"/>
        <w:ind w:firstLine="420" w:firstLineChars="200"/>
        <w:rPr>
          <w:rFonts w:ascii="宋体"/>
          <w:color w:val="auto"/>
          <w:szCs w:val="21"/>
          <w:highlight w:val="none"/>
        </w:rPr>
      </w:pPr>
      <w:r>
        <w:rPr>
          <w:rFonts w:hint="eastAsia" w:ascii="宋体"/>
          <w:color w:val="auto"/>
          <w:szCs w:val="21"/>
          <w:highlight w:val="none"/>
          <w:u w:val="single"/>
        </w:rPr>
        <w:t xml:space="preserve">（姓名） </w:t>
      </w:r>
      <w:r>
        <w:rPr>
          <w:rFonts w:hint="eastAsia" w:ascii="宋体"/>
          <w:color w:val="auto"/>
          <w:szCs w:val="21"/>
          <w:highlight w:val="none"/>
        </w:rPr>
        <w:t>是</w:t>
      </w:r>
      <w:r>
        <w:rPr>
          <w:rFonts w:hint="eastAsia" w:ascii="宋体"/>
          <w:color w:val="auto"/>
          <w:szCs w:val="21"/>
          <w:highlight w:val="none"/>
          <w:u w:val="single"/>
        </w:rPr>
        <w:t xml:space="preserve"> （单位名称）  </w:t>
      </w:r>
      <w:r>
        <w:rPr>
          <w:rFonts w:hint="eastAsia" w:ascii="宋体"/>
          <w:color w:val="auto"/>
          <w:szCs w:val="21"/>
          <w:highlight w:val="none"/>
        </w:rPr>
        <w:t>的法定代表人，身份证号码为</w:t>
      </w:r>
      <w:r>
        <w:rPr>
          <w:rFonts w:hint="eastAsia" w:ascii="宋体"/>
          <w:color w:val="auto"/>
          <w:szCs w:val="21"/>
          <w:highlight w:val="none"/>
          <w:u w:val="single"/>
        </w:rPr>
        <w:t xml:space="preserve">                </w:t>
      </w:r>
      <w:r>
        <w:rPr>
          <w:rFonts w:hint="eastAsia" w:ascii="宋体"/>
          <w:color w:val="auto"/>
          <w:szCs w:val="21"/>
          <w:highlight w:val="none"/>
        </w:rPr>
        <w:t>，性别</w:t>
      </w:r>
      <w:r>
        <w:rPr>
          <w:rFonts w:hint="eastAsia" w:ascii="宋体"/>
          <w:color w:val="auto"/>
          <w:szCs w:val="21"/>
          <w:highlight w:val="none"/>
          <w:u w:val="single"/>
        </w:rPr>
        <w:t xml:space="preserve">     </w:t>
      </w:r>
      <w:r>
        <w:rPr>
          <w:rFonts w:hint="eastAsia" w:ascii="宋体"/>
          <w:color w:val="auto"/>
          <w:szCs w:val="21"/>
          <w:highlight w:val="none"/>
        </w:rPr>
        <w:t>，职务</w:t>
      </w:r>
      <w:r>
        <w:rPr>
          <w:rFonts w:hint="eastAsia" w:ascii="宋体"/>
          <w:color w:val="auto"/>
          <w:szCs w:val="21"/>
          <w:highlight w:val="none"/>
          <w:u w:val="single"/>
        </w:rPr>
        <w:t xml:space="preserve">      </w:t>
      </w:r>
      <w:r>
        <w:rPr>
          <w:rFonts w:hint="eastAsia" w:ascii="宋体"/>
          <w:color w:val="auto"/>
          <w:szCs w:val="21"/>
          <w:highlight w:val="none"/>
        </w:rPr>
        <w:t>，联系电话</w:t>
      </w:r>
      <w:r>
        <w:rPr>
          <w:rFonts w:hint="eastAsia" w:ascii="宋体"/>
          <w:color w:val="auto"/>
          <w:szCs w:val="21"/>
          <w:highlight w:val="none"/>
          <w:u w:val="single"/>
        </w:rPr>
        <w:t xml:space="preserve">        </w:t>
      </w:r>
      <w:r>
        <w:rPr>
          <w:rFonts w:hint="eastAsia" w:ascii="宋体"/>
          <w:color w:val="auto"/>
          <w:szCs w:val="21"/>
          <w:highlight w:val="none"/>
        </w:rPr>
        <w:t>，传真</w:t>
      </w:r>
      <w:r>
        <w:rPr>
          <w:rFonts w:hint="eastAsia" w:ascii="宋体"/>
          <w:color w:val="auto"/>
          <w:szCs w:val="21"/>
          <w:highlight w:val="none"/>
          <w:u w:val="single"/>
        </w:rPr>
        <w:t xml:space="preserve">       </w:t>
      </w:r>
      <w:r>
        <w:rPr>
          <w:rFonts w:hint="eastAsia" w:ascii="宋体"/>
          <w:color w:val="auto"/>
          <w:szCs w:val="21"/>
          <w:highlight w:val="none"/>
        </w:rPr>
        <w:t>，联系地址：</w:t>
      </w:r>
      <w:r>
        <w:rPr>
          <w:rFonts w:hint="eastAsia" w:ascii="宋体"/>
          <w:color w:val="auto"/>
          <w:szCs w:val="21"/>
          <w:highlight w:val="none"/>
          <w:u w:val="single"/>
        </w:rPr>
        <w:t xml:space="preserve">             </w:t>
      </w:r>
      <w:r>
        <w:rPr>
          <w:rFonts w:hint="eastAsia" w:ascii="宋体"/>
          <w:color w:val="auto"/>
          <w:szCs w:val="21"/>
          <w:highlight w:val="none"/>
        </w:rPr>
        <w:t>，邮编</w:t>
      </w:r>
      <w:r>
        <w:rPr>
          <w:rFonts w:hint="eastAsia" w:ascii="宋体"/>
          <w:color w:val="auto"/>
          <w:szCs w:val="21"/>
          <w:highlight w:val="none"/>
          <w:u w:val="single"/>
        </w:rPr>
        <w:t xml:space="preserve">         </w:t>
      </w:r>
      <w:r>
        <w:rPr>
          <w:rFonts w:hint="eastAsia" w:ascii="宋体"/>
          <w:color w:val="auto"/>
          <w:szCs w:val="21"/>
          <w:highlight w:val="none"/>
        </w:rPr>
        <w:t>。</w:t>
      </w:r>
    </w:p>
    <w:p w14:paraId="3BA13892">
      <w:pPr>
        <w:spacing w:line="480" w:lineRule="exact"/>
        <w:ind w:firstLine="630" w:firstLineChars="300"/>
        <w:rPr>
          <w:rFonts w:ascii="宋体"/>
          <w:color w:val="auto"/>
          <w:szCs w:val="21"/>
          <w:highlight w:val="none"/>
        </w:rPr>
      </w:pPr>
      <w:r>
        <w:rPr>
          <w:rFonts w:hint="eastAsia" w:ascii="宋体"/>
          <w:color w:val="auto"/>
          <w:szCs w:val="21"/>
          <w:highlight w:val="none"/>
        </w:rPr>
        <w:t xml:space="preserve">特此证明。 </w:t>
      </w:r>
    </w:p>
    <w:p w14:paraId="7D433A60">
      <w:pPr>
        <w:spacing w:line="480" w:lineRule="exact"/>
        <w:ind w:firstLine="312" w:firstLineChars="149"/>
        <w:rPr>
          <w:rFonts w:ascii="宋体"/>
          <w:color w:val="auto"/>
          <w:szCs w:val="21"/>
          <w:highlight w:val="none"/>
        </w:rPr>
      </w:pPr>
    </w:p>
    <w:p w14:paraId="732A8CA9">
      <w:pPr>
        <w:spacing w:line="480" w:lineRule="exact"/>
        <w:ind w:firstLine="1953" w:firstLineChars="930"/>
        <w:jc w:val="right"/>
        <w:rPr>
          <w:rFonts w:ascii="宋体"/>
          <w:color w:val="auto"/>
          <w:szCs w:val="21"/>
          <w:highlight w:val="none"/>
          <w:u w:val="single"/>
        </w:rPr>
      </w:pPr>
      <w:r>
        <w:rPr>
          <w:rFonts w:hint="eastAsia" w:ascii="宋体"/>
          <w:color w:val="auto"/>
          <w:szCs w:val="21"/>
          <w:highlight w:val="none"/>
        </w:rPr>
        <w:t>投标人：</w:t>
      </w:r>
      <w:r>
        <w:rPr>
          <w:rFonts w:hint="eastAsia" w:ascii="宋体"/>
          <w:color w:val="auto"/>
          <w:szCs w:val="21"/>
          <w:highlight w:val="none"/>
          <w:u w:val="single"/>
        </w:rPr>
        <w:t xml:space="preserve">                           （盖章）</w:t>
      </w:r>
    </w:p>
    <w:p w14:paraId="6F1FABE3">
      <w:pPr>
        <w:spacing w:line="480" w:lineRule="exact"/>
        <w:ind w:firstLine="1953" w:firstLineChars="930"/>
        <w:jc w:val="right"/>
        <w:rPr>
          <w:rFonts w:ascii="宋体"/>
          <w:color w:val="auto"/>
          <w:szCs w:val="21"/>
          <w:highlight w:val="none"/>
        </w:rPr>
      </w:pPr>
      <w:r>
        <w:rPr>
          <w:rFonts w:hint="eastAsia" w:ascii="宋体"/>
          <w:color w:val="auto"/>
          <w:szCs w:val="21"/>
          <w:highlight w:val="none"/>
        </w:rPr>
        <w:t>法定代表人：</w:t>
      </w:r>
      <w:r>
        <w:rPr>
          <w:rFonts w:hint="eastAsia" w:ascii="宋体"/>
          <w:color w:val="auto"/>
          <w:szCs w:val="21"/>
          <w:highlight w:val="none"/>
          <w:u w:val="single"/>
        </w:rPr>
        <w:t xml:space="preserve">                 （签名或盖章）</w:t>
      </w:r>
    </w:p>
    <w:p w14:paraId="425B2488">
      <w:pPr>
        <w:spacing w:line="480" w:lineRule="exact"/>
        <w:ind w:firstLine="312" w:firstLineChars="149"/>
        <w:jc w:val="right"/>
        <w:rPr>
          <w:rFonts w:ascii="宋体"/>
          <w:color w:val="auto"/>
          <w:szCs w:val="21"/>
          <w:highlight w:val="none"/>
        </w:rPr>
      </w:pPr>
      <w:r>
        <w:rPr>
          <w:rFonts w:hint="eastAsia" w:ascii="宋体"/>
          <w:color w:val="auto"/>
          <w:szCs w:val="21"/>
          <w:highlight w:val="none"/>
        </w:rPr>
        <w:t xml:space="preserve">                  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4F3AFBD6">
      <w:pPr>
        <w:adjustRightInd w:val="0"/>
        <w:snapToGrid w:val="0"/>
        <w:spacing w:line="440" w:lineRule="exact"/>
        <w:jc w:val="left"/>
        <w:rPr>
          <w:rFonts w:ascii="宋体"/>
          <w:b/>
          <w:color w:val="auto"/>
          <w:szCs w:val="21"/>
          <w:highlight w:val="none"/>
        </w:rPr>
      </w:pPr>
    </w:p>
    <w:p w14:paraId="0F5AA451">
      <w:pPr>
        <w:adjustRightInd w:val="0"/>
        <w:snapToGrid w:val="0"/>
        <w:spacing w:line="440" w:lineRule="exact"/>
        <w:jc w:val="left"/>
        <w:rPr>
          <w:rFonts w:ascii="宋体"/>
          <w:b/>
          <w:color w:val="auto"/>
          <w:szCs w:val="21"/>
          <w:highlight w:val="none"/>
        </w:rPr>
      </w:pPr>
    </w:p>
    <w:p w14:paraId="79D4D82D">
      <w:pPr>
        <w:pStyle w:val="14"/>
        <w:spacing w:line="440" w:lineRule="exact"/>
        <w:ind w:firstLine="0"/>
        <w:jc w:val="center"/>
        <w:rPr>
          <w:rFonts w:ascii="宋体"/>
          <w:color w:val="auto"/>
          <w:szCs w:val="21"/>
          <w:highlight w:val="none"/>
        </w:rPr>
      </w:pPr>
      <w:r>
        <w:rPr>
          <w:rFonts w:hint="eastAsia" w:ascii="宋体"/>
          <w:color w:val="auto"/>
          <w:szCs w:val="21"/>
          <w:highlight w:val="none"/>
        </w:rPr>
        <w:t>-------------------------------------------------------------------------------------------------------------------</w:t>
      </w:r>
    </w:p>
    <w:p w14:paraId="55533B4D">
      <w:pPr>
        <w:pStyle w:val="14"/>
        <w:spacing w:line="440" w:lineRule="exact"/>
        <w:ind w:firstLineChars="200"/>
        <w:rPr>
          <w:rFonts w:ascii="宋体"/>
          <w:color w:val="auto"/>
          <w:szCs w:val="21"/>
          <w:highlight w:val="none"/>
        </w:rPr>
      </w:pPr>
    </w:p>
    <w:p w14:paraId="12AD37A9">
      <w:pPr>
        <w:pStyle w:val="14"/>
        <w:spacing w:line="440" w:lineRule="exact"/>
        <w:ind w:firstLineChars="200"/>
        <w:jc w:val="center"/>
        <w:rPr>
          <w:rFonts w:ascii="宋体"/>
          <w:color w:val="auto"/>
          <w:szCs w:val="21"/>
          <w:highlight w:val="none"/>
        </w:rPr>
      </w:pPr>
    </w:p>
    <w:p w14:paraId="16579C96">
      <w:pPr>
        <w:pStyle w:val="14"/>
        <w:spacing w:line="440" w:lineRule="exact"/>
        <w:ind w:firstLineChars="200"/>
        <w:jc w:val="center"/>
        <w:rPr>
          <w:rFonts w:ascii="宋体"/>
          <w:color w:val="auto"/>
          <w:szCs w:val="21"/>
          <w:highlight w:val="none"/>
        </w:rPr>
      </w:pPr>
    </w:p>
    <w:p w14:paraId="61FA0DE1">
      <w:pPr>
        <w:pStyle w:val="14"/>
        <w:spacing w:line="440" w:lineRule="exact"/>
        <w:ind w:firstLine="640" w:firstLineChars="200"/>
        <w:jc w:val="center"/>
        <w:rPr>
          <w:rFonts w:ascii="宋体"/>
          <w:color w:val="auto"/>
          <w:sz w:val="32"/>
          <w:szCs w:val="32"/>
          <w:highlight w:val="none"/>
        </w:rPr>
      </w:pPr>
      <w:r>
        <w:rPr>
          <w:rFonts w:hint="eastAsia" w:ascii="宋体"/>
          <w:color w:val="auto"/>
          <w:sz w:val="32"/>
          <w:szCs w:val="32"/>
          <w:highlight w:val="none"/>
        </w:rPr>
        <w:t>有效身份证明复印件粘贴处</w:t>
      </w:r>
    </w:p>
    <w:p w14:paraId="4E726D82">
      <w:pPr>
        <w:adjustRightInd w:val="0"/>
        <w:snapToGrid w:val="0"/>
        <w:spacing w:before="120" w:beforeLines="50" w:after="120" w:afterLines="50" w:line="500" w:lineRule="exact"/>
        <w:outlineLvl w:val="2"/>
        <w:rPr>
          <w:rFonts w:ascii="宋体"/>
          <w:b/>
          <w:color w:val="auto"/>
          <w:szCs w:val="21"/>
          <w:highlight w:val="none"/>
        </w:rPr>
      </w:pPr>
      <w:r>
        <w:rPr>
          <w:rFonts w:hint="eastAsia" w:ascii="宋体"/>
          <w:color w:val="auto"/>
          <w:sz w:val="32"/>
          <w:szCs w:val="32"/>
          <w:highlight w:val="none"/>
        </w:rPr>
        <w:br w:type="page"/>
      </w:r>
      <w:r>
        <w:rPr>
          <w:rFonts w:hint="eastAsia" w:ascii="宋体"/>
          <w:b/>
          <w:color w:val="auto"/>
          <w:szCs w:val="21"/>
          <w:highlight w:val="none"/>
          <w:lang w:eastAsia="zh-CN"/>
        </w:rPr>
        <w:t>五</w:t>
      </w:r>
      <w:r>
        <w:rPr>
          <w:rFonts w:hint="eastAsia" w:ascii="宋体"/>
          <w:b/>
          <w:color w:val="auto"/>
          <w:szCs w:val="21"/>
          <w:highlight w:val="none"/>
        </w:rPr>
        <w:t>、法定代表人授权委托书格式：</w:t>
      </w:r>
    </w:p>
    <w:p w14:paraId="377D68B1">
      <w:pPr>
        <w:adjustRightInd w:val="0"/>
        <w:snapToGrid w:val="0"/>
        <w:spacing w:line="440" w:lineRule="exact"/>
        <w:jc w:val="center"/>
        <w:rPr>
          <w:rFonts w:ascii="宋体"/>
          <w:b/>
          <w:color w:val="auto"/>
          <w:szCs w:val="21"/>
          <w:highlight w:val="none"/>
        </w:rPr>
      </w:pPr>
    </w:p>
    <w:p w14:paraId="2DC3D75D">
      <w:pPr>
        <w:adjustRightInd w:val="0"/>
        <w:snapToGrid w:val="0"/>
        <w:spacing w:line="440" w:lineRule="exact"/>
        <w:jc w:val="center"/>
        <w:rPr>
          <w:rFonts w:ascii="宋体"/>
          <w:b/>
          <w:color w:val="auto"/>
          <w:szCs w:val="21"/>
          <w:highlight w:val="none"/>
        </w:rPr>
      </w:pPr>
      <w:r>
        <w:rPr>
          <w:rFonts w:hint="eastAsia" w:ascii="宋体"/>
          <w:b/>
          <w:color w:val="auto"/>
          <w:szCs w:val="21"/>
          <w:highlight w:val="none"/>
        </w:rPr>
        <w:t>法定代表人授权委托书</w:t>
      </w:r>
    </w:p>
    <w:p w14:paraId="7DCECE59">
      <w:pPr>
        <w:adjustRightInd w:val="0"/>
        <w:snapToGrid w:val="0"/>
        <w:spacing w:line="440" w:lineRule="exact"/>
        <w:rPr>
          <w:rFonts w:ascii="宋体"/>
          <w:bCs/>
          <w:color w:val="auto"/>
          <w:szCs w:val="21"/>
          <w:highlight w:val="none"/>
        </w:rPr>
      </w:pPr>
    </w:p>
    <w:p w14:paraId="2DC3B116">
      <w:pPr>
        <w:adjustRightInd w:val="0"/>
        <w:snapToGrid w:val="0"/>
        <w:spacing w:line="440" w:lineRule="exact"/>
        <w:rPr>
          <w:rFonts w:ascii="宋体"/>
          <w:b/>
          <w:bCs/>
          <w:color w:val="auto"/>
          <w:szCs w:val="21"/>
          <w:highlight w:val="none"/>
        </w:rPr>
      </w:pPr>
      <w:r>
        <w:rPr>
          <w:rFonts w:hint="eastAsia" w:ascii="宋体"/>
          <w:bCs/>
          <w:color w:val="auto"/>
          <w:szCs w:val="21"/>
          <w:highlight w:val="none"/>
        </w:rPr>
        <w:t>致：</w:t>
      </w:r>
      <w:r>
        <w:rPr>
          <w:rFonts w:hint="eastAsia" w:ascii="宋体"/>
          <w:bCs/>
          <w:color w:val="auto"/>
          <w:szCs w:val="21"/>
          <w:highlight w:val="none"/>
          <w:u w:val="single"/>
        </w:rPr>
        <w:t xml:space="preserve">                       </w:t>
      </w:r>
    </w:p>
    <w:p w14:paraId="75425041">
      <w:pPr>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本授权委托书声明，我</w:t>
      </w:r>
      <w:r>
        <w:rPr>
          <w:rFonts w:hint="eastAsia" w:ascii="宋体"/>
          <w:color w:val="auto"/>
          <w:szCs w:val="21"/>
          <w:highlight w:val="none"/>
          <w:u w:val="single"/>
        </w:rPr>
        <w:t xml:space="preserve">  （姓名）</w:t>
      </w:r>
      <w:r>
        <w:rPr>
          <w:rFonts w:hint="eastAsia" w:ascii="宋体"/>
          <w:color w:val="auto"/>
          <w:szCs w:val="21"/>
          <w:highlight w:val="none"/>
        </w:rPr>
        <w:t>系</w:t>
      </w:r>
      <w:r>
        <w:rPr>
          <w:rFonts w:hint="eastAsia" w:ascii="宋体"/>
          <w:color w:val="auto"/>
          <w:szCs w:val="21"/>
          <w:highlight w:val="none"/>
          <w:u w:val="single"/>
        </w:rPr>
        <w:t xml:space="preserve"> （投标人名称）   </w:t>
      </w:r>
      <w:r>
        <w:rPr>
          <w:rFonts w:hint="eastAsia" w:ascii="宋体"/>
          <w:color w:val="auto"/>
          <w:szCs w:val="21"/>
          <w:highlight w:val="none"/>
        </w:rPr>
        <w:t>的法定代表人，现授权委托本单位在职职工</w:t>
      </w:r>
      <w:r>
        <w:rPr>
          <w:rFonts w:hint="eastAsia" w:ascii="宋体"/>
          <w:color w:val="auto"/>
          <w:szCs w:val="21"/>
          <w:highlight w:val="none"/>
          <w:u w:val="single"/>
        </w:rPr>
        <w:t xml:space="preserve"> （姓名） </w:t>
      </w:r>
      <w:r>
        <w:rPr>
          <w:rFonts w:hint="eastAsia" w:ascii="宋体"/>
          <w:color w:val="auto"/>
          <w:szCs w:val="21"/>
          <w:highlight w:val="none"/>
        </w:rPr>
        <w:t>以我方的名义参加</w:t>
      </w:r>
      <w:r>
        <w:rPr>
          <w:rFonts w:hint="eastAsia" w:ascii="宋体"/>
          <w:color w:val="auto"/>
          <w:szCs w:val="21"/>
          <w:highlight w:val="none"/>
          <w:u w:val="single"/>
        </w:rPr>
        <w:t xml:space="preserve">                 </w:t>
      </w:r>
      <w:r>
        <w:rPr>
          <w:rFonts w:hint="eastAsia" w:ascii="宋体"/>
          <w:color w:val="auto"/>
          <w:szCs w:val="21"/>
          <w:highlight w:val="none"/>
        </w:rPr>
        <w:t>项目的投标活动，并代表我方全权办理针对上述项目的投标、开标、评标、签约等具体事务和签署相关文件。</w:t>
      </w:r>
    </w:p>
    <w:p w14:paraId="3E373BC1">
      <w:pPr>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我方对被授权人的签名负全部责任。</w:t>
      </w:r>
    </w:p>
    <w:p w14:paraId="12D1A76B">
      <w:pPr>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在撤销授权的书面通知以前，本授权书一直有效。被授权人在授权书有效期内签署的所有文件不因授权的撤销而失效。</w:t>
      </w:r>
    </w:p>
    <w:p w14:paraId="53192D05">
      <w:pPr>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被授权人无转委托权，特此委托。</w:t>
      </w:r>
    </w:p>
    <w:p w14:paraId="1D45BB27">
      <w:pPr>
        <w:adjustRightInd w:val="0"/>
        <w:snapToGrid w:val="0"/>
        <w:spacing w:line="440" w:lineRule="exact"/>
        <w:ind w:firstLine="420" w:firstLineChars="200"/>
        <w:rPr>
          <w:rFonts w:ascii="宋体"/>
          <w:color w:val="auto"/>
          <w:szCs w:val="21"/>
          <w:highlight w:val="none"/>
        </w:rPr>
      </w:pPr>
    </w:p>
    <w:p w14:paraId="27FF7946">
      <w:pPr>
        <w:adjustRightInd w:val="0"/>
        <w:snapToGrid w:val="0"/>
        <w:spacing w:line="440" w:lineRule="exact"/>
        <w:ind w:firstLine="420" w:firstLineChars="200"/>
        <w:rPr>
          <w:rFonts w:ascii="宋体"/>
          <w:color w:val="auto"/>
          <w:szCs w:val="21"/>
          <w:highlight w:val="none"/>
          <w:u w:val="single"/>
        </w:rPr>
      </w:pPr>
      <w:r>
        <w:rPr>
          <w:rFonts w:hint="eastAsia" w:ascii="宋体"/>
          <w:color w:val="auto"/>
          <w:szCs w:val="21"/>
          <w:highlight w:val="none"/>
        </w:rPr>
        <w:t>被授权人签字或盖章：</w:t>
      </w:r>
      <w:r>
        <w:rPr>
          <w:rFonts w:hint="eastAsia" w:ascii="宋体"/>
          <w:color w:val="auto"/>
          <w:szCs w:val="21"/>
          <w:highlight w:val="none"/>
          <w:u w:val="single"/>
        </w:rPr>
        <w:t xml:space="preserve">            </w:t>
      </w:r>
      <w:r>
        <w:rPr>
          <w:rFonts w:hint="eastAsia" w:ascii="宋体"/>
          <w:color w:val="auto"/>
          <w:szCs w:val="21"/>
          <w:highlight w:val="none"/>
        </w:rPr>
        <w:t xml:space="preserve">      法定代表人签字或盖章：</w:t>
      </w:r>
      <w:r>
        <w:rPr>
          <w:rFonts w:hint="eastAsia" w:ascii="宋体"/>
          <w:color w:val="auto"/>
          <w:szCs w:val="21"/>
          <w:highlight w:val="none"/>
          <w:u w:val="single"/>
        </w:rPr>
        <w:t xml:space="preserve">                </w:t>
      </w:r>
    </w:p>
    <w:p w14:paraId="0FC1ECE0">
      <w:pPr>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被授权人身份证号码：</w:t>
      </w:r>
      <w:r>
        <w:rPr>
          <w:rFonts w:hint="eastAsia" w:ascii="宋体"/>
          <w:color w:val="auto"/>
          <w:szCs w:val="21"/>
          <w:highlight w:val="none"/>
          <w:u w:val="single"/>
        </w:rPr>
        <w:t xml:space="preserve">                         </w:t>
      </w:r>
    </w:p>
    <w:p w14:paraId="10357462">
      <w:pPr>
        <w:adjustRightInd w:val="0"/>
        <w:snapToGrid w:val="0"/>
        <w:spacing w:line="440" w:lineRule="exact"/>
        <w:ind w:firstLine="420" w:firstLineChars="200"/>
        <w:rPr>
          <w:rFonts w:ascii="宋体"/>
          <w:color w:val="auto"/>
          <w:szCs w:val="21"/>
          <w:highlight w:val="none"/>
        </w:rPr>
      </w:pPr>
    </w:p>
    <w:p w14:paraId="63387C71">
      <w:pPr>
        <w:adjustRightInd w:val="0"/>
        <w:snapToGrid w:val="0"/>
        <w:spacing w:line="440" w:lineRule="exact"/>
        <w:ind w:firstLine="420" w:firstLineChars="200"/>
        <w:rPr>
          <w:rFonts w:ascii="宋体"/>
          <w:color w:val="auto"/>
          <w:szCs w:val="21"/>
          <w:highlight w:val="none"/>
        </w:rPr>
      </w:pPr>
    </w:p>
    <w:p w14:paraId="23013493">
      <w:pPr>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投标人盖章：</w:t>
      </w:r>
      <w:r>
        <w:rPr>
          <w:rFonts w:hint="eastAsia" w:ascii="宋体"/>
          <w:color w:val="auto"/>
          <w:szCs w:val="21"/>
          <w:highlight w:val="none"/>
          <w:u w:val="single"/>
        </w:rPr>
        <w:t xml:space="preserve">                 </w:t>
      </w:r>
    </w:p>
    <w:p w14:paraId="2A688EB0">
      <w:pPr>
        <w:adjustRightInd w:val="0"/>
        <w:snapToGrid w:val="0"/>
        <w:spacing w:line="440" w:lineRule="exact"/>
        <w:ind w:firstLine="420" w:firstLineChars="200"/>
        <w:rPr>
          <w:rFonts w:ascii="宋体"/>
          <w:bCs/>
          <w:color w:val="auto"/>
          <w:szCs w:val="21"/>
          <w:highlight w:val="none"/>
        </w:rPr>
      </w:pPr>
      <w:r>
        <w:rPr>
          <w:rFonts w:hint="eastAsia" w:ascii="宋体"/>
          <w:bCs/>
          <w:color w:val="auto"/>
          <w:szCs w:val="21"/>
          <w:highlight w:val="none"/>
          <w:u w:val="single"/>
        </w:rPr>
        <w:t xml:space="preserve">         </w:t>
      </w:r>
      <w:r>
        <w:rPr>
          <w:rFonts w:hint="eastAsia" w:ascii="宋体"/>
          <w:bCs/>
          <w:color w:val="auto"/>
          <w:szCs w:val="21"/>
          <w:highlight w:val="none"/>
        </w:rPr>
        <w:t>年</w:t>
      </w:r>
      <w:r>
        <w:rPr>
          <w:rFonts w:hint="eastAsia" w:ascii="宋体"/>
          <w:bCs/>
          <w:color w:val="auto"/>
          <w:szCs w:val="21"/>
          <w:highlight w:val="none"/>
          <w:u w:val="single"/>
        </w:rPr>
        <w:t xml:space="preserve">    </w:t>
      </w:r>
      <w:r>
        <w:rPr>
          <w:rFonts w:hint="eastAsia" w:ascii="宋体"/>
          <w:bCs/>
          <w:color w:val="auto"/>
          <w:szCs w:val="21"/>
          <w:highlight w:val="none"/>
        </w:rPr>
        <w:t>月</w:t>
      </w:r>
      <w:r>
        <w:rPr>
          <w:rFonts w:hint="eastAsia" w:ascii="宋体"/>
          <w:bCs/>
          <w:color w:val="auto"/>
          <w:szCs w:val="21"/>
          <w:highlight w:val="none"/>
          <w:u w:val="single"/>
        </w:rPr>
        <w:t xml:space="preserve">    </w:t>
      </w:r>
      <w:r>
        <w:rPr>
          <w:rFonts w:hint="eastAsia" w:ascii="宋体"/>
          <w:bCs/>
          <w:color w:val="auto"/>
          <w:szCs w:val="21"/>
          <w:highlight w:val="none"/>
        </w:rPr>
        <w:t>日</w:t>
      </w:r>
    </w:p>
    <w:p w14:paraId="2271D1AA">
      <w:pPr>
        <w:pStyle w:val="14"/>
        <w:spacing w:line="440" w:lineRule="exact"/>
        <w:ind w:firstLineChars="200"/>
        <w:rPr>
          <w:rFonts w:ascii="宋体"/>
          <w:color w:val="auto"/>
          <w:szCs w:val="21"/>
          <w:highlight w:val="none"/>
        </w:rPr>
      </w:pPr>
    </w:p>
    <w:p w14:paraId="1E718FD7">
      <w:pPr>
        <w:pStyle w:val="14"/>
        <w:spacing w:line="440" w:lineRule="exact"/>
        <w:ind w:firstLineChars="200"/>
        <w:rPr>
          <w:rFonts w:ascii="宋体"/>
          <w:color w:val="auto"/>
          <w:szCs w:val="21"/>
          <w:highlight w:val="none"/>
        </w:rPr>
      </w:pPr>
      <w:r>
        <w:rPr>
          <w:rFonts w:hint="eastAsia" w:ascii="宋体"/>
          <w:color w:val="auto"/>
          <w:szCs w:val="21"/>
          <w:highlight w:val="none"/>
        </w:rPr>
        <w:t>----------------------------------------------------------</w:t>
      </w:r>
    </w:p>
    <w:p w14:paraId="0D8FBA38">
      <w:pPr>
        <w:pStyle w:val="14"/>
        <w:spacing w:line="440" w:lineRule="exact"/>
        <w:ind w:firstLineChars="200"/>
        <w:rPr>
          <w:rFonts w:ascii="宋体"/>
          <w:color w:val="auto"/>
          <w:szCs w:val="21"/>
          <w:highlight w:val="none"/>
        </w:rPr>
      </w:pPr>
    </w:p>
    <w:p w14:paraId="6DF276C6">
      <w:pPr>
        <w:pStyle w:val="14"/>
        <w:spacing w:line="440" w:lineRule="exact"/>
        <w:ind w:firstLineChars="200"/>
        <w:jc w:val="center"/>
        <w:rPr>
          <w:rFonts w:ascii="宋体"/>
          <w:color w:val="auto"/>
          <w:szCs w:val="21"/>
          <w:highlight w:val="none"/>
        </w:rPr>
      </w:pPr>
    </w:p>
    <w:p w14:paraId="1D52BB29">
      <w:pPr>
        <w:pStyle w:val="14"/>
        <w:spacing w:line="440" w:lineRule="exact"/>
        <w:ind w:firstLineChars="200"/>
        <w:jc w:val="center"/>
        <w:rPr>
          <w:rFonts w:ascii="宋体"/>
          <w:color w:val="auto"/>
          <w:szCs w:val="21"/>
          <w:highlight w:val="none"/>
        </w:rPr>
      </w:pPr>
    </w:p>
    <w:p w14:paraId="007E3F31">
      <w:pPr>
        <w:pStyle w:val="14"/>
        <w:spacing w:line="440" w:lineRule="exact"/>
        <w:ind w:firstLineChars="200"/>
        <w:jc w:val="center"/>
        <w:rPr>
          <w:rFonts w:ascii="宋体"/>
          <w:color w:val="auto"/>
          <w:szCs w:val="21"/>
          <w:highlight w:val="none"/>
        </w:rPr>
      </w:pPr>
      <w:r>
        <w:rPr>
          <w:rFonts w:hint="eastAsia" w:ascii="宋体"/>
          <w:color w:val="auto"/>
          <w:szCs w:val="21"/>
          <w:highlight w:val="none"/>
        </w:rPr>
        <w:t>授权代理人有效身份证明复印件粘贴处</w:t>
      </w:r>
    </w:p>
    <w:p w14:paraId="5455BB3E">
      <w:pPr>
        <w:adjustRightInd w:val="0"/>
        <w:snapToGrid w:val="0"/>
        <w:spacing w:line="440" w:lineRule="exact"/>
        <w:rPr>
          <w:rFonts w:ascii="宋体"/>
          <w:color w:val="auto"/>
          <w:szCs w:val="21"/>
          <w:highlight w:val="none"/>
        </w:rPr>
      </w:pPr>
    </w:p>
    <w:p w14:paraId="13A80FB0">
      <w:pPr>
        <w:adjustRightInd w:val="0"/>
        <w:snapToGrid w:val="0"/>
        <w:jc w:val="left"/>
        <w:rPr>
          <w:rFonts w:ascii="宋体"/>
          <w:color w:val="auto"/>
          <w:sz w:val="24"/>
          <w:highlight w:val="none"/>
        </w:rPr>
      </w:pPr>
    </w:p>
    <w:p w14:paraId="22A78030">
      <w:pPr>
        <w:adjustRightInd w:val="0"/>
        <w:snapToGrid w:val="0"/>
        <w:jc w:val="left"/>
        <w:rPr>
          <w:rFonts w:ascii="宋体"/>
          <w:color w:val="auto"/>
          <w:sz w:val="24"/>
          <w:highlight w:val="none"/>
        </w:rPr>
      </w:pPr>
    </w:p>
    <w:p w14:paraId="7C3915BD">
      <w:pPr>
        <w:adjustRightInd w:val="0"/>
        <w:snapToGrid w:val="0"/>
        <w:jc w:val="left"/>
        <w:rPr>
          <w:rFonts w:ascii="宋体"/>
          <w:color w:val="auto"/>
          <w:sz w:val="24"/>
          <w:highlight w:val="none"/>
        </w:rPr>
      </w:pPr>
    </w:p>
    <w:p w14:paraId="5008EC73">
      <w:pPr>
        <w:adjustRightInd w:val="0"/>
        <w:snapToGrid w:val="0"/>
        <w:jc w:val="left"/>
        <w:rPr>
          <w:rFonts w:ascii="宋体"/>
          <w:color w:val="auto"/>
          <w:sz w:val="24"/>
          <w:highlight w:val="none"/>
        </w:rPr>
      </w:pPr>
    </w:p>
    <w:p w14:paraId="456ACF42">
      <w:pPr>
        <w:adjustRightInd w:val="0"/>
        <w:snapToGrid w:val="0"/>
        <w:jc w:val="left"/>
        <w:rPr>
          <w:rFonts w:ascii="宋体"/>
          <w:color w:val="auto"/>
          <w:sz w:val="24"/>
          <w:highlight w:val="none"/>
        </w:rPr>
      </w:pPr>
      <w:r>
        <w:rPr>
          <w:rFonts w:hint="eastAsia" w:ascii="宋体"/>
          <w:color w:val="auto"/>
          <w:sz w:val="24"/>
          <w:highlight w:val="none"/>
        </w:rPr>
        <w:t>附：被授权人社保缴费证明（加盖社保机构章）</w:t>
      </w:r>
    </w:p>
    <w:p w14:paraId="7163126E">
      <w:pPr>
        <w:rPr>
          <w:color w:val="auto"/>
          <w:highlight w:val="none"/>
        </w:rPr>
      </w:pPr>
    </w:p>
    <w:p w14:paraId="3EC07695">
      <w:pPr>
        <w:adjustRightInd w:val="0"/>
        <w:snapToGrid w:val="0"/>
        <w:spacing w:line="400" w:lineRule="exact"/>
        <w:outlineLvl w:val="2"/>
        <w:rPr>
          <w:rFonts w:ascii="宋体"/>
          <w:bCs/>
          <w:color w:val="auto"/>
          <w:szCs w:val="21"/>
          <w:highlight w:val="none"/>
        </w:rPr>
      </w:pPr>
      <w:r>
        <w:rPr>
          <w:rFonts w:hint="eastAsia" w:ascii="宋体"/>
          <w:b/>
          <w:color w:val="auto"/>
          <w:highlight w:val="none"/>
        </w:rPr>
        <w:br w:type="page"/>
      </w:r>
      <w:r>
        <w:rPr>
          <w:rFonts w:hint="eastAsia" w:ascii="宋体"/>
          <w:b/>
          <w:color w:val="auto"/>
          <w:szCs w:val="21"/>
          <w:highlight w:val="none"/>
          <w:lang w:eastAsia="zh-CN"/>
        </w:rPr>
        <w:t>六</w:t>
      </w:r>
      <w:r>
        <w:rPr>
          <w:rFonts w:hint="eastAsia" w:ascii="宋体"/>
          <w:b/>
          <w:color w:val="auto"/>
          <w:szCs w:val="21"/>
          <w:highlight w:val="none"/>
        </w:rPr>
        <w:t>、商务/技术文件目录：</w:t>
      </w:r>
    </w:p>
    <w:p w14:paraId="7695FB3C">
      <w:pPr>
        <w:adjustRightInd w:val="0"/>
        <w:snapToGrid w:val="0"/>
        <w:spacing w:line="400" w:lineRule="exact"/>
        <w:jc w:val="left"/>
        <w:rPr>
          <w:rFonts w:ascii="宋体"/>
          <w:color w:val="auto"/>
          <w:szCs w:val="21"/>
          <w:highlight w:val="none"/>
        </w:rPr>
      </w:pPr>
      <w:r>
        <w:rPr>
          <w:rFonts w:hint="eastAsia" w:ascii="宋体"/>
          <w:b/>
          <w:color w:val="auto"/>
          <w:szCs w:val="21"/>
          <w:highlight w:val="none"/>
        </w:rPr>
        <w:t>1、商务文件包括：</w:t>
      </w:r>
    </w:p>
    <w:p w14:paraId="57612B99">
      <w:pPr>
        <w:keepNext w:val="0"/>
        <w:keepLines w:val="0"/>
        <w:pageBreakBefore w:val="0"/>
        <w:widowControl w:val="0"/>
        <w:numPr>
          <w:ilvl w:val="0"/>
          <w:numId w:val="23"/>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color w:val="auto"/>
          <w:szCs w:val="21"/>
          <w:highlight w:val="none"/>
        </w:rPr>
      </w:pPr>
      <w:r>
        <w:rPr>
          <w:rFonts w:hint="eastAsia" w:ascii="宋体"/>
          <w:color w:val="auto"/>
          <w:szCs w:val="21"/>
          <w:highlight w:val="none"/>
        </w:rPr>
        <w:t>投标函（格式见附件）；</w:t>
      </w:r>
    </w:p>
    <w:p w14:paraId="7E502D38">
      <w:pPr>
        <w:keepNext w:val="0"/>
        <w:keepLines w:val="0"/>
        <w:pageBreakBefore w:val="0"/>
        <w:widowControl w:val="0"/>
        <w:numPr>
          <w:ilvl w:val="0"/>
          <w:numId w:val="23"/>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color w:val="auto"/>
          <w:szCs w:val="21"/>
          <w:highlight w:val="none"/>
        </w:rPr>
      </w:pPr>
      <w:r>
        <w:rPr>
          <w:rFonts w:hint="eastAsia" w:ascii="宋体"/>
          <w:color w:val="auto"/>
          <w:szCs w:val="21"/>
          <w:highlight w:val="none"/>
        </w:rPr>
        <w:t>法定代表人身份证明书、法定代表人授权委托书（格式见附件）；</w:t>
      </w:r>
    </w:p>
    <w:p w14:paraId="257FFAF5">
      <w:pPr>
        <w:keepNext w:val="0"/>
        <w:keepLines w:val="0"/>
        <w:pageBreakBefore w:val="0"/>
        <w:widowControl w:val="0"/>
        <w:numPr>
          <w:ilvl w:val="0"/>
          <w:numId w:val="23"/>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color w:val="auto"/>
          <w:szCs w:val="21"/>
          <w:highlight w:val="none"/>
        </w:rPr>
      </w:pPr>
      <w:r>
        <w:rPr>
          <w:rFonts w:hint="eastAsia" w:ascii="宋体"/>
          <w:color w:val="auto"/>
          <w:szCs w:val="21"/>
          <w:highlight w:val="none"/>
        </w:rPr>
        <w:t>投标人情况一览表（格式见附件）；</w:t>
      </w:r>
    </w:p>
    <w:p w14:paraId="75C2091F">
      <w:pPr>
        <w:keepNext w:val="0"/>
        <w:keepLines w:val="0"/>
        <w:pageBreakBefore w:val="0"/>
        <w:widowControl w:val="0"/>
        <w:numPr>
          <w:ilvl w:val="0"/>
          <w:numId w:val="23"/>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商务响应表（格式见附件）；</w:t>
      </w:r>
    </w:p>
    <w:p w14:paraId="34369B0F">
      <w:pPr>
        <w:keepNext w:val="0"/>
        <w:keepLines w:val="0"/>
        <w:pageBreakBefore w:val="0"/>
        <w:widowControl w:val="0"/>
        <w:numPr>
          <w:ilvl w:val="0"/>
          <w:numId w:val="23"/>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color w:val="auto"/>
          <w:highlight w:val="none"/>
          <w:lang w:val="en-US" w:eastAsia="zh-CN"/>
        </w:rPr>
        <w:t>企业资信；</w:t>
      </w:r>
    </w:p>
    <w:p w14:paraId="32B1A92E">
      <w:pPr>
        <w:keepNext w:val="0"/>
        <w:keepLines w:val="0"/>
        <w:pageBreakBefore w:val="0"/>
        <w:widowControl w:val="0"/>
        <w:numPr>
          <w:ilvl w:val="0"/>
          <w:numId w:val="23"/>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权威认证</w:t>
      </w:r>
      <w:r>
        <w:rPr>
          <w:rFonts w:hint="eastAsia" w:ascii="宋体" w:hAnsi="宋体" w:cs="宋体"/>
          <w:snapToGrid w:val="0"/>
          <w:color w:val="auto"/>
          <w:szCs w:val="21"/>
          <w:highlight w:val="none"/>
        </w:rPr>
        <w:t>；</w:t>
      </w:r>
    </w:p>
    <w:p w14:paraId="02DA28C6">
      <w:pPr>
        <w:keepNext w:val="0"/>
        <w:keepLines w:val="0"/>
        <w:pageBreakBefore w:val="0"/>
        <w:widowControl w:val="0"/>
        <w:numPr>
          <w:ilvl w:val="0"/>
          <w:numId w:val="23"/>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成功案例及业绩（同类项目实施情况）（格式见附件）；</w:t>
      </w:r>
    </w:p>
    <w:p w14:paraId="1D3791F8">
      <w:pPr>
        <w:keepNext w:val="0"/>
        <w:keepLines w:val="0"/>
        <w:pageBreakBefore w:val="0"/>
        <w:widowControl w:val="0"/>
        <w:numPr>
          <w:ilvl w:val="0"/>
          <w:numId w:val="23"/>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投标人认为可以证明其能力或业绩的其他材料。 </w:t>
      </w:r>
    </w:p>
    <w:p w14:paraId="703E4B19">
      <w:pPr>
        <w:adjustRightInd w:val="0"/>
        <w:snapToGrid w:val="0"/>
        <w:spacing w:line="400" w:lineRule="exact"/>
        <w:jc w:val="left"/>
        <w:rPr>
          <w:rFonts w:ascii="宋体"/>
          <w:b/>
          <w:color w:val="auto"/>
          <w:szCs w:val="21"/>
          <w:highlight w:val="none"/>
        </w:rPr>
      </w:pPr>
      <w:r>
        <w:rPr>
          <w:rFonts w:hint="eastAsia" w:ascii="宋体"/>
          <w:b/>
          <w:color w:val="auto"/>
          <w:szCs w:val="21"/>
          <w:highlight w:val="none"/>
        </w:rPr>
        <w:t>2、技术文件包括：</w:t>
      </w:r>
    </w:p>
    <w:p w14:paraId="1CF80726">
      <w:pPr>
        <w:keepNext w:val="0"/>
        <w:keepLines w:val="0"/>
        <w:pageBreakBefore w:val="0"/>
        <w:widowControl w:val="0"/>
        <w:numPr>
          <w:ilvl w:val="0"/>
          <w:numId w:val="2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服务</w:t>
      </w:r>
      <w:r>
        <w:rPr>
          <w:rFonts w:hint="eastAsia" w:ascii="宋体" w:hAnsi="宋体" w:cs="宋体"/>
          <w:color w:val="auto"/>
          <w:szCs w:val="21"/>
          <w:highlight w:val="none"/>
        </w:rPr>
        <w:t>响应表（格式见附件）；</w:t>
      </w:r>
    </w:p>
    <w:p w14:paraId="1D52F240">
      <w:pPr>
        <w:keepNext w:val="0"/>
        <w:keepLines w:val="0"/>
        <w:pageBreakBefore w:val="0"/>
        <w:widowControl w:val="0"/>
        <w:numPr>
          <w:ilvl w:val="0"/>
          <w:numId w:val="2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lang w:eastAsia="zh-CN"/>
        </w:rPr>
        <w:t>承诺函</w:t>
      </w:r>
      <w:r>
        <w:rPr>
          <w:rFonts w:hint="eastAsia" w:ascii="宋体" w:hAnsi="宋体" w:cs="宋体"/>
          <w:color w:val="auto"/>
          <w:sz w:val="21"/>
          <w:szCs w:val="21"/>
          <w:highlight w:val="none"/>
        </w:rPr>
        <w:t>（格式见附件）</w:t>
      </w:r>
      <w:r>
        <w:rPr>
          <w:rFonts w:hint="eastAsia" w:ascii="宋体" w:hAnsi="宋体" w:cs="宋体"/>
          <w:color w:val="auto"/>
          <w:sz w:val="21"/>
          <w:szCs w:val="21"/>
          <w:highlight w:val="none"/>
          <w:lang w:eastAsia="zh-CN"/>
        </w:rPr>
        <w:t>；</w:t>
      </w:r>
    </w:p>
    <w:p w14:paraId="46F05145">
      <w:pPr>
        <w:keepNext w:val="0"/>
        <w:keepLines w:val="0"/>
        <w:pageBreakBefore w:val="0"/>
        <w:widowControl w:val="0"/>
        <w:numPr>
          <w:ilvl w:val="0"/>
          <w:numId w:val="2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需求理解和分析</w:t>
      </w:r>
      <w:r>
        <w:rPr>
          <w:rFonts w:hint="eastAsia" w:ascii="宋体" w:hAnsi="宋体" w:cs="宋体"/>
          <w:color w:val="auto"/>
          <w:szCs w:val="21"/>
          <w:highlight w:val="none"/>
        </w:rPr>
        <w:t>；</w:t>
      </w:r>
    </w:p>
    <w:p w14:paraId="23941471">
      <w:pPr>
        <w:keepNext w:val="0"/>
        <w:keepLines w:val="0"/>
        <w:pageBreakBefore w:val="0"/>
        <w:widowControl w:val="0"/>
        <w:numPr>
          <w:ilvl w:val="0"/>
          <w:numId w:val="2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b w:val="0"/>
          <w:bCs w:val="0"/>
          <w:snapToGrid w:val="0"/>
          <w:color w:val="auto"/>
          <w:sz w:val="21"/>
          <w:szCs w:val="21"/>
          <w:highlight w:val="none"/>
          <w:lang w:val="en-US" w:eastAsia="zh-CN"/>
        </w:rPr>
        <w:t>服务方案</w:t>
      </w:r>
      <w:r>
        <w:rPr>
          <w:rFonts w:hint="eastAsia" w:ascii="宋体" w:hAnsi="宋体" w:cs="宋体"/>
          <w:b w:val="0"/>
          <w:bCs w:val="0"/>
          <w:snapToGrid w:val="0"/>
          <w:color w:val="auto"/>
          <w:sz w:val="21"/>
          <w:szCs w:val="21"/>
          <w:highlight w:val="none"/>
          <w:lang w:val="en-US" w:eastAsia="zh-CN"/>
        </w:rPr>
        <w:t>；</w:t>
      </w:r>
    </w:p>
    <w:p w14:paraId="799E9A0D">
      <w:pPr>
        <w:keepNext w:val="0"/>
        <w:keepLines w:val="0"/>
        <w:pageBreakBefore w:val="0"/>
        <w:widowControl w:val="0"/>
        <w:numPr>
          <w:ilvl w:val="0"/>
          <w:numId w:val="2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b w:val="0"/>
          <w:bCs w:val="0"/>
          <w:snapToGrid w:val="0"/>
          <w:color w:val="auto"/>
          <w:sz w:val="21"/>
          <w:szCs w:val="21"/>
          <w:highlight w:val="none"/>
          <w:lang w:val="en-US" w:eastAsia="zh-CN"/>
        </w:rPr>
        <w:t>处理方案</w:t>
      </w:r>
      <w:r>
        <w:rPr>
          <w:rFonts w:hint="eastAsia" w:ascii="宋体" w:hAnsi="宋体" w:cs="宋体"/>
          <w:b w:val="0"/>
          <w:bCs w:val="0"/>
          <w:snapToGrid w:val="0"/>
          <w:color w:val="auto"/>
          <w:sz w:val="21"/>
          <w:szCs w:val="21"/>
          <w:highlight w:val="none"/>
          <w:lang w:val="en-US" w:eastAsia="zh-CN"/>
        </w:rPr>
        <w:t>；</w:t>
      </w:r>
    </w:p>
    <w:p w14:paraId="31AA6428">
      <w:pPr>
        <w:keepNext w:val="0"/>
        <w:keepLines w:val="0"/>
        <w:pageBreakBefore w:val="0"/>
        <w:widowControl w:val="0"/>
        <w:numPr>
          <w:ilvl w:val="0"/>
          <w:numId w:val="2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维保质量管理方案</w:t>
      </w:r>
      <w:r>
        <w:rPr>
          <w:rFonts w:hint="eastAsia" w:ascii="宋体" w:hAnsi="宋体" w:cs="宋体"/>
          <w:b w:val="0"/>
          <w:bCs w:val="0"/>
          <w:color w:val="auto"/>
          <w:kern w:val="2"/>
          <w:sz w:val="21"/>
          <w:szCs w:val="21"/>
          <w:highlight w:val="none"/>
          <w:lang w:val="en-US" w:eastAsia="zh-CN" w:bidi="ar-SA"/>
        </w:rPr>
        <w:t>；</w:t>
      </w:r>
    </w:p>
    <w:p w14:paraId="2F8EC11B">
      <w:pPr>
        <w:keepNext w:val="0"/>
        <w:keepLines w:val="0"/>
        <w:pageBreakBefore w:val="0"/>
        <w:widowControl w:val="0"/>
        <w:numPr>
          <w:ilvl w:val="0"/>
          <w:numId w:val="2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巡检报告制度</w:t>
      </w:r>
      <w:r>
        <w:rPr>
          <w:rFonts w:hint="eastAsia" w:ascii="宋体" w:hAnsi="宋体" w:cs="宋体"/>
          <w:color w:val="auto"/>
          <w:sz w:val="21"/>
          <w:szCs w:val="21"/>
          <w:highlight w:val="none"/>
          <w:lang w:val="en-US" w:eastAsia="zh-CN"/>
        </w:rPr>
        <w:t>；</w:t>
      </w:r>
    </w:p>
    <w:p w14:paraId="54D7716A">
      <w:pPr>
        <w:keepNext w:val="0"/>
        <w:keepLines w:val="0"/>
        <w:pageBreakBefore w:val="0"/>
        <w:widowControl w:val="0"/>
        <w:numPr>
          <w:ilvl w:val="0"/>
          <w:numId w:val="2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稳过渡方案</w:t>
      </w:r>
      <w:r>
        <w:rPr>
          <w:rFonts w:hint="eastAsia" w:ascii="宋体" w:hAnsi="宋体" w:cs="宋体"/>
          <w:color w:val="auto"/>
          <w:sz w:val="21"/>
          <w:szCs w:val="21"/>
          <w:highlight w:val="none"/>
          <w:lang w:eastAsia="zh-CN"/>
        </w:rPr>
        <w:t>；</w:t>
      </w:r>
    </w:p>
    <w:p w14:paraId="1EF8B4FA">
      <w:pPr>
        <w:keepNext w:val="0"/>
        <w:keepLines w:val="0"/>
        <w:pageBreakBefore w:val="0"/>
        <w:widowControl w:val="0"/>
        <w:numPr>
          <w:ilvl w:val="0"/>
          <w:numId w:val="2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项目技术力量投入（非驻点维保人员）（格式见附件）</w:t>
      </w:r>
    </w:p>
    <w:p w14:paraId="1B5663AA">
      <w:pPr>
        <w:keepNext w:val="0"/>
        <w:keepLines w:val="0"/>
        <w:pageBreakBefore w:val="0"/>
        <w:widowControl w:val="0"/>
        <w:numPr>
          <w:ilvl w:val="0"/>
          <w:numId w:val="24"/>
        </w:numPr>
        <w:kinsoku/>
        <w:wordWrap/>
        <w:overflowPunct/>
        <w:topLinePunct w:val="0"/>
        <w:autoSpaceDE/>
        <w:autoSpaceDN/>
        <w:bidi w:val="0"/>
        <w:adjustRightInd w:val="0"/>
        <w:snapToGrid w:val="0"/>
        <w:spacing w:line="400" w:lineRule="exact"/>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投标人认为需要提供的其他技术资料。</w:t>
      </w:r>
    </w:p>
    <w:p w14:paraId="4CE4FD2C">
      <w:pPr>
        <w:adjustRightInd w:val="0"/>
        <w:snapToGrid w:val="0"/>
        <w:spacing w:line="380" w:lineRule="exact"/>
        <w:jc w:val="left"/>
        <w:rPr>
          <w:rFonts w:ascii="宋体"/>
          <w:b/>
          <w:color w:val="auto"/>
          <w:szCs w:val="21"/>
          <w:highlight w:val="none"/>
        </w:rPr>
      </w:pPr>
    </w:p>
    <w:p w14:paraId="3FD2F2F5">
      <w:pPr>
        <w:adjustRightInd w:val="0"/>
        <w:snapToGrid w:val="0"/>
        <w:spacing w:line="380" w:lineRule="exact"/>
        <w:jc w:val="left"/>
        <w:rPr>
          <w:rFonts w:ascii="宋体"/>
          <w:b/>
          <w:color w:val="auto"/>
          <w:szCs w:val="21"/>
          <w:highlight w:val="none"/>
        </w:rPr>
      </w:pPr>
      <w:r>
        <w:rPr>
          <w:rFonts w:hint="eastAsia" w:ascii="宋体"/>
          <w:b/>
          <w:color w:val="auto"/>
          <w:szCs w:val="21"/>
          <w:highlight w:val="none"/>
        </w:rPr>
        <w:t>以上商务/技术文件组成部分招标文件有格式的参照后附件格式，无格式的投标单位自拟。</w:t>
      </w:r>
    </w:p>
    <w:p w14:paraId="5A682463">
      <w:pPr>
        <w:adjustRightInd w:val="0"/>
        <w:snapToGrid w:val="0"/>
        <w:spacing w:before="120" w:beforeLines="50" w:after="120" w:afterLines="50" w:line="500" w:lineRule="exact"/>
        <w:rPr>
          <w:rFonts w:ascii="宋体"/>
          <w:b/>
          <w:color w:val="auto"/>
          <w:szCs w:val="21"/>
          <w:highlight w:val="none"/>
        </w:rPr>
      </w:pPr>
    </w:p>
    <w:p w14:paraId="7690064E">
      <w:pPr>
        <w:adjustRightInd w:val="0"/>
        <w:snapToGrid w:val="0"/>
        <w:spacing w:before="120" w:beforeLines="50" w:after="120" w:afterLines="50" w:line="500" w:lineRule="exact"/>
        <w:rPr>
          <w:rFonts w:ascii="宋体"/>
          <w:b/>
          <w:color w:val="auto"/>
          <w:szCs w:val="21"/>
          <w:highlight w:val="none"/>
        </w:rPr>
      </w:pPr>
    </w:p>
    <w:p w14:paraId="646D4210">
      <w:pPr>
        <w:pStyle w:val="55"/>
        <w:rPr>
          <w:rFonts w:ascii="宋体"/>
          <w:b/>
          <w:color w:val="auto"/>
          <w:szCs w:val="21"/>
          <w:highlight w:val="none"/>
        </w:rPr>
      </w:pPr>
    </w:p>
    <w:p w14:paraId="73170025">
      <w:pPr>
        <w:rPr>
          <w:rFonts w:ascii="宋体"/>
          <w:b/>
          <w:color w:val="auto"/>
          <w:szCs w:val="21"/>
          <w:highlight w:val="none"/>
        </w:rPr>
      </w:pPr>
    </w:p>
    <w:p w14:paraId="0B6C4832">
      <w:pPr>
        <w:pStyle w:val="55"/>
        <w:rPr>
          <w:color w:val="auto"/>
          <w:highlight w:val="none"/>
        </w:rPr>
      </w:pPr>
    </w:p>
    <w:p w14:paraId="7D6260BF">
      <w:pPr>
        <w:pStyle w:val="14"/>
        <w:rPr>
          <w:rFonts w:ascii="宋体"/>
          <w:b/>
          <w:color w:val="auto"/>
          <w:szCs w:val="21"/>
          <w:highlight w:val="none"/>
        </w:rPr>
      </w:pPr>
    </w:p>
    <w:p w14:paraId="7FB9534F">
      <w:pPr>
        <w:pStyle w:val="14"/>
        <w:rPr>
          <w:rFonts w:ascii="宋体"/>
          <w:b/>
          <w:color w:val="auto"/>
          <w:szCs w:val="21"/>
          <w:highlight w:val="none"/>
        </w:rPr>
      </w:pPr>
    </w:p>
    <w:p w14:paraId="6751ED3F">
      <w:pPr>
        <w:pStyle w:val="14"/>
        <w:rPr>
          <w:rFonts w:ascii="宋体"/>
          <w:b/>
          <w:color w:val="auto"/>
          <w:szCs w:val="21"/>
          <w:highlight w:val="none"/>
        </w:rPr>
      </w:pPr>
    </w:p>
    <w:p w14:paraId="2FDBDDA9">
      <w:pPr>
        <w:pStyle w:val="14"/>
        <w:rPr>
          <w:rFonts w:ascii="宋体"/>
          <w:b/>
          <w:color w:val="auto"/>
          <w:szCs w:val="21"/>
          <w:highlight w:val="none"/>
        </w:rPr>
      </w:pPr>
    </w:p>
    <w:p w14:paraId="3637A789">
      <w:pPr>
        <w:pStyle w:val="14"/>
        <w:rPr>
          <w:rFonts w:ascii="宋体"/>
          <w:b/>
          <w:color w:val="auto"/>
          <w:szCs w:val="21"/>
          <w:highlight w:val="none"/>
        </w:rPr>
      </w:pPr>
    </w:p>
    <w:p w14:paraId="5FEA43B0">
      <w:pPr>
        <w:pStyle w:val="14"/>
        <w:rPr>
          <w:rFonts w:ascii="宋体"/>
          <w:b/>
          <w:color w:val="auto"/>
          <w:szCs w:val="21"/>
          <w:highlight w:val="none"/>
        </w:rPr>
      </w:pPr>
    </w:p>
    <w:p w14:paraId="2BB20D77">
      <w:pPr>
        <w:pStyle w:val="14"/>
        <w:rPr>
          <w:rFonts w:ascii="宋体"/>
          <w:b/>
          <w:color w:val="auto"/>
          <w:szCs w:val="21"/>
          <w:highlight w:val="none"/>
        </w:rPr>
      </w:pPr>
    </w:p>
    <w:p w14:paraId="5B411AAF">
      <w:pPr>
        <w:adjustRightInd w:val="0"/>
        <w:snapToGrid w:val="0"/>
        <w:spacing w:before="120" w:beforeLines="50" w:after="120" w:afterLines="50" w:line="500" w:lineRule="exact"/>
        <w:outlineLvl w:val="2"/>
        <w:rPr>
          <w:rFonts w:hint="eastAsia" w:ascii="宋体"/>
          <w:b/>
          <w:color w:val="auto"/>
          <w:szCs w:val="21"/>
          <w:highlight w:val="none"/>
          <w:lang w:eastAsia="zh-CN"/>
        </w:rPr>
      </w:pPr>
    </w:p>
    <w:p w14:paraId="0DE884F0">
      <w:pPr>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lang w:eastAsia="zh-CN"/>
        </w:rPr>
        <w:t>七</w:t>
      </w:r>
      <w:r>
        <w:rPr>
          <w:rFonts w:hint="eastAsia" w:ascii="宋体"/>
          <w:b/>
          <w:color w:val="auto"/>
          <w:szCs w:val="21"/>
          <w:highlight w:val="none"/>
        </w:rPr>
        <w:t>、投标函格式：</w:t>
      </w:r>
    </w:p>
    <w:p w14:paraId="20D412BA">
      <w:pPr>
        <w:adjustRightInd w:val="0"/>
        <w:snapToGrid w:val="0"/>
        <w:spacing w:before="120" w:beforeLines="50" w:after="120" w:afterLines="50" w:line="500" w:lineRule="exact"/>
        <w:jc w:val="center"/>
        <w:rPr>
          <w:rFonts w:ascii="宋体"/>
          <w:b/>
          <w:color w:val="auto"/>
          <w:szCs w:val="21"/>
          <w:highlight w:val="none"/>
        </w:rPr>
      </w:pPr>
      <w:r>
        <w:rPr>
          <w:rFonts w:hint="eastAsia" w:ascii="宋体"/>
          <w:b/>
          <w:color w:val="auto"/>
          <w:szCs w:val="21"/>
          <w:highlight w:val="none"/>
        </w:rPr>
        <w:t>投标函</w:t>
      </w:r>
    </w:p>
    <w:p w14:paraId="4A81D69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rPr>
        <w:t xml:space="preserve"> （招标采购单位）</w:t>
      </w:r>
    </w:p>
    <w:p w14:paraId="74FB1C6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根据贵方为项目的招标公告</w:t>
      </w:r>
      <w:r>
        <w:rPr>
          <w:rFonts w:hint="eastAsia" w:ascii="宋体"/>
          <w:color w:val="auto"/>
          <w:szCs w:val="21"/>
          <w:highlight w:val="none"/>
          <w:u w:val="single"/>
        </w:rPr>
        <w:t>（项目编号：）</w:t>
      </w:r>
      <w:r>
        <w:rPr>
          <w:rFonts w:hint="eastAsia" w:ascii="宋体"/>
          <w:color w:val="auto"/>
          <w:szCs w:val="21"/>
          <w:highlight w:val="none"/>
        </w:rPr>
        <w:t>，签字代表</w:t>
      </w:r>
      <w:r>
        <w:rPr>
          <w:rFonts w:hint="eastAsia" w:ascii="宋体"/>
          <w:color w:val="auto"/>
          <w:szCs w:val="21"/>
          <w:highlight w:val="none"/>
          <w:u w:val="single"/>
        </w:rPr>
        <w:t xml:space="preserve">        </w:t>
      </w:r>
      <w:r>
        <w:rPr>
          <w:rFonts w:hint="eastAsia" w:ascii="宋体"/>
          <w:color w:val="auto"/>
          <w:szCs w:val="21"/>
          <w:highlight w:val="none"/>
        </w:rPr>
        <w:t>（全名）经正式授权并代表投标人</w:t>
      </w:r>
      <w:r>
        <w:rPr>
          <w:rFonts w:hint="eastAsia" w:ascii="宋体"/>
          <w:color w:val="auto"/>
          <w:szCs w:val="21"/>
          <w:highlight w:val="none"/>
          <w:u w:val="single"/>
        </w:rPr>
        <w:t xml:space="preserve">（投标人名称）  </w:t>
      </w:r>
      <w:r>
        <w:rPr>
          <w:rFonts w:hint="eastAsia" w:ascii="宋体"/>
          <w:color w:val="auto"/>
          <w:szCs w:val="21"/>
          <w:highlight w:val="none"/>
        </w:rPr>
        <w:t>提交资格证明文件、商务/技术文件、报价文件。</w:t>
      </w:r>
    </w:p>
    <w:p w14:paraId="3445AE2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据此函，签字代表宣布同意如下：</w:t>
      </w:r>
    </w:p>
    <w:p w14:paraId="1A3AF3EF">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CAC894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2、投标人在投标之前已经与贵方进行了充分地沟通，完全理解并接受招标文件的各项规定和要求，对招标文件的合理性、合法性不再有异议。</w:t>
      </w:r>
    </w:p>
    <w:p w14:paraId="7233EB4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3、本投标有效期自开标日起90个日历天。</w:t>
      </w:r>
    </w:p>
    <w:p w14:paraId="1071879D">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4、如中标，本投标文件至本项目合同履行完毕止均保持有效，本投标人将按“招标文件”及政府采购法律、法规的规定履行合同责任和义务。</w:t>
      </w:r>
    </w:p>
    <w:p w14:paraId="14CB3B0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5、投标人同意按照贵方要求提供与投标有关的一切数据或资料，并保证其真实性、合法性。</w:t>
      </w:r>
    </w:p>
    <w:p w14:paraId="41E45AFE">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6、与本投标有关的一切正式往来信函请寄：</w:t>
      </w:r>
    </w:p>
    <w:p w14:paraId="2E82C4C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地址：</w:t>
      </w:r>
      <w:r>
        <w:rPr>
          <w:rFonts w:hint="eastAsia" w:ascii="宋体"/>
          <w:color w:val="auto"/>
          <w:szCs w:val="21"/>
          <w:highlight w:val="none"/>
          <w:u w:val="single"/>
        </w:rPr>
        <w:t xml:space="preserve">            </w:t>
      </w:r>
      <w:r>
        <w:rPr>
          <w:rFonts w:hint="eastAsia" w:ascii="宋体"/>
          <w:color w:val="auto"/>
          <w:szCs w:val="21"/>
          <w:highlight w:val="none"/>
        </w:rPr>
        <w:t>邮编：</w:t>
      </w:r>
      <w:r>
        <w:rPr>
          <w:rFonts w:hint="eastAsia" w:ascii="宋体"/>
          <w:color w:val="auto"/>
          <w:szCs w:val="21"/>
          <w:highlight w:val="none"/>
          <w:u w:val="single"/>
        </w:rPr>
        <w:t xml:space="preserve">            </w:t>
      </w:r>
      <w:r>
        <w:rPr>
          <w:rFonts w:hint="eastAsia" w:ascii="宋体"/>
          <w:color w:val="auto"/>
          <w:szCs w:val="21"/>
          <w:highlight w:val="none"/>
        </w:rPr>
        <w:t>电话：</w:t>
      </w:r>
      <w:r>
        <w:rPr>
          <w:rFonts w:hint="eastAsia" w:ascii="宋体"/>
          <w:color w:val="auto"/>
          <w:szCs w:val="21"/>
          <w:highlight w:val="none"/>
          <w:u w:val="single"/>
        </w:rPr>
        <w:t xml:space="preserve">            </w:t>
      </w:r>
    </w:p>
    <w:p w14:paraId="7B762BAE">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传真：</w:t>
      </w:r>
      <w:r>
        <w:rPr>
          <w:rFonts w:hint="eastAsia" w:ascii="宋体"/>
          <w:color w:val="auto"/>
          <w:szCs w:val="21"/>
          <w:highlight w:val="none"/>
          <w:u w:val="single"/>
        </w:rPr>
        <w:t xml:space="preserve">            </w:t>
      </w:r>
      <w:r>
        <w:rPr>
          <w:rFonts w:hint="eastAsia" w:ascii="宋体"/>
          <w:color w:val="auto"/>
          <w:szCs w:val="21"/>
          <w:highlight w:val="none"/>
        </w:rPr>
        <w:t>投标人代表姓名：</w:t>
      </w:r>
      <w:r>
        <w:rPr>
          <w:rFonts w:hint="eastAsia" w:ascii="宋体"/>
          <w:color w:val="auto"/>
          <w:szCs w:val="21"/>
          <w:highlight w:val="none"/>
          <w:u w:val="single"/>
        </w:rPr>
        <w:t xml:space="preserve">            </w:t>
      </w:r>
      <w:r>
        <w:rPr>
          <w:rFonts w:hint="eastAsia" w:ascii="宋体"/>
          <w:color w:val="auto"/>
          <w:szCs w:val="21"/>
          <w:highlight w:val="none"/>
        </w:rPr>
        <w:t xml:space="preserve">  职务：</w:t>
      </w:r>
      <w:r>
        <w:rPr>
          <w:rFonts w:hint="eastAsia" w:ascii="宋体"/>
          <w:color w:val="auto"/>
          <w:szCs w:val="21"/>
          <w:highlight w:val="none"/>
          <w:u w:val="single"/>
        </w:rPr>
        <w:t xml:space="preserve">            </w:t>
      </w:r>
    </w:p>
    <w:p w14:paraId="63E09081">
      <w:pPr>
        <w:snapToGrid w:val="0"/>
        <w:spacing w:line="500" w:lineRule="exact"/>
        <w:rPr>
          <w:rFonts w:ascii="宋体"/>
          <w:color w:val="auto"/>
          <w:szCs w:val="21"/>
          <w:highlight w:val="none"/>
        </w:rPr>
      </w:pPr>
    </w:p>
    <w:p w14:paraId="6A848CA3">
      <w:pPr>
        <w:snapToGrid w:val="0"/>
        <w:spacing w:line="500" w:lineRule="exact"/>
        <w:ind w:firstLine="420" w:firstLineChars="200"/>
        <w:rPr>
          <w:rFonts w:ascii="宋体"/>
          <w:color w:val="auto"/>
          <w:szCs w:val="21"/>
          <w:highlight w:val="none"/>
          <w:u w:val="single"/>
        </w:rPr>
      </w:pPr>
      <w:r>
        <w:rPr>
          <w:rFonts w:hint="eastAsia" w:ascii="宋体"/>
          <w:color w:val="auto"/>
          <w:szCs w:val="21"/>
          <w:highlight w:val="none"/>
        </w:rPr>
        <w:t>投标人名称（盖章）：</w:t>
      </w:r>
      <w:r>
        <w:rPr>
          <w:rFonts w:hint="eastAsia" w:ascii="宋体"/>
          <w:color w:val="auto"/>
          <w:szCs w:val="21"/>
          <w:highlight w:val="none"/>
          <w:u w:val="single"/>
        </w:rPr>
        <w:t xml:space="preserve">                   </w:t>
      </w:r>
    </w:p>
    <w:p w14:paraId="1160B68F">
      <w:pPr>
        <w:snapToGrid w:val="0"/>
        <w:spacing w:line="500" w:lineRule="exact"/>
        <w:ind w:firstLine="420" w:firstLineChars="200"/>
        <w:rPr>
          <w:rFonts w:ascii="宋体"/>
          <w:color w:val="auto"/>
          <w:szCs w:val="21"/>
          <w:highlight w:val="none"/>
        </w:rPr>
      </w:pPr>
      <w:r>
        <w:rPr>
          <w:rFonts w:hint="eastAsia" w:ascii="宋体"/>
          <w:color w:val="auto"/>
          <w:szCs w:val="21"/>
          <w:highlight w:val="none"/>
        </w:rPr>
        <w:t>开户银行：</w:t>
      </w:r>
      <w:r>
        <w:rPr>
          <w:rFonts w:hint="eastAsia" w:ascii="宋体"/>
          <w:color w:val="auto"/>
          <w:szCs w:val="21"/>
          <w:highlight w:val="none"/>
          <w:u w:val="single"/>
        </w:rPr>
        <w:t xml:space="preserve">                             </w:t>
      </w:r>
    </w:p>
    <w:p w14:paraId="60A38CE0">
      <w:pPr>
        <w:snapToGrid w:val="0"/>
        <w:spacing w:line="500" w:lineRule="exact"/>
        <w:ind w:firstLine="420" w:firstLineChars="200"/>
        <w:rPr>
          <w:rFonts w:ascii="宋体"/>
          <w:color w:val="auto"/>
          <w:szCs w:val="21"/>
          <w:highlight w:val="none"/>
        </w:rPr>
      </w:pPr>
      <w:r>
        <w:rPr>
          <w:rFonts w:hint="eastAsia" w:ascii="宋体"/>
          <w:color w:val="auto"/>
          <w:szCs w:val="21"/>
          <w:highlight w:val="none"/>
        </w:rPr>
        <w:t>银行账号：</w:t>
      </w:r>
      <w:r>
        <w:rPr>
          <w:rFonts w:hint="eastAsia" w:ascii="宋体"/>
          <w:color w:val="auto"/>
          <w:szCs w:val="21"/>
          <w:highlight w:val="none"/>
          <w:u w:val="single"/>
        </w:rPr>
        <w:t xml:space="preserve">                             </w:t>
      </w:r>
    </w:p>
    <w:p w14:paraId="746D1FA4">
      <w:pPr>
        <w:snapToGrid w:val="0"/>
        <w:spacing w:line="500" w:lineRule="exact"/>
        <w:ind w:firstLine="420" w:firstLineChars="200"/>
        <w:rPr>
          <w:rFonts w:ascii="宋体"/>
          <w:color w:val="auto"/>
          <w:szCs w:val="21"/>
          <w:highlight w:val="none"/>
          <w:u w:val="single"/>
        </w:rPr>
      </w:pPr>
      <w:r>
        <w:rPr>
          <w:rFonts w:hint="eastAsia" w:ascii="宋体"/>
          <w:color w:val="auto"/>
          <w:szCs w:val="21"/>
          <w:highlight w:val="none"/>
        </w:rPr>
        <w:t>法定代表人签字或盖章：</w:t>
      </w:r>
      <w:r>
        <w:rPr>
          <w:rFonts w:hint="eastAsia" w:ascii="宋体"/>
          <w:color w:val="auto"/>
          <w:szCs w:val="21"/>
          <w:highlight w:val="none"/>
          <w:u w:val="single"/>
        </w:rPr>
        <w:t xml:space="preserve">                 </w:t>
      </w:r>
    </w:p>
    <w:p w14:paraId="2597F59F">
      <w:pPr>
        <w:snapToGrid w:val="0"/>
        <w:spacing w:line="500" w:lineRule="exact"/>
        <w:ind w:firstLine="420" w:firstLineChars="200"/>
        <w:rPr>
          <w:rFonts w:ascii="宋体"/>
          <w:b/>
          <w:color w:val="auto"/>
          <w:szCs w:val="21"/>
          <w:highlight w:val="none"/>
        </w:rPr>
      </w:pPr>
      <w:r>
        <w:rPr>
          <w:rFonts w:hint="eastAsia" w:ascii="宋体"/>
          <w:color w:val="auto"/>
          <w:szCs w:val="21"/>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346DEC15">
      <w:pPr>
        <w:adjustRightInd w:val="0"/>
        <w:snapToGrid w:val="0"/>
        <w:spacing w:line="440" w:lineRule="exact"/>
        <w:rPr>
          <w:rFonts w:ascii="宋体"/>
          <w:bCs/>
          <w:color w:val="auto"/>
          <w:szCs w:val="21"/>
          <w:highlight w:val="none"/>
        </w:rPr>
      </w:pPr>
    </w:p>
    <w:p w14:paraId="4229DEC0">
      <w:pPr>
        <w:adjustRightInd w:val="0"/>
        <w:snapToGrid w:val="0"/>
        <w:spacing w:before="120" w:beforeLines="50" w:after="120" w:afterLines="50" w:line="500" w:lineRule="exact"/>
        <w:outlineLvl w:val="2"/>
        <w:rPr>
          <w:rFonts w:ascii="宋体"/>
          <w:b/>
          <w:color w:val="auto"/>
          <w:szCs w:val="21"/>
          <w:highlight w:val="none"/>
        </w:rPr>
      </w:pPr>
    </w:p>
    <w:p w14:paraId="2126D8F8">
      <w:pPr>
        <w:adjustRightInd w:val="0"/>
        <w:snapToGrid w:val="0"/>
        <w:spacing w:before="120" w:beforeLines="50" w:after="120" w:afterLines="50" w:line="500" w:lineRule="exact"/>
        <w:outlineLvl w:val="2"/>
        <w:rPr>
          <w:rFonts w:hint="eastAsia" w:ascii="宋体"/>
          <w:b/>
          <w:color w:val="auto"/>
          <w:szCs w:val="21"/>
          <w:highlight w:val="none"/>
        </w:rPr>
      </w:pPr>
    </w:p>
    <w:p w14:paraId="272D6127">
      <w:pPr>
        <w:adjustRightInd w:val="0"/>
        <w:snapToGrid w:val="0"/>
        <w:spacing w:before="120" w:beforeLines="50" w:after="120" w:afterLines="50" w:line="500" w:lineRule="exact"/>
        <w:outlineLvl w:val="2"/>
        <w:rPr>
          <w:rFonts w:hint="eastAsia" w:ascii="宋体"/>
          <w:b/>
          <w:color w:val="auto"/>
          <w:szCs w:val="21"/>
          <w:highlight w:val="none"/>
        </w:rPr>
      </w:pPr>
    </w:p>
    <w:p w14:paraId="26BF4382">
      <w:pPr>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lang w:eastAsia="zh-CN"/>
        </w:rPr>
        <w:t>八</w:t>
      </w:r>
      <w:r>
        <w:rPr>
          <w:rFonts w:hint="eastAsia" w:ascii="宋体"/>
          <w:b/>
          <w:color w:val="auto"/>
          <w:szCs w:val="21"/>
          <w:highlight w:val="none"/>
        </w:rPr>
        <w:t>、法人代表身份证明书格式：</w:t>
      </w:r>
    </w:p>
    <w:p w14:paraId="5C7B6A17">
      <w:pPr>
        <w:jc w:val="center"/>
        <w:rPr>
          <w:rFonts w:ascii="宋体"/>
          <w:b/>
          <w:color w:val="auto"/>
          <w:szCs w:val="21"/>
          <w:highlight w:val="none"/>
        </w:rPr>
      </w:pPr>
    </w:p>
    <w:p w14:paraId="1CF8DE37">
      <w:pPr>
        <w:adjustRightInd w:val="0"/>
        <w:snapToGrid w:val="0"/>
        <w:spacing w:line="440" w:lineRule="exact"/>
        <w:jc w:val="center"/>
        <w:rPr>
          <w:rFonts w:ascii="宋体"/>
          <w:b/>
          <w:color w:val="auto"/>
          <w:szCs w:val="21"/>
          <w:highlight w:val="none"/>
        </w:rPr>
      </w:pPr>
      <w:r>
        <w:rPr>
          <w:rFonts w:hint="eastAsia" w:ascii="宋体"/>
          <w:b/>
          <w:color w:val="auto"/>
          <w:szCs w:val="21"/>
          <w:highlight w:val="none"/>
        </w:rPr>
        <w:t>法定代表人身份证明书</w:t>
      </w:r>
    </w:p>
    <w:p w14:paraId="1258C95E">
      <w:pPr>
        <w:keepNext w:val="0"/>
        <w:keepLines w:val="0"/>
        <w:pageBreakBefore w:val="0"/>
        <w:widowControl w:val="0"/>
        <w:kinsoku/>
        <w:wordWrap/>
        <w:overflowPunct/>
        <w:topLinePunct w:val="0"/>
        <w:autoSpaceDE/>
        <w:autoSpaceDN/>
        <w:bidi w:val="0"/>
        <w:adjustRightInd/>
        <w:snapToGrid/>
        <w:jc w:val="center"/>
        <w:textAlignment w:val="auto"/>
        <w:rPr>
          <w:rFonts w:ascii="宋体"/>
          <w:b/>
          <w:color w:val="auto"/>
          <w:szCs w:val="21"/>
          <w:highlight w:val="none"/>
        </w:rPr>
      </w:pPr>
    </w:p>
    <w:p w14:paraId="05DA03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color w:val="auto"/>
          <w:szCs w:val="21"/>
          <w:highlight w:val="none"/>
          <w:u w:val="single"/>
        </w:rPr>
      </w:pPr>
      <w:r>
        <w:rPr>
          <w:rFonts w:hint="eastAsia" w:ascii="宋体"/>
          <w:color w:val="auto"/>
          <w:szCs w:val="21"/>
          <w:highlight w:val="none"/>
          <w:u w:val="single"/>
        </w:rPr>
        <w:t xml:space="preserve">（姓名）  </w:t>
      </w:r>
      <w:r>
        <w:rPr>
          <w:rFonts w:hint="eastAsia" w:ascii="宋体"/>
          <w:color w:val="auto"/>
          <w:szCs w:val="21"/>
          <w:highlight w:val="none"/>
        </w:rPr>
        <w:t>是</w:t>
      </w:r>
      <w:r>
        <w:rPr>
          <w:rFonts w:hint="eastAsia" w:ascii="宋体"/>
          <w:color w:val="auto"/>
          <w:szCs w:val="21"/>
          <w:highlight w:val="none"/>
          <w:u w:val="single"/>
        </w:rPr>
        <w:t xml:space="preserve">  （单位名称）  </w:t>
      </w:r>
      <w:r>
        <w:rPr>
          <w:rFonts w:hint="eastAsia" w:ascii="宋体"/>
          <w:color w:val="auto"/>
          <w:szCs w:val="21"/>
          <w:highlight w:val="none"/>
        </w:rPr>
        <w:t>的法定代表人，身份证号码为</w:t>
      </w:r>
      <w:r>
        <w:rPr>
          <w:rFonts w:hint="eastAsia" w:ascii="宋体"/>
          <w:color w:val="auto"/>
          <w:szCs w:val="21"/>
          <w:highlight w:val="none"/>
          <w:u w:val="single"/>
        </w:rPr>
        <w:t xml:space="preserve">              </w:t>
      </w:r>
      <w:r>
        <w:rPr>
          <w:rFonts w:hint="eastAsia" w:ascii="宋体"/>
          <w:color w:val="auto"/>
          <w:szCs w:val="21"/>
          <w:highlight w:val="none"/>
        </w:rPr>
        <w:t>，性别</w:t>
      </w:r>
      <w:r>
        <w:rPr>
          <w:rFonts w:hint="eastAsia" w:ascii="宋体"/>
          <w:color w:val="auto"/>
          <w:szCs w:val="21"/>
          <w:highlight w:val="none"/>
          <w:u w:val="single"/>
        </w:rPr>
        <w:t xml:space="preserve">     </w:t>
      </w:r>
      <w:r>
        <w:rPr>
          <w:rFonts w:hint="eastAsia" w:ascii="宋体"/>
          <w:color w:val="auto"/>
          <w:szCs w:val="21"/>
          <w:highlight w:val="none"/>
        </w:rPr>
        <w:t>，职务</w:t>
      </w:r>
      <w:r>
        <w:rPr>
          <w:rFonts w:hint="eastAsia" w:ascii="宋体"/>
          <w:color w:val="auto"/>
          <w:szCs w:val="21"/>
          <w:highlight w:val="none"/>
          <w:u w:val="single"/>
        </w:rPr>
        <w:t xml:space="preserve">         </w:t>
      </w:r>
      <w:r>
        <w:rPr>
          <w:rFonts w:hint="eastAsia" w:ascii="宋体"/>
          <w:color w:val="auto"/>
          <w:szCs w:val="21"/>
          <w:highlight w:val="none"/>
        </w:rPr>
        <w:t>，联系电话</w:t>
      </w:r>
      <w:r>
        <w:rPr>
          <w:rFonts w:hint="eastAsia" w:ascii="宋体"/>
          <w:color w:val="auto"/>
          <w:szCs w:val="21"/>
          <w:highlight w:val="none"/>
          <w:u w:val="single"/>
        </w:rPr>
        <w:t xml:space="preserve">         </w:t>
      </w:r>
      <w:r>
        <w:rPr>
          <w:rFonts w:hint="eastAsia" w:ascii="宋体"/>
          <w:color w:val="auto"/>
          <w:szCs w:val="21"/>
          <w:highlight w:val="none"/>
        </w:rPr>
        <w:t>，传真</w:t>
      </w:r>
      <w:r>
        <w:rPr>
          <w:rFonts w:hint="eastAsia" w:ascii="宋体"/>
          <w:color w:val="auto"/>
          <w:szCs w:val="21"/>
          <w:highlight w:val="none"/>
          <w:u w:val="single"/>
        </w:rPr>
        <w:t xml:space="preserve">         </w:t>
      </w:r>
      <w:r>
        <w:rPr>
          <w:rFonts w:hint="eastAsia" w:ascii="宋体"/>
          <w:color w:val="auto"/>
          <w:szCs w:val="21"/>
          <w:highlight w:val="none"/>
        </w:rPr>
        <w:t>，联系地址：</w:t>
      </w:r>
      <w:r>
        <w:rPr>
          <w:rFonts w:hint="eastAsia" w:ascii="宋体"/>
          <w:color w:val="auto"/>
          <w:szCs w:val="21"/>
          <w:highlight w:val="none"/>
          <w:u w:val="single"/>
        </w:rPr>
        <w:t xml:space="preserve">       </w:t>
      </w:r>
      <w:r>
        <w:rPr>
          <w:rFonts w:hint="eastAsia" w:ascii="宋体"/>
          <w:color w:val="auto"/>
          <w:szCs w:val="21"/>
          <w:highlight w:val="none"/>
        </w:rPr>
        <w:t>，邮编</w:t>
      </w:r>
      <w:r>
        <w:rPr>
          <w:rFonts w:hint="eastAsia" w:ascii="宋体"/>
          <w:color w:val="auto"/>
          <w:szCs w:val="21"/>
          <w:highlight w:val="none"/>
          <w:u w:val="single"/>
        </w:rPr>
        <w:t xml:space="preserve">              </w:t>
      </w:r>
    </w:p>
    <w:p w14:paraId="184CAA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color w:val="auto"/>
          <w:szCs w:val="21"/>
          <w:highlight w:val="none"/>
        </w:rPr>
      </w:pPr>
    </w:p>
    <w:p w14:paraId="75BD2DEE">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ascii="宋体"/>
          <w:color w:val="auto"/>
          <w:szCs w:val="21"/>
          <w:highlight w:val="none"/>
        </w:rPr>
      </w:pPr>
      <w:r>
        <w:rPr>
          <w:rFonts w:hint="eastAsia" w:ascii="宋体"/>
          <w:color w:val="auto"/>
          <w:szCs w:val="21"/>
          <w:highlight w:val="none"/>
        </w:rPr>
        <w:t xml:space="preserve">特此证明。 </w:t>
      </w:r>
    </w:p>
    <w:p w14:paraId="4FB14E2D">
      <w:pPr>
        <w:spacing w:line="480" w:lineRule="exact"/>
        <w:ind w:firstLine="312" w:firstLineChars="149"/>
        <w:rPr>
          <w:rFonts w:ascii="宋体"/>
          <w:color w:val="auto"/>
          <w:szCs w:val="21"/>
          <w:highlight w:val="none"/>
        </w:rPr>
      </w:pPr>
    </w:p>
    <w:p w14:paraId="038E9827">
      <w:pPr>
        <w:spacing w:line="480" w:lineRule="exact"/>
        <w:ind w:firstLine="1953" w:firstLineChars="930"/>
        <w:jc w:val="right"/>
        <w:rPr>
          <w:rFonts w:ascii="宋体"/>
          <w:color w:val="auto"/>
          <w:szCs w:val="21"/>
          <w:highlight w:val="none"/>
          <w:u w:val="single"/>
        </w:rPr>
      </w:pPr>
      <w:r>
        <w:rPr>
          <w:rFonts w:hint="eastAsia" w:ascii="宋体"/>
          <w:color w:val="auto"/>
          <w:szCs w:val="21"/>
          <w:highlight w:val="none"/>
        </w:rPr>
        <w:t>投标人：</w:t>
      </w:r>
      <w:r>
        <w:rPr>
          <w:rFonts w:hint="eastAsia" w:ascii="宋体"/>
          <w:color w:val="auto"/>
          <w:szCs w:val="21"/>
          <w:highlight w:val="none"/>
          <w:u w:val="single"/>
        </w:rPr>
        <w:t xml:space="preserve">                           （盖章）</w:t>
      </w:r>
    </w:p>
    <w:p w14:paraId="2417C5DE">
      <w:pPr>
        <w:spacing w:line="480" w:lineRule="exact"/>
        <w:ind w:firstLine="1953" w:firstLineChars="930"/>
        <w:jc w:val="right"/>
        <w:rPr>
          <w:rFonts w:ascii="宋体"/>
          <w:color w:val="auto"/>
          <w:szCs w:val="21"/>
          <w:highlight w:val="none"/>
        </w:rPr>
      </w:pPr>
      <w:r>
        <w:rPr>
          <w:rFonts w:hint="eastAsia" w:ascii="宋体"/>
          <w:color w:val="auto"/>
          <w:szCs w:val="21"/>
          <w:highlight w:val="none"/>
        </w:rPr>
        <w:t>法定代表人：</w:t>
      </w:r>
      <w:r>
        <w:rPr>
          <w:rFonts w:hint="eastAsia" w:ascii="宋体"/>
          <w:color w:val="auto"/>
          <w:szCs w:val="21"/>
          <w:highlight w:val="none"/>
          <w:u w:val="single"/>
        </w:rPr>
        <w:t xml:space="preserve">                 （签名或盖章）</w:t>
      </w:r>
    </w:p>
    <w:p w14:paraId="061F6C01">
      <w:pPr>
        <w:spacing w:line="480" w:lineRule="exact"/>
        <w:ind w:firstLine="312" w:firstLineChars="149"/>
        <w:jc w:val="right"/>
        <w:rPr>
          <w:rFonts w:ascii="宋体"/>
          <w:color w:val="auto"/>
          <w:szCs w:val="21"/>
          <w:highlight w:val="none"/>
        </w:rPr>
      </w:pPr>
      <w:r>
        <w:rPr>
          <w:rFonts w:hint="eastAsia" w:ascii="宋体"/>
          <w:color w:val="auto"/>
          <w:szCs w:val="21"/>
          <w:highlight w:val="none"/>
        </w:rPr>
        <w:t xml:space="preserve">                  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23143E29">
      <w:pPr>
        <w:adjustRightInd w:val="0"/>
        <w:snapToGrid w:val="0"/>
        <w:spacing w:line="440" w:lineRule="exact"/>
        <w:jc w:val="left"/>
        <w:rPr>
          <w:rFonts w:ascii="宋体"/>
          <w:b/>
          <w:color w:val="auto"/>
          <w:szCs w:val="21"/>
          <w:highlight w:val="none"/>
        </w:rPr>
      </w:pPr>
    </w:p>
    <w:p w14:paraId="4DED522C">
      <w:pPr>
        <w:adjustRightInd w:val="0"/>
        <w:snapToGrid w:val="0"/>
        <w:spacing w:line="440" w:lineRule="exact"/>
        <w:jc w:val="left"/>
        <w:rPr>
          <w:rFonts w:ascii="宋体"/>
          <w:b/>
          <w:color w:val="auto"/>
          <w:szCs w:val="21"/>
          <w:highlight w:val="none"/>
        </w:rPr>
      </w:pPr>
    </w:p>
    <w:p w14:paraId="26F5F4F1">
      <w:pPr>
        <w:pStyle w:val="14"/>
        <w:spacing w:line="440" w:lineRule="exact"/>
        <w:ind w:firstLine="0"/>
        <w:jc w:val="center"/>
        <w:rPr>
          <w:rFonts w:ascii="宋体"/>
          <w:color w:val="auto"/>
          <w:szCs w:val="21"/>
          <w:highlight w:val="none"/>
        </w:rPr>
      </w:pPr>
      <w:r>
        <w:rPr>
          <w:rFonts w:hint="eastAsia" w:ascii="宋体"/>
          <w:color w:val="auto"/>
          <w:szCs w:val="21"/>
          <w:highlight w:val="none"/>
        </w:rPr>
        <w:t>-------------------------------------------------------------------------------------------------------------------</w:t>
      </w:r>
    </w:p>
    <w:p w14:paraId="373D61F4">
      <w:pPr>
        <w:pStyle w:val="14"/>
        <w:spacing w:line="440" w:lineRule="exact"/>
        <w:ind w:firstLineChars="200"/>
        <w:rPr>
          <w:rFonts w:ascii="宋体"/>
          <w:color w:val="auto"/>
          <w:szCs w:val="21"/>
          <w:highlight w:val="none"/>
        </w:rPr>
      </w:pPr>
    </w:p>
    <w:p w14:paraId="34DC3163">
      <w:pPr>
        <w:pStyle w:val="14"/>
        <w:spacing w:line="440" w:lineRule="exact"/>
        <w:ind w:firstLineChars="200"/>
        <w:jc w:val="center"/>
        <w:rPr>
          <w:rFonts w:ascii="宋体"/>
          <w:color w:val="auto"/>
          <w:szCs w:val="21"/>
          <w:highlight w:val="none"/>
        </w:rPr>
      </w:pPr>
    </w:p>
    <w:p w14:paraId="3FD24EB2">
      <w:pPr>
        <w:pStyle w:val="14"/>
        <w:spacing w:line="440" w:lineRule="exact"/>
        <w:ind w:firstLineChars="200"/>
        <w:jc w:val="center"/>
        <w:rPr>
          <w:rFonts w:ascii="宋体"/>
          <w:color w:val="auto"/>
          <w:szCs w:val="21"/>
          <w:highlight w:val="none"/>
        </w:rPr>
      </w:pPr>
    </w:p>
    <w:p w14:paraId="559DD8B9">
      <w:pPr>
        <w:pStyle w:val="14"/>
        <w:spacing w:line="440" w:lineRule="exact"/>
        <w:ind w:firstLine="640" w:firstLineChars="200"/>
        <w:jc w:val="center"/>
        <w:rPr>
          <w:rFonts w:ascii="宋体"/>
          <w:color w:val="auto"/>
          <w:sz w:val="32"/>
          <w:szCs w:val="32"/>
          <w:highlight w:val="none"/>
        </w:rPr>
      </w:pPr>
      <w:r>
        <w:rPr>
          <w:rFonts w:hint="eastAsia" w:ascii="宋体"/>
          <w:color w:val="auto"/>
          <w:sz w:val="32"/>
          <w:szCs w:val="32"/>
          <w:highlight w:val="none"/>
        </w:rPr>
        <w:t>有效身份证明复印件粘贴处</w:t>
      </w:r>
    </w:p>
    <w:p w14:paraId="3D838452">
      <w:pPr>
        <w:adjustRightInd w:val="0"/>
        <w:snapToGrid w:val="0"/>
        <w:spacing w:before="120" w:beforeLines="50" w:after="120" w:afterLines="50" w:line="500" w:lineRule="exact"/>
        <w:outlineLvl w:val="2"/>
        <w:rPr>
          <w:rFonts w:ascii="宋体"/>
          <w:b/>
          <w:color w:val="auto"/>
          <w:szCs w:val="21"/>
          <w:highlight w:val="none"/>
        </w:rPr>
      </w:pPr>
      <w:r>
        <w:rPr>
          <w:rFonts w:hint="eastAsia" w:ascii="宋体"/>
          <w:color w:val="auto"/>
          <w:sz w:val="32"/>
          <w:szCs w:val="32"/>
          <w:highlight w:val="none"/>
        </w:rPr>
        <w:br w:type="page"/>
      </w:r>
      <w:r>
        <w:rPr>
          <w:rFonts w:hint="eastAsia" w:ascii="宋体"/>
          <w:b/>
          <w:color w:val="auto"/>
          <w:szCs w:val="21"/>
          <w:highlight w:val="none"/>
          <w:lang w:eastAsia="zh-CN"/>
        </w:rPr>
        <w:t>九</w:t>
      </w:r>
      <w:r>
        <w:rPr>
          <w:rFonts w:hint="eastAsia" w:ascii="宋体"/>
          <w:b/>
          <w:color w:val="auto"/>
          <w:szCs w:val="21"/>
          <w:highlight w:val="none"/>
        </w:rPr>
        <w:t>、法定代表人授权委托书格式：</w:t>
      </w:r>
    </w:p>
    <w:p w14:paraId="4DFAF669">
      <w:pPr>
        <w:adjustRightInd w:val="0"/>
        <w:snapToGrid w:val="0"/>
        <w:spacing w:line="440" w:lineRule="exact"/>
        <w:jc w:val="center"/>
        <w:rPr>
          <w:rFonts w:ascii="宋体"/>
          <w:b/>
          <w:color w:val="auto"/>
          <w:szCs w:val="21"/>
          <w:highlight w:val="none"/>
        </w:rPr>
      </w:pPr>
    </w:p>
    <w:p w14:paraId="3692FCB8">
      <w:pPr>
        <w:adjustRightInd w:val="0"/>
        <w:snapToGrid w:val="0"/>
        <w:spacing w:line="440" w:lineRule="exact"/>
        <w:jc w:val="center"/>
        <w:rPr>
          <w:rFonts w:ascii="宋体"/>
          <w:b/>
          <w:color w:val="auto"/>
          <w:szCs w:val="21"/>
          <w:highlight w:val="none"/>
        </w:rPr>
      </w:pPr>
      <w:r>
        <w:rPr>
          <w:rFonts w:hint="eastAsia" w:ascii="宋体"/>
          <w:b/>
          <w:color w:val="auto"/>
          <w:szCs w:val="21"/>
          <w:highlight w:val="none"/>
        </w:rPr>
        <w:t>法定代表人授权委托书</w:t>
      </w:r>
    </w:p>
    <w:p w14:paraId="6C322F1D">
      <w:pPr>
        <w:adjustRightInd w:val="0"/>
        <w:snapToGrid w:val="0"/>
        <w:spacing w:line="440" w:lineRule="exact"/>
        <w:rPr>
          <w:rFonts w:ascii="宋体"/>
          <w:bCs/>
          <w:color w:val="auto"/>
          <w:szCs w:val="21"/>
          <w:highlight w:val="none"/>
        </w:rPr>
      </w:pPr>
    </w:p>
    <w:p w14:paraId="22F7337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b/>
          <w:bCs/>
          <w:color w:val="auto"/>
          <w:szCs w:val="21"/>
          <w:highlight w:val="none"/>
          <w:u w:val="single"/>
        </w:rPr>
      </w:pPr>
      <w:r>
        <w:rPr>
          <w:rFonts w:hint="eastAsia" w:ascii="宋体"/>
          <w:bCs/>
          <w:color w:val="auto"/>
          <w:szCs w:val="21"/>
          <w:highlight w:val="none"/>
        </w:rPr>
        <w:t>致：</w:t>
      </w:r>
      <w:r>
        <w:rPr>
          <w:rFonts w:hint="eastAsia" w:ascii="宋体"/>
          <w:color w:val="auto"/>
          <w:szCs w:val="21"/>
          <w:highlight w:val="none"/>
          <w:u w:val="single"/>
        </w:rPr>
        <w:t xml:space="preserve">                     </w:t>
      </w:r>
    </w:p>
    <w:p w14:paraId="685BF57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本授权委托书声明，我</w:t>
      </w:r>
      <w:r>
        <w:rPr>
          <w:rFonts w:hint="eastAsia" w:ascii="宋体"/>
          <w:color w:val="auto"/>
          <w:szCs w:val="21"/>
          <w:highlight w:val="none"/>
          <w:u w:val="single"/>
        </w:rPr>
        <w:t xml:space="preserve"> （姓名） </w:t>
      </w:r>
      <w:r>
        <w:rPr>
          <w:rFonts w:hint="eastAsia" w:ascii="宋体"/>
          <w:color w:val="auto"/>
          <w:szCs w:val="21"/>
          <w:highlight w:val="none"/>
        </w:rPr>
        <w:t>系</w:t>
      </w:r>
      <w:r>
        <w:rPr>
          <w:rFonts w:hint="eastAsia" w:ascii="宋体"/>
          <w:color w:val="auto"/>
          <w:szCs w:val="21"/>
          <w:highlight w:val="none"/>
          <w:u w:val="single"/>
        </w:rPr>
        <w:t xml:space="preserve">  （投标人名称）  </w:t>
      </w:r>
      <w:r>
        <w:rPr>
          <w:rFonts w:hint="eastAsia" w:ascii="宋体"/>
          <w:color w:val="auto"/>
          <w:szCs w:val="21"/>
          <w:highlight w:val="none"/>
        </w:rPr>
        <w:t>的法定代表人，现授权委托本单位在职职工</w:t>
      </w:r>
      <w:r>
        <w:rPr>
          <w:rFonts w:hint="eastAsia" w:ascii="宋体"/>
          <w:color w:val="auto"/>
          <w:szCs w:val="21"/>
          <w:highlight w:val="none"/>
          <w:u w:val="single"/>
        </w:rPr>
        <w:t xml:space="preserve"> （姓名）  </w:t>
      </w:r>
      <w:r>
        <w:rPr>
          <w:rFonts w:hint="eastAsia" w:ascii="宋体"/>
          <w:color w:val="auto"/>
          <w:szCs w:val="21"/>
          <w:highlight w:val="none"/>
        </w:rPr>
        <w:t>以我方的名义参加</w:t>
      </w:r>
      <w:r>
        <w:rPr>
          <w:rFonts w:hint="eastAsia" w:ascii="宋体"/>
          <w:color w:val="auto"/>
          <w:szCs w:val="21"/>
          <w:highlight w:val="none"/>
          <w:u w:val="single"/>
        </w:rPr>
        <w:t xml:space="preserve">               </w:t>
      </w:r>
      <w:r>
        <w:rPr>
          <w:rFonts w:hint="eastAsia" w:ascii="宋体"/>
          <w:color w:val="auto"/>
          <w:szCs w:val="21"/>
          <w:highlight w:val="none"/>
        </w:rPr>
        <w:t>项目的投标活动，并代表我方全权办理针对上述项目的投标、开标、评标、签约等具体事务和签署相关文件。</w:t>
      </w:r>
    </w:p>
    <w:p w14:paraId="7491E55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我方对被授权人的签名负全部责任。</w:t>
      </w:r>
    </w:p>
    <w:p w14:paraId="53DE7EA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在撤销授权的书面通知以前，本授权书一直有效。被授权人在授权书有效期内签署的所有文件不因授权的撤销而失效。</w:t>
      </w:r>
    </w:p>
    <w:p w14:paraId="5706CB0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被授权人无转委托权，特此委托。</w:t>
      </w:r>
    </w:p>
    <w:p w14:paraId="5CAC915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color w:val="auto"/>
          <w:szCs w:val="21"/>
          <w:highlight w:val="none"/>
        </w:rPr>
      </w:pPr>
    </w:p>
    <w:p w14:paraId="02D33C1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color w:val="auto"/>
          <w:szCs w:val="21"/>
          <w:highlight w:val="none"/>
          <w:u w:val="single"/>
        </w:rPr>
      </w:pPr>
      <w:r>
        <w:rPr>
          <w:rFonts w:hint="eastAsia" w:ascii="宋体"/>
          <w:color w:val="auto"/>
          <w:szCs w:val="21"/>
          <w:highlight w:val="none"/>
        </w:rPr>
        <w:t xml:space="preserve">被授权人签字或盖章： </w:t>
      </w:r>
      <w:r>
        <w:rPr>
          <w:rFonts w:hint="eastAsia" w:ascii="宋体"/>
          <w:color w:val="auto"/>
          <w:szCs w:val="21"/>
          <w:highlight w:val="none"/>
          <w:u w:val="single"/>
        </w:rPr>
        <w:t xml:space="preserve">              </w:t>
      </w:r>
      <w:r>
        <w:rPr>
          <w:rFonts w:hint="eastAsia" w:ascii="宋体"/>
          <w:color w:val="auto"/>
          <w:szCs w:val="21"/>
          <w:highlight w:val="none"/>
        </w:rPr>
        <w:t xml:space="preserve">      法定代表人签字或盖章：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25AAAAD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职务：</w:t>
      </w:r>
      <w:r>
        <w:rPr>
          <w:rFonts w:hint="eastAsia" w:ascii="宋体"/>
          <w:color w:val="auto"/>
          <w:szCs w:val="21"/>
          <w:highlight w:val="none"/>
          <w:u w:val="single"/>
        </w:rPr>
        <w:t xml:space="preserve">                  </w:t>
      </w:r>
      <w:r>
        <w:rPr>
          <w:rFonts w:hint="eastAsia" w:ascii="宋体"/>
          <w:color w:val="auto"/>
          <w:szCs w:val="21"/>
          <w:highlight w:val="none"/>
        </w:rPr>
        <w:t xml:space="preserve">                 职务：</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574CC1A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被授权人身份证号码：</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02D0A8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color w:val="auto"/>
          <w:szCs w:val="21"/>
          <w:highlight w:val="none"/>
        </w:rPr>
      </w:pPr>
    </w:p>
    <w:p w14:paraId="6FF40A4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投标人盖章：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761C2A3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14:paraId="42989F64">
      <w:pPr>
        <w:pStyle w:val="14"/>
        <w:spacing w:line="440" w:lineRule="exact"/>
        <w:ind w:firstLineChars="200"/>
        <w:rPr>
          <w:rFonts w:ascii="宋体"/>
          <w:color w:val="auto"/>
          <w:szCs w:val="21"/>
          <w:highlight w:val="none"/>
        </w:rPr>
      </w:pPr>
    </w:p>
    <w:p w14:paraId="52A9B043">
      <w:pPr>
        <w:pStyle w:val="14"/>
        <w:spacing w:line="440" w:lineRule="exact"/>
        <w:ind w:firstLineChars="200"/>
        <w:rPr>
          <w:rFonts w:ascii="宋体"/>
          <w:color w:val="auto"/>
          <w:szCs w:val="21"/>
          <w:highlight w:val="none"/>
        </w:rPr>
      </w:pPr>
      <w:r>
        <w:rPr>
          <w:rFonts w:hint="eastAsia" w:ascii="宋体"/>
          <w:color w:val="auto"/>
          <w:szCs w:val="21"/>
          <w:highlight w:val="none"/>
        </w:rPr>
        <w:t>----------------------------------------------------------</w:t>
      </w:r>
    </w:p>
    <w:p w14:paraId="6934E37F">
      <w:pPr>
        <w:pStyle w:val="14"/>
        <w:spacing w:line="440" w:lineRule="exact"/>
        <w:ind w:firstLineChars="200"/>
        <w:rPr>
          <w:rFonts w:ascii="宋体"/>
          <w:color w:val="auto"/>
          <w:szCs w:val="21"/>
          <w:highlight w:val="none"/>
        </w:rPr>
      </w:pPr>
    </w:p>
    <w:p w14:paraId="7EADC2A0">
      <w:pPr>
        <w:pStyle w:val="14"/>
        <w:spacing w:line="440" w:lineRule="exact"/>
        <w:ind w:firstLineChars="200"/>
        <w:jc w:val="center"/>
        <w:rPr>
          <w:rFonts w:ascii="宋体"/>
          <w:color w:val="auto"/>
          <w:szCs w:val="21"/>
          <w:highlight w:val="none"/>
        </w:rPr>
      </w:pPr>
    </w:p>
    <w:p w14:paraId="3918D1A3">
      <w:pPr>
        <w:pStyle w:val="14"/>
        <w:spacing w:line="440" w:lineRule="exact"/>
        <w:ind w:firstLineChars="200"/>
        <w:jc w:val="center"/>
        <w:rPr>
          <w:rFonts w:ascii="宋体"/>
          <w:color w:val="auto"/>
          <w:szCs w:val="21"/>
          <w:highlight w:val="none"/>
        </w:rPr>
      </w:pPr>
    </w:p>
    <w:p w14:paraId="58C6DCCC">
      <w:pPr>
        <w:pStyle w:val="14"/>
        <w:spacing w:line="440" w:lineRule="exact"/>
        <w:ind w:firstLineChars="200"/>
        <w:jc w:val="center"/>
        <w:rPr>
          <w:rFonts w:ascii="宋体"/>
          <w:color w:val="auto"/>
          <w:szCs w:val="21"/>
          <w:highlight w:val="none"/>
        </w:rPr>
      </w:pPr>
      <w:r>
        <w:rPr>
          <w:rFonts w:hint="eastAsia" w:ascii="宋体"/>
          <w:color w:val="auto"/>
          <w:szCs w:val="21"/>
          <w:highlight w:val="none"/>
        </w:rPr>
        <w:t>授权代理人有效身份证明复印件粘贴处</w:t>
      </w:r>
    </w:p>
    <w:p w14:paraId="30ED28FC">
      <w:pPr>
        <w:adjustRightInd w:val="0"/>
        <w:snapToGrid w:val="0"/>
        <w:spacing w:line="440" w:lineRule="exact"/>
        <w:rPr>
          <w:rFonts w:ascii="宋体"/>
          <w:color w:val="auto"/>
          <w:szCs w:val="21"/>
          <w:highlight w:val="none"/>
        </w:rPr>
      </w:pPr>
    </w:p>
    <w:p w14:paraId="06A2ADAB">
      <w:pPr>
        <w:adjustRightInd w:val="0"/>
        <w:snapToGrid w:val="0"/>
        <w:jc w:val="left"/>
        <w:rPr>
          <w:rFonts w:ascii="宋体"/>
          <w:color w:val="auto"/>
          <w:sz w:val="24"/>
          <w:highlight w:val="none"/>
        </w:rPr>
      </w:pPr>
    </w:p>
    <w:p w14:paraId="57AC7711">
      <w:pPr>
        <w:adjustRightInd w:val="0"/>
        <w:snapToGrid w:val="0"/>
        <w:jc w:val="left"/>
        <w:rPr>
          <w:rFonts w:ascii="宋体"/>
          <w:color w:val="auto"/>
          <w:sz w:val="24"/>
          <w:highlight w:val="none"/>
        </w:rPr>
      </w:pPr>
    </w:p>
    <w:p w14:paraId="2A10823E">
      <w:pPr>
        <w:adjustRightInd w:val="0"/>
        <w:snapToGrid w:val="0"/>
        <w:jc w:val="left"/>
        <w:rPr>
          <w:rFonts w:ascii="宋体"/>
          <w:color w:val="auto"/>
          <w:sz w:val="24"/>
          <w:highlight w:val="none"/>
        </w:rPr>
      </w:pPr>
    </w:p>
    <w:p w14:paraId="0BE41CDE">
      <w:pPr>
        <w:adjustRightInd w:val="0"/>
        <w:snapToGrid w:val="0"/>
        <w:jc w:val="left"/>
        <w:rPr>
          <w:rFonts w:ascii="宋体"/>
          <w:color w:val="auto"/>
          <w:sz w:val="24"/>
          <w:highlight w:val="none"/>
        </w:rPr>
      </w:pPr>
    </w:p>
    <w:p w14:paraId="0B17BE48">
      <w:pPr>
        <w:adjustRightInd w:val="0"/>
        <w:snapToGrid w:val="0"/>
        <w:jc w:val="left"/>
        <w:rPr>
          <w:rFonts w:ascii="宋体"/>
          <w:color w:val="auto"/>
          <w:sz w:val="24"/>
          <w:highlight w:val="none"/>
        </w:rPr>
      </w:pPr>
      <w:r>
        <w:rPr>
          <w:rFonts w:hint="eastAsia" w:ascii="宋体"/>
          <w:color w:val="auto"/>
          <w:sz w:val="24"/>
          <w:highlight w:val="none"/>
        </w:rPr>
        <w:t>附：被授权人社保缴费证明（加盖社保机构章）</w:t>
      </w:r>
    </w:p>
    <w:p w14:paraId="7C5F30A4">
      <w:pPr>
        <w:adjustRightInd w:val="0"/>
        <w:snapToGrid w:val="0"/>
        <w:jc w:val="left"/>
        <w:rPr>
          <w:rFonts w:ascii="宋体"/>
          <w:color w:val="auto"/>
          <w:sz w:val="24"/>
          <w:highlight w:val="none"/>
        </w:rPr>
      </w:pPr>
    </w:p>
    <w:p w14:paraId="55DF9AD9">
      <w:pPr>
        <w:pStyle w:val="20"/>
        <w:adjustRightInd w:val="0"/>
        <w:snapToGrid w:val="0"/>
        <w:spacing w:after="0" w:line="440" w:lineRule="exact"/>
        <w:rPr>
          <w:rFonts w:ascii="宋体"/>
          <w:b/>
          <w:color w:val="auto"/>
          <w:sz w:val="21"/>
          <w:szCs w:val="21"/>
          <w:highlight w:val="none"/>
        </w:rPr>
      </w:pPr>
    </w:p>
    <w:p w14:paraId="351DC6FA">
      <w:pPr>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rPr>
        <w:t>十、投标人情况一览表</w:t>
      </w:r>
    </w:p>
    <w:p w14:paraId="28D68D23">
      <w:pPr>
        <w:spacing w:line="440" w:lineRule="exact"/>
        <w:jc w:val="center"/>
        <w:rPr>
          <w:rFonts w:ascii="宋体"/>
          <w:b/>
          <w:bCs/>
          <w:color w:val="auto"/>
          <w:szCs w:val="21"/>
          <w:highlight w:val="none"/>
        </w:rPr>
      </w:pPr>
      <w:r>
        <w:rPr>
          <w:rFonts w:hint="eastAsia" w:ascii="宋体"/>
          <w:b/>
          <w:bCs/>
          <w:color w:val="auto"/>
          <w:szCs w:val="21"/>
          <w:highlight w:val="none"/>
        </w:rPr>
        <w:t>投标</w:t>
      </w:r>
      <w:r>
        <w:rPr>
          <w:rFonts w:hint="eastAsia" w:ascii="宋体"/>
          <w:b/>
          <w:color w:val="auto"/>
          <w:szCs w:val="21"/>
          <w:highlight w:val="none"/>
        </w:rPr>
        <w:t>人</w:t>
      </w:r>
      <w:r>
        <w:rPr>
          <w:rFonts w:hint="eastAsia" w:ascii="宋体"/>
          <w:b/>
          <w:bCs/>
          <w:color w:val="auto"/>
          <w:szCs w:val="21"/>
          <w:highlight w:val="none"/>
        </w:rPr>
        <w:t>情况一览表</w:t>
      </w:r>
    </w:p>
    <w:tbl>
      <w:tblPr>
        <w:tblStyle w:val="6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14:paraId="713A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81" w:type="dxa"/>
            <w:gridSpan w:val="3"/>
            <w:vAlign w:val="center"/>
          </w:tcPr>
          <w:p w14:paraId="06893319">
            <w:pPr>
              <w:spacing w:line="240" w:lineRule="atLeast"/>
              <w:rPr>
                <w:rFonts w:ascii="宋体"/>
                <w:color w:val="auto"/>
                <w:szCs w:val="21"/>
                <w:highlight w:val="none"/>
              </w:rPr>
            </w:pPr>
            <w:r>
              <w:rPr>
                <w:rFonts w:hint="eastAsia" w:ascii="宋体"/>
                <w:color w:val="auto"/>
                <w:szCs w:val="21"/>
                <w:highlight w:val="none"/>
              </w:rPr>
              <w:t>公司名称</w:t>
            </w:r>
          </w:p>
        </w:tc>
        <w:tc>
          <w:tcPr>
            <w:tcW w:w="5239" w:type="dxa"/>
            <w:gridSpan w:val="3"/>
            <w:vAlign w:val="center"/>
          </w:tcPr>
          <w:p w14:paraId="742EEF77">
            <w:pPr>
              <w:spacing w:line="240" w:lineRule="atLeast"/>
              <w:rPr>
                <w:rFonts w:ascii="宋体"/>
                <w:color w:val="auto"/>
                <w:szCs w:val="21"/>
                <w:highlight w:val="none"/>
              </w:rPr>
            </w:pPr>
          </w:p>
        </w:tc>
      </w:tr>
      <w:tr w14:paraId="4D99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81" w:type="dxa"/>
            <w:gridSpan w:val="3"/>
            <w:vAlign w:val="center"/>
          </w:tcPr>
          <w:p w14:paraId="37817E6E">
            <w:pPr>
              <w:spacing w:line="240" w:lineRule="atLeast"/>
              <w:rPr>
                <w:rFonts w:ascii="宋体"/>
                <w:color w:val="auto"/>
                <w:szCs w:val="21"/>
                <w:highlight w:val="none"/>
              </w:rPr>
            </w:pPr>
            <w:r>
              <w:rPr>
                <w:rFonts w:hint="eastAsia" w:ascii="宋体"/>
                <w:color w:val="auto"/>
                <w:szCs w:val="21"/>
                <w:highlight w:val="none"/>
              </w:rPr>
              <w:t>地址、邮编</w:t>
            </w:r>
          </w:p>
        </w:tc>
        <w:tc>
          <w:tcPr>
            <w:tcW w:w="5239" w:type="dxa"/>
            <w:gridSpan w:val="3"/>
            <w:vAlign w:val="center"/>
          </w:tcPr>
          <w:p w14:paraId="573FA352">
            <w:pPr>
              <w:spacing w:line="240" w:lineRule="atLeast"/>
              <w:rPr>
                <w:rFonts w:ascii="宋体"/>
                <w:color w:val="auto"/>
                <w:szCs w:val="21"/>
                <w:highlight w:val="none"/>
              </w:rPr>
            </w:pPr>
          </w:p>
        </w:tc>
      </w:tr>
      <w:tr w14:paraId="610E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81" w:type="dxa"/>
            <w:gridSpan w:val="3"/>
            <w:vAlign w:val="center"/>
          </w:tcPr>
          <w:p w14:paraId="563DA5CA">
            <w:pPr>
              <w:spacing w:line="240" w:lineRule="atLeast"/>
              <w:rPr>
                <w:rFonts w:ascii="宋体"/>
                <w:color w:val="auto"/>
                <w:szCs w:val="21"/>
                <w:highlight w:val="none"/>
              </w:rPr>
            </w:pPr>
            <w:r>
              <w:rPr>
                <w:rFonts w:hint="eastAsia" w:ascii="宋体"/>
                <w:color w:val="auto"/>
                <w:szCs w:val="21"/>
                <w:highlight w:val="none"/>
              </w:rPr>
              <w:t>主要业务范围</w:t>
            </w:r>
          </w:p>
        </w:tc>
        <w:tc>
          <w:tcPr>
            <w:tcW w:w="5239" w:type="dxa"/>
            <w:gridSpan w:val="3"/>
            <w:vAlign w:val="center"/>
          </w:tcPr>
          <w:p w14:paraId="5DF7FD14">
            <w:pPr>
              <w:spacing w:line="240" w:lineRule="atLeast"/>
              <w:rPr>
                <w:rFonts w:ascii="宋体"/>
                <w:color w:val="auto"/>
                <w:szCs w:val="21"/>
                <w:highlight w:val="none"/>
              </w:rPr>
            </w:pPr>
          </w:p>
        </w:tc>
      </w:tr>
      <w:tr w14:paraId="74D9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81" w:type="dxa"/>
            <w:gridSpan w:val="3"/>
            <w:vAlign w:val="center"/>
          </w:tcPr>
          <w:p w14:paraId="615A25CA">
            <w:pPr>
              <w:spacing w:line="240" w:lineRule="atLeast"/>
              <w:rPr>
                <w:rFonts w:ascii="宋体"/>
                <w:color w:val="auto"/>
                <w:szCs w:val="21"/>
                <w:highlight w:val="none"/>
              </w:rPr>
            </w:pPr>
            <w:r>
              <w:rPr>
                <w:rFonts w:hint="eastAsia" w:ascii="宋体"/>
                <w:color w:val="auto"/>
                <w:szCs w:val="21"/>
                <w:highlight w:val="none"/>
              </w:rPr>
              <w:t>成立时间</w:t>
            </w:r>
          </w:p>
        </w:tc>
        <w:tc>
          <w:tcPr>
            <w:tcW w:w="5239" w:type="dxa"/>
            <w:gridSpan w:val="3"/>
            <w:vAlign w:val="center"/>
          </w:tcPr>
          <w:p w14:paraId="30E0EF22">
            <w:pPr>
              <w:spacing w:line="240" w:lineRule="atLeast"/>
              <w:rPr>
                <w:rFonts w:ascii="宋体"/>
                <w:color w:val="auto"/>
                <w:szCs w:val="21"/>
                <w:highlight w:val="none"/>
              </w:rPr>
            </w:pPr>
          </w:p>
        </w:tc>
      </w:tr>
      <w:tr w14:paraId="1F5F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20" w:type="dxa"/>
            <w:gridSpan w:val="6"/>
            <w:vAlign w:val="center"/>
          </w:tcPr>
          <w:p w14:paraId="6B963D7B">
            <w:pPr>
              <w:spacing w:line="240" w:lineRule="atLeast"/>
              <w:rPr>
                <w:rFonts w:ascii="宋体"/>
                <w:color w:val="auto"/>
                <w:szCs w:val="21"/>
                <w:highlight w:val="none"/>
              </w:rPr>
            </w:pPr>
            <w:r>
              <w:rPr>
                <w:rFonts w:hint="eastAsia" w:ascii="宋体"/>
                <w:color w:val="auto"/>
                <w:szCs w:val="21"/>
                <w:highlight w:val="none"/>
              </w:rPr>
              <w:t>公司领导班子构成情况</w:t>
            </w:r>
          </w:p>
        </w:tc>
      </w:tr>
      <w:tr w14:paraId="6D71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1" w:type="dxa"/>
            <w:gridSpan w:val="2"/>
            <w:vAlign w:val="center"/>
          </w:tcPr>
          <w:p w14:paraId="767FAB24">
            <w:pPr>
              <w:spacing w:line="240" w:lineRule="atLeast"/>
              <w:rPr>
                <w:rFonts w:ascii="宋体"/>
                <w:color w:val="auto"/>
                <w:szCs w:val="21"/>
                <w:highlight w:val="none"/>
              </w:rPr>
            </w:pPr>
            <w:r>
              <w:rPr>
                <w:rFonts w:hint="eastAsia" w:ascii="宋体"/>
                <w:color w:val="auto"/>
                <w:szCs w:val="21"/>
                <w:highlight w:val="none"/>
              </w:rPr>
              <w:t>法人代表</w:t>
            </w:r>
          </w:p>
        </w:tc>
        <w:tc>
          <w:tcPr>
            <w:tcW w:w="1720" w:type="dxa"/>
            <w:vAlign w:val="center"/>
          </w:tcPr>
          <w:p w14:paraId="2A7730BA">
            <w:pPr>
              <w:spacing w:line="240" w:lineRule="atLeast"/>
              <w:rPr>
                <w:rFonts w:ascii="宋体"/>
                <w:color w:val="auto"/>
                <w:szCs w:val="21"/>
                <w:highlight w:val="none"/>
              </w:rPr>
            </w:pPr>
            <w:r>
              <w:rPr>
                <w:rFonts w:hint="eastAsia" w:ascii="宋体"/>
                <w:color w:val="auto"/>
                <w:szCs w:val="21"/>
                <w:highlight w:val="none"/>
              </w:rPr>
              <w:t>公司经理</w:t>
            </w:r>
          </w:p>
        </w:tc>
        <w:tc>
          <w:tcPr>
            <w:tcW w:w="1859" w:type="dxa"/>
            <w:vAlign w:val="center"/>
          </w:tcPr>
          <w:p w14:paraId="1F7D1916">
            <w:pPr>
              <w:spacing w:line="240" w:lineRule="atLeast"/>
              <w:rPr>
                <w:rFonts w:ascii="宋体"/>
                <w:color w:val="auto"/>
                <w:szCs w:val="21"/>
                <w:highlight w:val="none"/>
              </w:rPr>
            </w:pPr>
            <w:r>
              <w:rPr>
                <w:rFonts w:hint="eastAsia" w:ascii="宋体"/>
                <w:color w:val="auto"/>
                <w:szCs w:val="21"/>
                <w:highlight w:val="none"/>
              </w:rPr>
              <w:t>总工程师</w:t>
            </w:r>
          </w:p>
        </w:tc>
        <w:tc>
          <w:tcPr>
            <w:tcW w:w="1758" w:type="dxa"/>
            <w:vAlign w:val="center"/>
          </w:tcPr>
          <w:p w14:paraId="64F42AD1">
            <w:pPr>
              <w:spacing w:line="240" w:lineRule="atLeast"/>
              <w:rPr>
                <w:rFonts w:ascii="宋体"/>
                <w:color w:val="auto"/>
                <w:szCs w:val="21"/>
                <w:highlight w:val="none"/>
              </w:rPr>
            </w:pPr>
            <w:r>
              <w:rPr>
                <w:rFonts w:hint="eastAsia" w:ascii="宋体"/>
                <w:color w:val="auto"/>
                <w:szCs w:val="21"/>
                <w:highlight w:val="none"/>
              </w:rPr>
              <w:t>总经济师</w:t>
            </w:r>
          </w:p>
        </w:tc>
        <w:tc>
          <w:tcPr>
            <w:tcW w:w="1622" w:type="dxa"/>
            <w:vAlign w:val="center"/>
          </w:tcPr>
          <w:p w14:paraId="085B29AA">
            <w:pPr>
              <w:spacing w:line="240" w:lineRule="atLeast"/>
              <w:rPr>
                <w:rFonts w:ascii="宋体"/>
                <w:color w:val="auto"/>
                <w:szCs w:val="21"/>
                <w:highlight w:val="none"/>
              </w:rPr>
            </w:pPr>
            <w:r>
              <w:rPr>
                <w:rFonts w:hint="eastAsia" w:ascii="宋体"/>
                <w:color w:val="auto"/>
                <w:szCs w:val="21"/>
                <w:highlight w:val="none"/>
              </w:rPr>
              <w:t>总会计师</w:t>
            </w:r>
          </w:p>
        </w:tc>
      </w:tr>
      <w:tr w14:paraId="02A4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1" w:type="dxa"/>
            <w:gridSpan w:val="2"/>
            <w:vAlign w:val="center"/>
          </w:tcPr>
          <w:p w14:paraId="08C3DC4F">
            <w:pPr>
              <w:spacing w:line="240" w:lineRule="atLeast"/>
              <w:rPr>
                <w:rFonts w:ascii="宋体"/>
                <w:color w:val="auto"/>
                <w:szCs w:val="21"/>
                <w:highlight w:val="none"/>
              </w:rPr>
            </w:pPr>
          </w:p>
        </w:tc>
        <w:tc>
          <w:tcPr>
            <w:tcW w:w="1720" w:type="dxa"/>
            <w:vAlign w:val="center"/>
          </w:tcPr>
          <w:p w14:paraId="120FEA96">
            <w:pPr>
              <w:spacing w:line="240" w:lineRule="atLeast"/>
              <w:rPr>
                <w:rFonts w:ascii="宋体"/>
                <w:color w:val="auto"/>
                <w:szCs w:val="21"/>
                <w:highlight w:val="none"/>
              </w:rPr>
            </w:pPr>
          </w:p>
        </w:tc>
        <w:tc>
          <w:tcPr>
            <w:tcW w:w="1859" w:type="dxa"/>
            <w:vAlign w:val="center"/>
          </w:tcPr>
          <w:p w14:paraId="6AE99952">
            <w:pPr>
              <w:spacing w:line="240" w:lineRule="atLeast"/>
              <w:rPr>
                <w:rFonts w:ascii="宋体"/>
                <w:color w:val="auto"/>
                <w:szCs w:val="21"/>
                <w:highlight w:val="none"/>
              </w:rPr>
            </w:pPr>
          </w:p>
        </w:tc>
        <w:tc>
          <w:tcPr>
            <w:tcW w:w="1758" w:type="dxa"/>
            <w:vAlign w:val="center"/>
          </w:tcPr>
          <w:p w14:paraId="1871ADFF">
            <w:pPr>
              <w:spacing w:line="240" w:lineRule="atLeast"/>
              <w:rPr>
                <w:rFonts w:ascii="宋体"/>
                <w:color w:val="auto"/>
                <w:szCs w:val="21"/>
                <w:highlight w:val="none"/>
              </w:rPr>
            </w:pPr>
          </w:p>
        </w:tc>
        <w:tc>
          <w:tcPr>
            <w:tcW w:w="1622" w:type="dxa"/>
            <w:vAlign w:val="center"/>
          </w:tcPr>
          <w:p w14:paraId="376E298E">
            <w:pPr>
              <w:spacing w:line="240" w:lineRule="atLeast"/>
              <w:rPr>
                <w:rFonts w:ascii="宋体"/>
                <w:color w:val="auto"/>
                <w:szCs w:val="21"/>
                <w:highlight w:val="none"/>
              </w:rPr>
            </w:pPr>
          </w:p>
        </w:tc>
      </w:tr>
      <w:tr w14:paraId="73F8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20" w:type="dxa"/>
            <w:gridSpan w:val="6"/>
            <w:vAlign w:val="center"/>
          </w:tcPr>
          <w:p w14:paraId="5CBA2F90">
            <w:pPr>
              <w:spacing w:line="240" w:lineRule="atLeast"/>
              <w:rPr>
                <w:rFonts w:ascii="宋体"/>
                <w:color w:val="auto"/>
                <w:szCs w:val="21"/>
                <w:highlight w:val="none"/>
              </w:rPr>
            </w:pPr>
            <w:r>
              <w:rPr>
                <w:rFonts w:hint="eastAsia" w:ascii="宋体"/>
                <w:color w:val="auto"/>
                <w:szCs w:val="21"/>
                <w:highlight w:val="none"/>
              </w:rPr>
              <w:t>公司人员职称构成情况</w:t>
            </w:r>
          </w:p>
        </w:tc>
      </w:tr>
      <w:tr w14:paraId="4B63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1" w:type="dxa"/>
            <w:gridSpan w:val="2"/>
            <w:vMerge w:val="restart"/>
            <w:vAlign w:val="center"/>
          </w:tcPr>
          <w:p w14:paraId="69B8BD58">
            <w:pPr>
              <w:spacing w:line="240" w:lineRule="atLeast"/>
              <w:rPr>
                <w:rFonts w:ascii="宋体"/>
                <w:color w:val="auto"/>
                <w:szCs w:val="21"/>
                <w:highlight w:val="none"/>
              </w:rPr>
            </w:pPr>
            <w:r>
              <w:rPr>
                <w:rFonts w:hint="eastAsia" w:ascii="宋体"/>
                <w:color w:val="auto"/>
                <w:szCs w:val="21"/>
                <w:highlight w:val="none"/>
              </w:rPr>
              <w:t>人员构成（%）</w:t>
            </w:r>
          </w:p>
        </w:tc>
        <w:tc>
          <w:tcPr>
            <w:tcW w:w="1720" w:type="dxa"/>
            <w:vAlign w:val="center"/>
          </w:tcPr>
          <w:p w14:paraId="732F59BA">
            <w:pPr>
              <w:spacing w:line="240" w:lineRule="atLeast"/>
              <w:rPr>
                <w:rFonts w:ascii="宋体"/>
                <w:color w:val="auto"/>
                <w:szCs w:val="21"/>
                <w:highlight w:val="none"/>
              </w:rPr>
            </w:pPr>
            <w:r>
              <w:rPr>
                <w:rFonts w:hint="eastAsia" w:ascii="宋体"/>
                <w:color w:val="auto"/>
                <w:szCs w:val="21"/>
                <w:highlight w:val="none"/>
              </w:rPr>
              <w:t>管理人员</w:t>
            </w:r>
          </w:p>
        </w:tc>
        <w:tc>
          <w:tcPr>
            <w:tcW w:w="1859" w:type="dxa"/>
            <w:vAlign w:val="center"/>
          </w:tcPr>
          <w:p w14:paraId="5C72DC4C">
            <w:pPr>
              <w:spacing w:line="240" w:lineRule="atLeast"/>
              <w:rPr>
                <w:rFonts w:ascii="宋体"/>
                <w:color w:val="auto"/>
                <w:szCs w:val="21"/>
                <w:highlight w:val="none"/>
              </w:rPr>
            </w:pPr>
            <w:r>
              <w:rPr>
                <w:rFonts w:hint="eastAsia" w:ascii="宋体"/>
                <w:color w:val="auto"/>
                <w:szCs w:val="21"/>
                <w:highlight w:val="none"/>
              </w:rPr>
              <w:t>技术人员</w:t>
            </w:r>
          </w:p>
        </w:tc>
        <w:tc>
          <w:tcPr>
            <w:tcW w:w="1758" w:type="dxa"/>
            <w:vAlign w:val="center"/>
          </w:tcPr>
          <w:p w14:paraId="36A71823">
            <w:pPr>
              <w:spacing w:line="240" w:lineRule="atLeast"/>
              <w:rPr>
                <w:rFonts w:ascii="宋体"/>
                <w:color w:val="auto"/>
                <w:szCs w:val="21"/>
                <w:highlight w:val="none"/>
              </w:rPr>
            </w:pPr>
            <w:r>
              <w:rPr>
                <w:rFonts w:hint="eastAsia" w:ascii="宋体"/>
                <w:color w:val="auto"/>
                <w:szCs w:val="21"/>
                <w:highlight w:val="none"/>
              </w:rPr>
              <w:t>后勤人员</w:t>
            </w:r>
          </w:p>
        </w:tc>
        <w:tc>
          <w:tcPr>
            <w:tcW w:w="1622" w:type="dxa"/>
            <w:vAlign w:val="center"/>
          </w:tcPr>
          <w:p w14:paraId="406704E2">
            <w:pPr>
              <w:spacing w:line="240" w:lineRule="atLeast"/>
              <w:rPr>
                <w:rFonts w:ascii="宋体"/>
                <w:color w:val="auto"/>
                <w:szCs w:val="21"/>
                <w:highlight w:val="none"/>
              </w:rPr>
            </w:pPr>
            <w:r>
              <w:rPr>
                <w:rFonts w:hint="eastAsia" w:ascii="宋体"/>
                <w:color w:val="auto"/>
                <w:szCs w:val="21"/>
                <w:highlight w:val="none"/>
              </w:rPr>
              <w:t>其他</w:t>
            </w:r>
          </w:p>
        </w:tc>
      </w:tr>
      <w:tr w14:paraId="6C84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1" w:type="dxa"/>
            <w:gridSpan w:val="2"/>
            <w:vMerge w:val="continue"/>
            <w:vAlign w:val="center"/>
          </w:tcPr>
          <w:p w14:paraId="20F88095">
            <w:pPr>
              <w:rPr>
                <w:color w:val="auto"/>
                <w:highlight w:val="none"/>
              </w:rPr>
            </w:pPr>
          </w:p>
        </w:tc>
        <w:tc>
          <w:tcPr>
            <w:tcW w:w="1720" w:type="dxa"/>
            <w:vAlign w:val="center"/>
          </w:tcPr>
          <w:p w14:paraId="7D101A43">
            <w:pPr>
              <w:spacing w:line="240" w:lineRule="atLeast"/>
              <w:rPr>
                <w:rFonts w:ascii="宋体"/>
                <w:color w:val="auto"/>
                <w:szCs w:val="21"/>
                <w:highlight w:val="none"/>
              </w:rPr>
            </w:pPr>
          </w:p>
        </w:tc>
        <w:tc>
          <w:tcPr>
            <w:tcW w:w="1859" w:type="dxa"/>
            <w:vAlign w:val="center"/>
          </w:tcPr>
          <w:p w14:paraId="192A5A27">
            <w:pPr>
              <w:spacing w:line="240" w:lineRule="atLeast"/>
              <w:rPr>
                <w:rFonts w:ascii="宋体"/>
                <w:color w:val="auto"/>
                <w:szCs w:val="21"/>
                <w:highlight w:val="none"/>
              </w:rPr>
            </w:pPr>
          </w:p>
        </w:tc>
        <w:tc>
          <w:tcPr>
            <w:tcW w:w="1758" w:type="dxa"/>
            <w:vAlign w:val="center"/>
          </w:tcPr>
          <w:p w14:paraId="0C58C6B4">
            <w:pPr>
              <w:spacing w:line="240" w:lineRule="atLeast"/>
              <w:rPr>
                <w:rFonts w:ascii="宋体"/>
                <w:color w:val="auto"/>
                <w:szCs w:val="21"/>
                <w:highlight w:val="none"/>
              </w:rPr>
            </w:pPr>
          </w:p>
        </w:tc>
        <w:tc>
          <w:tcPr>
            <w:tcW w:w="1622" w:type="dxa"/>
            <w:vAlign w:val="center"/>
          </w:tcPr>
          <w:p w14:paraId="43ECAE9B">
            <w:pPr>
              <w:spacing w:line="240" w:lineRule="atLeast"/>
              <w:rPr>
                <w:rFonts w:ascii="宋体"/>
                <w:color w:val="auto"/>
                <w:szCs w:val="21"/>
                <w:highlight w:val="none"/>
              </w:rPr>
            </w:pPr>
          </w:p>
        </w:tc>
      </w:tr>
      <w:tr w14:paraId="18F6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exact"/>
        </w:trPr>
        <w:tc>
          <w:tcPr>
            <w:tcW w:w="645" w:type="dxa"/>
            <w:vAlign w:val="center"/>
          </w:tcPr>
          <w:p w14:paraId="0C1CC05A">
            <w:pPr>
              <w:rPr>
                <w:rFonts w:ascii="宋体"/>
                <w:color w:val="auto"/>
                <w:szCs w:val="21"/>
                <w:highlight w:val="none"/>
              </w:rPr>
            </w:pPr>
            <w:r>
              <w:rPr>
                <w:rFonts w:hint="eastAsia" w:ascii="宋体"/>
                <w:color w:val="auto"/>
                <w:szCs w:val="21"/>
                <w:highlight w:val="none"/>
              </w:rPr>
              <w:t>企业概况</w:t>
            </w:r>
          </w:p>
        </w:tc>
        <w:tc>
          <w:tcPr>
            <w:tcW w:w="8075" w:type="dxa"/>
            <w:gridSpan w:val="5"/>
            <w:vAlign w:val="center"/>
          </w:tcPr>
          <w:p w14:paraId="29705607">
            <w:pPr>
              <w:pStyle w:val="20"/>
              <w:rPr>
                <w:color w:val="auto"/>
                <w:highlight w:val="none"/>
              </w:rPr>
            </w:pPr>
          </w:p>
        </w:tc>
      </w:tr>
    </w:tbl>
    <w:p w14:paraId="4A8C0147">
      <w:pPr>
        <w:snapToGrid w:val="0"/>
        <w:spacing w:line="440" w:lineRule="exact"/>
        <w:rPr>
          <w:rFonts w:ascii="宋体"/>
          <w:color w:val="auto"/>
          <w:szCs w:val="21"/>
          <w:highlight w:val="none"/>
        </w:rPr>
      </w:pPr>
    </w:p>
    <w:p w14:paraId="74907D95">
      <w:pPr>
        <w:snapToGrid w:val="0"/>
        <w:spacing w:line="440" w:lineRule="exact"/>
        <w:rPr>
          <w:rFonts w:ascii="宋体"/>
          <w:color w:val="auto"/>
          <w:szCs w:val="21"/>
          <w:highlight w:val="none"/>
          <w:u w:val="single"/>
        </w:rPr>
      </w:pPr>
      <w:r>
        <w:rPr>
          <w:rFonts w:hint="eastAsia" w:ascii="宋体"/>
          <w:color w:val="auto"/>
          <w:szCs w:val="21"/>
          <w:highlight w:val="none"/>
        </w:rPr>
        <w:t>授权代表签名：</w:t>
      </w:r>
      <w:r>
        <w:rPr>
          <w:rFonts w:hint="eastAsia" w:ascii="宋体"/>
          <w:color w:val="auto"/>
          <w:szCs w:val="21"/>
          <w:highlight w:val="none"/>
          <w:u w:val="single"/>
        </w:rPr>
        <w:t xml:space="preserve">                  </w:t>
      </w:r>
    </w:p>
    <w:p w14:paraId="6428249B">
      <w:pPr>
        <w:pStyle w:val="20"/>
        <w:adjustRightInd w:val="0"/>
        <w:snapToGrid w:val="0"/>
        <w:spacing w:after="0" w:line="440" w:lineRule="exact"/>
        <w:rPr>
          <w:rFonts w:ascii="宋体"/>
          <w:color w:val="auto"/>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p>
    <w:p w14:paraId="502E7E23">
      <w:pPr>
        <w:adjustRightInd w:val="0"/>
        <w:snapToGrid w:val="0"/>
        <w:spacing w:line="440" w:lineRule="exact"/>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14:paraId="1EDC7903">
      <w:pPr>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rPr>
        <w:br w:type="page"/>
      </w:r>
      <w:r>
        <w:rPr>
          <w:rFonts w:hint="eastAsia" w:ascii="宋体"/>
          <w:b/>
          <w:color w:val="auto"/>
          <w:szCs w:val="21"/>
          <w:highlight w:val="none"/>
        </w:rPr>
        <w:t>十</w:t>
      </w:r>
      <w:r>
        <w:rPr>
          <w:rFonts w:hint="eastAsia" w:ascii="宋体"/>
          <w:b/>
          <w:color w:val="auto"/>
          <w:szCs w:val="21"/>
          <w:highlight w:val="none"/>
          <w:lang w:eastAsia="zh-CN"/>
        </w:rPr>
        <w:t>一</w:t>
      </w:r>
      <w:r>
        <w:rPr>
          <w:rFonts w:hint="eastAsia" w:ascii="宋体"/>
          <w:b/>
          <w:color w:val="auto"/>
          <w:szCs w:val="21"/>
          <w:highlight w:val="none"/>
        </w:rPr>
        <w:t>、商务响应表格式：</w:t>
      </w:r>
    </w:p>
    <w:p w14:paraId="20EE600C">
      <w:pPr>
        <w:adjustRightInd w:val="0"/>
        <w:snapToGrid w:val="0"/>
        <w:spacing w:line="440" w:lineRule="exact"/>
        <w:jc w:val="center"/>
        <w:rPr>
          <w:rFonts w:ascii="宋体"/>
          <w:b/>
          <w:color w:val="auto"/>
          <w:szCs w:val="21"/>
          <w:highlight w:val="none"/>
        </w:rPr>
      </w:pPr>
      <w:r>
        <w:rPr>
          <w:rFonts w:hint="eastAsia" w:ascii="宋体"/>
          <w:b/>
          <w:color w:val="auto"/>
          <w:szCs w:val="21"/>
          <w:highlight w:val="none"/>
        </w:rPr>
        <w:t>商务响应表</w:t>
      </w:r>
    </w:p>
    <w:p w14:paraId="5AF759E3">
      <w:pPr>
        <w:adjustRightInd w:val="0"/>
        <w:snapToGrid w:val="0"/>
        <w:spacing w:line="440" w:lineRule="exact"/>
        <w:jc w:val="center"/>
        <w:rPr>
          <w:rFonts w:ascii="宋体"/>
          <w:b/>
          <w:color w:val="auto"/>
          <w:szCs w:val="21"/>
          <w:highlight w:val="none"/>
        </w:rPr>
      </w:pPr>
    </w:p>
    <w:tbl>
      <w:tblPr>
        <w:tblStyle w:val="60"/>
        <w:tblW w:w="8720" w:type="dxa"/>
        <w:tblInd w:w="0" w:type="dxa"/>
        <w:tblLayout w:type="fixed"/>
        <w:tblCellMar>
          <w:top w:w="0" w:type="dxa"/>
          <w:left w:w="108" w:type="dxa"/>
          <w:bottom w:w="0" w:type="dxa"/>
          <w:right w:w="108" w:type="dxa"/>
        </w:tblCellMar>
      </w:tblPr>
      <w:tblGrid>
        <w:gridCol w:w="829"/>
        <w:gridCol w:w="1259"/>
        <w:gridCol w:w="1981"/>
        <w:gridCol w:w="1979"/>
        <w:gridCol w:w="1441"/>
        <w:gridCol w:w="1231"/>
      </w:tblGrid>
      <w:tr w14:paraId="6137722B">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vAlign w:val="center"/>
          </w:tcPr>
          <w:p w14:paraId="5518AA0D">
            <w:pPr>
              <w:spacing w:line="360" w:lineRule="exact"/>
              <w:jc w:val="center"/>
              <w:rPr>
                <w:rFonts w:ascii="宋体"/>
                <w:color w:val="auto"/>
                <w:szCs w:val="21"/>
                <w:highlight w:val="none"/>
              </w:rPr>
            </w:pPr>
            <w:r>
              <w:rPr>
                <w:rFonts w:hint="eastAsia" w:ascii="宋体"/>
                <w:color w:val="auto"/>
                <w:szCs w:val="21"/>
                <w:highlight w:val="none"/>
              </w:rPr>
              <w:t>序号</w:t>
            </w:r>
          </w:p>
        </w:tc>
        <w:tc>
          <w:tcPr>
            <w:tcW w:w="1259" w:type="dxa"/>
            <w:tcBorders>
              <w:top w:val="single" w:color="auto" w:sz="6" w:space="0"/>
              <w:left w:val="single" w:color="auto" w:sz="6" w:space="0"/>
              <w:bottom w:val="single" w:color="auto" w:sz="6" w:space="0"/>
              <w:right w:val="single" w:color="auto" w:sz="6" w:space="0"/>
            </w:tcBorders>
            <w:vAlign w:val="center"/>
          </w:tcPr>
          <w:p w14:paraId="74F079B4">
            <w:pPr>
              <w:spacing w:line="360" w:lineRule="exact"/>
              <w:jc w:val="center"/>
              <w:rPr>
                <w:rFonts w:ascii="宋体"/>
                <w:color w:val="auto"/>
                <w:szCs w:val="21"/>
                <w:highlight w:val="none"/>
              </w:rPr>
            </w:pPr>
            <w:r>
              <w:rPr>
                <w:rFonts w:hint="eastAsia" w:ascii="宋体"/>
                <w:color w:val="auto"/>
                <w:szCs w:val="21"/>
                <w:highlight w:val="none"/>
              </w:rPr>
              <w:t>内容</w:t>
            </w:r>
          </w:p>
        </w:tc>
        <w:tc>
          <w:tcPr>
            <w:tcW w:w="1981" w:type="dxa"/>
            <w:tcBorders>
              <w:top w:val="single" w:color="auto" w:sz="6" w:space="0"/>
              <w:left w:val="single" w:color="auto" w:sz="6" w:space="0"/>
              <w:bottom w:val="single" w:color="auto" w:sz="6" w:space="0"/>
              <w:right w:val="single" w:color="auto" w:sz="6" w:space="0"/>
            </w:tcBorders>
            <w:vAlign w:val="center"/>
          </w:tcPr>
          <w:p w14:paraId="464E7C6F">
            <w:pPr>
              <w:spacing w:line="360" w:lineRule="exact"/>
              <w:jc w:val="center"/>
              <w:rPr>
                <w:rFonts w:ascii="宋体"/>
                <w:color w:val="auto"/>
                <w:szCs w:val="21"/>
                <w:highlight w:val="none"/>
              </w:rPr>
            </w:pPr>
            <w:r>
              <w:rPr>
                <w:rFonts w:hint="eastAsia" w:ascii="宋体"/>
                <w:color w:val="auto"/>
                <w:szCs w:val="21"/>
                <w:highlight w:val="none"/>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14:paraId="5AF2E6D1">
            <w:pPr>
              <w:spacing w:line="360" w:lineRule="exact"/>
              <w:jc w:val="center"/>
              <w:rPr>
                <w:rFonts w:ascii="宋体"/>
                <w:color w:val="auto"/>
                <w:szCs w:val="21"/>
                <w:highlight w:val="none"/>
              </w:rPr>
            </w:pPr>
            <w:r>
              <w:rPr>
                <w:rFonts w:hint="eastAsia" w:ascii="宋体"/>
                <w:color w:val="auto"/>
                <w:szCs w:val="21"/>
                <w:highlight w:val="none"/>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14:paraId="306A9E97">
            <w:pPr>
              <w:spacing w:line="360" w:lineRule="exact"/>
              <w:jc w:val="center"/>
              <w:rPr>
                <w:rFonts w:ascii="宋体"/>
                <w:color w:val="auto"/>
                <w:szCs w:val="21"/>
                <w:highlight w:val="none"/>
              </w:rPr>
            </w:pPr>
            <w:r>
              <w:rPr>
                <w:rFonts w:hint="eastAsia" w:ascii="宋体"/>
                <w:color w:val="auto"/>
                <w:szCs w:val="21"/>
                <w:highlight w:val="none"/>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14:paraId="78ED5B76">
            <w:pPr>
              <w:spacing w:line="360" w:lineRule="exact"/>
              <w:jc w:val="center"/>
              <w:rPr>
                <w:rFonts w:ascii="宋体"/>
                <w:color w:val="auto"/>
                <w:szCs w:val="21"/>
                <w:highlight w:val="none"/>
              </w:rPr>
            </w:pPr>
            <w:r>
              <w:rPr>
                <w:rFonts w:hint="eastAsia" w:ascii="宋体"/>
                <w:color w:val="auto"/>
                <w:szCs w:val="21"/>
                <w:highlight w:val="none"/>
              </w:rPr>
              <w:t>偏离原因</w:t>
            </w:r>
          </w:p>
        </w:tc>
      </w:tr>
      <w:tr w14:paraId="188B9948">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00D5AD0E">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3554B422">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0EF86564">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4B1BF124">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16F7B943">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547A29F6">
            <w:pPr>
              <w:spacing w:line="360" w:lineRule="exact"/>
              <w:rPr>
                <w:rFonts w:ascii="宋体"/>
                <w:color w:val="auto"/>
                <w:szCs w:val="21"/>
                <w:highlight w:val="none"/>
              </w:rPr>
            </w:pPr>
          </w:p>
        </w:tc>
      </w:tr>
      <w:tr w14:paraId="5B1430DD">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65134B90">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5E9D01DA">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5C231E31">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6E7A37C0">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4CB1B4D3">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268C3B7A">
            <w:pPr>
              <w:spacing w:line="360" w:lineRule="exact"/>
              <w:rPr>
                <w:rFonts w:ascii="宋体"/>
                <w:color w:val="auto"/>
                <w:szCs w:val="21"/>
                <w:highlight w:val="none"/>
              </w:rPr>
            </w:pPr>
          </w:p>
        </w:tc>
      </w:tr>
      <w:tr w14:paraId="29436138">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1EBF814C">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0F2B2C96">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4B5631EA">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28F42DBF">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16E2C1EB">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381B2639">
            <w:pPr>
              <w:spacing w:line="360" w:lineRule="exact"/>
              <w:rPr>
                <w:rFonts w:ascii="宋体"/>
                <w:color w:val="auto"/>
                <w:szCs w:val="21"/>
                <w:highlight w:val="none"/>
              </w:rPr>
            </w:pPr>
          </w:p>
        </w:tc>
      </w:tr>
      <w:tr w14:paraId="1F667530">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69F01260">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616DBFF6">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0337223B">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0F14D3BB">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71345D65">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7A15C1BD">
            <w:pPr>
              <w:spacing w:line="360" w:lineRule="exact"/>
              <w:rPr>
                <w:rFonts w:ascii="宋体"/>
                <w:color w:val="auto"/>
                <w:szCs w:val="21"/>
                <w:highlight w:val="none"/>
              </w:rPr>
            </w:pPr>
          </w:p>
        </w:tc>
      </w:tr>
      <w:tr w14:paraId="672A6D71">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16C2B455">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33D64523">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06AD51AE">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324AD843">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59654E1C">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727A12B1">
            <w:pPr>
              <w:spacing w:line="360" w:lineRule="exact"/>
              <w:rPr>
                <w:rFonts w:ascii="宋体"/>
                <w:color w:val="auto"/>
                <w:szCs w:val="21"/>
                <w:highlight w:val="none"/>
              </w:rPr>
            </w:pPr>
          </w:p>
        </w:tc>
      </w:tr>
      <w:tr w14:paraId="08DA354E">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466618E8">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42DA3248">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243CBA75">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07FA0F16">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6FDB63B0">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07C28685">
            <w:pPr>
              <w:spacing w:line="360" w:lineRule="exact"/>
              <w:rPr>
                <w:rFonts w:ascii="宋体"/>
                <w:color w:val="auto"/>
                <w:szCs w:val="21"/>
                <w:highlight w:val="none"/>
              </w:rPr>
            </w:pPr>
          </w:p>
        </w:tc>
      </w:tr>
      <w:tr w14:paraId="45A4A6B0">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5F6D173F">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723D9DA6">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6C64E930">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53561E84">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58EE4944">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4BB49550">
            <w:pPr>
              <w:spacing w:line="360" w:lineRule="exact"/>
              <w:rPr>
                <w:rFonts w:ascii="宋体"/>
                <w:color w:val="auto"/>
                <w:szCs w:val="21"/>
                <w:highlight w:val="none"/>
              </w:rPr>
            </w:pPr>
          </w:p>
        </w:tc>
      </w:tr>
      <w:tr w14:paraId="7D143AD4">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230F8329">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7BBC75F9">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775DBB2D">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3F4C0C3B">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7BE8EDD2">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7179C7F6">
            <w:pPr>
              <w:spacing w:line="360" w:lineRule="exact"/>
              <w:rPr>
                <w:rFonts w:ascii="宋体"/>
                <w:color w:val="auto"/>
                <w:szCs w:val="21"/>
                <w:highlight w:val="none"/>
              </w:rPr>
            </w:pPr>
          </w:p>
        </w:tc>
      </w:tr>
    </w:tbl>
    <w:p w14:paraId="232FB25D">
      <w:pPr>
        <w:snapToGrid w:val="0"/>
        <w:spacing w:line="440" w:lineRule="exact"/>
        <w:rPr>
          <w:rFonts w:ascii="宋体"/>
          <w:color w:val="auto"/>
          <w:szCs w:val="21"/>
          <w:highlight w:val="none"/>
        </w:rPr>
      </w:pPr>
      <w:r>
        <w:rPr>
          <w:rFonts w:hint="eastAsia" w:ascii="宋体"/>
          <w:color w:val="auto"/>
          <w:szCs w:val="21"/>
          <w:highlight w:val="none"/>
        </w:rPr>
        <w:t>注：投标人应对照招标文件要求在“偏离情况”栏注明“正偏离”、“负偏离”或“无偏离”。行数可视情况自行添加。不填写视同完全响应招标文件要求。</w:t>
      </w:r>
    </w:p>
    <w:p w14:paraId="7FE50619">
      <w:pPr>
        <w:snapToGrid w:val="0"/>
        <w:spacing w:line="440" w:lineRule="exact"/>
        <w:rPr>
          <w:rFonts w:ascii="宋体"/>
          <w:color w:val="auto"/>
          <w:szCs w:val="21"/>
          <w:highlight w:val="none"/>
        </w:rPr>
      </w:pPr>
    </w:p>
    <w:p w14:paraId="26E00715">
      <w:pPr>
        <w:snapToGrid w:val="0"/>
        <w:spacing w:line="440" w:lineRule="exact"/>
        <w:rPr>
          <w:rFonts w:ascii="宋体"/>
          <w:color w:val="auto"/>
          <w:szCs w:val="21"/>
          <w:highlight w:val="none"/>
          <w:u w:val="single"/>
        </w:rPr>
      </w:pPr>
      <w:r>
        <w:rPr>
          <w:rFonts w:hint="eastAsia" w:ascii="宋体"/>
          <w:color w:val="auto"/>
          <w:szCs w:val="21"/>
          <w:highlight w:val="none"/>
        </w:rPr>
        <w:t>授权代表签名：</w:t>
      </w:r>
      <w:r>
        <w:rPr>
          <w:rFonts w:hint="eastAsia" w:ascii="宋体"/>
          <w:color w:val="auto"/>
          <w:szCs w:val="21"/>
          <w:highlight w:val="none"/>
          <w:u w:val="single"/>
        </w:rPr>
        <w:t xml:space="preserve">                  </w:t>
      </w:r>
    </w:p>
    <w:p w14:paraId="13E2D7FC">
      <w:pPr>
        <w:pStyle w:val="20"/>
        <w:adjustRightInd w:val="0"/>
        <w:snapToGrid w:val="0"/>
        <w:spacing w:after="0" w:line="440" w:lineRule="exact"/>
        <w:rPr>
          <w:rFonts w:ascii="宋体"/>
          <w:color w:val="auto"/>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p>
    <w:p w14:paraId="287F896D">
      <w:pPr>
        <w:adjustRightInd w:val="0"/>
        <w:snapToGrid w:val="0"/>
        <w:spacing w:line="440" w:lineRule="exact"/>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14:paraId="17C5FB0F">
      <w:pPr>
        <w:adjustRightInd w:val="0"/>
        <w:snapToGrid w:val="0"/>
        <w:spacing w:line="440" w:lineRule="exact"/>
        <w:jc w:val="left"/>
        <w:rPr>
          <w:rFonts w:ascii="宋体"/>
          <w:b/>
          <w:color w:val="auto"/>
          <w:szCs w:val="21"/>
          <w:highlight w:val="none"/>
        </w:rPr>
      </w:pPr>
    </w:p>
    <w:p w14:paraId="4D05D6D0">
      <w:pPr>
        <w:adjustRightInd w:val="0"/>
        <w:snapToGrid w:val="0"/>
        <w:spacing w:line="440" w:lineRule="exact"/>
        <w:jc w:val="left"/>
        <w:rPr>
          <w:rFonts w:ascii="宋体"/>
          <w:b/>
          <w:color w:val="auto"/>
          <w:szCs w:val="21"/>
          <w:highlight w:val="none"/>
        </w:rPr>
      </w:pPr>
    </w:p>
    <w:p w14:paraId="135DC311">
      <w:pPr>
        <w:adjustRightInd w:val="0"/>
        <w:snapToGrid w:val="0"/>
        <w:spacing w:line="440" w:lineRule="exact"/>
        <w:jc w:val="left"/>
        <w:rPr>
          <w:rFonts w:ascii="宋体"/>
          <w:b/>
          <w:color w:val="auto"/>
          <w:szCs w:val="21"/>
          <w:highlight w:val="none"/>
        </w:rPr>
      </w:pPr>
    </w:p>
    <w:p w14:paraId="26FD78B8">
      <w:pPr>
        <w:adjustRightInd w:val="0"/>
        <w:snapToGrid w:val="0"/>
        <w:spacing w:line="440" w:lineRule="exact"/>
        <w:jc w:val="left"/>
        <w:rPr>
          <w:rFonts w:ascii="宋体"/>
          <w:b/>
          <w:color w:val="auto"/>
          <w:szCs w:val="21"/>
          <w:highlight w:val="none"/>
        </w:rPr>
      </w:pPr>
    </w:p>
    <w:p w14:paraId="587501F8">
      <w:pPr>
        <w:adjustRightInd w:val="0"/>
        <w:snapToGrid w:val="0"/>
        <w:spacing w:line="440" w:lineRule="exact"/>
        <w:jc w:val="left"/>
        <w:rPr>
          <w:rFonts w:ascii="宋体"/>
          <w:b/>
          <w:color w:val="auto"/>
          <w:szCs w:val="21"/>
          <w:highlight w:val="none"/>
        </w:rPr>
      </w:pPr>
    </w:p>
    <w:p w14:paraId="06BA1E37">
      <w:pPr>
        <w:adjustRightInd w:val="0"/>
        <w:snapToGrid w:val="0"/>
        <w:spacing w:line="440" w:lineRule="exact"/>
        <w:jc w:val="left"/>
        <w:rPr>
          <w:rFonts w:ascii="宋体"/>
          <w:b/>
          <w:color w:val="auto"/>
          <w:szCs w:val="21"/>
          <w:highlight w:val="none"/>
        </w:rPr>
      </w:pPr>
    </w:p>
    <w:p w14:paraId="057C7BFC">
      <w:pPr>
        <w:adjustRightInd w:val="0"/>
        <w:snapToGrid w:val="0"/>
        <w:spacing w:line="440" w:lineRule="exact"/>
        <w:jc w:val="left"/>
        <w:rPr>
          <w:rFonts w:ascii="宋体"/>
          <w:b/>
          <w:color w:val="auto"/>
          <w:szCs w:val="21"/>
          <w:highlight w:val="none"/>
        </w:rPr>
      </w:pPr>
    </w:p>
    <w:p w14:paraId="3F612793">
      <w:pPr>
        <w:adjustRightInd w:val="0"/>
        <w:snapToGrid w:val="0"/>
        <w:spacing w:line="440" w:lineRule="exact"/>
        <w:jc w:val="left"/>
        <w:rPr>
          <w:rFonts w:ascii="宋体"/>
          <w:b/>
          <w:color w:val="auto"/>
          <w:szCs w:val="21"/>
          <w:highlight w:val="none"/>
        </w:rPr>
      </w:pPr>
    </w:p>
    <w:p w14:paraId="1EA139E7">
      <w:pPr>
        <w:pStyle w:val="14"/>
        <w:rPr>
          <w:rFonts w:ascii="宋体"/>
          <w:b/>
          <w:color w:val="auto"/>
          <w:szCs w:val="21"/>
          <w:highlight w:val="none"/>
        </w:rPr>
      </w:pPr>
    </w:p>
    <w:p w14:paraId="09F8C9FB">
      <w:pPr>
        <w:pStyle w:val="14"/>
        <w:rPr>
          <w:rFonts w:ascii="宋体"/>
          <w:b/>
          <w:color w:val="auto"/>
          <w:szCs w:val="21"/>
          <w:highlight w:val="none"/>
        </w:rPr>
      </w:pPr>
    </w:p>
    <w:p w14:paraId="155AB509">
      <w:pPr>
        <w:adjustRightInd w:val="0"/>
        <w:spacing w:line="360" w:lineRule="auto"/>
        <w:outlineLvl w:val="2"/>
        <w:rPr>
          <w:rFonts w:ascii="宋体" w:hAnsi="宋体" w:cs="宋体"/>
          <w:b/>
          <w:color w:val="auto"/>
          <w:szCs w:val="21"/>
          <w:highlight w:val="none"/>
        </w:rPr>
      </w:pPr>
    </w:p>
    <w:p w14:paraId="4A9B48FF">
      <w:pPr>
        <w:adjustRightInd w:val="0"/>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二</w:t>
      </w:r>
      <w:r>
        <w:rPr>
          <w:rFonts w:hint="eastAsia" w:ascii="宋体" w:hAnsi="宋体" w:cs="宋体"/>
          <w:b/>
          <w:color w:val="auto"/>
          <w:szCs w:val="21"/>
          <w:highlight w:val="none"/>
        </w:rPr>
        <w:t>、投标人类似业绩：</w:t>
      </w:r>
    </w:p>
    <w:p w14:paraId="6BB7AD13">
      <w:pPr>
        <w:adjustRightInd w:val="0"/>
        <w:snapToGrid w:val="0"/>
        <w:spacing w:before="120" w:beforeLines="50" w:after="120" w:afterLines="50" w:line="500" w:lineRule="exact"/>
        <w:jc w:val="center"/>
        <w:rPr>
          <w:rFonts w:ascii="宋体" w:hAnsi="宋体"/>
          <w:b/>
          <w:color w:val="auto"/>
          <w:szCs w:val="21"/>
          <w:highlight w:val="none"/>
        </w:rPr>
      </w:pPr>
      <w:r>
        <w:rPr>
          <w:rFonts w:hint="eastAsia" w:ascii="宋体" w:hAnsi="宋体"/>
          <w:b/>
          <w:color w:val="auto"/>
          <w:szCs w:val="21"/>
          <w:highlight w:val="none"/>
        </w:rPr>
        <w:t>投标人类似业绩一览表</w:t>
      </w:r>
    </w:p>
    <w:tbl>
      <w:tblPr>
        <w:tblStyle w:val="60"/>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68"/>
        <w:gridCol w:w="1660"/>
        <w:gridCol w:w="2934"/>
        <w:gridCol w:w="1673"/>
      </w:tblGrid>
      <w:tr w14:paraId="326B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63D44800">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668" w:type="dxa"/>
            <w:vAlign w:val="center"/>
          </w:tcPr>
          <w:p w14:paraId="73C8C6DE">
            <w:pPr>
              <w:spacing w:line="360" w:lineRule="exact"/>
              <w:jc w:val="center"/>
              <w:rPr>
                <w:rFonts w:ascii="宋体" w:hAnsi="宋体"/>
                <w:color w:val="auto"/>
                <w:szCs w:val="21"/>
                <w:highlight w:val="none"/>
              </w:rPr>
            </w:pPr>
            <w:r>
              <w:rPr>
                <w:rFonts w:hint="eastAsia" w:ascii="宋体" w:hAnsi="宋体"/>
                <w:color w:val="auto"/>
                <w:szCs w:val="21"/>
                <w:highlight w:val="none"/>
              </w:rPr>
              <w:t>项目名称</w:t>
            </w:r>
          </w:p>
        </w:tc>
        <w:tc>
          <w:tcPr>
            <w:tcW w:w="1660" w:type="dxa"/>
            <w:vAlign w:val="center"/>
          </w:tcPr>
          <w:p w14:paraId="429B23A7">
            <w:pPr>
              <w:spacing w:line="360" w:lineRule="exact"/>
              <w:jc w:val="center"/>
              <w:rPr>
                <w:rFonts w:ascii="宋体" w:hAnsi="宋体"/>
                <w:color w:val="auto"/>
                <w:szCs w:val="21"/>
                <w:highlight w:val="none"/>
              </w:rPr>
            </w:pPr>
            <w:r>
              <w:rPr>
                <w:rFonts w:hint="eastAsia" w:ascii="宋体" w:hAnsi="宋体"/>
                <w:color w:val="auto"/>
                <w:szCs w:val="21"/>
                <w:highlight w:val="none"/>
              </w:rPr>
              <w:t>项目实施时间</w:t>
            </w:r>
          </w:p>
        </w:tc>
        <w:tc>
          <w:tcPr>
            <w:tcW w:w="2934" w:type="dxa"/>
            <w:vAlign w:val="center"/>
          </w:tcPr>
          <w:p w14:paraId="489C7BFA">
            <w:pPr>
              <w:spacing w:line="360" w:lineRule="exact"/>
              <w:jc w:val="center"/>
              <w:rPr>
                <w:rFonts w:ascii="宋体" w:hAnsi="宋体"/>
                <w:color w:val="auto"/>
                <w:szCs w:val="21"/>
                <w:highlight w:val="none"/>
              </w:rPr>
            </w:pPr>
            <w:r>
              <w:rPr>
                <w:rFonts w:hint="eastAsia" w:ascii="宋体" w:hAnsi="宋体"/>
                <w:color w:val="auto"/>
                <w:szCs w:val="21"/>
                <w:highlight w:val="none"/>
              </w:rPr>
              <w:t>项目单位名称</w:t>
            </w:r>
          </w:p>
          <w:p w14:paraId="3C8A1FAB">
            <w:pPr>
              <w:spacing w:line="360" w:lineRule="exact"/>
              <w:jc w:val="center"/>
              <w:rPr>
                <w:rFonts w:ascii="宋体" w:hAnsi="宋体"/>
                <w:color w:val="auto"/>
                <w:szCs w:val="21"/>
                <w:highlight w:val="none"/>
              </w:rPr>
            </w:pPr>
            <w:r>
              <w:rPr>
                <w:rFonts w:hint="eastAsia" w:ascii="宋体" w:hAnsi="宋体"/>
                <w:color w:val="auto"/>
                <w:szCs w:val="21"/>
                <w:highlight w:val="none"/>
              </w:rPr>
              <w:t>地址及联系方式</w:t>
            </w:r>
          </w:p>
        </w:tc>
        <w:tc>
          <w:tcPr>
            <w:tcW w:w="1673" w:type="dxa"/>
            <w:vAlign w:val="center"/>
          </w:tcPr>
          <w:p w14:paraId="6C635424">
            <w:pPr>
              <w:spacing w:line="360" w:lineRule="exact"/>
              <w:jc w:val="center"/>
              <w:rPr>
                <w:rFonts w:ascii="宋体" w:hAnsi="宋体"/>
                <w:color w:val="auto"/>
                <w:szCs w:val="21"/>
                <w:highlight w:val="none"/>
              </w:rPr>
            </w:pPr>
            <w:r>
              <w:rPr>
                <w:rFonts w:hint="eastAsia" w:ascii="宋体" w:hAnsi="宋体"/>
                <w:color w:val="auto"/>
                <w:szCs w:val="21"/>
                <w:highlight w:val="none"/>
              </w:rPr>
              <w:t>项目合同金额（单位：万元）</w:t>
            </w:r>
          </w:p>
        </w:tc>
      </w:tr>
      <w:tr w14:paraId="76E3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24C96E74">
            <w:pPr>
              <w:spacing w:line="360" w:lineRule="exact"/>
              <w:jc w:val="center"/>
              <w:rPr>
                <w:rFonts w:ascii="宋体" w:hAnsi="宋体"/>
                <w:color w:val="auto"/>
                <w:szCs w:val="21"/>
                <w:highlight w:val="none"/>
              </w:rPr>
            </w:pPr>
          </w:p>
        </w:tc>
        <w:tc>
          <w:tcPr>
            <w:tcW w:w="1668" w:type="dxa"/>
            <w:vAlign w:val="center"/>
          </w:tcPr>
          <w:p w14:paraId="0CC54033">
            <w:pPr>
              <w:spacing w:line="360" w:lineRule="exact"/>
              <w:jc w:val="center"/>
              <w:rPr>
                <w:rFonts w:ascii="宋体" w:hAnsi="宋体"/>
                <w:color w:val="auto"/>
                <w:szCs w:val="21"/>
                <w:highlight w:val="none"/>
              </w:rPr>
            </w:pPr>
          </w:p>
        </w:tc>
        <w:tc>
          <w:tcPr>
            <w:tcW w:w="1660" w:type="dxa"/>
            <w:vAlign w:val="center"/>
          </w:tcPr>
          <w:p w14:paraId="33DBA06E">
            <w:pPr>
              <w:spacing w:line="360" w:lineRule="exact"/>
              <w:jc w:val="center"/>
              <w:rPr>
                <w:rFonts w:ascii="宋体" w:hAnsi="宋体"/>
                <w:color w:val="auto"/>
                <w:szCs w:val="21"/>
                <w:highlight w:val="none"/>
              </w:rPr>
            </w:pPr>
          </w:p>
        </w:tc>
        <w:tc>
          <w:tcPr>
            <w:tcW w:w="2934" w:type="dxa"/>
            <w:vAlign w:val="center"/>
          </w:tcPr>
          <w:p w14:paraId="43521D32">
            <w:pPr>
              <w:spacing w:line="360" w:lineRule="exact"/>
              <w:jc w:val="center"/>
              <w:rPr>
                <w:rFonts w:ascii="宋体" w:hAnsi="宋体"/>
                <w:color w:val="auto"/>
                <w:szCs w:val="21"/>
                <w:highlight w:val="none"/>
              </w:rPr>
            </w:pPr>
          </w:p>
        </w:tc>
        <w:tc>
          <w:tcPr>
            <w:tcW w:w="1673" w:type="dxa"/>
            <w:vAlign w:val="center"/>
          </w:tcPr>
          <w:p w14:paraId="0D7430BB">
            <w:pPr>
              <w:spacing w:line="360" w:lineRule="exact"/>
              <w:jc w:val="center"/>
              <w:rPr>
                <w:rFonts w:ascii="宋体" w:hAnsi="宋体"/>
                <w:color w:val="auto"/>
                <w:szCs w:val="21"/>
                <w:highlight w:val="none"/>
              </w:rPr>
            </w:pPr>
          </w:p>
        </w:tc>
      </w:tr>
      <w:tr w14:paraId="7C7E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6CB15C3F">
            <w:pPr>
              <w:spacing w:line="360" w:lineRule="exact"/>
              <w:jc w:val="center"/>
              <w:rPr>
                <w:rFonts w:ascii="宋体" w:hAnsi="宋体"/>
                <w:color w:val="auto"/>
                <w:szCs w:val="21"/>
                <w:highlight w:val="none"/>
              </w:rPr>
            </w:pPr>
          </w:p>
        </w:tc>
        <w:tc>
          <w:tcPr>
            <w:tcW w:w="1668" w:type="dxa"/>
            <w:vAlign w:val="center"/>
          </w:tcPr>
          <w:p w14:paraId="66D341C1">
            <w:pPr>
              <w:spacing w:line="360" w:lineRule="exact"/>
              <w:jc w:val="center"/>
              <w:rPr>
                <w:rFonts w:ascii="宋体" w:hAnsi="宋体"/>
                <w:color w:val="auto"/>
                <w:szCs w:val="21"/>
                <w:highlight w:val="none"/>
              </w:rPr>
            </w:pPr>
          </w:p>
        </w:tc>
        <w:tc>
          <w:tcPr>
            <w:tcW w:w="1660" w:type="dxa"/>
            <w:vAlign w:val="center"/>
          </w:tcPr>
          <w:p w14:paraId="341BC7DC">
            <w:pPr>
              <w:spacing w:line="360" w:lineRule="exact"/>
              <w:jc w:val="center"/>
              <w:rPr>
                <w:rFonts w:ascii="宋体" w:hAnsi="宋体"/>
                <w:color w:val="auto"/>
                <w:szCs w:val="21"/>
                <w:highlight w:val="none"/>
              </w:rPr>
            </w:pPr>
          </w:p>
        </w:tc>
        <w:tc>
          <w:tcPr>
            <w:tcW w:w="2934" w:type="dxa"/>
            <w:vAlign w:val="center"/>
          </w:tcPr>
          <w:p w14:paraId="1117D974">
            <w:pPr>
              <w:spacing w:line="360" w:lineRule="exact"/>
              <w:jc w:val="center"/>
              <w:rPr>
                <w:rFonts w:ascii="宋体" w:hAnsi="宋体"/>
                <w:color w:val="auto"/>
                <w:szCs w:val="21"/>
                <w:highlight w:val="none"/>
              </w:rPr>
            </w:pPr>
          </w:p>
        </w:tc>
        <w:tc>
          <w:tcPr>
            <w:tcW w:w="1673" w:type="dxa"/>
            <w:vAlign w:val="center"/>
          </w:tcPr>
          <w:p w14:paraId="4785BE22">
            <w:pPr>
              <w:spacing w:line="360" w:lineRule="exact"/>
              <w:jc w:val="center"/>
              <w:rPr>
                <w:rFonts w:ascii="宋体" w:hAnsi="宋体"/>
                <w:color w:val="auto"/>
                <w:szCs w:val="21"/>
                <w:highlight w:val="none"/>
              </w:rPr>
            </w:pPr>
          </w:p>
        </w:tc>
      </w:tr>
      <w:tr w14:paraId="5E9E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057C174E">
            <w:pPr>
              <w:spacing w:line="360" w:lineRule="exact"/>
              <w:jc w:val="center"/>
              <w:rPr>
                <w:rFonts w:ascii="宋体" w:hAnsi="宋体"/>
                <w:color w:val="auto"/>
                <w:szCs w:val="21"/>
                <w:highlight w:val="none"/>
              </w:rPr>
            </w:pPr>
          </w:p>
        </w:tc>
        <w:tc>
          <w:tcPr>
            <w:tcW w:w="1668" w:type="dxa"/>
            <w:vAlign w:val="center"/>
          </w:tcPr>
          <w:p w14:paraId="387A9980">
            <w:pPr>
              <w:spacing w:line="360" w:lineRule="exact"/>
              <w:jc w:val="center"/>
              <w:rPr>
                <w:rFonts w:ascii="宋体" w:hAnsi="宋体"/>
                <w:color w:val="auto"/>
                <w:szCs w:val="21"/>
                <w:highlight w:val="none"/>
              </w:rPr>
            </w:pPr>
          </w:p>
        </w:tc>
        <w:tc>
          <w:tcPr>
            <w:tcW w:w="1660" w:type="dxa"/>
            <w:vAlign w:val="center"/>
          </w:tcPr>
          <w:p w14:paraId="5C7CAB78">
            <w:pPr>
              <w:spacing w:line="360" w:lineRule="exact"/>
              <w:jc w:val="center"/>
              <w:rPr>
                <w:rFonts w:ascii="宋体" w:hAnsi="宋体"/>
                <w:color w:val="auto"/>
                <w:szCs w:val="21"/>
                <w:highlight w:val="none"/>
              </w:rPr>
            </w:pPr>
          </w:p>
        </w:tc>
        <w:tc>
          <w:tcPr>
            <w:tcW w:w="2934" w:type="dxa"/>
            <w:vAlign w:val="center"/>
          </w:tcPr>
          <w:p w14:paraId="2F66A7EB">
            <w:pPr>
              <w:spacing w:line="360" w:lineRule="exact"/>
              <w:jc w:val="center"/>
              <w:rPr>
                <w:rFonts w:ascii="宋体" w:hAnsi="宋体"/>
                <w:color w:val="auto"/>
                <w:szCs w:val="21"/>
                <w:highlight w:val="none"/>
              </w:rPr>
            </w:pPr>
          </w:p>
        </w:tc>
        <w:tc>
          <w:tcPr>
            <w:tcW w:w="1673" w:type="dxa"/>
            <w:vAlign w:val="center"/>
          </w:tcPr>
          <w:p w14:paraId="522BE023">
            <w:pPr>
              <w:spacing w:line="360" w:lineRule="exact"/>
              <w:jc w:val="center"/>
              <w:rPr>
                <w:rFonts w:ascii="宋体" w:hAnsi="宋体"/>
                <w:color w:val="auto"/>
                <w:szCs w:val="21"/>
                <w:highlight w:val="none"/>
              </w:rPr>
            </w:pPr>
          </w:p>
        </w:tc>
      </w:tr>
      <w:tr w14:paraId="39A0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280D941F">
            <w:pPr>
              <w:spacing w:line="360" w:lineRule="exact"/>
              <w:jc w:val="center"/>
              <w:rPr>
                <w:rFonts w:ascii="宋体" w:hAnsi="宋体"/>
                <w:color w:val="auto"/>
                <w:szCs w:val="21"/>
                <w:highlight w:val="none"/>
              </w:rPr>
            </w:pPr>
          </w:p>
        </w:tc>
        <w:tc>
          <w:tcPr>
            <w:tcW w:w="1668" w:type="dxa"/>
            <w:vAlign w:val="center"/>
          </w:tcPr>
          <w:p w14:paraId="03C3A110">
            <w:pPr>
              <w:spacing w:line="360" w:lineRule="exact"/>
              <w:jc w:val="center"/>
              <w:rPr>
                <w:rFonts w:ascii="宋体" w:hAnsi="宋体"/>
                <w:color w:val="auto"/>
                <w:szCs w:val="21"/>
                <w:highlight w:val="none"/>
              </w:rPr>
            </w:pPr>
          </w:p>
        </w:tc>
        <w:tc>
          <w:tcPr>
            <w:tcW w:w="1660" w:type="dxa"/>
            <w:vAlign w:val="center"/>
          </w:tcPr>
          <w:p w14:paraId="6C52DF95">
            <w:pPr>
              <w:spacing w:line="360" w:lineRule="exact"/>
              <w:jc w:val="center"/>
              <w:rPr>
                <w:rFonts w:ascii="宋体" w:hAnsi="宋体"/>
                <w:color w:val="auto"/>
                <w:szCs w:val="21"/>
                <w:highlight w:val="none"/>
              </w:rPr>
            </w:pPr>
          </w:p>
        </w:tc>
        <w:tc>
          <w:tcPr>
            <w:tcW w:w="2934" w:type="dxa"/>
            <w:vAlign w:val="center"/>
          </w:tcPr>
          <w:p w14:paraId="33913999">
            <w:pPr>
              <w:spacing w:line="360" w:lineRule="exact"/>
              <w:jc w:val="center"/>
              <w:rPr>
                <w:rFonts w:ascii="宋体" w:hAnsi="宋体"/>
                <w:color w:val="auto"/>
                <w:szCs w:val="21"/>
                <w:highlight w:val="none"/>
              </w:rPr>
            </w:pPr>
          </w:p>
        </w:tc>
        <w:tc>
          <w:tcPr>
            <w:tcW w:w="1673" w:type="dxa"/>
            <w:vAlign w:val="center"/>
          </w:tcPr>
          <w:p w14:paraId="0CEA1E5E">
            <w:pPr>
              <w:spacing w:line="360" w:lineRule="exact"/>
              <w:jc w:val="center"/>
              <w:rPr>
                <w:rFonts w:ascii="宋体" w:hAnsi="宋体"/>
                <w:color w:val="auto"/>
                <w:szCs w:val="21"/>
                <w:highlight w:val="none"/>
              </w:rPr>
            </w:pPr>
          </w:p>
        </w:tc>
      </w:tr>
      <w:tr w14:paraId="43B6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3AA5CA81">
            <w:pPr>
              <w:spacing w:line="360" w:lineRule="exact"/>
              <w:jc w:val="center"/>
              <w:rPr>
                <w:rFonts w:ascii="宋体" w:hAnsi="宋体"/>
                <w:color w:val="auto"/>
                <w:szCs w:val="21"/>
                <w:highlight w:val="none"/>
              </w:rPr>
            </w:pPr>
          </w:p>
        </w:tc>
        <w:tc>
          <w:tcPr>
            <w:tcW w:w="1668" w:type="dxa"/>
            <w:vAlign w:val="center"/>
          </w:tcPr>
          <w:p w14:paraId="2B6A4AB5">
            <w:pPr>
              <w:spacing w:line="360" w:lineRule="exact"/>
              <w:jc w:val="center"/>
              <w:rPr>
                <w:rFonts w:ascii="宋体" w:hAnsi="宋体"/>
                <w:color w:val="auto"/>
                <w:szCs w:val="21"/>
                <w:highlight w:val="none"/>
              </w:rPr>
            </w:pPr>
          </w:p>
        </w:tc>
        <w:tc>
          <w:tcPr>
            <w:tcW w:w="1660" w:type="dxa"/>
            <w:vAlign w:val="center"/>
          </w:tcPr>
          <w:p w14:paraId="2B5F7902">
            <w:pPr>
              <w:spacing w:line="360" w:lineRule="exact"/>
              <w:jc w:val="center"/>
              <w:rPr>
                <w:rFonts w:ascii="宋体" w:hAnsi="宋体"/>
                <w:color w:val="auto"/>
                <w:szCs w:val="21"/>
                <w:highlight w:val="none"/>
              </w:rPr>
            </w:pPr>
          </w:p>
        </w:tc>
        <w:tc>
          <w:tcPr>
            <w:tcW w:w="2934" w:type="dxa"/>
            <w:vAlign w:val="center"/>
          </w:tcPr>
          <w:p w14:paraId="3010445E">
            <w:pPr>
              <w:spacing w:line="360" w:lineRule="exact"/>
              <w:jc w:val="center"/>
              <w:rPr>
                <w:rFonts w:ascii="宋体" w:hAnsi="宋体"/>
                <w:color w:val="auto"/>
                <w:szCs w:val="21"/>
                <w:highlight w:val="none"/>
              </w:rPr>
            </w:pPr>
          </w:p>
        </w:tc>
        <w:tc>
          <w:tcPr>
            <w:tcW w:w="1673" w:type="dxa"/>
            <w:vAlign w:val="center"/>
          </w:tcPr>
          <w:p w14:paraId="799399D8">
            <w:pPr>
              <w:spacing w:line="360" w:lineRule="exact"/>
              <w:jc w:val="center"/>
              <w:rPr>
                <w:rFonts w:ascii="宋体" w:hAnsi="宋体"/>
                <w:color w:val="auto"/>
                <w:szCs w:val="21"/>
                <w:highlight w:val="none"/>
              </w:rPr>
            </w:pPr>
          </w:p>
        </w:tc>
      </w:tr>
      <w:tr w14:paraId="633D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7D983915">
            <w:pPr>
              <w:spacing w:line="360" w:lineRule="exact"/>
              <w:jc w:val="center"/>
              <w:rPr>
                <w:rFonts w:ascii="宋体" w:hAnsi="宋体"/>
                <w:color w:val="auto"/>
                <w:szCs w:val="21"/>
                <w:highlight w:val="none"/>
              </w:rPr>
            </w:pPr>
          </w:p>
        </w:tc>
        <w:tc>
          <w:tcPr>
            <w:tcW w:w="1668" w:type="dxa"/>
            <w:vAlign w:val="center"/>
          </w:tcPr>
          <w:p w14:paraId="4D8CDAA3">
            <w:pPr>
              <w:spacing w:line="360" w:lineRule="exact"/>
              <w:jc w:val="center"/>
              <w:rPr>
                <w:rFonts w:ascii="宋体" w:hAnsi="宋体"/>
                <w:color w:val="auto"/>
                <w:szCs w:val="21"/>
                <w:highlight w:val="none"/>
              </w:rPr>
            </w:pPr>
          </w:p>
        </w:tc>
        <w:tc>
          <w:tcPr>
            <w:tcW w:w="1660" w:type="dxa"/>
            <w:vAlign w:val="center"/>
          </w:tcPr>
          <w:p w14:paraId="3348E1A9">
            <w:pPr>
              <w:spacing w:line="360" w:lineRule="exact"/>
              <w:jc w:val="center"/>
              <w:rPr>
                <w:rFonts w:ascii="宋体" w:hAnsi="宋体"/>
                <w:color w:val="auto"/>
                <w:szCs w:val="21"/>
                <w:highlight w:val="none"/>
              </w:rPr>
            </w:pPr>
          </w:p>
        </w:tc>
        <w:tc>
          <w:tcPr>
            <w:tcW w:w="2934" w:type="dxa"/>
            <w:vAlign w:val="center"/>
          </w:tcPr>
          <w:p w14:paraId="63095513">
            <w:pPr>
              <w:spacing w:line="360" w:lineRule="exact"/>
              <w:jc w:val="center"/>
              <w:rPr>
                <w:rFonts w:ascii="宋体" w:hAnsi="宋体"/>
                <w:color w:val="auto"/>
                <w:szCs w:val="21"/>
                <w:highlight w:val="none"/>
              </w:rPr>
            </w:pPr>
          </w:p>
        </w:tc>
        <w:tc>
          <w:tcPr>
            <w:tcW w:w="1673" w:type="dxa"/>
            <w:vAlign w:val="center"/>
          </w:tcPr>
          <w:p w14:paraId="7018E1DA">
            <w:pPr>
              <w:spacing w:line="360" w:lineRule="exact"/>
              <w:jc w:val="center"/>
              <w:rPr>
                <w:rFonts w:ascii="宋体" w:hAnsi="宋体"/>
                <w:color w:val="auto"/>
                <w:szCs w:val="21"/>
                <w:highlight w:val="none"/>
              </w:rPr>
            </w:pPr>
          </w:p>
        </w:tc>
      </w:tr>
      <w:tr w14:paraId="7B95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11D988F8">
            <w:pPr>
              <w:spacing w:line="360" w:lineRule="exact"/>
              <w:jc w:val="center"/>
              <w:rPr>
                <w:rFonts w:ascii="宋体" w:hAnsi="宋体"/>
                <w:color w:val="auto"/>
                <w:szCs w:val="21"/>
                <w:highlight w:val="none"/>
              </w:rPr>
            </w:pPr>
          </w:p>
        </w:tc>
        <w:tc>
          <w:tcPr>
            <w:tcW w:w="1668" w:type="dxa"/>
            <w:vAlign w:val="center"/>
          </w:tcPr>
          <w:p w14:paraId="712B7D30">
            <w:pPr>
              <w:spacing w:line="360" w:lineRule="exact"/>
              <w:jc w:val="center"/>
              <w:rPr>
                <w:rFonts w:ascii="宋体" w:hAnsi="宋体"/>
                <w:color w:val="auto"/>
                <w:szCs w:val="21"/>
                <w:highlight w:val="none"/>
              </w:rPr>
            </w:pPr>
          </w:p>
        </w:tc>
        <w:tc>
          <w:tcPr>
            <w:tcW w:w="1660" w:type="dxa"/>
            <w:vAlign w:val="center"/>
          </w:tcPr>
          <w:p w14:paraId="6AD982F9">
            <w:pPr>
              <w:spacing w:line="360" w:lineRule="exact"/>
              <w:jc w:val="center"/>
              <w:rPr>
                <w:rFonts w:ascii="宋体" w:hAnsi="宋体"/>
                <w:color w:val="auto"/>
                <w:szCs w:val="21"/>
                <w:highlight w:val="none"/>
              </w:rPr>
            </w:pPr>
          </w:p>
        </w:tc>
        <w:tc>
          <w:tcPr>
            <w:tcW w:w="2934" w:type="dxa"/>
            <w:vAlign w:val="center"/>
          </w:tcPr>
          <w:p w14:paraId="02DC84C0">
            <w:pPr>
              <w:spacing w:line="360" w:lineRule="exact"/>
              <w:jc w:val="center"/>
              <w:rPr>
                <w:rFonts w:ascii="宋体" w:hAnsi="宋体"/>
                <w:color w:val="auto"/>
                <w:szCs w:val="21"/>
                <w:highlight w:val="none"/>
              </w:rPr>
            </w:pPr>
          </w:p>
        </w:tc>
        <w:tc>
          <w:tcPr>
            <w:tcW w:w="1673" w:type="dxa"/>
            <w:vAlign w:val="center"/>
          </w:tcPr>
          <w:p w14:paraId="39E0CAE7">
            <w:pPr>
              <w:spacing w:line="360" w:lineRule="exact"/>
              <w:jc w:val="center"/>
              <w:rPr>
                <w:rFonts w:ascii="宋体" w:hAnsi="宋体"/>
                <w:color w:val="auto"/>
                <w:szCs w:val="21"/>
                <w:highlight w:val="none"/>
              </w:rPr>
            </w:pPr>
          </w:p>
        </w:tc>
      </w:tr>
      <w:tr w14:paraId="7563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189450EA">
            <w:pPr>
              <w:spacing w:line="360" w:lineRule="exact"/>
              <w:jc w:val="center"/>
              <w:rPr>
                <w:rFonts w:ascii="宋体" w:hAnsi="宋体"/>
                <w:color w:val="auto"/>
                <w:szCs w:val="21"/>
                <w:highlight w:val="none"/>
              </w:rPr>
            </w:pPr>
          </w:p>
        </w:tc>
        <w:tc>
          <w:tcPr>
            <w:tcW w:w="1668" w:type="dxa"/>
            <w:vAlign w:val="center"/>
          </w:tcPr>
          <w:p w14:paraId="12D71085">
            <w:pPr>
              <w:spacing w:line="360" w:lineRule="exact"/>
              <w:jc w:val="center"/>
              <w:rPr>
                <w:rFonts w:ascii="宋体" w:hAnsi="宋体"/>
                <w:color w:val="auto"/>
                <w:szCs w:val="21"/>
                <w:highlight w:val="none"/>
              </w:rPr>
            </w:pPr>
          </w:p>
        </w:tc>
        <w:tc>
          <w:tcPr>
            <w:tcW w:w="1660" w:type="dxa"/>
            <w:vAlign w:val="center"/>
          </w:tcPr>
          <w:p w14:paraId="3AF60CFF">
            <w:pPr>
              <w:spacing w:line="360" w:lineRule="exact"/>
              <w:jc w:val="center"/>
              <w:rPr>
                <w:rFonts w:ascii="宋体" w:hAnsi="宋体"/>
                <w:color w:val="auto"/>
                <w:szCs w:val="21"/>
                <w:highlight w:val="none"/>
              </w:rPr>
            </w:pPr>
          </w:p>
        </w:tc>
        <w:tc>
          <w:tcPr>
            <w:tcW w:w="2934" w:type="dxa"/>
            <w:vAlign w:val="center"/>
          </w:tcPr>
          <w:p w14:paraId="5492BCA6">
            <w:pPr>
              <w:spacing w:line="360" w:lineRule="exact"/>
              <w:jc w:val="center"/>
              <w:rPr>
                <w:rFonts w:ascii="宋体" w:hAnsi="宋体"/>
                <w:color w:val="auto"/>
                <w:szCs w:val="21"/>
                <w:highlight w:val="none"/>
              </w:rPr>
            </w:pPr>
          </w:p>
        </w:tc>
        <w:tc>
          <w:tcPr>
            <w:tcW w:w="1673" w:type="dxa"/>
            <w:vAlign w:val="center"/>
          </w:tcPr>
          <w:p w14:paraId="7DF23B5E">
            <w:pPr>
              <w:spacing w:line="360" w:lineRule="exact"/>
              <w:jc w:val="center"/>
              <w:rPr>
                <w:rFonts w:ascii="宋体" w:hAnsi="宋体"/>
                <w:color w:val="auto"/>
                <w:szCs w:val="21"/>
                <w:highlight w:val="none"/>
              </w:rPr>
            </w:pPr>
          </w:p>
        </w:tc>
      </w:tr>
      <w:tr w14:paraId="2705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305A8100">
            <w:pPr>
              <w:spacing w:line="360" w:lineRule="exact"/>
              <w:jc w:val="center"/>
              <w:rPr>
                <w:rFonts w:ascii="宋体" w:hAnsi="宋体"/>
                <w:color w:val="auto"/>
                <w:szCs w:val="21"/>
                <w:highlight w:val="none"/>
              </w:rPr>
            </w:pPr>
          </w:p>
        </w:tc>
        <w:tc>
          <w:tcPr>
            <w:tcW w:w="1668" w:type="dxa"/>
            <w:vAlign w:val="center"/>
          </w:tcPr>
          <w:p w14:paraId="6CA59897">
            <w:pPr>
              <w:spacing w:line="360" w:lineRule="exact"/>
              <w:jc w:val="center"/>
              <w:rPr>
                <w:rFonts w:ascii="宋体" w:hAnsi="宋体"/>
                <w:color w:val="auto"/>
                <w:szCs w:val="21"/>
                <w:highlight w:val="none"/>
              </w:rPr>
            </w:pPr>
          </w:p>
        </w:tc>
        <w:tc>
          <w:tcPr>
            <w:tcW w:w="1660" w:type="dxa"/>
            <w:vAlign w:val="center"/>
          </w:tcPr>
          <w:p w14:paraId="575C3AAA">
            <w:pPr>
              <w:spacing w:line="360" w:lineRule="exact"/>
              <w:jc w:val="center"/>
              <w:rPr>
                <w:rFonts w:ascii="宋体" w:hAnsi="宋体"/>
                <w:color w:val="auto"/>
                <w:szCs w:val="21"/>
                <w:highlight w:val="none"/>
              </w:rPr>
            </w:pPr>
          </w:p>
        </w:tc>
        <w:tc>
          <w:tcPr>
            <w:tcW w:w="2934" w:type="dxa"/>
            <w:vAlign w:val="center"/>
          </w:tcPr>
          <w:p w14:paraId="3C39C030">
            <w:pPr>
              <w:spacing w:line="360" w:lineRule="exact"/>
              <w:jc w:val="center"/>
              <w:rPr>
                <w:rFonts w:ascii="宋体" w:hAnsi="宋体"/>
                <w:color w:val="auto"/>
                <w:szCs w:val="21"/>
                <w:highlight w:val="none"/>
              </w:rPr>
            </w:pPr>
          </w:p>
        </w:tc>
        <w:tc>
          <w:tcPr>
            <w:tcW w:w="1673" w:type="dxa"/>
            <w:vAlign w:val="center"/>
          </w:tcPr>
          <w:p w14:paraId="4F1181F6">
            <w:pPr>
              <w:spacing w:line="360" w:lineRule="exact"/>
              <w:jc w:val="center"/>
              <w:rPr>
                <w:rFonts w:ascii="宋体" w:hAnsi="宋体"/>
                <w:color w:val="auto"/>
                <w:szCs w:val="21"/>
                <w:highlight w:val="none"/>
              </w:rPr>
            </w:pPr>
          </w:p>
        </w:tc>
      </w:tr>
      <w:tr w14:paraId="7769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17847D45">
            <w:pPr>
              <w:spacing w:line="360" w:lineRule="exact"/>
              <w:jc w:val="center"/>
              <w:rPr>
                <w:rFonts w:ascii="宋体" w:hAnsi="宋体"/>
                <w:color w:val="auto"/>
                <w:szCs w:val="21"/>
                <w:highlight w:val="none"/>
              </w:rPr>
            </w:pPr>
          </w:p>
        </w:tc>
        <w:tc>
          <w:tcPr>
            <w:tcW w:w="1668" w:type="dxa"/>
            <w:vAlign w:val="center"/>
          </w:tcPr>
          <w:p w14:paraId="44337291">
            <w:pPr>
              <w:spacing w:line="360" w:lineRule="exact"/>
              <w:jc w:val="center"/>
              <w:rPr>
                <w:rFonts w:ascii="宋体" w:hAnsi="宋体"/>
                <w:color w:val="auto"/>
                <w:szCs w:val="21"/>
                <w:highlight w:val="none"/>
              </w:rPr>
            </w:pPr>
          </w:p>
        </w:tc>
        <w:tc>
          <w:tcPr>
            <w:tcW w:w="1660" w:type="dxa"/>
            <w:vAlign w:val="center"/>
          </w:tcPr>
          <w:p w14:paraId="56B494A1">
            <w:pPr>
              <w:spacing w:line="360" w:lineRule="exact"/>
              <w:jc w:val="center"/>
              <w:rPr>
                <w:rFonts w:ascii="宋体" w:hAnsi="宋体"/>
                <w:color w:val="auto"/>
                <w:szCs w:val="21"/>
                <w:highlight w:val="none"/>
              </w:rPr>
            </w:pPr>
          </w:p>
        </w:tc>
        <w:tc>
          <w:tcPr>
            <w:tcW w:w="2934" w:type="dxa"/>
            <w:vAlign w:val="center"/>
          </w:tcPr>
          <w:p w14:paraId="6AFB5797">
            <w:pPr>
              <w:spacing w:line="360" w:lineRule="exact"/>
              <w:jc w:val="center"/>
              <w:rPr>
                <w:rFonts w:ascii="宋体" w:hAnsi="宋体"/>
                <w:color w:val="auto"/>
                <w:szCs w:val="21"/>
                <w:highlight w:val="none"/>
              </w:rPr>
            </w:pPr>
          </w:p>
        </w:tc>
        <w:tc>
          <w:tcPr>
            <w:tcW w:w="1673" w:type="dxa"/>
            <w:vAlign w:val="center"/>
          </w:tcPr>
          <w:p w14:paraId="3452E14E">
            <w:pPr>
              <w:spacing w:line="360" w:lineRule="exact"/>
              <w:jc w:val="center"/>
              <w:rPr>
                <w:rFonts w:ascii="宋体" w:hAnsi="宋体"/>
                <w:color w:val="auto"/>
                <w:szCs w:val="21"/>
                <w:highlight w:val="none"/>
              </w:rPr>
            </w:pPr>
          </w:p>
        </w:tc>
      </w:tr>
      <w:tr w14:paraId="4A0E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vAlign w:val="center"/>
          </w:tcPr>
          <w:p w14:paraId="44982AE4">
            <w:pPr>
              <w:spacing w:line="360" w:lineRule="exact"/>
              <w:jc w:val="center"/>
              <w:rPr>
                <w:rFonts w:ascii="宋体" w:hAnsi="宋体"/>
                <w:color w:val="auto"/>
                <w:szCs w:val="21"/>
                <w:highlight w:val="none"/>
              </w:rPr>
            </w:pPr>
          </w:p>
        </w:tc>
        <w:tc>
          <w:tcPr>
            <w:tcW w:w="1668" w:type="dxa"/>
            <w:vAlign w:val="center"/>
          </w:tcPr>
          <w:p w14:paraId="1F3EDC8E">
            <w:pPr>
              <w:spacing w:line="360" w:lineRule="exact"/>
              <w:jc w:val="center"/>
              <w:rPr>
                <w:rFonts w:ascii="宋体" w:hAnsi="宋体"/>
                <w:color w:val="auto"/>
                <w:szCs w:val="21"/>
                <w:highlight w:val="none"/>
              </w:rPr>
            </w:pPr>
          </w:p>
        </w:tc>
        <w:tc>
          <w:tcPr>
            <w:tcW w:w="1660" w:type="dxa"/>
            <w:vAlign w:val="center"/>
          </w:tcPr>
          <w:p w14:paraId="1CF62DE2">
            <w:pPr>
              <w:spacing w:line="360" w:lineRule="exact"/>
              <w:jc w:val="center"/>
              <w:rPr>
                <w:rFonts w:ascii="宋体" w:hAnsi="宋体"/>
                <w:color w:val="auto"/>
                <w:szCs w:val="21"/>
                <w:highlight w:val="none"/>
              </w:rPr>
            </w:pPr>
          </w:p>
        </w:tc>
        <w:tc>
          <w:tcPr>
            <w:tcW w:w="2934" w:type="dxa"/>
            <w:vAlign w:val="center"/>
          </w:tcPr>
          <w:p w14:paraId="3DE2BB63">
            <w:pPr>
              <w:spacing w:line="360" w:lineRule="exact"/>
              <w:jc w:val="center"/>
              <w:rPr>
                <w:rFonts w:ascii="宋体" w:hAnsi="宋体"/>
                <w:color w:val="auto"/>
                <w:szCs w:val="21"/>
                <w:highlight w:val="none"/>
              </w:rPr>
            </w:pPr>
          </w:p>
        </w:tc>
        <w:tc>
          <w:tcPr>
            <w:tcW w:w="1673" w:type="dxa"/>
            <w:vAlign w:val="center"/>
          </w:tcPr>
          <w:p w14:paraId="1A551DBD">
            <w:pPr>
              <w:spacing w:line="360" w:lineRule="exact"/>
              <w:jc w:val="center"/>
              <w:rPr>
                <w:rFonts w:ascii="宋体" w:hAnsi="宋体"/>
                <w:color w:val="auto"/>
                <w:szCs w:val="21"/>
                <w:highlight w:val="none"/>
              </w:rPr>
            </w:pPr>
          </w:p>
        </w:tc>
      </w:tr>
    </w:tbl>
    <w:p w14:paraId="649C0473">
      <w:pPr>
        <w:snapToGrid w:val="0"/>
        <w:spacing w:line="440" w:lineRule="exact"/>
        <w:rPr>
          <w:rFonts w:ascii="宋体" w:hAnsi="宋体"/>
          <w:color w:val="auto"/>
          <w:szCs w:val="21"/>
          <w:highlight w:val="none"/>
        </w:rPr>
      </w:pPr>
    </w:p>
    <w:p w14:paraId="733E8036">
      <w:pPr>
        <w:snapToGrid w:val="0"/>
        <w:spacing w:line="440" w:lineRule="exact"/>
        <w:rPr>
          <w:rFonts w:ascii="宋体"/>
          <w:color w:val="auto"/>
          <w:szCs w:val="21"/>
          <w:highlight w:val="none"/>
        </w:rPr>
      </w:pPr>
    </w:p>
    <w:p w14:paraId="21AD830B">
      <w:pPr>
        <w:snapToGrid w:val="0"/>
        <w:spacing w:line="440" w:lineRule="exact"/>
        <w:rPr>
          <w:rFonts w:ascii="宋体"/>
          <w:color w:val="auto"/>
          <w:szCs w:val="21"/>
          <w:highlight w:val="none"/>
          <w:u w:val="single"/>
        </w:rPr>
      </w:pPr>
      <w:r>
        <w:rPr>
          <w:rFonts w:hint="eastAsia" w:ascii="宋体"/>
          <w:color w:val="auto"/>
          <w:szCs w:val="21"/>
          <w:highlight w:val="none"/>
        </w:rPr>
        <w:t>授权代表签名：</w:t>
      </w:r>
      <w:r>
        <w:rPr>
          <w:rFonts w:hint="eastAsia" w:ascii="宋体"/>
          <w:color w:val="auto"/>
          <w:szCs w:val="21"/>
          <w:highlight w:val="none"/>
          <w:u w:val="single"/>
        </w:rPr>
        <w:t xml:space="preserve">                  </w:t>
      </w:r>
    </w:p>
    <w:p w14:paraId="7E39C406">
      <w:pPr>
        <w:pStyle w:val="20"/>
        <w:adjustRightInd w:val="0"/>
        <w:snapToGrid w:val="0"/>
        <w:spacing w:after="0" w:line="440" w:lineRule="exact"/>
        <w:rPr>
          <w:rFonts w:ascii="宋体"/>
          <w:color w:val="auto"/>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p>
    <w:p w14:paraId="41E0A862">
      <w:pPr>
        <w:adjustRightInd w:val="0"/>
        <w:snapToGrid w:val="0"/>
        <w:spacing w:line="440" w:lineRule="exact"/>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14:paraId="1F18B5A4">
      <w:pPr>
        <w:tabs>
          <w:tab w:val="left" w:pos="360"/>
        </w:tabs>
        <w:autoSpaceDE w:val="0"/>
        <w:autoSpaceDN w:val="0"/>
        <w:adjustRightInd w:val="0"/>
        <w:textAlignment w:val="baseline"/>
        <w:rPr>
          <w:color w:val="auto"/>
          <w:highlight w:val="none"/>
        </w:rPr>
      </w:pPr>
    </w:p>
    <w:p w14:paraId="27B38A1C">
      <w:pPr>
        <w:pStyle w:val="109"/>
        <w:rPr>
          <w:color w:val="auto"/>
          <w:highlight w:val="none"/>
        </w:rPr>
      </w:pPr>
    </w:p>
    <w:p w14:paraId="5E22E759">
      <w:pPr>
        <w:pStyle w:val="20"/>
        <w:rPr>
          <w:color w:val="auto"/>
          <w:highlight w:val="none"/>
        </w:rPr>
      </w:pPr>
    </w:p>
    <w:p w14:paraId="38DB8644">
      <w:pPr>
        <w:pStyle w:val="20"/>
        <w:rPr>
          <w:color w:val="auto"/>
          <w:highlight w:val="none"/>
        </w:rPr>
      </w:pPr>
    </w:p>
    <w:p w14:paraId="5872A1C8">
      <w:pPr>
        <w:pStyle w:val="20"/>
        <w:rPr>
          <w:color w:val="auto"/>
          <w:highlight w:val="none"/>
        </w:rPr>
      </w:pPr>
    </w:p>
    <w:p w14:paraId="2B96CB1D">
      <w:pPr>
        <w:pStyle w:val="20"/>
        <w:rPr>
          <w:color w:val="auto"/>
          <w:highlight w:val="none"/>
        </w:rPr>
      </w:pPr>
    </w:p>
    <w:p w14:paraId="5130790F">
      <w:pPr>
        <w:pStyle w:val="20"/>
        <w:rPr>
          <w:color w:val="auto"/>
          <w:highlight w:val="none"/>
        </w:rPr>
      </w:pPr>
    </w:p>
    <w:p w14:paraId="73F6F59B">
      <w:pPr>
        <w:pStyle w:val="20"/>
        <w:rPr>
          <w:color w:val="auto"/>
          <w:highlight w:val="none"/>
        </w:rPr>
      </w:pPr>
    </w:p>
    <w:p w14:paraId="0D361266">
      <w:pPr>
        <w:pStyle w:val="20"/>
        <w:rPr>
          <w:color w:val="auto"/>
          <w:highlight w:val="none"/>
        </w:rPr>
      </w:pPr>
    </w:p>
    <w:p w14:paraId="66C73430">
      <w:pPr>
        <w:adjustRightInd w:val="0"/>
        <w:snapToGrid w:val="0"/>
        <w:spacing w:before="120" w:beforeLines="50" w:after="120" w:afterLines="50" w:line="500" w:lineRule="exact"/>
        <w:outlineLvl w:val="2"/>
        <w:rPr>
          <w:rFonts w:ascii="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三</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服务</w:t>
      </w:r>
      <w:r>
        <w:rPr>
          <w:rFonts w:hint="eastAsia" w:ascii="宋体"/>
          <w:b/>
          <w:color w:val="auto"/>
          <w:szCs w:val="21"/>
          <w:highlight w:val="none"/>
        </w:rPr>
        <w:t>响应表格式：</w:t>
      </w:r>
    </w:p>
    <w:p w14:paraId="59DB509B">
      <w:pPr>
        <w:adjustRightInd w:val="0"/>
        <w:snapToGrid w:val="0"/>
        <w:spacing w:line="440" w:lineRule="exact"/>
        <w:jc w:val="center"/>
        <w:rPr>
          <w:rFonts w:ascii="宋体"/>
          <w:b/>
          <w:color w:val="auto"/>
          <w:szCs w:val="21"/>
          <w:highlight w:val="none"/>
        </w:rPr>
      </w:pPr>
      <w:r>
        <w:rPr>
          <w:rFonts w:hint="eastAsia" w:ascii="宋体"/>
          <w:b/>
          <w:color w:val="auto"/>
          <w:szCs w:val="21"/>
          <w:highlight w:val="none"/>
          <w:lang w:eastAsia="zh-CN"/>
        </w:rPr>
        <w:t>服务</w:t>
      </w:r>
      <w:r>
        <w:rPr>
          <w:rFonts w:hint="eastAsia" w:ascii="宋体"/>
          <w:b/>
          <w:color w:val="auto"/>
          <w:szCs w:val="21"/>
          <w:highlight w:val="none"/>
        </w:rPr>
        <w:t>响应表</w:t>
      </w:r>
    </w:p>
    <w:tbl>
      <w:tblPr>
        <w:tblStyle w:val="60"/>
        <w:tblW w:w="8720" w:type="dxa"/>
        <w:tblInd w:w="0" w:type="dxa"/>
        <w:tblLayout w:type="fixed"/>
        <w:tblCellMar>
          <w:top w:w="0" w:type="dxa"/>
          <w:left w:w="108" w:type="dxa"/>
          <w:bottom w:w="0" w:type="dxa"/>
          <w:right w:w="108" w:type="dxa"/>
        </w:tblCellMar>
      </w:tblPr>
      <w:tblGrid>
        <w:gridCol w:w="829"/>
        <w:gridCol w:w="1259"/>
        <w:gridCol w:w="1981"/>
        <w:gridCol w:w="1979"/>
        <w:gridCol w:w="1441"/>
        <w:gridCol w:w="1231"/>
      </w:tblGrid>
      <w:tr w14:paraId="1EE7B9EE">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vAlign w:val="center"/>
          </w:tcPr>
          <w:p w14:paraId="1813F081">
            <w:pPr>
              <w:spacing w:line="360" w:lineRule="exact"/>
              <w:jc w:val="center"/>
              <w:rPr>
                <w:rFonts w:ascii="宋体"/>
                <w:color w:val="auto"/>
                <w:szCs w:val="21"/>
                <w:highlight w:val="none"/>
              </w:rPr>
            </w:pPr>
            <w:r>
              <w:rPr>
                <w:rFonts w:hint="eastAsia" w:ascii="宋体"/>
                <w:color w:val="auto"/>
                <w:szCs w:val="21"/>
                <w:highlight w:val="none"/>
              </w:rPr>
              <w:t>序号</w:t>
            </w:r>
          </w:p>
        </w:tc>
        <w:tc>
          <w:tcPr>
            <w:tcW w:w="1259" w:type="dxa"/>
            <w:tcBorders>
              <w:top w:val="single" w:color="auto" w:sz="6" w:space="0"/>
              <w:left w:val="single" w:color="auto" w:sz="6" w:space="0"/>
              <w:bottom w:val="single" w:color="auto" w:sz="6" w:space="0"/>
              <w:right w:val="single" w:color="auto" w:sz="6" w:space="0"/>
            </w:tcBorders>
            <w:vAlign w:val="center"/>
          </w:tcPr>
          <w:p w14:paraId="23635F1F">
            <w:pPr>
              <w:spacing w:line="360" w:lineRule="exact"/>
              <w:jc w:val="center"/>
              <w:rPr>
                <w:rFonts w:ascii="宋体"/>
                <w:color w:val="auto"/>
                <w:szCs w:val="21"/>
                <w:highlight w:val="none"/>
              </w:rPr>
            </w:pPr>
            <w:r>
              <w:rPr>
                <w:rFonts w:hint="eastAsia" w:ascii="宋体"/>
                <w:color w:val="auto"/>
                <w:szCs w:val="21"/>
                <w:highlight w:val="none"/>
              </w:rPr>
              <w:t>内容</w:t>
            </w:r>
          </w:p>
        </w:tc>
        <w:tc>
          <w:tcPr>
            <w:tcW w:w="1981" w:type="dxa"/>
            <w:tcBorders>
              <w:top w:val="single" w:color="auto" w:sz="6" w:space="0"/>
              <w:left w:val="single" w:color="auto" w:sz="6" w:space="0"/>
              <w:bottom w:val="single" w:color="auto" w:sz="6" w:space="0"/>
              <w:right w:val="single" w:color="auto" w:sz="6" w:space="0"/>
            </w:tcBorders>
            <w:vAlign w:val="center"/>
          </w:tcPr>
          <w:p w14:paraId="0A0BB13A">
            <w:pPr>
              <w:spacing w:line="360" w:lineRule="exact"/>
              <w:jc w:val="center"/>
              <w:rPr>
                <w:rFonts w:ascii="宋体"/>
                <w:color w:val="auto"/>
                <w:szCs w:val="21"/>
                <w:highlight w:val="none"/>
              </w:rPr>
            </w:pPr>
            <w:r>
              <w:rPr>
                <w:rFonts w:hint="eastAsia" w:ascii="宋体"/>
                <w:color w:val="auto"/>
                <w:szCs w:val="21"/>
                <w:highlight w:val="none"/>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14:paraId="394D505D">
            <w:pPr>
              <w:spacing w:line="360" w:lineRule="exact"/>
              <w:jc w:val="center"/>
              <w:rPr>
                <w:rFonts w:ascii="宋体"/>
                <w:color w:val="auto"/>
                <w:szCs w:val="21"/>
                <w:highlight w:val="none"/>
              </w:rPr>
            </w:pPr>
            <w:r>
              <w:rPr>
                <w:rFonts w:hint="eastAsia" w:ascii="宋体"/>
                <w:color w:val="auto"/>
                <w:szCs w:val="21"/>
                <w:highlight w:val="none"/>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14:paraId="5389F6FF">
            <w:pPr>
              <w:spacing w:line="360" w:lineRule="exact"/>
              <w:jc w:val="center"/>
              <w:rPr>
                <w:rFonts w:ascii="宋体"/>
                <w:color w:val="auto"/>
                <w:szCs w:val="21"/>
                <w:highlight w:val="none"/>
              </w:rPr>
            </w:pPr>
            <w:r>
              <w:rPr>
                <w:rFonts w:hint="eastAsia" w:ascii="宋体"/>
                <w:color w:val="auto"/>
                <w:szCs w:val="21"/>
                <w:highlight w:val="none"/>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14:paraId="3EAFC6EF">
            <w:pPr>
              <w:spacing w:line="360" w:lineRule="exact"/>
              <w:jc w:val="center"/>
              <w:rPr>
                <w:rFonts w:ascii="宋体"/>
                <w:color w:val="auto"/>
                <w:szCs w:val="21"/>
                <w:highlight w:val="none"/>
              </w:rPr>
            </w:pPr>
            <w:r>
              <w:rPr>
                <w:rFonts w:hint="eastAsia" w:ascii="宋体"/>
                <w:color w:val="auto"/>
                <w:szCs w:val="21"/>
                <w:highlight w:val="none"/>
              </w:rPr>
              <w:t>偏离原因</w:t>
            </w:r>
          </w:p>
        </w:tc>
      </w:tr>
      <w:tr w14:paraId="01EBD488">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450B039B">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03D6B8B1">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5CBFF0D7">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5BE51F67">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584871AE">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7326FB3F">
            <w:pPr>
              <w:spacing w:line="360" w:lineRule="exact"/>
              <w:rPr>
                <w:rFonts w:ascii="宋体"/>
                <w:color w:val="auto"/>
                <w:szCs w:val="21"/>
                <w:highlight w:val="none"/>
              </w:rPr>
            </w:pPr>
          </w:p>
        </w:tc>
      </w:tr>
      <w:tr w14:paraId="119F94AC">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74163396">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40F7F74E">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0F537A18">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6706079A">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2064A952">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6A2891CE">
            <w:pPr>
              <w:spacing w:line="360" w:lineRule="exact"/>
              <w:rPr>
                <w:rFonts w:ascii="宋体"/>
                <w:color w:val="auto"/>
                <w:szCs w:val="21"/>
                <w:highlight w:val="none"/>
              </w:rPr>
            </w:pPr>
          </w:p>
        </w:tc>
      </w:tr>
      <w:tr w14:paraId="1F3CC83B">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1DD9A513">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7A3DF4FB">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71F19AD2">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35B67A29">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6D9AEFC6">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1333B4D9">
            <w:pPr>
              <w:spacing w:line="360" w:lineRule="exact"/>
              <w:rPr>
                <w:rFonts w:ascii="宋体"/>
                <w:color w:val="auto"/>
                <w:szCs w:val="21"/>
                <w:highlight w:val="none"/>
              </w:rPr>
            </w:pPr>
          </w:p>
        </w:tc>
      </w:tr>
      <w:tr w14:paraId="12B2C2AC">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1CBA5EEF">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24451F8A">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2831775B">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293A8E4F">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0D730A01">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68AAC61B">
            <w:pPr>
              <w:spacing w:line="360" w:lineRule="exact"/>
              <w:rPr>
                <w:rFonts w:ascii="宋体"/>
                <w:color w:val="auto"/>
                <w:szCs w:val="21"/>
                <w:highlight w:val="none"/>
              </w:rPr>
            </w:pPr>
          </w:p>
        </w:tc>
      </w:tr>
      <w:tr w14:paraId="657D12B5">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30EEE6F9">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01350C0D">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7A4A3A9F">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7083EE4F">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340435B5">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4444F202">
            <w:pPr>
              <w:spacing w:line="360" w:lineRule="exact"/>
              <w:rPr>
                <w:rFonts w:ascii="宋体"/>
                <w:color w:val="auto"/>
                <w:szCs w:val="21"/>
                <w:highlight w:val="none"/>
              </w:rPr>
            </w:pPr>
          </w:p>
        </w:tc>
      </w:tr>
      <w:tr w14:paraId="2BD05B17">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1FC00DE0">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180FD1DE">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18E22171">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7249FDC9">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3823B0AB">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75DE36C8">
            <w:pPr>
              <w:spacing w:line="360" w:lineRule="exact"/>
              <w:rPr>
                <w:rFonts w:ascii="宋体"/>
                <w:color w:val="auto"/>
                <w:szCs w:val="21"/>
                <w:highlight w:val="none"/>
              </w:rPr>
            </w:pPr>
          </w:p>
        </w:tc>
      </w:tr>
      <w:tr w14:paraId="4744A226">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240A2B21">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14BE5685">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4D034B65">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58D7C636">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5F8C3C0F">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127AEEF5">
            <w:pPr>
              <w:spacing w:line="360" w:lineRule="exact"/>
              <w:rPr>
                <w:rFonts w:ascii="宋体"/>
                <w:color w:val="auto"/>
                <w:szCs w:val="21"/>
                <w:highlight w:val="none"/>
              </w:rPr>
            </w:pPr>
          </w:p>
        </w:tc>
      </w:tr>
      <w:tr w14:paraId="096C9073">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2E44017F">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20167E75">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1CDC57A8">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130838B2">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6190671C">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74911EBF">
            <w:pPr>
              <w:spacing w:line="360" w:lineRule="exact"/>
              <w:rPr>
                <w:rFonts w:ascii="宋体"/>
                <w:color w:val="auto"/>
                <w:szCs w:val="21"/>
                <w:highlight w:val="none"/>
              </w:rPr>
            </w:pPr>
          </w:p>
        </w:tc>
      </w:tr>
      <w:tr w14:paraId="32D17146">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78D2A212">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63EE29FE">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14F784BF">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24A787A9">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41E44C86">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7BA30D51">
            <w:pPr>
              <w:spacing w:line="360" w:lineRule="exact"/>
              <w:rPr>
                <w:rFonts w:ascii="宋体"/>
                <w:color w:val="auto"/>
                <w:szCs w:val="21"/>
                <w:highlight w:val="none"/>
              </w:rPr>
            </w:pPr>
          </w:p>
        </w:tc>
      </w:tr>
      <w:tr w14:paraId="2E69F952">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0AF0FB8F">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4B2B9AD2">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490AECC9">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085366F3">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53A8B9D6">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1753B723">
            <w:pPr>
              <w:spacing w:line="360" w:lineRule="exact"/>
              <w:rPr>
                <w:rFonts w:ascii="宋体"/>
                <w:color w:val="auto"/>
                <w:szCs w:val="21"/>
                <w:highlight w:val="none"/>
              </w:rPr>
            </w:pPr>
          </w:p>
        </w:tc>
      </w:tr>
      <w:tr w14:paraId="0849A1B5">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3B9DAA88">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42DE12D7">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12F433C0">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64BF6DF7">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3942C726">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284BE094">
            <w:pPr>
              <w:spacing w:line="360" w:lineRule="exact"/>
              <w:rPr>
                <w:rFonts w:ascii="宋体"/>
                <w:color w:val="auto"/>
                <w:szCs w:val="21"/>
                <w:highlight w:val="none"/>
              </w:rPr>
            </w:pPr>
          </w:p>
        </w:tc>
      </w:tr>
      <w:tr w14:paraId="058FE96D">
        <w:tblPrEx>
          <w:tblCellMar>
            <w:top w:w="0" w:type="dxa"/>
            <w:left w:w="108" w:type="dxa"/>
            <w:bottom w:w="0" w:type="dxa"/>
            <w:right w:w="108" w:type="dxa"/>
          </w:tblCellMar>
        </w:tblPrEx>
        <w:trPr>
          <w:trHeight w:val="567" w:hRule="atLeast"/>
        </w:trPr>
        <w:tc>
          <w:tcPr>
            <w:tcW w:w="829" w:type="dxa"/>
            <w:tcBorders>
              <w:top w:val="single" w:color="auto" w:sz="6" w:space="0"/>
              <w:left w:val="single" w:color="auto" w:sz="6" w:space="0"/>
              <w:bottom w:val="single" w:color="auto" w:sz="6" w:space="0"/>
              <w:right w:val="single" w:color="auto" w:sz="6" w:space="0"/>
            </w:tcBorders>
          </w:tcPr>
          <w:p w14:paraId="7021E616">
            <w:pPr>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14:paraId="7FD42BE7">
            <w:pPr>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14:paraId="5451CEBE">
            <w:pPr>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14:paraId="1E993CC7">
            <w:pPr>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14:paraId="7F35D816">
            <w:pPr>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14:paraId="18F39CA5">
            <w:pPr>
              <w:spacing w:line="360" w:lineRule="exact"/>
              <w:rPr>
                <w:rFonts w:ascii="宋体"/>
                <w:color w:val="auto"/>
                <w:szCs w:val="21"/>
                <w:highlight w:val="none"/>
              </w:rPr>
            </w:pPr>
          </w:p>
        </w:tc>
      </w:tr>
    </w:tbl>
    <w:p w14:paraId="057DA14B">
      <w:pPr>
        <w:snapToGrid w:val="0"/>
        <w:spacing w:line="440" w:lineRule="exact"/>
        <w:ind w:firstLine="420" w:firstLineChars="200"/>
        <w:rPr>
          <w:rFonts w:ascii="宋体"/>
          <w:color w:val="auto"/>
          <w:szCs w:val="21"/>
          <w:highlight w:val="none"/>
        </w:rPr>
      </w:pPr>
      <w:r>
        <w:rPr>
          <w:rFonts w:hint="eastAsia" w:ascii="宋体"/>
          <w:color w:val="auto"/>
          <w:szCs w:val="21"/>
          <w:highlight w:val="none"/>
        </w:rPr>
        <w:t>注：投标人应根据投标设备的性能指标、对照招标文件要求在“偏离情况”栏注明“正偏离”、“负偏离”或“无偏离”。行数可视情况自行添加。不填写视同完全响应招标文件要求。</w:t>
      </w:r>
    </w:p>
    <w:p w14:paraId="0052644D">
      <w:pPr>
        <w:snapToGrid w:val="0"/>
        <w:spacing w:line="440" w:lineRule="exact"/>
        <w:rPr>
          <w:rFonts w:ascii="宋体"/>
          <w:color w:val="auto"/>
          <w:szCs w:val="21"/>
          <w:highlight w:val="none"/>
        </w:rPr>
      </w:pPr>
    </w:p>
    <w:p w14:paraId="1A04A362">
      <w:pPr>
        <w:snapToGrid w:val="0"/>
        <w:spacing w:line="440" w:lineRule="exact"/>
        <w:rPr>
          <w:rFonts w:ascii="宋体"/>
          <w:color w:val="auto"/>
          <w:szCs w:val="21"/>
          <w:highlight w:val="none"/>
        </w:rPr>
      </w:pPr>
    </w:p>
    <w:p w14:paraId="1FFC6319">
      <w:pPr>
        <w:snapToGrid w:val="0"/>
        <w:spacing w:line="440" w:lineRule="exact"/>
        <w:rPr>
          <w:rFonts w:ascii="宋体"/>
          <w:color w:val="auto"/>
          <w:szCs w:val="21"/>
          <w:highlight w:val="none"/>
          <w:u w:val="single"/>
        </w:rPr>
      </w:pPr>
      <w:r>
        <w:rPr>
          <w:rFonts w:hint="eastAsia" w:ascii="宋体"/>
          <w:color w:val="auto"/>
          <w:szCs w:val="21"/>
          <w:highlight w:val="none"/>
        </w:rPr>
        <w:t>授权代表签名：</w:t>
      </w:r>
      <w:r>
        <w:rPr>
          <w:rFonts w:hint="eastAsia" w:ascii="宋体"/>
          <w:color w:val="auto"/>
          <w:szCs w:val="21"/>
          <w:highlight w:val="none"/>
          <w:u w:val="single"/>
        </w:rPr>
        <w:t xml:space="preserve">                  </w:t>
      </w:r>
    </w:p>
    <w:p w14:paraId="0037A642">
      <w:pPr>
        <w:pStyle w:val="20"/>
        <w:adjustRightInd w:val="0"/>
        <w:snapToGrid w:val="0"/>
        <w:spacing w:after="0" w:line="440" w:lineRule="exact"/>
        <w:rPr>
          <w:rFonts w:ascii="宋体"/>
          <w:color w:val="auto"/>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p>
    <w:p w14:paraId="676ED314">
      <w:pPr>
        <w:adjustRightInd w:val="0"/>
        <w:snapToGrid w:val="0"/>
        <w:spacing w:line="440" w:lineRule="exact"/>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14:paraId="55FE04C3">
      <w:pPr>
        <w:snapToGrid w:val="0"/>
        <w:spacing w:line="440" w:lineRule="exact"/>
        <w:rPr>
          <w:rFonts w:ascii="宋体"/>
          <w:color w:val="auto"/>
          <w:szCs w:val="21"/>
          <w:highlight w:val="none"/>
        </w:rPr>
      </w:pPr>
    </w:p>
    <w:p w14:paraId="34088330">
      <w:pPr>
        <w:pStyle w:val="70"/>
        <w:spacing w:before="120"/>
        <w:rPr>
          <w:rFonts w:ascii="宋体"/>
          <w:color w:val="auto"/>
          <w:szCs w:val="21"/>
          <w:highlight w:val="none"/>
        </w:rPr>
      </w:pPr>
    </w:p>
    <w:p w14:paraId="6DF1E4E8">
      <w:pPr>
        <w:pStyle w:val="70"/>
        <w:spacing w:before="120"/>
        <w:rPr>
          <w:rFonts w:ascii="宋体"/>
          <w:color w:val="auto"/>
          <w:szCs w:val="21"/>
          <w:highlight w:val="none"/>
        </w:rPr>
      </w:pPr>
    </w:p>
    <w:p w14:paraId="6D9BEA07">
      <w:pPr>
        <w:pStyle w:val="70"/>
        <w:spacing w:before="120"/>
        <w:rPr>
          <w:rFonts w:ascii="宋体"/>
          <w:color w:val="auto"/>
          <w:szCs w:val="21"/>
          <w:highlight w:val="none"/>
        </w:rPr>
      </w:pPr>
    </w:p>
    <w:p w14:paraId="546718B4">
      <w:pPr>
        <w:adjustRightInd w:val="0"/>
        <w:snapToGrid w:val="0"/>
        <w:spacing w:before="120" w:beforeLines="50" w:after="120" w:afterLines="50" w:line="500" w:lineRule="exact"/>
        <w:rPr>
          <w:rFonts w:hint="eastAsia"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四</w:t>
      </w:r>
      <w:r>
        <w:rPr>
          <w:rFonts w:hint="eastAsia" w:ascii="宋体" w:hAnsi="宋体" w:cs="宋体"/>
          <w:b/>
          <w:color w:val="auto"/>
          <w:szCs w:val="21"/>
          <w:highlight w:val="none"/>
        </w:rPr>
        <w:t>、承诺函格式：</w:t>
      </w:r>
    </w:p>
    <w:p w14:paraId="2D51CF1A">
      <w:pPr>
        <w:shd w:val="clear" w:color="auto" w:fill="auto"/>
        <w:adjustRightInd w:val="0"/>
        <w:snapToGrid w:val="0"/>
        <w:spacing w:line="440" w:lineRule="exact"/>
        <w:jc w:val="center"/>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承诺函</w:t>
      </w:r>
    </w:p>
    <w:p w14:paraId="111CFE12">
      <w:pPr>
        <w:shd w:val="clear" w:color="auto" w:fill="auto"/>
        <w:adjustRightInd w:val="0"/>
        <w:snapToGrid w:val="0"/>
        <w:spacing w:line="240" w:lineRule="auto"/>
        <w:jc w:val="center"/>
        <w:rPr>
          <w:rFonts w:hint="eastAsia" w:ascii="宋体" w:hAnsi="宋体" w:eastAsia="宋体" w:cs="Times New Roman"/>
          <w:b/>
          <w:color w:val="auto"/>
          <w:sz w:val="32"/>
          <w:szCs w:val="32"/>
          <w:highlight w:val="none"/>
        </w:rPr>
      </w:pPr>
    </w:p>
    <w:p w14:paraId="472966FB">
      <w:pPr>
        <w:shd w:val="clear" w:color="auto" w:fill="auto"/>
        <w:adjustRightInd w:val="0"/>
        <w:snapToGrid w:val="0"/>
        <w:spacing w:line="400" w:lineRule="exact"/>
        <w:jc w:val="both"/>
        <w:rPr>
          <w:rFonts w:hint="eastAsia" w:ascii="宋体" w:hAnsi="宋体" w:eastAsia="宋体" w:cs="Times New Roman"/>
          <w:b/>
          <w:bCs/>
          <w:color w:val="auto"/>
          <w:sz w:val="21"/>
          <w:szCs w:val="21"/>
          <w:highlight w:val="none"/>
        </w:rPr>
      </w:pPr>
      <w:r>
        <w:rPr>
          <w:rStyle w:val="191"/>
          <w:rFonts w:hint="eastAsia" w:ascii="宋体" w:hAnsi="宋体" w:cs="Times New Roman"/>
          <w:b/>
          <w:bCs/>
          <w:color w:val="auto"/>
          <w:sz w:val="21"/>
          <w:szCs w:val="21"/>
          <w:highlight w:val="none"/>
          <w:lang w:eastAsia="zh-CN"/>
        </w:rPr>
        <w:t>浙江省南湖监狱：</w:t>
      </w:r>
    </w:p>
    <w:p w14:paraId="5622E28A">
      <w:pPr>
        <w:shd w:val="clear" w:color="auto" w:fill="auto"/>
        <w:adjustRightInd w:val="0"/>
        <w:snapToGrid w:val="0"/>
        <w:spacing w:line="400" w:lineRule="exact"/>
        <w:jc w:val="both"/>
        <w:rPr>
          <w:rFonts w:hint="eastAsia" w:ascii="宋体" w:hAnsi="宋体" w:eastAsia="宋体" w:cs="宋体"/>
          <w:b/>
          <w:bCs/>
          <w:color w:val="auto"/>
          <w:szCs w:val="21"/>
          <w:highlight w:val="none"/>
          <w:lang w:val="en-US" w:eastAsia="zh-CN"/>
        </w:rPr>
      </w:pPr>
    </w:p>
    <w:p w14:paraId="1C07F618">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我公司承诺：</w:t>
      </w:r>
    </w:p>
    <w:p w14:paraId="7FB1BFEC">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szCs w:val="21"/>
          <w:highlight w:val="none"/>
          <w:lang w:val="en-US" w:eastAsia="zh-CN"/>
        </w:rPr>
        <w:t>派驻现场的维保服务人员人数不少于7人，必须为男性，无刑事犯罪记录，工作主动勤恳，能遵守采购人单位的管理制度，熟练掌握安防系统各类设备的操作检修与系统软件的配置应用，熟悉《浙江省电子政务网络技术规范》、《浙江省电子政务网络安全规范》等。服务期内驻场维保人员专职为</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lang w:val="en-US" w:eastAsia="zh-CN"/>
        </w:rPr>
        <w:t>提供安防信息设施维保服务，其工作模式、工作时间、地点、内容由采购人单位安排</w:t>
      </w:r>
      <w:r>
        <w:rPr>
          <w:rFonts w:hint="eastAsia" w:ascii="宋体" w:hAnsi="宋体" w:eastAsia="宋体" w:cs="宋体"/>
          <w:b w:val="0"/>
          <w:bCs w:val="0"/>
          <w:color w:val="auto"/>
          <w:szCs w:val="21"/>
          <w:highlight w:val="none"/>
          <w:lang w:val="en-US" w:eastAsia="zh-CN"/>
        </w:rPr>
        <w:t>。合同签订后， 中标单位需提供派驻现场驻点维保人员为公司员工的证明材料。</w:t>
      </w:r>
    </w:p>
    <w:p w14:paraId="053F70D1">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特此承诺，否则</w:t>
      </w:r>
      <w:r>
        <w:rPr>
          <w:rFonts w:hint="eastAsia" w:ascii="宋体" w:hAnsi="宋体" w:eastAsia="宋体" w:cs="宋体"/>
          <w:color w:val="auto"/>
          <w:szCs w:val="21"/>
          <w:highlight w:val="none"/>
          <w:lang w:val="en-US" w:eastAsia="zh-CN"/>
        </w:rPr>
        <w:t>采购人</w:t>
      </w:r>
      <w:r>
        <w:rPr>
          <w:rFonts w:hint="eastAsia" w:ascii="宋体" w:hAnsi="宋体" w:eastAsia="宋体" w:cs="宋体"/>
          <w:b w:val="0"/>
          <w:bCs w:val="0"/>
          <w:color w:val="auto"/>
          <w:szCs w:val="21"/>
          <w:highlight w:val="none"/>
          <w:lang w:val="en-US" w:eastAsia="zh-CN"/>
        </w:rPr>
        <w:t>有权取消我公司中标资格。</w:t>
      </w:r>
    </w:p>
    <w:p w14:paraId="434B3AB1">
      <w:pPr>
        <w:shd w:val="clear" w:color="auto" w:fill="auto"/>
        <w:adjustRightInd w:val="0"/>
        <w:snapToGrid w:val="0"/>
        <w:spacing w:line="240" w:lineRule="auto"/>
        <w:jc w:val="center"/>
        <w:rPr>
          <w:rFonts w:hint="eastAsia" w:ascii="宋体" w:hAnsi="宋体" w:eastAsia="宋体" w:cs="Times New Roman"/>
          <w:b/>
          <w:color w:val="auto"/>
          <w:sz w:val="32"/>
          <w:szCs w:val="32"/>
          <w:highlight w:val="none"/>
        </w:rPr>
      </w:pPr>
    </w:p>
    <w:p w14:paraId="4D4CF515">
      <w:pPr>
        <w:shd w:val="clear" w:color="auto" w:fill="auto"/>
        <w:adjustRightInd w:val="0"/>
        <w:snapToGrid w:val="0"/>
        <w:spacing w:line="240" w:lineRule="auto"/>
        <w:jc w:val="center"/>
        <w:rPr>
          <w:rFonts w:hint="eastAsia" w:ascii="宋体" w:hAnsi="宋体" w:eastAsia="宋体" w:cs="Times New Roman"/>
          <w:b/>
          <w:color w:val="auto"/>
          <w:sz w:val="32"/>
          <w:szCs w:val="32"/>
          <w:highlight w:val="none"/>
        </w:rPr>
      </w:pPr>
    </w:p>
    <w:p w14:paraId="56E77DBD">
      <w:pPr>
        <w:shd w:val="clear" w:color="auto" w:fill="auto"/>
        <w:adjustRightInd w:val="0"/>
        <w:snapToGrid w:val="0"/>
        <w:spacing w:line="240" w:lineRule="auto"/>
        <w:jc w:val="center"/>
        <w:rPr>
          <w:rFonts w:hint="eastAsia" w:ascii="宋体" w:hAnsi="宋体" w:eastAsia="宋体" w:cs="Times New Roman"/>
          <w:b/>
          <w:color w:val="auto"/>
          <w:sz w:val="32"/>
          <w:szCs w:val="32"/>
          <w:highlight w:val="none"/>
        </w:rPr>
      </w:pPr>
    </w:p>
    <w:p w14:paraId="663CEEDE">
      <w:pPr>
        <w:shd w:val="clear" w:color="auto" w:fill="auto"/>
        <w:adjustRightInd w:val="0"/>
        <w:snapToGrid w:val="0"/>
        <w:spacing w:line="240" w:lineRule="auto"/>
        <w:jc w:val="center"/>
        <w:rPr>
          <w:rFonts w:hint="eastAsia" w:ascii="宋体" w:hAnsi="宋体" w:eastAsia="宋体" w:cs="Times New Roman"/>
          <w:b/>
          <w:color w:val="auto"/>
          <w:sz w:val="32"/>
          <w:szCs w:val="32"/>
          <w:highlight w:val="none"/>
        </w:rPr>
      </w:pPr>
    </w:p>
    <w:p w14:paraId="425D2FEA">
      <w:pPr>
        <w:widowControl w:val="0"/>
        <w:shd w:val="clear" w:color="auto" w:fill="auto"/>
        <w:adjustRightInd w:val="0"/>
        <w:snapToGrid w:val="0"/>
        <w:spacing w:line="300" w:lineRule="auto"/>
        <w:ind w:firstLine="420" w:firstLineChars="200"/>
        <w:textAlignment w:val="auto"/>
        <w:rPr>
          <w:rFonts w:hint="eastAsia" w:ascii="宋体" w:hAnsi="宋体" w:eastAsia="宋体" w:cs="宋体"/>
          <w:color w:val="auto"/>
          <w:szCs w:val="20"/>
          <w:highlight w:val="none"/>
        </w:rPr>
      </w:pPr>
    </w:p>
    <w:p w14:paraId="6E013D12">
      <w:pPr>
        <w:snapToGrid w:val="0"/>
        <w:spacing w:line="440" w:lineRule="exact"/>
        <w:rPr>
          <w:rFonts w:ascii="宋体"/>
          <w:color w:val="auto"/>
          <w:szCs w:val="21"/>
          <w:highlight w:val="none"/>
          <w:u w:val="single"/>
        </w:rPr>
      </w:pPr>
      <w:r>
        <w:rPr>
          <w:rFonts w:hint="eastAsia" w:ascii="宋体"/>
          <w:color w:val="auto"/>
          <w:szCs w:val="21"/>
          <w:highlight w:val="none"/>
        </w:rPr>
        <w:t>授权代表签名：</w:t>
      </w:r>
      <w:r>
        <w:rPr>
          <w:rFonts w:hint="eastAsia" w:ascii="宋体"/>
          <w:color w:val="auto"/>
          <w:szCs w:val="21"/>
          <w:highlight w:val="none"/>
          <w:u w:val="single"/>
        </w:rPr>
        <w:t xml:space="preserve">                  </w:t>
      </w:r>
    </w:p>
    <w:p w14:paraId="2EFDAA9E">
      <w:pPr>
        <w:pStyle w:val="20"/>
        <w:adjustRightInd w:val="0"/>
        <w:snapToGrid w:val="0"/>
        <w:spacing w:after="0" w:line="440" w:lineRule="exact"/>
        <w:rPr>
          <w:rFonts w:ascii="宋体"/>
          <w:color w:val="auto"/>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p>
    <w:p w14:paraId="0E7E1671">
      <w:pPr>
        <w:adjustRightInd w:val="0"/>
        <w:snapToGrid w:val="0"/>
        <w:spacing w:line="440" w:lineRule="exact"/>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14:paraId="2C09146F">
      <w:pPr>
        <w:pStyle w:val="70"/>
        <w:spacing w:before="120"/>
        <w:rPr>
          <w:rFonts w:ascii="宋体"/>
          <w:color w:val="auto"/>
          <w:szCs w:val="21"/>
          <w:highlight w:val="none"/>
        </w:rPr>
      </w:pPr>
    </w:p>
    <w:p w14:paraId="5B640202">
      <w:pPr>
        <w:pStyle w:val="70"/>
        <w:spacing w:before="120"/>
        <w:rPr>
          <w:rFonts w:ascii="宋体"/>
          <w:color w:val="auto"/>
          <w:szCs w:val="21"/>
          <w:highlight w:val="none"/>
        </w:rPr>
      </w:pPr>
    </w:p>
    <w:p w14:paraId="3346700F">
      <w:pPr>
        <w:pStyle w:val="70"/>
        <w:spacing w:before="120"/>
        <w:rPr>
          <w:rFonts w:ascii="宋体"/>
          <w:color w:val="auto"/>
          <w:szCs w:val="21"/>
          <w:highlight w:val="none"/>
        </w:rPr>
      </w:pPr>
    </w:p>
    <w:p w14:paraId="0AB7D35D">
      <w:pPr>
        <w:pStyle w:val="70"/>
        <w:spacing w:before="120"/>
        <w:rPr>
          <w:rFonts w:ascii="宋体"/>
          <w:color w:val="auto"/>
          <w:szCs w:val="21"/>
          <w:highlight w:val="none"/>
        </w:rPr>
      </w:pPr>
    </w:p>
    <w:p w14:paraId="1D643888">
      <w:pPr>
        <w:pStyle w:val="70"/>
        <w:spacing w:before="120"/>
        <w:rPr>
          <w:rFonts w:ascii="宋体"/>
          <w:color w:val="auto"/>
          <w:szCs w:val="21"/>
          <w:highlight w:val="none"/>
        </w:rPr>
      </w:pPr>
    </w:p>
    <w:p w14:paraId="069D8722">
      <w:pPr>
        <w:pStyle w:val="70"/>
        <w:spacing w:before="120"/>
        <w:rPr>
          <w:rFonts w:ascii="宋体"/>
          <w:color w:val="auto"/>
          <w:szCs w:val="21"/>
          <w:highlight w:val="none"/>
        </w:rPr>
      </w:pPr>
    </w:p>
    <w:p w14:paraId="768295FD">
      <w:pPr>
        <w:pStyle w:val="70"/>
        <w:spacing w:before="120"/>
        <w:rPr>
          <w:rFonts w:ascii="宋体"/>
          <w:color w:val="auto"/>
          <w:szCs w:val="21"/>
          <w:highlight w:val="none"/>
        </w:rPr>
      </w:pPr>
    </w:p>
    <w:p w14:paraId="1C4C7A1A">
      <w:pPr>
        <w:pStyle w:val="70"/>
        <w:spacing w:before="120"/>
        <w:rPr>
          <w:rFonts w:ascii="宋体"/>
          <w:color w:val="auto"/>
          <w:szCs w:val="21"/>
          <w:highlight w:val="none"/>
        </w:rPr>
      </w:pPr>
    </w:p>
    <w:p w14:paraId="2E5CEAA5">
      <w:pPr>
        <w:pStyle w:val="70"/>
        <w:spacing w:before="120"/>
        <w:rPr>
          <w:rFonts w:ascii="宋体"/>
          <w:color w:val="auto"/>
          <w:szCs w:val="21"/>
          <w:highlight w:val="none"/>
        </w:rPr>
      </w:pPr>
    </w:p>
    <w:p w14:paraId="02425338">
      <w:pPr>
        <w:pStyle w:val="70"/>
        <w:spacing w:before="120"/>
        <w:rPr>
          <w:rFonts w:ascii="宋体"/>
          <w:color w:val="auto"/>
          <w:szCs w:val="21"/>
          <w:highlight w:val="none"/>
        </w:rPr>
      </w:pPr>
    </w:p>
    <w:p w14:paraId="4CECBE31">
      <w:pPr>
        <w:adjustRightInd w:val="0"/>
        <w:snapToGrid w:val="0"/>
        <w:spacing w:before="120" w:beforeLines="50" w:after="120" w:afterLines="50" w:line="500" w:lineRule="exact"/>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eastAsia="zh-CN"/>
        </w:rPr>
        <w:t>五</w:t>
      </w:r>
      <w:r>
        <w:rPr>
          <w:rFonts w:hint="eastAsia" w:ascii="宋体" w:hAnsi="宋体"/>
          <w:b/>
          <w:color w:val="auto"/>
          <w:szCs w:val="21"/>
          <w:highlight w:val="none"/>
        </w:rPr>
        <w:t>、项目技术力量投入（非驻点维保人员）一览表格式</w:t>
      </w:r>
    </w:p>
    <w:p w14:paraId="19CB942F">
      <w:pPr>
        <w:adjustRightInd w:val="0"/>
        <w:snapToGrid w:val="0"/>
        <w:spacing w:line="440" w:lineRule="exact"/>
        <w:jc w:val="center"/>
        <w:textAlignment w:val="baseline"/>
        <w:rPr>
          <w:rFonts w:ascii="宋体" w:hAnsi="宋体"/>
          <w:b/>
          <w:color w:val="auto"/>
          <w:szCs w:val="21"/>
          <w:highlight w:val="none"/>
        </w:rPr>
      </w:pPr>
      <w:r>
        <w:rPr>
          <w:rFonts w:hint="eastAsia" w:ascii="宋体" w:hAnsi="宋体"/>
          <w:b/>
          <w:color w:val="auto"/>
          <w:szCs w:val="21"/>
          <w:highlight w:val="none"/>
        </w:rPr>
        <w:t>项目技术力量投入（非驻点维保人员）一览表</w:t>
      </w:r>
    </w:p>
    <w:tbl>
      <w:tblPr>
        <w:tblStyle w:val="6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14:paraId="1C2F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6EF7AE2B">
            <w:pPr>
              <w:spacing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944" w:type="dxa"/>
            <w:vAlign w:val="center"/>
          </w:tcPr>
          <w:p w14:paraId="04D02359">
            <w:pPr>
              <w:spacing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1561" w:type="dxa"/>
            <w:vAlign w:val="center"/>
          </w:tcPr>
          <w:p w14:paraId="548F2D8A">
            <w:pPr>
              <w:spacing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1182" w:type="dxa"/>
            <w:vAlign w:val="center"/>
          </w:tcPr>
          <w:p w14:paraId="7D1E1577">
            <w:pPr>
              <w:spacing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2367" w:type="dxa"/>
            <w:vAlign w:val="center"/>
          </w:tcPr>
          <w:p w14:paraId="7063288F">
            <w:pPr>
              <w:spacing w:line="360" w:lineRule="exact"/>
              <w:jc w:val="center"/>
              <w:rPr>
                <w:rFonts w:ascii="宋体" w:hAnsi="宋体"/>
                <w:color w:val="auto"/>
                <w:szCs w:val="21"/>
                <w:highlight w:val="none"/>
              </w:rPr>
            </w:pPr>
            <w:r>
              <w:rPr>
                <w:rFonts w:hint="eastAsia" w:ascii="宋体" w:hAnsi="宋体"/>
                <w:color w:val="auto"/>
                <w:szCs w:val="21"/>
                <w:highlight w:val="none"/>
              </w:rPr>
              <w:t>参加本单位工作时间</w:t>
            </w:r>
          </w:p>
        </w:tc>
        <w:tc>
          <w:tcPr>
            <w:tcW w:w="1723" w:type="dxa"/>
            <w:vAlign w:val="center"/>
          </w:tcPr>
          <w:p w14:paraId="0AB48E8B">
            <w:pPr>
              <w:spacing w:line="360" w:lineRule="exact"/>
              <w:jc w:val="center"/>
              <w:rPr>
                <w:rFonts w:ascii="宋体" w:hAnsi="宋体"/>
                <w:color w:val="auto"/>
                <w:szCs w:val="21"/>
                <w:highlight w:val="none"/>
              </w:rPr>
            </w:pPr>
            <w:r>
              <w:rPr>
                <w:rFonts w:hint="eastAsia" w:ascii="宋体" w:hAnsi="宋体"/>
                <w:color w:val="auto"/>
                <w:szCs w:val="21"/>
                <w:highlight w:val="none"/>
              </w:rPr>
              <w:t>劳动合同编号</w:t>
            </w:r>
          </w:p>
        </w:tc>
      </w:tr>
      <w:tr w14:paraId="12A6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20E6E850">
            <w:pPr>
              <w:spacing w:line="360" w:lineRule="exact"/>
              <w:jc w:val="center"/>
              <w:rPr>
                <w:rFonts w:ascii="宋体" w:hAnsi="宋体"/>
                <w:color w:val="auto"/>
                <w:szCs w:val="21"/>
                <w:highlight w:val="none"/>
              </w:rPr>
            </w:pPr>
          </w:p>
        </w:tc>
        <w:tc>
          <w:tcPr>
            <w:tcW w:w="944" w:type="dxa"/>
            <w:vAlign w:val="center"/>
          </w:tcPr>
          <w:p w14:paraId="4923D039">
            <w:pPr>
              <w:spacing w:line="360" w:lineRule="exact"/>
              <w:jc w:val="center"/>
              <w:rPr>
                <w:rFonts w:ascii="宋体" w:hAnsi="宋体"/>
                <w:color w:val="auto"/>
                <w:szCs w:val="21"/>
                <w:highlight w:val="none"/>
              </w:rPr>
            </w:pPr>
          </w:p>
        </w:tc>
        <w:tc>
          <w:tcPr>
            <w:tcW w:w="1561" w:type="dxa"/>
            <w:vAlign w:val="center"/>
          </w:tcPr>
          <w:p w14:paraId="773140ED">
            <w:pPr>
              <w:spacing w:line="360" w:lineRule="exact"/>
              <w:jc w:val="center"/>
              <w:rPr>
                <w:rFonts w:ascii="宋体" w:hAnsi="宋体"/>
                <w:color w:val="auto"/>
                <w:szCs w:val="21"/>
                <w:highlight w:val="none"/>
              </w:rPr>
            </w:pPr>
          </w:p>
        </w:tc>
        <w:tc>
          <w:tcPr>
            <w:tcW w:w="1182" w:type="dxa"/>
            <w:vAlign w:val="center"/>
          </w:tcPr>
          <w:p w14:paraId="292061C7">
            <w:pPr>
              <w:spacing w:line="360" w:lineRule="exact"/>
              <w:jc w:val="center"/>
              <w:rPr>
                <w:rFonts w:ascii="宋体" w:hAnsi="宋体"/>
                <w:color w:val="auto"/>
                <w:szCs w:val="21"/>
                <w:highlight w:val="none"/>
              </w:rPr>
            </w:pPr>
          </w:p>
        </w:tc>
        <w:tc>
          <w:tcPr>
            <w:tcW w:w="2367" w:type="dxa"/>
            <w:vAlign w:val="center"/>
          </w:tcPr>
          <w:p w14:paraId="2750F0D2">
            <w:pPr>
              <w:spacing w:line="360" w:lineRule="exact"/>
              <w:jc w:val="center"/>
              <w:rPr>
                <w:rFonts w:ascii="宋体" w:hAnsi="宋体"/>
                <w:color w:val="auto"/>
                <w:szCs w:val="21"/>
                <w:highlight w:val="none"/>
              </w:rPr>
            </w:pPr>
          </w:p>
        </w:tc>
        <w:tc>
          <w:tcPr>
            <w:tcW w:w="1723" w:type="dxa"/>
            <w:vAlign w:val="center"/>
          </w:tcPr>
          <w:p w14:paraId="24346A52">
            <w:pPr>
              <w:spacing w:line="360" w:lineRule="exact"/>
              <w:jc w:val="center"/>
              <w:rPr>
                <w:rFonts w:ascii="宋体" w:hAnsi="宋体"/>
                <w:color w:val="auto"/>
                <w:szCs w:val="21"/>
                <w:highlight w:val="none"/>
              </w:rPr>
            </w:pPr>
          </w:p>
        </w:tc>
      </w:tr>
      <w:tr w14:paraId="3DCA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09A5DCD6">
            <w:pPr>
              <w:spacing w:line="360" w:lineRule="exact"/>
              <w:jc w:val="center"/>
              <w:rPr>
                <w:rFonts w:ascii="宋体" w:hAnsi="宋体"/>
                <w:color w:val="auto"/>
                <w:szCs w:val="21"/>
                <w:highlight w:val="none"/>
              </w:rPr>
            </w:pPr>
          </w:p>
        </w:tc>
        <w:tc>
          <w:tcPr>
            <w:tcW w:w="944" w:type="dxa"/>
            <w:vAlign w:val="center"/>
          </w:tcPr>
          <w:p w14:paraId="6036B2C8">
            <w:pPr>
              <w:spacing w:line="360" w:lineRule="exact"/>
              <w:jc w:val="center"/>
              <w:rPr>
                <w:rFonts w:ascii="宋体" w:hAnsi="宋体"/>
                <w:color w:val="auto"/>
                <w:szCs w:val="21"/>
                <w:highlight w:val="none"/>
              </w:rPr>
            </w:pPr>
          </w:p>
        </w:tc>
        <w:tc>
          <w:tcPr>
            <w:tcW w:w="1561" w:type="dxa"/>
            <w:vAlign w:val="center"/>
          </w:tcPr>
          <w:p w14:paraId="329ABAF4">
            <w:pPr>
              <w:spacing w:line="360" w:lineRule="exact"/>
              <w:jc w:val="center"/>
              <w:rPr>
                <w:rFonts w:ascii="宋体" w:hAnsi="宋体"/>
                <w:color w:val="auto"/>
                <w:szCs w:val="21"/>
                <w:highlight w:val="none"/>
              </w:rPr>
            </w:pPr>
          </w:p>
        </w:tc>
        <w:tc>
          <w:tcPr>
            <w:tcW w:w="1182" w:type="dxa"/>
            <w:vAlign w:val="center"/>
          </w:tcPr>
          <w:p w14:paraId="6C0381EC">
            <w:pPr>
              <w:spacing w:line="360" w:lineRule="exact"/>
              <w:jc w:val="center"/>
              <w:rPr>
                <w:rFonts w:ascii="宋体" w:hAnsi="宋体"/>
                <w:color w:val="auto"/>
                <w:szCs w:val="21"/>
                <w:highlight w:val="none"/>
              </w:rPr>
            </w:pPr>
          </w:p>
        </w:tc>
        <w:tc>
          <w:tcPr>
            <w:tcW w:w="2367" w:type="dxa"/>
            <w:vAlign w:val="center"/>
          </w:tcPr>
          <w:p w14:paraId="5FFA68F3">
            <w:pPr>
              <w:spacing w:line="360" w:lineRule="exact"/>
              <w:jc w:val="center"/>
              <w:rPr>
                <w:rFonts w:ascii="宋体" w:hAnsi="宋体"/>
                <w:color w:val="auto"/>
                <w:szCs w:val="21"/>
                <w:highlight w:val="none"/>
              </w:rPr>
            </w:pPr>
          </w:p>
        </w:tc>
        <w:tc>
          <w:tcPr>
            <w:tcW w:w="1723" w:type="dxa"/>
            <w:vAlign w:val="center"/>
          </w:tcPr>
          <w:p w14:paraId="44AC835C">
            <w:pPr>
              <w:spacing w:line="360" w:lineRule="exact"/>
              <w:jc w:val="center"/>
              <w:rPr>
                <w:rFonts w:ascii="宋体" w:hAnsi="宋体"/>
                <w:color w:val="auto"/>
                <w:szCs w:val="21"/>
                <w:highlight w:val="none"/>
              </w:rPr>
            </w:pPr>
          </w:p>
        </w:tc>
      </w:tr>
      <w:tr w14:paraId="748C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703FD1B0">
            <w:pPr>
              <w:spacing w:line="360" w:lineRule="exact"/>
              <w:jc w:val="center"/>
              <w:rPr>
                <w:rFonts w:ascii="宋体" w:hAnsi="宋体"/>
                <w:color w:val="auto"/>
                <w:szCs w:val="21"/>
                <w:highlight w:val="none"/>
              </w:rPr>
            </w:pPr>
          </w:p>
        </w:tc>
        <w:tc>
          <w:tcPr>
            <w:tcW w:w="944" w:type="dxa"/>
            <w:vAlign w:val="center"/>
          </w:tcPr>
          <w:p w14:paraId="16441C13">
            <w:pPr>
              <w:spacing w:line="360" w:lineRule="exact"/>
              <w:jc w:val="center"/>
              <w:rPr>
                <w:rFonts w:ascii="宋体" w:hAnsi="宋体"/>
                <w:color w:val="auto"/>
                <w:szCs w:val="21"/>
                <w:highlight w:val="none"/>
              </w:rPr>
            </w:pPr>
          </w:p>
        </w:tc>
        <w:tc>
          <w:tcPr>
            <w:tcW w:w="1561" w:type="dxa"/>
            <w:vAlign w:val="center"/>
          </w:tcPr>
          <w:p w14:paraId="3AD849C4">
            <w:pPr>
              <w:spacing w:line="360" w:lineRule="exact"/>
              <w:jc w:val="center"/>
              <w:rPr>
                <w:rFonts w:ascii="宋体" w:hAnsi="宋体"/>
                <w:color w:val="auto"/>
                <w:szCs w:val="21"/>
                <w:highlight w:val="none"/>
              </w:rPr>
            </w:pPr>
          </w:p>
        </w:tc>
        <w:tc>
          <w:tcPr>
            <w:tcW w:w="1182" w:type="dxa"/>
            <w:vAlign w:val="center"/>
          </w:tcPr>
          <w:p w14:paraId="4B843C9A">
            <w:pPr>
              <w:spacing w:line="360" w:lineRule="exact"/>
              <w:jc w:val="center"/>
              <w:rPr>
                <w:rFonts w:ascii="宋体" w:hAnsi="宋体"/>
                <w:color w:val="auto"/>
                <w:szCs w:val="21"/>
                <w:highlight w:val="none"/>
              </w:rPr>
            </w:pPr>
          </w:p>
        </w:tc>
        <w:tc>
          <w:tcPr>
            <w:tcW w:w="2367" w:type="dxa"/>
            <w:vAlign w:val="center"/>
          </w:tcPr>
          <w:p w14:paraId="311A0031">
            <w:pPr>
              <w:spacing w:line="360" w:lineRule="exact"/>
              <w:jc w:val="center"/>
              <w:rPr>
                <w:rFonts w:ascii="宋体" w:hAnsi="宋体"/>
                <w:color w:val="auto"/>
                <w:szCs w:val="21"/>
                <w:highlight w:val="none"/>
              </w:rPr>
            </w:pPr>
          </w:p>
        </w:tc>
        <w:tc>
          <w:tcPr>
            <w:tcW w:w="1723" w:type="dxa"/>
            <w:vAlign w:val="center"/>
          </w:tcPr>
          <w:p w14:paraId="52F207EB">
            <w:pPr>
              <w:spacing w:line="360" w:lineRule="exact"/>
              <w:jc w:val="center"/>
              <w:rPr>
                <w:rFonts w:ascii="宋体" w:hAnsi="宋体"/>
                <w:color w:val="auto"/>
                <w:szCs w:val="21"/>
                <w:highlight w:val="none"/>
              </w:rPr>
            </w:pPr>
          </w:p>
        </w:tc>
      </w:tr>
      <w:tr w14:paraId="20AE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5906C636">
            <w:pPr>
              <w:spacing w:line="360" w:lineRule="exact"/>
              <w:jc w:val="center"/>
              <w:rPr>
                <w:rFonts w:ascii="宋体" w:hAnsi="宋体"/>
                <w:color w:val="auto"/>
                <w:szCs w:val="21"/>
                <w:highlight w:val="none"/>
              </w:rPr>
            </w:pPr>
          </w:p>
        </w:tc>
        <w:tc>
          <w:tcPr>
            <w:tcW w:w="944" w:type="dxa"/>
            <w:vAlign w:val="center"/>
          </w:tcPr>
          <w:p w14:paraId="77624C87">
            <w:pPr>
              <w:spacing w:line="360" w:lineRule="exact"/>
              <w:jc w:val="center"/>
              <w:rPr>
                <w:rFonts w:ascii="宋体" w:hAnsi="宋体"/>
                <w:color w:val="auto"/>
                <w:szCs w:val="21"/>
                <w:highlight w:val="none"/>
              </w:rPr>
            </w:pPr>
          </w:p>
        </w:tc>
        <w:tc>
          <w:tcPr>
            <w:tcW w:w="1561" w:type="dxa"/>
            <w:vAlign w:val="center"/>
          </w:tcPr>
          <w:p w14:paraId="05779CEA">
            <w:pPr>
              <w:spacing w:line="360" w:lineRule="exact"/>
              <w:jc w:val="center"/>
              <w:rPr>
                <w:rFonts w:ascii="宋体" w:hAnsi="宋体"/>
                <w:color w:val="auto"/>
                <w:szCs w:val="21"/>
                <w:highlight w:val="none"/>
              </w:rPr>
            </w:pPr>
          </w:p>
        </w:tc>
        <w:tc>
          <w:tcPr>
            <w:tcW w:w="1182" w:type="dxa"/>
            <w:vAlign w:val="center"/>
          </w:tcPr>
          <w:p w14:paraId="106FDDE8">
            <w:pPr>
              <w:spacing w:line="360" w:lineRule="exact"/>
              <w:jc w:val="center"/>
              <w:rPr>
                <w:rFonts w:ascii="宋体" w:hAnsi="宋体"/>
                <w:color w:val="auto"/>
                <w:szCs w:val="21"/>
                <w:highlight w:val="none"/>
              </w:rPr>
            </w:pPr>
          </w:p>
        </w:tc>
        <w:tc>
          <w:tcPr>
            <w:tcW w:w="2367" w:type="dxa"/>
            <w:vAlign w:val="center"/>
          </w:tcPr>
          <w:p w14:paraId="4466558C">
            <w:pPr>
              <w:spacing w:line="360" w:lineRule="exact"/>
              <w:jc w:val="center"/>
              <w:rPr>
                <w:rFonts w:ascii="宋体" w:hAnsi="宋体"/>
                <w:color w:val="auto"/>
                <w:szCs w:val="21"/>
                <w:highlight w:val="none"/>
              </w:rPr>
            </w:pPr>
          </w:p>
        </w:tc>
        <w:tc>
          <w:tcPr>
            <w:tcW w:w="1723" w:type="dxa"/>
            <w:vAlign w:val="center"/>
          </w:tcPr>
          <w:p w14:paraId="15B466A5">
            <w:pPr>
              <w:spacing w:line="360" w:lineRule="exact"/>
              <w:jc w:val="center"/>
              <w:rPr>
                <w:rFonts w:ascii="宋体" w:hAnsi="宋体"/>
                <w:color w:val="auto"/>
                <w:szCs w:val="21"/>
                <w:highlight w:val="none"/>
              </w:rPr>
            </w:pPr>
          </w:p>
        </w:tc>
      </w:tr>
      <w:tr w14:paraId="7B48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16799ABE">
            <w:pPr>
              <w:spacing w:line="360" w:lineRule="exact"/>
              <w:jc w:val="center"/>
              <w:rPr>
                <w:rFonts w:ascii="宋体" w:hAnsi="宋体"/>
                <w:color w:val="auto"/>
                <w:szCs w:val="21"/>
                <w:highlight w:val="none"/>
              </w:rPr>
            </w:pPr>
          </w:p>
        </w:tc>
        <w:tc>
          <w:tcPr>
            <w:tcW w:w="944" w:type="dxa"/>
            <w:vAlign w:val="center"/>
          </w:tcPr>
          <w:p w14:paraId="2DF9B732">
            <w:pPr>
              <w:spacing w:line="360" w:lineRule="exact"/>
              <w:jc w:val="center"/>
              <w:rPr>
                <w:rFonts w:ascii="宋体" w:hAnsi="宋体"/>
                <w:color w:val="auto"/>
                <w:szCs w:val="21"/>
                <w:highlight w:val="none"/>
              </w:rPr>
            </w:pPr>
          </w:p>
        </w:tc>
        <w:tc>
          <w:tcPr>
            <w:tcW w:w="1561" w:type="dxa"/>
            <w:vAlign w:val="center"/>
          </w:tcPr>
          <w:p w14:paraId="787E6948">
            <w:pPr>
              <w:spacing w:line="360" w:lineRule="exact"/>
              <w:jc w:val="center"/>
              <w:rPr>
                <w:rFonts w:ascii="宋体" w:hAnsi="宋体"/>
                <w:color w:val="auto"/>
                <w:szCs w:val="21"/>
                <w:highlight w:val="none"/>
              </w:rPr>
            </w:pPr>
          </w:p>
        </w:tc>
        <w:tc>
          <w:tcPr>
            <w:tcW w:w="1182" w:type="dxa"/>
            <w:vAlign w:val="center"/>
          </w:tcPr>
          <w:p w14:paraId="6115D5FB">
            <w:pPr>
              <w:spacing w:line="360" w:lineRule="exact"/>
              <w:jc w:val="center"/>
              <w:rPr>
                <w:rFonts w:ascii="宋体" w:hAnsi="宋体"/>
                <w:color w:val="auto"/>
                <w:szCs w:val="21"/>
                <w:highlight w:val="none"/>
              </w:rPr>
            </w:pPr>
          </w:p>
        </w:tc>
        <w:tc>
          <w:tcPr>
            <w:tcW w:w="2367" w:type="dxa"/>
            <w:vAlign w:val="center"/>
          </w:tcPr>
          <w:p w14:paraId="62023BD8">
            <w:pPr>
              <w:spacing w:line="360" w:lineRule="exact"/>
              <w:jc w:val="center"/>
              <w:rPr>
                <w:rFonts w:ascii="宋体" w:hAnsi="宋体"/>
                <w:color w:val="auto"/>
                <w:szCs w:val="21"/>
                <w:highlight w:val="none"/>
              </w:rPr>
            </w:pPr>
          </w:p>
        </w:tc>
        <w:tc>
          <w:tcPr>
            <w:tcW w:w="1723" w:type="dxa"/>
            <w:vAlign w:val="center"/>
          </w:tcPr>
          <w:p w14:paraId="2738D27C">
            <w:pPr>
              <w:spacing w:line="360" w:lineRule="exact"/>
              <w:jc w:val="center"/>
              <w:rPr>
                <w:rFonts w:ascii="宋体" w:hAnsi="宋体"/>
                <w:color w:val="auto"/>
                <w:szCs w:val="21"/>
                <w:highlight w:val="none"/>
              </w:rPr>
            </w:pPr>
          </w:p>
        </w:tc>
      </w:tr>
      <w:tr w14:paraId="1B09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050555CA">
            <w:pPr>
              <w:spacing w:line="360" w:lineRule="exact"/>
              <w:jc w:val="center"/>
              <w:rPr>
                <w:rFonts w:ascii="宋体" w:hAnsi="宋体"/>
                <w:color w:val="auto"/>
                <w:szCs w:val="21"/>
                <w:highlight w:val="none"/>
              </w:rPr>
            </w:pPr>
          </w:p>
        </w:tc>
        <w:tc>
          <w:tcPr>
            <w:tcW w:w="944" w:type="dxa"/>
            <w:vAlign w:val="center"/>
          </w:tcPr>
          <w:p w14:paraId="55D4DCDA">
            <w:pPr>
              <w:spacing w:line="360" w:lineRule="exact"/>
              <w:jc w:val="center"/>
              <w:rPr>
                <w:rFonts w:ascii="宋体" w:hAnsi="宋体"/>
                <w:color w:val="auto"/>
                <w:szCs w:val="21"/>
                <w:highlight w:val="none"/>
              </w:rPr>
            </w:pPr>
          </w:p>
        </w:tc>
        <w:tc>
          <w:tcPr>
            <w:tcW w:w="1561" w:type="dxa"/>
            <w:vAlign w:val="center"/>
          </w:tcPr>
          <w:p w14:paraId="6B34B23B">
            <w:pPr>
              <w:spacing w:line="360" w:lineRule="exact"/>
              <w:jc w:val="center"/>
              <w:rPr>
                <w:rFonts w:ascii="宋体" w:hAnsi="宋体"/>
                <w:color w:val="auto"/>
                <w:szCs w:val="21"/>
                <w:highlight w:val="none"/>
              </w:rPr>
            </w:pPr>
          </w:p>
        </w:tc>
        <w:tc>
          <w:tcPr>
            <w:tcW w:w="1182" w:type="dxa"/>
            <w:vAlign w:val="center"/>
          </w:tcPr>
          <w:p w14:paraId="48DA31C6">
            <w:pPr>
              <w:spacing w:line="360" w:lineRule="exact"/>
              <w:jc w:val="center"/>
              <w:rPr>
                <w:rFonts w:ascii="宋体" w:hAnsi="宋体"/>
                <w:color w:val="auto"/>
                <w:szCs w:val="21"/>
                <w:highlight w:val="none"/>
              </w:rPr>
            </w:pPr>
          </w:p>
        </w:tc>
        <w:tc>
          <w:tcPr>
            <w:tcW w:w="2367" w:type="dxa"/>
            <w:vAlign w:val="center"/>
          </w:tcPr>
          <w:p w14:paraId="3A863455">
            <w:pPr>
              <w:spacing w:line="360" w:lineRule="exact"/>
              <w:jc w:val="center"/>
              <w:rPr>
                <w:rFonts w:ascii="宋体" w:hAnsi="宋体"/>
                <w:color w:val="auto"/>
                <w:szCs w:val="21"/>
                <w:highlight w:val="none"/>
              </w:rPr>
            </w:pPr>
          </w:p>
        </w:tc>
        <w:tc>
          <w:tcPr>
            <w:tcW w:w="1723" w:type="dxa"/>
            <w:vAlign w:val="center"/>
          </w:tcPr>
          <w:p w14:paraId="747A352F">
            <w:pPr>
              <w:spacing w:line="360" w:lineRule="exact"/>
              <w:jc w:val="center"/>
              <w:rPr>
                <w:rFonts w:ascii="宋体" w:hAnsi="宋体"/>
                <w:color w:val="auto"/>
                <w:szCs w:val="21"/>
                <w:highlight w:val="none"/>
              </w:rPr>
            </w:pPr>
          </w:p>
        </w:tc>
      </w:tr>
      <w:tr w14:paraId="2810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6A7BBB71">
            <w:pPr>
              <w:spacing w:line="360" w:lineRule="exact"/>
              <w:jc w:val="center"/>
              <w:rPr>
                <w:rFonts w:ascii="宋体" w:hAnsi="宋体"/>
                <w:color w:val="auto"/>
                <w:szCs w:val="21"/>
                <w:highlight w:val="none"/>
              </w:rPr>
            </w:pPr>
          </w:p>
        </w:tc>
        <w:tc>
          <w:tcPr>
            <w:tcW w:w="944" w:type="dxa"/>
            <w:vAlign w:val="center"/>
          </w:tcPr>
          <w:p w14:paraId="31966BA8">
            <w:pPr>
              <w:spacing w:line="360" w:lineRule="exact"/>
              <w:jc w:val="center"/>
              <w:rPr>
                <w:rFonts w:ascii="宋体" w:hAnsi="宋体"/>
                <w:color w:val="auto"/>
                <w:szCs w:val="21"/>
                <w:highlight w:val="none"/>
              </w:rPr>
            </w:pPr>
          </w:p>
        </w:tc>
        <w:tc>
          <w:tcPr>
            <w:tcW w:w="1561" w:type="dxa"/>
            <w:vAlign w:val="center"/>
          </w:tcPr>
          <w:p w14:paraId="5C2DBC29">
            <w:pPr>
              <w:spacing w:line="360" w:lineRule="exact"/>
              <w:jc w:val="center"/>
              <w:rPr>
                <w:rFonts w:ascii="宋体" w:hAnsi="宋体"/>
                <w:color w:val="auto"/>
                <w:szCs w:val="21"/>
                <w:highlight w:val="none"/>
              </w:rPr>
            </w:pPr>
          </w:p>
        </w:tc>
        <w:tc>
          <w:tcPr>
            <w:tcW w:w="1182" w:type="dxa"/>
            <w:vAlign w:val="center"/>
          </w:tcPr>
          <w:p w14:paraId="7C5A044B">
            <w:pPr>
              <w:spacing w:line="360" w:lineRule="exact"/>
              <w:jc w:val="center"/>
              <w:rPr>
                <w:rFonts w:ascii="宋体" w:hAnsi="宋体"/>
                <w:color w:val="auto"/>
                <w:szCs w:val="21"/>
                <w:highlight w:val="none"/>
              </w:rPr>
            </w:pPr>
          </w:p>
        </w:tc>
        <w:tc>
          <w:tcPr>
            <w:tcW w:w="2367" w:type="dxa"/>
            <w:vAlign w:val="center"/>
          </w:tcPr>
          <w:p w14:paraId="163C3C53">
            <w:pPr>
              <w:spacing w:line="360" w:lineRule="exact"/>
              <w:jc w:val="center"/>
              <w:rPr>
                <w:rFonts w:ascii="宋体" w:hAnsi="宋体"/>
                <w:color w:val="auto"/>
                <w:szCs w:val="21"/>
                <w:highlight w:val="none"/>
              </w:rPr>
            </w:pPr>
          </w:p>
        </w:tc>
        <w:tc>
          <w:tcPr>
            <w:tcW w:w="1723" w:type="dxa"/>
            <w:vAlign w:val="center"/>
          </w:tcPr>
          <w:p w14:paraId="7A040E2B">
            <w:pPr>
              <w:spacing w:line="360" w:lineRule="exact"/>
              <w:jc w:val="center"/>
              <w:rPr>
                <w:rFonts w:ascii="宋体" w:hAnsi="宋体"/>
                <w:color w:val="auto"/>
                <w:szCs w:val="21"/>
                <w:highlight w:val="none"/>
              </w:rPr>
            </w:pPr>
          </w:p>
        </w:tc>
      </w:tr>
      <w:tr w14:paraId="2AE2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0E9C904F">
            <w:pPr>
              <w:spacing w:line="360" w:lineRule="exact"/>
              <w:jc w:val="center"/>
              <w:rPr>
                <w:rFonts w:ascii="宋体" w:hAnsi="宋体"/>
                <w:color w:val="auto"/>
                <w:szCs w:val="21"/>
                <w:highlight w:val="none"/>
              </w:rPr>
            </w:pPr>
          </w:p>
        </w:tc>
        <w:tc>
          <w:tcPr>
            <w:tcW w:w="944" w:type="dxa"/>
            <w:vAlign w:val="center"/>
          </w:tcPr>
          <w:p w14:paraId="0B1A1C9E">
            <w:pPr>
              <w:spacing w:line="360" w:lineRule="exact"/>
              <w:jc w:val="center"/>
              <w:rPr>
                <w:rFonts w:ascii="宋体" w:hAnsi="宋体"/>
                <w:color w:val="auto"/>
                <w:szCs w:val="21"/>
                <w:highlight w:val="none"/>
              </w:rPr>
            </w:pPr>
          </w:p>
        </w:tc>
        <w:tc>
          <w:tcPr>
            <w:tcW w:w="1561" w:type="dxa"/>
            <w:vAlign w:val="center"/>
          </w:tcPr>
          <w:p w14:paraId="4E3231C8">
            <w:pPr>
              <w:spacing w:line="360" w:lineRule="exact"/>
              <w:jc w:val="center"/>
              <w:rPr>
                <w:rFonts w:ascii="宋体" w:hAnsi="宋体"/>
                <w:color w:val="auto"/>
                <w:szCs w:val="21"/>
                <w:highlight w:val="none"/>
              </w:rPr>
            </w:pPr>
          </w:p>
        </w:tc>
        <w:tc>
          <w:tcPr>
            <w:tcW w:w="1182" w:type="dxa"/>
            <w:vAlign w:val="center"/>
          </w:tcPr>
          <w:p w14:paraId="384672EA">
            <w:pPr>
              <w:spacing w:line="360" w:lineRule="exact"/>
              <w:jc w:val="center"/>
              <w:rPr>
                <w:rFonts w:ascii="宋体" w:hAnsi="宋体"/>
                <w:color w:val="auto"/>
                <w:szCs w:val="21"/>
                <w:highlight w:val="none"/>
              </w:rPr>
            </w:pPr>
          </w:p>
        </w:tc>
        <w:tc>
          <w:tcPr>
            <w:tcW w:w="2367" w:type="dxa"/>
            <w:vAlign w:val="center"/>
          </w:tcPr>
          <w:p w14:paraId="2D89B341">
            <w:pPr>
              <w:spacing w:line="360" w:lineRule="exact"/>
              <w:jc w:val="center"/>
              <w:rPr>
                <w:rFonts w:ascii="宋体" w:hAnsi="宋体"/>
                <w:color w:val="auto"/>
                <w:szCs w:val="21"/>
                <w:highlight w:val="none"/>
              </w:rPr>
            </w:pPr>
          </w:p>
        </w:tc>
        <w:tc>
          <w:tcPr>
            <w:tcW w:w="1723" w:type="dxa"/>
            <w:vAlign w:val="center"/>
          </w:tcPr>
          <w:p w14:paraId="13C7FAAD">
            <w:pPr>
              <w:spacing w:line="360" w:lineRule="exact"/>
              <w:jc w:val="center"/>
              <w:rPr>
                <w:rFonts w:ascii="宋体" w:hAnsi="宋体"/>
                <w:color w:val="auto"/>
                <w:szCs w:val="21"/>
                <w:highlight w:val="none"/>
              </w:rPr>
            </w:pPr>
          </w:p>
        </w:tc>
      </w:tr>
      <w:tr w14:paraId="5278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7A50E22E">
            <w:pPr>
              <w:spacing w:line="360" w:lineRule="exact"/>
              <w:jc w:val="center"/>
              <w:rPr>
                <w:rFonts w:ascii="宋体" w:hAnsi="宋体"/>
                <w:color w:val="auto"/>
                <w:szCs w:val="21"/>
                <w:highlight w:val="none"/>
              </w:rPr>
            </w:pPr>
          </w:p>
        </w:tc>
        <w:tc>
          <w:tcPr>
            <w:tcW w:w="944" w:type="dxa"/>
            <w:vAlign w:val="center"/>
          </w:tcPr>
          <w:p w14:paraId="7E17F588">
            <w:pPr>
              <w:spacing w:line="360" w:lineRule="exact"/>
              <w:jc w:val="center"/>
              <w:rPr>
                <w:rFonts w:ascii="宋体" w:hAnsi="宋体"/>
                <w:color w:val="auto"/>
                <w:szCs w:val="21"/>
                <w:highlight w:val="none"/>
              </w:rPr>
            </w:pPr>
          </w:p>
        </w:tc>
        <w:tc>
          <w:tcPr>
            <w:tcW w:w="1561" w:type="dxa"/>
            <w:vAlign w:val="center"/>
          </w:tcPr>
          <w:p w14:paraId="7E648BE9">
            <w:pPr>
              <w:spacing w:line="360" w:lineRule="exact"/>
              <w:jc w:val="center"/>
              <w:rPr>
                <w:rFonts w:ascii="宋体" w:hAnsi="宋体"/>
                <w:color w:val="auto"/>
                <w:szCs w:val="21"/>
                <w:highlight w:val="none"/>
              </w:rPr>
            </w:pPr>
          </w:p>
        </w:tc>
        <w:tc>
          <w:tcPr>
            <w:tcW w:w="1182" w:type="dxa"/>
            <w:vAlign w:val="center"/>
          </w:tcPr>
          <w:p w14:paraId="46AE9E02">
            <w:pPr>
              <w:spacing w:line="360" w:lineRule="exact"/>
              <w:jc w:val="center"/>
              <w:rPr>
                <w:rFonts w:ascii="宋体" w:hAnsi="宋体"/>
                <w:color w:val="auto"/>
                <w:szCs w:val="21"/>
                <w:highlight w:val="none"/>
              </w:rPr>
            </w:pPr>
          </w:p>
        </w:tc>
        <w:tc>
          <w:tcPr>
            <w:tcW w:w="2367" w:type="dxa"/>
            <w:vAlign w:val="center"/>
          </w:tcPr>
          <w:p w14:paraId="4A6C431E">
            <w:pPr>
              <w:spacing w:line="360" w:lineRule="exact"/>
              <w:jc w:val="center"/>
              <w:rPr>
                <w:rFonts w:ascii="宋体" w:hAnsi="宋体"/>
                <w:color w:val="auto"/>
                <w:szCs w:val="21"/>
                <w:highlight w:val="none"/>
              </w:rPr>
            </w:pPr>
          </w:p>
        </w:tc>
        <w:tc>
          <w:tcPr>
            <w:tcW w:w="1723" w:type="dxa"/>
            <w:vAlign w:val="center"/>
          </w:tcPr>
          <w:p w14:paraId="501E303E">
            <w:pPr>
              <w:spacing w:line="360" w:lineRule="exact"/>
              <w:jc w:val="center"/>
              <w:rPr>
                <w:rFonts w:ascii="宋体" w:hAnsi="宋体"/>
                <w:color w:val="auto"/>
                <w:szCs w:val="21"/>
                <w:highlight w:val="none"/>
              </w:rPr>
            </w:pPr>
          </w:p>
        </w:tc>
      </w:tr>
      <w:tr w14:paraId="756A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324D98DB">
            <w:pPr>
              <w:spacing w:line="360" w:lineRule="exact"/>
              <w:jc w:val="center"/>
              <w:rPr>
                <w:rFonts w:ascii="宋体" w:hAnsi="宋体"/>
                <w:color w:val="auto"/>
                <w:szCs w:val="21"/>
                <w:highlight w:val="none"/>
              </w:rPr>
            </w:pPr>
          </w:p>
        </w:tc>
        <w:tc>
          <w:tcPr>
            <w:tcW w:w="944" w:type="dxa"/>
            <w:vAlign w:val="center"/>
          </w:tcPr>
          <w:p w14:paraId="7ED8FF69">
            <w:pPr>
              <w:spacing w:line="360" w:lineRule="exact"/>
              <w:jc w:val="center"/>
              <w:rPr>
                <w:rFonts w:ascii="宋体" w:hAnsi="宋体"/>
                <w:color w:val="auto"/>
                <w:szCs w:val="21"/>
                <w:highlight w:val="none"/>
              </w:rPr>
            </w:pPr>
          </w:p>
        </w:tc>
        <w:tc>
          <w:tcPr>
            <w:tcW w:w="1561" w:type="dxa"/>
            <w:vAlign w:val="center"/>
          </w:tcPr>
          <w:p w14:paraId="5CB6B1C6">
            <w:pPr>
              <w:spacing w:line="360" w:lineRule="exact"/>
              <w:jc w:val="center"/>
              <w:rPr>
                <w:rFonts w:ascii="宋体" w:hAnsi="宋体"/>
                <w:color w:val="auto"/>
                <w:szCs w:val="21"/>
                <w:highlight w:val="none"/>
              </w:rPr>
            </w:pPr>
          </w:p>
        </w:tc>
        <w:tc>
          <w:tcPr>
            <w:tcW w:w="1182" w:type="dxa"/>
            <w:vAlign w:val="center"/>
          </w:tcPr>
          <w:p w14:paraId="228E7C0A">
            <w:pPr>
              <w:spacing w:line="360" w:lineRule="exact"/>
              <w:jc w:val="center"/>
              <w:rPr>
                <w:rFonts w:ascii="宋体" w:hAnsi="宋体"/>
                <w:color w:val="auto"/>
                <w:szCs w:val="21"/>
                <w:highlight w:val="none"/>
              </w:rPr>
            </w:pPr>
          </w:p>
        </w:tc>
        <w:tc>
          <w:tcPr>
            <w:tcW w:w="2367" w:type="dxa"/>
            <w:vAlign w:val="center"/>
          </w:tcPr>
          <w:p w14:paraId="2C0B88BD">
            <w:pPr>
              <w:spacing w:line="360" w:lineRule="exact"/>
              <w:jc w:val="center"/>
              <w:rPr>
                <w:rFonts w:ascii="宋体" w:hAnsi="宋体"/>
                <w:color w:val="auto"/>
                <w:szCs w:val="21"/>
                <w:highlight w:val="none"/>
              </w:rPr>
            </w:pPr>
          </w:p>
        </w:tc>
        <w:tc>
          <w:tcPr>
            <w:tcW w:w="1723" w:type="dxa"/>
            <w:vAlign w:val="center"/>
          </w:tcPr>
          <w:p w14:paraId="53D6D845">
            <w:pPr>
              <w:spacing w:line="360" w:lineRule="exact"/>
              <w:jc w:val="center"/>
              <w:rPr>
                <w:rFonts w:ascii="宋体" w:hAnsi="宋体"/>
                <w:color w:val="auto"/>
                <w:szCs w:val="21"/>
                <w:highlight w:val="none"/>
              </w:rPr>
            </w:pPr>
          </w:p>
        </w:tc>
      </w:tr>
      <w:tr w14:paraId="4438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11D0C820">
            <w:pPr>
              <w:spacing w:line="360" w:lineRule="exact"/>
              <w:jc w:val="center"/>
              <w:rPr>
                <w:rFonts w:ascii="宋体" w:hAnsi="宋体"/>
                <w:color w:val="auto"/>
                <w:szCs w:val="21"/>
                <w:highlight w:val="none"/>
              </w:rPr>
            </w:pPr>
          </w:p>
        </w:tc>
        <w:tc>
          <w:tcPr>
            <w:tcW w:w="944" w:type="dxa"/>
            <w:vAlign w:val="center"/>
          </w:tcPr>
          <w:p w14:paraId="41640FAA">
            <w:pPr>
              <w:spacing w:line="360" w:lineRule="exact"/>
              <w:jc w:val="center"/>
              <w:rPr>
                <w:rFonts w:ascii="宋体" w:hAnsi="宋体"/>
                <w:color w:val="auto"/>
                <w:szCs w:val="21"/>
                <w:highlight w:val="none"/>
              </w:rPr>
            </w:pPr>
          </w:p>
        </w:tc>
        <w:tc>
          <w:tcPr>
            <w:tcW w:w="1561" w:type="dxa"/>
            <w:vAlign w:val="center"/>
          </w:tcPr>
          <w:p w14:paraId="2E5CB210">
            <w:pPr>
              <w:spacing w:line="360" w:lineRule="exact"/>
              <w:jc w:val="center"/>
              <w:rPr>
                <w:rFonts w:ascii="宋体" w:hAnsi="宋体"/>
                <w:color w:val="auto"/>
                <w:szCs w:val="21"/>
                <w:highlight w:val="none"/>
              </w:rPr>
            </w:pPr>
          </w:p>
        </w:tc>
        <w:tc>
          <w:tcPr>
            <w:tcW w:w="1182" w:type="dxa"/>
            <w:vAlign w:val="center"/>
          </w:tcPr>
          <w:p w14:paraId="57DA1ED9">
            <w:pPr>
              <w:spacing w:line="360" w:lineRule="exact"/>
              <w:jc w:val="center"/>
              <w:rPr>
                <w:rFonts w:ascii="宋体" w:hAnsi="宋体"/>
                <w:color w:val="auto"/>
                <w:szCs w:val="21"/>
                <w:highlight w:val="none"/>
              </w:rPr>
            </w:pPr>
          </w:p>
        </w:tc>
        <w:tc>
          <w:tcPr>
            <w:tcW w:w="2367" w:type="dxa"/>
            <w:vAlign w:val="center"/>
          </w:tcPr>
          <w:p w14:paraId="5EC9156F">
            <w:pPr>
              <w:spacing w:line="360" w:lineRule="exact"/>
              <w:jc w:val="center"/>
              <w:rPr>
                <w:rFonts w:ascii="宋体" w:hAnsi="宋体"/>
                <w:color w:val="auto"/>
                <w:szCs w:val="21"/>
                <w:highlight w:val="none"/>
              </w:rPr>
            </w:pPr>
          </w:p>
        </w:tc>
        <w:tc>
          <w:tcPr>
            <w:tcW w:w="1723" w:type="dxa"/>
            <w:vAlign w:val="center"/>
          </w:tcPr>
          <w:p w14:paraId="43B1DF90">
            <w:pPr>
              <w:spacing w:line="360" w:lineRule="exact"/>
              <w:jc w:val="center"/>
              <w:rPr>
                <w:rFonts w:ascii="宋体" w:hAnsi="宋体"/>
                <w:color w:val="auto"/>
                <w:szCs w:val="21"/>
                <w:highlight w:val="none"/>
              </w:rPr>
            </w:pPr>
          </w:p>
        </w:tc>
      </w:tr>
      <w:tr w14:paraId="24D9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 w:type="dxa"/>
            <w:vAlign w:val="center"/>
          </w:tcPr>
          <w:p w14:paraId="1D5958BA">
            <w:pPr>
              <w:spacing w:line="360" w:lineRule="exact"/>
              <w:jc w:val="center"/>
              <w:rPr>
                <w:rFonts w:ascii="宋体" w:hAnsi="宋体"/>
                <w:color w:val="auto"/>
                <w:szCs w:val="21"/>
                <w:highlight w:val="none"/>
              </w:rPr>
            </w:pPr>
          </w:p>
        </w:tc>
        <w:tc>
          <w:tcPr>
            <w:tcW w:w="944" w:type="dxa"/>
            <w:vAlign w:val="center"/>
          </w:tcPr>
          <w:p w14:paraId="0BF55459">
            <w:pPr>
              <w:spacing w:line="360" w:lineRule="exact"/>
              <w:jc w:val="center"/>
              <w:rPr>
                <w:rFonts w:ascii="宋体" w:hAnsi="宋体"/>
                <w:color w:val="auto"/>
                <w:szCs w:val="21"/>
                <w:highlight w:val="none"/>
              </w:rPr>
            </w:pPr>
          </w:p>
        </w:tc>
        <w:tc>
          <w:tcPr>
            <w:tcW w:w="1561" w:type="dxa"/>
            <w:vAlign w:val="center"/>
          </w:tcPr>
          <w:p w14:paraId="3DCD93F9">
            <w:pPr>
              <w:spacing w:line="360" w:lineRule="exact"/>
              <w:jc w:val="center"/>
              <w:rPr>
                <w:rFonts w:ascii="宋体" w:hAnsi="宋体"/>
                <w:color w:val="auto"/>
                <w:szCs w:val="21"/>
                <w:highlight w:val="none"/>
              </w:rPr>
            </w:pPr>
          </w:p>
        </w:tc>
        <w:tc>
          <w:tcPr>
            <w:tcW w:w="1182" w:type="dxa"/>
            <w:vAlign w:val="center"/>
          </w:tcPr>
          <w:p w14:paraId="568A914A">
            <w:pPr>
              <w:spacing w:line="360" w:lineRule="exact"/>
              <w:jc w:val="center"/>
              <w:rPr>
                <w:rFonts w:ascii="宋体" w:hAnsi="宋体"/>
                <w:color w:val="auto"/>
                <w:szCs w:val="21"/>
                <w:highlight w:val="none"/>
              </w:rPr>
            </w:pPr>
          </w:p>
        </w:tc>
        <w:tc>
          <w:tcPr>
            <w:tcW w:w="2367" w:type="dxa"/>
            <w:vAlign w:val="center"/>
          </w:tcPr>
          <w:p w14:paraId="42049EB4">
            <w:pPr>
              <w:spacing w:line="360" w:lineRule="exact"/>
              <w:jc w:val="center"/>
              <w:rPr>
                <w:rFonts w:ascii="宋体" w:hAnsi="宋体"/>
                <w:color w:val="auto"/>
                <w:szCs w:val="21"/>
                <w:highlight w:val="none"/>
              </w:rPr>
            </w:pPr>
          </w:p>
        </w:tc>
        <w:tc>
          <w:tcPr>
            <w:tcW w:w="1723" w:type="dxa"/>
            <w:vAlign w:val="center"/>
          </w:tcPr>
          <w:p w14:paraId="0D8419BA">
            <w:pPr>
              <w:spacing w:line="360" w:lineRule="exact"/>
              <w:jc w:val="center"/>
              <w:rPr>
                <w:rFonts w:ascii="宋体" w:hAnsi="宋体"/>
                <w:color w:val="auto"/>
                <w:szCs w:val="21"/>
                <w:highlight w:val="none"/>
              </w:rPr>
            </w:pPr>
          </w:p>
        </w:tc>
      </w:tr>
    </w:tbl>
    <w:p w14:paraId="6FBD4CD7">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注：1、在填写时，如本表格不适合投标单位的实际情况，可根据本表格式自行划表填写。</w:t>
      </w:r>
    </w:p>
    <w:p w14:paraId="382F3223">
      <w:pPr>
        <w:snapToGrid w:val="0"/>
        <w:spacing w:before="50" w:after="120" w:afterLines="50" w:line="360" w:lineRule="auto"/>
        <w:jc w:val="left"/>
        <w:rPr>
          <w:rFonts w:ascii="宋体" w:hAnsi="宋体"/>
          <w:color w:val="auto"/>
          <w:szCs w:val="21"/>
          <w:highlight w:val="none"/>
        </w:rPr>
      </w:pPr>
      <w:r>
        <w:rPr>
          <w:rFonts w:hint="eastAsia" w:ascii="宋体" w:hAnsi="宋体"/>
          <w:color w:val="auto"/>
          <w:szCs w:val="21"/>
          <w:highlight w:val="none"/>
        </w:rPr>
        <w:t xml:space="preserve">    2、相关人员证书及社保证明材料等附后。</w:t>
      </w:r>
    </w:p>
    <w:p w14:paraId="41CB6DE4">
      <w:pPr>
        <w:snapToGrid w:val="0"/>
        <w:spacing w:line="440" w:lineRule="exact"/>
        <w:rPr>
          <w:rFonts w:ascii="宋体"/>
          <w:color w:val="auto"/>
          <w:szCs w:val="21"/>
          <w:highlight w:val="none"/>
          <w:u w:val="single"/>
        </w:rPr>
      </w:pPr>
      <w:r>
        <w:rPr>
          <w:rFonts w:hint="eastAsia" w:ascii="宋体"/>
          <w:color w:val="auto"/>
          <w:szCs w:val="21"/>
          <w:highlight w:val="none"/>
        </w:rPr>
        <w:t>授权代表签名：</w:t>
      </w:r>
      <w:r>
        <w:rPr>
          <w:rFonts w:hint="eastAsia" w:ascii="宋体"/>
          <w:color w:val="auto"/>
          <w:szCs w:val="21"/>
          <w:highlight w:val="none"/>
          <w:u w:val="single"/>
        </w:rPr>
        <w:t xml:space="preserve">                  </w:t>
      </w:r>
    </w:p>
    <w:p w14:paraId="1DA808AE">
      <w:pPr>
        <w:pStyle w:val="20"/>
        <w:adjustRightInd w:val="0"/>
        <w:snapToGrid w:val="0"/>
        <w:spacing w:after="0" w:line="440" w:lineRule="exact"/>
        <w:rPr>
          <w:rFonts w:ascii="宋体"/>
          <w:color w:val="auto"/>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p>
    <w:p w14:paraId="09FB122E">
      <w:pPr>
        <w:adjustRightInd w:val="0"/>
        <w:snapToGrid w:val="0"/>
        <w:spacing w:line="440" w:lineRule="exact"/>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14:paraId="62EB3EFD">
      <w:pPr>
        <w:pStyle w:val="20"/>
        <w:rPr>
          <w:color w:val="auto"/>
          <w:highlight w:val="none"/>
        </w:rPr>
      </w:pPr>
    </w:p>
    <w:p w14:paraId="3F294771">
      <w:pPr>
        <w:rPr>
          <w:color w:val="auto"/>
          <w:highlight w:val="none"/>
        </w:rPr>
      </w:pPr>
    </w:p>
    <w:p w14:paraId="5D8B59E8">
      <w:pPr>
        <w:pStyle w:val="20"/>
        <w:rPr>
          <w:color w:val="auto"/>
          <w:highlight w:val="none"/>
        </w:rPr>
      </w:pPr>
    </w:p>
    <w:p w14:paraId="634B1C38">
      <w:pPr>
        <w:pStyle w:val="20"/>
        <w:rPr>
          <w:color w:val="auto"/>
          <w:highlight w:val="none"/>
        </w:rPr>
      </w:pPr>
    </w:p>
    <w:p w14:paraId="4B636BD5">
      <w:pPr>
        <w:pStyle w:val="20"/>
        <w:rPr>
          <w:color w:val="auto"/>
          <w:highlight w:val="none"/>
        </w:rPr>
      </w:pPr>
    </w:p>
    <w:p w14:paraId="0430DE63">
      <w:pPr>
        <w:pStyle w:val="20"/>
        <w:rPr>
          <w:color w:val="auto"/>
          <w:highlight w:val="none"/>
        </w:rPr>
      </w:pPr>
    </w:p>
    <w:p w14:paraId="4A722379">
      <w:pPr>
        <w:pStyle w:val="20"/>
        <w:rPr>
          <w:color w:val="auto"/>
          <w:highlight w:val="none"/>
        </w:rPr>
      </w:pPr>
    </w:p>
    <w:p w14:paraId="5164E5DD">
      <w:pPr>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lang w:eastAsia="zh-CN"/>
        </w:rPr>
        <w:t>十六</w:t>
      </w:r>
      <w:r>
        <w:rPr>
          <w:rFonts w:hint="eastAsia" w:ascii="宋体"/>
          <w:b/>
          <w:color w:val="auto"/>
          <w:szCs w:val="21"/>
          <w:highlight w:val="none"/>
        </w:rPr>
        <w:t xml:space="preserve">、报价文件封面格式： </w:t>
      </w:r>
    </w:p>
    <w:p w14:paraId="069A73E8">
      <w:pPr>
        <w:adjustRightInd w:val="0"/>
        <w:snapToGrid w:val="0"/>
        <w:spacing w:line="500" w:lineRule="exact"/>
        <w:jc w:val="right"/>
        <w:rPr>
          <w:rFonts w:ascii="宋体"/>
          <w:b/>
          <w:bCs/>
          <w:color w:val="auto"/>
          <w:szCs w:val="21"/>
          <w:highlight w:val="none"/>
        </w:rPr>
      </w:pPr>
    </w:p>
    <w:p w14:paraId="449C25F5">
      <w:pPr>
        <w:adjustRightInd w:val="0"/>
        <w:snapToGrid w:val="0"/>
        <w:jc w:val="center"/>
        <w:rPr>
          <w:rStyle w:val="64"/>
          <w:rFonts w:ascii="宋体"/>
          <w:b/>
          <w:color w:val="auto"/>
          <w:szCs w:val="21"/>
          <w:highlight w:val="none"/>
        </w:rPr>
      </w:pPr>
    </w:p>
    <w:p w14:paraId="12DCF7EB">
      <w:pPr>
        <w:adjustRightInd w:val="0"/>
        <w:snapToGrid w:val="0"/>
        <w:jc w:val="center"/>
        <w:rPr>
          <w:rStyle w:val="64"/>
          <w:rFonts w:ascii="宋体"/>
          <w:color w:val="auto"/>
          <w:sz w:val="33"/>
          <w:szCs w:val="21"/>
          <w:highlight w:val="none"/>
        </w:rPr>
      </w:pPr>
    </w:p>
    <w:p w14:paraId="0FAE7807">
      <w:pPr>
        <w:adjustRightInd w:val="0"/>
        <w:snapToGrid w:val="0"/>
        <w:jc w:val="center"/>
        <w:rPr>
          <w:rStyle w:val="64"/>
          <w:rFonts w:ascii="宋体"/>
          <w:color w:val="auto"/>
          <w:sz w:val="33"/>
          <w:szCs w:val="21"/>
          <w:highlight w:val="none"/>
        </w:rPr>
      </w:pPr>
    </w:p>
    <w:p w14:paraId="7EE26AF1">
      <w:pPr>
        <w:adjustRightInd w:val="0"/>
        <w:snapToGrid w:val="0"/>
        <w:spacing w:line="600" w:lineRule="exact"/>
        <w:jc w:val="center"/>
        <w:rPr>
          <w:rFonts w:hint="eastAsia" w:ascii="宋体" w:eastAsia="宋体"/>
          <w:b/>
          <w:bCs/>
          <w:color w:val="auto"/>
          <w:sz w:val="46"/>
          <w:szCs w:val="46"/>
          <w:highlight w:val="none"/>
          <w:lang w:eastAsia="zh-CN"/>
        </w:rPr>
      </w:pPr>
      <w:r>
        <w:rPr>
          <w:rFonts w:hint="eastAsia" w:ascii="宋体" w:cs="宋体"/>
          <w:b/>
          <w:bCs/>
          <w:color w:val="auto"/>
          <w:sz w:val="46"/>
          <w:szCs w:val="46"/>
          <w:highlight w:val="none"/>
          <w:lang w:eastAsia="zh-CN"/>
        </w:rPr>
        <w:t>浙江省南湖监狱安防设施维保项目（2025）</w:t>
      </w:r>
    </w:p>
    <w:p w14:paraId="46D73750">
      <w:pPr>
        <w:adjustRightInd w:val="0"/>
        <w:snapToGrid w:val="0"/>
        <w:spacing w:line="360" w:lineRule="auto"/>
        <w:jc w:val="center"/>
        <w:rPr>
          <w:rFonts w:ascii="宋体"/>
          <w:color w:val="auto"/>
          <w:sz w:val="52"/>
          <w:szCs w:val="52"/>
          <w:highlight w:val="none"/>
        </w:rPr>
      </w:pPr>
    </w:p>
    <w:p w14:paraId="1A8C7138">
      <w:pPr>
        <w:pStyle w:val="2"/>
        <w:rPr>
          <w:color w:val="auto"/>
          <w:sz w:val="52"/>
          <w:szCs w:val="52"/>
          <w:highlight w:val="none"/>
        </w:rPr>
      </w:pPr>
    </w:p>
    <w:p w14:paraId="3995CC3E">
      <w:pPr>
        <w:pStyle w:val="2"/>
        <w:rPr>
          <w:color w:val="auto"/>
          <w:sz w:val="52"/>
          <w:szCs w:val="52"/>
          <w:highlight w:val="none"/>
        </w:rPr>
      </w:pPr>
    </w:p>
    <w:p w14:paraId="3AE58D28">
      <w:pPr>
        <w:pStyle w:val="109"/>
        <w:rPr>
          <w:rFonts w:ascii="宋体"/>
          <w:color w:val="auto"/>
          <w:sz w:val="33"/>
          <w:szCs w:val="21"/>
          <w:highlight w:val="none"/>
        </w:rPr>
      </w:pPr>
    </w:p>
    <w:p w14:paraId="48A30987">
      <w:pPr>
        <w:pStyle w:val="20"/>
        <w:rPr>
          <w:color w:val="auto"/>
          <w:highlight w:val="none"/>
        </w:rPr>
      </w:pPr>
    </w:p>
    <w:p w14:paraId="315ABB2D">
      <w:pPr>
        <w:adjustRightInd w:val="0"/>
        <w:snapToGrid w:val="0"/>
        <w:spacing w:line="360" w:lineRule="auto"/>
        <w:jc w:val="center"/>
        <w:rPr>
          <w:rFonts w:ascii="宋体"/>
          <w:color w:val="auto"/>
          <w:sz w:val="52"/>
          <w:szCs w:val="52"/>
          <w:highlight w:val="none"/>
        </w:rPr>
      </w:pPr>
      <w:r>
        <w:rPr>
          <w:rFonts w:hint="eastAsia" w:ascii="宋体"/>
          <w:color w:val="auto"/>
          <w:sz w:val="52"/>
          <w:szCs w:val="52"/>
          <w:highlight w:val="none"/>
        </w:rPr>
        <w:t>报价文件</w:t>
      </w:r>
    </w:p>
    <w:p w14:paraId="67407FFF">
      <w:pPr>
        <w:adjustRightInd w:val="0"/>
        <w:snapToGrid w:val="0"/>
        <w:spacing w:line="500" w:lineRule="exact"/>
        <w:ind w:firstLine="955" w:firstLineChars="455"/>
        <w:rPr>
          <w:rFonts w:ascii="宋体"/>
          <w:bCs/>
          <w:color w:val="auto"/>
          <w:szCs w:val="21"/>
          <w:highlight w:val="none"/>
        </w:rPr>
      </w:pPr>
    </w:p>
    <w:p w14:paraId="3C5F04FB">
      <w:pPr>
        <w:adjustRightInd w:val="0"/>
        <w:snapToGrid w:val="0"/>
        <w:spacing w:line="500" w:lineRule="exact"/>
        <w:ind w:firstLine="955" w:firstLineChars="455"/>
        <w:rPr>
          <w:rFonts w:ascii="宋体"/>
          <w:bCs/>
          <w:color w:val="auto"/>
          <w:szCs w:val="21"/>
          <w:highlight w:val="none"/>
        </w:rPr>
      </w:pPr>
    </w:p>
    <w:p w14:paraId="2E57A58B">
      <w:pPr>
        <w:adjustRightInd w:val="0"/>
        <w:snapToGrid w:val="0"/>
        <w:spacing w:line="500" w:lineRule="exact"/>
        <w:ind w:firstLine="955" w:firstLineChars="455"/>
        <w:rPr>
          <w:rFonts w:ascii="宋体"/>
          <w:bCs/>
          <w:color w:val="auto"/>
          <w:szCs w:val="21"/>
          <w:highlight w:val="none"/>
        </w:rPr>
      </w:pPr>
    </w:p>
    <w:p w14:paraId="4BEDDCBB">
      <w:pPr>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项目名称：</w:t>
      </w:r>
      <w:r>
        <w:rPr>
          <w:rFonts w:hint="eastAsia" w:ascii="宋体"/>
          <w:bCs/>
          <w:color w:val="auto"/>
          <w:szCs w:val="21"/>
          <w:highlight w:val="none"/>
          <w:u w:val="single"/>
        </w:rPr>
        <w:t xml:space="preserve">                                       </w:t>
      </w:r>
    </w:p>
    <w:p w14:paraId="4513FD87">
      <w:pPr>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项目编号：</w:t>
      </w:r>
      <w:r>
        <w:rPr>
          <w:rFonts w:hint="eastAsia" w:ascii="宋体"/>
          <w:bCs/>
          <w:color w:val="auto"/>
          <w:szCs w:val="21"/>
          <w:highlight w:val="none"/>
          <w:u w:val="single"/>
        </w:rPr>
        <w:t xml:space="preserve">                                        </w:t>
      </w:r>
      <w:r>
        <w:rPr>
          <w:rFonts w:hint="eastAsia" w:ascii="宋体"/>
          <w:bCs/>
          <w:color w:val="auto"/>
          <w:szCs w:val="21"/>
          <w:highlight w:val="none"/>
        </w:rPr>
        <w:t xml:space="preserve"> </w:t>
      </w:r>
    </w:p>
    <w:p w14:paraId="64FE479C">
      <w:pPr>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投标人名称（盖章）：</w:t>
      </w:r>
      <w:r>
        <w:rPr>
          <w:rFonts w:hint="eastAsia" w:ascii="宋体"/>
          <w:color w:val="auto"/>
          <w:szCs w:val="21"/>
          <w:highlight w:val="none"/>
          <w:u w:val="single"/>
        </w:rPr>
        <w:t xml:space="preserve">                              </w:t>
      </w:r>
    </w:p>
    <w:p w14:paraId="11D0CE92">
      <w:pPr>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投标人地址：</w:t>
      </w:r>
      <w:r>
        <w:rPr>
          <w:rFonts w:hint="eastAsia" w:ascii="宋体"/>
          <w:color w:val="auto"/>
          <w:szCs w:val="21"/>
          <w:highlight w:val="none"/>
          <w:u w:val="single"/>
        </w:rPr>
        <w:t xml:space="preserve">                                      </w:t>
      </w:r>
    </w:p>
    <w:p w14:paraId="11A29738">
      <w:pPr>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授权代表签字或盖章：</w:t>
      </w:r>
      <w:r>
        <w:rPr>
          <w:rFonts w:hint="eastAsia" w:ascii="宋体"/>
          <w:bCs/>
          <w:color w:val="auto"/>
          <w:szCs w:val="21"/>
          <w:highlight w:val="none"/>
          <w:u w:val="single"/>
        </w:rPr>
        <w:t xml:space="preserve">                              </w:t>
      </w:r>
    </w:p>
    <w:p w14:paraId="52D6D992">
      <w:pPr>
        <w:adjustRightInd w:val="0"/>
        <w:snapToGrid w:val="0"/>
        <w:spacing w:before="120" w:beforeLines="50" w:after="120" w:afterLines="50" w:line="500" w:lineRule="exact"/>
        <w:ind w:firstLine="840" w:firstLineChars="400"/>
        <w:rPr>
          <w:rFonts w:ascii="宋体"/>
          <w:bCs/>
          <w:color w:val="auto"/>
          <w:szCs w:val="21"/>
          <w:highlight w:val="none"/>
        </w:rPr>
      </w:pPr>
      <w:r>
        <w:rPr>
          <w:rFonts w:hint="eastAsia" w:ascii="宋体"/>
          <w:bCs/>
          <w:color w:val="auto"/>
          <w:szCs w:val="21"/>
          <w:highlight w:val="none"/>
          <w:u w:val="single"/>
        </w:rPr>
        <w:t xml:space="preserve">       </w:t>
      </w:r>
      <w:r>
        <w:rPr>
          <w:rFonts w:hint="eastAsia" w:ascii="宋体"/>
          <w:bCs/>
          <w:color w:val="auto"/>
          <w:szCs w:val="21"/>
          <w:highlight w:val="none"/>
        </w:rPr>
        <w:t>年</w:t>
      </w:r>
      <w:r>
        <w:rPr>
          <w:rFonts w:hint="eastAsia" w:ascii="宋体"/>
          <w:bCs/>
          <w:color w:val="auto"/>
          <w:szCs w:val="21"/>
          <w:highlight w:val="none"/>
          <w:u w:val="single"/>
        </w:rPr>
        <w:t xml:space="preserve">    </w:t>
      </w:r>
      <w:r>
        <w:rPr>
          <w:rFonts w:hint="eastAsia" w:ascii="宋体"/>
          <w:bCs/>
          <w:color w:val="auto"/>
          <w:szCs w:val="21"/>
          <w:highlight w:val="none"/>
        </w:rPr>
        <w:t>月</w:t>
      </w:r>
      <w:r>
        <w:rPr>
          <w:rFonts w:hint="eastAsia" w:ascii="宋体"/>
          <w:bCs/>
          <w:color w:val="auto"/>
          <w:szCs w:val="21"/>
          <w:highlight w:val="none"/>
          <w:u w:val="single"/>
        </w:rPr>
        <w:t xml:space="preserve">    </w:t>
      </w:r>
      <w:r>
        <w:rPr>
          <w:rFonts w:hint="eastAsia" w:ascii="宋体"/>
          <w:bCs/>
          <w:color w:val="auto"/>
          <w:szCs w:val="21"/>
          <w:highlight w:val="none"/>
        </w:rPr>
        <w:t>日</w:t>
      </w:r>
    </w:p>
    <w:p w14:paraId="0B3691E1">
      <w:pPr>
        <w:adjustRightInd w:val="0"/>
        <w:snapToGrid w:val="0"/>
        <w:spacing w:before="120" w:beforeLines="50" w:after="120" w:afterLines="50" w:line="500" w:lineRule="exact"/>
        <w:rPr>
          <w:rFonts w:ascii="宋体"/>
          <w:bCs/>
          <w:color w:val="auto"/>
          <w:szCs w:val="21"/>
          <w:highlight w:val="none"/>
        </w:rPr>
      </w:pPr>
    </w:p>
    <w:p w14:paraId="671139A8">
      <w:pPr>
        <w:pStyle w:val="70"/>
        <w:spacing w:before="120"/>
        <w:rPr>
          <w:color w:val="auto"/>
          <w:highlight w:val="none"/>
        </w:rPr>
      </w:pPr>
    </w:p>
    <w:p w14:paraId="3EBF4DD4">
      <w:pPr>
        <w:pStyle w:val="2"/>
        <w:rPr>
          <w:bCs/>
          <w:color w:val="auto"/>
          <w:szCs w:val="21"/>
          <w:highlight w:val="none"/>
        </w:rPr>
      </w:pPr>
    </w:p>
    <w:p w14:paraId="1CDE35A9">
      <w:pPr>
        <w:pStyle w:val="2"/>
        <w:rPr>
          <w:bCs/>
          <w:color w:val="auto"/>
          <w:szCs w:val="21"/>
          <w:highlight w:val="none"/>
        </w:rPr>
      </w:pPr>
    </w:p>
    <w:p w14:paraId="3E8AA4D4">
      <w:pPr>
        <w:adjustRightInd w:val="0"/>
        <w:snapToGrid w:val="0"/>
        <w:spacing w:before="120" w:beforeLines="50" w:after="120" w:afterLines="50" w:line="500" w:lineRule="exact"/>
        <w:rPr>
          <w:rFonts w:ascii="宋体"/>
          <w:bCs/>
          <w:color w:val="auto"/>
          <w:szCs w:val="21"/>
          <w:highlight w:val="none"/>
        </w:rPr>
      </w:pPr>
    </w:p>
    <w:p w14:paraId="1D99AA07">
      <w:pPr>
        <w:adjustRightInd w:val="0"/>
        <w:snapToGrid w:val="0"/>
        <w:spacing w:before="120" w:beforeLines="50" w:after="120" w:afterLines="50" w:line="500" w:lineRule="exact"/>
        <w:outlineLvl w:val="2"/>
        <w:rPr>
          <w:rFonts w:ascii="宋体"/>
          <w:bCs/>
          <w:color w:val="auto"/>
          <w:szCs w:val="21"/>
          <w:highlight w:val="none"/>
        </w:rPr>
      </w:pPr>
      <w:r>
        <w:rPr>
          <w:rFonts w:hint="eastAsia" w:ascii="宋体"/>
          <w:b/>
          <w:color w:val="auto"/>
          <w:szCs w:val="21"/>
          <w:highlight w:val="none"/>
          <w:lang w:eastAsia="zh-CN"/>
        </w:rPr>
        <w:t>十七</w:t>
      </w:r>
      <w:r>
        <w:rPr>
          <w:rFonts w:hint="eastAsia" w:ascii="宋体"/>
          <w:b/>
          <w:color w:val="auto"/>
          <w:szCs w:val="21"/>
          <w:highlight w:val="none"/>
        </w:rPr>
        <w:t>、报价文件目录</w:t>
      </w:r>
    </w:p>
    <w:p w14:paraId="01E1783E">
      <w:pPr>
        <w:numPr>
          <w:ilvl w:val="0"/>
          <w:numId w:val="25"/>
        </w:numPr>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开标一览表（格式见附件）；</w:t>
      </w:r>
    </w:p>
    <w:p w14:paraId="1158099B">
      <w:pPr>
        <w:numPr>
          <w:ilvl w:val="0"/>
          <w:numId w:val="25"/>
        </w:numPr>
        <w:adjustRightInd w:val="0"/>
        <w:snapToGrid w:val="0"/>
        <w:spacing w:line="400" w:lineRule="exact"/>
        <w:jc w:val="left"/>
        <w:rPr>
          <w:rFonts w:ascii="宋体" w:hAnsi="宋体" w:cs="宋体"/>
          <w:color w:val="auto"/>
          <w:szCs w:val="21"/>
          <w:highlight w:val="none"/>
        </w:rPr>
      </w:pPr>
      <w:r>
        <w:rPr>
          <w:rFonts w:hint="eastAsia" w:ascii="宋体"/>
          <w:color w:val="auto"/>
          <w:szCs w:val="21"/>
          <w:highlight w:val="none"/>
        </w:rPr>
        <w:t>中小企业声明函（格式见附件）</w:t>
      </w:r>
      <w:r>
        <w:rPr>
          <w:rFonts w:hint="eastAsia" w:ascii="宋体"/>
          <w:color w:val="auto"/>
          <w:szCs w:val="21"/>
          <w:highlight w:val="none"/>
          <w:lang w:val="en-US" w:eastAsia="zh-CN"/>
        </w:rPr>
        <w:t>；</w:t>
      </w:r>
    </w:p>
    <w:p w14:paraId="757CE29E">
      <w:pPr>
        <w:numPr>
          <w:ilvl w:val="0"/>
          <w:numId w:val="25"/>
        </w:numPr>
        <w:adjustRightInd w:val="0"/>
        <w:snapToGrid w:val="0"/>
        <w:spacing w:line="400" w:lineRule="exact"/>
        <w:jc w:val="left"/>
        <w:rPr>
          <w:rFonts w:ascii="宋体" w:hAnsi="宋体" w:cs="宋体"/>
          <w:color w:val="auto"/>
          <w:szCs w:val="21"/>
          <w:highlight w:val="none"/>
        </w:rPr>
      </w:pPr>
      <w:r>
        <w:rPr>
          <w:rFonts w:hint="eastAsia" w:ascii="宋体"/>
          <w:color w:val="auto"/>
          <w:szCs w:val="21"/>
          <w:highlight w:val="none"/>
        </w:rPr>
        <w:t>投标人</w:t>
      </w:r>
      <w:r>
        <w:rPr>
          <w:rFonts w:hint="eastAsia" w:ascii="宋体" w:hAnsi="宋体" w:cs="宋体"/>
          <w:color w:val="auto"/>
          <w:szCs w:val="21"/>
          <w:highlight w:val="none"/>
        </w:rPr>
        <w:t>针对报价需要说明的其他文件和说明（格式自拟）。</w:t>
      </w:r>
    </w:p>
    <w:p w14:paraId="529BBEF0">
      <w:pPr>
        <w:adjustRightInd w:val="0"/>
        <w:snapToGrid w:val="0"/>
        <w:spacing w:before="120" w:beforeLines="50" w:after="120" w:afterLines="50" w:line="500" w:lineRule="exact"/>
        <w:outlineLvl w:val="2"/>
        <w:rPr>
          <w:rFonts w:ascii="宋体"/>
          <w:b/>
          <w:color w:val="auto"/>
          <w:szCs w:val="21"/>
          <w:highlight w:val="none"/>
        </w:rPr>
      </w:pPr>
      <w:r>
        <w:rPr>
          <w:rFonts w:hint="eastAsia" w:ascii="宋体"/>
          <w:bCs/>
          <w:color w:val="auto"/>
          <w:szCs w:val="21"/>
          <w:highlight w:val="none"/>
        </w:rPr>
        <w:br w:type="page"/>
      </w:r>
      <w:bookmarkStart w:id="292" w:name="_Toc293916985"/>
      <w:r>
        <w:rPr>
          <w:rFonts w:hint="eastAsia" w:ascii="宋体"/>
          <w:b/>
          <w:bCs/>
          <w:color w:val="auto"/>
          <w:szCs w:val="21"/>
          <w:highlight w:val="none"/>
          <w:lang w:eastAsia="zh-CN"/>
        </w:rPr>
        <w:t>十八</w:t>
      </w:r>
      <w:r>
        <w:rPr>
          <w:rFonts w:hint="eastAsia" w:ascii="宋体"/>
          <w:b/>
          <w:color w:val="auto"/>
          <w:szCs w:val="21"/>
          <w:highlight w:val="none"/>
        </w:rPr>
        <w:t>、开标一览表</w:t>
      </w:r>
    </w:p>
    <w:p w14:paraId="094D9614">
      <w:pPr>
        <w:snapToGrid w:val="0"/>
        <w:spacing w:line="440" w:lineRule="exact"/>
        <w:jc w:val="center"/>
        <w:rPr>
          <w:rFonts w:ascii="宋体"/>
          <w:b/>
          <w:color w:val="auto"/>
          <w:szCs w:val="21"/>
          <w:highlight w:val="none"/>
        </w:rPr>
      </w:pPr>
      <w:r>
        <w:rPr>
          <w:rFonts w:hint="eastAsia" w:ascii="宋体"/>
          <w:b/>
          <w:color w:val="auto"/>
          <w:szCs w:val="21"/>
          <w:highlight w:val="none"/>
        </w:rPr>
        <w:t>开标一览表</w:t>
      </w:r>
    </w:p>
    <w:p w14:paraId="65CCCCC4">
      <w:pPr>
        <w:snapToGrid w:val="0"/>
        <w:spacing w:line="440" w:lineRule="exact"/>
        <w:rPr>
          <w:rFonts w:ascii="宋体"/>
          <w:color w:val="auto"/>
          <w:szCs w:val="21"/>
          <w:highlight w:val="none"/>
        </w:rPr>
      </w:pPr>
      <w:r>
        <w:rPr>
          <w:rFonts w:hint="eastAsia" w:ascii="宋体"/>
          <w:color w:val="auto"/>
          <w:szCs w:val="21"/>
          <w:highlight w:val="none"/>
        </w:rPr>
        <w:t xml:space="preserve">项目编号：                                           项目名称：                                       </w:t>
      </w:r>
    </w:p>
    <w:tbl>
      <w:tblPr>
        <w:tblStyle w:val="60"/>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63"/>
        <w:gridCol w:w="1949"/>
        <w:gridCol w:w="3426"/>
      </w:tblGrid>
      <w:tr w14:paraId="7330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18" w:type="dxa"/>
            <w:vAlign w:val="center"/>
          </w:tcPr>
          <w:p w14:paraId="4CC8725B">
            <w:pPr>
              <w:pStyle w:val="25"/>
              <w:snapToGrid w:val="0"/>
              <w:spacing w:beforeLines="0" w:afterLines="0" w:line="360" w:lineRule="exact"/>
              <w:ind w:left="0" w:firstLine="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snapToGrid w:val="0"/>
                <w:color w:val="auto"/>
                <w:sz w:val="21"/>
                <w:szCs w:val="21"/>
                <w:highlight w:val="none"/>
                <w:lang w:val="en-US" w:eastAsia="zh-CN"/>
              </w:rPr>
              <w:t>序号</w:t>
            </w:r>
          </w:p>
        </w:tc>
        <w:tc>
          <w:tcPr>
            <w:tcW w:w="2263" w:type="dxa"/>
            <w:vAlign w:val="center"/>
          </w:tcPr>
          <w:p w14:paraId="29E40BC3">
            <w:pPr>
              <w:pStyle w:val="25"/>
              <w:snapToGrid w:val="0"/>
              <w:spacing w:beforeLines="0" w:afterLines="0" w:line="360" w:lineRule="exact"/>
              <w:ind w:left="0"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1949" w:type="dxa"/>
            <w:vAlign w:val="center"/>
          </w:tcPr>
          <w:p w14:paraId="61CB1B6F">
            <w:pPr>
              <w:pStyle w:val="25"/>
              <w:snapToGrid w:val="0"/>
              <w:spacing w:beforeLines="0" w:afterLines="0" w:line="360" w:lineRule="exact"/>
              <w:ind w:left="0" w:firstLine="0"/>
              <w:jc w:val="center"/>
              <w:rPr>
                <w:rFonts w:hint="eastAsia" w:ascii="宋体" w:hAnsi="宋体" w:eastAsia="宋体" w:cs="宋体"/>
                <w:b/>
                <w:bCs/>
                <w:snapToGrid w:val="0"/>
                <w:color w:val="auto"/>
                <w:sz w:val="21"/>
                <w:szCs w:val="21"/>
                <w:highlight w:val="none"/>
                <w:lang w:eastAsia="zh-CN"/>
              </w:rPr>
            </w:pPr>
            <w:r>
              <w:rPr>
                <w:rFonts w:hint="eastAsia" w:ascii="宋体" w:hAnsi="宋体" w:eastAsia="宋体" w:cs="宋体"/>
                <w:b/>
                <w:bCs/>
                <w:snapToGrid w:val="0"/>
                <w:color w:val="auto"/>
                <w:sz w:val="21"/>
                <w:szCs w:val="21"/>
                <w:highlight w:val="none"/>
                <w:lang w:eastAsia="zh-CN"/>
              </w:rPr>
              <w:t>服务期</w:t>
            </w:r>
          </w:p>
        </w:tc>
        <w:tc>
          <w:tcPr>
            <w:tcW w:w="3426" w:type="dxa"/>
            <w:vAlign w:val="center"/>
          </w:tcPr>
          <w:p w14:paraId="0554DFD3">
            <w:pPr>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r>
      <w:tr w14:paraId="1265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Align w:val="center"/>
          </w:tcPr>
          <w:p w14:paraId="0CFC015A">
            <w:pPr>
              <w:pStyle w:val="25"/>
              <w:snapToGrid w:val="0"/>
              <w:spacing w:beforeLines="0" w:afterLines="0" w:line="360" w:lineRule="exact"/>
              <w:ind w:left="0" w:firstLine="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2263" w:type="dxa"/>
            <w:vAlign w:val="center"/>
          </w:tcPr>
          <w:p w14:paraId="060B9C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highlight w:val="none"/>
              </w:rPr>
            </w:pPr>
            <w:r>
              <w:rPr>
                <w:rStyle w:val="64"/>
                <w:rFonts w:hint="eastAsia" w:ascii="宋体" w:hAnsi="宋体" w:eastAsia="宋体" w:cs="宋体"/>
                <w:color w:val="auto"/>
                <w:kern w:val="0"/>
                <w:sz w:val="21"/>
                <w:szCs w:val="21"/>
                <w:highlight w:val="none"/>
                <w:lang w:eastAsia="zh-CN"/>
              </w:rPr>
              <w:t>浙江省南湖监狱安防设施维保项目（2025）</w:t>
            </w:r>
            <w:r>
              <w:rPr>
                <w:rStyle w:val="64"/>
                <w:rFonts w:hint="eastAsia" w:ascii="宋体" w:hAnsi="宋体" w:eastAsia="宋体" w:cs="宋体"/>
                <w:color w:val="auto"/>
                <w:kern w:val="0"/>
                <w:sz w:val="21"/>
                <w:szCs w:val="21"/>
                <w:highlight w:val="none"/>
              </w:rPr>
              <w:t xml:space="preserve">  </w:t>
            </w:r>
          </w:p>
        </w:tc>
        <w:tc>
          <w:tcPr>
            <w:tcW w:w="1949" w:type="dxa"/>
            <w:vAlign w:val="center"/>
          </w:tcPr>
          <w:p w14:paraId="6FE520C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1年，自合同签订之日计起。</w:t>
            </w:r>
          </w:p>
        </w:tc>
        <w:tc>
          <w:tcPr>
            <w:tcW w:w="3426" w:type="dxa"/>
            <w:vAlign w:val="center"/>
          </w:tcPr>
          <w:p w14:paraId="4C55671B">
            <w:pPr>
              <w:pStyle w:val="2"/>
              <w:spacing w:line="400" w:lineRule="exact"/>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小写：</w:t>
            </w:r>
          </w:p>
          <w:p w14:paraId="1C797954">
            <w:pPr>
              <w:pStyle w:val="2"/>
              <w:spacing w:line="400" w:lineRule="exact"/>
              <w:ind w:firstLine="0"/>
              <w:rPr>
                <w:rFonts w:hint="eastAsia" w:ascii="宋体" w:hAnsi="宋体" w:eastAsia="宋体" w:cs="宋体"/>
                <w:color w:val="auto"/>
                <w:spacing w:val="0"/>
                <w:sz w:val="21"/>
                <w:szCs w:val="21"/>
                <w:highlight w:val="none"/>
              </w:rPr>
            </w:pPr>
          </w:p>
          <w:p w14:paraId="44C6A794">
            <w:pPr>
              <w:pStyle w:val="2"/>
              <w:spacing w:line="400" w:lineRule="exact"/>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大写：</w:t>
            </w:r>
          </w:p>
        </w:tc>
      </w:tr>
    </w:tbl>
    <w:p w14:paraId="6DD34D89">
      <w:pPr>
        <w:snapToGrid w:val="0"/>
        <w:spacing w:after="120" w:afterLines="50" w:line="440" w:lineRule="exact"/>
        <w:rPr>
          <w:rFonts w:ascii="宋体"/>
          <w:color w:val="auto"/>
          <w:szCs w:val="21"/>
          <w:highlight w:val="none"/>
        </w:rPr>
      </w:pPr>
    </w:p>
    <w:p w14:paraId="39038FA0">
      <w:pPr>
        <w:snapToGrid w:val="0"/>
        <w:spacing w:line="440" w:lineRule="exact"/>
        <w:rPr>
          <w:rFonts w:ascii="宋体"/>
          <w:color w:val="auto"/>
          <w:szCs w:val="21"/>
          <w:highlight w:val="none"/>
        </w:rPr>
      </w:pPr>
    </w:p>
    <w:p w14:paraId="02422625">
      <w:pPr>
        <w:snapToGrid w:val="0"/>
        <w:spacing w:line="440" w:lineRule="exact"/>
        <w:rPr>
          <w:rFonts w:ascii="宋体"/>
          <w:color w:val="auto"/>
          <w:szCs w:val="21"/>
          <w:highlight w:val="none"/>
        </w:rPr>
      </w:pPr>
      <w:r>
        <w:rPr>
          <w:rFonts w:hint="eastAsia" w:ascii="宋体"/>
          <w:color w:val="auto"/>
          <w:szCs w:val="21"/>
          <w:highlight w:val="none"/>
        </w:rPr>
        <w:t>法定代表人（签字或盖章）：</w:t>
      </w:r>
      <w:r>
        <w:rPr>
          <w:rFonts w:hint="eastAsia" w:ascii="宋体"/>
          <w:color w:val="auto"/>
          <w:szCs w:val="21"/>
          <w:highlight w:val="none"/>
          <w:u w:val="single"/>
        </w:rPr>
        <w:t xml:space="preserve">               </w:t>
      </w:r>
    </w:p>
    <w:p w14:paraId="7D8B1E34">
      <w:pPr>
        <w:snapToGrid w:val="0"/>
        <w:spacing w:line="440" w:lineRule="exact"/>
        <w:rPr>
          <w:rFonts w:ascii="宋体"/>
          <w:color w:val="auto"/>
          <w:szCs w:val="21"/>
          <w:highlight w:val="none"/>
        </w:rPr>
      </w:pPr>
      <w:r>
        <w:rPr>
          <w:rFonts w:hint="eastAsia" w:ascii="宋体"/>
          <w:color w:val="auto"/>
          <w:szCs w:val="21"/>
          <w:highlight w:val="none"/>
        </w:rPr>
        <w:t>投标人名称（盖章）：</w:t>
      </w:r>
      <w:r>
        <w:rPr>
          <w:rFonts w:hint="eastAsia" w:ascii="宋体"/>
          <w:color w:val="auto"/>
          <w:szCs w:val="21"/>
          <w:highlight w:val="none"/>
          <w:u w:val="single"/>
        </w:rPr>
        <w:t xml:space="preserve">                     </w:t>
      </w:r>
    </w:p>
    <w:p w14:paraId="3F1449BF">
      <w:pPr>
        <w:snapToGrid w:val="0"/>
        <w:spacing w:line="440" w:lineRule="exact"/>
        <w:rPr>
          <w:rFonts w:ascii="宋体"/>
          <w:color w:val="auto"/>
          <w:szCs w:val="21"/>
          <w:highlight w:val="none"/>
        </w:rPr>
      </w:pPr>
      <w:r>
        <w:rPr>
          <w:rFonts w:hint="eastAsia" w:ascii="宋体"/>
          <w:color w:val="auto"/>
          <w:szCs w:val="21"/>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3B077D3C">
      <w:pPr>
        <w:adjustRightInd w:val="0"/>
        <w:snapToGrid w:val="0"/>
        <w:spacing w:before="120" w:beforeLines="50" w:after="120" w:afterLines="50" w:line="500" w:lineRule="exact"/>
        <w:rPr>
          <w:rFonts w:ascii="宋体"/>
          <w:color w:val="auto"/>
          <w:szCs w:val="21"/>
          <w:highlight w:val="none"/>
        </w:rPr>
      </w:pPr>
    </w:p>
    <w:p w14:paraId="65A25E72">
      <w:pPr>
        <w:adjustRightInd w:val="0"/>
        <w:snapToGrid w:val="0"/>
        <w:spacing w:before="120" w:beforeLines="50" w:after="120" w:afterLines="50" w:line="500" w:lineRule="exact"/>
        <w:rPr>
          <w:rFonts w:hint="eastAsia" w:ascii="宋体" w:hAnsi="宋体"/>
          <w:b/>
          <w:color w:val="auto"/>
          <w:szCs w:val="21"/>
          <w:highlight w:val="none"/>
        </w:rPr>
      </w:pPr>
    </w:p>
    <w:p w14:paraId="686F476F">
      <w:pPr>
        <w:adjustRightInd w:val="0"/>
        <w:snapToGrid w:val="0"/>
        <w:spacing w:before="120" w:beforeLines="50" w:after="120" w:afterLines="50" w:line="500" w:lineRule="exact"/>
        <w:rPr>
          <w:rFonts w:hint="eastAsia" w:ascii="宋体" w:hAnsi="宋体"/>
          <w:b/>
          <w:color w:val="auto"/>
          <w:szCs w:val="21"/>
          <w:highlight w:val="none"/>
        </w:rPr>
      </w:pPr>
    </w:p>
    <w:p w14:paraId="6F74830C">
      <w:pPr>
        <w:adjustRightInd w:val="0"/>
        <w:snapToGrid w:val="0"/>
        <w:spacing w:before="120" w:beforeLines="50" w:after="120" w:afterLines="50" w:line="500" w:lineRule="exact"/>
        <w:rPr>
          <w:rFonts w:hint="eastAsia" w:ascii="宋体" w:hAnsi="宋体"/>
          <w:b/>
          <w:color w:val="auto"/>
          <w:szCs w:val="21"/>
          <w:highlight w:val="none"/>
        </w:rPr>
      </w:pPr>
    </w:p>
    <w:p w14:paraId="774E36F7">
      <w:pPr>
        <w:adjustRightInd w:val="0"/>
        <w:snapToGrid w:val="0"/>
        <w:spacing w:before="120" w:beforeLines="50" w:after="120" w:afterLines="50" w:line="500" w:lineRule="exact"/>
        <w:rPr>
          <w:rFonts w:hint="eastAsia" w:ascii="宋体" w:hAnsi="宋体"/>
          <w:b/>
          <w:color w:val="auto"/>
          <w:szCs w:val="21"/>
          <w:highlight w:val="none"/>
        </w:rPr>
      </w:pPr>
    </w:p>
    <w:p w14:paraId="4C17FE53">
      <w:pPr>
        <w:adjustRightInd w:val="0"/>
        <w:snapToGrid w:val="0"/>
        <w:spacing w:before="120" w:beforeLines="50" w:after="120" w:afterLines="50" w:line="500" w:lineRule="exact"/>
        <w:rPr>
          <w:rFonts w:hint="eastAsia" w:ascii="宋体" w:hAnsi="宋体"/>
          <w:b/>
          <w:color w:val="auto"/>
          <w:szCs w:val="21"/>
          <w:highlight w:val="none"/>
        </w:rPr>
      </w:pPr>
    </w:p>
    <w:p w14:paraId="26C685BD">
      <w:pPr>
        <w:adjustRightInd w:val="0"/>
        <w:snapToGrid w:val="0"/>
        <w:spacing w:before="120" w:beforeLines="50" w:after="120" w:afterLines="50" w:line="500" w:lineRule="exact"/>
        <w:rPr>
          <w:rFonts w:hint="eastAsia" w:ascii="宋体" w:hAnsi="宋体"/>
          <w:b/>
          <w:color w:val="auto"/>
          <w:szCs w:val="21"/>
          <w:highlight w:val="none"/>
        </w:rPr>
      </w:pPr>
    </w:p>
    <w:p w14:paraId="0FCAD3C4">
      <w:pPr>
        <w:adjustRightInd w:val="0"/>
        <w:snapToGrid w:val="0"/>
        <w:spacing w:before="120" w:beforeLines="50" w:after="120" w:afterLines="50" w:line="500" w:lineRule="exact"/>
        <w:rPr>
          <w:rFonts w:hint="eastAsia" w:ascii="宋体" w:hAnsi="宋体"/>
          <w:b/>
          <w:color w:val="auto"/>
          <w:szCs w:val="21"/>
          <w:highlight w:val="none"/>
        </w:rPr>
      </w:pPr>
    </w:p>
    <w:p w14:paraId="1AE6830E">
      <w:pPr>
        <w:adjustRightInd w:val="0"/>
        <w:snapToGrid w:val="0"/>
        <w:spacing w:before="120" w:beforeLines="50" w:after="120" w:afterLines="50" w:line="500" w:lineRule="exact"/>
        <w:rPr>
          <w:rFonts w:hint="eastAsia" w:ascii="宋体" w:hAnsi="宋体"/>
          <w:b/>
          <w:color w:val="auto"/>
          <w:szCs w:val="21"/>
          <w:highlight w:val="none"/>
        </w:rPr>
      </w:pPr>
    </w:p>
    <w:p w14:paraId="22E34C39">
      <w:pPr>
        <w:adjustRightInd w:val="0"/>
        <w:snapToGrid w:val="0"/>
        <w:spacing w:before="120" w:beforeLines="50" w:after="120" w:afterLines="50" w:line="500" w:lineRule="exact"/>
        <w:rPr>
          <w:rFonts w:hint="eastAsia" w:ascii="宋体" w:hAnsi="宋体"/>
          <w:b/>
          <w:color w:val="auto"/>
          <w:szCs w:val="21"/>
          <w:highlight w:val="none"/>
        </w:rPr>
      </w:pPr>
    </w:p>
    <w:p w14:paraId="63F791CF">
      <w:pPr>
        <w:adjustRightInd w:val="0"/>
        <w:snapToGrid w:val="0"/>
        <w:spacing w:before="120" w:beforeLines="50" w:after="120" w:afterLines="50" w:line="500" w:lineRule="exact"/>
        <w:rPr>
          <w:rFonts w:hint="eastAsia" w:ascii="宋体" w:hAnsi="宋体"/>
          <w:b/>
          <w:color w:val="auto"/>
          <w:szCs w:val="21"/>
          <w:highlight w:val="none"/>
        </w:rPr>
      </w:pPr>
    </w:p>
    <w:p w14:paraId="47E7469C">
      <w:pPr>
        <w:adjustRightInd w:val="0"/>
        <w:snapToGrid w:val="0"/>
        <w:spacing w:before="120" w:beforeLines="50" w:after="120" w:afterLines="50" w:line="500" w:lineRule="exact"/>
        <w:rPr>
          <w:rFonts w:hint="eastAsia" w:ascii="宋体" w:hAnsi="宋体"/>
          <w:b/>
          <w:color w:val="auto"/>
          <w:szCs w:val="21"/>
          <w:highlight w:val="none"/>
        </w:rPr>
      </w:pPr>
    </w:p>
    <w:p w14:paraId="14BA08FE">
      <w:pPr>
        <w:adjustRightInd w:val="0"/>
        <w:snapToGrid w:val="0"/>
        <w:spacing w:before="120" w:beforeLines="50" w:after="120" w:afterLines="50" w:line="500" w:lineRule="exact"/>
        <w:rPr>
          <w:rFonts w:hint="eastAsia" w:ascii="宋体" w:hAnsi="宋体"/>
          <w:b/>
          <w:color w:val="auto"/>
          <w:szCs w:val="21"/>
          <w:highlight w:val="none"/>
        </w:rPr>
      </w:pPr>
    </w:p>
    <w:p w14:paraId="6884A2FD">
      <w:pPr>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lang w:eastAsia="zh-CN"/>
        </w:rPr>
        <w:t>十九</w:t>
      </w:r>
      <w:r>
        <w:rPr>
          <w:rFonts w:hint="eastAsia" w:ascii="宋体"/>
          <w:b/>
          <w:color w:val="auto"/>
          <w:szCs w:val="21"/>
          <w:highlight w:val="none"/>
        </w:rPr>
        <w:t>、中小企业声明函</w:t>
      </w:r>
    </w:p>
    <w:p w14:paraId="2965CFF3">
      <w:pPr>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中小企业声明函</w:t>
      </w:r>
    </w:p>
    <w:p w14:paraId="61962024">
      <w:pPr>
        <w:widowControl/>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本公司（联合体）郑重声明，根据《政府采购促进中小企业发展管理办法》（财库﹝2020﹞46 号）的规定，本公司（联合体）参加</w:t>
      </w:r>
      <w:r>
        <w:rPr>
          <w:rFonts w:hint="eastAsia" w:ascii="宋体" w:hAnsi="宋体" w:cs="宋体"/>
          <w:bCs/>
          <w:color w:val="auto"/>
          <w:kern w:val="0"/>
          <w:szCs w:val="21"/>
          <w:highlight w:val="none"/>
          <w:u w:val="single"/>
        </w:rPr>
        <w:t xml:space="preserve"> （单位名称）  </w:t>
      </w:r>
      <w:r>
        <w:rPr>
          <w:rFonts w:hint="eastAsia" w:ascii="宋体" w:hAnsi="宋体" w:cs="宋体"/>
          <w:bCs/>
          <w:color w:val="auto"/>
          <w:kern w:val="0"/>
          <w:szCs w:val="21"/>
          <w:highlight w:val="none"/>
        </w:rPr>
        <w:t>的</w:t>
      </w:r>
      <w:r>
        <w:rPr>
          <w:rFonts w:hint="eastAsia" w:ascii="宋体" w:hAnsi="宋体" w:cs="宋体"/>
          <w:bCs/>
          <w:color w:val="auto"/>
          <w:kern w:val="0"/>
          <w:szCs w:val="21"/>
          <w:highlight w:val="none"/>
          <w:u w:val="single"/>
        </w:rPr>
        <w:t xml:space="preserve">  （项目名称）  </w:t>
      </w:r>
      <w:r>
        <w:rPr>
          <w:rFonts w:hint="eastAsia" w:ascii="宋体" w:hAnsi="宋体" w:cs="宋体"/>
          <w:bCs/>
          <w:color w:val="auto"/>
          <w:kern w:val="0"/>
          <w:szCs w:val="21"/>
          <w:highlight w:val="none"/>
        </w:rPr>
        <w:t>采购活动，提供的货物全部由符合政策要求的中小企业制造。相关企业（含联合 体中的中小企业、签订分包意向协议的中小企业）的具体情 况如下：</w:t>
      </w:r>
    </w:p>
    <w:p w14:paraId="7E47C3BD">
      <w:pPr>
        <w:widowControl/>
        <w:numPr>
          <w:ilvl w:val="0"/>
          <w:numId w:val="26"/>
        </w:numPr>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u w:val="single"/>
        </w:rPr>
        <w:t xml:space="preserve"> 浙江省南湖监狱安防设施维保 </w:t>
      </w:r>
      <w:r>
        <w:rPr>
          <w:rFonts w:hint="eastAsia" w:ascii="宋体" w:hAnsi="宋体" w:cs="宋体"/>
          <w:bCs/>
          <w:color w:val="auto"/>
          <w:kern w:val="0"/>
          <w:szCs w:val="21"/>
          <w:highlight w:val="none"/>
        </w:rPr>
        <w:t>，属于</w:t>
      </w:r>
      <w:r>
        <w:rPr>
          <w:rFonts w:hint="eastAsia" w:ascii="宋体" w:hAnsi="宋体" w:cs="宋体"/>
          <w:bCs/>
          <w:color w:val="auto"/>
          <w:kern w:val="0"/>
          <w:szCs w:val="21"/>
          <w:highlight w:val="none"/>
          <w:u w:val="single"/>
        </w:rPr>
        <w:t xml:space="preserve"> 其他未列明行业 </w:t>
      </w:r>
      <w:r>
        <w:rPr>
          <w:rFonts w:hint="eastAsia" w:ascii="宋体" w:hAnsi="宋体" w:cs="宋体"/>
          <w:bCs/>
          <w:color w:val="auto"/>
          <w:kern w:val="0"/>
          <w:szCs w:val="21"/>
          <w:highlight w:val="none"/>
        </w:rPr>
        <w:t>；制造商为</w:t>
      </w:r>
      <w:r>
        <w:rPr>
          <w:rFonts w:hint="eastAsia" w:ascii="宋体" w:hAnsi="宋体" w:cs="宋体"/>
          <w:bCs/>
          <w:color w:val="auto"/>
          <w:kern w:val="0"/>
          <w:szCs w:val="21"/>
          <w:highlight w:val="none"/>
          <w:u w:val="single"/>
        </w:rPr>
        <w:t xml:space="preserve">（企业名称） </w:t>
      </w:r>
      <w:r>
        <w:rPr>
          <w:rFonts w:hint="eastAsia" w:ascii="宋体" w:hAnsi="宋体" w:cs="宋体"/>
          <w:bCs/>
          <w:color w:val="auto"/>
          <w:kern w:val="0"/>
          <w:szCs w:val="21"/>
          <w:highlight w:val="none"/>
        </w:rPr>
        <w:t>，从业人员</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人，营业收入为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万元，资产总额为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万元1，属于</w:t>
      </w:r>
      <w:r>
        <w:rPr>
          <w:rFonts w:hint="eastAsia" w:ascii="宋体" w:hAnsi="宋体" w:cs="宋体"/>
          <w:bCs/>
          <w:color w:val="auto"/>
          <w:kern w:val="0"/>
          <w:szCs w:val="21"/>
          <w:highlight w:val="none"/>
          <w:u w:val="single"/>
        </w:rPr>
        <w:t xml:space="preserve"> （中型企业、 小型企业、微型企业） </w:t>
      </w:r>
      <w:r>
        <w:rPr>
          <w:rFonts w:hint="eastAsia" w:ascii="宋体" w:hAnsi="宋体" w:cs="宋体"/>
          <w:bCs/>
          <w:color w:val="auto"/>
          <w:kern w:val="0"/>
          <w:szCs w:val="21"/>
          <w:highlight w:val="none"/>
        </w:rPr>
        <w:t xml:space="preserve">； </w:t>
      </w:r>
    </w:p>
    <w:p w14:paraId="1354DD30">
      <w:pPr>
        <w:widowControl/>
        <w:numPr>
          <w:ilvl w:val="0"/>
          <w:numId w:val="26"/>
        </w:numPr>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u w:val="single"/>
        </w:rPr>
        <w:t xml:space="preserve"> （标的名称） </w:t>
      </w:r>
      <w:r>
        <w:rPr>
          <w:rFonts w:hint="eastAsia" w:ascii="宋体" w:hAnsi="宋体" w:cs="宋体"/>
          <w:bCs/>
          <w:color w:val="auto"/>
          <w:kern w:val="0"/>
          <w:szCs w:val="21"/>
          <w:highlight w:val="none"/>
        </w:rPr>
        <w:t>，属于</w:t>
      </w:r>
      <w:r>
        <w:rPr>
          <w:rFonts w:hint="eastAsia" w:ascii="宋体" w:hAnsi="宋体" w:cs="宋体"/>
          <w:bCs/>
          <w:color w:val="auto"/>
          <w:kern w:val="0"/>
          <w:szCs w:val="21"/>
          <w:highlight w:val="none"/>
          <w:u w:val="single"/>
        </w:rPr>
        <w:t xml:space="preserve"> （采购文件中明确的所属行业） </w:t>
      </w:r>
      <w:r>
        <w:rPr>
          <w:rFonts w:hint="eastAsia" w:ascii="宋体" w:hAnsi="宋体" w:cs="宋体"/>
          <w:bCs/>
          <w:color w:val="auto"/>
          <w:kern w:val="0"/>
          <w:szCs w:val="21"/>
          <w:highlight w:val="none"/>
        </w:rPr>
        <w:t>；制造商为</w:t>
      </w:r>
      <w:r>
        <w:rPr>
          <w:rFonts w:hint="eastAsia" w:ascii="宋体" w:hAnsi="宋体" w:cs="宋体"/>
          <w:bCs/>
          <w:color w:val="auto"/>
          <w:kern w:val="0"/>
          <w:szCs w:val="21"/>
          <w:highlight w:val="none"/>
          <w:u w:val="single"/>
        </w:rPr>
        <w:t xml:space="preserve">（企业名称） </w:t>
      </w:r>
      <w:r>
        <w:rPr>
          <w:rFonts w:hint="eastAsia" w:ascii="宋体" w:hAnsi="宋体" w:cs="宋体"/>
          <w:bCs/>
          <w:color w:val="auto"/>
          <w:kern w:val="0"/>
          <w:szCs w:val="21"/>
          <w:highlight w:val="none"/>
        </w:rPr>
        <w:t>，从业人员</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人，营业收入为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万元，资产总额为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万元，属于</w:t>
      </w:r>
      <w:r>
        <w:rPr>
          <w:rFonts w:hint="eastAsia" w:ascii="宋体" w:hAnsi="宋体" w:cs="宋体"/>
          <w:bCs/>
          <w:color w:val="auto"/>
          <w:kern w:val="0"/>
          <w:szCs w:val="21"/>
          <w:highlight w:val="none"/>
          <w:u w:val="single"/>
        </w:rPr>
        <w:t>（中型企业、 小型企业、微型企业）</w:t>
      </w:r>
      <w:r>
        <w:rPr>
          <w:rFonts w:hint="eastAsia" w:ascii="宋体" w:hAnsi="宋体" w:cs="宋体"/>
          <w:bCs/>
          <w:color w:val="auto"/>
          <w:kern w:val="0"/>
          <w:szCs w:val="21"/>
          <w:highlight w:val="none"/>
        </w:rPr>
        <w:t xml:space="preserve">； </w:t>
      </w:r>
    </w:p>
    <w:p w14:paraId="36CDA5D2">
      <w:pPr>
        <w:widowControl/>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p>
    <w:p w14:paraId="4D7570E3">
      <w:pPr>
        <w:widowControl/>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以上企业，不属于大企业的分支机构，不存在控股股东为大企业的情形，也不存在与大企业的负责人为同一人的情形。</w:t>
      </w:r>
    </w:p>
    <w:p w14:paraId="75C56F0E">
      <w:pPr>
        <w:widowControl/>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本企业对上述声明内容的真实性负责。如有虚假，将依法承担相应责任。</w:t>
      </w:r>
    </w:p>
    <w:p w14:paraId="680570B2">
      <w:pPr>
        <w:widowControl/>
        <w:snapToGrid w:val="0"/>
        <w:spacing w:line="360" w:lineRule="auto"/>
        <w:ind w:firstLine="420" w:firstLineChars="200"/>
        <w:jc w:val="left"/>
        <w:rPr>
          <w:rFonts w:ascii="宋体" w:hAnsi="宋体" w:cs="宋体"/>
          <w:color w:val="auto"/>
          <w:kern w:val="0"/>
          <w:szCs w:val="21"/>
          <w:highlight w:val="none"/>
        </w:rPr>
      </w:pPr>
    </w:p>
    <w:p w14:paraId="35043913">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供应商盖章：</w:t>
      </w:r>
      <w:r>
        <w:rPr>
          <w:rFonts w:hint="eastAsia" w:ascii="宋体" w:hAnsi="宋体" w:cs="宋体"/>
          <w:color w:val="auto"/>
          <w:kern w:val="0"/>
          <w:szCs w:val="21"/>
          <w:highlight w:val="none"/>
          <w:u w:val="single"/>
        </w:rPr>
        <w:t xml:space="preserve">              </w:t>
      </w:r>
    </w:p>
    <w:p w14:paraId="3704930D">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78A545BC">
      <w:pPr>
        <w:widowControl/>
        <w:pBdr>
          <w:bottom w:val="single" w:color="auto" w:sz="6" w:space="1"/>
        </w:pBdr>
        <w:snapToGrid w:val="0"/>
        <w:spacing w:line="360" w:lineRule="auto"/>
        <w:ind w:firstLine="420" w:firstLineChars="200"/>
        <w:jc w:val="left"/>
        <w:rPr>
          <w:rFonts w:ascii="宋体" w:hAnsi="宋体" w:cs="宋体"/>
          <w:color w:val="auto"/>
          <w:kern w:val="0"/>
          <w:szCs w:val="21"/>
          <w:highlight w:val="none"/>
        </w:rPr>
      </w:pPr>
    </w:p>
    <w:p w14:paraId="26D6560F">
      <w:pPr>
        <w:widowControl/>
        <w:snapToGrid w:val="0"/>
        <w:spacing w:line="360" w:lineRule="auto"/>
        <w:ind w:firstLine="420" w:firstLineChars="200"/>
        <w:jc w:val="left"/>
        <w:rPr>
          <w:rFonts w:ascii="宋体" w:hAnsi="宋体" w:cs="宋体"/>
          <w:color w:val="auto"/>
          <w:kern w:val="0"/>
          <w:szCs w:val="21"/>
          <w:highlight w:val="none"/>
        </w:rPr>
      </w:pPr>
    </w:p>
    <w:p w14:paraId="0D4250DE">
      <w:pPr>
        <w:widowControl/>
        <w:snapToGrid w:val="0"/>
        <w:spacing w:line="360" w:lineRule="auto"/>
        <w:ind w:firstLine="420" w:firstLineChars="200"/>
        <w:jc w:val="left"/>
        <w:rPr>
          <w:rFonts w:ascii="宋体" w:hAnsi="宋体" w:cs="宋体"/>
          <w:color w:val="auto"/>
          <w:szCs w:val="21"/>
          <w:highlight w:val="none"/>
        </w:rPr>
      </w:pPr>
    </w:p>
    <w:p w14:paraId="707CDFD7">
      <w:pPr>
        <w:widowControl/>
        <w:snapToGrid w:val="0"/>
        <w:spacing w:line="360" w:lineRule="auto"/>
        <w:ind w:firstLine="420" w:firstLineChars="200"/>
        <w:jc w:val="left"/>
        <w:rPr>
          <w:rFonts w:ascii="宋体" w:hAnsi="宋体" w:cs="宋体"/>
          <w:b/>
          <w:color w:val="auto"/>
          <w:kern w:val="0"/>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r>
        <w:rPr>
          <w:rFonts w:hint="eastAsia" w:ascii="宋体" w:hAnsi="宋体" w:cs="宋体"/>
          <w:color w:val="auto"/>
          <w:kern w:val="0"/>
          <w:szCs w:val="21"/>
          <w:highlight w:val="none"/>
        </w:rPr>
        <w:t>。</w:t>
      </w:r>
    </w:p>
    <w:p w14:paraId="37F6CF59">
      <w:pPr>
        <w:widowControl/>
        <w:snapToGrid w:val="0"/>
        <w:spacing w:line="360" w:lineRule="auto"/>
        <w:ind w:firstLine="480" w:firstLineChars="200"/>
        <w:jc w:val="left"/>
        <w:rPr>
          <w:rFonts w:ascii="宋体" w:hAnsi="宋体" w:cs="宋体"/>
          <w:color w:val="auto"/>
          <w:kern w:val="0"/>
          <w:sz w:val="24"/>
          <w:highlight w:val="none"/>
        </w:rPr>
      </w:pPr>
    </w:p>
    <w:p w14:paraId="05155742">
      <w:pPr>
        <w:widowControl/>
        <w:wordWrap w:val="0"/>
        <w:snapToGrid w:val="0"/>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、本项目采购标的对应的中小企业划分标准所属行业为</w:t>
      </w:r>
      <w:r>
        <w:rPr>
          <w:rFonts w:hint="eastAsia" w:ascii="宋体" w:hAnsi="宋体" w:cs="宋体"/>
          <w:b/>
          <w:bCs/>
          <w:color w:val="auto"/>
          <w:kern w:val="0"/>
          <w:sz w:val="21"/>
          <w:szCs w:val="21"/>
          <w:highlight w:val="none"/>
        </w:rPr>
        <w:t>其他未列明行业</w:t>
      </w:r>
      <w:r>
        <w:rPr>
          <w:rFonts w:hint="eastAsia" w:ascii="宋体" w:hAnsi="宋体" w:cs="宋体"/>
          <w:b/>
          <w:bCs/>
          <w:color w:val="auto"/>
          <w:kern w:val="0"/>
          <w:szCs w:val="21"/>
          <w:highlight w:val="none"/>
        </w:rPr>
        <w:t>。</w:t>
      </w:r>
    </w:p>
    <w:p w14:paraId="14B0C8C1">
      <w:pPr>
        <w:widowControl/>
        <w:wordWrap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、▲供应商提供的中小企业声明函与实际情况不符的，视为供应商提供虚假材料投标的，投标无效。</w:t>
      </w:r>
    </w:p>
    <w:p w14:paraId="20940320">
      <w:pPr>
        <w:pStyle w:val="2"/>
        <w:rPr>
          <w:b/>
          <w:bCs/>
          <w:color w:val="auto"/>
          <w:highlight w:val="none"/>
        </w:rPr>
      </w:pPr>
    </w:p>
    <w:p w14:paraId="23366A66">
      <w:pPr>
        <w:pStyle w:val="2"/>
        <w:rPr>
          <w:b/>
          <w:bCs/>
          <w:color w:val="auto"/>
          <w:highlight w:val="none"/>
        </w:rPr>
      </w:pPr>
    </w:p>
    <w:p w14:paraId="6EA0881A">
      <w:pPr>
        <w:pStyle w:val="2"/>
        <w:rPr>
          <w:b/>
          <w:bCs/>
          <w:color w:val="auto"/>
          <w:highlight w:val="none"/>
        </w:rPr>
      </w:pPr>
    </w:p>
    <w:p w14:paraId="470B5157">
      <w:pPr>
        <w:pStyle w:val="2"/>
        <w:rPr>
          <w:b/>
          <w:bCs/>
          <w:color w:val="auto"/>
          <w:highlight w:val="none"/>
        </w:rPr>
      </w:pPr>
    </w:p>
    <w:p w14:paraId="22E5938E">
      <w:pPr>
        <w:pStyle w:val="2"/>
        <w:rPr>
          <w:b/>
          <w:bCs/>
          <w:color w:val="auto"/>
          <w:highlight w:val="none"/>
        </w:rPr>
      </w:pPr>
    </w:p>
    <w:p w14:paraId="5ADEC712">
      <w:pPr>
        <w:pStyle w:val="2"/>
        <w:rPr>
          <w:b/>
          <w:bCs/>
          <w:color w:val="auto"/>
          <w:highlight w:val="none"/>
        </w:rPr>
      </w:pPr>
    </w:p>
    <w:p w14:paraId="317FBDD8">
      <w:pPr>
        <w:rPr>
          <w:color w:val="auto"/>
          <w:highlight w:val="none"/>
        </w:rPr>
      </w:pPr>
    </w:p>
    <w:p w14:paraId="42E27FAD">
      <w:pPr>
        <w:pStyle w:val="2"/>
        <w:rPr>
          <w:b/>
          <w:bCs/>
          <w:color w:val="auto"/>
          <w:highlight w:val="none"/>
        </w:rPr>
      </w:pPr>
    </w:p>
    <w:p w14:paraId="7AD741B7">
      <w:pPr>
        <w:pStyle w:val="2"/>
        <w:rPr>
          <w:b/>
          <w:bCs/>
          <w:color w:val="auto"/>
          <w:highlight w:val="none"/>
        </w:rPr>
      </w:pPr>
    </w:p>
    <w:p w14:paraId="04CC50E3">
      <w:pPr>
        <w:pStyle w:val="2"/>
        <w:rPr>
          <w:b/>
          <w:bCs/>
          <w:color w:val="auto"/>
          <w:highlight w:val="none"/>
        </w:rPr>
      </w:pPr>
    </w:p>
    <w:p w14:paraId="4A023071">
      <w:pPr>
        <w:pStyle w:val="20"/>
        <w:spacing w:after="0" w:line="39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说明：1、《关于印发中小企业划型标准规定的通知》（工信部联企业〔2011〕300号），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C2F5E">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2、中小企业划分为中型、小型、微型三种类型，具体标准根据企业从业人员、营业收入、资产总额等指标，结合行业特点制定。各行业划型标准为：</w:t>
      </w:r>
    </w:p>
    <w:p w14:paraId="4822232B">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（一）农、林、牧、渔业</w:t>
      </w:r>
    </w:p>
    <w:p w14:paraId="4EC458AB">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营业收入20000万元以下的为中小微型企业。其中，营业收入500万元及以上的为中型企业，营业收入50万元及以上的为小型企业，营业收入50万元以下的为微型企业。</w:t>
      </w:r>
    </w:p>
    <w:p w14:paraId="6DEB2232">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（二）工业</w:t>
      </w:r>
    </w:p>
    <w:p w14:paraId="3B96DB58">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B260DB">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（三）建筑业</w:t>
      </w:r>
    </w:p>
    <w:p w14:paraId="4AA5F3A5">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E0093A">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（四）批发业</w:t>
      </w:r>
    </w:p>
    <w:p w14:paraId="1C8188A9">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3CDB14F">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（五）零售业</w:t>
      </w:r>
    </w:p>
    <w:p w14:paraId="60668A93">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CD84925">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（六）交通运输业</w:t>
      </w:r>
    </w:p>
    <w:p w14:paraId="13F5B63A">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从业人员1000人以下或营业收入30000万元以下的为中小微型企业。</w:t>
      </w:r>
    </w:p>
    <w:p w14:paraId="6C702D23">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（七）仓储业</w:t>
      </w:r>
    </w:p>
    <w:p w14:paraId="4A3F706F">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4094D33">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（八）邮政业</w:t>
      </w:r>
    </w:p>
    <w:p w14:paraId="06A90BDD">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AE79F3">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（九）住宿业</w:t>
      </w:r>
    </w:p>
    <w:p w14:paraId="32D51AAE">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22B999">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（十）餐饮业</w:t>
      </w:r>
    </w:p>
    <w:p w14:paraId="480A2059">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32C8CE">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（十一）信息传输业</w:t>
      </w:r>
    </w:p>
    <w:p w14:paraId="3E432487">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56761A">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（十二）软件和信息技术服务业</w:t>
      </w:r>
    </w:p>
    <w:p w14:paraId="5ECC9FAE">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01D20D">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（十三）房地产开发经营</w:t>
      </w:r>
    </w:p>
    <w:p w14:paraId="223ACA51">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A74E5A">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（十四）物业管理</w:t>
      </w:r>
    </w:p>
    <w:p w14:paraId="5D40D34A">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E0494A2">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（十五）租赁和商务服务业</w:t>
      </w:r>
    </w:p>
    <w:p w14:paraId="44208F75">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E35658">
      <w:pPr>
        <w:pStyle w:val="2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（十六）其他未列明行业</w:t>
      </w:r>
    </w:p>
    <w:p w14:paraId="608EAF1F">
      <w:pPr>
        <w:pStyle w:val="2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从业人员300人以下的为中小微型企业。其中，从业人员100人及以上的为中型企业；从业人员10人及以上的为小型企业；从业人员10人以下的为微型企业。</w:t>
      </w:r>
    </w:p>
    <w:p w14:paraId="4CEC37F8">
      <w:pPr>
        <w:adjustRightInd w:val="0"/>
        <w:snapToGrid w:val="0"/>
        <w:spacing w:before="120" w:beforeLines="50" w:after="120" w:afterLines="50" w:line="500" w:lineRule="exact"/>
        <w:outlineLvl w:val="2"/>
        <w:rPr>
          <w:rFonts w:ascii="宋体"/>
          <w:b/>
          <w:bCs/>
          <w:color w:val="auto"/>
          <w:szCs w:val="21"/>
          <w:highlight w:val="none"/>
        </w:rPr>
      </w:pPr>
      <w:r>
        <w:rPr>
          <w:rFonts w:hint="eastAsia" w:ascii="宋体" w:hAnsi="宋体" w:cs="宋体"/>
          <w:b/>
          <w:bCs/>
          <w:color w:val="auto"/>
          <w:szCs w:val="21"/>
          <w:highlight w:val="none"/>
          <w:lang w:eastAsia="zh-CN"/>
        </w:rPr>
        <w:t>二十</w:t>
      </w:r>
      <w:r>
        <w:rPr>
          <w:rFonts w:hint="eastAsia" w:ascii="宋体"/>
          <w:b/>
          <w:bCs/>
          <w:color w:val="auto"/>
          <w:szCs w:val="21"/>
          <w:highlight w:val="none"/>
        </w:rPr>
        <w:t>、残疾人福利性单位声明函</w:t>
      </w:r>
    </w:p>
    <w:p w14:paraId="0A7166CB">
      <w:pPr>
        <w:spacing w:line="400" w:lineRule="exact"/>
        <w:jc w:val="center"/>
        <w:rPr>
          <w:rFonts w:ascii="宋体" w:hAnsi="宋体" w:cs="宋体"/>
          <w:b/>
          <w:color w:val="auto"/>
          <w:szCs w:val="21"/>
          <w:highlight w:val="none"/>
        </w:rPr>
      </w:pPr>
    </w:p>
    <w:p w14:paraId="2E1C2580">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残疾人福利性单位声明函</w:t>
      </w:r>
    </w:p>
    <w:p w14:paraId="0B4105CE">
      <w:pPr>
        <w:spacing w:line="440" w:lineRule="exact"/>
        <w:ind w:firstLine="504" w:firstLineChars="200"/>
        <w:rPr>
          <w:rFonts w:ascii="宋体" w:hAnsi="宋体" w:cs="宋体"/>
          <w:color w:val="auto"/>
          <w:spacing w:val="6"/>
          <w:sz w:val="24"/>
          <w:highlight w:val="none"/>
        </w:rPr>
      </w:pPr>
    </w:p>
    <w:p w14:paraId="2DF77010">
      <w:pPr>
        <w:spacing w:line="4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本单位郑重声明，根据《财政部民政部中国残疾人联合会关于促进残疾人就业政府采购政策的通知》（财库〔2017〕141号）的规定，本单位为符合条件的残疾人福利性单位，且本单位参加______单位的</w:t>
      </w:r>
      <w:r>
        <w:rPr>
          <w:rFonts w:hint="eastAsia" w:ascii="宋体" w:hAnsi="宋体" w:cs="宋体"/>
          <w:color w:val="auto"/>
          <w:spacing w:val="6"/>
          <w:szCs w:val="21"/>
          <w:highlight w:val="none"/>
        </w:rPr>
        <w:tab/>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596861E3">
      <w:pPr>
        <w:spacing w:line="4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547169F6">
      <w:pPr>
        <w:pStyle w:val="20"/>
        <w:spacing w:after="0" w:line="400" w:lineRule="exact"/>
        <w:rPr>
          <w:rFonts w:ascii="宋体" w:hAnsi="宋体" w:cs="宋体"/>
          <w:color w:val="auto"/>
          <w:sz w:val="21"/>
          <w:szCs w:val="21"/>
          <w:highlight w:val="none"/>
        </w:rPr>
      </w:pPr>
    </w:p>
    <w:p w14:paraId="705CCE20">
      <w:pPr>
        <w:pStyle w:val="20"/>
        <w:spacing w:after="0" w:line="400" w:lineRule="exact"/>
        <w:rPr>
          <w:rFonts w:ascii="宋体" w:hAnsi="宋体" w:cs="宋体"/>
          <w:color w:val="auto"/>
          <w:sz w:val="21"/>
          <w:szCs w:val="21"/>
          <w:highlight w:val="none"/>
        </w:rPr>
      </w:pPr>
    </w:p>
    <w:p w14:paraId="70E15330">
      <w:pPr>
        <w:pStyle w:val="20"/>
        <w:spacing w:after="0" w:line="400" w:lineRule="exact"/>
        <w:rPr>
          <w:rFonts w:ascii="宋体" w:hAnsi="宋体" w:cs="宋体"/>
          <w:color w:val="auto"/>
          <w:highlight w:val="none"/>
        </w:rPr>
      </w:pPr>
    </w:p>
    <w:p w14:paraId="40C84181">
      <w:pPr>
        <w:pStyle w:val="20"/>
        <w:spacing w:after="0" w:line="400" w:lineRule="exact"/>
        <w:rPr>
          <w:rFonts w:ascii="宋体" w:hAnsi="宋体" w:cs="宋体"/>
          <w:color w:val="auto"/>
          <w:sz w:val="17"/>
          <w:highlight w:val="none"/>
        </w:rPr>
      </w:pPr>
    </w:p>
    <w:p w14:paraId="139CB059">
      <w:pPr>
        <w:spacing w:line="400" w:lineRule="exact"/>
        <w:ind w:left="540" w:right="968" w:rightChars="461" w:hanging="36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246405AB">
      <w:pPr>
        <w:spacing w:line="400" w:lineRule="exact"/>
        <w:ind w:left="540" w:leftChars="257" w:right="968" w:rightChars="461" w:firstLine="2730" w:firstLineChars="1300"/>
        <w:jc w:val="right"/>
        <w:rPr>
          <w:rFonts w:ascii="宋体" w:hAnsi="宋体" w:cs="宋体"/>
          <w:color w:val="auto"/>
          <w:szCs w:val="21"/>
          <w:highlight w:val="none"/>
        </w:rPr>
      </w:pPr>
      <w:r>
        <w:rPr>
          <w:rFonts w:hint="eastAsia" w:ascii="宋体" w:hAnsi="宋体" w:cs="宋体"/>
          <w:color w:val="auto"/>
          <w:szCs w:val="21"/>
          <w:highlight w:val="none"/>
        </w:rPr>
        <w:t>法定代表人或授权委托人签字：</w:t>
      </w:r>
    </w:p>
    <w:p w14:paraId="1EC6869B">
      <w:pPr>
        <w:wordWrap w:val="0"/>
        <w:spacing w:line="400" w:lineRule="exact"/>
        <w:ind w:left="540" w:right="968" w:rightChars="461" w:hanging="360"/>
        <w:jc w:val="right"/>
        <w:rPr>
          <w:rFonts w:ascii="宋体" w:hAnsi="宋体" w:cs="宋体"/>
          <w:color w:val="auto"/>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62D48753">
      <w:pPr>
        <w:adjustRightInd w:val="0"/>
        <w:snapToGrid w:val="0"/>
        <w:spacing w:line="400" w:lineRule="exact"/>
        <w:jc w:val="left"/>
        <w:rPr>
          <w:rFonts w:ascii="宋体" w:hAnsi="宋体" w:cs="宋体"/>
          <w:color w:val="auto"/>
          <w:szCs w:val="21"/>
          <w:highlight w:val="none"/>
        </w:rPr>
      </w:pPr>
    </w:p>
    <w:p w14:paraId="447430E4">
      <w:pPr>
        <w:adjustRightInd w:val="0"/>
        <w:snapToGrid w:val="0"/>
        <w:spacing w:line="400" w:lineRule="exact"/>
        <w:jc w:val="left"/>
        <w:rPr>
          <w:rFonts w:ascii="宋体" w:hAnsi="宋体" w:cs="宋体"/>
          <w:color w:val="auto"/>
          <w:szCs w:val="21"/>
          <w:highlight w:val="none"/>
        </w:rPr>
      </w:pPr>
    </w:p>
    <w:p w14:paraId="64D2DB83">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提供社保缴纳人员名单、录用的残疾人的</w:t>
      </w:r>
      <w:r>
        <w:rPr>
          <w:rFonts w:hint="eastAsia" w:ascii="宋体" w:hAnsi="宋体" w:cs="宋体"/>
          <w:color w:val="auto"/>
          <w:highlight w:val="none"/>
        </w:rPr>
        <w:t>《中华人民共和国残疾人证》或者《中华人民共和国残疾军人证(1至8级)》复印件。</w:t>
      </w:r>
    </w:p>
    <w:p w14:paraId="53FE82AE">
      <w:pPr>
        <w:pStyle w:val="70"/>
        <w:spacing w:before="120"/>
        <w:rPr>
          <w:rFonts w:ascii="宋体"/>
          <w:b/>
          <w:color w:val="auto"/>
          <w:szCs w:val="21"/>
          <w:highlight w:val="none"/>
        </w:rPr>
      </w:pPr>
    </w:p>
    <w:p w14:paraId="27E6F37B">
      <w:pPr>
        <w:pStyle w:val="70"/>
        <w:spacing w:before="120"/>
        <w:rPr>
          <w:rFonts w:ascii="宋体"/>
          <w:b/>
          <w:color w:val="auto"/>
          <w:szCs w:val="21"/>
          <w:highlight w:val="none"/>
        </w:rPr>
      </w:pPr>
    </w:p>
    <w:p w14:paraId="758C3F04">
      <w:pPr>
        <w:pStyle w:val="70"/>
        <w:spacing w:before="120"/>
        <w:rPr>
          <w:rFonts w:ascii="宋体"/>
          <w:b/>
          <w:color w:val="auto"/>
          <w:szCs w:val="21"/>
          <w:highlight w:val="none"/>
        </w:rPr>
      </w:pPr>
    </w:p>
    <w:p w14:paraId="324E0F62">
      <w:pPr>
        <w:pStyle w:val="70"/>
        <w:spacing w:before="120"/>
        <w:rPr>
          <w:rFonts w:ascii="宋体"/>
          <w:b/>
          <w:color w:val="auto"/>
          <w:szCs w:val="21"/>
          <w:highlight w:val="none"/>
        </w:rPr>
      </w:pPr>
    </w:p>
    <w:p w14:paraId="6D5BF5C0">
      <w:pPr>
        <w:pStyle w:val="70"/>
        <w:spacing w:before="120"/>
        <w:rPr>
          <w:rFonts w:ascii="宋体"/>
          <w:b/>
          <w:color w:val="auto"/>
          <w:szCs w:val="21"/>
          <w:highlight w:val="none"/>
        </w:rPr>
      </w:pPr>
    </w:p>
    <w:p w14:paraId="606B43A4">
      <w:pPr>
        <w:pStyle w:val="70"/>
        <w:spacing w:before="120"/>
        <w:rPr>
          <w:rFonts w:ascii="宋体"/>
          <w:b/>
          <w:color w:val="auto"/>
          <w:szCs w:val="21"/>
          <w:highlight w:val="none"/>
        </w:rPr>
      </w:pPr>
    </w:p>
    <w:p w14:paraId="04B27313">
      <w:pPr>
        <w:pStyle w:val="70"/>
        <w:spacing w:before="120"/>
        <w:rPr>
          <w:rFonts w:ascii="宋体"/>
          <w:b/>
          <w:color w:val="auto"/>
          <w:szCs w:val="21"/>
          <w:highlight w:val="none"/>
        </w:rPr>
      </w:pPr>
    </w:p>
    <w:p w14:paraId="68DB7283">
      <w:pPr>
        <w:pStyle w:val="70"/>
        <w:spacing w:before="120"/>
        <w:rPr>
          <w:rFonts w:ascii="宋体"/>
          <w:b/>
          <w:color w:val="auto"/>
          <w:szCs w:val="21"/>
          <w:highlight w:val="none"/>
        </w:rPr>
      </w:pPr>
    </w:p>
    <w:p w14:paraId="596A77C1">
      <w:pPr>
        <w:pStyle w:val="70"/>
        <w:spacing w:before="120"/>
        <w:rPr>
          <w:rFonts w:ascii="宋体"/>
          <w:b/>
          <w:color w:val="auto"/>
          <w:szCs w:val="21"/>
          <w:highlight w:val="none"/>
        </w:rPr>
      </w:pPr>
    </w:p>
    <w:p w14:paraId="1130163F">
      <w:pPr>
        <w:pStyle w:val="70"/>
        <w:spacing w:before="120"/>
        <w:rPr>
          <w:rFonts w:ascii="宋体"/>
          <w:b/>
          <w:color w:val="auto"/>
          <w:szCs w:val="21"/>
          <w:highlight w:val="none"/>
        </w:rPr>
      </w:pPr>
    </w:p>
    <w:p w14:paraId="7DD0C029">
      <w:pPr>
        <w:adjustRightInd w:val="0"/>
        <w:snapToGrid w:val="0"/>
        <w:spacing w:before="120" w:beforeLines="50" w:after="120" w:afterLines="50" w:line="500" w:lineRule="exact"/>
        <w:outlineLvl w:val="2"/>
        <w:rPr>
          <w:rFonts w:ascii="宋体"/>
          <w:b/>
          <w:color w:val="auto"/>
          <w:szCs w:val="21"/>
          <w:highlight w:val="none"/>
        </w:rPr>
      </w:pPr>
      <w:r>
        <w:rPr>
          <w:rFonts w:hint="eastAsia" w:ascii="宋体"/>
          <w:b/>
          <w:bCs/>
          <w:color w:val="auto"/>
          <w:szCs w:val="21"/>
          <w:highlight w:val="none"/>
          <w:lang w:eastAsia="zh-CN"/>
        </w:rPr>
        <w:t>二十一</w:t>
      </w:r>
      <w:r>
        <w:rPr>
          <w:rFonts w:hint="eastAsia" w:ascii="宋体"/>
          <w:b/>
          <w:color w:val="auto"/>
          <w:szCs w:val="21"/>
          <w:highlight w:val="none"/>
        </w:rPr>
        <w:t>、监狱企业声明函</w:t>
      </w:r>
    </w:p>
    <w:p w14:paraId="56570B24">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监狱企业声明函（非监狱企业不用提供）</w:t>
      </w:r>
    </w:p>
    <w:p w14:paraId="28858200">
      <w:pPr>
        <w:adjustRightInd w:val="0"/>
        <w:snapToGrid w:val="0"/>
        <w:spacing w:line="320" w:lineRule="exact"/>
        <w:ind w:firstLine="3907" w:firstLineChars="1390"/>
        <w:rPr>
          <w:rFonts w:ascii="宋体" w:hAnsi="宋体" w:cs="宋体"/>
          <w:b/>
          <w:color w:val="auto"/>
          <w:sz w:val="28"/>
          <w:szCs w:val="28"/>
          <w:highlight w:val="none"/>
        </w:rPr>
      </w:pPr>
    </w:p>
    <w:p w14:paraId="32294858">
      <w:pPr>
        <w:adjustRightInd w:val="0"/>
        <w:snapToGrid w:val="0"/>
        <w:spacing w:line="400" w:lineRule="exact"/>
        <w:rPr>
          <w:rFonts w:ascii="宋体" w:hAnsi="宋体" w:cs="宋体"/>
          <w:color w:val="auto"/>
          <w:highlight w:val="none"/>
        </w:rPr>
      </w:pPr>
      <w:r>
        <w:rPr>
          <w:rFonts w:hint="eastAsia" w:ascii="宋体" w:hAnsi="宋体" w:cs="宋体"/>
          <w:color w:val="auto"/>
          <w:highlight w:val="none"/>
        </w:rPr>
        <w:t>（采购人名称）：</w:t>
      </w:r>
    </w:p>
    <w:p w14:paraId="5103E640">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本公司郑重声明，根据《关于政府采购支持监狱企业发展有关问题的通知》（财库〔2014〕68号）的规定，本公司为监狱企业。</w:t>
      </w:r>
    </w:p>
    <w:p w14:paraId="34DECEC1">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1.本公司为监狱企业的证明材料如下：</w:t>
      </w:r>
    </w:p>
    <w:p w14:paraId="559C6E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附：                                          </w:t>
      </w:r>
      <w:r>
        <w:rPr>
          <w:rFonts w:hint="eastAsia" w:ascii="宋体" w:hAnsi="宋体" w:cs="宋体"/>
          <w:color w:val="auto"/>
          <w:highlight w:val="none"/>
        </w:rPr>
        <w:t>。</w:t>
      </w:r>
    </w:p>
    <w:p w14:paraId="4F7C782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附：                                          </w:t>
      </w:r>
      <w:r>
        <w:rPr>
          <w:rFonts w:hint="eastAsia" w:ascii="宋体" w:hAnsi="宋体" w:cs="宋体"/>
          <w:color w:val="auto"/>
          <w:highlight w:val="none"/>
        </w:rPr>
        <w:t>。</w:t>
      </w:r>
    </w:p>
    <w:p w14:paraId="04096019">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2.本公司参加</w:t>
      </w:r>
      <w:r>
        <w:rPr>
          <w:rFonts w:hint="eastAsia" w:ascii="宋体" w:hAnsi="宋体" w:cs="宋体"/>
          <w:color w:val="auto"/>
          <w:highlight w:val="none"/>
          <w:u w:val="single"/>
        </w:rPr>
        <w:t>_（采购人名称）</w:t>
      </w:r>
      <w:r>
        <w:rPr>
          <w:rFonts w:hint="eastAsia" w:ascii="宋体" w:hAnsi="宋体" w:cs="宋体"/>
          <w:color w:val="auto"/>
          <w:highlight w:val="none"/>
        </w:rPr>
        <w:t>单位的</w:t>
      </w:r>
      <w:r>
        <w:rPr>
          <w:rFonts w:hint="eastAsia" w:ascii="宋体" w:hAnsi="宋体" w:cs="宋体"/>
          <w:color w:val="auto"/>
          <w:highlight w:val="none"/>
          <w:u w:val="single"/>
        </w:rPr>
        <w:t>（项目名称）</w:t>
      </w:r>
      <w:r>
        <w:rPr>
          <w:rFonts w:hint="eastAsia" w:ascii="宋体" w:hAnsi="宋体" w:cs="宋体"/>
          <w:color w:val="auto"/>
          <w:highlight w:val="none"/>
        </w:rPr>
        <w:t>采购活动。本公司对上述声明的真实性负责。如有虚假，将依法承担相应责任。</w:t>
      </w:r>
    </w:p>
    <w:p w14:paraId="06264098">
      <w:pPr>
        <w:adjustRightInd w:val="0"/>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kern w:val="0"/>
          <w:szCs w:val="21"/>
          <w:highlight w:val="none"/>
          <w:lang w:val="zh-CN"/>
        </w:rPr>
        <w:t>注：1）本声明函为监狱企业填写。</w:t>
      </w:r>
    </w:p>
    <w:p w14:paraId="3433EC76">
      <w:pPr>
        <w:adjustRightInd w:val="0"/>
        <w:snapToGrid w:val="0"/>
        <w:spacing w:line="400" w:lineRule="exact"/>
        <w:ind w:firstLine="835" w:firstLineChars="396"/>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2）后附相关部门认定盖章认定证明文件</w:t>
      </w:r>
      <w:r>
        <w:rPr>
          <w:rFonts w:hint="eastAsia" w:ascii="宋体" w:hAnsi="宋体" w:cs="宋体"/>
          <w:b/>
          <w:color w:val="auto"/>
          <w:szCs w:val="21"/>
          <w:highlight w:val="none"/>
        </w:rPr>
        <w:t>且有效期内</w:t>
      </w:r>
      <w:r>
        <w:rPr>
          <w:rFonts w:hint="eastAsia" w:ascii="宋体" w:hAnsi="宋体" w:cs="宋体"/>
          <w:b/>
          <w:color w:val="auto"/>
          <w:kern w:val="0"/>
          <w:szCs w:val="21"/>
          <w:highlight w:val="none"/>
          <w:lang w:val="zh-CN"/>
        </w:rPr>
        <w:t>。</w:t>
      </w:r>
    </w:p>
    <w:p w14:paraId="4F98C92D">
      <w:pPr>
        <w:adjustRightInd w:val="0"/>
        <w:snapToGrid w:val="0"/>
        <w:spacing w:line="400" w:lineRule="exact"/>
        <w:rPr>
          <w:rFonts w:ascii="宋体" w:hAnsi="宋体" w:cs="宋体"/>
          <w:color w:val="auto"/>
          <w:kern w:val="0"/>
          <w:highlight w:val="none"/>
          <w:lang w:val="zh-CN"/>
        </w:rPr>
      </w:pPr>
    </w:p>
    <w:p w14:paraId="49401EF0">
      <w:pPr>
        <w:spacing w:line="400" w:lineRule="exact"/>
        <w:ind w:left="540" w:right="968" w:rightChars="461" w:hanging="36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31686023">
      <w:pPr>
        <w:spacing w:line="400" w:lineRule="exact"/>
        <w:ind w:left="540" w:leftChars="257" w:right="968" w:rightChars="461" w:firstLine="2730" w:firstLineChars="1300"/>
        <w:jc w:val="right"/>
        <w:rPr>
          <w:rFonts w:ascii="宋体" w:hAnsi="宋体" w:cs="宋体"/>
          <w:color w:val="auto"/>
          <w:szCs w:val="21"/>
          <w:highlight w:val="none"/>
        </w:rPr>
      </w:pPr>
      <w:r>
        <w:rPr>
          <w:rFonts w:hint="eastAsia" w:ascii="宋体" w:hAnsi="宋体" w:cs="宋体"/>
          <w:color w:val="auto"/>
          <w:szCs w:val="21"/>
          <w:highlight w:val="none"/>
        </w:rPr>
        <w:t>法定代表人或授权委托人签字：</w:t>
      </w:r>
    </w:p>
    <w:p w14:paraId="605048A8">
      <w:pPr>
        <w:wordWrap w:val="0"/>
        <w:spacing w:line="400" w:lineRule="exact"/>
        <w:ind w:left="540" w:right="968" w:rightChars="461" w:hanging="360"/>
        <w:jc w:val="right"/>
        <w:rPr>
          <w:rFonts w:ascii="宋体" w:hAnsi="宋体" w:cs="宋体"/>
          <w:color w:val="auto"/>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50194246">
      <w:pPr>
        <w:adjustRightInd w:val="0"/>
        <w:snapToGrid w:val="0"/>
        <w:spacing w:before="120" w:beforeLines="50" w:after="120" w:afterLines="50" w:line="500" w:lineRule="exact"/>
        <w:outlineLvl w:val="2"/>
        <w:rPr>
          <w:rFonts w:ascii="宋体"/>
          <w:b/>
          <w:color w:val="auto"/>
          <w:szCs w:val="21"/>
          <w:highlight w:val="none"/>
        </w:rPr>
      </w:pPr>
    </w:p>
    <w:p w14:paraId="1A2E6616">
      <w:pPr>
        <w:adjustRightInd w:val="0"/>
        <w:snapToGrid w:val="0"/>
        <w:spacing w:before="120" w:beforeLines="50" w:after="120" w:afterLines="50" w:line="500" w:lineRule="exact"/>
        <w:outlineLvl w:val="2"/>
        <w:rPr>
          <w:rFonts w:ascii="宋体"/>
          <w:b/>
          <w:color w:val="auto"/>
          <w:szCs w:val="21"/>
          <w:highlight w:val="none"/>
        </w:rPr>
      </w:pPr>
    </w:p>
    <w:p w14:paraId="3087216B">
      <w:pPr>
        <w:adjustRightInd w:val="0"/>
        <w:snapToGrid w:val="0"/>
        <w:spacing w:before="120" w:beforeLines="50" w:after="120" w:afterLines="50" w:line="500" w:lineRule="exact"/>
        <w:outlineLvl w:val="2"/>
        <w:rPr>
          <w:rFonts w:ascii="宋体"/>
          <w:b/>
          <w:color w:val="auto"/>
          <w:szCs w:val="21"/>
          <w:highlight w:val="none"/>
        </w:rPr>
      </w:pPr>
    </w:p>
    <w:p w14:paraId="16EA332E">
      <w:pPr>
        <w:adjustRightInd w:val="0"/>
        <w:snapToGrid w:val="0"/>
        <w:spacing w:before="120" w:beforeLines="50" w:after="120" w:afterLines="50" w:line="500" w:lineRule="exact"/>
        <w:outlineLvl w:val="2"/>
        <w:rPr>
          <w:rFonts w:ascii="宋体"/>
          <w:b/>
          <w:color w:val="auto"/>
          <w:szCs w:val="21"/>
          <w:highlight w:val="none"/>
        </w:rPr>
      </w:pPr>
    </w:p>
    <w:p w14:paraId="1324078D">
      <w:pPr>
        <w:adjustRightInd w:val="0"/>
        <w:snapToGrid w:val="0"/>
        <w:spacing w:before="120" w:beforeLines="50" w:after="120" w:afterLines="50" w:line="500" w:lineRule="exact"/>
        <w:outlineLvl w:val="2"/>
        <w:rPr>
          <w:rFonts w:ascii="宋体"/>
          <w:b/>
          <w:color w:val="auto"/>
          <w:szCs w:val="21"/>
          <w:highlight w:val="none"/>
        </w:rPr>
      </w:pPr>
    </w:p>
    <w:p w14:paraId="42FDBDBC">
      <w:pPr>
        <w:adjustRightInd w:val="0"/>
        <w:snapToGrid w:val="0"/>
        <w:spacing w:before="120" w:beforeLines="50" w:after="120" w:afterLines="50" w:line="500" w:lineRule="exact"/>
        <w:outlineLvl w:val="2"/>
        <w:rPr>
          <w:rFonts w:ascii="宋体"/>
          <w:b/>
          <w:color w:val="auto"/>
          <w:szCs w:val="21"/>
          <w:highlight w:val="none"/>
        </w:rPr>
      </w:pPr>
    </w:p>
    <w:p w14:paraId="70BEF215">
      <w:pPr>
        <w:adjustRightInd w:val="0"/>
        <w:snapToGrid w:val="0"/>
        <w:spacing w:before="120" w:beforeLines="50" w:after="120" w:afterLines="50" w:line="500" w:lineRule="exact"/>
        <w:outlineLvl w:val="2"/>
        <w:rPr>
          <w:rFonts w:ascii="宋体"/>
          <w:b/>
          <w:color w:val="auto"/>
          <w:szCs w:val="21"/>
          <w:highlight w:val="none"/>
        </w:rPr>
      </w:pPr>
    </w:p>
    <w:p w14:paraId="76288EDE">
      <w:pPr>
        <w:adjustRightInd w:val="0"/>
        <w:snapToGrid w:val="0"/>
        <w:spacing w:before="120" w:beforeLines="50" w:after="120" w:afterLines="50" w:line="500" w:lineRule="exact"/>
        <w:outlineLvl w:val="2"/>
        <w:rPr>
          <w:rFonts w:ascii="宋体"/>
          <w:b/>
          <w:color w:val="auto"/>
          <w:szCs w:val="21"/>
          <w:highlight w:val="none"/>
        </w:rPr>
      </w:pPr>
    </w:p>
    <w:p w14:paraId="70E82E41">
      <w:pPr>
        <w:adjustRightInd w:val="0"/>
        <w:snapToGrid w:val="0"/>
        <w:spacing w:before="120" w:beforeLines="50" w:after="120" w:afterLines="50" w:line="500" w:lineRule="exact"/>
        <w:outlineLvl w:val="2"/>
        <w:rPr>
          <w:rFonts w:ascii="宋体"/>
          <w:b/>
          <w:color w:val="auto"/>
          <w:szCs w:val="21"/>
          <w:highlight w:val="none"/>
        </w:rPr>
      </w:pPr>
    </w:p>
    <w:p w14:paraId="16C7C57C">
      <w:pPr>
        <w:adjustRightInd w:val="0"/>
        <w:snapToGrid w:val="0"/>
        <w:spacing w:before="120" w:beforeLines="50" w:after="120" w:afterLines="50" w:line="500" w:lineRule="exact"/>
        <w:outlineLvl w:val="2"/>
        <w:rPr>
          <w:rFonts w:ascii="宋体"/>
          <w:b/>
          <w:color w:val="auto"/>
          <w:szCs w:val="21"/>
          <w:highlight w:val="none"/>
        </w:rPr>
      </w:pPr>
    </w:p>
    <w:p w14:paraId="23DA1292">
      <w:pPr>
        <w:adjustRightInd w:val="0"/>
        <w:snapToGrid w:val="0"/>
        <w:spacing w:before="120" w:beforeLines="50" w:after="120" w:afterLines="50" w:line="500" w:lineRule="exact"/>
        <w:outlineLvl w:val="2"/>
        <w:rPr>
          <w:rFonts w:ascii="宋体"/>
          <w:b/>
          <w:color w:val="auto"/>
          <w:szCs w:val="21"/>
          <w:highlight w:val="none"/>
        </w:rPr>
      </w:pPr>
    </w:p>
    <w:p w14:paraId="257DB628">
      <w:pPr>
        <w:pStyle w:val="33"/>
        <w:rPr>
          <w:rFonts w:hint="eastAsia"/>
          <w:color w:val="auto"/>
          <w:highlight w:val="none"/>
        </w:rPr>
      </w:pPr>
    </w:p>
    <w:bookmarkEnd w:id="292"/>
    <w:p w14:paraId="7E0DCC27">
      <w:pPr>
        <w:numPr>
          <w:ilvl w:val="0"/>
          <w:numId w:val="27"/>
        </w:numPr>
        <w:spacing w:before="120" w:beforeLines="50" w:after="120" w:afterLines="50"/>
        <w:jc w:val="center"/>
        <w:outlineLvl w:val="0"/>
        <w:rPr>
          <w:rFonts w:ascii="宋体"/>
          <w:b/>
          <w:bCs/>
          <w:color w:val="auto"/>
          <w:sz w:val="32"/>
          <w:szCs w:val="30"/>
          <w:highlight w:val="none"/>
        </w:rPr>
      </w:pPr>
      <w:bookmarkStart w:id="293" w:name="_Toc31405"/>
      <w:bookmarkStart w:id="294" w:name="_Toc12422"/>
      <w:bookmarkStart w:id="295" w:name="_Toc6179"/>
      <w:bookmarkStart w:id="296" w:name="_Toc8593"/>
      <w:bookmarkStart w:id="297" w:name="_Toc4182"/>
      <w:bookmarkStart w:id="298" w:name="_Toc29138"/>
      <w:r>
        <w:rPr>
          <w:rFonts w:hint="eastAsia" w:ascii="宋体"/>
          <w:b/>
          <w:bCs/>
          <w:color w:val="auto"/>
          <w:sz w:val="32"/>
          <w:szCs w:val="30"/>
          <w:highlight w:val="none"/>
        </w:rPr>
        <w:t>专家评分索引表</w:t>
      </w:r>
      <w:bookmarkEnd w:id="293"/>
      <w:bookmarkEnd w:id="294"/>
      <w:bookmarkEnd w:id="295"/>
      <w:bookmarkEnd w:id="296"/>
      <w:bookmarkEnd w:id="297"/>
      <w:bookmarkEnd w:id="298"/>
    </w:p>
    <w:tbl>
      <w:tblPr>
        <w:tblStyle w:val="60"/>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648"/>
        <w:gridCol w:w="1087"/>
        <w:gridCol w:w="930"/>
        <w:gridCol w:w="2025"/>
      </w:tblGrid>
      <w:tr w14:paraId="00A7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4962013E">
            <w:pPr>
              <w:spacing w:line="360" w:lineRule="exact"/>
              <w:jc w:val="center"/>
              <w:rPr>
                <w:rFonts w:ascii="宋体"/>
                <w:b/>
                <w:bCs/>
                <w:color w:val="auto"/>
                <w:szCs w:val="21"/>
                <w:highlight w:val="none"/>
              </w:rPr>
            </w:pPr>
            <w:r>
              <w:rPr>
                <w:rFonts w:hint="eastAsia" w:ascii="宋体"/>
                <w:b/>
                <w:bCs/>
                <w:color w:val="auto"/>
                <w:szCs w:val="21"/>
                <w:highlight w:val="none"/>
              </w:rPr>
              <w:t>序号</w:t>
            </w:r>
          </w:p>
        </w:tc>
        <w:tc>
          <w:tcPr>
            <w:tcW w:w="3648" w:type="dxa"/>
            <w:vAlign w:val="center"/>
          </w:tcPr>
          <w:p w14:paraId="76024425">
            <w:pPr>
              <w:spacing w:line="360" w:lineRule="exact"/>
              <w:jc w:val="center"/>
              <w:rPr>
                <w:rFonts w:ascii="宋体"/>
                <w:b/>
                <w:bCs/>
                <w:color w:val="auto"/>
                <w:szCs w:val="21"/>
                <w:highlight w:val="none"/>
              </w:rPr>
            </w:pPr>
            <w:r>
              <w:rPr>
                <w:rFonts w:hint="eastAsia" w:ascii="宋体"/>
                <w:b/>
                <w:bCs/>
                <w:color w:val="auto"/>
                <w:szCs w:val="21"/>
                <w:highlight w:val="none"/>
              </w:rPr>
              <w:t>评分内容</w:t>
            </w:r>
          </w:p>
        </w:tc>
        <w:tc>
          <w:tcPr>
            <w:tcW w:w="1087" w:type="dxa"/>
            <w:vAlign w:val="center"/>
          </w:tcPr>
          <w:p w14:paraId="74AC72E7">
            <w:pPr>
              <w:spacing w:line="360" w:lineRule="exact"/>
              <w:jc w:val="center"/>
              <w:rPr>
                <w:rFonts w:ascii="宋体"/>
                <w:b/>
                <w:bCs/>
                <w:color w:val="auto"/>
                <w:szCs w:val="21"/>
                <w:highlight w:val="none"/>
              </w:rPr>
            </w:pPr>
            <w:r>
              <w:rPr>
                <w:rFonts w:hint="eastAsia" w:ascii="宋体"/>
                <w:b/>
                <w:bCs/>
                <w:color w:val="auto"/>
                <w:szCs w:val="21"/>
                <w:highlight w:val="none"/>
              </w:rPr>
              <w:t>标准分</w:t>
            </w:r>
          </w:p>
        </w:tc>
        <w:tc>
          <w:tcPr>
            <w:tcW w:w="930" w:type="dxa"/>
            <w:vAlign w:val="center"/>
          </w:tcPr>
          <w:p w14:paraId="326614C6">
            <w:pPr>
              <w:spacing w:line="360" w:lineRule="exact"/>
              <w:jc w:val="center"/>
              <w:rPr>
                <w:rFonts w:ascii="宋体"/>
                <w:b/>
                <w:bCs/>
                <w:color w:val="auto"/>
                <w:szCs w:val="21"/>
                <w:highlight w:val="none"/>
              </w:rPr>
            </w:pPr>
            <w:r>
              <w:rPr>
                <w:rFonts w:hint="eastAsia" w:ascii="宋体"/>
                <w:b/>
                <w:bCs/>
                <w:color w:val="auto"/>
                <w:szCs w:val="21"/>
                <w:highlight w:val="none"/>
              </w:rPr>
              <w:t>自评分</w:t>
            </w:r>
          </w:p>
        </w:tc>
        <w:tc>
          <w:tcPr>
            <w:tcW w:w="2025" w:type="dxa"/>
            <w:vAlign w:val="center"/>
          </w:tcPr>
          <w:p w14:paraId="761781A2">
            <w:pPr>
              <w:spacing w:line="360" w:lineRule="exact"/>
              <w:jc w:val="center"/>
              <w:rPr>
                <w:rFonts w:ascii="宋体"/>
                <w:b/>
                <w:bCs/>
                <w:color w:val="auto"/>
                <w:szCs w:val="21"/>
                <w:highlight w:val="none"/>
              </w:rPr>
            </w:pPr>
            <w:r>
              <w:rPr>
                <w:rFonts w:hint="eastAsia" w:ascii="宋体"/>
                <w:b/>
                <w:bCs/>
                <w:color w:val="auto"/>
                <w:szCs w:val="21"/>
                <w:highlight w:val="none"/>
              </w:rPr>
              <w:t>在投标文件中所对应的页码</w:t>
            </w:r>
          </w:p>
        </w:tc>
      </w:tr>
      <w:tr w14:paraId="3FF3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shd w:val="clear" w:color="auto" w:fill="auto"/>
            <w:vAlign w:val="center"/>
          </w:tcPr>
          <w:p w14:paraId="3B9A48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1</w:t>
            </w:r>
          </w:p>
        </w:tc>
        <w:tc>
          <w:tcPr>
            <w:tcW w:w="3648" w:type="dxa"/>
            <w:shd w:val="clear" w:color="auto" w:fill="auto"/>
            <w:vAlign w:val="center"/>
          </w:tcPr>
          <w:p w14:paraId="4796E7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需求理解和分析</w:t>
            </w:r>
          </w:p>
        </w:tc>
        <w:tc>
          <w:tcPr>
            <w:tcW w:w="1087" w:type="dxa"/>
            <w:shd w:val="clear" w:color="auto" w:fill="auto"/>
            <w:vAlign w:val="center"/>
          </w:tcPr>
          <w:p w14:paraId="37951C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930" w:type="dxa"/>
            <w:vAlign w:val="center"/>
          </w:tcPr>
          <w:p w14:paraId="241B1B9C">
            <w:pPr>
              <w:adjustRightInd w:val="0"/>
              <w:snapToGrid w:val="0"/>
              <w:spacing w:line="360" w:lineRule="exact"/>
              <w:jc w:val="center"/>
              <w:rPr>
                <w:rFonts w:ascii="宋体" w:hAnsi="宋体" w:cs="宋体"/>
                <w:color w:val="auto"/>
                <w:szCs w:val="21"/>
                <w:highlight w:val="none"/>
              </w:rPr>
            </w:pPr>
          </w:p>
        </w:tc>
        <w:tc>
          <w:tcPr>
            <w:tcW w:w="2025" w:type="dxa"/>
            <w:vAlign w:val="center"/>
          </w:tcPr>
          <w:p w14:paraId="6EA2B506">
            <w:pPr>
              <w:spacing w:line="360" w:lineRule="exact"/>
              <w:jc w:val="center"/>
              <w:rPr>
                <w:rFonts w:ascii="宋体"/>
                <w:color w:val="auto"/>
                <w:szCs w:val="21"/>
                <w:highlight w:val="none"/>
              </w:rPr>
            </w:pPr>
          </w:p>
        </w:tc>
      </w:tr>
      <w:tr w14:paraId="246B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shd w:val="clear" w:color="auto" w:fill="auto"/>
            <w:vAlign w:val="center"/>
          </w:tcPr>
          <w:p w14:paraId="6E6E35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sz w:val="21"/>
                <w:szCs w:val="21"/>
                <w:highlight w:val="none"/>
              </w:rPr>
              <w:t>2</w:t>
            </w:r>
          </w:p>
        </w:tc>
        <w:tc>
          <w:tcPr>
            <w:tcW w:w="3648" w:type="dxa"/>
            <w:shd w:val="clear" w:color="auto" w:fill="auto"/>
            <w:vAlign w:val="center"/>
          </w:tcPr>
          <w:p w14:paraId="7C8376F4">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sz w:val="21"/>
                <w:szCs w:val="21"/>
                <w:highlight w:val="none"/>
                <w:lang w:val="en-US" w:eastAsia="zh-CN"/>
              </w:rPr>
              <w:t>服务方案</w:t>
            </w:r>
          </w:p>
        </w:tc>
        <w:tc>
          <w:tcPr>
            <w:tcW w:w="1087" w:type="dxa"/>
            <w:shd w:val="clear" w:color="auto" w:fill="auto"/>
            <w:vAlign w:val="center"/>
          </w:tcPr>
          <w:p w14:paraId="364CEBB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cs="宋体"/>
                <w:b w:val="0"/>
                <w:bCs w:val="0"/>
                <w:snapToGrid w:val="0"/>
                <w:color w:val="auto"/>
                <w:sz w:val="21"/>
                <w:szCs w:val="21"/>
                <w:highlight w:val="none"/>
                <w:lang w:val="en-US" w:eastAsia="zh-CN"/>
              </w:rPr>
              <w:t>4</w:t>
            </w:r>
          </w:p>
        </w:tc>
        <w:tc>
          <w:tcPr>
            <w:tcW w:w="930" w:type="dxa"/>
            <w:vAlign w:val="center"/>
          </w:tcPr>
          <w:p w14:paraId="748862C1">
            <w:pPr>
              <w:spacing w:line="360" w:lineRule="exact"/>
              <w:jc w:val="center"/>
              <w:rPr>
                <w:rFonts w:ascii="宋体" w:hAnsi="宋体" w:cs="宋体"/>
                <w:color w:val="auto"/>
                <w:szCs w:val="21"/>
                <w:highlight w:val="none"/>
              </w:rPr>
            </w:pPr>
          </w:p>
        </w:tc>
        <w:tc>
          <w:tcPr>
            <w:tcW w:w="2025" w:type="dxa"/>
            <w:vAlign w:val="center"/>
          </w:tcPr>
          <w:p w14:paraId="05DB8811">
            <w:pPr>
              <w:spacing w:line="360" w:lineRule="exact"/>
              <w:jc w:val="center"/>
              <w:rPr>
                <w:rFonts w:ascii="宋体"/>
                <w:color w:val="auto"/>
                <w:szCs w:val="21"/>
                <w:highlight w:val="none"/>
              </w:rPr>
            </w:pPr>
          </w:p>
        </w:tc>
      </w:tr>
      <w:tr w14:paraId="63FE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shd w:val="clear" w:color="auto" w:fill="auto"/>
            <w:vAlign w:val="center"/>
          </w:tcPr>
          <w:p w14:paraId="35A68C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3</w:t>
            </w:r>
          </w:p>
        </w:tc>
        <w:tc>
          <w:tcPr>
            <w:tcW w:w="3648" w:type="dxa"/>
            <w:shd w:val="clear" w:color="auto" w:fill="auto"/>
            <w:vAlign w:val="center"/>
          </w:tcPr>
          <w:p w14:paraId="426DB21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sz w:val="21"/>
                <w:szCs w:val="21"/>
                <w:highlight w:val="none"/>
                <w:lang w:val="en-US" w:eastAsia="zh-CN"/>
              </w:rPr>
              <w:t>处理方案</w:t>
            </w:r>
          </w:p>
        </w:tc>
        <w:tc>
          <w:tcPr>
            <w:tcW w:w="1087" w:type="dxa"/>
            <w:shd w:val="clear" w:color="auto" w:fill="auto"/>
            <w:vAlign w:val="center"/>
          </w:tcPr>
          <w:p w14:paraId="35A8B1F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cs="宋体"/>
                <w:b w:val="0"/>
                <w:bCs w:val="0"/>
                <w:snapToGrid w:val="0"/>
                <w:color w:val="auto"/>
                <w:sz w:val="21"/>
                <w:szCs w:val="21"/>
                <w:highlight w:val="none"/>
                <w:lang w:val="en-US" w:eastAsia="zh-CN"/>
              </w:rPr>
              <w:t>5</w:t>
            </w:r>
          </w:p>
        </w:tc>
        <w:tc>
          <w:tcPr>
            <w:tcW w:w="930" w:type="dxa"/>
            <w:vAlign w:val="center"/>
          </w:tcPr>
          <w:p w14:paraId="06406164">
            <w:pPr>
              <w:spacing w:line="360" w:lineRule="exact"/>
              <w:jc w:val="center"/>
              <w:rPr>
                <w:rFonts w:ascii="宋体" w:hAnsi="宋体" w:cs="宋体"/>
                <w:color w:val="auto"/>
                <w:szCs w:val="21"/>
                <w:highlight w:val="none"/>
              </w:rPr>
            </w:pPr>
          </w:p>
        </w:tc>
        <w:tc>
          <w:tcPr>
            <w:tcW w:w="2025" w:type="dxa"/>
            <w:vAlign w:val="center"/>
          </w:tcPr>
          <w:p w14:paraId="7EB59FB9">
            <w:pPr>
              <w:spacing w:line="360" w:lineRule="exact"/>
              <w:jc w:val="center"/>
              <w:rPr>
                <w:rFonts w:ascii="宋体"/>
                <w:color w:val="auto"/>
                <w:szCs w:val="21"/>
                <w:highlight w:val="none"/>
              </w:rPr>
            </w:pPr>
          </w:p>
        </w:tc>
      </w:tr>
      <w:tr w14:paraId="3373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shd w:val="clear" w:color="auto" w:fill="auto"/>
            <w:vAlign w:val="center"/>
          </w:tcPr>
          <w:p w14:paraId="0BC656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4</w:t>
            </w:r>
          </w:p>
        </w:tc>
        <w:tc>
          <w:tcPr>
            <w:tcW w:w="3648" w:type="dxa"/>
            <w:shd w:val="clear" w:color="auto" w:fill="auto"/>
            <w:vAlign w:val="center"/>
          </w:tcPr>
          <w:p w14:paraId="0369657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维保质量管理方案</w:t>
            </w:r>
          </w:p>
        </w:tc>
        <w:tc>
          <w:tcPr>
            <w:tcW w:w="1087" w:type="dxa"/>
            <w:shd w:val="clear" w:color="auto" w:fill="auto"/>
            <w:vAlign w:val="center"/>
          </w:tcPr>
          <w:p w14:paraId="798E42E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w:t>
            </w:r>
          </w:p>
        </w:tc>
        <w:tc>
          <w:tcPr>
            <w:tcW w:w="930" w:type="dxa"/>
            <w:vAlign w:val="center"/>
          </w:tcPr>
          <w:p w14:paraId="118D2E5E">
            <w:pPr>
              <w:spacing w:line="360" w:lineRule="exact"/>
              <w:jc w:val="center"/>
              <w:rPr>
                <w:rFonts w:ascii="宋体" w:hAnsi="宋体" w:cs="宋体"/>
                <w:color w:val="auto"/>
                <w:szCs w:val="21"/>
                <w:highlight w:val="none"/>
              </w:rPr>
            </w:pPr>
          </w:p>
        </w:tc>
        <w:tc>
          <w:tcPr>
            <w:tcW w:w="2025" w:type="dxa"/>
            <w:vAlign w:val="center"/>
          </w:tcPr>
          <w:p w14:paraId="2F0373B8">
            <w:pPr>
              <w:spacing w:line="360" w:lineRule="exact"/>
              <w:jc w:val="center"/>
              <w:rPr>
                <w:rFonts w:ascii="宋体"/>
                <w:color w:val="auto"/>
                <w:szCs w:val="21"/>
                <w:highlight w:val="none"/>
              </w:rPr>
            </w:pPr>
          </w:p>
        </w:tc>
      </w:tr>
      <w:tr w14:paraId="3A48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shd w:val="clear" w:color="auto" w:fill="auto"/>
            <w:vAlign w:val="center"/>
          </w:tcPr>
          <w:p w14:paraId="3A4CE9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5</w:t>
            </w:r>
          </w:p>
        </w:tc>
        <w:tc>
          <w:tcPr>
            <w:tcW w:w="3648" w:type="dxa"/>
            <w:shd w:val="clear" w:color="auto" w:fill="auto"/>
            <w:vAlign w:val="center"/>
          </w:tcPr>
          <w:p w14:paraId="0597AC4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巡检报告制度</w:t>
            </w:r>
          </w:p>
        </w:tc>
        <w:tc>
          <w:tcPr>
            <w:tcW w:w="1087" w:type="dxa"/>
            <w:shd w:val="clear" w:color="auto" w:fill="auto"/>
            <w:vAlign w:val="center"/>
          </w:tcPr>
          <w:p w14:paraId="724E460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930" w:type="dxa"/>
            <w:vAlign w:val="center"/>
          </w:tcPr>
          <w:p w14:paraId="78739C02">
            <w:pPr>
              <w:spacing w:line="360" w:lineRule="exact"/>
              <w:jc w:val="center"/>
              <w:rPr>
                <w:rFonts w:ascii="宋体" w:hAnsi="宋体" w:cs="宋体"/>
                <w:color w:val="auto"/>
                <w:szCs w:val="21"/>
                <w:highlight w:val="none"/>
              </w:rPr>
            </w:pPr>
          </w:p>
        </w:tc>
        <w:tc>
          <w:tcPr>
            <w:tcW w:w="2025" w:type="dxa"/>
            <w:vAlign w:val="center"/>
          </w:tcPr>
          <w:p w14:paraId="1D16C216">
            <w:pPr>
              <w:spacing w:line="360" w:lineRule="exact"/>
              <w:jc w:val="center"/>
              <w:rPr>
                <w:rFonts w:ascii="宋体"/>
                <w:color w:val="auto"/>
                <w:szCs w:val="21"/>
                <w:highlight w:val="none"/>
              </w:rPr>
            </w:pPr>
          </w:p>
        </w:tc>
      </w:tr>
      <w:tr w14:paraId="0D0D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shd w:val="clear" w:color="auto" w:fill="auto"/>
            <w:vAlign w:val="center"/>
          </w:tcPr>
          <w:p w14:paraId="33FA26C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 w:val="21"/>
                <w:szCs w:val="21"/>
                <w:highlight w:val="none"/>
                <w:lang w:val="en-US" w:eastAsia="zh-CN"/>
              </w:rPr>
              <w:t>6</w:t>
            </w:r>
          </w:p>
        </w:tc>
        <w:tc>
          <w:tcPr>
            <w:tcW w:w="3648" w:type="dxa"/>
            <w:shd w:val="clear" w:color="auto" w:fill="auto"/>
            <w:vAlign w:val="center"/>
          </w:tcPr>
          <w:p w14:paraId="61E883B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稳过渡方案</w:t>
            </w:r>
          </w:p>
        </w:tc>
        <w:tc>
          <w:tcPr>
            <w:tcW w:w="1087" w:type="dxa"/>
            <w:shd w:val="clear" w:color="auto" w:fill="auto"/>
            <w:vAlign w:val="center"/>
          </w:tcPr>
          <w:p w14:paraId="0BFED2B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930" w:type="dxa"/>
            <w:vAlign w:val="center"/>
          </w:tcPr>
          <w:p w14:paraId="126EC615">
            <w:pPr>
              <w:spacing w:line="360" w:lineRule="exact"/>
              <w:jc w:val="center"/>
              <w:rPr>
                <w:rFonts w:ascii="宋体" w:hAnsi="宋体" w:cs="宋体"/>
                <w:color w:val="auto"/>
                <w:szCs w:val="21"/>
                <w:highlight w:val="none"/>
              </w:rPr>
            </w:pPr>
          </w:p>
        </w:tc>
        <w:tc>
          <w:tcPr>
            <w:tcW w:w="2025" w:type="dxa"/>
            <w:vAlign w:val="center"/>
          </w:tcPr>
          <w:p w14:paraId="03CD6225">
            <w:pPr>
              <w:spacing w:line="360" w:lineRule="exact"/>
              <w:jc w:val="center"/>
              <w:rPr>
                <w:rFonts w:ascii="宋体"/>
                <w:color w:val="auto"/>
                <w:szCs w:val="21"/>
                <w:highlight w:val="none"/>
              </w:rPr>
            </w:pPr>
          </w:p>
        </w:tc>
      </w:tr>
      <w:tr w14:paraId="5C19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shd w:val="clear" w:color="auto" w:fill="auto"/>
            <w:vAlign w:val="center"/>
          </w:tcPr>
          <w:p w14:paraId="03180E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 w:val="21"/>
                <w:szCs w:val="21"/>
                <w:highlight w:val="none"/>
                <w:lang w:val="en-US" w:eastAsia="zh-CN"/>
              </w:rPr>
              <w:t>7</w:t>
            </w:r>
          </w:p>
        </w:tc>
        <w:tc>
          <w:tcPr>
            <w:tcW w:w="3648" w:type="dxa"/>
            <w:shd w:val="clear" w:color="auto" w:fill="auto"/>
            <w:vAlign w:val="center"/>
          </w:tcPr>
          <w:p w14:paraId="2DD5F39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项目技术力量投入</w:t>
            </w:r>
          </w:p>
        </w:tc>
        <w:tc>
          <w:tcPr>
            <w:tcW w:w="1087" w:type="dxa"/>
            <w:shd w:val="clear" w:color="auto" w:fill="auto"/>
            <w:vAlign w:val="center"/>
          </w:tcPr>
          <w:p w14:paraId="0A4E7C5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930" w:type="dxa"/>
            <w:vAlign w:val="center"/>
          </w:tcPr>
          <w:p w14:paraId="777D31B7">
            <w:pPr>
              <w:spacing w:line="360" w:lineRule="exact"/>
              <w:jc w:val="center"/>
              <w:rPr>
                <w:rFonts w:ascii="宋体" w:hAnsi="宋体" w:cs="宋体"/>
                <w:color w:val="auto"/>
                <w:szCs w:val="21"/>
                <w:highlight w:val="none"/>
              </w:rPr>
            </w:pPr>
          </w:p>
        </w:tc>
        <w:tc>
          <w:tcPr>
            <w:tcW w:w="2025" w:type="dxa"/>
            <w:vAlign w:val="center"/>
          </w:tcPr>
          <w:p w14:paraId="178CB19A">
            <w:pPr>
              <w:spacing w:line="360" w:lineRule="exact"/>
              <w:jc w:val="center"/>
              <w:rPr>
                <w:rFonts w:ascii="宋体"/>
                <w:color w:val="auto"/>
                <w:szCs w:val="21"/>
                <w:highlight w:val="none"/>
              </w:rPr>
            </w:pPr>
          </w:p>
        </w:tc>
      </w:tr>
      <w:tr w14:paraId="1667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shd w:val="clear" w:color="auto" w:fill="auto"/>
            <w:vAlign w:val="center"/>
          </w:tcPr>
          <w:p w14:paraId="1A92EB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 w:val="21"/>
                <w:szCs w:val="21"/>
                <w:highlight w:val="none"/>
                <w:lang w:val="en-US" w:eastAsia="zh-CN"/>
              </w:rPr>
              <w:t>8</w:t>
            </w:r>
          </w:p>
        </w:tc>
        <w:tc>
          <w:tcPr>
            <w:tcW w:w="3648" w:type="dxa"/>
            <w:shd w:val="clear" w:color="auto" w:fill="auto"/>
            <w:vAlign w:val="center"/>
          </w:tcPr>
          <w:p w14:paraId="48D0786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企业资信</w:t>
            </w:r>
          </w:p>
        </w:tc>
        <w:tc>
          <w:tcPr>
            <w:tcW w:w="1087" w:type="dxa"/>
            <w:shd w:val="clear" w:color="auto" w:fill="auto"/>
            <w:vAlign w:val="center"/>
          </w:tcPr>
          <w:p w14:paraId="46A1539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930" w:type="dxa"/>
            <w:vAlign w:val="center"/>
          </w:tcPr>
          <w:p w14:paraId="4E61C92B">
            <w:pPr>
              <w:spacing w:line="360" w:lineRule="exact"/>
              <w:jc w:val="center"/>
              <w:rPr>
                <w:rFonts w:ascii="宋体" w:hAnsi="宋体" w:cs="宋体"/>
                <w:color w:val="auto"/>
                <w:szCs w:val="21"/>
                <w:highlight w:val="none"/>
              </w:rPr>
            </w:pPr>
          </w:p>
        </w:tc>
        <w:tc>
          <w:tcPr>
            <w:tcW w:w="2025" w:type="dxa"/>
            <w:vAlign w:val="center"/>
          </w:tcPr>
          <w:p w14:paraId="7A10638C">
            <w:pPr>
              <w:spacing w:line="360" w:lineRule="exact"/>
              <w:jc w:val="center"/>
              <w:rPr>
                <w:rFonts w:ascii="宋体"/>
                <w:color w:val="auto"/>
                <w:szCs w:val="21"/>
                <w:highlight w:val="none"/>
              </w:rPr>
            </w:pPr>
          </w:p>
        </w:tc>
      </w:tr>
      <w:tr w14:paraId="77AE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shd w:val="clear" w:color="auto" w:fill="auto"/>
            <w:vAlign w:val="center"/>
          </w:tcPr>
          <w:p w14:paraId="3E737D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 w:val="21"/>
                <w:szCs w:val="21"/>
                <w:highlight w:val="none"/>
                <w:lang w:val="en-US" w:eastAsia="zh-CN"/>
              </w:rPr>
              <w:t>9</w:t>
            </w:r>
          </w:p>
        </w:tc>
        <w:tc>
          <w:tcPr>
            <w:tcW w:w="3648" w:type="dxa"/>
            <w:shd w:val="clear" w:color="auto" w:fill="auto"/>
            <w:vAlign w:val="center"/>
          </w:tcPr>
          <w:p w14:paraId="6014640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权威认证</w:t>
            </w:r>
          </w:p>
        </w:tc>
        <w:tc>
          <w:tcPr>
            <w:tcW w:w="1087" w:type="dxa"/>
            <w:shd w:val="clear" w:color="auto" w:fill="auto"/>
            <w:vAlign w:val="center"/>
          </w:tcPr>
          <w:p w14:paraId="45CB0AC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930" w:type="dxa"/>
            <w:vAlign w:val="center"/>
          </w:tcPr>
          <w:p w14:paraId="00DF7461">
            <w:pPr>
              <w:spacing w:line="360" w:lineRule="exact"/>
              <w:jc w:val="center"/>
              <w:rPr>
                <w:rFonts w:ascii="宋体" w:hAnsi="宋体" w:cs="宋体"/>
                <w:color w:val="auto"/>
                <w:szCs w:val="21"/>
                <w:highlight w:val="none"/>
              </w:rPr>
            </w:pPr>
          </w:p>
        </w:tc>
        <w:tc>
          <w:tcPr>
            <w:tcW w:w="2025" w:type="dxa"/>
            <w:vAlign w:val="center"/>
          </w:tcPr>
          <w:p w14:paraId="19826532">
            <w:pPr>
              <w:spacing w:line="360" w:lineRule="exact"/>
              <w:jc w:val="center"/>
              <w:rPr>
                <w:rFonts w:ascii="宋体"/>
                <w:color w:val="auto"/>
                <w:szCs w:val="21"/>
                <w:highlight w:val="none"/>
              </w:rPr>
            </w:pPr>
          </w:p>
        </w:tc>
      </w:tr>
      <w:tr w14:paraId="54CA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shd w:val="clear" w:color="auto" w:fill="auto"/>
            <w:vAlign w:val="center"/>
          </w:tcPr>
          <w:p w14:paraId="712946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 w:val="21"/>
                <w:szCs w:val="21"/>
                <w:highlight w:val="none"/>
                <w:lang w:val="en-US" w:eastAsia="zh-CN"/>
              </w:rPr>
              <w:t>10</w:t>
            </w:r>
          </w:p>
        </w:tc>
        <w:tc>
          <w:tcPr>
            <w:tcW w:w="3648" w:type="dxa"/>
            <w:shd w:val="clear" w:color="auto" w:fill="auto"/>
            <w:vAlign w:val="center"/>
          </w:tcPr>
          <w:p w14:paraId="01ABE0B4">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业绩</w:t>
            </w:r>
          </w:p>
        </w:tc>
        <w:tc>
          <w:tcPr>
            <w:tcW w:w="1087" w:type="dxa"/>
            <w:shd w:val="clear" w:color="auto" w:fill="auto"/>
            <w:vAlign w:val="center"/>
          </w:tcPr>
          <w:p w14:paraId="420939B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930" w:type="dxa"/>
            <w:vAlign w:val="center"/>
          </w:tcPr>
          <w:p w14:paraId="0E572F67">
            <w:pPr>
              <w:spacing w:line="360" w:lineRule="exact"/>
              <w:jc w:val="center"/>
              <w:rPr>
                <w:rFonts w:ascii="宋体" w:hAnsi="宋体" w:cs="宋体"/>
                <w:color w:val="auto"/>
                <w:szCs w:val="21"/>
                <w:highlight w:val="none"/>
              </w:rPr>
            </w:pPr>
          </w:p>
        </w:tc>
        <w:tc>
          <w:tcPr>
            <w:tcW w:w="2025" w:type="dxa"/>
            <w:vAlign w:val="center"/>
          </w:tcPr>
          <w:p w14:paraId="40F184F8">
            <w:pPr>
              <w:spacing w:line="360" w:lineRule="exact"/>
              <w:jc w:val="center"/>
              <w:rPr>
                <w:rFonts w:ascii="宋体"/>
                <w:color w:val="auto"/>
                <w:szCs w:val="21"/>
                <w:highlight w:val="none"/>
              </w:rPr>
            </w:pPr>
          </w:p>
        </w:tc>
      </w:tr>
      <w:tr w14:paraId="60DC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13E1DCA7">
            <w:pPr>
              <w:spacing w:line="36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11</w:t>
            </w:r>
          </w:p>
        </w:tc>
        <w:tc>
          <w:tcPr>
            <w:tcW w:w="3648" w:type="dxa"/>
            <w:vAlign w:val="center"/>
          </w:tcPr>
          <w:p w14:paraId="3B1E4B0D">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1087" w:type="dxa"/>
            <w:vAlign w:val="center"/>
          </w:tcPr>
          <w:p w14:paraId="325BB753">
            <w:pPr>
              <w:adjustRightInd w:val="0"/>
              <w:snapToGrid w:val="0"/>
              <w:spacing w:line="320" w:lineRule="exact"/>
              <w:jc w:val="center"/>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=SUM(ABOVE) </w:instrText>
            </w:r>
            <w:r>
              <w:rPr>
                <w:rFonts w:ascii="宋体" w:hAnsi="宋体" w:cs="宋体"/>
                <w:color w:val="auto"/>
                <w:szCs w:val="21"/>
                <w:highlight w:val="none"/>
              </w:rPr>
              <w:fldChar w:fldCharType="separate"/>
            </w:r>
            <w:r>
              <w:rPr>
                <w:rFonts w:hint="eastAsia" w:ascii="宋体" w:hAnsi="宋体" w:cs="宋体"/>
                <w:color w:val="auto"/>
                <w:szCs w:val="21"/>
                <w:highlight w:val="none"/>
                <w:lang w:val="en-US" w:eastAsia="zh-CN"/>
              </w:rPr>
              <w:t>5</w:t>
            </w:r>
            <w:r>
              <w:rPr>
                <w:rFonts w:ascii="宋体" w:hAnsi="宋体" w:cs="宋体"/>
                <w:color w:val="auto"/>
                <w:szCs w:val="21"/>
                <w:highlight w:val="none"/>
              </w:rPr>
              <w:t>0</w:t>
            </w:r>
            <w:r>
              <w:rPr>
                <w:rFonts w:ascii="宋体" w:hAnsi="宋体" w:cs="宋体"/>
                <w:color w:val="auto"/>
                <w:szCs w:val="21"/>
                <w:highlight w:val="none"/>
              </w:rPr>
              <w:fldChar w:fldCharType="end"/>
            </w:r>
          </w:p>
        </w:tc>
        <w:tc>
          <w:tcPr>
            <w:tcW w:w="930" w:type="dxa"/>
            <w:vAlign w:val="center"/>
          </w:tcPr>
          <w:p w14:paraId="5A0F2C02">
            <w:pPr>
              <w:adjustRightInd w:val="0"/>
              <w:snapToGrid w:val="0"/>
              <w:spacing w:line="320" w:lineRule="exact"/>
              <w:jc w:val="center"/>
              <w:rPr>
                <w:rFonts w:ascii="宋体" w:hAnsi="宋体" w:cs="宋体"/>
                <w:color w:val="auto"/>
                <w:szCs w:val="21"/>
                <w:highlight w:val="none"/>
              </w:rPr>
            </w:pPr>
          </w:p>
        </w:tc>
        <w:tc>
          <w:tcPr>
            <w:tcW w:w="2025" w:type="dxa"/>
            <w:vAlign w:val="center"/>
          </w:tcPr>
          <w:p w14:paraId="4FB0E511">
            <w:pPr>
              <w:spacing w:line="360" w:lineRule="exact"/>
              <w:jc w:val="center"/>
              <w:rPr>
                <w:rFonts w:ascii="宋体"/>
                <w:color w:val="auto"/>
                <w:szCs w:val="21"/>
                <w:highlight w:val="none"/>
              </w:rPr>
            </w:pPr>
          </w:p>
        </w:tc>
      </w:tr>
    </w:tbl>
    <w:p w14:paraId="01F7B50F">
      <w:pPr>
        <w:spacing w:line="400" w:lineRule="exact"/>
        <w:rPr>
          <w:rFonts w:ascii="宋体"/>
          <w:b/>
          <w:color w:val="auto"/>
          <w:highlight w:val="none"/>
        </w:rPr>
      </w:pPr>
    </w:p>
    <w:p w14:paraId="6989AD23">
      <w:pPr>
        <w:spacing w:line="400" w:lineRule="exact"/>
        <w:rPr>
          <w:rFonts w:ascii="宋体"/>
          <w:b/>
          <w:color w:val="auto"/>
          <w:highlight w:val="none"/>
        </w:rPr>
      </w:pPr>
      <w:r>
        <w:rPr>
          <w:rFonts w:hint="eastAsia" w:ascii="宋体"/>
          <w:b/>
          <w:color w:val="auto"/>
          <w:highlight w:val="none"/>
        </w:rPr>
        <w:t>注：“专家评分索引表”装订在商务技术文件首页。投标供应商应认真填写相关内容在投标文件中所对应的页码。</w:t>
      </w:r>
    </w:p>
    <w:p w14:paraId="24D291D5">
      <w:pPr>
        <w:rPr>
          <w:color w:val="auto"/>
          <w:highlight w:val="none"/>
        </w:rPr>
      </w:pPr>
    </w:p>
    <w:sectPr>
      <w:pgSz w:w="11906" w:h="16838"/>
      <w:pgMar w:top="1361" w:right="1701" w:bottom="1361" w:left="1701" w:header="851"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83EF6">
    <w:pPr>
      <w:pStyle w:val="31"/>
      <w:pBdr>
        <w:top w:val="single" w:color="auto" w:sz="4" w:space="1"/>
      </w:pBdr>
      <w:ind w:right="45"/>
      <w:jc w:val="center"/>
      <w:rPr>
        <w:rFonts w:hint="eastAsia" w:ascii="仿宋_GB2312" w:eastAsia="仿宋_GB2312"/>
        <w:lang w:val="en-US" w:eastAsia="zh-CN"/>
      </w:rPr>
    </w:pPr>
    <w:r>
      <w:rPr>
        <w:rFonts w:hint="eastAsia" w:ascii="仿宋_GB2312" w:eastAsia="仿宋_GB2312"/>
        <w:lang w:val="en-US" w:eastAsia="zh-CN"/>
      </w:rPr>
      <w:t>浙江勋达工程咨询有限公司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D9F3">
    <w:pPr>
      <w:pStyle w:val="31"/>
      <w:framePr w:wrap="around" w:vAnchor="text" w:hAnchor="margin" w:xAlign="right" w:y="1"/>
      <w:rPr>
        <w:rStyle w:val="64"/>
      </w:rPr>
    </w:pPr>
    <w:r>
      <w:fldChar w:fldCharType="begin"/>
    </w:r>
    <w:r>
      <w:rPr>
        <w:rStyle w:val="64"/>
      </w:rPr>
      <w:instrText xml:space="preserve">PAGE  </w:instrText>
    </w:r>
    <w:r>
      <w:fldChar w:fldCharType="separate"/>
    </w:r>
    <w:r>
      <w:rPr>
        <w:rStyle w:val="64"/>
      </w:rPr>
      <w:t>26</w:t>
    </w:r>
    <w:r>
      <w:fldChar w:fldCharType="end"/>
    </w:r>
  </w:p>
  <w:p w14:paraId="3F27B1B7">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1714">
    <w:pPr>
      <w:pStyle w:val="32"/>
      <w:jc w:val="both"/>
      <w:rPr>
        <w:rStyle w:val="64"/>
        <w:kern w:val="0"/>
        <w:szCs w:val="18"/>
      </w:rPr>
    </w:pPr>
    <w:r>
      <w:rPr>
        <w:rStyle w:val="64"/>
        <w:rFonts w:hint="eastAsia"/>
        <w:kern w:val="0"/>
        <w:szCs w:val="18"/>
        <w:lang w:eastAsia="zh-CN"/>
      </w:rPr>
      <w:t>浙江省南湖监狱安防设施维保项目（2025）</w:t>
    </w:r>
    <w:r>
      <w:rPr>
        <w:rStyle w:val="64"/>
        <w:rFonts w:hint="eastAsia"/>
        <w:kern w:val="0"/>
        <w:szCs w:val="18"/>
      </w:rPr>
      <w:t xml:space="preserve">                             </w:t>
    </w:r>
    <w:r>
      <w:rPr>
        <w:rStyle w:val="64"/>
        <w:rFonts w:hint="eastAsia"/>
        <w:kern w:val="0"/>
        <w:szCs w:val="18"/>
        <w:lang w:val="en-US" w:eastAsia="zh-CN"/>
      </w:rPr>
      <w:t xml:space="preserve">            </w:t>
    </w:r>
    <w:r>
      <w:rPr>
        <w:rStyle w:val="64"/>
        <w:rFonts w:hint="eastAsia"/>
        <w:kern w:val="0"/>
        <w:szCs w:val="18"/>
      </w:rPr>
      <w:t xml:space="preserve">     第 </w:t>
    </w:r>
    <w:r>
      <w:rPr>
        <w:kern w:val="0"/>
        <w:szCs w:val="18"/>
      </w:rPr>
      <w:fldChar w:fldCharType="begin"/>
    </w:r>
    <w:r>
      <w:rPr>
        <w:rStyle w:val="64"/>
        <w:kern w:val="0"/>
        <w:szCs w:val="18"/>
      </w:rPr>
      <w:instrText xml:space="preserve"> PAGE </w:instrText>
    </w:r>
    <w:r>
      <w:rPr>
        <w:kern w:val="0"/>
        <w:szCs w:val="18"/>
      </w:rPr>
      <w:fldChar w:fldCharType="separate"/>
    </w:r>
    <w:r>
      <w:rPr>
        <w:rStyle w:val="64"/>
        <w:kern w:val="0"/>
        <w:szCs w:val="18"/>
      </w:rPr>
      <w:t>59</w:t>
    </w:r>
    <w:r>
      <w:rPr>
        <w:kern w:val="0"/>
        <w:szCs w:val="18"/>
      </w:rPr>
      <w:fldChar w:fldCharType="end"/>
    </w:r>
    <w:r>
      <w:rPr>
        <w:rStyle w:val="64"/>
        <w:rFonts w:hint="eastAsia"/>
        <w:kern w:val="0"/>
        <w:szCs w:val="18"/>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7D097"/>
    <w:multiLevelType w:val="multilevel"/>
    <w:tmpl w:val="ACD7D097"/>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
    <w:nsid w:val="CAB12AC1"/>
    <w:multiLevelType w:val="multilevel"/>
    <w:tmpl w:val="CAB12AC1"/>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
    <w:nsid w:val="E60FE7D3"/>
    <w:multiLevelType w:val="multilevel"/>
    <w:tmpl w:val="E60FE7D3"/>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3">
    <w:nsid w:val="00000001"/>
    <w:multiLevelType w:val="multilevel"/>
    <w:tmpl w:val="00000001"/>
    <w:lvl w:ilvl="0" w:tentative="0">
      <w:start w:val="1"/>
      <w:numFmt w:val="japaneseCounting"/>
      <w:pStyle w:val="103"/>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4">
    <w:nsid w:val="00000002"/>
    <w:multiLevelType w:val="multilevel"/>
    <w:tmpl w:val="00000002"/>
    <w:lvl w:ilvl="0" w:tentative="0">
      <w:start w:val="1"/>
      <w:numFmt w:val="bullet"/>
      <w:lvlText w:val="▲"/>
      <w:lvlJc w:val="left"/>
      <w:pPr>
        <w:tabs>
          <w:tab w:val="left" w:pos="360"/>
        </w:tabs>
        <w:ind w:left="360" w:hanging="360"/>
      </w:pPr>
      <w:rPr>
        <w:rFonts w:hint="default" w:ascii="Times New Roman" w:hAnsi="Times New Roman" w:eastAsia="宋体" w:cs="Times New Roman"/>
      </w:rPr>
    </w:lvl>
    <w:lvl w:ilvl="1" w:tentative="0">
      <w:start w:val="1"/>
      <w:numFmt w:val="bullet"/>
      <w:pStyle w:val="15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pStyle w:val="85"/>
      <w:lvlText w:val="%5)"/>
      <w:lvlJc w:val="left"/>
      <w:pPr>
        <w:tabs>
          <w:tab w:val="left" w:pos="2280"/>
        </w:tabs>
        <w:ind w:left="2280" w:hanging="420"/>
      </w:pPr>
    </w:lvl>
    <w:lvl w:ilvl="5" w:tentative="0">
      <w:start w:val="1"/>
      <w:numFmt w:val="lowerRoman"/>
      <w:pStyle w:val="143"/>
      <w:lvlText w:val="%6."/>
      <w:lvlJc w:val="right"/>
      <w:pPr>
        <w:tabs>
          <w:tab w:val="left" w:pos="2700"/>
        </w:tabs>
        <w:ind w:left="2700" w:hanging="420"/>
      </w:pPr>
    </w:lvl>
    <w:lvl w:ilvl="6" w:tentative="0">
      <w:start w:val="1"/>
      <w:numFmt w:val="decimal"/>
      <w:pStyle w:val="114"/>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00000006"/>
    <w:multiLevelType w:val="multilevel"/>
    <w:tmpl w:val="00000006"/>
    <w:lvl w:ilvl="0" w:tentative="0">
      <w:start w:val="1"/>
      <w:numFmt w:val="decimal"/>
      <w:pStyle w:val="41"/>
      <w:lvlText w:val="%1."/>
      <w:lvlJc w:val="left"/>
      <w:pPr>
        <w:tabs>
          <w:tab w:val="left" w:pos="480"/>
        </w:tabs>
        <w:ind w:left="480" w:hanging="480"/>
      </w:pPr>
      <w:rPr>
        <w:rFonts w:hint="eastAsia"/>
      </w:rPr>
    </w:lvl>
    <w:lvl w:ilvl="1" w:tentative="0">
      <w:start w:val="1"/>
      <w:numFmt w:val="decimal"/>
      <w:lvlText w:val="%1.%2."/>
      <w:lvlJc w:val="left"/>
      <w:pPr>
        <w:tabs>
          <w:tab w:val="left" w:pos="720"/>
        </w:tabs>
        <w:ind w:left="720" w:hanging="7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48"/>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7">
    <w:nsid w:val="00000007"/>
    <w:multiLevelType w:val="multilevel"/>
    <w:tmpl w:val="00000007"/>
    <w:lvl w:ilvl="0" w:tentative="0">
      <w:start w:val="1"/>
      <w:numFmt w:val="lowerLetter"/>
      <w:pStyle w:val="153"/>
      <w:lvlText w:val="%1)"/>
      <w:lvlJc w:val="left"/>
      <w:pPr>
        <w:tabs>
          <w:tab w:val="left" w:pos="900"/>
        </w:tabs>
        <w:ind w:left="90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0A"/>
    <w:multiLevelType w:val="multilevel"/>
    <w:tmpl w:val="0000000A"/>
    <w:lvl w:ilvl="0" w:tentative="0">
      <w:start w:val="1"/>
      <w:numFmt w:val="decimal"/>
      <w:pStyle w:val="128"/>
      <w:suff w:val="nothing"/>
      <w:lvlText w:val="%1."/>
      <w:lvlJc w:val="left"/>
      <w:pPr>
        <w:tabs>
          <w:tab w:val="left" w:pos="0"/>
        </w:tabs>
        <w:ind w:left="0" w:firstLine="0"/>
      </w:pPr>
      <w:rPr>
        <w:rFonts w:hint="eastAsia"/>
        <w:b/>
        <w:i w:val="0"/>
        <w:sz w:val="32"/>
        <w:szCs w:val="32"/>
      </w:rPr>
    </w:lvl>
    <w:lvl w:ilvl="1" w:tentative="0">
      <w:start w:val="0"/>
      <w:numFmt w:val="decimal"/>
      <w:pStyle w:val="124"/>
      <w:suff w:val="nothing"/>
      <w:lvlText w:val="%1.%2."/>
      <w:lvlJc w:val="left"/>
      <w:pPr>
        <w:tabs>
          <w:tab w:val="left" w:pos="0"/>
        </w:tabs>
        <w:ind w:left="380" w:hanging="380"/>
      </w:pPr>
      <w:rPr>
        <w:rFonts w:hint="eastAsia"/>
        <w:b/>
        <w:i w:val="0"/>
        <w:sz w:val="28"/>
        <w:szCs w:val="28"/>
      </w:rPr>
    </w:lvl>
    <w:lvl w:ilvl="2" w:tentative="0">
      <w:start w:val="1"/>
      <w:numFmt w:val="decimal"/>
      <w:pStyle w:val="107"/>
      <w:suff w:val="nothing"/>
      <w:lvlText w:val="%1.%2.%3."/>
      <w:lvlJc w:val="left"/>
      <w:pPr>
        <w:tabs>
          <w:tab w:val="left" w:pos="0"/>
        </w:tabs>
        <w:ind w:left="0" w:firstLine="0"/>
      </w:pPr>
      <w:rPr>
        <w:rFonts w:hint="eastAsia"/>
        <w:b/>
        <w:i w:val="0"/>
        <w:sz w:val="24"/>
        <w:szCs w:val="24"/>
      </w:rPr>
    </w:lvl>
    <w:lvl w:ilvl="3" w:tentative="0">
      <w:start w:val="1"/>
      <w:numFmt w:val="decimal"/>
      <w:pStyle w:val="47"/>
      <w:suff w:val="nothing"/>
      <w:lvlText w:val="%1.%2.%3.%4."/>
      <w:lvlJc w:val="left"/>
      <w:pPr>
        <w:tabs>
          <w:tab w:val="left" w:pos="0"/>
        </w:tabs>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9">
    <w:nsid w:val="0000000D"/>
    <w:multiLevelType w:val="multilevel"/>
    <w:tmpl w:val="0000000D"/>
    <w:lvl w:ilvl="0" w:tentative="0">
      <w:start w:val="1"/>
      <w:numFmt w:val="decimal"/>
      <w:pStyle w:val="157"/>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0">
    <w:nsid w:val="00000010"/>
    <w:multiLevelType w:val="multilevel"/>
    <w:tmpl w:val="00000010"/>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173"/>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5"/>
    <w:multiLevelType w:val="multilevel"/>
    <w:tmpl w:val="00000015"/>
    <w:lvl w:ilvl="0" w:tentative="0">
      <w:start w:val="1"/>
      <w:numFmt w:val="decimal"/>
      <w:pStyle w:val="16"/>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0000019"/>
    <w:multiLevelType w:val="singleLevel"/>
    <w:tmpl w:val="00000019"/>
    <w:lvl w:ilvl="0" w:tentative="0">
      <w:start w:val="1"/>
      <w:numFmt w:val="bullet"/>
      <w:pStyle w:val="44"/>
      <w:lvlText w:val=""/>
      <w:lvlJc w:val="left"/>
      <w:pPr>
        <w:tabs>
          <w:tab w:val="left" w:pos="360"/>
        </w:tabs>
        <w:ind w:left="360" w:hanging="360"/>
      </w:pPr>
      <w:rPr>
        <w:rFonts w:hint="default" w:ascii="Wingdings" w:hAnsi="Wingdings"/>
      </w:rPr>
    </w:lvl>
  </w:abstractNum>
  <w:abstractNum w:abstractNumId="13">
    <w:nsid w:val="0000001A"/>
    <w:multiLevelType w:val="multilevel"/>
    <w:tmpl w:val="0000001A"/>
    <w:lvl w:ilvl="0" w:tentative="0">
      <w:start w:val="1"/>
      <w:numFmt w:val="decimal"/>
      <w:lvlText w:val="%1、"/>
      <w:lvlJc w:val="left"/>
      <w:pPr>
        <w:tabs>
          <w:tab w:val="left" w:pos="360"/>
        </w:tabs>
        <w:ind w:left="360" w:hanging="360"/>
      </w:pPr>
      <w:rPr>
        <w:rFonts w:hint="eastAsia"/>
      </w:rPr>
    </w:lvl>
    <w:lvl w:ilvl="1" w:tentative="0">
      <w:start w:val="1"/>
      <w:numFmt w:val="lowerLetter"/>
      <w:pStyle w:val="1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F"/>
    <w:multiLevelType w:val="multilevel"/>
    <w:tmpl w:val="0000001F"/>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5">
    <w:nsid w:val="00000023"/>
    <w:multiLevelType w:val="multilevel"/>
    <w:tmpl w:val="00000023"/>
    <w:lvl w:ilvl="0" w:tentative="0">
      <w:start w:val="1"/>
      <w:numFmt w:val="decimal"/>
      <w:pStyle w:val="88"/>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6"/>
    <w:multiLevelType w:val="multilevel"/>
    <w:tmpl w:val="00000026"/>
    <w:lvl w:ilvl="0" w:tentative="0">
      <w:start w:val="0"/>
      <w:numFmt w:val="bullet"/>
      <w:pStyle w:val="176"/>
      <w:lvlText w:val="▲"/>
      <w:lvlJc w:val="left"/>
      <w:pPr>
        <w:tabs>
          <w:tab w:val="left" w:pos="360"/>
        </w:tabs>
        <w:ind w:left="360" w:hanging="360"/>
      </w:pPr>
      <w:rPr>
        <w:rFonts w:hint="default" w:ascii="Times New Roman" w:hAnsi="Times New Roman"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46"/>
      <w:lvlText w:val=""/>
      <w:lvlJc w:val="left"/>
      <w:pPr>
        <w:tabs>
          <w:tab w:val="left" w:pos="1260"/>
        </w:tabs>
        <w:ind w:left="1260" w:hanging="420"/>
      </w:pPr>
      <w:rPr>
        <w:rFonts w:hint="default" w:ascii="Wingdings" w:hAnsi="Wingdings"/>
      </w:rPr>
    </w:lvl>
    <w:lvl w:ilvl="3" w:tentative="0">
      <w:start w:val="1"/>
      <w:numFmt w:val="bullet"/>
      <w:pStyle w:val="51"/>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946F2DB"/>
    <w:multiLevelType w:val="multilevel"/>
    <w:tmpl w:val="0946F2DB"/>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8">
    <w:nsid w:val="10B6F475"/>
    <w:multiLevelType w:val="singleLevel"/>
    <w:tmpl w:val="10B6F475"/>
    <w:lvl w:ilvl="0" w:tentative="0">
      <w:start w:val="1"/>
      <w:numFmt w:val="decimal"/>
      <w:suff w:val="nothing"/>
      <w:lvlText w:val="%1、"/>
      <w:lvlJc w:val="left"/>
    </w:lvl>
  </w:abstractNum>
  <w:abstractNum w:abstractNumId="19">
    <w:nsid w:val="2229415D"/>
    <w:multiLevelType w:val="multilevel"/>
    <w:tmpl w:val="2229415D"/>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0">
    <w:nsid w:val="2726651E"/>
    <w:multiLevelType w:val="singleLevel"/>
    <w:tmpl w:val="2726651E"/>
    <w:lvl w:ilvl="0" w:tentative="0">
      <w:start w:val="1"/>
      <w:numFmt w:val="chineseCounting"/>
      <w:suff w:val="nothing"/>
      <w:lvlText w:val="（%1）"/>
      <w:lvlJc w:val="left"/>
      <w:rPr>
        <w:rFonts w:hint="eastAsia"/>
      </w:rPr>
    </w:lvl>
  </w:abstractNum>
  <w:abstractNum w:abstractNumId="21">
    <w:nsid w:val="29671BF8"/>
    <w:multiLevelType w:val="multilevel"/>
    <w:tmpl w:val="29671BF8"/>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CC2E4B4"/>
    <w:multiLevelType w:val="singleLevel"/>
    <w:tmpl w:val="2CC2E4B4"/>
    <w:lvl w:ilvl="0" w:tentative="0">
      <w:start w:val="1"/>
      <w:numFmt w:val="decimal"/>
      <w:suff w:val="space"/>
      <w:lvlText w:val="%1."/>
      <w:lvlJc w:val="left"/>
    </w:lvl>
  </w:abstractNum>
  <w:abstractNum w:abstractNumId="23">
    <w:nsid w:val="32274AAE"/>
    <w:multiLevelType w:val="multilevel"/>
    <w:tmpl w:val="32274AAE"/>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4">
    <w:nsid w:val="50374994"/>
    <w:multiLevelType w:val="multilevel"/>
    <w:tmpl w:val="50374994"/>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5">
    <w:nsid w:val="63243B7C"/>
    <w:multiLevelType w:val="singleLevel"/>
    <w:tmpl w:val="63243B7C"/>
    <w:lvl w:ilvl="0" w:tentative="0">
      <w:start w:val="7"/>
      <w:numFmt w:val="chineseCounting"/>
      <w:suff w:val="nothing"/>
      <w:lvlText w:val="第%1章、"/>
      <w:lvlJc w:val="left"/>
      <w:rPr>
        <w:rFonts w:hint="eastAsia"/>
      </w:rPr>
    </w:lvl>
  </w:abstractNum>
  <w:abstractNum w:abstractNumId="26">
    <w:nsid w:val="76340BEF"/>
    <w:multiLevelType w:val="multilevel"/>
    <w:tmpl w:val="76340BEF"/>
    <w:lvl w:ilvl="0" w:tentative="0">
      <w:start w:val="1"/>
      <w:numFmt w:val="chineseCountingThousand"/>
      <w:lvlText w:val="%1. "/>
      <w:lvlJc w:val="left"/>
      <w:pPr>
        <w:tabs>
          <w:tab w:val="left" w:pos="0"/>
        </w:tabs>
        <w:ind w:left="0" w:firstLine="0"/>
      </w:pPr>
      <w:rPr>
        <w:sz w:val="32"/>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9"/>
      <w:suff w:val="nothing"/>
      <w:lvlText w:val=""/>
      <w:lvlJc w:val="left"/>
      <w:pPr>
        <w:tabs>
          <w:tab w:val="left" w:pos="0"/>
        </w:tabs>
        <w:ind w:left="0" w:firstLine="0"/>
      </w:pPr>
    </w:lvl>
    <w:lvl w:ilvl="7" w:tentative="0">
      <w:start w:val="1"/>
      <w:numFmt w:val="none"/>
      <w:pStyle w:val="10"/>
      <w:suff w:val="nothing"/>
      <w:lvlText w:val=""/>
      <w:lvlJc w:val="left"/>
      <w:pPr>
        <w:tabs>
          <w:tab w:val="left" w:pos="0"/>
        </w:tabs>
        <w:ind w:left="0" w:firstLine="0"/>
      </w:pPr>
    </w:lvl>
    <w:lvl w:ilvl="8" w:tentative="0">
      <w:start w:val="1"/>
      <w:numFmt w:val="none"/>
      <w:pStyle w:val="11"/>
      <w:suff w:val="nothing"/>
      <w:lvlText w:val=""/>
      <w:lvlJc w:val="left"/>
      <w:pPr>
        <w:tabs>
          <w:tab w:val="left" w:pos="0"/>
        </w:tabs>
        <w:ind w:left="0" w:firstLine="0"/>
      </w:pPr>
    </w:lvl>
  </w:abstractNum>
  <w:num w:numId="1">
    <w:abstractNumId w:val="26"/>
  </w:num>
  <w:num w:numId="2">
    <w:abstractNumId w:val="5"/>
  </w:num>
  <w:num w:numId="3">
    <w:abstractNumId w:val="11"/>
  </w:num>
  <w:num w:numId="4">
    <w:abstractNumId w:val="6"/>
  </w:num>
  <w:num w:numId="5">
    <w:abstractNumId w:val="12"/>
  </w:num>
  <w:num w:numId="6">
    <w:abstractNumId w:val="16"/>
  </w:num>
  <w:num w:numId="7">
    <w:abstractNumId w:val="8"/>
  </w:num>
  <w:num w:numId="8">
    <w:abstractNumId w:val="15"/>
  </w:num>
  <w:num w:numId="9">
    <w:abstractNumId w:val="3"/>
  </w:num>
  <w:num w:numId="10">
    <w:abstractNumId w:val="13"/>
  </w:num>
  <w:num w:numId="11">
    <w:abstractNumId w:val="7"/>
  </w:num>
  <w:num w:numId="12">
    <w:abstractNumId w:val="4"/>
  </w:num>
  <w:num w:numId="13">
    <w:abstractNumId w:val="9"/>
  </w:num>
  <w:num w:numId="14">
    <w:abstractNumId w:val="10"/>
  </w:num>
  <w:num w:numId="15">
    <w:abstractNumId w:val="21"/>
  </w:num>
  <w:num w:numId="16">
    <w:abstractNumId w:val="18"/>
  </w:num>
  <w:num w:numId="17">
    <w:abstractNumId w:val="14"/>
  </w:num>
  <w:num w:numId="18">
    <w:abstractNumId w:val="24"/>
  </w:num>
  <w:num w:numId="19">
    <w:abstractNumId w:val="0"/>
  </w:num>
  <w:num w:numId="20">
    <w:abstractNumId w:val="2"/>
  </w:num>
  <w:num w:numId="21">
    <w:abstractNumId w:val="20"/>
  </w:num>
  <w:num w:numId="22">
    <w:abstractNumId w:val="17"/>
  </w:num>
  <w:num w:numId="23">
    <w:abstractNumId w:val="1"/>
  </w:num>
  <w:num w:numId="24">
    <w:abstractNumId w:val="19"/>
  </w:num>
  <w:num w:numId="25">
    <w:abstractNumId w:val="23"/>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DM0ZjIxN2JjZDg4ZmE2OWY4MjU2MGI0Yjg5OTAifQ=="/>
  </w:docVars>
  <w:rsids>
    <w:rsidRoot w:val="00172A27"/>
    <w:rsid w:val="00025F30"/>
    <w:rsid w:val="000306C0"/>
    <w:rsid w:val="000366AD"/>
    <w:rsid w:val="00037A77"/>
    <w:rsid w:val="000550FE"/>
    <w:rsid w:val="00063757"/>
    <w:rsid w:val="00063D40"/>
    <w:rsid w:val="00074DB3"/>
    <w:rsid w:val="0007519F"/>
    <w:rsid w:val="00082766"/>
    <w:rsid w:val="000A13A1"/>
    <w:rsid w:val="000A5897"/>
    <w:rsid w:val="000B3227"/>
    <w:rsid w:val="000D0170"/>
    <w:rsid w:val="000D0936"/>
    <w:rsid w:val="000D1393"/>
    <w:rsid w:val="000D2CF9"/>
    <w:rsid w:val="000D7CA1"/>
    <w:rsid w:val="000F375B"/>
    <w:rsid w:val="0011070D"/>
    <w:rsid w:val="00127619"/>
    <w:rsid w:val="00135F7F"/>
    <w:rsid w:val="00142557"/>
    <w:rsid w:val="00142FB4"/>
    <w:rsid w:val="001502DB"/>
    <w:rsid w:val="00155BEE"/>
    <w:rsid w:val="00157C9B"/>
    <w:rsid w:val="00166D53"/>
    <w:rsid w:val="00172A27"/>
    <w:rsid w:val="001817DD"/>
    <w:rsid w:val="00185EA5"/>
    <w:rsid w:val="0019077E"/>
    <w:rsid w:val="00195755"/>
    <w:rsid w:val="00197ADA"/>
    <w:rsid w:val="001B38B0"/>
    <w:rsid w:val="001B424A"/>
    <w:rsid w:val="001C28A8"/>
    <w:rsid w:val="001C47B3"/>
    <w:rsid w:val="001C580A"/>
    <w:rsid w:val="001C6794"/>
    <w:rsid w:val="001D3F0C"/>
    <w:rsid w:val="001E3AA1"/>
    <w:rsid w:val="001E4D9C"/>
    <w:rsid w:val="0020342A"/>
    <w:rsid w:val="00204D90"/>
    <w:rsid w:val="00211F64"/>
    <w:rsid w:val="0021460F"/>
    <w:rsid w:val="002370D3"/>
    <w:rsid w:val="002607B0"/>
    <w:rsid w:val="00270940"/>
    <w:rsid w:val="00272228"/>
    <w:rsid w:val="0028138E"/>
    <w:rsid w:val="002902E7"/>
    <w:rsid w:val="002919FE"/>
    <w:rsid w:val="002B648F"/>
    <w:rsid w:val="002E39B7"/>
    <w:rsid w:val="002E7D3A"/>
    <w:rsid w:val="002F2892"/>
    <w:rsid w:val="00304565"/>
    <w:rsid w:val="00317428"/>
    <w:rsid w:val="003202D5"/>
    <w:rsid w:val="00336A96"/>
    <w:rsid w:val="00341500"/>
    <w:rsid w:val="003479DC"/>
    <w:rsid w:val="00352C46"/>
    <w:rsid w:val="00354630"/>
    <w:rsid w:val="00355175"/>
    <w:rsid w:val="00371826"/>
    <w:rsid w:val="003A308B"/>
    <w:rsid w:val="003A7C9C"/>
    <w:rsid w:val="003B3C25"/>
    <w:rsid w:val="003B5655"/>
    <w:rsid w:val="003B5758"/>
    <w:rsid w:val="003C06E2"/>
    <w:rsid w:val="003D2E0E"/>
    <w:rsid w:val="003D3368"/>
    <w:rsid w:val="003D7961"/>
    <w:rsid w:val="003E0B55"/>
    <w:rsid w:val="003E1B7A"/>
    <w:rsid w:val="003E2B63"/>
    <w:rsid w:val="003F3698"/>
    <w:rsid w:val="004125E2"/>
    <w:rsid w:val="00420FE3"/>
    <w:rsid w:val="00437421"/>
    <w:rsid w:val="00447833"/>
    <w:rsid w:val="004506A0"/>
    <w:rsid w:val="0045306F"/>
    <w:rsid w:val="00462814"/>
    <w:rsid w:val="00466C09"/>
    <w:rsid w:val="00477751"/>
    <w:rsid w:val="00483981"/>
    <w:rsid w:val="0049252B"/>
    <w:rsid w:val="0049761C"/>
    <w:rsid w:val="004B2AB7"/>
    <w:rsid w:val="004E329E"/>
    <w:rsid w:val="004E5ACE"/>
    <w:rsid w:val="004F272E"/>
    <w:rsid w:val="0051085D"/>
    <w:rsid w:val="005145B8"/>
    <w:rsid w:val="00515C8B"/>
    <w:rsid w:val="00520BAA"/>
    <w:rsid w:val="005466D7"/>
    <w:rsid w:val="00546B3C"/>
    <w:rsid w:val="00570018"/>
    <w:rsid w:val="00575B22"/>
    <w:rsid w:val="00577A03"/>
    <w:rsid w:val="00587ACF"/>
    <w:rsid w:val="00592308"/>
    <w:rsid w:val="0059487E"/>
    <w:rsid w:val="00596619"/>
    <w:rsid w:val="00597ADE"/>
    <w:rsid w:val="005B4CA4"/>
    <w:rsid w:val="005B694E"/>
    <w:rsid w:val="005C21F0"/>
    <w:rsid w:val="005C4BF6"/>
    <w:rsid w:val="005D0D6F"/>
    <w:rsid w:val="005D3ABD"/>
    <w:rsid w:val="005D7400"/>
    <w:rsid w:val="005D7CFB"/>
    <w:rsid w:val="005E2839"/>
    <w:rsid w:val="005F362C"/>
    <w:rsid w:val="005F5A4D"/>
    <w:rsid w:val="005F693A"/>
    <w:rsid w:val="00605F47"/>
    <w:rsid w:val="00614972"/>
    <w:rsid w:val="006261C8"/>
    <w:rsid w:val="00637D45"/>
    <w:rsid w:val="00641A5F"/>
    <w:rsid w:val="00650906"/>
    <w:rsid w:val="00655865"/>
    <w:rsid w:val="00663B2C"/>
    <w:rsid w:val="006727E9"/>
    <w:rsid w:val="00684E31"/>
    <w:rsid w:val="00687342"/>
    <w:rsid w:val="00694993"/>
    <w:rsid w:val="006976DC"/>
    <w:rsid w:val="006B0C80"/>
    <w:rsid w:val="006B41C9"/>
    <w:rsid w:val="006C4C71"/>
    <w:rsid w:val="006D2380"/>
    <w:rsid w:val="006D77E8"/>
    <w:rsid w:val="006D7C31"/>
    <w:rsid w:val="006F653C"/>
    <w:rsid w:val="00703482"/>
    <w:rsid w:val="00703BDD"/>
    <w:rsid w:val="00703FB4"/>
    <w:rsid w:val="007047B5"/>
    <w:rsid w:val="007129E8"/>
    <w:rsid w:val="00720B7F"/>
    <w:rsid w:val="00722DD6"/>
    <w:rsid w:val="007619DF"/>
    <w:rsid w:val="0076608D"/>
    <w:rsid w:val="00766814"/>
    <w:rsid w:val="00773B7E"/>
    <w:rsid w:val="007854C1"/>
    <w:rsid w:val="00785AA5"/>
    <w:rsid w:val="0079746B"/>
    <w:rsid w:val="007A2E03"/>
    <w:rsid w:val="007A415A"/>
    <w:rsid w:val="007B0AC7"/>
    <w:rsid w:val="007B704C"/>
    <w:rsid w:val="007C1618"/>
    <w:rsid w:val="007C3DCE"/>
    <w:rsid w:val="007C63F6"/>
    <w:rsid w:val="008014BF"/>
    <w:rsid w:val="00801DD2"/>
    <w:rsid w:val="008304FC"/>
    <w:rsid w:val="008443D4"/>
    <w:rsid w:val="00851376"/>
    <w:rsid w:val="0086150D"/>
    <w:rsid w:val="00866F3B"/>
    <w:rsid w:val="00890365"/>
    <w:rsid w:val="00894F9C"/>
    <w:rsid w:val="008B3450"/>
    <w:rsid w:val="008B5DA0"/>
    <w:rsid w:val="008C180C"/>
    <w:rsid w:val="008C6B6D"/>
    <w:rsid w:val="008D5172"/>
    <w:rsid w:val="008D6A2A"/>
    <w:rsid w:val="008E5B96"/>
    <w:rsid w:val="008E61C5"/>
    <w:rsid w:val="00905D07"/>
    <w:rsid w:val="0092013D"/>
    <w:rsid w:val="009237D9"/>
    <w:rsid w:val="009335D7"/>
    <w:rsid w:val="00940E0C"/>
    <w:rsid w:val="00943032"/>
    <w:rsid w:val="00947489"/>
    <w:rsid w:val="00951081"/>
    <w:rsid w:val="00954D1E"/>
    <w:rsid w:val="00956D13"/>
    <w:rsid w:val="00957020"/>
    <w:rsid w:val="009637A7"/>
    <w:rsid w:val="00981DD0"/>
    <w:rsid w:val="00986B77"/>
    <w:rsid w:val="0099431E"/>
    <w:rsid w:val="00995D64"/>
    <w:rsid w:val="009A226E"/>
    <w:rsid w:val="009A6841"/>
    <w:rsid w:val="009B52E4"/>
    <w:rsid w:val="009F3857"/>
    <w:rsid w:val="009F4D8C"/>
    <w:rsid w:val="00A00E6B"/>
    <w:rsid w:val="00A01450"/>
    <w:rsid w:val="00A050DD"/>
    <w:rsid w:val="00A14296"/>
    <w:rsid w:val="00A221D1"/>
    <w:rsid w:val="00A30423"/>
    <w:rsid w:val="00A36AA2"/>
    <w:rsid w:val="00A447D6"/>
    <w:rsid w:val="00A55C6B"/>
    <w:rsid w:val="00A5621E"/>
    <w:rsid w:val="00A5639B"/>
    <w:rsid w:val="00A718B2"/>
    <w:rsid w:val="00A755A9"/>
    <w:rsid w:val="00AC3CFE"/>
    <w:rsid w:val="00AD0DBC"/>
    <w:rsid w:val="00AD64DF"/>
    <w:rsid w:val="00AD70A2"/>
    <w:rsid w:val="00AD7D59"/>
    <w:rsid w:val="00AF2109"/>
    <w:rsid w:val="00AF4286"/>
    <w:rsid w:val="00AF74BF"/>
    <w:rsid w:val="00B00CB8"/>
    <w:rsid w:val="00B108FA"/>
    <w:rsid w:val="00B130E4"/>
    <w:rsid w:val="00B13511"/>
    <w:rsid w:val="00B2002F"/>
    <w:rsid w:val="00B23555"/>
    <w:rsid w:val="00B27F26"/>
    <w:rsid w:val="00B6688A"/>
    <w:rsid w:val="00B676F2"/>
    <w:rsid w:val="00B72B8F"/>
    <w:rsid w:val="00B75504"/>
    <w:rsid w:val="00B903BF"/>
    <w:rsid w:val="00BA7D3B"/>
    <w:rsid w:val="00BC2420"/>
    <w:rsid w:val="00BD030C"/>
    <w:rsid w:val="00BD0F15"/>
    <w:rsid w:val="00BD64ED"/>
    <w:rsid w:val="00BE231E"/>
    <w:rsid w:val="00BE5D7B"/>
    <w:rsid w:val="00BE67B5"/>
    <w:rsid w:val="00BE6A93"/>
    <w:rsid w:val="00BF1816"/>
    <w:rsid w:val="00C11CE7"/>
    <w:rsid w:val="00C1563D"/>
    <w:rsid w:val="00C15DAB"/>
    <w:rsid w:val="00C45CE5"/>
    <w:rsid w:val="00C62923"/>
    <w:rsid w:val="00C6581A"/>
    <w:rsid w:val="00C764E4"/>
    <w:rsid w:val="00C83F63"/>
    <w:rsid w:val="00C86DBC"/>
    <w:rsid w:val="00C969CB"/>
    <w:rsid w:val="00C97F7F"/>
    <w:rsid w:val="00CD30E7"/>
    <w:rsid w:val="00CD41C3"/>
    <w:rsid w:val="00CD62D9"/>
    <w:rsid w:val="00CE26D1"/>
    <w:rsid w:val="00CE399A"/>
    <w:rsid w:val="00CE3B90"/>
    <w:rsid w:val="00CE6D2F"/>
    <w:rsid w:val="00CE71D6"/>
    <w:rsid w:val="00CF0751"/>
    <w:rsid w:val="00CF0E11"/>
    <w:rsid w:val="00CF7187"/>
    <w:rsid w:val="00D0281C"/>
    <w:rsid w:val="00D0307A"/>
    <w:rsid w:val="00D05698"/>
    <w:rsid w:val="00D05A40"/>
    <w:rsid w:val="00D06617"/>
    <w:rsid w:val="00D06D1B"/>
    <w:rsid w:val="00D178D9"/>
    <w:rsid w:val="00D31961"/>
    <w:rsid w:val="00D41F14"/>
    <w:rsid w:val="00D57BE3"/>
    <w:rsid w:val="00D640CD"/>
    <w:rsid w:val="00D70D16"/>
    <w:rsid w:val="00DB21A9"/>
    <w:rsid w:val="00DC0C85"/>
    <w:rsid w:val="00DE4227"/>
    <w:rsid w:val="00DE5212"/>
    <w:rsid w:val="00DE7B2E"/>
    <w:rsid w:val="00E0544B"/>
    <w:rsid w:val="00E118A1"/>
    <w:rsid w:val="00E205FC"/>
    <w:rsid w:val="00E27099"/>
    <w:rsid w:val="00E33E5C"/>
    <w:rsid w:val="00E34CC1"/>
    <w:rsid w:val="00E47820"/>
    <w:rsid w:val="00E51D62"/>
    <w:rsid w:val="00E624D2"/>
    <w:rsid w:val="00E641AC"/>
    <w:rsid w:val="00E82E6F"/>
    <w:rsid w:val="00E83A21"/>
    <w:rsid w:val="00E86F29"/>
    <w:rsid w:val="00E877B6"/>
    <w:rsid w:val="00EA77B0"/>
    <w:rsid w:val="00EC407D"/>
    <w:rsid w:val="00EC4C38"/>
    <w:rsid w:val="00ED773E"/>
    <w:rsid w:val="00EE2658"/>
    <w:rsid w:val="00EE3532"/>
    <w:rsid w:val="00EF3E60"/>
    <w:rsid w:val="00F10554"/>
    <w:rsid w:val="00F120FE"/>
    <w:rsid w:val="00F15922"/>
    <w:rsid w:val="00F23979"/>
    <w:rsid w:val="00F4511F"/>
    <w:rsid w:val="00F4527A"/>
    <w:rsid w:val="00F45952"/>
    <w:rsid w:val="00F91EF3"/>
    <w:rsid w:val="00F96936"/>
    <w:rsid w:val="00F96E45"/>
    <w:rsid w:val="00F97181"/>
    <w:rsid w:val="00FA22C5"/>
    <w:rsid w:val="00FB041C"/>
    <w:rsid w:val="00FC5D92"/>
    <w:rsid w:val="00FD0D5C"/>
    <w:rsid w:val="00FD42F9"/>
    <w:rsid w:val="00FD57AA"/>
    <w:rsid w:val="00FD7483"/>
    <w:rsid w:val="00FE0125"/>
    <w:rsid w:val="00FE3C1D"/>
    <w:rsid w:val="00FF222C"/>
    <w:rsid w:val="011577F0"/>
    <w:rsid w:val="018B50A1"/>
    <w:rsid w:val="02B77807"/>
    <w:rsid w:val="03330665"/>
    <w:rsid w:val="03D32B47"/>
    <w:rsid w:val="04320F73"/>
    <w:rsid w:val="045E752A"/>
    <w:rsid w:val="04A91437"/>
    <w:rsid w:val="054E4CF2"/>
    <w:rsid w:val="05A70AA8"/>
    <w:rsid w:val="060D7C10"/>
    <w:rsid w:val="0661254F"/>
    <w:rsid w:val="06991F52"/>
    <w:rsid w:val="07835D07"/>
    <w:rsid w:val="079F319E"/>
    <w:rsid w:val="07E37A3A"/>
    <w:rsid w:val="08543BE0"/>
    <w:rsid w:val="08D665CF"/>
    <w:rsid w:val="09272D99"/>
    <w:rsid w:val="09595A5E"/>
    <w:rsid w:val="09F7083F"/>
    <w:rsid w:val="0A181C42"/>
    <w:rsid w:val="0A375B68"/>
    <w:rsid w:val="0B250C24"/>
    <w:rsid w:val="0BD82180"/>
    <w:rsid w:val="0C007023"/>
    <w:rsid w:val="0C982F87"/>
    <w:rsid w:val="0C9C5202"/>
    <w:rsid w:val="0CD97F5C"/>
    <w:rsid w:val="0D233BFF"/>
    <w:rsid w:val="0E10622A"/>
    <w:rsid w:val="0E922C1D"/>
    <w:rsid w:val="0EA1431B"/>
    <w:rsid w:val="0EA762AF"/>
    <w:rsid w:val="0EE30F3A"/>
    <w:rsid w:val="0EFB51A5"/>
    <w:rsid w:val="0F460243"/>
    <w:rsid w:val="0F9622DB"/>
    <w:rsid w:val="0FFA11D4"/>
    <w:rsid w:val="10154AAA"/>
    <w:rsid w:val="10B16210"/>
    <w:rsid w:val="10BD06DF"/>
    <w:rsid w:val="10F01CEC"/>
    <w:rsid w:val="11510F99"/>
    <w:rsid w:val="1163561F"/>
    <w:rsid w:val="11AA2A9F"/>
    <w:rsid w:val="128F6177"/>
    <w:rsid w:val="13D379D3"/>
    <w:rsid w:val="14284FCE"/>
    <w:rsid w:val="14D42DB1"/>
    <w:rsid w:val="16770D2F"/>
    <w:rsid w:val="16E67F86"/>
    <w:rsid w:val="172A2826"/>
    <w:rsid w:val="17BD06C5"/>
    <w:rsid w:val="18733D94"/>
    <w:rsid w:val="19A40EDC"/>
    <w:rsid w:val="1A4E648D"/>
    <w:rsid w:val="1A6639B4"/>
    <w:rsid w:val="1B456003"/>
    <w:rsid w:val="1B6A330D"/>
    <w:rsid w:val="1C330414"/>
    <w:rsid w:val="1C356769"/>
    <w:rsid w:val="1C3C3C55"/>
    <w:rsid w:val="1CB344EE"/>
    <w:rsid w:val="1CC6300B"/>
    <w:rsid w:val="1D0847AA"/>
    <w:rsid w:val="1D0A6375"/>
    <w:rsid w:val="1DF73F32"/>
    <w:rsid w:val="1E18436E"/>
    <w:rsid w:val="1E462387"/>
    <w:rsid w:val="1E80443F"/>
    <w:rsid w:val="1E9F1A2C"/>
    <w:rsid w:val="1F2C1838"/>
    <w:rsid w:val="1FE853C7"/>
    <w:rsid w:val="1FEA3B24"/>
    <w:rsid w:val="203E1074"/>
    <w:rsid w:val="204964AC"/>
    <w:rsid w:val="212C2DB5"/>
    <w:rsid w:val="212E7EEB"/>
    <w:rsid w:val="21B662BF"/>
    <w:rsid w:val="21BB2E9A"/>
    <w:rsid w:val="21DC3EF7"/>
    <w:rsid w:val="22B37213"/>
    <w:rsid w:val="22C209EA"/>
    <w:rsid w:val="2391178A"/>
    <w:rsid w:val="23AE22F5"/>
    <w:rsid w:val="240E0768"/>
    <w:rsid w:val="24737546"/>
    <w:rsid w:val="24B142B0"/>
    <w:rsid w:val="24D844C7"/>
    <w:rsid w:val="25202022"/>
    <w:rsid w:val="259B23D4"/>
    <w:rsid w:val="2680240B"/>
    <w:rsid w:val="27061DFC"/>
    <w:rsid w:val="2769096E"/>
    <w:rsid w:val="288C77E7"/>
    <w:rsid w:val="28D177B8"/>
    <w:rsid w:val="28E367D5"/>
    <w:rsid w:val="291730EC"/>
    <w:rsid w:val="297B1C09"/>
    <w:rsid w:val="29E7224E"/>
    <w:rsid w:val="29F73A25"/>
    <w:rsid w:val="2A4B7CC0"/>
    <w:rsid w:val="2A700188"/>
    <w:rsid w:val="2AB0153D"/>
    <w:rsid w:val="2B024D8D"/>
    <w:rsid w:val="2C283071"/>
    <w:rsid w:val="2CA016C9"/>
    <w:rsid w:val="2D5D4886"/>
    <w:rsid w:val="2D6E20B5"/>
    <w:rsid w:val="2E1B2E93"/>
    <w:rsid w:val="2EBC58E3"/>
    <w:rsid w:val="2EEE7422"/>
    <w:rsid w:val="2F6A445A"/>
    <w:rsid w:val="2F837BED"/>
    <w:rsid w:val="2FA61486"/>
    <w:rsid w:val="2FBD1D25"/>
    <w:rsid w:val="303C6A98"/>
    <w:rsid w:val="30580CF5"/>
    <w:rsid w:val="30DC6445"/>
    <w:rsid w:val="312F1563"/>
    <w:rsid w:val="31776285"/>
    <w:rsid w:val="31806608"/>
    <w:rsid w:val="318D1A91"/>
    <w:rsid w:val="31AF6924"/>
    <w:rsid w:val="31D94E47"/>
    <w:rsid w:val="3284088A"/>
    <w:rsid w:val="33802572"/>
    <w:rsid w:val="33AA3FE4"/>
    <w:rsid w:val="341F3F7C"/>
    <w:rsid w:val="343E27CB"/>
    <w:rsid w:val="34D675C6"/>
    <w:rsid w:val="352722E5"/>
    <w:rsid w:val="354103E8"/>
    <w:rsid w:val="35A1178A"/>
    <w:rsid w:val="35C9566F"/>
    <w:rsid w:val="36211CB5"/>
    <w:rsid w:val="363E1D9F"/>
    <w:rsid w:val="36484DD0"/>
    <w:rsid w:val="365411BE"/>
    <w:rsid w:val="36973F3B"/>
    <w:rsid w:val="370139B1"/>
    <w:rsid w:val="37465ADE"/>
    <w:rsid w:val="375F185A"/>
    <w:rsid w:val="37B8429E"/>
    <w:rsid w:val="37D90117"/>
    <w:rsid w:val="37EA7EAA"/>
    <w:rsid w:val="389C4F20"/>
    <w:rsid w:val="38B158B1"/>
    <w:rsid w:val="38E53BA7"/>
    <w:rsid w:val="39067BE4"/>
    <w:rsid w:val="393A4E98"/>
    <w:rsid w:val="394531C5"/>
    <w:rsid w:val="39933A9B"/>
    <w:rsid w:val="39AD7840"/>
    <w:rsid w:val="3A3A23B2"/>
    <w:rsid w:val="3A666AF2"/>
    <w:rsid w:val="3AC95E46"/>
    <w:rsid w:val="3B110285"/>
    <w:rsid w:val="3B7503C2"/>
    <w:rsid w:val="3BB75B25"/>
    <w:rsid w:val="3C1D3F7F"/>
    <w:rsid w:val="3C243B4E"/>
    <w:rsid w:val="3C29117D"/>
    <w:rsid w:val="3C894E42"/>
    <w:rsid w:val="3CD22F34"/>
    <w:rsid w:val="3D10140D"/>
    <w:rsid w:val="3D2C2281"/>
    <w:rsid w:val="3E4C7231"/>
    <w:rsid w:val="3EB24CC5"/>
    <w:rsid w:val="3F5B53BD"/>
    <w:rsid w:val="3F9D03EA"/>
    <w:rsid w:val="3FBB4412"/>
    <w:rsid w:val="3FC6247E"/>
    <w:rsid w:val="3FD53AE5"/>
    <w:rsid w:val="3FEC62BF"/>
    <w:rsid w:val="40654B6C"/>
    <w:rsid w:val="407108CE"/>
    <w:rsid w:val="40CF1B73"/>
    <w:rsid w:val="41157949"/>
    <w:rsid w:val="41532240"/>
    <w:rsid w:val="41686997"/>
    <w:rsid w:val="42035D2E"/>
    <w:rsid w:val="42B33C50"/>
    <w:rsid w:val="42CB12DA"/>
    <w:rsid w:val="43BD1A3C"/>
    <w:rsid w:val="44112EB8"/>
    <w:rsid w:val="44137D36"/>
    <w:rsid w:val="444E008C"/>
    <w:rsid w:val="453164A1"/>
    <w:rsid w:val="45536D82"/>
    <w:rsid w:val="4601684D"/>
    <w:rsid w:val="4613534F"/>
    <w:rsid w:val="465311CD"/>
    <w:rsid w:val="46736F40"/>
    <w:rsid w:val="471F6235"/>
    <w:rsid w:val="475D305F"/>
    <w:rsid w:val="47B93163"/>
    <w:rsid w:val="47F07D3E"/>
    <w:rsid w:val="47FC1857"/>
    <w:rsid w:val="485B0690"/>
    <w:rsid w:val="487914A6"/>
    <w:rsid w:val="4976626B"/>
    <w:rsid w:val="49A76BDB"/>
    <w:rsid w:val="49C10DC5"/>
    <w:rsid w:val="49C343C4"/>
    <w:rsid w:val="4A665018"/>
    <w:rsid w:val="4B152832"/>
    <w:rsid w:val="4BFA684F"/>
    <w:rsid w:val="4E920723"/>
    <w:rsid w:val="4EA129E7"/>
    <w:rsid w:val="4EA73BC3"/>
    <w:rsid w:val="4EEA1138"/>
    <w:rsid w:val="4F594CF1"/>
    <w:rsid w:val="4F5A7C58"/>
    <w:rsid w:val="4F706945"/>
    <w:rsid w:val="4F814151"/>
    <w:rsid w:val="4FA51132"/>
    <w:rsid w:val="4FD31835"/>
    <w:rsid w:val="4FDB6E60"/>
    <w:rsid w:val="4FF049BA"/>
    <w:rsid w:val="50BF5D49"/>
    <w:rsid w:val="50C04909"/>
    <w:rsid w:val="50C114E3"/>
    <w:rsid w:val="5120384B"/>
    <w:rsid w:val="51BE1BD6"/>
    <w:rsid w:val="51F07A9F"/>
    <w:rsid w:val="52143D81"/>
    <w:rsid w:val="52216FDE"/>
    <w:rsid w:val="522A036F"/>
    <w:rsid w:val="52D06E52"/>
    <w:rsid w:val="530D4C55"/>
    <w:rsid w:val="537E1D7C"/>
    <w:rsid w:val="53C478FE"/>
    <w:rsid w:val="53C71C3A"/>
    <w:rsid w:val="54B56440"/>
    <w:rsid w:val="54DB484E"/>
    <w:rsid w:val="54ED4473"/>
    <w:rsid w:val="554F6717"/>
    <w:rsid w:val="5581329E"/>
    <w:rsid w:val="55CA6201"/>
    <w:rsid w:val="57153D6C"/>
    <w:rsid w:val="57FC7706"/>
    <w:rsid w:val="58252987"/>
    <w:rsid w:val="582565E7"/>
    <w:rsid w:val="58F46E86"/>
    <w:rsid w:val="59292222"/>
    <w:rsid w:val="598D62E6"/>
    <w:rsid w:val="5BAA6046"/>
    <w:rsid w:val="5BB16B09"/>
    <w:rsid w:val="5BCF5162"/>
    <w:rsid w:val="5BE4311F"/>
    <w:rsid w:val="5BE76260"/>
    <w:rsid w:val="5C7E2AAE"/>
    <w:rsid w:val="5CE3704A"/>
    <w:rsid w:val="5D1174C5"/>
    <w:rsid w:val="5D8170B4"/>
    <w:rsid w:val="5D9F125F"/>
    <w:rsid w:val="5DEE6BF8"/>
    <w:rsid w:val="5E647DE8"/>
    <w:rsid w:val="5EC07652"/>
    <w:rsid w:val="5EE15C03"/>
    <w:rsid w:val="5F045EDA"/>
    <w:rsid w:val="5F273FDA"/>
    <w:rsid w:val="5FCF55A8"/>
    <w:rsid w:val="60713450"/>
    <w:rsid w:val="607143DA"/>
    <w:rsid w:val="6116563B"/>
    <w:rsid w:val="61563910"/>
    <w:rsid w:val="6193094D"/>
    <w:rsid w:val="61A2632D"/>
    <w:rsid w:val="624316D9"/>
    <w:rsid w:val="624B5309"/>
    <w:rsid w:val="626C0DAA"/>
    <w:rsid w:val="626C1847"/>
    <w:rsid w:val="62BE32AB"/>
    <w:rsid w:val="635823FD"/>
    <w:rsid w:val="63A755EC"/>
    <w:rsid w:val="642C0428"/>
    <w:rsid w:val="646B7E47"/>
    <w:rsid w:val="64DA25B4"/>
    <w:rsid w:val="65B44484"/>
    <w:rsid w:val="65B71234"/>
    <w:rsid w:val="65FD2708"/>
    <w:rsid w:val="66346800"/>
    <w:rsid w:val="669A1BEC"/>
    <w:rsid w:val="66FC4A1E"/>
    <w:rsid w:val="67541E04"/>
    <w:rsid w:val="6798139B"/>
    <w:rsid w:val="685C1AB4"/>
    <w:rsid w:val="68BB0A2D"/>
    <w:rsid w:val="69DE4AF2"/>
    <w:rsid w:val="6A7C2B9B"/>
    <w:rsid w:val="6AAC57E2"/>
    <w:rsid w:val="6B335C8E"/>
    <w:rsid w:val="6B4E6AE2"/>
    <w:rsid w:val="6BB334C7"/>
    <w:rsid w:val="6CAB0EF6"/>
    <w:rsid w:val="6D266596"/>
    <w:rsid w:val="6DE5550B"/>
    <w:rsid w:val="6E695A07"/>
    <w:rsid w:val="6F787F4D"/>
    <w:rsid w:val="7117743B"/>
    <w:rsid w:val="71427D7A"/>
    <w:rsid w:val="716F1E18"/>
    <w:rsid w:val="71EB4948"/>
    <w:rsid w:val="72FB3513"/>
    <w:rsid w:val="731F6B20"/>
    <w:rsid w:val="73BC7D54"/>
    <w:rsid w:val="74037233"/>
    <w:rsid w:val="74423D59"/>
    <w:rsid w:val="745D02DE"/>
    <w:rsid w:val="74747308"/>
    <w:rsid w:val="74F14E64"/>
    <w:rsid w:val="752904FE"/>
    <w:rsid w:val="75510011"/>
    <w:rsid w:val="75CD116B"/>
    <w:rsid w:val="75D56DC3"/>
    <w:rsid w:val="762B546D"/>
    <w:rsid w:val="768C0FAF"/>
    <w:rsid w:val="76B22DE4"/>
    <w:rsid w:val="76BD07B0"/>
    <w:rsid w:val="7721268A"/>
    <w:rsid w:val="775A31AC"/>
    <w:rsid w:val="77764A23"/>
    <w:rsid w:val="77891991"/>
    <w:rsid w:val="77895332"/>
    <w:rsid w:val="77B363EF"/>
    <w:rsid w:val="77E8632C"/>
    <w:rsid w:val="77F63934"/>
    <w:rsid w:val="78101E28"/>
    <w:rsid w:val="78C82968"/>
    <w:rsid w:val="790007A3"/>
    <w:rsid w:val="79881C70"/>
    <w:rsid w:val="79B22494"/>
    <w:rsid w:val="79B943EC"/>
    <w:rsid w:val="7A0976B0"/>
    <w:rsid w:val="7A3714D6"/>
    <w:rsid w:val="7A9C15FD"/>
    <w:rsid w:val="7AAD5091"/>
    <w:rsid w:val="7ABD107B"/>
    <w:rsid w:val="7BB95C03"/>
    <w:rsid w:val="7BBB2034"/>
    <w:rsid w:val="7BCE5BC5"/>
    <w:rsid w:val="7C993744"/>
    <w:rsid w:val="7D045FF3"/>
    <w:rsid w:val="7D1F127E"/>
    <w:rsid w:val="7D315C16"/>
    <w:rsid w:val="7D3E0118"/>
    <w:rsid w:val="7D5241DF"/>
    <w:rsid w:val="7D917D9D"/>
    <w:rsid w:val="7D9556EE"/>
    <w:rsid w:val="7EB670BD"/>
    <w:rsid w:val="7F422CFE"/>
    <w:rsid w:val="7FD31429"/>
    <w:rsid w:val="7FED3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宋体" w:eastAsia="黑体"/>
      <w:b/>
      <w:color w:val="000000"/>
      <w:kern w:val="44"/>
      <w:sz w:val="36"/>
      <w:szCs w:val="20"/>
    </w:rPr>
  </w:style>
  <w:style w:type="paragraph" w:styleId="4">
    <w:name w:val="heading 2"/>
    <w:basedOn w:val="1"/>
    <w:next w:val="1"/>
    <w:qFormat/>
    <w:uiPriority w:val="0"/>
    <w:pPr>
      <w:keepNext/>
      <w:keepLines/>
      <w:spacing w:before="260" w:after="260" w:line="410" w:lineRule="auto"/>
      <w:outlineLvl w:val="1"/>
    </w:pPr>
    <w:rPr>
      <w:rFonts w:ascii="Arial" w:hAnsi="Arial" w:eastAsia="黑体"/>
      <w:b/>
      <w:bCs/>
      <w:sz w:val="32"/>
      <w:szCs w:val="32"/>
    </w:rPr>
  </w:style>
  <w:style w:type="paragraph" w:styleId="5">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paragraph" w:styleId="8">
    <w:name w:val="heading 6"/>
    <w:basedOn w:val="1"/>
    <w:next w:val="1"/>
    <w:qFormat/>
    <w:uiPriority w:val="0"/>
    <w:pPr>
      <w:keepNext/>
      <w:keepLines/>
      <w:spacing w:before="240" w:after="64" w:line="314" w:lineRule="auto"/>
      <w:outlineLvl w:val="5"/>
    </w:pPr>
    <w:rPr>
      <w:rFonts w:ascii="Arial" w:hAnsi="Arial" w:eastAsia="黑体"/>
      <w:b/>
      <w:bCs/>
      <w:sz w:val="24"/>
      <w:szCs w:val="20"/>
    </w:rPr>
  </w:style>
  <w:style w:type="paragraph" w:styleId="9">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hAnsi="宋体" w:eastAsia="仿宋_GB2312"/>
      <w:b/>
      <w:kern w:val="0"/>
      <w:sz w:val="24"/>
      <w:szCs w:val="20"/>
    </w:rPr>
  </w:style>
  <w:style w:type="paragraph" w:styleId="10">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6"/>
    <w:qFormat/>
    <w:uiPriority w:val="0"/>
    <w:pPr>
      <w:spacing w:line="200" w:lineRule="exact"/>
      <w:ind w:firstLine="301"/>
    </w:pPr>
    <w:rPr>
      <w:rFonts w:ascii="宋体"/>
      <w:spacing w:val="-4"/>
      <w:sz w:val="18"/>
      <w:szCs w:val="20"/>
    </w:rPr>
  </w:style>
  <w:style w:type="paragraph" w:styleId="12">
    <w:name w:val="toc 7"/>
    <w:basedOn w:val="1"/>
    <w:next w:val="1"/>
    <w:qFormat/>
    <w:uiPriority w:val="0"/>
    <w:pPr>
      <w:ind w:left="1260"/>
      <w:jc w:val="left"/>
    </w:pPr>
    <w:rPr>
      <w:sz w:val="18"/>
      <w:szCs w:val="18"/>
    </w:rPr>
  </w:style>
  <w:style w:type="paragraph" w:styleId="13">
    <w:name w:val="List Number"/>
    <w:basedOn w:val="1"/>
    <w:qFormat/>
    <w:uiPriority w:val="0"/>
    <w:pPr>
      <w:widowControl/>
      <w:numPr>
        <w:ilvl w:val="0"/>
        <w:numId w:val="2"/>
      </w:numPr>
      <w:tabs>
        <w:tab w:val="left" w:pos="454"/>
        <w:tab w:val="left" w:pos="720"/>
        <w:tab w:val="clear" w:pos="900"/>
      </w:tabs>
      <w:spacing w:afterLines="50"/>
      <w:ind w:left="454" w:hanging="284"/>
      <w:jc w:val="left"/>
    </w:pPr>
    <w:rPr>
      <w:kern w:val="0"/>
      <w:sz w:val="24"/>
      <w:szCs w:val="20"/>
    </w:rPr>
  </w:style>
  <w:style w:type="paragraph" w:styleId="14">
    <w:name w:val="Normal Indent"/>
    <w:basedOn w:val="1"/>
    <w:qFormat/>
    <w:uiPriority w:val="0"/>
    <w:pPr>
      <w:ind w:firstLine="42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numPr>
        <w:ilvl w:val="0"/>
        <w:numId w:val="3"/>
      </w:numPr>
      <w:spacing w:before="100" w:beforeAutospacing="1" w:afterLines="50" w:afterAutospacing="1"/>
      <w:jc w:val="left"/>
    </w:pPr>
    <w:rPr>
      <w:kern w:val="0"/>
      <w:szCs w:val="20"/>
    </w:rPr>
  </w:style>
  <w:style w:type="paragraph" w:styleId="17">
    <w:name w:val="Document Map"/>
    <w:basedOn w:val="1"/>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pPr>
      <w:spacing w:after="120"/>
    </w:pPr>
    <w:rPr>
      <w:sz w:val="16"/>
      <w:szCs w:val="16"/>
    </w:rPr>
  </w:style>
  <w:style w:type="paragraph" w:styleId="20">
    <w:name w:val="Body Text"/>
    <w:basedOn w:val="1"/>
    <w:next w:val="1"/>
    <w:qFormat/>
    <w:uiPriority w:val="0"/>
    <w:pPr>
      <w:spacing w:after="120"/>
    </w:pPr>
    <w:rPr>
      <w:sz w:val="28"/>
    </w:rPr>
  </w:style>
  <w:style w:type="paragraph" w:styleId="21">
    <w:name w:val="List Number 3"/>
    <w:basedOn w:val="1"/>
    <w:qFormat/>
    <w:uiPriority w:val="0"/>
    <w:pPr>
      <w:tabs>
        <w:tab w:val="left" w:pos="1200"/>
      </w:tabs>
      <w:ind w:left="1200" w:hanging="360"/>
    </w:pPr>
  </w:style>
  <w:style w:type="paragraph" w:styleId="22">
    <w:name w:val="List Bullet 2"/>
    <w:basedOn w:val="1"/>
    <w:qFormat/>
    <w:uiPriority w:val="0"/>
    <w:pPr>
      <w:tabs>
        <w:tab w:val="left" w:pos="360"/>
        <w:tab w:val="left" w:pos="1191"/>
      </w:tabs>
      <w:snapToGrid w:val="0"/>
      <w:spacing w:line="360" w:lineRule="auto"/>
      <w:ind w:left="200" w:hanging="200" w:hangingChars="200"/>
      <w:jc w:val="left"/>
    </w:pPr>
    <w:rPr>
      <w:b/>
      <w:bCs/>
      <w:sz w:val="24"/>
      <w:szCs w:val="3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link w:val="79"/>
    <w:qFormat/>
    <w:uiPriority w:val="0"/>
    <w:pPr>
      <w:tabs>
        <w:tab w:val="left" w:pos="1200"/>
      </w:tabs>
      <w:spacing w:beforeLines="50" w:afterLines="50" w:line="400" w:lineRule="exact"/>
      <w:ind w:left="1200" w:hanging="360"/>
    </w:pPr>
    <w:rPr>
      <w:rFonts w:ascii="宋体"/>
      <w:sz w:val="24"/>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80"/>
    <w:qFormat/>
    <w:uiPriority w:val="0"/>
    <w:pPr>
      <w:ind w:left="2500" w:leftChars="2500"/>
    </w:pPr>
    <w:rPr>
      <w:rFonts w:eastAsia="楷体_GB2312"/>
      <w:sz w:val="32"/>
      <w:szCs w:val="20"/>
    </w:rPr>
  </w:style>
  <w:style w:type="paragraph" w:styleId="28">
    <w:name w:val="Body Text Indent 2"/>
    <w:basedOn w:val="1"/>
    <w:qFormat/>
    <w:uiPriority w:val="0"/>
    <w:pPr>
      <w:spacing w:after="120" w:line="480" w:lineRule="auto"/>
      <w:ind w:left="200" w:leftChars="200"/>
    </w:pPr>
  </w:style>
  <w:style w:type="paragraph" w:styleId="29">
    <w:name w:val="endnote text"/>
    <w:basedOn w:val="1"/>
    <w:qFormat/>
    <w:uiPriority w:val="0"/>
    <w:pPr>
      <w:snapToGrid w:val="0"/>
      <w:spacing w:afterLines="50"/>
      <w:jc w:val="left"/>
    </w:pPr>
    <w:rPr>
      <w:rFonts w:ascii="宋体"/>
      <w:snapToGrid w:val="0"/>
      <w:kern w:val="0"/>
      <w:szCs w:val="20"/>
    </w:rPr>
  </w:style>
  <w:style w:type="paragraph" w:styleId="30">
    <w:name w:val="Balloon Text"/>
    <w:basedOn w:val="1"/>
    <w:qFormat/>
    <w:uiPriority w:val="0"/>
    <w:rPr>
      <w:sz w:val="18"/>
      <w:szCs w:val="18"/>
    </w:rPr>
  </w:style>
  <w:style w:type="paragraph" w:styleId="31">
    <w:name w:val="footer"/>
    <w:basedOn w:val="1"/>
    <w:qFormat/>
    <w:uiPriority w:val="0"/>
    <w:pPr>
      <w:tabs>
        <w:tab w:val="center" w:pos="4153"/>
        <w:tab w:val="right" w:pos="8306"/>
      </w:tabs>
      <w:snapToGrid w:val="0"/>
      <w:jc w:val="left"/>
    </w:pPr>
    <w:rPr>
      <w:rFonts w:eastAsia="黑体"/>
      <w:snapToGrid w:val="0"/>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0"/>
    <w:pPr>
      <w:tabs>
        <w:tab w:val="left" w:pos="1200"/>
      </w:tabs>
      <w:spacing w:beforeLines="0" w:afterLines="0" w:line="240" w:lineRule="auto"/>
      <w:ind w:left="0" w:firstLine="0"/>
      <w:jc w:val="left"/>
    </w:pPr>
    <w:rPr>
      <w:rFonts w:ascii="Times New Roman"/>
      <w:b/>
      <w:bCs/>
      <w:caps/>
      <w:sz w:val="20"/>
      <w:szCs w:val="20"/>
    </w:rPr>
  </w:style>
  <w:style w:type="paragraph" w:styleId="34">
    <w:name w:val="toc 4"/>
    <w:basedOn w:val="1"/>
    <w:next w:val="1"/>
    <w:qFormat/>
    <w:uiPriority w:val="0"/>
    <w:pPr>
      <w:ind w:left="630"/>
      <w:jc w:val="left"/>
    </w:pPr>
    <w:rPr>
      <w:sz w:val="18"/>
      <w:szCs w:val="18"/>
    </w:rPr>
  </w:style>
  <w:style w:type="paragraph" w:styleId="35">
    <w:name w:val="Subtitle"/>
    <w:basedOn w:val="1"/>
    <w:qFormat/>
    <w:uiPriority w:val="0"/>
    <w:pPr>
      <w:spacing w:afterLines="50"/>
      <w:jc w:val="center"/>
    </w:pPr>
    <w:rPr>
      <w:rFonts w:ascii="宋体"/>
      <w:i/>
      <w:snapToGrid w:val="0"/>
      <w:kern w:val="0"/>
      <w:sz w:val="36"/>
      <w:szCs w:val="20"/>
      <w:lang w:val="en-AU" w:eastAsia="en-AU"/>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ind w:left="1050"/>
      <w:jc w:val="left"/>
    </w:pPr>
    <w:rPr>
      <w:sz w:val="18"/>
      <w:szCs w:val="18"/>
    </w:rPr>
  </w:style>
  <w:style w:type="paragraph" w:styleId="38">
    <w:name w:val="Body Text Indent 3"/>
    <w:basedOn w:val="1"/>
    <w:qFormat/>
    <w:uiPriority w:val="0"/>
    <w:pPr>
      <w:spacing w:line="500" w:lineRule="atLeast"/>
      <w:ind w:firstLine="300" w:firstLineChars="300"/>
    </w:pPr>
    <w:rPr>
      <w:sz w:val="24"/>
    </w:rPr>
  </w:style>
  <w:style w:type="paragraph" w:styleId="39">
    <w:name w:val="toc 2"/>
    <w:basedOn w:val="1"/>
    <w:next w:val="1"/>
    <w:qFormat/>
    <w:uiPriority w:val="0"/>
    <w:pPr>
      <w:ind w:left="210"/>
      <w:jc w:val="left"/>
    </w:pPr>
    <w:rPr>
      <w:smallCaps/>
      <w:sz w:val="20"/>
      <w:szCs w:val="20"/>
    </w:rPr>
  </w:style>
  <w:style w:type="paragraph" w:styleId="40">
    <w:name w:val="toc 9"/>
    <w:basedOn w:val="41"/>
    <w:next w:val="1"/>
    <w:qFormat/>
    <w:uiPriority w:val="0"/>
    <w:pPr>
      <w:keepNext w:val="0"/>
      <w:numPr>
        <w:numId w:val="0"/>
      </w:numPr>
      <w:tabs>
        <w:tab w:val="left" w:pos="480"/>
      </w:tabs>
      <w:spacing w:before="0" w:after="0"/>
      <w:ind w:left="1680"/>
      <w:outlineLvl w:val="9"/>
    </w:pPr>
    <w:rPr>
      <w:rFonts w:ascii="Times New Roman" w:hAnsi="Times New Roman" w:cs="Times New Roman"/>
      <w:b w:val="0"/>
      <w:snapToGrid/>
      <w:kern w:val="2"/>
      <w:sz w:val="18"/>
      <w:szCs w:val="18"/>
    </w:rPr>
  </w:style>
  <w:style w:type="paragraph" w:customStyle="1" w:styleId="41">
    <w:name w:val="样式 标题1"/>
    <w:basedOn w:val="42"/>
    <w:next w:val="43"/>
    <w:qFormat/>
    <w:uiPriority w:val="0"/>
    <w:pPr>
      <w:numPr>
        <w:ilvl w:val="0"/>
        <w:numId w:val="4"/>
      </w:numPr>
      <w:spacing w:afterLines="0"/>
    </w:pPr>
    <w:rPr>
      <w:bCs w:val="0"/>
      <w:sz w:val="32"/>
    </w:rPr>
  </w:style>
  <w:style w:type="paragraph" w:customStyle="1" w:styleId="42">
    <w:name w:val="样式 标题 1 + 段后: 0.5 行"/>
    <w:basedOn w:val="3"/>
    <w:qFormat/>
    <w:uiPriority w:val="0"/>
    <w:pPr>
      <w:keepLines w:val="0"/>
      <w:tabs>
        <w:tab w:val="clear" w:pos="360"/>
      </w:tabs>
      <w:autoSpaceDE/>
      <w:autoSpaceDN/>
      <w:adjustRightInd/>
      <w:spacing w:before="120" w:afterLines="50" w:line="240" w:lineRule="auto"/>
      <w:textAlignment w:val="auto"/>
    </w:pPr>
    <w:rPr>
      <w:rFonts w:eastAsia="宋体" w:cs="宋体"/>
      <w:bCs/>
      <w:snapToGrid w:val="0"/>
      <w:color w:val="auto"/>
      <w:kern w:val="0"/>
      <w:sz w:val="28"/>
    </w:rPr>
  </w:style>
  <w:style w:type="paragraph" w:customStyle="1" w:styleId="43">
    <w:name w:val="最新标题2"/>
    <w:basedOn w:val="44"/>
    <w:next w:val="45"/>
    <w:qFormat/>
    <w:uiPriority w:val="0"/>
    <w:pPr>
      <w:numPr>
        <w:numId w:val="0"/>
      </w:numPr>
      <w:tabs>
        <w:tab w:val="left" w:pos="0"/>
        <w:tab w:val="left" w:pos="1680"/>
      </w:tabs>
      <w:spacing w:afterLines="0"/>
      <w:ind w:left="380" w:hanging="380"/>
    </w:pPr>
  </w:style>
  <w:style w:type="paragraph" w:customStyle="1" w:styleId="44">
    <w:name w:val="样式 标题 2"/>
    <w:basedOn w:val="4"/>
    <w:next w:val="45"/>
    <w:qFormat/>
    <w:uiPriority w:val="0"/>
    <w:pPr>
      <w:keepLines w:val="0"/>
      <w:numPr>
        <w:ilvl w:val="0"/>
        <w:numId w:val="5"/>
      </w:numPr>
      <w:tabs>
        <w:tab w:val="left" w:pos="1680"/>
        <w:tab w:val="clear" w:pos="360"/>
      </w:tabs>
      <w:spacing w:before="120" w:afterLines="50" w:line="240" w:lineRule="auto"/>
      <w:ind w:left="380" w:hanging="380"/>
      <w:jc w:val="left"/>
    </w:pPr>
    <w:rPr>
      <w:rFonts w:ascii="宋体" w:eastAsia="宋体" w:cs="宋体"/>
      <w:snapToGrid w:val="0"/>
      <w:kern w:val="0"/>
      <w:sz w:val="28"/>
      <w:szCs w:val="20"/>
    </w:rPr>
  </w:style>
  <w:style w:type="paragraph" w:customStyle="1" w:styleId="45">
    <w:name w:val="最新标题3"/>
    <w:basedOn w:val="46"/>
    <w:next w:val="47"/>
    <w:qFormat/>
    <w:uiPriority w:val="0"/>
    <w:pPr>
      <w:tabs>
        <w:tab w:val="left" w:pos="1260"/>
      </w:tabs>
      <w:spacing w:afterLines="0"/>
    </w:pPr>
  </w:style>
  <w:style w:type="paragraph" w:customStyle="1" w:styleId="46">
    <w:name w:val="样式 标题 3"/>
    <w:basedOn w:val="5"/>
    <w:next w:val="47"/>
    <w:qFormat/>
    <w:uiPriority w:val="0"/>
    <w:pPr>
      <w:keepNext/>
      <w:numPr>
        <w:ilvl w:val="2"/>
        <w:numId w:val="6"/>
      </w:numPr>
      <w:tabs>
        <w:tab w:val="clear" w:pos="709"/>
      </w:tabs>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47">
    <w:name w:val="最新标题4"/>
    <w:basedOn w:val="48"/>
    <w:next w:val="1"/>
    <w:qFormat/>
    <w:uiPriority w:val="0"/>
    <w:pPr>
      <w:numPr>
        <w:numId w:val="7"/>
      </w:numPr>
      <w:tabs>
        <w:tab w:val="left" w:pos="0"/>
        <w:tab w:val="left" w:pos="1080"/>
      </w:tabs>
      <w:spacing w:after="120"/>
    </w:pPr>
  </w:style>
  <w:style w:type="paragraph" w:customStyle="1" w:styleId="48">
    <w:name w:val="样式 标题 4"/>
    <w:basedOn w:val="49"/>
    <w:next w:val="51"/>
    <w:qFormat/>
    <w:uiPriority w:val="0"/>
    <w:pPr>
      <w:numPr>
        <w:ilvl w:val="3"/>
        <w:numId w:val="4"/>
      </w:numPr>
      <w:spacing w:after="50"/>
    </w:pPr>
  </w:style>
  <w:style w:type="paragraph" w:customStyle="1" w:styleId="49">
    <w:name w:val="样式 标题 4Chapter X.X.X.X. + 段后: 0.5 行1"/>
    <w:basedOn w:val="50"/>
    <w:qFormat/>
    <w:uiPriority w:val="0"/>
    <w:pPr>
      <w:spacing w:afterLines="0"/>
    </w:pPr>
  </w:style>
  <w:style w:type="paragraph" w:customStyle="1" w:styleId="50">
    <w:name w:val="样式 标题 4 + 段后: 0.5 行"/>
    <w:basedOn w:val="6"/>
    <w:qFormat/>
    <w:uiPriority w:val="0"/>
    <w:pPr>
      <w:keepLines w:val="0"/>
      <w:spacing w:before="120" w:afterLines="50" w:line="240" w:lineRule="auto"/>
      <w:jc w:val="left"/>
    </w:pPr>
    <w:rPr>
      <w:rFonts w:ascii="宋体" w:eastAsia="宋体" w:cs="宋体"/>
      <w:snapToGrid w:val="0"/>
      <w:kern w:val="0"/>
      <w:sz w:val="21"/>
      <w:szCs w:val="20"/>
    </w:rPr>
  </w:style>
  <w:style w:type="paragraph" w:customStyle="1" w:styleId="51">
    <w:name w:val="样式 正文"/>
    <w:basedOn w:val="1"/>
    <w:next w:val="1"/>
    <w:qFormat/>
    <w:uiPriority w:val="0"/>
    <w:pPr>
      <w:numPr>
        <w:ilvl w:val="3"/>
        <w:numId w:val="6"/>
      </w:numPr>
      <w:spacing w:afterLines="50"/>
      <w:jc w:val="left"/>
    </w:pPr>
    <w:rPr>
      <w:rFonts w:ascii="宋体" w:cs="宋体"/>
      <w:snapToGrid w:val="0"/>
      <w:kern w:val="0"/>
      <w:szCs w:val="20"/>
    </w:rPr>
  </w:style>
  <w:style w:type="paragraph" w:styleId="52">
    <w:name w:val="Body Text 2"/>
    <w:basedOn w:val="1"/>
    <w:qFormat/>
    <w:uiPriority w:val="0"/>
    <w:pPr>
      <w:autoSpaceDE w:val="0"/>
      <w:autoSpaceDN w:val="0"/>
      <w:adjustRightInd w:val="0"/>
    </w:pPr>
    <w:rPr>
      <w:color w:val="000000"/>
    </w:rPr>
  </w:style>
  <w:style w:type="paragraph" w:styleId="53">
    <w:name w:val="HTML Preformatted"/>
    <w:basedOn w:val="1"/>
    <w:qFormat/>
    <w:uiPriority w:val="0"/>
    <w:rPr>
      <w:rFonts w:ascii="Courier New" w:hAnsi="Courier New" w:cs="Courier New"/>
      <w:sz w:val="20"/>
      <w:szCs w:val="20"/>
    </w:rPr>
  </w:style>
  <w:style w:type="paragraph" w:styleId="54">
    <w:name w:val="Normal (Web)"/>
    <w:basedOn w:val="1"/>
    <w:qFormat/>
    <w:uiPriority w:val="99"/>
    <w:pPr>
      <w:widowControl/>
      <w:spacing w:before="100" w:beforeAutospacing="1" w:after="100" w:afterAutospacing="1"/>
      <w:jc w:val="left"/>
    </w:pPr>
    <w:rPr>
      <w:rFonts w:ascii="宋体"/>
      <w:color w:val="000000"/>
      <w:kern w:val="0"/>
      <w:sz w:val="24"/>
    </w:rPr>
  </w:style>
  <w:style w:type="paragraph" w:styleId="5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eastAsia="en-GB"/>
    </w:rPr>
  </w:style>
  <w:style w:type="paragraph" w:styleId="56">
    <w:name w:val="annotation subject"/>
    <w:basedOn w:val="18"/>
    <w:next w:val="18"/>
    <w:qFormat/>
    <w:uiPriority w:val="0"/>
    <w:rPr>
      <w:b/>
      <w:bCs/>
    </w:rPr>
  </w:style>
  <w:style w:type="paragraph" w:styleId="57">
    <w:name w:val="Body Text First Indent"/>
    <w:basedOn w:val="20"/>
    <w:next w:val="37"/>
    <w:qFormat/>
    <w:uiPriority w:val="0"/>
    <w:pPr>
      <w:spacing w:line="360" w:lineRule="auto"/>
      <w:ind w:firstLine="200" w:firstLineChars="200"/>
      <w:jc w:val="left"/>
    </w:pPr>
    <w:rPr>
      <w:bCs/>
      <w:sz w:val="24"/>
    </w:rPr>
  </w:style>
  <w:style w:type="paragraph" w:styleId="58">
    <w:name w:val="Body Text First Indent 2"/>
    <w:basedOn w:val="2"/>
    <w:next w:val="59"/>
    <w:link w:val="75"/>
    <w:qFormat/>
    <w:uiPriority w:val="0"/>
    <w:pPr>
      <w:spacing w:after="120" w:line="240" w:lineRule="auto"/>
      <w:ind w:left="420" w:leftChars="200" w:firstLine="420" w:firstLineChars="200"/>
    </w:pPr>
    <w:rPr>
      <w:rFonts w:ascii="Times New Roman"/>
      <w:spacing w:val="0"/>
      <w:sz w:val="21"/>
      <w:szCs w:val="24"/>
    </w:rPr>
  </w:style>
  <w:style w:type="paragraph" w:customStyle="1" w:styleId="59">
    <w:name w:val="xl53"/>
    <w:next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lang w:val="en-US" w:eastAsia="zh-CN" w:bidi="ar-SA"/>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page number"/>
    <w:basedOn w:val="62"/>
    <w:qFormat/>
    <w:uiPriority w:val="0"/>
  </w:style>
  <w:style w:type="character" w:styleId="65">
    <w:name w:val="FollowedHyperlink"/>
    <w:qFormat/>
    <w:uiPriority w:val="0"/>
    <w:rPr>
      <w:color w:val="800080"/>
      <w:u w:val="none"/>
    </w:rPr>
  </w:style>
  <w:style w:type="character" w:styleId="66">
    <w:name w:val="Emphasis"/>
    <w:qFormat/>
    <w:uiPriority w:val="0"/>
    <w:rPr>
      <w:color w:val="CC0000"/>
    </w:rPr>
  </w:style>
  <w:style w:type="character" w:styleId="67">
    <w:name w:val="Hyperlink"/>
    <w:qFormat/>
    <w:uiPriority w:val="0"/>
    <w:rPr>
      <w:color w:val="0000FF"/>
      <w:u w:val="none"/>
    </w:rPr>
  </w:style>
  <w:style w:type="character" w:styleId="68">
    <w:name w:val="annotation reference"/>
    <w:qFormat/>
    <w:uiPriority w:val="0"/>
    <w:rPr>
      <w:sz w:val="21"/>
      <w:szCs w:val="21"/>
    </w:rPr>
  </w:style>
  <w:style w:type="paragraph" w:customStyle="1" w:styleId="69">
    <w:name w:val="Char"/>
    <w:basedOn w:val="1"/>
    <w:qFormat/>
    <w:uiPriority w:val="0"/>
    <w:rPr>
      <w:sz w:val="24"/>
    </w:rPr>
  </w:style>
  <w:style w:type="paragraph" w:customStyle="1" w:styleId="70">
    <w:name w:val="章正文"/>
    <w:basedOn w:val="1"/>
    <w:qFormat/>
    <w:uiPriority w:val="0"/>
    <w:pPr>
      <w:spacing w:beforeLines="50" w:after="120" w:line="300" w:lineRule="auto"/>
      <w:ind w:firstLine="480"/>
    </w:pPr>
    <w:rPr>
      <w:rFonts w:ascii="Helvetica" w:hAnsi="Helvetica"/>
      <w:kern w:val="0"/>
      <w:sz w:val="24"/>
    </w:rPr>
  </w:style>
  <w:style w:type="paragraph" w:customStyle="1" w:styleId="71">
    <w:name w:val="目录 91"/>
    <w:next w:val="1"/>
    <w:qFormat/>
    <w:uiPriority w:val="0"/>
    <w:pPr>
      <w:wordWrap w:val="0"/>
      <w:ind w:left="3400"/>
      <w:jc w:val="both"/>
    </w:pPr>
    <w:rPr>
      <w:rFonts w:ascii="宋体" w:hAnsi="宋体" w:eastAsia="Times New Roman" w:cs="Times New Roman"/>
      <w:sz w:val="21"/>
      <w:lang w:val="en-US" w:eastAsia="zh-CN" w:bidi="ar-SA"/>
    </w:rPr>
  </w:style>
  <w:style w:type="character" w:customStyle="1" w:styleId="72">
    <w:name w:val="newsitemtext1"/>
    <w:qFormat/>
    <w:uiPriority w:val="0"/>
    <w:rPr>
      <w:color w:val="000000"/>
      <w:spacing w:val="320"/>
      <w:sz w:val="21"/>
      <w:szCs w:val="21"/>
    </w:rPr>
  </w:style>
  <w:style w:type="character" w:customStyle="1" w:styleId="73">
    <w:name w:val="font01"/>
    <w:qFormat/>
    <w:uiPriority w:val="0"/>
    <w:rPr>
      <w:rFonts w:hint="eastAsia" w:ascii="宋体" w:hAnsi="宋体" w:eastAsia="宋体" w:cs="宋体"/>
      <w:color w:val="000000"/>
      <w:sz w:val="21"/>
      <w:szCs w:val="21"/>
      <w:u w:val="none"/>
    </w:rPr>
  </w:style>
  <w:style w:type="character" w:customStyle="1" w:styleId="74">
    <w:name w:val="无"/>
    <w:qFormat/>
    <w:uiPriority w:val="0"/>
  </w:style>
  <w:style w:type="character" w:customStyle="1" w:styleId="75">
    <w:name w:val="正文首行缩进 2 字符"/>
    <w:basedOn w:val="76"/>
    <w:link w:val="58"/>
    <w:qFormat/>
    <w:uiPriority w:val="0"/>
    <w:rPr>
      <w:rFonts w:ascii="宋体" w:hAnsi="Times New Roman"/>
      <w:spacing w:val="-4"/>
      <w:kern w:val="2"/>
      <w:sz w:val="18"/>
    </w:rPr>
  </w:style>
  <w:style w:type="character" w:customStyle="1" w:styleId="76">
    <w:name w:val="正文文本缩进 字符"/>
    <w:link w:val="2"/>
    <w:qFormat/>
    <w:uiPriority w:val="0"/>
    <w:rPr>
      <w:rFonts w:ascii="宋体" w:hAnsi="Times New Roman"/>
      <w:spacing w:val="-4"/>
      <w:kern w:val="2"/>
      <w:sz w:val="18"/>
    </w:rPr>
  </w:style>
  <w:style w:type="character" w:customStyle="1" w:styleId="77">
    <w:name w:val="style31"/>
    <w:qFormat/>
    <w:uiPriority w:val="0"/>
    <w:rPr>
      <w:b/>
      <w:bCs/>
      <w:color w:val="0465BE"/>
      <w:sz w:val="28"/>
      <w:szCs w:val="28"/>
    </w:rPr>
  </w:style>
  <w:style w:type="character" w:customStyle="1" w:styleId="78">
    <w:name w:val="Char Char16"/>
    <w:qFormat/>
    <w:uiPriority w:val="0"/>
    <w:rPr>
      <w:rFonts w:ascii="Tahoma" w:hAnsi="Tahoma" w:eastAsia="宋体"/>
      <w:kern w:val="2"/>
      <w:sz w:val="21"/>
      <w:szCs w:val="20"/>
      <w:lang w:val="en-US" w:eastAsia="zh-CN" w:bidi="ar-SA"/>
    </w:rPr>
  </w:style>
  <w:style w:type="character" w:customStyle="1" w:styleId="79">
    <w:name w:val="纯文本 字符"/>
    <w:link w:val="25"/>
    <w:qFormat/>
    <w:uiPriority w:val="0"/>
    <w:rPr>
      <w:rFonts w:ascii="宋体"/>
      <w:kern w:val="2"/>
      <w:sz w:val="24"/>
      <w:szCs w:val="24"/>
    </w:rPr>
  </w:style>
  <w:style w:type="character" w:customStyle="1" w:styleId="80">
    <w:name w:val="日期 字符"/>
    <w:link w:val="27"/>
    <w:qFormat/>
    <w:uiPriority w:val="0"/>
    <w:rPr>
      <w:rFonts w:ascii="Times New Roman" w:hAnsi="Times New Roman" w:eastAsia="楷体_GB2312"/>
      <w:kern w:val="2"/>
      <w:sz w:val="32"/>
    </w:rPr>
  </w:style>
  <w:style w:type="character" w:customStyle="1" w:styleId="81">
    <w:name w:val="font21"/>
    <w:qFormat/>
    <w:uiPriority w:val="0"/>
    <w:rPr>
      <w:rFonts w:hint="eastAsia" w:ascii="宋体" w:hAnsi="宋体" w:eastAsia="宋体" w:cs="宋体"/>
      <w:b/>
      <w:color w:val="000000"/>
      <w:sz w:val="21"/>
      <w:szCs w:val="21"/>
      <w:u w:val="none"/>
    </w:rPr>
  </w:style>
  <w:style w:type="character" w:customStyle="1" w:styleId="82">
    <w:name w:val="bulletintext1"/>
    <w:qFormat/>
    <w:uiPriority w:val="0"/>
    <w:rPr>
      <w:color w:val="000000"/>
      <w:sz w:val="18"/>
      <w:szCs w:val="18"/>
    </w:rPr>
  </w:style>
  <w:style w:type="character" w:customStyle="1" w:styleId="83">
    <w:name w:val="正文1 Char"/>
    <w:qFormat/>
    <w:uiPriority w:val="0"/>
    <w:rPr>
      <w:rFonts w:ascii="宋体" w:eastAsia="宋体"/>
      <w:snapToGrid w:val="0"/>
      <w:color w:val="000000"/>
      <w:kern w:val="28"/>
      <w:sz w:val="28"/>
      <w:lang w:val="en-US" w:eastAsia="zh-CN" w:bidi="ar-SA"/>
    </w:rPr>
  </w:style>
  <w:style w:type="character" w:customStyle="1" w:styleId="84">
    <w:name w:val="font31"/>
    <w:qFormat/>
    <w:uiPriority w:val="0"/>
    <w:rPr>
      <w:rFonts w:hint="eastAsia" w:ascii="仿宋" w:hAnsi="仿宋" w:eastAsia="仿宋" w:cs="仿宋"/>
      <w:color w:val="000000"/>
      <w:sz w:val="21"/>
      <w:szCs w:val="21"/>
      <w:u w:val="none"/>
    </w:rPr>
  </w:style>
  <w:style w:type="paragraph" w:customStyle="1" w:styleId="85">
    <w:name w:val="Figure Description"/>
    <w:next w:val="1"/>
    <w:qFormat/>
    <w:uiPriority w:val="0"/>
    <w:pPr>
      <w:numPr>
        <w:ilvl w:val="4"/>
        <w:numId w:val="2"/>
      </w:numPr>
      <w:snapToGrid w:val="0"/>
      <w:spacing w:before="80" w:after="320"/>
      <w:jc w:val="center"/>
    </w:pPr>
    <w:rPr>
      <w:rFonts w:ascii="Arial" w:hAnsi="Arial" w:eastAsia="黑体" w:cs="Times New Roman"/>
      <w:sz w:val="18"/>
      <w:lang w:val="en-US" w:eastAsia="en-US" w:bidi="ar-SA"/>
    </w:rPr>
  </w:style>
  <w:style w:type="paragraph" w:customStyle="1" w:styleId="86">
    <w:name w:val="标准标题3"/>
    <w:basedOn w:val="5"/>
    <w:qFormat/>
    <w:uiPriority w:val="0"/>
    <w:pPr>
      <w:keepNext/>
      <w:keepLines/>
      <w:tabs>
        <w:tab w:val="left" w:pos="1200"/>
        <w:tab w:val="clear" w:pos="709"/>
      </w:tabs>
      <w:autoSpaceDE/>
      <w:autoSpaceDN/>
      <w:adjustRightInd/>
      <w:spacing w:before="260" w:after="260" w:line="240" w:lineRule="auto"/>
      <w:ind w:left="-258" w:leftChars="-258" w:firstLine="0"/>
      <w:textAlignment w:val="auto"/>
    </w:pPr>
    <w:rPr>
      <w:rFonts w:ascii="Times New Roman" w:eastAsia="仿宋_GB2312"/>
      <w:bCs/>
      <w:color w:val="auto"/>
      <w:kern w:val="2"/>
      <w:szCs w:val="32"/>
    </w:rPr>
  </w:style>
  <w:style w:type="paragraph" w:customStyle="1" w:styleId="87">
    <w:name w:val="Table - Text"/>
    <w:basedOn w:val="1"/>
    <w:qFormat/>
    <w:uiPriority w:val="0"/>
    <w:pPr>
      <w:widowControl/>
      <w:spacing w:before="60" w:afterLines="50"/>
      <w:jc w:val="left"/>
    </w:pPr>
    <w:rPr>
      <w:kern w:val="0"/>
      <w:szCs w:val="20"/>
      <w:lang w:eastAsia="en-US"/>
    </w:rPr>
  </w:style>
  <w:style w:type="paragraph" w:customStyle="1" w:styleId="88">
    <w:name w:val="样式 标题 2Chapter X.X. Statementh22Header 2l2Level 2 Headhea...1"/>
    <w:basedOn w:val="5"/>
    <w:qFormat/>
    <w:uiPriority w:val="0"/>
    <w:pPr>
      <w:keepNext/>
      <w:numPr>
        <w:ilvl w:val="0"/>
        <w:numId w:val="8"/>
      </w:numPr>
      <w:tabs>
        <w:tab w:val="clear" w:pos="36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89">
    <w:name w:val="样式 样式 正文文本缩进 + 仿宋_GB2312 小四 首行缩进:  0 厘米 行距: 1.5 倍行距 + (中文) 仿宋_GB..."/>
    <w:basedOn w:val="90"/>
    <w:qFormat/>
    <w:uiPriority w:val="0"/>
    <w:pPr>
      <w:ind w:firstLine="200" w:firstLineChars="200"/>
    </w:pPr>
  </w:style>
  <w:style w:type="paragraph" w:customStyle="1" w:styleId="90">
    <w:name w:val="样式 正文文本缩进 + 仿宋_GB2312 小四 首行缩进:  0 厘米 行距: 1.5 倍行距"/>
    <w:basedOn w:val="2"/>
    <w:qFormat/>
    <w:uiPriority w:val="0"/>
    <w:pPr>
      <w:spacing w:line="360" w:lineRule="auto"/>
      <w:ind w:firstLine="0"/>
    </w:pPr>
    <w:rPr>
      <w:rFonts w:ascii="仿宋_GB2312" w:hAnsi="仿宋_GB2312" w:eastAsia="新宋体"/>
      <w:spacing w:val="0"/>
      <w:sz w:val="24"/>
    </w:rPr>
  </w:style>
  <w:style w:type="paragraph" w:customStyle="1" w:styleId="91">
    <w:name w:val="Paragraph4"/>
    <w:basedOn w:val="1"/>
    <w:qFormat/>
    <w:uiPriority w:val="0"/>
    <w:pPr>
      <w:spacing w:before="80" w:afterLines="50"/>
      <w:ind w:left="2250"/>
    </w:pPr>
    <w:rPr>
      <w:rFonts w:ascii="宋体"/>
      <w:snapToGrid w:val="0"/>
      <w:kern w:val="0"/>
      <w:szCs w:val="20"/>
    </w:rPr>
  </w:style>
  <w:style w:type="paragraph" w:customStyle="1" w:styleId="92">
    <w:name w:val="Bullet2"/>
    <w:basedOn w:val="1"/>
    <w:qFormat/>
    <w:uiPriority w:val="0"/>
    <w:pPr>
      <w:spacing w:afterLines="50"/>
      <w:ind w:left="1440" w:hanging="360"/>
      <w:jc w:val="left"/>
    </w:pPr>
    <w:rPr>
      <w:rFonts w:ascii="宋体"/>
      <w:snapToGrid w:val="0"/>
      <w:color w:val="000080"/>
      <w:kern w:val="0"/>
      <w:szCs w:val="20"/>
    </w:rPr>
  </w:style>
  <w:style w:type="paragraph" w:customStyle="1" w:styleId="93">
    <w:name w:val="样式 标题 2 + 五号"/>
    <w:basedOn w:val="4"/>
    <w:qFormat/>
    <w:uiPriority w:val="0"/>
    <w:pPr>
      <w:spacing w:before="0" w:after="0" w:line="240" w:lineRule="auto"/>
    </w:pPr>
    <w:rPr>
      <w:rFonts w:ascii="宋体" w:eastAsia="宋体"/>
      <w:sz w:val="21"/>
    </w:rPr>
  </w:style>
  <w:style w:type="paragraph" w:customStyle="1" w:styleId="9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
    <w:name w:val="此正文"/>
    <w:basedOn w:val="1"/>
    <w:qFormat/>
    <w:uiPriority w:val="0"/>
    <w:pPr>
      <w:spacing w:line="360" w:lineRule="auto"/>
      <w:ind w:firstLine="200" w:firstLineChars="200"/>
    </w:pPr>
    <w:rPr>
      <w:sz w:val="24"/>
      <w:szCs w:val="20"/>
    </w:rPr>
  </w:style>
  <w:style w:type="paragraph" w:customStyle="1" w:styleId="9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7">
    <w:name w:val="样式 样式 标题 4 + 段后: 0.5 行1"/>
    <w:basedOn w:val="50"/>
    <w:next w:val="29"/>
    <w:qFormat/>
    <w:uiPriority w:val="0"/>
    <w:pPr>
      <w:spacing w:afterLines="0"/>
    </w:pPr>
  </w:style>
  <w:style w:type="paragraph" w:customStyle="1" w:styleId="98">
    <w:name w:val="样式6"/>
    <w:basedOn w:val="1"/>
    <w:qFormat/>
    <w:uiPriority w:val="0"/>
    <w:pPr>
      <w:adjustRightInd w:val="0"/>
      <w:spacing w:beforeLines="50" w:afterLines="50"/>
      <w:ind w:firstLine="669"/>
      <w:textAlignment w:val="baseline"/>
    </w:pPr>
    <w:rPr>
      <w:rFonts w:ascii="宋体"/>
      <w:kern w:val="0"/>
      <w:sz w:val="28"/>
      <w:szCs w:val="20"/>
    </w:rPr>
  </w:style>
  <w:style w:type="paragraph" w:customStyle="1" w:styleId="99">
    <w:name w:val="样式1"/>
    <w:basedOn w:val="55"/>
    <w:qFormat/>
    <w:uiPriority w:val="0"/>
    <w:pPr>
      <w:spacing w:line="480" w:lineRule="auto"/>
      <w:ind w:left="600"/>
    </w:pPr>
    <w:rPr>
      <w:rFonts w:ascii="宋体"/>
      <w:b w:val="0"/>
      <w:sz w:val="36"/>
      <w:szCs w:val="36"/>
    </w:rPr>
  </w:style>
  <w:style w:type="paragraph" w:customStyle="1" w:styleId="100">
    <w:name w:val="标题1"/>
    <w:basedOn w:val="25"/>
    <w:qFormat/>
    <w:uiPriority w:val="0"/>
    <w:pPr>
      <w:spacing w:beforeLines="0" w:afterLines="0" w:line="360" w:lineRule="auto"/>
      <w:ind w:left="0" w:firstLine="0"/>
    </w:pPr>
    <w:rPr>
      <w:b/>
      <w:sz w:val="30"/>
      <w:szCs w:val="20"/>
    </w:rPr>
  </w:style>
  <w:style w:type="paragraph" w:customStyle="1" w:styleId="101">
    <w:name w:val="默认段落字体 Para Char Char Char Char Char Char Char"/>
    <w:basedOn w:val="1"/>
    <w:qFormat/>
    <w:uiPriority w:val="0"/>
    <w:rPr>
      <w:rFonts w:ascii="Tahoma" w:hAnsi="Tahoma" w:cs="Tahoma"/>
      <w:sz w:val="24"/>
    </w:rPr>
  </w:style>
  <w:style w:type="paragraph" w:customStyle="1" w:styleId="102">
    <w:name w:val="样式7"/>
    <w:basedOn w:val="1"/>
    <w:qFormat/>
    <w:uiPriority w:val="0"/>
    <w:pPr>
      <w:adjustRightInd w:val="0"/>
      <w:spacing w:beforeLines="50" w:afterLines="50" w:line="360" w:lineRule="auto"/>
      <w:ind w:firstLine="669"/>
      <w:textAlignment w:val="baseline"/>
    </w:pPr>
    <w:rPr>
      <w:rFonts w:ascii="宋体"/>
      <w:kern w:val="0"/>
      <w:sz w:val="28"/>
      <w:szCs w:val="20"/>
    </w:rPr>
  </w:style>
  <w:style w:type="paragraph" w:customStyle="1" w:styleId="103">
    <w:name w:val="S4-L15-No"/>
    <w:basedOn w:val="104"/>
    <w:qFormat/>
    <w:uiPriority w:val="0"/>
    <w:pPr>
      <w:numPr>
        <w:ilvl w:val="0"/>
        <w:numId w:val="9"/>
      </w:numPr>
    </w:pPr>
  </w:style>
  <w:style w:type="paragraph" w:customStyle="1" w:styleId="104">
    <w:name w:val="S4-L15"/>
    <w:basedOn w:val="1"/>
    <w:qFormat/>
    <w:uiPriority w:val="0"/>
    <w:pPr>
      <w:spacing w:after="120" w:line="360" w:lineRule="auto"/>
      <w:ind w:left="720" w:firstLine="392"/>
    </w:pPr>
    <w:rPr>
      <w:szCs w:val="21"/>
      <w:lang w:val="fr-FR" w:eastAsia="fr-FR"/>
    </w:rPr>
  </w:style>
  <w:style w:type="paragraph" w:customStyle="1" w:styleId="105">
    <w:name w:val="标准标题1"/>
    <w:basedOn w:val="3"/>
    <w:qFormat/>
    <w:uiPriority w:val="0"/>
    <w:pPr>
      <w:pageBreakBefore/>
      <w:tabs>
        <w:tab w:val="left" w:pos="1080"/>
        <w:tab w:val="clear" w:pos="360"/>
      </w:tabs>
      <w:autoSpaceDE/>
      <w:autoSpaceDN/>
      <w:adjustRightInd/>
      <w:spacing w:line="576" w:lineRule="auto"/>
      <w:ind w:left="425" w:hanging="425"/>
      <w:jc w:val="both"/>
      <w:textAlignment w:val="auto"/>
    </w:pPr>
    <w:rPr>
      <w:rFonts w:ascii="Times New Roman" w:hAnsi="Times New Roman" w:eastAsia="仿宋_GB2312"/>
      <w:bCs/>
      <w:color w:val="auto"/>
      <w:sz w:val="32"/>
      <w:szCs w:val="44"/>
    </w:rPr>
  </w:style>
  <w:style w:type="paragraph" w:customStyle="1" w:styleId="106">
    <w:name w:val="样式 样式 正文文本缩进 + 仿宋_GB2312 小四 首行缩进:  0 厘米 行距: 1.5 倍行距 + (中文) 仿宋_GB... Char Char"/>
    <w:basedOn w:val="90"/>
    <w:qFormat/>
    <w:uiPriority w:val="0"/>
    <w:pPr>
      <w:ind w:firstLine="200" w:firstLineChars="200"/>
    </w:pPr>
  </w:style>
  <w:style w:type="paragraph" w:customStyle="1" w:styleId="107">
    <w:name w:val="Char1 Char Char Char"/>
    <w:basedOn w:val="1"/>
    <w:qFormat/>
    <w:uiPriority w:val="0"/>
    <w:pPr>
      <w:numPr>
        <w:ilvl w:val="2"/>
        <w:numId w:val="7"/>
      </w:numPr>
    </w:pPr>
    <w:rPr>
      <w:rFonts w:ascii="宋体"/>
      <w:spacing w:val="-6"/>
      <w:szCs w:val="20"/>
    </w:rPr>
  </w:style>
  <w:style w:type="paragraph" w:customStyle="1" w:styleId="10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109">
    <w:name w:val="表格文字"/>
    <w:basedOn w:val="1"/>
    <w:next w:val="20"/>
    <w:qFormat/>
    <w:uiPriority w:val="0"/>
    <w:pPr>
      <w:adjustRightInd w:val="0"/>
      <w:spacing w:line="420" w:lineRule="atLeast"/>
      <w:jc w:val="left"/>
      <w:textAlignment w:val="baseline"/>
    </w:pPr>
    <w:rPr>
      <w:kern w:val="0"/>
    </w:rPr>
  </w:style>
  <w:style w:type="paragraph" w:customStyle="1" w:styleId="110">
    <w:name w:val="S4-B-L15"/>
    <w:basedOn w:val="1"/>
    <w:qFormat/>
    <w:uiPriority w:val="0"/>
    <w:pPr>
      <w:spacing w:line="360" w:lineRule="auto"/>
    </w:pPr>
    <w:rPr>
      <w:b/>
      <w:bCs/>
      <w:sz w:val="24"/>
    </w:rPr>
  </w:style>
  <w:style w:type="paragraph" w:customStyle="1" w:styleId="11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12">
    <w:name w:val="表格标题"/>
    <w:basedOn w:val="113"/>
    <w:qFormat/>
    <w:uiPriority w:val="0"/>
    <w:pPr>
      <w:jc w:val="center"/>
    </w:pPr>
    <w:rPr>
      <w:b/>
      <w:bCs/>
      <w:i/>
      <w:iCs/>
    </w:rPr>
  </w:style>
  <w:style w:type="paragraph" w:customStyle="1" w:styleId="113">
    <w:name w:val="表格内容"/>
    <w:basedOn w:val="20"/>
    <w:qFormat/>
    <w:uiPriority w:val="0"/>
    <w:pPr>
      <w:suppressLineNumbers/>
      <w:suppressAutoHyphens/>
    </w:pPr>
    <w:rPr>
      <w:sz w:val="21"/>
      <w:lang w:eastAsia="ar-SA"/>
    </w:rPr>
  </w:style>
  <w:style w:type="paragraph" w:customStyle="1" w:styleId="114">
    <w:name w:val="首行缩进"/>
    <w:basedOn w:val="1"/>
    <w:qFormat/>
    <w:uiPriority w:val="0"/>
    <w:pPr>
      <w:widowControl/>
      <w:numPr>
        <w:ilvl w:val="6"/>
        <w:numId w:val="2"/>
      </w:numPr>
      <w:tabs>
        <w:tab w:val="left" w:pos="822"/>
        <w:tab w:val="clear" w:pos="3120"/>
      </w:tabs>
      <w:snapToGrid w:val="0"/>
      <w:spacing w:before="40" w:after="40" w:line="300" w:lineRule="atLeast"/>
    </w:pPr>
    <w:rPr>
      <w:rFonts w:ascii="Arial" w:hAnsi="Arial"/>
      <w:kern w:val="0"/>
      <w:szCs w:val="20"/>
    </w:rPr>
  </w:style>
  <w:style w:type="paragraph" w:customStyle="1" w:styleId="115">
    <w:name w:val="样式 标题 4Chapter X.X.X. + 段后: 0.5 行1 + 段后: 0.5 行"/>
    <w:basedOn w:val="116"/>
    <w:qFormat/>
    <w:uiPriority w:val="0"/>
    <w:rPr>
      <w:szCs w:val="21"/>
    </w:rPr>
  </w:style>
  <w:style w:type="paragraph" w:customStyle="1" w:styleId="116">
    <w:name w:val="样式 标题 4Chapter X.X.X. + 段后: 0.5 行1"/>
    <w:basedOn w:val="6"/>
    <w:next w:val="6"/>
    <w:qFormat/>
    <w:uiPriority w:val="0"/>
    <w:pPr>
      <w:keepLines w:val="0"/>
      <w:spacing w:before="120" w:afterLines="50" w:line="240" w:lineRule="auto"/>
      <w:ind w:left="425" w:hanging="425"/>
      <w:jc w:val="left"/>
    </w:pPr>
    <w:rPr>
      <w:rFonts w:ascii="宋体" w:eastAsia="宋体" w:cs="宋体"/>
      <w:snapToGrid w:val="0"/>
      <w:kern w:val="0"/>
      <w:sz w:val="21"/>
      <w:szCs w:val="20"/>
    </w:rPr>
  </w:style>
  <w:style w:type="paragraph" w:customStyle="1" w:styleId="117">
    <w:name w:val="Char1"/>
    <w:basedOn w:val="1"/>
    <w:qFormat/>
    <w:uiPriority w:val="0"/>
    <w:rPr>
      <w:rFonts w:ascii="仿宋_GB2312" w:eastAsia="仿宋_GB2312"/>
      <w:b/>
      <w:sz w:val="32"/>
      <w:szCs w:val="32"/>
    </w:rPr>
  </w:style>
  <w:style w:type="paragraph" w:customStyle="1" w:styleId="118">
    <w:name w:val="Paragraph1"/>
    <w:basedOn w:val="1"/>
    <w:qFormat/>
    <w:uiPriority w:val="0"/>
    <w:pPr>
      <w:spacing w:before="80" w:afterLines="50"/>
    </w:pPr>
    <w:rPr>
      <w:rFonts w:ascii="宋体"/>
      <w:snapToGrid w:val="0"/>
      <w:kern w:val="0"/>
      <w:szCs w:val="20"/>
    </w:rPr>
  </w:style>
  <w:style w:type="paragraph" w:customStyle="1" w:styleId="119">
    <w:name w:val="样式 样式 标题 4 + 段后: 0.5 行 + 段后: 0.5 行"/>
    <w:basedOn w:val="50"/>
    <w:qFormat/>
    <w:uiPriority w:val="0"/>
  </w:style>
  <w:style w:type="paragraph" w:customStyle="1" w:styleId="120">
    <w:name w:val="InfoBlue"/>
    <w:basedOn w:val="1"/>
    <w:next w:val="20"/>
    <w:qFormat/>
    <w:uiPriority w:val="0"/>
    <w:pPr>
      <w:spacing w:afterLines="50"/>
      <w:ind w:left="720"/>
      <w:jc w:val="left"/>
    </w:pPr>
    <w:rPr>
      <w:rFonts w:ascii="宋体"/>
      <w:i/>
      <w:snapToGrid w:val="0"/>
      <w:color w:val="0000FF"/>
      <w:kern w:val="0"/>
      <w:szCs w:val="20"/>
    </w:rPr>
  </w:style>
  <w:style w:type="paragraph" w:customStyle="1" w:styleId="121">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122">
    <w:name w:val="Paragraph2"/>
    <w:basedOn w:val="1"/>
    <w:qFormat/>
    <w:uiPriority w:val="0"/>
    <w:pPr>
      <w:spacing w:before="80" w:afterLines="50"/>
      <w:ind w:left="720"/>
    </w:pPr>
    <w:rPr>
      <w:rFonts w:ascii="宋体"/>
      <w:snapToGrid w:val="0"/>
      <w:color w:val="000000"/>
      <w:kern w:val="0"/>
      <w:szCs w:val="20"/>
      <w:lang w:val="en-AU" w:eastAsia="en-AU"/>
    </w:rPr>
  </w:style>
  <w:style w:type="paragraph" w:customStyle="1" w:styleId="123">
    <w:name w:val="样式 标题 1 + 五号1 Char Char Char Char Char Char Char Char Char Char Char Char Char Char Char Char Char"/>
    <w:basedOn w:val="3"/>
    <w:qFormat/>
    <w:uiPriority w:val="0"/>
    <w:pPr>
      <w:tabs>
        <w:tab w:val="clear" w:pos="360"/>
      </w:tabs>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24">
    <w:name w:val="样式　标题4"/>
    <w:basedOn w:val="116"/>
    <w:next w:val="1"/>
    <w:qFormat/>
    <w:uiPriority w:val="0"/>
    <w:pPr>
      <w:numPr>
        <w:ilvl w:val="1"/>
        <w:numId w:val="7"/>
      </w:numPr>
      <w:ind w:left="425" w:hanging="425"/>
    </w:pPr>
  </w:style>
  <w:style w:type="paragraph" w:customStyle="1" w:styleId="125">
    <w:name w:val="Blockquote"/>
    <w:basedOn w:val="1"/>
    <w:qFormat/>
    <w:uiPriority w:val="0"/>
    <w:pPr>
      <w:widowControl/>
      <w:spacing w:before="100" w:afterLines="50"/>
      <w:ind w:left="360" w:right="360"/>
      <w:jc w:val="left"/>
    </w:pPr>
    <w:rPr>
      <w:rFonts w:ascii="宋体"/>
      <w:snapToGrid w:val="0"/>
      <w:kern w:val="0"/>
      <w:sz w:val="24"/>
      <w:szCs w:val="20"/>
      <w:lang w:val="en-CA" w:eastAsia="en-CA"/>
    </w:rPr>
  </w:style>
  <w:style w:type="paragraph" w:customStyle="1" w:styleId="126">
    <w:name w:val="样式 标题 2Chapter X.X. Statementh22Header 2l2Level 2 Headhea..."/>
    <w:basedOn w:val="4"/>
    <w:qFormat/>
    <w:uiPriority w:val="0"/>
    <w:pPr>
      <w:keepLines w:val="0"/>
      <w:spacing w:before="120" w:afterLines="50" w:line="240" w:lineRule="auto"/>
      <w:jc w:val="left"/>
    </w:pPr>
    <w:rPr>
      <w:rFonts w:ascii="宋体" w:eastAsia="宋体" w:cs="宋体"/>
      <w:snapToGrid w:val="0"/>
      <w:kern w:val="0"/>
      <w:sz w:val="24"/>
      <w:szCs w:val="24"/>
    </w:rPr>
  </w:style>
  <w:style w:type="paragraph" w:customStyle="1" w:styleId="127">
    <w:name w:val="4"/>
    <w:basedOn w:val="1"/>
    <w:qFormat/>
    <w:uiPriority w:val="0"/>
    <w:pPr>
      <w:widowControl/>
      <w:spacing w:before="100" w:beforeAutospacing="1" w:after="100" w:afterAutospacing="1"/>
      <w:jc w:val="left"/>
    </w:pPr>
    <w:rPr>
      <w:rFonts w:ascii="宋体" w:cs="宋体"/>
      <w:kern w:val="0"/>
      <w:sz w:val="24"/>
    </w:rPr>
  </w:style>
  <w:style w:type="paragraph" w:customStyle="1" w:styleId="128">
    <w:name w:val="样式 模板描述"/>
    <w:basedOn w:val="1"/>
    <w:next w:val="51"/>
    <w:qFormat/>
    <w:uiPriority w:val="0"/>
    <w:pPr>
      <w:numPr>
        <w:ilvl w:val="0"/>
        <w:numId w:val="7"/>
      </w:numPr>
      <w:spacing w:afterLines="50"/>
      <w:jc w:val="left"/>
    </w:pPr>
    <w:rPr>
      <w:rFonts w:ascii="宋体" w:cs="宋体"/>
      <w:i/>
      <w:iCs/>
      <w:snapToGrid w:val="0"/>
      <w:color w:val="0000FF"/>
      <w:kern w:val="0"/>
      <w:szCs w:val="21"/>
    </w:rPr>
  </w:style>
  <w:style w:type="paragraph" w:customStyle="1" w:styleId="129">
    <w:name w:val="样式 标题 3Chapter X.X.X. + 段后: 0.5 行"/>
    <w:basedOn w:val="5"/>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30">
    <w:name w:val="Tabletext"/>
    <w:basedOn w:val="1"/>
    <w:qFormat/>
    <w:uiPriority w:val="0"/>
    <w:pPr>
      <w:keepLines/>
      <w:spacing w:afterLines="50"/>
      <w:jc w:val="left"/>
    </w:pPr>
    <w:rPr>
      <w:rFonts w:ascii="宋体"/>
      <w:snapToGrid w:val="0"/>
      <w:kern w:val="0"/>
      <w:szCs w:val="20"/>
    </w:rPr>
  </w:style>
  <w:style w:type="paragraph" w:customStyle="1" w:styleId="131">
    <w:name w:val="样式 标题 3Chapter X.X.X. + 五号 段后: 0.5 行"/>
    <w:basedOn w:val="5"/>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132">
    <w:name w:val="IBM 正文"/>
    <w:basedOn w:val="1"/>
    <w:qFormat/>
    <w:uiPriority w:val="0"/>
    <w:pPr>
      <w:spacing w:line="360" w:lineRule="atLeast"/>
    </w:pPr>
    <w:rPr>
      <w:sz w:val="24"/>
      <w:szCs w:val="20"/>
    </w:rPr>
  </w:style>
  <w:style w:type="paragraph" w:customStyle="1" w:styleId="133">
    <w:name w:val="P3"/>
    <w:basedOn w:val="1"/>
    <w:qFormat/>
    <w:uiPriority w:val="0"/>
    <w:pPr>
      <w:widowControl/>
      <w:spacing w:before="240" w:line="240" w:lineRule="atLeast"/>
      <w:ind w:left="1152"/>
      <w:jc w:val="left"/>
    </w:pPr>
    <w:rPr>
      <w:b/>
      <w:kern w:val="0"/>
      <w:szCs w:val="21"/>
      <w:lang w:val="en-AU" w:eastAsia="en-US"/>
    </w:rPr>
  </w:style>
  <w:style w:type="paragraph" w:styleId="134">
    <w:name w:val="List Paragraph"/>
    <w:basedOn w:val="1"/>
    <w:qFormat/>
    <w:uiPriority w:val="0"/>
    <w:pPr>
      <w:ind w:firstLine="200" w:firstLineChars="200"/>
    </w:pPr>
    <w:rPr>
      <w:rFonts w:ascii="Calibri" w:hAnsi="Calibri"/>
      <w:szCs w:val="22"/>
    </w:rPr>
  </w:style>
  <w:style w:type="paragraph" w:customStyle="1" w:styleId="135">
    <w:name w:val="S4-I-U-L15-No-dot"/>
    <w:basedOn w:val="1"/>
    <w:qFormat/>
    <w:uiPriority w:val="0"/>
    <w:pPr>
      <w:numPr>
        <w:ilvl w:val="1"/>
        <w:numId w:val="10"/>
      </w:numPr>
      <w:tabs>
        <w:tab w:val="left" w:pos="1112"/>
        <w:tab w:val="clear" w:pos="840"/>
      </w:tabs>
      <w:spacing w:after="120" w:line="360" w:lineRule="auto"/>
      <w:ind w:left="1112"/>
    </w:pPr>
    <w:rPr>
      <w:i/>
      <w:sz w:val="24"/>
      <w:u w:val="single"/>
    </w:rPr>
  </w:style>
  <w:style w:type="paragraph" w:customStyle="1" w:styleId="136">
    <w:name w:val="样式 标题 3(A-3)sect1.2.3h3H3level_3PIM 3Level 3 HeadHeading..."/>
    <w:basedOn w:val="5"/>
    <w:qFormat/>
    <w:uiPriority w:val="0"/>
    <w:pPr>
      <w:keepNext/>
      <w:keepLines/>
      <w:tabs>
        <w:tab w:val="left" w:pos="0"/>
      </w:tabs>
      <w:autoSpaceDE/>
      <w:autoSpaceDN/>
      <w:adjustRightInd/>
      <w:spacing w:before="260" w:after="260" w:line="410" w:lineRule="auto"/>
      <w:ind w:left="0" w:firstLine="0"/>
      <w:textAlignment w:val="auto"/>
    </w:pPr>
    <w:rPr>
      <w:rFonts w:ascii="Arial" w:hAnsi="Arial" w:eastAsia="宋体"/>
      <w:bCs/>
      <w:color w:val="auto"/>
      <w:kern w:val="2"/>
      <w:sz w:val="30"/>
      <w:szCs w:val="32"/>
    </w:rPr>
  </w:style>
  <w:style w:type="paragraph" w:customStyle="1" w:styleId="137">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 + 五号"/>
    <w:basedOn w:val="3"/>
    <w:qFormat/>
    <w:uiPriority w:val="0"/>
    <w:pPr>
      <w:tabs>
        <w:tab w:val="clear" w:pos="360"/>
      </w:tabs>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40">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41">
    <w:name w:val="Char Char Char Char Char Char Char"/>
    <w:basedOn w:val="1"/>
    <w:qFormat/>
    <w:uiPriority w:val="0"/>
    <w:rPr>
      <w:rFonts w:ascii="仿宋_GB2312" w:eastAsia="仿宋_GB2312"/>
      <w:b/>
      <w:sz w:val="32"/>
      <w:szCs w:val="32"/>
    </w:rPr>
  </w:style>
  <w:style w:type="paragraph" w:customStyle="1" w:styleId="142">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143">
    <w:name w:val="Table Description"/>
    <w:next w:val="1"/>
    <w:qFormat/>
    <w:uiPriority w:val="0"/>
    <w:pPr>
      <w:keepNext/>
      <w:numPr>
        <w:ilvl w:val="5"/>
        <w:numId w:val="2"/>
      </w:numPr>
      <w:snapToGrid w:val="0"/>
      <w:spacing w:before="160" w:after="80"/>
      <w:jc w:val="center"/>
    </w:pPr>
    <w:rPr>
      <w:rFonts w:ascii="Arial" w:hAnsi="Arial" w:eastAsia="黑体" w:cs="Times New Roman"/>
      <w:sz w:val="18"/>
      <w:lang w:val="en-US" w:eastAsia="en-US" w:bidi="ar-SA"/>
    </w:rPr>
  </w:style>
  <w:style w:type="paragraph" w:customStyle="1" w:styleId="144">
    <w:name w:val="Char Char1 Char"/>
    <w:basedOn w:val="1"/>
    <w:qFormat/>
    <w:uiPriority w:val="0"/>
    <w:rPr>
      <w:rFonts w:ascii="仿宋_GB2312" w:eastAsia="仿宋_GB2312"/>
      <w:b/>
      <w:sz w:val="32"/>
      <w:szCs w:val="32"/>
    </w:rPr>
  </w:style>
  <w:style w:type="paragraph" w:customStyle="1" w:styleId="145">
    <w:name w:val="样式 样式 标题 3Chapter X.X.X. + 段后: 0.5 行 + 段后: 0.5 行"/>
    <w:basedOn w:val="129"/>
    <w:qFormat/>
    <w:uiPriority w:val="0"/>
    <w:pPr/>
  </w:style>
  <w:style w:type="paragraph" w:customStyle="1" w:styleId="146">
    <w:name w:val="P1"/>
    <w:basedOn w:val="1"/>
    <w:qFormat/>
    <w:uiPriority w:val="0"/>
    <w:pPr>
      <w:widowControl/>
      <w:spacing w:before="240" w:line="240" w:lineRule="atLeast"/>
      <w:jc w:val="left"/>
    </w:pPr>
    <w:rPr>
      <w:b/>
      <w:kern w:val="0"/>
      <w:szCs w:val="21"/>
      <w:lang w:val="en-AU" w:eastAsia="en-US"/>
    </w:rPr>
  </w:style>
  <w:style w:type="paragraph" w:customStyle="1" w:styleId="147">
    <w:name w:val="paragraph1"/>
    <w:basedOn w:val="1"/>
    <w:qFormat/>
    <w:uiPriority w:val="0"/>
    <w:pPr>
      <w:spacing w:afterLines="30" w:line="360" w:lineRule="auto"/>
      <w:ind w:firstLine="200" w:firstLineChars="200"/>
    </w:pPr>
    <w:rPr>
      <w:rFonts w:eastAsia="楷体_GB2312"/>
      <w:sz w:val="24"/>
      <w:szCs w:val="20"/>
    </w:rPr>
  </w:style>
  <w:style w:type="paragraph" w:customStyle="1" w:styleId="14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49">
    <w:name w:val="表内文字"/>
    <w:basedOn w:val="1"/>
    <w:qFormat/>
    <w:uiPriority w:val="0"/>
    <w:pPr>
      <w:tabs>
        <w:tab w:val="left" w:pos="1418"/>
      </w:tabs>
      <w:spacing w:line="360" w:lineRule="auto"/>
      <w:jc w:val="center"/>
    </w:pPr>
    <w:rPr>
      <w:rFonts w:ascii="宋体"/>
      <w:spacing w:val="-20"/>
      <w:kern w:val="0"/>
      <w:sz w:val="24"/>
    </w:rPr>
  </w:style>
  <w:style w:type="paragraph" w:customStyle="1" w:styleId="150">
    <w:name w:val="Bullet1"/>
    <w:basedOn w:val="1"/>
    <w:qFormat/>
    <w:uiPriority w:val="0"/>
    <w:pPr>
      <w:spacing w:afterLines="50"/>
      <w:ind w:left="720" w:hanging="432"/>
      <w:jc w:val="left"/>
    </w:pPr>
    <w:rPr>
      <w:rFonts w:ascii="宋体"/>
      <w:snapToGrid w:val="0"/>
      <w:kern w:val="0"/>
      <w:szCs w:val="20"/>
    </w:rPr>
  </w:style>
  <w:style w:type="paragraph" w:customStyle="1" w:styleId="151">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2">
    <w:name w:val="默认段落字体 Para Char Char Char Char Char Char Char Char Char1 Char Char Char Char"/>
    <w:basedOn w:val="1"/>
    <w:qFormat/>
    <w:uiPriority w:val="0"/>
    <w:rPr>
      <w:rFonts w:ascii="Tahoma" w:hAnsi="Tahoma"/>
      <w:sz w:val="24"/>
      <w:szCs w:val="20"/>
    </w:rPr>
  </w:style>
  <w:style w:type="paragraph" w:customStyle="1" w:styleId="153">
    <w:name w:val="Bullet"/>
    <w:basedOn w:val="1"/>
    <w:qFormat/>
    <w:uiPriority w:val="0"/>
    <w:pPr>
      <w:widowControl/>
      <w:numPr>
        <w:ilvl w:val="0"/>
        <w:numId w:val="11"/>
      </w:numPr>
      <w:tabs>
        <w:tab w:val="left" w:pos="720"/>
        <w:tab w:val="clear" w:pos="900"/>
      </w:tabs>
      <w:spacing w:before="120" w:afterLines="50"/>
      <w:ind w:left="720" w:right="360"/>
    </w:pPr>
    <w:rPr>
      <w:rFonts w:ascii="宋体"/>
      <w:snapToGrid w:val="0"/>
      <w:kern w:val="0"/>
      <w:szCs w:val="20"/>
    </w:rPr>
  </w:style>
  <w:style w:type="paragraph" w:customStyle="1" w:styleId="154">
    <w:name w:val="样式2"/>
    <w:basedOn w:val="4"/>
    <w:qFormat/>
    <w:uiPriority w:val="0"/>
    <w:pPr>
      <w:numPr>
        <w:ilvl w:val="1"/>
        <w:numId w:val="12"/>
      </w:numPr>
    </w:pPr>
    <w:rPr>
      <w:rFonts w:eastAsia="宋体"/>
    </w:rPr>
  </w:style>
  <w:style w:type="paragraph" w:customStyle="1" w:styleId="155">
    <w:name w:val="P2"/>
    <w:basedOn w:val="1"/>
    <w:qFormat/>
    <w:uiPriority w:val="0"/>
    <w:pPr>
      <w:widowControl/>
      <w:spacing w:before="240" w:line="240" w:lineRule="atLeast"/>
      <w:ind w:left="578"/>
      <w:jc w:val="left"/>
    </w:pPr>
    <w:rPr>
      <w:b/>
      <w:kern w:val="0"/>
      <w:szCs w:val="21"/>
      <w:lang w:val="en-AU" w:eastAsia="en-US"/>
    </w:rPr>
  </w:style>
  <w:style w:type="paragraph" w:customStyle="1" w:styleId="156">
    <w:name w:val="Main Title"/>
    <w:basedOn w:val="1"/>
    <w:qFormat/>
    <w:uiPriority w:val="0"/>
    <w:pPr>
      <w:spacing w:before="480" w:afterLines="50"/>
      <w:jc w:val="center"/>
    </w:pPr>
    <w:rPr>
      <w:rFonts w:ascii="宋体"/>
      <w:b/>
      <w:snapToGrid w:val="0"/>
      <w:kern w:val="28"/>
      <w:sz w:val="32"/>
      <w:szCs w:val="20"/>
    </w:rPr>
  </w:style>
  <w:style w:type="paragraph" w:customStyle="1" w:styleId="157">
    <w:name w:val="Item List"/>
    <w:qFormat/>
    <w:uiPriority w:val="0"/>
    <w:pPr>
      <w:numPr>
        <w:ilvl w:val="0"/>
        <w:numId w:val="13"/>
      </w:numPr>
      <w:spacing w:line="300" w:lineRule="auto"/>
      <w:jc w:val="both"/>
    </w:pPr>
    <w:rPr>
      <w:rFonts w:ascii="Arial" w:hAnsi="Arial" w:eastAsia="宋体" w:cs="Times New Roman"/>
      <w:sz w:val="21"/>
      <w:lang w:val="en-US" w:eastAsia="en-US" w:bidi="ar-SA"/>
    </w:rPr>
  </w:style>
  <w:style w:type="paragraph" w:customStyle="1" w:styleId="15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59">
    <w:name w:val="样式 标题 3Chapter X.X.X. + 段后: 0.5 行1"/>
    <w:basedOn w:val="5"/>
    <w:next w:val="1"/>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60">
    <w:name w:val="标题 3Chapter X.X.X. + 段后: 0.5 行 + 段后: 0.5 行 + 段后: 0.5 行1"/>
    <w:basedOn w:val="145"/>
    <w:qFormat/>
    <w:uiPriority w:val="0"/>
    <w:pPr/>
  </w:style>
  <w:style w:type="paragraph" w:customStyle="1" w:styleId="161">
    <w:name w:val="文本框内文字"/>
    <w:basedOn w:val="1"/>
    <w:qFormat/>
    <w:uiPriority w:val="0"/>
    <w:pPr>
      <w:spacing w:line="0" w:lineRule="atLeast"/>
    </w:pPr>
    <w:rPr>
      <w:rFonts w:eastAsia="仿宋_GB2312"/>
      <w:sz w:val="22"/>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Char Char23 Char Char Char Char Char Char Char Char"/>
    <w:basedOn w:val="1"/>
    <w:qFormat/>
    <w:uiPriority w:val="0"/>
    <w:pPr>
      <w:jc w:val="center"/>
    </w:pPr>
    <w:rPr>
      <w:rFonts w:ascii="仿宋_GB2312" w:eastAsia="仿宋_GB2312"/>
      <w:b/>
      <w:kern w:val="0"/>
      <w:sz w:val="32"/>
      <w:szCs w:val="32"/>
      <w:lang w:val="en-GB" w:eastAsia="en-GB"/>
    </w:rPr>
  </w:style>
  <w:style w:type="paragraph" w:customStyle="1" w:styleId="164">
    <w:name w:val="[Normal]"/>
    <w:qFormat/>
    <w:uiPriority w:val="0"/>
    <w:rPr>
      <w:rFonts w:ascii="宋体" w:hAnsi="宋体" w:eastAsia="宋体" w:cs="Times New Roman"/>
      <w:sz w:val="24"/>
      <w:lang w:val="en-US" w:eastAsia="en-US" w:bidi="ar-SA"/>
    </w:rPr>
  </w:style>
  <w:style w:type="paragraph" w:customStyle="1" w:styleId="165">
    <w:name w:val="S4-L15-C"/>
    <w:basedOn w:val="1"/>
    <w:qFormat/>
    <w:uiPriority w:val="0"/>
    <w:pPr>
      <w:spacing w:after="120" w:line="360" w:lineRule="auto"/>
      <w:jc w:val="center"/>
    </w:pPr>
    <w:rPr>
      <w:szCs w:val="21"/>
    </w:rPr>
  </w:style>
  <w:style w:type="paragraph" w:customStyle="1" w:styleId="166">
    <w:name w:val="Char Char Char Char1"/>
    <w:basedOn w:val="1"/>
    <w:qFormat/>
    <w:uiPriority w:val="0"/>
    <w:rPr>
      <w:rFonts w:ascii="仿宋_GB2312" w:eastAsia="仿宋_GB2312"/>
      <w:b/>
      <w:sz w:val="32"/>
      <w:szCs w:val="32"/>
    </w:rPr>
  </w:style>
  <w:style w:type="paragraph" w:customStyle="1" w:styleId="167">
    <w:name w:val="样式 样式 样式 标题 3Chapter X.X.X. + 段后: 0.5 行 + 段后: 0.5 行 + 段后: 0.5 行"/>
    <w:basedOn w:val="145"/>
    <w:qFormat/>
    <w:uiPriority w:val="0"/>
    <w:pPr>
      <w:spacing w:afterLines="0"/>
    </w:pPr>
  </w:style>
  <w:style w:type="paragraph" w:customStyle="1" w:styleId="168">
    <w:name w:val="标准标题2"/>
    <w:basedOn w:val="4"/>
    <w:qFormat/>
    <w:uiPriority w:val="0"/>
    <w:pPr>
      <w:spacing w:line="360" w:lineRule="auto"/>
    </w:pPr>
    <w:rPr>
      <w:rFonts w:eastAsia="仿宋_GB2312"/>
      <w:bCs w:val="0"/>
      <w:sz w:val="28"/>
    </w:rPr>
  </w:style>
  <w:style w:type="paragraph" w:customStyle="1" w:styleId="1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0">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71">
    <w:name w:val="二级项目符号"/>
    <w:basedOn w:val="1"/>
    <w:qFormat/>
    <w:uiPriority w:val="0"/>
    <w:pPr>
      <w:widowControl/>
      <w:tabs>
        <w:tab w:val="left" w:pos="900"/>
      </w:tabs>
      <w:spacing w:line="360" w:lineRule="auto"/>
      <w:ind w:left="900" w:hanging="420"/>
    </w:pPr>
    <w:rPr>
      <w:kern w:val="0"/>
      <w:sz w:val="24"/>
      <w:szCs w:val="20"/>
    </w:rPr>
  </w:style>
  <w:style w:type="paragraph" w:customStyle="1" w:styleId="172">
    <w:name w:val="Style-正文"/>
    <w:basedOn w:val="1"/>
    <w:qFormat/>
    <w:uiPriority w:val="0"/>
    <w:pPr>
      <w:spacing w:line="360" w:lineRule="auto"/>
      <w:ind w:firstLine="420"/>
    </w:pPr>
    <w:rPr>
      <w:rFonts w:ascii="宋体"/>
      <w:sz w:val="24"/>
    </w:rPr>
  </w:style>
  <w:style w:type="paragraph" w:customStyle="1" w:styleId="173">
    <w:name w:val="标准有序列表（L1）"/>
    <w:basedOn w:val="14"/>
    <w:qFormat/>
    <w:uiPriority w:val="0"/>
    <w:pPr>
      <w:numPr>
        <w:ilvl w:val="4"/>
        <w:numId w:val="14"/>
      </w:numPr>
      <w:tabs>
        <w:tab w:val="left" w:pos="0"/>
        <w:tab w:val="left" w:pos="2100"/>
        <w:tab w:val="clear" w:pos="2040"/>
      </w:tabs>
      <w:spacing w:line="360" w:lineRule="auto"/>
      <w:ind w:left="0" w:firstLine="0"/>
    </w:pPr>
    <w:rPr>
      <w:rFonts w:ascii="黑体" w:eastAsia="黑体"/>
      <w:color w:val="000000"/>
      <w:sz w:val="24"/>
    </w:rPr>
  </w:style>
  <w:style w:type="paragraph" w:customStyle="1" w:styleId="174">
    <w:name w:val="样式 样式3 + 宋体 五号 Char Char Char"/>
    <w:basedOn w:val="1"/>
    <w:qFormat/>
    <w:uiPriority w:val="0"/>
    <w:pPr>
      <w:keepNext/>
      <w:keepLines/>
      <w:tabs>
        <w:tab w:val="left" w:pos="1200"/>
      </w:tabs>
      <w:ind w:left="1200" w:hanging="360"/>
      <w:jc w:val="left"/>
      <w:outlineLvl w:val="7"/>
    </w:pPr>
    <w:rPr>
      <w:rFonts w:ascii="宋体"/>
      <w:b/>
      <w:bCs/>
    </w:rPr>
  </w:style>
  <w:style w:type="paragraph" w:customStyle="1" w:styleId="175">
    <w:name w:val="Char Char Char"/>
    <w:basedOn w:val="1"/>
    <w:qFormat/>
    <w:uiPriority w:val="0"/>
    <w:rPr>
      <w:rFonts w:ascii="仿宋_GB2312" w:eastAsia="仿宋_GB2312"/>
      <w:b/>
      <w:sz w:val="32"/>
      <w:szCs w:val="32"/>
    </w:rPr>
  </w:style>
  <w:style w:type="paragraph" w:customStyle="1" w:styleId="176">
    <w:name w:val="最新标题1"/>
    <w:basedOn w:val="41"/>
    <w:next w:val="43"/>
    <w:qFormat/>
    <w:uiPriority w:val="0"/>
    <w:pPr>
      <w:numPr>
        <w:numId w:val="6"/>
      </w:numPr>
      <w:tabs>
        <w:tab w:val="left" w:pos="360"/>
        <w:tab w:val="left" w:pos="1140"/>
      </w:tabs>
      <w:spacing w:after="120"/>
      <w:ind w:left="1140" w:hanging="720"/>
    </w:pPr>
    <w:rPr>
      <w:bCs/>
    </w:rPr>
  </w:style>
  <w:style w:type="paragraph" w:customStyle="1" w:styleId="17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78">
    <w:name w:val="Plain Text1"/>
    <w:basedOn w:val="1"/>
    <w:qFormat/>
    <w:uiPriority w:val="0"/>
    <w:pPr>
      <w:autoSpaceDE w:val="0"/>
      <w:autoSpaceDN w:val="0"/>
      <w:adjustRightInd w:val="0"/>
      <w:spacing w:line="360" w:lineRule="auto"/>
    </w:pPr>
    <w:rPr>
      <w:rFonts w:ascii="宋体"/>
      <w:sz w:val="24"/>
      <w:szCs w:val="20"/>
    </w:rPr>
  </w:style>
  <w:style w:type="paragraph" w:customStyle="1" w:styleId="179">
    <w:name w:val="沈标题四"/>
    <w:basedOn w:val="6"/>
    <w:next w:val="1"/>
    <w:qFormat/>
    <w:uiPriority w:val="0"/>
    <w:pPr>
      <w:keepNext w:val="0"/>
      <w:keepLines w:val="0"/>
      <w:spacing w:line="374" w:lineRule="auto"/>
    </w:pPr>
    <w:rPr>
      <w:rFonts w:ascii="Arial Narrow" w:hAnsi="Arial Narrow" w:eastAsia="方正姚体"/>
      <w:b w:val="0"/>
      <w:sz w:val="24"/>
      <w:szCs w:val="24"/>
    </w:rPr>
  </w:style>
  <w:style w:type="paragraph" w:customStyle="1" w:styleId="180">
    <w:name w:val="Body"/>
    <w:basedOn w:val="1"/>
    <w:qFormat/>
    <w:uiPriority w:val="0"/>
    <w:pPr>
      <w:widowControl/>
      <w:spacing w:before="120" w:afterLines="50"/>
    </w:pPr>
    <w:rPr>
      <w:rFonts w:ascii="宋体"/>
      <w:snapToGrid w:val="0"/>
      <w:kern w:val="0"/>
      <w:szCs w:val="20"/>
    </w:rPr>
  </w:style>
  <w:style w:type="paragraph" w:customStyle="1" w:styleId="181">
    <w:name w:val="样式 标题 3Chapter X.X.X"/>
    <w:basedOn w:val="160"/>
    <w:qFormat/>
    <w:uiPriority w:val="0"/>
    <w:pPr>
      <w:spacing w:afterLines="0"/>
    </w:pPr>
  </w:style>
  <w:style w:type="paragraph" w:customStyle="1" w:styleId="182">
    <w:name w:val="Paragraph3"/>
    <w:basedOn w:val="1"/>
    <w:qFormat/>
    <w:uiPriority w:val="0"/>
    <w:pPr>
      <w:spacing w:before="80" w:afterLines="50"/>
      <w:ind w:left="1530"/>
    </w:pPr>
    <w:rPr>
      <w:rFonts w:ascii="宋体"/>
      <w:snapToGrid w:val="0"/>
      <w:kern w:val="0"/>
      <w:szCs w:val="20"/>
    </w:rPr>
  </w:style>
  <w:style w:type="paragraph" w:customStyle="1" w:styleId="183">
    <w:name w:val="Char11"/>
    <w:basedOn w:val="1"/>
    <w:qFormat/>
    <w:uiPriority w:val="0"/>
    <w:rPr>
      <w:szCs w:val="20"/>
    </w:rPr>
  </w:style>
  <w:style w:type="paragraph" w:customStyle="1" w:styleId="184">
    <w:name w:val="正文段"/>
    <w:basedOn w:val="1"/>
    <w:qFormat/>
    <w:uiPriority w:val="0"/>
    <w:pPr>
      <w:widowControl/>
      <w:snapToGrid w:val="0"/>
      <w:spacing w:afterLines="50"/>
      <w:ind w:firstLine="200" w:firstLineChars="200"/>
    </w:pPr>
    <w:rPr>
      <w:kern w:val="0"/>
      <w:sz w:val="24"/>
      <w:szCs w:val="20"/>
    </w:rPr>
  </w:style>
  <w:style w:type="paragraph" w:customStyle="1" w:styleId="18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6">
    <w:name w:val="S4-I-L15-U"/>
    <w:basedOn w:val="1"/>
    <w:qFormat/>
    <w:uiPriority w:val="0"/>
    <w:pPr>
      <w:spacing w:line="360" w:lineRule="auto"/>
    </w:pPr>
    <w:rPr>
      <w:b/>
      <w:i/>
      <w:sz w:val="24"/>
      <w:u w:val="single"/>
    </w:rPr>
  </w:style>
  <w:style w:type="paragraph" w:customStyle="1" w:styleId="187">
    <w:name w:val="正文111"/>
    <w:basedOn w:val="1"/>
    <w:qFormat/>
    <w:uiPriority w:val="0"/>
    <w:pPr>
      <w:spacing w:line="360" w:lineRule="auto"/>
      <w:ind w:firstLine="200" w:firstLineChars="200"/>
    </w:pPr>
    <w:rPr>
      <w:rFonts w:eastAsia="仿宋"/>
      <w:sz w:val="28"/>
    </w:rPr>
  </w:style>
  <w:style w:type="character" w:customStyle="1" w:styleId="188">
    <w:name w:val="font11"/>
    <w:basedOn w:val="62"/>
    <w:qFormat/>
    <w:uiPriority w:val="0"/>
    <w:rPr>
      <w:rFonts w:ascii="微软雅黑" w:hAnsi="微软雅黑" w:eastAsia="微软雅黑" w:cs="微软雅黑"/>
      <w:color w:val="000000"/>
      <w:sz w:val="18"/>
      <w:szCs w:val="18"/>
      <w:u w:val="none"/>
    </w:rPr>
  </w:style>
  <w:style w:type="character" w:customStyle="1" w:styleId="189">
    <w:name w:val="font41"/>
    <w:basedOn w:val="62"/>
    <w:qFormat/>
    <w:uiPriority w:val="0"/>
    <w:rPr>
      <w:rFonts w:hint="eastAsia" w:ascii="宋体" w:hAnsi="宋体" w:eastAsia="宋体" w:cs="宋体"/>
      <w:color w:val="000000"/>
      <w:sz w:val="18"/>
      <w:szCs w:val="18"/>
      <w:u w:val="none"/>
    </w:rPr>
  </w:style>
  <w:style w:type="paragraph" w:customStyle="1" w:styleId="190">
    <w:name w:val="正文文本 31"/>
    <w:basedOn w:val="1"/>
    <w:qFormat/>
    <w:uiPriority w:val="0"/>
    <w:pPr>
      <w:spacing w:after="120"/>
    </w:pPr>
    <w:rPr>
      <w:sz w:val="16"/>
      <w:szCs w:val="16"/>
    </w:rPr>
  </w:style>
  <w:style w:type="character" w:customStyle="1" w:styleId="191">
    <w:name w:val="NormalCharacter"/>
    <w:semiHidden/>
    <w:qFormat/>
    <w:uiPriority w:val="0"/>
  </w:style>
  <w:style w:type="paragraph" w:customStyle="1" w:styleId="192">
    <w:name w:val="默认段落字体 Para Char Char Char Char Char 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Company>
  <Pages>58</Pages>
  <Words>13050</Words>
  <Characters>13761</Characters>
  <Lines>624</Lines>
  <Paragraphs>175</Paragraphs>
  <TotalTime>23</TotalTime>
  <ScaleCrop>false</ScaleCrop>
  <LinksUpToDate>false</LinksUpToDate>
  <CharactersWithSpaces>13886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2020-08-11T07:36:00Z</dcterms:created>
  <dc:creator>user</dc:creator>
  <cp:lastModifiedBy>2017</cp:lastModifiedBy>
  <cp:lastPrinted>2024-07-09T06:52:00Z</cp:lastPrinted>
  <dcterms:modified xsi:type="dcterms:W3CDTF">2025-07-18T07:33:48Z</dcterms:modified>
  <dc:title>浙江华夏</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07E6FE5B4CF34F84BDCEAFEAD4EBDD9E_13</vt:lpwstr>
  </property>
  <property fmtid="{D5CDD505-2E9C-101B-9397-08002B2CF9AE}" pid="4" name="KSOTemplateDocerSaveRecord">
    <vt:lpwstr>eyJoZGlkIjoiNTYxODM0ZjIxN2JjZDg4ZmE2OWY4MjU2MGI0Yjg5OTAiLCJ1c2VySWQiOiIyODEwOTI1MTQifQ==</vt:lpwstr>
  </property>
</Properties>
</file>