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E8D8D">
      <w:pPr>
        <w:spacing w:line="360" w:lineRule="auto"/>
        <w:jc w:val="center"/>
        <w:rPr>
          <w:rFonts w:hint="eastAsia" w:ascii="仿宋" w:hAnsi="仿宋" w:cs="仿宋"/>
          <w:b/>
          <w:color w:val="auto"/>
          <w:highlight w:val="none"/>
        </w:rPr>
      </w:pPr>
    </w:p>
    <w:p w14:paraId="2A69224E">
      <w:pPr>
        <w:spacing w:line="360" w:lineRule="auto"/>
        <w:jc w:val="center"/>
        <w:rPr>
          <w:rFonts w:hint="eastAsia" w:ascii="仿宋" w:hAnsi="仿宋" w:cs="仿宋"/>
          <w:b/>
          <w:color w:val="auto"/>
          <w:highlight w:val="none"/>
        </w:rPr>
      </w:pPr>
    </w:p>
    <w:p w14:paraId="1E55DA23">
      <w:pPr>
        <w:adjustRightInd/>
        <w:spacing w:line="360" w:lineRule="auto"/>
        <w:jc w:val="center"/>
        <w:rPr>
          <w:rFonts w:hint="eastAsia" w:ascii="仿宋" w:hAnsi="仿宋" w:cs="仿宋"/>
          <w:b/>
          <w:color w:val="auto"/>
          <w:sz w:val="48"/>
          <w:szCs w:val="48"/>
          <w:highlight w:val="none"/>
        </w:rPr>
      </w:pPr>
    </w:p>
    <w:p w14:paraId="5E9E3559">
      <w:pPr>
        <w:pStyle w:val="5"/>
        <w:jc w:val="center"/>
        <w:rPr>
          <w:rFonts w:hint="eastAsia" w:ascii="仿宋" w:eastAsia="仿宋" w:cs="仿宋"/>
          <w:b w:val="0"/>
          <w:bCs w:val="0"/>
          <w:color w:val="auto"/>
          <w:highlight w:val="none"/>
        </w:rPr>
      </w:pPr>
      <w:r>
        <w:rPr>
          <w:rFonts w:hint="eastAsia" w:ascii="仿宋" w:eastAsia="仿宋" w:cs="仿宋"/>
          <w:b w:val="0"/>
          <w:bCs w:val="0"/>
          <w:color w:val="auto"/>
          <w:sz w:val="52"/>
          <w:szCs w:val="52"/>
          <w:highlight w:val="none"/>
        </w:rPr>
        <w:t>2025年钱塘区土壤重点监管单位周边土壤和地下水监测项目</w:t>
      </w:r>
    </w:p>
    <w:p w14:paraId="76717FDB">
      <w:pPr>
        <w:adjustRightInd/>
        <w:spacing w:line="360" w:lineRule="auto"/>
        <w:jc w:val="center"/>
        <w:rPr>
          <w:rFonts w:hint="eastAsia" w:ascii="仿宋" w:hAnsi="仿宋" w:cs="仿宋"/>
          <w:color w:val="auto"/>
          <w:sz w:val="48"/>
          <w:szCs w:val="48"/>
          <w:highlight w:val="none"/>
        </w:rPr>
      </w:pPr>
      <w:r>
        <w:rPr>
          <w:rFonts w:hint="eastAsia" w:ascii="仿宋" w:hAnsi="仿宋" w:cs="仿宋"/>
          <w:color w:val="auto"/>
          <w:sz w:val="48"/>
          <w:szCs w:val="48"/>
          <w:highlight w:val="none"/>
        </w:rPr>
        <w:t>招标文件</w:t>
      </w:r>
    </w:p>
    <w:p w14:paraId="7B42DD4E">
      <w:pPr>
        <w:adjustRightInd/>
        <w:spacing w:line="360" w:lineRule="auto"/>
        <w:jc w:val="center"/>
        <w:rPr>
          <w:rFonts w:hint="eastAsia" w:ascii="仿宋" w:hAnsi="仿宋" w:cs="仿宋"/>
          <w:b/>
          <w:color w:val="auto"/>
          <w:sz w:val="44"/>
          <w:szCs w:val="44"/>
          <w:highlight w:val="none"/>
        </w:rPr>
      </w:pPr>
      <w:r>
        <w:rPr>
          <w:rFonts w:hint="eastAsia" w:ascii="仿宋" w:hAnsi="仿宋" w:cs="仿宋"/>
          <w:b/>
          <w:color w:val="auto"/>
          <w:sz w:val="44"/>
          <w:szCs w:val="44"/>
          <w:highlight w:val="none"/>
        </w:rPr>
        <w:t xml:space="preserve"> （电子招投标）</w:t>
      </w:r>
    </w:p>
    <w:p w14:paraId="4F30F724">
      <w:pPr>
        <w:snapToGrid w:val="0"/>
        <w:spacing w:line="360" w:lineRule="auto"/>
        <w:jc w:val="center"/>
        <w:rPr>
          <w:rFonts w:hint="eastAsia" w:ascii="仿宋" w:hAnsi="仿宋" w:cs="仿宋"/>
          <w:color w:val="auto"/>
          <w:sz w:val="30"/>
          <w:szCs w:val="30"/>
          <w:highlight w:val="none"/>
        </w:rPr>
      </w:pPr>
    </w:p>
    <w:p w14:paraId="2485F905">
      <w:pPr>
        <w:snapToGrid w:val="0"/>
        <w:spacing w:line="360" w:lineRule="auto"/>
        <w:jc w:val="center"/>
        <w:rPr>
          <w:rFonts w:hint="eastAsia" w:ascii="仿宋" w:hAnsi="仿宋" w:cs="仿宋"/>
          <w:color w:val="auto"/>
          <w:sz w:val="30"/>
          <w:szCs w:val="30"/>
          <w:highlight w:val="none"/>
        </w:rPr>
      </w:pPr>
    </w:p>
    <w:p w14:paraId="42AEFF98">
      <w:pPr>
        <w:snapToGrid w:val="0"/>
        <w:spacing w:line="360" w:lineRule="auto"/>
        <w:jc w:val="center"/>
        <w:rPr>
          <w:rFonts w:hint="eastAsia" w:ascii="仿宋" w:hAnsi="仿宋" w:cs="仿宋"/>
          <w:color w:val="auto"/>
          <w:sz w:val="30"/>
          <w:szCs w:val="30"/>
          <w:highlight w:val="none"/>
        </w:rPr>
      </w:pPr>
    </w:p>
    <w:p w14:paraId="4E904EB2">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cs="仿宋"/>
          <w:color w:val="auto"/>
          <w:sz w:val="30"/>
          <w:szCs w:val="30"/>
          <w:highlight w:val="none"/>
        </w:rPr>
        <w:t>编号:</w:t>
      </w:r>
      <w:r>
        <w:rPr>
          <w:rFonts w:hint="eastAsia" w:ascii="仿宋" w:hAnsi="仿宋" w:cs="仿宋"/>
          <w:color w:val="auto"/>
          <w:sz w:val="30"/>
          <w:szCs w:val="30"/>
          <w:highlight w:val="none"/>
          <w:lang w:eastAsia="zh-CN"/>
        </w:rPr>
        <w:t>QTCG-GK-2025-118</w:t>
      </w:r>
    </w:p>
    <w:p w14:paraId="1127F2C3">
      <w:pPr>
        <w:adjustRightInd/>
        <w:spacing w:line="360" w:lineRule="auto"/>
        <w:rPr>
          <w:rFonts w:hint="eastAsia" w:ascii="仿宋" w:hAnsi="仿宋" w:cs="仿宋"/>
          <w:color w:val="auto"/>
          <w:sz w:val="28"/>
          <w:szCs w:val="20"/>
          <w:highlight w:val="none"/>
        </w:rPr>
      </w:pPr>
    </w:p>
    <w:p w14:paraId="4498CC20">
      <w:pPr>
        <w:spacing w:line="360" w:lineRule="auto"/>
        <w:jc w:val="center"/>
        <w:rPr>
          <w:rFonts w:hint="eastAsia" w:ascii="仿宋" w:hAnsi="仿宋" w:cs="仿宋"/>
          <w:b/>
          <w:color w:val="auto"/>
          <w:sz w:val="44"/>
          <w:szCs w:val="44"/>
          <w:highlight w:val="none"/>
        </w:rPr>
      </w:pPr>
      <w:r>
        <w:rPr>
          <w:rFonts w:hint="eastAsia" w:ascii="仿宋" w:hAnsi="仿宋" w:cs="仿宋"/>
          <w:b/>
          <w:color w:val="auto"/>
          <w:sz w:val="44"/>
          <w:szCs w:val="44"/>
          <w:highlight w:val="none"/>
        </w:rPr>
        <w:t xml:space="preserve"> </w:t>
      </w:r>
    </w:p>
    <w:p w14:paraId="34DBC4B0">
      <w:pPr>
        <w:spacing w:line="360" w:lineRule="auto"/>
        <w:jc w:val="center"/>
        <w:rPr>
          <w:rFonts w:hint="eastAsia" w:ascii="仿宋" w:hAnsi="仿宋" w:cs="仿宋"/>
          <w:b/>
          <w:color w:val="auto"/>
          <w:sz w:val="44"/>
          <w:szCs w:val="44"/>
          <w:highlight w:val="none"/>
        </w:rPr>
      </w:pPr>
    </w:p>
    <w:p w14:paraId="6E155E57">
      <w:pPr>
        <w:spacing w:line="360" w:lineRule="auto"/>
        <w:jc w:val="center"/>
        <w:rPr>
          <w:rFonts w:hint="eastAsia" w:ascii="仿宋" w:hAnsi="仿宋" w:cs="仿宋"/>
          <w:color w:val="auto"/>
          <w:highlight w:val="none"/>
        </w:rPr>
      </w:pPr>
    </w:p>
    <w:p w14:paraId="44D1179B">
      <w:pPr>
        <w:spacing w:line="360" w:lineRule="auto"/>
        <w:rPr>
          <w:rFonts w:hint="eastAsia" w:ascii="仿宋" w:hAnsi="仿宋" w:cs="仿宋"/>
          <w:color w:val="auto"/>
          <w:sz w:val="32"/>
          <w:szCs w:val="32"/>
          <w:highlight w:val="none"/>
        </w:rPr>
      </w:pPr>
    </w:p>
    <w:p w14:paraId="248373A5">
      <w:pPr>
        <w:spacing w:line="360" w:lineRule="auto"/>
        <w:jc w:val="center"/>
        <w:rPr>
          <w:rFonts w:hint="eastAsia" w:ascii="仿宋" w:hAnsi="仿宋" w:cs="仿宋"/>
          <w:color w:val="auto"/>
          <w:sz w:val="36"/>
          <w:szCs w:val="36"/>
          <w:highlight w:val="none"/>
        </w:rPr>
      </w:pPr>
      <w:r>
        <w:rPr>
          <w:rFonts w:hint="eastAsia" w:ascii="仿宋" w:hAnsi="仿宋" w:cs="仿宋"/>
          <w:color w:val="auto"/>
          <w:sz w:val="36"/>
          <w:szCs w:val="36"/>
          <w:highlight w:val="none"/>
        </w:rPr>
        <w:t>杭州市生态环境局钱塘分局</w:t>
      </w:r>
    </w:p>
    <w:p w14:paraId="61F84EB7">
      <w:pPr>
        <w:spacing w:line="360" w:lineRule="auto"/>
        <w:jc w:val="center"/>
        <w:rPr>
          <w:rFonts w:hint="eastAsia" w:ascii="仿宋" w:hAnsi="仿宋" w:cs="仿宋"/>
          <w:color w:val="auto"/>
          <w:sz w:val="36"/>
          <w:szCs w:val="36"/>
          <w:highlight w:val="none"/>
        </w:rPr>
      </w:pPr>
      <w:r>
        <w:rPr>
          <w:rFonts w:hint="eastAsia" w:ascii="仿宋" w:hAnsi="仿宋" w:cs="仿宋"/>
          <w:color w:val="auto"/>
          <w:sz w:val="36"/>
          <w:szCs w:val="36"/>
          <w:highlight w:val="none"/>
        </w:rPr>
        <w:t>浙江勋达工程咨询有限公司</w:t>
      </w:r>
    </w:p>
    <w:p w14:paraId="0DF0B127">
      <w:pPr>
        <w:spacing w:line="360" w:lineRule="auto"/>
        <w:jc w:val="center"/>
        <w:rPr>
          <w:rFonts w:hint="eastAsia" w:ascii="仿宋" w:hAnsi="仿宋" w:cs="仿宋"/>
          <w:color w:val="auto"/>
          <w:highlight w:val="none"/>
        </w:rPr>
      </w:pPr>
      <w:r>
        <w:rPr>
          <w:rFonts w:hint="eastAsia" w:ascii="仿宋" w:hAnsi="仿宋" w:cs="仿宋"/>
          <w:color w:val="auto"/>
          <w:sz w:val="36"/>
          <w:szCs w:val="36"/>
          <w:highlight w:val="none"/>
        </w:rPr>
        <w:t>2025年</w:t>
      </w:r>
      <w:r>
        <w:rPr>
          <w:rFonts w:hint="eastAsia" w:ascii="仿宋" w:hAnsi="仿宋" w:cs="仿宋"/>
          <w:color w:val="auto"/>
          <w:sz w:val="36"/>
          <w:szCs w:val="36"/>
          <w:highlight w:val="none"/>
          <w:lang w:val="en-US" w:eastAsia="zh-CN"/>
        </w:rPr>
        <w:t>07</w:t>
      </w:r>
      <w:r>
        <w:rPr>
          <w:rFonts w:hint="eastAsia" w:ascii="仿宋" w:hAnsi="仿宋" w:cs="仿宋"/>
          <w:color w:val="auto"/>
          <w:sz w:val="36"/>
          <w:szCs w:val="36"/>
          <w:highlight w:val="none"/>
        </w:rPr>
        <w:t>月</w:t>
      </w:r>
      <w:r>
        <w:rPr>
          <w:rFonts w:hint="eastAsia" w:ascii="仿宋" w:hAnsi="仿宋" w:cs="仿宋"/>
          <w:color w:val="auto"/>
          <w:sz w:val="36"/>
          <w:szCs w:val="36"/>
          <w:highlight w:val="none"/>
          <w:lang w:val="en-US" w:eastAsia="zh-CN"/>
        </w:rPr>
        <w:t>11</w:t>
      </w:r>
      <w:r>
        <w:rPr>
          <w:rFonts w:hint="eastAsia" w:ascii="仿宋" w:hAnsi="仿宋" w:cs="仿宋"/>
          <w:color w:val="auto"/>
          <w:sz w:val="36"/>
          <w:szCs w:val="36"/>
          <w:highlight w:val="none"/>
        </w:rPr>
        <w:t>日</w:t>
      </w:r>
      <w:r>
        <w:rPr>
          <w:rFonts w:hint="eastAsia" w:ascii="仿宋" w:hAnsi="仿宋" w:cs="仿宋"/>
          <w:color w:val="auto"/>
          <w:highlight w:val="none"/>
        </w:rPr>
        <w:br w:type="page"/>
      </w:r>
      <w:bookmarkStart w:id="0" w:name="_Hlt67893495"/>
      <w:bookmarkEnd w:id="0"/>
    </w:p>
    <w:p w14:paraId="65C8E382">
      <w:pPr>
        <w:spacing w:line="360" w:lineRule="auto"/>
        <w:jc w:val="center"/>
        <w:rPr>
          <w:rFonts w:hint="eastAsia" w:ascii="仿宋" w:hAnsi="仿宋" w:cs="仿宋"/>
          <w:color w:val="auto"/>
          <w:highlight w:val="none"/>
        </w:rPr>
      </w:pPr>
    </w:p>
    <w:p w14:paraId="66CCD0DC">
      <w:pPr>
        <w:spacing w:line="360" w:lineRule="auto"/>
        <w:jc w:val="center"/>
        <w:rPr>
          <w:rFonts w:hint="eastAsia" w:ascii="仿宋" w:hAnsi="仿宋" w:cs="仿宋"/>
          <w:b/>
          <w:color w:val="auto"/>
          <w:sz w:val="48"/>
          <w:szCs w:val="48"/>
          <w:highlight w:val="none"/>
        </w:rPr>
      </w:pPr>
      <w:r>
        <w:rPr>
          <w:rFonts w:hint="eastAsia" w:ascii="仿宋" w:hAnsi="仿宋" w:cs="仿宋"/>
          <w:b/>
          <w:color w:val="auto"/>
          <w:sz w:val="48"/>
          <w:szCs w:val="48"/>
          <w:highlight w:val="none"/>
        </w:rPr>
        <w:t>目  录</w:t>
      </w:r>
    </w:p>
    <w:p w14:paraId="5A757192">
      <w:pPr>
        <w:spacing w:line="360" w:lineRule="auto"/>
        <w:rPr>
          <w:rFonts w:hint="eastAsia" w:ascii="仿宋" w:hAnsi="仿宋" w:cs="仿宋"/>
          <w:color w:val="auto"/>
          <w:sz w:val="32"/>
          <w:szCs w:val="32"/>
          <w:highlight w:val="none"/>
        </w:rPr>
      </w:pPr>
    </w:p>
    <w:p w14:paraId="6692CC39">
      <w:pPr>
        <w:spacing w:line="360" w:lineRule="auto"/>
        <w:rPr>
          <w:rFonts w:hint="eastAsia" w:ascii="仿宋" w:hAnsi="仿宋" w:cs="仿宋"/>
          <w:color w:val="auto"/>
          <w:sz w:val="32"/>
          <w:szCs w:val="32"/>
          <w:highlight w:val="none"/>
        </w:rPr>
      </w:pPr>
    </w:p>
    <w:p w14:paraId="28B18CE9">
      <w:pPr>
        <w:spacing w:line="360" w:lineRule="auto"/>
        <w:ind w:firstLine="1280" w:firstLineChars="400"/>
        <w:rPr>
          <w:rFonts w:hint="eastAsia" w:ascii="仿宋" w:hAnsi="仿宋" w:cs="仿宋"/>
          <w:color w:val="auto"/>
          <w:sz w:val="32"/>
          <w:szCs w:val="32"/>
          <w:highlight w:val="none"/>
        </w:rPr>
      </w:pPr>
      <w:r>
        <w:rPr>
          <w:rFonts w:hint="eastAsia" w:ascii="仿宋" w:hAnsi="仿宋" w:cs="仿宋"/>
          <w:color w:val="auto"/>
          <w:sz w:val="32"/>
          <w:szCs w:val="32"/>
          <w:highlight w:val="none"/>
        </w:rPr>
        <w:t>第一部分      招标公告</w:t>
      </w:r>
    </w:p>
    <w:p w14:paraId="3E779731">
      <w:pPr>
        <w:spacing w:line="360" w:lineRule="auto"/>
        <w:ind w:firstLine="1280" w:firstLineChars="400"/>
        <w:rPr>
          <w:rFonts w:hint="eastAsia" w:ascii="仿宋" w:hAnsi="仿宋" w:cs="仿宋"/>
          <w:color w:val="auto"/>
          <w:sz w:val="32"/>
          <w:szCs w:val="32"/>
          <w:highlight w:val="none"/>
        </w:rPr>
      </w:pPr>
      <w:r>
        <w:rPr>
          <w:rFonts w:hint="eastAsia" w:ascii="仿宋" w:hAnsi="仿宋" w:cs="仿宋"/>
          <w:color w:val="auto"/>
          <w:sz w:val="32"/>
          <w:szCs w:val="32"/>
          <w:highlight w:val="none"/>
        </w:rPr>
        <w:t>第二部分      投标人须知</w:t>
      </w:r>
    </w:p>
    <w:p w14:paraId="0CF016C2">
      <w:pPr>
        <w:spacing w:line="360" w:lineRule="auto"/>
        <w:ind w:firstLine="1280" w:firstLineChars="400"/>
        <w:rPr>
          <w:rFonts w:hint="eastAsia" w:ascii="仿宋" w:hAnsi="仿宋" w:cs="仿宋"/>
          <w:color w:val="auto"/>
          <w:sz w:val="32"/>
          <w:szCs w:val="32"/>
          <w:highlight w:val="none"/>
        </w:rPr>
      </w:pPr>
      <w:r>
        <w:rPr>
          <w:rFonts w:hint="eastAsia" w:ascii="仿宋" w:hAnsi="仿宋" w:cs="仿宋"/>
          <w:color w:val="auto"/>
          <w:sz w:val="32"/>
          <w:szCs w:val="32"/>
          <w:highlight w:val="none"/>
        </w:rPr>
        <w:t>第三部分      采购需求</w:t>
      </w:r>
    </w:p>
    <w:p w14:paraId="71A5CFCA">
      <w:pPr>
        <w:spacing w:line="360" w:lineRule="auto"/>
        <w:ind w:firstLine="1280" w:firstLineChars="400"/>
        <w:rPr>
          <w:rFonts w:hint="eastAsia" w:ascii="仿宋" w:hAnsi="仿宋" w:cs="仿宋"/>
          <w:color w:val="auto"/>
          <w:sz w:val="32"/>
          <w:szCs w:val="32"/>
          <w:highlight w:val="none"/>
        </w:rPr>
      </w:pPr>
      <w:r>
        <w:rPr>
          <w:rFonts w:hint="eastAsia" w:ascii="仿宋" w:hAnsi="仿宋" w:cs="仿宋"/>
          <w:color w:val="auto"/>
          <w:sz w:val="32"/>
          <w:szCs w:val="32"/>
          <w:highlight w:val="none"/>
        </w:rPr>
        <w:t>第四部分      评标办法</w:t>
      </w:r>
    </w:p>
    <w:p w14:paraId="012164E2">
      <w:pPr>
        <w:spacing w:line="360" w:lineRule="auto"/>
        <w:ind w:firstLine="1280" w:firstLineChars="400"/>
        <w:rPr>
          <w:rFonts w:hint="eastAsia" w:ascii="仿宋" w:hAnsi="仿宋" w:cs="仿宋"/>
          <w:color w:val="auto"/>
          <w:sz w:val="32"/>
          <w:szCs w:val="32"/>
          <w:highlight w:val="none"/>
        </w:rPr>
      </w:pPr>
      <w:r>
        <w:rPr>
          <w:rFonts w:hint="eastAsia" w:ascii="仿宋" w:hAnsi="仿宋" w:cs="仿宋"/>
          <w:color w:val="auto"/>
          <w:sz w:val="32"/>
          <w:szCs w:val="32"/>
          <w:highlight w:val="none"/>
        </w:rPr>
        <w:t>第五部分      拟签订的合同文本</w:t>
      </w:r>
    </w:p>
    <w:p w14:paraId="7927E62C">
      <w:pPr>
        <w:spacing w:line="360" w:lineRule="auto"/>
        <w:ind w:firstLine="1280" w:firstLineChars="400"/>
        <w:rPr>
          <w:rFonts w:hint="eastAsia" w:ascii="仿宋" w:hAnsi="仿宋" w:cs="仿宋"/>
          <w:color w:val="auto"/>
          <w:sz w:val="32"/>
          <w:szCs w:val="32"/>
          <w:highlight w:val="none"/>
        </w:rPr>
      </w:pPr>
      <w:r>
        <w:rPr>
          <w:rFonts w:hint="eastAsia" w:ascii="仿宋" w:hAnsi="仿宋" w:cs="仿宋"/>
          <w:color w:val="auto"/>
          <w:sz w:val="32"/>
          <w:szCs w:val="32"/>
          <w:highlight w:val="none"/>
        </w:rPr>
        <w:t>第六部分      应提交的有关格式范例</w:t>
      </w:r>
    </w:p>
    <w:p w14:paraId="0AB62F68">
      <w:pPr>
        <w:spacing w:line="360" w:lineRule="auto"/>
        <w:ind w:firstLine="549" w:firstLineChars="229"/>
        <w:rPr>
          <w:rFonts w:hint="eastAsia" w:ascii="仿宋" w:hAnsi="仿宋" w:cs="仿宋"/>
          <w:color w:val="auto"/>
          <w:highlight w:val="none"/>
        </w:rPr>
      </w:pPr>
      <w:bookmarkStart w:id="1" w:name="_Hlt91233176"/>
      <w:bookmarkEnd w:id="1"/>
      <w:bookmarkStart w:id="2" w:name="_Toc91899869"/>
    </w:p>
    <w:p w14:paraId="0A456CBF">
      <w:pPr>
        <w:spacing w:line="360" w:lineRule="auto"/>
        <w:ind w:firstLine="549" w:firstLineChars="229"/>
        <w:rPr>
          <w:rFonts w:hint="eastAsia" w:ascii="仿宋" w:hAnsi="仿宋" w:cs="仿宋"/>
          <w:color w:val="auto"/>
          <w:highlight w:val="none"/>
        </w:rPr>
      </w:pPr>
    </w:p>
    <w:p w14:paraId="24698533">
      <w:pPr>
        <w:spacing w:line="360" w:lineRule="auto"/>
        <w:ind w:firstLine="549" w:firstLineChars="229"/>
        <w:rPr>
          <w:rFonts w:hint="eastAsia" w:ascii="仿宋" w:hAnsi="仿宋" w:cs="仿宋"/>
          <w:color w:val="auto"/>
          <w:highlight w:val="none"/>
        </w:rPr>
      </w:pPr>
    </w:p>
    <w:p w14:paraId="7F27B6A3">
      <w:pPr>
        <w:spacing w:line="360" w:lineRule="auto"/>
        <w:ind w:firstLine="549" w:firstLineChars="229"/>
        <w:rPr>
          <w:rFonts w:hint="eastAsia" w:ascii="仿宋" w:hAnsi="仿宋" w:cs="仿宋"/>
          <w:color w:val="auto"/>
          <w:highlight w:val="none"/>
        </w:rPr>
      </w:pPr>
    </w:p>
    <w:p w14:paraId="31968580">
      <w:pPr>
        <w:spacing w:line="360" w:lineRule="auto"/>
        <w:ind w:firstLine="549" w:firstLineChars="229"/>
        <w:rPr>
          <w:rFonts w:hint="eastAsia" w:ascii="仿宋" w:hAnsi="仿宋" w:cs="仿宋"/>
          <w:color w:val="auto"/>
          <w:highlight w:val="none"/>
        </w:rPr>
      </w:pPr>
    </w:p>
    <w:p w14:paraId="768C43C2">
      <w:pPr>
        <w:spacing w:line="360" w:lineRule="auto"/>
        <w:ind w:firstLine="549" w:firstLineChars="229"/>
        <w:rPr>
          <w:rFonts w:hint="eastAsia" w:ascii="仿宋" w:hAnsi="仿宋" w:cs="仿宋"/>
          <w:color w:val="auto"/>
          <w:highlight w:val="none"/>
        </w:rPr>
      </w:pPr>
    </w:p>
    <w:p w14:paraId="7E105585">
      <w:pPr>
        <w:spacing w:line="360" w:lineRule="auto"/>
        <w:ind w:firstLine="549" w:firstLineChars="229"/>
        <w:rPr>
          <w:rFonts w:hint="eastAsia" w:ascii="仿宋" w:hAnsi="仿宋" w:cs="仿宋"/>
          <w:color w:val="auto"/>
          <w:highlight w:val="none"/>
        </w:rPr>
      </w:pPr>
    </w:p>
    <w:p w14:paraId="53ADCCD2">
      <w:pPr>
        <w:spacing w:line="360" w:lineRule="auto"/>
        <w:ind w:firstLine="549" w:firstLineChars="229"/>
        <w:rPr>
          <w:rFonts w:hint="eastAsia" w:ascii="仿宋" w:hAnsi="仿宋" w:cs="仿宋"/>
          <w:color w:val="auto"/>
          <w:highlight w:val="none"/>
        </w:rPr>
      </w:pPr>
    </w:p>
    <w:p w14:paraId="4D9777B8">
      <w:pPr>
        <w:spacing w:line="360" w:lineRule="auto"/>
        <w:ind w:firstLine="549" w:firstLineChars="229"/>
        <w:rPr>
          <w:rFonts w:hint="eastAsia" w:ascii="仿宋" w:hAnsi="仿宋" w:cs="仿宋"/>
          <w:color w:val="auto"/>
          <w:highlight w:val="none"/>
        </w:rPr>
      </w:pPr>
    </w:p>
    <w:p w14:paraId="46D8A91B">
      <w:pPr>
        <w:spacing w:line="360" w:lineRule="auto"/>
        <w:ind w:firstLine="549" w:firstLineChars="229"/>
        <w:rPr>
          <w:rFonts w:hint="eastAsia" w:ascii="仿宋" w:hAnsi="仿宋" w:cs="仿宋"/>
          <w:color w:val="auto"/>
          <w:highlight w:val="none"/>
        </w:rPr>
      </w:pPr>
    </w:p>
    <w:p w14:paraId="00DC53CB">
      <w:pPr>
        <w:spacing w:line="360" w:lineRule="auto"/>
        <w:ind w:firstLine="549" w:firstLineChars="229"/>
        <w:rPr>
          <w:rFonts w:hint="eastAsia" w:ascii="仿宋" w:hAnsi="仿宋" w:cs="仿宋"/>
          <w:color w:val="auto"/>
          <w:highlight w:val="none"/>
        </w:rPr>
      </w:pPr>
    </w:p>
    <w:p w14:paraId="1F874433">
      <w:pPr>
        <w:spacing w:line="360" w:lineRule="auto"/>
        <w:ind w:firstLine="549" w:firstLineChars="229"/>
        <w:rPr>
          <w:rFonts w:hint="eastAsia" w:ascii="仿宋" w:hAnsi="仿宋" w:cs="仿宋"/>
          <w:color w:val="auto"/>
          <w:highlight w:val="none"/>
        </w:rPr>
      </w:pPr>
    </w:p>
    <w:p w14:paraId="23502DE0">
      <w:pPr>
        <w:spacing w:line="360" w:lineRule="auto"/>
        <w:ind w:firstLine="549" w:firstLineChars="229"/>
        <w:rPr>
          <w:rFonts w:hint="eastAsia" w:ascii="仿宋" w:hAnsi="仿宋" w:cs="仿宋"/>
          <w:color w:val="auto"/>
          <w:highlight w:val="none"/>
        </w:rPr>
      </w:pPr>
    </w:p>
    <w:p w14:paraId="55FCA515">
      <w:pPr>
        <w:spacing w:line="360" w:lineRule="auto"/>
        <w:rPr>
          <w:rFonts w:hint="eastAsia" w:ascii="仿宋" w:hAnsi="仿宋" w:cs="仿宋"/>
          <w:color w:val="auto"/>
          <w:highlight w:val="none"/>
        </w:rPr>
      </w:pPr>
    </w:p>
    <w:p w14:paraId="5855E963">
      <w:pPr>
        <w:adjustRightInd/>
        <w:spacing w:line="360" w:lineRule="auto"/>
        <w:jc w:val="center"/>
        <w:outlineLvl w:val="0"/>
        <w:rPr>
          <w:rFonts w:hint="eastAsia" w:ascii="仿宋" w:hAnsi="仿宋" w:cs="仿宋"/>
          <w:b/>
          <w:color w:val="auto"/>
          <w:sz w:val="36"/>
          <w:szCs w:val="20"/>
          <w:highlight w:val="none"/>
        </w:rPr>
      </w:pPr>
      <w:bookmarkStart w:id="3" w:name="第一部分"/>
      <w:r>
        <w:rPr>
          <w:rFonts w:hint="eastAsia" w:ascii="仿宋" w:hAnsi="仿宋" w:cs="仿宋"/>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cs="仿宋"/>
          <w:b/>
          <w:color w:val="auto"/>
          <w:sz w:val="36"/>
          <w:szCs w:val="20"/>
          <w:highlight w:val="none"/>
        </w:rPr>
        <w:t>第一部分 招标公告</w:t>
      </w:r>
    </w:p>
    <w:p w14:paraId="72E7598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项目概况</w:t>
      </w:r>
    </w:p>
    <w:p w14:paraId="30624C5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cs="仿宋"/>
          <w:color w:val="auto"/>
          <w:highlight w:val="none"/>
          <w:u w:val="single"/>
        </w:rPr>
      </w:pPr>
      <w:r>
        <w:rPr>
          <w:rFonts w:hint="eastAsia" w:ascii="仿宋" w:hAnsi="仿宋" w:cs="仿宋"/>
          <w:color w:val="auto"/>
          <w:highlight w:val="none"/>
          <w:u w:val="single"/>
        </w:rPr>
        <w:t>2025年钱塘区土壤重点监管单位周边土壤和地下水监测项目</w:t>
      </w:r>
      <w:r>
        <w:rPr>
          <w:rFonts w:hint="eastAsia" w:ascii="仿宋" w:hAnsi="仿宋" w:cs="仿宋"/>
          <w:color w:val="auto"/>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cs="仿宋"/>
          <w:color w:val="auto"/>
          <w:highlight w:val="none"/>
          <w:u w:val="single"/>
        </w:rPr>
        <w:t>2025年</w:t>
      </w:r>
      <w:r>
        <w:rPr>
          <w:rFonts w:hint="eastAsia" w:ascii="仿宋" w:hAnsi="仿宋" w:cs="仿宋"/>
          <w:color w:val="auto"/>
          <w:highlight w:val="none"/>
          <w:u w:val="single"/>
          <w:lang w:val="en-US" w:eastAsia="zh-CN"/>
        </w:rPr>
        <w:t>8</w:t>
      </w:r>
      <w:r>
        <w:rPr>
          <w:rFonts w:hint="eastAsia" w:ascii="仿宋" w:hAnsi="仿宋" w:cs="仿宋"/>
          <w:color w:val="auto"/>
          <w:highlight w:val="none"/>
          <w:u w:val="single"/>
        </w:rPr>
        <w:t>月</w:t>
      </w:r>
      <w:r>
        <w:rPr>
          <w:rFonts w:hint="eastAsia" w:ascii="仿宋" w:hAnsi="仿宋" w:cs="仿宋"/>
          <w:color w:val="auto"/>
          <w:highlight w:val="none"/>
          <w:u w:val="single"/>
          <w:lang w:val="en-US" w:eastAsia="zh-CN"/>
        </w:rPr>
        <w:t>1</w:t>
      </w:r>
      <w:r>
        <w:rPr>
          <w:rFonts w:hint="eastAsia" w:ascii="仿宋" w:hAnsi="仿宋" w:cs="仿宋"/>
          <w:color w:val="auto"/>
          <w:highlight w:val="none"/>
          <w:u w:val="single"/>
        </w:rPr>
        <w:t>日</w:t>
      </w:r>
      <w:r>
        <w:rPr>
          <w:rFonts w:hint="eastAsia" w:ascii="仿宋" w:hAnsi="仿宋" w:cs="仿宋"/>
          <w:color w:val="auto"/>
          <w:highlight w:val="none"/>
          <w:u w:val="single"/>
        </w:rPr>
        <w:t>9点30分</w:t>
      </w:r>
      <w:r>
        <w:rPr>
          <w:rFonts w:hint="eastAsia" w:ascii="仿宋" w:hAnsi="仿宋" w:cs="仿宋"/>
          <w:bCs/>
          <w:color w:val="auto"/>
          <w:highlight w:val="none"/>
          <w:u w:val="single"/>
        </w:rPr>
        <w:t>00秒</w:t>
      </w:r>
      <w:r>
        <w:rPr>
          <w:rFonts w:hint="eastAsia" w:ascii="仿宋" w:hAnsi="仿宋" w:cs="仿宋"/>
          <w:bCs/>
          <w:color w:val="auto"/>
          <w:highlight w:val="none"/>
          <w:u w:val="single"/>
        </w:rPr>
        <w:fldChar w:fldCharType="end"/>
      </w:r>
      <w:r>
        <w:rPr>
          <w:rFonts w:hint="eastAsia" w:ascii="仿宋" w:hAnsi="仿宋" w:cs="仿宋"/>
          <w:bCs/>
          <w:color w:val="auto"/>
          <w:highlight w:val="none"/>
        </w:rPr>
        <w:t>（北京时间）前</w:t>
      </w:r>
      <w:r>
        <w:rPr>
          <w:rFonts w:hint="eastAsia" w:ascii="仿宋" w:hAnsi="仿宋" w:cs="仿宋"/>
          <w:color w:val="auto"/>
          <w:highlight w:val="none"/>
        </w:rPr>
        <w:t>递交（上传）投标文件。</w:t>
      </w:r>
    </w:p>
    <w:p w14:paraId="461847CD">
      <w:pPr>
        <w:spacing w:line="360" w:lineRule="auto"/>
        <w:rPr>
          <w:rFonts w:hint="eastAsia" w:ascii="仿宋" w:hAnsi="仿宋" w:cs="仿宋"/>
          <w:b/>
          <w:color w:val="auto"/>
          <w:highlight w:val="none"/>
        </w:rPr>
      </w:pPr>
      <w:r>
        <w:rPr>
          <w:rFonts w:hint="eastAsia" w:ascii="仿宋" w:hAnsi="仿宋" w:cs="仿宋"/>
          <w:b/>
          <w:color w:val="auto"/>
          <w:highlight w:val="none"/>
        </w:rPr>
        <w:t xml:space="preserve">一、项目基本情况                                            </w:t>
      </w:r>
    </w:p>
    <w:p w14:paraId="2C877045">
      <w:pPr>
        <w:spacing w:line="360" w:lineRule="auto"/>
        <w:ind w:firstLine="480" w:firstLineChars="200"/>
        <w:rPr>
          <w:rFonts w:hint="eastAsia" w:ascii="仿宋" w:hAnsi="仿宋" w:eastAsia="仿宋" w:cs="仿宋"/>
          <w:color w:val="auto"/>
          <w:highlight w:val="none"/>
          <w:lang w:eastAsia="zh-CN"/>
        </w:rPr>
      </w:pPr>
      <w:r>
        <w:rPr>
          <w:rFonts w:hint="eastAsia" w:ascii="仿宋" w:hAnsi="仿宋" w:cs="仿宋"/>
          <w:color w:val="auto"/>
          <w:highlight w:val="none"/>
        </w:rPr>
        <w:t>项目编号：</w:t>
      </w:r>
      <w:r>
        <w:rPr>
          <w:rFonts w:hint="eastAsia" w:ascii="仿宋" w:hAnsi="仿宋" w:cs="仿宋"/>
          <w:color w:val="auto"/>
          <w:highlight w:val="none"/>
          <w:lang w:eastAsia="zh-CN"/>
        </w:rPr>
        <w:t>QTCG-GK-2025-118</w:t>
      </w:r>
    </w:p>
    <w:p w14:paraId="62EAD703">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 xml:space="preserve">项目名称：2025年钱塘区土壤重点监管单位周边土壤和地下水监测项目    </w:t>
      </w:r>
    </w:p>
    <w:p w14:paraId="66478706">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预算金额（元）：650000</w:t>
      </w:r>
    </w:p>
    <w:p w14:paraId="6113D176">
      <w:pPr>
        <w:spacing w:line="360" w:lineRule="auto"/>
        <w:ind w:left="480" w:leftChars="200"/>
        <w:jc w:val="left"/>
        <w:rPr>
          <w:rFonts w:hint="eastAsia" w:ascii="仿宋" w:hAnsi="仿宋" w:cs="仿宋"/>
          <w:color w:val="auto"/>
          <w:szCs w:val="28"/>
          <w:highlight w:val="none"/>
        </w:rPr>
      </w:pPr>
      <w:r>
        <w:rPr>
          <w:rFonts w:hint="eastAsia" w:ascii="仿宋" w:hAnsi="仿宋" w:cs="仿宋"/>
          <w:color w:val="auto"/>
          <w:szCs w:val="28"/>
          <w:highlight w:val="none"/>
        </w:rPr>
        <w:t>最高限价（元）：</w:t>
      </w:r>
      <w:r>
        <w:rPr>
          <w:rFonts w:hint="eastAsia" w:ascii="仿宋" w:hAnsi="仿宋" w:cs="仿宋"/>
          <w:color w:val="auto"/>
          <w:highlight w:val="none"/>
        </w:rPr>
        <w:t>650000</w:t>
      </w:r>
    </w:p>
    <w:p w14:paraId="5057855E">
      <w:pPr>
        <w:pStyle w:val="17"/>
        <w:spacing w:line="360" w:lineRule="auto"/>
        <w:ind w:firstLine="480" w:firstLineChars="200"/>
        <w:rPr>
          <w:rFonts w:hint="eastAsia" w:ascii="仿宋" w:hAnsi="仿宋" w:cs="仿宋"/>
          <w:bCs/>
          <w:color w:val="auto"/>
          <w:sz w:val="24"/>
          <w:highlight w:val="none"/>
        </w:rPr>
      </w:pPr>
      <w:r>
        <w:rPr>
          <w:rFonts w:hint="eastAsia" w:ascii="仿宋" w:hAnsi="仿宋" w:cs="仿宋"/>
          <w:bCs/>
          <w:color w:val="auto"/>
          <w:sz w:val="24"/>
          <w:highlight w:val="none"/>
        </w:rPr>
        <w:t>采购需求：</w:t>
      </w:r>
    </w:p>
    <w:p w14:paraId="48A43765">
      <w:pPr>
        <w:pStyle w:val="17"/>
        <w:spacing w:line="360" w:lineRule="auto"/>
        <w:ind w:firstLine="480" w:firstLineChars="200"/>
        <w:rPr>
          <w:rFonts w:hint="eastAsia" w:ascii="仿宋" w:hAnsi="仿宋" w:cs="仿宋"/>
          <w:color w:val="auto"/>
          <w:sz w:val="24"/>
          <w:highlight w:val="none"/>
        </w:rPr>
      </w:pPr>
      <w:r>
        <w:rPr>
          <w:rFonts w:hint="eastAsia" w:ascii="仿宋" w:hAnsi="仿宋" w:cs="仿宋"/>
          <w:bCs/>
          <w:color w:val="auto"/>
          <w:sz w:val="24"/>
          <w:highlight w:val="none"/>
        </w:rPr>
        <w:t>标项名称：</w:t>
      </w:r>
      <w:r>
        <w:rPr>
          <w:rFonts w:hint="eastAsia" w:ascii="仿宋" w:hAnsi="仿宋" w:cs="仿宋"/>
          <w:color w:val="auto"/>
          <w:sz w:val="24"/>
          <w:highlight w:val="none"/>
        </w:rPr>
        <w:t>2025年钱塘区土壤重点监管单位周边土壤和地下水监测项目</w:t>
      </w:r>
    </w:p>
    <w:p w14:paraId="5EEE0C22">
      <w:pPr>
        <w:pStyle w:val="17"/>
        <w:spacing w:line="360" w:lineRule="auto"/>
        <w:ind w:firstLine="480" w:firstLineChars="200"/>
        <w:rPr>
          <w:rFonts w:hint="eastAsia" w:ascii="仿宋" w:hAnsi="仿宋" w:cs="仿宋"/>
          <w:bCs/>
          <w:color w:val="auto"/>
          <w:sz w:val="24"/>
          <w:highlight w:val="none"/>
        </w:rPr>
      </w:pPr>
      <w:r>
        <w:rPr>
          <w:rFonts w:hint="eastAsia" w:ascii="仿宋" w:hAnsi="仿宋" w:cs="仿宋"/>
          <w:bCs/>
          <w:color w:val="auto"/>
          <w:sz w:val="24"/>
          <w:highlight w:val="none"/>
        </w:rPr>
        <w:t>数量：1</w:t>
      </w:r>
    </w:p>
    <w:p w14:paraId="6D546A83">
      <w:pPr>
        <w:pStyle w:val="17"/>
        <w:spacing w:line="360" w:lineRule="auto"/>
        <w:ind w:firstLine="480" w:firstLineChars="200"/>
        <w:rPr>
          <w:rFonts w:hint="eastAsia" w:ascii="仿宋" w:hAnsi="仿宋" w:cs="仿宋"/>
          <w:color w:val="auto"/>
          <w:sz w:val="24"/>
          <w:highlight w:val="none"/>
        </w:rPr>
      </w:pPr>
      <w:r>
        <w:rPr>
          <w:rFonts w:hint="eastAsia" w:ascii="仿宋" w:hAnsi="仿宋" w:cs="仿宋"/>
          <w:bCs/>
          <w:color w:val="auto"/>
          <w:sz w:val="24"/>
          <w:highlight w:val="none"/>
        </w:rPr>
        <w:t>预算金额（元）：650000</w:t>
      </w:r>
    </w:p>
    <w:p w14:paraId="5A870E96">
      <w:pPr>
        <w:pStyle w:val="17"/>
        <w:spacing w:line="360" w:lineRule="auto"/>
        <w:ind w:firstLine="480" w:firstLineChars="200"/>
        <w:rPr>
          <w:rFonts w:hint="eastAsia" w:ascii="仿宋" w:hAnsi="仿宋" w:cs="仿宋"/>
          <w:bCs/>
          <w:snapToGrid/>
          <w:color w:val="auto"/>
          <w:kern w:val="2"/>
          <w:sz w:val="24"/>
          <w:szCs w:val="24"/>
          <w:highlight w:val="none"/>
        </w:rPr>
      </w:pPr>
      <w:r>
        <w:rPr>
          <w:rFonts w:hint="eastAsia" w:ascii="仿宋" w:hAnsi="仿宋" w:cs="仿宋"/>
          <w:bCs/>
          <w:snapToGrid/>
          <w:color w:val="auto"/>
          <w:kern w:val="2"/>
          <w:sz w:val="24"/>
          <w:szCs w:val="24"/>
          <w:highlight w:val="none"/>
        </w:rPr>
        <w:t>简要规格描述或项目基本概况介绍、用途：</w:t>
      </w:r>
      <w:r>
        <w:rPr>
          <w:rFonts w:hint="eastAsia" w:ascii="仿宋" w:hAnsi="仿宋" w:cs="仿宋"/>
          <w:bCs/>
          <w:snapToGrid/>
          <w:color w:val="auto"/>
          <w:kern w:val="2"/>
          <w:sz w:val="24"/>
          <w:szCs w:val="24"/>
          <w:highlight w:val="none"/>
          <w:lang w:val="en-US" w:eastAsia="zh-CN"/>
        </w:rPr>
        <w:t>（1）</w:t>
      </w:r>
      <w:r>
        <w:rPr>
          <w:rFonts w:hint="eastAsia" w:ascii="仿宋" w:hAnsi="仿宋" w:cs="仿宋"/>
          <w:bCs/>
          <w:snapToGrid/>
          <w:color w:val="auto"/>
          <w:kern w:val="2"/>
          <w:sz w:val="24"/>
          <w:szCs w:val="24"/>
          <w:highlight w:val="none"/>
        </w:rPr>
        <w:t>组织开展钱塘区17家土壤污染重点监管单位周边土壤及地下水污染状况调查监测评估，同时结合已有土壤监测结果（包括2024年24家）筛选出18个省控土壤点位，并编制土壤省控点位布设报告</w:t>
      </w:r>
      <w:r>
        <w:rPr>
          <w:rFonts w:hint="eastAsia" w:ascii="仿宋" w:hAnsi="仿宋" w:cs="仿宋"/>
          <w:bCs/>
          <w:snapToGrid/>
          <w:color w:val="auto"/>
          <w:kern w:val="2"/>
          <w:sz w:val="24"/>
          <w:szCs w:val="24"/>
          <w:highlight w:val="none"/>
          <w:lang w:eastAsia="zh-CN"/>
        </w:rPr>
        <w:t>；</w:t>
      </w:r>
      <w:r>
        <w:rPr>
          <w:rFonts w:hint="eastAsia" w:ascii="仿宋" w:hAnsi="仿宋" w:cs="仿宋"/>
          <w:bCs/>
          <w:snapToGrid/>
          <w:color w:val="auto"/>
          <w:kern w:val="2"/>
          <w:sz w:val="24"/>
          <w:szCs w:val="24"/>
          <w:highlight w:val="none"/>
          <w:lang w:eastAsia="zh-CN"/>
        </w:rPr>
        <w:t>（</w:t>
      </w:r>
      <w:r>
        <w:rPr>
          <w:rFonts w:hint="eastAsia" w:ascii="仿宋" w:hAnsi="仿宋" w:cs="仿宋"/>
          <w:bCs/>
          <w:snapToGrid/>
          <w:color w:val="auto"/>
          <w:kern w:val="2"/>
          <w:sz w:val="24"/>
          <w:szCs w:val="24"/>
          <w:highlight w:val="none"/>
          <w:lang w:val="en-US" w:eastAsia="zh-CN"/>
        </w:rPr>
        <w:t>2</w:t>
      </w:r>
      <w:r>
        <w:rPr>
          <w:rFonts w:hint="eastAsia" w:ascii="仿宋" w:hAnsi="仿宋" w:cs="仿宋"/>
          <w:bCs/>
          <w:snapToGrid/>
          <w:color w:val="auto"/>
          <w:kern w:val="2"/>
          <w:sz w:val="24"/>
          <w:szCs w:val="24"/>
          <w:highlight w:val="none"/>
          <w:lang w:eastAsia="zh-CN"/>
        </w:rPr>
        <w:t>）</w:t>
      </w:r>
      <w:r>
        <w:rPr>
          <w:rFonts w:hint="eastAsia" w:ascii="仿宋" w:hAnsi="仿宋" w:cs="仿宋"/>
          <w:bCs/>
          <w:snapToGrid/>
          <w:color w:val="auto"/>
          <w:kern w:val="2"/>
          <w:sz w:val="24"/>
          <w:szCs w:val="24"/>
          <w:highlight w:val="none"/>
          <w:lang w:val="en-US" w:eastAsia="zh-CN"/>
        </w:rPr>
        <w:t>对</w:t>
      </w:r>
      <w:r>
        <w:rPr>
          <w:rFonts w:hint="eastAsia" w:ascii="仿宋" w:hAnsi="仿宋" w:cs="仿宋"/>
          <w:bCs/>
          <w:snapToGrid/>
          <w:color w:val="auto"/>
          <w:kern w:val="2"/>
          <w:sz w:val="24"/>
          <w:szCs w:val="24"/>
          <w:highlight w:val="none"/>
          <w:lang w:eastAsia="zh-CN"/>
        </w:rPr>
        <w:t>3家地下水污染防治重点排污单位</w:t>
      </w:r>
      <w:r>
        <w:rPr>
          <w:rFonts w:hint="eastAsia" w:ascii="仿宋" w:hAnsi="仿宋" w:cs="仿宋"/>
          <w:bCs/>
          <w:snapToGrid/>
          <w:color w:val="auto"/>
          <w:kern w:val="2"/>
          <w:sz w:val="24"/>
          <w:szCs w:val="24"/>
          <w:highlight w:val="none"/>
          <w:lang w:val="en-US" w:eastAsia="zh-CN"/>
        </w:rPr>
        <w:t>开展地下水监测</w:t>
      </w:r>
      <w:r>
        <w:rPr>
          <w:rFonts w:hint="eastAsia" w:ascii="仿宋" w:hAnsi="仿宋" w:cs="仿宋"/>
          <w:bCs/>
          <w:snapToGrid/>
          <w:color w:val="auto"/>
          <w:kern w:val="2"/>
          <w:sz w:val="24"/>
          <w:szCs w:val="24"/>
          <w:highlight w:val="none"/>
          <w:lang w:val="en-US" w:eastAsia="zh-CN"/>
        </w:rPr>
        <w:t>，故</w:t>
      </w:r>
      <w:r>
        <w:rPr>
          <w:rFonts w:hint="eastAsia" w:ascii="仿宋" w:hAnsi="仿宋" w:cs="仿宋"/>
          <w:bCs/>
          <w:snapToGrid/>
          <w:color w:val="auto"/>
          <w:kern w:val="2"/>
          <w:sz w:val="24"/>
          <w:szCs w:val="24"/>
          <w:highlight w:val="none"/>
        </w:rPr>
        <w:t>需委托第三方检测机构（实验室面积需500平方米以上）。</w:t>
      </w:r>
    </w:p>
    <w:p w14:paraId="0A477905">
      <w:pPr>
        <w:pStyle w:val="133"/>
        <w:spacing w:before="0"/>
        <w:ind w:firstLine="480"/>
        <w:outlineLvl w:val="2"/>
        <w:rPr>
          <w:rFonts w:hint="eastAsia" w:ascii="仿宋" w:hAnsi="仿宋" w:eastAsia="仿宋" w:cs="仿宋"/>
          <w:bCs/>
          <w:color w:val="auto"/>
          <w:highlight w:val="none"/>
          <w:lang w:eastAsia="zh-CN"/>
        </w:rPr>
      </w:pPr>
      <w:r>
        <w:rPr>
          <w:rFonts w:hint="eastAsia" w:ascii="仿宋" w:hAnsi="仿宋" w:cs="仿宋"/>
          <w:bCs/>
          <w:color w:val="auto"/>
          <w:highlight w:val="none"/>
        </w:rPr>
        <w:t>合同履约期限：</w:t>
      </w:r>
      <w:r>
        <w:rPr>
          <w:rFonts w:hint="eastAsia" w:ascii="仿宋" w:hAnsi="仿宋" w:cs="仿宋"/>
          <w:bCs/>
          <w:color w:val="auto"/>
          <w:highlight w:val="none"/>
        </w:rPr>
        <w:t>2025年12月31日前，完成17家企业的全部成果内容，并同步完成已监测土壤污染重点监管单位的18个省控土壤点位筛选、报告编制及评审</w:t>
      </w:r>
      <w:r>
        <w:rPr>
          <w:rFonts w:hint="eastAsia" w:ascii="仿宋" w:hAnsi="仿宋" w:cs="仿宋"/>
          <w:bCs/>
          <w:color w:val="auto"/>
          <w:highlight w:val="none"/>
          <w:lang w:eastAsia="zh-CN"/>
        </w:rPr>
        <w:t>；</w:t>
      </w:r>
      <w:r>
        <w:rPr>
          <w:rFonts w:hint="eastAsia" w:ascii="仿宋" w:hAnsi="仿宋" w:eastAsia="仿宋" w:cs="仿宋"/>
          <w:bCs/>
          <w:snapToGrid/>
          <w:color w:val="auto"/>
          <w:kern w:val="2"/>
          <w:sz w:val="24"/>
          <w:szCs w:val="24"/>
          <w:highlight w:val="none"/>
          <w:lang w:val="en-US" w:eastAsia="zh-CN" w:bidi="ar-SA"/>
        </w:rPr>
        <w:t>3家地下水污染防治重点排污单位地下水监测报告</w:t>
      </w:r>
      <w:r>
        <w:rPr>
          <w:rFonts w:hint="eastAsia" w:ascii="仿宋" w:hAnsi="仿宋" w:cs="仿宋"/>
          <w:bCs/>
          <w:color w:val="auto"/>
          <w:highlight w:val="none"/>
          <w:lang w:eastAsia="zh-CN"/>
        </w:rPr>
        <w:t>。</w:t>
      </w:r>
    </w:p>
    <w:p w14:paraId="72FA7733">
      <w:pPr>
        <w:pStyle w:val="17"/>
        <w:spacing w:line="360" w:lineRule="auto"/>
        <w:ind w:firstLine="480"/>
        <w:rPr>
          <w:rFonts w:hint="eastAsia" w:ascii="仿宋" w:hAnsi="仿宋" w:cs="仿宋"/>
          <w:b/>
          <w:color w:val="auto"/>
          <w:sz w:val="24"/>
          <w:highlight w:val="none"/>
        </w:rPr>
      </w:pPr>
      <w:r>
        <w:rPr>
          <w:rFonts w:hint="eastAsia" w:ascii="仿宋" w:hAnsi="仿宋" w:cs="仿宋"/>
          <w:color w:val="auto"/>
          <w:sz w:val="24"/>
          <w:highlight w:val="none"/>
        </w:rPr>
        <w:t>本项目接受联合体投标：</w:t>
      </w:r>
      <w:sdt>
        <w:sdtPr>
          <w:rPr>
            <w:rFonts w:hint="eastAsia" w:ascii="仿宋" w:hAnsi="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cs="仿宋"/>
            <w:color w:val="auto"/>
            <w:kern w:val="0"/>
            <w:sz w:val="24"/>
            <w:highlight w:val="none"/>
          </w:rPr>
        </w:sdtEndPr>
        <w:sdtContent>
          <w:r>
            <w:rPr>
              <w:rFonts w:hint="eastAsia" w:ascii="Wingdings" w:hAnsi="Wingdings" w:cs="仿宋"/>
              <w:color w:val="auto"/>
              <w:kern w:val="0"/>
              <w:sz w:val="24"/>
              <w:highlight w:val="none"/>
            </w:rPr>
            <w:t>þ</w:t>
          </w:r>
        </w:sdtContent>
      </w:sdt>
      <w:r>
        <w:rPr>
          <w:rFonts w:hint="eastAsia" w:ascii="仿宋" w:hAnsi="仿宋" w:cs="仿宋"/>
          <w:color w:val="auto"/>
          <w:sz w:val="24"/>
          <w:highlight w:val="none"/>
        </w:rPr>
        <w:t>是，</w:t>
      </w:r>
      <w:sdt>
        <w:sdtPr>
          <w:rPr>
            <w:rFonts w:hint="eastAsia" w:ascii="仿宋" w:hAnsi="仿宋" w:cs="仿宋"/>
            <w:color w:val="auto"/>
            <w:kern w:val="0"/>
            <w:sz w:val="24"/>
            <w:highlight w:val="none"/>
          </w:rPr>
          <w:id w:val="147469089"/>
          <w14:checkbox>
            <w14:checked w14:val="0"/>
            <w14:checkedState w14:val="00FE" w14:font="Wingdings"/>
            <w14:uncheckedState w14:val="2610" w14:font="MS Gothic"/>
          </w14:checkbox>
        </w:sdtPr>
        <w:sdtEndPr>
          <w:rPr>
            <w:rFonts w:hint="eastAsia" w:ascii="仿宋" w:hAnsi="仿宋" w:cs="仿宋"/>
            <w:color w:val="auto"/>
            <w:kern w:val="0"/>
            <w:sz w:val="24"/>
            <w:highlight w:val="none"/>
          </w:rPr>
        </w:sdtEndPr>
        <w:sdtContent>
          <w:r>
            <w:rPr>
              <w:rFonts w:hint="eastAsia" w:ascii="MS Gothic" w:hAnsi="MS Gothic" w:cs="仿宋"/>
              <w:color w:val="auto"/>
              <w:kern w:val="0"/>
              <w:sz w:val="24"/>
              <w:highlight w:val="none"/>
            </w:rPr>
            <w:t>☐</w:t>
          </w:r>
        </w:sdtContent>
      </w:sdt>
      <w:r>
        <w:rPr>
          <w:rFonts w:hint="eastAsia" w:ascii="仿宋" w:hAnsi="仿宋" w:cs="仿宋"/>
          <w:color w:val="auto"/>
          <w:sz w:val="24"/>
          <w:highlight w:val="none"/>
        </w:rPr>
        <w:t>否</w:t>
      </w:r>
      <w:r>
        <w:rPr>
          <w:rFonts w:hint="eastAsia" w:ascii="仿宋" w:hAnsi="仿宋" w:cs="仿宋"/>
          <w:color w:val="auto"/>
          <w:kern w:val="0"/>
          <w:sz w:val="24"/>
          <w:highlight w:val="none"/>
        </w:rPr>
        <w:t>。</w:t>
      </w:r>
    </w:p>
    <w:p w14:paraId="0DBBDD2F">
      <w:pPr>
        <w:spacing w:line="360" w:lineRule="auto"/>
        <w:rPr>
          <w:rFonts w:hint="eastAsia" w:ascii="仿宋" w:hAnsi="仿宋" w:cs="仿宋"/>
          <w:b/>
          <w:color w:val="auto"/>
          <w:highlight w:val="none"/>
        </w:rPr>
      </w:pPr>
      <w:r>
        <w:rPr>
          <w:rFonts w:hint="eastAsia" w:ascii="仿宋" w:hAnsi="仿宋" w:cs="仿宋"/>
          <w:b/>
          <w:color w:val="auto"/>
          <w:highlight w:val="none"/>
        </w:rPr>
        <w:t>二、申请人的资格要求：</w:t>
      </w:r>
    </w:p>
    <w:p w14:paraId="7B211F13">
      <w:pPr>
        <w:spacing w:line="360" w:lineRule="auto"/>
        <w:ind w:firstLine="480"/>
        <w:rPr>
          <w:rFonts w:hint="eastAsia" w:ascii="仿宋" w:hAnsi="仿宋" w:cs="仿宋"/>
          <w:snapToGrid w:val="0"/>
          <w:color w:val="auto"/>
          <w:kern w:val="28"/>
          <w:szCs w:val="20"/>
          <w:highlight w:val="none"/>
        </w:rPr>
      </w:pPr>
      <w:r>
        <w:rPr>
          <w:rFonts w:hint="eastAsia" w:ascii="仿宋" w:hAnsi="仿宋" w:cs="仿宋"/>
          <w:snapToGrid w:val="0"/>
          <w:color w:val="auto"/>
          <w:kern w:val="28"/>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B21549">
      <w:pPr>
        <w:spacing w:line="360" w:lineRule="auto"/>
        <w:ind w:firstLine="480"/>
        <w:rPr>
          <w:color w:val="auto"/>
          <w:highlight w:val="none"/>
        </w:rPr>
      </w:pPr>
      <w:r>
        <w:rPr>
          <w:rFonts w:hint="eastAsia" w:ascii="仿宋_GB2312" w:hAnsi="仿宋_GB2312" w:eastAsia="仿宋_GB2312" w:cs="仿宋_GB2312"/>
          <w:snapToGrid w:val="0"/>
          <w:color w:val="auto"/>
          <w:kern w:val="28"/>
          <w:szCs w:val="20"/>
          <w:highlight w:val="none"/>
        </w:rPr>
        <w:t>2.以联合体形式投标的，提供联合协议(本项目不接受联合体投标或者投标人不以联合体形式投标的，则不需要提供) ；</w:t>
      </w:r>
    </w:p>
    <w:p w14:paraId="0AE77541">
      <w:pPr>
        <w:spacing w:line="360" w:lineRule="auto"/>
        <w:rPr>
          <w:rFonts w:hint="eastAsia" w:ascii="仿宋" w:hAnsi="仿宋" w:cs="仿宋"/>
          <w:snapToGrid w:val="0"/>
          <w:color w:val="auto"/>
          <w:kern w:val="28"/>
          <w:szCs w:val="20"/>
          <w:highlight w:val="none"/>
        </w:rPr>
      </w:pPr>
      <w:r>
        <w:rPr>
          <w:rFonts w:hint="eastAsia" w:ascii="仿宋" w:hAnsi="仿宋" w:cs="仿宋"/>
          <w:snapToGrid w:val="0"/>
          <w:color w:val="auto"/>
          <w:kern w:val="28"/>
          <w:szCs w:val="20"/>
          <w:highlight w:val="none"/>
        </w:rPr>
        <w:t xml:space="preserve">    3.落实政府采购政策需满足的资格要求：</w:t>
      </w:r>
    </w:p>
    <w:p w14:paraId="6C89E905">
      <w:pPr>
        <w:spacing w:line="360" w:lineRule="auto"/>
        <w:ind w:firstLine="480" w:firstLineChars="200"/>
        <w:rPr>
          <w:rFonts w:hint="eastAsia" w:ascii="仿宋" w:hAnsi="仿宋" w:cs="仿宋"/>
          <w:color w:val="auto"/>
          <w:highlight w:val="none"/>
        </w:rPr>
      </w:pPr>
      <w:sdt>
        <w:sdtPr>
          <w:rPr>
            <w:rFonts w:hint="eastAsia" w:ascii="仿宋" w:hAnsi="仿宋" w:cs="仿宋"/>
            <w:color w:val="auto"/>
            <w:kern w:val="0"/>
            <w:highlight w:val="none"/>
          </w:rPr>
          <w:id w:val="1928616923"/>
          <w14:checkbox>
            <w14:checked w14:val="0"/>
            <w14:checkedState w14:val="00FE" w14:font="Wingdings"/>
            <w14:uncheckedState w14:val="2610" w14:font="MS Gothic"/>
          </w14:checkbox>
        </w:sdtPr>
        <w:sdtEndPr>
          <w:rPr>
            <w:rFonts w:hint="eastAsia" w:ascii="仿宋" w:hAnsi="仿宋" w:cs="仿宋"/>
            <w:color w:val="auto"/>
            <w:kern w:val="0"/>
            <w:highlight w:val="none"/>
          </w:rPr>
        </w:sdtEndPr>
        <w:sdtContent>
          <w:r>
            <w:rPr>
              <w:rFonts w:hint="eastAsia" w:ascii="MS Gothic" w:hAnsi="MS Gothic" w:cs="仿宋"/>
              <w:color w:val="auto"/>
              <w:kern w:val="0"/>
              <w:highlight w:val="none"/>
            </w:rPr>
            <w:t>☐</w:t>
          </w:r>
        </w:sdtContent>
      </w:sdt>
      <w:r>
        <w:rPr>
          <w:rFonts w:hint="eastAsia" w:ascii="仿宋" w:hAnsi="仿宋" w:cs="仿宋"/>
          <w:color w:val="auto"/>
          <w:highlight w:val="none"/>
        </w:rPr>
        <w:t>无；</w:t>
      </w:r>
    </w:p>
    <w:p w14:paraId="01BD5DAE">
      <w:pPr>
        <w:spacing w:line="360" w:lineRule="auto"/>
        <w:ind w:firstLine="480" w:firstLineChars="200"/>
        <w:rPr>
          <w:rFonts w:hint="eastAsia" w:ascii="仿宋" w:hAnsi="仿宋" w:cs="仿宋"/>
          <w:color w:val="auto"/>
          <w:highlight w:val="none"/>
        </w:rPr>
      </w:pPr>
      <w:sdt>
        <w:sdtPr>
          <w:rPr>
            <w:rFonts w:hint="eastAsia" w:ascii="仿宋" w:hAnsi="仿宋" w:cs="仿宋"/>
            <w:color w:val="auto"/>
            <w:kern w:val="0"/>
            <w:highlight w:val="none"/>
          </w:rPr>
          <w:id w:val="147479600"/>
          <w14:checkbox>
            <w14:checked w14:val="1"/>
            <w14:checkedState w14:val="00FE" w14:font="Wingdings"/>
            <w14:uncheckedState w14:val="2610" w14:font="MS Gothic"/>
          </w14:checkbox>
        </w:sdtPr>
        <w:sdtEndPr>
          <w:rPr>
            <w:rFonts w:hint="eastAsia" w:ascii="仿宋" w:hAnsi="仿宋" w:cs="仿宋"/>
            <w:color w:val="auto"/>
            <w:kern w:val="0"/>
            <w:highlight w:val="none"/>
          </w:rPr>
        </w:sdtEndPr>
        <w:sdtContent>
          <w:r>
            <w:rPr>
              <w:rFonts w:hint="eastAsia" w:ascii="Wingdings" w:hAnsi="Wingdings" w:cs="仿宋"/>
              <w:color w:val="auto"/>
              <w:kern w:val="0"/>
              <w:highlight w:val="none"/>
            </w:rPr>
            <w:t>þ</w:t>
          </w:r>
        </w:sdtContent>
      </w:sdt>
      <w:r>
        <w:rPr>
          <w:rFonts w:hint="eastAsia" w:ascii="仿宋" w:hAnsi="仿宋" w:cs="仿宋"/>
          <w:color w:val="auto"/>
          <w:kern w:val="0"/>
          <w:highlight w:val="none"/>
        </w:rPr>
        <w:t>专</w:t>
      </w:r>
      <w:r>
        <w:rPr>
          <w:rFonts w:hint="eastAsia" w:ascii="仿宋" w:hAnsi="仿宋" w:cs="仿宋"/>
          <w:color w:val="auto"/>
          <w:highlight w:val="none"/>
        </w:rPr>
        <w:t>门面向中小企业</w:t>
      </w:r>
    </w:p>
    <w:p w14:paraId="58BF8F3C">
      <w:pPr>
        <w:spacing w:line="360" w:lineRule="auto"/>
        <w:ind w:firstLine="480" w:firstLineChars="200"/>
        <w:rPr>
          <w:rFonts w:hint="eastAsia" w:ascii="仿宋" w:hAnsi="仿宋" w:cs="仿宋"/>
          <w:color w:val="auto"/>
          <w:highlight w:val="none"/>
        </w:rPr>
      </w:pPr>
      <w:sdt>
        <w:sdtPr>
          <w:rPr>
            <w:rFonts w:hint="eastAsia" w:ascii="仿宋" w:hAnsi="仿宋" w:cs="仿宋"/>
            <w:color w:val="auto"/>
            <w:kern w:val="0"/>
            <w:highlight w:val="none"/>
          </w:rPr>
          <w:id w:val="147477092"/>
          <w14:checkbox>
            <w14:checked w14:val="1"/>
            <w14:checkedState w14:val="00FE" w14:font="Wingdings"/>
            <w14:uncheckedState w14:val="2610" w14:font="MS Gothic"/>
          </w14:checkbox>
        </w:sdtPr>
        <w:sdtEndPr>
          <w:rPr>
            <w:rFonts w:hint="eastAsia" w:ascii="仿宋" w:hAnsi="仿宋" w:cs="仿宋"/>
            <w:color w:val="auto"/>
            <w:kern w:val="0"/>
            <w:highlight w:val="none"/>
          </w:rPr>
        </w:sdtEndPr>
        <w:sdtContent>
          <w:r>
            <w:rPr>
              <w:rFonts w:hint="eastAsia" w:ascii="Wingdings" w:hAnsi="Wingdings" w:cs="仿宋"/>
              <w:color w:val="auto"/>
              <w:kern w:val="0"/>
              <w:highlight w:val="none"/>
            </w:rPr>
            <w:t>þ</w:t>
          </w:r>
        </w:sdtContent>
      </w:sdt>
      <w:r>
        <w:rPr>
          <w:rFonts w:hint="eastAsia" w:ascii="仿宋" w:hAnsi="仿宋" w:cs="仿宋"/>
          <w:color w:val="auto"/>
          <w:highlight w:val="none"/>
        </w:rPr>
        <w:t>服务全部由符合政策要求的中小企业承接，提供中小企业声明函；</w:t>
      </w:r>
    </w:p>
    <w:p w14:paraId="47E6E563">
      <w:pPr>
        <w:spacing w:line="360" w:lineRule="auto"/>
        <w:ind w:firstLine="480" w:firstLineChars="200"/>
        <w:rPr>
          <w:rFonts w:hint="eastAsia" w:ascii="仿宋" w:hAnsi="仿宋" w:cs="仿宋"/>
          <w:color w:val="auto"/>
          <w:highlight w:val="none"/>
        </w:rPr>
      </w:pPr>
      <w:sdt>
        <w:sdtPr>
          <w:rPr>
            <w:rFonts w:hint="eastAsia" w:ascii="仿宋" w:hAnsi="仿宋" w:cs="仿宋"/>
            <w:color w:val="auto"/>
            <w:kern w:val="0"/>
            <w:highlight w:val="none"/>
          </w:rPr>
          <w:id w:val="147461750"/>
          <w14:checkbox>
            <w14:checked w14:val="0"/>
            <w14:checkedState w14:val="00FE" w14:font="Wingdings"/>
            <w14:uncheckedState w14:val="2610" w14:font="MS Gothic"/>
          </w14:checkbox>
        </w:sdtPr>
        <w:sdtEndPr>
          <w:rPr>
            <w:rFonts w:hint="eastAsia" w:ascii="仿宋" w:hAnsi="仿宋" w:cs="仿宋"/>
            <w:color w:val="auto"/>
            <w:kern w:val="0"/>
            <w:highlight w:val="none"/>
          </w:rPr>
        </w:sdtEndPr>
        <w:sdtContent>
          <w:r>
            <w:rPr>
              <w:rFonts w:hint="eastAsia" w:ascii="MS Gothic" w:hAnsi="MS Gothic" w:cs="仿宋"/>
              <w:color w:val="auto"/>
              <w:kern w:val="0"/>
              <w:highlight w:val="none"/>
            </w:rPr>
            <w:t>☐</w:t>
          </w:r>
        </w:sdtContent>
      </w:sdt>
      <w:r>
        <w:rPr>
          <w:rFonts w:hint="eastAsia" w:ascii="仿宋" w:hAnsi="仿宋" w:cs="仿宋"/>
          <w:color w:val="auto"/>
          <w:highlight w:val="none"/>
        </w:rPr>
        <w:t>服务全部由符合政策要求的小微企业承接，提供中小企业声明函；</w:t>
      </w:r>
    </w:p>
    <w:p w14:paraId="7FFAE9B7">
      <w:pPr>
        <w:spacing w:line="360" w:lineRule="auto"/>
        <w:ind w:firstLine="480" w:firstLineChars="200"/>
        <w:rPr>
          <w:rFonts w:hint="eastAsia" w:ascii="仿宋" w:hAnsi="仿宋" w:cs="仿宋"/>
          <w:color w:val="auto"/>
          <w:highlight w:val="none"/>
        </w:rPr>
      </w:pPr>
      <w:sdt>
        <w:sdtPr>
          <w:rPr>
            <w:rFonts w:hint="eastAsia" w:ascii="仿宋" w:hAnsi="仿宋" w:cs="仿宋"/>
            <w:color w:val="auto"/>
            <w:kern w:val="0"/>
            <w:highlight w:val="none"/>
          </w:rPr>
          <w:id w:val="147465666"/>
          <w14:checkbox>
            <w14:checked w14:val="0"/>
            <w14:checkedState w14:val="00FE" w14:font="Wingdings"/>
            <w14:uncheckedState w14:val="2610" w14:font="MS Gothic"/>
          </w14:checkbox>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r>
        <w:rPr>
          <w:rFonts w:hint="eastAsia" w:ascii="仿宋" w:hAnsi="仿宋" w:cs="仿宋"/>
          <w:color w:val="auto"/>
          <w:highlight w:val="none"/>
        </w:rPr>
        <w:t>要求以联合体形式参加，提供联合协议和中小企业声明函，联合协议中中小企业合同金额应当达到</w:t>
      </w:r>
      <w:r>
        <w:rPr>
          <w:rFonts w:hint="eastAsia" w:ascii="仿宋" w:hAnsi="仿宋" w:cs="仿宋"/>
          <w:color w:val="auto"/>
          <w:highlight w:val="none"/>
          <w:u w:val="single"/>
        </w:rPr>
        <w:t xml:space="preserve">  </w:t>
      </w:r>
      <w:r>
        <w:rPr>
          <w:rFonts w:hint="eastAsia" w:ascii="仿宋" w:hAnsi="仿宋" w:cs="仿宋"/>
          <w:color w:val="auto"/>
          <w:highlight w:val="none"/>
        </w:rPr>
        <w:t>%，小微企业合同金额应当达到</w:t>
      </w:r>
      <w:r>
        <w:rPr>
          <w:rFonts w:hint="eastAsia" w:ascii="仿宋" w:hAnsi="仿宋" w:cs="仿宋"/>
          <w:color w:val="auto"/>
          <w:highlight w:val="none"/>
          <w:u w:val="single"/>
        </w:rPr>
        <w:t xml:space="preserve"> </w:t>
      </w:r>
      <w:r>
        <w:rPr>
          <w:rFonts w:hint="eastAsia" w:ascii="仿宋" w:hAnsi="仿宋" w:cs="仿宋"/>
          <w:color w:val="auto"/>
          <w:highlight w:val="none"/>
        </w:rPr>
        <w:t>%;</w:t>
      </w:r>
      <w:r>
        <w:rPr>
          <w:rFonts w:hint="eastAsia" w:ascii="仿宋" w:hAnsi="仿宋" w:cs="仿宋"/>
          <w:color w:val="auto"/>
          <w:spacing w:val="8"/>
          <w:kern w:val="0"/>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cs="仿宋"/>
          <w:color w:val="auto"/>
          <w:highlight w:val="none"/>
        </w:rPr>
        <w:t>；</w:t>
      </w:r>
    </w:p>
    <w:p w14:paraId="57E5211E">
      <w:pPr>
        <w:spacing w:line="360" w:lineRule="auto"/>
        <w:ind w:firstLine="480" w:firstLineChars="200"/>
        <w:rPr>
          <w:rFonts w:hint="eastAsia" w:ascii="仿宋" w:hAnsi="仿宋" w:cs="仿宋"/>
          <w:color w:val="auto"/>
          <w:highlight w:val="none"/>
        </w:rPr>
      </w:pPr>
      <w:sdt>
        <w:sdtPr>
          <w:rPr>
            <w:rFonts w:hint="eastAsia" w:ascii="仿宋" w:hAnsi="仿宋" w:cs="仿宋"/>
            <w:color w:val="auto"/>
            <w:kern w:val="0"/>
            <w:highlight w:val="none"/>
          </w:rPr>
          <w:id w:val="34630645"/>
          <w14:checkbox>
            <w14:checked w14:val="0"/>
            <w14:checkedState w14:val="00FE" w14:font="Wingdings"/>
            <w14:uncheckedState w14:val="2610" w14:font="MS Gothic"/>
          </w14:checkbox>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r>
        <w:rPr>
          <w:rFonts w:hint="eastAsia" w:ascii="仿宋" w:hAnsi="仿宋" w:cs="仿宋"/>
          <w:color w:val="auto"/>
          <w:highlight w:val="none"/>
        </w:rPr>
        <w:t>要求合同分</w:t>
      </w:r>
      <w:bookmarkStart w:id="516" w:name="_GoBack"/>
      <w:bookmarkEnd w:id="516"/>
      <w:r>
        <w:rPr>
          <w:rFonts w:hint="eastAsia" w:ascii="仿宋" w:hAnsi="仿宋" w:cs="仿宋"/>
          <w:color w:val="auto"/>
          <w:highlight w:val="none"/>
        </w:rPr>
        <w:t>包，提供分包意向协议和中小企业声明函，分包意向协议中中小企业合同金额应当达到达到</w:t>
      </w:r>
      <w:r>
        <w:rPr>
          <w:rFonts w:hint="eastAsia" w:ascii="仿宋" w:hAnsi="仿宋" w:cs="仿宋"/>
          <w:color w:val="auto"/>
          <w:highlight w:val="none"/>
          <w:u w:val="single"/>
        </w:rPr>
        <w:t xml:space="preserve">  </w:t>
      </w:r>
      <w:r>
        <w:rPr>
          <w:rFonts w:hint="eastAsia" w:ascii="仿宋" w:hAnsi="仿宋" w:cs="仿宋"/>
          <w:color w:val="auto"/>
          <w:highlight w:val="none"/>
        </w:rPr>
        <w:t>% ，小微企业合同金额应当达到</w:t>
      </w:r>
      <w:r>
        <w:rPr>
          <w:rFonts w:hint="eastAsia" w:ascii="仿宋" w:hAnsi="仿宋" w:cs="仿宋"/>
          <w:color w:val="auto"/>
          <w:highlight w:val="none"/>
          <w:u w:val="single"/>
        </w:rPr>
        <w:t xml:space="preserve"> </w:t>
      </w:r>
      <w:r>
        <w:rPr>
          <w:rFonts w:hint="eastAsia" w:ascii="仿宋" w:hAnsi="仿宋" w:cs="仿宋"/>
          <w:color w:val="auto"/>
          <w:highlight w:val="none"/>
        </w:rPr>
        <w:t>% ;</w:t>
      </w:r>
      <w:r>
        <w:rPr>
          <w:rFonts w:hint="eastAsia" w:ascii="仿宋" w:hAnsi="仿宋" w:cs="仿宋"/>
          <w:color w:val="auto"/>
          <w:spacing w:val="8"/>
          <w:kern w:val="0"/>
          <w:highlight w:val="none"/>
        </w:rPr>
        <w:t>如果供应商本身提供所有标的均由中小企业制造、承建或承接，视同符合了资格条件，无需再向中小企业分包，无需提供分包意向协议</w:t>
      </w:r>
      <w:r>
        <w:rPr>
          <w:rFonts w:hint="eastAsia" w:ascii="仿宋" w:hAnsi="仿宋" w:cs="仿宋"/>
          <w:color w:val="auto"/>
          <w:highlight w:val="none"/>
        </w:rPr>
        <w:t>；</w:t>
      </w:r>
    </w:p>
    <w:p w14:paraId="0C345DAF">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4.本项目的特定资格要求：无。</w:t>
      </w:r>
    </w:p>
    <w:p w14:paraId="4FFAB79F">
      <w:pPr>
        <w:snapToGrid w:val="0"/>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633FAD">
      <w:pPr>
        <w:spacing w:line="360" w:lineRule="auto"/>
        <w:rPr>
          <w:rFonts w:hint="eastAsia" w:ascii="仿宋" w:hAnsi="仿宋" w:cs="仿宋"/>
          <w:b/>
          <w:color w:val="auto"/>
          <w:highlight w:val="none"/>
        </w:rPr>
      </w:pPr>
      <w:r>
        <w:rPr>
          <w:rFonts w:hint="eastAsia" w:ascii="仿宋" w:hAnsi="仿宋" w:cs="仿宋"/>
          <w:b/>
          <w:color w:val="auto"/>
          <w:highlight w:val="none"/>
        </w:rPr>
        <w:t xml:space="preserve">三、获取招标文件 </w:t>
      </w:r>
    </w:p>
    <w:p w14:paraId="5A8EC5C9">
      <w:pPr>
        <w:spacing w:line="360" w:lineRule="auto"/>
        <w:ind w:firstLine="482" w:firstLineChars="200"/>
        <w:rPr>
          <w:rFonts w:hint="eastAsia" w:ascii="仿宋" w:hAnsi="仿宋" w:cs="仿宋"/>
          <w:color w:val="auto"/>
          <w:highlight w:val="none"/>
        </w:rPr>
      </w:pPr>
      <w:r>
        <w:rPr>
          <w:rFonts w:hint="eastAsia" w:ascii="仿宋" w:hAnsi="仿宋" w:cs="仿宋"/>
          <w:b/>
          <w:color w:val="auto"/>
          <w:highlight w:val="none"/>
        </w:rPr>
        <w:t>时间：</w:t>
      </w:r>
      <w:r>
        <w:rPr>
          <w:rFonts w:hint="eastAsia" w:ascii="仿宋" w:hAnsi="仿宋" w:cs="仿宋"/>
          <w:color w:val="auto"/>
          <w:highlight w:val="none"/>
        </w:rPr>
        <w:t>/至</w:t>
      </w:r>
      <w:r>
        <w:rPr>
          <w:rFonts w:hint="eastAsia" w:ascii="仿宋" w:hAnsi="仿宋" w:cs="仿宋"/>
          <w:color w:val="auto"/>
          <w:highlight w:val="none"/>
          <w:u w:val="single"/>
        </w:rPr>
        <w:t>2025年</w:t>
      </w:r>
      <w:r>
        <w:rPr>
          <w:rFonts w:hint="eastAsia" w:ascii="仿宋" w:hAnsi="仿宋" w:cs="仿宋"/>
          <w:color w:val="auto"/>
          <w:highlight w:val="none"/>
          <w:u w:val="single"/>
          <w:lang w:val="en-US" w:eastAsia="zh-CN"/>
        </w:rPr>
        <w:t>8</w:t>
      </w:r>
      <w:r>
        <w:rPr>
          <w:rFonts w:hint="eastAsia" w:ascii="仿宋" w:hAnsi="仿宋" w:cs="仿宋"/>
          <w:color w:val="auto"/>
          <w:highlight w:val="none"/>
          <w:u w:val="single"/>
        </w:rPr>
        <w:t>月</w:t>
      </w:r>
      <w:r>
        <w:rPr>
          <w:rFonts w:hint="eastAsia" w:ascii="仿宋" w:hAnsi="仿宋" w:cs="仿宋"/>
          <w:color w:val="auto"/>
          <w:highlight w:val="none"/>
          <w:u w:val="single"/>
          <w:lang w:val="en-US" w:eastAsia="zh-CN"/>
        </w:rPr>
        <w:t>1</w:t>
      </w:r>
      <w:r>
        <w:rPr>
          <w:rFonts w:hint="eastAsia" w:ascii="仿宋" w:hAnsi="仿宋" w:cs="仿宋"/>
          <w:color w:val="auto"/>
          <w:highlight w:val="none"/>
          <w:u w:val="single"/>
        </w:rPr>
        <w:t>日</w:t>
      </w:r>
      <w:r>
        <w:rPr>
          <w:rFonts w:hint="eastAsia" w:ascii="仿宋" w:hAnsi="仿宋" w:cs="仿宋"/>
          <w:color w:val="auto"/>
          <w:highlight w:val="none"/>
        </w:rPr>
        <w:t>，每天上午00:00至12:00 ，下午12:00至23:59（北京时间，线上获取法定节假日均可，线下获取文件法定节假日除外）</w:t>
      </w:r>
    </w:p>
    <w:p w14:paraId="3246861D">
      <w:pPr>
        <w:spacing w:line="360" w:lineRule="auto"/>
        <w:ind w:firstLine="482" w:firstLineChars="200"/>
        <w:rPr>
          <w:rFonts w:hint="eastAsia" w:ascii="仿宋" w:hAnsi="仿宋" w:cs="仿宋"/>
          <w:color w:val="auto"/>
          <w:highlight w:val="none"/>
        </w:rPr>
      </w:pPr>
      <w:r>
        <w:rPr>
          <w:rFonts w:hint="eastAsia" w:ascii="仿宋" w:hAnsi="仿宋" w:cs="仿宋"/>
          <w:b/>
          <w:color w:val="auto"/>
          <w:highlight w:val="none"/>
        </w:rPr>
        <w:t>地点（网址）：</w:t>
      </w:r>
      <w:r>
        <w:rPr>
          <w:rFonts w:hint="eastAsia" w:ascii="仿宋" w:hAnsi="仿宋" w:cs="仿宋"/>
          <w:color w:val="auto"/>
          <w:highlight w:val="none"/>
        </w:rPr>
        <w:t xml:space="preserve">政采云平台（https://www.zcygov.cn/） </w:t>
      </w:r>
    </w:p>
    <w:p w14:paraId="5693D50F">
      <w:pPr>
        <w:spacing w:line="360" w:lineRule="auto"/>
        <w:ind w:firstLine="482" w:firstLineChars="200"/>
        <w:rPr>
          <w:rFonts w:hint="eastAsia" w:ascii="仿宋" w:hAnsi="仿宋" w:cs="仿宋"/>
          <w:color w:val="auto"/>
          <w:highlight w:val="none"/>
        </w:rPr>
      </w:pPr>
      <w:r>
        <w:rPr>
          <w:rFonts w:hint="eastAsia" w:ascii="仿宋" w:hAnsi="仿宋" w:cs="仿宋"/>
          <w:b/>
          <w:color w:val="auto"/>
          <w:highlight w:val="none"/>
        </w:rPr>
        <w:t>方式：</w:t>
      </w:r>
      <w:r>
        <w:rPr>
          <w:rFonts w:hint="eastAsia" w:ascii="仿宋" w:hAnsi="仿宋" w:cs="仿宋"/>
          <w:color w:val="auto"/>
          <w:highlight w:val="none"/>
        </w:rPr>
        <w:t xml:space="preserve">供应商登录政采云平台https://www.zcygov.cn/在线申请获取采购文件（进入“项目采购”应用，在获取采购文件菜单中选择项目，申请获取采购文件）。 </w:t>
      </w:r>
    </w:p>
    <w:p w14:paraId="00618814">
      <w:pPr>
        <w:spacing w:line="360" w:lineRule="auto"/>
        <w:ind w:firstLine="482" w:firstLineChars="200"/>
        <w:rPr>
          <w:rFonts w:hint="eastAsia" w:ascii="仿宋" w:hAnsi="仿宋" w:cs="仿宋"/>
          <w:color w:val="auto"/>
          <w:highlight w:val="none"/>
        </w:rPr>
      </w:pPr>
      <w:r>
        <w:rPr>
          <w:rFonts w:hint="eastAsia" w:ascii="仿宋" w:hAnsi="仿宋" w:cs="仿宋"/>
          <w:b/>
          <w:color w:val="auto"/>
          <w:highlight w:val="none"/>
        </w:rPr>
        <w:t>售价（元）：</w:t>
      </w:r>
      <w:r>
        <w:rPr>
          <w:rFonts w:hint="eastAsia" w:ascii="仿宋" w:hAnsi="仿宋" w:cs="仿宋"/>
          <w:color w:val="auto"/>
          <w:highlight w:val="none"/>
        </w:rPr>
        <w:t xml:space="preserve">0 </w:t>
      </w:r>
      <w:r>
        <w:rPr>
          <w:rFonts w:hint="eastAsia" w:ascii="仿宋" w:hAnsi="仿宋" w:cs="仿宋"/>
          <w:color w:val="auto"/>
          <w:highlight w:val="none"/>
        </w:rPr>
        <w:tab/>
      </w:r>
    </w:p>
    <w:p w14:paraId="38AE22C2">
      <w:pPr>
        <w:spacing w:line="360" w:lineRule="auto"/>
        <w:rPr>
          <w:rFonts w:hint="eastAsia" w:ascii="仿宋" w:hAnsi="仿宋" w:cs="仿宋"/>
          <w:b/>
          <w:color w:val="auto"/>
          <w:highlight w:val="none"/>
        </w:rPr>
      </w:pPr>
      <w:r>
        <w:rPr>
          <w:rFonts w:hint="eastAsia" w:ascii="仿宋" w:hAnsi="仿宋" w:cs="仿宋"/>
          <w:b/>
          <w:color w:val="auto"/>
          <w:highlight w:val="none"/>
        </w:rPr>
        <w:t>四、提交投标文件截止时间、开标时间和地点</w:t>
      </w:r>
    </w:p>
    <w:p w14:paraId="0B784EDD">
      <w:pPr>
        <w:spacing w:line="360" w:lineRule="auto"/>
        <w:ind w:firstLine="482" w:firstLineChars="200"/>
        <w:rPr>
          <w:rFonts w:hint="eastAsia" w:ascii="仿宋" w:hAnsi="仿宋" w:cs="仿宋"/>
          <w:color w:val="auto"/>
          <w:highlight w:val="none"/>
        </w:rPr>
      </w:pPr>
      <w:r>
        <w:rPr>
          <w:rFonts w:hint="eastAsia" w:ascii="仿宋" w:hAnsi="仿宋" w:cs="仿宋"/>
          <w:b/>
          <w:color w:val="auto"/>
          <w:highlight w:val="none"/>
        </w:rPr>
        <w:t>提交投标文件截止时间：</w:t>
      </w:r>
      <w:r>
        <w:rPr>
          <w:rFonts w:hint="eastAsia" w:ascii="仿宋" w:hAnsi="仿宋" w:cs="仿宋"/>
          <w:color w:val="auto"/>
          <w:highlight w:val="none"/>
          <w:u w:val="single"/>
        </w:rPr>
        <w:t>2025年</w:t>
      </w:r>
      <w:r>
        <w:rPr>
          <w:rFonts w:hint="eastAsia" w:ascii="仿宋" w:hAnsi="仿宋" w:cs="仿宋"/>
          <w:color w:val="auto"/>
          <w:highlight w:val="none"/>
          <w:u w:val="single"/>
          <w:lang w:val="en-US" w:eastAsia="zh-CN"/>
        </w:rPr>
        <w:t>8</w:t>
      </w:r>
      <w:r>
        <w:rPr>
          <w:rFonts w:hint="eastAsia" w:ascii="仿宋" w:hAnsi="仿宋" w:cs="仿宋"/>
          <w:color w:val="auto"/>
          <w:highlight w:val="none"/>
          <w:u w:val="single"/>
        </w:rPr>
        <w:t>月</w:t>
      </w:r>
      <w:r>
        <w:rPr>
          <w:rFonts w:hint="eastAsia" w:ascii="仿宋" w:hAnsi="仿宋" w:cs="仿宋"/>
          <w:color w:val="auto"/>
          <w:highlight w:val="none"/>
          <w:u w:val="single"/>
          <w:lang w:val="en-US" w:eastAsia="zh-CN"/>
        </w:rPr>
        <w:t>1</w:t>
      </w:r>
      <w:r>
        <w:rPr>
          <w:rFonts w:hint="eastAsia" w:ascii="仿宋" w:hAnsi="仿宋" w:cs="仿宋"/>
          <w:color w:val="auto"/>
          <w:highlight w:val="none"/>
          <w:u w:val="single"/>
        </w:rPr>
        <w:t>日</w:t>
      </w:r>
      <w:r>
        <w:rPr>
          <w:rFonts w:hint="eastAsia" w:ascii="仿宋" w:hAnsi="仿宋" w:cs="仿宋"/>
          <w:color w:val="auto"/>
          <w:highlight w:val="none"/>
          <w:u w:val="single"/>
        </w:rPr>
        <w:t>9点30分</w:t>
      </w:r>
      <w:r>
        <w:rPr>
          <w:rFonts w:hint="eastAsia" w:ascii="仿宋" w:hAnsi="仿宋" w:cs="仿宋"/>
          <w:bCs/>
          <w:color w:val="auto"/>
          <w:highlight w:val="none"/>
          <w:u w:val="single"/>
        </w:rPr>
        <w:t xml:space="preserve"> </w:t>
      </w:r>
      <w:r>
        <w:rPr>
          <w:rFonts w:hint="eastAsia" w:ascii="仿宋" w:hAnsi="仿宋" w:cs="仿宋"/>
          <w:color w:val="auto"/>
          <w:highlight w:val="none"/>
        </w:rPr>
        <w:t>（北京时间）</w:t>
      </w:r>
    </w:p>
    <w:p w14:paraId="217622BE">
      <w:pPr>
        <w:spacing w:line="360" w:lineRule="auto"/>
        <w:ind w:firstLine="482" w:firstLineChars="200"/>
        <w:rPr>
          <w:rFonts w:hint="eastAsia" w:ascii="仿宋" w:hAnsi="仿宋" w:cs="仿宋"/>
          <w:b/>
          <w:color w:val="auto"/>
          <w:highlight w:val="none"/>
        </w:rPr>
      </w:pPr>
      <w:r>
        <w:rPr>
          <w:rFonts w:hint="eastAsia" w:ascii="仿宋" w:hAnsi="仿宋" w:cs="仿宋"/>
          <w:b/>
          <w:color w:val="auto"/>
          <w:highlight w:val="none"/>
        </w:rPr>
        <w:t>投标地点（网址）：</w:t>
      </w:r>
      <w:r>
        <w:rPr>
          <w:rFonts w:hint="eastAsia" w:ascii="仿宋" w:hAnsi="仿宋" w:cs="仿宋"/>
          <w:color w:val="auto"/>
          <w:highlight w:val="none"/>
        </w:rPr>
        <w:t xml:space="preserve">政采云平台（https://www.zcygov.cn/） </w:t>
      </w:r>
    </w:p>
    <w:p w14:paraId="4C1F9E2D">
      <w:pPr>
        <w:spacing w:line="360" w:lineRule="auto"/>
        <w:ind w:firstLine="482" w:firstLineChars="200"/>
        <w:rPr>
          <w:rFonts w:hint="eastAsia" w:ascii="仿宋" w:hAnsi="仿宋" w:cs="仿宋"/>
          <w:bCs/>
          <w:color w:val="auto"/>
          <w:highlight w:val="none"/>
          <w:u w:val="single"/>
        </w:rPr>
      </w:pPr>
      <w:r>
        <w:rPr>
          <w:rFonts w:hint="eastAsia" w:ascii="仿宋" w:hAnsi="仿宋" w:cs="仿宋"/>
          <w:b/>
          <w:color w:val="auto"/>
          <w:highlight w:val="none"/>
        </w:rPr>
        <w:t>开标时间：</w:t>
      </w:r>
      <w:r>
        <w:rPr>
          <w:rFonts w:hint="eastAsia" w:ascii="仿宋" w:hAnsi="仿宋" w:cs="仿宋"/>
          <w:color w:val="auto"/>
          <w:highlight w:val="none"/>
          <w:u w:val="single"/>
        </w:rPr>
        <w:t>2025年</w:t>
      </w:r>
      <w:r>
        <w:rPr>
          <w:rFonts w:hint="eastAsia" w:ascii="仿宋" w:hAnsi="仿宋" w:cs="仿宋"/>
          <w:color w:val="auto"/>
          <w:highlight w:val="none"/>
          <w:u w:val="single"/>
          <w:lang w:val="en-US" w:eastAsia="zh-CN"/>
        </w:rPr>
        <w:t>8</w:t>
      </w:r>
      <w:r>
        <w:rPr>
          <w:rFonts w:hint="eastAsia" w:ascii="仿宋" w:hAnsi="仿宋" w:cs="仿宋"/>
          <w:color w:val="auto"/>
          <w:highlight w:val="none"/>
          <w:u w:val="single"/>
        </w:rPr>
        <w:t>月</w:t>
      </w:r>
      <w:r>
        <w:rPr>
          <w:rFonts w:hint="eastAsia" w:ascii="仿宋" w:hAnsi="仿宋" w:cs="仿宋"/>
          <w:color w:val="auto"/>
          <w:highlight w:val="none"/>
          <w:u w:val="single"/>
          <w:lang w:val="en-US" w:eastAsia="zh-CN"/>
        </w:rPr>
        <w:t>1</w:t>
      </w:r>
      <w:r>
        <w:rPr>
          <w:rFonts w:hint="eastAsia" w:ascii="仿宋" w:hAnsi="仿宋" w:cs="仿宋"/>
          <w:color w:val="auto"/>
          <w:highlight w:val="none"/>
          <w:u w:val="single"/>
        </w:rPr>
        <w:t>日</w:t>
      </w:r>
      <w:r>
        <w:rPr>
          <w:rFonts w:hint="eastAsia" w:ascii="仿宋" w:hAnsi="仿宋" w:cs="仿宋"/>
          <w:color w:val="auto"/>
          <w:highlight w:val="none"/>
          <w:u w:val="single"/>
        </w:rPr>
        <w:t>9点30分</w:t>
      </w:r>
      <w:r>
        <w:rPr>
          <w:rFonts w:hint="eastAsia" w:ascii="仿宋" w:hAnsi="仿宋" w:cs="仿宋"/>
          <w:bCs/>
          <w:color w:val="auto"/>
          <w:highlight w:val="none"/>
          <w:u w:val="single"/>
        </w:rPr>
        <w:t xml:space="preserve"> </w:t>
      </w:r>
    </w:p>
    <w:p w14:paraId="7404054D">
      <w:pPr>
        <w:spacing w:line="360" w:lineRule="auto"/>
        <w:ind w:firstLine="482" w:firstLineChars="200"/>
        <w:rPr>
          <w:rFonts w:hint="eastAsia" w:ascii="仿宋" w:hAnsi="仿宋" w:cs="仿宋"/>
          <w:color w:val="auto"/>
          <w:highlight w:val="none"/>
        </w:rPr>
      </w:pPr>
      <w:r>
        <w:rPr>
          <w:rFonts w:hint="eastAsia" w:ascii="仿宋" w:hAnsi="仿宋" w:cs="仿宋"/>
          <w:b/>
          <w:color w:val="auto"/>
          <w:highlight w:val="none"/>
        </w:rPr>
        <w:t>开标地点（网址）：</w:t>
      </w:r>
      <w:r>
        <w:rPr>
          <w:rFonts w:hint="eastAsia" w:ascii="仿宋" w:hAnsi="仿宋" w:cs="仿宋"/>
          <w:color w:val="auto"/>
          <w:highlight w:val="none"/>
        </w:rPr>
        <w:t>政采云平台（https://www.zcygov.cn/）</w:t>
      </w:r>
    </w:p>
    <w:p w14:paraId="594C5CD2">
      <w:pPr>
        <w:numPr>
          <w:ilvl w:val="0"/>
          <w:numId w:val="1"/>
        </w:numPr>
        <w:snapToGrid w:val="0"/>
        <w:spacing w:line="360" w:lineRule="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采购意向公开链接</w:t>
      </w:r>
    </w:p>
    <w:p w14:paraId="6191DC3F">
      <w:pPr>
        <w:spacing w:line="360" w:lineRule="auto"/>
        <w:rPr>
          <w:rFonts w:hint="eastAsia" w:ascii="仿宋" w:hAnsi="仿宋" w:cs="仿宋"/>
          <w:bCs/>
          <w:color w:val="auto"/>
          <w:highlight w:val="none"/>
        </w:rPr>
      </w:pPr>
      <w:r>
        <w:rPr>
          <w:color w:val="auto"/>
          <w:highlight w:val="none"/>
        </w:rPr>
        <w:fldChar w:fldCharType="begin"/>
      </w:r>
      <w:r>
        <w:rPr>
          <w:color w:val="auto"/>
          <w:highlight w:val="none"/>
        </w:rPr>
        <w:instrText xml:space="preserve"> HYPERLINK "https://zfcg.czt.zj.gov.cn/site/detail?parentId=600007&amp;articleId=n4Wz64kGRIvwkVgI%2B5Fd7A%3D%3D" </w:instrText>
      </w:r>
      <w:r>
        <w:rPr>
          <w:color w:val="auto"/>
          <w:highlight w:val="none"/>
        </w:rPr>
        <w:fldChar w:fldCharType="separate"/>
      </w:r>
      <w:r>
        <w:rPr>
          <w:rStyle w:val="77"/>
          <w:rFonts w:hint="eastAsia" w:ascii="仿宋" w:hAnsi="仿宋" w:cs="仿宋"/>
          <w:bCs/>
          <w:color w:val="auto"/>
          <w:sz w:val="24"/>
          <w:highlight w:val="none"/>
        </w:rPr>
        <w:t>https://zfcg.czt.zj.gov.cn/site/detail?parentId=600007&amp;articleId=n4Wz64kGRIvwkVgI%2B5Fd7A%3D%3D</w:t>
      </w:r>
      <w:r>
        <w:rPr>
          <w:rStyle w:val="77"/>
          <w:rFonts w:hint="eastAsia" w:ascii="仿宋" w:hAnsi="仿宋" w:cs="仿宋"/>
          <w:bCs/>
          <w:color w:val="auto"/>
          <w:sz w:val="24"/>
          <w:highlight w:val="none"/>
        </w:rPr>
        <w:fldChar w:fldCharType="end"/>
      </w:r>
    </w:p>
    <w:p w14:paraId="33BB55AC">
      <w:pPr>
        <w:spacing w:line="360" w:lineRule="auto"/>
        <w:rPr>
          <w:rFonts w:hint="eastAsia" w:ascii="仿宋" w:hAnsi="仿宋" w:cs="仿宋"/>
          <w:color w:val="auto"/>
          <w:highlight w:val="none"/>
        </w:rPr>
      </w:pPr>
      <w:r>
        <w:rPr>
          <w:rFonts w:hint="eastAsia" w:ascii="仿宋" w:hAnsi="仿宋" w:cs="仿宋"/>
          <w:b/>
          <w:color w:val="auto"/>
          <w:highlight w:val="none"/>
        </w:rPr>
        <w:t xml:space="preserve">六、公告期限 </w:t>
      </w:r>
    </w:p>
    <w:p w14:paraId="34D279D5">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自本公告发布之日起5个工作日。</w:t>
      </w:r>
    </w:p>
    <w:p w14:paraId="0998ABC3">
      <w:pPr>
        <w:spacing w:line="360" w:lineRule="auto"/>
        <w:rPr>
          <w:rFonts w:hint="eastAsia" w:ascii="仿宋" w:hAnsi="仿宋" w:cs="仿宋"/>
          <w:b/>
          <w:color w:val="auto"/>
          <w:highlight w:val="none"/>
        </w:rPr>
      </w:pPr>
      <w:r>
        <w:rPr>
          <w:rFonts w:hint="eastAsia" w:ascii="仿宋" w:hAnsi="仿宋" w:cs="仿宋"/>
          <w:b/>
          <w:color w:val="auto"/>
          <w:highlight w:val="none"/>
        </w:rPr>
        <w:t>七、其他补充事宜</w:t>
      </w:r>
    </w:p>
    <w:p w14:paraId="410200FA">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4EC45F3">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44278F">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AE8034">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14:paraId="1D790A0F">
      <w:pPr>
        <w:spacing w:line="360" w:lineRule="auto"/>
        <w:ind w:firstLine="482" w:firstLineChars="200"/>
        <w:rPr>
          <w:rFonts w:hint="eastAsia" w:ascii="仿宋" w:hAnsi="仿宋" w:cs="仿宋"/>
          <w:b/>
          <w:color w:val="auto"/>
          <w:highlight w:val="none"/>
        </w:rPr>
      </w:pPr>
      <w:r>
        <w:rPr>
          <w:rFonts w:hint="eastAsia" w:ascii="仿宋" w:hAnsi="仿宋" w:cs="仿宋"/>
          <w:b/>
          <w:color w:val="auto"/>
          <w:highlight w:val="none"/>
        </w:rPr>
        <w:t>八、对本次采购提出询问、质疑、投诉，请按以下方式联系</w:t>
      </w:r>
    </w:p>
    <w:p w14:paraId="478399A5">
      <w:pPr>
        <w:spacing w:line="360" w:lineRule="auto"/>
        <w:rPr>
          <w:rFonts w:hint="eastAsia" w:ascii="仿宋" w:hAnsi="仿宋" w:cs="仿宋"/>
          <w:color w:val="auto"/>
          <w:highlight w:val="none"/>
        </w:rPr>
      </w:pPr>
      <w:r>
        <w:rPr>
          <w:rFonts w:hint="eastAsia" w:ascii="仿宋" w:hAnsi="仿宋" w:cs="仿宋"/>
          <w:color w:val="auto"/>
          <w:highlight w:val="none"/>
        </w:rPr>
        <w:t xml:space="preserve">    1.采购人信息</w:t>
      </w:r>
    </w:p>
    <w:p w14:paraId="1EAA31A0">
      <w:pPr>
        <w:spacing w:line="360" w:lineRule="auto"/>
        <w:rPr>
          <w:rFonts w:hint="eastAsia" w:ascii="仿宋" w:hAnsi="仿宋" w:cs="仿宋"/>
          <w:color w:val="auto"/>
          <w:highlight w:val="none"/>
        </w:rPr>
      </w:pPr>
      <w:r>
        <w:rPr>
          <w:rFonts w:hint="eastAsia" w:ascii="仿宋" w:hAnsi="仿宋" w:cs="仿宋"/>
          <w:color w:val="auto"/>
          <w:highlight w:val="none"/>
        </w:rPr>
        <w:t xml:space="preserve">    名    称：杭州市生态环境局钱塘分局 </w:t>
      </w:r>
    </w:p>
    <w:p w14:paraId="023E8312">
      <w:pPr>
        <w:spacing w:line="360" w:lineRule="auto"/>
        <w:rPr>
          <w:rFonts w:hint="eastAsia" w:ascii="仿宋" w:hAnsi="仿宋" w:cs="仿宋"/>
          <w:color w:val="auto"/>
          <w:highlight w:val="none"/>
        </w:rPr>
      </w:pPr>
      <w:r>
        <w:rPr>
          <w:rFonts w:hint="eastAsia" w:ascii="仿宋" w:hAnsi="仿宋" w:cs="仿宋"/>
          <w:color w:val="auto"/>
          <w:highlight w:val="none"/>
        </w:rPr>
        <w:t xml:space="preserve">    地    址：杭州市钱塘区青六北路769号综合楼北四楼</w:t>
      </w:r>
    </w:p>
    <w:p w14:paraId="33370901">
      <w:pPr>
        <w:spacing w:line="360" w:lineRule="auto"/>
        <w:ind w:firstLine="480"/>
        <w:rPr>
          <w:rFonts w:hint="eastAsia" w:ascii="仿宋" w:hAnsi="仿宋" w:cs="仿宋"/>
          <w:color w:val="auto"/>
          <w:highlight w:val="none"/>
        </w:rPr>
      </w:pPr>
      <w:r>
        <w:rPr>
          <w:rFonts w:hint="eastAsia" w:ascii="仿宋" w:hAnsi="仿宋" w:cs="仿宋"/>
          <w:color w:val="auto"/>
          <w:highlight w:val="none"/>
        </w:rPr>
        <w:t>传    真： /</w:t>
      </w:r>
    </w:p>
    <w:p w14:paraId="61613F6F">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项目联系人（询问）：傅女士</w:t>
      </w:r>
      <w:r>
        <w:rPr>
          <w:rFonts w:hint="eastAsia" w:ascii="仿宋" w:hAnsi="仿宋" w:cs="仿宋"/>
          <w:color w:val="auto"/>
          <w:szCs w:val="28"/>
          <w:highlight w:val="none"/>
        </w:rPr>
        <w:t xml:space="preserve"> </w:t>
      </w:r>
      <w:r>
        <w:rPr>
          <w:rFonts w:hint="eastAsia" w:ascii="仿宋" w:hAnsi="仿宋" w:cs="仿宋"/>
          <w:color w:val="auto"/>
          <w:highlight w:val="none"/>
        </w:rPr>
        <w:t xml:space="preserve">  </w:t>
      </w:r>
    </w:p>
    <w:p w14:paraId="6ACB6E85">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项目联系方式（询问）：</w:t>
      </w:r>
      <w:r>
        <w:rPr>
          <w:rFonts w:hint="eastAsia" w:ascii="仿宋" w:hAnsi="仿宋" w:cs="仿宋"/>
          <w:color w:val="auto"/>
          <w:szCs w:val="28"/>
          <w:highlight w:val="none"/>
        </w:rPr>
        <w:t>0571-82906698</w:t>
      </w:r>
    </w:p>
    <w:p w14:paraId="195BE56C">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质疑联系人：王先生</w:t>
      </w:r>
    </w:p>
    <w:p w14:paraId="757D1282">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质疑联系方式：0571-89536419</w:t>
      </w:r>
    </w:p>
    <w:p w14:paraId="5A3C00DB">
      <w:pPr>
        <w:spacing w:line="360" w:lineRule="auto"/>
        <w:rPr>
          <w:rFonts w:hint="eastAsia" w:ascii="仿宋" w:hAnsi="仿宋" w:cs="仿宋"/>
          <w:color w:val="auto"/>
          <w:highlight w:val="none"/>
        </w:rPr>
      </w:pPr>
      <w:r>
        <w:rPr>
          <w:rFonts w:hint="eastAsia" w:ascii="仿宋" w:hAnsi="仿宋" w:cs="仿宋"/>
          <w:color w:val="auto"/>
          <w:highlight w:val="none"/>
        </w:rPr>
        <w:t xml:space="preserve">    2.采购代理机构信息            </w:t>
      </w:r>
    </w:p>
    <w:p w14:paraId="4AF9C6AC">
      <w:pPr>
        <w:spacing w:line="360" w:lineRule="auto"/>
        <w:ind w:firstLine="480"/>
        <w:rPr>
          <w:rFonts w:hint="eastAsia" w:ascii="仿宋" w:hAnsi="仿宋" w:cs="仿宋"/>
          <w:color w:val="auto"/>
          <w:highlight w:val="none"/>
        </w:rPr>
      </w:pPr>
      <w:r>
        <w:rPr>
          <w:rFonts w:hint="eastAsia" w:ascii="仿宋" w:hAnsi="仿宋" w:cs="仿宋"/>
          <w:color w:val="auto"/>
          <w:highlight w:val="none"/>
        </w:rPr>
        <w:t>名    称：浙江勋达工程咨询有限公司</w:t>
      </w:r>
    </w:p>
    <w:p w14:paraId="6B478AA6">
      <w:pPr>
        <w:spacing w:line="360" w:lineRule="auto"/>
        <w:ind w:firstLine="480"/>
        <w:rPr>
          <w:rFonts w:hint="eastAsia" w:ascii="仿宋" w:hAnsi="仿宋" w:cs="仿宋"/>
          <w:color w:val="auto"/>
          <w:highlight w:val="none"/>
        </w:rPr>
      </w:pPr>
      <w:r>
        <w:rPr>
          <w:rFonts w:hint="eastAsia" w:ascii="仿宋" w:hAnsi="仿宋" w:cs="仿宋"/>
          <w:color w:val="auto"/>
          <w:highlight w:val="none"/>
        </w:rPr>
        <w:t>地    址：杭州市钱塘区义蓬街道义蓬中路782号</w:t>
      </w:r>
    </w:p>
    <w:p w14:paraId="329EFE2A">
      <w:pPr>
        <w:spacing w:line="360" w:lineRule="auto"/>
        <w:rPr>
          <w:rFonts w:hint="eastAsia" w:ascii="仿宋" w:hAnsi="仿宋" w:cs="仿宋"/>
          <w:color w:val="auto"/>
          <w:highlight w:val="none"/>
        </w:rPr>
      </w:pPr>
      <w:r>
        <w:rPr>
          <w:rFonts w:hint="eastAsia" w:ascii="仿宋" w:hAnsi="仿宋" w:cs="仿宋"/>
          <w:color w:val="auto"/>
          <w:highlight w:val="none"/>
        </w:rPr>
        <w:t xml:space="preserve">    传    真：/             </w:t>
      </w:r>
    </w:p>
    <w:p w14:paraId="18894E7A">
      <w:pPr>
        <w:adjustRightInd/>
        <w:spacing w:line="360" w:lineRule="auto"/>
        <w:ind w:firstLine="480" w:firstLineChars="200"/>
        <w:jc w:val="left"/>
        <w:outlineLvl w:val="0"/>
        <w:rPr>
          <w:rFonts w:hint="eastAsia" w:ascii="仿宋" w:hAnsi="仿宋" w:cs="仿宋"/>
          <w:color w:val="auto"/>
          <w:szCs w:val="28"/>
          <w:highlight w:val="none"/>
        </w:rPr>
      </w:pPr>
      <w:r>
        <w:rPr>
          <w:rFonts w:hint="eastAsia" w:ascii="仿宋" w:hAnsi="仿宋" w:cs="仿宋"/>
          <w:color w:val="auto"/>
          <w:szCs w:val="28"/>
          <w:highlight w:val="none"/>
        </w:rPr>
        <w:t>项目联系人（询问）：</w:t>
      </w:r>
      <w:r>
        <w:rPr>
          <w:rFonts w:hint="eastAsia" w:ascii="仿宋" w:hAnsi="仿宋" w:cs="宋体"/>
          <w:color w:val="auto"/>
          <w:highlight w:val="none"/>
        </w:rPr>
        <w:t>平建波</w:t>
      </w:r>
      <w:r>
        <w:rPr>
          <w:rFonts w:hint="eastAsia" w:ascii="仿宋" w:hAnsi="仿宋" w:cs="仿宋"/>
          <w:color w:val="auto"/>
          <w:szCs w:val="28"/>
          <w:highlight w:val="none"/>
        </w:rPr>
        <w:t>     　　　　　　　　　　</w:t>
      </w:r>
    </w:p>
    <w:p w14:paraId="66946128">
      <w:pPr>
        <w:adjustRightInd/>
        <w:spacing w:line="360" w:lineRule="auto"/>
        <w:ind w:firstLine="480" w:firstLineChars="200"/>
        <w:jc w:val="left"/>
        <w:outlineLvl w:val="0"/>
        <w:rPr>
          <w:rFonts w:hint="eastAsia" w:ascii="仿宋" w:hAnsi="仿宋" w:cs="仿宋"/>
          <w:color w:val="auto"/>
          <w:szCs w:val="28"/>
          <w:highlight w:val="none"/>
        </w:rPr>
      </w:pPr>
      <w:r>
        <w:rPr>
          <w:rFonts w:hint="eastAsia" w:ascii="仿宋" w:hAnsi="仿宋" w:cs="仿宋"/>
          <w:color w:val="auto"/>
          <w:szCs w:val="28"/>
          <w:highlight w:val="none"/>
        </w:rPr>
        <w:t>项目联系方式（询问）：</w:t>
      </w:r>
      <w:r>
        <w:rPr>
          <w:rFonts w:hint="eastAsia" w:ascii="仿宋" w:hAnsi="仿宋" w:cs="宋体"/>
          <w:color w:val="auto"/>
          <w:highlight w:val="none"/>
        </w:rPr>
        <w:t>15088779243</w:t>
      </w:r>
    </w:p>
    <w:p w14:paraId="65601644">
      <w:pPr>
        <w:adjustRightInd/>
        <w:spacing w:line="360" w:lineRule="auto"/>
        <w:ind w:firstLine="480" w:firstLineChars="200"/>
        <w:jc w:val="left"/>
        <w:outlineLvl w:val="0"/>
        <w:rPr>
          <w:rFonts w:hint="eastAsia" w:ascii="仿宋" w:hAnsi="仿宋" w:cs="仿宋"/>
          <w:color w:val="auto"/>
          <w:szCs w:val="28"/>
          <w:highlight w:val="none"/>
        </w:rPr>
      </w:pPr>
      <w:r>
        <w:rPr>
          <w:rFonts w:hint="eastAsia" w:ascii="仿宋" w:hAnsi="仿宋" w:cs="仿宋"/>
          <w:color w:val="auto"/>
          <w:szCs w:val="28"/>
          <w:highlight w:val="none"/>
        </w:rPr>
        <w:t>质疑联系人：</w:t>
      </w:r>
      <w:r>
        <w:rPr>
          <w:rFonts w:hint="eastAsia" w:ascii="仿宋" w:hAnsi="仿宋" w:cs="宋体"/>
          <w:color w:val="auto"/>
          <w:highlight w:val="none"/>
        </w:rPr>
        <w:t>姚东强</w:t>
      </w:r>
    </w:p>
    <w:p w14:paraId="32432DA2">
      <w:pPr>
        <w:spacing w:line="360" w:lineRule="auto"/>
        <w:ind w:firstLine="480" w:firstLineChars="200"/>
        <w:rPr>
          <w:rFonts w:hint="eastAsia" w:ascii="仿宋" w:hAnsi="仿宋" w:cs="仿宋"/>
          <w:color w:val="auto"/>
          <w:szCs w:val="28"/>
          <w:highlight w:val="none"/>
        </w:rPr>
      </w:pPr>
      <w:r>
        <w:rPr>
          <w:rFonts w:hint="eastAsia" w:ascii="仿宋" w:hAnsi="仿宋" w:cs="仿宋"/>
          <w:color w:val="auto"/>
          <w:szCs w:val="28"/>
          <w:highlight w:val="none"/>
        </w:rPr>
        <w:t>质疑联系方式：</w:t>
      </w:r>
      <w:r>
        <w:rPr>
          <w:rFonts w:hint="eastAsia" w:ascii="仿宋" w:hAnsi="仿宋" w:cs="宋体"/>
          <w:color w:val="auto"/>
          <w:highlight w:val="none"/>
        </w:rPr>
        <w:t>15968327758</w:t>
      </w:r>
    </w:p>
    <w:p w14:paraId="563A6E27">
      <w:pPr>
        <w:spacing w:line="360" w:lineRule="auto"/>
        <w:rPr>
          <w:rFonts w:hint="eastAsia" w:ascii="仿宋" w:hAnsi="仿宋" w:cs="仿宋"/>
          <w:color w:val="auto"/>
          <w:highlight w:val="none"/>
        </w:rPr>
      </w:pPr>
      <w:r>
        <w:rPr>
          <w:rFonts w:hint="eastAsia" w:ascii="仿宋" w:hAnsi="仿宋" w:cs="仿宋"/>
          <w:color w:val="auto"/>
          <w:highlight w:val="none"/>
        </w:rPr>
        <w:t xml:space="preserve">     3.同级政府采购监督管理部门            </w:t>
      </w:r>
    </w:p>
    <w:p w14:paraId="1AA0A0E4">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名 称：杭州市钱塘区财政局、浙江省政府采购行政裁决服务中心（杭州）</w:t>
      </w:r>
    </w:p>
    <w:p w14:paraId="1F4912B0">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地 址：杭州市上城区清泰街549号城建综合大楼11楼（快递仅限ems或顺丰）</w:t>
      </w:r>
    </w:p>
    <w:p w14:paraId="515EA4D5">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传 真：/</w:t>
      </w:r>
    </w:p>
    <w:p w14:paraId="36E65061">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联系人：匡老师</w:t>
      </w:r>
    </w:p>
    <w:p w14:paraId="3CA65A47">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监督投诉电话：0571-87807798</w:t>
      </w:r>
    </w:p>
    <w:p w14:paraId="54E222BE">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若对项目采购电子交易系统操作有疑问，可登录政采云（https://www.zcygov.cn/），点击右侧咨询小采，获取采小蜜智能服务管家帮助，或拨打政采云服务热线400-881-7190获取热线服务帮助。</w:t>
      </w:r>
    </w:p>
    <w:p w14:paraId="025BC1C6">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CA问题联系电话（人工）：汇信CA 400-888-4636；天谷CA 400-087-8198。</w:t>
      </w:r>
    </w:p>
    <w:p w14:paraId="152567E1">
      <w:pPr>
        <w:pStyle w:val="6"/>
        <w:rPr>
          <w:rFonts w:hint="eastAsia" w:ascii="仿宋" w:hAnsi="仿宋" w:cs="仿宋"/>
          <w:color w:val="auto"/>
          <w:sz w:val="24"/>
          <w:highlight w:val="none"/>
        </w:rPr>
      </w:pPr>
    </w:p>
    <w:p w14:paraId="570ED6E4">
      <w:pPr>
        <w:rPr>
          <w:rFonts w:hint="eastAsia" w:ascii="仿宋" w:hAnsi="仿宋" w:cs="仿宋"/>
          <w:color w:val="auto"/>
          <w:highlight w:val="none"/>
        </w:rPr>
      </w:pPr>
    </w:p>
    <w:p w14:paraId="6F56C37D">
      <w:pPr>
        <w:pStyle w:val="6"/>
        <w:rPr>
          <w:rFonts w:hint="eastAsia" w:ascii="仿宋" w:hAnsi="仿宋" w:cs="仿宋"/>
          <w:color w:val="auto"/>
          <w:sz w:val="24"/>
          <w:highlight w:val="none"/>
        </w:rPr>
      </w:pPr>
    </w:p>
    <w:p w14:paraId="6E968A5E">
      <w:pPr>
        <w:rPr>
          <w:rFonts w:hint="eastAsia" w:ascii="仿宋" w:hAnsi="仿宋" w:cs="仿宋"/>
          <w:color w:val="auto"/>
          <w:highlight w:val="none"/>
        </w:rPr>
      </w:pPr>
    </w:p>
    <w:p w14:paraId="20473103">
      <w:pPr>
        <w:pStyle w:val="6"/>
        <w:rPr>
          <w:rFonts w:hint="eastAsia" w:ascii="仿宋" w:hAnsi="仿宋" w:cs="仿宋"/>
          <w:color w:val="auto"/>
          <w:sz w:val="24"/>
          <w:highlight w:val="none"/>
        </w:rPr>
      </w:pPr>
    </w:p>
    <w:p w14:paraId="662FF31D">
      <w:pPr>
        <w:rPr>
          <w:rFonts w:hint="eastAsia" w:ascii="仿宋" w:hAnsi="仿宋" w:cs="仿宋"/>
          <w:color w:val="auto"/>
          <w:highlight w:val="none"/>
        </w:rPr>
      </w:pPr>
    </w:p>
    <w:p w14:paraId="588E941F">
      <w:pPr>
        <w:pStyle w:val="6"/>
        <w:rPr>
          <w:rFonts w:hint="eastAsia" w:ascii="仿宋" w:hAnsi="仿宋" w:cs="仿宋"/>
          <w:color w:val="auto"/>
          <w:sz w:val="24"/>
          <w:highlight w:val="none"/>
        </w:rPr>
      </w:pPr>
    </w:p>
    <w:p w14:paraId="70D55B60">
      <w:pPr>
        <w:rPr>
          <w:rFonts w:hint="eastAsia" w:ascii="仿宋" w:hAnsi="仿宋" w:cs="仿宋"/>
          <w:color w:val="auto"/>
          <w:highlight w:val="none"/>
        </w:rPr>
      </w:pPr>
    </w:p>
    <w:p w14:paraId="441F6437">
      <w:pPr>
        <w:pStyle w:val="6"/>
        <w:rPr>
          <w:rFonts w:hint="eastAsia" w:ascii="仿宋" w:hAnsi="仿宋" w:cs="仿宋"/>
          <w:color w:val="auto"/>
          <w:sz w:val="24"/>
          <w:highlight w:val="none"/>
        </w:rPr>
      </w:pPr>
    </w:p>
    <w:p w14:paraId="03547304">
      <w:pPr>
        <w:rPr>
          <w:rFonts w:hint="eastAsia" w:ascii="仿宋" w:hAnsi="仿宋" w:cs="仿宋"/>
          <w:color w:val="auto"/>
          <w:highlight w:val="none"/>
        </w:rPr>
      </w:pPr>
    </w:p>
    <w:p w14:paraId="59CD1C8B">
      <w:pPr>
        <w:pStyle w:val="34"/>
        <w:spacing w:line="360" w:lineRule="auto"/>
        <w:rPr>
          <w:rFonts w:hint="eastAsia" w:ascii="仿宋" w:hAnsi="仿宋" w:cs="仿宋"/>
          <w:color w:val="auto"/>
          <w:szCs w:val="24"/>
          <w:highlight w:val="none"/>
        </w:rPr>
      </w:pPr>
    </w:p>
    <w:p w14:paraId="2CCCF444">
      <w:pPr>
        <w:pStyle w:val="34"/>
        <w:spacing w:line="360" w:lineRule="auto"/>
        <w:rPr>
          <w:rFonts w:hint="eastAsia" w:ascii="仿宋" w:hAnsi="仿宋" w:cs="仿宋"/>
          <w:color w:val="auto"/>
          <w:szCs w:val="24"/>
          <w:highlight w:val="none"/>
        </w:rPr>
      </w:pPr>
    </w:p>
    <w:p w14:paraId="4DC3912B">
      <w:pPr>
        <w:rPr>
          <w:rFonts w:hint="eastAsia" w:ascii="仿宋" w:hAnsi="仿宋" w:cs="仿宋"/>
          <w:color w:val="auto"/>
          <w:highlight w:val="none"/>
        </w:rPr>
      </w:pPr>
      <w:r>
        <w:rPr>
          <w:rFonts w:hint="eastAsia" w:ascii="仿宋" w:hAnsi="仿宋" w:cs="仿宋"/>
          <w:color w:val="auto"/>
          <w:highlight w:val="none"/>
        </w:rPr>
        <w:br w:type="page"/>
      </w:r>
    </w:p>
    <w:p w14:paraId="62A50EDD">
      <w:pPr>
        <w:rPr>
          <w:color w:val="auto"/>
          <w:highlight w:val="none"/>
        </w:rPr>
      </w:pPr>
    </w:p>
    <w:p w14:paraId="713811DE">
      <w:pPr>
        <w:adjustRightInd/>
        <w:spacing w:line="360" w:lineRule="auto"/>
        <w:jc w:val="center"/>
        <w:outlineLvl w:val="0"/>
        <w:rPr>
          <w:rFonts w:hint="eastAsia" w:ascii="仿宋" w:hAnsi="仿宋" w:cs="仿宋"/>
          <w:b/>
          <w:color w:val="auto"/>
          <w:sz w:val="36"/>
          <w:szCs w:val="20"/>
          <w:highlight w:val="none"/>
        </w:rPr>
      </w:pPr>
      <w:r>
        <w:rPr>
          <w:rFonts w:hint="eastAsia" w:ascii="仿宋" w:hAnsi="仿宋" w:cs="仿宋"/>
          <w:b/>
          <w:color w:val="auto"/>
          <w:sz w:val="36"/>
          <w:szCs w:val="20"/>
          <w:highlight w:val="none"/>
        </w:rPr>
        <w:t>第二部分</w:t>
      </w:r>
      <w:bookmarkEnd w:id="8"/>
      <w:r>
        <w:rPr>
          <w:rFonts w:hint="eastAsia" w:ascii="仿宋" w:hAnsi="仿宋" w:cs="仿宋"/>
          <w:b/>
          <w:color w:val="auto"/>
          <w:sz w:val="36"/>
          <w:szCs w:val="20"/>
          <w:highlight w:val="none"/>
        </w:rPr>
        <w:t xml:space="preserve"> 投标人须知</w:t>
      </w:r>
      <w:bookmarkEnd w:id="9"/>
    </w:p>
    <w:p w14:paraId="0F126CD5">
      <w:pPr>
        <w:snapToGrid w:val="0"/>
        <w:spacing w:line="360" w:lineRule="auto"/>
        <w:jc w:val="center"/>
        <w:rPr>
          <w:rFonts w:hint="eastAsia" w:ascii="仿宋" w:hAnsi="仿宋" w:cs="仿宋"/>
          <w:b/>
          <w:color w:val="auto"/>
          <w:sz w:val="32"/>
          <w:szCs w:val="20"/>
          <w:highlight w:val="none"/>
        </w:rPr>
      </w:pPr>
      <w:r>
        <w:rPr>
          <w:rFonts w:hint="eastAsia" w:ascii="仿宋" w:hAnsi="仿宋" w:cs="仿宋"/>
          <w:b/>
          <w:color w:val="auto"/>
          <w:sz w:val="32"/>
          <w:szCs w:val="20"/>
          <w:highlight w:val="none"/>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6599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0E5F288">
            <w:pPr>
              <w:snapToGrid w:val="0"/>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962C5E">
            <w:pPr>
              <w:snapToGrid w:val="0"/>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C30C746">
            <w:pPr>
              <w:snapToGrid w:val="0"/>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本项目的特别规定</w:t>
            </w:r>
          </w:p>
        </w:tc>
      </w:tr>
      <w:tr w14:paraId="132E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673F118">
            <w:pPr>
              <w:snapToGrid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F4FC30">
            <w:pPr>
              <w:snapToGrid w:val="0"/>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97B8870">
            <w:pPr>
              <w:spacing w:line="360" w:lineRule="auto"/>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kern w:val="0"/>
                <w:highlight w:val="none"/>
              </w:rPr>
              <w:t xml:space="preserve">服务类 </w:t>
            </w:r>
          </w:p>
        </w:tc>
      </w:tr>
      <w:tr w14:paraId="6FBB6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D10D844">
            <w:pPr>
              <w:snapToGrid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A459FD7">
            <w:pPr>
              <w:snapToGrid w:val="0"/>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C11CDC1">
            <w:pPr>
              <w:snapToGrid w:val="0"/>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（1）标的：</w:t>
            </w:r>
            <w:r>
              <w:rPr>
                <w:rFonts w:hint="eastAsia" w:ascii="仿宋_GB2312" w:hAnsi="仿宋_GB2312" w:eastAsia="仿宋_GB2312" w:cs="仿宋_GB2312"/>
                <w:color w:val="auto"/>
                <w:kern w:val="0"/>
                <w:highlight w:val="none"/>
                <w:u w:val="single"/>
              </w:rPr>
              <w:t xml:space="preserve"> </w:t>
            </w:r>
            <w:r>
              <w:rPr>
                <w:rFonts w:hint="eastAsia" w:ascii="仿宋" w:hAnsi="仿宋" w:cs="仿宋"/>
                <w:color w:val="auto"/>
                <w:highlight w:val="none"/>
                <w:u w:val="single"/>
              </w:rPr>
              <w:t>2025年钱塘区土壤重点监管单位周边土壤和地下水监测项目</w:t>
            </w:r>
            <w:r>
              <w:rPr>
                <w:rFonts w:hint="eastAsia" w:ascii="仿宋_GB2312" w:hAnsi="仿宋_GB2312" w:eastAsia="仿宋_GB2312" w:cs="仿宋_GB2312"/>
                <w:color w:val="auto"/>
                <w:kern w:val="0"/>
                <w:highlight w:val="none"/>
                <w:u w:val="single"/>
              </w:rPr>
              <w:t xml:space="preserve"> </w:t>
            </w:r>
            <w:r>
              <w:rPr>
                <w:rFonts w:hint="eastAsia" w:ascii="仿宋_GB2312" w:hAnsi="仿宋_GB2312" w:eastAsia="仿宋_GB2312" w:cs="仿宋_GB2312"/>
                <w:color w:val="auto"/>
                <w:kern w:val="0"/>
                <w:highlight w:val="none"/>
              </w:rPr>
              <w:t>，属于</w:t>
            </w:r>
            <w:r>
              <w:rPr>
                <w:rFonts w:hint="eastAsia" w:ascii="仿宋" w:hAnsi="仿宋" w:cs="仿宋"/>
                <w:color w:val="auto"/>
                <w:highlight w:val="none"/>
                <w:u w:val="single"/>
              </w:rPr>
              <w:t xml:space="preserve">其他未列明行业  </w:t>
            </w:r>
            <w:r>
              <w:rPr>
                <w:rFonts w:hint="eastAsia" w:ascii="仿宋_GB2312" w:hAnsi="仿宋_GB2312" w:eastAsia="仿宋_GB2312" w:cs="仿宋_GB2312"/>
                <w:color w:val="auto"/>
                <w:kern w:val="0"/>
                <w:highlight w:val="none"/>
                <w:u w:val="single" w:color="FFFFFF" w:themeColor="background1"/>
              </w:rPr>
              <w:t xml:space="preserve">行业 </w:t>
            </w:r>
            <w:r>
              <w:rPr>
                <w:rFonts w:hint="eastAsia" w:ascii="仿宋_GB2312" w:hAnsi="仿宋_GB2312" w:eastAsia="仿宋_GB2312" w:cs="仿宋_GB2312"/>
                <w:color w:val="auto"/>
                <w:kern w:val="0"/>
                <w:highlight w:val="none"/>
              </w:rPr>
              <w:t>。</w:t>
            </w:r>
          </w:p>
          <w:p w14:paraId="720F2600">
            <w:pPr>
              <w:snapToGrid w:val="0"/>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备注：《关于印发中小企业划型标准规定的通知》（工信部联企业〔2011〕300号）中关于</w:t>
            </w:r>
            <w:r>
              <w:rPr>
                <w:rFonts w:hint="eastAsia" w:ascii="仿宋_GB2312" w:hAnsi="仿宋_GB2312" w:eastAsia="仿宋_GB2312" w:cs="仿宋_GB2312"/>
                <w:color w:val="auto"/>
                <w:highlight w:val="none"/>
              </w:rPr>
              <w:t>其他未列明行业</w:t>
            </w:r>
            <w:r>
              <w:rPr>
                <w:rFonts w:hint="eastAsia" w:ascii="仿宋_GB2312" w:hAnsi="仿宋_GB2312" w:eastAsia="仿宋_GB2312" w:cs="仿宋_GB2312"/>
                <w:color w:val="auto"/>
                <w:kern w:val="0"/>
                <w:highlight w:val="none"/>
              </w:rPr>
              <w:t>划型标准如下：</w:t>
            </w:r>
          </w:p>
          <w:p w14:paraId="4A31B361">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其他未列明行业。从业人员300人以下的为中小微型企业。其中，从业人员100人及以上的为中型企业；从业人员10人及以上的为小型企业；从业人员10人以下的为微型企业。 </w:t>
            </w:r>
          </w:p>
        </w:tc>
      </w:tr>
      <w:tr w14:paraId="20126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282A2B8">
            <w:pPr>
              <w:snapToGrid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8A923EA">
            <w:pPr>
              <w:snapToGrid w:val="0"/>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D3B542">
            <w:pPr>
              <w:spacing w:line="360" w:lineRule="auto"/>
              <w:rPr>
                <w:rFonts w:hint="eastAsia" w:ascii="仿宋_GB2312" w:hAnsi="仿宋_GB2312" w:eastAsia="仿宋_GB2312" w:cs="仿宋_GB2312"/>
                <w:color w:val="auto"/>
                <w:kern w:val="0"/>
                <w:highlight w:val="none"/>
              </w:rPr>
            </w:pPr>
            <w:sdt>
              <w:sdtPr>
                <w:rPr>
                  <w:rFonts w:hint="eastAsia" w:ascii="仿宋" w:hAnsi="仿宋" w:cs="仿宋"/>
                  <w:color w:val="auto"/>
                  <w:kern w:val="0"/>
                  <w:highlight w:val="none"/>
                </w:rPr>
                <w:id w:val="13"/>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highlight w:val="none"/>
                </w:rPr>
              </w:sdtEndPr>
              <w:sdtContent>
                <w:r>
                  <w:rPr>
                    <w:rFonts w:ascii="Wingdings" w:hAnsi="Wingdings" w:cs="仿宋"/>
                    <w:color w:val="auto"/>
                    <w:kern w:val="0"/>
                    <w:highlight w:val="none"/>
                  </w:rPr>
                  <w:t></w:t>
                </w:r>
              </w:sdtContent>
            </w:sdt>
            <w:r>
              <w:rPr>
                <w:rFonts w:hint="eastAsia" w:ascii="仿宋_GB2312" w:hAnsi="仿宋_GB2312" w:eastAsia="仿宋_GB2312" w:cs="仿宋_GB2312"/>
                <w:color w:val="auto"/>
                <w:kern w:val="0"/>
                <w:highlight w:val="none"/>
              </w:rPr>
              <w:t>本项目不允许采购进口产品。</w:t>
            </w:r>
          </w:p>
          <w:p w14:paraId="43DD6903">
            <w:pPr>
              <w:spacing w:line="360" w:lineRule="auto"/>
              <w:rPr>
                <w:rFonts w:hint="eastAsia" w:ascii="仿宋" w:hAnsi="仿宋" w:cs="仿宋"/>
                <w:color w:val="auto"/>
                <w:highlight w:val="none"/>
              </w:rPr>
            </w:pPr>
            <w:sdt>
              <w:sdtPr>
                <w:rPr>
                  <w:rFonts w:hint="eastAsia" w:ascii="仿宋" w:hAnsi="仿宋" w:cs="仿宋"/>
                  <w:color w:val="auto"/>
                  <w:kern w:val="0"/>
                  <w:highlight w:val="none"/>
                </w:rPr>
                <w:id w:val="1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highlight w:val="none"/>
                </w:rPr>
              </w:sdtEndPr>
              <w:sdtContent>
                <w:r>
                  <w:rPr>
                    <w:rFonts w:hint="eastAsia" w:ascii="MS Gothic" w:hAnsi="MS Gothic" w:cs="仿宋"/>
                    <w:color w:val="auto"/>
                    <w:kern w:val="0"/>
                    <w:highlight w:val="none"/>
                  </w:rPr>
                  <w:t>☐</w:t>
                </w:r>
              </w:sdtContent>
            </w:sdt>
            <w:r>
              <w:rPr>
                <w:rFonts w:hint="eastAsia" w:ascii="仿宋_GB2312" w:hAnsi="仿宋_GB2312" w:eastAsia="仿宋_GB2312" w:cs="仿宋_GB2312"/>
                <w:color w:val="auto"/>
                <w:kern w:val="0"/>
                <w:highlight w:val="none"/>
              </w:rPr>
              <w:t>可以就</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highlight w:val="none"/>
              </w:rPr>
              <w:t>采购进口产品，优先采购向我国企业转让技术、与我国企业签订消化吸收再创新方案的供应商的进口产品，详见评分标准；但如果因信息不对称等原因，仍有满足需求的国内产品要求参与采购竞争的，采购人及其委托的采购代理机构不对其加以限制，将按照公平竞争原则实施采购。</w:t>
            </w:r>
          </w:p>
        </w:tc>
      </w:tr>
      <w:tr w14:paraId="5738D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E420DC9">
            <w:pPr>
              <w:snapToGrid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717D2AD">
            <w:pPr>
              <w:snapToGrid w:val="0"/>
              <w:spacing w:line="360" w:lineRule="auto"/>
              <w:ind w:firstLine="482"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A1E05">
            <w:pPr>
              <w:spacing w:line="360" w:lineRule="auto"/>
              <w:rPr>
                <w:rFonts w:hint="eastAsia" w:ascii="仿宋" w:hAnsi="仿宋" w:cs="仿宋"/>
                <w:color w:val="auto"/>
                <w:kern w:val="0"/>
                <w:highlight w:val="none"/>
              </w:rPr>
            </w:pPr>
            <w:sdt>
              <w:sdtPr>
                <w:rPr>
                  <w:rFonts w:hint="eastAsia" w:ascii="仿宋" w:hAnsi="仿宋" w:cs="仿宋"/>
                  <w:color w:val="auto"/>
                  <w:kern w:val="0"/>
                  <w:highlight w:val="none"/>
                </w:rPr>
                <w:id w:val="15"/>
                <w14:checkbox>
                  <w14:checked w14:val="1"/>
                  <w14:checkedState w14:val="00FE" w14:font="Wingdings"/>
                  <w14:uncheckedState w14:val="2610" w14:font="MS Gothic"/>
                </w14:checkbox>
              </w:sdtPr>
              <w:sdtEndPr>
                <w:rPr>
                  <w:rFonts w:hint="eastAsia" w:ascii="仿宋" w:hAnsi="仿宋" w:cs="仿宋"/>
                  <w:color w:val="auto"/>
                  <w:kern w:val="0"/>
                  <w:highlight w:val="none"/>
                </w:rPr>
              </w:sdtEndPr>
              <w:sdtContent>
                <w:r>
                  <w:rPr>
                    <w:rFonts w:hint="eastAsia" w:ascii="Wingdings" w:hAnsi="Wingdings" w:cs="仿宋"/>
                    <w:color w:val="auto"/>
                    <w:kern w:val="0"/>
                    <w:highlight w:val="none"/>
                  </w:rPr>
                  <w:t>þ</w:t>
                </w:r>
              </w:sdtContent>
            </w:sdt>
            <w:r>
              <w:rPr>
                <w:rFonts w:hint="eastAsia" w:ascii="仿宋" w:hAnsi="仿宋" w:cs="仿宋"/>
                <w:color w:val="auto"/>
                <w:kern w:val="0"/>
                <w:highlight w:val="none"/>
              </w:rPr>
              <w:t>A</w:t>
            </w:r>
            <w:r>
              <w:rPr>
                <w:rFonts w:hint="eastAsia" w:ascii="仿宋_GB2312" w:hAnsi="仿宋_GB2312" w:eastAsia="仿宋_GB2312" w:cs="仿宋_GB2312"/>
                <w:color w:val="auto"/>
                <w:kern w:val="0"/>
                <w:highlight w:val="none"/>
              </w:rPr>
              <w:t>同意将非主体、非关键性的</w:t>
            </w:r>
            <w:r>
              <w:rPr>
                <w:rFonts w:hint="eastAsia" w:ascii="仿宋_GB2312" w:hAnsi="仿宋_GB2312" w:eastAsia="仿宋_GB2312" w:cs="仿宋_GB2312"/>
                <w:color w:val="auto"/>
                <w:kern w:val="0"/>
                <w:highlight w:val="none"/>
                <w:u w:val="single"/>
              </w:rPr>
              <w:t xml:space="preserve">        </w:t>
            </w:r>
            <w:r>
              <w:rPr>
                <w:rFonts w:hint="eastAsia" w:ascii="仿宋_GB2312" w:hAnsi="仿宋_GB2312" w:eastAsia="仿宋_GB2312" w:cs="仿宋_GB2312"/>
                <w:color w:val="auto"/>
                <w:kern w:val="0"/>
                <w:highlight w:val="none"/>
              </w:rPr>
              <w:t>工作分包。</w:t>
            </w:r>
          </w:p>
          <w:p w14:paraId="515EAA97">
            <w:pPr>
              <w:spacing w:line="360" w:lineRule="auto"/>
              <w:rPr>
                <w:color w:val="auto"/>
                <w:highlight w:val="none"/>
              </w:rPr>
            </w:pPr>
            <w:sdt>
              <w:sdtPr>
                <w:rPr>
                  <w:rFonts w:hint="eastAsia" w:ascii="仿宋_GB2312" w:hAnsi="仿宋" w:eastAsia="仿宋_GB2312" w:cs="Arial"/>
                  <w:color w:val="auto"/>
                  <w:kern w:val="0"/>
                  <w:highlight w:val="none"/>
                </w:rPr>
                <w:id w:val="316235797"/>
              </w:sdtPr>
              <w:sdtEndPr>
                <w:rPr>
                  <w:rFonts w:hint="eastAsia" w:ascii="仿宋_GB2312" w:hAnsi="仿宋_GB2312" w:eastAsia="仿宋_GB2312" w:cs="仿宋_GB2312"/>
                  <w:color w:val="auto"/>
                  <w:kern w:val="0"/>
                  <w:highlight w:val="none"/>
                </w:rPr>
              </w:sdtEndPr>
              <w:sdtContent>
                <w:sdt>
                  <w:sdtPr>
                    <w:rPr>
                      <w:rFonts w:hint="eastAsia" w:ascii="仿宋" w:hAnsi="仿宋" w:cs="仿宋"/>
                      <w:color w:val="auto"/>
                      <w:kern w:val="0"/>
                      <w:highlight w:val="none"/>
                    </w:rPr>
                    <w:id w:val="1130673981"/>
                    <w14:checkbox>
                      <w14:checked w14:val="0"/>
                      <w14:checkedState w14:val="00FE" w14:font="Wingdings"/>
                      <w14:uncheckedState w14:val="2610" w14:font="MS Gothic"/>
                    </w14:checkbox>
                  </w:sdtPr>
                  <w:sdtEndPr>
                    <w:rPr>
                      <w:rFonts w:hint="eastAsia" w:ascii="仿宋" w:hAnsi="仿宋" w:cs="仿宋"/>
                      <w:color w:val="auto"/>
                      <w:kern w:val="0"/>
                      <w:highlight w:val="none"/>
                    </w:rPr>
                  </w:sdtEndPr>
                  <w:sdtContent>
                    <w:r>
                      <w:rPr>
                        <w:rFonts w:ascii="MS Gothic" w:hAnsi="MS Gothic" w:cs="仿宋"/>
                        <w:color w:val="auto"/>
                        <w:kern w:val="0"/>
                        <w:highlight w:val="none"/>
                      </w:rPr>
                      <w:t>☐</w:t>
                    </w:r>
                  </w:sdtContent>
                </w:sdt>
                <w:r>
                  <w:rPr>
                    <w:rFonts w:hint="eastAsia" w:ascii="仿宋" w:hAnsi="仿宋" w:cs="仿宋"/>
                    <w:color w:val="auto"/>
                    <w:kern w:val="0"/>
                    <w:highlight w:val="none"/>
                  </w:rPr>
                  <w:t xml:space="preserve"> </w:t>
                </w:r>
              </w:sdtContent>
            </w:sdt>
            <w:r>
              <w:rPr>
                <w:rFonts w:hint="eastAsia" w:ascii="仿宋_GB2312" w:hAnsi="仿宋_GB2312" w:eastAsia="仿宋_GB2312" w:cs="仿宋_GB2312"/>
                <w:color w:val="auto"/>
                <w:kern w:val="0"/>
                <w:highlight w:val="none"/>
              </w:rPr>
              <w:t>B同意向小微企业合理分包。</w:t>
            </w:r>
          </w:p>
          <w:p w14:paraId="37C3379A">
            <w:pPr>
              <w:spacing w:line="360" w:lineRule="auto"/>
              <w:rPr>
                <w:rFonts w:hint="eastAsia" w:ascii="仿宋" w:hAnsi="仿宋" w:cs="仿宋"/>
                <w:color w:val="auto"/>
                <w:highlight w:val="none"/>
              </w:rPr>
            </w:pPr>
            <w:sdt>
              <w:sdtPr>
                <w:rPr>
                  <w:rFonts w:hint="eastAsia" w:ascii="仿宋" w:hAnsi="仿宋" w:cs="仿宋"/>
                  <w:color w:val="auto"/>
                  <w:kern w:val="0"/>
                  <w:highlight w:val="none"/>
                </w:rPr>
                <w:id w:val="16"/>
                <w14:checkbox>
                  <w14:checked w14:val="0"/>
                  <w14:checkedState w14:val="00FE" w14:font="Wingdings"/>
                  <w14:uncheckedState w14:val="2610" w14:font="MS Gothic"/>
                </w14:checkbox>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r>
              <w:rPr>
                <w:rFonts w:hint="eastAsia" w:ascii="仿宋_GB2312" w:hAnsi="仿宋_GB2312" w:eastAsia="仿宋_GB2312" w:cs="仿宋_GB2312"/>
                <w:color w:val="auto"/>
                <w:kern w:val="0"/>
                <w:highlight w:val="none"/>
              </w:rPr>
              <w:t>C</w:t>
            </w:r>
            <w:r>
              <w:rPr>
                <w:rFonts w:hint="eastAsia" w:ascii="仿宋_GB2312" w:hAnsi="仿宋_GB2312" w:eastAsia="仿宋_GB2312" w:cs="仿宋_GB2312"/>
                <w:color w:val="auto"/>
                <w:highlight w:val="none"/>
              </w:rPr>
              <w:t>不同意分包。</w:t>
            </w:r>
          </w:p>
        </w:tc>
      </w:tr>
      <w:tr w14:paraId="6E2E6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A087E11">
            <w:pPr>
              <w:snapToGrid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D92D49">
            <w:pPr>
              <w:snapToGrid w:val="0"/>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0AB44EE">
            <w:pPr>
              <w:spacing w:line="360" w:lineRule="auto"/>
              <w:rPr>
                <w:rFonts w:hint="eastAsia" w:ascii="仿宋_GB2312" w:hAnsi="仿宋_GB2312" w:eastAsia="仿宋_GB2312" w:cs="仿宋_GB2312"/>
                <w:color w:val="auto"/>
                <w:highlight w:val="none"/>
              </w:rPr>
            </w:pPr>
            <w:sdt>
              <w:sdtPr>
                <w:rPr>
                  <w:rFonts w:hint="eastAsia" w:ascii="仿宋" w:hAnsi="仿宋" w:cs="仿宋"/>
                  <w:color w:val="auto"/>
                  <w:kern w:val="0"/>
                  <w:highlight w:val="none"/>
                </w:rPr>
                <w:id w:val="17"/>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highlight w:val="none"/>
                </w:rPr>
              </w:sdtEndPr>
              <w:sdtContent>
                <w:r>
                  <w:rPr>
                    <w:rFonts w:ascii="Wingdings" w:hAnsi="Wingdings" w:cs="仿宋"/>
                    <w:color w:val="auto"/>
                    <w:kern w:val="0"/>
                    <w:highlight w:val="none"/>
                  </w:rPr>
                  <w:t></w:t>
                </w:r>
              </w:sdtContent>
            </w:sdt>
            <w:r>
              <w:rPr>
                <w:rFonts w:hint="eastAsia" w:ascii="仿宋_GB2312" w:hAnsi="仿宋_GB2312" w:eastAsia="仿宋_GB2312" w:cs="仿宋_GB2312"/>
                <w:color w:val="auto"/>
                <w:kern w:val="0"/>
                <w:highlight w:val="none"/>
              </w:rPr>
              <w:t>A</w:t>
            </w:r>
            <w:r>
              <w:rPr>
                <w:rFonts w:hint="eastAsia" w:ascii="仿宋_GB2312" w:hAnsi="仿宋_GB2312" w:eastAsia="仿宋_GB2312" w:cs="仿宋_GB2312"/>
                <w:color w:val="auto"/>
                <w:highlight w:val="none"/>
              </w:rPr>
              <w:t>不组织。</w:t>
            </w:r>
          </w:p>
          <w:p w14:paraId="1580183C">
            <w:pPr>
              <w:spacing w:line="360" w:lineRule="auto"/>
              <w:rPr>
                <w:rFonts w:hint="eastAsia" w:ascii="仿宋" w:hAnsi="仿宋" w:cs="仿宋"/>
                <w:color w:val="auto"/>
                <w:szCs w:val="20"/>
                <w:highlight w:val="none"/>
              </w:rPr>
            </w:pPr>
            <w:sdt>
              <w:sdtPr>
                <w:rPr>
                  <w:rFonts w:hint="eastAsia" w:ascii="仿宋" w:hAnsi="仿宋" w:cs="仿宋"/>
                  <w:color w:val="auto"/>
                  <w:kern w:val="0"/>
                  <w:highlight w:val="none"/>
                </w:rPr>
                <w:id w:val="1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highlight w:val="none"/>
                </w:rPr>
              </w:sdtEndPr>
              <w:sdtContent>
                <w:r>
                  <w:rPr>
                    <w:rFonts w:hint="eastAsia" w:ascii="仿宋" w:hAnsi="仿宋" w:cs="仿宋"/>
                    <w:color w:val="auto"/>
                    <w:kern w:val="0"/>
                    <w:highlight w:val="none"/>
                  </w:rPr>
                  <w:t>☐</w:t>
                </w:r>
              </w:sdtContent>
            </w:sdt>
            <w:r>
              <w:rPr>
                <w:rFonts w:hint="eastAsia" w:ascii="仿宋_GB2312" w:hAnsi="仿宋_GB2312" w:eastAsia="仿宋_GB2312" w:cs="仿宋_GB2312"/>
                <w:color w:val="auto"/>
                <w:kern w:val="0"/>
                <w:highlight w:val="none"/>
              </w:rPr>
              <w:t>B组织，</w:t>
            </w:r>
            <w:r>
              <w:rPr>
                <w:rFonts w:hint="eastAsia" w:ascii="仿宋_GB2312" w:hAnsi="仿宋_GB2312" w:eastAsia="仿宋_GB2312" w:cs="仿宋_GB2312"/>
                <w:color w:val="auto"/>
                <w:highlight w:val="none"/>
              </w:rPr>
              <w:t>时间：</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,地点：</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，联系人：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，联系方式：</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szCs w:val="20"/>
                <w:highlight w:val="none"/>
              </w:rPr>
              <w:t>。</w:t>
            </w:r>
          </w:p>
        </w:tc>
      </w:tr>
      <w:tr w14:paraId="61B59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5CB9122">
            <w:pPr>
              <w:snapToGrid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D8B6664">
            <w:pPr>
              <w:snapToGrid w:val="0"/>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7E40E81">
            <w:pPr>
              <w:spacing w:line="360" w:lineRule="auto"/>
              <w:rPr>
                <w:rFonts w:hint="eastAsia" w:ascii="仿宋_GB2312" w:hAnsi="仿宋_GB2312" w:eastAsia="仿宋_GB2312" w:cs="仿宋_GB2312"/>
                <w:color w:val="auto"/>
                <w:highlight w:val="none"/>
              </w:rPr>
            </w:pPr>
            <w:sdt>
              <w:sdtPr>
                <w:rPr>
                  <w:rFonts w:hint="eastAsia" w:ascii="仿宋" w:hAnsi="仿宋" w:cs="仿宋"/>
                  <w:color w:val="auto"/>
                  <w:kern w:val="0"/>
                  <w:highlight w:val="none"/>
                </w:rPr>
                <w:id w:val="19"/>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highlight w:val="none"/>
                </w:rPr>
              </w:sdtEndPr>
              <w:sdtContent>
                <w:r>
                  <w:rPr>
                    <w:rFonts w:ascii="Wingdings" w:hAnsi="Wingdings" w:cs="仿宋"/>
                    <w:color w:val="auto"/>
                    <w:kern w:val="0"/>
                    <w:highlight w:val="none"/>
                  </w:rPr>
                  <w:t></w:t>
                </w:r>
              </w:sdtContent>
            </w:sdt>
            <w:r>
              <w:rPr>
                <w:rFonts w:hint="eastAsia" w:ascii="仿宋_GB2312" w:hAnsi="仿宋_GB2312" w:eastAsia="仿宋_GB2312" w:cs="仿宋_GB2312"/>
                <w:color w:val="auto"/>
                <w:kern w:val="0"/>
                <w:highlight w:val="none"/>
              </w:rPr>
              <w:t>A</w:t>
            </w:r>
            <w:r>
              <w:rPr>
                <w:rFonts w:hint="eastAsia" w:ascii="仿宋_GB2312" w:hAnsi="仿宋_GB2312" w:eastAsia="仿宋_GB2312" w:cs="仿宋_GB2312"/>
                <w:color w:val="auto"/>
                <w:highlight w:val="none"/>
              </w:rPr>
              <w:t>不要求提供。</w:t>
            </w:r>
          </w:p>
          <w:p w14:paraId="230D2E3A">
            <w:pPr>
              <w:spacing w:line="360" w:lineRule="auto"/>
              <w:rPr>
                <w:rFonts w:hint="eastAsia" w:ascii="仿宋_GB2312" w:hAnsi="仿宋_GB2312" w:eastAsia="仿宋_GB2312" w:cs="仿宋_GB2312"/>
                <w:color w:val="auto"/>
                <w:highlight w:val="none"/>
                <w:u w:val="single"/>
              </w:rPr>
            </w:pPr>
            <w:sdt>
              <w:sdtPr>
                <w:rPr>
                  <w:rFonts w:hint="eastAsia" w:ascii="仿宋" w:hAnsi="仿宋" w:cs="仿宋"/>
                  <w:color w:val="auto"/>
                  <w:kern w:val="0"/>
                  <w:highlight w:val="none"/>
                </w:rPr>
                <w:id w:val="147471367"/>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highlight w:val="none"/>
                </w:rPr>
              </w:sdtEndPr>
              <w:sdtContent>
                <w:r>
                  <w:rPr>
                    <w:rFonts w:hint="eastAsia" w:ascii="MS Gothic" w:hAnsi="MS Gothic" w:cs="仿宋"/>
                    <w:color w:val="auto"/>
                    <w:kern w:val="0"/>
                    <w:highlight w:val="none"/>
                  </w:rPr>
                  <w:t>☐</w:t>
                </w:r>
              </w:sdtContent>
            </w:sdt>
            <w:r>
              <w:rPr>
                <w:rFonts w:hint="eastAsia" w:ascii="仿宋_GB2312" w:hAnsi="仿宋_GB2312" w:eastAsia="仿宋_GB2312" w:cs="仿宋_GB2312"/>
                <w:color w:val="auto"/>
                <w:kern w:val="0"/>
                <w:highlight w:val="none"/>
              </w:rPr>
              <w:t>B要求提供（未提供样品或提供样品不满足采购需求实质性条件的供应商，投标无效）。</w:t>
            </w:r>
          </w:p>
          <w:p w14:paraId="4BB325DC">
            <w:pPr>
              <w:spacing w:line="360" w:lineRule="auto"/>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（1）样品：</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32C04B01">
            <w:pPr>
              <w:widowControl/>
              <w:spacing w:line="360" w:lineRule="auto"/>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（2）</w:t>
            </w:r>
            <w:r>
              <w:rPr>
                <w:rFonts w:hint="eastAsia" w:ascii="仿宋_GB2312" w:hAnsi="仿宋_GB2312" w:eastAsia="仿宋_GB2312" w:cs="仿宋_GB2312"/>
                <w:snapToGrid w:val="0"/>
                <w:color w:val="auto"/>
                <w:kern w:val="28"/>
                <w:highlight w:val="none"/>
              </w:rPr>
              <w:t>样品制作的标准和要求：</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highlight w:val="none"/>
              </w:rPr>
              <w:t>；</w:t>
            </w:r>
          </w:p>
          <w:p w14:paraId="160A364A">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（3）样品的评审方法以及评审标准：</w:t>
            </w:r>
          </w:p>
          <w:p w14:paraId="20D16EF4">
            <w:pPr>
              <w:spacing w:line="360" w:lineRule="auto"/>
              <w:ind w:firstLine="240" w:firstLineChars="100"/>
              <w:rPr>
                <w:rFonts w:hint="eastAsia" w:ascii="仿宋_GB2312" w:hAnsi="仿宋_GB2312" w:eastAsia="仿宋_GB2312" w:cs="仿宋_GB2312"/>
                <w:color w:val="auto"/>
                <w:highlight w:val="none"/>
              </w:rPr>
            </w:pPr>
            <w:sdt>
              <w:sdtPr>
                <w:rPr>
                  <w:rFonts w:hint="eastAsia" w:ascii="仿宋" w:hAnsi="仿宋" w:cs="仿宋"/>
                  <w:color w:val="auto"/>
                  <w:highlight w:val="none"/>
                </w:rPr>
                <w:id w:val="1076013905"/>
                <w14:checkbox>
                  <w14:checked w14:val="0"/>
                  <w14:checkedState w14:val="00FE" w14:font="Wingdings"/>
                  <w14:uncheckedState w14:val="2610" w14:font="MS Gothic"/>
                </w14:checkbox>
              </w:sdtPr>
              <w:sdtEndPr>
                <w:rPr>
                  <w:rFonts w:hint="eastAsia" w:ascii="仿宋_GB2312" w:hAnsi="仿宋_GB2312" w:eastAsia="仿宋_GB2312" w:cs="仿宋_GB2312"/>
                  <w:color w:val="auto"/>
                  <w:highlight w:val="none"/>
                </w:rPr>
              </w:sdtEndPr>
              <w:sdtContent>
                <w:r>
                  <w:rPr>
                    <w:rFonts w:ascii="MS Gothic" w:hAnsi="MS Gothic" w:cs="仿宋"/>
                    <w:color w:val="auto"/>
                    <w:highlight w:val="none"/>
                  </w:rPr>
                  <w:t>☐</w:t>
                </w:r>
              </w:sdtContent>
            </w:sdt>
            <w:r>
              <w:rPr>
                <w:rFonts w:hint="eastAsia" w:ascii="仿宋_GB2312" w:hAnsi="仿宋_GB2312" w:eastAsia="仿宋_GB2312" w:cs="仿宋_GB2312"/>
                <w:color w:val="auto"/>
                <w:highlight w:val="none"/>
              </w:rPr>
              <w:t>样品分未超过价格分的50%；</w:t>
            </w:r>
          </w:p>
          <w:p w14:paraId="1D9A57B7">
            <w:pPr>
              <w:spacing w:line="360" w:lineRule="auto"/>
              <w:ind w:firstLine="240" w:firstLineChars="100"/>
              <w:rPr>
                <w:rFonts w:hint="eastAsia" w:ascii="仿宋_GB2312" w:hAnsi="仿宋_GB2312" w:eastAsia="仿宋_GB2312" w:cs="仿宋_GB2312"/>
                <w:color w:val="auto"/>
                <w:highlight w:val="none"/>
              </w:rPr>
            </w:pPr>
            <w:sdt>
              <w:sdtPr>
                <w:rPr>
                  <w:rFonts w:hint="eastAsia" w:ascii="仿宋" w:hAnsi="仿宋" w:cs="仿宋"/>
                  <w:color w:val="auto"/>
                  <w:highlight w:val="none"/>
                </w:rPr>
                <w:id w:val="670453184"/>
                <w14:checkbox>
                  <w14:checked w14:val="0"/>
                  <w14:checkedState w14:val="00FE" w14:font="Wingdings"/>
                  <w14:uncheckedState w14:val="2610" w14:font="MS Gothic"/>
                </w14:checkbox>
              </w:sdtPr>
              <w:sdtEndPr>
                <w:rPr>
                  <w:rFonts w:hint="eastAsia" w:ascii="仿宋_GB2312" w:hAnsi="仿宋_GB2312" w:eastAsia="仿宋_GB2312" w:cs="仿宋_GB2312"/>
                  <w:color w:val="auto"/>
                  <w:highlight w:val="none"/>
                </w:rPr>
              </w:sdtEndPr>
              <w:sdtContent>
                <w:r>
                  <w:rPr>
                    <w:rFonts w:hint="eastAsia" w:ascii="MS Gothic" w:hAnsi="MS Gothic" w:cs="仿宋"/>
                    <w:color w:val="auto"/>
                    <w:highlight w:val="none"/>
                  </w:rPr>
                  <w:t>☐</w:t>
                </w:r>
              </w:sdtContent>
            </w:sdt>
            <w:r>
              <w:rPr>
                <w:rFonts w:hint="eastAsia" w:ascii="仿宋_GB2312" w:hAnsi="仿宋_GB2312" w:eastAsia="仿宋_GB2312" w:cs="仿宋_GB2312"/>
                <w:color w:val="auto"/>
                <w:highlight w:val="none"/>
              </w:rPr>
              <w:t>样品分超过价格分的50%，理由</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4523CF7D">
            <w:pPr>
              <w:spacing w:line="360" w:lineRule="auto"/>
              <w:ind w:firstLine="240" w:firstLineChars="1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详见招标文件第四部分评标办分法。 </w:t>
            </w:r>
          </w:p>
          <w:p w14:paraId="09DBB73E">
            <w:pPr>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（4）是否需要随样品提交检测报告：</w:t>
            </w:r>
            <w:sdt>
              <w:sdtPr>
                <w:rPr>
                  <w:rFonts w:hint="eastAsia" w:ascii="仿宋" w:hAnsi="仿宋" w:cs="仿宋"/>
                  <w:color w:val="auto"/>
                  <w:kern w:val="0"/>
                  <w:highlight w:val="none"/>
                </w:rPr>
                <w:id w:val="147472227"/>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highlight w:val="none"/>
                </w:rPr>
              </w:sdtEndPr>
              <w:sdtContent>
                <w:r>
                  <w:rPr>
                    <w:rFonts w:ascii="MS Gothic" w:hAnsi="MS Gothic" w:cs="仿宋"/>
                    <w:color w:val="auto"/>
                    <w:kern w:val="0"/>
                    <w:highlight w:val="none"/>
                  </w:rPr>
                  <w:t>☐</w:t>
                </w:r>
              </w:sdtContent>
            </w:sdt>
            <w:r>
              <w:rPr>
                <w:rFonts w:hint="eastAsia" w:ascii="仿宋_GB2312" w:hAnsi="仿宋_GB2312" w:eastAsia="仿宋_GB2312" w:cs="仿宋_GB2312"/>
                <w:color w:val="auto"/>
                <w:kern w:val="0"/>
                <w:highlight w:val="none"/>
              </w:rPr>
              <w:t>否；</w:t>
            </w:r>
            <w:sdt>
              <w:sdtPr>
                <w:rPr>
                  <w:rFonts w:hint="eastAsia" w:ascii="仿宋" w:hAnsi="仿宋" w:cs="仿宋"/>
                  <w:color w:val="auto"/>
                  <w:kern w:val="0"/>
                  <w:highlight w:val="none"/>
                </w:rPr>
                <w:id w:val="14747488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highlight w:val="none"/>
                </w:rPr>
              </w:sdtEndPr>
              <w:sdtContent>
                <w:r>
                  <w:rPr>
                    <w:rFonts w:hint="eastAsia" w:ascii="仿宋" w:hAnsi="仿宋" w:cs="仿宋"/>
                    <w:color w:val="auto"/>
                    <w:kern w:val="0"/>
                    <w:highlight w:val="none"/>
                  </w:rPr>
                  <w:t>☐</w:t>
                </w:r>
              </w:sdtContent>
            </w:sdt>
            <w:r>
              <w:rPr>
                <w:rFonts w:hint="eastAsia" w:ascii="仿宋_GB2312" w:hAnsi="仿宋_GB2312" w:eastAsia="仿宋_GB2312" w:cs="仿宋_GB2312"/>
                <w:color w:val="auto"/>
                <w:kern w:val="0"/>
                <w:highlight w:val="none"/>
              </w:rPr>
              <w:t>是，检测机构的要求</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u w:val="single"/>
              </w:rPr>
              <w:t xml:space="preserve"> 无  </w:t>
            </w:r>
            <w:r>
              <w:rPr>
                <w:rFonts w:hint="eastAsia" w:ascii="仿宋_GB2312" w:hAnsi="仿宋_GB2312" w:eastAsia="仿宋_GB2312" w:cs="仿宋_GB2312"/>
                <w:color w:val="auto"/>
                <w:kern w:val="0"/>
                <w:highlight w:val="none"/>
              </w:rPr>
              <w:t>；检测内容</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u w:val="single"/>
              </w:rPr>
              <w:t xml:space="preserve">  无  </w:t>
            </w:r>
            <w:r>
              <w:rPr>
                <w:rFonts w:hint="eastAsia" w:ascii="仿宋_GB2312" w:hAnsi="仿宋_GB2312" w:eastAsia="仿宋_GB2312" w:cs="仿宋_GB2312"/>
                <w:color w:val="auto"/>
                <w:kern w:val="0"/>
                <w:highlight w:val="none"/>
              </w:rPr>
              <w:t>。</w:t>
            </w:r>
          </w:p>
          <w:p w14:paraId="4D118E47">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（5）提供样品的时间：</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highlight w:val="none"/>
              </w:rPr>
              <w:t>；地点：</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highlight w:val="none"/>
              </w:rPr>
              <w:t>；联系人</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kern w:val="28"/>
                <w:highlight w:val="none"/>
              </w:rPr>
              <w:t>联系电话：</w:t>
            </w:r>
            <w:r>
              <w:rPr>
                <w:rFonts w:hint="eastAsia" w:ascii="仿宋_GB2312" w:hAnsi="仿宋_GB2312" w:eastAsia="仿宋_GB2312" w:cs="仿宋_GB2312"/>
                <w:color w:val="auto"/>
                <w:kern w:val="28"/>
                <w:highlight w:val="none"/>
                <w:u w:val="single"/>
              </w:rPr>
              <w:t xml:space="preserve">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。请投标人在上述时间内提供样品并按规定位置安装完毕。超过截止时间的，采购人或采购代理机构将不予接收，并将清场并封闭样品现场。</w:t>
            </w:r>
          </w:p>
          <w:p w14:paraId="358C21F2">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BFF06D2">
            <w:pPr>
              <w:spacing w:line="360" w:lineRule="auto"/>
              <w:rPr>
                <w:rFonts w:hint="eastAsia" w:ascii="仿宋" w:hAnsi="仿宋" w:cs="仿宋"/>
                <w:b/>
                <w:color w:val="auto"/>
                <w:highlight w:val="none"/>
              </w:rPr>
            </w:pPr>
            <w:r>
              <w:rPr>
                <w:rFonts w:hint="eastAsia" w:ascii="仿宋_GB2312" w:hAnsi="仿宋_GB2312" w:eastAsia="仿宋_GB2312" w:cs="仿宋_GB2312"/>
                <w:color w:val="auto"/>
                <w:highlight w:val="none"/>
              </w:rPr>
              <w:t>（7）制作、运输、安装和保管样品所发生的一切费用由投标人自理。</w:t>
            </w:r>
          </w:p>
        </w:tc>
      </w:tr>
      <w:tr w14:paraId="4AA2F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DB6047F">
            <w:pPr>
              <w:snapToGrid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AD73370">
            <w:pPr>
              <w:snapToGrid w:val="0"/>
              <w:spacing w:line="360" w:lineRule="auto"/>
              <w:jc w:val="center"/>
              <w:rPr>
                <w:rFonts w:hint="eastAsia" w:ascii="仿宋_GB2312" w:hAnsi="仿宋_GB2312" w:eastAsia="仿宋_GB2312" w:cs="仿宋_GB2312"/>
                <w:bCs/>
                <w:color w:val="auto"/>
                <w:highlight w:val="none"/>
              </w:rPr>
            </w:pPr>
            <w:r>
              <w:rPr>
                <w:rFonts w:hint="eastAsia" w:ascii="仿宋_GB2312" w:hAnsi="仿宋_GB2312" w:eastAsia="仿宋_GB2312" w:cs="仿宋_GB2312"/>
                <w:b/>
                <w:color w:val="auto"/>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DD051C">
            <w:pPr>
              <w:spacing w:line="360" w:lineRule="auto"/>
              <w:rPr>
                <w:rFonts w:hint="eastAsia" w:ascii="仿宋" w:hAnsi="仿宋" w:cs="仿宋"/>
                <w:color w:val="auto"/>
                <w:highlight w:val="none"/>
              </w:rPr>
            </w:pPr>
            <w:sdt>
              <w:sdtPr>
                <w:rPr>
                  <w:rFonts w:hint="eastAsia" w:ascii="仿宋" w:hAnsi="仿宋" w:cs="仿宋"/>
                  <w:color w:val="auto"/>
                  <w:kern w:val="0"/>
                  <w:highlight w:val="none"/>
                </w:rPr>
                <w:id w:val="23"/>
                <w14:checkbox>
                  <w14:checked w14:val="1"/>
                  <w14:checkedState w14:val="00FE" w14:font="Wingdings"/>
                  <w14:uncheckedState w14:val="2610" w14:font="MS Gothic"/>
                </w14:checkbox>
              </w:sdtPr>
              <w:sdtEndPr>
                <w:rPr>
                  <w:rFonts w:hint="eastAsia" w:ascii="仿宋" w:hAnsi="仿宋" w:cs="仿宋"/>
                  <w:color w:val="auto"/>
                  <w:kern w:val="0"/>
                  <w:highlight w:val="none"/>
                </w:rPr>
              </w:sdtEndPr>
              <w:sdtContent>
                <w:r>
                  <w:rPr>
                    <w:rFonts w:ascii="Wingdings" w:hAnsi="Wingdings" w:cs="仿宋"/>
                    <w:color w:val="auto"/>
                    <w:kern w:val="0"/>
                    <w:highlight w:val="none"/>
                  </w:rPr>
                  <w:t></w:t>
                </w:r>
              </w:sdtContent>
            </w:sdt>
            <w:r>
              <w:rPr>
                <w:rFonts w:hint="eastAsia" w:ascii="仿宋_GB2312" w:hAnsi="仿宋_GB2312" w:eastAsia="仿宋_GB2312" w:cs="仿宋_GB2312"/>
                <w:color w:val="auto"/>
                <w:kern w:val="0"/>
                <w:highlight w:val="none"/>
              </w:rPr>
              <w:t>A</w:t>
            </w:r>
            <w:r>
              <w:rPr>
                <w:rFonts w:hint="eastAsia" w:ascii="仿宋_GB2312" w:hAnsi="仿宋_GB2312" w:eastAsia="仿宋_GB2312" w:cs="仿宋_GB2312"/>
                <w:color w:val="auto"/>
                <w:highlight w:val="none"/>
              </w:rPr>
              <w:t>不组织。</w:t>
            </w:r>
          </w:p>
          <w:p w14:paraId="5619F091">
            <w:pPr>
              <w:spacing w:line="360" w:lineRule="auto"/>
              <w:rPr>
                <w:rFonts w:hint="eastAsia" w:ascii="仿宋" w:hAnsi="仿宋" w:cs="仿宋"/>
                <w:color w:val="auto"/>
                <w:kern w:val="0"/>
                <w:highlight w:val="none"/>
              </w:rPr>
            </w:pPr>
            <w:sdt>
              <w:sdtPr>
                <w:rPr>
                  <w:rFonts w:hint="eastAsia" w:ascii="仿宋" w:hAnsi="仿宋" w:cs="仿宋"/>
                  <w:color w:val="auto"/>
                  <w:kern w:val="0"/>
                  <w:highlight w:val="none"/>
                </w:rPr>
                <w:id w:val="147471696"/>
                <w14:checkbox>
                  <w14:checked w14:val="0"/>
                  <w14:checkedState w14:val="00FE" w14:font="Wingdings"/>
                  <w14:uncheckedState w14:val="2610" w14:font="MS Gothic"/>
                </w14:checkbox>
              </w:sdtPr>
              <w:sdtEndPr>
                <w:rPr>
                  <w:rFonts w:hint="eastAsia" w:ascii="仿宋" w:hAnsi="仿宋" w:cs="仿宋"/>
                  <w:color w:val="auto"/>
                  <w:kern w:val="0"/>
                  <w:highlight w:val="none"/>
                </w:rPr>
              </w:sdtEndPr>
              <w:sdtContent>
                <w:r>
                  <w:rPr>
                    <w:rFonts w:ascii="MS Gothic" w:hAnsi="MS Gothic" w:cs="仿宋"/>
                    <w:color w:val="auto"/>
                    <w:kern w:val="0"/>
                    <w:highlight w:val="none"/>
                  </w:rPr>
                  <w:t>☐</w:t>
                </w:r>
              </w:sdtContent>
            </w:sdt>
            <w:r>
              <w:rPr>
                <w:rFonts w:hint="eastAsia" w:ascii="仿宋_GB2312" w:hAnsi="仿宋_GB2312" w:eastAsia="仿宋_GB2312" w:cs="仿宋_GB2312"/>
                <w:color w:val="auto"/>
                <w:kern w:val="0"/>
                <w:highlight w:val="none"/>
              </w:rPr>
              <w:t>B组织。</w:t>
            </w:r>
          </w:p>
          <w:p w14:paraId="3C2ECC02">
            <w:pPr>
              <w:snapToGrid w:val="0"/>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（1）在评标时安排每个投标人进行方案讲解演示。每个投标人时间不超过30分钟，讲解次序以投标文件解密时间先后次序为准，讲解演示人员不超过3人。讲解演示结束后按要求解答评标委员会提问。</w:t>
            </w:r>
          </w:p>
          <w:p w14:paraId="6A5540B1">
            <w:pPr>
              <w:snapToGrid w:val="0"/>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（2）方案讲解演示：</w:t>
            </w:r>
          </w:p>
          <w:p w14:paraId="639FA994">
            <w:pPr>
              <w:snapToGrid w:val="0"/>
              <w:spacing w:line="360" w:lineRule="auto"/>
              <w:rPr>
                <w:rFonts w:hint="eastAsia" w:ascii="仿宋_GB2312" w:hAnsi="仿宋_GB2312" w:eastAsia="仿宋_GB2312" w:cs="仿宋_GB2312"/>
                <w:color w:val="auto"/>
                <w:kern w:val="0"/>
                <w:highlight w:val="none"/>
              </w:rPr>
            </w:pPr>
            <w:sdt>
              <w:sdtPr>
                <w:rPr>
                  <w:rFonts w:hint="eastAsia" w:ascii="仿宋" w:hAnsi="仿宋" w:cs="仿宋"/>
                  <w:color w:val="auto"/>
                  <w:kern w:val="0"/>
                  <w:highlight w:val="none"/>
                </w:rPr>
                <w:id w:val="54942156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highlight w:val="none"/>
                </w:rPr>
              </w:sdtEndPr>
              <w:sdtContent>
                <w:r>
                  <w:rPr>
                    <w:rFonts w:ascii="MS Gothic" w:hAnsi="MS Gothic" w:cs="仿宋"/>
                    <w:color w:val="auto"/>
                    <w:kern w:val="0"/>
                    <w:highlight w:val="none"/>
                  </w:rPr>
                  <w:t>☐</w:t>
                </w:r>
              </w:sdtContent>
            </w:sdt>
            <w:r>
              <w:rPr>
                <w:rFonts w:hint="eastAsia" w:ascii="仿宋_GB2312" w:hAnsi="仿宋_GB2312" w:eastAsia="仿宋_GB2312" w:cs="仿宋_GB2312"/>
                <w:color w:val="auto"/>
                <w:kern w:val="0"/>
                <w:highlight w:val="none"/>
              </w:rPr>
              <w:t>方式一：政采云平台在线讲解演示。政采云平台在线讲解需投标人根据政采云平台操作要求做好准备工作，提前完善软硬件配置环境。</w:t>
            </w:r>
          </w:p>
          <w:p w14:paraId="7F398674">
            <w:pPr>
              <w:snapToGrid w:val="0"/>
              <w:spacing w:line="360" w:lineRule="auto"/>
              <w:rPr>
                <w:rFonts w:hint="eastAsia" w:ascii="仿宋_GB2312" w:hAnsi="仿宋_GB2312" w:eastAsia="仿宋_GB2312" w:cs="仿宋_GB2312"/>
                <w:color w:val="auto"/>
                <w:kern w:val="0"/>
                <w:highlight w:val="none"/>
              </w:rPr>
            </w:pPr>
            <w:sdt>
              <w:sdtPr>
                <w:rPr>
                  <w:rFonts w:hint="eastAsia" w:ascii="仿宋" w:hAnsi="仿宋" w:cs="仿宋"/>
                  <w:color w:val="auto"/>
                  <w:kern w:val="0"/>
                  <w:highlight w:val="none"/>
                </w:rPr>
                <w:id w:val="49222410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highlight w:val="none"/>
                </w:rPr>
              </w:sdtEndPr>
              <w:sdtContent>
                <w:r>
                  <w:rPr>
                    <w:rFonts w:ascii="MS Gothic" w:hAnsi="MS Gothic" w:cs="仿宋"/>
                    <w:color w:val="auto"/>
                    <w:kern w:val="0"/>
                    <w:highlight w:val="none"/>
                  </w:rPr>
                  <w:t>☐</w:t>
                </w:r>
              </w:sdtContent>
            </w:sdt>
            <w:r>
              <w:rPr>
                <w:rFonts w:hint="eastAsia" w:ascii="仿宋_GB2312" w:hAnsi="仿宋_GB2312" w:eastAsia="仿宋_GB2312" w:cs="仿宋_GB2312"/>
                <w:color w:val="auto"/>
                <w:kern w:val="0"/>
                <w:highlight w:val="none"/>
              </w:rPr>
              <w:t>方式二：交易中心现场讲解演示。现场讲解地点为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highlight w:val="none"/>
              </w:rPr>
              <w:t>，讲解演示所用电脑等设备由投标人自备。现场讲解演示人员进场时须提供在投标单位（或其分公司）参加社保的凭证、讲解人员名单（加盖公章或授权代表签名）及身份证明，否则不得讲解演示。</w:t>
            </w:r>
          </w:p>
          <w:p w14:paraId="5CE7FB5D">
            <w:pPr>
              <w:snapToGrid w:val="0"/>
              <w:spacing w:line="360" w:lineRule="auto"/>
              <w:rPr>
                <w:rFonts w:hint="eastAsia" w:ascii="仿宋" w:hAnsi="仿宋" w:cs="仿宋"/>
                <w:b/>
                <w:color w:val="auto"/>
                <w:kern w:val="0"/>
                <w:highlight w:val="none"/>
                <w:lang w:val="zh-CN"/>
              </w:rPr>
            </w:pPr>
            <w:r>
              <w:rPr>
                <w:rFonts w:hint="eastAsia" w:ascii="仿宋_GB2312" w:hAnsi="仿宋_GB2312" w:eastAsia="仿宋_GB2312" w:cs="仿宋_GB2312"/>
                <w:color w:val="auto"/>
                <w:kern w:val="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3303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68C16873">
            <w:pPr>
              <w:snapToGrid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ED0FE6F">
            <w:pPr>
              <w:snapToGrid w:val="0"/>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2BDCF6E">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（1）资格证明文件：见招标文件第二部分11.1。</w:t>
            </w:r>
          </w:p>
          <w:p w14:paraId="16CB600B">
            <w:pPr>
              <w:spacing w:line="360" w:lineRule="auto"/>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color w:val="auto"/>
                <w:kern w:val="0"/>
                <w:highlight w:val="none"/>
                <w:lang w:val="zh-CN"/>
              </w:rPr>
              <w:t>投标人未提供有效的资格证明文件的，视为投标人不具备招标文件中规定的资格要求，投标无效。</w:t>
            </w:r>
          </w:p>
        </w:tc>
      </w:tr>
      <w:tr w14:paraId="1F47F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BF44A50">
            <w:pPr>
              <w:snapToGrid w:val="0"/>
              <w:spacing w:line="360" w:lineRule="auto"/>
              <w:jc w:val="center"/>
              <w:rPr>
                <w:rFonts w:hint="eastAsia" w:ascii="仿宋_GB2312" w:hAnsi="仿宋_GB2312" w:eastAsia="仿宋_GB2312" w:cs="仿宋_GB2312"/>
                <w:color w:val="auto"/>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5D3A14D">
            <w:pPr>
              <w:snapToGrid w:val="0"/>
              <w:spacing w:line="360" w:lineRule="auto"/>
              <w:jc w:val="center"/>
              <w:rPr>
                <w:rFonts w:hint="eastAsia" w:ascii="仿宋_GB2312" w:hAnsi="仿宋_GB2312" w:eastAsia="仿宋_GB2312" w:cs="仿宋_GB2312"/>
                <w:b/>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2DFD054">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（2）资信证明文件：根据招标文件第四部分评标标准提供。</w:t>
            </w:r>
          </w:p>
        </w:tc>
      </w:tr>
      <w:tr w14:paraId="23353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742A03E">
            <w:pPr>
              <w:snapToGrid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420A330E">
            <w:pPr>
              <w:snapToGrid w:val="0"/>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1C557355">
            <w:pPr>
              <w:snapToGrid w:val="0"/>
              <w:spacing w:line="360" w:lineRule="auto"/>
              <w:rPr>
                <w:rFonts w:hint="eastAsia" w:ascii="仿宋_GB2312" w:hAnsi="仿宋_GB2312" w:eastAsia="仿宋_GB2312" w:cs="仿宋_GB2312"/>
                <w:color w:val="auto"/>
                <w:highlight w:val="none"/>
                <w:lang w:val="zh-CN"/>
              </w:rPr>
            </w:pPr>
            <w:sdt>
              <w:sdtPr>
                <w:rPr>
                  <w:rFonts w:hint="eastAsia" w:ascii="仿宋" w:hAnsi="仿宋" w:cs="仿宋"/>
                  <w:color w:val="auto"/>
                  <w:highlight w:val="none"/>
                </w:rPr>
                <w:id w:val="386232013"/>
                <w14:checkbox>
                  <w14:checked w14:val="0"/>
                  <w14:checkedState w14:val="00FE" w14:font="Wingdings"/>
                  <w14:uncheckedState w14:val="2610" w14:font="MS Gothic"/>
                </w14:checkbox>
              </w:sdtPr>
              <w:sdtEndPr>
                <w:rPr>
                  <w:rFonts w:hint="eastAsia" w:ascii="仿宋_GB2312" w:hAnsi="仿宋_GB2312" w:eastAsia="仿宋_GB2312" w:cs="仿宋_GB2312"/>
                  <w:color w:val="auto"/>
                  <w:highlight w:val="none"/>
                  <w:lang w:val="zh-CN"/>
                </w:rPr>
              </w:sdtEndPr>
              <w:sdtContent>
                <w:r>
                  <w:rPr>
                    <w:rFonts w:ascii="MS Gothic" w:hAnsi="MS Gothic" w:cs="仿宋"/>
                    <w:color w:val="auto"/>
                    <w:highlight w:val="none"/>
                    <w:lang w:val="zh-CN"/>
                  </w:rPr>
                  <w:t>☐</w:t>
                </w:r>
              </w:sdtContent>
            </w:sdt>
            <w:r>
              <w:rPr>
                <w:rFonts w:hint="eastAsia" w:ascii="仿宋_GB2312" w:hAnsi="仿宋_GB2312" w:eastAsia="仿宋_GB2312" w:cs="仿宋_GB2312"/>
                <w:color w:val="auto"/>
                <w:highlight w:val="none"/>
                <w:lang w:val="zh-CN"/>
              </w:rPr>
              <w:t>依据国家确定的认证机构出具的、处于有效期之内的节能产品认证证书，对获得证书的产品实施政府优先采购或强制采购；其中，</w:t>
            </w:r>
            <w:r>
              <w:rPr>
                <w:rFonts w:hint="eastAsia" w:ascii="仿宋_GB2312" w:hAnsi="仿宋_GB2312" w:eastAsia="仿宋_GB2312" w:cs="仿宋_GB2312"/>
                <w:color w:val="auto"/>
                <w:kern w:val="0"/>
                <w:highlight w:val="none"/>
                <w:lang w:val="zh-CN"/>
              </w:rPr>
              <w:t>对产品名称</w:t>
            </w:r>
            <w:r>
              <w:rPr>
                <w:rFonts w:hint="eastAsia" w:ascii="仿宋_GB2312" w:hAnsi="仿宋_GB2312" w:eastAsia="仿宋_GB2312" w:cs="仿宋_GB2312"/>
                <w:color w:val="auto"/>
                <w:kern w:val="0"/>
                <w:highlight w:val="none"/>
                <w:u w:val="single"/>
              </w:rPr>
              <w:t xml:space="preserve">   </w:t>
            </w:r>
            <w:r>
              <w:rPr>
                <w:rFonts w:hint="eastAsia" w:ascii="仿宋_GB2312" w:hAnsi="仿宋_GB2312" w:eastAsia="仿宋_GB2312" w:cs="仿宋_GB2312"/>
                <w:snapToGrid w:val="0"/>
                <w:color w:val="auto"/>
                <w:kern w:val="0"/>
                <w:highlight w:val="none"/>
                <w:u w:val="single"/>
              </w:rPr>
              <w:t xml:space="preserve"> </w:t>
            </w:r>
            <w:r>
              <w:rPr>
                <w:rFonts w:hint="eastAsia" w:ascii="仿宋_GB2312" w:hAnsi="仿宋_GB2312" w:eastAsia="仿宋_GB2312" w:cs="仿宋_GB2312"/>
                <w:color w:val="auto"/>
                <w:kern w:val="0"/>
                <w:highlight w:val="none"/>
                <w:lang w:val="zh-CN"/>
              </w:rPr>
              <w:t>实施政府优先采购，</w:t>
            </w:r>
            <w:r>
              <w:rPr>
                <w:rFonts w:hint="eastAsia" w:ascii="仿宋_GB2312" w:hAnsi="仿宋_GB2312" w:eastAsia="仿宋_GB2312" w:cs="仿宋_GB2312"/>
                <w:color w:val="auto"/>
                <w:highlight w:val="none"/>
              </w:rPr>
              <w:t>详</w:t>
            </w:r>
            <w:r>
              <w:rPr>
                <w:rFonts w:hint="eastAsia" w:ascii="仿宋_GB2312" w:hAnsi="仿宋_GB2312" w:eastAsia="仿宋_GB2312" w:cs="仿宋_GB2312"/>
                <w:color w:val="auto"/>
                <w:highlight w:val="none"/>
                <w:lang w:val="zh-CN"/>
              </w:rPr>
              <w:t>见评分标准；</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kern w:val="0"/>
                <w:highlight w:val="none"/>
                <w:lang w:val="zh-CN"/>
              </w:rPr>
              <w:t>对产品名称</w:t>
            </w:r>
            <w:r>
              <w:rPr>
                <w:rFonts w:hint="eastAsia" w:ascii="仿宋_GB2312" w:hAnsi="仿宋_GB2312" w:eastAsia="仿宋_GB2312" w:cs="仿宋_GB2312"/>
                <w:color w:val="auto"/>
                <w:kern w:val="0"/>
                <w:highlight w:val="none"/>
                <w:u w:val="single"/>
              </w:rPr>
              <w:t xml:space="preserve">   </w:t>
            </w:r>
            <w:r>
              <w:rPr>
                <w:rFonts w:hint="eastAsia" w:ascii="仿宋_GB2312" w:hAnsi="仿宋_GB2312" w:eastAsia="仿宋_GB2312" w:cs="仿宋_GB2312"/>
                <w:snapToGrid w:val="0"/>
                <w:color w:val="auto"/>
                <w:kern w:val="0"/>
                <w:highlight w:val="none"/>
                <w:u w:val="single"/>
              </w:rPr>
              <w:t xml:space="preserve"> </w:t>
            </w:r>
            <w:r>
              <w:rPr>
                <w:rFonts w:hint="eastAsia" w:ascii="仿宋_GB2312" w:hAnsi="仿宋_GB2312" w:eastAsia="仿宋_GB2312" w:cs="仿宋_GB2312"/>
                <w:color w:val="auto"/>
                <w:kern w:val="0"/>
                <w:highlight w:val="none"/>
                <w:lang w:val="zh-CN"/>
              </w:rPr>
              <w:t>实施政府强制采购，</w:t>
            </w:r>
            <w:r>
              <w:rPr>
                <w:rFonts w:hint="eastAsia" w:ascii="仿宋_GB2312" w:hAnsi="仿宋_GB2312" w:eastAsia="仿宋_GB2312" w:cs="仿宋_GB2312"/>
                <w:color w:val="auto"/>
                <w:highlight w:val="none"/>
                <w:lang w:val="zh-CN"/>
              </w:rPr>
              <w:t>投标人</w:t>
            </w:r>
            <w:r>
              <w:rPr>
                <w:rFonts w:hint="eastAsia" w:ascii="仿宋_GB2312" w:hAnsi="仿宋_GB2312" w:eastAsia="仿宋_GB2312" w:cs="仿宋_GB2312"/>
                <w:color w:val="auto"/>
                <w:highlight w:val="none"/>
              </w:rPr>
              <w:t>就</w:t>
            </w:r>
            <w:r>
              <w:rPr>
                <w:rFonts w:hint="eastAsia" w:ascii="仿宋_GB2312" w:hAnsi="仿宋_GB2312" w:eastAsia="仿宋_GB2312" w:cs="仿宋_GB2312"/>
                <w:color w:val="auto"/>
                <w:highlight w:val="none"/>
                <w:lang w:val="zh-CN"/>
              </w:rPr>
              <w:t>相应的投标产品未</w:t>
            </w:r>
            <w:r>
              <w:rPr>
                <w:rFonts w:hint="eastAsia" w:ascii="仿宋_GB2312" w:hAnsi="仿宋_GB2312" w:eastAsia="仿宋_GB2312" w:cs="仿宋_GB2312"/>
                <w:color w:val="auto"/>
                <w:highlight w:val="none"/>
              </w:rPr>
              <w:t>提供</w:t>
            </w:r>
            <w:r>
              <w:rPr>
                <w:rFonts w:hint="eastAsia" w:ascii="仿宋_GB2312" w:hAnsi="仿宋_GB2312" w:eastAsia="仿宋_GB2312" w:cs="仿宋_GB2312"/>
                <w:color w:val="auto"/>
                <w:highlight w:val="none"/>
                <w:lang w:val="zh-CN"/>
              </w:rPr>
              <w:t>国家确定的认证机构出具的、处于有效期之内的节能产品认证证书的，投标无效。</w:t>
            </w:r>
          </w:p>
          <w:p w14:paraId="15365627">
            <w:pPr>
              <w:snapToGrid w:val="0"/>
              <w:spacing w:line="360" w:lineRule="auto"/>
              <w:rPr>
                <w:rFonts w:hint="eastAsia" w:ascii="仿宋_GB2312" w:hAnsi="仿宋_GB2312" w:eastAsia="仿宋_GB2312" w:cs="仿宋_GB2312"/>
                <w:color w:val="auto"/>
                <w:kern w:val="0"/>
                <w:highlight w:val="none"/>
                <w:lang w:val="zh-CN"/>
              </w:rPr>
            </w:pPr>
            <w:sdt>
              <w:sdtPr>
                <w:rPr>
                  <w:rFonts w:hint="eastAsia" w:ascii="仿宋" w:hAnsi="仿宋" w:cs="仿宋"/>
                  <w:color w:val="auto"/>
                  <w:highlight w:val="none"/>
                  <w:lang w:val="zh-CN"/>
                </w:rPr>
                <w:id w:val="93515011"/>
                <w14:checkbox>
                  <w14:checked w14:val="0"/>
                  <w14:checkedState w14:val="00FE" w14:font="Wingdings"/>
                  <w14:uncheckedState w14:val="2610" w14:font="MS Gothic"/>
                </w14:checkbox>
              </w:sdtPr>
              <w:sdtEndPr>
                <w:rPr>
                  <w:rFonts w:hint="eastAsia" w:ascii="仿宋_GB2312" w:hAnsi="仿宋_GB2312" w:eastAsia="仿宋_GB2312" w:cs="仿宋_GB2312"/>
                  <w:color w:val="auto"/>
                  <w:highlight w:val="none"/>
                  <w:lang w:val="zh-CN"/>
                </w:rPr>
              </w:sdtEndPr>
              <w:sdtContent>
                <w:r>
                  <w:rPr>
                    <w:rFonts w:ascii="MS Gothic" w:hAnsi="MS Gothic" w:cs="仿宋"/>
                    <w:color w:val="auto"/>
                    <w:highlight w:val="none"/>
                    <w:lang w:val="zh-CN"/>
                  </w:rPr>
                  <w:t>☐</w:t>
                </w:r>
              </w:sdtContent>
            </w:sdt>
            <w:r>
              <w:rPr>
                <w:rFonts w:hint="eastAsia" w:ascii="仿宋_GB2312" w:hAnsi="仿宋_GB2312" w:eastAsia="仿宋_GB2312" w:cs="仿宋_GB2312"/>
                <w:color w:val="auto"/>
                <w:highlight w:val="none"/>
                <w:lang w:val="zh-CN"/>
              </w:rPr>
              <w:t>依据国家确定的认证机构出具的、处于有效期之内的环境标志产品认证证书，对获得证书的产品名称</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lang w:val="zh-CN"/>
              </w:rPr>
              <w:t>实施政府优先采购，详见评分标准。</w:t>
            </w:r>
          </w:p>
          <w:p w14:paraId="6093DA93">
            <w:pPr>
              <w:snapToGrid w:val="0"/>
              <w:spacing w:line="360" w:lineRule="auto"/>
              <w:rPr>
                <w:rFonts w:hint="eastAsia" w:ascii="仿宋" w:hAnsi="仿宋" w:cs="仿宋"/>
                <w:color w:val="auto"/>
                <w:highlight w:val="none"/>
              </w:rPr>
            </w:pPr>
            <w:sdt>
              <w:sdtPr>
                <w:rPr>
                  <w:rFonts w:hint="eastAsia" w:ascii="仿宋" w:hAnsi="仿宋" w:cs="仿宋"/>
                  <w:color w:val="auto"/>
                  <w:highlight w:val="none"/>
                </w:rPr>
                <w:id w:val="1103078003"/>
                <w14:checkbox>
                  <w14:checked w14:val="1"/>
                  <w14:checkedState w14:val="00FE" w14:font="Wingdings"/>
                  <w14:uncheckedState w14:val="2610" w14:font="MS Gothic"/>
                </w14:checkbox>
              </w:sdtPr>
              <w:sdtEndPr>
                <w:rPr>
                  <w:rFonts w:hint="eastAsia" w:ascii="仿宋" w:hAnsi="仿宋" w:cs="仿宋"/>
                  <w:color w:val="auto"/>
                  <w:highlight w:val="none"/>
                </w:rPr>
              </w:sdtEndPr>
              <w:sdtContent>
                <w:r>
                  <w:rPr>
                    <w:rFonts w:ascii="Wingdings" w:hAnsi="Wingdings" w:cs="Segoe UI Symbol"/>
                    <w:color w:val="auto"/>
                    <w:highlight w:val="none"/>
                  </w:rPr>
                  <w:t></w:t>
                </w:r>
              </w:sdtContent>
            </w:sdt>
            <w:r>
              <w:rPr>
                <w:rFonts w:hint="eastAsia" w:ascii="仿宋_GB2312" w:hAnsi="仿宋_GB2312" w:eastAsia="仿宋_GB2312" w:cs="仿宋_GB2312"/>
                <w:color w:val="auto"/>
                <w:highlight w:val="none"/>
              </w:rPr>
              <w:t>无。</w:t>
            </w:r>
          </w:p>
        </w:tc>
      </w:tr>
      <w:tr w14:paraId="09F53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B012BB7">
            <w:pPr>
              <w:snapToGrid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06F6E1A7">
            <w:pPr>
              <w:snapToGrid w:val="0"/>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83B72CC">
            <w:pPr>
              <w:snapToGrid w:val="0"/>
              <w:spacing w:line="360" w:lineRule="auto"/>
              <w:jc w:val="left"/>
              <w:rPr>
                <w:rFonts w:hint="eastAsia" w:ascii="仿宋_GB2312" w:hAnsi="仿宋_GB2312" w:eastAsia="仿宋_GB2312" w:cs="仿宋_GB2312"/>
                <w:b/>
                <w:color w:val="auto"/>
                <w:kern w:val="0"/>
                <w:highlight w:val="none"/>
                <w:lang w:val="zh-CN"/>
              </w:rPr>
            </w:pPr>
            <w:r>
              <w:rPr>
                <w:rFonts w:hint="eastAsia" w:ascii="仿宋_GB2312" w:hAnsi="仿宋_GB2312" w:eastAsia="仿宋_GB2312" w:cs="仿宋_GB2312"/>
                <w:color w:val="auto"/>
                <w:kern w:val="0"/>
                <w:highlight w:val="none"/>
                <w:lang w:val="zh-CN"/>
              </w:rPr>
              <w:t>有关本项目实施所需的所有费用（含税费）均计入报价。投标文件开标一览表（报价表）</w:t>
            </w:r>
            <w:r>
              <w:rPr>
                <w:rFonts w:hint="eastAsia" w:ascii="仿宋_GB2312" w:hAnsi="仿宋_GB2312" w:eastAsia="仿宋_GB2312" w:cs="仿宋_GB2312"/>
                <w:color w:val="auto"/>
                <w:highlight w:val="none"/>
              </w:rPr>
              <w:t>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color w:val="auto"/>
                <w:kern w:val="0"/>
                <w:highlight w:val="none"/>
                <w:lang w:val="zh-CN"/>
              </w:rPr>
              <w:t>投标文件中价格全部采用人民币报价。招标文件未列明，而投标人认为必需的费用也需列入报价。</w:t>
            </w:r>
            <w:r>
              <w:rPr>
                <w:rFonts w:hint="eastAsia" w:ascii="仿宋_GB2312" w:hAnsi="仿宋_GB2312" w:eastAsia="仿宋_GB2312" w:cs="仿宋_GB2312"/>
                <w:b/>
                <w:color w:val="auto"/>
                <w:kern w:val="0"/>
                <w:highlight w:val="none"/>
                <w:lang w:val="zh-CN"/>
              </w:rPr>
              <w:t>提醒：验收时检测费用由</w:t>
            </w:r>
            <w:r>
              <w:rPr>
                <w:rFonts w:hint="eastAsia" w:ascii="仿宋_GB2312" w:hAnsi="仿宋_GB2312" w:eastAsia="仿宋_GB2312" w:cs="仿宋_GB2312"/>
                <w:b/>
                <w:color w:val="auto"/>
                <w:kern w:val="0"/>
                <w:highlight w:val="none"/>
              </w:rPr>
              <w:t>采购人</w:t>
            </w:r>
            <w:r>
              <w:rPr>
                <w:rFonts w:hint="eastAsia" w:ascii="仿宋_GB2312" w:hAnsi="仿宋_GB2312" w:eastAsia="仿宋_GB2312" w:cs="仿宋_GB2312"/>
                <w:b/>
                <w:color w:val="auto"/>
                <w:kern w:val="0"/>
                <w:highlight w:val="none"/>
                <w:lang w:val="zh-CN"/>
              </w:rPr>
              <w:t>承担，不包含在投标总价中。</w:t>
            </w:r>
          </w:p>
          <w:p w14:paraId="2BAFDF9E">
            <w:pPr>
              <w:snapToGrid w:val="0"/>
              <w:spacing w:line="360" w:lineRule="auto"/>
              <w:ind w:firstLine="241" w:firstLineChars="100"/>
              <w:jc w:val="left"/>
              <w:rPr>
                <w:rFonts w:hint="eastAsia" w:ascii="仿宋_GB2312" w:hAnsi="仿宋_GB2312" w:eastAsia="仿宋_GB2312" w:cs="仿宋_GB2312"/>
                <w:b/>
                <w:color w:val="auto"/>
                <w:kern w:val="0"/>
                <w:highlight w:val="none"/>
                <w:lang w:val="zh-CN"/>
              </w:rPr>
            </w:pPr>
            <w:r>
              <w:rPr>
                <w:rFonts w:hint="eastAsia" w:ascii="仿宋_GB2312" w:hAnsi="仿宋_GB2312" w:eastAsia="仿宋_GB2312" w:cs="仿宋_GB2312"/>
                <w:b/>
                <w:color w:val="auto"/>
                <w:kern w:val="0"/>
                <w:highlight w:val="none"/>
                <w:lang w:val="zh-CN"/>
              </w:rPr>
              <w:t>投标报价出现下列情形的，投标无效：</w:t>
            </w:r>
          </w:p>
          <w:p w14:paraId="15226C45">
            <w:pPr>
              <w:snapToGrid w:val="0"/>
              <w:spacing w:line="360" w:lineRule="auto"/>
              <w:ind w:firstLine="241" w:firstLineChars="100"/>
              <w:jc w:val="left"/>
              <w:rPr>
                <w:rFonts w:hint="eastAsia" w:ascii="仿宋_GB2312" w:hAnsi="仿宋_GB2312" w:eastAsia="仿宋_GB2312" w:cs="仿宋_GB2312"/>
                <w:b/>
                <w:color w:val="auto"/>
                <w:kern w:val="0"/>
                <w:highlight w:val="none"/>
                <w:lang w:val="zh-CN"/>
              </w:rPr>
            </w:pPr>
            <w:r>
              <w:rPr>
                <w:rFonts w:hint="eastAsia" w:ascii="仿宋_GB2312" w:hAnsi="仿宋_GB2312" w:eastAsia="仿宋_GB2312" w:cs="仿宋_GB2312"/>
                <w:b/>
                <w:color w:val="auto"/>
                <w:kern w:val="0"/>
                <w:highlight w:val="none"/>
                <w:lang w:val="zh-CN"/>
              </w:rPr>
              <w:t>投标文件出现不是唯一的、有选择性投标报价的；</w:t>
            </w:r>
          </w:p>
          <w:p w14:paraId="64A04B8F">
            <w:pPr>
              <w:snapToGrid w:val="0"/>
              <w:spacing w:line="360" w:lineRule="auto"/>
              <w:ind w:firstLine="241" w:firstLineChars="100"/>
              <w:jc w:val="left"/>
              <w:rPr>
                <w:rFonts w:hint="eastAsia" w:ascii="仿宋_GB2312" w:hAnsi="仿宋_GB2312" w:eastAsia="仿宋_GB2312" w:cs="仿宋_GB2312"/>
                <w:b/>
                <w:color w:val="auto"/>
                <w:kern w:val="0"/>
                <w:highlight w:val="none"/>
                <w:lang w:val="zh-CN"/>
              </w:rPr>
            </w:pPr>
            <w:r>
              <w:rPr>
                <w:rFonts w:hint="eastAsia" w:ascii="仿宋_GB2312" w:hAnsi="仿宋_GB2312" w:eastAsia="仿宋_GB2312" w:cs="仿宋_GB2312"/>
                <w:b/>
                <w:color w:val="auto"/>
                <w:kern w:val="0"/>
                <w:highlight w:val="none"/>
                <w:lang w:val="zh-CN"/>
              </w:rPr>
              <w:t>投标报价超过招标文件中规定的预算金额或者最高限价的;</w:t>
            </w:r>
          </w:p>
          <w:p w14:paraId="747FAB80">
            <w:pPr>
              <w:spacing w:line="360" w:lineRule="auto"/>
              <w:ind w:firstLine="241" w:firstLineChars="10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color w:val="auto"/>
                <w:szCs w:val="21"/>
                <w:highlight w:val="none"/>
              </w:rPr>
              <w:t>;</w:t>
            </w:r>
          </w:p>
          <w:p w14:paraId="60E345AF">
            <w:pPr>
              <w:spacing w:line="360" w:lineRule="auto"/>
              <w:ind w:firstLine="241" w:firstLineChars="100"/>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highlight w:val="none"/>
              </w:rPr>
              <w:t>投标人对根据修正原则修正后的报价不确认的</w:t>
            </w:r>
            <w:r>
              <w:rPr>
                <w:rFonts w:hint="eastAsia" w:ascii="仿宋_GB2312" w:hAnsi="仿宋_GB2312" w:eastAsia="仿宋_GB2312" w:cs="仿宋_GB2312"/>
                <w:b/>
                <w:color w:val="auto"/>
                <w:highlight w:val="none"/>
              </w:rPr>
              <w:t>。</w:t>
            </w:r>
          </w:p>
        </w:tc>
      </w:tr>
      <w:tr w14:paraId="3E751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2"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E8830E7">
            <w:pPr>
              <w:snapToGrid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w:t>
            </w:r>
          </w:p>
        </w:tc>
        <w:tc>
          <w:tcPr>
            <w:tcW w:w="1843" w:type="dxa"/>
            <w:vMerge w:val="restart"/>
            <w:tcBorders>
              <w:top w:val="single" w:color="000000" w:sz="8" w:space="0"/>
              <w:left w:val="single" w:color="auto" w:sz="4" w:space="0"/>
              <w:right w:val="single" w:color="000000" w:sz="8" w:space="0"/>
            </w:tcBorders>
            <w:vAlign w:val="center"/>
          </w:tcPr>
          <w:p w14:paraId="69C8DA6B">
            <w:pPr>
              <w:snapToGrid w:val="0"/>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5970262B">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s://www.qiantang.gov.cn）“重要公告”-“政府采购专栏”，查看信用融资政策文件及各相关银行服务方案。</w:t>
            </w:r>
          </w:p>
        </w:tc>
      </w:tr>
      <w:tr w14:paraId="281BA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DFF8E4C">
            <w:pPr>
              <w:spacing w:line="360" w:lineRule="auto"/>
              <w:ind w:firstLine="480" w:firstLineChars="200"/>
              <w:jc w:val="center"/>
              <w:rPr>
                <w:rFonts w:hint="eastAsia" w:ascii="仿宋_GB2312" w:hAnsi="仿宋_GB2312" w:eastAsia="仿宋_GB2312" w:cs="仿宋_GB2312"/>
                <w:color w:val="auto"/>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02D266">
            <w:pPr>
              <w:spacing w:line="360" w:lineRule="auto"/>
              <w:ind w:firstLine="480" w:firstLineChars="200"/>
              <w:rPr>
                <w:rFonts w:hint="eastAsia" w:ascii="仿宋_GB2312" w:hAnsi="仿宋_GB2312" w:eastAsia="仿宋_GB2312" w:cs="仿宋_GB2312"/>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4E7642">
            <w:pPr>
              <w:spacing w:line="360" w:lineRule="auto"/>
              <w:rPr>
                <w:rFonts w:hint="eastAsia" w:ascii="仿宋_GB2312" w:hAnsi="仿宋_GB2312" w:eastAsia="仿宋_GB2312" w:cs="仿宋_GB2312"/>
                <w:snapToGrid w:val="0"/>
                <w:color w:val="auto"/>
                <w:kern w:val="28"/>
                <w:highlight w:val="none"/>
              </w:rPr>
            </w:pPr>
            <w:r>
              <w:rPr>
                <w:rFonts w:hint="eastAsia" w:ascii="仿宋_GB2312" w:hAnsi="仿宋_GB2312" w:eastAsia="仿宋_GB2312" w:cs="仿宋_GB2312"/>
                <w:snapToGrid w:val="0"/>
                <w:color w:val="auto"/>
                <w:kern w:val="2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839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909D202">
            <w:pPr>
              <w:snapToGrid w:val="0"/>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w:t>
            </w:r>
          </w:p>
        </w:tc>
        <w:tc>
          <w:tcPr>
            <w:tcW w:w="1843" w:type="dxa"/>
            <w:vMerge w:val="restart"/>
            <w:tcBorders>
              <w:top w:val="single" w:color="000000" w:sz="8" w:space="0"/>
              <w:left w:val="single" w:color="auto" w:sz="4" w:space="0"/>
              <w:bottom w:val="single" w:color="000000" w:sz="8" w:space="0"/>
              <w:right w:val="single" w:color="000000" w:sz="8" w:space="0"/>
            </w:tcBorders>
            <w:vAlign w:val="center"/>
          </w:tcPr>
          <w:p w14:paraId="18CA6D6C">
            <w:pPr>
              <w:snapToGrid w:val="0"/>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8D481C8">
            <w:pPr>
              <w:spacing w:line="360" w:lineRule="auto"/>
              <w:rPr>
                <w:rFonts w:hint="eastAsia" w:ascii="仿宋_GB2312" w:hAnsi="仿宋_GB2312" w:eastAsia="仿宋_GB2312" w:cs="仿宋_GB2312"/>
                <w:snapToGrid w:val="0"/>
                <w:color w:val="auto"/>
                <w:kern w:val="28"/>
                <w:highlight w:val="none"/>
              </w:rPr>
            </w:pPr>
            <w:r>
              <w:rPr>
                <w:rFonts w:hint="eastAsia" w:ascii="仿宋_GB2312" w:hAnsi="仿宋_GB2312" w:eastAsia="仿宋_GB2312" w:cs="仿宋_GB2312"/>
                <w:snapToGrid w:val="0"/>
                <w:color w:val="auto"/>
                <w:kern w:val="28"/>
                <w:highlight w:val="none"/>
              </w:rPr>
              <w:t>联合体投标的，联合体各方分别提供与联合体协议中规定的分工内容相应的业绩证明材料，业绩数量以提供材料较少的一方为准</w:t>
            </w:r>
            <w:r>
              <w:rPr>
                <w:rFonts w:hint="eastAsia" w:ascii="仿宋_GB2312" w:hAnsi="仿宋_GB2312" w:eastAsia="仿宋_GB2312" w:cs="仿宋_GB2312"/>
                <w:b/>
                <w:color w:val="auto"/>
                <w:kern w:val="0"/>
                <w:highlight w:val="none"/>
              </w:rPr>
              <w:t>。</w:t>
            </w:r>
          </w:p>
        </w:tc>
      </w:tr>
      <w:tr w14:paraId="1640E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3108DEC">
            <w:pPr>
              <w:spacing w:line="360" w:lineRule="auto"/>
              <w:rPr>
                <w:color w:val="auto"/>
                <w:highlight w:val="none"/>
              </w:rPr>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14:paraId="2D2136BB">
            <w:pPr>
              <w:spacing w:line="360" w:lineRule="auto"/>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E3D6CEA">
            <w:pPr>
              <w:spacing w:line="360" w:lineRule="auto"/>
              <w:rPr>
                <w:rFonts w:hint="eastAsia" w:ascii="仿宋" w:hAnsi="仿宋" w:cs="仿宋"/>
                <w:snapToGrid w:val="0"/>
                <w:color w:val="auto"/>
                <w:kern w:val="28"/>
                <w:highlight w:val="none"/>
              </w:rPr>
            </w:pPr>
            <w:sdt>
              <w:sdtPr>
                <w:rPr>
                  <w:rFonts w:hint="eastAsia" w:ascii="仿宋" w:hAnsi="仿宋" w:cs="仿宋"/>
                  <w:color w:val="auto"/>
                  <w:kern w:val="0"/>
                  <w:highlight w:val="none"/>
                </w:rPr>
                <w:id w:val="1187950727"/>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highlight w:val="none"/>
                </w:rPr>
              </w:sdtEndPr>
              <w:sdtContent>
                <w:r>
                  <w:rPr>
                    <w:rFonts w:hint="eastAsia" w:ascii="MS Gothic" w:hAnsi="MS Gothic" w:cs="仿宋"/>
                    <w:color w:val="auto"/>
                    <w:kern w:val="0"/>
                    <w:highlight w:val="none"/>
                  </w:rPr>
                  <w:t>☐</w:t>
                </w:r>
              </w:sdtContent>
            </w:sdt>
            <w:r>
              <w:rPr>
                <w:rFonts w:hint="eastAsia" w:ascii="仿宋_GB2312" w:hAnsi="仿宋_GB2312" w:eastAsia="仿宋_GB2312" w:cs="仿宋_GB2312"/>
                <w:snapToGrid w:val="0"/>
                <w:color w:val="auto"/>
                <w:kern w:val="28"/>
                <w:highlight w:val="none"/>
              </w:rPr>
              <w:t>联合体投标的，联合体各方均需按招标文件第四部分评标标准要求提供资信证明文件，否则视为不符合相关要求</w:t>
            </w:r>
            <w:r>
              <w:rPr>
                <w:rFonts w:hint="eastAsia" w:ascii="仿宋" w:hAnsi="仿宋" w:cs="仿宋"/>
                <w:snapToGrid w:val="0"/>
                <w:color w:val="auto"/>
                <w:kern w:val="28"/>
                <w:highlight w:val="none"/>
              </w:rPr>
              <w:t>。</w:t>
            </w:r>
          </w:p>
          <w:p w14:paraId="45883AB4">
            <w:pPr>
              <w:spacing w:line="360" w:lineRule="auto"/>
              <w:rPr>
                <w:rFonts w:hint="eastAsia" w:ascii="仿宋" w:hAnsi="仿宋" w:cs="仿宋"/>
                <w:snapToGrid w:val="0"/>
                <w:color w:val="auto"/>
                <w:kern w:val="28"/>
                <w:highlight w:val="none"/>
              </w:rPr>
            </w:pPr>
            <w:sdt>
              <w:sdtPr>
                <w:rPr>
                  <w:rFonts w:hint="eastAsia" w:ascii="仿宋" w:hAnsi="仿宋" w:cs="仿宋"/>
                  <w:color w:val="auto"/>
                  <w:kern w:val="0"/>
                  <w:highlight w:val="none"/>
                </w:rPr>
                <w:id w:val="1504401428"/>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highlight w:val="none"/>
                </w:rPr>
              </w:sdtEndPr>
              <w:sdtContent>
                <w:r>
                  <w:rPr>
                    <w:rFonts w:hint="eastAsia" w:ascii="仿宋" w:hAnsi="仿宋" w:cs="仿宋"/>
                    <w:color w:val="auto"/>
                    <w:kern w:val="0"/>
                    <w:highlight w:val="none"/>
                  </w:rPr>
                  <w:sym w:font="Wingdings" w:char="F0FE"/>
                </w:r>
              </w:sdtContent>
            </w:sdt>
            <w:r>
              <w:rPr>
                <w:rFonts w:hint="eastAsia" w:ascii="仿宋_GB2312" w:hAnsi="仿宋_GB2312" w:eastAsia="仿宋_GB2312" w:cs="仿宋_GB2312"/>
                <w:snapToGrid w:val="0"/>
                <w:color w:val="auto"/>
                <w:kern w:val="28"/>
                <w:highlight w:val="none"/>
              </w:rPr>
              <w:t>联合体投标的，联合体中有一方或者联合体成员根据分工按招标文件第四部分评标标准要求提供资信证明文件的，视为符合了相关要求。</w:t>
            </w:r>
          </w:p>
        </w:tc>
      </w:tr>
      <w:tr w14:paraId="2B488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jc w:val="center"/>
          <w:ins w:id="0" w:author="user" w:date="2024-04-17T09:50:00Z"/>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233DF47">
            <w:pPr>
              <w:spacing w:line="360" w:lineRule="auto"/>
              <w:rPr>
                <w:color w:val="auto"/>
                <w:highlight w:val="none"/>
              </w:rPr>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14:paraId="2B098B93">
            <w:pPr>
              <w:spacing w:line="360" w:lineRule="auto"/>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83C45A5">
            <w:pPr>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如联合体参与政府采购活动的，除联合体协议书外，由联合体牵头单位在投标文件中加盖相应章、签字即可；如联合体协议书另行约定的，按照联合体协议约定的执行。</w:t>
            </w:r>
          </w:p>
        </w:tc>
      </w:tr>
      <w:tr w14:paraId="3643C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8E70C5F">
            <w:pPr>
              <w:spacing w:line="360" w:lineRule="auto"/>
              <w:rPr>
                <w:color w:val="auto"/>
                <w:highlight w:val="none"/>
              </w:rPr>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14:paraId="72D254D4">
            <w:pPr>
              <w:spacing w:line="360" w:lineRule="auto"/>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A0D2B53">
            <w:pPr>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评审因素对应的要求视为采购需求的一部分。</w:t>
            </w:r>
          </w:p>
        </w:tc>
      </w:tr>
      <w:tr w14:paraId="121B9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 w:hRule="atLeast"/>
          <w:jc w:val="center"/>
        </w:trPr>
        <w:tc>
          <w:tcPr>
            <w:tcW w:w="629" w:type="dxa"/>
            <w:vMerge w:val="continue"/>
            <w:tcBorders>
              <w:left w:val="single" w:color="auto" w:sz="4" w:space="0"/>
              <w:bottom w:val="single" w:color="auto" w:sz="4" w:space="0"/>
              <w:right w:val="single" w:color="auto" w:sz="4" w:space="0"/>
            </w:tcBorders>
            <w:vAlign w:val="center"/>
          </w:tcPr>
          <w:p w14:paraId="625A5777">
            <w:pPr>
              <w:spacing w:line="360" w:lineRule="auto"/>
              <w:rPr>
                <w:color w:val="auto"/>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EDA68CA">
            <w:pPr>
              <w:spacing w:line="360" w:lineRule="auto"/>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BF2F130">
            <w:pPr>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val="en"/>
              </w:rPr>
              <w:t>本项目评审报告推荐的中标候选人数量：</w:t>
            </w:r>
            <w:r>
              <w:rPr>
                <w:rFonts w:hint="eastAsia" w:ascii="仿宋_GB2312" w:hAnsi="仿宋_GB2312" w:eastAsia="仿宋_GB2312" w:cs="仿宋_GB2312"/>
                <w:color w:val="auto"/>
                <w:kern w:val="0"/>
                <w:highlight w:val="none"/>
                <w:u w:val="single"/>
              </w:rPr>
              <w:t xml:space="preserve">   1名  </w:t>
            </w:r>
            <w:r>
              <w:rPr>
                <w:rFonts w:hint="eastAsia" w:ascii="仿宋_GB2312" w:hAnsi="仿宋_GB2312" w:eastAsia="仿宋_GB2312" w:cs="仿宋_GB2312"/>
                <w:color w:val="auto"/>
                <w:kern w:val="0"/>
                <w:highlight w:val="none"/>
                <w:lang w:val="en"/>
              </w:rPr>
              <w:t>。</w:t>
            </w:r>
          </w:p>
        </w:tc>
      </w:tr>
      <w:tr w14:paraId="1DE8A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75D3116">
            <w:pPr>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w:t>
            </w:r>
          </w:p>
        </w:tc>
        <w:tc>
          <w:tcPr>
            <w:tcW w:w="1843" w:type="dxa"/>
            <w:tcBorders>
              <w:top w:val="single" w:color="000000" w:sz="8" w:space="0"/>
              <w:left w:val="single" w:color="auto" w:sz="4" w:space="0"/>
              <w:bottom w:val="single" w:color="000000" w:sz="8" w:space="0"/>
              <w:right w:val="single" w:color="000000" w:sz="8" w:space="0"/>
            </w:tcBorders>
            <w:vAlign w:val="center"/>
          </w:tcPr>
          <w:p w14:paraId="5D30F2AE">
            <w:pPr>
              <w:snapToGrid w:val="0"/>
              <w:spacing w:line="360" w:lineRule="auto"/>
              <w:jc w:val="center"/>
              <w:rPr>
                <w:rFonts w:hint="eastAsia" w:ascii="仿宋_GB2312" w:hAnsi="仿宋_GB2312" w:eastAsia="仿宋_GB2312" w:cs="仿宋_GB2312"/>
                <w:color w:val="auto"/>
                <w:highlight w:val="none"/>
              </w:rPr>
            </w:pPr>
            <w:r>
              <w:rPr>
                <w:rFonts w:hint="eastAsia" w:ascii="仿宋" w:hAnsi="仿宋" w:cs="仿宋"/>
                <w:b/>
                <w:color w:val="auto"/>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AE74F">
            <w:pPr>
              <w:snapToGrid w:val="0"/>
              <w:spacing w:line="360" w:lineRule="auto"/>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本项目的采购代理费由中标人支付，以项目中标价为基数，依据发改价格[2011]534号服务类进行计算。</w:t>
            </w:r>
          </w:p>
        </w:tc>
      </w:tr>
    </w:tbl>
    <w:p w14:paraId="00CEC15C">
      <w:pPr>
        <w:snapToGrid w:val="0"/>
        <w:spacing w:line="360" w:lineRule="auto"/>
        <w:jc w:val="center"/>
        <w:rPr>
          <w:rFonts w:hint="eastAsia" w:ascii="仿宋" w:hAnsi="仿宋" w:cs="仿宋"/>
          <w:b/>
          <w:color w:val="auto"/>
          <w:sz w:val="32"/>
          <w:szCs w:val="20"/>
          <w:highlight w:val="none"/>
        </w:rPr>
      </w:pPr>
    </w:p>
    <w:bookmarkEnd w:id="10"/>
    <w:p w14:paraId="16DC92DB">
      <w:pPr>
        <w:adjustRightInd/>
        <w:spacing w:line="360" w:lineRule="auto"/>
        <w:outlineLvl w:val="0"/>
        <w:rPr>
          <w:rFonts w:hint="eastAsia" w:ascii="仿宋" w:hAnsi="仿宋" w:cs="仿宋"/>
          <w:b/>
          <w:color w:val="auto"/>
          <w:sz w:val="32"/>
          <w:szCs w:val="20"/>
          <w:highlight w:val="none"/>
        </w:rPr>
      </w:pPr>
      <w:bookmarkStart w:id="11" w:name="_Hlt75236011"/>
      <w:bookmarkEnd w:id="11"/>
      <w:bookmarkStart w:id="12" w:name="_Hlt74730295"/>
      <w:bookmarkEnd w:id="12"/>
      <w:bookmarkStart w:id="13" w:name="_Hlt68072998"/>
      <w:bookmarkEnd w:id="13"/>
      <w:bookmarkStart w:id="14" w:name="_Hlt74707468"/>
      <w:bookmarkEnd w:id="14"/>
      <w:bookmarkStart w:id="15" w:name="_Hlt74729768"/>
      <w:bookmarkEnd w:id="15"/>
      <w:bookmarkStart w:id="16" w:name="_Hlt74714665"/>
      <w:bookmarkEnd w:id="16"/>
      <w:bookmarkStart w:id="17" w:name="_Hlt75236101"/>
      <w:bookmarkEnd w:id="17"/>
      <w:bookmarkStart w:id="18" w:name="_Hlt68073093"/>
      <w:bookmarkEnd w:id="18"/>
      <w:bookmarkStart w:id="19" w:name="_Hlt68403820"/>
      <w:bookmarkEnd w:id="19"/>
      <w:bookmarkStart w:id="20" w:name="_Hlt68057669"/>
      <w:bookmarkEnd w:id="20"/>
      <w:bookmarkStart w:id="21" w:name="_Hlt75236290"/>
      <w:bookmarkEnd w:id="21"/>
      <w:bookmarkStart w:id="22" w:name="_Hlt68072990"/>
      <w:bookmarkEnd w:id="22"/>
      <w:bookmarkStart w:id="23" w:name="第三部分"/>
      <w:bookmarkStart w:id="24" w:name="_Toc164416483"/>
    </w:p>
    <w:p w14:paraId="26FAAA63">
      <w:pPr>
        <w:adjustRightInd/>
        <w:spacing w:line="360" w:lineRule="auto"/>
        <w:jc w:val="center"/>
        <w:outlineLvl w:val="0"/>
        <w:rPr>
          <w:rFonts w:hint="eastAsia" w:ascii="仿宋" w:hAnsi="仿宋" w:cs="仿宋"/>
          <w:b/>
          <w:color w:val="auto"/>
          <w:sz w:val="32"/>
          <w:szCs w:val="20"/>
          <w:highlight w:val="none"/>
        </w:rPr>
      </w:pPr>
      <w:r>
        <w:rPr>
          <w:rFonts w:hint="eastAsia" w:ascii="仿宋" w:hAnsi="仿宋" w:cs="仿宋"/>
          <w:b/>
          <w:color w:val="auto"/>
          <w:sz w:val="32"/>
          <w:szCs w:val="20"/>
          <w:highlight w:val="none"/>
        </w:rPr>
        <w:t>一、总则</w:t>
      </w:r>
    </w:p>
    <w:p w14:paraId="79675A3C">
      <w:pPr>
        <w:snapToGrid w:val="0"/>
        <w:spacing w:line="360" w:lineRule="auto"/>
        <w:ind w:firstLine="482" w:firstLineChars="200"/>
        <w:jc w:val="left"/>
        <w:outlineLvl w:val="1"/>
        <w:rPr>
          <w:rFonts w:hint="eastAsia" w:ascii="仿宋" w:hAnsi="仿宋" w:cs="仿宋"/>
          <w:b/>
          <w:color w:val="auto"/>
          <w:highlight w:val="none"/>
        </w:rPr>
      </w:pPr>
      <w:r>
        <w:rPr>
          <w:rFonts w:hint="eastAsia" w:ascii="仿宋" w:hAnsi="仿宋" w:cs="仿宋"/>
          <w:b/>
          <w:color w:val="auto"/>
          <w:highlight w:val="none"/>
        </w:rPr>
        <w:t>1. 适用范围</w:t>
      </w:r>
    </w:p>
    <w:p w14:paraId="0CFDB62F">
      <w:pPr>
        <w:snapToGrid w:val="0"/>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本招标文件适用于该项目的招标、投标、开标、资格审查及信用信息查询、评标、定标、合同、验收等行为（法律、法规另有规定的，从其规定）。</w:t>
      </w:r>
    </w:p>
    <w:p w14:paraId="7C42E709">
      <w:pPr>
        <w:adjustRightInd/>
        <w:spacing w:line="360" w:lineRule="auto"/>
        <w:ind w:firstLine="482" w:firstLineChars="200"/>
        <w:outlineLvl w:val="0"/>
        <w:rPr>
          <w:rFonts w:hint="eastAsia" w:ascii="仿宋" w:hAnsi="仿宋" w:cs="仿宋"/>
          <w:b/>
          <w:color w:val="auto"/>
          <w:highlight w:val="none"/>
        </w:rPr>
      </w:pPr>
      <w:r>
        <w:rPr>
          <w:rFonts w:hint="eastAsia" w:ascii="仿宋" w:hAnsi="仿宋" w:cs="仿宋"/>
          <w:b/>
          <w:color w:val="auto"/>
          <w:highlight w:val="none"/>
        </w:rPr>
        <w:t>2.定义</w:t>
      </w:r>
    </w:p>
    <w:p w14:paraId="2DA64CCA">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2.1 “采购人”系指招标公告中载明的本项目的采购人。</w:t>
      </w:r>
    </w:p>
    <w:p w14:paraId="5FDCB96C">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2.2 “采购机构”系指招标公告中载明的本项目的采购机构。</w:t>
      </w:r>
    </w:p>
    <w:p w14:paraId="31C24E7C">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2.3 “投标人”系指是指响应招标、参加投标竞争的法人、其他组织或者自然人。</w:t>
      </w:r>
    </w:p>
    <w:p w14:paraId="0649B441">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2.4 “负责人”系指法人企业的法定负责人，或其他组织为法律、行政法规规定代表单位行使职权的主要负责人，或自然人本人。</w:t>
      </w:r>
    </w:p>
    <w:p w14:paraId="5494E6D9">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68E660">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2.6“电子交易平台”是指本项目政府采购活动所依托的政府采购云平台（https://www.zcygov.cn/）。</w:t>
      </w:r>
    </w:p>
    <w:p w14:paraId="265ADF06">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2.7 “▲” 系指实质性要求条款，“★”系产品采购项目中单一产品或核心产品，“</w:t>
      </w:r>
      <w:sdt>
        <w:sdtPr>
          <w:rPr>
            <w:rFonts w:hint="eastAsia" w:ascii="仿宋" w:hAnsi="仿宋" w:cs="仿宋"/>
            <w:color w:val="auto"/>
            <w:kern w:val="0"/>
            <w:highlight w:val="none"/>
          </w:rPr>
          <w:id w:val="512970236"/>
        </w:sdtPr>
        <w:sdtEndPr>
          <w:rPr>
            <w:rFonts w:hint="eastAsia" w:ascii="仿宋" w:hAnsi="仿宋" w:cs="仿宋"/>
            <w:color w:val="auto"/>
            <w:kern w:val="0"/>
            <w:highlight w:val="none"/>
          </w:rPr>
        </w:sdtEndPr>
        <w:sdtContent>
          <w:sdt>
            <w:sdtPr>
              <w:rPr>
                <w:rFonts w:hint="eastAsia" w:ascii="仿宋" w:hAnsi="仿宋" w:cs="仿宋"/>
                <w:color w:val="auto"/>
                <w:kern w:val="0"/>
                <w:highlight w:val="none"/>
              </w:rPr>
              <w:id w:val="147477811"/>
              <w14:checkbox>
                <w14:checked w14:val="1"/>
                <w14:checkedState w14:val="00FE" w14:font="Wingdings"/>
                <w14:uncheckedState w14:val="2610" w14:font="MS Gothic"/>
              </w14:checkbox>
            </w:sdtPr>
            <w:sdtEndPr>
              <w:rPr>
                <w:rFonts w:hint="eastAsia" w:ascii="仿宋" w:hAnsi="仿宋" w:cs="仿宋"/>
                <w:color w:val="auto"/>
                <w:kern w:val="0"/>
                <w:highlight w:val="none"/>
              </w:rPr>
            </w:sdtEndPr>
            <w:sdtContent>
              <w:r>
                <w:rPr>
                  <w:rFonts w:hint="eastAsia" w:ascii="Wingdings" w:hAnsi="Wingdings" w:cs="仿宋"/>
                  <w:color w:val="auto"/>
                  <w:kern w:val="0"/>
                  <w:highlight w:val="none"/>
                </w:rPr>
                <w:t>þ</w:t>
              </w:r>
            </w:sdtContent>
          </w:sdt>
          <w:sdt>
            <w:sdtPr>
              <w:rPr>
                <w:rFonts w:hint="eastAsia" w:ascii="仿宋" w:hAnsi="仿宋" w:cs="仿宋"/>
                <w:color w:val="auto"/>
                <w:kern w:val="0"/>
                <w:highlight w:val="none"/>
              </w:rPr>
              <w:id w:val="147480596"/>
              <w:showingPlcHdr/>
            </w:sdtPr>
            <w:sdtEndPr>
              <w:rPr>
                <w:rFonts w:hint="eastAsia" w:ascii="仿宋" w:hAnsi="仿宋" w:cs="仿宋"/>
                <w:color w:val="auto"/>
                <w:kern w:val="0"/>
                <w:highlight w:val="none"/>
              </w:rPr>
            </w:sdtEndPr>
            <w:sdtContent/>
          </w:sdt>
        </w:sdtContent>
      </w:sdt>
      <w:r>
        <w:rPr>
          <w:rFonts w:hint="eastAsia" w:ascii="仿宋" w:hAnsi="仿宋" w:cs="仿宋"/>
          <w:color w:val="auto"/>
          <w:highlight w:val="none"/>
        </w:rPr>
        <w:t>” 系指适用本项目的要求，“</w:t>
      </w:r>
      <w:sdt>
        <w:sdtPr>
          <w:rPr>
            <w:rFonts w:hint="eastAsia" w:ascii="仿宋" w:hAnsi="仿宋" w:cs="仿宋"/>
            <w:color w:val="auto"/>
            <w:kern w:val="0"/>
            <w:highlight w:val="none"/>
          </w:rPr>
          <w:id w:val="404888855"/>
        </w:sdtPr>
        <w:sdtEndPr>
          <w:rPr>
            <w:rFonts w:hint="eastAsia" w:ascii="仿宋" w:hAnsi="仿宋" w:cs="仿宋"/>
            <w:color w:val="auto"/>
            <w:kern w:val="0"/>
            <w:highlight w:val="none"/>
          </w:rPr>
        </w:sdtEndPr>
        <w:sdtContent>
          <w:sdt>
            <w:sdtPr>
              <w:rPr>
                <w:rFonts w:hint="eastAsia" w:ascii="仿宋" w:hAnsi="仿宋" w:cs="仿宋"/>
                <w:color w:val="auto"/>
                <w:kern w:val="0"/>
                <w:highlight w:val="none"/>
              </w:rPr>
              <w:id w:val="147466767"/>
              <w14:checkbox>
                <w14:checked w14:val="0"/>
                <w14:checkedState w14:val="00FE" w14:font="Wingdings"/>
                <w14:uncheckedState w14:val="2610" w14:font="MS Gothic"/>
              </w14:checkbox>
            </w:sdtPr>
            <w:sdtEndPr>
              <w:rPr>
                <w:rFonts w:hint="eastAsia" w:ascii="仿宋" w:hAnsi="仿宋" w:cs="仿宋"/>
                <w:color w:val="auto"/>
                <w:kern w:val="0"/>
                <w:highlight w:val="none"/>
              </w:rPr>
            </w:sdtEndPr>
            <w:sdtContent>
              <w:r>
                <w:rPr>
                  <w:rFonts w:hint="eastAsia" w:ascii="仿宋" w:hAnsi="仿宋" w:cs="仿宋"/>
                  <w:color w:val="auto"/>
                  <w:kern w:val="0"/>
                  <w:highlight w:val="none"/>
                </w:rPr>
                <w:t>☐</w:t>
              </w:r>
            </w:sdtContent>
          </w:sdt>
          <w:sdt>
            <w:sdtPr>
              <w:rPr>
                <w:rFonts w:hint="eastAsia" w:ascii="仿宋" w:hAnsi="仿宋" w:cs="仿宋"/>
                <w:color w:val="auto"/>
                <w:kern w:val="0"/>
                <w:highlight w:val="none"/>
              </w:rPr>
              <w:id w:val="147472469"/>
              <w:showingPlcHdr/>
            </w:sdtPr>
            <w:sdtEndPr>
              <w:rPr>
                <w:rFonts w:hint="eastAsia" w:ascii="仿宋" w:hAnsi="仿宋" w:cs="仿宋"/>
                <w:color w:val="auto"/>
                <w:kern w:val="0"/>
                <w:highlight w:val="none"/>
              </w:rPr>
            </w:sdtEndPr>
            <w:sdtContent/>
          </w:sdt>
        </w:sdtContent>
      </w:sdt>
      <w:r>
        <w:rPr>
          <w:rFonts w:hint="eastAsia" w:ascii="仿宋" w:hAnsi="仿宋" w:cs="仿宋"/>
          <w:color w:val="auto"/>
          <w:highlight w:val="none"/>
        </w:rPr>
        <w:t>” 系指不适用本项目的要求。</w:t>
      </w:r>
    </w:p>
    <w:p w14:paraId="072A9D42">
      <w:pPr>
        <w:spacing w:line="360" w:lineRule="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3.</w:t>
      </w:r>
      <w:r>
        <w:rPr>
          <w:rFonts w:hint="eastAsia" w:ascii="仿宋_GB2312" w:hAnsi="仿宋_GB2312" w:eastAsia="仿宋_GB2312" w:cs="仿宋_GB2312"/>
          <w:color w:val="auto"/>
          <w:sz w:val="21"/>
          <w:highlight w:val="none"/>
        </w:rPr>
        <w:t xml:space="preserve"> </w:t>
      </w:r>
      <w:r>
        <w:rPr>
          <w:rFonts w:hint="eastAsia" w:ascii="仿宋_GB2312" w:hAnsi="仿宋_GB2312" w:eastAsia="仿宋_GB2312" w:cs="仿宋_GB2312"/>
          <w:b/>
          <w:color w:val="auto"/>
          <w:highlight w:val="none"/>
        </w:rPr>
        <w:t>采购项目需要落实的政府采购政策</w:t>
      </w:r>
    </w:p>
    <w:p w14:paraId="08DFA9AC">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77CE3E9">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 支持绿色发展</w:t>
      </w:r>
    </w:p>
    <w:p w14:paraId="5D400C81">
      <w:pPr>
        <w:spacing w:line="360" w:lineRule="auto"/>
        <w:ind w:firstLine="480"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color w:val="auto"/>
          <w:highlight w:val="none"/>
        </w:rPr>
        <w:t>采购人拟采购的产品属于政府强制采购的节能产品品目清单范围的，投标人相应的投标产品未获得国家确定的认证机构出具的、处于有效期之内的节能产品认证证书的，投标无效。</w:t>
      </w:r>
    </w:p>
    <w:p w14:paraId="7D2C86CD">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3.2.2修缮、装修类项目采购建材的，采购人应将绿色建筑和绿色建材性能、指标等作为实质性条件纳入招标文件和合同，具体性能指标要求参考相关绿色建材政府采购需求标准。</w:t>
      </w:r>
    </w:p>
    <w:p w14:paraId="303C73CA">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A32D60A">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B4A0651">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3.3支持中小企业发展</w:t>
      </w:r>
    </w:p>
    <w:p w14:paraId="51E10C3E">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9F96EB">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符合中小企业划分标准的个体工商户，在政府采购活动中视同中小企业。</w:t>
      </w:r>
    </w:p>
    <w:p w14:paraId="226D7A88">
      <w:pPr>
        <w:widowControl/>
        <w:spacing w:line="360" w:lineRule="auto"/>
        <w:ind w:firstLine="480" w:firstLineChars="200"/>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bCs/>
          <w:color w:val="auto"/>
          <w:highlight w:val="none"/>
        </w:rPr>
        <w:t>3.3.2</w:t>
      </w:r>
      <w:r>
        <w:rPr>
          <w:rFonts w:hint="eastAsia" w:ascii="仿宋_GB2312" w:hAnsi="仿宋_GB2312" w:eastAsia="仿宋_GB2312" w:cs="仿宋_GB2312"/>
          <w:color w:val="auto"/>
          <w:kern w:val="0"/>
          <w:highlight w:val="none"/>
        </w:rPr>
        <w:t>在政府采购活动中，投标人提供的货物、工程或者服务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在服务采购项目中，服务由中小企业承接，即提供服务的人员为中小企业依照《中华人民共和国劳动合同法》订立劳动合同的从业人员。</w:t>
      </w:r>
    </w:p>
    <w:p w14:paraId="5D027FFB">
      <w:pPr>
        <w:widowControl/>
        <w:spacing w:line="360" w:lineRule="auto"/>
        <w:ind w:firstLine="480" w:firstLineChars="200"/>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以联合体形式参加政府采购活动，联合体各方均为中小企业的，联合体视同中小企业。其中，联合体各方均为小微企业的，联合体视同小微企业。</w:t>
      </w:r>
    </w:p>
    <w:p w14:paraId="43F4B273">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3.3.3对于未预留份额专门面向中小企业的政府采购货物项目，以及预留份额政府采购货物项目中的非预留部分标项，对小型和微型企业的投标报价给予10%-20%的扣除（</w:t>
      </w:r>
      <w:r>
        <w:rPr>
          <w:rFonts w:hint="eastAsia" w:ascii="仿宋_GB2312" w:hAnsi="仿宋_GB2312" w:eastAsia="仿宋_GB2312" w:cs="仿宋_GB2312"/>
          <w:snapToGrid w:val="0"/>
          <w:color w:val="auto"/>
          <w:kern w:val="28"/>
          <w:highlight w:val="none"/>
        </w:rPr>
        <w:t>招标文件第四部分</w:t>
      </w:r>
      <w:r>
        <w:rPr>
          <w:rFonts w:hint="eastAsia" w:ascii="仿宋_GB2312" w:hAnsi="仿宋_GB2312" w:eastAsia="仿宋_GB2312" w:cs="仿宋_GB2312"/>
          <w:color w:val="auto"/>
          <w:highlight w:val="none"/>
          <w:u w:val="single"/>
        </w:rPr>
        <w:t>评标办分法明确具体的扣除比例，未明确的，</w:t>
      </w:r>
      <w:r>
        <w:rPr>
          <w:rFonts w:hint="eastAsia" w:ascii="仿宋_GB2312" w:hAnsi="仿宋_GB2312" w:eastAsia="仿宋_GB2312" w:cs="仿宋_GB2312"/>
          <w:color w:val="auto"/>
          <w:highlight w:val="none"/>
        </w:rPr>
        <w:t>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w:t>
      </w:r>
      <w:r>
        <w:rPr>
          <w:rFonts w:hint="eastAsia" w:ascii="仿宋_GB2312" w:hAnsi="仿宋_GB2312" w:eastAsia="仿宋_GB2312" w:cs="仿宋_GB2312"/>
          <w:snapToGrid w:val="0"/>
          <w:color w:val="auto"/>
          <w:kern w:val="28"/>
          <w:highlight w:val="none"/>
        </w:rPr>
        <w:t>招标文件第四部分</w:t>
      </w:r>
      <w:r>
        <w:rPr>
          <w:rFonts w:hint="eastAsia" w:ascii="仿宋_GB2312" w:hAnsi="仿宋_GB2312" w:eastAsia="仿宋_GB2312" w:cs="仿宋_GB2312"/>
          <w:color w:val="auto"/>
          <w:highlight w:val="none"/>
          <w:u w:val="single"/>
        </w:rPr>
        <w:t>评标办分法明确具体的扣除比例，未明确的，</w:t>
      </w:r>
      <w:r>
        <w:rPr>
          <w:rFonts w:hint="eastAsia" w:ascii="仿宋_GB2312" w:hAnsi="仿宋_GB2312" w:eastAsia="仿宋_GB2312" w:cs="仿宋_GB2312"/>
          <w:color w:val="auto"/>
          <w:highlight w:val="none"/>
        </w:rPr>
        <w:t>给予6%的扣除）的扣除，用扣除后的价格参加评审。组成联合体或者接受分包的小微企业与联合体内其他企业、分包企业之间存在直接控股、管理关系的，不享受价格扣除优惠政策。</w:t>
      </w:r>
    </w:p>
    <w:p w14:paraId="1D6EBFB2">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3.3.4符合《关于促进残疾人就业政府采购政策的通知》（财库〔2017〕141号）规定的条件并提供《残疾人福利性单位声明函》（附件1）的残疾人福利性单位视同小型、微型企业；</w:t>
      </w:r>
    </w:p>
    <w:p w14:paraId="3CBCC1F1">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690FD2">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90B9E3">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3.3.7中小企业享受扶持政策获得政府采购合同的，小微企业不得将合同分包给大中型企业，中型企业不得将合同分包给大型企业。</w:t>
      </w:r>
    </w:p>
    <w:p w14:paraId="5038280F">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3.4</w:t>
      </w:r>
      <w:r>
        <w:rPr>
          <w:rFonts w:hint="eastAsia" w:ascii="仿宋_GB2312" w:hAnsi="仿宋_GB2312" w:eastAsia="仿宋_GB2312" w:cs="仿宋_GB2312"/>
          <w:bCs/>
          <w:color w:val="auto"/>
          <w:highlight w:val="none"/>
        </w:rPr>
        <w:t>支持创新发展</w:t>
      </w:r>
    </w:p>
    <w:p w14:paraId="1565A530">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3.4.1 采购人优先采购被认定为首台套产品和“制造精品”的自主创新产品。</w:t>
      </w:r>
    </w:p>
    <w:p w14:paraId="777EDED4">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937544A">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3AA97CAA">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3.6平等对待内外资企业和符合条件的破产重整企业</w:t>
      </w:r>
    </w:p>
    <w:p w14:paraId="1320612C">
      <w:pPr>
        <w:spacing w:line="360" w:lineRule="auto"/>
        <w:ind w:firstLine="480"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rPr>
        <w:t>平等对待内外资企业和符合条件的破产重整企业，切实保障企业公平竞争，平等维护企业的合法利益。</w:t>
      </w:r>
      <w:r>
        <w:rPr>
          <w:rFonts w:hint="eastAsia" w:ascii="仿宋" w:hAnsi="仿宋" w:cs="仿宋"/>
          <w:color w:val="auto"/>
          <w:highlight w:val="none"/>
        </w:rPr>
        <w:cr/>
      </w:r>
      <w:r>
        <w:rPr>
          <w:rFonts w:hint="eastAsia" w:ascii="仿宋" w:hAnsi="仿宋" w:cs="仿宋"/>
          <w:color w:val="auto"/>
          <w:highlight w:val="none"/>
        </w:rPr>
        <w:t xml:space="preserve">   </w:t>
      </w:r>
      <w:r>
        <w:rPr>
          <w:rFonts w:hint="eastAsia" w:ascii="仿宋_GB2312" w:hAnsi="仿宋_GB2312" w:eastAsia="仿宋_GB2312" w:cs="仿宋_GB2312"/>
          <w:b/>
          <w:color w:val="auto"/>
          <w:highlight w:val="none"/>
        </w:rPr>
        <w:t>4. 询问、质疑、投诉</w:t>
      </w:r>
    </w:p>
    <w:p w14:paraId="5C3C9F89">
      <w:pPr>
        <w:autoSpaceDE w:val="0"/>
        <w:autoSpaceDN w:val="0"/>
        <w:spacing w:line="360" w:lineRule="auto"/>
        <w:ind w:firstLine="480" w:firstLineChars="200"/>
        <w:jc w:val="left"/>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4.1在线询问、质疑、投诉</w:t>
      </w:r>
    </w:p>
    <w:p w14:paraId="1CC140B6">
      <w:pPr>
        <w:autoSpaceDE w:val="0"/>
        <w:autoSpaceDN w:val="0"/>
        <w:spacing w:line="360" w:lineRule="auto"/>
        <w:ind w:firstLine="480" w:firstLineChars="200"/>
        <w:jc w:val="left"/>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DC35D9">
      <w:pPr>
        <w:autoSpaceDE w:val="0"/>
        <w:autoSpaceDN w:val="0"/>
        <w:spacing w:line="360" w:lineRule="auto"/>
        <w:ind w:firstLine="480" w:firstLineChars="200"/>
        <w:jc w:val="left"/>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4.2供应商询问</w:t>
      </w:r>
    </w:p>
    <w:p w14:paraId="670A945B">
      <w:pPr>
        <w:autoSpaceDE w:val="0"/>
        <w:autoSpaceDN w:val="0"/>
        <w:spacing w:line="360" w:lineRule="auto"/>
        <w:ind w:firstLine="480" w:firstLineChars="200"/>
        <w:jc w:val="left"/>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EA4EB0">
      <w:pPr>
        <w:autoSpaceDE w:val="0"/>
        <w:autoSpaceDN w:val="0"/>
        <w:spacing w:line="360" w:lineRule="auto"/>
        <w:ind w:firstLine="480" w:firstLineChars="200"/>
        <w:jc w:val="left"/>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4.</w:t>
      </w:r>
      <w:r>
        <w:rPr>
          <w:rFonts w:hint="eastAsia" w:ascii="仿宋_GB2312" w:hAnsi="仿宋_GB2312" w:eastAsia="仿宋_GB2312" w:cs="仿宋_GB2312"/>
          <w:color w:val="auto"/>
          <w:kern w:val="0"/>
          <w:highlight w:val="none"/>
        </w:rPr>
        <w:t>3</w:t>
      </w:r>
      <w:r>
        <w:rPr>
          <w:rFonts w:hint="eastAsia" w:ascii="仿宋_GB2312" w:hAnsi="仿宋_GB2312" w:eastAsia="仿宋_GB2312" w:cs="仿宋_GB2312"/>
          <w:color w:val="auto"/>
          <w:kern w:val="0"/>
          <w:highlight w:val="none"/>
          <w:lang w:val="zh-CN"/>
        </w:rPr>
        <w:t>供应商质疑</w:t>
      </w:r>
    </w:p>
    <w:p w14:paraId="06D9716F">
      <w:pPr>
        <w:spacing w:line="360" w:lineRule="auto"/>
        <w:ind w:firstLine="480" w:firstLineChars="200"/>
        <w:rPr>
          <w:rFonts w:hint="eastAsia" w:ascii="仿宋_GB2312" w:hAnsi="仿宋_GB2312" w:eastAsia="仿宋_GB2312" w:cs="仿宋_GB2312"/>
          <w:snapToGrid w:val="0"/>
          <w:color w:val="auto"/>
          <w:szCs w:val="21"/>
          <w:highlight w:val="none"/>
        </w:rPr>
      </w:pPr>
      <w:r>
        <w:rPr>
          <w:rFonts w:hint="eastAsia" w:ascii="仿宋_GB2312" w:hAnsi="仿宋_GB2312" w:eastAsia="仿宋_GB2312" w:cs="仿宋_GB2312"/>
          <w:snapToGrid w:val="0"/>
          <w:color w:val="auto"/>
          <w:kern w:val="0"/>
          <w:szCs w:val="21"/>
          <w:highlight w:val="none"/>
          <w:lang w:val="zh-CN"/>
        </w:rPr>
        <w:t>4.</w:t>
      </w:r>
      <w:r>
        <w:rPr>
          <w:rFonts w:hint="eastAsia" w:ascii="仿宋_GB2312" w:hAnsi="仿宋_GB2312" w:eastAsia="仿宋_GB2312" w:cs="仿宋_GB2312"/>
          <w:snapToGrid w:val="0"/>
          <w:color w:val="auto"/>
          <w:kern w:val="0"/>
          <w:szCs w:val="21"/>
          <w:highlight w:val="none"/>
        </w:rPr>
        <w:t>3</w:t>
      </w:r>
      <w:r>
        <w:rPr>
          <w:rFonts w:hint="eastAsia" w:ascii="仿宋_GB2312" w:hAnsi="仿宋_GB2312" w:eastAsia="仿宋_GB2312" w:cs="仿宋_GB2312"/>
          <w:snapToGrid w:val="0"/>
          <w:color w:val="auto"/>
          <w:szCs w:val="21"/>
          <w:highlight w:val="none"/>
        </w:rPr>
        <w:t>.1提出质疑的供应商应当是参与所质疑项目采购活动的供应商。潜在供应商已依法获取其可质疑的招标文件的，可以对该文件提出质疑。</w:t>
      </w:r>
    </w:p>
    <w:p w14:paraId="5EE16B57">
      <w:pPr>
        <w:spacing w:line="360" w:lineRule="auto"/>
        <w:ind w:firstLine="480" w:firstLineChars="200"/>
        <w:rPr>
          <w:rFonts w:hint="eastAsia" w:ascii="仿宋_GB2312" w:hAnsi="仿宋_GB2312" w:eastAsia="仿宋_GB2312" w:cs="仿宋_GB2312"/>
          <w:snapToGrid w:val="0"/>
          <w:color w:val="auto"/>
          <w:szCs w:val="21"/>
          <w:highlight w:val="none"/>
        </w:rPr>
      </w:pPr>
      <w:r>
        <w:rPr>
          <w:rFonts w:hint="eastAsia" w:ascii="仿宋_GB2312" w:hAnsi="仿宋_GB2312" w:eastAsia="仿宋_GB2312" w:cs="仿宋_GB2312"/>
          <w:snapToGrid w:val="0"/>
          <w:color w:val="auto"/>
          <w:kern w:val="0"/>
          <w:szCs w:val="21"/>
          <w:highlight w:val="none"/>
          <w:lang w:val="zh-CN"/>
        </w:rPr>
        <w:t>4.</w:t>
      </w:r>
      <w:r>
        <w:rPr>
          <w:rFonts w:hint="eastAsia" w:ascii="仿宋_GB2312" w:hAnsi="仿宋_GB2312" w:eastAsia="仿宋_GB2312" w:cs="仿宋_GB2312"/>
          <w:snapToGrid w:val="0"/>
          <w:color w:val="auto"/>
          <w:kern w:val="0"/>
          <w:szCs w:val="21"/>
          <w:highlight w:val="none"/>
        </w:rPr>
        <w:t>3</w:t>
      </w:r>
      <w:r>
        <w:rPr>
          <w:rFonts w:hint="eastAsia" w:ascii="仿宋_GB2312" w:hAnsi="仿宋_GB2312" w:eastAsia="仿宋_GB2312" w:cs="仿宋_GB2312"/>
          <w:snapToGrid w:val="0"/>
          <w:color w:val="auto"/>
          <w:szCs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8DFD568">
      <w:pPr>
        <w:widowControl/>
        <w:snapToGrid w:val="0"/>
        <w:spacing w:line="360" w:lineRule="auto"/>
        <w:ind w:firstLine="480" w:firstLineChars="200"/>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rPr>
        <w:t>4.3.2.1对招标文件提出质疑的，质疑期限为供应商获得招标文件之日或者招标文件公告期限届满之日起计算。</w:t>
      </w:r>
    </w:p>
    <w:p w14:paraId="0E0AA05F">
      <w:pPr>
        <w:spacing w:line="360" w:lineRule="auto"/>
        <w:ind w:firstLine="480" w:firstLineChars="200"/>
        <w:rPr>
          <w:rFonts w:hint="eastAsia" w:ascii="仿宋_GB2312" w:hAnsi="仿宋_GB2312" w:eastAsia="仿宋_GB2312" w:cs="仿宋_GB2312"/>
          <w:snapToGrid w:val="0"/>
          <w:color w:val="auto"/>
          <w:szCs w:val="21"/>
          <w:highlight w:val="none"/>
        </w:rPr>
      </w:pPr>
      <w:r>
        <w:rPr>
          <w:rFonts w:hint="eastAsia" w:ascii="仿宋_GB2312" w:hAnsi="仿宋_GB2312" w:eastAsia="仿宋_GB2312" w:cs="仿宋_GB2312"/>
          <w:snapToGrid w:val="0"/>
          <w:color w:val="auto"/>
          <w:szCs w:val="21"/>
          <w:highlight w:val="none"/>
        </w:rPr>
        <w:t>4.3.2.2对采购过程提出质疑的，质疑期限为各采购程序环节结束之日起计算。</w:t>
      </w:r>
    </w:p>
    <w:p w14:paraId="48B708B8">
      <w:pPr>
        <w:spacing w:line="360" w:lineRule="auto"/>
        <w:ind w:firstLine="480" w:firstLineChars="200"/>
        <w:rPr>
          <w:rFonts w:hint="eastAsia" w:ascii="仿宋_GB2312" w:hAnsi="仿宋_GB2312" w:eastAsia="仿宋_GB2312" w:cs="仿宋_GB2312"/>
          <w:snapToGrid w:val="0"/>
          <w:color w:val="auto"/>
          <w:szCs w:val="21"/>
          <w:highlight w:val="none"/>
        </w:rPr>
      </w:pPr>
      <w:r>
        <w:rPr>
          <w:rFonts w:hint="eastAsia" w:ascii="仿宋_GB2312" w:hAnsi="仿宋_GB2312" w:eastAsia="仿宋_GB2312" w:cs="仿宋_GB2312"/>
          <w:snapToGrid w:val="0"/>
          <w:color w:val="auto"/>
          <w:szCs w:val="21"/>
          <w:highlight w:val="none"/>
        </w:rPr>
        <w:t>4.3.2.3对采购结果提出质疑的，质疑期限自采购结果公告期限届满之日起计算。</w:t>
      </w:r>
    </w:p>
    <w:p w14:paraId="30D65B21">
      <w:pPr>
        <w:spacing w:line="360" w:lineRule="auto"/>
        <w:ind w:firstLine="480" w:firstLineChars="200"/>
        <w:rPr>
          <w:rFonts w:hint="eastAsia" w:ascii="仿宋_GB2312" w:hAnsi="仿宋_GB2312" w:eastAsia="仿宋_GB2312" w:cs="仿宋_GB2312"/>
          <w:snapToGrid w:val="0"/>
          <w:color w:val="auto"/>
          <w:kern w:val="0"/>
          <w:szCs w:val="21"/>
          <w:highlight w:val="none"/>
          <w:lang w:val="zh-CN"/>
        </w:rPr>
      </w:pPr>
      <w:r>
        <w:rPr>
          <w:rFonts w:hint="eastAsia" w:ascii="仿宋_GB2312" w:hAnsi="仿宋_GB2312" w:eastAsia="仿宋_GB2312" w:cs="仿宋_GB2312"/>
          <w:snapToGrid w:val="0"/>
          <w:color w:val="auto"/>
          <w:kern w:val="0"/>
          <w:szCs w:val="21"/>
          <w:highlight w:val="none"/>
          <w:lang w:val="zh-CN"/>
        </w:rPr>
        <w:t>4.</w:t>
      </w:r>
      <w:r>
        <w:rPr>
          <w:rFonts w:hint="eastAsia" w:ascii="仿宋_GB2312" w:hAnsi="仿宋_GB2312" w:eastAsia="仿宋_GB2312" w:cs="仿宋_GB2312"/>
          <w:snapToGrid w:val="0"/>
          <w:color w:val="auto"/>
          <w:kern w:val="0"/>
          <w:szCs w:val="21"/>
          <w:highlight w:val="none"/>
        </w:rPr>
        <w:t>3</w:t>
      </w:r>
      <w:r>
        <w:rPr>
          <w:rFonts w:hint="eastAsia" w:ascii="仿宋_GB2312" w:hAnsi="仿宋_GB2312" w:eastAsia="仿宋_GB2312" w:cs="仿宋_GB2312"/>
          <w:snapToGrid w:val="0"/>
          <w:color w:val="auto"/>
          <w:kern w:val="0"/>
          <w:szCs w:val="21"/>
          <w:highlight w:val="none"/>
          <w:lang w:val="zh-CN"/>
        </w:rPr>
        <w:t>.3</w:t>
      </w:r>
      <w:r>
        <w:rPr>
          <w:rFonts w:hint="eastAsia" w:ascii="仿宋_GB2312" w:hAnsi="仿宋_GB2312" w:eastAsia="仿宋_GB2312" w:cs="仿宋_GB2312"/>
          <w:snapToGrid w:val="0"/>
          <w:color w:val="auto"/>
          <w:szCs w:val="21"/>
          <w:highlight w:val="none"/>
        </w:rPr>
        <w:t>供应商提出质疑应当提交质疑函和必要的证明材料。质疑函应当包括下列内容：</w:t>
      </w:r>
    </w:p>
    <w:p w14:paraId="2A72C420">
      <w:pPr>
        <w:spacing w:line="360" w:lineRule="auto"/>
        <w:ind w:firstLine="480" w:firstLineChars="200"/>
        <w:rPr>
          <w:rFonts w:hint="eastAsia" w:ascii="仿宋_GB2312" w:hAnsi="仿宋_GB2312" w:eastAsia="仿宋_GB2312" w:cs="仿宋_GB2312"/>
          <w:snapToGrid w:val="0"/>
          <w:color w:val="auto"/>
          <w:kern w:val="0"/>
          <w:szCs w:val="21"/>
          <w:highlight w:val="none"/>
          <w:lang w:val="zh-CN"/>
        </w:rPr>
      </w:pPr>
      <w:r>
        <w:rPr>
          <w:rFonts w:hint="eastAsia" w:ascii="仿宋_GB2312" w:hAnsi="仿宋_GB2312" w:eastAsia="仿宋_GB2312" w:cs="仿宋_GB2312"/>
          <w:snapToGrid w:val="0"/>
          <w:color w:val="auto"/>
          <w:kern w:val="0"/>
          <w:szCs w:val="21"/>
          <w:highlight w:val="none"/>
          <w:lang w:val="zh-CN"/>
        </w:rPr>
        <w:t>　　4.</w:t>
      </w:r>
      <w:r>
        <w:rPr>
          <w:rFonts w:hint="eastAsia" w:ascii="仿宋_GB2312" w:hAnsi="仿宋_GB2312" w:eastAsia="仿宋_GB2312" w:cs="仿宋_GB2312"/>
          <w:snapToGrid w:val="0"/>
          <w:color w:val="auto"/>
          <w:kern w:val="0"/>
          <w:szCs w:val="21"/>
          <w:highlight w:val="none"/>
        </w:rPr>
        <w:t>3</w:t>
      </w:r>
      <w:r>
        <w:rPr>
          <w:rFonts w:hint="eastAsia" w:ascii="仿宋_GB2312" w:hAnsi="仿宋_GB2312" w:eastAsia="仿宋_GB2312" w:cs="仿宋_GB2312"/>
          <w:snapToGrid w:val="0"/>
          <w:color w:val="auto"/>
          <w:kern w:val="0"/>
          <w:szCs w:val="21"/>
          <w:highlight w:val="none"/>
          <w:lang w:val="zh-CN"/>
        </w:rPr>
        <w:t>.3.1供应商的姓名或者名称、地址、邮编、联系人及联系电话；</w:t>
      </w:r>
    </w:p>
    <w:p w14:paraId="0FDACFE0">
      <w:pPr>
        <w:spacing w:line="360" w:lineRule="auto"/>
        <w:ind w:firstLine="480" w:firstLineChars="200"/>
        <w:rPr>
          <w:rFonts w:hint="eastAsia" w:ascii="仿宋_GB2312" w:hAnsi="仿宋_GB2312" w:eastAsia="仿宋_GB2312" w:cs="仿宋_GB2312"/>
          <w:snapToGrid w:val="0"/>
          <w:color w:val="auto"/>
          <w:kern w:val="0"/>
          <w:szCs w:val="21"/>
          <w:highlight w:val="none"/>
          <w:lang w:val="zh-CN"/>
        </w:rPr>
      </w:pPr>
      <w:r>
        <w:rPr>
          <w:rFonts w:hint="eastAsia" w:ascii="仿宋_GB2312" w:hAnsi="仿宋_GB2312" w:eastAsia="仿宋_GB2312" w:cs="仿宋_GB2312"/>
          <w:snapToGrid w:val="0"/>
          <w:color w:val="auto"/>
          <w:kern w:val="0"/>
          <w:szCs w:val="21"/>
          <w:highlight w:val="none"/>
          <w:lang w:val="zh-CN"/>
        </w:rPr>
        <w:t>　　4.</w:t>
      </w:r>
      <w:r>
        <w:rPr>
          <w:rFonts w:hint="eastAsia" w:ascii="仿宋_GB2312" w:hAnsi="仿宋_GB2312" w:eastAsia="仿宋_GB2312" w:cs="仿宋_GB2312"/>
          <w:snapToGrid w:val="0"/>
          <w:color w:val="auto"/>
          <w:kern w:val="0"/>
          <w:szCs w:val="21"/>
          <w:highlight w:val="none"/>
        </w:rPr>
        <w:t>3</w:t>
      </w:r>
      <w:r>
        <w:rPr>
          <w:rFonts w:hint="eastAsia" w:ascii="仿宋_GB2312" w:hAnsi="仿宋_GB2312" w:eastAsia="仿宋_GB2312" w:cs="仿宋_GB2312"/>
          <w:snapToGrid w:val="0"/>
          <w:color w:val="auto"/>
          <w:kern w:val="0"/>
          <w:szCs w:val="21"/>
          <w:highlight w:val="none"/>
          <w:lang w:val="zh-CN"/>
        </w:rPr>
        <w:t>.3.2质疑项目的名称、编号；</w:t>
      </w:r>
    </w:p>
    <w:p w14:paraId="58658C74">
      <w:pPr>
        <w:spacing w:line="360" w:lineRule="auto"/>
        <w:ind w:firstLine="480" w:firstLineChars="200"/>
        <w:rPr>
          <w:rFonts w:hint="eastAsia" w:ascii="仿宋_GB2312" w:hAnsi="仿宋_GB2312" w:eastAsia="仿宋_GB2312" w:cs="仿宋_GB2312"/>
          <w:snapToGrid w:val="0"/>
          <w:color w:val="auto"/>
          <w:kern w:val="0"/>
          <w:szCs w:val="21"/>
          <w:highlight w:val="none"/>
          <w:lang w:val="zh-CN"/>
        </w:rPr>
      </w:pPr>
      <w:r>
        <w:rPr>
          <w:rFonts w:hint="eastAsia" w:ascii="仿宋_GB2312" w:hAnsi="仿宋_GB2312" w:eastAsia="仿宋_GB2312" w:cs="仿宋_GB2312"/>
          <w:snapToGrid w:val="0"/>
          <w:color w:val="auto"/>
          <w:kern w:val="0"/>
          <w:szCs w:val="21"/>
          <w:highlight w:val="none"/>
          <w:lang w:val="zh-CN"/>
        </w:rPr>
        <w:t>　　4.</w:t>
      </w:r>
      <w:r>
        <w:rPr>
          <w:rFonts w:hint="eastAsia" w:ascii="仿宋_GB2312" w:hAnsi="仿宋_GB2312" w:eastAsia="仿宋_GB2312" w:cs="仿宋_GB2312"/>
          <w:snapToGrid w:val="0"/>
          <w:color w:val="auto"/>
          <w:kern w:val="0"/>
          <w:szCs w:val="21"/>
          <w:highlight w:val="none"/>
        </w:rPr>
        <w:t>3</w:t>
      </w:r>
      <w:r>
        <w:rPr>
          <w:rFonts w:hint="eastAsia" w:ascii="仿宋_GB2312" w:hAnsi="仿宋_GB2312" w:eastAsia="仿宋_GB2312" w:cs="仿宋_GB2312"/>
          <w:snapToGrid w:val="0"/>
          <w:color w:val="auto"/>
          <w:kern w:val="0"/>
          <w:szCs w:val="21"/>
          <w:highlight w:val="none"/>
          <w:lang w:val="zh-CN"/>
        </w:rPr>
        <w:t>.3.3具体、明确的质疑事项和与质疑事项相关的请求；</w:t>
      </w:r>
    </w:p>
    <w:p w14:paraId="4ACA344D">
      <w:pPr>
        <w:spacing w:line="360" w:lineRule="auto"/>
        <w:ind w:firstLine="480" w:firstLineChars="200"/>
        <w:rPr>
          <w:rFonts w:hint="eastAsia" w:ascii="仿宋_GB2312" w:hAnsi="仿宋_GB2312" w:eastAsia="仿宋_GB2312" w:cs="仿宋_GB2312"/>
          <w:snapToGrid w:val="0"/>
          <w:color w:val="auto"/>
          <w:kern w:val="0"/>
          <w:szCs w:val="21"/>
          <w:highlight w:val="none"/>
          <w:lang w:val="zh-CN"/>
        </w:rPr>
      </w:pPr>
      <w:r>
        <w:rPr>
          <w:rFonts w:hint="eastAsia" w:ascii="仿宋_GB2312" w:hAnsi="仿宋_GB2312" w:eastAsia="仿宋_GB2312" w:cs="仿宋_GB2312"/>
          <w:snapToGrid w:val="0"/>
          <w:color w:val="auto"/>
          <w:kern w:val="0"/>
          <w:szCs w:val="21"/>
          <w:highlight w:val="none"/>
          <w:lang w:val="zh-CN"/>
        </w:rPr>
        <w:t>　　4.</w:t>
      </w:r>
      <w:r>
        <w:rPr>
          <w:rFonts w:hint="eastAsia" w:ascii="仿宋_GB2312" w:hAnsi="仿宋_GB2312" w:eastAsia="仿宋_GB2312" w:cs="仿宋_GB2312"/>
          <w:snapToGrid w:val="0"/>
          <w:color w:val="auto"/>
          <w:kern w:val="0"/>
          <w:szCs w:val="21"/>
          <w:highlight w:val="none"/>
        </w:rPr>
        <w:t>3</w:t>
      </w:r>
      <w:r>
        <w:rPr>
          <w:rFonts w:hint="eastAsia" w:ascii="仿宋_GB2312" w:hAnsi="仿宋_GB2312" w:eastAsia="仿宋_GB2312" w:cs="仿宋_GB2312"/>
          <w:snapToGrid w:val="0"/>
          <w:color w:val="auto"/>
          <w:kern w:val="0"/>
          <w:szCs w:val="21"/>
          <w:highlight w:val="none"/>
          <w:lang w:val="zh-CN"/>
        </w:rPr>
        <w:t>.3.4事实依据；</w:t>
      </w:r>
    </w:p>
    <w:p w14:paraId="4A4558F8">
      <w:pPr>
        <w:spacing w:line="360" w:lineRule="auto"/>
        <w:ind w:firstLine="480" w:firstLineChars="200"/>
        <w:rPr>
          <w:rFonts w:hint="eastAsia" w:ascii="仿宋_GB2312" w:hAnsi="仿宋_GB2312" w:eastAsia="仿宋_GB2312" w:cs="仿宋_GB2312"/>
          <w:snapToGrid w:val="0"/>
          <w:color w:val="auto"/>
          <w:kern w:val="0"/>
          <w:szCs w:val="21"/>
          <w:highlight w:val="none"/>
          <w:lang w:val="zh-CN"/>
        </w:rPr>
      </w:pPr>
      <w:r>
        <w:rPr>
          <w:rFonts w:hint="eastAsia" w:ascii="仿宋_GB2312" w:hAnsi="仿宋_GB2312" w:eastAsia="仿宋_GB2312" w:cs="仿宋_GB2312"/>
          <w:snapToGrid w:val="0"/>
          <w:color w:val="auto"/>
          <w:kern w:val="0"/>
          <w:szCs w:val="21"/>
          <w:highlight w:val="none"/>
          <w:lang w:val="zh-CN"/>
        </w:rPr>
        <w:t>　　4.</w:t>
      </w:r>
      <w:r>
        <w:rPr>
          <w:rFonts w:hint="eastAsia" w:ascii="仿宋_GB2312" w:hAnsi="仿宋_GB2312" w:eastAsia="仿宋_GB2312" w:cs="仿宋_GB2312"/>
          <w:snapToGrid w:val="0"/>
          <w:color w:val="auto"/>
          <w:kern w:val="0"/>
          <w:szCs w:val="21"/>
          <w:highlight w:val="none"/>
        </w:rPr>
        <w:t>3</w:t>
      </w:r>
      <w:r>
        <w:rPr>
          <w:rFonts w:hint="eastAsia" w:ascii="仿宋_GB2312" w:hAnsi="仿宋_GB2312" w:eastAsia="仿宋_GB2312" w:cs="仿宋_GB2312"/>
          <w:snapToGrid w:val="0"/>
          <w:color w:val="auto"/>
          <w:kern w:val="0"/>
          <w:szCs w:val="21"/>
          <w:highlight w:val="none"/>
          <w:lang w:val="zh-CN"/>
        </w:rPr>
        <w:t>.3.5必要的法律依据；</w:t>
      </w:r>
    </w:p>
    <w:p w14:paraId="61730A9E">
      <w:pPr>
        <w:spacing w:line="360" w:lineRule="auto"/>
        <w:ind w:firstLine="960" w:firstLineChars="400"/>
        <w:rPr>
          <w:rFonts w:hint="eastAsia" w:ascii="仿宋_GB2312" w:hAnsi="仿宋_GB2312" w:eastAsia="仿宋_GB2312" w:cs="仿宋_GB2312"/>
          <w:snapToGrid w:val="0"/>
          <w:color w:val="auto"/>
          <w:kern w:val="0"/>
          <w:szCs w:val="21"/>
          <w:highlight w:val="none"/>
          <w:lang w:val="zh-CN"/>
        </w:rPr>
      </w:pPr>
      <w:r>
        <w:rPr>
          <w:rFonts w:hint="eastAsia" w:ascii="仿宋_GB2312" w:hAnsi="仿宋_GB2312" w:eastAsia="仿宋_GB2312" w:cs="仿宋_GB2312"/>
          <w:snapToGrid w:val="0"/>
          <w:color w:val="auto"/>
          <w:kern w:val="0"/>
          <w:szCs w:val="21"/>
          <w:highlight w:val="none"/>
          <w:lang w:val="zh-CN"/>
        </w:rPr>
        <w:t>4.</w:t>
      </w:r>
      <w:r>
        <w:rPr>
          <w:rFonts w:hint="eastAsia" w:ascii="仿宋_GB2312" w:hAnsi="仿宋_GB2312" w:eastAsia="仿宋_GB2312" w:cs="仿宋_GB2312"/>
          <w:snapToGrid w:val="0"/>
          <w:color w:val="auto"/>
          <w:kern w:val="0"/>
          <w:szCs w:val="21"/>
          <w:highlight w:val="none"/>
        </w:rPr>
        <w:t>3</w:t>
      </w:r>
      <w:r>
        <w:rPr>
          <w:rFonts w:hint="eastAsia" w:ascii="仿宋_GB2312" w:hAnsi="仿宋_GB2312" w:eastAsia="仿宋_GB2312" w:cs="仿宋_GB2312"/>
          <w:snapToGrid w:val="0"/>
          <w:color w:val="auto"/>
          <w:kern w:val="0"/>
          <w:szCs w:val="21"/>
          <w:highlight w:val="none"/>
          <w:lang w:val="zh-CN"/>
        </w:rPr>
        <w:t>.3.6提出质疑的日期。</w:t>
      </w:r>
    </w:p>
    <w:p w14:paraId="156B3827">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D55E118">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质疑函范本及制作说明详见附件2。</w:t>
      </w:r>
    </w:p>
    <w:p w14:paraId="72A94702">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4.3.4对同一采购程序环节的质疑，供应商须在法定质疑期内一次性提出。</w:t>
      </w:r>
    </w:p>
    <w:p w14:paraId="63160A24">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F8FEF01">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4.3.6询问或者质疑事项可能影响采购结果的，采购人应当暂停签订合同，已经签订合同的，应当中止履行合同。</w:t>
      </w:r>
    </w:p>
    <w:p w14:paraId="2FD0D0BB">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4.4供应商投诉</w:t>
      </w:r>
    </w:p>
    <w:p w14:paraId="78E467D4">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D701E4F">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4.4.2供应商投诉的事项不得超出已质疑事项的范围，基于质疑答复内容提出的投诉事项除外。</w:t>
      </w:r>
    </w:p>
    <w:p w14:paraId="0147A4EE">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4.4.3供应商投诉应当有明确的请求和必要的证明材料。</w:t>
      </w:r>
    </w:p>
    <w:p w14:paraId="348EE50D">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4.4.4以联合体形式参加政府采购活动的，其投诉应当由组成联合体的所有供应商共同提出。</w:t>
      </w:r>
    </w:p>
    <w:p w14:paraId="68F5EC1A">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4.4.5项目投诉材料可寄送浙江省政府采购行政裁决服务中心（杭州），地址：杭州市上城区清泰街549号城建综合大楼11楼（快递仅限ems或顺丰），收件人：朱女士、王女士，电话：0571-87227671,0571-87800218。</w:t>
      </w:r>
    </w:p>
    <w:p w14:paraId="3D6F989F">
      <w:pPr>
        <w:pStyle w:val="888"/>
        <w:shd w:val="clear" w:color="auto" w:fill="FFFFFF"/>
        <w:snapToGrid w:val="0"/>
        <w:spacing w:before="0" w:beforeAutospacing="0" w:after="0" w:afterAutospacing="0" w:line="360" w:lineRule="auto"/>
        <w:ind w:firstLine="480" w:firstLineChars="200"/>
        <w:contextualSpacing/>
        <w:rPr>
          <w:rFonts w:hint="eastAsia" w:ascii="仿宋" w:hAnsi="仿宋" w:cs="仿宋"/>
          <w:color w:val="auto"/>
          <w:highlight w:val="none"/>
        </w:rPr>
      </w:pPr>
      <w:r>
        <w:rPr>
          <w:rFonts w:hint="eastAsia" w:ascii="仿宋_GB2312" w:hAnsi="仿宋_GB2312" w:eastAsia="仿宋_GB2312" w:cs="仿宋_GB2312"/>
          <w:color w:val="auto"/>
          <w:kern w:val="2"/>
          <w:highlight w:val="none"/>
        </w:rPr>
        <w:t>投诉书范本及制作说明详见附件3。</w:t>
      </w:r>
    </w:p>
    <w:p w14:paraId="7D3ECE98">
      <w:pPr>
        <w:pStyle w:val="133"/>
        <w:snapToGrid w:val="0"/>
        <w:spacing w:before="0"/>
        <w:ind w:firstLine="360"/>
        <w:rPr>
          <w:rFonts w:hint="eastAsia" w:ascii="仿宋" w:hAnsi="仿宋" w:cs="仿宋"/>
          <w:color w:val="auto"/>
          <w:sz w:val="18"/>
          <w:szCs w:val="18"/>
          <w:highlight w:val="none"/>
        </w:rPr>
      </w:pPr>
    </w:p>
    <w:p w14:paraId="6D889E51">
      <w:pPr>
        <w:adjustRightInd/>
        <w:spacing w:line="360" w:lineRule="auto"/>
        <w:ind w:firstLine="643" w:firstLineChars="200"/>
        <w:jc w:val="center"/>
        <w:outlineLvl w:val="0"/>
        <w:rPr>
          <w:rFonts w:hint="eastAsia" w:ascii="仿宋" w:hAnsi="仿宋" w:cs="仿宋"/>
          <w:b/>
          <w:color w:val="auto"/>
          <w:sz w:val="32"/>
          <w:szCs w:val="20"/>
          <w:highlight w:val="none"/>
        </w:rPr>
      </w:pPr>
      <w:r>
        <w:rPr>
          <w:rFonts w:hint="eastAsia" w:ascii="仿宋" w:hAnsi="仿宋" w:cs="仿宋"/>
          <w:b/>
          <w:color w:val="auto"/>
          <w:sz w:val="32"/>
          <w:szCs w:val="20"/>
          <w:highlight w:val="none"/>
        </w:rPr>
        <w:t xml:space="preserve">      二、招标文件的构成、澄清、修改</w:t>
      </w:r>
    </w:p>
    <w:p w14:paraId="2D2E886E">
      <w:pPr>
        <w:pStyle w:val="34"/>
        <w:spacing w:line="360" w:lineRule="auto"/>
        <w:ind w:firstLine="482" w:firstLineChars="200"/>
        <w:rPr>
          <w:rFonts w:hint="eastAsia" w:ascii="仿宋" w:hAnsi="仿宋" w:cs="仿宋"/>
          <w:b/>
          <w:color w:val="auto"/>
          <w:szCs w:val="24"/>
          <w:highlight w:val="none"/>
        </w:rPr>
      </w:pPr>
      <w:r>
        <w:rPr>
          <w:rFonts w:hint="eastAsia" w:ascii="仿宋" w:hAnsi="仿宋" w:cs="仿宋"/>
          <w:b/>
          <w:color w:val="auto"/>
          <w:szCs w:val="24"/>
          <w:highlight w:val="none"/>
        </w:rPr>
        <w:t>5．招标文件的构成</w:t>
      </w:r>
    </w:p>
    <w:p w14:paraId="6D34B94D">
      <w:pPr>
        <w:spacing w:line="360" w:lineRule="auto"/>
        <w:ind w:firstLine="480" w:firstLineChars="200"/>
        <w:rPr>
          <w:rFonts w:hint="eastAsia" w:ascii="仿宋_GB2312" w:hAnsi="仿宋_GB2312" w:eastAsia="仿宋_GB2312" w:cs="仿宋_GB2312"/>
          <w:snapToGrid w:val="0"/>
          <w:color w:val="auto"/>
          <w:highlight w:val="none"/>
        </w:rPr>
      </w:pPr>
      <w:r>
        <w:rPr>
          <w:rFonts w:hint="eastAsia" w:ascii="仿宋_GB2312" w:hAnsi="仿宋_GB2312" w:eastAsia="仿宋_GB2312" w:cs="仿宋_GB2312"/>
          <w:snapToGrid w:val="0"/>
          <w:color w:val="auto"/>
          <w:highlight w:val="none"/>
        </w:rPr>
        <w:t>5.1 招标文件包括下列文件及附件：</w:t>
      </w:r>
    </w:p>
    <w:p w14:paraId="1AB5BAE8">
      <w:pPr>
        <w:tabs>
          <w:tab w:val="left" w:pos="840"/>
        </w:tabs>
        <w:spacing w:line="360" w:lineRule="auto"/>
        <w:ind w:firstLine="960" w:firstLineChars="400"/>
        <w:rPr>
          <w:rFonts w:hint="eastAsia" w:ascii="仿宋_GB2312" w:hAnsi="仿宋_GB2312" w:eastAsia="仿宋_GB2312" w:cs="仿宋_GB2312"/>
          <w:snapToGrid w:val="0"/>
          <w:color w:val="auto"/>
          <w:highlight w:val="none"/>
        </w:rPr>
      </w:pPr>
      <w:r>
        <w:rPr>
          <w:rFonts w:hint="eastAsia" w:ascii="仿宋_GB2312" w:hAnsi="仿宋_GB2312" w:eastAsia="仿宋_GB2312" w:cs="仿宋_GB2312"/>
          <w:snapToGrid w:val="0"/>
          <w:color w:val="auto"/>
          <w:highlight w:val="none"/>
        </w:rPr>
        <w:t>5.1.1招标公告；</w:t>
      </w:r>
    </w:p>
    <w:p w14:paraId="48D01A8A">
      <w:pPr>
        <w:tabs>
          <w:tab w:val="left" w:pos="840"/>
        </w:tabs>
        <w:spacing w:line="360" w:lineRule="auto"/>
        <w:ind w:firstLine="960" w:firstLineChars="400"/>
        <w:rPr>
          <w:rFonts w:hint="eastAsia" w:ascii="仿宋_GB2312" w:hAnsi="仿宋_GB2312" w:eastAsia="仿宋_GB2312" w:cs="仿宋_GB2312"/>
          <w:snapToGrid w:val="0"/>
          <w:color w:val="auto"/>
          <w:highlight w:val="none"/>
        </w:rPr>
      </w:pPr>
      <w:r>
        <w:rPr>
          <w:rFonts w:hint="eastAsia" w:ascii="仿宋_GB2312" w:hAnsi="仿宋_GB2312" w:eastAsia="仿宋_GB2312" w:cs="仿宋_GB2312"/>
          <w:snapToGrid w:val="0"/>
          <w:color w:val="auto"/>
          <w:highlight w:val="none"/>
        </w:rPr>
        <w:t>5.1.2投标人须知；</w:t>
      </w:r>
    </w:p>
    <w:p w14:paraId="72970C2D">
      <w:pPr>
        <w:tabs>
          <w:tab w:val="left" w:pos="840"/>
        </w:tabs>
        <w:spacing w:line="360" w:lineRule="auto"/>
        <w:ind w:firstLine="960" w:firstLineChars="400"/>
        <w:rPr>
          <w:rFonts w:hint="eastAsia" w:ascii="仿宋_GB2312" w:hAnsi="仿宋_GB2312" w:eastAsia="仿宋_GB2312" w:cs="仿宋_GB2312"/>
          <w:snapToGrid w:val="0"/>
          <w:color w:val="auto"/>
          <w:highlight w:val="none"/>
        </w:rPr>
      </w:pPr>
      <w:r>
        <w:rPr>
          <w:rFonts w:hint="eastAsia" w:ascii="仿宋_GB2312" w:hAnsi="仿宋_GB2312" w:eastAsia="仿宋_GB2312" w:cs="仿宋_GB2312"/>
          <w:snapToGrid w:val="0"/>
          <w:color w:val="auto"/>
          <w:highlight w:val="none"/>
        </w:rPr>
        <w:t>5.1.3采购需求；</w:t>
      </w:r>
    </w:p>
    <w:p w14:paraId="27BB17B4">
      <w:pPr>
        <w:tabs>
          <w:tab w:val="left" w:pos="840"/>
        </w:tabs>
        <w:spacing w:line="360" w:lineRule="auto"/>
        <w:ind w:firstLine="960" w:firstLineChars="400"/>
        <w:rPr>
          <w:rFonts w:hint="eastAsia" w:ascii="仿宋_GB2312" w:hAnsi="仿宋_GB2312" w:eastAsia="仿宋_GB2312" w:cs="仿宋_GB2312"/>
          <w:snapToGrid w:val="0"/>
          <w:color w:val="auto"/>
          <w:highlight w:val="none"/>
        </w:rPr>
      </w:pPr>
      <w:r>
        <w:rPr>
          <w:rFonts w:hint="eastAsia" w:ascii="仿宋_GB2312" w:hAnsi="仿宋_GB2312" w:eastAsia="仿宋_GB2312" w:cs="仿宋_GB2312"/>
          <w:snapToGrid w:val="0"/>
          <w:color w:val="auto"/>
          <w:highlight w:val="none"/>
        </w:rPr>
        <w:t>5.1.4评标办法；</w:t>
      </w:r>
    </w:p>
    <w:p w14:paraId="4F8929E2">
      <w:pPr>
        <w:tabs>
          <w:tab w:val="left" w:pos="840"/>
        </w:tabs>
        <w:spacing w:line="360" w:lineRule="auto"/>
        <w:ind w:firstLine="960" w:firstLineChars="400"/>
        <w:rPr>
          <w:rFonts w:hint="eastAsia" w:ascii="仿宋_GB2312" w:hAnsi="仿宋_GB2312" w:eastAsia="仿宋_GB2312" w:cs="仿宋_GB2312"/>
          <w:snapToGrid w:val="0"/>
          <w:color w:val="auto"/>
          <w:highlight w:val="none"/>
        </w:rPr>
      </w:pPr>
      <w:r>
        <w:rPr>
          <w:rFonts w:hint="eastAsia" w:ascii="仿宋_GB2312" w:hAnsi="仿宋_GB2312" w:eastAsia="仿宋_GB2312" w:cs="仿宋_GB2312"/>
          <w:snapToGrid w:val="0"/>
          <w:color w:val="auto"/>
          <w:highlight w:val="none"/>
        </w:rPr>
        <w:t>5.1.5拟签订的合同文本；</w:t>
      </w:r>
    </w:p>
    <w:p w14:paraId="5C18A69B">
      <w:pPr>
        <w:tabs>
          <w:tab w:val="left" w:pos="840"/>
        </w:tabs>
        <w:spacing w:line="360" w:lineRule="auto"/>
        <w:ind w:firstLine="960" w:firstLineChars="400"/>
        <w:rPr>
          <w:rFonts w:hint="eastAsia" w:ascii="仿宋_GB2312" w:hAnsi="仿宋_GB2312" w:eastAsia="仿宋_GB2312" w:cs="仿宋_GB2312"/>
          <w:snapToGrid w:val="0"/>
          <w:color w:val="auto"/>
          <w:highlight w:val="none"/>
        </w:rPr>
      </w:pPr>
      <w:r>
        <w:rPr>
          <w:rFonts w:hint="eastAsia" w:ascii="仿宋_GB2312" w:hAnsi="仿宋_GB2312" w:eastAsia="仿宋_GB2312" w:cs="仿宋_GB2312"/>
          <w:snapToGrid w:val="0"/>
          <w:color w:val="auto"/>
          <w:szCs w:val="21"/>
          <w:highlight w:val="none"/>
        </w:rPr>
        <w:t>5.1.6</w:t>
      </w:r>
      <w:r>
        <w:rPr>
          <w:rFonts w:hint="eastAsia" w:ascii="仿宋_GB2312" w:hAnsi="仿宋_GB2312" w:eastAsia="仿宋_GB2312" w:cs="仿宋_GB2312"/>
          <w:snapToGrid w:val="0"/>
          <w:color w:val="auto"/>
          <w:highlight w:val="none"/>
        </w:rPr>
        <w:t>应提交的有关格式范例。</w:t>
      </w:r>
    </w:p>
    <w:p w14:paraId="38BC6A8A">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5.2与本项目有关的</w:t>
      </w:r>
      <w:r>
        <w:rPr>
          <w:rFonts w:hint="eastAsia" w:ascii="仿宋_GB2312" w:hAnsi="仿宋_GB2312" w:eastAsia="仿宋_GB2312" w:cs="仿宋_GB2312"/>
          <w:bCs/>
          <w:color w:val="auto"/>
          <w:highlight w:val="none"/>
        </w:rPr>
        <w:t>澄清或者修改的内容为招标文件的组成部分</w:t>
      </w:r>
      <w:r>
        <w:rPr>
          <w:rFonts w:hint="eastAsia" w:ascii="仿宋_GB2312" w:hAnsi="仿宋_GB2312" w:eastAsia="仿宋_GB2312" w:cs="仿宋_GB2312"/>
          <w:color w:val="auto"/>
          <w:highlight w:val="none"/>
        </w:rPr>
        <w:t>。</w:t>
      </w:r>
    </w:p>
    <w:p w14:paraId="2F500EFE">
      <w:pPr>
        <w:pStyle w:val="34"/>
        <w:spacing w:line="360" w:lineRule="auto"/>
        <w:ind w:firstLine="482" w:firstLineChars="200"/>
        <w:rPr>
          <w:rFonts w:hint="eastAsia" w:ascii="仿宋" w:hAnsi="仿宋" w:cs="仿宋"/>
          <w:b/>
          <w:color w:val="auto"/>
          <w:szCs w:val="24"/>
          <w:highlight w:val="none"/>
        </w:rPr>
      </w:pPr>
      <w:r>
        <w:rPr>
          <w:rFonts w:hint="eastAsia" w:ascii="仿宋" w:hAnsi="仿宋" w:cs="仿宋"/>
          <w:b/>
          <w:color w:val="auto"/>
          <w:szCs w:val="24"/>
          <w:highlight w:val="none"/>
        </w:rPr>
        <w:t>6. 招标文件的澄清、修改</w:t>
      </w:r>
    </w:p>
    <w:p w14:paraId="2D5BFE77">
      <w:pPr>
        <w:snapToGrid w:val="0"/>
        <w:spacing w:line="360" w:lineRule="auto"/>
        <w:ind w:firstLine="480" w:firstLineChars="200"/>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rPr>
        <w:t>6.1已获取招标文件的潜在投标人，若有问题需要澄清，应于投标截止时间前，以书面形式向采购代理机构提出。</w:t>
      </w:r>
    </w:p>
    <w:p w14:paraId="3D3DED0D">
      <w:pPr>
        <w:pStyle w:val="25"/>
        <w:ind w:firstLine="480" w:firstLineChars="200"/>
        <w:rPr>
          <w:rFonts w:hint="eastAsia" w:ascii="仿宋" w:hAnsi="仿宋" w:cs="仿宋"/>
          <w:color w:val="auto"/>
          <w:sz w:val="18"/>
          <w:szCs w:val="18"/>
          <w:highlight w:val="none"/>
          <w:lang w:val="en-US"/>
        </w:rPr>
      </w:pPr>
      <w:r>
        <w:rPr>
          <w:rFonts w:hint="eastAsia" w:ascii="仿宋_GB2312" w:hAnsi="仿宋_GB2312" w:eastAsia="仿宋_GB2312" w:cs="仿宋_GB2312"/>
          <w:color w:val="auto"/>
          <w:szCs w:val="20"/>
          <w:highlight w:val="none"/>
          <w:lang w:val="en-US"/>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仿宋" w:hAnsi="仿宋" w:cs="仿宋"/>
          <w:color w:val="auto"/>
          <w:szCs w:val="24"/>
          <w:highlight w:val="none"/>
          <w:lang w:val="en-US"/>
        </w:rPr>
        <w:t xml:space="preserve">    </w:t>
      </w:r>
    </w:p>
    <w:p w14:paraId="0BBBF30D">
      <w:pPr>
        <w:adjustRightInd/>
        <w:spacing w:line="360" w:lineRule="auto"/>
        <w:ind w:firstLine="602" w:firstLineChars="200"/>
        <w:jc w:val="center"/>
        <w:outlineLvl w:val="0"/>
        <w:rPr>
          <w:rFonts w:hint="eastAsia" w:ascii="仿宋" w:hAnsi="仿宋" w:cs="仿宋"/>
          <w:b/>
          <w:color w:val="auto"/>
          <w:sz w:val="30"/>
          <w:szCs w:val="20"/>
          <w:highlight w:val="none"/>
        </w:rPr>
      </w:pPr>
      <w:r>
        <w:rPr>
          <w:rFonts w:hint="eastAsia" w:ascii="仿宋" w:hAnsi="仿宋" w:cs="仿宋"/>
          <w:b/>
          <w:color w:val="auto"/>
          <w:sz w:val="30"/>
          <w:szCs w:val="20"/>
          <w:highlight w:val="none"/>
        </w:rPr>
        <w:t>三、投标</w:t>
      </w:r>
    </w:p>
    <w:p w14:paraId="4467FFB5">
      <w:pPr>
        <w:pStyle w:val="34"/>
        <w:spacing w:line="360" w:lineRule="auto"/>
        <w:ind w:firstLine="482" w:firstLineChars="200"/>
        <w:rPr>
          <w:rFonts w:hint="eastAsia" w:ascii="仿宋" w:hAnsi="仿宋" w:cs="仿宋"/>
          <w:b/>
          <w:color w:val="auto"/>
          <w:szCs w:val="24"/>
          <w:highlight w:val="none"/>
        </w:rPr>
      </w:pPr>
      <w:r>
        <w:rPr>
          <w:rFonts w:hint="eastAsia" w:ascii="仿宋" w:hAnsi="仿宋" w:cs="仿宋"/>
          <w:b/>
          <w:color w:val="auto"/>
          <w:szCs w:val="24"/>
          <w:highlight w:val="none"/>
        </w:rPr>
        <w:t>7. 招标文件的获取</w:t>
      </w:r>
    </w:p>
    <w:p w14:paraId="64C98F41">
      <w:pPr>
        <w:spacing w:line="360" w:lineRule="auto"/>
        <w:ind w:firstLine="480" w:firstLineChars="200"/>
        <w:rPr>
          <w:rFonts w:hint="eastAsia" w:ascii="仿宋" w:hAnsi="仿宋" w:cs="仿宋"/>
          <w:snapToGrid w:val="0"/>
          <w:color w:val="auto"/>
          <w:kern w:val="28"/>
          <w:highlight w:val="none"/>
        </w:rPr>
      </w:pPr>
      <w:r>
        <w:rPr>
          <w:rFonts w:hint="eastAsia" w:ascii="仿宋" w:hAnsi="仿宋" w:cs="仿宋"/>
          <w:snapToGrid w:val="0"/>
          <w:color w:val="auto"/>
          <w:kern w:val="28"/>
          <w:highlight w:val="none"/>
        </w:rPr>
        <w:t>详见招标公告中获取招标文件的时间期限、地点、方式及招标文件售价。</w:t>
      </w:r>
    </w:p>
    <w:p w14:paraId="23899BEA">
      <w:pPr>
        <w:pStyle w:val="34"/>
        <w:spacing w:line="360" w:lineRule="auto"/>
        <w:ind w:firstLine="482" w:firstLineChars="200"/>
        <w:rPr>
          <w:rFonts w:hint="eastAsia" w:ascii="仿宋" w:hAnsi="仿宋" w:cs="仿宋"/>
          <w:b/>
          <w:color w:val="auto"/>
          <w:szCs w:val="24"/>
          <w:highlight w:val="none"/>
        </w:rPr>
      </w:pPr>
      <w:r>
        <w:rPr>
          <w:rFonts w:hint="eastAsia" w:ascii="仿宋" w:hAnsi="仿宋" w:cs="仿宋"/>
          <w:b/>
          <w:color w:val="auto"/>
          <w:szCs w:val="24"/>
          <w:highlight w:val="none"/>
        </w:rPr>
        <w:t>8.开标前答疑会或现场考察</w:t>
      </w:r>
    </w:p>
    <w:p w14:paraId="712F17AD">
      <w:pPr>
        <w:pStyle w:val="34"/>
        <w:spacing w:line="360" w:lineRule="auto"/>
        <w:ind w:firstLine="480" w:firstLineChars="200"/>
        <w:rPr>
          <w:rFonts w:hint="eastAsia" w:ascii="仿宋" w:hAnsi="仿宋" w:cs="仿宋"/>
          <w:color w:val="auto"/>
          <w:szCs w:val="24"/>
          <w:highlight w:val="none"/>
        </w:rPr>
      </w:pPr>
      <w:r>
        <w:rPr>
          <w:rFonts w:hint="eastAsia" w:ascii="仿宋" w:hAnsi="仿宋" w:cs="仿宋"/>
          <w:color w:val="auto"/>
          <w:szCs w:val="24"/>
          <w:highlight w:val="none"/>
        </w:rPr>
        <w:t>采购人组织潜在投标人现场考察或者召开开标前答疑会的，潜在投标人按第二部分投标人须知前附表的规定参加现场考察或者开标前答疑会。</w:t>
      </w:r>
    </w:p>
    <w:p w14:paraId="36AC467A">
      <w:pPr>
        <w:pStyle w:val="34"/>
        <w:spacing w:line="360" w:lineRule="auto"/>
        <w:ind w:firstLine="482" w:firstLineChars="200"/>
        <w:rPr>
          <w:rFonts w:hint="eastAsia" w:ascii="仿宋" w:hAnsi="仿宋" w:cs="仿宋"/>
          <w:b/>
          <w:color w:val="auto"/>
          <w:szCs w:val="24"/>
          <w:highlight w:val="none"/>
        </w:rPr>
      </w:pPr>
      <w:r>
        <w:rPr>
          <w:rFonts w:hint="eastAsia" w:ascii="仿宋" w:hAnsi="仿宋" w:cs="仿宋"/>
          <w:b/>
          <w:color w:val="auto"/>
          <w:kern w:val="28"/>
          <w:szCs w:val="24"/>
          <w:highlight w:val="none"/>
        </w:rPr>
        <w:t>9.投标保证金</w:t>
      </w:r>
    </w:p>
    <w:p w14:paraId="0A188F44">
      <w:pPr>
        <w:pStyle w:val="17"/>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本项目不需缴纳投标保证金。</w:t>
      </w:r>
    </w:p>
    <w:p w14:paraId="6B3CC81E">
      <w:pPr>
        <w:pStyle w:val="34"/>
        <w:spacing w:line="360" w:lineRule="auto"/>
        <w:ind w:firstLine="482" w:firstLineChars="200"/>
        <w:rPr>
          <w:rFonts w:hint="eastAsia" w:ascii="仿宋" w:hAnsi="仿宋" w:cs="仿宋"/>
          <w:b/>
          <w:color w:val="auto"/>
          <w:szCs w:val="24"/>
          <w:highlight w:val="none"/>
        </w:rPr>
      </w:pPr>
      <w:r>
        <w:rPr>
          <w:rFonts w:hint="eastAsia" w:ascii="仿宋" w:hAnsi="仿宋" w:cs="仿宋"/>
          <w:b/>
          <w:color w:val="auto"/>
          <w:szCs w:val="24"/>
          <w:highlight w:val="none"/>
        </w:rPr>
        <w:t>10. 投标文件的语言</w:t>
      </w:r>
    </w:p>
    <w:p w14:paraId="15D60B61">
      <w:pPr>
        <w:autoSpaceDE w:val="0"/>
        <w:autoSpaceDN w:val="0"/>
        <w:spacing w:line="360" w:lineRule="auto"/>
        <w:ind w:firstLine="480" w:firstLineChars="200"/>
        <w:rPr>
          <w:rFonts w:hint="eastAsia" w:ascii="仿宋" w:hAnsi="仿宋" w:cs="仿宋"/>
          <w:color w:val="auto"/>
          <w:highlight w:val="none"/>
          <w:lang w:val="zh-CN"/>
        </w:rPr>
      </w:pPr>
      <w:r>
        <w:rPr>
          <w:rFonts w:hint="eastAsia" w:ascii="仿宋" w:hAnsi="仿宋" w:cs="仿宋"/>
          <w:color w:val="auto"/>
          <w:highlight w:val="none"/>
        </w:rPr>
        <w:t>投标文件及投标人与采购有关的来往通知、函件和文件均应使用中文。</w:t>
      </w:r>
    </w:p>
    <w:p w14:paraId="4F7F520B">
      <w:pPr>
        <w:pStyle w:val="34"/>
        <w:spacing w:line="360" w:lineRule="auto"/>
        <w:ind w:firstLine="482" w:firstLineChars="200"/>
        <w:rPr>
          <w:rFonts w:hint="eastAsia" w:ascii="仿宋" w:hAnsi="仿宋" w:cs="仿宋"/>
          <w:b/>
          <w:color w:val="auto"/>
          <w:szCs w:val="24"/>
          <w:highlight w:val="none"/>
        </w:rPr>
      </w:pPr>
      <w:r>
        <w:rPr>
          <w:rFonts w:hint="eastAsia" w:ascii="仿宋" w:hAnsi="仿宋" w:cs="仿宋"/>
          <w:b/>
          <w:color w:val="auto"/>
          <w:szCs w:val="24"/>
          <w:highlight w:val="none"/>
        </w:rPr>
        <w:t>11. 投标文件的组成</w:t>
      </w:r>
    </w:p>
    <w:p w14:paraId="627B469D">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11.1</w:t>
      </w:r>
      <w:r>
        <w:rPr>
          <w:rFonts w:hint="eastAsia" w:ascii="仿宋_GB2312" w:hAnsi="仿宋_GB2312" w:eastAsia="仿宋_GB2312" w:cs="仿宋_GB2312"/>
          <w:b/>
          <w:color w:val="auto"/>
          <w:highlight w:val="none"/>
        </w:rPr>
        <w:t>资格文件</w:t>
      </w:r>
      <w:r>
        <w:rPr>
          <w:rFonts w:hint="eastAsia" w:ascii="仿宋_GB2312" w:hAnsi="仿宋_GB2312" w:eastAsia="仿宋_GB2312" w:cs="仿宋_GB2312"/>
          <w:color w:val="auto"/>
          <w:highlight w:val="none"/>
        </w:rPr>
        <w:t>：</w:t>
      </w:r>
    </w:p>
    <w:p w14:paraId="2E50CDFA">
      <w:pPr>
        <w:snapToGrid w:val="0"/>
        <w:spacing w:line="360" w:lineRule="auto"/>
        <w:ind w:firstLine="960" w:firstLineChars="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11.1.1符合参加政府采购活动应当具备的一般条件的承诺函；</w:t>
      </w:r>
    </w:p>
    <w:p w14:paraId="6CFABA99">
      <w:pPr>
        <w:snapToGrid w:val="0"/>
        <w:spacing w:line="360" w:lineRule="auto"/>
        <w:ind w:firstLine="960" w:firstLineChars="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11.1.2联合协议</w:t>
      </w:r>
      <w:r>
        <w:rPr>
          <w:rFonts w:hint="eastAsia" w:ascii="仿宋_GB2312" w:hAnsi="仿宋_GB2312" w:eastAsia="仿宋_GB2312" w:cs="仿宋_GB2312"/>
          <w:bCs/>
          <w:color w:val="auto"/>
          <w:highlight w:val="none"/>
        </w:rPr>
        <w:t>（如果有）</w:t>
      </w:r>
      <w:r>
        <w:rPr>
          <w:rFonts w:hint="eastAsia" w:ascii="仿宋_GB2312" w:hAnsi="仿宋_GB2312" w:eastAsia="仿宋_GB2312" w:cs="仿宋_GB2312"/>
          <w:color w:val="auto"/>
          <w:highlight w:val="none"/>
        </w:rPr>
        <w:t>；</w:t>
      </w:r>
    </w:p>
    <w:p w14:paraId="69D5640F">
      <w:pPr>
        <w:snapToGrid w:val="0"/>
        <w:spacing w:line="360" w:lineRule="auto"/>
        <w:ind w:firstLine="960" w:firstLineChars="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11.1.3落实政府采购政策需满足的资格要求</w:t>
      </w:r>
      <w:r>
        <w:rPr>
          <w:rFonts w:hint="eastAsia" w:ascii="仿宋_GB2312" w:hAnsi="仿宋_GB2312" w:eastAsia="仿宋_GB2312" w:cs="仿宋_GB2312"/>
          <w:bCs/>
          <w:color w:val="auto"/>
          <w:highlight w:val="none"/>
        </w:rPr>
        <w:t>（如果有）</w:t>
      </w:r>
      <w:r>
        <w:rPr>
          <w:rFonts w:hint="eastAsia" w:ascii="仿宋_GB2312" w:hAnsi="仿宋_GB2312" w:eastAsia="仿宋_GB2312" w:cs="仿宋_GB2312"/>
          <w:color w:val="auto"/>
          <w:highlight w:val="none"/>
        </w:rPr>
        <w:t>；</w:t>
      </w:r>
    </w:p>
    <w:p w14:paraId="3A6C839E">
      <w:pPr>
        <w:snapToGrid w:val="0"/>
        <w:spacing w:line="360" w:lineRule="auto"/>
        <w:ind w:firstLine="960" w:firstLineChars="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11.1.4本项目的特定资格要求</w:t>
      </w:r>
      <w:r>
        <w:rPr>
          <w:rFonts w:hint="eastAsia" w:ascii="仿宋_GB2312" w:hAnsi="仿宋_GB2312" w:eastAsia="仿宋_GB2312" w:cs="仿宋_GB2312"/>
          <w:bCs/>
          <w:color w:val="auto"/>
          <w:highlight w:val="none"/>
        </w:rPr>
        <w:t>（如果有）</w:t>
      </w:r>
      <w:r>
        <w:rPr>
          <w:rFonts w:hint="eastAsia" w:ascii="仿宋_GB2312" w:hAnsi="仿宋_GB2312" w:eastAsia="仿宋_GB2312" w:cs="仿宋_GB2312"/>
          <w:color w:val="auto"/>
          <w:highlight w:val="none"/>
        </w:rPr>
        <w:t>。</w:t>
      </w:r>
    </w:p>
    <w:p w14:paraId="70021B03">
      <w:pPr>
        <w:snapToGrid w:val="0"/>
        <w:spacing w:line="360" w:lineRule="auto"/>
        <w:ind w:firstLine="480" w:firstLineChars="200"/>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11.</w:t>
      </w: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zh-CN"/>
        </w:rPr>
        <w:t xml:space="preserve"> </w:t>
      </w:r>
      <w:r>
        <w:rPr>
          <w:rFonts w:hint="eastAsia" w:ascii="仿宋_GB2312" w:hAnsi="仿宋_GB2312" w:eastAsia="仿宋_GB2312" w:cs="仿宋_GB2312"/>
          <w:b/>
          <w:bCs/>
          <w:color w:val="auto"/>
          <w:highlight w:val="none"/>
        </w:rPr>
        <w:t>商务技术</w:t>
      </w:r>
      <w:r>
        <w:rPr>
          <w:rFonts w:hint="eastAsia" w:ascii="仿宋_GB2312" w:hAnsi="仿宋_GB2312" w:eastAsia="仿宋_GB2312" w:cs="仿宋_GB2312"/>
          <w:b/>
          <w:bCs/>
          <w:color w:val="auto"/>
          <w:highlight w:val="none"/>
          <w:lang w:val="zh-CN"/>
        </w:rPr>
        <w:t>文件：</w:t>
      </w:r>
    </w:p>
    <w:p w14:paraId="1BD34165">
      <w:pPr>
        <w:snapToGrid w:val="0"/>
        <w:spacing w:line="360" w:lineRule="auto"/>
        <w:ind w:firstLine="960" w:firstLineChars="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11.2.1投标函；</w:t>
      </w:r>
      <w:r>
        <w:rPr>
          <w:rFonts w:hint="eastAsia" w:ascii="仿宋_GB2312" w:hAnsi="仿宋_GB2312" w:eastAsia="仿宋_GB2312" w:cs="仿宋_GB2312"/>
          <w:color w:val="auto"/>
          <w:highlight w:val="none"/>
          <w:lang w:val="zh-CN"/>
        </w:rPr>
        <w:t xml:space="preserve"> </w:t>
      </w:r>
    </w:p>
    <w:p w14:paraId="12808A8C">
      <w:pPr>
        <w:snapToGrid w:val="0"/>
        <w:spacing w:line="360" w:lineRule="auto"/>
        <w:ind w:firstLine="960" w:firstLineChars="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11.2.2授权委托书或法定代表人（单位负责人、自然人本人）身份证明；</w:t>
      </w:r>
    </w:p>
    <w:p w14:paraId="684FE1F1">
      <w:pPr>
        <w:snapToGrid w:val="0"/>
        <w:spacing w:line="360" w:lineRule="auto"/>
        <w:ind w:firstLine="960" w:firstLineChars="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11.2.3分包意向协议</w:t>
      </w:r>
      <w:r>
        <w:rPr>
          <w:rFonts w:hint="eastAsia" w:ascii="仿宋_GB2312" w:hAnsi="仿宋_GB2312" w:eastAsia="仿宋_GB2312" w:cs="仿宋_GB2312"/>
          <w:bCs/>
          <w:color w:val="auto"/>
          <w:highlight w:val="none"/>
        </w:rPr>
        <w:t>（如果有）</w:t>
      </w:r>
      <w:r>
        <w:rPr>
          <w:rFonts w:hint="eastAsia" w:ascii="仿宋_GB2312" w:hAnsi="仿宋_GB2312" w:eastAsia="仿宋_GB2312" w:cs="仿宋_GB2312"/>
          <w:color w:val="auto"/>
          <w:highlight w:val="none"/>
        </w:rPr>
        <w:t>；</w:t>
      </w:r>
    </w:p>
    <w:p w14:paraId="5B9BC685">
      <w:pPr>
        <w:snapToGrid w:val="0"/>
        <w:spacing w:line="360" w:lineRule="auto"/>
        <w:ind w:firstLine="960" w:firstLineChars="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11.2.4符合性审查资料；</w:t>
      </w:r>
    </w:p>
    <w:p w14:paraId="021BD2B5">
      <w:pPr>
        <w:snapToGrid w:val="0"/>
        <w:spacing w:line="360" w:lineRule="auto"/>
        <w:ind w:firstLine="960" w:firstLineChars="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11.2.5评标标准相应的商务技术资料；</w:t>
      </w:r>
    </w:p>
    <w:p w14:paraId="006F1CEF">
      <w:pPr>
        <w:snapToGrid w:val="0"/>
        <w:spacing w:line="360" w:lineRule="auto"/>
        <w:ind w:firstLine="960" w:firstLineChars="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11.2.6投标标的清单；</w:t>
      </w:r>
    </w:p>
    <w:p w14:paraId="41B5B2A0">
      <w:pPr>
        <w:snapToGrid w:val="0"/>
        <w:spacing w:line="360" w:lineRule="auto"/>
        <w:ind w:firstLine="960" w:firstLineChars="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11.2.7商务技术偏离表；</w:t>
      </w:r>
    </w:p>
    <w:p w14:paraId="72927EA1">
      <w:pPr>
        <w:snapToGrid w:val="0"/>
        <w:spacing w:line="360" w:lineRule="auto"/>
        <w:ind w:firstLine="960" w:firstLineChars="400"/>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11.</w:t>
      </w: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8</w:t>
      </w:r>
      <w:r>
        <w:rPr>
          <w:rFonts w:hint="eastAsia" w:ascii="仿宋_GB2312" w:hAnsi="仿宋_GB2312" w:eastAsia="仿宋_GB2312" w:cs="仿宋_GB2312"/>
          <w:color w:val="auto"/>
          <w:highlight w:val="none"/>
          <w:lang w:val="zh-CN"/>
        </w:rPr>
        <w:t>政府采购供应商廉洁自律承诺书。</w:t>
      </w:r>
    </w:p>
    <w:p w14:paraId="7910E3C4">
      <w:pPr>
        <w:snapToGrid w:val="0"/>
        <w:spacing w:line="360" w:lineRule="auto"/>
        <w:ind w:firstLine="480" w:firstLineChars="200"/>
        <w:rPr>
          <w:rFonts w:hint="eastAsia" w:ascii="仿宋_GB2312" w:hAnsi="仿宋_GB2312" w:eastAsia="仿宋_GB2312" w:cs="仿宋_GB2312"/>
          <w:color w:val="auto"/>
          <w:highlight w:val="none"/>
          <w:u w:val="single"/>
          <w:lang w:val="zh-CN"/>
        </w:rPr>
      </w:pPr>
      <w:r>
        <w:rPr>
          <w:rFonts w:hint="eastAsia" w:ascii="仿宋_GB2312" w:hAnsi="仿宋_GB2312" w:eastAsia="仿宋_GB2312" w:cs="仿宋_GB2312"/>
          <w:color w:val="auto"/>
          <w:kern w:val="0"/>
          <w:highlight w:val="none"/>
          <w:lang w:val="zh-CN"/>
        </w:rPr>
        <w:t>11.</w:t>
      </w:r>
      <w:r>
        <w:rPr>
          <w:rFonts w:hint="eastAsia" w:ascii="仿宋_GB2312" w:hAnsi="仿宋_GB2312" w:eastAsia="仿宋_GB2312" w:cs="仿宋_GB2312"/>
          <w:color w:val="auto"/>
          <w:kern w:val="0"/>
          <w:highlight w:val="none"/>
        </w:rPr>
        <w:t>3</w:t>
      </w:r>
      <w:r>
        <w:rPr>
          <w:rFonts w:hint="eastAsia" w:ascii="仿宋_GB2312" w:hAnsi="仿宋_GB2312" w:eastAsia="仿宋_GB2312" w:cs="仿宋_GB2312"/>
          <w:b/>
          <w:color w:val="auto"/>
          <w:highlight w:val="none"/>
        </w:rPr>
        <w:t>报价文件：</w:t>
      </w:r>
      <w:r>
        <w:rPr>
          <w:rFonts w:hint="eastAsia" w:ascii="仿宋_GB2312" w:hAnsi="仿宋_GB2312" w:eastAsia="仿宋_GB2312" w:cs="仿宋_GB2312"/>
          <w:color w:val="auto"/>
          <w:highlight w:val="none"/>
        </w:rPr>
        <w:t xml:space="preserve"> </w:t>
      </w:r>
    </w:p>
    <w:p w14:paraId="17FECB05">
      <w:pPr>
        <w:snapToGrid w:val="0"/>
        <w:spacing w:line="360" w:lineRule="auto"/>
        <w:ind w:firstLine="960" w:firstLineChars="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11.3.1开标一览表（报价表）；</w:t>
      </w:r>
    </w:p>
    <w:p w14:paraId="24BF3930">
      <w:pPr>
        <w:snapToGrid w:val="0"/>
        <w:spacing w:line="360" w:lineRule="auto"/>
        <w:ind w:firstLine="960" w:firstLineChars="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11.3.2中小企业声明函</w:t>
      </w:r>
      <w:r>
        <w:rPr>
          <w:rFonts w:hint="eastAsia" w:ascii="仿宋_GB2312" w:hAnsi="仿宋_GB2312" w:eastAsia="仿宋_GB2312" w:cs="仿宋_GB2312"/>
          <w:bCs/>
          <w:color w:val="auto"/>
          <w:highlight w:val="none"/>
        </w:rPr>
        <w:t>（如果有）</w:t>
      </w:r>
      <w:r>
        <w:rPr>
          <w:rFonts w:hint="eastAsia" w:ascii="仿宋_GB2312" w:hAnsi="仿宋_GB2312" w:eastAsia="仿宋_GB2312" w:cs="仿宋_GB2312"/>
          <w:b/>
          <w:color w:val="auto"/>
          <w:highlight w:val="none"/>
        </w:rPr>
        <w:t>。</w:t>
      </w:r>
    </w:p>
    <w:p w14:paraId="5701AD05">
      <w:pPr>
        <w:spacing w:line="360" w:lineRule="auto"/>
        <w:ind w:firstLine="482" w:firstLineChars="200"/>
        <w:rPr>
          <w:rFonts w:hint="eastAsia" w:ascii="仿宋" w:hAnsi="仿宋" w:cs="仿宋"/>
          <w:b/>
          <w:color w:val="auto"/>
          <w:highlight w:val="none"/>
        </w:rPr>
      </w:pPr>
      <w:r>
        <w:rPr>
          <w:rFonts w:hint="eastAsia" w:ascii="仿宋" w:hAnsi="仿宋" w:cs="仿宋"/>
          <w:b/>
          <w:color w:val="auto"/>
          <w:highlight w:val="none"/>
        </w:rPr>
        <w:t>投标文件含有采购人不能接受的附加条件的，投标无效；</w:t>
      </w:r>
    </w:p>
    <w:p w14:paraId="765776B3">
      <w:pPr>
        <w:spacing w:line="360" w:lineRule="auto"/>
        <w:ind w:firstLine="482" w:firstLineChars="200"/>
        <w:rPr>
          <w:rFonts w:hint="eastAsia" w:ascii="仿宋" w:hAnsi="仿宋" w:cs="仿宋"/>
          <w:b/>
          <w:color w:val="auto"/>
          <w:szCs w:val="21"/>
          <w:highlight w:val="none"/>
        </w:rPr>
      </w:pPr>
      <w:r>
        <w:rPr>
          <w:rFonts w:hint="eastAsia" w:ascii="仿宋" w:hAnsi="仿宋" w:cs="仿宋"/>
          <w:b/>
          <w:color w:val="auto"/>
          <w:highlight w:val="none"/>
        </w:rPr>
        <w:t>投标人提供虚假材料投标的，投标无效。</w:t>
      </w:r>
    </w:p>
    <w:p w14:paraId="1471A1B9">
      <w:pPr>
        <w:pStyle w:val="133"/>
        <w:snapToGrid w:val="0"/>
        <w:spacing w:before="0"/>
        <w:ind w:firstLine="482"/>
        <w:outlineLvl w:val="0"/>
        <w:rPr>
          <w:rFonts w:hint="eastAsia" w:ascii="仿宋" w:hAnsi="仿宋" w:cs="仿宋"/>
          <w:b/>
          <w:color w:val="auto"/>
          <w:szCs w:val="24"/>
          <w:highlight w:val="none"/>
        </w:rPr>
      </w:pPr>
      <w:r>
        <w:rPr>
          <w:rFonts w:hint="eastAsia" w:ascii="仿宋" w:hAnsi="仿宋" w:cs="仿宋"/>
          <w:b/>
          <w:color w:val="auto"/>
          <w:szCs w:val="24"/>
          <w:highlight w:val="none"/>
        </w:rPr>
        <w:t>12</w:t>
      </w:r>
      <w:r>
        <w:rPr>
          <w:rFonts w:hint="eastAsia" w:ascii="仿宋" w:hAnsi="仿宋" w:cs="仿宋"/>
          <w:b/>
          <w:color w:val="auto"/>
          <w:kern w:val="0"/>
          <w:szCs w:val="24"/>
          <w:highlight w:val="none"/>
          <w:lang w:val="zh-CN"/>
        </w:rPr>
        <w:t xml:space="preserve">. </w:t>
      </w:r>
      <w:r>
        <w:rPr>
          <w:rFonts w:hint="eastAsia" w:ascii="仿宋" w:hAnsi="仿宋" w:cs="仿宋"/>
          <w:b/>
          <w:color w:val="auto"/>
          <w:szCs w:val="24"/>
          <w:highlight w:val="none"/>
        </w:rPr>
        <w:t>投标文件的编制</w:t>
      </w:r>
    </w:p>
    <w:p w14:paraId="6655F0E0">
      <w:pPr>
        <w:spacing w:line="360" w:lineRule="auto"/>
        <w:ind w:firstLine="480" w:firstLineChars="200"/>
        <w:rPr>
          <w:rFonts w:hint="eastAsia" w:ascii="仿宋" w:hAnsi="仿宋" w:cs="仿宋"/>
          <w:b/>
          <w:color w:val="auto"/>
          <w:highlight w:val="none"/>
        </w:rPr>
      </w:pPr>
      <w:r>
        <w:rPr>
          <w:rFonts w:hint="eastAsia" w:ascii="仿宋" w:hAnsi="仿宋" w:cs="仿宋"/>
          <w:color w:val="auto"/>
          <w:kern w:val="0"/>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06A3D6">
      <w:pPr>
        <w:spacing w:line="360" w:lineRule="auto"/>
        <w:ind w:firstLine="480" w:firstLineChars="200"/>
        <w:rPr>
          <w:rFonts w:hint="eastAsia" w:ascii="仿宋" w:hAnsi="仿宋" w:cs="仿宋"/>
          <w:color w:val="auto"/>
          <w:kern w:val="0"/>
          <w:highlight w:val="none"/>
          <w:lang w:val="zh-CN"/>
        </w:rPr>
      </w:pPr>
      <w:r>
        <w:rPr>
          <w:rFonts w:hint="eastAsia" w:ascii="仿宋" w:hAnsi="仿宋" w:cs="仿宋"/>
          <w:color w:val="auto"/>
          <w:kern w:val="0"/>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C7EFC8">
      <w:pPr>
        <w:spacing w:line="360" w:lineRule="auto"/>
        <w:ind w:firstLine="480" w:firstLineChars="200"/>
        <w:rPr>
          <w:rFonts w:hint="eastAsia" w:ascii="仿宋" w:hAnsi="仿宋" w:cs="仿宋"/>
          <w:color w:val="auto"/>
          <w:kern w:val="0"/>
          <w:highlight w:val="none"/>
          <w:lang w:val="zh-CN"/>
        </w:rPr>
      </w:pPr>
      <w:r>
        <w:rPr>
          <w:rFonts w:hint="eastAsia" w:ascii="仿宋" w:hAnsi="仿宋" w:cs="仿宋"/>
          <w:color w:val="auto"/>
          <w:kern w:val="0"/>
          <w:highlight w:val="none"/>
          <w:lang w:val="zh-CN"/>
        </w:rPr>
        <w:t>12.3使用“政采云电子交易客户端”需要提前申领CA数字证书，申领流程请自行前往“浙江政府采购网-下载专区-电子交易客户端-CA驱动和申领流程”进行查阅。</w:t>
      </w:r>
    </w:p>
    <w:p w14:paraId="0046977D">
      <w:pPr>
        <w:snapToGrid w:val="0"/>
        <w:spacing w:line="360" w:lineRule="auto"/>
        <w:ind w:firstLine="482" w:firstLineChars="200"/>
        <w:rPr>
          <w:rFonts w:hint="eastAsia" w:ascii="仿宋" w:hAnsi="仿宋" w:cs="仿宋"/>
          <w:b/>
          <w:color w:val="auto"/>
          <w:highlight w:val="none"/>
        </w:rPr>
      </w:pPr>
      <w:r>
        <w:rPr>
          <w:rFonts w:hint="eastAsia" w:ascii="仿宋" w:hAnsi="仿宋" w:cs="仿宋"/>
          <w:b/>
          <w:color w:val="auto"/>
          <w:highlight w:val="none"/>
        </w:rPr>
        <w:t>13.投标文件的签署、盖章</w:t>
      </w:r>
    </w:p>
    <w:p w14:paraId="2F2E42FE">
      <w:pPr>
        <w:pStyle w:val="133"/>
        <w:snapToGrid w:val="0"/>
        <w:spacing w:before="0"/>
        <w:ind w:firstLine="480"/>
        <w:rPr>
          <w:rFonts w:hint="eastAsia" w:ascii="仿宋" w:hAnsi="仿宋" w:cs="仿宋"/>
          <w:b/>
          <w:color w:val="auto"/>
          <w:highlight w:val="none"/>
        </w:rPr>
      </w:pPr>
      <w:r>
        <w:rPr>
          <w:rFonts w:hint="eastAsia" w:ascii="仿宋" w:hAnsi="仿宋" w:cs="仿宋"/>
          <w:color w:val="auto"/>
          <w:szCs w:val="24"/>
          <w:highlight w:val="none"/>
        </w:rPr>
        <w:t>13.1投标文件按照招标文件第六部分格式要</w:t>
      </w:r>
      <w:r>
        <w:rPr>
          <w:rFonts w:hint="eastAsia" w:ascii="仿宋" w:hAnsi="仿宋" w:cs="仿宋"/>
          <w:color w:val="auto"/>
          <w:highlight w:val="none"/>
        </w:rPr>
        <w:t>求进行签署、盖章。</w:t>
      </w:r>
      <w:r>
        <w:rPr>
          <w:rFonts w:hint="eastAsia" w:ascii="仿宋" w:hAnsi="仿宋" w:cs="仿宋"/>
          <w:b/>
          <w:color w:val="auto"/>
          <w:highlight w:val="none"/>
        </w:rPr>
        <w:t>▲投标人的投标文件未按照招标文件要求签署、盖章的，其投标无效</w:t>
      </w:r>
      <w:r>
        <w:rPr>
          <w:rFonts w:hint="eastAsia" w:ascii="仿宋" w:hAnsi="仿宋" w:cs="仿宋"/>
          <w:color w:val="auto"/>
          <w:szCs w:val="24"/>
          <w:highlight w:val="none"/>
        </w:rPr>
        <w:t>。</w:t>
      </w:r>
    </w:p>
    <w:p w14:paraId="1CCCE70A">
      <w:pPr>
        <w:pStyle w:val="133"/>
        <w:snapToGrid w:val="0"/>
        <w:spacing w:before="0"/>
        <w:ind w:firstLine="480"/>
        <w:rPr>
          <w:rFonts w:hint="eastAsia" w:ascii="仿宋" w:hAnsi="仿宋" w:cs="仿宋"/>
          <w:color w:val="auto"/>
          <w:highlight w:val="none"/>
        </w:rPr>
      </w:pPr>
      <w:r>
        <w:rPr>
          <w:rFonts w:hint="eastAsia" w:ascii="仿宋" w:hAnsi="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BC8278C">
      <w:pPr>
        <w:pStyle w:val="133"/>
        <w:snapToGrid w:val="0"/>
        <w:spacing w:before="0"/>
        <w:ind w:firstLine="480"/>
        <w:rPr>
          <w:rFonts w:hint="eastAsia" w:ascii="仿宋" w:hAnsi="仿宋" w:cs="仿宋"/>
          <w:color w:val="auto"/>
          <w:szCs w:val="24"/>
          <w:highlight w:val="none"/>
        </w:rPr>
      </w:pPr>
      <w:r>
        <w:rPr>
          <w:rFonts w:hint="eastAsia" w:ascii="仿宋" w:hAnsi="仿宋" w:cs="仿宋"/>
          <w:color w:val="auto"/>
          <w:highlight w:val="none"/>
        </w:rPr>
        <w:t>13.3招标文件对投标文件签署、盖章的要求适用于电子签名。</w:t>
      </w:r>
    </w:p>
    <w:p w14:paraId="48A2198C">
      <w:pPr>
        <w:pStyle w:val="133"/>
        <w:spacing w:before="0"/>
        <w:ind w:firstLine="482"/>
        <w:rPr>
          <w:rFonts w:hint="eastAsia" w:ascii="仿宋" w:hAnsi="仿宋" w:cs="仿宋"/>
          <w:b/>
          <w:color w:val="auto"/>
          <w:szCs w:val="24"/>
          <w:highlight w:val="none"/>
        </w:rPr>
      </w:pPr>
      <w:r>
        <w:rPr>
          <w:rFonts w:hint="eastAsia" w:ascii="仿宋" w:hAnsi="仿宋" w:cs="仿宋"/>
          <w:b/>
          <w:color w:val="auto"/>
          <w:szCs w:val="24"/>
          <w:highlight w:val="none"/>
        </w:rPr>
        <w:t>14. 投标文件的提交、补充、修改、撤回</w:t>
      </w:r>
    </w:p>
    <w:p w14:paraId="0DBAFB16">
      <w:pPr>
        <w:spacing w:before="156"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93F2BB2">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677C280C">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1195324">
      <w:pPr>
        <w:pStyle w:val="34"/>
        <w:spacing w:line="360" w:lineRule="auto"/>
        <w:ind w:firstLine="482" w:firstLineChars="200"/>
        <w:rPr>
          <w:rFonts w:hint="eastAsia" w:ascii="仿宋" w:hAnsi="仿宋" w:cs="仿宋"/>
          <w:b/>
          <w:color w:val="auto"/>
          <w:szCs w:val="24"/>
          <w:highlight w:val="none"/>
        </w:rPr>
      </w:pPr>
      <w:r>
        <w:rPr>
          <w:rFonts w:hint="eastAsia" w:ascii="仿宋" w:hAnsi="仿宋" w:cs="仿宋"/>
          <w:b/>
          <w:color w:val="auto"/>
          <w:szCs w:val="24"/>
          <w:highlight w:val="none"/>
        </w:rPr>
        <w:t>15.备份投标文件</w:t>
      </w:r>
    </w:p>
    <w:p w14:paraId="63974C71">
      <w:pPr>
        <w:spacing w:line="360" w:lineRule="auto"/>
        <w:ind w:firstLine="360" w:firstLineChars="150"/>
        <w:rPr>
          <w:rFonts w:hint="eastAsia" w:ascii="仿宋" w:hAnsi="仿宋" w:cs="仿宋"/>
          <w:b/>
          <w:snapToGrid w:val="0"/>
          <w:color w:val="auto"/>
          <w:highlight w:val="none"/>
        </w:rPr>
      </w:pPr>
      <w:r>
        <w:rPr>
          <w:rFonts w:hint="eastAsia" w:ascii="仿宋" w:hAnsi="仿宋" w:cs="仿宋"/>
          <w:snapToGrid w:val="0"/>
          <w:color w:val="auto"/>
          <w:highlight w:val="none"/>
        </w:rPr>
        <w:t xml:space="preserve"> 15.1投标人在电子交易平台传输递交投标文件后，还可以在投标截止时间前直接提交或者以邮政快递方式递交备份投标文件1份，</w:t>
      </w:r>
      <w:r>
        <w:rPr>
          <w:rFonts w:hint="eastAsia" w:ascii="仿宋" w:hAnsi="仿宋" w:cs="仿宋"/>
          <w:b/>
          <w:snapToGrid w:val="0"/>
          <w:color w:val="auto"/>
          <w:highlight w:val="none"/>
        </w:rPr>
        <w:t>但采购人、采购代理机构不强制或变相强制投标人提交备份投标文件。</w:t>
      </w:r>
    </w:p>
    <w:p w14:paraId="3E5C6604">
      <w:pPr>
        <w:spacing w:line="360" w:lineRule="auto"/>
        <w:ind w:firstLine="480" w:firstLineChars="200"/>
        <w:rPr>
          <w:rFonts w:hint="eastAsia" w:ascii="仿宋" w:hAnsi="仿宋" w:cs="仿宋"/>
          <w:b/>
          <w:snapToGrid w:val="0"/>
          <w:color w:val="auto"/>
          <w:highlight w:val="none"/>
        </w:rPr>
      </w:pPr>
      <w:r>
        <w:rPr>
          <w:rFonts w:hint="eastAsia" w:ascii="仿宋" w:hAnsi="仿宋" w:cs="仿宋"/>
          <w:snapToGrid w:val="0"/>
          <w:color w:val="auto"/>
          <w:highlight w:val="none"/>
        </w:rPr>
        <w:t>15.2备份投标文件须在“政采云投标客户端”制作生成，并储存在</w:t>
      </w:r>
      <w:r>
        <w:rPr>
          <w:rFonts w:hint="eastAsia" w:ascii="仿宋" w:hAnsi="仿宋" w:cs="仿宋"/>
          <w:snapToGrid w:val="0"/>
          <w:color w:val="auto"/>
          <w:szCs w:val="21"/>
          <w:highlight w:val="none"/>
        </w:rPr>
        <w:t>DVD光盘等存储介质</w:t>
      </w:r>
      <w:r>
        <w:rPr>
          <w:rFonts w:hint="eastAsia" w:ascii="仿宋" w:hAnsi="仿宋" w:cs="仿宋"/>
          <w:snapToGrid w:val="0"/>
          <w:color w:val="auto"/>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snapToGrid w:val="0"/>
          <w:color w:val="auto"/>
          <w:szCs w:val="21"/>
          <w:highlight w:val="none"/>
        </w:rPr>
        <w:t>不符合上述制作、</w:t>
      </w:r>
      <w:r>
        <w:rPr>
          <w:rFonts w:hint="eastAsia" w:ascii="仿宋" w:hAnsi="仿宋" w:cs="仿宋"/>
          <w:b/>
          <w:snapToGrid w:val="0"/>
          <w:color w:val="auto"/>
          <w:highlight w:val="none"/>
        </w:rPr>
        <w:t>存储、密封规定的备份投标文件将被视为无效或者被拒绝接收。</w:t>
      </w:r>
    </w:p>
    <w:p w14:paraId="79C26E8F">
      <w:pPr>
        <w:spacing w:line="360" w:lineRule="auto"/>
        <w:ind w:firstLine="480" w:firstLineChars="200"/>
        <w:rPr>
          <w:rFonts w:hint="eastAsia" w:ascii="仿宋" w:hAnsi="仿宋" w:cs="仿宋"/>
          <w:snapToGrid w:val="0"/>
          <w:color w:val="auto"/>
          <w:highlight w:val="none"/>
        </w:rPr>
      </w:pPr>
      <w:r>
        <w:rPr>
          <w:rFonts w:hint="eastAsia" w:ascii="仿宋" w:hAnsi="仿宋" w:cs="仿宋"/>
          <w:snapToGrid w:val="0"/>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33184C40">
      <w:pPr>
        <w:spacing w:line="360" w:lineRule="auto"/>
        <w:ind w:firstLine="480" w:firstLineChars="200"/>
        <w:rPr>
          <w:rFonts w:hint="eastAsia" w:ascii="仿宋" w:hAnsi="仿宋" w:cs="仿宋"/>
          <w:snapToGrid w:val="0"/>
          <w:color w:val="auto"/>
          <w:highlight w:val="none"/>
        </w:rPr>
      </w:pPr>
      <w:r>
        <w:rPr>
          <w:rFonts w:hint="eastAsia" w:ascii="仿宋" w:hAnsi="仿宋" w:cs="仿宋"/>
          <w:snapToGrid w:val="0"/>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cs="仿宋"/>
          <w:color w:val="auto"/>
          <w:highlight w:val="none"/>
        </w:rPr>
        <w:t>招标文件第二部分投标人须知前附表规定的备份投标文件送达地点；</w:t>
      </w:r>
      <w:r>
        <w:rPr>
          <w:rFonts w:hint="eastAsia" w:ascii="仿宋" w:hAnsi="仿宋" w:cs="仿宋"/>
          <w:snapToGrid w:val="0"/>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46320718">
      <w:pPr>
        <w:spacing w:line="360" w:lineRule="auto"/>
        <w:ind w:firstLine="479" w:firstLineChars="199"/>
        <w:rPr>
          <w:rFonts w:hint="eastAsia" w:ascii="仿宋" w:hAnsi="仿宋" w:cs="仿宋"/>
          <w:b/>
          <w:snapToGrid w:val="0"/>
          <w:color w:val="auto"/>
          <w:highlight w:val="none"/>
        </w:rPr>
      </w:pPr>
      <w:r>
        <w:rPr>
          <w:rFonts w:hint="eastAsia" w:ascii="仿宋" w:hAnsi="仿宋" w:cs="仿宋"/>
          <w:b/>
          <w:snapToGrid w:val="0"/>
          <w:color w:val="auto"/>
          <w:highlight w:val="none"/>
        </w:rPr>
        <w:t>15.5投标人仅提交备份投标文件，未在电子交易平台传输递交投标文件的，投标无效。</w:t>
      </w:r>
    </w:p>
    <w:p w14:paraId="08470761">
      <w:pPr>
        <w:pStyle w:val="133"/>
        <w:spacing w:before="0"/>
        <w:ind w:firstLine="482"/>
        <w:rPr>
          <w:rFonts w:hint="eastAsia" w:ascii="仿宋" w:hAnsi="仿宋" w:cs="仿宋"/>
          <w:b/>
          <w:color w:val="auto"/>
          <w:szCs w:val="24"/>
          <w:highlight w:val="none"/>
        </w:rPr>
      </w:pPr>
      <w:r>
        <w:rPr>
          <w:rFonts w:hint="eastAsia" w:ascii="仿宋" w:hAnsi="仿宋" w:cs="仿宋"/>
          <w:b/>
          <w:color w:val="auto"/>
          <w:szCs w:val="24"/>
          <w:highlight w:val="none"/>
        </w:rPr>
        <w:t>16.投标文件的无效处理</w:t>
      </w:r>
    </w:p>
    <w:p w14:paraId="27F2B7AE">
      <w:pPr>
        <w:pStyle w:val="133"/>
        <w:spacing w:before="0"/>
        <w:ind w:firstLine="480"/>
        <w:rPr>
          <w:rFonts w:hint="eastAsia" w:ascii="仿宋" w:hAnsi="仿宋" w:cs="仿宋"/>
          <w:color w:val="auto"/>
          <w:szCs w:val="21"/>
          <w:highlight w:val="none"/>
        </w:rPr>
      </w:pPr>
      <w:r>
        <w:rPr>
          <w:rFonts w:hint="eastAsia" w:ascii="仿宋" w:hAnsi="仿宋" w:cs="仿宋"/>
          <w:color w:val="auto"/>
          <w:szCs w:val="21"/>
          <w:highlight w:val="none"/>
        </w:rPr>
        <w:t>有招标文件第四部分第4.2条规定的情形之一的，投标无效：</w:t>
      </w:r>
    </w:p>
    <w:p w14:paraId="257D64D4">
      <w:pPr>
        <w:pStyle w:val="133"/>
        <w:spacing w:before="0"/>
        <w:ind w:firstLine="482"/>
        <w:rPr>
          <w:rFonts w:hint="eastAsia" w:ascii="仿宋" w:hAnsi="仿宋" w:cs="仿宋"/>
          <w:b/>
          <w:color w:val="auto"/>
          <w:szCs w:val="24"/>
          <w:highlight w:val="none"/>
        </w:rPr>
      </w:pPr>
      <w:r>
        <w:rPr>
          <w:rFonts w:hint="eastAsia" w:ascii="仿宋" w:hAnsi="仿宋" w:cs="仿宋"/>
          <w:b/>
          <w:color w:val="auto"/>
          <w:szCs w:val="24"/>
          <w:highlight w:val="none"/>
        </w:rPr>
        <w:t>17.投标有效期</w:t>
      </w:r>
    </w:p>
    <w:p w14:paraId="5691F1F4">
      <w:pPr>
        <w:spacing w:line="360" w:lineRule="auto"/>
        <w:ind w:firstLine="480" w:firstLineChars="200"/>
        <w:rPr>
          <w:rFonts w:hint="eastAsia" w:ascii="仿宋" w:hAnsi="仿宋" w:cs="仿宋"/>
          <w:b/>
          <w:color w:val="auto"/>
          <w:szCs w:val="21"/>
          <w:highlight w:val="none"/>
        </w:rPr>
      </w:pPr>
      <w:r>
        <w:rPr>
          <w:rFonts w:hint="eastAsia" w:ascii="仿宋" w:hAnsi="仿宋" w:cs="仿宋"/>
          <w:color w:val="auto"/>
          <w:szCs w:val="20"/>
          <w:highlight w:val="none"/>
        </w:rPr>
        <w:t>17.1投标有效期为从提交投标文件的截止之日起90天。▲</w:t>
      </w:r>
      <w:r>
        <w:rPr>
          <w:rFonts w:hint="eastAsia" w:ascii="仿宋" w:hAnsi="仿宋" w:cs="仿宋"/>
          <w:b/>
          <w:color w:val="auto"/>
          <w:szCs w:val="20"/>
          <w:highlight w:val="none"/>
        </w:rPr>
        <w:t>投标人的投标文件中承</w:t>
      </w:r>
      <w:r>
        <w:rPr>
          <w:rFonts w:hint="eastAsia" w:ascii="仿宋" w:hAnsi="仿宋" w:cs="仿宋"/>
          <w:b/>
          <w:color w:val="auto"/>
          <w:szCs w:val="21"/>
          <w:highlight w:val="none"/>
        </w:rPr>
        <w:t>诺的投标有效期少于招标文件中载明的投标有效期的，投标无效。</w:t>
      </w:r>
    </w:p>
    <w:p w14:paraId="37FC0EC8">
      <w:pPr>
        <w:pStyle w:val="133"/>
        <w:spacing w:before="0"/>
        <w:ind w:firstLine="480"/>
        <w:rPr>
          <w:rFonts w:hint="eastAsia" w:ascii="仿宋" w:hAnsi="仿宋" w:cs="仿宋"/>
          <w:color w:val="auto"/>
          <w:highlight w:val="none"/>
        </w:rPr>
      </w:pPr>
      <w:r>
        <w:rPr>
          <w:rFonts w:hint="eastAsia" w:ascii="仿宋" w:hAnsi="仿宋" w:cs="仿宋"/>
          <w:color w:val="auto"/>
          <w:highlight w:val="none"/>
        </w:rPr>
        <w:t>17.2投标文件合格投递后，自投标截止日期起，在投标有效期内有效。</w:t>
      </w:r>
    </w:p>
    <w:p w14:paraId="5BCFF322">
      <w:pPr>
        <w:pStyle w:val="133"/>
        <w:spacing w:before="0"/>
        <w:ind w:firstLine="480"/>
        <w:rPr>
          <w:rFonts w:hint="eastAsia" w:ascii="仿宋" w:hAnsi="仿宋" w:cs="仿宋"/>
          <w:color w:val="auto"/>
          <w:highlight w:val="none"/>
        </w:rPr>
      </w:pPr>
      <w:r>
        <w:rPr>
          <w:rFonts w:hint="eastAsia" w:ascii="仿宋" w:hAnsi="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3AF4F72">
      <w:pPr>
        <w:pStyle w:val="133"/>
        <w:spacing w:before="0"/>
        <w:ind w:firstLine="480"/>
        <w:rPr>
          <w:rFonts w:hint="eastAsia" w:ascii="仿宋" w:hAnsi="仿宋" w:cs="仿宋"/>
          <w:color w:val="auto"/>
          <w:highlight w:val="none"/>
        </w:rPr>
      </w:pPr>
      <w:r>
        <w:rPr>
          <w:rFonts w:hint="eastAsia" w:ascii="仿宋" w:hAnsi="仿宋" w:cs="仿宋"/>
          <w:color w:val="auto"/>
          <w:highlight w:val="none"/>
        </w:rPr>
        <w:t xml:space="preserve"> 17.4在投标截止时间起至投标有效期届满，供应商投标文件不可撤销。</w:t>
      </w:r>
    </w:p>
    <w:p w14:paraId="07879811">
      <w:pPr>
        <w:pStyle w:val="133"/>
        <w:spacing w:before="0"/>
        <w:ind w:firstLine="643"/>
        <w:rPr>
          <w:rFonts w:hint="eastAsia" w:ascii="仿宋" w:hAnsi="仿宋" w:cs="仿宋"/>
          <w:b/>
          <w:color w:val="auto"/>
          <w:sz w:val="32"/>
          <w:highlight w:val="none"/>
        </w:rPr>
      </w:pPr>
    </w:p>
    <w:p w14:paraId="77E17ADF">
      <w:pPr>
        <w:pStyle w:val="133"/>
        <w:spacing w:before="0"/>
        <w:ind w:firstLine="0" w:firstLineChars="0"/>
        <w:jc w:val="center"/>
        <w:rPr>
          <w:rFonts w:hint="eastAsia" w:ascii="仿宋" w:hAnsi="仿宋" w:cs="仿宋"/>
          <w:b/>
          <w:color w:val="auto"/>
          <w:sz w:val="32"/>
          <w:highlight w:val="none"/>
        </w:rPr>
      </w:pPr>
      <w:r>
        <w:rPr>
          <w:rFonts w:hint="eastAsia" w:ascii="仿宋" w:hAnsi="仿宋" w:cs="仿宋"/>
          <w:b/>
          <w:color w:val="auto"/>
          <w:sz w:val="32"/>
          <w:highlight w:val="none"/>
        </w:rPr>
        <w:t>四、开标、资格审查与信用信息查询</w:t>
      </w:r>
    </w:p>
    <w:p w14:paraId="2033ADC8">
      <w:pPr>
        <w:pStyle w:val="556"/>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799E935D">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53886273">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14:paraId="3235C5CC">
      <w:pPr>
        <w:pStyle w:val="556"/>
        <w:spacing w:before="0" w:line="360" w:lineRule="auto"/>
        <w:ind w:left="0" w:firstLine="480" w:firstLineChars="2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3F1EBCA">
      <w:pPr>
        <w:widowControl/>
        <w:spacing w:line="360" w:lineRule="auto"/>
        <w:ind w:firstLine="482" w:firstLineChars="200"/>
        <w:jc w:val="left"/>
        <w:rPr>
          <w:rFonts w:hint="eastAsia" w:ascii="仿宋" w:hAnsi="仿宋" w:cs="仿宋"/>
          <w:b/>
          <w:color w:val="auto"/>
          <w:szCs w:val="20"/>
          <w:highlight w:val="none"/>
        </w:rPr>
      </w:pPr>
      <w:r>
        <w:rPr>
          <w:rFonts w:hint="eastAsia" w:ascii="仿宋" w:hAnsi="仿宋" w:cs="仿宋"/>
          <w:b/>
          <w:color w:val="auto"/>
          <w:szCs w:val="20"/>
          <w:highlight w:val="none"/>
        </w:rPr>
        <w:t>19、资格审查</w:t>
      </w:r>
    </w:p>
    <w:p w14:paraId="02EF8592">
      <w:pPr>
        <w:pStyle w:val="133"/>
        <w:spacing w:before="0"/>
        <w:ind w:firstLine="480"/>
        <w:rPr>
          <w:rFonts w:hint="eastAsia" w:ascii="仿宋" w:hAnsi="仿宋" w:cs="仿宋"/>
          <w:color w:val="auto"/>
          <w:highlight w:val="none"/>
        </w:rPr>
      </w:pPr>
      <w:r>
        <w:rPr>
          <w:rFonts w:hint="eastAsia" w:ascii="仿宋" w:hAnsi="仿宋" w:cs="仿宋"/>
          <w:color w:val="auto"/>
          <w:highlight w:val="none"/>
        </w:rPr>
        <w:t>19.1开标后，采购人将依据法律法规和招标文件的规定，对投标人的资格进行审查。</w:t>
      </w:r>
    </w:p>
    <w:p w14:paraId="39E3D5B5">
      <w:pPr>
        <w:pStyle w:val="133"/>
        <w:spacing w:before="0"/>
        <w:ind w:firstLine="480"/>
        <w:rPr>
          <w:rFonts w:hint="eastAsia" w:ascii="仿宋" w:hAnsi="仿宋" w:cs="仿宋"/>
          <w:color w:val="auto"/>
          <w:highlight w:val="none"/>
        </w:rPr>
      </w:pPr>
      <w:r>
        <w:rPr>
          <w:rFonts w:hint="eastAsia" w:ascii="仿宋" w:hAnsi="仿宋" w:cs="仿宋"/>
          <w:color w:val="auto"/>
          <w:highlight w:val="none"/>
        </w:rPr>
        <w:t>19.2投标人未按照招标文件要求提供与资格条件相应的有效资格证明材料的，视为投标人不具备招标文件中规定的资格要求，其投标无效。</w:t>
      </w:r>
    </w:p>
    <w:p w14:paraId="748A45EA">
      <w:pPr>
        <w:pStyle w:val="133"/>
        <w:spacing w:before="0"/>
        <w:ind w:firstLine="480"/>
        <w:rPr>
          <w:rFonts w:hint="eastAsia" w:ascii="仿宋" w:hAnsi="仿宋" w:cs="仿宋"/>
          <w:color w:val="auto"/>
          <w:highlight w:val="none"/>
        </w:rPr>
      </w:pPr>
      <w:r>
        <w:rPr>
          <w:rFonts w:hint="eastAsia" w:ascii="仿宋" w:hAnsi="仿宋" w:cs="仿宋"/>
          <w:color w:val="auto"/>
          <w:highlight w:val="none"/>
        </w:rPr>
        <w:t>19.3对未通过资格审查的投标人，告知其未通过的原因。</w:t>
      </w:r>
    </w:p>
    <w:p w14:paraId="77A90596">
      <w:pPr>
        <w:pStyle w:val="133"/>
        <w:spacing w:before="0"/>
        <w:ind w:firstLine="480"/>
        <w:rPr>
          <w:rFonts w:hint="eastAsia" w:ascii="仿宋" w:hAnsi="仿宋" w:cs="仿宋"/>
          <w:color w:val="auto"/>
          <w:highlight w:val="none"/>
        </w:rPr>
      </w:pPr>
      <w:r>
        <w:rPr>
          <w:rFonts w:hint="eastAsia" w:ascii="仿宋" w:hAnsi="仿宋" w:cs="仿宋"/>
          <w:color w:val="auto"/>
          <w:highlight w:val="none"/>
        </w:rPr>
        <w:t>19.4合格投标人不足3家的，不再评标。</w:t>
      </w:r>
    </w:p>
    <w:p w14:paraId="2A4834C5">
      <w:pPr>
        <w:pStyle w:val="133"/>
        <w:spacing w:before="0"/>
        <w:ind w:firstLine="482"/>
        <w:rPr>
          <w:rFonts w:hint="eastAsia" w:ascii="仿宋" w:hAnsi="仿宋" w:cs="仿宋"/>
          <w:b/>
          <w:color w:val="auto"/>
          <w:szCs w:val="24"/>
          <w:highlight w:val="none"/>
        </w:rPr>
      </w:pPr>
      <w:r>
        <w:rPr>
          <w:rFonts w:hint="eastAsia" w:ascii="仿宋" w:hAnsi="仿宋" w:cs="仿宋"/>
          <w:b/>
          <w:color w:val="auto"/>
          <w:szCs w:val="24"/>
          <w:highlight w:val="none"/>
        </w:rPr>
        <w:t>20、信用信息查询</w:t>
      </w:r>
    </w:p>
    <w:p w14:paraId="2F1D24FC">
      <w:pPr>
        <w:pStyle w:val="133"/>
        <w:spacing w:before="0"/>
        <w:ind w:firstLine="480"/>
        <w:rPr>
          <w:rFonts w:hint="eastAsia" w:ascii="仿宋" w:hAnsi="仿宋" w:cs="仿宋"/>
          <w:color w:val="auto"/>
          <w:kern w:val="0"/>
          <w:szCs w:val="24"/>
          <w:highlight w:val="none"/>
        </w:rPr>
      </w:pPr>
      <w:r>
        <w:rPr>
          <w:rFonts w:hint="eastAsia" w:ascii="仿宋" w:hAnsi="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C20B2F6">
      <w:pPr>
        <w:pStyle w:val="133"/>
        <w:spacing w:before="0"/>
        <w:ind w:firstLine="480"/>
        <w:rPr>
          <w:rFonts w:hint="eastAsia" w:ascii="仿宋" w:hAnsi="仿宋" w:cs="仿宋"/>
          <w:color w:val="auto"/>
          <w:kern w:val="0"/>
          <w:szCs w:val="24"/>
          <w:highlight w:val="none"/>
        </w:rPr>
      </w:pPr>
      <w:r>
        <w:rPr>
          <w:rFonts w:hint="eastAsia" w:ascii="仿宋" w:hAnsi="仿宋" w:cs="仿宋"/>
          <w:color w:val="auto"/>
          <w:kern w:val="0"/>
          <w:szCs w:val="24"/>
          <w:highlight w:val="none"/>
        </w:rPr>
        <w:t>20.2信用信息查询记录和证据留存的具体方式：现场查询的投标人的信用记录、查询结果经确认后将与采购文件一起存档。</w:t>
      </w:r>
    </w:p>
    <w:p w14:paraId="5D7E51EB">
      <w:pPr>
        <w:pStyle w:val="133"/>
        <w:spacing w:before="0"/>
        <w:ind w:firstLine="480"/>
        <w:rPr>
          <w:rFonts w:hint="eastAsia" w:ascii="仿宋" w:hAnsi="仿宋" w:cs="仿宋"/>
          <w:color w:val="auto"/>
          <w:kern w:val="0"/>
          <w:szCs w:val="24"/>
          <w:highlight w:val="none"/>
        </w:rPr>
      </w:pPr>
      <w:r>
        <w:rPr>
          <w:rFonts w:hint="eastAsia" w:ascii="仿宋" w:hAnsi="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2199A4F">
      <w:pPr>
        <w:pStyle w:val="133"/>
        <w:spacing w:before="0"/>
        <w:ind w:firstLine="480"/>
        <w:rPr>
          <w:rFonts w:hint="eastAsia" w:ascii="仿宋" w:hAnsi="仿宋" w:cs="仿宋"/>
          <w:color w:val="auto"/>
          <w:highlight w:val="none"/>
        </w:rPr>
      </w:pPr>
      <w:r>
        <w:rPr>
          <w:rFonts w:hint="eastAsia" w:ascii="仿宋" w:hAnsi="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cs="仿宋"/>
          <w:color w:val="auto"/>
          <w:highlight w:val="none"/>
        </w:rPr>
        <w:t>。</w:t>
      </w:r>
    </w:p>
    <w:p w14:paraId="3B419ECB">
      <w:pPr>
        <w:pStyle w:val="133"/>
        <w:spacing w:before="0"/>
        <w:ind w:firstLine="480"/>
        <w:rPr>
          <w:rFonts w:hint="eastAsia" w:ascii="仿宋" w:hAnsi="仿宋" w:cs="仿宋"/>
          <w:color w:val="auto"/>
          <w:kern w:val="0"/>
          <w:szCs w:val="24"/>
          <w:highlight w:val="none"/>
        </w:rPr>
      </w:pPr>
    </w:p>
    <w:p w14:paraId="5F75A045">
      <w:pPr>
        <w:snapToGrid w:val="0"/>
        <w:spacing w:line="360" w:lineRule="auto"/>
        <w:ind w:firstLine="723" w:firstLineChars="200"/>
        <w:jc w:val="center"/>
        <w:outlineLvl w:val="0"/>
        <w:rPr>
          <w:rFonts w:hint="eastAsia" w:ascii="仿宋" w:hAnsi="仿宋" w:cs="仿宋"/>
          <w:b/>
          <w:color w:val="auto"/>
          <w:sz w:val="36"/>
          <w:szCs w:val="36"/>
          <w:highlight w:val="none"/>
        </w:rPr>
      </w:pPr>
      <w:r>
        <w:rPr>
          <w:rFonts w:hint="eastAsia" w:ascii="仿宋" w:hAnsi="仿宋" w:cs="仿宋"/>
          <w:b/>
          <w:color w:val="auto"/>
          <w:sz w:val="36"/>
          <w:szCs w:val="36"/>
          <w:highlight w:val="none"/>
        </w:rPr>
        <w:t>五、评标</w:t>
      </w:r>
    </w:p>
    <w:p w14:paraId="3E925EB1">
      <w:pPr>
        <w:spacing w:line="360" w:lineRule="auto"/>
        <w:ind w:firstLine="482" w:firstLineChars="200"/>
        <w:rPr>
          <w:rFonts w:hint="eastAsia" w:ascii="仿宋" w:hAnsi="仿宋" w:cs="仿宋"/>
          <w:b/>
          <w:color w:val="auto"/>
          <w:highlight w:val="none"/>
        </w:rPr>
      </w:pPr>
      <w:r>
        <w:rPr>
          <w:rFonts w:hint="eastAsia" w:ascii="仿宋" w:hAnsi="仿宋" w:cs="仿宋"/>
          <w:b/>
          <w:color w:val="auto"/>
          <w:highlight w:val="none"/>
        </w:rPr>
        <w:t>21.</w:t>
      </w:r>
      <w:r>
        <w:rPr>
          <w:rFonts w:hint="eastAsia" w:ascii="仿宋" w:hAnsi="仿宋" w:cs="仿宋"/>
          <w:color w:val="auto"/>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color w:val="auto"/>
          <w:highlight w:val="none"/>
        </w:rPr>
        <w:t>详见招标文件第四部分评标办法。</w:t>
      </w:r>
    </w:p>
    <w:p w14:paraId="10478E29">
      <w:pPr>
        <w:spacing w:line="360" w:lineRule="auto"/>
        <w:ind w:firstLine="482" w:firstLineChars="200"/>
        <w:rPr>
          <w:rFonts w:hint="eastAsia" w:ascii="仿宋" w:hAnsi="仿宋" w:cs="仿宋"/>
          <w:b/>
          <w:color w:val="auto"/>
          <w:highlight w:val="none"/>
        </w:rPr>
      </w:pPr>
    </w:p>
    <w:p w14:paraId="242576EA">
      <w:pPr>
        <w:snapToGrid w:val="0"/>
        <w:spacing w:line="360" w:lineRule="auto"/>
        <w:ind w:firstLine="723" w:firstLineChars="200"/>
        <w:jc w:val="center"/>
        <w:outlineLvl w:val="0"/>
        <w:rPr>
          <w:rFonts w:hint="eastAsia" w:ascii="仿宋" w:hAnsi="仿宋" w:cs="仿宋"/>
          <w:b/>
          <w:color w:val="auto"/>
          <w:sz w:val="36"/>
          <w:szCs w:val="36"/>
          <w:highlight w:val="none"/>
        </w:rPr>
      </w:pPr>
      <w:r>
        <w:rPr>
          <w:rFonts w:hint="eastAsia" w:ascii="仿宋" w:hAnsi="仿宋" w:cs="仿宋"/>
          <w:b/>
          <w:color w:val="auto"/>
          <w:sz w:val="36"/>
          <w:szCs w:val="36"/>
          <w:highlight w:val="none"/>
        </w:rPr>
        <w:t>六、定 标</w:t>
      </w:r>
    </w:p>
    <w:p w14:paraId="4C4FB571">
      <w:pPr>
        <w:pStyle w:val="3"/>
        <w:spacing w:line="360" w:lineRule="auto"/>
        <w:ind w:firstLine="482"/>
        <w:rPr>
          <w:rFonts w:hint="eastAsia" w:ascii="仿宋" w:hAnsi="仿宋" w:cs="仿宋"/>
          <w:b/>
          <w:color w:val="auto"/>
          <w:highlight w:val="none"/>
        </w:rPr>
      </w:pPr>
      <w:r>
        <w:rPr>
          <w:rFonts w:hint="eastAsia" w:ascii="仿宋" w:hAnsi="仿宋" w:cs="仿宋"/>
          <w:b/>
          <w:color w:val="auto"/>
          <w:highlight w:val="none"/>
        </w:rPr>
        <w:t>22. 确定中标供应商</w:t>
      </w:r>
    </w:p>
    <w:p w14:paraId="28F08000">
      <w:pPr>
        <w:pStyle w:val="133"/>
        <w:snapToGrid w:val="0"/>
        <w:spacing w:before="0"/>
        <w:ind w:firstLine="480"/>
        <w:rPr>
          <w:rFonts w:hint="eastAsia" w:ascii="仿宋" w:hAnsi="仿宋" w:cs="仿宋"/>
          <w:b/>
          <w:color w:val="auto"/>
          <w:szCs w:val="24"/>
          <w:highlight w:val="none"/>
        </w:rPr>
      </w:pPr>
      <w:r>
        <w:rPr>
          <w:rFonts w:hint="eastAsia" w:ascii="仿宋" w:hAnsi="仿宋" w:cs="仿宋"/>
          <w:color w:val="auto"/>
          <w:szCs w:val="24"/>
          <w:highlight w:val="none"/>
        </w:rPr>
        <w:t>采购人将自收到评审报告之日起5个工作日内通过电子交易平台在评审报告推荐的中标候选人中按顺序确定中标供应商。</w:t>
      </w:r>
    </w:p>
    <w:p w14:paraId="2D6B5293">
      <w:pPr>
        <w:pStyle w:val="133"/>
        <w:snapToGrid w:val="0"/>
        <w:spacing w:before="0"/>
        <w:ind w:firstLine="482"/>
        <w:rPr>
          <w:rFonts w:hint="eastAsia" w:ascii="仿宋" w:hAnsi="仿宋" w:cs="仿宋"/>
          <w:b/>
          <w:color w:val="auto"/>
          <w:szCs w:val="24"/>
          <w:highlight w:val="none"/>
        </w:rPr>
      </w:pPr>
      <w:r>
        <w:rPr>
          <w:rFonts w:hint="eastAsia" w:ascii="仿宋" w:hAnsi="仿宋" w:cs="仿宋"/>
          <w:b/>
          <w:color w:val="auto"/>
          <w:szCs w:val="24"/>
          <w:highlight w:val="none"/>
        </w:rPr>
        <w:t>23. 中标通知与中标结果公告</w:t>
      </w:r>
    </w:p>
    <w:p w14:paraId="094B8B53">
      <w:pPr>
        <w:widowControl/>
        <w:shd w:val="clear" w:color="auto" w:fill="FFFFFF"/>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23.1自中标人确定之日起2个工作日内，采购机构通过电子交易平台向中标人发出中标通知书，同时编制发布采购结果公告。采购机构也可以以纸质形式进行中标通知。</w:t>
      </w:r>
    </w:p>
    <w:p w14:paraId="322CB24A">
      <w:pPr>
        <w:widowControl/>
        <w:shd w:val="clear" w:color="auto" w:fill="FFFFFF"/>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77C09121">
      <w:pPr>
        <w:widowControl/>
        <w:shd w:val="clear" w:color="auto" w:fill="FFFFFF"/>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23.3公告期限为1个工作日。</w:t>
      </w:r>
    </w:p>
    <w:p w14:paraId="318C8D6F">
      <w:pPr>
        <w:snapToGrid w:val="0"/>
        <w:spacing w:line="360" w:lineRule="auto"/>
        <w:ind w:firstLine="643" w:firstLineChars="200"/>
        <w:jc w:val="center"/>
        <w:rPr>
          <w:rFonts w:hint="eastAsia" w:ascii="仿宋" w:hAnsi="仿宋" w:cs="仿宋"/>
          <w:b/>
          <w:color w:val="auto"/>
          <w:sz w:val="32"/>
          <w:highlight w:val="none"/>
        </w:rPr>
      </w:pPr>
    </w:p>
    <w:p w14:paraId="781AAB45">
      <w:pPr>
        <w:snapToGrid w:val="0"/>
        <w:spacing w:line="360" w:lineRule="auto"/>
        <w:ind w:firstLine="643" w:firstLineChars="200"/>
        <w:jc w:val="center"/>
        <w:rPr>
          <w:rFonts w:hint="eastAsia" w:ascii="仿宋" w:hAnsi="仿宋" w:cs="仿宋"/>
          <w:b/>
          <w:color w:val="auto"/>
          <w:sz w:val="32"/>
          <w:highlight w:val="none"/>
        </w:rPr>
      </w:pPr>
      <w:r>
        <w:rPr>
          <w:rFonts w:hint="eastAsia" w:ascii="仿宋" w:hAnsi="仿宋" w:cs="仿宋"/>
          <w:b/>
          <w:color w:val="auto"/>
          <w:sz w:val="32"/>
          <w:highlight w:val="none"/>
        </w:rPr>
        <w:t>七、合同授予</w:t>
      </w:r>
    </w:p>
    <w:p w14:paraId="32296F00">
      <w:pPr>
        <w:pStyle w:val="3"/>
        <w:spacing w:line="360" w:lineRule="auto"/>
        <w:ind w:firstLine="482"/>
        <w:rPr>
          <w:rFonts w:hint="eastAsia" w:ascii="仿宋" w:hAnsi="仿宋" w:cs="仿宋"/>
          <w:b/>
          <w:color w:val="auto"/>
          <w:highlight w:val="none"/>
        </w:rPr>
      </w:pPr>
      <w:r>
        <w:rPr>
          <w:rFonts w:hint="eastAsia" w:ascii="仿宋" w:hAnsi="仿宋" w:cs="仿宋"/>
          <w:b/>
          <w:color w:val="auto"/>
          <w:highlight w:val="none"/>
        </w:rPr>
        <w:t xml:space="preserve">24. </w:t>
      </w:r>
      <w:r>
        <w:rPr>
          <w:rFonts w:hint="eastAsia" w:ascii="仿宋" w:hAnsi="仿宋" w:cs="仿宋"/>
          <w:color w:val="auto"/>
          <w:highlight w:val="none"/>
        </w:rPr>
        <w:t>合同主要条款详见第五部分拟签订的合同文本。</w:t>
      </w:r>
    </w:p>
    <w:p w14:paraId="7A94336E">
      <w:pPr>
        <w:pStyle w:val="3"/>
        <w:spacing w:line="360" w:lineRule="auto"/>
        <w:ind w:firstLine="482"/>
        <w:rPr>
          <w:rFonts w:hint="eastAsia" w:ascii="仿宋" w:hAnsi="仿宋" w:cs="仿宋"/>
          <w:b/>
          <w:color w:val="auto"/>
          <w:highlight w:val="none"/>
        </w:rPr>
      </w:pPr>
      <w:r>
        <w:rPr>
          <w:rFonts w:hint="eastAsia" w:ascii="仿宋" w:hAnsi="仿宋" w:cs="仿宋"/>
          <w:b/>
          <w:color w:val="auto"/>
          <w:highlight w:val="none"/>
        </w:rPr>
        <w:t>25. 合同的签订</w:t>
      </w:r>
    </w:p>
    <w:p w14:paraId="2285FA66">
      <w:pPr>
        <w:widowControl/>
        <w:shd w:val="clear" w:color="auto" w:fill="FFFFFF"/>
        <w:spacing w:line="360" w:lineRule="auto"/>
        <w:ind w:firstLine="480" w:firstLineChars="200"/>
        <w:jc w:val="left"/>
        <w:rPr>
          <w:rFonts w:hint="eastAsia" w:ascii="仿宋" w:hAnsi="仿宋" w:cs="仿宋"/>
          <w:color w:val="auto"/>
          <w:kern w:val="0"/>
          <w:highlight w:val="none"/>
        </w:rPr>
      </w:pPr>
      <w:r>
        <w:rPr>
          <w:rFonts w:hint="eastAsia" w:ascii="仿宋" w:hAnsi="仿宋" w:cs="仿宋"/>
          <w:color w:val="auto"/>
          <w:highlight w:val="none"/>
        </w:rPr>
        <w:t>25.1</w:t>
      </w:r>
      <w:r>
        <w:rPr>
          <w:rFonts w:hint="eastAsia" w:ascii="仿宋" w:hAnsi="仿宋" w:cs="仿宋"/>
          <w:color w:val="auto"/>
          <w:kern w:val="0"/>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08E3E337">
      <w:pPr>
        <w:pStyle w:val="133"/>
        <w:snapToGrid w:val="0"/>
        <w:spacing w:before="0"/>
        <w:ind w:firstLine="480"/>
        <w:rPr>
          <w:rFonts w:hint="eastAsia" w:ascii="仿宋" w:hAnsi="仿宋" w:cs="仿宋"/>
          <w:color w:val="auto"/>
          <w:kern w:val="0"/>
          <w:highlight w:val="none"/>
        </w:rPr>
      </w:pPr>
      <w:r>
        <w:rPr>
          <w:rFonts w:hint="eastAsia" w:ascii="仿宋" w:hAnsi="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9906563">
      <w:pPr>
        <w:pStyle w:val="133"/>
        <w:snapToGrid w:val="0"/>
        <w:spacing w:before="0"/>
        <w:ind w:firstLine="480"/>
        <w:rPr>
          <w:rFonts w:hint="eastAsia" w:ascii="仿宋" w:hAnsi="仿宋" w:cs="仿宋"/>
          <w:color w:val="auto"/>
          <w:highlight w:val="none"/>
        </w:rPr>
      </w:pPr>
      <w:r>
        <w:rPr>
          <w:rFonts w:hint="eastAsia" w:ascii="仿宋" w:hAnsi="仿宋" w:cs="仿宋"/>
          <w:color w:val="auto"/>
          <w:highlight w:val="none"/>
        </w:rPr>
        <w:t>25.3如签订合同并生效后，供应商无故拒绝或延期，除按照合同条款处理外，列入不良行为记录一次，并给予通报。</w:t>
      </w:r>
    </w:p>
    <w:p w14:paraId="238E477B">
      <w:pPr>
        <w:pStyle w:val="133"/>
        <w:snapToGrid w:val="0"/>
        <w:spacing w:before="0"/>
        <w:ind w:firstLine="480"/>
        <w:rPr>
          <w:rFonts w:hint="eastAsia" w:ascii="仿宋" w:hAnsi="仿宋" w:cs="仿宋"/>
          <w:color w:val="auto"/>
          <w:highlight w:val="none"/>
        </w:rPr>
      </w:pPr>
      <w:r>
        <w:rPr>
          <w:rFonts w:hint="eastAsia" w:ascii="仿宋" w:hAnsi="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2458FC39">
      <w:pPr>
        <w:pStyle w:val="133"/>
        <w:snapToGrid w:val="0"/>
        <w:spacing w:before="0"/>
        <w:ind w:firstLine="480"/>
        <w:rPr>
          <w:rFonts w:hint="eastAsia" w:ascii="仿宋" w:hAnsi="仿宋" w:cs="仿宋"/>
          <w:color w:val="auto"/>
          <w:highlight w:val="none"/>
        </w:rPr>
      </w:pPr>
      <w:r>
        <w:rPr>
          <w:rFonts w:hint="eastAsia" w:ascii="仿宋" w:hAnsi="仿宋" w:cs="仿宋"/>
          <w:color w:val="auto"/>
          <w:highlight w:val="none"/>
        </w:rPr>
        <w:t>25.5采购合同由采购人与中标供应商根据招标文件、投标文件等内容通过政府采购电子交易平台在线签订，自动备案。</w:t>
      </w:r>
    </w:p>
    <w:p w14:paraId="04D0D593">
      <w:pPr>
        <w:pStyle w:val="3"/>
        <w:spacing w:line="360" w:lineRule="auto"/>
        <w:ind w:firstLine="482"/>
        <w:rPr>
          <w:rFonts w:hint="eastAsia" w:ascii="仿宋" w:hAnsi="仿宋" w:cs="仿宋"/>
          <w:b/>
          <w:color w:val="auto"/>
          <w:highlight w:val="none"/>
        </w:rPr>
      </w:pPr>
      <w:r>
        <w:rPr>
          <w:rFonts w:hint="eastAsia" w:ascii="仿宋" w:hAnsi="仿宋" w:cs="仿宋"/>
          <w:b/>
          <w:color w:val="auto"/>
          <w:highlight w:val="none"/>
        </w:rPr>
        <w:t>26. 履约保证金</w:t>
      </w:r>
    </w:p>
    <w:p w14:paraId="5A9E2B16">
      <w:pPr>
        <w:tabs>
          <w:tab w:val="left" w:pos="0"/>
        </w:tabs>
        <w:spacing w:line="360" w:lineRule="auto"/>
        <w:ind w:firstLine="482"/>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00E7DE29">
      <w:pPr>
        <w:pStyle w:val="5"/>
        <w:ind w:left="0" w:firstLine="480" w:firstLineChars="200"/>
        <w:rPr>
          <w:rFonts w:hint="eastAsia" w:hAnsi="仿宋_GB2312" w:cs="仿宋_GB2312"/>
          <w:color w:val="auto"/>
          <w:highlight w:val="none"/>
          <w:lang w:val="en-US"/>
        </w:rPr>
      </w:pPr>
      <w:r>
        <w:rPr>
          <w:rFonts w:hint="eastAsia" w:hAnsi="仿宋_GB2312" w:cs="仿宋_GB2312"/>
          <w:b w:val="0"/>
          <w:bCs w:val="0"/>
          <w:snapToGrid w:val="0"/>
          <w:color w:val="auto"/>
          <w:kern w:val="28"/>
          <w:sz w:val="24"/>
          <w:highlight w:val="none"/>
        </w:rPr>
        <w:t>供应商</w:t>
      </w:r>
      <w:r>
        <w:rPr>
          <w:rFonts w:hint="eastAsia" w:hAnsi="仿宋_GB2312" w:cs="仿宋_GB2312"/>
          <w:b w:val="0"/>
          <w:bCs w:val="0"/>
          <w:snapToGrid w:val="0"/>
          <w:color w:val="auto"/>
          <w:kern w:val="28"/>
          <w:sz w:val="24"/>
          <w:highlight w:val="none"/>
          <w:lang w:val="en-US"/>
        </w:rPr>
        <w:t>可</w:t>
      </w:r>
      <w:r>
        <w:rPr>
          <w:rFonts w:hint="eastAsia" w:hAnsi="仿宋_GB2312" w:cs="仿宋_GB2312"/>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A428556">
      <w:pPr>
        <w:pStyle w:val="5"/>
        <w:rPr>
          <w:rFonts w:hint="eastAsia" w:hAnsi="仿宋_GB2312" w:cs="仿宋_GB2312"/>
          <w:color w:val="auto"/>
          <w:highlight w:val="none"/>
        </w:rPr>
      </w:pPr>
      <w:r>
        <w:rPr>
          <w:rFonts w:hint="eastAsia" w:hAnsi="仿宋_GB2312" w:cs="仿宋_GB2312"/>
          <w:color w:val="auto"/>
          <w:sz w:val="24"/>
          <w:highlight w:val="none"/>
          <w:lang w:val="en-US"/>
        </w:rPr>
        <w:t>27. 预付款</w:t>
      </w:r>
    </w:p>
    <w:p w14:paraId="45022828">
      <w:pPr>
        <w:snapToGrid w:val="0"/>
        <w:spacing w:line="360" w:lineRule="auto"/>
        <w:ind w:firstLine="480" w:firstLineChars="200"/>
        <w:rPr>
          <w:rFonts w:hint="eastAsia" w:ascii="仿宋_GB2312" w:hAnsi="仿宋_GB2312" w:eastAsia="仿宋_GB2312" w:cs="仿宋_GB2312"/>
          <w:b/>
          <w:color w:val="auto"/>
          <w:sz w:val="32"/>
          <w:highlight w:val="none"/>
        </w:rPr>
      </w:pPr>
      <w:r>
        <w:rPr>
          <w:rFonts w:hint="eastAsia" w:ascii="仿宋_GB2312" w:hAnsi="仿宋_GB2312" w:eastAsia="仿宋_GB2312" w:cs="仿宋_GB2312"/>
          <w:color w:val="auto"/>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ECB6BC2">
      <w:pPr>
        <w:pStyle w:val="5"/>
        <w:rPr>
          <w:rFonts w:hint="eastAsia"/>
          <w:color w:val="auto"/>
          <w:highlight w:val="none"/>
        </w:rPr>
      </w:pPr>
    </w:p>
    <w:p w14:paraId="5CF1DA86">
      <w:pPr>
        <w:pStyle w:val="25"/>
        <w:ind w:firstLine="480" w:firstLineChars="200"/>
        <w:rPr>
          <w:rFonts w:hint="eastAsia" w:ascii="仿宋" w:hAnsi="仿宋" w:cs="仿宋"/>
          <w:color w:val="auto"/>
          <w:highlight w:val="none"/>
        </w:rPr>
      </w:pPr>
    </w:p>
    <w:p w14:paraId="455939FF">
      <w:pPr>
        <w:snapToGrid w:val="0"/>
        <w:spacing w:line="360" w:lineRule="auto"/>
        <w:jc w:val="center"/>
        <w:rPr>
          <w:rFonts w:hint="eastAsia" w:ascii="仿宋" w:hAnsi="仿宋" w:cs="仿宋"/>
          <w:b/>
          <w:color w:val="auto"/>
          <w:highlight w:val="none"/>
        </w:rPr>
      </w:pPr>
      <w:r>
        <w:rPr>
          <w:rFonts w:hint="eastAsia" w:ascii="仿宋" w:hAnsi="仿宋" w:cs="仿宋"/>
          <w:b/>
          <w:color w:val="auto"/>
          <w:sz w:val="32"/>
          <w:highlight w:val="none"/>
        </w:rPr>
        <w:t>八、电子交易活动的中止</w:t>
      </w:r>
    </w:p>
    <w:p w14:paraId="0B12B405">
      <w:pPr>
        <w:snapToGrid w:val="0"/>
        <w:spacing w:line="360" w:lineRule="auto"/>
        <w:rPr>
          <w:rFonts w:hint="eastAsia" w:ascii="仿宋_GB2312" w:hAnsi="仿宋_GB2312" w:eastAsia="仿宋_GB2312" w:cs="仿宋_GB2312"/>
          <w:color w:val="auto"/>
          <w:szCs w:val="20"/>
          <w:highlight w:val="none"/>
        </w:rPr>
      </w:pPr>
      <w:r>
        <w:rPr>
          <w:rFonts w:hint="eastAsia" w:ascii="仿宋_GB2312" w:hAnsi="仿宋_GB2312" w:eastAsia="仿宋_GB2312" w:cs="仿宋_GB2312"/>
          <w:b/>
          <w:bCs/>
          <w:color w:val="auto"/>
          <w:szCs w:val="20"/>
          <w:highlight w:val="none"/>
        </w:rPr>
        <w:t>28</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color w:val="auto"/>
          <w:highlight w:val="none"/>
        </w:rPr>
        <w:t xml:space="preserve"> 电子交易活动的中止。</w:t>
      </w:r>
      <w:r>
        <w:rPr>
          <w:rFonts w:hint="eastAsia" w:ascii="仿宋_GB2312" w:hAnsi="仿宋_GB2312" w:eastAsia="仿宋_GB2312" w:cs="仿宋_GB2312"/>
          <w:color w:val="auto"/>
          <w:szCs w:val="20"/>
          <w:highlight w:val="none"/>
        </w:rPr>
        <w:t>采购过程中出现以下情形，导致电子交易平台无法正常运行，或者无法保证电子交易的公平、公正和安全时，采购代理机构可中止电子交易活动：</w:t>
      </w:r>
    </w:p>
    <w:p w14:paraId="6790E91F">
      <w:pPr>
        <w:snapToGrid w:val="0"/>
        <w:spacing w:line="360" w:lineRule="auto"/>
        <w:ind w:firstLine="480" w:firstLineChars="200"/>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rPr>
        <w:t xml:space="preserve">27.1电子交易平台发生故障而无法登录访问的； </w:t>
      </w:r>
    </w:p>
    <w:p w14:paraId="3D4C4B24">
      <w:pPr>
        <w:snapToGrid w:val="0"/>
        <w:spacing w:line="360" w:lineRule="auto"/>
        <w:ind w:firstLine="480" w:firstLineChars="200"/>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rPr>
        <w:t>27.2电子交易平台应用或数据库出现错误，不能进行正常操作的；</w:t>
      </w:r>
    </w:p>
    <w:p w14:paraId="32EB67BD">
      <w:pPr>
        <w:snapToGrid w:val="0"/>
        <w:spacing w:line="360" w:lineRule="auto"/>
        <w:ind w:firstLine="480" w:firstLineChars="200"/>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rPr>
        <w:t>27.3电子交易平台发现严重安全漏洞，有潜在泄密危险的；</w:t>
      </w:r>
    </w:p>
    <w:p w14:paraId="0BF79854">
      <w:pPr>
        <w:snapToGrid w:val="0"/>
        <w:spacing w:line="360" w:lineRule="auto"/>
        <w:ind w:firstLine="480" w:firstLineChars="200"/>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rPr>
        <w:t xml:space="preserve">27.4病毒发作导致不能进行正常操作的； </w:t>
      </w:r>
    </w:p>
    <w:p w14:paraId="349B79C0">
      <w:pPr>
        <w:snapToGrid w:val="0"/>
        <w:spacing w:line="360" w:lineRule="auto"/>
        <w:ind w:firstLine="480" w:firstLineChars="200"/>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rPr>
        <w:t>27.5其他无法保证电子交易的公平、公正和安全的情况。</w:t>
      </w:r>
    </w:p>
    <w:p w14:paraId="4B9A8D2C">
      <w:pPr>
        <w:snapToGrid w:val="0"/>
        <w:spacing w:line="360" w:lineRule="auto"/>
        <w:rPr>
          <w:rFonts w:hint="eastAsia" w:ascii="仿宋_GB2312" w:hAnsi="仿宋_GB2312" w:eastAsia="仿宋_GB2312" w:cs="仿宋_GB2312"/>
          <w:color w:val="auto"/>
          <w:szCs w:val="20"/>
          <w:highlight w:val="none"/>
        </w:rPr>
      </w:pPr>
      <w:r>
        <w:rPr>
          <w:rFonts w:hint="eastAsia" w:ascii="仿宋_GB2312" w:hAnsi="仿宋_GB2312" w:eastAsia="仿宋_GB2312" w:cs="仿宋_GB2312"/>
          <w:b/>
          <w:bCs/>
          <w:color w:val="auto"/>
          <w:szCs w:val="20"/>
          <w:highlight w:val="none"/>
        </w:rPr>
        <w:t>29.</w:t>
      </w:r>
      <w:r>
        <w:rPr>
          <w:rFonts w:hint="eastAsia" w:ascii="仿宋_GB2312" w:hAnsi="仿宋_GB2312" w:eastAsia="仿宋_GB2312" w:cs="仿宋_GB2312"/>
          <w:color w:val="auto"/>
          <w:szCs w:val="20"/>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326A356">
      <w:pPr>
        <w:tabs>
          <w:tab w:val="left" w:pos="0"/>
        </w:tabs>
        <w:spacing w:line="360" w:lineRule="auto"/>
        <w:ind w:firstLine="480" w:firstLineChars="200"/>
        <w:rPr>
          <w:rFonts w:hint="eastAsia" w:ascii="仿宋" w:hAnsi="仿宋" w:cs="仿宋"/>
          <w:color w:val="auto"/>
          <w:highlight w:val="none"/>
        </w:rPr>
      </w:pPr>
    </w:p>
    <w:p w14:paraId="7C54BF41">
      <w:pPr>
        <w:snapToGrid w:val="0"/>
        <w:spacing w:line="360" w:lineRule="auto"/>
        <w:jc w:val="center"/>
        <w:rPr>
          <w:rFonts w:hint="eastAsia" w:ascii="仿宋" w:hAnsi="仿宋" w:cs="仿宋"/>
          <w:b/>
          <w:color w:val="auto"/>
          <w:sz w:val="32"/>
          <w:highlight w:val="none"/>
        </w:rPr>
      </w:pPr>
      <w:r>
        <w:rPr>
          <w:rFonts w:hint="eastAsia" w:ascii="仿宋" w:hAnsi="仿宋" w:cs="仿宋"/>
          <w:b/>
          <w:color w:val="auto"/>
          <w:sz w:val="32"/>
          <w:highlight w:val="none"/>
        </w:rPr>
        <w:t>九、验收</w:t>
      </w:r>
    </w:p>
    <w:p w14:paraId="5A3A167A">
      <w:pPr>
        <w:pStyle w:val="3"/>
        <w:spacing w:line="360" w:lineRule="auto"/>
        <w:ind w:firstLine="0" w:firstLineChars="0"/>
        <w:rPr>
          <w:rFonts w:hint="eastAsia" w:ascii="仿宋" w:hAnsi="仿宋" w:cs="仿宋"/>
          <w:b/>
          <w:color w:val="auto"/>
          <w:highlight w:val="none"/>
        </w:rPr>
      </w:pPr>
      <w:r>
        <w:rPr>
          <w:rFonts w:hint="eastAsia" w:ascii="仿宋" w:hAnsi="仿宋" w:cs="仿宋"/>
          <w:b/>
          <w:color w:val="auto"/>
          <w:highlight w:val="none"/>
        </w:rPr>
        <w:t>30.验收</w:t>
      </w:r>
    </w:p>
    <w:p w14:paraId="017D2C74">
      <w:pPr>
        <w:tabs>
          <w:tab w:val="left" w:pos="0"/>
        </w:tabs>
        <w:spacing w:line="360" w:lineRule="auto"/>
        <w:ind w:firstLine="480"/>
        <w:rPr>
          <w:rFonts w:hint="eastAsia" w:ascii="仿宋" w:hAnsi="仿宋" w:cs="仿宋"/>
          <w:color w:val="auto"/>
          <w:kern w:val="0"/>
          <w:highlight w:val="none"/>
        </w:rPr>
      </w:pPr>
      <w:r>
        <w:rPr>
          <w:rFonts w:hint="eastAsia" w:ascii="仿宋" w:hAnsi="仿宋" w:cs="仿宋"/>
          <w:color w:val="auto"/>
          <w:kern w:val="0"/>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1F015C">
      <w:pPr>
        <w:tabs>
          <w:tab w:val="left" w:pos="0"/>
        </w:tabs>
        <w:spacing w:line="360" w:lineRule="auto"/>
        <w:ind w:firstLine="480"/>
        <w:rPr>
          <w:rFonts w:hint="eastAsia" w:ascii="仿宋" w:hAnsi="仿宋" w:cs="仿宋"/>
          <w:color w:val="auto"/>
          <w:kern w:val="0"/>
          <w:highlight w:val="none"/>
        </w:rPr>
      </w:pPr>
      <w:r>
        <w:rPr>
          <w:rFonts w:hint="eastAsia" w:ascii="仿宋" w:hAnsi="仿宋" w:cs="仿宋"/>
          <w:color w:val="auto"/>
          <w:kern w:val="0"/>
          <w:highlight w:val="none"/>
        </w:rPr>
        <w:t>30.2采购人可以邀请参加本项目的其他投标人或者第三方机构参与验收。参与验收的投标人或者第三方机构的意见作为验收书的参考资料一并存档。</w:t>
      </w:r>
    </w:p>
    <w:p w14:paraId="5283E822">
      <w:pPr>
        <w:tabs>
          <w:tab w:val="left" w:pos="0"/>
        </w:tabs>
        <w:spacing w:line="360" w:lineRule="auto"/>
        <w:ind w:firstLine="480"/>
        <w:rPr>
          <w:rFonts w:hint="eastAsia" w:ascii="仿宋" w:hAnsi="仿宋" w:cs="仿宋"/>
          <w:color w:val="auto"/>
          <w:kern w:val="0"/>
          <w:highlight w:val="none"/>
        </w:rPr>
      </w:pPr>
      <w:r>
        <w:rPr>
          <w:rFonts w:hint="eastAsia" w:ascii="仿宋" w:hAnsi="仿宋" w:cs="仿宋"/>
          <w:color w:val="auto"/>
          <w:kern w:val="0"/>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6D511F">
      <w:pPr>
        <w:tabs>
          <w:tab w:val="left" w:pos="0"/>
        </w:tabs>
        <w:spacing w:line="360" w:lineRule="auto"/>
        <w:ind w:firstLine="480" w:firstLineChars="200"/>
        <w:rPr>
          <w:rFonts w:hint="eastAsia" w:ascii="仿宋" w:hAnsi="仿宋" w:cs="仿宋"/>
          <w:color w:val="auto"/>
          <w:kern w:val="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cs="仿宋"/>
          <w:color w:val="auto"/>
          <w:kern w:val="0"/>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3"/>
    <w:bookmarkEnd w:id="24"/>
    <w:p w14:paraId="61CDD3E6">
      <w:pPr>
        <w:numPr>
          <w:ilvl w:val="0"/>
          <w:numId w:val="2"/>
        </w:numPr>
        <w:spacing w:line="360" w:lineRule="auto"/>
        <w:jc w:val="center"/>
        <w:outlineLvl w:val="0"/>
        <w:rPr>
          <w:rFonts w:hint="eastAsia" w:ascii="仿宋" w:hAnsi="仿宋" w:cs="仿宋"/>
          <w:b/>
          <w:color w:val="auto"/>
          <w:sz w:val="36"/>
          <w:szCs w:val="36"/>
          <w:highlight w:val="none"/>
        </w:rPr>
      </w:pPr>
      <w:bookmarkStart w:id="25" w:name="第四部分"/>
      <w:r>
        <w:rPr>
          <w:rFonts w:hint="eastAsia" w:ascii="仿宋" w:hAnsi="仿宋" w:cs="仿宋"/>
          <w:b/>
          <w:color w:val="auto"/>
          <w:sz w:val="36"/>
          <w:szCs w:val="36"/>
          <w:highlight w:val="none"/>
        </w:rPr>
        <w:t xml:space="preserve">  采购需求</w:t>
      </w:r>
    </w:p>
    <w:p w14:paraId="3046FCE4">
      <w:pPr>
        <w:spacing w:line="500" w:lineRule="exact"/>
        <w:rPr>
          <w:rFonts w:hint="eastAsia" w:ascii="仿宋" w:hAnsi="仿宋" w:cs="仿宋"/>
          <w:b/>
          <w:color w:val="auto"/>
          <w:highlight w:val="none"/>
        </w:rPr>
      </w:pPr>
      <w:r>
        <w:rPr>
          <w:rFonts w:hint="eastAsia" w:ascii="仿宋" w:hAnsi="仿宋" w:cs="仿宋"/>
          <w:b/>
          <w:color w:val="auto"/>
          <w:highlight w:val="none"/>
        </w:rPr>
        <w:t>一、项目概况</w:t>
      </w:r>
    </w:p>
    <w:p w14:paraId="2E60849B">
      <w:pPr>
        <w:snapToGrid w:val="0"/>
        <w:spacing w:line="360" w:lineRule="auto"/>
        <w:ind w:firstLine="480"/>
        <w:rPr>
          <w:rFonts w:hint="eastAsia" w:ascii="仿宋" w:hAnsi="仿宋" w:cs="仿宋"/>
          <w:color w:val="auto"/>
          <w:highlight w:val="none"/>
        </w:rPr>
      </w:pPr>
      <w:r>
        <w:rPr>
          <w:rFonts w:hint="eastAsia" w:ascii="仿宋" w:hAnsi="仿宋" w:cs="仿宋"/>
          <w:color w:val="auto"/>
          <w:highlight w:val="none"/>
        </w:rPr>
        <w:t>组织开展钱塘区17家土壤污染重点监管单位周边土壤及地下水污染状况调查监测评估，同时结合已有土壤监测结果（包括2024年24家）筛选出18个省控土壤点位，并编制土壤省控点位布设报告</w:t>
      </w:r>
      <w:r>
        <w:rPr>
          <w:rFonts w:hint="eastAsia" w:ascii="仿宋" w:hAnsi="仿宋" w:cs="仿宋"/>
          <w:color w:val="auto"/>
          <w:highlight w:val="none"/>
          <w:lang w:eastAsia="zh-CN"/>
        </w:rPr>
        <w:t>；</w:t>
      </w:r>
      <w:r>
        <w:rPr>
          <w:rFonts w:hint="eastAsia" w:ascii="仿宋" w:hAnsi="仿宋" w:cs="仿宋"/>
          <w:color w:val="auto"/>
          <w:highlight w:val="none"/>
          <w:lang w:eastAsia="zh-CN"/>
        </w:rPr>
        <w:t>对</w:t>
      </w:r>
      <w:r>
        <w:rPr>
          <w:rFonts w:hint="eastAsia" w:ascii="仿宋" w:hAnsi="仿宋" w:cs="仿宋"/>
          <w:bCs/>
          <w:snapToGrid/>
          <w:color w:val="auto"/>
          <w:kern w:val="2"/>
          <w:sz w:val="24"/>
          <w:szCs w:val="24"/>
          <w:highlight w:val="none"/>
          <w:lang w:eastAsia="zh-CN"/>
        </w:rPr>
        <w:t>3家地下水污染防治重点排污单位</w:t>
      </w:r>
      <w:r>
        <w:rPr>
          <w:rFonts w:hint="eastAsia" w:ascii="仿宋" w:hAnsi="仿宋" w:cs="仿宋"/>
          <w:bCs/>
          <w:snapToGrid/>
          <w:color w:val="auto"/>
          <w:kern w:val="2"/>
          <w:sz w:val="24"/>
          <w:szCs w:val="24"/>
          <w:highlight w:val="none"/>
          <w:lang w:val="en-US" w:eastAsia="zh-CN"/>
        </w:rPr>
        <w:t>开展地下水监测，</w:t>
      </w:r>
      <w:r>
        <w:rPr>
          <w:rFonts w:hint="eastAsia" w:ascii="仿宋" w:hAnsi="仿宋" w:cs="仿宋"/>
          <w:color w:val="auto"/>
          <w:highlight w:val="none"/>
        </w:rPr>
        <w:t>为完成工作，需委托第三方检测机构（实验室面积需500平方米以上）。</w:t>
      </w:r>
    </w:p>
    <w:p w14:paraId="47CBF69D">
      <w:pPr>
        <w:pStyle w:val="34"/>
        <w:suppressAutoHyphens/>
        <w:spacing w:line="360" w:lineRule="auto"/>
        <w:outlineLvl w:val="0"/>
        <w:rPr>
          <w:rFonts w:hint="eastAsia" w:ascii="仿宋" w:hAnsi="仿宋" w:cs="仿宋"/>
          <w:b/>
          <w:bCs/>
          <w:color w:val="auto"/>
          <w:szCs w:val="24"/>
          <w:highlight w:val="none"/>
        </w:rPr>
      </w:pPr>
      <w:r>
        <w:rPr>
          <w:rFonts w:hint="eastAsia" w:ascii="仿宋" w:hAnsi="仿宋" w:cs="仿宋"/>
          <w:b/>
          <w:bCs/>
          <w:color w:val="auto"/>
          <w:szCs w:val="24"/>
          <w:highlight w:val="none"/>
        </w:rPr>
        <w:t>二、项目内容</w:t>
      </w:r>
    </w:p>
    <w:p w14:paraId="76C0C9BC">
      <w:pPr>
        <w:pStyle w:val="799"/>
        <w:suppressAutoHyphens/>
        <w:rPr>
          <w:rFonts w:hint="eastAsia" w:ascii="仿宋" w:hAnsi="仿宋" w:cs="仿宋"/>
          <w:color w:val="auto"/>
          <w:szCs w:val="24"/>
          <w:highlight w:val="none"/>
        </w:rPr>
      </w:pPr>
      <w:r>
        <w:rPr>
          <w:rFonts w:hint="eastAsia" w:ascii="仿宋" w:hAnsi="仿宋" w:cs="仿宋"/>
          <w:color w:val="auto"/>
          <w:szCs w:val="24"/>
          <w:highlight w:val="none"/>
        </w:rPr>
        <w:t>1、组织对钱塘区17家土壤污染重点监管单位周边开展土壤、地下水调查监测评估。完成资料收集、现场勘查、方案设计、采样检测、分析和评价土壤和地下水质量状况，分别出具监测方案和监测报告，方案和报告应邀请至少3位专家评审。土壤省控点位布设报告应邀请至少3位专家评审。</w:t>
      </w:r>
      <w:r>
        <w:rPr>
          <w:rFonts w:hint="eastAsia" w:ascii="仿宋" w:hAnsi="仿宋" w:cs="仿宋"/>
          <w:color w:val="auto"/>
          <w:highlight w:val="none"/>
          <w:lang w:eastAsia="zh-CN"/>
        </w:rPr>
        <w:t>对</w:t>
      </w:r>
      <w:r>
        <w:rPr>
          <w:rFonts w:hint="eastAsia" w:ascii="仿宋" w:hAnsi="仿宋" w:cs="仿宋"/>
          <w:bCs/>
          <w:snapToGrid/>
          <w:color w:val="auto"/>
          <w:kern w:val="2"/>
          <w:sz w:val="24"/>
          <w:szCs w:val="24"/>
          <w:highlight w:val="none"/>
          <w:lang w:eastAsia="zh-CN"/>
        </w:rPr>
        <w:t>3家地下水污染防治重点排污单位</w:t>
      </w:r>
      <w:r>
        <w:rPr>
          <w:rFonts w:hint="eastAsia" w:ascii="仿宋" w:hAnsi="仿宋" w:cs="仿宋"/>
          <w:bCs/>
          <w:snapToGrid/>
          <w:color w:val="auto"/>
          <w:kern w:val="2"/>
          <w:sz w:val="24"/>
          <w:szCs w:val="24"/>
          <w:highlight w:val="none"/>
          <w:lang w:val="en-US" w:eastAsia="zh-CN"/>
        </w:rPr>
        <w:t>开展地下水监测。</w:t>
      </w:r>
    </w:p>
    <w:p w14:paraId="5D08364B">
      <w:pPr>
        <w:pStyle w:val="799"/>
        <w:suppressAutoHyphens/>
        <w:rPr>
          <w:rFonts w:hint="eastAsia" w:ascii="仿宋" w:hAnsi="仿宋" w:cs="仿宋"/>
          <w:color w:val="auto"/>
          <w:szCs w:val="24"/>
          <w:highlight w:val="none"/>
        </w:rPr>
      </w:pPr>
      <w:r>
        <w:rPr>
          <w:rFonts w:hint="eastAsia" w:ascii="仿宋" w:hAnsi="仿宋" w:cs="仿宋"/>
          <w:color w:val="auto"/>
          <w:szCs w:val="24"/>
          <w:highlight w:val="none"/>
        </w:rPr>
        <w:t>2、项目成果</w:t>
      </w:r>
    </w:p>
    <w:p w14:paraId="1F17C4F9">
      <w:pPr>
        <w:pStyle w:val="799"/>
        <w:suppressAutoHyphens/>
        <w:rPr>
          <w:rFonts w:hint="eastAsia" w:ascii="仿宋" w:hAnsi="仿宋" w:cs="仿宋"/>
          <w:color w:val="auto"/>
          <w:szCs w:val="24"/>
          <w:highlight w:val="none"/>
        </w:rPr>
      </w:pPr>
      <w:r>
        <w:rPr>
          <w:rFonts w:hint="eastAsia" w:ascii="仿宋" w:hAnsi="仿宋" w:cs="仿宋"/>
          <w:color w:val="auto"/>
          <w:szCs w:val="24"/>
          <w:highlight w:val="none"/>
        </w:rPr>
        <w:t>（1）要求一家企业一个文件夹，一家企业文件夹内包括：</w:t>
      </w:r>
    </w:p>
    <w:p w14:paraId="6DEC433F">
      <w:pPr>
        <w:pStyle w:val="799"/>
        <w:suppressAutoHyphens/>
        <w:rPr>
          <w:rFonts w:hint="eastAsia" w:ascii="仿宋" w:hAnsi="仿宋" w:cs="仿宋"/>
          <w:color w:val="auto"/>
          <w:szCs w:val="24"/>
          <w:highlight w:val="none"/>
        </w:rPr>
      </w:pPr>
      <w:r>
        <w:rPr>
          <w:rFonts w:hint="eastAsia" w:ascii="仿宋" w:hAnsi="仿宋" w:cs="仿宋"/>
          <w:color w:val="auto"/>
          <w:szCs w:val="24"/>
          <w:highlight w:val="none"/>
        </w:rPr>
        <w:t>1）土壤重点监管单位周边监测报告（可参考《指南》）（附专家意见）；</w:t>
      </w:r>
    </w:p>
    <w:p w14:paraId="1BDCA9F8">
      <w:pPr>
        <w:pStyle w:val="799"/>
        <w:suppressAutoHyphens/>
        <w:rPr>
          <w:rFonts w:hint="eastAsia" w:ascii="仿宋" w:hAnsi="仿宋" w:cs="仿宋"/>
          <w:color w:val="auto"/>
          <w:szCs w:val="24"/>
          <w:highlight w:val="none"/>
        </w:rPr>
      </w:pPr>
      <w:r>
        <w:rPr>
          <w:rFonts w:hint="eastAsia" w:ascii="仿宋" w:hAnsi="仿宋" w:cs="仿宋"/>
          <w:color w:val="auto"/>
          <w:szCs w:val="24"/>
          <w:highlight w:val="none"/>
        </w:rPr>
        <w:t>2）土壤重点监管单位周边监测方案（附专家意见）；</w:t>
      </w:r>
    </w:p>
    <w:p w14:paraId="7B716017">
      <w:pPr>
        <w:pStyle w:val="799"/>
        <w:suppressAutoHyphens/>
        <w:rPr>
          <w:rFonts w:hint="eastAsia" w:ascii="仿宋" w:hAnsi="仿宋" w:cs="仿宋"/>
          <w:color w:val="auto"/>
          <w:szCs w:val="24"/>
          <w:highlight w:val="none"/>
        </w:rPr>
      </w:pPr>
      <w:r>
        <w:rPr>
          <w:rFonts w:hint="eastAsia" w:ascii="仿宋" w:hAnsi="仿宋" w:cs="仿宋"/>
          <w:color w:val="auto"/>
          <w:szCs w:val="24"/>
          <w:highlight w:val="none"/>
        </w:rPr>
        <w:t>3）土壤、地下水监测报告（监测报告需加盖CMA章）；</w:t>
      </w:r>
    </w:p>
    <w:p w14:paraId="478039C2">
      <w:pPr>
        <w:pStyle w:val="799"/>
        <w:suppressAutoHyphens/>
        <w:rPr>
          <w:rFonts w:hint="eastAsia" w:ascii="仿宋" w:hAnsi="仿宋" w:cs="仿宋"/>
          <w:color w:val="auto"/>
          <w:szCs w:val="24"/>
          <w:highlight w:val="none"/>
        </w:rPr>
      </w:pPr>
      <w:r>
        <w:rPr>
          <w:rFonts w:hint="eastAsia" w:ascii="仿宋" w:hAnsi="仿宋" w:cs="仿宋"/>
          <w:color w:val="auto"/>
          <w:szCs w:val="24"/>
          <w:highlight w:val="none"/>
        </w:rPr>
        <w:t>4）企业自行监测报告；</w:t>
      </w:r>
    </w:p>
    <w:p w14:paraId="1D34946E">
      <w:pPr>
        <w:pStyle w:val="799"/>
        <w:suppressAutoHyphens/>
        <w:rPr>
          <w:rFonts w:hint="eastAsia" w:ascii="仿宋" w:hAnsi="仿宋" w:cs="仿宋"/>
          <w:color w:val="auto"/>
          <w:szCs w:val="24"/>
          <w:highlight w:val="none"/>
        </w:rPr>
      </w:pPr>
      <w:r>
        <w:rPr>
          <w:rFonts w:hint="eastAsia" w:ascii="仿宋" w:hAnsi="仿宋" w:cs="仿宋"/>
          <w:color w:val="auto"/>
          <w:szCs w:val="24"/>
          <w:highlight w:val="none"/>
        </w:rPr>
        <w:t>5）调查基础信息和数据上报execl电子版文档；</w:t>
      </w:r>
    </w:p>
    <w:p w14:paraId="052F0858">
      <w:pPr>
        <w:pStyle w:val="799"/>
        <w:suppressAutoHyphens/>
        <w:rPr>
          <w:rFonts w:hint="eastAsia" w:ascii="仿宋" w:hAnsi="仿宋" w:cs="仿宋"/>
          <w:color w:val="auto"/>
          <w:szCs w:val="24"/>
          <w:highlight w:val="none"/>
        </w:rPr>
      </w:pPr>
      <w:r>
        <w:rPr>
          <w:rFonts w:hint="eastAsia" w:ascii="仿宋" w:hAnsi="仿宋" w:cs="仿宋"/>
          <w:color w:val="auto"/>
          <w:szCs w:val="24"/>
          <w:highlight w:val="none"/>
        </w:rPr>
        <w:t>6）其他资料。</w:t>
      </w:r>
    </w:p>
    <w:p w14:paraId="785FDD46">
      <w:pPr>
        <w:pStyle w:val="799"/>
        <w:suppressAutoHyphens/>
        <w:rPr>
          <w:rFonts w:hint="eastAsia" w:ascii="仿宋" w:hAnsi="仿宋" w:cs="仿宋"/>
          <w:color w:val="auto"/>
          <w:szCs w:val="24"/>
          <w:highlight w:val="none"/>
        </w:rPr>
      </w:pPr>
      <w:r>
        <w:rPr>
          <w:rFonts w:hint="eastAsia" w:ascii="仿宋" w:hAnsi="仿宋" w:cs="仿宋"/>
          <w:color w:val="auto"/>
          <w:szCs w:val="24"/>
          <w:highlight w:val="none"/>
        </w:rPr>
        <w:t>（2）省控土壤点位筛选</w:t>
      </w:r>
    </w:p>
    <w:p w14:paraId="10B8C74F">
      <w:pPr>
        <w:pStyle w:val="799"/>
        <w:suppressAutoHyphens/>
        <w:rPr>
          <w:rFonts w:hint="eastAsia" w:ascii="仿宋" w:hAnsi="仿宋" w:cs="仿宋"/>
          <w:color w:val="auto"/>
          <w:szCs w:val="24"/>
          <w:highlight w:val="none"/>
        </w:rPr>
      </w:pPr>
      <w:r>
        <w:rPr>
          <w:rFonts w:hint="eastAsia" w:ascii="仿宋" w:hAnsi="仿宋" w:cs="仿宋"/>
          <w:color w:val="auto"/>
          <w:szCs w:val="24"/>
          <w:highlight w:val="none"/>
        </w:rPr>
        <w:t>1）土壤环境质量监测网络建设报告（参考杭环便函[2023]657附件2）；</w:t>
      </w:r>
    </w:p>
    <w:p w14:paraId="1BC2E55D">
      <w:pPr>
        <w:pStyle w:val="799"/>
        <w:suppressAutoHyphens/>
        <w:rPr>
          <w:rFonts w:hint="eastAsia" w:ascii="仿宋" w:hAnsi="仿宋" w:cs="仿宋"/>
          <w:color w:val="auto"/>
          <w:szCs w:val="24"/>
          <w:highlight w:val="none"/>
        </w:rPr>
      </w:pPr>
      <w:r>
        <w:rPr>
          <w:rFonts w:hint="eastAsia" w:ascii="仿宋" w:hAnsi="仿宋" w:cs="仿宋"/>
          <w:color w:val="auto"/>
          <w:szCs w:val="24"/>
          <w:highlight w:val="none"/>
        </w:rPr>
        <w:t>2）现场点位核查照片（参考杭环便函[2023]657附件2）；</w:t>
      </w:r>
    </w:p>
    <w:p w14:paraId="1EE5D516">
      <w:pPr>
        <w:pStyle w:val="799"/>
        <w:suppressAutoHyphens/>
        <w:rPr>
          <w:rFonts w:hint="eastAsia" w:ascii="仿宋" w:hAnsi="仿宋" w:cs="仿宋"/>
          <w:color w:val="auto"/>
          <w:szCs w:val="24"/>
          <w:highlight w:val="none"/>
        </w:rPr>
      </w:pPr>
      <w:r>
        <w:rPr>
          <w:rFonts w:hint="eastAsia" w:ascii="仿宋" w:hAnsi="仿宋" w:cs="仿宋"/>
          <w:color w:val="auto"/>
          <w:szCs w:val="24"/>
          <w:highlight w:val="none"/>
        </w:rPr>
        <w:t>3）土壤环境质量监测省控点位信息表（参考杭环便函[2023]657附件3）。</w:t>
      </w:r>
    </w:p>
    <w:p w14:paraId="26078B49">
      <w:pPr>
        <w:pStyle w:val="799"/>
        <w:suppressAutoHyphens/>
        <w:rPr>
          <w:rFonts w:hint="eastAsia" w:ascii="仿宋" w:hAnsi="仿宋" w:cs="仿宋"/>
          <w:bCs/>
          <w:snapToGrid/>
          <w:color w:val="auto"/>
          <w:kern w:val="2"/>
          <w:sz w:val="24"/>
          <w:szCs w:val="24"/>
          <w:highlight w:val="none"/>
          <w:lang w:eastAsia="zh-CN"/>
        </w:rPr>
      </w:pPr>
      <w:r>
        <w:rPr>
          <w:rFonts w:hint="eastAsia" w:ascii="仿宋" w:hAnsi="仿宋" w:cs="仿宋"/>
          <w:color w:val="auto"/>
          <w:szCs w:val="24"/>
          <w:highlight w:val="none"/>
          <w:lang w:val="en-US" w:eastAsia="zh-CN"/>
        </w:rPr>
        <w:t>（3）</w:t>
      </w:r>
      <w:r>
        <w:rPr>
          <w:rFonts w:hint="eastAsia" w:ascii="仿宋" w:hAnsi="仿宋" w:cs="仿宋"/>
          <w:bCs/>
          <w:snapToGrid/>
          <w:color w:val="auto"/>
          <w:kern w:val="2"/>
          <w:sz w:val="24"/>
          <w:szCs w:val="24"/>
          <w:highlight w:val="none"/>
          <w:lang w:eastAsia="zh-CN"/>
        </w:rPr>
        <w:t>地下水污染防治重点排污单位</w:t>
      </w:r>
    </w:p>
    <w:p w14:paraId="4FA91C4D">
      <w:pPr>
        <w:pStyle w:val="26"/>
        <w:rPr>
          <w:rFonts w:hint="default"/>
          <w:color w:val="auto"/>
          <w:highlight w:val="none"/>
          <w:lang w:val="en-US" w:eastAsia="zh-CN"/>
        </w:rPr>
      </w:pPr>
      <w:r>
        <w:rPr>
          <w:rFonts w:hint="eastAsia"/>
          <w:color w:val="auto"/>
          <w:highlight w:val="none"/>
          <w:lang w:val="en-US" w:eastAsia="zh-CN"/>
        </w:rPr>
        <w:t>1）地下水监测报告。</w:t>
      </w:r>
    </w:p>
    <w:p w14:paraId="722C7E96">
      <w:pPr>
        <w:pStyle w:val="34"/>
        <w:suppressAutoHyphens/>
        <w:spacing w:line="360" w:lineRule="auto"/>
        <w:outlineLvl w:val="0"/>
        <w:rPr>
          <w:rFonts w:hint="eastAsia" w:ascii="仿宋" w:hAnsi="仿宋" w:cs="仿宋"/>
          <w:b/>
          <w:bCs/>
          <w:color w:val="auto"/>
          <w:szCs w:val="24"/>
          <w:highlight w:val="none"/>
        </w:rPr>
      </w:pPr>
      <w:r>
        <w:rPr>
          <w:rFonts w:hint="eastAsia" w:ascii="仿宋" w:hAnsi="仿宋" w:cs="仿宋"/>
          <w:b/>
          <w:bCs/>
          <w:color w:val="auto"/>
          <w:szCs w:val="24"/>
          <w:highlight w:val="none"/>
        </w:rPr>
        <w:t>三、项目技术要求</w:t>
      </w:r>
    </w:p>
    <w:p w14:paraId="30013947">
      <w:pPr>
        <w:suppressAutoHyphens/>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1、项目实施必须依据国家、省和市土壤污染状况调查系列技术文件、《土壤环境监测技术规范》（HJ/T 166-2004）、《地下水环境监测技术规范》（HJ/T 164-2020）、中国环境监测总站《关于印发&lt;工业企业周边土壤和地下水监测技术指南（试行）&gt;的通知》（总站土字〔2024〕73号）（以下简称“《指南》”）、浙江省生态环境厅关于印发《浙江省土壤污染重点监管单位周边土壤环境监测工作方案》的通知（浙环函〔2022〕197号）、《浙江省土壤污染重点监管单位周边土壤环境监测补充技术要求》（浙环监发〔2023〕17号）以及《杭州市生态环境局关于推进全市土壤和地下水环境质量监测网络建设的通知》（杭环便函[2023]657号）等相关技术要求。</w:t>
      </w:r>
    </w:p>
    <w:p w14:paraId="39FF2B24">
      <w:pPr>
        <w:suppressAutoHyphens/>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2、除《指南》规定的信息采集要求外，还应调查土壤污染重点监管单位周边1km范围内的裸露土壤区域和企业的特征污染物，并按照特征污染物的迁移途径，明确土壤污染重点监管单位所属污染影响类型，即大气沉降影响型、水迁移影响型和运输途径影响型。企业存在多种土壤污染迁移途径时，须同时考虑各类型叠加影响</w:t>
      </w:r>
    </w:p>
    <w:p w14:paraId="0D26CF76">
      <w:pPr>
        <w:suppressAutoHyphens/>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3、除《指南》中规定的点位布设要求外，明确点位布设首先选择农用地，如企业周边没有农用地或同一土地利用类型连片面积较大区域，可在其他裸露的土壤上布设点位；水迁移影响型应在地下水流向上、下游和两侧分别至少布设1个地下水点位，且在下游至少布设1个土壤深层点位。单个企业、企业群（几家企业在一起，距离很近）或工业集聚区这3类情况的点位布设要求具体如下：（一）单个企业厂界外1km范围内有满足或基本满足布点要求的裸露土壤，按照单个企业布点。（二）企业群或工业集聚区内不存在点位布设条件或无裸露土壤的，在该企业群或工业集聚区边界外1km范围内布设点位，原则上要求在八个方向按指南要求分别布点。（三）企业群或工业集聚区内企业之间距离相对较远，且存在点位布设条件（裸露土壤），应一家企业或者几家企业为一个整体进行布点。</w:t>
      </w:r>
    </w:p>
    <w:p w14:paraId="24F18B01">
      <w:pPr>
        <w:suppressAutoHyphens/>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4、单个企业开展调查监测的，方案和报告应单独出具。多个企业一起开展调查监测的，方案根据当地管理需求，可每个企业出具一个方案，也可将所有企业合并出具一个方案；报告应一个企业出具一份报告，调查点位及监测结果可共用，当点位较多时可按照企业的影响范围，选择相应的点位和监测结果。原则上方案和报告应邀请至少3位专家审核。</w:t>
      </w:r>
    </w:p>
    <w:p w14:paraId="616E747C">
      <w:pPr>
        <w:suppressAutoHyphens/>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5、土壤点位监测1次，地下水分别在丰水期和枯水期各监测1次。</w:t>
      </w:r>
    </w:p>
    <w:p w14:paraId="6577B20E">
      <w:pPr>
        <w:suppressAutoHyphens/>
        <w:spacing w:line="360" w:lineRule="auto"/>
        <w:rPr>
          <w:rFonts w:hint="eastAsia" w:ascii="仿宋" w:hAnsi="仿宋" w:cs="仿宋"/>
          <w:b/>
          <w:bCs/>
          <w:color w:val="auto"/>
          <w:highlight w:val="none"/>
        </w:rPr>
      </w:pPr>
      <w:r>
        <w:rPr>
          <w:rFonts w:hint="eastAsia" w:ascii="仿宋" w:hAnsi="仿宋" w:cs="仿宋"/>
          <w:b/>
          <w:bCs/>
          <w:color w:val="auto"/>
          <w:highlight w:val="none"/>
        </w:rPr>
        <w:t>四、项目服务时间及要求</w:t>
      </w:r>
    </w:p>
    <w:p w14:paraId="3BF6AA56">
      <w:pPr>
        <w:suppressAutoHyphens/>
        <w:snapToGrid w:val="0"/>
        <w:spacing w:line="360" w:lineRule="auto"/>
        <w:ind w:firstLine="480" w:firstLineChars="200"/>
        <w:jc w:val="left"/>
        <w:rPr>
          <w:color w:val="auto"/>
          <w:highlight w:val="none"/>
        </w:rPr>
      </w:pPr>
      <w:r>
        <w:rPr>
          <w:rFonts w:hint="eastAsia" w:ascii="仿宋" w:hAnsi="仿宋" w:cs="仿宋"/>
          <w:color w:val="auto"/>
          <w:highlight w:val="none"/>
        </w:rPr>
        <w:t>2025年12月31日前，完成17家企业的全部成果内容，并同步完成已监测土壤污染重点监管单位的18个省控土壤点位筛选、报告编制及评审。</w:t>
      </w:r>
      <w:r>
        <w:rPr>
          <w:rFonts w:hint="eastAsia" w:ascii="仿宋" w:hAnsi="仿宋" w:cs="仿宋"/>
          <w:color w:val="auto"/>
          <w:highlight w:val="none"/>
          <w:lang w:eastAsia="zh-CN"/>
        </w:rPr>
        <w:t>完成</w:t>
      </w:r>
      <w:r>
        <w:rPr>
          <w:rFonts w:hint="eastAsia" w:ascii="仿宋" w:hAnsi="仿宋" w:eastAsia="仿宋" w:cs="仿宋"/>
          <w:bCs/>
          <w:snapToGrid/>
          <w:color w:val="auto"/>
          <w:kern w:val="2"/>
          <w:sz w:val="24"/>
          <w:szCs w:val="24"/>
          <w:highlight w:val="none"/>
          <w:lang w:val="en-US" w:eastAsia="zh-CN" w:bidi="ar-SA"/>
        </w:rPr>
        <w:t>3家地下水污染防治重点排污单位地下水监测报告</w:t>
      </w:r>
      <w:r>
        <w:rPr>
          <w:rFonts w:hint="eastAsia" w:ascii="仿宋" w:hAnsi="仿宋" w:cs="仿宋"/>
          <w:bCs/>
          <w:snapToGrid/>
          <w:color w:val="auto"/>
          <w:kern w:val="2"/>
          <w:sz w:val="24"/>
          <w:szCs w:val="24"/>
          <w:highlight w:val="none"/>
          <w:lang w:val="en-US" w:eastAsia="zh-CN" w:bidi="ar-SA"/>
        </w:rPr>
        <w:t>。</w:t>
      </w:r>
    </w:p>
    <w:p w14:paraId="00F18AA0">
      <w:pPr>
        <w:suppressAutoHyphens/>
        <w:spacing w:line="360" w:lineRule="auto"/>
        <w:rPr>
          <w:rFonts w:hint="eastAsia" w:ascii="仿宋" w:hAnsi="仿宋" w:cs="仿宋"/>
          <w:b/>
          <w:bCs/>
          <w:color w:val="auto"/>
          <w:highlight w:val="none"/>
        </w:rPr>
      </w:pPr>
      <w:r>
        <w:rPr>
          <w:rFonts w:hint="eastAsia" w:ascii="仿宋" w:hAnsi="仿宋" w:cs="仿宋"/>
          <w:b/>
          <w:bCs/>
          <w:color w:val="auto"/>
          <w:highlight w:val="none"/>
        </w:rPr>
        <w:t>五、付款方式</w:t>
      </w:r>
    </w:p>
    <w:p w14:paraId="16245F5C">
      <w:pPr>
        <w:spacing w:line="560" w:lineRule="exact"/>
        <w:ind w:firstLine="480" w:firstLineChars="200"/>
        <w:rPr>
          <w:rFonts w:hint="eastAsia" w:ascii="仿宋" w:hAnsi="仿宋" w:eastAsia="仿宋" w:cs="仿宋"/>
          <w:color w:val="auto"/>
          <w:highlight w:val="none"/>
          <w:lang w:val="en-US" w:eastAsia="zh-CN"/>
        </w:rPr>
      </w:pPr>
      <w:r>
        <w:rPr>
          <w:rFonts w:hint="eastAsia" w:ascii="仿宋" w:hAnsi="仿宋" w:cs="仿宋"/>
          <w:color w:val="auto"/>
          <w:highlight w:val="none"/>
        </w:rPr>
        <w:t>第一次付款：合同签订生效后</w:t>
      </w:r>
      <w:r>
        <w:rPr>
          <w:rFonts w:hint="eastAsia" w:ascii="仿宋" w:hAnsi="仿宋" w:cs="仿宋"/>
          <w:color w:val="auto"/>
          <w:highlight w:val="none"/>
          <w:lang w:eastAsia="zh-CN"/>
        </w:rPr>
        <w:t>，</w:t>
      </w:r>
      <w:r>
        <w:rPr>
          <w:rFonts w:hint="eastAsia" w:ascii="仿宋" w:hAnsi="仿宋" w:cs="仿宋"/>
          <w:color w:val="auto"/>
          <w:highlight w:val="none"/>
        </w:rPr>
        <w:t>中标方向采购人提交付款申请，采购人7个工作日内支付合同价的50%作为预付款，在签订合同时，中标方明确表示无需预付款或者主动要求降低预付款比例的，采购人可不适用前述规定。第二次付款：中标方完成项目服务内容并通过专家评审后，中标方向采购人提交付款申请，采购人在收到中标人提供的付款申请材料后1个月内支付剩余金额。</w:t>
      </w:r>
      <w:r>
        <w:rPr>
          <w:rFonts w:hint="eastAsia" w:ascii="仿宋" w:hAnsi="仿宋" w:cs="仿宋"/>
          <w:color w:val="auto"/>
          <w:highlight w:val="none"/>
        </w:rPr>
        <w:t>如遇财政关账等原因不能及时付款，则付款日期延后，甲方不承担责任</w:t>
      </w:r>
      <w:r>
        <w:rPr>
          <w:rFonts w:hint="eastAsia" w:ascii="仿宋" w:hAnsi="仿宋" w:cs="仿宋"/>
          <w:color w:val="auto"/>
          <w:highlight w:val="none"/>
          <w:lang w:eastAsia="zh-CN"/>
        </w:rPr>
        <w:t>。</w:t>
      </w:r>
    </w:p>
    <w:p w14:paraId="6E4A8886">
      <w:pPr>
        <w:suppressAutoHyphens/>
        <w:spacing w:line="360" w:lineRule="auto"/>
        <w:jc w:val="both"/>
        <w:rPr>
          <w:rFonts w:hint="eastAsia" w:ascii="仿宋" w:hAnsi="仿宋" w:cs="仿宋"/>
          <w:b/>
          <w:bCs/>
          <w:color w:val="auto"/>
          <w:highlight w:val="none"/>
        </w:rPr>
      </w:pPr>
      <w:r>
        <w:rPr>
          <w:rFonts w:hint="eastAsia" w:ascii="仿宋" w:hAnsi="仿宋" w:cs="仿宋"/>
          <w:b/>
          <w:bCs/>
          <w:color w:val="auto"/>
          <w:highlight w:val="none"/>
        </w:rPr>
        <w:t>六、验收标准或要求</w:t>
      </w:r>
    </w:p>
    <w:p w14:paraId="3C6469B3">
      <w:pPr>
        <w:suppressAutoHyphens/>
        <w:snapToGrid w:val="0"/>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所有成果上报完成，成果不被退回为最终成果完成。</w:t>
      </w:r>
    </w:p>
    <w:p w14:paraId="7337DCF4">
      <w:pPr>
        <w:suppressAutoHyphens/>
        <w:spacing w:line="360" w:lineRule="auto"/>
        <w:rPr>
          <w:rFonts w:hint="eastAsia" w:ascii="仿宋" w:hAnsi="仿宋" w:cs="仿宋"/>
          <w:b/>
          <w:bCs/>
          <w:color w:val="auto"/>
          <w:highlight w:val="none"/>
        </w:rPr>
      </w:pPr>
      <w:r>
        <w:rPr>
          <w:rFonts w:hint="eastAsia" w:ascii="仿宋" w:hAnsi="仿宋" w:cs="仿宋"/>
          <w:b/>
          <w:bCs/>
          <w:color w:val="auto"/>
          <w:highlight w:val="none"/>
        </w:rPr>
        <w:t>七、服务地点</w:t>
      </w:r>
    </w:p>
    <w:p w14:paraId="4124702E">
      <w:pPr>
        <w:suppressAutoHyphens/>
        <w:snapToGrid w:val="0"/>
        <w:spacing w:line="360" w:lineRule="auto"/>
        <w:ind w:firstLine="480" w:firstLineChars="200"/>
        <w:jc w:val="left"/>
        <w:rPr>
          <w:color w:val="auto"/>
          <w:highlight w:val="none"/>
        </w:rPr>
      </w:pPr>
      <w:r>
        <w:rPr>
          <w:rFonts w:hint="eastAsia" w:ascii="仿宋" w:hAnsi="仿宋" w:cs="仿宋"/>
          <w:color w:val="auto"/>
          <w:highlight w:val="none"/>
        </w:rPr>
        <w:t>杭州市钱塘区。</w:t>
      </w:r>
    </w:p>
    <w:p w14:paraId="22A57355">
      <w:pPr>
        <w:snapToGrid w:val="0"/>
        <w:jc w:val="center"/>
        <w:rPr>
          <w:rFonts w:hint="eastAsia" w:ascii="仿宋" w:hAnsi="仿宋" w:cs="仿宋"/>
          <w:b/>
          <w:color w:val="auto"/>
          <w:sz w:val="36"/>
          <w:szCs w:val="36"/>
          <w:highlight w:val="none"/>
        </w:rPr>
      </w:pPr>
    </w:p>
    <w:p w14:paraId="35AAFE27">
      <w:pPr>
        <w:snapToGrid w:val="0"/>
        <w:jc w:val="center"/>
        <w:rPr>
          <w:rFonts w:hint="eastAsia" w:ascii="仿宋" w:hAnsi="仿宋" w:cs="仿宋"/>
          <w:b/>
          <w:color w:val="auto"/>
          <w:sz w:val="36"/>
          <w:szCs w:val="36"/>
          <w:highlight w:val="none"/>
        </w:rPr>
      </w:pPr>
    </w:p>
    <w:p w14:paraId="2F81F5D2">
      <w:pPr>
        <w:snapToGrid w:val="0"/>
        <w:jc w:val="center"/>
        <w:rPr>
          <w:rFonts w:hint="eastAsia" w:ascii="仿宋" w:hAnsi="仿宋" w:cs="仿宋"/>
          <w:b/>
          <w:color w:val="auto"/>
          <w:sz w:val="36"/>
          <w:szCs w:val="36"/>
          <w:highlight w:val="none"/>
        </w:rPr>
      </w:pPr>
    </w:p>
    <w:p w14:paraId="185217D1">
      <w:pPr>
        <w:snapToGrid w:val="0"/>
        <w:jc w:val="center"/>
        <w:rPr>
          <w:rFonts w:hint="eastAsia" w:ascii="仿宋" w:hAnsi="仿宋" w:cs="仿宋"/>
          <w:b/>
          <w:color w:val="auto"/>
          <w:sz w:val="36"/>
          <w:szCs w:val="36"/>
          <w:highlight w:val="none"/>
        </w:rPr>
      </w:pPr>
    </w:p>
    <w:p w14:paraId="3CDA78D0">
      <w:pPr>
        <w:snapToGrid w:val="0"/>
        <w:jc w:val="center"/>
        <w:rPr>
          <w:rFonts w:hint="eastAsia" w:ascii="仿宋" w:hAnsi="仿宋" w:cs="仿宋"/>
          <w:b/>
          <w:color w:val="auto"/>
          <w:sz w:val="36"/>
          <w:szCs w:val="36"/>
          <w:highlight w:val="none"/>
        </w:rPr>
      </w:pPr>
    </w:p>
    <w:p w14:paraId="324D4133">
      <w:pPr>
        <w:snapToGrid w:val="0"/>
        <w:jc w:val="center"/>
        <w:rPr>
          <w:rFonts w:hint="eastAsia" w:ascii="仿宋" w:hAnsi="仿宋" w:cs="仿宋"/>
          <w:b/>
          <w:color w:val="auto"/>
          <w:sz w:val="36"/>
          <w:szCs w:val="36"/>
          <w:highlight w:val="none"/>
        </w:rPr>
      </w:pPr>
    </w:p>
    <w:p w14:paraId="587328D2">
      <w:pPr>
        <w:snapToGrid w:val="0"/>
        <w:jc w:val="center"/>
        <w:rPr>
          <w:rFonts w:hint="eastAsia" w:ascii="仿宋" w:hAnsi="仿宋" w:cs="仿宋"/>
          <w:b/>
          <w:color w:val="auto"/>
          <w:sz w:val="36"/>
          <w:szCs w:val="36"/>
          <w:highlight w:val="none"/>
        </w:rPr>
      </w:pPr>
    </w:p>
    <w:p w14:paraId="2211CBC3">
      <w:pPr>
        <w:snapToGrid w:val="0"/>
        <w:jc w:val="center"/>
        <w:rPr>
          <w:rFonts w:hint="eastAsia" w:ascii="仿宋" w:hAnsi="仿宋" w:cs="仿宋"/>
          <w:b/>
          <w:color w:val="auto"/>
          <w:sz w:val="36"/>
          <w:szCs w:val="36"/>
          <w:highlight w:val="none"/>
        </w:rPr>
      </w:pPr>
    </w:p>
    <w:p w14:paraId="581E71FF">
      <w:pPr>
        <w:snapToGrid w:val="0"/>
        <w:jc w:val="center"/>
        <w:rPr>
          <w:rFonts w:hint="eastAsia" w:ascii="仿宋" w:hAnsi="仿宋" w:cs="仿宋"/>
          <w:b/>
          <w:color w:val="auto"/>
          <w:sz w:val="36"/>
          <w:szCs w:val="36"/>
          <w:highlight w:val="none"/>
        </w:rPr>
      </w:pPr>
    </w:p>
    <w:p w14:paraId="7EF70856">
      <w:pPr>
        <w:snapToGrid w:val="0"/>
        <w:jc w:val="center"/>
        <w:rPr>
          <w:rFonts w:hint="eastAsia" w:ascii="仿宋" w:hAnsi="仿宋" w:cs="仿宋"/>
          <w:b/>
          <w:color w:val="auto"/>
          <w:sz w:val="36"/>
          <w:szCs w:val="36"/>
          <w:highlight w:val="none"/>
        </w:rPr>
      </w:pPr>
    </w:p>
    <w:p w14:paraId="1A82AB64">
      <w:pPr>
        <w:snapToGrid w:val="0"/>
        <w:jc w:val="center"/>
        <w:rPr>
          <w:rFonts w:hint="eastAsia" w:ascii="仿宋" w:hAnsi="仿宋" w:cs="仿宋"/>
          <w:b/>
          <w:color w:val="auto"/>
          <w:sz w:val="36"/>
          <w:szCs w:val="36"/>
          <w:highlight w:val="none"/>
        </w:rPr>
      </w:pPr>
    </w:p>
    <w:p w14:paraId="4543723B">
      <w:pPr>
        <w:snapToGrid w:val="0"/>
        <w:jc w:val="center"/>
        <w:rPr>
          <w:rFonts w:hint="eastAsia" w:ascii="仿宋" w:hAnsi="仿宋" w:cs="仿宋"/>
          <w:b/>
          <w:color w:val="auto"/>
          <w:sz w:val="36"/>
          <w:szCs w:val="36"/>
          <w:highlight w:val="none"/>
        </w:rPr>
      </w:pPr>
    </w:p>
    <w:p w14:paraId="09048645">
      <w:pPr>
        <w:snapToGrid w:val="0"/>
        <w:jc w:val="center"/>
        <w:rPr>
          <w:rFonts w:hint="eastAsia" w:ascii="仿宋" w:hAnsi="仿宋" w:cs="仿宋"/>
          <w:b/>
          <w:color w:val="auto"/>
          <w:sz w:val="36"/>
          <w:szCs w:val="36"/>
          <w:highlight w:val="none"/>
        </w:rPr>
      </w:pPr>
    </w:p>
    <w:p w14:paraId="2EE2D2AC">
      <w:pPr>
        <w:snapToGrid w:val="0"/>
        <w:jc w:val="center"/>
        <w:rPr>
          <w:rFonts w:hint="eastAsia" w:ascii="仿宋" w:hAnsi="仿宋" w:cs="仿宋"/>
          <w:b/>
          <w:color w:val="auto"/>
          <w:sz w:val="36"/>
          <w:szCs w:val="36"/>
          <w:highlight w:val="none"/>
        </w:rPr>
      </w:pPr>
    </w:p>
    <w:p w14:paraId="520D3D8B">
      <w:pPr>
        <w:snapToGrid w:val="0"/>
        <w:jc w:val="center"/>
        <w:rPr>
          <w:rFonts w:hint="eastAsia" w:ascii="仿宋" w:hAnsi="仿宋" w:cs="仿宋"/>
          <w:b/>
          <w:color w:val="auto"/>
          <w:sz w:val="36"/>
          <w:szCs w:val="36"/>
          <w:highlight w:val="none"/>
        </w:rPr>
      </w:pPr>
    </w:p>
    <w:p w14:paraId="76480FFF">
      <w:pPr>
        <w:snapToGrid w:val="0"/>
        <w:jc w:val="center"/>
        <w:rPr>
          <w:rFonts w:hint="eastAsia" w:ascii="仿宋" w:hAnsi="仿宋" w:cs="仿宋"/>
          <w:b/>
          <w:color w:val="auto"/>
          <w:sz w:val="36"/>
          <w:szCs w:val="36"/>
          <w:highlight w:val="none"/>
        </w:rPr>
      </w:pPr>
    </w:p>
    <w:p w14:paraId="68569066">
      <w:pPr>
        <w:snapToGrid w:val="0"/>
        <w:jc w:val="center"/>
        <w:rPr>
          <w:rFonts w:hint="eastAsia" w:ascii="仿宋" w:hAnsi="仿宋" w:cs="仿宋"/>
          <w:b/>
          <w:color w:val="auto"/>
          <w:sz w:val="36"/>
          <w:szCs w:val="36"/>
          <w:highlight w:val="none"/>
        </w:rPr>
      </w:pPr>
    </w:p>
    <w:p w14:paraId="09A69E9B">
      <w:pPr>
        <w:snapToGrid w:val="0"/>
        <w:jc w:val="center"/>
        <w:rPr>
          <w:rFonts w:hint="eastAsia" w:ascii="仿宋" w:hAnsi="仿宋" w:cs="仿宋"/>
          <w:b/>
          <w:color w:val="auto"/>
          <w:sz w:val="36"/>
          <w:szCs w:val="36"/>
          <w:highlight w:val="none"/>
        </w:rPr>
      </w:pPr>
    </w:p>
    <w:p w14:paraId="74B061EB">
      <w:pPr>
        <w:snapToGrid w:val="0"/>
        <w:jc w:val="center"/>
        <w:rPr>
          <w:rFonts w:hint="eastAsia" w:ascii="仿宋" w:hAnsi="仿宋" w:cs="仿宋"/>
          <w:b/>
          <w:color w:val="auto"/>
          <w:sz w:val="36"/>
          <w:szCs w:val="36"/>
          <w:highlight w:val="none"/>
        </w:rPr>
      </w:pPr>
    </w:p>
    <w:p w14:paraId="585F621E">
      <w:pPr>
        <w:snapToGrid w:val="0"/>
        <w:jc w:val="center"/>
        <w:rPr>
          <w:rFonts w:hint="eastAsia" w:ascii="仿宋" w:hAnsi="仿宋" w:cs="仿宋"/>
          <w:b/>
          <w:color w:val="auto"/>
          <w:sz w:val="36"/>
          <w:szCs w:val="36"/>
          <w:highlight w:val="none"/>
        </w:rPr>
      </w:pPr>
    </w:p>
    <w:p w14:paraId="2DF07226">
      <w:pPr>
        <w:snapToGrid w:val="0"/>
        <w:jc w:val="center"/>
        <w:rPr>
          <w:rFonts w:hint="eastAsia" w:ascii="仿宋" w:hAnsi="仿宋" w:cs="仿宋"/>
          <w:b/>
          <w:color w:val="auto"/>
          <w:sz w:val="36"/>
          <w:szCs w:val="36"/>
          <w:highlight w:val="none"/>
        </w:rPr>
      </w:pPr>
      <w:r>
        <w:rPr>
          <w:rFonts w:hint="eastAsia" w:ascii="仿宋" w:hAnsi="仿宋" w:cs="仿宋"/>
          <w:b/>
          <w:color w:val="auto"/>
          <w:sz w:val="36"/>
          <w:szCs w:val="36"/>
          <w:highlight w:val="none"/>
        </w:rPr>
        <w:t xml:space="preserve">第四部分   </w:t>
      </w:r>
      <w:bookmarkStart w:id="26" w:name="_Toc184314462"/>
      <w:bookmarkEnd w:id="26"/>
      <w:bookmarkStart w:id="27" w:name="_Toc184310294"/>
      <w:bookmarkEnd w:id="27"/>
      <w:bookmarkStart w:id="28" w:name="_Toc184314427"/>
      <w:bookmarkEnd w:id="28"/>
      <w:bookmarkStart w:id="29" w:name="_Toc184312094"/>
      <w:bookmarkEnd w:id="29"/>
      <w:bookmarkStart w:id="30" w:name="_Toc184310278"/>
      <w:bookmarkEnd w:id="30"/>
      <w:bookmarkStart w:id="31" w:name="_Toc184313253"/>
      <w:bookmarkEnd w:id="31"/>
      <w:bookmarkStart w:id="32" w:name="_Toc184310329"/>
      <w:bookmarkEnd w:id="32"/>
      <w:bookmarkStart w:id="33" w:name="_Toc184312139"/>
      <w:bookmarkEnd w:id="33"/>
      <w:bookmarkStart w:id="34" w:name="_Toc184308089"/>
      <w:bookmarkEnd w:id="34"/>
      <w:bookmarkStart w:id="35" w:name="_Toc184314475"/>
      <w:bookmarkEnd w:id="35"/>
      <w:bookmarkStart w:id="36" w:name="_Toc184314470"/>
      <w:bookmarkEnd w:id="36"/>
      <w:bookmarkStart w:id="37" w:name="_Toc184310330"/>
      <w:bookmarkEnd w:id="37"/>
      <w:bookmarkStart w:id="38" w:name="_Toc184310276"/>
      <w:bookmarkEnd w:id="38"/>
      <w:bookmarkStart w:id="39" w:name="_Toc184310282"/>
      <w:bookmarkEnd w:id="39"/>
      <w:bookmarkStart w:id="40" w:name="_Toc184308102"/>
      <w:bookmarkEnd w:id="40"/>
      <w:bookmarkStart w:id="41" w:name="_Toc184312093"/>
      <w:bookmarkEnd w:id="41"/>
      <w:bookmarkStart w:id="42" w:name="_Toc184308085"/>
      <w:bookmarkEnd w:id="42"/>
      <w:bookmarkStart w:id="43" w:name="_Toc184308050"/>
      <w:bookmarkEnd w:id="43"/>
      <w:bookmarkStart w:id="44" w:name="_Toc184314441"/>
      <w:bookmarkEnd w:id="44"/>
      <w:bookmarkStart w:id="45" w:name="_Toc184313285"/>
      <w:bookmarkEnd w:id="45"/>
      <w:bookmarkStart w:id="46" w:name="_Toc184313257"/>
      <w:bookmarkEnd w:id="46"/>
      <w:bookmarkStart w:id="47" w:name="_Toc184308088"/>
      <w:bookmarkEnd w:id="47"/>
      <w:bookmarkStart w:id="48" w:name="_Toc184314472"/>
      <w:bookmarkEnd w:id="48"/>
      <w:bookmarkStart w:id="49" w:name="_Toc184310290"/>
      <w:bookmarkEnd w:id="49"/>
      <w:bookmarkStart w:id="50" w:name="_Toc184314440"/>
      <w:bookmarkEnd w:id="50"/>
      <w:bookmarkStart w:id="51" w:name="_Toc184308061"/>
      <w:bookmarkEnd w:id="51"/>
      <w:bookmarkStart w:id="52" w:name="_Toc184314432"/>
      <w:bookmarkEnd w:id="52"/>
      <w:bookmarkStart w:id="53" w:name="_Toc184308066"/>
      <w:bookmarkEnd w:id="53"/>
      <w:bookmarkStart w:id="54" w:name="_Toc184313293"/>
      <w:bookmarkEnd w:id="54"/>
      <w:bookmarkStart w:id="55" w:name="_Toc184310342"/>
      <w:bookmarkEnd w:id="55"/>
      <w:bookmarkStart w:id="56" w:name="_Toc184313240"/>
      <w:bookmarkEnd w:id="56"/>
      <w:bookmarkStart w:id="57" w:name="_Toc184310324"/>
      <w:bookmarkEnd w:id="57"/>
      <w:bookmarkStart w:id="58" w:name="_Toc184310274"/>
      <w:bookmarkEnd w:id="58"/>
      <w:bookmarkStart w:id="59" w:name="_Toc184312126"/>
      <w:bookmarkEnd w:id="59"/>
      <w:bookmarkStart w:id="60" w:name="_Toc184313294"/>
      <w:bookmarkEnd w:id="60"/>
      <w:bookmarkStart w:id="61" w:name="_Toc184312089"/>
      <w:bookmarkEnd w:id="61"/>
      <w:bookmarkStart w:id="62" w:name="_Toc184312122"/>
      <w:bookmarkEnd w:id="62"/>
      <w:bookmarkStart w:id="63" w:name="_Toc184314413"/>
      <w:bookmarkEnd w:id="63"/>
      <w:bookmarkStart w:id="64" w:name="_Toc184308076"/>
      <w:bookmarkEnd w:id="64"/>
      <w:bookmarkStart w:id="65" w:name="_Toc184310320"/>
      <w:bookmarkEnd w:id="65"/>
      <w:bookmarkStart w:id="66" w:name="_Toc184310297"/>
      <w:bookmarkEnd w:id="66"/>
      <w:bookmarkStart w:id="67" w:name="_Toc184308077"/>
      <w:bookmarkEnd w:id="67"/>
      <w:bookmarkStart w:id="68" w:name="_Toc184312112"/>
      <w:bookmarkEnd w:id="68"/>
      <w:bookmarkStart w:id="69" w:name="_Toc184312097"/>
      <w:bookmarkEnd w:id="69"/>
      <w:bookmarkStart w:id="70" w:name="_Toc184312101"/>
      <w:bookmarkEnd w:id="70"/>
      <w:bookmarkStart w:id="71" w:name="_Toc184314464"/>
      <w:bookmarkEnd w:id="71"/>
      <w:bookmarkStart w:id="72" w:name="_Toc184313273"/>
      <w:bookmarkEnd w:id="72"/>
      <w:bookmarkStart w:id="73" w:name="_Toc184314414"/>
      <w:bookmarkEnd w:id="73"/>
      <w:bookmarkStart w:id="74" w:name="_Toc184313269"/>
      <w:bookmarkEnd w:id="74"/>
      <w:bookmarkStart w:id="75" w:name="_Toc184310309"/>
      <w:bookmarkEnd w:id="75"/>
      <w:bookmarkStart w:id="76" w:name="_Toc184312099"/>
      <w:bookmarkEnd w:id="76"/>
      <w:bookmarkStart w:id="77" w:name="_Toc184312123"/>
      <w:bookmarkEnd w:id="77"/>
      <w:bookmarkStart w:id="78" w:name="_Toc184312073"/>
      <w:bookmarkEnd w:id="78"/>
      <w:bookmarkStart w:id="79" w:name="_Toc184312082"/>
      <w:bookmarkEnd w:id="79"/>
      <w:bookmarkStart w:id="80" w:name="_Toc184312104"/>
      <w:bookmarkEnd w:id="80"/>
      <w:bookmarkStart w:id="81" w:name="_Toc184314411"/>
      <w:bookmarkEnd w:id="81"/>
      <w:bookmarkStart w:id="82" w:name="_Toc184308051"/>
      <w:bookmarkEnd w:id="82"/>
      <w:bookmarkStart w:id="83" w:name="_Toc184308049"/>
      <w:bookmarkEnd w:id="83"/>
      <w:bookmarkStart w:id="84" w:name="_Toc184310316"/>
      <w:bookmarkEnd w:id="84"/>
      <w:bookmarkStart w:id="85" w:name="_Toc184308036"/>
      <w:bookmarkEnd w:id="85"/>
      <w:bookmarkStart w:id="86" w:name="_Toc184312067"/>
      <w:bookmarkEnd w:id="86"/>
      <w:bookmarkStart w:id="87" w:name="_Toc184314433"/>
      <w:bookmarkEnd w:id="87"/>
      <w:bookmarkStart w:id="88" w:name="_Toc184313280"/>
      <w:bookmarkEnd w:id="88"/>
      <w:bookmarkStart w:id="89" w:name="_Toc184312130"/>
      <w:bookmarkEnd w:id="89"/>
      <w:bookmarkStart w:id="90" w:name="_Toc184313291"/>
      <w:bookmarkEnd w:id="90"/>
      <w:bookmarkStart w:id="91" w:name="_Toc184308107"/>
      <w:bookmarkEnd w:id="91"/>
      <w:bookmarkStart w:id="92" w:name="_Toc184314449"/>
      <w:bookmarkEnd w:id="92"/>
      <w:bookmarkStart w:id="93" w:name="_Toc184308038"/>
      <w:bookmarkEnd w:id="93"/>
      <w:bookmarkStart w:id="94" w:name="_Toc184308059"/>
      <w:bookmarkEnd w:id="94"/>
      <w:bookmarkStart w:id="95" w:name="_Toc184313254"/>
      <w:bookmarkEnd w:id="95"/>
      <w:bookmarkStart w:id="96" w:name="_Toc184312071"/>
      <w:bookmarkEnd w:id="96"/>
      <w:bookmarkStart w:id="97" w:name="_Toc184313298"/>
      <w:bookmarkEnd w:id="97"/>
      <w:bookmarkStart w:id="98" w:name="_Toc184313274"/>
      <w:bookmarkEnd w:id="98"/>
      <w:bookmarkStart w:id="99" w:name="_Toc184313305"/>
      <w:bookmarkEnd w:id="99"/>
      <w:bookmarkStart w:id="100" w:name="_Toc184313297"/>
      <w:bookmarkEnd w:id="100"/>
      <w:bookmarkStart w:id="101" w:name="_Toc184314426"/>
      <w:bookmarkEnd w:id="101"/>
      <w:bookmarkStart w:id="102" w:name="_Toc184310337"/>
      <w:bookmarkEnd w:id="102"/>
      <w:bookmarkStart w:id="103" w:name="_Toc184310334"/>
      <w:bookmarkEnd w:id="103"/>
      <w:bookmarkStart w:id="104" w:name="_Toc184308053"/>
      <w:bookmarkEnd w:id="104"/>
      <w:bookmarkStart w:id="105" w:name="_Toc184310293"/>
      <w:bookmarkEnd w:id="105"/>
      <w:bookmarkStart w:id="106" w:name="_Toc184314428"/>
      <w:bookmarkEnd w:id="106"/>
      <w:bookmarkStart w:id="107" w:name="_Toc184310288"/>
      <w:bookmarkEnd w:id="107"/>
      <w:bookmarkStart w:id="108" w:name="_Toc184310304"/>
      <w:bookmarkEnd w:id="108"/>
      <w:bookmarkStart w:id="109" w:name="_Toc184312080"/>
      <w:bookmarkEnd w:id="109"/>
      <w:bookmarkStart w:id="110" w:name="_Toc184313300"/>
      <w:bookmarkEnd w:id="110"/>
      <w:bookmarkStart w:id="111" w:name="_Toc184312077"/>
      <w:bookmarkEnd w:id="111"/>
      <w:bookmarkStart w:id="112" w:name="_Toc184314454"/>
      <w:bookmarkEnd w:id="112"/>
      <w:bookmarkStart w:id="113" w:name="_Toc184314461"/>
      <w:bookmarkEnd w:id="113"/>
      <w:bookmarkStart w:id="114" w:name="_Toc184310318"/>
      <w:bookmarkEnd w:id="114"/>
      <w:bookmarkStart w:id="115" w:name="_Toc184310296"/>
      <w:bookmarkEnd w:id="115"/>
      <w:bookmarkStart w:id="116" w:name="_Toc184312129"/>
      <w:bookmarkEnd w:id="116"/>
      <w:bookmarkStart w:id="117" w:name="_Toc184310321"/>
      <w:bookmarkEnd w:id="117"/>
      <w:bookmarkStart w:id="118" w:name="_Toc184308108"/>
      <w:bookmarkEnd w:id="118"/>
      <w:bookmarkStart w:id="119" w:name="_Toc184312084"/>
      <w:bookmarkEnd w:id="119"/>
      <w:bookmarkStart w:id="120" w:name="_Toc184310343"/>
      <w:bookmarkEnd w:id="120"/>
      <w:bookmarkStart w:id="121" w:name="_Toc184314469"/>
      <w:bookmarkEnd w:id="121"/>
      <w:bookmarkStart w:id="122" w:name="_Toc184312083"/>
      <w:bookmarkEnd w:id="122"/>
      <w:bookmarkStart w:id="123" w:name="_Toc184312100"/>
      <w:bookmarkEnd w:id="123"/>
      <w:bookmarkStart w:id="124" w:name="_Toc184314429"/>
      <w:bookmarkEnd w:id="124"/>
      <w:bookmarkStart w:id="125" w:name="_Toc184312135"/>
      <w:bookmarkEnd w:id="125"/>
      <w:bookmarkStart w:id="126" w:name="_Toc184313279"/>
      <w:bookmarkEnd w:id="126"/>
      <w:bookmarkStart w:id="127" w:name="_Toc184310291"/>
      <w:bookmarkEnd w:id="127"/>
      <w:bookmarkStart w:id="128" w:name="_Toc184313259"/>
      <w:bookmarkEnd w:id="128"/>
      <w:bookmarkStart w:id="129" w:name="_Toc184312121"/>
      <w:bookmarkEnd w:id="129"/>
      <w:bookmarkStart w:id="130" w:name="_Toc184313250"/>
      <w:bookmarkEnd w:id="130"/>
      <w:bookmarkStart w:id="131" w:name="_Toc184312105"/>
      <w:bookmarkEnd w:id="131"/>
      <w:bookmarkStart w:id="132" w:name="_Toc184308100"/>
      <w:bookmarkEnd w:id="132"/>
      <w:bookmarkStart w:id="133" w:name="_Toc184314473"/>
      <w:bookmarkEnd w:id="133"/>
      <w:bookmarkStart w:id="134" w:name="_Toc184310300"/>
      <w:bookmarkEnd w:id="134"/>
      <w:bookmarkStart w:id="135" w:name="_Toc184312085"/>
      <w:bookmarkEnd w:id="135"/>
      <w:bookmarkStart w:id="136" w:name="_Toc184312087"/>
      <w:bookmarkEnd w:id="136"/>
      <w:bookmarkStart w:id="137" w:name="_Toc184308045"/>
      <w:bookmarkEnd w:id="137"/>
      <w:bookmarkStart w:id="138" w:name="_Toc184310338"/>
      <w:bookmarkEnd w:id="138"/>
      <w:bookmarkStart w:id="139" w:name="_Toc184308039"/>
      <w:bookmarkEnd w:id="139"/>
      <w:bookmarkStart w:id="140" w:name="_Toc184308104"/>
      <w:bookmarkEnd w:id="140"/>
      <w:bookmarkStart w:id="141" w:name="_Toc184314425"/>
      <w:bookmarkEnd w:id="141"/>
      <w:bookmarkStart w:id="142" w:name="_Toc184314410"/>
      <w:bookmarkEnd w:id="142"/>
      <w:bookmarkStart w:id="143" w:name="_Toc184310284"/>
      <w:bookmarkEnd w:id="143"/>
      <w:bookmarkStart w:id="144" w:name="_Toc184313260"/>
      <w:bookmarkEnd w:id="144"/>
      <w:bookmarkStart w:id="145" w:name="_Toc184308103"/>
      <w:bookmarkEnd w:id="145"/>
      <w:bookmarkStart w:id="146" w:name="_Toc184308091"/>
      <w:bookmarkEnd w:id="146"/>
      <w:bookmarkStart w:id="147" w:name="_Toc184310275"/>
      <w:bookmarkEnd w:id="147"/>
      <w:bookmarkStart w:id="148" w:name="_Toc184313252"/>
      <w:bookmarkEnd w:id="148"/>
      <w:bookmarkStart w:id="149" w:name="_Toc184313266"/>
      <w:bookmarkEnd w:id="149"/>
      <w:bookmarkStart w:id="150" w:name="_Toc184308083"/>
      <w:bookmarkEnd w:id="150"/>
      <w:bookmarkStart w:id="151" w:name="_Toc184308068"/>
      <w:bookmarkEnd w:id="151"/>
      <w:bookmarkStart w:id="152" w:name="_Toc184308082"/>
      <w:bookmarkEnd w:id="152"/>
      <w:bookmarkStart w:id="153" w:name="_Toc184308047"/>
      <w:bookmarkEnd w:id="153"/>
      <w:bookmarkStart w:id="154" w:name="_Toc184308070"/>
      <w:bookmarkEnd w:id="154"/>
      <w:bookmarkStart w:id="155" w:name="_Toc184314436"/>
      <w:bookmarkEnd w:id="155"/>
      <w:bookmarkStart w:id="156" w:name="_Toc184314478"/>
      <w:bookmarkEnd w:id="156"/>
      <w:bookmarkStart w:id="157" w:name="_Toc184308043"/>
      <w:bookmarkEnd w:id="157"/>
      <w:bookmarkStart w:id="158" w:name="_Toc184308041"/>
      <w:bookmarkEnd w:id="158"/>
      <w:bookmarkStart w:id="159" w:name="_Toc184313267"/>
      <w:bookmarkEnd w:id="159"/>
      <w:bookmarkStart w:id="160" w:name="_Toc184313292"/>
      <w:bookmarkEnd w:id="160"/>
      <w:bookmarkStart w:id="161" w:name="_Toc184313283"/>
      <w:bookmarkEnd w:id="161"/>
      <w:bookmarkStart w:id="162" w:name="_Toc184308099"/>
      <w:bookmarkEnd w:id="162"/>
      <w:bookmarkStart w:id="163" w:name="_Toc184308063"/>
      <w:bookmarkEnd w:id="163"/>
      <w:bookmarkStart w:id="164" w:name="_Toc184308048"/>
      <w:bookmarkEnd w:id="164"/>
      <w:bookmarkStart w:id="165" w:name="_Toc184312068"/>
      <w:bookmarkEnd w:id="165"/>
      <w:bookmarkStart w:id="166" w:name="_Toc184314419"/>
      <w:bookmarkEnd w:id="166"/>
      <w:bookmarkStart w:id="167" w:name="_Toc184308071"/>
      <w:bookmarkEnd w:id="167"/>
      <w:bookmarkStart w:id="168" w:name="_Toc184312128"/>
      <w:bookmarkEnd w:id="168"/>
      <w:bookmarkStart w:id="169" w:name="_Toc184308060"/>
      <w:bookmarkEnd w:id="169"/>
      <w:bookmarkStart w:id="170" w:name="_Toc184313302"/>
      <w:bookmarkEnd w:id="170"/>
      <w:bookmarkStart w:id="171" w:name="_Toc184314456"/>
      <w:bookmarkEnd w:id="171"/>
      <w:bookmarkStart w:id="172" w:name="_Toc184313265"/>
      <w:bookmarkEnd w:id="172"/>
      <w:bookmarkStart w:id="173" w:name="_Toc184314471"/>
      <w:bookmarkEnd w:id="173"/>
      <w:bookmarkStart w:id="174" w:name="_Toc184313282"/>
      <w:bookmarkEnd w:id="174"/>
      <w:bookmarkStart w:id="175" w:name="_Toc184312106"/>
      <w:bookmarkEnd w:id="175"/>
      <w:bookmarkStart w:id="176" w:name="_Toc184312133"/>
      <w:bookmarkEnd w:id="176"/>
      <w:bookmarkStart w:id="177" w:name="_Toc184313304"/>
      <w:bookmarkEnd w:id="177"/>
      <w:bookmarkStart w:id="178" w:name="_Toc184314417"/>
      <w:bookmarkEnd w:id="178"/>
      <w:bookmarkStart w:id="179" w:name="_Toc184308090"/>
      <w:bookmarkEnd w:id="179"/>
      <w:bookmarkStart w:id="180" w:name="_Toc184312119"/>
      <w:bookmarkEnd w:id="180"/>
      <w:bookmarkStart w:id="181" w:name="_Toc184310277"/>
      <w:bookmarkEnd w:id="181"/>
      <w:bookmarkStart w:id="182" w:name="_Toc184312103"/>
      <w:bookmarkEnd w:id="182"/>
      <w:bookmarkStart w:id="183" w:name="_Toc184312107"/>
      <w:bookmarkEnd w:id="183"/>
      <w:bookmarkStart w:id="184" w:name="_Toc184313248"/>
      <w:bookmarkEnd w:id="184"/>
      <w:bookmarkStart w:id="185" w:name="_Toc184308074"/>
      <w:bookmarkEnd w:id="185"/>
      <w:bookmarkStart w:id="186" w:name="_Toc184314451"/>
      <w:bookmarkEnd w:id="186"/>
      <w:bookmarkStart w:id="187" w:name="_Toc184310285"/>
      <w:bookmarkEnd w:id="187"/>
      <w:bookmarkStart w:id="188" w:name="_Toc184314458"/>
      <w:bookmarkEnd w:id="188"/>
      <w:bookmarkStart w:id="189" w:name="_Toc184312070"/>
      <w:bookmarkEnd w:id="189"/>
      <w:bookmarkStart w:id="190" w:name="_Toc184312127"/>
      <w:bookmarkEnd w:id="190"/>
      <w:bookmarkStart w:id="191" w:name="_Toc184314476"/>
      <w:bookmarkEnd w:id="191"/>
      <w:bookmarkStart w:id="192" w:name="_Toc184310313"/>
      <w:bookmarkEnd w:id="192"/>
      <w:bookmarkStart w:id="193" w:name="_Toc184312115"/>
      <w:bookmarkEnd w:id="193"/>
      <w:bookmarkStart w:id="194" w:name="_Toc184314453"/>
      <w:bookmarkEnd w:id="194"/>
      <w:bookmarkStart w:id="195" w:name="_Toc184313301"/>
      <w:bookmarkEnd w:id="195"/>
      <w:bookmarkStart w:id="196" w:name="_Toc184313258"/>
      <w:bookmarkEnd w:id="196"/>
      <w:bookmarkStart w:id="197" w:name="_Toc184313310"/>
      <w:bookmarkEnd w:id="197"/>
      <w:bookmarkStart w:id="198" w:name="_Toc184313246"/>
      <w:bookmarkEnd w:id="198"/>
      <w:bookmarkStart w:id="199" w:name="_Toc184313288"/>
      <w:bookmarkEnd w:id="199"/>
      <w:bookmarkStart w:id="200" w:name="_Toc184310317"/>
      <w:bookmarkEnd w:id="200"/>
      <w:bookmarkStart w:id="201" w:name="_Toc184310335"/>
      <w:bookmarkEnd w:id="201"/>
      <w:bookmarkStart w:id="202" w:name="_Toc184313256"/>
      <w:bookmarkEnd w:id="202"/>
      <w:bookmarkStart w:id="203" w:name="_Toc184310283"/>
      <w:bookmarkEnd w:id="203"/>
      <w:bookmarkStart w:id="204" w:name="_Toc184310332"/>
      <w:bookmarkEnd w:id="204"/>
      <w:bookmarkStart w:id="205" w:name="_Toc184313270"/>
      <w:bookmarkEnd w:id="205"/>
      <w:bookmarkStart w:id="206" w:name="_Toc184314467"/>
      <w:bookmarkEnd w:id="206"/>
      <w:bookmarkStart w:id="207" w:name="_Toc184310340"/>
      <w:bookmarkEnd w:id="207"/>
      <w:bookmarkStart w:id="208" w:name="_Toc184314443"/>
      <w:bookmarkEnd w:id="208"/>
      <w:bookmarkStart w:id="209" w:name="_Toc184314450"/>
      <w:bookmarkEnd w:id="209"/>
      <w:bookmarkStart w:id="210" w:name="_Toc184313263"/>
      <w:bookmarkEnd w:id="210"/>
      <w:bookmarkStart w:id="211" w:name="_Toc184314479"/>
      <w:bookmarkEnd w:id="211"/>
      <w:bookmarkStart w:id="212" w:name="_Toc184308056"/>
      <w:bookmarkEnd w:id="212"/>
      <w:bookmarkStart w:id="213" w:name="_Toc184308095"/>
      <w:bookmarkEnd w:id="213"/>
      <w:bookmarkStart w:id="214" w:name="_Toc184313238"/>
      <w:bookmarkEnd w:id="214"/>
      <w:bookmarkStart w:id="215" w:name="_Toc184314457"/>
      <w:bookmarkEnd w:id="215"/>
      <w:bookmarkStart w:id="216" w:name="_Toc184308078"/>
      <w:bookmarkEnd w:id="216"/>
      <w:bookmarkStart w:id="217" w:name="_Toc184308062"/>
      <w:bookmarkEnd w:id="217"/>
      <w:bookmarkStart w:id="218" w:name="_Toc184308057"/>
      <w:bookmarkEnd w:id="218"/>
      <w:bookmarkStart w:id="219" w:name="_Toc184313272"/>
      <w:bookmarkEnd w:id="219"/>
      <w:bookmarkStart w:id="220" w:name="_Toc184310326"/>
      <w:bookmarkEnd w:id="220"/>
      <w:bookmarkStart w:id="221" w:name="_Toc184313308"/>
      <w:bookmarkEnd w:id="221"/>
      <w:bookmarkStart w:id="222" w:name="_Toc184314447"/>
      <w:bookmarkEnd w:id="222"/>
      <w:bookmarkStart w:id="223" w:name="_Toc184313284"/>
      <w:bookmarkEnd w:id="223"/>
      <w:bookmarkStart w:id="224" w:name="_Toc184312108"/>
      <w:bookmarkEnd w:id="224"/>
      <w:bookmarkStart w:id="225" w:name="_Toc184312132"/>
      <w:bookmarkEnd w:id="225"/>
      <w:bookmarkStart w:id="226" w:name="_Toc184310301"/>
      <w:bookmarkEnd w:id="226"/>
      <w:bookmarkStart w:id="227" w:name="_Toc184312069"/>
      <w:bookmarkEnd w:id="227"/>
      <w:bookmarkStart w:id="228" w:name="_Toc184310295"/>
      <w:bookmarkEnd w:id="228"/>
      <w:bookmarkStart w:id="229" w:name="_Toc184314430"/>
      <w:bookmarkEnd w:id="229"/>
      <w:bookmarkStart w:id="230" w:name="_Toc184314466"/>
      <w:bookmarkEnd w:id="230"/>
      <w:bookmarkStart w:id="231" w:name="_Toc184314437"/>
      <w:bookmarkEnd w:id="231"/>
      <w:bookmarkStart w:id="232" w:name="_Toc184312092"/>
      <w:bookmarkEnd w:id="232"/>
      <w:bookmarkStart w:id="233" w:name="_Toc184313281"/>
      <w:bookmarkEnd w:id="233"/>
      <w:bookmarkStart w:id="234" w:name="_Toc184310302"/>
      <w:bookmarkEnd w:id="234"/>
      <w:bookmarkStart w:id="235" w:name="_Toc184308101"/>
      <w:bookmarkEnd w:id="235"/>
      <w:bookmarkStart w:id="236" w:name="_Toc184314477"/>
      <w:bookmarkEnd w:id="236"/>
      <w:bookmarkStart w:id="237" w:name="_Toc184314468"/>
      <w:bookmarkEnd w:id="237"/>
      <w:bookmarkStart w:id="238" w:name="_Toc184310325"/>
      <w:bookmarkEnd w:id="238"/>
      <w:bookmarkStart w:id="239" w:name="_Toc184313264"/>
      <w:bookmarkEnd w:id="239"/>
      <w:bookmarkStart w:id="240" w:name="_Toc184313307"/>
      <w:bookmarkEnd w:id="240"/>
      <w:bookmarkStart w:id="241" w:name="_Toc184312075"/>
      <w:bookmarkEnd w:id="241"/>
      <w:bookmarkStart w:id="242" w:name="_Toc184312138"/>
      <w:bookmarkEnd w:id="242"/>
      <w:bookmarkStart w:id="243" w:name="_Toc184308096"/>
      <w:bookmarkEnd w:id="243"/>
      <w:bookmarkStart w:id="244" w:name="_Toc184308075"/>
      <w:bookmarkEnd w:id="244"/>
      <w:bookmarkStart w:id="245" w:name="_Toc184308079"/>
      <w:bookmarkEnd w:id="245"/>
      <w:bookmarkStart w:id="246" w:name="_Toc184312086"/>
      <w:bookmarkEnd w:id="246"/>
      <w:bookmarkStart w:id="247" w:name="_Toc184310289"/>
      <w:bookmarkEnd w:id="247"/>
      <w:bookmarkStart w:id="248" w:name="_Toc184314438"/>
      <w:bookmarkEnd w:id="248"/>
      <w:bookmarkStart w:id="249" w:name="_Toc184313276"/>
      <w:bookmarkEnd w:id="249"/>
      <w:bookmarkStart w:id="250" w:name="_Toc184312131"/>
      <w:bookmarkEnd w:id="250"/>
      <w:bookmarkStart w:id="251" w:name="_Toc184308042"/>
      <w:bookmarkEnd w:id="251"/>
      <w:bookmarkStart w:id="252" w:name="_Toc184313249"/>
      <w:bookmarkEnd w:id="252"/>
      <w:bookmarkStart w:id="253" w:name="_Toc184308044"/>
      <w:bookmarkEnd w:id="253"/>
      <w:bookmarkStart w:id="254" w:name="_Toc184308087"/>
      <w:bookmarkEnd w:id="254"/>
      <w:bookmarkStart w:id="255" w:name="_Toc184310286"/>
      <w:bookmarkEnd w:id="255"/>
      <w:bookmarkStart w:id="256" w:name="_Toc184313303"/>
      <w:bookmarkEnd w:id="256"/>
      <w:bookmarkStart w:id="257" w:name="_Toc184312088"/>
      <w:bookmarkEnd w:id="257"/>
      <w:bookmarkStart w:id="258" w:name="_Toc184312072"/>
      <w:bookmarkEnd w:id="258"/>
      <w:bookmarkStart w:id="259" w:name="_Toc184308052"/>
      <w:bookmarkEnd w:id="259"/>
      <w:bookmarkStart w:id="260" w:name="_Toc184308084"/>
      <w:bookmarkEnd w:id="260"/>
      <w:bookmarkStart w:id="261" w:name="_Toc184310315"/>
      <w:bookmarkEnd w:id="261"/>
      <w:bookmarkStart w:id="262" w:name="_Toc184310273"/>
      <w:bookmarkEnd w:id="262"/>
      <w:bookmarkStart w:id="263" w:name="_Toc184308073"/>
      <w:bookmarkEnd w:id="263"/>
      <w:bookmarkStart w:id="264" w:name="_Toc184313242"/>
      <w:bookmarkEnd w:id="264"/>
      <w:bookmarkStart w:id="265" w:name="_Toc184314445"/>
      <w:bookmarkEnd w:id="265"/>
      <w:bookmarkStart w:id="266" w:name="_Toc184314415"/>
      <w:bookmarkEnd w:id="266"/>
      <w:bookmarkStart w:id="267" w:name="_Toc184314422"/>
      <w:bookmarkEnd w:id="267"/>
      <w:bookmarkStart w:id="268" w:name="_Toc184310307"/>
      <w:bookmarkEnd w:id="268"/>
      <w:bookmarkStart w:id="269" w:name="_Toc184308093"/>
      <w:bookmarkEnd w:id="269"/>
      <w:bookmarkStart w:id="270" w:name="_Toc184310336"/>
      <w:bookmarkEnd w:id="270"/>
      <w:bookmarkStart w:id="271" w:name="_Toc184313261"/>
      <w:bookmarkEnd w:id="271"/>
      <w:bookmarkStart w:id="272" w:name="_Toc184313287"/>
      <w:bookmarkEnd w:id="272"/>
      <w:bookmarkStart w:id="273" w:name="_Toc184310331"/>
      <w:bookmarkEnd w:id="273"/>
      <w:bookmarkStart w:id="274" w:name="_Toc184314420"/>
      <w:bookmarkEnd w:id="274"/>
      <w:bookmarkStart w:id="275" w:name="_Toc184312114"/>
      <w:bookmarkEnd w:id="275"/>
      <w:bookmarkStart w:id="276" w:name="_Toc184312109"/>
      <w:bookmarkEnd w:id="276"/>
      <w:bookmarkStart w:id="277" w:name="_Toc184310306"/>
      <w:bookmarkEnd w:id="277"/>
      <w:bookmarkStart w:id="278" w:name="_Toc184310311"/>
      <w:bookmarkEnd w:id="278"/>
      <w:bookmarkStart w:id="279" w:name="_Toc184312096"/>
      <w:bookmarkEnd w:id="279"/>
      <w:bookmarkStart w:id="280" w:name="_Toc184312125"/>
      <w:bookmarkEnd w:id="280"/>
      <w:bookmarkStart w:id="281" w:name="_Toc184310327"/>
      <w:bookmarkEnd w:id="281"/>
      <w:bookmarkStart w:id="282" w:name="_Toc184314463"/>
      <w:bookmarkEnd w:id="282"/>
      <w:bookmarkStart w:id="283" w:name="_Toc184310272"/>
      <w:bookmarkEnd w:id="283"/>
      <w:bookmarkStart w:id="284" w:name="_Toc184314439"/>
      <w:bookmarkEnd w:id="284"/>
      <w:bookmarkStart w:id="285" w:name="_Toc184310280"/>
      <w:bookmarkEnd w:id="285"/>
      <w:bookmarkStart w:id="286" w:name="_Toc184312120"/>
      <w:bookmarkEnd w:id="286"/>
      <w:bookmarkStart w:id="287" w:name="_Toc184312113"/>
      <w:bookmarkEnd w:id="287"/>
      <w:bookmarkStart w:id="288" w:name="_Toc184314455"/>
      <w:bookmarkEnd w:id="288"/>
      <w:bookmarkStart w:id="289" w:name="_Toc184312117"/>
      <w:bookmarkEnd w:id="289"/>
      <w:bookmarkStart w:id="290" w:name="_Toc184314412"/>
      <w:bookmarkEnd w:id="290"/>
      <w:bookmarkStart w:id="291" w:name="_Toc184312081"/>
      <w:bookmarkEnd w:id="291"/>
      <w:bookmarkStart w:id="292" w:name="_Toc184314481"/>
      <w:bookmarkEnd w:id="292"/>
      <w:bookmarkStart w:id="293" w:name="_Toc184313245"/>
      <w:bookmarkEnd w:id="293"/>
      <w:bookmarkStart w:id="294" w:name="_Toc184313306"/>
      <w:bookmarkEnd w:id="294"/>
      <w:bookmarkStart w:id="295" w:name="_Toc184313239"/>
      <w:bookmarkEnd w:id="295"/>
      <w:bookmarkStart w:id="296" w:name="_Toc184314421"/>
      <w:bookmarkEnd w:id="296"/>
      <w:bookmarkStart w:id="297" w:name="_Toc184308064"/>
      <w:bookmarkEnd w:id="297"/>
      <w:bookmarkStart w:id="298" w:name="_Toc184314442"/>
      <w:bookmarkEnd w:id="298"/>
      <w:bookmarkStart w:id="299" w:name="_Toc184312098"/>
      <w:bookmarkEnd w:id="299"/>
      <w:bookmarkStart w:id="300" w:name="_Toc184314431"/>
      <w:bookmarkEnd w:id="300"/>
      <w:bookmarkStart w:id="301" w:name="_Toc184314444"/>
      <w:bookmarkEnd w:id="301"/>
      <w:bookmarkStart w:id="302" w:name="_Toc184313262"/>
      <w:bookmarkEnd w:id="302"/>
      <w:bookmarkStart w:id="303" w:name="_Toc184313299"/>
      <w:bookmarkEnd w:id="303"/>
      <w:bookmarkStart w:id="304" w:name="_Toc184314480"/>
      <w:bookmarkEnd w:id="304"/>
      <w:bookmarkStart w:id="305" w:name="_Toc184308054"/>
      <w:bookmarkEnd w:id="305"/>
      <w:bookmarkStart w:id="306" w:name="_Toc184310287"/>
      <w:bookmarkEnd w:id="306"/>
      <w:bookmarkStart w:id="307" w:name="_Toc184310328"/>
      <w:bookmarkEnd w:id="307"/>
      <w:bookmarkStart w:id="308" w:name="_Toc184312091"/>
      <w:bookmarkEnd w:id="308"/>
      <w:bookmarkStart w:id="309" w:name="_Toc184313278"/>
      <w:bookmarkEnd w:id="309"/>
      <w:bookmarkStart w:id="310" w:name="_Toc184310333"/>
      <w:bookmarkEnd w:id="310"/>
      <w:bookmarkStart w:id="311" w:name="_Toc184308080"/>
      <w:bookmarkEnd w:id="311"/>
      <w:bookmarkStart w:id="312" w:name="_Toc184308058"/>
      <w:bookmarkEnd w:id="312"/>
      <w:bookmarkStart w:id="313" w:name="_Toc184314474"/>
      <w:bookmarkEnd w:id="313"/>
      <w:bookmarkStart w:id="314" w:name="_Toc184314418"/>
      <w:bookmarkEnd w:id="314"/>
      <w:bookmarkStart w:id="315" w:name="_Toc184314446"/>
      <w:bookmarkEnd w:id="315"/>
      <w:bookmarkStart w:id="316" w:name="_Toc184312124"/>
      <w:bookmarkEnd w:id="316"/>
      <w:bookmarkStart w:id="317" w:name="_Toc184314448"/>
      <w:bookmarkEnd w:id="317"/>
      <w:bookmarkStart w:id="318" w:name="_Toc184312136"/>
      <w:bookmarkEnd w:id="318"/>
      <w:bookmarkStart w:id="319" w:name="_Toc184312079"/>
      <w:bookmarkEnd w:id="319"/>
      <w:bookmarkStart w:id="320" w:name="_Toc184310308"/>
      <w:bookmarkEnd w:id="320"/>
      <w:bookmarkStart w:id="321" w:name="_Toc184310322"/>
      <w:bookmarkEnd w:id="321"/>
      <w:bookmarkStart w:id="322" w:name="_Toc184310292"/>
      <w:bookmarkEnd w:id="322"/>
      <w:bookmarkStart w:id="323" w:name="_Toc184310341"/>
      <w:bookmarkEnd w:id="323"/>
      <w:bookmarkStart w:id="324" w:name="_Toc184312116"/>
      <w:bookmarkEnd w:id="324"/>
      <w:bookmarkStart w:id="325" w:name="_Toc184310298"/>
      <w:bookmarkEnd w:id="325"/>
      <w:bookmarkStart w:id="326" w:name="_Toc184310279"/>
      <w:bookmarkEnd w:id="326"/>
      <w:bookmarkStart w:id="327" w:name="_Toc184308072"/>
      <w:bookmarkEnd w:id="327"/>
      <w:bookmarkStart w:id="328" w:name="_Toc184308040"/>
      <w:bookmarkEnd w:id="328"/>
      <w:bookmarkStart w:id="329" w:name="_Toc184312074"/>
      <w:bookmarkEnd w:id="329"/>
      <w:bookmarkStart w:id="330" w:name="_Toc184313277"/>
      <w:bookmarkEnd w:id="330"/>
      <w:bookmarkStart w:id="331" w:name="_Toc184314424"/>
      <w:bookmarkEnd w:id="331"/>
      <w:bookmarkStart w:id="332" w:name="_Toc184314435"/>
      <w:bookmarkEnd w:id="332"/>
      <w:bookmarkStart w:id="333" w:name="_Toc184310281"/>
      <w:bookmarkEnd w:id="333"/>
      <w:bookmarkStart w:id="334" w:name="_Toc184313244"/>
      <w:bookmarkEnd w:id="334"/>
      <w:bookmarkStart w:id="335" w:name="_Toc184308065"/>
      <w:bookmarkEnd w:id="335"/>
      <w:bookmarkStart w:id="336" w:name="_Toc184314452"/>
      <w:bookmarkEnd w:id="336"/>
      <w:bookmarkStart w:id="337" w:name="_Toc184310323"/>
      <w:bookmarkEnd w:id="337"/>
      <w:bookmarkStart w:id="338" w:name="_Toc184310319"/>
      <w:bookmarkEnd w:id="338"/>
      <w:bookmarkStart w:id="339" w:name="_Toc184313255"/>
      <w:bookmarkEnd w:id="339"/>
      <w:bookmarkStart w:id="340" w:name="_Toc184314465"/>
      <w:bookmarkEnd w:id="340"/>
      <w:bookmarkStart w:id="341" w:name="_Toc184312110"/>
      <w:bookmarkEnd w:id="341"/>
      <w:bookmarkStart w:id="342" w:name="_Toc184308098"/>
      <w:bookmarkEnd w:id="342"/>
      <w:bookmarkStart w:id="343" w:name="_Toc184313309"/>
      <w:bookmarkEnd w:id="343"/>
      <w:bookmarkStart w:id="344" w:name="_Toc184313247"/>
      <w:bookmarkEnd w:id="344"/>
      <w:bookmarkStart w:id="345" w:name="_Toc184312137"/>
      <w:bookmarkEnd w:id="345"/>
      <w:bookmarkStart w:id="346" w:name="_Toc184310299"/>
      <w:bookmarkEnd w:id="346"/>
      <w:bookmarkStart w:id="347" w:name="_Toc184308069"/>
      <w:bookmarkEnd w:id="347"/>
      <w:bookmarkStart w:id="348" w:name="_Toc184313296"/>
      <w:bookmarkEnd w:id="348"/>
      <w:bookmarkStart w:id="349" w:name="_Toc184310310"/>
      <w:bookmarkEnd w:id="349"/>
      <w:bookmarkStart w:id="350" w:name="_Toc184308046"/>
      <w:bookmarkEnd w:id="350"/>
      <w:bookmarkStart w:id="351" w:name="_Toc184312078"/>
      <w:bookmarkEnd w:id="351"/>
      <w:bookmarkStart w:id="352" w:name="_Toc184313243"/>
      <w:bookmarkEnd w:id="352"/>
      <w:bookmarkStart w:id="353" w:name="_Toc184313289"/>
      <w:bookmarkEnd w:id="353"/>
      <w:bookmarkStart w:id="354" w:name="_Toc184313286"/>
      <w:bookmarkEnd w:id="354"/>
      <w:bookmarkStart w:id="355" w:name="_Toc184312076"/>
      <w:bookmarkEnd w:id="355"/>
      <w:bookmarkStart w:id="356" w:name="_Toc184314423"/>
      <w:bookmarkEnd w:id="356"/>
      <w:bookmarkStart w:id="357" w:name="_Toc184310339"/>
      <w:bookmarkEnd w:id="357"/>
      <w:bookmarkStart w:id="358" w:name="_Toc184312118"/>
      <w:bookmarkEnd w:id="358"/>
      <w:bookmarkStart w:id="359" w:name="_Toc184308097"/>
      <w:bookmarkEnd w:id="359"/>
      <w:bookmarkStart w:id="360" w:name="_Toc184314459"/>
      <w:bookmarkEnd w:id="360"/>
      <w:bookmarkStart w:id="361" w:name="_Toc184313251"/>
      <w:bookmarkEnd w:id="361"/>
      <w:bookmarkStart w:id="362" w:name="_Toc184312095"/>
      <w:bookmarkEnd w:id="362"/>
      <w:bookmarkStart w:id="363" w:name="_Toc184312090"/>
      <w:bookmarkEnd w:id="363"/>
      <w:bookmarkStart w:id="364" w:name="_Toc184314460"/>
      <w:bookmarkEnd w:id="364"/>
      <w:bookmarkStart w:id="365" w:name="_Toc184310314"/>
      <w:bookmarkEnd w:id="365"/>
      <w:bookmarkStart w:id="366" w:name="_Toc184310312"/>
      <w:bookmarkEnd w:id="366"/>
      <w:bookmarkStart w:id="367" w:name="_Toc184314434"/>
      <w:bookmarkEnd w:id="367"/>
      <w:bookmarkStart w:id="368" w:name="_Toc184308037"/>
      <w:bookmarkEnd w:id="368"/>
      <w:bookmarkStart w:id="369" w:name="_Toc184310303"/>
      <w:bookmarkEnd w:id="369"/>
      <w:bookmarkStart w:id="370" w:name="_Toc184308086"/>
      <w:bookmarkEnd w:id="370"/>
      <w:bookmarkStart w:id="371" w:name="_Toc184310305"/>
      <w:bookmarkEnd w:id="371"/>
      <w:bookmarkStart w:id="372" w:name="_Toc184313271"/>
      <w:bookmarkEnd w:id="372"/>
      <w:bookmarkStart w:id="373" w:name="_Toc184308094"/>
      <w:bookmarkEnd w:id="373"/>
      <w:bookmarkStart w:id="374" w:name="_Toc184308105"/>
      <w:bookmarkEnd w:id="374"/>
      <w:bookmarkStart w:id="375" w:name="_Toc184314416"/>
      <w:bookmarkEnd w:id="375"/>
      <w:bookmarkStart w:id="376" w:name="_Toc184312111"/>
      <w:bookmarkEnd w:id="376"/>
      <w:bookmarkStart w:id="377" w:name="_Toc184312102"/>
      <w:bookmarkEnd w:id="377"/>
      <w:bookmarkStart w:id="378" w:name="_Toc184308092"/>
      <w:bookmarkEnd w:id="378"/>
      <w:bookmarkStart w:id="379" w:name="_Toc184312134"/>
      <w:bookmarkEnd w:id="379"/>
      <w:bookmarkStart w:id="380" w:name="_Toc184310344"/>
      <w:bookmarkEnd w:id="380"/>
      <w:bookmarkStart w:id="381" w:name="_Toc184313295"/>
      <w:bookmarkEnd w:id="381"/>
      <w:bookmarkStart w:id="382" w:name="_Toc184308067"/>
      <w:bookmarkEnd w:id="382"/>
      <w:bookmarkStart w:id="383" w:name="_Toc184313241"/>
      <w:bookmarkEnd w:id="383"/>
      <w:bookmarkStart w:id="384" w:name="_Toc184313275"/>
      <w:bookmarkEnd w:id="384"/>
      <w:bookmarkStart w:id="385" w:name="_Toc184308055"/>
      <w:bookmarkEnd w:id="385"/>
      <w:bookmarkStart w:id="386" w:name="_Toc184308106"/>
      <w:bookmarkEnd w:id="386"/>
      <w:bookmarkStart w:id="387" w:name="_Toc184313268"/>
      <w:bookmarkEnd w:id="387"/>
      <w:bookmarkStart w:id="388" w:name="_Toc184314482"/>
      <w:bookmarkEnd w:id="388"/>
      <w:bookmarkStart w:id="389" w:name="_Toc184313290"/>
      <w:bookmarkEnd w:id="389"/>
      <w:bookmarkStart w:id="390" w:name="_Toc184308081"/>
      <w:bookmarkEnd w:id="390"/>
      <w:r>
        <w:rPr>
          <w:rFonts w:hint="eastAsia" w:ascii="仿宋" w:hAnsi="仿宋" w:cs="仿宋"/>
          <w:b/>
          <w:color w:val="auto"/>
          <w:sz w:val="36"/>
          <w:szCs w:val="36"/>
          <w:highlight w:val="none"/>
        </w:rPr>
        <w:t>评标办法</w:t>
      </w:r>
    </w:p>
    <w:p w14:paraId="7C57E2AF">
      <w:pPr>
        <w:snapToGrid w:val="0"/>
        <w:jc w:val="center"/>
        <w:rPr>
          <w:rFonts w:hint="eastAsia" w:ascii="仿宋" w:hAnsi="仿宋" w:cs="仿宋"/>
          <w:b/>
          <w:color w:val="auto"/>
          <w:sz w:val="32"/>
          <w:szCs w:val="20"/>
          <w:highlight w:val="none"/>
        </w:rPr>
      </w:pPr>
      <w:r>
        <w:rPr>
          <w:rFonts w:hint="eastAsia" w:ascii="仿宋" w:hAnsi="仿宋" w:cs="仿宋"/>
          <w:b/>
          <w:color w:val="auto"/>
          <w:sz w:val="32"/>
          <w:szCs w:val="20"/>
          <w:highlight w:val="none"/>
        </w:rPr>
        <w:t>评标办法前附表</w:t>
      </w:r>
    </w:p>
    <w:tbl>
      <w:tblPr>
        <w:tblStyle w:val="63"/>
        <w:tblpPr w:leftFromText="180" w:rightFromText="180" w:vertAnchor="text" w:horzAnchor="page" w:tblpXSpec="center" w:tblpY="126"/>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5876"/>
        <w:gridCol w:w="1276"/>
        <w:gridCol w:w="2132"/>
      </w:tblGrid>
      <w:tr w14:paraId="6491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52A04D55">
            <w:pPr>
              <w:jc w:val="center"/>
              <w:outlineLvl w:val="0"/>
              <w:rPr>
                <w:rFonts w:hint="eastAsia" w:ascii="仿宋" w:hAnsi="仿宋" w:cs="仿宋"/>
                <w:color w:val="auto"/>
                <w:highlight w:val="none"/>
              </w:rPr>
            </w:pPr>
            <w:r>
              <w:rPr>
                <w:rFonts w:hint="eastAsia" w:ascii="仿宋" w:hAnsi="仿宋" w:cs="仿宋"/>
                <w:color w:val="auto"/>
                <w:highlight w:val="none"/>
              </w:rPr>
              <w:t>序号</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6AC39629">
            <w:pPr>
              <w:jc w:val="center"/>
              <w:outlineLvl w:val="0"/>
              <w:rPr>
                <w:rFonts w:hint="eastAsia" w:ascii="仿宋" w:hAnsi="仿宋" w:cs="仿宋"/>
                <w:color w:val="auto"/>
                <w:highlight w:val="none"/>
              </w:rPr>
            </w:pPr>
            <w:r>
              <w:rPr>
                <w:rFonts w:hint="eastAsia" w:ascii="仿宋" w:hAnsi="仿宋" w:cs="仿宋"/>
                <w:color w:val="auto"/>
                <w:highlight w:val="none"/>
              </w:rPr>
              <w:t>评标标准</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6C648C64">
            <w:pPr>
              <w:jc w:val="center"/>
              <w:outlineLvl w:val="0"/>
              <w:rPr>
                <w:rFonts w:hint="eastAsia" w:ascii="仿宋" w:hAnsi="仿宋" w:cs="仿宋"/>
                <w:color w:val="auto"/>
                <w:highlight w:val="none"/>
              </w:rPr>
            </w:pPr>
            <w:r>
              <w:rPr>
                <w:rFonts w:hint="eastAsia" w:ascii="仿宋" w:hAnsi="仿宋" w:cs="仿宋"/>
                <w:color w:val="auto"/>
                <w:highlight w:val="none"/>
              </w:rPr>
              <w:t>权重</w:t>
            </w:r>
          </w:p>
        </w:tc>
        <w:tc>
          <w:tcPr>
            <w:tcW w:w="2132" w:type="dxa"/>
            <w:tcBorders>
              <w:top w:val="single" w:color="auto" w:sz="4" w:space="0"/>
              <w:left w:val="single" w:color="auto" w:sz="4" w:space="0"/>
              <w:bottom w:val="single" w:color="auto" w:sz="4" w:space="0"/>
              <w:right w:val="single" w:color="auto" w:sz="4" w:space="0"/>
              <w:tl2br w:val="nil"/>
              <w:tr2bl w:val="nil"/>
            </w:tcBorders>
            <w:vAlign w:val="center"/>
          </w:tcPr>
          <w:p w14:paraId="686ACEF0">
            <w:pPr>
              <w:jc w:val="center"/>
              <w:outlineLvl w:val="0"/>
              <w:rPr>
                <w:rFonts w:hint="eastAsia" w:ascii="仿宋" w:hAnsi="仿宋" w:cs="仿宋"/>
                <w:color w:val="auto"/>
                <w:highlight w:val="none"/>
              </w:rPr>
            </w:pPr>
            <w:r>
              <w:rPr>
                <w:rFonts w:hint="eastAsia" w:ascii="仿宋" w:hAnsi="仿宋" w:cs="仿宋"/>
                <w:color w:val="auto"/>
                <w:highlight w:val="none"/>
              </w:rPr>
              <w:t>投标文件中评标标准相应的商务技术资料目录</w:t>
            </w:r>
            <w:r>
              <w:rPr>
                <w:rFonts w:hint="eastAsia" w:ascii="仿宋" w:hAnsi="仿宋" w:cs="仿宋"/>
                <w:color w:val="auto"/>
                <w:highlight w:val="none"/>
                <w:shd w:val="clear" w:color="auto" w:fill="FFFFFF"/>
              </w:rPr>
              <w:t> *</w:t>
            </w:r>
          </w:p>
        </w:tc>
      </w:tr>
      <w:tr w14:paraId="4ADE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45DAE585">
            <w:pPr>
              <w:jc w:val="center"/>
              <w:outlineLvl w:val="0"/>
              <w:rPr>
                <w:rFonts w:hint="eastAsia" w:ascii="仿宋" w:hAnsi="仿宋" w:cs="仿宋"/>
                <w:color w:val="auto"/>
                <w:highlight w:val="none"/>
              </w:rPr>
            </w:pPr>
            <w:r>
              <w:rPr>
                <w:rFonts w:hint="eastAsia" w:ascii="仿宋" w:hAnsi="仿宋" w:cs="仿宋"/>
                <w:color w:val="auto"/>
                <w:highlight w:val="none"/>
              </w:rPr>
              <w:t>1</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79A40631">
            <w:pPr>
              <w:jc w:val="left"/>
              <w:outlineLvl w:val="0"/>
              <w:rPr>
                <w:rFonts w:hint="eastAsia" w:ascii="仿宋" w:hAnsi="仿宋" w:cs="仿宋"/>
                <w:color w:val="auto"/>
                <w:highlight w:val="none"/>
              </w:rPr>
            </w:pPr>
            <w:r>
              <w:rPr>
                <w:rFonts w:hint="eastAsia" w:ascii="仿宋" w:hAnsi="仿宋" w:cs="仿宋"/>
                <w:color w:val="auto"/>
                <w:highlight w:val="none"/>
              </w:rPr>
              <w:t>基准价为满足评标要求且投标价格最低的投标报价，投标报价得分=(基准价／投标报价)×10，四舍五入，保留两位小数。报价高于预算价（最高限价）的，为无效投标文件。</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248E6EB4">
            <w:pPr>
              <w:jc w:val="center"/>
              <w:outlineLvl w:val="0"/>
              <w:rPr>
                <w:rFonts w:hint="eastAsia" w:ascii="仿宋" w:hAnsi="仿宋" w:cs="仿宋"/>
                <w:color w:val="auto"/>
                <w:highlight w:val="none"/>
              </w:rPr>
            </w:pPr>
            <w:r>
              <w:rPr>
                <w:rFonts w:hint="eastAsia" w:ascii="仿宋" w:hAnsi="仿宋" w:cs="仿宋"/>
                <w:color w:val="auto"/>
                <w:highlight w:val="none"/>
              </w:rPr>
              <w:t>10</w:t>
            </w:r>
          </w:p>
        </w:tc>
        <w:tc>
          <w:tcPr>
            <w:tcW w:w="2132" w:type="dxa"/>
            <w:tcBorders>
              <w:top w:val="single" w:color="auto" w:sz="4" w:space="0"/>
              <w:left w:val="single" w:color="auto" w:sz="4" w:space="0"/>
              <w:bottom w:val="single" w:color="auto" w:sz="4" w:space="0"/>
              <w:right w:val="single" w:color="auto" w:sz="4" w:space="0"/>
              <w:tl2br w:val="nil"/>
              <w:tr2bl w:val="nil"/>
            </w:tcBorders>
            <w:vAlign w:val="center"/>
          </w:tcPr>
          <w:p w14:paraId="0739AE42">
            <w:pPr>
              <w:jc w:val="center"/>
              <w:outlineLvl w:val="0"/>
              <w:rPr>
                <w:rFonts w:hint="eastAsia" w:ascii="仿宋" w:hAnsi="仿宋" w:cs="仿宋"/>
                <w:color w:val="auto"/>
                <w:highlight w:val="none"/>
              </w:rPr>
            </w:pPr>
            <w:r>
              <w:rPr>
                <w:rFonts w:hint="eastAsia" w:ascii="仿宋" w:hAnsi="仿宋" w:cs="仿宋"/>
                <w:color w:val="auto"/>
                <w:highlight w:val="none"/>
              </w:rPr>
              <w:t>报价</w:t>
            </w:r>
          </w:p>
        </w:tc>
      </w:tr>
      <w:tr w14:paraId="493B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C4328F">
            <w:pPr>
              <w:jc w:val="center"/>
              <w:outlineLvl w:val="0"/>
              <w:rPr>
                <w:rFonts w:hint="eastAsia" w:ascii="仿宋" w:hAnsi="仿宋" w:cs="仿宋"/>
                <w:color w:val="auto"/>
                <w:highlight w:val="none"/>
              </w:rPr>
            </w:pPr>
            <w:r>
              <w:rPr>
                <w:rFonts w:hint="eastAsia" w:ascii="仿宋" w:hAnsi="仿宋" w:cs="仿宋"/>
                <w:color w:val="auto"/>
                <w:highlight w:val="none"/>
              </w:rPr>
              <w:t>2</w:t>
            </w:r>
          </w:p>
        </w:tc>
        <w:tc>
          <w:tcPr>
            <w:tcW w:w="5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BD478C2">
            <w:pPr>
              <w:outlineLvl w:val="0"/>
              <w:rPr>
                <w:rFonts w:hint="eastAsia" w:ascii="仿宋" w:hAnsi="仿宋" w:cs="仿宋"/>
                <w:color w:val="auto"/>
                <w:highlight w:val="none"/>
              </w:rPr>
            </w:pPr>
            <w:r>
              <w:rPr>
                <w:rFonts w:hint="eastAsia" w:ascii="仿宋" w:hAnsi="仿宋" w:cs="仿宋"/>
                <w:color w:val="auto"/>
                <w:highlight w:val="none"/>
              </w:rPr>
              <w:t>投标人获得的有效的质量管理体系、环境管理体系、职业健康安全管理体系，每项得 1 分，最高 3 分。（需提供相关证书复印件，由评标委员会在全国认证认可信息公共服务平台（http://cx.cnca.cn/）查询，不提供或证书无法在上述平台查询确认状态为有效的不得分。）</w:t>
            </w:r>
          </w:p>
        </w:tc>
        <w:tc>
          <w:tcPr>
            <w:tcW w:w="12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1297807">
            <w:pPr>
              <w:jc w:val="center"/>
              <w:outlineLvl w:val="0"/>
              <w:rPr>
                <w:rFonts w:hint="eastAsia" w:ascii="仿宋" w:hAnsi="仿宋" w:cs="仿宋"/>
                <w:color w:val="auto"/>
                <w:highlight w:val="none"/>
              </w:rPr>
            </w:pPr>
            <w:r>
              <w:rPr>
                <w:rFonts w:hint="eastAsia" w:ascii="仿宋" w:hAnsi="仿宋" w:cs="仿宋"/>
                <w:color w:val="auto"/>
                <w:highlight w:val="none"/>
              </w:rPr>
              <w:t>3分</w:t>
            </w:r>
          </w:p>
          <w:p w14:paraId="6EEE7E4E">
            <w:pPr>
              <w:jc w:val="center"/>
              <w:outlineLvl w:val="0"/>
              <w:rPr>
                <w:rFonts w:hint="eastAsia" w:ascii="仿宋" w:hAnsi="仿宋" w:cs="仿宋"/>
                <w:color w:val="auto"/>
                <w:highlight w:val="none"/>
              </w:rPr>
            </w:pPr>
            <w:r>
              <w:rPr>
                <w:rFonts w:hint="eastAsia" w:ascii="仿宋" w:hAnsi="仿宋" w:cs="仿宋"/>
                <w:color w:val="auto"/>
                <w:highlight w:val="none"/>
              </w:rPr>
              <w:t>（客观）</w:t>
            </w:r>
          </w:p>
        </w:tc>
        <w:tc>
          <w:tcPr>
            <w:tcW w:w="21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706767">
            <w:pPr>
              <w:jc w:val="center"/>
              <w:outlineLvl w:val="0"/>
              <w:rPr>
                <w:rFonts w:hint="eastAsia" w:ascii="仿宋" w:hAnsi="仿宋" w:cs="仿宋"/>
                <w:color w:val="auto"/>
                <w:highlight w:val="none"/>
              </w:rPr>
            </w:pPr>
            <w:r>
              <w:rPr>
                <w:rFonts w:hint="eastAsia" w:ascii="仿宋" w:hAnsi="仿宋" w:cs="仿宋"/>
                <w:color w:val="auto"/>
                <w:highlight w:val="none"/>
              </w:rPr>
              <w:t>体系认证</w:t>
            </w:r>
          </w:p>
        </w:tc>
      </w:tr>
      <w:tr w14:paraId="2486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130ED32F">
            <w:pPr>
              <w:jc w:val="center"/>
              <w:outlineLvl w:val="0"/>
              <w:rPr>
                <w:rFonts w:hint="eastAsia" w:ascii="仿宋" w:hAnsi="仿宋" w:cs="仿宋"/>
                <w:color w:val="auto"/>
                <w:highlight w:val="none"/>
              </w:rPr>
            </w:pPr>
            <w:r>
              <w:rPr>
                <w:rFonts w:hint="eastAsia" w:ascii="仿宋" w:hAnsi="仿宋" w:cs="仿宋"/>
                <w:color w:val="auto"/>
                <w:highlight w:val="none"/>
              </w:rPr>
              <w:t>3</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3AC87D3A">
            <w:pPr>
              <w:outlineLvl w:val="0"/>
              <w:rPr>
                <w:rFonts w:hint="eastAsia" w:ascii="仿宋" w:hAnsi="仿宋" w:cs="仿宋"/>
                <w:color w:val="auto"/>
                <w:highlight w:val="none"/>
              </w:rPr>
            </w:pPr>
            <w:r>
              <w:rPr>
                <w:rFonts w:hint="eastAsia" w:ascii="仿宋" w:hAnsi="仿宋" w:cs="仿宋"/>
                <w:color w:val="auto"/>
                <w:highlight w:val="none"/>
              </w:rPr>
              <w:t>投标人具有省级或省级以上市场监督管理局颁发的CMA资质认定证书的得3分。</w:t>
            </w:r>
          </w:p>
          <w:p w14:paraId="3878FB07">
            <w:pPr>
              <w:outlineLvl w:val="0"/>
              <w:rPr>
                <w:rFonts w:hint="eastAsia" w:ascii="仿宋" w:hAnsi="仿宋" w:cs="仿宋"/>
                <w:color w:val="auto"/>
                <w:highlight w:val="none"/>
              </w:rPr>
            </w:pPr>
            <w:r>
              <w:rPr>
                <w:rFonts w:hint="eastAsia" w:ascii="仿宋" w:hAnsi="仿宋" w:cs="仿宋"/>
                <w:color w:val="auto"/>
                <w:highlight w:val="none"/>
              </w:rPr>
              <w:t>证明材料：需提供相关证书复印件并加盖公章，否则不得分。</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14431709">
            <w:pPr>
              <w:jc w:val="center"/>
              <w:outlineLvl w:val="0"/>
              <w:rPr>
                <w:rFonts w:hint="eastAsia" w:ascii="仿宋" w:hAnsi="仿宋" w:cs="仿宋"/>
                <w:color w:val="auto"/>
                <w:highlight w:val="none"/>
              </w:rPr>
            </w:pPr>
            <w:r>
              <w:rPr>
                <w:rFonts w:hint="eastAsia" w:ascii="仿宋" w:hAnsi="仿宋" w:cs="仿宋"/>
                <w:color w:val="auto"/>
                <w:highlight w:val="none"/>
              </w:rPr>
              <w:t>3分</w:t>
            </w:r>
          </w:p>
          <w:p w14:paraId="6CD75F6D">
            <w:pPr>
              <w:jc w:val="center"/>
              <w:outlineLvl w:val="0"/>
              <w:rPr>
                <w:rFonts w:hint="eastAsia" w:ascii="仿宋" w:hAnsi="仿宋" w:cs="仿宋"/>
                <w:color w:val="auto"/>
                <w:highlight w:val="none"/>
              </w:rPr>
            </w:pPr>
            <w:r>
              <w:rPr>
                <w:rFonts w:hint="eastAsia" w:ascii="仿宋" w:hAnsi="仿宋" w:cs="仿宋"/>
                <w:color w:val="auto"/>
                <w:highlight w:val="none"/>
              </w:rPr>
              <w:t>（客观）</w:t>
            </w:r>
          </w:p>
        </w:tc>
        <w:tc>
          <w:tcPr>
            <w:tcW w:w="2132" w:type="dxa"/>
            <w:tcBorders>
              <w:top w:val="single" w:color="auto" w:sz="4" w:space="0"/>
              <w:left w:val="single" w:color="auto" w:sz="4" w:space="0"/>
              <w:bottom w:val="single" w:color="auto" w:sz="4" w:space="0"/>
              <w:right w:val="single" w:color="auto" w:sz="4" w:space="0"/>
              <w:tl2br w:val="nil"/>
              <w:tr2bl w:val="nil"/>
            </w:tcBorders>
            <w:vAlign w:val="center"/>
          </w:tcPr>
          <w:p w14:paraId="1D74CA6B">
            <w:pPr>
              <w:jc w:val="center"/>
              <w:outlineLvl w:val="0"/>
              <w:rPr>
                <w:rFonts w:hint="eastAsia" w:ascii="仿宋" w:hAnsi="仿宋" w:cs="仿宋"/>
                <w:color w:val="auto"/>
                <w:highlight w:val="none"/>
              </w:rPr>
            </w:pPr>
            <w:r>
              <w:rPr>
                <w:rFonts w:hint="eastAsia" w:ascii="仿宋" w:hAnsi="仿宋" w:cs="仿宋"/>
                <w:color w:val="auto"/>
                <w:highlight w:val="none"/>
              </w:rPr>
              <w:t>资质证书</w:t>
            </w:r>
          </w:p>
        </w:tc>
      </w:tr>
      <w:tr w14:paraId="3162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47C893B2">
            <w:pPr>
              <w:jc w:val="center"/>
              <w:outlineLvl w:val="0"/>
              <w:rPr>
                <w:rFonts w:hint="eastAsia" w:ascii="仿宋" w:hAnsi="仿宋" w:cs="仿宋"/>
                <w:color w:val="auto"/>
                <w:highlight w:val="none"/>
              </w:rPr>
            </w:pPr>
            <w:r>
              <w:rPr>
                <w:rFonts w:hint="eastAsia" w:ascii="仿宋" w:hAnsi="仿宋" w:cs="仿宋"/>
                <w:color w:val="auto"/>
                <w:highlight w:val="none"/>
              </w:rPr>
              <w:t>4</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74D6E290">
            <w:pPr>
              <w:widowControl/>
              <w:suppressAutoHyphens/>
              <w:jc w:val="left"/>
              <w:rPr>
                <w:rFonts w:hint="eastAsia" w:ascii="仿宋" w:hAnsi="仿宋" w:cs="仿宋"/>
                <w:color w:val="auto"/>
                <w:highlight w:val="none"/>
              </w:rPr>
            </w:pPr>
            <w:r>
              <w:rPr>
                <w:rFonts w:hint="eastAsia" w:ascii="仿宋" w:hAnsi="仿宋" w:cs="仿宋"/>
                <w:color w:val="auto"/>
                <w:highlight w:val="none"/>
              </w:rPr>
              <w:t>投标人提供2022年1月1日以来承担过同类项目业绩，每有一项得0.5分，最多得1分。</w:t>
            </w:r>
          </w:p>
          <w:p w14:paraId="72BE926A">
            <w:pPr>
              <w:widowControl/>
              <w:jc w:val="left"/>
              <w:rPr>
                <w:rFonts w:hint="eastAsia" w:ascii="仿宋" w:hAnsi="仿宋" w:cs="仿宋"/>
                <w:color w:val="auto"/>
                <w:highlight w:val="none"/>
              </w:rPr>
            </w:pPr>
            <w:r>
              <w:rPr>
                <w:rFonts w:hint="eastAsia" w:ascii="仿宋" w:hAnsi="仿宋" w:cs="仿宋"/>
                <w:color w:val="auto"/>
                <w:highlight w:val="none"/>
              </w:rPr>
              <w:t>注：提供合同扫描件加盖公章，时间认定以合同签订时间为准；若合同中未能反映项目内容的，则须提供业主证明材料，并加盖公章，否则不得分。</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1403E020">
            <w:pPr>
              <w:jc w:val="center"/>
              <w:outlineLvl w:val="0"/>
              <w:rPr>
                <w:rFonts w:hint="eastAsia" w:ascii="仿宋" w:hAnsi="仿宋" w:cs="仿宋"/>
                <w:color w:val="auto"/>
                <w:highlight w:val="none"/>
              </w:rPr>
            </w:pPr>
            <w:r>
              <w:rPr>
                <w:rFonts w:hint="eastAsia" w:ascii="仿宋" w:hAnsi="仿宋" w:cs="仿宋_GB2312"/>
                <w:color w:val="auto"/>
                <w:highlight w:val="none"/>
              </w:rPr>
              <w:t>1</w:t>
            </w:r>
            <w:r>
              <w:rPr>
                <w:rFonts w:hint="eastAsia" w:ascii="仿宋" w:hAnsi="仿宋" w:cs="仿宋"/>
                <w:color w:val="auto"/>
                <w:highlight w:val="none"/>
              </w:rPr>
              <w:t>分</w:t>
            </w:r>
          </w:p>
          <w:p w14:paraId="73B9E996">
            <w:pPr>
              <w:jc w:val="center"/>
              <w:outlineLvl w:val="0"/>
              <w:rPr>
                <w:rFonts w:hint="eastAsia" w:ascii="仿宋" w:hAnsi="仿宋" w:cs="仿宋"/>
                <w:color w:val="auto"/>
                <w:highlight w:val="none"/>
              </w:rPr>
            </w:pPr>
            <w:r>
              <w:rPr>
                <w:rFonts w:hint="eastAsia" w:ascii="仿宋" w:hAnsi="仿宋" w:cs="仿宋"/>
                <w:color w:val="auto"/>
                <w:highlight w:val="none"/>
              </w:rPr>
              <w:t>（客观）</w:t>
            </w:r>
          </w:p>
        </w:tc>
        <w:tc>
          <w:tcPr>
            <w:tcW w:w="2132" w:type="dxa"/>
            <w:tcBorders>
              <w:top w:val="single" w:color="auto" w:sz="4" w:space="0"/>
              <w:left w:val="single" w:color="auto" w:sz="4" w:space="0"/>
              <w:bottom w:val="single" w:color="auto" w:sz="4" w:space="0"/>
              <w:right w:val="single" w:color="auto" w:sz="4" w:space="0"/>
              <w:tl2br w:val="nil"/>
              <w:tr2bl w:val="nil"/>
            </w:tcBorders>
            <w:vAlign w:val="center"/>
          </w:tcPr>
          <w:p w14:paraId="3E432803">
            <w:pPr>
              <w:spacing w:line="360" w:lineRule="auto"/>
              <w:jc w:val="center"/>
              <w:outlineLvl w:val="0"/>
              <w:rPr>
                <w:rFonts w:hint="eastAsia" w:ascii="仿宋" w:hAnsi="仿宋" w:cs="仿宋"/>
                <w:color w:val="auto"/>
                <w:highlight w:val="none"/>
              </w:rPr>
            </w:pPr>
            <w:r>
              <w:rPr>
                <w:rFonts w:hint="eastAsia" w:ascii="仿宋" w:hAnsi="仿宋" w:cs="仿宋"/>
                <w:color w:val="auto"/>
                <w:highlight w:val="none"/>
              </w:rPr>
              <w:t>业绩</w:t>
            </w:r>
          </w:p>
        </w:tc>
      </w:tr>
      <w:tr w14:paraId="724E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374A833D">
            <w:pPr>
              <w:jc w:val="center"/>
              <w:outlineLvl w:val="0"/>
              <w:rPr>
                <w:rFonts w:hint="eastAsia" w:ascii="仿宋" w:hAnsi="仿宋" w:cs="仿宋"/>
                <w:color w:val="auto"/>
                <w:highlight w:val="none"/>
              </w:rPr>
            </w:pPr>
            <w:r>
              <w:rPr>
                <w:rFonts w:hint="eastAsia" w:ascii="仿宋" w:hAnsi="仿宋" w:cs="仿宋"/>
                <w:color w:val="auto"/>
                <w:highlight w:val="none"/>
              </w:rPr>
              <w:t>5</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4099845E">
            <w:pPr>
              <w:jc w:val="left"/>
              <w:rPr>
                <w:rFonts w:hint="eastAsia" w:ascii="仿宋" w:hAnsi="仿宋" w:cs="仿宋"/>
                <w:color w:val="auto"/>
                <w:highlight w:val="none"/>
              </w:rPr>
            </w:pPr>
            <w:r>
              <w:rPr>
                <w:rFonts w:hint="eastAsia" w:ascii="仿宋" w:hAnsi="仿宋" w:cs="仿宋"/>
                <w:color w:val="auto"/>
                <w:highlight w:val="none"/>
              </w:rPr>
              <w:t>项目负责人具有生态环境保护类高级工程师职称的得4分，生态环境保护类中级工程师职称的得2分；具有环境类研究生学位得2分，环境类本科学位得1分，本项最高得6分。</w:t>
            </w:r>
          </w:p>
          <w:p w14:paraId="5C77CF61">
            <w:pPr>
              <w:jc w:val="left"/>
              <w:rPr>
                <w:rFonts w:hint="eastAsia" w:ascii="仿宋" w:hAnsi="仿宋" w:cs="仿宋"/>
                <w:color w:val="auto"/>
                <w:highlight w:val="none"/>
              </w:rPr>
            </w:pPr>
            <w:r>
              <w:rPr>
                <w:rFonts w:hint="eastAsia" w:ascii="仿宋" w:hAnsi="仿宋" w:cs="仿宋"/>
                <w:color w:val="auto"/>
                <w:highlight w:val="none"/>
              </w:rPr>
              <w:t>注：需提供职称证书、学历证书、身份证扫描件和近三个月任意一月社保证明，未提供的不得分。</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7B5BB625">
            <w:pPr>
              <w:jc w:val="center"/>
              <w:outlineLvl w:val="0"/>
              <w:rPr>
                <w:rFonts w:hint="eastAsia" w:ascii="仿宋" w:hAnsi="仿宋" w:cs="仿宋"/>
                <w:color w:val="auto"/>
                <w:highlight w:val="none"/>
              </w:rPr>
            </w:pPr>
            <w:r>
              <w:rPr>
                <w:rFonts w:hint="eastAsia" w:ascii="仿宋" w:hAnsi="仿宋" w:cs="仿宋"/>
                <w:bCs/>
                <w:color w:val="auto"/>
                <w:highlight w:val="none"/>
              </w:rPr>
              <w:t>6</w:t>
            </w:r>
            <w:r>
              <w:rPr>
                <w:rFonts w:hint="eastAsia" w:ascii="仿宋" w:hAnsi="仿宋" w:cs="仿宋"/>
                <w:color w:val="auto"/>
                <w:highlight w:val="none"/>
              </w:rPr>
              <w:t>分</w:t>
            </w:r>
          </w:p>
          <w:p w14:paraId="08679797">
            <w:pPr>
              <w:jc w:val="center"/>
              <w:outlineLvl w:val="0"/>
              <w:rPr>
                <w:rFonts w:hint="eastAsia" w:ascii="仿宋" w:hAnsi="仿宋" w:cs="仿宋"/>
                <w:color w:val="auto"/>
                <w:highlight w:val="none"/>
              </w:rPr>
            </w:pPr>
            <w:r>
              <w:rPr>
                <w:rFonts w:hint="eastAsia" w:ascii="仿宋" w:hAnsi="仿宋" w:cs="仿宋"/>
                <w:color w:val="auto"/>
                <w:highlight w:val="none"/>
              </w:rPr>
              <w:t>（客观）</w:t>
            </w:r>
          </w:p>
        </w:tc>
        <w:tc>
          <w:tcPr>
            <w:tcW w:w="2132" w:type="dxa"/>
            <w:tcBorders>
              <w:top w:val="single" w:color="auto" w:sz="4" w:space="0"/>
              <w:left w:val="single" w:color="auto" w:sz="4" w:space="0"/>
              <w:right w:val="single" w:color="auto" w:sz="4" w:space="0"/>
              <w:tl2br w:val="nil"/>
              <w:tr2bl w:val="nil"/>
            </w:tcBorders>
            <w:vAlign w:val="center"/>
          </w:tcPr>
          <w:p w14:paraId="092F2FEF">
            <w:pPr>
              <w:jc w:val="center"/>
              <w:outlineLvl w:val="0"/>
              <w:rPr>
                <w:rFonts w:hint="eastAsia" w:ascii="仿宋" w:hAnsi="仿宋" w:cs="仿宋"/>
                <w:color w:val="auto"/>
                <w:highlight w:val="none"/>
              </w:rPr>
            </w:pPr>
            <w:r>
              <w:rPr>
                <w:rFonts w:hint="eastAsia" w:ascii="仿宋" w:hAnsi="仿宋" w:cs="仿宋"/>
                <w:color w:val="auto"/>
                <w:highlight w:val="none"/>
              </w:rPr>
              <w:t>项目负责人</w:t>
            </w:r>
          </w:p>
        </w:tc>
      </w:tr>
      <w:tr w14:paraId="4F87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4D70C6BD">
            <w:pPr>
              <w:jc w:val="center"/>
              <w:outlineLvl w:val="0"/>
              <w:rPr>
                <w:rFonts w:hint="eastAsia" w:ascii="仿宋" w:hAnsi="仿宋" w:cs="仿宋"/>
                <w:color w:val="auto"/>
                <w:highlight w:val="none"/>
              </w:rPr>
            </w:pPr>
            <w:r>
              <w:rPr>
                <w:rFonts w:hint="eastAsia" w:ascii="仿宋" w:hAnsi="仿宋" w:cs="仿宋"/>
                <w:color w:val="auto"/>
                <w:highlight w:val="none"/>
              </w:rPr>
              <w:t>6</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7A8511F4">
            <w:pPr>
              <w:jc w:val="left"/>
              <w:rPr>
                <w:rFonts w:hint="eastAsia" w:ascii="仿宋" w:hAnsi="仿宋" w:cs="仿宋"/>
                <w:color w:val="auto"/>
                <w:highlight w:val="none"/>
                <w:lang w:val="zh-CN"/>
              </w:rPr>
            </w:pPr>
            <w:r>
              <w:rPr>
                <w:rFonts w:hint="eastAsia" w:ascii="仿宋" w:hAnsi="仿宋" w:cs="仿宋"/>
                <w:color w:val="auto"/>
                <w:highlight w:val="none"/>
                <w:lang w:val="zh-CN"/>
              </w:rPr>
              <w:t>项目组成员（除项目负责人）持有生态环境保护类高级工程师职称证书，每人得3分；持有生态环境保护类中级工程师职称证书，每人得2分，本项最高得12分。</w:t>
            </w:r>
          </w:p>
          <w:p w14:paraId="5E0EC0EA">
            <w:pPr>
              <w:jc w:val="left"/>
              <w:rPr>
                <w:rFonts w:hint="eastAsia" w:ascii="仿宋" w:hAnsi="仿宋" w:cs="仿宋"/>
                <w:color w:val="auto"/>
                <w:highlight w:val="none"/>
                <w:lang w:val="zh-CN"/>
              </w:rPr>
            </w:pPr>
            <w:r>
              <w:rPr>
                <w:rFonts w:hint="eastAsia" w:ascii="仿宋" w:hAnsi="仿宋" w:cs="仿宋"/>
                <w:color w:val="auto"/>
                <w:highlight w:val="none"/>
                <w:lang w:val="zh-CN"/>
              </w:rPr>
              <w:t>证明材料：提供人员职称证书、身份证扫描件和近三个月任意一个月的单位社保缴纳证明并加盖公章。</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770BB3D6">
            <w:pPr>
              <w:jc w:val="center"/>
              <w:outlineLvl w:val="0"/>
              <w:rPr>
                <w:rFonts w:hint="eastAsia" w:ascii="仿宋" w:hAnsi="仿宋" w:cs="仿宋"/>
                <w:color w:val="auto"/>
                <w:highlight w:val="none"/>
              </w:rPr>
            </w:pPr>
            <w:r>
              <w:rPr>
                <w:rFonts w:hint="eastAsia" w:ascii="仿宋" w:hAnsi="仿宋" w:cs="仿宋"/>
                <w:bCs/>
                <w:color w:val="auto"/>
                <w:highlight w:val="none"/>
              </w:rPr>
              <w:t>12</w:t>
            </w:r>
            <w:r>
              <w:rPr>
                <w:rFonts w:hint="eastAsia" w:ascii="仿宋" w:hAnsi="仿宋" w:cs="仿宋"/>
                <w:color w:val="auto"/>
                <w:highlight w:val="none"/>
              </w:rPr>
              <w:t>分</w:t>
            </w:r>
          </w:p>
          <w:p w14:paraId="16FF08FD">
            <w:pPr>
              <w:jc w:val="center"/>
              <w:outlineLvl w:val="0"/>
              <w:rPr>
                <w:rFonts w:hint="eastAsia" w:ascii="仿宋" w:hAnsi="仿宋" w:cs="仿宋"/>
                <w:color w:val="auto"/>
                <w:highlight w:val="none"/>
              </w:rPr>
            </w:pPr>
            <w:r>
              <w:rPr>
                <w:rFonts w:hint="eastAsia" w:ascii="仿宋" w:hAnsi="仿宋" w:cs="仿宋"/>
                <w:color w:val="auto"/>
                <w:highlight w:val="none"/>
              </w:rPr>
              <w:t>（客观）</w:t>
            </w:r>
          </w:p>
        </w:tc>
        <w:tc>
          <w:tcPr>
            <w:tcW w:w="2132" w:type="dxa"/>
            <w:tcBorders>
              <w:left w:val="single" w:color="auto" w:sz="4" w:space="0"/>
              <w:right w:val="single" w:color="auto" w:sz="4" w:space="0"/>
              <w:tl2br w:val="nil"/>
              <w:tr2bl w:val="nil"/>
            </w:tcBorders>
            <w:vAlign w:val="center"/>
          </w:tcPr>
          <w:p w14:paraId="51088948">
            <w:pPr>
              <w:jc w:val="center"/>
              <w:outlineLvl w:val="0"/>
              <w:rPr>
                <w:rFonts w:hint="eastAsia" w:ascii="仿宋" w:hAnsi="仿宋" w:cs="仿宋"/>
                <w:color w:val="auto"/>
                <w:highlight w:val="none"/>
              </w:rPr>
            </w:pPr>
            <w:r>
              <w:rPr>
                <w:rFonts w:hint="eastAsia" w:ascii="仿宋" w:hAnsi="仿宋" w:cs="仿宋"/>
                <w:color w:val="auto"/>
                <w:highlight w:val="none"/>
              </w:rPr>
              <w:t>项目团队成员</w:t>
            </w:r>
          </w:p>
        </w:tc>
      </w:tr>
      <w:tr w14:paraId="24AF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1A29E0EC">
            <w:pPr>
              <w:jc w:val="center"/>
              <w:outlineLvl w:val="0"/>
              <w:rPr>
                <w:rFonts w:hint="eastAsia" w:ascii="仿宋" w:hAnsi="仿宋" w:cs="仿宋"/>
                <w:color w:val="auto"/>
                <w:highlight w:val="none"/>
              </w:rPr>
            </w:pPr>
            <w:r>
              <w:rPr>
                <w:rFonts w:hint="eastAsia" w:ascii="仿宋" w:hAnsi="仿宋" w:cs="仿宋"/>
                <w:color w:val="auto"/>
                <w:highlight w:val="none"/>
              </w:rPr>
              <w:t>7</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53A67914">
            <w:pPr>
              <w:pStyle w:val="25"/>
              <w:spacing w:line="240" w:lineRule="auto"/>
              <w:rPr>
                <w:rFonts w:hint="eastAsia" w:ascii="仿宋" w:hAnsi="仿宋" w:cs="仿宋"/>
                <w:color w:val="auto"/>
                <w:kern w:val="0"/>
                <w:szCs w:val="24"/>
                <w:highlight w:val="none"/>
                <w:lang w:val="en-US"/>
              </w:rPr>
            </w:pPr>
            <w:r>
              <w:rPr>
                <w:rFonts w:hint="eastAsia" w:ascii="仿宋" w:hAnsi="仿宋" w:cs="仿宋"/>
                <w:color w:val="auto"/>
                <w:kern w:val="0"/>
                <w:szCs w:val="24"/>
                <w:highlight w:val="none"/>
                <w:lang w:val="en-US"/>
              </w:rPr>
              <w:t>投标人具有以下设备的加分：</w:t>
            </w:r>
          </w:p>
          <w:p w14:paraId="347FC8B6">
            <w:pPr>
              <w:pStyle w:val="25"/>
              <w:spacing w:line="240" w:lineRule="auto"/>
              <w:rPr>
                <w:rFonts w:hint="eastAsia" w:ascii="仿宋" w:hAnsi="仿宋" w:cs="仿宋"/>
                <w:color w:val="auto"/>
                <w:kern w:val="0"/>
                <w:szCs w:val="24"/>
                <w:highlight w:val="none"/>
                <w:lang w:val="en-US"/>
              </w:rPr>
            </w:pPr>
            <w:r>
              <w:rPr>
                <w:rFonts w:hint="eastAsia" w:ascii="仿宋" w:hAnsi="仿宋" w:cs="仿宋"/>
                <w:color w:val="auto"/>
                <w:kern w:val="0"/>
                <w:szCs w:val="24"/>
                <w:highlight w:val="none"/>
                <w:lang w:val="en-US"/>
              </w:rPr>
              <w:t>1、具备气相色谱-质谱联用仪2台；</w:t>
            </w:r>
          </w:p>
          <w:p w14:paraId="2543BCCB">
            <w:pPr>
              <w:pStyle w:val="25"/>
              <w:spacing w:line="240" w:lineRule="auto"/>
              <w:rPr>
                <w:rFonts w:hint="eastAsia" w:ascii="仿宋" w:hAnsi="仿宋" w:cs="仿宋"/>
                <w:color w:val="auto"/>
                <w:kern w:val="0"/>
                <w:szCs w:val="24"/>
                <w:highlight w:val="none"/>
                <w:lang w:val="en-US"/>
              </w:rPr>
            </w:pPr>
            <w:r>
              <w:rPr>
                <w:rFonts w:hint="eastAsia" w:ascii="仿宋" w:hAnsi="仿宋" w:cs="仿宋"/>
                <w:color w:val="auto"/>
                <w:kern w:val="0"/>
                <w:szCs w:val="24"/>
                <w:highlight w:val="none"/>
                <w:lang w:val="en-US"/>
              </w:rPr>
              <w:t>2、具备电感耦合等离子体质谱仪1台；</w:t>
            </w:r>
          </w:p>
          <w:p w14:paraId="32AE86F2">
            <w:pPr>
              <w:pStyle w:val="25"/>
              <w:spacing w:line="240" w:lineRule="auto"/>
              <w:rPr>
                <w:rFonts w:hint="eastAsia" w:ascii="仿宋" w:hAnsi="仿宋" w:cs="仿宋"/>
                <w:color w:val="auto"/>
                <w:kern w:val="0"/>
                <w:szCs w:val="24"/>
                <w:highlight w:val="none"/>
                <w:lang w:val="en-US"/>
              </w:rPr>
            </w:pPr>
            <w:r>
              <w:rPr>
                <w:rFonts w:hint="eastAsia" w:ascii="仿宋" w:hAnsi="仿宋" w:cs="仿宋"/>
                <w:color w:val="auto"/>
                <w:kern w:val="0"/>
                <w:szCs w:val="24"/>
                <w:highlight w:val="none"/>
                <w:lang w:val="en-US"/>
              </w:rPr>
              <w:t>3、具备便携式气相色谱仪2台；</w:t>
            </w:r>
          </w:p>
          <w:p w14:paraId="6C7BCB87">
            <w:pPr>
              <w:pStyle w:val="25"/>
              <w:spacing w:line="240" w:lineRule="auto"/>
              <w:rPr>
                <w:rFonts w:hint="eastAsia" w:ascii="仿宋" w:hAnsi="仿宋" w:cs="仿宋"/>
                <w:color w:val="auto"/>
                <w:kern w:val="0"/>
                <w:szCs w:val="24"/>
                <w:highlight w:val="none"/>
                <w:lang w:val="en-US"/>
              </w:rPr>
            </w:pPr>
            <w:r>
              <w:rPr>
                <w:rFonts w:hint="eastAsia" w:ascii="仿宋" w:hAnsi="仿宋" w:cs="仿宋"/>
                <w:color w:val="auto"/>
                <w:kern w:val="0"/>
                <w:szCs w:val="24"/>
                <w:highlight w:val="none"/>
                <w:lang w:val="en-US"/>
              </w:rPr>
              <w:t>4、具备ECD气相色谱仪、FPD气相色谱仪、FID气相色谱仪至少各1台；</w:t>
            </w:r>
          </w:p>
          <w:p w14:paraId="643BDD2C">
            <w:pPr>
              <w:pStyle w:val="25"/>
              <w:spacing w:line="240" w:lineRule="auto"/>
              <w:rPr>
                <w:rFonts w:hint="eastAsia" w:ascii="仿宋" w:hAnsi="仿宋" w:cs="仿宋"/>
                <w:color w:val="auto"/>
                <w:kern w:val="0"/>
                <w:szCs w:val="24"/>
                <w:highlight w:val="none"/>
                <w:lang w:val="en-US"/>
              </w:rPr>
            </w:pPr>
            <w:r>
              <w:rPr>
                <w:rFonts w:hint="eastAsia" w:ascii="仿宋" w:hAnsi="仿宋" w:cs="仿宋"/>
                <w:color w:val="auto"/>
                <w:kern w:val="0"/>
                <w:szCs w:val="24"/>
                <w:highlight w:val="none"/>
                <w:lang w:val="en-US"/>
              </w:rPr>
              <w:t>5、原子吸收分光光度计、原子荧光光度计各1台；</w:t>
            </w:r>
          </w:p>
          <w:p w14:paraId="67A0C6CF">
            <w:pPr>
              <w:pStyle w:val="25"/>
              <w:spacing w:line="240" w:lineRule="auto"/>
              <w:rPr>
                <w:rFonts w:hint="eastAsia" w:ascii="仿宋" w:hAnsi="仿宋" w:cs="仿宋"/>
                <w:color w:val="auto"/>
                <w:kern w:val="0"/>
                <w:szCs w:val="24"/>
                <w:highlight w:val="none"/>
                <w:lang w:val="en-US"/>
              </w:rPr>
            </w:pPr>
            <w:r>
              <w:rPr>
                <w:rFonts w:hint="eastAsia" w:ascii="仿宋" w:hAnsi="仿宋" w:cs="仿宋"/>
                <w:color w:val="auto"/>
                <w:kern w:val="0"/>
                <w:szCs w:val="24"/>
                <w:highlight w:val="none"/>
                <w:lang w:val="en-US"/>
              </w:rPr>
              <w:t>上述5项中每满足一项的得2分，最高得10分。</w:t>
            </w:r>
          </w:p>
          <w:p w14:paraId="1DF7EDA2">
            <w:pPr>
              <w:pStyle w:val="25"/>
              <w:spacing w:line="240" w:lineRule="auto"/>
              <w:rPr>
                <w:rFonts w:hint="eastAsia" w:ascii="仿宋" w:hAnsi="仿宋" w:cs="仿宋"/>
                <w:b/>
                <w:bCs/>
                <w:color w:val="auto"/>
                <w:szCs w:val="24"/>
                <w:highlight w:val="none"/>
                <w:lang w:val="en-US"/>
              </w:rPr>
            </w:pPr>
            <w:r>
              <w:rPr>
                <w:rFonts w:hint="eastAsia" w:ascii="仿宋" w:hAnsi="仿宋" w:cs="仿宋"/>
                <w:color w:val="auto"/>
                <w:kern w:val="0"/>
                <w:szCs w:val="24"/>
                <w:highlight w:val="none"/>
                <w:lang w:val="en-US"/>
              </w:rPr>
              <w:t>证明材料：投标人需提供材料证明设备为投标人购买，证明材料以投标人购买设备的发票或投标人与设备供应商正式采购合同的扫描件并加盖公章，未提供不得分。</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4B64320C">
            <w:pPr>
              <w:jc w:val="center"/>
              <w:outlineLvl w:val="0"/>
              <w:rPr>
                <w:rFonts w:hint="eastAsia" w:ascii="仿宋" w:hAnsi="仿宋" w:cs="仿宋"/>
                <w:color w:val="auto"/>
                <w:highlight w:val="none"/>
              </w:rPr>
            </w:pPr>
            <w:r>
              <w:rPr>
                <w:rFonts w:hint="eastAsia" w:ascii="仿宋" w:hAnsi="仿宋" w:cs="仿宋"/>
                <w:bCs/>
                <w:color w:val="auto"/>
                <w:highlight w:val="none"/>
              </w:rPr>
              <w:t>10</w:t>
            </w:r>
            <w:r>
              <w:rPr>
                <w:rFonts w:hint="eastAsia" w:ascii="仿宋" w:hAnsi="仿宋" w:cs="仿宋"/>
                <w:color w:val="auto"/>
                <w:highlight w:val="none"/>
              </w:rPr>
              <w:t>分</w:t>
            </w:r>
          </w:p>
          <w:p w14:paraId="5DE0DA2A">
            <w:pPr>
              <w:jc w:val="center"/>
              <w:outlineLvl w:val="0"/>
              <w:rPr>
                <w:rFonts w:hint="eastAsia" w:ascii="仿宋" w:hAnsi="仿宋" w:cs="仿宋"/>
                <w:color w:val="auto"/>
                <w:highlight w:val="none"/>
              </w:rPr>
            </w:pPr>
            <w:r>
              <w:rPr>
                <w:rFonts w:hint="eastAsia" w:ascii="仿宋" w:hAnsi="仿宋" w:cs="仿宋"/>
                <w:color w:val="auto"/>
                <w:highlight w:val="none"/>
              </w:rPr>
              <w:t>（客观）</w:t>
            </w:r>
          </w:p>
        </w:tc>
        <w:tc>
          <w:tcPr>
            <w:tcW w:w="2132" w:type="dxa"/>
            <w:tcBorders>
              <w:left w:val="single" w:color="auto" w:sz="4" w:space="0"/>
              <w:right w:val="single" w:color="auto" w:sz="4" w:space="0"/>
              <w:tl2br w:val="nil"/>
              <w:tr2bl w:val="nil"/>
            </w:tcBorders>
            <w:vAlign w:val="center"/>
          </w:tcPr>
          <w:p w14:paraId="161E5500">
            <w:pPr>
              <w:jc w:val="center"/>
              <w:outlineLvl w:val="0"/>
              <w:rPr>
                <w:rFonts w:hint="eastAsia" w:ascii="仿宋" w:hAnsi="仿宋" w:cs="仿宋"/>
                <w:color w:val="auto"/>
                <w:highlight w:val="none"/>
              </w:rPr>
            </w:pPr>
            <w:r>
              <w:rPr>
                <w:rFonts w:hint="eastAsia" w:ascii="仿宋" w:hAnsi="仿宋" w:cs="仿宋"/>
                <w:color w:val="auto"/>
                <w:highlight w:val="none"/>
              </w:rPr>
              <w:t>检测设备投入</w:t>
            </w:r>
          </w:p>
        </w:tc>
      </w:tr>
      <w:tr w14:paraId="77EF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02E7CF91">
            <w:pPr>
              <w:jc w:val="center"/>
              <w:outlineLvl w:val="0"/>
              <w:rPr>
                <w:rFonts w:hint="eastAsia" w:ascii="仿宋" w:hAnsi="仿宋" w:cs="仿宋"/>
                <w:color w:val="auto"/>
                <w:highlight w:val="none"/>
              </w:rPr>
            </w:pPr>
            <w:r>
              <w:rPr>
                <w:rFonts w:hint="eastAsia" w:ascii="仿宋" w:hAnsi="仿宋" w:cs="仿宋"/>
                <w:color w:val="auto"/>
                <w:highlight w:val="none"/>
              </w:rPr>
              <w:t>8</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1212B16A">
            <w:pPr>
              <w:pStyle w:val="25"/>
              <w:spacing w:line="240" w:lineRule="auto"/>
              <w:rPr>
                <w:rFonts w:hint="eastAsia" w:ascii="仿宋" w:hAnsi="仿宋" w:cs="仿宋"/>
                <w:color w:val="auto"/>
                <w:kern w:val="0"/>
                <w:szCs w:val="24"/>
                <w:highlight w:val="none"/>
                <w:lang w:val="en-US"/>
              </w:rPr>
            </w:pPr>
            <w:r>
              <w:rPr>
                <w:rFonts w:hint="eastAsia" w:ascii="仿宋" w:hAnsi="仿宋" w:cs="仿宋"/>
                <w:color w:val="auto"/>
                <w:kern w:val="0"/>
                <w:szCs w:val="24"/>
                <w:highlight w:val="none"/>
                <w:lang w:val="en-US"/>
              </w:rPr>
              <w:t>1.投标人具有通过资质认定的环境检测实验室且能开展相关环境检测、分析工作，实验室面积≥1500平方米得3分；实验室面积≥1000平方米且＜1500平方米得2分；实验室面积≥500平方米且＜1000平方米得1 分；实验室面积＜500平方米的不得分；</w:t>
            </w:r>
          </w:p>
          <w:p w14:paraId="722CEAC7">
            <w:pPr>
              <w:pStyle w:val="25"/>
              <w:spacing w:line="240" w:lineRule="auto"/>
              <w:rPr>
                <w:rFonts w:hint="eastAsia" w:ascii="仿宋" w:hAnsi="仿宋" w:cs="仿宋"/>
                <w:color w:val="auto"/>
                <w:kern w:val="0"/>
                <w:szCs w:val="24"/>
                <w:highlight w:val="none"/>
                <w:lang w:val="en-US"/>
              </w:rPr>
            </w:pPr>
            <w:r>
              <w:rPr>
                <w:rFonts w:hint="eastAsia" w:ascii="仿宋" w:hAnsi="仿宋" w:cs="仿宋"/>
                <w:color w:val="auto"/>
                <w:kern w:val="0"/>
                <w:szCs w:val="24"/>
                <w:highlight w:val="none"/>
                <w:lang w:val="en-US"/>
              </w:rPr>
              <w:t>证明材料：投标人自有场地的提供场所产权证扫描件加盖公章，若为租赁场地提供租赁合同及产权证扫描件加盖公章，未提供不得分。</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4037B8C6">
            <w:pPr>
              <w:jc w:val="center"/>
              <w:outlineLvl w:val="0"/>
              <w:rPr>
                <w:rFonts w:hint="eastAsia" w:ascii="仿宋" w:hAnsi="仿宋" w:cs="仿宋"/>
                <w:color w:val="auto"/>
                <w:highlight w:val="none"/>
              </w:rPr>
            </w:pPr>
            <w:r>
              <w:rPr>
                <w:rFonts w:hint="eastAsia" w:ascii="仿宋" w:hAnsi="仿宋" w:cs="仿宋"/>
                <w:bCs/>
                <w:color w:val="auto"/>
                <w:highlight w:val="none"/>
              </w:rPr>
              <w:t>3</w:t>
            </w:r>
            <w:r>
              <w:rPr>
                <w:rFonts w:hint="eastAsia" w:ascii="仿宋" w:hAnsi="仿宋" w:cs="仿宋"/>
                <w:color w:val="auto"/>
                <w:highlight w:val="none"/>
              </w:rPr>
              <w:t>分</w:t>
            </w:r>
          </w:p>
          <w:p w14:paraId="34B84DBC">
            <w:pPr>
              <w:jc w:val="center"/>
              <w:outlineLvl w:val="0"/>
              <w:rPr>
                <w:rFonts w:hint="eastAsia" w:ascii="仿宋" w:hAnsi="仿宋" w:cs="仿宋"/>
                <w:color w:val="auto"/>
                <w:highlight w:val="none"/>
              </w:rPr>
            </w:pPr>
            <w:r>
              <w:rPr>
                <w:rFonts w:hint="eastAsia" w:ascii="仿宋" w:hAnsi="仿宋" w:cs="仿宋"/>
                <w:color w:val="auto"/>
                <w:highlight w:val="none"/>
              </w:rPr>
              <w:t>（客观）</w:t>
            </w:r>
          </w:p>
        </w:tc>
        <w:tc>
          <w:tcPr>
            <w:tcW w:w="2132" w:type="dxa"/>
            <w:tcBorders>
              <w:left w:val="single" w:color="auto" w:sz="4" w:space="0"/>
              <w:right w:val="single" w:color="auto" w:sz="4" w:space="0"/>
              <w:tl2br w:val="nil"/>
              <w:tr2bl w:val="nil"/>
            </w:tcBorders>
            <w:vAlign w:val="center"/>
          </w:tcPr>
          <w:p w14:paraId="1D8AFBEB">
            <w:pPr>
              <w:jc w:val="center"/>
              <w:outlineLvl w:val="0"/>
              <w:rPr>
                <w:rFonts w:hint="eastAsia" w:ascii="仿宋" w:hAnsi="仿宋" w:cs="仿宋"/>
                <w:color w:val="auto"/>
                <w:highlight w:val="none"/>
              </w:rPr>
            </w:pPr>
            <w:r>
              <w:rPr>
                <w:rFonts w:hint="eastAsia" w:ascii="仿宋" w:hAnsi="仿宋" w:cs="仿宋"/>
                <w:color w:val="auto"/>
                <w:highlight w:val="none"/>
              </w:rPr>
              <w:t>实验室场地</w:t>
            </w:r>
          </w:p>
        </w:tc>
      </w:tr>
      <w:tr w14:paraId="3317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2" w:type="dxa"/>
            <w:vMerge w:val="restart"/>
            <w:tcBorders>
              <w:top w:val="single" w:color="auto" w:sz="4" w:space="0"/>
              <w:left w:val="single" w:color="auto" w:sz="4" w:space="0"/>
              <w:right w:val="single" w:color="auto" w:sz="4" w:space="0"/>
              <w:tl2br w:val="nil"/>
              <w:tr2bl w:val="nil"/>
            </w:tcBorders>
            <w:vAlign w:val="center"/>
          </w:tcPr>
          <w:p w14:paraId="2A9CED0F">
            <w:pPr>
              <w:jc w:val="center"/>
              <w:outlineLvl w:val="0"/>
              <w:rPr>
                <w:rFonts w:hint="eastAsia" w:ascii="仿宋" w:hAnsi="仿宋" w:cs="仿宋"/>
                <w:color w:val="auto"/>
                <w:highlight w:val="none"/>
              </w:rPr>
            </w:pPr>
            <w:r>
              <w:rPr>
                <w:rFonts w:hint="eastAsia" w:ascii="仿宋" w:hAnsi="仿宋" w:cs="仿宋"/>
                <w:color w:val="auto"/>
                <w:highlight w:val="none"/>
              </w:rPr>
              <w:t>9</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613F16B7">
            <w:pPr>
              <w:jc w:val="left"/>
              <w:rPr>
                <w:rFonts w:hint="eastAsia" w:ascii="仿宋" w:hAnsi="仿宋" w:cs="仿宋"/>
                <w:color w:val="auto"/>
                <w:highlight w:val="none"/>
              </w:rPr>
            </w:pPr>
            <w:r>
              <w:rPr>
                <w:rFonts w:hint="eastAsia" w:ascii="仿宋" w:hAnsi="仿宋" w:cs="仿宋"/>
                <w:color w:val="auto"/>
                <w:highlight w:val="none"/>
              </w:rPr>
              <w:t>投标人的检测实验室检测能力覆盖pH、有机质、镉、汞、砷、铅、铬、铜、锌和镍及《土壤环境质量建设用地土壤污染风险管控标准（试行）》GB 36600-2018）表1中45项检测指标的，得6分，每少1项扣0.5分，扣完为止。</w:t>
            </w:r>
          </w:p>
          <w:p w14:paraId="4C574225">
            <w:pPr>
              <w:jc w:val="left"/>
              <w:rPr>
                <w:rFonts w:hint="eastAsia" w:ascii="仿宋" w:hAnsi="仿宋" w:cs="仿宋"/>
                <w:color w:val="auto"/>
                <w:highlight w:val="none"/>
              </w:rPr>
            </w:pPr>
            <w:r>
              <w:rPr>
                <w:rFonts w:hint="eastAsia" w:ascii="仿宋" w:hAnsi="仿宋" w:cs="仿宋"/>
                <w:color w:val="auto"/>
                <w:highlight w:val="none"/>
              </w:rPr>
              <w:t>（提供相关实验室具有对应检测能力的资质能力证书）</w:t>
            </w:r>
          </w:p>
        </w:tc>
        <w:tc>
          <w:tcPr>
            <w:tcW w:w="1276" w:type="dxa"/>
            <w:tcBorders>
              <w:top w:val="single" w:color="auto" w:sz="4" w:space="0"/>
              <w:left w:val="single" w:color="auto" w:sz="4" w:space="0"/>
              <w:right w:val="single" w:color="auto" w:sz="4" w:space="0"/>
              <w:tl2br w:val="nil"/>
              <w:tr2bl w:val="nil"/>
            </w:tcBorders>
            <w:vAlign w:val="center"/>
          </w:tcPr>
          <w:p w14:paraId="4A917336">
            <w:pPr>
              <w:jc w:val="center"/>
              <w:outlineLvl w:val="0"/>
              <w:rPr>
                <w:rFonts w:hint="eastAsia" w:ascii="仿宋" w:hAnsi="仿宋" w:cs="仿宋"/>
                <w:color w:val="auto"/>
                <w:highlight w:val="none"/>
              </w:rPr>
            </w:pPr>
            <w:r>
              <w:rPr>
                <w:rFonts w:hint="eastAsia" w:ascii="仿宋" w:hAnsi="仿宋" w:cs="仿宋"/>
                <w:bCs/>
                <w:color w:val="auto"/>
                <w:highlight w:val="none"/>
              </w:rPr>
              <w:t>6</w:t>
            </w:r>
            <w:r>
              <w:rPr>
                <w:rFonts w:hint="eastAsia" w:ascii="仿宋" w:hAnsi="仿宋" w:cs="仿宋"/>
                <w:color w:val="auto"/>
                <w:highlight w:val="none"/>
              </w:rPr>
              <w:t>分</w:t>
            </w:r>
          </w:p>
          <w:p w14:paraId="48FDBC6D">
            <w:pPr>
              <w:jc w:val="center"/>
              <w:outlineLvl w:val="0"/>
              <w:rPr>
                <w:rFonts w:hint="eastAsia" w:ascii="仿宋" w:hAnsi="仿宋" w:cs="仿宋"/>
                <w:color w:val="auto"/>
                <w:highlight w:val="none"/>
              </w:rPr>
            </w:pPr>
            <w:r>
              <w:rPr>
                <w:rFonts w:hint="eastAsia" w:ascii="仿宋" w:hAnsi="仿宋" w:cs="仿宋"/>
                <w:color w:val="auto"/>
                <w:highlight w:val="none"/>
              </w:rPr>
              <w:t>（客观）</w:t>
            </w:r>
          </w:p>
        </w:tc>
        <w:tc>
          <w:tcPr>
            <w:tcW w:w="2132" w:type="dxa"/>
            <w:vMerge w:val="restart"/>
            <w:tcBorders>
              <w:left w:val="single" w:color="auto" w:sz="4" w:space="0"/>
              <w:right w:val="single" w:color="auto" w:sz="4" w:space="0"/>
              <w:tl2br w:val="nil"/>
              <w:tr2bl w:val="nil"/>
            </w:tcBorders>
            <w:vAlign w:val="center"/>
          </w:tcPr>
          <w:p w14:paraId="49328B52">
            <w:pPr>
              <w:jc w:val="center"/>
              <w:outlineLvl w:val="0"/>
              <w:rPr>
                <w:rFonts w:hint="eastAsia" w:ascii="仿宋" w:hAnsi="仿宋" w:cs="仿宋"/>
                <w:color w:val="auto"/>
                <w:highlight w:val="none"/>
              </w:rPr>
            </w:pPr>
            <w:r>
              <w:rPr>
                <w:rFonts w:hint="eastAsia" w:ascii="仿宋" w:hAnsi="仿宋" w:cs="仿宋"/>
                <w:color w:val="auto"/>
                <w:highlight w:val="none"/>
              </w:rPr>
              <w:t>实验室检测能力</w:t>
            </w:r>
          </w:p>
        </w:tc>
      </w:tr>
      <w:tr w14:paraId="3921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2" w:type="dxa"/>
            <w:vMerge w:val="continue"/>
            <w:tcBorders>
              <w:left w:val="single" w:color="auto" w:sz="4" w:space="0"/>
              <w:bottom w:val="single" w:color="auto" w:sz="4" w:space="0"/>
              <w:right w:val="single" w:color="auto" w:sz="4" w:space="0"/>
              <w:tl2br w:val="nil"/>
              <w:tr2bl w:val="nil"/>
            </w:tcBorders>
            <w:vAlign w:val="center"/>
          </w:tcPr>
          <w:p w14:paraId="2E78D8A2">
            <w:pPr>
              <w:jc w:val="left"/>
              <w:rPr>
                <w:color w:val="auto"/>
                <w:highlight w:val="none"/>
              </w:rPr>
            </w:pP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6D1B8FC6">
            <w:pPr>
              <w:suppressAutoHyphens/>
              <w:jc w:val="left"/>
              <w:rPr>
                <w:rFonts w:hint="eastAsia" w:ascii="仿宋" w:hAnsi="仿宋" w:cs="仿宋"/>
                <w:color w:val="auto"/>
                <w:highlight w:val="none"/>
              </w:rPr>
            </w:pPr>
            <w:r>
              <w:rPr>
                <w:rFonts w:hint="eastAsia" w:ascii="仿宋" w:hAnsi="仿宋" w:cs="仿宋"/>
                <w:color w:val="auto"/>
                <w:highlight w:val="none"/>
              </w:rPr>
              <w:t>投标人的检测实验室检测能力覆盖《地下水质量标准》(GB/T 14848-2017)表1中37项常规指标(2个放射性指标除外）的，得6分，每少1项扣0.5分，扣完为止。</w:t>
            </w:r>
          </w:p>
          <w:p w14:paraId="55677F5D">
            <w:pPr>
              <w:suppressAutoHyphens/>
              <w:jc w:val="left"/>
              <w:rPr>
                <w:rFonts w:hint="eastAsia" w:ascii="仿宋" w:hAnsi="仿宋" w:cs="仿宋"/>
                <w:color w:val="auto"/>
                <w:highlight w:val="none"/>
              </w:rPr>
            </w:pPr>
            <w:r>
              <w:rPr>
                <w:rFonts w:hint="eastAsia" w:ascii="仿宋" w:hAnsi="仿宋" w:cs="仿宋"/>
                <w:color w:val="auto"/>
                <w:highlight w:val="none"/>
              </w:rPr>
              <w:t>（提供相关实验室具有对应检测能力的资质能力证书）</w:t>
            </w:r>
          </w:p>
        </w:tc>
        <w:tc>
          <w:tcPr>
            <w:tcW w:w="1276" w:type="dxa"/>
            <w:tcBorders>
              <w:left w:val="single" w:color="auto" w:sz="4" w:space="0"/>
              <w:bottom w:val="single" w:color="auto" w:sz="4" w:space="0"/>
              <w:right w:val="single" w:color="auto" w:sz="4" w:space="0"/>
              <w:tl2br w:val="nil"/>
              <w:tr2bl w:val="nil"/>
            </w:tcBorders>
            <w:vAlign w:val="center"/>
          </w:tcPr>
          <w:p w14:paraId="7E8DE3EE">
            <w:pPr>
              <w:jc w:val="center"/>
              <w:outlineLvl w:val="0"/>
              <w:rPr>
                <w:rFonts w:hint="eastAsia" w:ascii="仿宋" w:hAnsi="仿宋" w:cs="仿宋"/>
                <w:color w:val="auto"/>
                <w:highlight w:val="none"/>
              </w:rPr>
            </w:pPr>
            <w:r>
              <w:rPr>
                <w:rFonts w:hint="eastAsia" w:ascii="仿宋" w:hAnsi="仿宋" w:cs="仿宋"/>
                <w:bCs/>
                <w:color w:val="auto"/>
                <w:highlight w:val="none"/>
              </w:rPr>
              <w:t>6</w:t>
            </w:r>
            <w:r>
              <w:rPr>
                <w:rFonts w:hint="eastAsia" w:ascii="仿宋" w:hAnsi="仿宋" w:cs="仿宋"/>
                <w:color w:val="auto"/>
                <w:highlight w:val="none"/>
              </w:rPr>
              <w:t>分</w:t>
            </w:r>
          </w:p>
          <w:p w14:paraId="246E16CD">
            <w:pPr>
              <w:jc w:val="left"/>
              <w:rPr>
                <w:rFonts w:hint="eastAsia" w:ascii="仿宋" w:hAnsi="仿宋" w:cs="仿宋"/>
                <w:color w:val="auto"/>
                <w:highlight w:val="none"/>
              </w:rPr>
            </w:pPr>
            <w:r>
              <w:rPr>
                <w:rFonts w:hint="eastAsia" w:ascii="仿宋" w:hAnsi="仿宋" w:cs="仿宋"/>
                <w:color w:val="auto"/>
                <w:highlight w:val="none"/>
              </w:rPr>
              <w:t>（客观）</w:t>
            </w:r>
          </w:p>
        </w:tc>
        <w:tc>
          <w:tcPr>
            <w:tcW w:w="2132" w:type="dxa"/>
            <w:vMerge w:val="continue"/>
            <w:tcBorders>
              <w:left w:val="single" w:color="auto" w:sz="4" w:space="0"/>
              <w:right w:val="single" w:color="auto" w:sz="4" w:space="0"/>
              <w:tl2br w:val="nil"/>
              <w:tr2bl w:val="nil"/>
            </w:tcBorders>
            <w:vAlign w:val="center"/>
          </w:tcPr>
          <w:p w14:paraId="2E6D7B55">
            <w:pPr>
              <w:jc w:val="left"/>
              <w:rPr>
                <w:rFonts w:hint="eastAsia" w:ascii="仿宋" w:hAnsi="仿宋" w:cs="仿宋"/>
                <w:color w:val="auto"/>
                <w:highlight w:val="none"/>
              </w:rPr>
            </w:pPr>
          </w:p>
        </w:tc>
      </w:tr>
      <w:tr w14:paraId="74F6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4C121A4D">
            <w:pPr>
              <w:jc w:val="center"/>
              <w:outlineLvl w:val="0"/>
              <w:rPr>
                <w:rFonts w:hint="eastAsia" w:ascii="仿宋" w:hAnsi="仿宋" w:cs="仿宋"/>
                <w:color w:val="auto"/>
                <w:highlight w:val="none"/>
              </w:rPr>
            </w:pPr>
            <w:r>
              <w:rPr>
                <w:rFonts w:hint="eastAsia" w:ascii="仿宋" w:hAnsi="仿宋" w:cs="仿宋"/>
                <w:color w:val="auto"/>
                <w:highlight w:val="none"/>
              </w:rPr>
              <w:t>10</w:t>
            </w:r>
          </w:p>
        </w:tc>
        <w:tc>
          <w:tcPr>
            <w:tcW w:w="58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D87D463">
            <w:pPr>
              <w:suppressAutoHyphens/>
              <w:jc w:val="left"/>
              <w:rPr>
                <w:rFonts w:hint="eastAsia" w:ascii="仿宋" w:hAnsi="仿宋" w:cs="仿宋"/>
                <w:color w:val="auto"/>
                <w:highlight w:val="none"/>
              </w:rPr>
            </w:pPr>
            <w:r>
              <w:rPr>
                <w:rFonts w:hint="eastAsia" w:ascii="仿宋" w:hAnsi="仿宋" w:cs="仿宋"/>
                <w:color w:val="auto"/>
                <w:highlight w:val="none"/>
              </w:rPr>
              <w:t>对本项目总体要求的理解情况，主要包括工作目的、工作内容以及工作要求的认识和理解进行打分。</w:t>
            </w:r>
          </w:p>
          <w:p w14:paraId="0EEBC0B2">
            <w:pPr>
              <w:suppressAutoHyphens/>
              <w:jc w:val="left"/>
              <w:rPr>
                <w:rFonts w:hint="eastAsia" w:ascii="仿宋" w:hAnsi="仿宋" w:cs="仿宋"/>
                <w:color w:val="auto"/>
                <w:highlight w:val="none"/>
              </w:rPr>
            </w:pPr>
            <w:r>
              <w:rPr>
                <w:rFonts w:hint="eastAsia" w:ascii="仿宋" w:hAnsi="仿宋" w:cs="仿宋"/>
                <w:color w:val="auto"/>
                <w:highlight w:val="none"/>
              </w:rPr>
              <w:t>分值（5.0、4.0、3.0、2.0、1.0、0）。</w:t>
            </w:r>
          </w:p>
          <w:p w14:paraId="054C2158">
            <w:pPr>
              <w:suppressAutoHyphens/>
              <w:jc w:val="left"/>
              <w:rPr>
                <w:rFonts w:hint="eastAsia" w:ascii="仿宋" w:hAnsi="仿宋" w:cs="仿宋"/>
                <w:color w:val="auto"/>
                <w:highlight w:val="none"/>
              </w:rPr>
            </w:pPr>
            <w:r>
              <w:rPr>
                <w:rFonts w:hint="eastAsia" w:ascii="仿宋" w:hAnsi="仿宋" w:cs="仿宋"/>
                <w:color w:val="auto"/>
                <w:highlight w:val="none"/>
              </w:rPr>
              <w:t>评审依据/证明材料：项目总体工作方案</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54A7D4AE">
            <w:pPr>
              <w:jc w:val="center"/>
              <w:outlineLvl w:val="0"/>
              <w:rPr>
                <w:rFonts w:hint="eastAsia" w:ascii="仿宋" w:hAnsi="仿宋" w:cs="仿宋"/>
                <w:color w:val="auto"/>
                <w:highlight w:val="none"/>
              </w:rPr>
            </w:pPr>
            <w:r>
              <w:rPr>
                <w:rFonts w:hint="eastAsia" w:ascii="仿宋" w:hAnsi="仿宋" w:cs="仿宋"/>
                <w:bCs/>
                <w:color w:val="auto"/>
                <w:highlight w:val="none"/>
              </w:rPr>
              <w:t>5</w:t>
            </w:r>
            <w:r>
              <w:rPr>
                <w:rFonts w:hint="eastAsia" w:ascii="仿宋" w:hAnsi="仿宋" w:cs="仿宋"/>
                <w:color w:val="auto"/>
                <w:highlight w:val="none"/>
              </w:rPr>
              <w:t>分</w:t>
            </w:r>
          </w:p>
          <w:p w14:paraId="4596FB64">
            <w:pPr>
              <w:jc w:val="center"/>
              <w:outlineLvl w:val="0"/>
              <w:rPr>
                <w:rFonts w:hint="eastAsia" w:ascii="仿宋" w:hAnsi="仿宋" w:cs="仿宋"/>
                <w:color w:val="auto"/>
                <w:highlight w:val="none"/>
              </w:rPr>
            </w:pPr>
            <w:r>
              <w:rPr>
                <w:rFonts w:hint="eastAsia" w:ascii="仿宋" w:hAnsi="仿宋" w:cs="仿宋"/>
                <w:color w:val="auto"/>
                <w:highlight w:val="none"/>
              </w:rPr>
              <w:t>（主观）</w:t>
            </w:r>
          </w:p>
        </w:tc>
        <w:tc>
          <w:tcPr>
            <w:tcW w:w="2132" w:type="dxa"/>
            <w:tcBorders>
              <w:top w:val="single" w:color="auto" w:sz="4" w:space="0"/>
              <w:left w:val="single" w:color="auto" w:sz="4" w:space="0"/>
              <w:right w:val="single" w:color="auto" w:sz="4" w:space="0"/>
              <w:tl2br w:val="nil"/>
              <w:tr2bl w:val="nil"/>
            </w:tcBorders>
            <w:vAlign w:val="center"/>
          </w:tcPr>
          <w:p w14:paraId="4C36FF8C">
            <w:pPr>
              <w:jc w:val="center"/>
              <w:outlineLvl w:val="0"/>
              <w:rPr>
                <w:rFonts w:hint="eastAsia" w:ascii="仿宋" w:hAnsi="仿宋" w:cs="仿宋"/>
                <w:color w:val="auto"/>
                <w:highlight w:val="none"/>
              </w:rPr>
            </w:pPr>
            <w:r>
              <w:rPr>
                <w:rFonts w:hint="eastAsia" w:ascii="仿宋" w:hAnsi="仿宋" w:cs="仿宋"/>
                <w:color w:val="auto"/>
                <w:highlight w:val="none"/>
              </w:rPr>
              <w:t>项目总体工作方案</w:t>
            </w:r>
          </w:p>
        </w:tc>
      </w:tr>
      <w:tr w14:paraId="30EA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2F4C54D6">
            <w:pPr>
              <w:jc w:val="center"/>
              <w:outlineLvl w:val="0"/>
              <w:rPr>
                <w:rFonts w:hint="eastAsia" w:ascii="仿宋" w:hAnsi="仿宋" w:cs="仿宋"/>
                <w:color w:val="auto"/>
                <w:highlight w:val="none"/>
              </w:rPr>
            </w:pPr>
            <w:r>
              <w:rPr>
                <w:rFonts w:hint="eastAsia" w:ascii="仿宋" w:hAnsi="仿宋" w:cs="仿宋"/>
                <w:color w:val="auto"/>
                <w:highlight w:val="none"/>
              </w:rPr>
              <w:t>11</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1E5F6E62">
            <w:pPr>
              <w:suppressAutoHyphens/>
              <w:jc w:val="left"/>
              <w:rPr>
                <w:rFonts w:hint="eastAsia" w:ascii="仿宋" w:hAnsi="仿宋" w:cs="仿宋"/>
                <w:color w:val="auto"/>
                <w:highlight w:val="none"/>
              </w:rPr>
            </w:pPr>
            <w:r>
              <w:rPr>
                <w:rFonts w:hint="eastAsia" w:ascii="仿宋" w:hAnsi="仿宋" w:cs="仿宋"/>
                <w:color w:val="auto"/>
                <w:highlight w:val="none"/>
              </w:rPr>
              <w:t>对本项目工作安排合理可行，工作流程逻辑关系清晰，工作进度的影响因素认识的程度，提出针对性强的协调解决办法，资源配置及研究进度计划合理，进度管理及工期保证措施进行打分。</w:t>
            </w:r>
          </w:p>
          <w:p w14:paraId="4E1A7ADF">
            <w:pPr>
              <w:suppressAutoHyphens/>
              <w:jc w:val="left"/>
              <w:rPr>
                <w:rFonts w:hint="eastAsia" w:ascii="仿宋" w:hAnsi="仿宋" w:cs="仿宋"/>
                <w:color w:val="auto"/>
                <w:highlight w:val="none"/>
              </w:rPr>
            </w:pPr>
            <w:r>
              <w:rPr>
                <w:rFonts w:hint="eastAsia" w:ascii="仿宋" w:hAnsi="仿宋" w:cs="仿宋"/>
                <w:color w:val="auto"/>
                <w:highlight w:val="none"/>
              </w:rPr>
              <w:t>分值（5.0、4.0、3.0、2.0、1.0、0）。</w:t>
            </w:r>
          </w:p>
          <w:p w14:paraId="68E88B9C">
            <w:pPr>
              <w:suppressAutoHyphens/>
              <w:jc w:val="left"/>
              <w:rPr>
                <w:rFonts w:hint="eastAsia" w:ascii="仿宋" w:hAnsi="仿宋" w:cs="仿宋"/>
                <w:color w:val="auto"/>
                <w:highlight w:val="none"/>
              </w:rPr>
            </w:pPr>
            <w:r>
              <w:rPr>
                <w:rFonts w:hint="eastAsia" w:ascii="仿宋" w:hAnsi="仿宋" w:cs="仿宋"/>
                <w:color w:val="auto"/>
                <w:highlight w:val="none"/>
              </w:rPr>
              <w:t>评审依据/证明材料：实施计划</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3C40CE44">
            <w:pPr>
              <w:jc w:val="center"/>
              <w:outlineLvl w:val="0"/>
              <w:rPr>
                <w:rFonts w:hint="eastAsia" w:ascii="仿宋" w:hAnsi="仿宋" w:cs="仿宋"/>
                <w:color w:val="auto"/>
                <w:highlight w:val="none"/>
              </w:rPr>
            </w:pPr>
            <w:r>
              <w:rPr>
                <w:rFonts w:hint="eastAsia" w:ascii="仿宋" w:hAnsi="仿宋" w:cs="仿宋"/>
                <w:color w:val="auto"/>
                <w:highlight w:val="none"/>
              </w:rPr>
              <w:t>5分</w:t>
            </w:r>
          </w:p>
          <w:p w14:paraId="1D35E471">
            <w:pPr>
              <w:jc w:val="center"/>
              <w:outlineLvl w:val="0"/>
              <w:rPr>
                <w:rFonts w:hint="eastAsia" w:ascii="仿宋" w:hAnsi="仿宋" w:cs="仿宋"/>
                <w:color w:val="auto"/>
                <w:highlight w:val="none"/>
              </w:rPr>
            </w:pPr>
            <w:r>
              <w:rPr>
                <w:rFonts w:hint="eastAsia" w:ascii="仿宋" w:hAnsi="仿宋" w:cs="仿宋"/>
                <w:color w:val="auto"/>
                <w:highlight w:val="none"/>
              </w:rPr>
              <w:t>（主观）</w:t>
            </w:r>
          </w:p>
        </w:tc>
        <w:tc>
          <w:tcPr>
            <w:tcW w:w="2132" w:type="dxa"/>
            <w:tcBorders>
              <w:left w:val="single" w:color="auto" w:sz="4" w:space="0"/>
              <w:right w:val="single" w:color="auto" w:sz="4" w:space="0"/>
              <w:tl2br w:val="nil"/>
              <w:tr2bl w:val="nil"/>
            </w:tcBorders>
            <w:vAlign w:val="center"/>
          </w:tcPr>
          <w:p w14:paraId="37897F72">
            <w:pPr>
              <w:widowControl/>
              <w:jc w:val="center"/>
              <w:textAlignment w:val="center"/>
              <w:rPr>
                <w:rFonts w:hint="eastAsia" w:ascii="仿宋" w:hAnsi="仿宋" w:cs="仿宋"/>
                <w:color w:val="auto"/>
                <w:highlight w:val="none"/>
              </w:rPr>
            </w:pPr>
            <w:r>
              <w:rPr>
                <w:rFonts w:hint="eastAsia" w:ascii="仿宋" w:hAnsi="仿宋" w:cs="仿宋"/>
                <w:color w:val="auto"/>
                <w:highlight w:val="none"/>
              </w:rPr>
              <w:t>实施计划</w:t>
            </w:r>
          </w:p>
        </w:tc>
      </w:tr>
      <w:tr w14:paraId="21D6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41B880DC">
            <w:pPr>
              <w:jc w:val="center"/>
              <w:outlineLvl w:val="0"/>
              <w:rPr>
                <w:rFonts w:hint="eastAsia" w:ascii="仿宋" w:hAnsi="仿宋" w:cs="仿宋"/>
                <w:color w:val="auto"/>
                <w:highlight w:val="none"/>
              </w:rPr>
            </w:pPr>
            <w:r>
              <w:rPr>
                <w:rFonts w:hint="eastAsia" w:ascii="仿宋" w:hAnsi="仿宋" w:cs="仿宋"/>
                <w:color w:val="auto"/>
                <w:highlight w:val="none"/>
              </w:rPr>
              <w:t>12</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5E344C5D">
            <w:pPr>
              <w:suppressAutoHyphens/>
              <w:jc w:val="left"/>
              <w:rPr>
                <w:rFonts w:hint="eastAsia" w:ascii="仿宋" w:hAnsi="仿宋" w:cs="仿宋"/>
                <w:color w:val="auto"/>
                <w:highlight w:val="none"/>
              </w:rPr>
            </w:pPr>
            <w:r>
              <w:rPr>
                <w:rFonts w:hint="eastAsia" w:ascii="仿宋" w:hAnsi="仿宋" w:cs="仿宋"/>
                <w:color w:val="auto"/>
                <w:highlight w:val="none"/>
              </w:rPr>
              <w:t>对本项目供应商针对本项目提出的特点及难点以及解决方案进行打分</w:t>
            </w:r>
          </w:p>
          <w:p w14:paraId="176280D3">
            <w:pPr>
              <w:suppressAutoHyphens/>
              <w:jc w:val="left"/>
              <w:rPr>
                <w:rFonts w:hint="eastAsia" w:ascii="仿宋" w:hAnsi="仿宋" w:cs="仿宋"/>
                <w:color w:val="auto"/>
                <w:highlight w:val="none"/>
              </w:rPr>
            </w:pPr>
            <w:r>
              <w:rPr>
                <w:rFonts w:hint="eastAsia" w:ascii="仿宋" w:hAnsi="仿宋" w:cs="仿宋"/>
                <w:color w:val="auto"/>
                <w:highlight w:val="none"/>
              </w:rPr>
              <w:t>分值（5.0、4.0、3.0、2.0、1.0、0）。</w:t>
            </w:r>
          </w:p>
          <w:p w14:paraId="38F4EDDA">
            <w:pPr>
              <w:widowControl/>
              <w:jc w:val="left"/>
              <w:textAlignment w:val="center"/>
              <w:rPr>
                <w:rFonts w:hint="eastAsia" w:ascii="仿宋" w:hAnsi="仿宋" w:cs="仿宋"/>
                <w:b/>
                <w:bCs/>
                <w:color w:val="auto"/>
                <w:highlight w:val="none"/>
              </w:rPr>
            </w:pPr>
            <w:r>
              <w:rPr>
                <w:rFonts w:hint="eastAsia" w:ascii="仿宋" w:hAnsi="仿宋" w:cs="仿宋"/>
                <w:color w:val="auto"/>
                <w:highlight w:val="none"/>
              </w:rPr>
              <w:t>评审依据/证明材料：项目难点分析方案</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27559DD0">
            <w:pPr>
              <w:jc w:val="center"/>
              <w:outlineLvl w:val="0"/>
              <w:rPr>
                <w:rFonts w:hint="eastAsia" w:ascii="仿宋" w:hAnsi="仿宋" w:cs="仿宋"/>
                <w:color w:val="auto"/>
                <w:highlight w:val="none"/>
              </w:rPr>
            </w:pPr>
            <w:r>
              <w:rPr>
                <w:rFonts w:hint="eastAsia" w:ascii="仿宋" w:hAnsi="仿宋" w:cs="仿宋"/>
                <w:bCs/>
                <w:color w:val="auto"/>
                <w:highlight w:val="none"/>
              </w:rPr>
              <w:t>5</w:t>
            </w:r>
            <w:r>
              <w:rPr>
                <w:rFonts w:hint="eastAsia" w:ascii="仿宋" w:hAnsi="仿宋" w:cs="仿宋"/>
                <w:color w:val="auto"/>
                <w:highlight w:val="none"/>
              </w:rPr>
              <w:t>分</w:t>
            </w:r>
          </w:p>
          <w:p w14:paraId="1A93F155">
            <w:pPr>
              <w:jc w:val="center"/>
              <w:outlineLvl w:val="0"/>
              <w:rPr>
                <w:rFonts w:hint="eastAsia" w:ascii="仿宋" w:hAnsi="仿宋" w:cs="仿宋"/>
                <w:color w:val="auto"/>
                <w:highlight w:val="none"/>
              </w:rPr>
            </w:pPr>
            <w:r>
              <w:rPr>
                <w:rFonts w:hint="eastAsia" w:ascii="仿宋" w:hAnsi="仿宋" w:cs="仿宋"/>
                <w:color w:val="auto"/>
                <w:highlight w:val="none"/>
              </w:rPr>
              <w:t>（主观）</w:t>
            </w:r>
          </w:p>
        </w:tc>
        <w:tc>
          <w:tcPr>
            <w:tcW w:w="2132" w:type="dxa"/>
            <w:tcBorders>
              <w:left w:val="single" w:color="auto" w:sz="4" w:space="0"/>
              <w:right w:val="single" w:color="auto" w:sz="4" w:space="0"/>
              <w:tl2br w:val="nil"/>
              <w:tr2bl w:val="nil"/>
            </w:tcBorders>
            <w:vAlign w:val="center"/>
          </w:tcPr>
          <w:p w14:paraId="389E0945">
            <w:pPr>
              <w:widowControl/>
              <w:jc w:val="center"/>
              <w:textAlignment w:val="center"/>
              <w:rPr>
                <w:rFonts w:hint="eastAsia" w:ascii="仿宋" w:hAnsi="仿宋" w:cs="仿宋"/>
                <w:color w:val="auto"/>
                <w:highlight w:val="none"/>
              </w:rPr>
            </w:pPr>
            <w:r>
              <w:rPr>
                <w:rFonts w:hint="eastAsia" w:ascii="仿宋" w:hAnsi="仿宋" w:cs="仿宋"/>
                <w:color w:val="auto"/>
                <w:highlight w:val="none"/>
              </w:rPr>
              <w:t>项目难点分析方案</w:t>
            </w:r>
          </w:p>
        </w:tc>
      </w:tr>
      <w:tr w14:paraId="09FA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398D6CF0">
            <w:pPr>
              <w:jc w:val="center"/>
              <w:outlineLvl w:val="0"/>
              <w:rPr>
                <w:rFonts w:hint="eastAsia" w:ascii="仿宋" w:hAnsi="仿宋" w:cs="仿宋"/>
                <w:color w:val="auto"/>
                <w:highlight w:val="none"/>
              </w:rPr>
            </w:pPr>
            <w:r>
              <w:rPr>
                <w:rFonts w:hint="eastAsia" w:ascii="仿宋" w:hAnsi="仿宋" w:cs="仿宋"/>
                <w:color w:val="auto"/>
                <w:highlight w:val="none"/>
              </w:rPr>
              <w:t>13</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0199169F">
            <w:pPr>
              <w:suppressAutoHyphens/>
              <w:jc w:val="left"/>
              <w:rPr>
                <w:rFonts w:hint="eastAsia" w:ascii="仿宋" w:hAnsi="仿宋" w:cs="仿宋"/>
                <w:color w:val="auto"/>
                <w:highlight w:val="none"/>
              </w:rPr>
            </w:pPr>
            <w:r>
              <w:rPr>
                <w:rFonts w:hint="eastAsia" w:ascii="仿宋" w:hAnsi="仿宋" w:cs="仿宋"/>
                <w:color w:val="auto"/>
                <w:highlight w:val="none"/>
              </w:rPr>
              <w:t>对本项目质量管理措施包括现场采样环节、实验室检测分析环节、报告审查环节、质控结果反馈和整改等工作环节质控工作内容或步骤进行打分。</w:t>
            </w:r>
          </w:p>
          <w:p w14:paraId="690586A9">
            <w:pPr>
              <w:suppressAutoHyphens/>
              <w:jc w:val="left"/>
              <w:rPr>
                <w:rFonts w:hint="eastAsia" w:ascii="仿宋" w:hAnsi="仿宋" w:cs="仿宋"/>
                <w:color w:val="auto"/>
                <w:highlight w:val="none"/>
              </w:rPr>
            </w:pPr>
            <w:r>
              <w:rPr>
                <w:rFonts w:hint="eastAsia" w:ascii="仿宋" w:hAnsi="仿宋" w:cs="仿宋"/>
                <w:color w:val="auto"/>
                <w:highlight w:val="none"/>
              </w:rPr>
              <w:t>分值（5.0、4.0、3.0、2.0、1.0、0）。</w:t>
            </w:r>
          </w:p>
          <w:p w14:paraId="140BE461">
            <w:pPr>
              <w:widowControl/>
              <w:jc w:val="left"/>
              <w:textAlignment w:val="center"/>
              <w:rPr>
                <w:rFonts w:hint="eastAsia" w:ascii="仿宋" w:hAnsi="仿宋" w:cs="仿宋"/>
                <w:color w:val="auto"/>
                <w:highlight w:val="none"/>
              </w:rPr>
            </w:pPr>
            <w:r>
              <w:rPr>
                <w:rFonts w:hint="eastAsia" w:ascii="仿宋" w:hAnsi="仿宋" w:cs="仿宋"/>
                <w:color w:val="auto"/>
                <w:highlight w:val="none"/>
              </w:rPr>
              <w:t>评审依据/证明材料：质量管理措施</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27451A28">
            <w:pPr>
              <w:jc w:val="center"/>
              <w:outlineLvl w:val="0"/>
              <w:rPr>
                <w:rFonts w:hint="eastAsia" w:ascii="仿宋" w:hAnsi="仿宋" w:cs="仿宋"/>
                <w:color w:val="auto"/>
                <w:highlight w:val="none"/>
              </w:rPr>
            </w:pPr>
            <w:r>
              <w:rPr>
                <w:rFonts w:hint="eastAsia" w:ascii="仿宋" w:hAnsi="仿宋" w:cs="仿宋"/>
                <w:bCs/>
                <w:color w:val="auto"/>
                <w:highlight w:val="none"/>
              </w:rPr>
              <w:t>5</w:t>
            </w:r>
            <w:r>
              <w:rPr>
                <w:rFonts w:hint="eastAsia" w:ascii="仿宋" w:hAnsi="仿宋" w:cs="仿宋"/>
                <w:color w:val="auto"/>
                <w:highlight w:val="none"/>
              </w:rPr>
              <w:t>分</w:t>
            </w:r>
          </w:p>
          <w:p w14:paraId="21093DDC">
            <w:pPr>
              <w:jc w:val="center"/>
              <w:outlineLvl w:val="0"/>
              <w:rPr>
                <w:rFonts w:hint="eastAsia" w:ascii="仿宋" w:hAnsi="仿宋" w:cs="仿宋"/>
                <w:color w:val="auto"/>
                <w:highlight w:val="none"/>
              </w:rPr>
            </w:pPr>
            <w:r>
              <w:rPr>
                <w:rFonts w:hint="eastAsia" w:ascii="仿宋" w:hAnsi="仿宋" w:cs="仿宋"/>
                <w:color w:val="auto"/>
                <w:highlight w:val="none"/>
              </w:rPr>
              <w:t>（主观）</w:t>
            </w:r>
          </w:p>
        </w:tc>
        <w:tc>
          <w:tcPr>
            <w:tcW w:w="2132" w:type="dxa"/>
            <w:tcBorders>
              <w:left w:val="single" w:color="auto" w:sz="4" w:space="0"/>
              <w:right w:val="single" w:color="auto" w:sz="4" w:space="0"/>
              <w:tl2br w:val="nil"/>
              <w:tr2bl w:val="nil"/>
            </w:tcBorders>
            <w:vAlign w:val="center"/>
          </w:tcPr>
          <w:p w14:paraId="7A96E5C7">
            <w:pPr>
              <w:widowControl/>
              <w:jc w:val="center"/>
              <w:textAlignment w:val="center"/>
              <w:rPr>
                <w:rFonts w:hint="eastAsia" w:ascii="仿宋" w:hAnsi="仿宋" w:cs="仿宋"/>
                <w:color w:val="auto"/>
                <w:highlight w:val="none"/>
              </w:rPr>
            </w:pPr>
            <w:r>
              <w:rPr>
                <w:rFonts w:hint="eastAsia" w:ascii="仿宋" w:hAnsi="仿宋" w:cs="仿宋"/>
                <w:color w:val="auto"/>
                <w:highlight w:val="none"/>
              </w:rPr>
              <w:t>质量管理措施</w:t>
            </w:r>
          </w:p>
        </w:tc>
      </w:tr>
      <w:tr w14:paraId="5013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56FA95BE">
            <w:pPr>
              <w:jc w:val="center"/>
              <w:outlineLvl w:val="0"/>
              <w:rPr>
                <w:rFonts w:hint="eastAsia" w:ascii="仿宋" w:hAnsi="仿宋" w:cs="仿宋"/>
                <w:color w:val="auto"/>
                <w:highlight w:val="none"/>
              </w:rPr>
            </w:pPr>
            <w:r>
              <w:rPr>
                <w:rFonts w:hint="eastAsia" w:ascii="仿宋" w:hAnsi="仿宋" w:cs="仿宋"/>
                <w:color w:val="auto"/>
                <w:highlight w:val="none"/>
              </w:rPr>
              <w:t>14</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664F8060">
            <w:pPr>
              <w:suppressAutoHyphens/>
              <w:jc w:val="left"/>
              <w:rPr>
                <w:rFonts w:hint="eastAsia" w:ascii="仿宋" w:hAnsi="仿宋" w:cs="仿宋"/>
                <w:color w:val="auto"/>
                <w:highlight w:val="none"/>
              </w:rPr>
            </w:pPr>
            <w:r>
              <w:rPr>
                <w:rFonts w:hint="eastAsia" w:ascii="仿宋" w:hAnsi="仿宋" w:cs="仿宋"/>
                <w:color w:val="auto"/>
                <w:highlight w:val="none"/>
              </w:rPr>
              <w:t>对投标人提供的售后服务响应及其他优惠承诺进行打分。</w:t>
            </w:r>
          </w:p>
          <w:p w14:paraId="12FCC15D">
            <w:pPr>
              <w:suppressAutoHyphens/>
              <w:jc w:val="left"/>
              <w:rPr>
                <w:rFonts w:hint="eastAsia" w:ascii="仿宋" w:hAnsi="仿宋" w:cs="仿宋"/>
                <w:color w:val="auto"/>
                <w:highlight w:val="none"/>
              </w:rPr>
            </w:pPr>
            <w:r>
              <w:rPr>
                <w:rFonts w:hint="eastAsia" w:ascii="仿宋" w:hAnsi="仿宋" w:cs="仿宋"/>
                <w:color w:val="auto"/>
                <w:highlight w:val="none"/>
              </w:rPr>
              <w:t>分值（5.0、4.0、3.0、2.0、1.0、0）。</w:t>
            </w:r>
          </w:p>
          <w:p w14:paraId="0592C223">
            <w:pPr>
              <w:widowControl/>
              <w:jc w:val="left"/>
              <w:textAlignment w:val="center"/>
              <w:rPr>
                <w:rFonts w:hint="eastAsia" w:ascii="仿宋" w:hAnsi="仿宋" w:cs="仿宋"/>
                <w:b/>
                <w:bCs/>
                <w:color w:val="auto"/>
                <w:highlight w:val="none"/>
              </w:rPr>
            </w:pPr>
            <w:r>
              <w:rPr>
                <w:rFonts w:hint="eastAsia" w:ascii="仿宋" w:hAnsi="仿宋" w:cs="仿宋"/>
                <w:color w:val="auto"/>
                <w:highlight w:val="none"/>
              </w:rPr>
              <w:t>评审依据/证明材料：售后服务</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6A2E78C7">
            <w:pPr>
              <w:jc w:val="center"/>
              <w:outlineLvl w:val="0"/>
              <w:rPr>
                <w:rFonts w:hint="eastAsia" w:ascii="仿宋" w:hAnsi="仿宋" w:cs="仿宋"/>
                <w:color w:val="auto"/>
                <w:highlight w:val="none"/>
              </w:rPr>
            </w:pPr>
            <w:r>
              <w:rPr>
                <w:rFonts w:hint="eastAsia" w:ascii="仿宋" w:hAnsi="仿宋" w:cs="仿宋"/>
                <w:bCs/>
                <w:color w:val="auto"/>
                <w:highlight w:val="none"/>
              </w:rPr>
              <w:t>5</w:t>
            </w:r>
            <w:r>
              <w:rPr>
                <w:rFonts w:hint="eastAsia" w:ascii="仿宋" w:hAnsi="仿宋" w:cs="仿宋"/>
                <w:color w:val="auto"/>
                <w:highlight w:val="none"/>
              </w:rPr>
              <w:t>分</w:t>
            </w:r>
          </w:p>
          <w:p w14:paraId="13DC4FC0">
            <w:pPr>
              <w:widowControl/>
              <w:jc w:val="center"/>
              <w:textAlignment w:val="center"/>
              <w:rPr>
                <w:rFonts w:hint="eastAsia" w:ascii="仿宋" w:hAnsi="仿宋" w:cs="仿宋"/>
                <w:color w:val="auto"/>
                <w:highlight w:val="none"/>
              </w:rPr>
            </w:pPr>
            <w:r>
              <w:rPr>
                <w:rFonts w:hint="eastAsia" w:ascii="仿宋" w:hAnsi="仿宋" w:cs="仿宋"/>
                <w:color w:val="auto"/>
                <w:highlight w:val="none"/>
              </w:rPr>
              <w:t>（主观）</w:t>
            </w:r>
          </w:p>
        </w:tc>
        <w:tc>
          <w:tcPr>
            <w:tcW w:w="2132" w:type="dxa"/>
            <w:tcBorders>
              <w:left w:val="single" w:color="auto" w:sz="4" w:space="0"/>
              <w:right w:val="single" w:color="auto" w:sz="4" w:space="0"/>
              <w:tl2br w:val="nil"/>
              <w:tr2bl w:val="nil"/>
            </w:tcBorders>
            <w:vAlign w:val="center"/>
          </w:tcPr>
          <w:p w14:paraId="05EC29FB">
            <w:pPr>
              <w:widowControl/>
              <w:jc w:val="center"/>
              <w:textAlignment w:val="center"/>
              <w:rPr>
                <w:rFonts w:hint="eastAsia" w:ascii="仿宋" w:hAnsi="仿宋" w:cs="仿宋"/>
                <w:color w:val="auto"/>
                <w:highlight w:val="none"/>
              </w:rPr>
            </w:pPr>
            <w:r>
              <w:rPr>
                <w:rFonts w:hint="eastAsia" w:ascii="仿宋" w:hAnsi="仿宋" w:cs="仿宋"/>
                <w:color w:val="auto"/>
                <w:highlight w:val="none"/>
              </w:rPr>
              <w:t>售后服务</w:t>
            </w:r>
          </w:p>
        </w:tc>
      </w:tr>
      <w:tr w14:paraId="14EE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0DEFAFB2">
            <w:pPr>
              <w:jc w:val="center"/>
              <w:outlineLvl w:val="0"/>
              <w:rPr>
                <w:rFonts w:hint="eastAsia" w:ascii="仿宋" w:hAnsi="仿宋" w:cs="仿宋"/>
                <w:color w:val="auto"/>
                <w:highlight w:val="none"/>
              </w:rPr>
            </w:pPr>
            <w:r>
              <w:rPr>
                <w:rFonts w:hint="eastAsia" w:ascii="仿宋" w:hAnsi="仿宋" w:cs="仿宋"/>
                <w:color w:val="auto"/>
                <w:highlight w:val="none"/>
              </w:rPr>
              <w:t>15</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3F3402A6">
            <w:pPr>
              <w:suppressAutoHyphens/>
              <w:jc w:val="left"/>
              <w:rPr>
                <w:rFonts w:hint="eastAsia" w:ascii="仿宋" w:hAnsi="仿宋" w:cs="仿宋"/>
                <w:color w:val="auto"/>
                <w:highlight w:val="none"/>
              </w:rPr>
            </w:pPr>
            <w:r>
              <w:rPr>
                <w:rFonts w:hint="eastAsia" w:ascii="仿宋" w:hAnsi="仿宋" w:cs="仿宋"/>
                <w:color w:val="auto"/>
                <w:highlight w:val="none"/>
              </w:rPr>
              <w:t>对投标人提供的数据管理方案（包括样品、数据及报告保存）进行打分。</w:t>
            </w:r>
          </w:p>
          <w:p w14:paraId="495682FB">
            <w:pPr>
              <w:suppressAutoHyphens/>
              <w:jc w:val="left"/>
              <w:rPr>
                <w:rFonts w:hint="eastAsia" w:ascii="仿宋" w:hAnsi="仿宋" w:cs="仿宋"/>
                <w:color w:val="auto"/>
                <w:highlight w:val="none"/>
              </w:rPr>
            </w:pPr>
            <w:r>
              <w:rPr>
                <w:rFonts w:hint="eastAsia" w:ascii="仿宋" w:hAnsi="仿宋" w:cs="仿宋"/>
                <w:color w:val="auto"/>
                <w:highlight w:val="none"/>
              </w:rPr>
              <w:t>分值（5.0、4.0、3.0、2.0、1.0、0）。</w:t>
            </w:r>
          </w:p>
          <w:p w14:paraId="16EBA782">
            <w:pPr>
              <w:jc w:val="left"/>
              <w:rPr>
                <w:rFonts w:hint="eastAsia" w:ascii="仿宋" w:hAnsi="仿宋" w:cs="仿宋"/>
                <w:color w:val="auto"/>
                <w:highlight w:val="none"/>
              </w:rPr>
            </w:pPr>
            <w:r>
              <w:rPr>
                <w:rFonts w:hint="eastAsia" w:ascii="仿宋" w:hAnsi="仿宋" w:cs="仿宋"/>
                <w:color w:val="auto"/>
                <w:highlight w:val="none"/>
              </w:rPr>
              <w:t>评审依据/证明材料：数据管理方案</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6985F546">
            <w:pPr>
              <w:jc w:val="center"/>
              <w:outlineLvl w:val="0"/>
              <w:rPr>
                <w:rFonts w:hint="eastAsia" w:ascii="仿宋" w:hAnsi="仿宋" w:cs="仿宋"/>
                <w:color w:val="auto"/>
                <w:highlight w:val="none"/>
              </w:rPr>
            </w:pPr>
            <w:r>
              <w:rPr>
                <w:rFonts w:hint="eastAsia" w:ascii="仿宋" w:hAnsi="仿宋" w:cs="仿宋"/>
                <w:bCs/>
                <w:color w:val="auto"/>
                <w:highlight w:val="none"/>
              </w:rPr>
              <w:t>5</w:t>
            </w:r>
            <w:r>
              <w:rPr>
                <w:rFonts w:hint="eastAsia" w:ascii="仿宋" w:hAnsi="仿宋" w:cs="仿宋"/>
                <w:color w:val="auto"/>
                <w:highlight w:val="none"/>
              </w:rPr>
              <w:t>分</w:t>
            </w:r>
          </w:p>
          <w:p w14:paraId="531F7078">
            <w:pPr>
              <w:widowControl/>
              <w:jc w:val="center"/>
              <w:textAlignment w:val="center"/>
              <w:rPr>
                <w:rFonts w:hint="eastAsia" w:ascii="仿宋" w:hAnsi="仿宋" w:cs="仿宋"/>
                <w:color w:val="auto"/>
                <w:highlight w:val="none"/>
              </w:rPr>
            </w:pPr>
            <w:r>
              <w:rPr>
                <w:rFonts w:hint="eastAsia" w:ascii="仿宋" w:hAnsi="仿宋" w:cs="仿宋"/>
                <w:color w:val="auto"/>
                <w:highlight w:val="none"/>
              </w:rPr>
              <w:t>（主观）</w:t>
            </w:r>
          </w:p>
        </w:tc>
        <w:tc>
          <w:tcPr>
            <w:tcW w:w="2132" w:type="dxa"/>
            <w:tcBorders>
              <w:left w:val="single" w:color="auto" w:sz="4" w:space="0"/>
              <w:right w:val="single" w:color="auto" w:sz="4" w:space="0"/>
              <w:tl2br w:val="nil"/>
              <w:tr2bl w:val="nil"/>
            </w:tcBorders>
            <w:vAlign w:val="center"/>
          </w:tcPr>
          <w:p w14:paraId="782A96F6">
            <w:pPr>
              <w:widowControl/>
              <w:jc w:val="center"/>
              <w:textAlignment w:val="center"/>
              <w:rPr>
                <w:rFonts w:hint="eastAsia" w:ascii="仿宋" w:hAnsi="仿宋" w:cs="仿宋"/>
                <w:color w:val="auto"/>
                <w:highlight w:val="none"/>
              </w:rPr>
            </w:pPr>
            <w:r>
              <w:rPr>
                <w:rFonts w:hint="eastAsia" w:ascii="仿宋" w:hAnsi="仿宋" w:cs="仿宋"/>
                <w:color w:val="auto"/>
                <w:highlight w:val="none"/>
              </w:rPr>
              <w:t>数据管理方案</w:t>
            </w:r>
          </w:p>
        </w:tc>
      </w:tr>
      <w:tr w14:paraId="6709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18E80E72">
            <w:pPr>
              <w:jc w:val="center"/>
              <w:outlineLvl w:val="0"/>
              <w:rPr>
                <w:rFonts w:hint="eastAsia" w:ascii="仿宋" w:hAnsi="仿宋" w:cs="仿宋"/>
                <w:color w:val="auto"/>
                <w:highlight w:val="none"/>
              </w:rPr>
            </w:pPr>
            <w:r>
              <w:rPr>
                <w:rFonts w:hint="eastAsia" w:ascii="仿宋" w:hAnsi="仿宋" w:cs="仿宋"/>
                <w:color w:val="auto"/>
                <w:highlight w:val="none"/>
              </w:rPr>
              <w:t>16</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197EDE38">
            <w:pPr>
              <w:suppressAutoHyphens/>
              <w:jc w:val="left"/>
              <w:rPr>
                <w:rFonts w:hint="eastAsia" w:ascii="仿宋" w:hAnsi="仿宋" w:cs="仿宋"/>
                <w:color w:val="auto"/>
                <w:highlight w:val="none"/>
              </w:rPr>
            </w:pPr>
            <w:r>
              <w:rPr>
                <w:rFonts w:hint="eastAsia" w:ascii="仿宋" w:hAnsi="仿宋" w:cs="仿宋"/>
                <w:color w:val="auto"/>
                <w:highlight w:val="none"/>
              </w:rPr>
              <w:t>对本项目保密及安全保障措施的明确性、科学合理、可操作性综合评定进行打分。</w:t>
            </w:r>
          </w:p>
          <w:p w14:paraId="331FC3AA">
            <w:pPr>
              <w:suppressAutoHyphens/>
              <w:jc w:val="left"/>
              <w:rPr>
                <w:rFonts w:hint="eastAsia" w:ascii="仿宋" w:hAnsi="仿宋" w:cs="仿宋"/>
                <w:color w:val="auto"/>
                <w:highlight w:val="none"/>
              </w:rPr>
            </w:pPr>
            <w:r>
              <w:rPr>
                <w:rFonts w:hint="eastAsia" w:ascii="仿宋" w:hAnsi="仿宋" w:cs="仿宋"/>
                <w:color w:val="auto"/>
                <w:highlight w:val="none"/>
              </w:rPr>
              <w:t>分值（5.0、4.0、3.0、2.0、1.0、0）。</w:t>
            </w:r>
          </w:p>
          <w:p w14:paraId="64A228DF">
            <w:pPr>
              <w:jc w:val="left"/>
              <w:rPr>
                <w:rFonts w:hint="eastAsia" w:ascii="仿宋" w:hAnsi="仿宋" w:cs="仿宋"/>
                <w:color w:val="auto"/>
                <w:highlight w:val="none"/>
              </w:rPr>
            </w:pPr>
            <w:r>
              <w:rPr>
                <w:rFonts w:hint="eastAsia" w:ascii="仿宋" w:hAnsi="仿宋" w:cs="仿宋"/>
                <w:color w:val="auto"/>
                <w:highlight w:val="none"/>
              </w:rPr>
              <w:t>评审依据/证明材料：保密及安全保障措施</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3C06E43B">
            <w:pPr>
              <w:jc w:val="center"/>
              <w:outlineLvl w:val="0"/>
              <w:rPr>
                <w:rFonts w:hint="eastAsia" w:ascii="仿宋" w:hAnsi="仿宋" w:cs="仿宋"/>
                <w:color w:val="auto"/>
                <w:highlight w:val="none"/>
              </w:rPr>
            </w:pPr>
            <w:r>
              <w:rPr>
                <w:rFonts w:hint="eastAsia" w:ascii="仿宋" w:hAnsi="仿宋" w:cs="仿宋"/>
                <w:bCs/>
                <w:color w:val="auto"/>
                <w:highlight w:val="none"/>
              </w:rPr>
              <w:t>5</w:t>
            </w:r>
            <w:r>
              <w:rPr>
                <w:rFonts w:hint="eastAsia" w:ascii="仿宋" w:hAnsi="仿宋" w:cs="仿宋"/>
                <w:color w:val="auto"/>
                <w:highlight w:val="none"/>
              </w:rPr>
              <w:t>分</w:t>
            </w:r>
          </w:p>
          <w:p w14:paraId="6F6E7084">
            <w:pPr>
              <w:jc w:val="center"/>
              <w:outlineLvl w:val="0"/>
              <w:rPr>
                <w:rFonts w:hint="eastAsia" w:ascii="仿宋" w:hAnsi="仿宋" w:cs="仿宋"/>
                <w:color w:val="auto"/>
                <w:highlight w:val="none"/>
              </w:rPr>
            </w:pPr>
            <w:r>
              <w:rPr>
                <w:rFonts w:hint="eastAsia" w:ascii="仿宋" w:hAnsi="仿宋" w:cs="仿宋"/>
                <w:color w:val="auto"/>
                <w:highlight w:val="none"/>
              </w:rPr>
              <w:t>（主观）</w:t>
            </w:r>
          </w:p>
        </w:tc>
        <w:tc>
          <w:tcPr>
            <w:tcW w:w="2132" w:type="dxa"/>
            <w:tcBorders>
              <w:left w:val="single" w:color="auto" w:sz="4" w:space="0"/>
              <w:right w:val="single" w:color="auto" w:sz="4" w:space="0"/>
              <w:tl2br w:val="nil"/>
              <w:tr2bl w:val="nil"/>
            </w:tcBorders>
            <w:vAlign w:val="center"/>
          </w:tcPr>
          <w:p w14:paraId="7ADF63EC">
            <w:pPr>
              <w:widowControl/>
              <w:adjustRightInd/>
              <w:jc w:val="center"/>
              <w:rPr>
                <w:rFonts w:hint="eastAsia" w:ascii="仿宋" w:hAnsi="仿宋" w:cs="仿宋"/>
                <w:color w:val="auto"/>
                <w:highlight w:val="none"/>
              </w:rPr>
            </w:pPr>
            <w:r>
              <w:rPr>
                <w:rFonts w:hint="eastAsia" w:ascii="仿宋" w:hAnsi="仿宋" w:cs="仿宋"/>
                <w:color w:val="auto"/>
                <w:highlight w:val="none"/>
              </w:rPr>
              <w:t>保密及安全保障措施</w:t>
            </w:r>
          </w:p>
        </w:tc>
      </w:tr>
      <w:tr w14:paraId="1DE6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6A969DBF">
            <w:pPr>
              <w:jc w:val="center"/>
              <w:outlineLvl w:val="0"/>
              <w:rPr>
                <w:rFonts w:hint="eastAsia" w:ascii="仿宋" w:hAnsi="仿宋" w:cs="仿宋"/>
                <w:color w:val="auto"/>
                <w:highlight w:val="none"/>
              </w:rPr>
            </w:pPr>
            <w:r>
              <w:rPr>
                <w:rFonts w:hint="eastAsia" w:ascii="仿宋" w:hAnsi="仿宋" w:cs="仿宋"/>
                <w:color w:val="auto"/>
                <w:highlight w:val="none"/>
              </w:rPr>
              <w:t>17</w:t>
            </w:r>
          </w:p>
        </w:tc>
        <w:tc>
          <w:tcPr>
            <w:tcW w:w="5876" w:type="dxa"/>
            <w:tcBorders>
              <w:top w:val="single" w:color="auto" w:sz="4" w:space="0"/>
              <w:left w:val="single" w:color="auto" w:sz="4" w:space="0"/>
              <w:bottom w:val="single" w:color="auto" w:sz="4" w:space="0"/>
              <w:right w:val="single" w:color="auto" w:sz="4" w:space="0"/>
              <w:tl2br w:val="nil"/>
              <w:tr2bl w:val="nil"/>
            </w:tcBorders>
            <w:vAlign w:val="center"/>
          </w:tcPr>
          <w:p w14:paraId="2F2E8766">
            <w:pPr>
              <w:suppressAutoHyphens/>
              <w:jc w:val="left"/>
              <w:rPr>
                <w:rFonts w:hint="eastAsia" w:ascii="仿宋" w:hAnsi="仿宋" w:cs="仿宋"/>
                <w:color w:val="auto"/>
                <w:highlight w:val="none"/>
              </w:rPr>
            </w:pPr>
            <w:r>
              <w:rPr>
                <w:rFonts w:hint="eastAsia" w:ascii="仿宋" w:hAnsi="仿宋" w:cs="仿宋"/>
                <w:color w:val="auto"/>
                <w:highlight w:val="none"/>
              </w:rPr>
              <w:t>对本项目的现状、特点等问题提出有效的改进措施和合理化建议进行打分。</w:t>
            </w:r>
          </w:p>
          <w:p w14:paraId="270D13D2">
            <w:pPr>
              <w:suppressAutoHyphens/>
              <w:jc w:val="left"/>
              <w:rPr>
                <w:rFonts w:hint="eastAsia" w:ascii="仿宋" w:hAnsi="仿宋" w:cs="仿宋"/>
                <w:color w:val="auto"/>
                <w:highlight w:val="none"/>
              </w:rPr>
            </w:pPr>
            <w:r>
              <w:rPr>
                <w:rFonts w:hint="eastAsia" w:ascii="仿宋" w:hAnsi="仿宋" w:cs="仿宋"/>
                <w:color w:val="auto"/>
                <w:highlight w:val="none"/>
              </w:rPr>
              <w:t>分值（5.0、4.0、3.0、2.0、1.0、0）。</w:t>
            </w:r>
          </w:p>
          <w:p w14:paraId="3BBE28DF">
            <w:pPr>
              <w:jc w:val="left"/>
              <w:rPr>
                <w:rFonts w:hint="eastAsia" w:ascii="仿宋" w:hAnsi="仿宋" w:cs="仿宋"/>
                <w:b/>
                <w:bCs/>
                <w:color w:val="auto"/>
                <w:highlight w:val="none"/>
              </w:rPr>
            </w:pPr>
            <w:r>
              <w:rPr>
                <w:rFonts w:hint="eastAsia" w:ascii="仿宋" w:hAnsi="仿宋" w:cs="仿宋"/>
                <w:color w:val="auto"/>
                <w:highlight w:val="none"/>
              </w:rPr>
              <w:t>评审依据/证明材料：有效的改进措施和合理化建议</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0932B4BA">
            <w:pPr>
              <w:jc w:val="center"/>
              <w:outlineLvl w:val="0"/>
              <w:rPr>
                <w:rFonts w:hint="eastAsia" w:ascii="仿宋" w:hAnsi="仿宋" w:cs="仿宋"/>
                <w:color w:val="auto"/>
                <w:highlight w:val="none"/>
              </w:rPr>
            </w:pPr>
            <w:r>
              <w:rPr>
                <w:rFonts w:hint="eastAsia" w:ascii="仿宋" w:hAnsi="仿宋" w:cs="仿宋"/>
                <w:bCs/>
                <w:color w:val="auto"/>
                <w:highlight w:val="none"/>
              </w:rPr>
              <w:t>5</w:t>
            </w:r>
            <w:r>
              <w:rPr>
                <w:rFonts w:hint="eastAsia" w:ascii="仿宋" w:hAnsi="仿宋" w:cs="仿宋"/>
                <w:color w:val="auto"/>
                <w:highlight w:val="none"/>
              </w:rPr>
              <w:t>分</w:t>
            </w:r>
          </w:p>
          <w:p w14:paraId="794C0282">
            <w:pPr>
              <w:jc w:val="center"/>
              <w:outlineLvl w:val="0"/>
              <w:rPr>
                <w:rFonts w:hint="eastAsia" w:ascii="仿宋" w:hAnsi="仿宋" w:cs="仿宋"/>
                <w:color w:val="auto"/>
                <w:highlight w:val="none"/>
              </w:rPr>
            </w:pPr>
            <w:r>
              <w:rPr>
                <w:rFonts w:hint="eastAsia" w:ascii="仿宋" w:hAnsi="仿宋" w:cs="仿宋"/>
                <w:color w:val="auto"/>
                <w:highlight w:val="none"/>
              </w:rPr>
              <w:t>（主观）</w:t>
            </w:r>
          </w:p>
        </w:tc>
        <w:tc>
          <w:tcPr>
            <w:tcW w:w="2132" w:type="dxa"/>
            <w:tcBorders>
              <w:left w:val="single" w:color="auto" w:sz="4" w:space="0"/>
              <w:right w:val="single" w:color="auto" w:sz="4" w:space="0"/>
              <w:tl2br w:val="nil"/>
              <w:tr2bl w:val="nil"/>
            </w:tcBorders>
            <w:vAlign w:val="center"/>
          </w:tcPr>
          <w:p w14:paraId="7409253E">
            <w:pPr>
              <w:widowControl/>
              <w:adjustRightInd/>
              <w:jc w:val="center"/>
              <w:rPr>
                <w:rFonts w:hint="eastAsia" w:ascii="仿宋" w:hAnsi="仿宋" w:cs="仿宋"/>
                <w:color w:val="auto"/>
                <w:highlight w:val="none"/>
              </w:rPr>
            </w:pPr>
            <w:r>
              <w:rPr>
                <w:rFonts w:hint="eastAsia" w:ascii="仿宋" w:hAnsi="仿宋" w:cs="仿宋"/>
                <w:color w:val="auto"/>
                <w:highlight w:val="none"/>
              </w:rPr>
              <w:t>有效的改进措施和合理化建议</w:t>
            </w:r>
          </w:p>
        </w:tc>
      </w:tr>
    </w:tbl>
    <w:p w14:paraId="352D3DCE">
      <w:pPr>
        <w:snapToGrid w:val="0"/>
        <w:spacing w:line="360" w:lineRule="auto"/>
        <w:rPr>
          <w:color w:val="auto"/>
          <w:highlight w:val="none"/>
        </w:rPr>
      </w:pPr>
      <w:r>
        <w:rPr>
          <w:rFonts w:hint="eastAsia" w:ascii="仿宋" w:hAnsi="仿宋" w:cs="仿宋"/>
          <w:color w:val="auto"/>
          <w:sz w:val="20"/>
          <w:szCs w:val="20"/>
          <w:highlight w:val="none"/>
          <w:shd w:val="clear" w:color="auto" w:fill="FFFFFF"/>
        </w:rPr>
        <w:t> *</w:t>
      </w:r>
      <w:r>
        <w:rPr>
          <w:rFonts w:hint="eastAsia" w:ascii="仿宋" w:hAnsi="仿宋" w:cs="仿宋"/>
          <w:b/>
          <w:color w:val="auto"/>
          <w:highlight w:val="none"/>
        </w:rPr>
        <w:t>备注：</w:t>
      </w:r>
      <w:r>
        <w:rPr>
          <w:rFonts w:hint="eastAsia" w:ascii="仿宋" w:hAnsi="仿宋" w:cs="仿宋"/>
          <w:color w:val="auto"/>
          <w:highlight w:val="none"/>
        </w:rPr>
        <w:t>投标人编制投标文件（商务技术文件部分）时，建议按此目录（序号和内容）提供评标标准相应的商务技术资料。 </w:t>
      </w:r>
      <w:bookmarkEnd w:id="25"/>
    </w:p>
    <w:p w14:paraId="23A8D4B7">
      <w:pPr>
        <w:snapToGrid w:val="0"/>
        <w:spacing w:line="360" w:lineRule="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32"/>
          <w:highlight w:val="none"/>
        </w:rPr>
        <w:t>一、评标方法</w:t>
      </w:r>
    </w:p>
    <w:p w14:paraId="1EF531E5">
      <w:pPr>
        <w:adjustRightInd/>
        <w:spacing w:line="360" w:lineRule="auto"/>
        <w:ind w:firstLine="472" w:firstLineChars="196"/>
        <w:rPr>
          <w:rFonts w:hint="eastAsia" w:ascii="仿宋_GB2312" w:hAnsi="仿宋_GB2312" w:eastAsia="仿宋_GB2312" w:cs="仿宋_GB2312"/>
          <w:color w:val="auto"/>
          <w:kern w:val="0"/>
          <w:highlight w:val="none"/>
        </w:rPr>
      </w:pPr>
      <w:r>
        <w:rPr>
          <w:rFonts w:hint="eastAsia" w:ascii="仿宋_GB2312" w:hAnsi="仿宋_GB2312" w:eastAsia="仿宋_GB2312" w:cs="仿宋_GB2312"/>
          <w:b/>
          <w:color w:val="auto"/>
          <w:kern w:val="0"/>
          <w:highlight w:val="none"/>
        </w:rPr>
        <w:t>1.本项目采用综合评分法。</w:t>
      </w:r>
      <w:r>
        <w:rPr>
          <w:rFonts w:hint="eastAsia" w:ascii="仿宋_GB2312" w:hAnsi="仿宋_GB2312" w:eastAsia="仿宋_GB2312" w:cs="仿宋_GB2312"/>
          <w:color w:val="auto"/>
          <w:kern w:val="0"/>
          <w:highlight w:val="none"/>
        </w:rPr>
        <w:t>综合评分法，是指投标文件满足招标文件全部实质性要求，且按照评审因素的量化指标评审得分最高的投标人为中标候选人的评标方法。</w:t>
      </w:r>
    </w:p>
    <w:p w14:paraId="3F87E79F">
      <w:pPr>
        <w:adjustRightInd/>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b/>
          <w:color w:val="auto"/>
          <w:sz w:val="32"/>
          <w:highlight w:val="none"/>
        </w:rPr>
        <w:t>二、评标标准</w:t>
      </w:r>
    </w:p>
    <w:p w14:paraId="5BCD98E6">
      <w:pPr>
        <w:spacing w:line="360" w:lineRule="auto"/>
        <w:ind w:firstLine="472" w:firstLineChars="196"/>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w:t>
      </w:r>
      <w:r>
        <w:rPr>
          <w:rFonts w:hint="eastAsia" w:ascii="仿宋_GB2312" w:hAnsi="仿宋_GB2312" w:eastAsia="仿宋_GB2312" w:cs="仿宋_GB2312"/>
          <w:color w:val="auto"/>
          <w:sz w:val="21"/>
          <w:highlight w:val="none"/>
        </w:rPr>
        <w:t xml:space="preserve"> </w:t>
      </w:r>
      <w:r>
        <w:rPr>
          <w:rFonts w:hint="eastAsia" w:ascii="仿宋_GB2312" w:hAnsi="仿宋_GB2312" w:eastAsia="仿宋_GB2312" w:cs="仿宋_GB2312"/>
          <w:b/>
          <w:color w:val="auto"/>
          <w:highlight w:val="none"/>
        </w:rPr>
        <w:t>评标标准：</w:t>
      </w:r>
      <w:r>
        <w:rPr>
          <w:rFonts w:hint="eastAsia" w:ascii="仿宋_GB2312" w:hAnsi="仿宋_GB2312" w:eastAsia="仿宋_GB2312" w:cs="仿宋_GB2312"/>
          <w:color w:val="auto"/>
          <w:kern w:val="0"/>
          <w:highlight w:val="none"/>
        </w:rPr>
        <w:t>见评标办法前附表。</w:t>
      </w:r>
    </w:p>
    <w:p w14:paraId="796F9D19">
      <w:pPr>
        <w:spacing w:line="360" w:lineRule="auto"/>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三、评标程序</w:t>
      </w:r>
    </w:p>
    <w:p w14:paraId="49EAB75A">
      <w:pPr>
        <w:spacing w:line="360" w:lineRule="auto"/>
        <w:ind w:firstLine="472" w:firstLineChars="196"/>
        <w:rPr>
          <w:rFonts w:hint="eastAsia" w:ascii="仿宋_GB2312" w:hAnsi="仿宋_GB2312" w:eastAsia="仿宋_GB2312" w:cs="仿宋_GB2312"/>
          <w:color w:val="auto"/>
          <w:kern w:val="0"/>
          <w:highlight w:val="none"/>
        </w:rPr>
      </w:pPr>
      <w:r>
        <w:rPr>
          <w:rFonts w:hint="eastAsia" w:ascii="仿宋_GB2312" w:hAnsi="仿宋_GB2312" w:eastAsia="仿宋_GB2312" w:cs="仿宋_GB2312"/>
          <w:b/>
          <w:color w:val="auto"/>
          <w:kern w:val="0"/>
          <w:highlight w:val="none"/>
        </w:rPr>
        <w:t>3.1符合性审查。</w:t>
      </w:r>
      <w:r>
        <w:rPr>
          <w:rFonts w:hint="eastAsia" w:ascii="仿宋_GB2312" w:hAnsi="仿宋_GB2312" w:eastAsia="仿宋_GB2312" w:cs="仿宋_GB2312"/>
          <w:color w:val="auto"/>
          <w:kern w:val="0"/>
          <w:highlight w:val="none"/>
        </w:rPr>
        <w:t>评标委员会应当对符合资格的投标人的投标文件进行符合性审查，以确定其是否满足招标文件的实质性要求。不满足招标文件的实质性要求的，投标无效。</w:t>
      </w:r>
    </w:p>
    <w:p w14:paraId="4C88C77E">
      <w:pPr>
        <w:spacing w:line="360" w:lineRule="auto"/>
        <w:ind w:firstLine="472" w:firstLineChars="196"/>
        <w:rPr>
          <w:rFonts w:hint="eastAsia" w:ascii="仿宋_GB2312" w:hAnsi="仿宋_GB2312" w:eastAsia="仿宋_GB2312" w:cs="仿宋_GB2312"/>
          <w:b/>
          <w:bCs/>
          <w:color w:val="auto"/>
          <w:kern w:val="0"/>
          <w:highlight w:val="none"/>
        </w:rPr>
      </w:pPr>
      <w:r>
        <w:rPr>
          <w:rFonts w:hint="eastAsia" w:ascii="仿宋_GB2312" w:hAnsi="仿宋_GB2312" w:eastAsia="仿宋_GB2312" w:cs="仿宋_GB2312"/>
          <w:b/>
          <w:color w:val="auto"/>
          <w:kern w:val="0"/>
          <w:highlight w:val="none"/>
        </w:rPr>
        <w:t>3.2 比较与评价。</w:t>
      </w:r>
      <w:r>
        <w:rPr>
          <w:rFonts w:hint="eastAsia" w:ascii="仿宋_GB2312" w:hAnsi="仿宋_GB2312" w:eastAsia="仿宋_GB2312" w:cs="仿宋_GB2312"/>
          <w:color w:val="auto"/>
          <w:kern w:val="0"/>
          <w:highlight w:val="none"/>
        </w:rPr>
        <w:t>评标委员会应当按照招标文件中规定的评标方法和标准，对符合性审查合格的投标文件进行商务和技术评估，综合比较与评价。</w:t>
      </w:r>
      <w:r>
        <w:rPr>
          <w:rFonts w:hint="eastAsia" w:ascii="仿宋_GB2312" w:hAnsi="仿宋_GB2312" w:eastAsia="仿宋_GB2312" w:cs="仿宋_GB2312"/>
          <w:b/>
          <w:bCs/>
          <w:color w:val="auto"/>
          <w:kern w:val="0"/>
          <w:highlight w:val="none"/>
        </w:rPr>
        <w:t>评审小组成员个人主观打分偏离所有评审小组成员主观打分平均值30%以上的，由评审委员会启动评分畸高、畸低行为认定程序。</w:t>
      </w:r>
    </w:p>
    <w:p w14:paraId="365A17C6">
      <w:pPr>
        <w:spacing w:line="360" w:lineRule="auto"/>
        <w:ind w:firstLine="472" w:firstLineChars="196"/>
        <w:rPr>
          <w:rFonts w:hint="eastAsia" w:ascii="仿宋_GB2312" w:hAnsi="仿宋_GB2312" w:eastAsia="仿宋_GB2312" w:cs="仿宋_GB2312"/>
          <w:color w:val="auto"/>
          <w:kern w:val="0"/>
          <w:highlight w:val="none"/>
        </w:rPr>
      </w:pPr>
      <w:r>
        <w:rPr>
          <w:rFonts w:hint="eastAsia" w:ascii="仿宋_GB2312" w:hAnsi="仿宋_GB2312" w:eastAsia="仿宋_GB2312" w:cs="仿宋_GB2312"/>
          <w:b/>
          <w:color w:val="auto"/>
          <w:kern w:val="0"/>
          <w:highlight w:val="none"/>
        </w:rPr>
        <w:t>3.3汇总商务技术得分。</w:t>
      </w:r>
      <w:r>
        <w:rPr>
          <w:rFonts w:hint="eastAsia" w:ascii="仿宋_GB2312" w:hAnsi="仿宋_GB2312" w:eastAsia="仿宋_GB2312" w:cs="仿宋_GB2312"/>
          <w:color w:val="auto"/>
          <w:kern w:val="0"/>
          <w:highlight w:val="none"/>
        </w:rPr>
        <w:t>评标委员会各成员应当独立对每个投标人的商务和技术文件进行评价，并汇总商务技术得分情况。</w:t>
      </w:r>
    </w:p>
    <w:p w14:paraId="394EC918">
      <w:pPr>
        <w:spacing w:line="360" w:lineRule="auto"/>
        <w:ind w:firstLine="472" w:firstLineChars="196"/>
        <w:rPr>
          <w:rFonts w:hint="eastAsia" w:ascii="仿宋_GB2312" w:hAnsi="仿宋_GB2312" w:eastAsia="仿宋_GB2312" w:cs="仿宋_GB2312"/>
          <w:b/>
          <w:color w:val="auto"/>
          <w:kern w:val="0"/>
          <w:highlight w:val="none"/>
        </w:rPr>
      </w:pPr>
      <w:r>
        <w:rPr>
          <w:rFonts w:hint="eastAsia" w:ascii="仿宋_GB2312" w:hAnsi="仿宋_GB2312" w:eastAsia="仿宋_GB2312" w:cs="仿宋_GB2312"/>
          <w:b/>
          <w:color w:val="auto"/>
          <w:kern w:val="0"/>
          <w:highlight w:val="none"/>
        </w:rPr>
        <w:t>3.4报价评审。</w:t>
      </w:r>
    </w:p>
    <w:p w14:paraId="1E85601C">
      <w:pPr>
        <w:spacing w:line="360" w:lineRule="auto"/>
        <w:ind w:firstLine="508" w:firstLineChars="212"/>
        <w:rPr>
          <w:rFonts w:hint="eastAsia" w:ascii="仿宋_GB2312" w:hAnsi="仿宋_GB2312" w:eastAsia="仿宋_GB2312" w:cs="仿宋_GB2312"/>
          <w:color w:val="auto"/>
          <w:kern w:val="0"/>
          <w:szCs w:val="20"/>
          <w:highlight w:val="none"/>
        </w:rPr>
      </w:pPr>
      <w:r>
        <w:rPr>
          <w:rFonts w:hint="eastAsia" w:ascii="仿宋_GB2312" w:hAnsi="仿宋_GB2312" w:eastAsia="仿宋_GB2312" w:cs="仿宋_GB2312"/>
          <w:color w:val="auto"/>
          <w:kern w:val="0"/>
          <w:szCs w:val="20"/>
          <w:highlight w:val="none"/>
        </w:rPr>
        <w:t>3.4.1投标文件报价出现前后不一致的，按照下列规定修正：</w:t>
      </w:r>
    </w:p>
    <w:p w14:paraId="7DC4C319">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3.4.1.1投标文件中开标一览表（报价表）内容与投标文件中相应内容不一致的，以开标一览表（报价表）为准;</w:t>
      </w:r>
    </w:p>
    <w:p w14:paraId="007D8761">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3.4.1.2大写金额和小写金额不一致的，以大写金额为准;</w:t>
      </w:r>
    </w:p>
    <w:p w14:paraId="6ABF39ED">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3.4.1.3单价金额小数点或者百分比有明显错位的，以开标一览表（报价表）的总价为准，并修改单价;</w:t>
      </w:r>
    </w:p>
    <w:p w14:paraId="451E20F3">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3.4.1.4总价金额与按单价汇总金额不一致的，以单价金额计算结果为准。</w:t>
      </w:r>
    </w:p>
    <w:p w14:paraId="2FE2E624">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EA3C114">
      <w:pPr>
        <w:snapToGrid w:val="0"/>
        <w:spacing w:line="360" w:lineRule="auto"/>
        <w:ind w:firstLine="480" w:firstLineChars="200"/>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3.4.2投标文件出现不是唯一的、有选择性投标报价的，投标无效。</w:t>
      </w:r>
    </w:p>
    <w:p w14:paraId="5B32F97A">
      <w:pPr>
        <w:snapToGrid w:val="0"/>
        <w:spacing w:line="360" w:lineRule="auto"/>
        <w:ind w:firstLine="480" w:firstLineChars="200"/>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3.4.3投标报价超过招标文件中规定的预算金额或者最高限价的，投标无效。</w:t>
      </w:r>
    </w:p>
    <w:p w14:paraId="4D9995A9">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0F5428">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F1C3B41">
      <w:pPr>
        <w:spacing w:line="360" w:lineRule="auto"/>
        <w:ind w:firstLine="482"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b/>
          <w:color w:val="auto"/>
          <w:kern w:val="0"/>
          <w:highlight w:val="none"/>
        </w:rPr>
        <w:t>3.5排序与推荐。</w:t>
      </w:r>
      <w:r>
        <w:rPr>
          <w:rFonts w:hint="eastAsia" w:ascii="仿宋_GB2312" w:hAnsi="仿宋_GB2312" w:eastAsia="仿宋_GB2312" w:cs="仿宋_GB2312"/>
          <w:color w:val="auto"/>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19F359">
      <w:pPr>
        <w:spacing w:line="360" w:lineRule="auto"/>
        <w:ind w:firstLine="480" w:firstLineChars="200"/>
        <w:rPr>
          <w:rFonts w:hint="eastAsia" w:ascii="仿宋_GB2312" w:hAnsi="仿宋_GB2312" w:eastAsia="仿宋_GB2312" w:cs="仿宋_GB2312"/>
          <w:b/>
          <w:color w:val="auto"/>
          <w:kern w:val="0"/>
          <w:highlight w:val="none"/>
        </w:rPr>
      </w:pPr>
      <w:r>
        <w:rPr>
          <w:rFonts w:hint="eastAsia" w:ascii="仿宋_GB2312" w:hAnsi="仿宋_GB2312" w:eastAsia="仿宋_GB2312" w:cs="仿宋_GB2312"/>
          <w:color w:val="auto"/>
          <w:kern w:val="0"/>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9962CB">
      <w:pPr>
        <w:spacing w:line="360" w:lineRule="auto"/>
        <w:ind w:firstLine="472" w:firstLineChars="196"/>
        <w:rPr>
          <w:rFonts w:hint="eastAsia" w:ascii="仿宋_GB2312" w:hAnsi="仿宋_GB2312" w:eastAsia="仿宋_GB2312" w:cs="仿宋_GB2312"/>
          <w:color w:val="auto"/>
          <w:kern w:val="0"/>
          <w:highlight w:val="none"/>
        </w:rPr>
      </w:pPr>
      <w:r>
        <w:rPr>
          <w:rFonts w:hint="eastAsia" w:ascii="仿宋_GB2312" w:hAnsi="仿宋_GB2312" w:eastAsia="仿宋_GB2312" w:cs="仿宋_GB2312"/>
          <w:b/>
          <w:color w:val="auto"/>
          <w:kern w:val="0"/>
          <w:highlight w:val="none"/>
        </w:rPr>
        <w:t>3.6编写评标报告。</w:t>
      </w:r>
      <w:r>
        <w:rPr>
          <w:rFonts w:hint="eastAsia" w:ascii="仿宋_GB2312" w:hAnsi="仿宋_GB2312" w:eastAsia="仿宋_GB2312" w:cs="仿宋_GB2312"/>
          <w:color w:val="auto"/>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6FC7D4">
      <w:pPr>
        <w:spacing w:line="360" w:lineRule="auto"/>
        <w:rPr>
          <w:rFonts w:hint="eastAsia"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四、评标中的其他事项</w:t>
      </w:r>
    </w:p>
    <w:p w14:paraId="2152182A">
      <w:pPr>
        <w:spacing w:line="360" w:lineRule="auto"/>
        <w:ind w:firstLine="472" w:firstLineChars="196"/>
        <w:rPr>
          <w:rFonts w:hint="eastAsia" w:ascii="仿宋_GB2312" w:hAnsi="仿宋_GB2312" w:eastAsia="仿宋_GB2312" w:cs="仿宋_GB2312"/>
          <w:color w:val="auto"/>
          <w:kern w:val="0"/>
          <w:highlight w:val="none"/>
        </w:rPr>
      </w:pPr>
      <w:r>
        <w:rPr>
          <w:rFonts w:hint="eastAsia" w:ascii="仿宋_GB2312" w:hAnsi="仿宋_GB2312" w:eastAsia="仿宋_GB2312" w:cs="仿宋_GB2312"/>
          <w:b/>
          <w:color w:val="auto"/>
          <w:kern w:val="0"/>
          <w:highlight w:val="none"/>
        </w:rPr>
        <w:t>4.1投标人澄清、说明或者补正。</w:t>
      </w:r>
      <w:r>
        <w:rPr>
          <w:rFonts w:hint="eastAsia" w:ascii="仿宋_GB2312" w:hAnsi="仿宋_GB2312" w:eastAsia="仿宋_GB2312" w:cs="仿宋_GB2312"/>
          <w:color w:val="auto"/>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75B861">
      <w:pPr>
        <w:spacing w:line="360" w:lineRule="auto"/>
        <w:ind w:left="1021" w:leftChars="226" w:hanging="479"/>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kern w:val="0"/>
          <w:highlight w:val="none"/>
        </w:rPr>
        <w:t>4.2投标无效。</w:t>
      </w:r>
      <w:r>
        <w:rPr>
          <w:rFonts w:hint="eastAsia" w:ascii="仿宋_GB2312" w:hAnsi="仿宋_GB2312" w:eastAsia="仿宋_GB2312" w:cs="仿宋_GB2312"/>
          <w:color w:val="auto"/>
          <w:szCs w:val="21"/>
          <w:highlight w:val="none"/>
        </w:rPr>
        <w:t>有下列情况之一的，投标无效：</w:t>
      </w:r>
    </w:p>
    <w:p w14:paraId="702F591F">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4.2.1投标人不具备招标文件中规定的资格要求的（投标人未提供有效的资格文件的，未按照招标文件要求提供与资格条件相应的有效资格证明材料的，均视为投标人不具备招标文件中规定的资格要求）；</w:t>
      </w:r>
    </w:p>
    <w:p w14:paraId="637AEC13">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4.2.2投标文件未按照招标文件要求签署、盖章的；</w:t>
      </w:r>
    </w:p>
    <w:p w14:paraId="7DBF91CE">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4.2.3采购人拟采购的产品属于政府强制采购的节能产品品目清单范围的，投标人相应的投标产品未获得国家确定的认证机构出具的、处于有效期之内的节能产品认证证书的；</w:t>
      </w:r>
    </w:p>
    <w:p w14:paraId="3949842C">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4.2.4投标文件含有采购人不能接受的附加条件的（</w:t>
      </w:r>
      <w:r>
        <w:rPr>
          <w:rFonts w:hint="eastAsia" w:ascii="仿宋_GB2312" w:hAnsi="仿宋_GB2312" w:eastAsia="仿宋_GB2312" w:cs="仿宋_GB2312"/>
          <w:color w:val="auto"/>
          <w:kern w:val="0"/>
          <w:highlight w:val="none"/>
          <w:lang w:val="zh-CN"/>
        </w:rPr>
        <w:t>投标人未按开标一览表（报价表）格式填写的，采购内容未包含在《开标一览表（报价表）》名称栏中</w:t>
      </w:r>
      <w:r>
        <w:rPr>
          <w:rFonts w:hint="eastAsia" w:ascii="仿宋_GB2312" w:hAnsi="仿宋_GB2312" w:eastAsia="仿宋_GB2312" w:cs="仿宋_GB2312"/>
          <w:color w:val="auto"/>
          <w:kern w:val="0"/>
          <w:highlight w:val="none"/>
        </w:rPr>
        <w:t>或数量少于采购需求的</w:t>
      </w:r>
      <w:r>
        <w:rPr>
          <w:rFonts w:hint="eastAsia" w:ascii="仿宋_GB2312" w:hAnsi="仿宋_GB2312" w:eastAsia="仿宋_GB2312" w:cs="仿宋_GB2312"/>
          <w:color w:val="auto"/>
          <w:kern w:val="0"/>
          <w:highlight w:val="none"/>
          <w:lang w:val="zh-CN"/>
        </w:rPr>
        <w:t>，投标人不能作出合理解释的，均视为投标文件含有采购人不能接受的附加条件</w:t>
      </w:r>
      <w:r>
        <w:rPr>
          <w:rFonts w:hint="eastAsia" w:ascii="仿宋_GB2312" w:hAnsi="仿宋_GB2312" w:eastAsia="仿宋_GB2312" w:cs="仿宋_GB2312"/>
          <w:color w:val="auto"/>
          <w:kern w:val="0"/>
          <w:highlight w:val="none"/>
        </w:rPr>
        <w:t>）；</w:t>
      </w:r>
    </w:p>
    <w:p w14:paraId="54605B08">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4.2.5投标文件中承诺的投标有效期少于招标文件中载明的投标有效期的；</w:t>
      </w:r>
    </w:p>
    <w:p w14:paraId="0F9133F3">
      <w:pPr>
        <w:spacing w:line="360" w:lineRule="auto"/>
        <w:ind w:firstLine="480" w:firstLineChars="200"/>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kern w:val="0"/>
          <w:highlight w:val="none"/>
        </w:rPr>
        <w:t>4.2.6在原定投标有效期满之前，如果出现特殊情况，采购代理机构以书面形式通知投标人延长投标有效期，投标人拒绝延长的；</w:t>
      </w:r>
    </w:p>
    <w:p w14:paraId="5082B649">
      <w:pPr>
        <w:snapToGrid w:val="0"/>
        <w:spacing w:line="360" w:lineRule="auto"/>
        <w:ind w:firstLine="120" w:firstLineChars="50"/>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   4.2.7投标文件出现不是唯一的、有选择性投标报价的;</w:t>
      </w:r>
    </w:p>
    <w:p w14:paraId="4197F386">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4.2.8投标报价超过招标文件中规定的预算金额或者最高限价的;</w:t>
      </w:r>
    </w:p>
    <w:p w14:paraId="7D662FD2">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4.2.9报价明显低于其他通过符合性审查投标人的报价，有可能影响产品质量或者不能诚信履约的，未能按要求提供书面说明或者提交相关证明材料，不能证明其报价合理性的;</w:t>
      </w:r>
    </w:p>
    <w:p w14:paraId="54458AD1">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4.2.10投标人对根据修正原则修正后的报价不确认的；</w:t>
      </w:r>
    </w:p>
    <w:p w14:paraId="0AEB53C3">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4.2.11投标人提供虚假材料投标的；</w:t>
      </w:r>
    </w:p>
    <w:p w14:paraId="00F91F88">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4.2.12投标人有恶意串通、妨碍其他投标人的竞争行为、损害采购人或者其他投标人的合法权益情形的；</w:t>
      </w:r>
    </w:p>
    <w:p w14:paraId="703B6704">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4.2.13招标文件要求提供样品，投标人未提供样品或提供的样品不满足采购需求实质性条件的；</w:t>
      </w:r>
    </w:p>
    <w:p w14:paraId="31EBF0A7">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4.2.14投标文件不满足招标文件的其它实质性要求的；</w:t>
      </w:r>
    </w:p>
    <w:p w14:paraId="437C00C6">
      <w:pPr>
        <w:spacing w:line="360" w:lineRule="auto"/>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4.2.15法律、法规、规章（适用本市的）及省级以上规范性文件（适用本市的）规定的其他无效情形。</w:t>
      </w:r>
    </w:p>
    <w:p w14:paraId="07367810">
      <w:pPr>
        <w:snapToGrid w:val="0"/>
        <w:spacing w:line="360" w:lineRule="auto"/>
        <w:ind w:firstLine="472" w:firstLineChars="196"/>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5.废标。</w:t>
      </w:r>
      <w:r>
        <w:rPr>
          <w:rFonts w:hint="eastAsia" w:ascii="仿宋_GB2312" w:hAnsi="仿宋_GB2312" w:eastAsia="仿宋_GB2312" w:cs="仿宋_GB2312"/>
          <w:color w:val="auto"/>
          <w:highlight w:val="none"/>
        </w:rPr>
        <w:t>根据《中华人民共和国政府采购法》第三十六条之规定，在采购中，出现下列情形之一的，应予废标：</w:t>
      </w:r>
    </w:p>
    <w:p w14:paraId="4FA89FE7">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5.1符合专业条件的供应商或者对招标文件作实质响应的供应商不足3家的；</w:t>
      </w:r>
    </w:p>
    <w:p w14:paraId="130B5390">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5.2出现影响采购公正的违法、违规行为的；</w:t>
      </w:r>
    </w:p>
    <w:p w14:paraId="34916B58">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5.3投标人的报价均超过了采购预算，采购人不能支付的；</w:t>
      </w:r>
    </w:p>
    <w:p w14:paraId="49CFD301">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5.4因重大变故，采购任务取消的。</w:t>
      </w:r>
    </w:p>
    <w:p w14:paraId="44DEA481">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废标后，采购代理机构应当将废标理由通知所有投标人。</w:t>
      </w:r>
    </w:p>
    <w:p w14:paraId="2C59CC38">
      <w:pPr>
        <w:snapToGrid w:val="0"/>
        <w:spacing w:line="360" w:lineRule="auto"/>
        <w:ind w:firstLine="590" w:firstLineChars="245"/>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6.修改招标文件，重新组织采购活动。</w:t>
      </w:r>
      <w:r>
        <w:rPr>
          <w:rFonts w:hint="eastAsia" w:ascii="仿宋_GB2312" w:hAnsi="仿宋_GB2312" w:eastAsia="仿宋_GB2312"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FC54A4">
      <w:pPr>
        <w:snapToGrid w:val="0"/>
        <w:spacing w:line="360" w:lineRule="auto"/>
        <w:ind w:firstLine="590" w:firstLineChars="245"/>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highlight w:val="none"/>
        </w:rPr>
        <w:t>7.重新开展采购。</w:t>
      </w:r>
      <w:r>
        <w:rPr>
          <w:rFonts w:hint="eastAsia" w:ascii="仿宋_GB2312" w:hAnsi="仿宋_GB2312" w:eastAsia="仿宋_GB2312" w:cs="仿宋_GB2312"/>
          <w:color w:val="auto"/>
          <w:highlight w:val="none"/>
        </w:rPr>
        <w:t>有政府采购法第七十一条、第七十二条规定的违法行为之一，影响或者可能影响中标结果的，依照下列规定处理：</w:t>
      </w:r>
    </w:p>
    <w:p w14:paraId="6A47D850">
      <w:pPr>
        <w:snapToGrid w:val="0"/>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7.1未确定中标供应商的，终止本次政府采购活动，重新开展政府采购活动。</w:t>
      </w:r>
    </w:p>
    <w:p w14:paraId="614272DE">
      <w:pPr>
        <w:snapToGrid w:val="0"/>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7.2已确定中标供应商但尚未签订政府采购合同的，中标结果无效，从合格的中标候选人中另行确定中标人；没有合格的中标候选人的，重新开展政府采购活动。</w:t>
      </w:r>
    </w:p>
    <w:p w14:paraId="4D3D8783">
      <w:pPr>
        <w:snapToGrid w:val="0"/>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7.3政府采购合同已签订但尚未履行的，撤销合同，从合格的中标候选人中另行确定中标人；没有合格的中标候选人的，重新开展政府采购活动。</w:t>
      </w:r>
    </w:p>
    <w:p w14:paraId="4C8496C3">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7.4政府采购合同已经履行，给采购人、供应商造成损失的，由责任人承担赔偿责任。</w:t>
      </w:r>
    </w:p>
    <w:p w14:paraId="15989F71">
      <w:pPr>
        <w:snapToGrid w:val="0"/>
        <w:spacing w:line="360" w:lineRule="auto"/>
        <w:rPr>
          <w:rFonts w:hint="eastAsia" w:ascii="仿宋_GB2312" w:hAnsi="仿宋_GB2312" w:eastAsia="仿宋_GB2312" w:cs="仿宋_GB2312"/>
          <w:color w:val="auto"/>
          <w:highlight w:val="none"/>
        </w:rPr>
        <w:sectPr>
          <w:footerReference r:id="rId8" w:type="default"/>
          <w:pgSz w:w="11907" w:h="16840"/>
          <w:pgMar w:top="680" w:right="1417" w:bottom="471" w:left="1417" w:header="851" w:footer="851" w:gutter="0"/>
          <w:cols w:space="720" w:num="1"/>
        </w:sectPr>
      </w:pPr>
      <w:r>
        <w:rPr>
          <w:rFonts w:hint="eastAsia" w:ascii="仿宋_GB2312" w:hAnsi="仿宋_GB2312" w:eastAsia="仿宋_GB2312" w:cs="仿宋_GB2312"/>
          <w:color w:val="auto"/>
          <w:highlight w:val="none"/>
        </w:rPr>
        <w:t>7.5政府采购当事人有其他违反政府采购法</w:t>
      </w:r>
      <w:r>
        <w:rPr>
          <w:rFonts w:hint="eastAsia" w:ascii="仿宋_GB2312" w:hAnsi="仿宋_GB2312" w:eastAsia="仿宋_GB2312" w:cs="仿宋_GB2312"/>
          <w:color w:val="auto"/>
          <w:kern w:val="0"/>
          <w:highlight w:val="none"/>
        </w:rPr>
        <w:t>或者政府采购法实施条例等法律法规规定</w:t>
      </w:r>
      <w:r>
        <w:rPr>
          <w:rFonts w:hint="eastAsia" w:ascii="仿宋_GB2312" w:hAnsi="仿宋_GB2312" w:eastAsia="仿宋_GB2312" w:cs="仿宋_GB2312"/>
          <w:color w:val="auto"/>
          <w:highlight w:val="none"/>
        </w:rPr>
        <w:t>的行为，经改正后仍然影响或者可能影响中标结果或者依法被认定为中标无效的，依照7.1-7.4规定处理。</w:t>
      </w:r>
    </w:p>
    <w:p w14:paraId="1B297B68">
      <w:pPr>
        <w:pStyle w:val="5"/>
        <w:ind w:left="0" w:firstLine="0"/>
        <w:rPr>
          <w:rFonts w:hint="eastAsia"/>
          <w:color w:val="auto"/>
          <w:highlight w:val="none"/>
        </w:rPr>
      </w:pPr>
      <w:bookmarkStart w:id="391" w:name="第五部分"/>
      <w:bookmarkStart w:id="392" w:name="_Toc86217003"/>
    </w:p>
    <w:p w14:paraId="217017F4">
      <w:pPr>
        <w:spacing w:line="360" w:lineRule="auto"/>
        <w:jc w:val="center"/>
        <w:outlineLvl w:val="0"/>
        <w:rPr>
          <w:rFonts w:hint="eastAsia" w:ascii="仿宋_GB2312" w:hAnsi="仿宋_GB2312" w:eastAsia="仿宋_GB2312" w:cs="仿宋_GB2312"/>
          <w:b/>
          <w:color w:val="auto"/>
          <w:highlight w:val="none"/>
        </w:rPr>
      </w:pPr>
      <w:r>
        <w:rPr>
          <w:rFonts w:hint="eastAsia" w:ascii="仿宋" w:hAnsi="仿宋" w:cs="仿宋"/>
          <w:b/>
          <w:color w:val="auto"/>
          <w:sz w:val="36"/>
          <w:szCs w:val="36"/>
          <w:highlight w:val="none"/>
        </w:rPr>
        <w:t xml:space="preserve">第五部分 </w:t>
      </w:r>
      <w:r>
        <w:rPr>
          <w:rFonts w:hint="eastAsia" w:ascii="仿宋_GB2312" w:hAnsi="仿宋_GB2312" w:eastAsia="仿宋_GB2312" w:cs="仿宋_GB2312"/>
          <w:b/>
          <w:color w:val="auto"/>
          <w:sz w:val="36"/>
          <w:szCs w:val="36"/>
          <w:highlight w:val="none"/>
        </w:rPr>
        <w:t xml:space="preserve"> 拟签订的合同文本</w:t>
      </w:r>
    </w:p>
    <w:p w14:paraId="6453B6F1">
      <w:pPr>
        <w:spacing w:line="360" w:lineRule="auto"/>
        <w:ind w:left="720" w:firstLine="723" w:firstLineChars="200"/>
        <w:outlineLvl w:val="0"/>
        <w:rPr>
          <w:rFonts w:hint="eastAsia" w:ascii="仿宋_GB2312" w:hAnsi="仿宋_GB2312" w:eastAsia="仿宋_GB2312" w:cs="仿宋_GB2312"/>
          <w:b/>
          <w:color w:val="auto"/>
          <w:sz w:val="36"/>
          <w:szCs w:val="20"/>
          <w:highlight w:val="none"/>
        </w:rPr>
      </w:pPr>
    </w:p>
    <w:p w14:paraId="7A9E2A71">
      <w:pPr>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合同编号：</w:t>
      </w:r>
      <w:r>
        <w:rPr>
          <w:rFonts w:hint="eastAsia" w:ascii="仿宋_GB2312" w:hAnsi="仿宋_GB2312" w:eastAsia="仿宋_GB2312" w:cs="仿宋_GB2312"/>
          <w:color w:val="auto"/>
          <w:highlight w:val="none"/>
          <w:u w:val="single"/>
        </w:rPr>
        <w:t xml:space="preserve">           </w:t>
      </w:r>
    </w:p>
    <w:p w14:paraId="20CF2AA9">
      <w:pPr>
        <w:spacing w:line="480" w:lineRule="auto"/>
        <w:jc w:val="center"/>
        <w:rPr>
          <w:rFonts w:hint="eastAsia" w:ascii="仿宋_GB2312" w:hAnsi="仿宋_GB2312" w:eastAsia="仿宋_GB2312" w:cs="仿宋_GB2312"/>
          <w:b/>
          <w:color w:val="auto"/>
          <w:highlight w:val="none"/>
        </w:rPr>
      </w:pPr>
    </w:p>
    <w:p w14:paraId="46A467BE">
      <w:pPr>
        <w:spacing w:line="480" w:lineRule="auto"/>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政府采购合同参考范本</w:t>
      </w:r>
    </w:p>
    <w:p w14:paraId="2C2CAF67">
      <w:pPr>
        <w:spacing w:line="480" w:lineRule="auto"/>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（服务类）</w:t>
      </w:r>
    </w:p>
    <w:p w14:paraId="4951D1EB">
      <w:pPr>
        <w:pStyle w:val="701"/>
        <w:ind w:left="480" w:firstLine="2843" w:firstLineChars="1180"/>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第一部分 合同书</w:t>
      </w:r>
    </w:p>
    <w:p w14:paraId="62EEF37E">
      <w:pPr>
        <w:pStyle w:val="701"/>
        <w:ind w:left="480"/>
        <w:rPr>
          <w:rFonts w:hint="eastAsia" w:ascii="仿宋_GB2312" w:hAnsi="仿宋_GB2312" w:eastAsia="仿宋_GB2312" w:cs="仿宋_GB2312"/>
          <w:color w:val="auto"/>
          <w:szCs w:val="24"/>
          <w:highlight w:val="none"/>
        </w:rPr>
      </w:pPr>
    </w:p>
    <w:p w14:paraId="040021C9">
      <w:pPr>
        <w:pStyle w:val="701"/>
        <w:ind w:left="480"/>
        <w:rPr>
          <w:rFonts w:hint="eastAsia" w:ascii="仿宋_GB2312" w:hAnsi="仿宋_GB2312" w:eastAsia="仿宋_GB2312" w:cs="仿宋_GB2312"/>
          <w:color w:val="auto"/>
          <w:szCs w:val="24"/>
          <w:highlight w:val="none"/>
        </w:rPr>
      </w:pPr>
    </w:p>
    <w:p w14:paraId="141CDCE9">
      <w:pPr>
        <w:spacing w:before="120" w:line="22" w:lineRule="atLeast"/>
        <w:rPr>
          <w:rFonts w:hint="eastAsia" w:ascii="仿宋_GB2312" w:hAnsi="仿宋_GB2312" w:eastAsia="仿宋_GB2312" w:cs="仿宋_GB2312"/>
          <w:color w:val="auto"/>
          <w:highlight w:val="none"/>
        </w:rPr>
      </w:pPr>
    </w:p>
    <w:p w14:paraId="325395A9">
      <w:pPr>
        <w:spacing w:before="120" w:line="22" w:lineRule="atLeast"/>
        <w:ind w:left="96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u w:val="single"/>
        </w:rPr>
        <w:t xml:space="preserve">                                   </w:t>
      </w:r>
    </w:p>
    <w:p w14:paraId="4BA14504">
      <w:pPr>
        <w:pStyle w:val="598"/>
        <w:spacing w:before="120" w:line="22" w:lineRule="atLeast"/>
        <w:ind w:firstLine="960" w:firstLineChars="400"/>
        <w:rPr>
          <w:rFonts w:hint="eastAsia" w:hAnsi="仿宋_GB2312" w:cs="仿宋_GB2312"/>
          <w:color w:val="auto"/>
          <w:szCs w:val="24"/>
          <w:highlight w:val="none"/>
        </w:rPr>
      </w:pPr>
    </w:p>
    <w:p w14:paraId="04E19561">
      <w:pPr>
        <w:pStyle w:val="598"/>
        <w:spacing w:before="120" w:line="22" w:lineRule="atLeast"/>
        <w:rPr>
          <w:rFonts w:hint="eastAsia" w:hAnsi="仿宋_GB2312" w:cs="仿宋_GB2312"/>
          <w:color w:val="auto"/>
          <w:szCs w:val="24"/>
          <w:highlight w:val="none"/>
        </w:rPr>
      </w:pPr>
    </w:p>
    <w:p w14:paraId="5D2C656E">
      <w:pPr>
        <w:rPr>
          <w:rFonts w:hint="eastAsia" w:ascii="仿宋_GB2312" w:hAnsi="仿宋_GB2312" w:eastAsia="仿宋_GB2312" w:cs="仿宋_GB2312"/>
          <w:color w:val="auto"/>
          <w:highlight w:val="none"/>
        </w:rPr>
      </w:pPr>
    </w:p>
    <w:p w14:paraId="0B3C19D6">
      <w:pPr>
        <w:spacing w:before="120" w:line="22" w:lineRule="atLeast"/>
        <w:ind w:left="96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甲方：</w:t>
      </w:r>
      <w:r>
        <w:rPr>
          <w:rFonts w:hint="eastAsia" w:ascii="仿宋_GB2312" w:hAnsi="仿宋_GB2312" w:eastAsia="仿宋_GB2312" w:cs="仿宋_GB2312"/>
          <w:color w:val="auto"/>
          <w:highlight w:val="none"/>
          <w:u w:val="single"/>
        </w:rPr>
        <w:t xml:space="preserve">                                       </w:t>
      </w:r>
    </w:p>
    <w:p w14:paraId="1BB7D74C">
      <w:pPr>
        <w:spacing w:before="120" w:line="22" w:lineRule="atLeast"/>
        <w:rPr>
          <w:rFonts w:hint="eastAsia" w:ascii="仿宋_GB2312" w:hAnsi="仿宋_GB2312" w:eastAsia="仿宋_GB2312" w:cs="仿宋_GB2312"/>
          <w:color w:val="auto"/>
          <w:highlight w:val="none"/>
        </w:rPr>
      </w:pPr>
    </w:p>
    <w:p w14:paraId="76CB4D0E">
      <w:pPr>
        <w:spacing w:before="120" w:line="22" w:lineRule="atLeast"/>
        <w:ind w:left="96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乙方：</w:t>
      </w:r>
      <w:r>
        <w:rPr>
          <w:rFonts w:hint="eastAsia" w:ascii="仿宋_GB2312" w:hAnsi="仿宋_GB2312" w:eastAsia="仿宋_GB2312" w:cs="仿宋_GB2312"/>
          <w:color w:val="auto"/>
          <w:highlight w:val="none"/>
          <w:u w:val="single"/>
        </w:rPr>
        <w:t xml:space="preserve">                                       </w:t>
      </w:r>
    </w:p>
    <w:p w14:paraId="7058191B">
      <w:pPr>
        <w:spacing w:before="120" w:line="22" w:lineRule="atLeast"/>
        <w:rPr>
          <w:rFonts w:hint="eastAsia" w:ascii="仿宋_GB2312" w:hAnsi="仿宋_GB2312" w:eastAsia="仿宋_GB2312" w:cs="仿宋_GB2312"/>
          <w:color w:val="auto"/>
          <w:highlight w:val="none"/>
        </w:rPr>
      </w:pPr>
    </w:p>
    <w:p w14:paraId="7EC806EF">
      <w:pPr>
        <w:spacing w:before="120" w:line="22" w:lineRule="atLeast"/>
        <w:ind w:firstLine="960" w:firstLineChars="40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签订地：</w:t>
      </w:r>
      <w:r>
        <w:rPr>
          <w:rFonts w:hint="eastAsia" w:ascii="仿宋_GB2312" w:hAnsi="仿宋_GB2312" w:eastAsia="仿宋_GB2312" w:cs="仿宋_GB2312"/>
          <w:color w:val="auto"/>
          <w:highlight w:val="none"/>
          <w:u w:val="single"/>
        </w:rPr>
        <w:t xml:space="preserve">                                     </w:t>
      </w:r>
    </w:p>
    <w:p w14:paraId="5ABEEED7">
      <w:pPr>
        <w:spacing w:before="120" w:line="22" w:lineRule="atLeast"/>
        <w:rPr>
          <w:rFonts w:hint="eastAsia" w:ascii="仿宋_GB2312" w:hAnsi="仿宋_GB2312" w:eastAsia="仿宋_GB2312" w:cs="仿宋_GB2312"/>
          <w:color w:val="auto"/>
          <w:highlight w:val="none"/>
        </w:rPr>
      </w:pPr>
    </w:p>
    <w:p w14:paraId="69DD9D39">
      <w:pPr>
        <w:spacing w:before="120" w:line="22" w:lineRule="atLeast"/>
        <w:ind w:firstLine="960" w:firstLineChars="40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签订日期：</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年</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日</w:t>
      </w:r>
    </w:p>
    <w:p w14:paraId="75E57BDB">
      <w:pPr>
        <w:widowControl/>
        <w:jc w:val="left"/>
        <w:rPr>
          <w:rFonts w:hint="eastAsia" w:ascii="仿宋_GB2312" w:hAnsi="仿宋_GB2312" w:eastAsia="仿宋_GB2312" w:cs="仿宋_GB2312"/>
          <w:color w:val="auto"/>
          <w:kern w:val="0"/>
          <w:highlight w:val="none"/>
        </w:rPr>
        <w:sectPr>
          <w:pgSz w:w="11907" w:h="16840"/>
          <w:pgMar w:top="680" w:right="1417" w:bottom="471" w:left="1417" w:header="851" w:footer="851" w:gutter="0"/>
          <w:cols w:space="720" w:num="1"/>
        </w:sectPr>
      </w:pPr>
    </w:p>
    <w:p w14:paraId="7FCD6CD4">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single"/>
          <w:lang w:val="zh-CN"/>
        </w:rPr>
        <w:t xml:space="preserve">        </w:t>
      </w:r>
      <w:r>
        <w:rPr>
          <w:rFonts w:hint="eastAsia" w:ascii="仿宋_GB2312" w:hAnsi="仿宋_GB2312" w:eastAsia="仿宋_GB2312" w:cs="仿宋_GB2312"/>
          <w:color w:val="auto"/>
          <w:highlight w:val="none"/>
          <w:lang w:val="zh-CN"/>
        </w:rPr>
        <w:t>年</w:t>
      </w:r>
      <w:r>
        <w:rPr>
          <w:rFonts w:hint="eastAsia" w:ascii="仿宋_GB2312" w:hAnsi="仿宋_GB2312" w:eastAsia="仿宋_GB2312" w:cs="仿宋_GB2312"/>
          <w:color w:val="auto"/>
          <w:highlight w:val="none"/>
          <w:u w:val="single"/>
          <w:lang w:val="zh-CN"/>
        </w:rPr>
        <w:t xml:space="preserve">    </w:t>
      </w:r>
      <w:r>
        <w:rPr>
          <w:rFonts w:hint="eastAsia" w:ascii="仿宋_GB2312" w:hAnsi="仿宋_GB2312" w:eastAsia="仿宋_GB2312" w:cs="仿宋_GB2312"/>
          <w:color w:val="auto"/>
          <w:highlight w:val="none"/>
          <w:lang w:val="zh-CN"/>
        </w:rPr>
        <w:t>月</w:t>
      </w:r>
      <w:r>
        <w:rPr>
          <w:rFonts w:hint="eastAsia" w:ascii="仿宋_GB2312" w:hAnsi="仿宋_GB2312" w:eastAsia="仿宋_GB2312" w:cs="仿宋_GB2312"/>
          <w:color w:val="auto"/>
          <w:highlight w:val="none"/>
          <w:u w:val="single"/>
          <w:lang w:val="zh-CN"/>
        </w:rPr>
        <w:t xml:space="preserve">    </w:t>
      </w:r>
      <w:r>
        <w:rPr>
          <w:rFonts w:hint="eastAsia" w:ascii="仿宋_GB2312" w:hAnsi="仿宋_GB2312" w:eastAsia="仿宋_GB2312" w:cs="仿宋_GB2312"/>
          <w:color w:val="auto"/>
          <w:highlight w:val="none"/>
          <w:lang w:val="zh-CN"/>
        </w:rPr>
        <w:t>日</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以</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对</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项目进行了采购。经</w:t>
      </w:r>
      <w:r>
        <w:rPr>
          <w:rFonts w:hint="eastAsia" w:ascii="仿宋_GB2312" w:hAnsi="仿宋_GB2312" w:eastAsia="仿宋_GB2312" w:cs="仿宋_GB2312"/>
          <w:color w:val="auto"/>
          <w:highlight w:val="none"/>
          <w:u w:val="single"/>
        </w:rPr>
        <w:t xml:space="preserve"> （相关评定主体名称） </w:t>
      </w:r>
      <w:r>
        <w:rPr>
          <w:rFonts w:hint="eastAsia" w:ascii="仿宋_GB2312" w:hAnsi="仿宋_GB2312" w:eastAsia="仿宋_GB2312" w:cs="仿宋_GB2312"/>
          <w:color w:val="auto"/>
          <w:highlight w:val="none"/>
        </w:rPr>
        <w:t>评定，</w:t>
      </w:r>
      <w:r>
        <w:rPr>
          <w:rFonts w:hint="eastAsia" w:ascii="仿宋_GB2312" w:hAnsi="仿宋_GB2312" w:eastAsia="仿宋_GB2312" w:cs="仿宋_GB2312"/>
          <w:color w:val="auto"/>
          <w:highlight w:val="none"/>
          <w:u w:val="single"/>
        </w:rPr>
        <w:t xml:space="preserve"> （中标供应商名称） </w:t>
      </w:r>
      <w:r>
        <w:rPr>
          <w:rFonts w:hint="eastAsia" w:ascii="仿宋_GB2312" w:hAnsi="仿宋_GB2312" w:eastAsia="仿宋_GB2312" w:cs="仿宋_GB2312"/>
          <w:color w:val="auto"/>
          <w:highlight w:val="none"/>
        </w:rPr>
        <w:t>为该项目中标供应商。现于中标通知书发出之日起十个工作日内，按照采购文件确定的事项签订本合同。</w:t>
      </w:r>
    </w:p>
    <w:p w14:paraId="06D4ECFE">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zh-CN"/>
        </w:rPr>
        <w:t>根据《中华人民共和国民法典》、《中华人民共和国政府采购法》等相关法律法规之规定，按照平等、自愿、公平、诚实信用和绿色的原则，经</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lang w:val="zh-CN"/>
        </w:rPr>
        <w:t>(以下简称：甲方)和</w:t>
      </w:r>
      <w:r>
        <w:rPr>
          <w:rFonts w:hint="eastAsia" w:ascii="仿宋_GB2312" w:hAnsi="仿宋_GB2312" w:eastAsia="仿宋_GB2312" w:cs="仿宋_GB2312"/>
          <w:color w:val="auto"/>
          <w:highlight w:val="none"/>
          <w:u w:val="single"/>
        </w:rPr>
        <w:t xml:space="preserve"> （中标供应商名称） </w:t>
      </w:r>
      <w:r>
        <w:rPr>
          <w:rFonts w:hint="eastAsia" w:ascii="仿宋_GB2312" w:hAnsi="仿宋_GB2312" w:eastAsia="仿宋_GB2312" w:cs="仿宋_GB2312"/>
          <w:color w:val="auto"/>
          <w:highlight w:val="none"/>
          <w:lang w:val="zh-CN"/>
        </w:rPr>
        <w:t>(以下简称：乙方)协商一致，约定以下合同</w:t>
      </w:r>
      <w:r>
        <w:rPr>
          <w:rFonts w:hint="eastAsia" w:ascii="仿宋_GB2312" w:hAnsi="仿宋_GB2312" w:eastAsia="仿宋_GB2312" w:cs="仿宋_GB2312"/>
          <w:color w:val="auto"/>
          <w:highlight w:val="none"/>
        </w:rPr>
        <w:t>条款，以兹共同遵守、全面履行。</w:t>
      </w:r>
    </w:p>
    <w:p w14:paraId="31947602">
      <w:pPr>
        <w:spacing w:line="560" w:lineRule="exact"/>
        <w:ind w:firstLine="482" w:firstLineChars="200"/>
        <w:outlineLvl w:val="0"/>
        <w:rPr>
          <w:rFonts w:hint="eastAsia" w:ascii="仿宋_GB2312" w:hAnsi="仿宋_GB2312" w:eastAsia="仿宋_GB2312" w:cs="仿宋_GB2312"/>
          <w:color w:val="auto"/>
          <w:highlight w:val="none"/>
        </w:rPr>
      </w:pPr>
      <w:bookmarkStart w:id="393" w:name="_Toc22967"/>
      <w:bookmarkStart w:id="394" w:name="_Toc19273"/>
      <w:bookmarkStart w:id="395" w:name="_Toc28855"/>
      <w:bookmarkStart w:id="396" w:name="_Toc15367"/>
      <w:bookmarkStart w:id="397" w:name="_Toc20421"/>
      <w:r>
        <w:rPr>
          <w:rFonts w:hint="eastAsia" w:ascii="仿宋_GB2312" w:hAnsi="仿宋_GB2312" w:eastAsia="仿宋_GB2312" w:cs="仿宋_GB2312"/>
          <w:b/>
          <w:color w:val="auto"/>
          <w:highlight w:val="none"/>
        </w:rPr>
        <w:t>1.1 合同组成部分</w:t>
      </w:r>
      <w:bookmarkEnd w:id="393"/>
      <w:bookmarkEnd w:id="394"/>
      <w:bookmarkEnd w:id="395"/>
      <w:bookmarkEnd w:id="396"/>
      <w:bookmarkEnd w:id="397"/>
    </w:p>
    <w:p w14:paraId="27800B3C">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63BD4D6">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1.1.1 本合同及其补充合同、变更协议；</w:t>
      </w:r>
    </w:p>
    <w:p w14:paraId="7060FFFD">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1.1.2 中标或者成交通知书；</w:t>
      </w:r>
    </w:p>
    <w:p w14:paraId="54497CA1">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1.1.3 投标或者响应文件（含澄清或者说明文件）；</w:t>
      </w:r>
    </w:p>
    <w:p w14:paraId="223EFFBC">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1.1.4 采购文件（含澄清或者修改文件）；</w:t>
      </w:r>
    </w:p>
    <w:p w14:paraId="65E5A191">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1.1.5 其他相关采购文件。</w:t>
      </w:r>
    </w:p>
    <w:p w14:paraId="35742273">
      <w:pPr>
        <w:spacing w:line="560" w:lineRule="exact"/>
        <w:ind w:firstLine="482" w:firstLineChars="200"/>
        <w:outlineLvl w:val="0"/>
        <w:rPr>
          <w:rFonts w:hint="eastAsia" w:ascii="仿宋_GB2312" w:hAnsi="仿宋_GB2312" w:eastAsia="仿宋_GB2312" w:cs="仿宋_GB2312"/>
          <w:b/>
          <w:color w:val="auto"/>
          <w:highlight w:val="none"/>
        </w:rPr>
      </w:pPr>
      <w:bookmarkStart w:id="398" w:name="_Toc2918"/>
      <w:bookmarkStart w:id="399" w:name="_Toc6311"/>
      <w:bookmarkStart w:id="400" w:name="_Toc6773"/>
      <w:bookmarkStart w:id="401" w:name="_Toc18585"/>
      <w:bookmarkStart w:id="402" w:name="_Toc22185"/>
      <w:r>
        <w:rPr>
          <w:rFonts w:hint="eastAsia" w:ascii="仿宋_GB2312" w:hAnsi="仿宋_GB2312" w:eastAsia="仿宋_GB2312" w:cs="仿宋_GB2312"/>
          <w:b/>
          <w:color w:val="auto"/>
          <w:highlight w:val="none"/>
        </w:rPr>
        <w:t>1.2 标的</w:t>
      </w:r>
      <w:bookmarkEnd w:id="398"/>
      <w:bookmarkEnd w:id="399"/>
      <w:bookmarkEnd w:id="400"/>
      <w:bookmarkEnd w:id="401"/>
      <w:bookmarkEnd w:id="402"/>
    </w:p>
    <w:p w14:paraId="435A6966">
      <w:pPr>
        <w:spacing w:line="560" w:lineRule="atLeast"/>
        <w:ind w:firstLine="480" w:firstLineChars="20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1.2.1 服务内容：</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7E8A3CCD">
      <w:pPr>
        <w:spacing w:line="560" w:lineRule="atLeast"/>
        <w:ind w:firstLine="480" w:firstLineChars="20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1.2.2 服务标准：</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184B8102">
      <w:pPr>
        <w:spacing w:line="560" w:lineRule="atLeast"/>
        <w:ind w:firstLine="480" w:firstLineChars="20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1.2.3 技术保障：</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23A0D902">
      <w:pPr>
        <w:spacing w:line="560" w:lineRule="atLeast"/>
        <w:ind w:firstLine="48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1.2.4 服务人员组成：</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CB1ECCD">
      <w:pPr>
        <w:pStyle w:val="959"/>
        <w:spacing w:before="0" w:beforeAutospacing="0" w:after="0" w:afterAutospacing="0" w:line="560" w:lineRule="atLeast"/>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1.2.5合同</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（是/否）涉及货物。若涉及货物的的，则：</w:t>
      </w:r>
    </w:p>
    <w:p w14:paraId="00D674D4">
      <w:pPr>
        <w:spacing w:line="560" w:lineRule="atLeast"/>
        <w:ind w:firstLine="480" w:firstLineChars="200"/>
        <w:rPr>
          <w:rFonts w:hint="eastAsia" w:ascii="仿宋_GB2312" w:hAnsi="仿宋_GB2312" w:eastAsia="仿宋_GB2312" w:cs="仿宋_GB2312"/>
          <w:color w:val="auto"/>
          <w:highlight w:val="none"/>
          <w:u w:val="single"/>
        </w:rPr>
      </w:pPr>
      <w:bookmarkStart w:id="403" w:name="_Toc1386"/>
      <w:bookmarkStart w:id="404" w:name="_Toc21124"/>
      <w:bookmarkStart w:id="405" w:name="_Toc5635"/>
      <w:bookmarkStart w:id="406" w:name="_Toc13918"/>
      <w:bookmarkStart w:id="407" w:name="_Toc4929"/>
      <w:r>
        <w:rPr>
          <w:rFonts w:hint="eastAsia" w:ascii="仿宋_GB2312" w:hAnsi="仿宋_GB2312" w:eastAsia="仿宋_GB2312" w:cs="仿宋_GB2312"/>
          <w:color w:val="auto"/>
          <w:highlight w:val="none"/>
        </w:rPr>
        <w:t>1.2.5.1 货物名称、品牌、规格型号、花色：</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3E4CA256">
      <w:pPr>
        <w:spacing w:line="560" w:lineRule="exact"/>
        <w:ind w:firstLine="480" w:firstLineChars="20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1.2.5.2 货物数量：</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1CFC955D">
      <w:pPr>
        <w:spacing w:line="560" w:lineRule="exact"/>
        <w:ind w:firstLine="480" w:firstLineChars="20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1.2.5.3 货物质量：</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20FAC0BE">
      <w:pPr>
        <w:spacing w:line="560" w:lineRule="exact"/>
        <w:ind w:firstLine="482" w:firstLineChars="200"/>
        <w:outlineLvl w:val="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1.3 价款</w:t>
      </w:r>
      <w:bookmarkEnd w:id="403"/>
      <w:bookmarkEnd w:id="404"/>
      <w:bookmarkEnd w:id="405"/>
      <w:bookmarkEnd w:id="406"/>
      <w:bookmarkEnd w:id="407"/>
    </w:p>
    <w:p w14:paraId="4EC0F617">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本项目采用以下第</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条款规定的计价方式计价。</w:t>
      </w:r>
    </w:p>
    <w:p w14:paraId="5BADAB9E">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1.3.1总价合同，本合同总价（含税）为：￥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元（大写：</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元人民币）。</w:t>
      </w:r>
    </w:p>
    <w:p w14:paraId="309DAF61">
      <w:pPr>
        <w:spacing w:line="560" w:lineRule="exact"/>
        <w:ind w:firstLine="480" w:firstLineChars="20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5B2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5DF40E">
            <w:pPr>
              <w:pStyle w:val="320"/>
              <w:spacing w:line="5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3402" w:type="dxa"/>
            <w:vAlign w:val="center"/>
          </w:tcPr>
          <w:p w14:paraId="2B68926E">
            <w:pPr>
              <w:pStyle w:val="320"/>
              <w:spacing w:line="560" w:lineRule="exact"/>
              <w:ind w:firstLine="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分项名称</w:t>
            </w:r>
          </w:p>
        </w:tc>
        <w:tc>
          <w:tcPr>
            <w:tcW w:w="2552" w:type="dxa"/>
            <w:vAlign w:val="center"/>
          </w:tcPr>
          <w:p w14:paraId="65C65B87">
            <w:pPr>
              <w:pStyle w:val="320"/>
              <w:spacing w:line="5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分项价格</w:t>
            </w:r>
          </w:p>
        </w:tc>
      </w:tr>
      <w:tr w14:paraId="4FEE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958A11">
            <w:pPr>
              <w:pStyle w:val="320"/>
              <w:spacing w:line="560" w:lineRule="exact"/>
              <w:ind w:firstLine="200"/>
              <w:jc w:val="center"/>
              <w:rPr>
                <w:rFonts w:hint="eastAsia" w:ascii="仿宋_GB2312" w:hAnsi="仿宋_GB2312" w:eastAsia="仿宋_GB2312" w:cs="仿宋_GB2312"/>
                <w:color w:val="auto"/>
                <w:sz w:val="24"/>
                <w:szCs w:val="24"/>
                <w:highlight w:val="none"/>
              </w:rPr>
            </w:pPr>
          </w:p>
        </w:tc>
        <w:tc>
          <w:tcPr>
            <w:tcW w:w="3402" w:type="dxa"/>
            <w:vAlign w:val="center"/>
          </w:tcPr>
          <w:p w14:paraId="23DE670C">
            <w:pPr>
              <w:pStyle w:val="320"/>
              <w:spacing w:line="560" w:lineRule="exact"/>
              <w:ind w:firstLine="200"/>
              <w:jc w:val="center"/>
              <w:rPr>
                <w:rFonts w:hint="eastAsia" w:ascii="仿宋_GB2312" w:hAnsi="仿宋_GB2312" w:eastAsia="仿宋_GB2312" w:cs="仿宋_GB2312"/>
                <w:color w:val="auto"/>
                <w:sz w:val="24"/>
                <w:szCs w:val="24"/>
                <w:highlight w:val="none"/>
              </w:rPr>
            </w:pPr>
          </w:p>
        </w:tc>
        <w:tc>
          <w:tcPr>
            <w:tcW w:w="2552" w:type="dxa"/>
            <w:vAlign w:val="center"/>
          </w:tcPr>
          <w:p w14:paraId="26240C08">
            <w:pPr>
              <w:pStyle w:val="320"/>
              <w:spacing w:line="560" w:lineRule="exact"/>
              <w:ind w:firstLine="200"/>
              <w:jc w:val="center"/>
              <w:rPr>
                <w:rFonts w:hint="eastAsia" w:ascii="仿宋_GB2312" w:hAnsi="仿宋_GB2312" w:eastAsia="仿宋_GB2312" w:cs="仿宋_GB2312"/>
                <w:color w:val="auto"/>
                <w:sz w:val="24"/>
                <w:szCs w:val="24"/>
                <w:highlight w:val="none"/>
              </w:rPr>
            </w:pPr>
          </w:p>
        </w:tc>
      </w:tr>
      <w:tr w14:paraId="497B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EB2A77">
            <w:pPr>
              <w:pStyle w:val="320"/>
              <w:spacing w:line="560" w:lineRule="exact"/>
              <w:ind w:firstLine="200"/>
              <w:jc w:val="center"/>
              <w:rPr>
                <w:rFonts w:hint="eastAsia" w:ascii="仿宋_GB2312" w:hAnsi="仿宋_GB2312" w:eastAsia="仿宋_GB2312" w:cs="仿宋_GB2312"/>
                <w:color w:val="auto"/>
                <w:sz w:val="24"/>
                <w:szCs w:val="24"/>
                <w:highlight w:val="none"/>
              </w:rPr>
            </w:pPr>
          </w:p>
        </w:tc>
        <w:tc>
          <w:tcPr>
            <w:tcW w:w="3402" w:type="dxa"/>
            <w:vAlign w:val="center"/>
          </w:tcPr>
          <w:p w14:paraId="6FC8CB9A">
            <w:pPr>
              <w:pStyle w:val="320"/>
              <w:spacing w:line="560" w:lineRule="exact"/>
              <w:ind w:firstLine="200"/>
              <w:jc w:val="center"/>
              <w:rPr>
                <w:rFonts w:hint="eastAsia" w:ascii="仿宋_GB2312" w:hAnsi="仿宋_GB2312" w:eastAsia="仿宋_GB2312" w:cs="仿宋_GB2312"/>
                <w:color w:val="auto"/>
                <w:sz w:val="24"/>
                <w:szCs w:val="24"/>
                <w:highlight w:val="none"/>
              </w:rPr>
            </w:pPr>
          </w:p>
        </w:tc>
        <w:tc>
          <w:tcPr>
            <w:tcW w:w="2552" w:type="dxa"/>
            <w:vAlign w:val="center"/>
          </w:tcPr>
          <w:p w14:paraId="0537D1E1">
            <w:pPr>
              <w:pStyle w:val="320"/>
              <w:spacing w:line="560" w:lineRule="exact"/>
              <w:ind w:firstLine="200"/>
              <w:jc w:val="center"/>
              <w:rPr>
                <w:rFonts w:hint="eastAsia" w:ascii="仿宋_GB2312" w:hAnsi="仿宋_GB2312" w:eastAsia="仿宋_GB2312" w:cs="仿宋_GB2312"/>
                <w:color w:val="auto"/>
                <w:sz w:val="24"/>
                <w:szCs w:val="24"/>
                <w:highlight w:val="none"/>
              </w:rPr>
            </w:pPr>
          </w:p>
        </w:tc>
      </w:tr>
      <w:tr w14:paraId="1965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3F1B50">
            <w:pPr>
              <w:pStyle w:val="320"/>
              <w:spacing w:line="560" w:lineRule="exact"/>
              <w:ind w:firstLine="200"/>
              <w:jc w:val="center"/>
              <w:rPr>
                <w:rFonts w:hint="eastAsia" w:ascii="仿宋_GB2312" w:hAnsi="仿宋_GB2312" w:eastAsia="仿宋_GB2312" w:cs="仿宋_GB2312"/>
                <w:color w:val="auto"/>
                <w:sz w:val="24"/>
                <w:szCs w:val="24"/>
                <w:highlight w:val="none"/>
              </w:rPr>
            </w:pPr>
          </w:p>
        </w:tc>
        <w:tc>
          <w:tcPr>
            <w:tcW w:w="3402" w:type="dxa"/>
            <w:vAlign w:val="center"/>
          </w:tcPr>
          <w:p w14:paraId="02078BAE">
            <w:pPr>
              <w:pStyle w:val="320"/>
              <w:spacing w:line="560" w:lineRule="exact"/>
              <w:ind w:firstLine="200"/>
              <w:jc w:val="center"/>
              <w:rPr>
                <w:rFonts w:hint="eastAsia" w:ascii="仿宋_GB2312" w:hAnsi="仿宋_GB2312" w:eastAsia="仿宋_GB2312" w:cs="仿宋_GB2312"/>
                <w:color w:val="auto"/>
                <w:sz w:val="24"/>
                <w:szCs w:val="24"/>
                <w:highlight w:val="none"/>
              </w:rPr>
            </w:pPr>
          </w:p>
        </w:tc>
        <w:tc>
          <w:tcPr>
            <w:tcW w:w="2552" w:type="dxa"/>
            <w:vAlign w:val="center"/>
          </w:tcPr>
          <w:p w14:paraId="76864DDA">
            <w:pPr>
              <w:pStyle w:val="320"/>
              <w:spacing w:line="560" w:lineRule="exact"/>
              <w:ind w:firstLine="200"/>
              <w:jc w:val="center"/>
              <w:rPr>
                <w:rFonts w:hint="eastAsia" w:ascii="仿宋_GB2312" w:hAnsi="仿宋_GB2312" w:eastAsia="仿宋_GB2312" w:cs="仿宋_GB2312"/>
                <w:color w:val="auto"/>
                <w:sz w:val="24"/>
                <w:szCs w:val="24"/>
                <w:highlight w:val="none"/>
              </w:rPr>
            </w:pPr>
          </w:p>
        </w:tc>
      </w:tr>
      <w:tr w14:paraId="0886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FF6125">
            <w:pPr>
              <w:pStyle w:val="320"/>
              <w:spacing w:line="560" w:lineRule="exact"/>
              <w:ind w:firstLine="200"/>
              <w:jc w:val="center"/>
              <w:rPr>
                <w:rFonts w:hint="eastAsia" w:ascii="仿宋_GB2312" w:hAnsi="仿宋_GB2312" w:eastAsia="仿宋_GB2312" w:cs="仿宋_GB2312"/>
                <w:color w:val="auto"/>
                <w:sz w:val="24"/>
                <w:szCs w:val="24"/>
                <w:highlight w:val="none"/>
              </w:rPr>
            </w:pPr>
          </w:p>
        </w:tc>
        <w:tc>
          <w:tcPr>
            <w:tcW w:w="3402" w:type="dxa"/>
            <w:vAlign w:val="center"/>
          </w:tcPr>
          <w:p w14:paraId="283EB670">
            <w:pPr>
              <w:pStyle w:val="320"/>
              <w:spacing w:line="560" w:lineRule="exact"/>
              <w:ind w:firstLine="200"/>
              <w:jc w:val="center"/>
              <w:rPr>
                <w:rFonts w:hint="eastAsia" w:ascii="仿宋_GB2312" w:hAnsi="仿宋_GB2312" w:eastAsia="仿宋_GB2312" w:cs="仿宋_GB2312"/>
                <w:color w:val="auto"/>
                <w:sz w:val="24"/>
                <w:szCs w:val="24"/>
                <w:highlight w:val="none"/>
              </w:rPr>
            </w:pPr>
          </w:p>
        </w:tc>
        <w:tc>
          <w:tcPr>
            <w:tcW w:w="2552" w:type="dxa"/>
            <w:vAlign w:val="center"/>
          </w:tcPr>
          <w:p w14:paraId="08E9B30B">
            <w:pPr>
              <w:pStyle w:val="320"/>
              <w:spacing w:line="560" w:lineRule="exact"/>
              <w:ind w:firstLine="200"/>
              <w:jc w:val="center"/>
              <w:rPr>
                <w:rFonts w:hint="eastAsia" w:ascii="仿宋_GB2312" w:hAnsi="仿宋_GB2312" w:eastAsia="仿宋_GB2312" w:cs="仿宋_GB2312"/>
                <w:color w:val="auto"/>
                <w:sz w:val="24"/>
                <w:szCs w:val="24"/>
                <w:highlight w:val="none"/>
              </w:rPr>
            </w:pPr>
          </w:p>
        </w:tc>
      </w:tr>
      <w:tr w14:paraId="46E9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6B6ED8D">
            <w:pPr>
              <w:pStyle w:val="320"/>
              <w:spacing w:line="560" w:lineRule="exact"/>
              <w:ind w:firstLine="20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总价</w:t>
            </w:r>
          </w:p>
        </w:tc>
        <w:tc>
          <w:tcPr>
            <w:tcW w:w="2552" w:type="dxa"/>
            <w:vAlign w:val="center"/>
          </w:tcPr>
          <w:p w14:paraId="52C411BD">
            <w:pPr>
              <w:pStyle w:val="320"/>
              <w:spacing w:line="560" w:lineRule="exact"/>
              <w:ind w:firstLine="200"/>
              <w:jc w:val="center"/>
              <w:rPr>
                <w:rFonts w:hint="eastAsia" w:ascii="仿宋_GB2312" w:hAnsi="仿宋_GB2312" w:eastAsia="仿宋_GB2312" w:cs="仿宋_GB2312"/>
                <w:color w:val="auto"/>
                <w:sz w:val="24"/>
                <w:szCs w:val="24"/>
                <w:highlight w:val="none"/>
              </w:rPr>
            </w:pPr>
          </w:p>
        </w:tc>
      </w:tr>
    </w:tbl>
    <w:p w14:paraId="02014AD4">
      <w:pPr>
        <w:spacing w:line="560" w:lineRule="exact"/>
        <w:ind w:firstLine="480" w:firstLineChars="200"/>
        <w:rPr>
          <w:rFonts w:hint="eastAsia" w:ascii="仿宋_GB2312" w:hAnsi="仿宋_GB2312" w:eastAsia="仿宋_GB2312" w:cs="仿宋_GB2312"/>
          <w:color w:val="auto"/>
          <w:highlight w:val="none"/>
        </w:rPr>
      </w:pPr>
      <w:bookmarkStart w:id="408" w:name="_Toc14993"/>
      <w:bookmarkStart w:id="409" w:name="_Toc3654"/>
      <w:bookmarkStart w:id="410" w:name="_Toc30158"/>
      <w:bookmarkStart w:id="411" w:name="_Toc30506"/>
      <w:bookmarkStart w:id="412" w:name="_Toc26916"/>
      <w:r>
        <w:rPr>
          <w:rFonts w:hint="eastAsia" w:ascii="仿宋_GB2312" w:hAnsi="仿宋_GB2312" w:eastAsia="仿宋_GB2312" w:cs="仿宋_GB2312"/>
          <w:bCs/>
          <w:color w:val="auto"/>
          <w:highlight w:val="none"/>
        </w:rPr>
        <w:t>1.3.2单价合同，本合同单价（含税）标准为：</w:t>
      </w:r>
      <w:r>
        <w:rPr>
          <w:rFonts w:hint="eastAsia" w:ascii="仿宋_GB2312" w:hAnsi="仿宋_GB2312" w:eastAsia="仿宋_GB2312" w:cs="仿宋_GB2312"/>
          <w:bCs/>
          <w:color w:val="auto"/>
          <w:highlight w:val="none"/>
          <w:u w:val="single"/>
        </w:rPr>
        <w:t xml:space="preserve">                   </w:t>
      </w:r>
      <w:r>
        <w:rPr>
          <w:rFonts w:hint="eastAsia" w:ascii="仿宋_GB2312" w:hAnsi="仿宋_GB2312" w:eastAsia="仿宋_GB2312" w:cs="仿宋_GB2312"/>
          <w:color w:val="auto"/>
          <w:highlight w:val="none"/>
        </w:rPr>
        <w:t>。服务工作量的计量方式为：</w:t>
      </w:r>
      <w:r>
        <w:rPr>
          <w:rFonts w:hint="eastAsia" w:ascii="仿宋_GB2312" w:hAnsi="仿宋_GB2312" w:eastAsia="仿宋_GB2312" w:cs="仿宋_GB2312"/>
          <w:bCs/>
          <w:color w:val="auto"/>
          <w:highlight w:val="none"/>
          <w:u w:val="single"/>
        </w:rPr>
        <w:t xml:space="preserve">       </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bCs/>
          <w:color w:val="auto"/>
          <w:highlight w:val="none"/>
          <w:u w:val="single"/>
        </w:rPr>
        <w:t xml:space="preserve">     </w:t>
      </w:r>
      <w:r>
        <w:rPr>
          <w:rFonts w:hint="eastAsia" w:ascii="仿宋_GB2312" w:hAnsi="仿宋_GB2312" w:eastAsia="仿宋_GB2312" w:cs="仿宋_GB2312"/>
          <w:color w:val="auto"/>
          <w:highlight w:val="none"/>
        </w:rPr>
        <w:t>。单价合同，在合同履行期间内，根据实际完成的工作量据实结算，但结算总价上限不得超过预算金额或者双方确定的金额￥</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元（大写：</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元人民币）。</w:t>
      </w:r>
    </w:p>
    <w:p w14:paraId="06A069A1">
      <w:pPr>
        <w:pStyle w:val="5"/>
        <w:rPr>
          <w:rFonts w:hint="eastAsia" w:hAnsi="仿宋_GB2312" w:cs="仿宋_GB2312"/>
          <w:color w:val="auto"/>
          <w:highlight w:val="none"/>
          <w:lang w:val="en-US"/>
        </w:rPr>
      </w:pPr>
      <w:r>
        <w:rPr>
          <w:rFonts w:hint="eastAsia" w:hAnsi="仿宋_GB2312" w:cs="仿宋_GB2312"/>
          <w:color w:val="auto"/>
          <w:sz w:val="24"/>
          <w:highlight w:val="none"/>
          <w:lang w:val="en-US"/>
        </w:rPr>
        <w:t xml:space="preserve">    </w:t>
      </w:r>
      <w:r>
        <w:rPr>
          <w:rFonts w:hint="eastAsia" w:hAnsi="仿宋_GB2312" w:cs="仿宋_GB2312"/>
          <w:b w:val="0"/>
          <w:bCs w:val="0"/>
          <w:color w:val="auto"/>
          <w:sz w:val="24"/>
          <w:highlight w:val="none"/>
          <w:lang w:val="en-US"/>
        </w:rPr>
        <w:t>1.3.3其他计价方式：</w:t>
      </w:r>
      <w:r>
        <w:rPr>
          <w:rFonts w:hint="eastAsia" w:hAnsi="仿宋_GB2312" w:cs="仿宋_GB2312"/>
          <w:b w:val="0"/>
          <w:bCs w:val="0"/>
          <w:color w:val="auto"/>
          <w:sz w:val="24"/>
          <w:highlight w:val="none"/>
          <w:u w:val="single"/>
          <w:lang w:val="en-US"/>
        </w:rPr>
        <w:t xml:space="preserve">                   </w:t>
      </w:r>
      <w:r>
        <w:rPr>
          <w:rFonts w:hint="eastAsia" w:hAnsi="仿宋_GB2312" w:cs="仿宋_GB2312"/>
          <w:b w:val="0"/>
          <w:bCs w:val="0"/>
          <w:color w:val="auto"/>
          <w:sz w:val="24"/>
          <w:highlight w:val="none"/>
        </w:rPr>
        <w:t>。</w:t>
      </w:r>
    </w:p>
    <w:bookmarkEnd w:id="408"/>
    <w:bookmarkEnd w:id="409"/>
    <w:bookmarkEnd w:id="410"/>
    <w:bookmarkEnd w:id="411"/>
    <w:bookmarkEnd w:id="412"/>
    <w:p w14:paraId="53010B53">
      <w:pPr>
        <w:pStyle w:val="959"/>
        <w:spacing w:before="0" w:beforeAutospacing="0" w:after="0" w:afterAutospacing="0" w:line="360" w:lineRule="auto"/>
        <w:ind w:firstLine="480"/>
        <w:rPr>
          <w:rFonts w:hint="eastAsia" w:ascii="仿宋_GB2312" w:hAnsi="仿宋_GB2312" w:eastAsia="仿宋_GB2312" w:cs="仿宋_GB2312"/>
          <w:b/>
          <w:color w:val="auto"/>
          <w:highlight w:val="none"/>
        </w:rPr>
      </w:pPr>
      <w:bookmarkStart w:id="413" w:name="_Toc22618"/>
      <w:bookmarkStart w:id="414" w:name="_Toc10340"/>
      <w:bookmarkStart w:id="415" w:name="_Toc1814"/>
      <w:bookmarkStart w:id="416" w:name="_Toc4760"/>
      <w:bookmarkStart w:id="417" w:name="_Toc11108"/>
      <w:bookmarkStart w:id="418" w:name="_Toc3625"/>
      <w:bookmarkStart w:id="419" w:name="_Toc8772"/>
      <w:bookmarkStart w:id="420" w:name="_Toc31421"/>
      <w:r>
        <w:rPr>
          <w:rFonts w:hint="eastAsia" w:ascii="仿宋_GB2312" w:hAnsi="仿宋_GB2312" w:eastAsia="仿宋_GB2312" w:cs="仿宋_GB2312"/>
          <w:b/>
          <w:color w:val="auto"/>
          <w:highlight w:val="none"/>
        </w:rPr>
        <w:t>1.4履约保证金</w:t>
      </w:r>
    </w:p>
    <w:p w14:paraId="6A1C44B5">
      <w:pPr>
        <w:pStyle w:val="959"/>
        <w:spacing w:before="0" w:beforeAutospacing="0" w:after="0" w:afterAutospacing="0" w:line="360" w:lineRule="auto"/>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乙方</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（是/否）需要支付履约保证金。若需要支付履约保证金的，则：</w:t>
      </w:r>
    </w:p>
    <w:p w14:paraId="5984D54E">
      <w:pPr>
        <w:spacing w:line="560" w:lineRule="exact"/>
        <w:ind w:firstLine="480" w:firstLineChars="200"/>
        <w:outlineLvl w:val="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1.4.1履约保证金的比例为合同金额的</w:t>
      </w:r>
      <w:r>
        <w:rPr>
          <w:rFonts w:hint="eastAsia" w:ascii="仿宋_GB2312" w:hAnsi="仿宋_GB2312" w:eastAsia="仿宋_GB2312" w:cs="仿宋_GB2312"/>
          <w:color w:val="auto"/>
          <w:kern w:val="0"/>
          <w:highlight w:val="none"/>
          <w:u w:val="single"/>
        </w:rPr>
        <w:t xml:space="preserve">     </w:t>
      </w:r>
      <w:r>
        <w:rPr>
          <w:rFonts w:hint="eastAsia" w:ascii="仿宋_GB2312" w:hAnsi="仿宋_GB2312" w:eastAsia="仿宋_GB2312" w:cs="仿宋_GB2312"/>
          <w:color w:val="auto"/>
          <w:kern w:val="0"/>
          <w:highlight w:val="none"/>
        </w:rPr>
        <w:t>%；</w:t>
      </w:r>
    </w:p>
    <w:p w14:paraId="57F7ED59">
      <w:pPr>
        <w:spacing w:line="560" w:lineRule="exact"/>
        <w:ind w:firstLine="480" w:firstLineChars="200"/>
        <w:outlineLvl w:val="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1.4.2履约保证金支付方式详见</w:t>
      </w:r>
      <w:r>
        <w:rPr>
          <w:rFonts w:hint="eastAsia" w:ascii="仿宋_GB2312" w:hAnsi="仿宋_GB2312" w:eastAsia="仿宋_GB2312" w:cs="仿宋_GB2312"/>
          <w:color w:val="auto"/>
          <w:kern w:val="0"/>
          <w:highlight w:val="none"/>
          <w:u w:val="single"/>
        </w:rPr>
        <w:t xml:space="preserve">    </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kern w:val="0"/>
          <w:highlight w:val="none"/>
          <w:u w:val="single"/>
        </w:rPr>
        <w:t xml:space="preserve">           </w:t>
      </w:r>
      <w:r>
        <w:rPr>
          <w:rFonts w:hint="eastAsia" w:ascii="仿宋_GB2312" w:hAnsi="仿宋_GB2312" w:eastAsia="仿宋_GB2312" w:cs="仿宋_GB2312"/>
          <w:color w:val="auto"/>
          <w:kern w:val="0"/>
          <w:highlight w:val="none"/>
        </w:rPr>
        <w:t>；</w:t>
      </w:r>
    </w:p>
    <w:p w14:paraId="5D594B45">
      <w:pPr>
        <w:pStyle w:val="5"/>
        <w:tabs>
          <w:tab w:val="left" w:pos="0"/>
        </w:tabs>
        <w:spacing w:line="560" w:lineRule="exact"/>
        <w:ind w:left="0" w:firstLine="480" w:firstLineChars="200"/>
        <w:rPr>
          <w:rFonts w:hint="eastAsia" w:hAnsi="仿宋_GB2312" w:cs="仿宋_GB2312"/>
          <w:color w:val="auto"/>
          <w:highlight w:val="none"/>
          <w:lang w:val="en-US"/>
        </w:rPr>
      </w:pPr>
      <w:r>
        <w:rPr>
          <w:rFonts w:hint="eastAsia" w:hAnsi="仿宋_GB2312" w:cs="仿宋_GB2312"/>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5A96B09">
      <w:pPr>
        <w:spacing w:line="560" w:lineRule="exact"/>
        <w:ind w:firstLine="480" w:firstLineChars="200"/>
        <w:outlineLvl w:val="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1.4.4甲方在项目验收结束后及时退还履约保证金。甲方在项目通过验收之日起</w:t>
      </w:r>
      <w:r>
        <w:rPr>
          <w:rFonts w:hint="eastAsia" w:ascii="仿宋_GB2312" w:hAnsi="仿宋_GB2312" w:eastAsia="仿宋_GB2312" w:cs="仿宋_GB2312"/>
          <w:color w:val="auto"/>
          <w:kern w:val="0"/>
          <w:highlight w:val="none"/>
          <w:u w:val="single"/>
        </w:rPr>
        <w:t xml:space="preserve">       </w:t>
      </w:r>
      <w:r>
        <w:rPr>
          <w:rFonts w:hint="eastAsia" w:ascii="仿宋_GB2312" w:hAnsi="仿宋_GB2312" w:eastAsia="仿宋_GB2312" w:cs="仿宋_GB2312"/>
          <w:color w:val="auto"/>
          <w:kern w:val="0"/>
          <w:highlight w:val="none"/>
        </w:rPr>
        <w:t>个工作日内将履约保证金无息退还乙方，逾期退还的，乙方可要求甲方支付违约金，违约金按每迟延退还一日的应退还而未退还金额的</w:t>
      </w:r>
      <w:r>
        <w:rPr>
          <w:rFonts w:hint="eastAsia" w:ascii="仿宋_GB2312" w:hAnsi="仿宋_GB2312" w:eastAsia="仿宋_GB2312" w:cs="仿宋_GB2312"/>
          <w:color w:val="auto"/>
          <w:kern w:val="0"/>
          <w:highlight w:val="none"/>
          <w:u w:val="single"/>
        </w:rPr>
        <w:t xml:space="preserve">  0.05（可根据情况修改）  </w:t>
      </w:r>
      <w:r>
        <w:rPr>
          <w:rFonts w:hint="eastAsia" w:ascii="仿宋_GB2312" w:hAnsi="仿宋_GB2312" w:eastAsia="仿宋_GB2312" w:cs="仿宋_GB2312"/>
          <w:color w:val="auto"/>
          <w:kern w:val="0"/>
          <w:highlight w:val="none"/>
        </w:rPr>
        <w:t>%计算，最高限额为本合同履约保证金的</w:t>
      </w:r>
      <w:r>
        <w:rPr>
          <w:rFonts w:hint="eastAsia" w:ascii="仿宋_GB2312" w:hAnsi="仿宋_GB2312" w:eastAsia="仿宋_GB2312" w:cs="仿宋_GB2312"/>
          <w:color w:val="auto"/>
          <w:kern w:val="0"/>
          <w:highlight w:val="none"/>
          <w:u w:val="single"/>
        </w:rPr>
        <w:t xml:space="preserve">  20  </w:t>
      </w:r>
      <w:r>
        <w:rPr>
          <w:rFonts w:hint="eastAsia" w:ascii="仿宋_GB2312" w:hAnsi="仿宋_GB2312" w:eastAsia="仿宋_GB2312" w:cs="仿宋_GB2312"/>
          <w:color w:val="auto"/>
          <w:kern w:val="0"/>
          <w:highlight w:val="none"/>
        </w:rPr>
        <w:t xml:space="preserve"> %。</w:t>
      </w:r>
    </w:p>
    <w:p w14:paraId="0F7C115D">
      <w:pPr>
        <w:spacing w:line="560" w:lineRule="exact"/>
        <w:ind w:firstLine="482" w:firstLineChars="200"/>
        <w:outlineLvl w:val="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1.5</w:t>
      </w:r>
      <w:bookmarkEnd w:id="413"/>
      <w:bookmarkEnd w:id="414"/>
      <w:bookmarkEnd w:id="415"/>
      <w:r>
        <w:rPr>
          <w:rFonts w:hint="eastAsia" w:ascii="仿宋_GB2312" w:hAnsi="仿宋_GB2312" w:eastAsia="仿宋_GB2312" w:cs="仿宋_GB2312"/>
          <w:b/>
          <w:color w:val="auto"/>
          <w:highlight w:val="none"/>
        </w:rPr>
        <w:t>预付款</w:t>
      </w:r>
    </w:p>
    <w:p w14:paraId="25B2CF24">
      <w:pPr>
        <w:pStyle w:val="959"/>
        <w:spacing w:before="0" w:beforeAutospacing="0" w:after="0" w:afterAutospacing="0" w:line="360" w:lineRule="auto"/>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甲方</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（是/否）需要支付预付款。若需要支付预付款的，则：</w:t>
      </w:r>
    </w:p>
    <w:p w14:paraId="57C14DF3">
      <w:pPr>
        <w:spacing w:line="560" w:lineRule="exact"/>
        <w:ind w:firstLine="480" w:firstLineChars="20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1.5.1预付款比例、支付方式、时间详见</w:t>
      </w:r>
      <w:r>
        <w:rPr>
          <w:rFonts w:hint="eastAsia" w:ascii="仿宋_GB2312" w:hAnsi="仿宋_GB2312" w:eastAsia="仿宋_GB2312" w:cs="仿宋_GB2312"/>
          <w:color w:val="auto"/>
          <w:kern w:val="0"/>
          <w:highlight w:val="none"/>
          <w:u w:val="single"/>
        </w:rPr>
        <w:t xml:space="preserve">    </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kern w:val="0"/>
          <w:highlight w:val="none"/>
          <w:u w:val="single"/>
        </w:rPr>
        <w:t xml:space="preserve">           </w:t>
      </w:r>
      <w:r>
        <w:rPr>
          <w:rFonts w:hint="eastAsia" w:ascii="仿宋_GB2312" w:hAnsi="仿宋_GB2312" w:eastAsia="仿宋_GB2312" w:cs="仿宋_GB2312"/>
          <w:color w:val="auto"/>
          <w:kern w:val="0"/>
          <w:highlight w:val="none"/>
        </w:rPr>
        <w:t>；</w:t>
      </w:r>
    </w:p>
    <w:p w14:paraId="2DD8541F">
      <w:pPr>
        <w:pStyle w:val="959"/>
        <w:spacing w:before="0" w:beforeAutospacing="0" w:after="0" w:afterAutospacing="0" w:line="360" w:lineRule="auto"/>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1.5.2预付款的扣回方式详见</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5F1FF1DE">
      <w:pPr>
        <w:pStyle w:val="959"/>
        <w:spacing w:before="0" w:beforeAutospacing="0" w:after="0" w:afterAutospacing="0" w:line="360" w:lineRule="auto"/>
        <w:ind w:firstLine="48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1.5.3预付款的担保措施详见</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78EABDC">
      <w:pPr>
        <w:pStyle w:val="959"/>
        <w:spacing w:before="0" w:beforeAutospacing="0" w:after="0" w:afterAutospacing="0" w:line="360" w:lineRule="auto"/>
        <w:ind w:firstLine="48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1.6资金支付</w:t>
      </w:r>
    </w:p>
    <w:p w14:paraId="67640B6F">
      <w:pPr>
        <w:pStyle w:val="959"/>
        <w:spacing w:before="0" w:beforeAutospacing="0" w:after="0" w:afterAutospacing="0" w:line="360" w:lineRule="auto"/>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178C7A">
      <w:pPr>
        <w:spacing w:line="560" w:lineRule="exact"/>
        <w:ind w:firstLine="480" w:firstLineChars="200"/>
        <w:outlineLvl w:val="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1.6.2资金支付的方式、时间和条件详见</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w:t>
      </w:r>
    </w:p>
    <w:p w14:paraId="1674CE0F">
      <w:pPr>
        <w:spacing w:line="560" w:lineRule="exact"/>
        <w:ind w:firstLine="482" w:firstLineChars="200"/>
        <w:outlineLvl w:val="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1.7 履行期限、地点和方式</w:t>
      </w:r>
      <w:bookmarkEnd w:id="416"/>
      <w:bookmarkEnd w:id="417"/>
      <w:bookmarkEnd w:id="418"/>
      <w:bookmarkEnd w:id="419"/>
      <w:bookmarkEnd w:id="420"/>
    </w:p>
    <w:p w14:paraId="1A11CF99">
      <w:pPr>
        <w:spacing w:line="560" w:lineRule="exact"/>
        <w:ind w:firstLine="480" w:firstLineChars="20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1.7.1 服务交付（实施）的时间（期限）：</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w:t>
      </w:r>
    </w:p>
    <w:p w14:paraId="3855D243">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1.7.2 服务交付（实施）的地点（地域范围）：</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w:t>
      </w:r>
    </w:p>
    <w:p w14:paraId="4F701839">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1.7.3 服务交付（实施）的方式：</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w:t>
      </w:r>
    </w:p>
    <w:p w14:paraId="1A5E3247">
      <w:pPr>
        <w:spacing w:line="560" w:lineRule="exact"/>
        <w:ind w:firstLine="480" w:firstLineChars="200"/>
        <w:outlineLvl w:val="0"/>
        <w:rPr>
          <w:rFonts w:hint="eastAsia" w:ascii="仿宋_GB2312" w:hAnsi="仿宋_GB2312" w:eastAsia="仿宋_GB2312" w:cs="仿宋_GB2312"/>
          <w:bCs/>
          <w:color w:val="auto"/>
          <w:highlight w:val="none"/>
        </w:rPr>
      </w:pPr>
      <w:bookmarkStart w:id="421" w:name="_Toc2375"/>
      <w:bookmarkStart w:id="422" w:name="_Toc3079"/>
      <w:bookmarkStart w:id="423" w:name="_Toc5698"/>
      <w:bookmarkStart w:id="424" w:name="_Toc8586"/>
      <w:bookmarkStart w:id="425" w:name="_Toc24662"/>
      <w:r>
        <w:rPr>
          <w:rFonts w:hint="eastAsia" w:ascii="仿宋_GB2312" w:hAnsi="仿宋_GB2312" w:eastAsia="仿宋_GB2312" w:cs="仿宋_GB2312"/>
          <w:bCs/>
          <w:color w:val="auto"/>
          <w:highlight w:val="none"/>
        </w:rPr>
        <w:t>1.7.4若服务涉及货物的，则货物的：</w:t>
      </w:r>
    </w:p>
    <w:p w14:paraId="2ABB9307">
      <w:pPr>
        <w:spacing w:line="560" w:lineRule="exact"/>
        <w:ind w:firstLine="480" w:firstLineChars="20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1.7.4.1 交付期限：详见</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w:t>
      </w:r>
    </w:p>
    <w:p w14:paraId="79044716">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1.7.4.2 交付地点：</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w:t>
      </w:r>
    </w:p>
    <w:p w14:paraId="34280523">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1.7.4.3 交付方式：</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w:t>
      </w:r>
    </w:p>
    <w:p w14:paraId="7E59EA26">
      <w:pPr>
        <w:spacing w:line="560" w:lineRule="exact"/>
        <w:ind w:firstLine="482" w:firstLineChars="200"/>
        <w:outlineLvl w:val="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b/>
          <w:color w:val="auto"/>
          <w:highlight w:val="none"/>
        </w:rPr>
        <w:t>1.8违约责任</w:t>
      </w:r>
      <w:bookmarkEnd w:id="421"/>
      <w:bookmarkEnd w:id="422"/>
      <w:bookmarkEnd w:id="423"/>
      <w:bookmarkEnd w:id="424"/>
      <w:bookmarkEnd w:id="425"/>
    </w:p>
    <w:p w14:paraId="5A78BD39">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_GB2312" w:hAnsi="仿宋_GB2312" w:eastAsia="仿宋_GB2312" w:cs="仿宋_GB2312"/>
          <w:color w:val="auto"/>
          <w:highlight w:val="none"/>
          <w:u w:val="single"/>
        </w:rPr>
        <w:t xml:space="preserve">0.05 </w:t>
      </w:r>
      <w:r>
        <w:rPr>
          <w:rFonts w:hint="eastAsia" w:ascii="仿宋_GB2312" w:hAnsi="仿宋_GB2312" w:eastAsia="仿宋_GB2312" w:cs="仿宋_GB2312"/>
          <w:color w:val="auto"/>
          <w:highlight w:val="none"/>
        </w:rPr>
        <w:t>%计算，最高限额为本合同总价的</w:t>
      </w:r>
      <w:r>
        <w:rPr>
          <w:rFonts w:hint="eastAsia" w:ascii="仿宋_GB2312" w:hAnsi="仿宋_GB2312" w:eastAsia="仿宋_GB2312" w:cs="仿宋_GB2312"/>
          <w:color w:val="auto"/>
          <w:highlight w:val="none"/>
          <w:u w:val="single"/>
        </w:rPr>
        <w:t xml:space="preserve">  20   </w:t>
      </w:r>
      <w:r>
        <w:rPr>
          <w:rFonts w:hint="eastAsia" w:ascii="仿宋_GB2312" w:hAnsi="仿宋_GB2312" w:eastAsia="仿宋_GB2312" w:cs="仿宋_GB2312"/>
          <w:color w:val="auto"/>
          <w:highlight w:val="none"/>
        </w:rPr>
        <w:t>%；迟延履行的违约金计算数额达到前述最高限额之日起，甲方有权在要求乙方支付违约金的同时，书面通知乙方解除本合同；</w:t>
      </w:r>
    </w:p>
    <w:p w14:paraId="650012A4">
      <w:pPr>
        <w:pStyle w:val="5"/>
        <w:ind w:left="0" w:firstLine="480" w:firstLineChars="200"/>
        <w:rPr>
          <w:rFonts w:hint="eastAsia" w:hAnsi="仿宋_GB2312" w:cs="仿宋_GB2312"/>
          <w:b w:val="0"/>
          <w:bCs w:val="0"/>
          <w:color w:val="auto"/>
          <w:sz w:val="24"/>
          <w:szCs w:val="24"/>
          <w:highlight w:val="none"/>
          <w:lang w:val="en-US"/>
        </w:rPr>
      </w:pPr>
      <w:r>
        <w:rPr>
          <w:rFonts w:hint="eastAsia" w:hAnsi="仿宋_GB2312" w:cs="仿宋_GB2312"/>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hAnsi="仿宋_GB2312" w:cs="仿宋_GB2312"/>
          <w:b w:val="0"/>
          <w:bCs w:val="0"/>
          <w:color w:val="auto"/>
          <w:sz w:val="24"/>
          <w:szCs w:val="24"/>
          <w:highlight w:val="none"/>
          <w:u w:val="single"/>
          <w:lang w:val="en-US"/>
        </w:rPr>
        <w:t xml:space="preserve">  0.0</w:t>
      </w:r>
      <w:r>
        <w:rPr>
          <w:rFonts w:hint="eastAsia" w:hAnsi="仿宋_GB2312" w:cs="仿宋_GB2312"/>
          <w:b w:val="0"/>
          <w:bCs w:val="0"/>
          <w:color w:val="auto"/>
          <w:sz w:val="24"/>
          <w:szCs w:val="24"/>
          <w:highlight w:val="none"/>
          <w:lang w:val="en-US"/>
        </w:rPr>
        <w:t xml:space="preserve">5（可根据情况修改） </w:t>
      </w:r>
      <w:r>
        <w:rPr>
          <w:rFonts w:hint="eastAsia" w:hAnsi="仿宋_GB2312" w:cs="仿宋_GB2312"/>
          <w:b w:val="0"/>
          <w:bCs w:val="0"/>
          <w:color w:val="auto"/>
          <w:sz w:val="24"/>
          <w:szCs w:val="24"/>
          <w:highlight w:val="none"/>
          <w:u w:val="single"/>
          <w:lang w:val="en-US"/>
        </w:rPr>
        <w:t xml:space="preserve">  </w:t>
      </w:r>
      <w:r>
        <w:rPr>
          <w:rFonts w:hint="eastAsia" w:hAnsi="仿宋_GB2312" w:cs="仿宋_GB2312"/>
          <w:b w:val="0"/>
          <w:bCs w:val="0"/>
          <w:color w:val="auto"/>
          <w:sz w:val="24"/>
          <w:szCs w:val="24"/>
          <w:highlight w:val="none"/>
          <w:lang w:val="en-US"/>
        </w:rPr>
        <w:t>%计算，最高限额为本合同总价的</w:t>
      </w:r>
      <w:r>
        <w:rPr>
          <w:rFonts w:hint="eastAsia" w:hAnsi="仿宋_GB2312" w:cs="仿宋_GB2312"/>
          <w:b w:val="0"/>
          <w:bCs w:val="0"/>
          <w:color w:val="auto"/>
          <w:sz w:val="24"/>
          <w:szCs w:val="24"/>
          <w:highlight w:val="none"/>
          <w:u w:val="single"/>
          <w:lang w:val="en-US"/>
        </w:rPr>
        <w:t xml:space="preserve">  20  </w:t>
      </w:r>
      <w:r>
        <w:rPr>
          <w:rFonts w:hint="eastAsia" w:hAnsi="仿宋_GB2312" w:cs="仿宋_GB2312"/>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ED7FCBD">
      <w:pPr>
        <w:spacing w:line="560" w:lineRule="exact"/>
        <w:ind w:firstLine="48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1.8.3除不可抗力外，如果甲方没有按照本合同约定的付款方式付款，那么乙方可要求甲方支付违约金，违约金按每迟延付款一日的应付而未付款的</w:t>
      </w:r>
      <w:r>
        <w:rPr>
          <w:rFonts w:hint="eastAsia" w:ascii="仿宋_GB2312" w:hAnsi="仿宋_GB2312" w:eastAsia="仿宋_GB2312" w:cs="仿宋_GB2312"/>
          <w:color w:val="auto"/>
          <w:highlight w:val="none"/>
          <w:u w:val="single"/>
        </w:rPr>
        <w:t xml:space="preserve">   0.05   </w:t>
      </w:r>
      <w:r>
        <w:rPr>
          <w:rFonts w:hint="eastAsia" w:ascii="仿宋_GB2312" w:hAnsi="仿宋_GB2312" w:eastAsia="仿宋_GB2312" w:cs="仿宋_GB2312"/>
          <w:color w:val="auto"/>
          <w:highlight w:val="none"/>
        </w:rPr>
        <w:t>%计算，最高限额为本合同总价的</w:t>
      </w:r>
      <w:r>
        <w:rPr>
          <w:rFonts w:hint="eastAsia" w:ascii="仿宋_GB2312" w:hAnsi="仿宋_GB2312" w:eastAsia="仿宋_GB2312" w:cs="仿宋_GB2312"/>
          <w:color w:val="auto"/>
          <w:highlight w:val="none"/>
          <w:u w:val="single"/>
        </w:rPr>
        <w:t xml:space="preserve">   20</w:t>
      </w:r>
      <w:r>
        <w:rPr>
          <w:rFonts w:hint="eastAsia" w:ascii="仿宋_GB2312" w:hAnsi="仿宋_GB2312" w:eastAsia="仿宋_GB2312" w:cs="仿宋_GB2312"/>
          <w:color w:val="auto"/>
          <w:kern w:val="0"/>
          <w:highlight w:val="none"/>
          <w:u w:val="single"/>
        </w:rPr>
        <w:t>（可根据情况修改）</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%；迟延付款的违约金计算数额达到前述最高限额之日起，乙方有权在要求甲方支付违约金的同时，书面通知甲方解除本合</w:t>
      </w:r>
      <w:r>
        <w:rPr>
          <w:rFonts w:hint="eastAsia" w:ascii="仿宋_GB2312" w:hAnsi="仿宋_GB2312" w:eastAsia="仿宋_GB2312" w:cs="仿宋_GB2312"/>
          <w:color w:val="auto"/>
          <w:highlight w:val="none"/>
          <w:lang w:eastAsia="zh-CN"/>
        </w:rPr>
        <w:t>。</w:t>
      </w:r>
      <w:r>
        <w:rPr>
          <w:rFonts w:hint="eastAsia" w:ascii="仿宋" w:hAnsi="仿宋" w:cs="仿宋"/>
          <w:color w:val="auto"/>
          <w:highlight w:val="none"/>
        </w:rPr>
        <w:t>如遇财政关账等原因不能及时付款，则付款日期延后，甲方不承担责任</w:t>
      </w:r>
      <w:r>
        <w:rPr>
          <w:rFonts w:hint="eastAsia" w:ascii="仿宋" w:hAnsi="仿宋" w:cs="仿宋"/>
          <w:color w:val="auto"/>
          <w:highlight w:val="none"/>
          <w:lang w:eastAsia="zh-CN"/>
        </w:rPr>
        <w:t>。</w:t>
      </w:r>
    </w:p>
    <w:p w14:paraId="4F07AC5C">
      <w:pPr>
        <w:spacing w:line="560" w:lineRule="exact"/>
        <w:ind w:firstLine="480" w:firstLineChars="200"/>
        <w:rPr>
          <w:rFonts w:hint="eastAsia" w:ascii="仿宋_GB2312" w:hAnsi="仿宋_GB2312" w:eastAsia="仿宋_GB2312" w:cs="仿宋_GB2312"/>
          <w:color w:val="auto"/>
          <w:highlight w:val="none"/>
        </w:rPr>
      </w:pPr>
      <w:bookmarkStart w:id="426" w:name="_Toc32454"/>
      <w:bookmarkStart w:id="427" w:name="_Toc9497"/>
      <w:bookmarkStart w:id="428" w:name="_Toc18683"/>
      <w:bookmarkStart w:id="429" w:name="_Toc30329"/>
      <w:bookmarkStart w:id="430" w:name="_Toc26807"/>
      <w:r>
        <w:rPr>
          <w:rFonts w:hint="eastAsia" w:ascii="仿宋_GB2312" w:hAnsi="仿宋_GB2312" w:eastAsia="仿宋_GB2312" w:cs="仿宋_GB2312"/>
          <w:color w:val="auto"/>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46C2D1F">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0BE715">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4AD1553">
      <w:pPr>
        <w:spacing w:line="560" w:lineRule="exact"/>
        <w:ind w:right="-480" w:righ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1.8.7违约责任</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另有约定的，从其约定。</w:t>
      </w:r>
    </w:p>
    <w:bookmarkEnd w:id="426"/>
    <w:bookmarkEnd w:id="427"/>
    <w:bookmarkEnd w:id="428"/>
    <w:bookmarkEnd w:id="429"/>
    <w:bookmarkEnd w:id="430"/>
    <w:p w14:paraId="5F18055D">
      <w:pPr>
        <w:spacing w:line="560" w:lineRule="exact"/>
        <w:ind w:firstLine="482" w:firstLineChars="200"/>
        <w:outlineLvl w:val="0"/>
        <w:rPr>
          <w:rFonts w:hint="eastAsia" w:ascii="仿宋_GB2312" w:hAnsi="仿宋_GB2312" w:eastAsia="仿宋_GB2312" w:cs="仿宋_GB2312"/>
          <w:b/>
          <w:color w:val="auto"/>
          <w:highlight w:val="none"/>
        </w:rPr>
      </w:pPr>
      <w:bookmarkStart w:id="431" w:name="_Toc28375"/>
      <w:bookmarkStart w:id="432" w:name="_Toc16021"/>
      <w:bookmarkStart w:id="433" w:name="_Toc15583"/>
      <w:r>
        <w:rPr>
          <w:rFonts w:hint="eastAsia" w:ascii="仿宋_GB2312" w:hAnsi="仿宋_GB2312" w:eastAsia="仿宋_GB2312" w:cs="仿宋_GB2312"/>
          <w:b/>
          <w:color w:val="auto"/>
          <w:highlight w:val="none"/>
        </w:rPr>
        <w:t>1.9合同争议的解决</w:t>
      </w:r>
      <w:bookmarkEnd w:id="431"/>
      <w:bookmarkEnd w:id="432"/>
      <w:bookmarkEnd w:id="433"/>
    </w:p>
    <w:p w14:paraId="3792B66C">
      <w:pPr>
        <w:spacing w:line="560" w:lineRule="exact"/>
        <w:ind w:left="-70" w:leftChars="-29" w:right="-480" w:rightChars="-200" w:firstLine="240" w:firstLineChars="1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本合同履行过程中发生的任何争议，双方当事人均可通过和解或者调解解决；不愿和解、调解或者和解、调解不成的，可以选择以下第</w:t>
      </w:r>
      <w:r>
        <w:rPr>
          <w:rFonts w:hint="eastAsia" w:ascii="仿宋_GB2312" w:hAnsi="仿宋_GB2312" w:eastAsia="仿宋_GB2312" w:cs="仿宋_GB2312"/>
          <w:b/>
          <w:i/>
          <w:color w:val="auto"/>
          <w:highlight w:val="none"/>
          <w:u w:val="single"/>
        </w:rPr>
        <w:t xml:space="preserve">      </w:t>
      </w:r>
      <w:r>
        <w:rPr>
          <w:rFonts w:hint="eastAsia" w:ascii="仿宋_GB2312" w:hAnsi="仿宋_GB2312" w:eastAsia="仿宋_GB2312" w:cs="仿宋_GB2312"/>
          <w:color w:val="auto"/>
          <w:highlight w:val="none"/>
        </w:rPr>
        <w:t>条款规定的方式解决：</w:t>
      </w:r>
    </w:p>
    <w:p w14:paraId="126D2DD2">
      <w:pPr>
        <w:spacing w:line="560" w:lineRule="exact"/>
        <w:ind w:left="-480" w:leftChars="-200" w:right="-480" w:rightChars="-200"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1.9.1 将争议提交</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仲裁委员会依申请仲裁时其现行有效的仲裁规则裁决；</w:t>
      </w:r>
    </w:p>
    <w:p w14:paraId="018389F0">
      <w:pPr>
        <w:spacing w:line="560" w:lineRule="exact"/>
        <w:ind w:left="-480" w:leftChars="-200" w:right="-480" w:rightChars="-200"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1.9.2 向</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人民法院起诉。</w:t>
      </w:r>
    </w:p>
    <w:p w14:paraId="2E4F7BF4">
      <w:pPr>
        <w:spacing w:line="560" w:lineRule="exact"/>
        <w:ind w:firstLine="482" w:firstLineChars="200"/>
        <w:outlineLvl w:val="0"/>
        <w:rPr>
          <w:rFonts w:hint="eastAsia" w:ascii="仿宋_GB2312" w:hAnsi="仿宋_GB2312" w:eastAsia="仿宋_GB2312" w:cs="仿宋_GB2312"/>
          <w:b/>
          <w:color w:val="auto"/>
          <w:highlight w:val="none"/>
        </w:rPr>
      </w:pPr>
      <w:bookmarkStart w:id="434" w:name="_Toc7245"/>
      <w:bookmarkStart w:id="435" w:name="_Toc11173"/>
      <w:bookmarkStart w:id="436" w:name="_Toc15322"/>
      <w:r>
        <w:rPr>
          <w:rFonts w:hint="eastAsia" w:ascii="仿宋_GB2312" w:hAnsi="仿宋_GB2312" w:eastAsia="仿宋_GB2312" w:cs="仿宋_GB2312"/>
          <w:b/>
          <w:color w:val="auto"/>
          <w:highlight w:val="none"/>
        </w:rPr>
        <w:t>1.10 合同生效</w:t>
      </w:r>
      <w:bookmarkEnd w:id="434"/>
      <w:bookmarkEnd w:id="435"/>
      <w:bookmarkEnd w:id="436"/>
    </w:p>
    <w:p w14:paraId="3A530939">
      <w:pPr>
        <w:spacing w:line="560" w:lineRule="exact"/>
        <w:ind w:firstLine="480"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rPr>
        <w:t>本合同自双方当事人盖章签字时生效。</w:t>
      </w:r>
    </w:p>
    <w:p w14:paraId="1E959CEC">
      <w:pPr>
        <w:autoSpaceDE w:val="0"/>
        <w:autoSpaceDN w:val="0"/>
        <w:spacing w:line="560" w:lineRule="exact"/>
        <w:rPr>
          <w:rFonts w:hint="eastAsia" w:ascii="仿宋_GB2312" w:hAnsi="仿宋_GB2312" w:eastAsia="仿宋_GB2312" w:cs="仿宋_GB2312"/>
          <w:color w:val="auto"/>
          <w:highlight w:val="none"/>
          <w:lang w:val="zh-CN"/>
        </w:rPr>
      </w:pPr>
    </w:p>
    <w:p w14:paraId="6CB1D75C">
      <w:pPr>
        <w:autoSpaceDE w:val="0"/>
        <w:autoSpaceDN w:val="0"/>
        <w:spacing w:line="560" w:lineRule="exact"/>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b/>
          <w:color w:val="auto"/>
          <w:highlight w:val="none"/>
          <w:lang w:val="zh-CN"/>
        </w:rPr>
        <w:t>甲方</w:t>
      </w:r>
      <w:r>
        <w:rPr>
          <w:rFonts w:hint="eastAsia" w:ascii="仿宋_GB2312" w:hAnsi="仿宋_GB2312" w:eastAsia="仿宋_GB2312" w:cs="仿宋_GB2312"/>
          <w:color w:val="auto"/>
          <w:highlight w:val="none"/>
          <w:lang w:val="zh-CN"/>
        </w:rPr>
        <w:t xml:space="preserve">：                             </w:t>
      </w:r>
      <w:r>
        <w:rPr>
          <w:rFonts w:hint="eastAsia" w:ascii="仿宋_GB2312" w:hAnsi="仿宋_GB2312" w:eastAsia="仿宋_GB2312" w:cs="仿宋_GB2312"/>
          <w:b/>
          <w:color w:val="auto"/>
          <w:highlight w:val="none"/>
          <w:lang w:val="zh-CN"/>
        </w:rPr>
        <w:t xml:space="preserve">      乙方</w:t>
      </w:r>
      <w:r>
        <w:rPr>
          <w:rFonts w:hint="eastAsia" w:ascii="仿宋_GB2312" w:hAnsi="仿宋_GB2312" w:eastAsia="仿宋_GB2312" w:cs="仿宋_GB2312"/>
          <w:color w:val="auto"/>
          <w:highlight w:val="none"/>
          <w:lang w:val="zh-CN"/>
        </w:rPr>
        <w:t>：</w:t>
      </w:r>
    </w:p>
    <w:p w14:paraId="7D9FC527">
      <w:pPr>
        <w:autoSpaceDE w:val="0"/>
        <w:autoSpaceDN w:val="0"/>
        <w:spacing w:line="560" w:lineRule="exact"/>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统一社会信用代码：                        统一社会信用代码或身份证号码：</w:t>
      </w:r>
    </w:p>
    <w:p w14:paraId="755B5630">
      <w:pPr>
        <w:autoSpaceDE w:val="0"/>
        <w:autoSpaceDN w:val="0"/>
        <w:spacing w:line="560" w:lineRule="exact"/>
        <w:rPr>
          <w:rFonts w:hint="eastAsia" w:ascii="仿宋_GB2312" w:hAnsi="仿宋_GB2312" w:eastAsia="仿宋_GB2312" w:cs="仿宋_GB2312"/>
          <w:color w:val="auto"/>
          <w:highlight w:val="none"/>
          <w:lang w:val="zh-CN"/>
        </w:rPr>
      </w:pPr>
    </w:p>
    <w:p w14:paraId="4C06545E">
      <w:pPr>
        <w:autoSpaceDE w:val="0"/>
        <w:autoSpaceDN w:val="0"/>
        <w:spacing w:line="560" w:lineRule="exact"/>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住所：                                   住所：</w:t>
      </w:r>
    </w:p>
    <w:p w14:paraId="29DF6767">
      <w:pPr>
        <w:autoSpaceDE w:val="0"/>
        <w:autoSpaceDN w:val="0"/>
        <w:spacing w:line="560" w:lineRule="exact"/>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法定代表人或                             法定代表人或</w:t>
      </w:r>
    </w:p>
    <w:p w14:paraId="7A8E984E">
      <w:pPr>
        <w:autoSpaceDE w:val="0"/>
        <w:autoSpaceDN w:val="0"/>
        <w:spacing w:line="560" w:lineRule="exact"/>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 xml:space="preserve">授权代表（签字）：                       授权代表（签字）: </w:t>
      </w:r>
    </w:p>
    <w:p w14:paraId="4B75E9E3">
      <w:pPr>
        <w:autoSpaceDE w:val="0"/>
        <w:autoSpaceDN w:val="0"/>
        <w:spacing w:line="560" w:lineRule="exact"/>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联系人：                                 联系人：</w:t>
      </w:r>
    </w:p>
    <w:p w14:paraId="059A858E">
      <w:pPr>
        <w:autoSpaceDE w:val="0"/>
        <w:autoSpaceDN w:val="0"/>
        <w:spacing w:line="560" w:lineRule="exact"/>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约定送达地址：                           约定送达地址：</w:t>
      </w:r>
    </w:p>
    <w:p w14:paraId="14025522">
      <w:pPr>
        <w:autoSpaceDE w:val="0"/>
        <w:autoSpaceDN w:val="0"/>
        <w:spacing w:line="560" w:lineRule="exact"/>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邮政编码：                               邮政编码：</w:t>
      </w:r>
    </w:p>
    <w:p w14:paraId="3888A3D6">
      <w:pPr>
        <w:autoSpaceDE w:val="0"/>
        <w:autoSpaceDN w:val="0"/>
        <w:spacing w:line="560" w:lineRule="exact"/>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 xml:space="preserve">电话:                                    电话: </w:t>
      </w:r>
    </w:p>
    <w:p w14:paraId="6D022234">
      <w:pPr>
        <w:autoSpaceDE w:val="0"/>
        <w:autoSpaceDN w:val="0"/>
        <w:spacing w:line="560" w:lineRule="exact"/>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传真:                                    传真:</w:t>
      </w:r>
    </w:p>
    <w:p w14:paraId="05E72074">
      <w:pPr>
        <w:autoSpaceDE w:val="0"/>
        <w:autoSpaceDN w:val="0"/>
        <w:spacing w:line="56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zh-CN"/>
        </w:rPr>
        <w:t>电子邮箱：                               电子邮箱：</w:t>
      </w:r>
    </w:p>
    <w:p w14:paraId="0ED4A37D">
      <w:pPr>
        <w:autoSpaceDE w:val="0"/>
        <w:autoSpaceDN w:val="0"/>
        <w:spacing w:line="56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开户银行：                               开户银行： </w:t>
      </w:r>
    </w:p>
    <w:p w14:paraId="0E909F5F">
      <w:pPr>
        <w:autoSpaceDE w:val="0"/>
        <w:autoSpaceDN w:val="0"/>
        <w:spacing w:line="56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开户名称：                               开户名称： </w:t>
      </w:r>
    </w:p>
    <w:p w14:paraId="5D3EB263">
      <w:pPr>
        <w:autoSpaceDE w:val="0"/>
        <w:autoSpaceDN w:val="0"/>
        <w:spacing w:line="56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开户账号：</w:t>
      </w:r>
      <w:r>
        <w:rPr>
          <w:rFonts w:hint="eastAsia" w:ascii="仿宋_GB2312" w:hAnsi="仿宋_GB2312" w:eastAsia="仿宋_GB2312" w:cs="仿宋_GB2312"/>
          <w:color w:val="auto"/>
          <w:highlight w:val="none"/>
          <w:lang w:val="zh-CN"/>
        </w:rPr>
        <w:t xml:space="preserve">                               </w:t>
      </w:r>
      <w:r>
        <w:rPr>
          <w:rFonts w:hint="eastAsia" w:ascii="仿宋_GB2312" w:hAnsi="仿宋_GB2312" w:eastAsia="仿宋_GB2312" w:cs="仿宋_GB2312"/>
          <w:color w:val="auto"/>
          <w:highlight w:val="none"/>
        </w:rPr>
        <w:t>开户账号：</w:t>
      </w:r>
    </w:p>
    <w:p w14:paraId="494E669E">
      <w:pPr>
        <w:widowControl/>
        <w:spacing w:line="560" w:lineRule="exact"/>
        <w:jc w:val="left"/>
        <w:rPr>
          <w:rFonts w:hint="eastAsia" w:ascii="仿宋_GB2312" w:hAnsi="仿宋_GB2312" w:eastAsia="仿宋_GB2312" w:cs="仿宋_GB2312"/>
          <w:b/>
          <w:color w:val="auto"/>
          <w:highlight w:val="none"/>
        </w:rPr>
      </w:pPr>
    </w:p>
    <w:p w14:paraId="5FC38F64">
      <w:pPr>
        <w:widowControl/>
        <w:adjustRightInd/>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br w:type="page"/>
      </w:r>
    </w:p>
    <w:p w14:paraId="6C60E0EB">
      <w:pPr>
        <w:pStyle w:val="701"/>
        <w:spacing w:line="560" w:lineRule="exact"/>
        <w:ind w:left="480" w:firstLine="482"/>
        <w:jc w:val="center"/>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第二部分 合同一般条款</w:t>
      </w:r>
    </w:p>
    <w:p w14:paraId="5BA17F4C">
      <w:pPr>
        <w:spacing w:line="560" w:lineRule="exact"/>
        <w:ind w:firstLine="482" w:firstLineChars="200"/>
        <w:outlineLvl w:val="0"/>
        <w:rPr>
          <w:rFonts w:hint="eastAsia" w:ascii="仿宋_GB2312" w:hAnsi="仿宋_GB2312" w:eastAsia="仿宋_GB2312" w:cs="仿宋_GB2312"/>
          <w:b/>
          <w:color w:val="auto"/>
          <w:highlight w:val="none"/>
        </w:rPr>
      </w:pPr>
      <w:bookmarkStart w:id="437" w:name="_Toc19680"/>
      <w:bookmarkStart w:id="438" w:name="_Toc31297"/>
      <w:bookmarkStart w:id="439" w:name="_Toc14021"/>
      <w:bookmarkStart w:id="440" w:name="_Toc5228"/>
      <w:bookmarkStart w:id="441" w:name="_Toc25079"/>
      <w:r>
        <w:rPr>
          <w:rFonts w:hint="eastAsia" w:ascii="仿宋_GB2312" w:hAnsi="仿宋_GB2312" w:eastAsia="仿宋_GB2312" w:cs="仿宋_GB2312"/>
          <w:b/>
          <w:color w:val="auto"/>
          <w:highlight w:val="none"/>
        </w:rPr>
        <w:t>2.1 定义</w:t>
      </w:r>
      <w:bookmarkEnd w:id="437"/>
      <w:bookmarkEnd w:id="438"/>
      <w:bookmarkEnd w:id="439"/>
      <w:bookmarkEnd w:id="440"/>
      <w:bookmarkEnd w:id="441"/>
    </w:p>
    <w:p w14:paraId="5D9D5E0D">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本合同中的下列词语应按以下内容进行解释：</w:t>
      </w:r>
    </w:p>
    <w:p w14:paraId="792DF196">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2.1.1 “合同”系指采购人和中标或成交供应商签订的载明双方当事人所达成的协议，并包括所有的附件、附录和构成合同的其他文件。</w:t>
      </w:r>
    </w:p>
    <w:p w14:paraId="7299F1AA">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2.1.2 “合同价”系指根据合同约定，中标或成交供应商在完全履行合同义务后，采购人应支付给中标或成交供应商的价格。</w:t>
      </w:r>
    </w:p>
    <w:p w14:paraId="16D8EF6F">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2.1.3 “服务”系指中标或成交供应商根据合同约定应向采购人履行的除货物和工程以外的其他政府采购对象，包括采购人自身需要的服务和向社会公众提供的公共服务。</w:t>
      </w:r>
    </w:p>
    <w:p w14:paraId="1B6645BA">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2.1.4 “甲方”系指与中标或成交供应商签署合同的采购人；采购人委托采购代理机构代表其与乙方签订合同的，采购人的授权委托书作为合同附件。</w:t>
      </w:r>
    </w:p>
    <w:p w14:paraId="3D8DA03A">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D4898A0">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2.1.6 “现场”系指合同约定提供服务的地点。</w:t>
      </w:r>
    </w:p>
    <w:p w14:paraId="65141DDF">
      <w:pPr>
        <w:spacing w:line="560" w:lineRule="exact"/>
        <w:ind w:firstLine="482" w:firstLineChars="200"/>
        <w:outlineLvl w:val="0"/>
        <w:rPr>
          <w:rFonts w:hint="eastAsia" w:ascii="仿宋_GB2312" w:hAnsi="仿宋_GB2312" w:eastAsia="仿宋_GB2312" w:cs="仿宋_GB2312"/>
          <w:b/>
          <w:color w:val="auto"/>
          <w:highlight w:val="none"/>
        </w:rPr>
      </w:pPr>
      <w:bookmarkStart w:id="442" w:name="_Toc3769"/>
      <w:bookmarkStart w:id="443" w:name="_Toc16752"/>
      <w:bookmarkStart w:id="444" w:name="_Toc31402"/>
      <w:bookmarkStart w:id="445" w:name="_Toc23289"/>
      <w:bookmarkStart w:id="446" w:name="_Toc19539"/>
      <w:r>
        <w:rPr>
          <w:rFonts w:hint="eastAsia" w:ascii="仿宋_GB2312" w:hAnsi="仿宋_GB2312" w:eastAsia="仿宋_GB2312" w:cs="仿宋_GB2312"/>
          <w:b/>
          <w:color w:val="auto"/>
          <w:highlight w:val="none"/>
        </w:rPr>
        <w:t>2.2 技术规范</w:t>
      </w:r>
      <w:bookmarkEnd w:id="442"/>
      <w:bookmarkEnd w:id="443"/>
      <w:bookmarkEnd w:id="444"/>
      <w:bookmarkEnd w:id="445"/>
      <w:bookmarkEnd w:id="446"/>
    </w:p>
    <w:p w14:paraId="4FCAD5A5">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372E86B">
      <w:pPr>
        <w:spacing w:line="560" w:lineRule="exact"/>
        <w:ind w:firstLine="482" w:firstLineChars="200"/>
        <w:outlineLvl w:val="0"/>
        <w:rPr>
          <w:rFonts w:hint="eastAsia" w:ascii="仿宋_GB2312" w:hAnsi="仿宋_GB2312" w:eastAsia="仿宋_GB2312" w:cs="仿宋_GB2312"/>
          <w:b/>
          <w:color w:val="auto"/>
          <w:highlight w:val="none"/>
        </w:rPr>
      </w:pPr>
      <w:bookmarkStart w:id="447" w:name="_Toc9161"/>
      <w:bookmarkStart w:id="448" w:name="_Toc12412"/>
      <w:bookmarkStart w:id="449" w:name="_Toc27945"/>
      <w:bookmarkStart w:id="450" w:name="_Toc13673"/>
      <w:bookmarkStart w:id="451" w:name="_Toc4133"/>
      <w:r>
        <w:rPr>
          <w:rFonts w:hint="eastAsia" w:ascii="仿宋_GB2312" w:hAnsi="仿宋_GB2312" w:eastAsia="仿宋_GB2312" w:cs="仿宋_GB2312"/>
          <w:b/>
          <w:color w:val="auto"/>
          <w:highlight w:val="none"/>
        </w:rPr>
        <w:t>2.3 知识产权</w:t>
      </w:r>
      <w:bookmarkEnd w:id="447"/>
      <w:bookmarkEnd w:id="448"/>
      <w:bookmarkEnd w:id="449"/>
      <w:bookmarkEnd w:id="450"/>
      <w:bookmarkEnd w:id="451"/>
    </w:p>
    <w:p w14:paraId="5A4B23AA">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r>
        <w:rPr>
          <w:rFonts w:hint="eastAsia" w:ascii="仿宋_GB2312" w:hAnsi="仿宋_GB2312" w:eastAsia="仿宋_GB2312" w:cs="仿宋_GB2312"/>
          <w:color w:val="auto"/>
          <w:highlight w:val="none"/>
          <w:lang w:eastAsia="zh-CN"/>
        </w:rPr>
        <w:t>（</w:t>
      </w:r>
      <w:r>
        <w:rPr>
          <w:color w:val="auto"/>
          <w:highlight w:val="none"/>
        </w:rPr>
        <w:t>如因乙方侵权导致甲方被索赔，乙方除赔偿外还需承担甲方因此产生的诉讼费、律师费等</w:t>
      </w:r>
      <w:r>
        <w:rPr>
          <w:rFonts w:hint="eastAsia"/>
          <w:color w:val="auto"/>
          <w:highlight w:val="none"/>
          <w:lang w:eastAsia="zh-CN"/>
        </w:rPr>
        <w:t>）</w:t>
      </w:r>
      <w:r>
        <w:rPr>
          <w:rFonts w:hint="eastAsia" w:ascii="仿宋_GB2312" w:hAnsi="仿宋_GB2312" w:eastAsia="仿宋_GB2312" w:cs="仿宋_GB2312"/>
          <w:color w:val="auto"/>
          <w:highlight w:val="none"/>
        </w:rPr>
        <w:t>，乙方还应及时澄清相关信息，使甲方声誉免受损害，甲方保留追责的权利。</w:t>
      </w:r>
    </w:p>
    <w:p w14:paraId="0FA425F3">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2.3.2 合同涉及技术成果的归属和收益的分成办法的，详见</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w:t>
      </w:r>
    </w:p>
    <w:p w14:paraId="2750920D">
      <w:pPr>
        <w:spacing w:line="560" w:lineRule="exact"/>
        <w:ind w:firstLine="482"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2.4 履约检查和问题反馈</w:t>
      </w:r>
    </w:p>
    <w:p w14:paraId="58FFCE18">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8925299">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2.4.2 合同履行期间，甲方有权将履行过程中出现的问题反馈给乙方，双方当事人应以书面形式约定需要完善和改进的内容。</w:t>
      </w:r>
    </w:p>
    <w:p w14:paraId="5077964A">
      <w:pPr>
        <w:spacing w:line="560" w:lineRule="exact"/>
        <w:ind w:firstLine="482" w:firstLineChars="200"/>
        <w:outlineLvl w:val="0"/>
        <w:rPr>
          <w:rFonts w:hint="eastAsia" w:ascii="仿宋_GB2312" w:hAnsi="仿宋_GB2312" w:eastAsia="仿宋_GB2312" w:cs="仿宋_GB2312"/>
          <w:b/>
          <w:color w:val="auto"/>
          <w:highlight w:val="none"/>
        </w:rPr>
      </w:pPr>
      <w:bookmarkStart w:id="452" w:name="_Toc15447"/>
      <w:bookmarkStart w:id="453" w:name="_Toc22011"/>
      <w:bookmarkStart w:id="454" w:name="_Toc26555"/>
      <w:bookmarkStart w:id="455" w:name="_Toc32670"/>
      <w:bookmarkStart w:id="456" w:name="_Toc31233"/>
      <w:r>
        <w:rPr>
          <w:rFonts w:hint="eastAsia" w:ascii="仿宋_GB2312" w:hAnsi="仿宋_GB2312" w:eastAsia="仿宋_GB2312" w:cs="仿宋_GB2312"/>
          <w:b/>
          <w:color w:val="auto"/>
          <w:highlight w:val="none"/>
        </w:rPr>
        <w:t>2.5 结算方式和付款条件</w:t>
      </w:r>
      <w:bookmarkEnd w:id="452"/>
      <w:bookmarkEnd w:id="453"/>
      <w:bookmarkEnd w:id="454"/>
      <w:bookmarkEnd w:id="455"/>
      <w:bookmarkEnd w:id="456"/>
    </w:p>
    <w:p w14:paraId="16CD8581">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详见</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w:t>
      </w:r>
    </w:p>
    <w:p w14:paraId="65875990">
      <w:pPr>
        <w:spacing w:line="560" w:lineRule="exact"/>
        <w:ind w:firstLine="482" w:firstLineChars="200"/>
        <w:outlineLvl w:val="0"/>
        <w:rPr>
          <w:rFonts w:hint="eastAsia" w:ascii="仿宋_GB2312" w:hAnsi="仿宋_GB2312" w:eastAsia="仿宋_GB2312" w:cs="仿宋_GB2312"/>
          <w:b/>
          <w:color w:val="auto"/>
          <w:highlight w:val="none"/>
        </w:rPr>
      </w:pPr>
      <w:bookmarkStart w:id="457" w:name="_Toc30507"/>
      <w:bookmarkStart w:id="458" w:name="_Toc18990"/>
      <w:bookmarkStart w:id="459" w:name="_Toc13467"/>
      <w:bookmarkStart w:id="460" w:name="_Toc16163"/>
      <w:bookmarkStart w:id="461" w:name="_Toc13154"/>
      <w:r>
        <w:rPr>
          <w:rFonts w:hint="eastAsia" w:ascii="仿宋_GB2312" w:hAnsi="仿宋_GB2312" w:eastAsia="仿宋_GB2312" w:cs="仿宋_GB2312"/>
          <w:b/>
          <w:color w:val="auto"/>
          <w:highlight w:val="none"/>
        </w:rPr>
        <w:t>2.6 技术资料和保密义务</w:t>
      </w:r>
      <w:bookmarkEnd w:id="457"/>
      <w:bookmarkEnd w:id="458"/>
      <w:bookmarkEnd w:id="459"/>
      <w:bookmarkEnd w:id="460"/>
      <w:bookmarkEnd w:id="461"/>
    </w:p>
    <w:p w14:paraId="1483CFE4">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2.6.1 乙方有权依据合同约定和项目需要，向甲方了解有关情况，调阅有关资料等，甲方应予积极配合；</w:t>
      </w:r>
    </w:p>
    <w:p w14:paraId="1FCB2ADB">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2.6.2 乙方有义务妥善保管和保护由甲方提供的前款信息和资料等；</w:t>
      </w:r>
    </w:p>
    <w:p w14:paraId="7692B8D2">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37E2E8">
      <w:pPr>
        <w:spacing w:line="560" w:lineRule="exact"/>
        <w:ind w:firstLine="480" w:firstLineChars="20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2.6.4乙方泄露有关信息和资料的，甲方有权立即解除合同，乙方应支付合同总额20%的违约金，并赔偿甲方因此遭受的全部损失（包括但不限于行政罚款、数据恢复费用、第三方索赔、律师费等）。若违约金不足以覆盖甲方损失的，乙方应补足差额。</w:t>
      </w:r>
    </w:p>
    <w:p w14:paraId="0B08C5D6">
      <w:pPr>
        <w:spacing w:line="560" w:lineRule="exact"/>
        <w:ind w:firstLine="482" w:firstLineChars="200"/>
        <w:outlineLvl w:val="0"/>
        <w:rPr>
          <w:rFonts w:hint="eastAsia" w:ascii="仿宋_GB2312" w:hAnsi="仿宋_GB2312" w:eastAsia="仿宋_GB2312" w:cs="仿宋_GB2312"/>
          <w:b/>
          <w:color w:val="auto"/>
          <w:highlight w:val="none"/>
        </w:rPr>
      </w:pPr>
      <w:bookmarkStart w:id="462" w:name="_Toc19069"/>
      <w:r>
        <w:rPr>
          <w:rFonts w:hint="eastAsia" w:ascii="仿宋_GB2312" w:hAnsi="仿宋_GB2312" w:eastAsia="仿宋_GB2312" w:cs="仿宋_GB2312"/>
          <w:b/>
          <w:color w:val="auto"/>
          <w:highlight w:val="none"/>
        </w:rPr>
        <w:t>2.7 质量保证</w:t>
      </w:r>
      <w:bookmarkEnd w:id="462"/>
    </w:p>
    <w:p w14:paraId="6A9A5744">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2.7.1 乙方应建立和完善履行合同的内部质量保证体系，并提供相关内部规章制度给甲方，以便甲方进行监督检查；</w:t>
      </w:r>
    </w:p>
    <w:p w14:paraId="3E12B235">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2.7.2 乙方应保证履行合同的人员数量和素质、软件和硬件设备的配置、场地、环境和设施等满足全面履行合同的要求，并应接受甲方的监督检查。</w:t>
      </w:r>
    </w:p>
    <w:p w14:paraId="6E4B614F">
      <w:pPr>
        <w:spacing w:line="560" w:lineRule="exact"/>
        <w:ind w:firstLine="482" w:firstLineChars="200"/>
        <w:outlineLvl w:val="0"/>
        <w:rPr>
          <w:rFonts w:hint="eastAsia" w:ascii="仿宋_GB2312" w:hAnsi="仿宋_GB2312" w:eastAsia="仿宋_GB2312" w:cs="仿宋_GB2312"/>
          <w:b/>
          <w:color w:val="auto"/>
          <w:highlight w:val="none"/>
        </w:rPr>
      </w:pPr>
      <w:bookmarkStart w:id="463" w:name="_Toc22267"/>
      <w:r>
        <w:rPr>
          <w:rFonts w:hint="eastAsia" w:ascii="仿宋_GB2312" w:hAnsi="仿宋_GB2312" w:eastAsia="仿宋_GB2312" w:cs="仿宋_GB2312"/>
          <w:b/>
          <w:color w:val="auto"/>
          <w:highlight w:val="none"/>
        </w:rPr>
        <w:t>2.8 延迟履行</w:t>
      </w:r>
      <w:bookmarkEnd w:id="463"/>
    </w:p>
    <w:p w14:paraId="5CE10D88">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0D101BC">
      <w:pPr>
        <w:spacing w:line="560" w:lineRule="exact"/>
        <w:ind w:firstLine="482" w:firstLineChars="200"/>
        <w:outlineLvl w:val="0"/>
        <w:rPr>
          <w:rFonts w:hint="eastAsia" w:ascii="仿宋_GB2312" w:hAnsi="仿宋_GB2312" w:eastAsia="仿宋_GB2312" w:cs="仿宋_GB2312"/>
          <w:b/>
          <w:color w:val="auto"/>
          <w:highlight w:val="none"/>
        </w:rPr>
      </w:pPr>
      <w:bookmarkStart w:id="464" w:name="_Toc10611"/>
      <w:r>
        <w:rPr>
          <w:rFonts w:hint="eastAsia" w:ascii="仿宋_GB2312" w:hAnsi="仿宋_GB2312" w:eastAsia="仿宋_GB2312" w:cs="仿宋_GB2312"/>
          <w:b/>
          <w:color w:val="auto"/>
          <w:highlight w:val="none"/>
        </w:rPr>
        <w:t>2.9 合同变更</w:t>
      </w:r>
      <w:bookmarkEnd w:id="464"/>
    </w:p>
    <w:p w14:paraId="2D3C4F48">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合同继续履行将损害国家利益和社会公共利益的，双方当事人应当以书面形式变更合同。有过错的一方应当承担赔偿责任，双方当事人都有过错的，各自承担相应的责任。</w:t>
      </w:r>
    </w:p>
    <w:p w14:paraId="7DBA49A8">
      <w:pPr>
        <w:spacing w:line="560" w:lineRule="exact"/>
        <w:ind w:firstLine="482" w:firstLineChars="200"/>
        <w:outlineLvl w:val="0"/>
        <w:rPr>
          <w:rFonts w:hint="eastAsia" w:ascii="仿宋_GB2312" w:hAnsi="仿宋_GB2312" w:eastAsia="仿宋_GB2312" w:cs="仿宋_GB2312"/>
          <w:b/>
          <w:color w:val="auto"/>
          <w:highlight w:val="none"/>
        </w:rPr>
      </w:pPr>
      <w:bookmarkStart w:id="465" w:name="_Toc26689"/>
      <w:bookmarkStart w:id="466" w:name="_Toc21830"/>
      <w:bookmarkStart w:id="467" w:name="_Toc23368"/>
      <w:bookmarkStart w:id="468" w:name="_Toc42"/>
      <w:bookmarkStart w:id="469" w:name="_Toc10663"/>
      <w:r>
        <w:rPr>
          <w:rFonts w:hint="eastAsia" w:ascii="仿宋_GB2312" w:hAnsi="仿宋_GB2312" w:eastAsia="仿宋_GB2312" w:cs="仿宋_GB2312"/>
          <w:b/>
          <w:color w:val="auto"/>
          <w:highlight w:val="none"/>
        </w:rPr>
        <w:t>2.10 合同转让和分包</w:t>
      </w:r>
      <w:bookmarkEnd w:id="465"/>
      <w:bookmarkEnd w:id="466"/>
      <w:bookmarkEnd w:id="467"/>
      <w:bookmarkEnd w:id="468"/>
      <w:bookmarkEnd w:id="469"/>
    </w:p>
    <w:p w14:paraId="6EA89D53">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5A87D8D">
      <w:pPr>
        <w:spacing w:line="560" w:lineRule="exact"/>
        <w:ind w:firstLine="482" w:firstLineChars="200"/>
        <w:outlineLvl w:val="0"/>
        <w:rPr>
          <w:rFonts w:hint="eastAsia" w:ascii="仿宋_GB2312" w:hAnsi="仿宋_GB2312" w:eastAsia="仿宋_GB2312" w:cs="仿宋_GB2312"/>
          <w:b/>
          <w:color w:val="auto"/>
          <w:highlight w:val="none"/>
        </w:rPr>
      </w:pPr>
      <w:bookmarkStart w:id="470" w:name="_Toc32494"/>
      <w:bookmarkStart w:id="471" w:name="_Toc26633"/>
      <w:bookmarkStart w:id="472" w:name="_Toc14371"/>
      <w:bookmarkStart w:id="473" w:name="_Toc25571"/>
      <w:bookmarkStart w:id="474" w:name="_Toc4720"/>
      <w:r>
        <w:rPr>
          <w:rFonts w:hint="eastAsia" w:ascii="仿宋_GB2312" w:hAnsi="仿宋_GB2312" w:eastAsia="仿宋_GB2312" w:cs="仿宋_GB2312"/>
          <w:b/>
          <w:color w:val="auto"/>
          <w:highlight w:val="none"/>
        </w:rPr>
        <w:t>2.11 不可抗力</w:t>
      </w:r>
      <w:bookmarkEnd w:id="470"/>
      <w:bookmarkEnd w:id="471"/>
      <w:bookmarkEnd w:id="472"/>
      <w:bookmarkEnd w:id="473"/>
      <w:bookmarkEnd w:id="474"/>
    </w:p>
    <w:p w14:paraId="3BE56290">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2.11.1如果任何一方遭遇法律规定的不可抗力，致使合同履行受阻时，履行合同的期限应予延长，延长的期限应相当于不可抗力所影响的时间；</w:t>
      </w:r>
    </w:p>
    <w:p w14:paraId="6A030E12">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2.11.2 因不可抗力致使不能实现合同目的的，当事人可以解除合同；</w:t>
      </w:r>
    </w:p>
    <w:p w14:paraId="123FA7A0">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2.11.3 因不可抗力致使合同有变更必要的，双方当事人应在</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约定时间内以书面形式变更合同；</w:t>
      </w:r>
    </w:p>
    <w:p w14:paraId="2F0E6BDC">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2.11.4受不可抗力影响的一方在不可抗力发生后，应在</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约定时间内以书面形式通知对方当事人，并在</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约定时间内，将有关部门出具的证明文件送达对方当事人。</w:t>
      </w:r>
    </w:p>
    <w:p w14:paraId="574C9C61">
      <w:pPr>
        <w:spacing w:line="560" w:lineRule="exact"/>
        <w:ind w:firstLine="482" w:firstLineChars="200"/>
        <w:outlineLvl w:val="0"/>
        <w:rPr>
          <w:rFonts w:hint="eastAsia" w:ascii="仿宋_GB2312" w:hAnsi="仿宋_GB2312" w:eastAsia="仿宋_GB2312" w:cs="仿宋_GB2312"/>
          <w:b/>
          <w:color w:val="auto"/>
          <w:highlight w:val="none"/>
        </w:rPr>
      </w:pPr>
      <w:bookmarkStart w:id="475" w:name="_Toc24465"/>
      <w:bookmarkStart w:id="476" w:name="_Toc25783"/>
      <w:bookmarkStart w:id="477" w:name="_Toc14115"/>
      <w:bookmarkStart w:id="478" w:name="_Toc23854"/>
      <w:bookmarkStart w:id="479" w:name="_Toc3638"/>
      <w:r>
        <w:rPr>
          <w:rFonts w:hint="eastAsia" w:ascii="仿宋_GB2312" w:hAnsi="仿宋_GB2312" w:eastAsia="仿宋_GB2312" w:cs="仿宋_GB2312"/>
          <w:b/>
          <w:color w:val="auto"/>
          <w:highlight w:val="none"/>
        </w:rPr>
        <w:t>2.12 税费</w:t>
      </w:r>
      <w:bookmarkEnd w:id="475"/>
      <w:bookmarkEnd w:id="476"/>
      <w:bookmarkEnd w:id="477"/>
      <w:bookmarkEnd w:id="478"/>
      <w:bookmarkEnd w:id="479"/>
    </w:p>
    <w:p w14:paraId="31181DB1">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与合同有关的一切税费，均按照中华人民共和国法律的相关规定缴纳。</w:t>
      </w:r>
    </w:p>
    <w:p w14:paraId="0537CAB9">
      <w:pPr>
        <w:spacing w:line="560" w:lineRule="exact"/>
        <w:ind w:firstLine="482" w:firstLineChars="200"/>
        <w:outlineLvl w:val="0"/>
        <w:rPr>
          <w:rFonts w:hint="eastAsia" w:ascii="仿宋_GB2312" w:hAnsi="仿宋_GB2312" w:eastAsia="仿宋_GB2312" w:cs="仿宋_GB2312"/>
          <w:b/>
          <w:color w:val="auto"/>
          <w:highlight w:val="none"/>
        </w:rPr>
      </w:pPr>
      <w:bookmarkStart w:id="480" w:name="_Toc14814"/>
      <w:bookmarkStart w:id="481" w:name="_Toc7315"/>
      <w:bookmarkStart w:id="482" w:name="_Toc26883"/>
      <w:bookmarkStart w:id="483" w:name="_Toc30105"/>
      <w:bookmarkStart w:id="484" w:name="_Toc25525"/>
      <w:r>
        <w:rPr>
          <w:rFonts w:hint="eastAsia" w:ascii="仿宋_GB2312" w:hAnsi="仿宋_GB2312" w:eastAsia="仿宋_GB2312" w:cs="仿宋_GB2312"/>
          <w:b/>
          <w:color w:val="auto"/>
          <w:highlight w:val="none"/>
        </w:rPr>
        <w:t>2.13 乙方破产</w:t>
      </w:r>
      <w:bookmarkEnd w:id="480"/>
      <w:bookmarkEnd w:id="481"/>
      <w:bookmarkEnd w:id="482"/>
      <w:bookmarkEnd w:id="483"/>
      <w:bookmarkEnd w:id="484"/>
    </w:p>
    <w:p w14:paraId="4868D042">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80A3E87">
      <w:pPr>
        <w:spacing w:line="560" w:lineRule="exact"/>
        <w:ind w:firstLine="482" w:firstLineChars="200"/>
        <w:outlineLvl w:val="0"/>
        <w:rPr>
          <w:rFonts w:hint="eastAsia" w:ascii="仿宋_GB2312" w:hAnsi="仿宋_GB2312" w:eastAsia="仿宋_GB2312" w:cs="仿宋_GB2312"/>
          <w:b/>
          <w:color w:val="auto"/>
          <w:highlight w:val="none"/>
        </w:rPr>
      </w:pPr>
      <w:bookmarkStart w:id="485" w:name="_Toc1123"/>
      <w:bookmarkStart w:id="486" w:name="_Toc23323"/>
      <w:bookmarkStart w:id="487" w:name="_Toc2016"/>
      <w:r>
        <w:rPr>
          <w:rFonts w:hint="eastAsia" w:ascii="仿宋_GB2312" w:hAnsi="仿宋_GB2312" w:eastAsia="仿宋_GB2312" w:cs="仿宋_GB2312"/>
          <w:b/>
          <w:color w:val="auto"/>
          <w:highlight w:val="none"/>
        </w:rPr>
        <w:t>2.14 合同中止、终止</w:t>
      </w:r>
      <w:bookmarkEnd w:id="485"/>
      <w:bookmarkEnd w:id="486"/>
      <w:bookmarkEnd w:id="487"/>
    </w:p>
    <w:p w14:paraId="3C0DB6FB">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2.14.1 双方当事人不得擅自中止或者终止合同；</w:t>
      </w:r>
    </w:p>
    <w:p w14:paraId="7531916C">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2.14.2合同继续履行将损害国家利益和社会公共利益的，双方当事人应当中止或者终止合同。有过错的一方应当承担赔偿责任，双方当事人都有过错的，各自承担相应的责任。</w:t>
      </w:r>
    </w:p>
    <w:p w14:paraId="09A4DF10">
      <w:pPr>
        <w:spacing w:line="560" w:lineRule="exact"/>
        <w:ind w:firstLine="482" w:firstLineChars="200"/>
        <w:outlineLvl w:val="0"/>
        <w:rPr>
          <w:rFonts w:hint="eastAsia" w:ascii="仿宋_GB2312" w:hAnsi="仿宋_GB2312" w:eastAsia="仿宋_GB2312" w:cs="仿宋_GB2312"/>
          <w:b/>
          <w:color w:val="auto"/>
          <w:highlight w:val="none"/>
        </w:rPr>
      </w:pPr>
      <w:bookmarkStart w:id="488" w:name="_Toc14525"/>
      <w:bookmarkStart w:id="489" w:name="_Toc17363"/>
      <w:bookmarkStart w:id="490" w:name="_Toc1969"/>
      <w:r>
        <w:rPr>
          <w:rFonts w:hint="eastAsia" w:ascii="仿宋_GB2312" w:hAnsi="仿宋_GB2312" w:eastAsia="仿宋_GB2312" w:cs="仿宋_GB2312"/>
          <w:b/>
          <w:color w:val="auto"/>
          <w:highlight w:val="none"/>
        </w:rPr>
        <w:t>2.15 检验和验收</w:t>
      </w:r>
      <w:bookmarkEnd w:id="488"/>
      <w:bookmarkEnd w:id="489"/>
      <w:bookmarkEnd w:id="490"/>
    </w:p>
    <w:p w14:paraId="150E21FC">
      <w:pPr>
        <w:tabs>
          <w:tab w:val="left" w:pos="360"/>
          <w:tab w:val="left" w:pos="540"/>
          <w:tab w:val="left" w:pos="1080"/>
        </w:tabs>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2.15.1 乙方按照</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的约定，定期提交服务报告，甲方按照</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的约定进行定期验收；</w:t>
      </w:r>
    </w:p>
    <w:p w14:paraId="5A3A8ABA">
      <w:pPr>
        <w:tabs>
          <w:tab w:val="left" w:pos="360"/>
          <w:tab w:val="left" w:pos="540"/>
          <w:tab w:val="left" w:pos="1080"/>
        </w:tabs>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2E8D4AB">
      <w:pPr>
        <w:tabs>
          <w:tab w:val="left" w:pos="360"/>
          <w:tab w:val="left" w:pos="540"/>
          <w:tab w:val="left" w:pos="1080"/>
        </w:tabs>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2.15.3 检验和验收标准、程序等具体内容以及前述验收书的效力详见</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i/>
          <w:color w:val="auto"/>
          <w:highlight w:val="none"/>
        </w:rPr>
        <w:t>。</w:t>
      </w:r>
    </w:p>
    <w:p w14:paraId="09336876">
      <w:pPr>
        <w:spacing w:line="560" w:lineRule="exact"/>
        <w:ind w:firstLine="482" w:firstLineChars="200"/>
        <w:outlineLvl w:val="0"/>
        <w:rPr>
          <w:rFonts w:hint="eastAsia" w:ascii="仿宋_GB2312" w:hAnsi="仿宋_GB2312" w:eastAsia="仿宋_GB2312" w:cs="仿宋_GB2312"/>
          <w:b/>
          <w:color w:val="auto"/>
          <w:highlight w:val="none"/>
        </w:rPr>
      </w:pPr>
      <w:bookmarkStart w:id="491" w:name="_Toc2308"/>
      <w:bookmarkStart w:id="492" w:name="_Toc12666"/>
      <w:bookmarkStart w:id="493" w:name="_Toc31892"/>
      <w:bookmarkStart w:id="494" w:name="_Toc25198"/>
      <w:bookmarkStart w:id="495" w:name="_Toc9808"/>
      <w:r>
        <w:rPr>
          <w:rFonts w:hint="eastAsia" w:ascii="仿宋_GB2312" w:hAnsi="仿宋_GB2312" w:eastAsia="仿宋_GB2312" w:cs="仿宋_GB2312"/>
          <w:b/>
          <w:color w:val="auto"/>
          <w:highlight w:val="none"/>
        </w:rPr>
        <w:t>2.16 通知和送达</w:t>
      </w:r>
      <w:bookmarkEnd w:id="491"/>
      <w:bookmarkEnd w:id="492"/>
      <w:bookmarkEnd w:id="493"/>
      <w:bookmarkEnd w:id="494"/>
      <w:bookmarkEnd w:id="495"/>
    </w:p>
    <w:p w14:paraId="143B1D29">
      <w:pPr>
        <w:spacing w:line="560" w:lineRule="exact"/>
        <w:ind w:firstLine="480" w:firstLineChars="200"/>
        <w:rPr>
          <w:rFonts w:hint="eastAsia" w:ascii="仿宋_GB2312" w:hAnsi="仿宋_GB2312" w:eastAsia="仿宋_GB2312" w:cs="仿宋_GB2312"/>
          <w:color w:val="auto"/>
          <w:highlight w:val="none"/>
        </w:rPr>
      </w:pPr>
      <w:bookmarkStart w:id="496" w:name="_Toc18401"/>
      <w:bookmarkStart w:id="497" w:name="_Toc27674"/>
      <w:r>
        <w:rPr>
          <w:rFonts w:hint="eastAsia" w:ascii="仿宋_GB2312" w:hAnsi="仿宋_GB2312" w:eastAsia="仿宋_GB2312" w:cs="仿宋_GB2312"/>
          <w:color w:val="auto"/>
          <w:highlight w:val="none"/>
        </w:rPr>
        <w:t xml:space="preserve">2.17.1任何一方因履行合同而以合同第一部分尾部所列明的传真或电子邮件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发出的所有通知、文件、材料，均视为已向对方当事人送达；任何一方变更上述送达方式或者地址的，应于</w:t>
      </w:r>
      <w:r>
        <w:rPr>
          <w:rFonts w:hint="eastAsia" w:ascii="仿宋_GB2312" w:hAnsi="仿宋_GB2312" w:eastAsia="仿宋_GB2312" w:cs="仿宋_GB2312"/>
          <w:color w:val="auto"/>
          <w:highlight w:val="none"/>
          <w:u w:val="single"/>
        </w:rPr>
        <w:t>3</w:t>
      </w:r>
      <w:r>
        <w:rPr>
          <w:rFonts w:hint="eastAsia" w:ascii="仿宋_GB2312" w:hAnsi="仿宋_GB2312" w:eastAsia="仿宋_GB2312" w:cs="仿宋_GB2312"/>
          <w:color w:val="auto"/>
          <w:highlight w:val="none"/>
        </w:rPr>
        <w:t>个工作日内书面通知对方当事人，在对方当事人收到有关变更通知之前，变更前的约定送达方式或者地址仍视为有效。</w:t>
      </w:r>
    </w:p>
    <w:p w14:paraId="3ADA5A67">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6"/>
      <w:bookmarkEnd w:id="497"/>
    </w:p>
    <w:p w14:paraId="65CAF735">
      <w:pPr>
        <w:spacing w:line="560" w:lineRule="exact"/>
        <w:ind w:firstLine="482" w:firstLineChars="200"/>
        <w:outlineLvl w:val="0"/>
        <w:rPr>
          <w:rFonts w:hint="eastAsia" w:ascii="仿宋_GB2312" w:hAnsi="仿宋_GB2312" w:eastAsia="仿宋_GB2312" w:cs="仿宋_GB2312"/>
          <w:b/>
          <w:color w:val="auto"/>
          <w:highlight w:val="none"/>
        </w:rPr>
      </w:pPr>
      <w:bookmarkStart w:id="498" w:name="_Toc20808"/>
      <w:bookmarkStart w:id="499" w:name="_Toc28906"/>
      <w:bookmarkStart w:id="500" w:name="_Toc5063"/>
      <w:bookmarkStart w:id="501" w:name="_Toc12254"/>
      <w:bookmarkStart w:id="502" w:name="_Toc27644"/>
      <w:r>
        <w:rPr>
          <w:rFonts w:hint="eastAsia" w:ascii="仿宋_GB2312" w:hAnsi="仿宋_GB2312" w:eastAsia="仿宋_GB2312" w:cs="仿宋_GB2312"/>
          <w:b/>
          <w:color w:val="auto"/>
          <w:highlight w:val="none"/>
        </w:rPr>
        <w:t>2.17 合同使用的文字和适用的法律</w:t>
      </w:r>
      <w:bookmarkEnd w:id="498"/>
      <w:bookmarkEnd w:id="499"/>
      <w:bookmarkEnd w:id="500"/>
      <w:bookmarkEnd w:id="501"/>
      <w:bookmarkEnd w:id="502"/>
    </w:p>
    <w:p w14:paraId="367AABA2">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2.17.1 合同使用汉语书就、变更和解释；</w:t>
      </w:r>
    </w:p>
    <w:p w14:paraId="1B17379A">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2.17.2 合同适用中华人民共和国法律。</w:t>
      </w:r>
    </w:p>
    <w:p w14:paraId="64BCC8F0">
      <w:pPr>
        <w:spacing w:line="560" w:lineRule="exact"/>
        <w:ind w:firstLine="482" w:firstLineChars="200"/>
        <w:outlineLvl w:val="0"/>
        <w:rPr>
          <w:rFonts w:hint="eastAsia" w:ascii="仿宋_GB2312" w:hAnsi="仿宋_GB2312" w:eastAsia="仿宋_GB2312" w:cs="仿宋_GB2312"/>
          <w:b/>
          <w:color w:val="auto"/>
          <w:highlight w:val="none"/>
        </w:rPr>
      </w:pPr>
      <w:bookmarkStart w:id="503" w:name="_Toc30599"/>
      <w:bookmarkStart w:id="504" w:name="_Toc18540"/>
      <w:bookmarkStart w:id="505" w:name="_Toc4355"/>
      <w:r>
        <w:rPr>
          <w:rFonts w:hint="eastAsia" w:ascii="仿宋_GB2312" w:hAnsi="仿宋_GB2312" w:eastAsia="仿宋_GB2312" w:cs="仿宋_GB2312"/>
          <w:b/>
          <w:color w:val="auto"/>
          <w:highlight w:val="none"/>
        </w:rPr>
        <w:t>2.18 计量单位</w:t>
      </w:r>
      <w:bookmarkEnd w:id="503"/>
      <w:bookmarkEnd w:id="504"/>
      <w:bookmarkEnd w:id="505"/>
    </w:p>
    <w:p w14:paraId="39758FA8">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除技术规范中另有规定外,合同的计量单位均使用国家法定计量单位。</w:t>
      </w:r>
    </w:p>
    <w:p w14:paraId="6E14EC28">
      <w:pPr>
        <w:spacing w:line="560" w:lineRule="exact"/>
        <w:ind w:firstLine="482"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2.19合同份数</w:t>
      </w:r>
    </w:p>
    <w:p w14:paraId="33B4A95A">
      <w:pPr>
        <w:spacing w:line="560" w:lineRule="exact"/>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合同份数按</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rPr>
        <w:t>规定，每份均具有同等法律效力。</w:t>
      </w:r>
    </w:p>
    <w:p w14:paraId="34D1AE0C">
      <w:pPr>
        <w:spacing w:line="360" w:lineRule="auto"/>
        <w:jc w:val="center"/>
        <w:outlineLvl w:val="0"/>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kern w:val="0"/>
          <w:highlight w:val="none"/>
        </w:rPr>
        <w:br w:type="page"/>
      </w:r>
      <w:bookmarkStart w:id="506" w:name="_Toc331685784"/>
      <w:r>
        <w:rPr>
          <w:rFonts w:hint="eastAsia" w:ascii="仿宋_GB2312" w:hAnsi="仿宋_GB2312" w:eastAsia="仿宋_GB2312" w:cs="仿宋_GB2312"/>
          <w:b/>
          <w:color w:val="auto"/>
          <w:highlight w:val="none"/>
        </w:rPr>
        <w:t xml:space="preserve"> </w:t>
      </w:r>
      <w:bookmarkEnd w:id="506"/>
      <w:r>
        <w:rPr>
          <w:rFonts w:hint="eastAsia" w:ascii="仿宋_GB2312" w:hAnsi="仿宋_GB2312" w:eastAsia="仿宋_GB2312" w:cs="仿宋_GB2312"/>
          <w:b/>
          <w:color w:val="auto"/>
          <w:highlight w:val="none"/>
        </w:rPr>
        <w:t>第三部分  合同专用条款</w:t>
      </w:r>
    </w:p>
    <w:p w14:paraId="6B0EDFB8">
      <w:pPr>
        <w:spacing w:line="560" w:lineRule="exact"/>
        <w:ind w:left="-480" w:leftChars="-200" w:right="-480" w:righ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68DF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4A97C1F">
            <w:pPr>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条款号</w:t>
            </w:r>
          </w:p>
        </w:tc>
        <w:tc>
          <w:tcPr>
            <w:tcW w:w="8149" w:type="dxa"/>
            <w:vAlign w:val="center"/>
          </w:tcPr>
          <w:p w14:paraId="650B88DA">
            <w:pPr>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约定内容</w:t>
            </w:r>
          </w:p>
        </w:tc>
      </w:tr>
      <w:tr w14:paraId="5D1F1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BC8D92">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1.3.2</w:t>
            </w:r>
          </w:p>
        </w:tc>
        <w:tc>
          <w:tcPr>
            <w:tcW w:w="8149" w:type="dxa"/>
            <w:vAlign w:val="center"/>
          </w:tcPr>
          <w:p w14:paraId="4F8FDD06">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tc>
      </w:tr>
      <w:tr w14:paraId="5ED24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84" w:hRule="atLeast"/>
        </w:trPr>
        <w:tc>
          <w:tcPr>
            <w:tcW w:w="977" w:type="dxa"/>
            <w:tcBorders>
              <w:left w:val="single" w:color="auto" w:sz="4" w:space="0"/>
            </w:tcBorders>
            <w:vAlign w:val="center"/>
          </w:tcPr>
          <w:p w14:paraId="0CE2FCE3">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1.4.2</w:t>
            </w:r>
          </w:p>
        </w:tc>
        <w:tc>
          <w:tcPr>
            <w:tcW w:w="8149" w:type="dxa"/>
            <w:vAlign w:val="center"/>
          </w:tcPr>
          <w:p w14:paraId="7B0C3926">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需要缴纳，中标人必须在合同签订前向采购人提供合同总价1%的履约保证金，可以支票、汇票、本票或者金融机构、保险公司、担保机构出具的保函/保险等非现金形式提交。履约保证金（或保函/保险）在项目验收结束后退还。鼓励和支持供应商以履约保函形式提供履约保证金。</w:t>
            </w:r>
          </w:p>
          <w:p w14:paraId="1EF958D9">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2、项目全部义务履约完毕，履约保证金无息退还。（如有违约款项，则扣除相应违约款项后无息退还）</w:t>
            </w:r>
          </w:p>
        </w:tc>
      </w:tr>
      <w:tr w14:paraId="757CD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3A79DA">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1.5.1 </w:t>
            </w:r>
          </w:p>
        </w:tc>
        <w:tc>
          <w:tcPr>
            <w:tcW w:w="8149" w:type="dxa"/>
            <w:vAlign w:val="center"/>
          </w:tcPr>
          <w:p w14:paraId="35616C19">
            <w:pPr>
              <w:pStyle w:val="25"/>
              <w:snapToGrid w:val="0"/>
              <w:rPr>
                <w:rFonts w:hint="eastAsia" w:ascii="仿宋_GB2312" w:hAnsi="仿宋_GB2312" w:eastAsia="仿宋_GB2312" w:cs="仿宋_GB2312"/>
                <w:color w:val="auto"/>
                <w:szCs w:val="20"/>
                <w:highlight w:val="none"/>
                <w:lang w:val="en-US"/>
              </w:rPr>
            </w:pPr>
            <w:r>
              <w:rPr>
                <w:rFonts w:hint="eastAsia" w:ascii="仿宋_GB2312" w:hAnsi="仿宋_GB2312" w:eastAsia="仿宋_GB2312" w:cs="仿宋_GB2312"/>
                <w:color w:val="auto"/>
                <w:szCs w:val="20"/>
                <w:highlight w:val="none"/>
                <w:lang w:val="en-US"/>
              </w:rPr>
              <w:t>/</w:t>
            </w:r>
          </w:p>
        </w:tc>
      </w:tr>
      <w:tr w14:paraId="39C8F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041347">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1.5.2</w:t>
            </w:r>
          </w:p>
        </w:tc>
        <w:tc>
          <w:tcPr>
            <w:tcW w:w="8149" w:type="dxa"/>
            <w:vAlign w:val="center"/>
          </w:tcPr>
          <w:p w14:paraId="24646023">
            <w:pPr>
              <w:snapToGrid w:val="0"/>
              <w:spacing w:line="360" w:lineRule="auto"/>
              <w:rPr>
                <w:rFonts w:hint="eastAsia" w:ascii="仿宋_GB2312" w:hAnsi="仿宋_GB2312" w:eastAsia="仿宋_GB2312" w:cs="仿宋_GB2312"/>
                <w:color w:val="auto"/>
                <w:szCs w:val="20"/>
                <w:highlight w:val="none"/>
              </w:rPr>
            </w:pPr>
            <w:r>
              <w:rPr>
                <w:rFonts w:hint="eastAsia" w:ascii="仿宋_GB2312" w:hAnsi="仿宋_GB2312" w:eastAsia="仿宋_GB2312" w:cs="仿宋_GB2312"/>
                <w:color w:val="auto"/>
                <w:szCs w:val="20"/>
                <w:highlight w:val="none"/>
              </w:rPr>
              <w:t>/</w:t>
            </w:r>
          </w:p>
        </w:tc>
      </w:tr>
      <w:tr w14:paraId="42552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5058A0">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1.5.3 </w:t>
            </w:r>
          </w:p>
        </w:tc>
        <w:tc>
          <w:tcPr>
            <w:tcW w:w="8149" w:type="dxa"/>
            <w:vAlign w:val="center"/>
          </w:tcPr>
          <w:p w14:paraId="3E64F699">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tc>
      </w:tr>
      <w:tr w14:paraId="7C8DE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586898">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1.6.2</w:t>
            </w:r>
          </w:p>
        </w:tc>
        <w:tc>
          <w:tcPr>
            <w:tcW w:w="8149" w:type="dxa"/>
            <w:vAlign w:val="center"/>
          </w:tcPr>
          <w:p w14:paraId="52B172CC">
            <w:pPr>
              <w:suppressAutoHyphens/>
              <w:spacing w:line="360" w:lineRule="auto"/>
              <w:ind w:firstLine="480" w:firstLineChars="200"/>
              <w:rPr>
                <w:rFonts w:hint="eastAsia" w:ascii="仿宋_GB2312" w:hAnsi="仿宋_GB2312" w:eastAsia="仿宋_GB2312" w:cs="仿宋_GB2312"/>
                <w:color w:val="auto"/>
                <w:highlight w:val="none"/>
              </w:rPr>
            </w:pPr>
            <w:r>
              <w:rPr>
                <w:rFonts w:hint="eastAsia" w:ascii="仿宋" w:hAnsi="仿宋" w:cs="仿宋"/>
                <w:color w:val="auto"/>
                <w:highlight w:val="none"/>
              </w:rPr>
              <w:t>第一次付款：合同签订生效后</w:t>
            </w:r>
            <w:r>
              <w:rPr>
                <w:rFonts w:hint="eastAsia" w:ascii="仿宋" w:hAnsi="仿宋" w:cs="仿宋"/>
                <w:color w:val="auto"/>
                <w:highlight w:val="none"/>
                <w:lang w:eastAsia="zh-CN"/>
              </w:rPr>
              <w:t>，</w:t>
            </w:r>
            <w:r>
              <w:rPr>
                <w:rFonts w:hint="eastAsia" w:ascii="仿宋" w:hAnsi="仿宋" w:cs="仿宋"/>
                <w:color w:val="auto"/>
                <w:highlight w:val="none"/>
              </w:rPr>
              <w:t>中标方向采购人提交付款申请，采购人7个工作日内支付合同价的50%作为预付款，在签订合同时，中标方明确表示无需预付款或者主动要求降低预付款比例的，采购人可不适用前述规定。第二次付款：中标方完成项目服务内容并通过专家评审后，中标方向采购人提交付款申请，采购人在收到中标人提供的付款申请材料后1个月内支付剩余金额。</w:t>
            </w:r>
            <w:r>
              <w:rPr>
                <w:rFonts w:hint="eastAsia" w:ascii="仿宋" w:hAnsi="仿宋" w:cs="仿宋"/>
                <w:color w:val="auto"/>
                <w:highlight w:val="none"/>
              </w:rPr>
              <w:t>如遇财政关账等原因不能及时付款，则付款日期延后，甲方不承担责任</w:t>
            </w:r>
            <w:r>
              <w:rPr>
                <w:rFonts w:hint="eastAsia" w:ascii="仿宋" w:hAnsi="仿宋" w:cs="仿宋"/>
                <w:color w:val="auto"/>
                <w:highlight w:val="none"/>
                <w:lang w:eastAsia="zh-CN"/>
              </w:rPr>
              <w:t>。</w:t>
            </w:r>
          </w:p>
        </w:tc>
      </w:tr>
      <w:tr w14:paraId="73805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A2E26F">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1.7.1</w:t>
            </w:r>
          </w:p>
        </w:tc>
        <w:tc>
          <w:tcPr>
            <w:tcW w:w="8149" w:type="dxa"/>
            <w:vAlign w:val="center"/>
          </w:tcPr>
          <w:p w14:paraId="05D5BB55">
            <w:pPr>
              <w:snapToGrid w:val="0"/>
              <w:spacing w:line="360" w:lineRule="auto"/>
              <w:jc w:val="left"/>
              <w:rPr>
                <w:rFonts w:hint="eastAsia" w:ascii="仿宋_GB2312" w:hAnsi="仿宋_GB2312" w:eastAsia="仿宋_GB2312" w:cs="仿宋_GB2312"/>
                <w:color w:val="auto"/>
                <w:highlight w:val="none"/>
              </w:rPr>
            </w:pPr>
            <w:r>
              <w:rPr>
                <w:rFonts w:ascii="仿宋_GB2312" w:hAnsi="仿宋_GB2312" w:eastAsia="仿宋_GB2312" w:cs="仿宋_GB2312"/>
                <w:color w:val="auto"/>
                <w:highlight w:val="none"/>
              </w:rPr>
              <w:t>2025年</w:t>
            </w:r>
            <w:r>
              <w:rPr>
                <w:rFonts w:hint="eastAsia" w:ascii="仿宋_GB2312" w:hAnsi="仿宋_GB2312" w:eastAsia="仿宋_GB2312" w:cs="仿宋_GB2312"/>
                <w:color w:val="auto"/>
                <w:highlight w:val="none"/>
              </w:rPr>
              <w:t>12</w:t>
            </w:r>
            <w:r>
              <w:rPr>
                <w:rFonts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rPr>
              <w:t>31</w:t>
            </w:r>
            <w:r>
              <w:rPr>
                <w:rFonts w:ascii="仿宋_GB2312" w:hAnsi="仿宋_GB2312" w:eastAsia="仿宋_GB2312" w:cs="仿宋_GB2312"/>
                <w:color w:val="auto"/>
                <w:highlight w:val="none"/>
              </w:rPr>
              <w:t>日前，完成17家企业的全部成果内容，并同步完成已监测土壤污染重点监管单位的18个省控土壤点位筛选及报告编制，提交并通过省生态环境监测中心认可。</w:t>
            </w:r>
          </w:p>
        </w:tc>
      </w:tr>
      <w:tr w14:paraId="7502F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279F9F">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1.7.2</w:t>
            </w:r>
          </w:p>
        </w:tc>
        <w:tc>
          <w:tcPr>
            <w:tcW w:w="8149" w:type="dxa"/>
            <w:vAlign w:val="center"/>
          </w:tcPr>
          <w:p w14:paraId="71235F11">
            <w:pPr>
              <w:snapToGrid w:val="0"/>
              <w:spacing w:line="360" w:lineRule="auto"/>
              <w:rPr>
                <w:rFonts w:hint="eastAsia" w:ascii="仿宋_GB2312" w:hAnsi="仿宋_GB2312" w:eastAsia="方正书宋_GBK" w:cs="仿宋_GB2312"/>
                <w:color w:val="auto"/>
                <w:highlight w:val="none"/>
              </w:rPr>
            </w:pPr>
            <w:r>
              <w:rPr>
                <w:rFonts w:hint="eastAsia" w:ascii="仿宋" w:hAnsi="仿宋" w:cs="仿宋"/>
                <w:color w:val="auto"/>
                <w:highlight w:val="none"/>
              </w:rPr>
              <w:t>杭州市钱塘区</w:t>
            </w:r>
          </w:p>
        </w:tc>
      </w:tr>
      <w:tr w14:paraId="01CF3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52DD60">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1.7.3</w:t>
            </w:r>
          </w:p>
        </w:tc>
        <w:tc>
          <w:tcPr>
            <w:tcW w:w="8149" w:type="dxa"/>
            <w:vAlign w:val="center"/>
          </w:tcPr>
          <w:p w14:paraId="3F036F3C">
            <w:pPr>
              <w:snapToGrid w:val="0"/>
              <w:spacing w:line="360" w:lineRule="auto"/>
              <w:rPr>
                <w:rFonts w:hint="eastAsia" w:ascii="仿宋_GB2312" w:hAnsi="仿宋_GB2312" w:eastAsia="仿宋_GB2312" w:cs="仿宋_GB2312"/>
                <w:color w:val="auto"/>
                <w:highlight w:val="none"/>
              </w:rPr>
            </w:pPr>
            <w:r>
              <w:rPr>
                <w:rFonts w:hint="eastAsia" w:ascii="仿宋" w:hAnsi="仿宋" w:cs="仿宋"/>
                <w:color w:val="auto"/>
                <w:highlight w:val="none"/>
              </w:rPr>
              <w:t>按甲方要求</w:t>
            </w:r>
          </w:p>
        </w:tc>
      </w:tr>
      <w:tr w14:paraId="72E4C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558D5D">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1.7.4.1</w:t>
            </w:r>
          </w:p>
        </w:tc>
        <w:tc>
          <w:tcPr>
            <w:tcW w:w="8149" w:type="dxa"/>
            <w:vAlign w:val="center"/>
          </w:tcPr>
          <w:p w14:paraId="3E1CD359">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tc>
      </w:tr>
      <w:tr w14:paraId="4A621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CED7C6">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1.7.4.2</w:t>
            </w:r>
          </w:p>
        </w:tc>
        <w:tc>
          <w:tcPr>
            <w:tcW w:w="8149" w:type="dxa"/>
            <w:vAlign w:val="center"/>
          </w:tcPr>
          <w:p w14:paraId="7038B419">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tc>
      </w:tr>
      <w:tr w14:paraId="2877D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EDF058">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1.7.4.3</w:t>
            </w:r>
          </w:p>
        </w:tc>
        <w:tc>
          <w:tcPr>
            <w:tcW w:w="8149" w:type="dxa"/>
            <w:vAlign w:val="center"/>
          </w:tcPr>
          <w:p w14:paraId="562A1BC3">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tc>
      </w:tr>
      <w:tr w14:paraId="1D7E6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CEE53F">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1.8.7</w:t>
            </w:r>
          </w:p>
        </w:tc>
        <w:tc>
          <w:tcPr>
            <w:tcW w:w="8149" w:type="dxa"/>
            <w:vAlign w:val="center"/>
          </w:tcPr>
          <w:p w14:paraId="313D7356">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tc>
      </w:tr>
      <w:tr w14:paraId="6E2FE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6AB029">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1.9.1</w:t>
            </w:r>
          </w:p>
        </w:tc>
        <w:tc>
          <w:tcPr>
            <w:tcW w:w="8149" w:type="dxa"/>
            <w:vAlign w:val="center"/>
          </w:tcPr>
          <w:p w14:paraId="15F4DF87">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杭州仲裁委员会</w:t>
            </w:r>
          </w:p>
        </w:tc>
      </w:tr>
      <w:tr w14:paraId="2D53D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D2D2AE">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1.9.2</w:t>
            </w:r>
          </w:p>
        </w:tc>
        <w:tc>
          <w:tcPr>
            <w:tcW w:w="8149" w:type="dxa"/>
            <w:vAlign w:val="center"/>
          </w:tcPr>
          <w:p w14:paraId="15E92C43">
            <w:pPr>
              <w:snapToGrid w:val="0"/>
              <w:spacing w:line="360" w:lineRule="auto"/>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杭州市钱塘区</w:t>
            </w:r>
          </w:p>
        </w:tc>
      </w:tr>
      <w:tr w14:paraId="3E875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ACCED4">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2.3.2</w:t>
            </w:r>
          </w:p>
        </w:tc>
        <w:tc>
          <w:tcPr>
            <w:tcW w:w="8149" w:type="dxa"/>
            <w:vAlign w:val="center"/>
          </w:tcPr>
          <w:p w14:paraId="178759A9">
            <w:pPr>
              <w:snapToGrid w:val="0"/>
              <w:spacing w:line="360" w:lineRule="auto"/>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tc>
      </w:tr>
      <w:tr w14:paraId="00BD6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01D583">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w:t>
            </w:r>
          </w:p>
        </w:tc>
        <w:tc>
          <w:tcPr>
            <w:tcW w:w="8149" w:type="dxa"/>
            <w:vAlign w:val="center"/>
          </w:tcPr>
          <w:p w14:paraId="0668E247">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同1.6.2</w:t>
            </w:r>
          </w:p>
        </w:tc>
      </w:tr>
      <w:tr w14:paraId="26623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6D18B6">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2.11.3</w:t>
            </w:r>
          </w:p>
        </w:tc>
        <w:tc>
          <w:tcPr>
            <w:tcW w:w="8149" w:type="dxa"/>
            <w:vAlign w:val="center"/>
          </w:tcPr>
          <w:p w14:paraId="3A59E991">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因不可抗力致使合同有变更必要的，双方当事人应在</w:t>
            </w:r>
            <w:r>
              <w:rPr>
                <w:rFonts w:hint="eastAsia" w:ascii="仿宋_GB2312" w:hAnsi="仿宋_GB2312" w:eastAsia="仿宋_GB2312" w:cs="仿宋_GB2312"/>
                <w:bCs/>
                <w:iCs/>
                <w:color w:val="auto"/>
                <w:highlight w:val="none"/>
                <w:u w:val="single"/>
              </w:rPr>
              <w:t xml:space="preserve"> 7 </w:t>
            </w:r>
            <w:r>
              <w:rPr>
                <w:rFonts w:hint="eastAsia" w:ascii="仿宋_GB2312" w:hAnsi="仿宋_GB2312" w:eastAsia="仿宋_GB2312" w:cs="仿宋_GB2312"/>
                <w:color w:val="auto"/>
                <w:highlight w:val="none"/>
              </w:rPr>
              <w:t>日内以书面形式变更合同。</w:t>
            </w:r>
          </w:p>
        </w:tc>
      </w:tr>
      <w:tr w14:paraId="6C3F2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FF7DDA1">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2.11.4 </w:t>
            </w:r>
          </w:p>
        </w:tc>
        <w:tc>
          <w:tcPr>
            <w:tcW w:w="8149" w:type="dxa"/>
          </w:tcPr>
          <w:p w14:paraId="02FE2E34">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受不可抗力影响的一方在不可抗力发生后，应在</w:t>
            </w:r>
            <w:r>
              <w:rPr>
                <w:rFonts w:hint="eastAsia" w:ascii="仿宋_GB2312" w:hAnsi="仿宋_GB2312" w:eastAsia="仿宋_GB2312" w:cs="仿宋_GB2312"/>
                <w:bCs/>
                <w:iCs/>
                <w:color w:val="auto"/>
                <w:highlight w:val="none"/>
                <w:u w:val="single"/>
              </w:rPr>
              <w:t xml:space="preserve"> 24 </w:t>
            </w:r>
            <w:r>
              <w:rPr>
                <w:rFonts w:hint="eastAsia" w:ascii="仿宋_GB2312" w:hAnsi="仿宋_GB2312" w:eastAsia="仿宋_GB2312" w:cs="仿宋_GB2312"/>
                <w:color w:val="auto"/>
                <w:highlight w:val="none"/>
              </w:rPr>
              <w:t>小时内以书面形式通知对方当事人，并在</w:t>
            </w:r>
            <w:r>
              <w:rPr>
                <w:rFonts w:hint="eastAsia" w:ascii="仿宋_GB2312" w:hAnsi="仿宋_GB2312" w:eastAsia="仿宋_GB2312" w:cs="仿宋_GB2312"/>
                <w:bCs/>
                <w:iCs/>
                <w:color w:val="auto"/>
                <w:highlight w:val="none"/>
                <w:u w:val="single"/>
              </w:rPr>
              <w:t xml:space="preserve"> 3 </w:t>
            </w:r>
            <w:r>
              <w:rPr>
                <w:rFonts w:hint="eastAsia" w:ascii="仿宋_GB2312" w:hAnsi="仿宋_GB2312" w:eastAsia="仿宋_GB2312" w:cs="仿宋_GB2312"/>
                <w:color w:val="auto"/>
                <w:highlight w:val="none"/>
              </w:rPr>
              <w:t>日内，将有关部门出具的证明文件送达对方当事人。</w:t>
            </w:r>
          </w:p>
        </w:tc>
      </w:tr>
      <w:tr w14:paraId="09C54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47C8A9">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2.15.1</w:t>
            </w:r>
          </w:p>
        </w:tc>
        <w:tc>
          <w:tcPr>
            <w:tcW w:w="8149" w:type="dxa"/>
            <w:vAlign w:val="center"/>
          </w:tcPr>
          <w:p w14:paraId="55E9EA10">
            <w:pPr>
              <w:snapToGrid w:val="0"/>
              <w:spacing w:line="360" w:lineRule="auto"/>
              <w:rPr>
                <w:rFonts w:hint="eastAsia" w:ascii="仿宋_GB2312" w:hAnsi="仿宋_GB2312" w:eastAsia="仿宋_GB2312" w:cs="仿宋_GB2312"/>
                <w:color w:val="auto"/>
                <w:highlight w:val="none"/>
              </w:rPr>
            </w:pPr>
            <w:r>
              <w:rPr>
                <w:rFonts w:hint="eastAsia" w:ascii="仿宋" w:hAnsi="仿宋" w:cs="仿宋"/>
                <w:color w:val="auto"/>
                <w:highlight w:val="none"/>
              </w:rPr>
              <w:t>甲方；甲方要求</w:t>
            </w:r>
          </w:p>
        </w:tc>
      </w:tr>
      <w:tr w14:paraId="71306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154296">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2.15.3</w:t>
            </w:r>
          </w:p>
        </w:tc>
        <w:tc>
          <w:tcPr>
            <w:tcW w:w="8149" w:type="dxa"/>
            <w:vAlign w:val="center"/>
          </w:tcPr>
          <w:p w14:paraId="57A85E24">
            <w:pPr>
              <w:pStyle w:val="42"/>
              <w:snapToGrid w:val="0"/>
              <w:spacing w:line="360" w:lineRule="auto"/>
              <w:ind w:firstLine="0"/>
              <w:textAlignment w:val="auto"/>
              <w:rPr>
                <w:color w:val="auto"/>
                <w:highlight w:val="none"/>
              </w:rPr>
            </w:pPr>
            <w:r>
              <w:rPr>
                <w:rFonts w:hint="eastAsia" w:ascii="仿宋_GB2312" w:hAnsi="仿宋_GB2312" w:eastAsia="仿宋_GB2312" w:cs="仿宋_GB2312"/>
                <w:color w:val="auto"/>
                <w:kern w:val="2"/>
                <w:sz w:val="24"/>
                <w:szCs w:val="24"/>
                <w:highlight w:val="none"/>
              </w:rPr>
              <w:t>根据甲方认可的有关国家标准、行业标准、地方标准或者其他标准规范，结合招标文件及合同规定的验收评定标准等规范由甲方组织验收。</w:t>
            </w:r>
          </w:p>
        </w:tc>
      </w:tr>
      <w:tr w14:paraId="52905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948D548">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2.19</w:t>
            </w:r>
          </w:p>
        </w:tc>
        <w:tc>
          <w:tcPr>
            <w:tcW w:w="8149" w:type="dxa"/>
          </w:tcPr>
          <w:p w14:paraId="2A2B19FA">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本合同壹式陆份，甲方执叁份，乙方执叁份。</w:t>
            </w:r>
          </w:p>
        </w:tc>
      </w:tr>
    </w:tbl>
    <w:p w14:paraId="06908D7A">
      <w:pPr>
        <w:pStyle w:val="3"/>
        <w:snapToGrid w:val="0"/>
        <w:spacing w:line="360" w:lineRule="auto"/>
        <w:rPr>
          <w:rFonts w:hint="eastAsia" w:ascii="仿宋" w:hAnsi="仿宋" w:cs="仿宋"/>
          <w:color w:val="auto"/>
          <w:highlight w:val="none"/>
        </w:rPr>
      </w:pPr>
    </w:p>
    <w:p w14:paraId="7290455A">
      <w:pPr>
        <w:spacing w:line="360" w:lineRule="auto"/>
        <w:ind w:left="720" w:firstLine="723" w:firstLineChars="200"/>
        <w:outlineLvl w:val="0"/>
        <w:rPr>
          <w:rFonts w:hint="eastAsia" w:ascii="仿宋" w:hAnsi="仿宋" w:cs="仿宋"/>
          <w:b/>
          <w:color w:val="auto"/>
          <w:sz w:val="36"/>
          <w:szCs w:val="20"/>
          <w:highlight w:val="none"/>
        </w:rPr>
      </w:pPr>
    </w:p>
    <w:p w14:paraId="23C18B34">
      <w:pPr>
        <w:spacing w:line="360" w:lineRule="auto"/>
        <w:ind w:left="720" w:firstLine="723" w:firstLineChars="200"/>
        <w:outlineLvl w:val="0"/>
        <w:rPr>
          <w:rFonts w:hint="eastAsia" w:ascii="仿宋" w:hAnsi="仿宋" w:cs="仿宋"/>
          <w:b/>
          <w:color w:val="auto"/>
          <w:sz w:val="36"/>
          <w:szCs w:val="20"/>
          <w:highlight w:val="none"/>
        </w:rPr>
      </w:pPr>
    </w:p>
    <w:p w14:paraId="530606F5">
      <w:pPr>
        <w:pStyle w:val="8"/>
        <w:rPr>
          <w:rFonts w:hint="eastAsia" w:ascii="仿宋" w:hAnsi="仿宋" w:cs="仿宋"/>
          <w:color w:val="auto"/>
          <w:sz w:val="36"/>
          <w:szCs w:val="20"/>
          <w:highlight w:val="none"/>
        </w:rPr>
      </w:pPr>
    </w:p>
    <w:p w14:paraId="2945C045">
      <w:pPr>
        <w:rPr>
          <w:rFonts w:hint="eastAsia" w:ascii="仿宋" w:hAnsi="仿宋" w:cs="仿宋"/>
          <w:b/>
          <w:color w:val="auto"/>
          <w:sz w:val="36"/>
          <w:szCs w:val="20"/>
          <w:highlight w:val="none"/>
        </w:rPr>
      </w:pPr>
    </w:p>
    <w:p w14:paraId="73EDD3AE">
      <w:pPr>
        <w:pStyle w:val="8"/>
        <w:rPr>
          <w:rFonts w:hint="eastAsia" w:ascii="仿宋" w:hAnsi="仿宋" w:cs="仿宋"/>
          <w:color w:val="auto"/>
          <w:sz w:val="36"/>
          <w:szCs w:val="20"/>
          <w:highlight w:val="none"/>
        </w:rPr>
      </w:pPr>
    </w:p>
    <w:p w14:paraId="05DEB865">
      <w:pPr>
        <w:rPr>
          <w:rFonts w:hint="eastAsia" w:ascii="仿宋" w:hAnsi="仿宋" w:cs="仿宋"/>
          <w:b/>
          <w:color w:val="auto"/>
          <w:sz w:val="36"/>
          <w:szCs w:val="20"/>
          <w:highlight w:val="none"/>
        </w:rPr>
      </w:pPr>
    </w:p>
    <w:p w14:paraId="4C54A9AC">
      <w:pPr>
        <w:pStyle w:val="8"/>
        <w:rPr>
          <w:rFonts w:hint="eastAsia" w:ascii="仿宋" w:hAnsi="仿宋" w:cs="仿宋"/>
          <w:color w:val="auto"/>
          <w:sz w:val="36"/>
          <w:szCs w:val="20"/>
          <w:highlight w:val="none"/>
        </w:rPr>
      </w:pPr>
    </w:p>
    <w:p w14:paraId="66FE010D">
      <w:pPr>
        <w:rPr>
          <w:rFonts w:hint="eastAsia" w:ascii="仿宋" w:hAnsi="仿宋" w:cs="仿宋"/>
          <w:b/>
          <w:color w:val="auto"/>
          <w:sz w:val="36"/>
          <w:szCs w:val="20"/>
          <w:highlight w:val="none"/>
        </w:rPr>
      </w:pPr>
    </w:p>
    <w:p w14:paraId="0275FB27">
      <w:pPr>
        <w:rPr>
          <w:color w:val="auto"/>
          <w:highlight w:val="none"/>
        </w:rPr>
      </w:pPr>
    </w:p>
    <w:p w14:paraId="0330AF42">
      <w:pPr>
        <w:spacing w:line="360" w:lineRule="auto"/>
        <w:ind w:left="720" w:firstLine="723" w:firstLineChars="200"/>
        <w:outlineLvl w:val="0"/>
        <w:rPr>
          <w:rFonts w:hint="eastAsia" w:ascii="仿宋" w:hAnsi="仿宋" w:cs="仿宋"/>
          <w:b/>
          <w:color w:val="auto"/>
          <w:sz w:val="36"/>
          <w:szCs w:val="20"/>
          <w:highlight w:val="none"/>
        </w:rPr>
      </w:pPr>
      <w:r>
        <w:rPr>
          <w:rFonts w:hint="eastAsia" w:ascii="仿宋" w:hAnsi="仿宋" w:cs="仿宋"/>
          <w:b/>
          <w:color w:val="auto"/>
          <w:sz w:val="36"/>
          <w:szCs w:val="20"/>
          <w:highlight w:val="none"/>
        </w:rPr>
        <w:t>第六部分</w:t>
      </w:r>
      <w:bookmarkEnd w:id="391"/>
      <w:r>
        <w:rPr>
          <w:rFonts w:hint="eastAsia" w:ascii="仿宋" w:hAnsi="仿宋" w:cs="仿宋"/>
          <w:b/>
          <w:color w:val="auto"/>
          <w:sz w:val="36"/>
          <w:szCs w:val="20"/>
          <w:highlight w:val="none"/>
        </w:rPr>
        <w:t xml:space="preserve"> </w:t>
      </w:r>
      <w:bookmarkEnd w:id="392"/>
      <w:r>
        <w:rPr>
          <w:rFonts w:hint="eastAsia" w:ascii="仿宋" w:hAnsi="仿宋" w:cs="仿宋"/>
          <w:b/>
          <w:color w:val="auto"/>
          <w:sz w:val="36"/>
          <w:szCs w:val="20"/>
          <w:highlight w:val="none"/>
        </w:rPr>
        <w:t>应提交的有关格式范例</w:t>
      </w:r>
    </w:p>
    <w:p w14:paraId="7DC03145">
      <w:pPr>
        <w:spacing w:line="360" w:lineRule="auto"/>
        <w:jc w:val="center"/>
        <w:outlineLvl w:val="0"/>
        <w:rPr>
          <w:rFonts w:hint="eastAsia" w:ascii="仿宋" w:hAnsi="仿宋" w:cs="仿宋"/>
          <w:b/>
          <w:color w:val="auto"/>
          <w:kern w:val="0"/>
          <w:sz w:val="36"/>
          <w:szCs w:val="36"/>
          <w:highlight w:val="none"/>
        </w:rPr>
      </w:pPr>
    </w:p>
    <w:p w14:paraId="512F210B">
      <w:pPr>
        <w:spacing w:line="360" w:lineRule="auto"/>
        <w:jc w:val="center"/>
        <w:outlineLvl w:val="0"/>
        <w:rPr>
          <w:rFonts w:hint="eastAsia" w:ascii="仿宋" w:hAnsi="仿宋" w:cs="仿宋"/>
          <w:b/>
          <w:color w:val="auto"/>
          <w:kern w:val="0"/>
          <w:sz w:val="36"/>
          <w:szCs w:val="36"/>
          <w:highlight w:val="none"/>
        </w:rPr>
      </w:pPr>
      <w:r>
        <w:rPr>
          <w:rFonts w:hint="eastAsia" w:ascii="仿宋" w:hAnsi="仿宋" w:cs="仿宋"/>
          <w:b/>
          <w:color w:val="auto"/>
          <w:kern w:val="0"/>
          <w:sz w:val="36"/>
          <w:szCs w:val="36"/>
          <w:highlight w:val="none"/>
        </w:rPr>
        <w:t>资格文件部分</w:t>
      </w:r>
    </w:p>
    <w:p w14:paraId="18137472">
      <w:pPr>
        <w:spacing w:line="360" w:lineRule="auto"/>
        <w:jc w:val="center"/>
        <w:outlineLvl w:val="0"/>
        <w:rPr>
          <w:rFonts w:hint="eastAsia" w:ascii="仿宋" w:hAnsi="仿宋" w:cs="仿宋"/>
          <w:b/>
          <w:color w:val="auto"/>
          <w:kern w:val="0"/>
          <w:sz w:val="36"/>
          <w:szCs w:val="36"/>
          <w:highlight w:val="none"/>
        </w:rPr>
      </w:pPr>
      <w:r>
        <w:rPr>
          <w:rFonts w:hint="eastAsia" w:ascii="仿宋" w:hAnsi="仿宋" w:cs="仿宋"/>
          <w:b/>
          <w:color w:val="auto"/>
          <w:kern w:val="0"/>
          <w:sz w:val="36"/>
          <w:szCs w:val="36"/>
          <w:highlight w:val="none"/>
        </w:rPr>
        <w:t>目录</w:t>
      </w:r>
    </w:p>
    <w:p w14:paraId="3D66FDE6">
      <w:pPr>
        <w:spacing w:line="360" w:lineRule="auto"/>
        <w:jc w:val="center"/>
        <w:outlineLvl w:val="0"/>
        <w:rPr>
          <w:rFonts w:hint="eastAsia" w:ascii="仿宋" w:hAnsi="仿宋" w:cs="仿宋"/>
          <w:b/>
          <w:color w:val="auto"/>
          <w:kern w:val="0"/>
          <w:sz w:val="36"/>
          <w:szCs w:val="36"/>
          <w:highlight w:val="none"/>
        </w:rPr>
      </w:pPr>
    </w:p>
    <w:p w14:paraId="33273B25">
      <w:pPr>
        <w:snapToGrid w:val="0"/>
        <w:spacing w:line="360" w:lineRule="auto"/>
        <w:rPr>
          <w:rFonts w:hint="eastAsia" w:ascii="仿宋" w:hAnsi="仿宋" w:cs="仿宋"/>
          <w:color w:val="auto"/>
          <w:highlight w:val="none"/>
        </w:rPr>
      </w:pPr>
      <w:r>
        <w:rPr>
          <w:rFonts w:hint="eastAsia" w:ascii="仿宋" w:hAnsi="仿宋" w:cs="仿宋"/>
          <w:color w:val="auto"/>
          <w:highlight w:val="none"/>
        </w:rPr>
        <w:t>（1）符合参加政府采购活动应当具备的一般条件的承诺函……………（页码）</w:t>
      </w:r>
    </w:p>
    <w:p w14:paraId="0314C513">
      <w:pPr>
        <w:snapToGrid w:val="0"/>
        <w:spacing w:line="360" w:lineRule="auto"/>
        <w:rPr>
          <w:rFonts w:hint="eastAsia" w:ascii="仿宋" w:hAnsi="仿宋" w:cs="仿宋"/>
          <w:color w:val="auto"/>
          <w:highlight w:val="none"/>
        </w:rPr>
      </w:pPr>
      <w:r>
        <w:rPr>
          <w:rFonts w:hint="eastAsia" w:ascii="仿宋" w:hAnsi="仿宋" w:cs="仿宋"/>
          <w:color w:val="auto"/>
          <w:highlight w:val="none"/>
        </w:rPr>
        <w:t>（2）联合协议（如果有）…………………………………………………（页码）</w:t>
      </w:r>
    </w:p>
    <w:p w14:paraId="4ED91A15">
      <w:pPr>
        <w:snapToGrid w:val="0"/>
        <w:spacing w:line="360" w:lineRule="auto"/>
        <w:rPr>
          <w:rFonts w:hint="eastAsia" w:ascii="仿宋" w:hAnsi="仿宋" w:cs="仿宋"/>
          <w:color w:val="auto"/>
          <w:highlight w:val="none"/>
        </w:rPr>
      </w:pPr>
      <w:r>
        <w:rPr>
          <w:rFonts w:hint="eastAsia" w:ascii="仿宋" w:hAnsi="仿宋" w:cs="仿宋"/>
          <w:color w:val="auto"/>
          <w:highlight w:val="none"/>
        </w:rPr>
        <w:t>（3）落实政府采购政策需满足的资格要求（如果有）…………………（页码）</w:t>
      </w:r>
    </w:p>
    <w:p w14:paraId="79CA6999">
      <w:pPr>
        <w:snapToGrid w:val="0"/>
        <w:spacing w:line="360" w:lineRule="auto"/>
        <w:rPr>
          <w:rFonts w:hint="eastAsia" w:ascii="仿宋" w:hAnsi="仿宋" w:cs="仿宋"/>
          <w:color w:val="auto"/>
          <w:highlight w:val="none"/>
        </w:rPr>
      </w:pPr>
      <w:r>
        <w:rPr>
          <w:rFonts w:hint="eastAsia" w:ascii="仿宋" w:hAnsi="仿宋" w:cs="仿宋"/>
          <w:color w:val="auto"/>
          <w:highlight w:val="none"/>
        </w:rPr>
        <w:t>（4）本项目的特定资格要求（如果有）…………………………………（页码）</w:t>
      </w:r>
    </w:p>
    <w:p w14:paraId="65421ED9">
      <w:pPr>
        <w:snapToGrid w:val="0"/>
        <w:spacing w:line="360" w:lineRule="auto"/>
        <w:ind w:firstLine="480" w:firstLineChars="200"/>
        <w:rPr>
          <w:rFonts w:hint="eastAsia" w:ascii="仿宋" w:hAnsi="仿宋" w:cs="仿宋"/>
          <w:color w:val="auto"/>
          <w:highlight w:val="none"/>
        </w:rPr>
      </w:pPr>
    </w:p>
    <w:p w14:paraId="34A645DF">
      <w:pPr>
        <w:spacing w:line="360" w:lineRule="auto"/>
        <w:ind w:firstLine="480" w:firstLineChars="200"/>
        <w:rPr>
          <w:rFonts w:hint="eastAsia" w:ascii="仿宋" w:hAnsi="仿宋" w:cs="仿宋"/>
          <w:color w:val="auto"/>
          <w:highlight w:val="none"/>
        </w:rPr>
      </w:pPr>
    </w:p>
    <w:p w14:paraId="69D34A16">
      <w:pPr>
        <w:snapToGrid w:val="0"/>
        <w:spacing w:line="360" w:lineRule="auto"/>
        <w:ind w:right="480"/>
        <w:jc w:val="center"/>
        <w:rPr>
          <w:rFonts w:hint="eastAsia" w:ascii="仿宋" w:hAnsi="仿宋" w:cs="仿宋"/>
          <w:b/>
          <w:color w:val="auto"/>
          <w:kern w:val="0"/>
          <w:sz w:val="32"/>
          <w:szCs w:val="32"/>
          <w:highlight w:val="none"/>
        </w:rPr>
      </w:pPr>
      <w:r>
        <w:rPr>
          <w:rFonts w:hint="eastAsia" w:ascii="仿宋" w:hAnsi="仿宋" w:cs="仿宋"/>
          <w:color w:val="auto"/>
          <w:kern w:val="0"/>
          <w:highlight w:val="none"/>
        </w:rPr>
        <w:br w:type="page"/>
      </w:r>
      <w:r>
        <w:rPr>
          <w:rFonts w:hint="eastAsia" w:ascii="仿宋" w:hAnsi="仿宋" w:cs="仿宋"/>
          <w:b/>
          <w:color w:val="auto"/>
          <w:kern w:val="0"/>
          <w:sz w:val="32"/>
          <w:szCs w:val="32"/>
          <w:highlight w:val="none"/>
        </w:rPr>
        <w:t xml:space="preserve">  一、 符合参加政府采购活动应当具备的一般条件的承诺函</w:t>
      </w:r>
    </w:p>
    <w:p w14:paraId="69CE122B">
      <w:pPr>
        <w:snapToGrid w:val="0"/>
        <w:spacing w:line="360" w:lineRule="auto"/>
        <w:rPr>
          <w:rFonts w:hint="eastAsia" w:ascii="仿宋" w:hAnsi="仿宋" w:cs="仿宋"/>
          <w:color w:val="auto"/>
          <w:highlight w:val="none"/>
        </w:rPr>
      </w:pPr>
      <w:r>
        <w:rPr>
          <w:rFonts w:hint="eastAsia" w:ascii="仿宋" w:hAnsi="仿宋" w:cs="仿宋"/>
          <w:color w:val="auto"/>
          <w:highlight w:val="none"/>
          <w:lang w:eastAsia="zh-CN"/>
        </w:rPr>
        <w:t>杭州市生态环境局钱塘分局</w:t>
      </w:r>
      <w:r>
        <w:rPr>
          <w:rFonts w:hint="eastAsia" w:ascii="仿宋" w:hAnsi="仿宋" w:cs="仿宋"/>
          <w:color w:val="auto"/>
          <w:highlight w:val="none"/>
        </w:rPr>
        <w:t>、</w:t>
      </w:r>
      <w:r>
        <w:rPr>
          <w:rFonts w:hint="eastAsia" w:ascii="仿宋" w:hAnsi="仿宋" w:cs="仿宋"/>
          <w:color w:val="auto"/>
          <w:highlight w:val="none"/>
          <w:lang w:eastAsia="zh-CN"/>
        </w:rPr>
        <w:t>浙江勋达工程咨询有限公司</w:t>
      </w:r>
      <w:r>
        <w:rPr>
          <w:rFonts w:hint="eastAsia" w:ascii="仿宋" w:hAnsi="仿宋" w:cs="仿宋"/>
          <w:color w:val="auto"/>
          <w:highlight w:val="none"/>
        </w:rPr>
        <w:t>：</w:t>
      </w:r>
    </w:p>
    <w:p w14:paraId="219BF635">
      <w:pPr>
        <w:snapToGrid w:val="0"/>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我方参与</w:t>
      </w:r>
      <w:r>
        <w:rPr>
          <w:rFonts w:hint="eastAsia" w:ascii="仿宋" w:hAnsi="仿宋" w:cs="仿宋"/>
          <w:color w:val="auto"/>
          <w:highlight w:val="none"/>
          <w:lang w:eastAsia="zh-CN"/>
        </w:rPr>
        <w:t>2025年钱塘区土壤重点监管单位周边土壤和地下水监测项目</w:t>
      </w:r>
      <w:r>
        <w:rPr>
          <w:rFonts w:hint="eastAsia" w:ascii="仿宋" w:hAnsi="仿宋" w:cs="仿宋"/>
          <w:color w:val="auto"/>
          <w:highlight w:val="none"/>
        </w:rPr>
        <w:t>【招标编号：</w:t>
      </w:r>
      <w:r>
        <w:rPr>
          <w:rFonts w:hint="eastAsia" w:ascii="仿宋" w:hAnsi="仿宋" w:cs="仿宋"/>
          <w:color w:val="auto"/>
          <w:highlight w:val="none"/>
          <w:lang w:eastAsia="zh-CN"/>
        </w:rPr>
        <w:t>QTCG-GK-2025-118</w:t>
      </w:r>
      <w:r>
        <w:rPr>
          <w:rFonts w:hint="eastAsia" w:ascii="仿宋" w:hAnsi="仿宋" w:cs="仿宋"/>
          <w:color w:val="auto"/>
          <w:highlight w:val="none"/>
        </w:rPr>
        <w:t>】政府采购活动，郑重承诺：</w:t>
      </w:r>
    </w:p>
    <w:p w14:paraId="77410905">
      <w:pPr>
        <w:snapToGrid w:val="0"/>
        <w:spacing w:line="360" w:lineRule="auto"/>
        <w:ind w:firstLine="360" w:firstLineChars="150"/>
        <w:rPr>
          <w:rFonts w:hint="eastAsia" w:ascii="仿宋" w:hAnsi="仿宋" w:cs="仿宋"/>
          <w:color w:val="auto"/>
          <w:highlight w:val="none"/>
        </w:rPr>
      </w:pPr>
      <w:r>
        <w:rPr>
          <w:rFonts w:hint="eastAsia" w:ascii="仿宋" w:hAnsi="仿宋" w:cs="仿宋"/>
          <w:color w:val="auto"/>
          <w:highlight w:val="none"/>
        </w:rPr>
        <w:t>（一）具备《中华人民共和国政府采购法》第二十二条第一款规定的条件：</w:t>
      </w:r>
    </w:p>
    <w:p w14:paraId="150406BF">
      <w:pPr>
        <w:snapToGrid w:val="0"/>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1、具有独立承担民事责任的能力；</w:t>
      </w:r>
    </w:p>
    <w:p w14:paraId="56837FAA">
      <w:pPr>
        <w:snapToGrid w:val="0"/>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 xml:space="preserve">2、具有良好的商业信誉和健全的财务会计制度； </w:t>
      </w:r>
    </w:p>
    <w:p w14:paraId="0DC57208">
      <w:pPr>
        <w:snapToGrid w:val="0"/>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3、具有履行合同所必需的设备和专业技术能力；</w:t>
      </w:r>
    </w:p>
    <w:p w14:paraId="6AB44524">
      <w:pPr>
        <w:snapToGrid w:val="0"/>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4、有依法缴纳税收和社会保障资金的良好记录；</w:t>
      </w:r>
    </w:p>
    <w:p w14:paraId="20CD64AD">
      <w:pPr>
        <w:snapToGrid w:val="0"/>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5、参加政府采购活动前三年内，在经营活动中没有重大违法记录；</w:t>
      </w:r>
    </w:p>
    <w:p w14:paraId="029BF839">
      <w:pPr>
        <w:snapToGrid w:val="0"/>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6、具有法律、行政法规规定的其他条件。</w:t>
      </w:r>
    </w:p>
    <w:p w14:paraId="348E5F1A">
      <w:pPr>
        <w:snapToGrid w:val="0"/>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（二）未被信用中国（www.creditchina.gov.cn)、中国政府采购网（www.ccgp.gov.cn）列入失信被执行人、重大税收违法案件当事人名单、政府采购严重违法失信行为记录名单。</w:t>
      </w:r>
    </w:p>
    <w:p w14:paraId="54E32B5C">
      <w:pPr>
        <w:snapToGrid w:val="0"/>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（三）不存在以下情况：</w:t>
      </w:r>
    </w:p>
    <w:p w14:paraId="2A033AC5">
      <w:pPr>
        <w:snapToGrid w:val="0"/>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1、单位负责人为同一人或者存在直接控股、管理关系的不同供应商参加同一合同项下的政府采购活动的；</w:t>
      </w:r>
    </w:p>
    <w:p w14:paraId="58F262F1">
      <w:pPr>
        <w:snapToGrid w:val="0"/>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2、为采购项目提供整体设计、规范编制或者项目管理、监理、检测等服务后再参加该采购项目的其他采购活动的。</w:t>
      </w:r>
    </w:p>
    <w:p w14:paraId="65CAAD69">
      <w:pPr>
        <w:snapToGrid w:val="0"/>
        <w:spacing w:line="360" w:lineRule="auto"/>
        <w:ind w:firstLine="5520" w:firstLineChars="2300"/>
        <w:rPr>
          <w:rFonts w:hint="eastAsia" w:ascii="仿宋" w:hAnsi="仿宋" w:cs="仿宋"/>
          <w:color w:val="auto"/>
          <w:kern w:val="0"/>
          <w:highlight w:val="none"/>
        </w:rPr>
      </w:pPr>
      <w:r>
        <w:rPr>
          <w:rFonts w:hint="eastAsia" w:ascii="仿宋" w:hAnsi="仿宋" w:cs="仿宋"/>
          <w:color w:val="auto"/>
          <w:kern w:val="0"/>
          <w:highlight w:val="none"/>
          <w:lang w:val="zh-CN"/>
        </w:rPr>
        <w:t>投标人名称(电子签名)：</w:t>
      </w:r>
    </w:p>
    <w:p w14:paraId="2B6B8AA2">
      <w:pPr>
        <w:snapToGrid w:val="0"/>
        <w:spacing w:line="360" w:lineRule="auto"/>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日期</w:t>
      </w:r>
      <w:r>
        <w:rPr>
          <w:rFonts w:hint="eastAsia" w:ascii="仿宋" w:hAnsi="仿宋" w:cs="仿宋"/>
          <w:color w:val="auto"/>
          <w:kern w:val="0"/>
          <w:highlight w:val="none"/>
        </w:rPr>
        <w:t xml:space="preserve">：  年  </w:t>
      </w:r>
      <w:r>
        <w:rPr>
          <w:rFonts w:hint="eastAsia" w:ascii="仿宋" w:hAnsi="仿宋" w:cs="仿宋"/>
          <w:color w:val="auto"/>
          <w:kern w:val="0"/>
          <w:highlight w:val="none"/>
          <w:lang w:val="zh-CN"/>
        </w:rPr>
        <w:t>月</w:t>
      </w:r>
      <w:r>
        <w:rPr>
          <w:rFonts w:hint="eastAsia" w:ascii="仿宋" w:hAnsi="仿宋" w:cs="仿宋"/>
          <w:color w:val="auto"/>
          <w:kern w:val="0"/>
          <w:highlight w:val="none"/>
        </w:rPr>
        <w:t xml:space="preserve">   </w:t>
      </w:r>
      <w:r>
        <w:rPr>
          <w:rFonts w:hint="eastAsia" w:ascii="仿宋" w:hAnsi="仿宋" w:cs="仿宋"/>
          <w:color w:val="auto"/>
          <w:kern w:val="0"/>
          <w:highlight w:val="none"/>
          <w:lang w:val="zh-CN"/>
        </w:rPr>
        <w:t>日</w:t>
      </w:r>
    </w:p>
    <w:p w14:paraId="57B23B7F">
      <w:pPr>
        <w:pStyle w:val="26"/>
        <w:rPr>
          <w:color w:val="auto"/>
          <w:highlight w:val="none"/>
        </w:rPr>
      </w:pPr>
    </w:p>
    <w:p w14:paraId="6BA15E63">
      <w:pPr>
        <w:pStyle w:val="26"/>
        <w:rPr>
          <w:b/>
          <w:bCs/>
          <w:color w:val="auto"/>
          <w:highlight w:val="none"/>
          <w:u w:val="single"/>
        </w:rPr>
      </w:pPr>
      <w:r>
        <w:rPr>
          <w:rFonts w:hint="eastAsia"/>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b/>
          <w:bCs/>
          <w:color w:val="auto"/>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8AEE158">
      <w:pPr>
        <w:rPr>
          <w:color w:val="auto"/>
          <w:highlight w:val="none"/>
        </w:rPr>
      </w:pPr>
    </w:p>
    <w:p w14:paraId="5807BDAA">
      <w:pPr>
        <w:snapToGrid w:val="0"/>
        <w:spacing w:line="360" w:lineRule="auto"/>
        <w:ind w:right="480"/>
        <w:jc w:val="center"/>
        <w:rPr>
          <w:rFonts w:hint="eastAsia" w:ascii="仿宋" w:hAnsi="仿宋" w:cs="仿宋"/>
          <w:b/>
          <w:color w:val="auto"/>
          <w:kern w:val="0"/>
          <w:sz w:val="32"/>
          <w:szCs w:val="32"/>
          <w:highlight w:val="none"/>
        </w:rPr>
      </w:pPr>
    </w:p>
    <w:p w14:paraId="3C0414A6">
      <w:pPr>
        <w:widowControl/>
        <w:spacing w:line="360" w:lineRule="auto"/>
        <w:ind w:firstLine="643" w:firstLineChars="200"/>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二、联合协议（如果有）</w:t>
      </w:r>
    </w:p>
    <w:p w14:paraId="039901BF">
      <w:pPr>
        <w:widowControl/>
        <w:spacing w:line="360" w:lineRule="auto"/>
        <w:ind w:firstLine="48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[以联合体形式投标的，提供联合协议（附件5）；本项目不接受联合体投标或者投标人不以联合体形式投标的，则不需要提供]</w:t>
      </w:r>
    </w:p>
    <w:p w14:paraId="1FE49CE8">
      <w:pPr>
        <w:pStyle w:val="5"/>
        <w:rPr>
          <w:rFonts w:hint="eastAsia" w:hAnsi="仿宋_GB2312" w:cs="仿宋_GB2312"/>
          <w:color w:val="auto"/>
          <w:sz w:val="24"/>
          <w:highlight w:val="none"/>
        </w:rPr>
      </w:pPr>
    </w:p>
    <w:p w14:paraId="206443AE">
      <w:pPr>
        <w:rPr>
          <w:rFonts w:hint="eastAsia" w:ascii="仿宋_GB2312" w:hAnsi="仿宋_GB2312" w:eastAsia="仿宋_GB2312" w:cs="仿宋_GB2312"/>
          <w:b/>
          <w:color w:val="auto"/>
          <w:highlight w:val="none"/>
        </w:rPr>
      </w:pPr>
    </w:p>
    <w:p w14:paraId="4185240E">
      <w:pPr>
        <w:pStyle w:val="5"/>
        <w:rPr>
          <w:rFonts w:hint="eastAsia"/>
          <w:color w:val="auto"/>
          <w:highlight w:val="none"/>
        </w:rPr>
      </w:pPr>
    </w:p>
    <w:p w14:paraId="2BC50F9E">
      <w:pPr>
        <w:snapToGrid w:val="0"/>
        <w:spacing w:line="360" w:lineRule="auto"/>
        <w:ind w:right="480"/>
        <w:jc w:val="center"/>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t>三、落实政府采购政策需满足的资格要求</w:t>
      </w:r>
    </w:p>
    <w:p w14:paraId="41F4F4C5">
      <w:pPr>
        <w:spacing w:line="360" w:lineRule="auto"/>
        <w:rPr>
          <w:rFonts w:hint="eastAsia" w:ascii="仿宋" w:hAnsi="仿宋" w:cs="仿宋"/>
          <w:color w:val="auto"/>
          <w:highlight w:val="none"/>
        </w:rPr>
      </w:pPr>
      <w:r>
        <w:rPr>
          <w:rFonts w:hint="eastAsia" w:ascii="仿宋" w:hAnsi="仿宋" w:cs="仿宋"/>
          <w:color w:val="auto"/>
          <w:highlight w:val="none"/>
        </w:rPr>
        <w:t>（根据招标公告落实政府采购政策需满足的资格要求选择提供相应的材料；未要求的，无需提供）</w:t>
      </w:r>
    </w:p>
    <w:p w14:paraId="6D5EF145">
      <w:pPr>
        <w:snapToGrid w:val="0"/>
        <w:spacing w:before="50" w:after="50" w:line="360" w:lineRule="auto"/>
        <w:ind w:firstLine="472" w:firstLineChars="196"/>
        <w:jc w:val="left"/>
        <w:rPr>
          <w:rFonts w:hint="eastAsia" w:ascii="仿宋" w:hAnsi="仿宋" w:cs="仿宋"/>
          <w:color w:val="auto"/>
          <w:highlight w:val="none"/>
        </w:rPr>
      </w:pPr>
      <w:r>
        <w:rPr>
          <w:rFonts w:hint="eastAsia" w:ascii="仿宋" w:hAnsi="仿宋" w:cs="仿宋"/>
          <w:b/>
          <w:color w:val="auto"/>
          <w:highlight w:val="none"/>
        </w:rPr>
        <w:t>A</w:t>
      </w:r>
      <w:r>
        <w:rPr>
          <w:rFonts w:hint="eastAsia" w:ascii="仿宋" w:hAnsi="仿宋" w:cs="仿宋"/>
          <w:color w:val="auto"/>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6E5ADDBF">
      <w:pPr>
        <w:widowControl/>
        <w:spacing w:line="360" w:lineRule="auto"/>
        <w:ind w:firstLine="480"/>
        <w:jc w:val="left"/>
        <w:rPr>
          <w:rFonts w:hint="eastAsia" w:ascii="仿宋" w:hAnsi="仿宋" w:cs="仿宋"/>
          <w:color w:val="auto"/>
          <w:highlight w:val="none"/>
        </w:rPr>
      </w:pPr>
    </w:p>
    <w:p w14:paraId="2EF9E7FE">
      <w:pPr>
        <w:widowControl/>
        <w:spacing w:line="360" w:lineRule="auto"/>
        <w:ind w:firstLine="472" w:firstLineChars="196"/>
        <w:jc w:val="left"/>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B.</w:t>
      </w:r>
      <w:r>
        <w:rPr>
          <w:rFonts w:hint="eastAsia" w:ascii="仿宋_GB2312" w:hAnsi="仿宋_GB2312" w:eastAsia="仿宋_GB2312" w:cs="仿宋_GB2312"/>
          <w:color w:val="auto"/>
          <w:highlight w:val="none"/>
        </w:rPr>
        <w:t>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4445BBA3">
      <w:pPr>
        <w:spacing w:line="360" w:lineRule="auto"/>
        <w:ind w:firstLine="480" w:firstLineChars="200"/>
        <w:rPr>
          <w:rFonts w:hint="eastAsia" w:ascii="仿宋_GB2312" w:hAnsi="仿宋_GB2312" w:eastAsia="仿宋_GB2312" w:cs="仿宋_GB2312"/>
          <w:color w:val="auto"/>
          <w:highlight w:val="none"/>
        </w:rPr>
      </w:pPr>
    </w:p>
    <w:p w14:paraId="423C372E">
      <w:pPr>
        <w:spacing w:line="360" w:lineRule="auto"/>
        <w:ind w:firstLine="48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C.</w:t>
      </w:r>
      <w:r>
        <w:rPr>
          <w:rFonts w:hint="eastAsia" w:ascii="仿宋_GB2312" w:hAnsi="仿宋_GB2312" w:eastAsia="仿宋_GB2312" w:cs="仿宋_GB2312"/>
          <w:color w:val="auto"/>
          <w:highlight w:val="none"/>
        </w:rPr>
        <w:t>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1B1DA6D2">
      <w:pPr>
        <w:widowControl/>
        <w:spacing w:line="360" w:lineRule="auto"/>
        <w:ind w:left="150"/>
        <w:jc w:val="center"/>
        <w:rPr>
          <w:rFonts w:hint="eastAsia" w:ascii="仿宋_GB2312" w:hAnsi="仿宋_GB2312" w:eastAsia="仿宋_GB2312" w:cs="仿宋_GB2312"/>
          <w:b/>
          <w:color w:val="auto"/>
          <w:kern w:val="0"/>
          <w:sz w:val="32"/>
          <w:szCs w:val="32"/>
          <w:highlight w:val="none"/>
        </w:rPr>
      </w:pPr>
    </w:p>
    <w:p w14:paraId="5B958839">
      <w:pPr>
        <w:widowControl/>
        <w:spacing w:line="360" w:lineRule="auto"/>
        <w:ind w:left="150"/>
        <w:jc w:val="center"/>
        <w:rPr>
          <w:rFonts w:hint="eastAsia" w:ascii="仿宋_GB2312" w:hAnsi="仿宋_GB2312" w:eastAsia="仿宋_GB2312" w:cs="仿宋_GB2312"/>
          <w:b/>
          <w:color w:val="auto"/>
          <w:kern w:val="0"/>
          <w:sz w:val="32"/>
          <w:szCs w:val="32"/>
          <w:highlight w:val="none"/>
        </w:rPr>
      </w:pPr>
    </w:p>
    <w:p w14:paraId="1297ECEB">
      <w:pPr>
        <w:widowControl/>
        <w:spacing w:line="360" w:lineRule="auto"/>
        <w:ind w:left="150"/>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四、本项目的特定资格要求（如果有）</w:t>
      </w:r>
    </w:p>
    <w:p w14:paraId="6968B0A9">
      <w:pPr>
        <w:spacing w:line="360" w:lineRule="auto"/>
        <w:jc w:val="center"/>
        <w:rPr>
          <w:rFonts w:hint="eastAsia" w:ascii="仿宋_GB2312" w:hAnsi="仿宋_GB2312" w:eastAsia="仿宋_GB2312" w:cs="仿宋_GB2312"/>
          <w:b/>
          <w:color w:val="auto"/>
          <w:kern w:val="0"/>
          <w:sz w:val="36"/>
          <w:szCs w:val="36"/>
          <w:highlight w:val="none"/>
        </w:rPr>
        <w:sectPr>
          <w:pgSz w:w="11906" w:h="16838"/>
          <w:pgMar w:top="680" w:right="1418" w:bottom="471" w:left="1418" w:header="851" w:footer="992" w:gutter="0"/>
          <w:cols w:space="720" w:num="1"/>
          <w:titlePg/>
          <w:docGrid w:linePitch="312" w:charSpace="0"/>
        </w:sectPr>
      </w:pPr>
      <w:r>
        <w:rPr>
          <w:rFonts w:hint="eastAsia" w:ascii="仿宋_GB2312" w:hAnsi="仿宋_GB2312" w:eastAsia="仿宋_GB2312" w:cs="仿宋_GB2312"/>
          <w:color w:val="auto"/>
          <w:highlight w:val="none"/>
        </w:rPr>
        <w:t>（根据招标公告本项目的特定资格要求提供相应的材料；未要求的，无需提供）</w:t>
      </w:r>
    </w:p>
    <w:p w14:paraId="704E338F">
      <w:pPr>
        <w:snapToGrid w:val="0"/>
        <w:spacing w:before="50" w:after="50" w:line="360" w:lineRule="auto"/>
        <w:jc w:val="center"/>
        <w:rPr>
          <w:rFonts w:hint="eastAsia" w:ascii="仿宋" w:hAnsi="仿宋" w:cs="仿宋"/>
          <w:b/>
          <w:color w:val="auto"/>
          <w:kern w:val="0"/>
          <w:sz w:val="36"/>
          <w:szCs w:val="36"/>
          <w:highlight w:val="none"/>
        </w:rPr>
      </w:pPr>
      <w:r>
        <w:rPr>
          <w:rFonts w:hint="eastAsia" w:ascii="仿宋" w:hAnsi="仿宋" w:cs="仿宋"/>
          <w:b/>
          <w:color w:val="auto"/>
          <w:kern w:val="0"/>
          <w:sz w:val="36"/>
          <w:szCs w:val="36"/>
          <w:highlight w:val="none"/>
        </w:rPr>
        <w:t>商务技术文件部分</w:t>
      </w:r>
    </w:p>
    <w:p w14:paraId="031CF1EF">
      <w:pPr>
        <w:spacing w:line="360" w:lineRule="auto"/>
        <w:jc w:val="center"/>
        <w:outlineLvl w:val="0"/>
        <w:rPr>
          <w:rFonts w:hint="eastAsia" w:ascii="仿宋" w:hAnsi="仿宋" w:cs="仿宋"/>
          <w:b/>
          <w:color w:val="auto"/>
          <w:kern w:val="0"/>
          <w:highlight w:val="none"/>
        </w:rPr>
      </w:pPr>
    </w:p>
    <w:p w14:paraId="087A1068">
      <w:pPr>
        <w:spacing w:line="360" w:lineRule="auto"/>
        <w:jc w:val="center"/>
        <w:outlineLvl w:val="0"/>
        <w:rPr>
          <w:rFonts w:hint="eastAsia" w:ascii="仿宋" w:hAnsi="仿宋" w:cs="仿宋"/>
          <w:b/>
          <w:color w:val="auto"/>
          <w:kern w:val="0"/>
          <w:sz w:val="28"/>
          <w:szCs w:val="28"/>
          <w:highlight w:val="none"/>
        </w:rPr>
      </w:pPr>
      <w:r>
        <w:rPr>
          <w:rFonts w:hint="eastAsia" w:ascii="仿宋" w:hAnsi="仿宋" w:cs="仿宋"/>
          <w:b/>
          <w:color w:val="auto"/>
          <w:kern w:val="0"/>
          <w:sz w:val="28"/>
          <w:szCs w:val="28"/>
          <w:highlight w:val="none"/>
        </w:rPr>
        <w:t>目录</w:t>
      </w:r>
    </w:p>
    <w:p w14:paraId="4DD40A33">
      <w:pPr>
        <w:snapToGrid w:val="0"/>
        <w:spacing w:line="360" w:lineRule="auto"/>
        <w:ind w:left="547"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（1）投标函………………………………………………………………………（页码）</w:t>
      </w:r>
    </w:p>
    <w:p w14:paraId="5A981BA3">
      <w:pPr>
        <w:snapToGrid w:val="0"/>
        <w:spacing w:line="360" w:lineRule="auto"/>
        <w:ind w:left="547"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（2）授权委托书或法定代表人（单位负责人、自然人本人）身份证明……（页码）</w:t>
      </w:r>
    </w:p>
    <w:p w14:paraId="186913F5">
      <w:pPr>
        <w:snapToGrid w:val="0"/>
        <w:spacing w:line="360" w:lineRule="auto"/>
        <w:ind w:left="547"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（3）分包意向协议（如果有）…………………………………………………（页码）</w:t>
      </w:r>
    </w:p>
    <w:p w14:paraId="122F6C62">
      <w:pPr>
        <w:snapToGrid w:val="0"/>
        <w:spacing w:line="360" w:lineRule="auto"/>
        <w:ind w:left="547"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（4）符合性审查资料……………………………………………………………（页码）</w:t>
      </w:r>
    </w:p>
    <w:p w14:paraId="405D9EEE">
      <w:pPr>
        <w:snapToGrid w:val="0"/>
        <w:spacing w:line="360" w:lineRule="auto"/>
        <w:ind w:left="547"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（5）评标标准相应的商务技术资料……………………………………………（页码）</w:t>
      </w:r>
    </w:p>
    <w:p w14:paraId="62A6D432">
      <w:pPr>
        <w:snapToGrid w:val="0"/>
        <w:spacing w:line="360" w:lineRule="auto"/>
        <w:ind w:left="547"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（6）投标标的清单………………………………………………………………（页码）</w:t>
      </w:r>
    </w:p>
    <w:p w14:paraId="352763CC">
      <w:pPr>
        <w:snapToGrid w:val="0"/>
        <w:spacing w:line="360" w:lineRule="auto"/>
        <w:ind w:left="547" w:leftChars="228"/>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（7）商务技术偏离表……………………………………………………………（页码）</w:t>
      </w:r>
    </w:p>
    <w:p w14:paraId="432C5696">
      <w:pPr>
        <w:snapToGrid w:val="0"/>
        <w:spacing w:line="360" w:lineRule="auto"/>
        <w:ind w:left="547" w:leftChars="228"/>
        <w:rPr>
          <w:rFonts w:hint="eastAsia" w:ascii="仿宋_GB2312" w:hAnsi="仿宋_GB2312" w:eastAsia="仿宋_GB2312" w:cs="仿宋_GB2312"/>
          <w:b/>
          <w:color w:val="auto"/>
          <w:kern w:val="0"/>
          <w:sz w:val="32"/>
          <w:szCs w:val="32"/>
          <w:highlight w:val="none"/>
        </w:rPr>
        <w:sectPr>
          <w:pgSz w:w="11906" w:h="16838"/>
          <w:pgMar w:top="680" w:right="1418" w:bottom="471" w:left="1418" w:header="851" w:footer="992" w:gutter="0"/>
          <w:cols w:space="720" w:num="1"/>
          <w:titlePg/>
          <w:docGrid w:linePitch="312" w:charSpace="0"/>
        </w:sectPr>
      </w:pP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8</w:t>
      </w:r>
      <w:r>
        <w:rPr>
          <w:rFonts w:hint="eastAsia" w:ascii="仿宋_GB2312" w:hAnsi="仿宋_GB2312" w:eastAsia="仿宋_GB2312" w:cs="仿宋_GB2312"/>
          <w:color w:val="auto"/>
          <w:highlight w:val="none"/>
          <w:lang w:val="zh-CN"/>
        </w:rPr>
        <w:t>）政府采购供应商廉洁自律承诺书</w:t>
      </w:r>
      <w:r>
        <w:rPr>
          <w:rFonts w:hint="eastAsia" w:ascii="仿宋_GB2312" w:hAnsi="仿宋_GB2312" w:eastAsia="仿宋_GB2312" w:cs="仿宋_GB2312"/>
          <w:color w:val="auto"/>
          <w:highlight w:val="none"/>
        </w:rPr>
        <w:t>…………………………………………（页码）</w:t>
      </w:r>
    </w:p>
    <w:p w14:paraId="17028B4A">
      <w:pPr>
        <w:snapToGrid w:val="0"/>
        <w:spacing w:line="400" w:lineRule="exact"/>
        <w:jc w:val="center"/>
        <w:outlineLvl w:val="0"/>
        <w:rPr>
          <w:rFonts w:hint="eastAsia" w:ascii="仿宋" w:hAnsi="仿宋" w:cs="仿宋"/>
          <w:b/>
          <w:color w:val="auto"/>
          <w:kern w:val="0"/>
          <w:sz w:val="32"/>
          <w:szCs w:val="32"/>
          <w:highlight w:val="none"/>
        </w:rPr>
      </w:pPr>
    </w:p>
    <w:p w14:paraId="57A664B5">
      <w:pPr>
        <w:snapToGrid w:val="0"/>
        <w:spacing w:line="400" w:lineRule="exact"/>
        <w:jc w:val="center"/>
        <w:outlineLvl w:val="0"/>
        <w:rPr>
          <w:rFonts w:hint="eastAsia" w:ascii="仿宋" w:hAnsi="仿宋" w:cs="仿宋"/>
          <w:b/>
          <w:color w:val="auto"/>
          <w:sz w:val="32"/>
          <w:szCs w:val="32"/>
          <w:highlight w:val="none"/>
        </w:rPr>
      </w:pPr>
      <w:r>
        <w:rPr>
          <w:rFonts w:hint="eastAsia" w:ascii="仿宋" w:hAnsi="仿宋" w:cs="仿宋"/>
          <w:b/>
          <w:color w:val="auto"/>
          <w:kern w:val="0"/>
          <w:sz w:val="32"/>
          <w:szCs w:val="32"/>
          <w:highlight w:val="none"/>
        </w:rPr>
        <w:t>一、投标</w:t>
      </w:r>
      <w:r>
        <w:rPr>
          <w:rFonts w:hint="eastAsia" w:ascii="仿宋" w:hAnsi="仿宋" w:cs="仿宋"/>
          <w:b/>
          <w:color w:val="auto"/>
          <w:sz w:val="32"/>
          <w:szCs w:val="32"/>
          <w:highlight w:val="none"/>
        </w:rPr>
        <w:t>函</w:t>
      </w:r>
    </w:p>
    <w:p w14:paraId="257250E4">
      <w:pPr>
        <w:snapToGrid w:val="0"/>
        <w:spacing w:line="400" w:lineRule="exact"/>
        <w:rPr>
          <w:rFonts w:hint="eastAsia" w:ascii="仿宋" w:hAnsi="仿宋" w:cs="仿宋"/>
          <w:color w:val="auto"/>
          <w:highlight w:val="none"/>
        </w:rPr>
      </w:pPr>
      <w:r>
        <w:rPr>
          <w:rFonts w:hint="eastAsia" w:ascii="仿宋" w:hAnsi="仿宋" w:cs="仿宋"/>
          <w:color w:val="auto"/>
          <w:highlight w:val="none"/>
          <w:lang w:eastAsia="zh-CN"/>
        </w:rPr>
        <w:t>杭州市生态环境局钱塘分局</w:t>
      </w:r>
      <w:r>
        <w:rPr>
          <w:rFonts w:hint="eastAsia" w:ascii="仿宋" w:hAnsi="仿宋" w:cs="仿宋"/>
          <w:color w:val="auto"/>
          <w:highlight w:val="none"/>
        </w:rPr>
        <w:t>、</w:t>
      </w:r>
      <w:r>
        <w:rPr>
          <w:rFonts w:hint="eastAsia" w:ascii="仿宋" w:hAnsi="仿宋" w:cs="仿宋"/>
          <w:color w:val="auto"/>
          <w:highlight w:val="none"/>
          <w:lang w:eastAsia="zh-CN"/>
        </w:rPr>
        <w:t>浙江勋达工程咨询有限公司</w:t>
      </w:r>
      <w:r>
        <w:rPr>
          <w:rFonts w:hint="eastAsia" w:ascii="仿宋" w:hAnsi="仿宋" w:cs="仿宋"/>
          <w:color w:val="auto"/>
          <w:highlight w:val="none"/>
        </w:rPr>
        <w:t>：</w:t>
      </w:r>
    </w:p>
    <w:p w14:paraId="2D960C34">
      <w:pPr>
        <w:snapToGrid w:val="0"/>
        <w:spacing w:line="400" w:lineRule="exact"/>
        <w:ind w:firstLine="480" w:firstLineChars="200"/>
        <w:rPr>
          <w:rFonts w:hint="eastAsia" w:ascii="仿宋" w:hAnsi="仿宋" w:cs="仿宋"/>
          <w:color w:val="auto"/>
          <w:highlight w:val="none"/>
        </w:rPr>
      </w:pPr>
      <w:r>
        <w:rPr>
          <w:rFonts w:hint="eastAsia" w:ascii="仿宋" w:hAnsi="仿宋" w:cs="仿宋"/>
          <w:color w:val="auto"/>
          <w:highlight w:val="none"/>
        </w:rPr>
        <w:t>我方参加你方组织的</w:t>
      </w:r>
      <w:r>
        <w:rPr>
          <w:rFonts w:hint="eastAsia" w:ascii="仿宋" w:hAnsi="仿宋" w:cs="仿宋"/>
          <w:color w:val="auto"/>
          <w:highlight w:val="none"/>
          <w:lang w:eastAsia="zh-CN"/>
        </w:rPr>
        <w:t>2025年钱塘区土壤重点监管单位周边土壤和地下水监测项目</w:t>
      </w:r>
      <w:r>
        <w:rPr>
          <w:rFonts w:hint="eastAsia" w:ascii="仿宋" w:hAnsi="仿宋" w:cs="仿宋"/>
          <w:color w:val="auto"/>
          <w:highlight w:val="none"/>
        </w:rPr>
        <w:t>【招标编号：</w:t>
      </w:r>
      <w:r>
        <w:rPr>
          <w:rFonts w:hint="eastAsia" w:ascii="仿宋" w:hAnsi="仿宋" w:cs="仿宋"/>
          <w:color w:val="auto"/>
          <w:highlight w:val="none"/>
          <w:lang w:eastAsia="zh-CN"/>
        </w:rPr>
        <w:t>QTCG-GK-2025-118</w:t>
      </w:r>
      <w:r>
        <w:rPr>
          <w:rFonts w:hint="eastAsia" w:ascii="仿宋" w:hAnsi="仿宋" w:cs="仿宋"/>
          <w:color w:val="auto"/>
          <w:highlight w:val="none"/>
        </w:rPr>
        <w:t>】招标的有关活动，并对此项目进行投标。为此：</w:t>
      </w:r>
    </w:p>
    <w:p w14:paraId="705EE467">
      <w:pPr>
        <w:snapToGrid w:val="0"/>
        <w:spacing w:line="400" w:lineRule="exact"/>
        <w:ind w:firstLine="480" w:firstLineChars="200"/>
        <w:rPr>
          <w:rFonts w:hint="eastAsia" w:ascii="仿宋" w:hAnsi="仿宋" w:cs="仿宋"/>
          <w:color w:val="auto"/>
          <w:highlight w:val="none"/>
        </w:rPr>
      </w:pPr>
      <w:r>
        <w:rPr>
          <w:rFonts w:hint="eastAsia" w:ascii="仿宋" w:hAnsi="仿宋" w:cs="仿宋"/>
          <w:color w:val="auto"/>
          <w:highlight w:val="none"/>
        </w:rPr>
        <w:t>1、我方承诺投标有效期从提交投标文件的截止之日起</w:t>
      </w:r>
      <w:r>
        <w:rPr>
          <w:rFonts w:hint="eastAsia" w:ascii="仿宋" w:hAnsi="仿宋" w:cs="仿宋"/>
          <w:color w:val="auto"/>
          <w:highlight w:val="none"/>
          <w:u w:val="single"/>
        </w:rPr>
        <w:t xml:space="preserve">     </w:t>
      </w:r>
      <w:r>
        <w:rPr>
          <w:rFonts w:hint="eastAsia" w:ascii="仿宋" w:hAnsi="仿宋" w:cs="仿宋"/>
          <w:color w:val="auto"/>
          <w:highlight w:val="none"/>
        </w:rPr>
        <w:t>天（不少于90天），本投标文件在投标有效期满之前均具有约束力。</w:t>
      </w:r>
    </w:p>
    <w:p w14:paraId="036D487F">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2、我方的投标文件包括以下内容：</w:t>
      </w:r>
    </w:p>
    <w:p w14:paraId="1282D408">
      <w:pPr>
        <w:snapToGrid w:val="0"/>
        <w:spacing w:line="360" w:lineRule="auto"/>
        <w:ind w:firstLine="720" w:firstLineChars="3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2.1资格文件：</w:t>
      </w:r>
    </w:p>
    <w:p w14:paraId="400CEA9B">
      <w:pPr>
        <w:snapToGrid w:val="0"/>
        <w:spacing w:line="360" w:lineRule="auto"/>
        <w:ind w:left="480" w:lef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2.1.1承诺函；</w:t>
      </w:r>
    </w:p>
    <w:p w14:paraId="4A9122E3">
      <w:pPr>
        <w:snapToGrid w:val="0"/>
        <w:spacing w:line="360" w:lineRule="auto"/>
        <w:ind w:left="480" w:lef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2.1.2联合协议（如果有）；</w:t>
      </w:r>
    </w:p>
    <w:p w14:paraId="3CF42B7E">
      <w:pPr>
        <w:snapToGrid w:val="0"/>
        <w:spacing w:line="360" w:lineRule="auto"/>
        <w:ind w:left="480" w:lef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2.1.3落实政府采购政策需满足的资格要求（如果有）；</w:t>
      </w:r>
    </w:p>
    <w:p w14:paraId="7E35501E">
      <w:pPr>
        <w:snapToGrid w:val="0"/>
        <w:spacing w:line="360" w:lineRule="auto"/>
        <w:ind w:left="480" w:lef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2.1.4本项目的特定资格要求（如果有）。</w:t>
      </w:r>
    </w:p>
    <w:p w14:paraId="5E4F9CD0">
      <w:pPr>
        <w:snapToGrid w:val="0"/>
        <w:spacing w:line="360" w:lineRule="auto"/>
        <w:ind w:firstLine="720" w:firstLineChars="300"/>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zh-CN"/>
        </w:rPr>
        <w:t xml:space="preserve"> </w:t>
      </w:r>
      <w:r>
        <w:rPr>
          <w:rFonts w:hint="eastAsia" w:ascii="仿宋_GB2312" w:hAnsi="仿宋_GB2312" w:eastAsia="仿宋_GB2312" w:cs="仿宋_GB2312"/>
          <w:color w:val="auto"/>
          <w:highlight w:val="none"/>
        </w:rPr>
        <w:t>商务技术</w:t>
      </w:r>
      <w:r>
        <w:rPr>
          <w:rFonts w:hint="eastAsia" w:ascii="仿宋_GB2312" w:hAnsi="仿宋_GB2312" w:eastAsia="仿宋_GB2312" w:cs="仿宋_GB2312"/>
          <w:color w:val="auto"/>
          <w:highlight w:val="none"/>
          <w:lang w:val="zh-CN"/>
        </w:rPr>
        <w:t>文件：</w:t>
      </w:r>
    </w:p>
    <w:p w14:paraId="2F3FB29A">
      <w:pPr>
        <w:snapToGrid w:val="0"/>
        <w:spacing w:line="360" w:lineRule="auto"/>
        <w:ind w:left="480" w:lef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2.2.1投标函；</w:t>
      </w:r>
      <w:r>
        <w:rPr>
          <w:rFonts w:hint="eastAsia" w:ascii="仿宋_GB2312" w:hAnsi="仿宋_GB2312" w:eastAsia="仿宋_GB2312" w:cs="仿宋_GB2312"/>
          <w:color w:val="auto"/>
          <w:highlight w:val="none"/>
          <w:lang w:val="zh-CN"/>
        </w:rPr>
        <w:t xml:space="preserve"> </w:t>
      </w:r>
    </w:p>
    <w:p w14:paraId="39B38C05">
      <w:pPr>
        <w:snapToGrid w:val="0"/>
        <w:spacing w:line="360" w:lineRule="auto"/>
        <w:ind w:left="480" w:lef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2.2.2授权委托书或法定代表人（单位负责人）身份证明；</w:t>
      </w:r>
    </w:p>
    <w:p w14:paraId="380F7FFF">
      <w:pPr>
        <w:snapToGrid w:val="0"/>
        <w:spacing w:line="360" w:lineRule="auto"/>
        <w:ind w:left="480" w:lef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2.2.3分包意向协议（如果有）；</w:t>
      </w:r>
    </w:p>
    <w:p w14:paraId="45AE2DDB">
      <w:pPr>
        <w:snapToGrid w:val="0"/>
        <w:spacing w:line="360" w:lineRule="auto"/>
        <w:ind w:left="480" w:lef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2.2.4符合性审查资料；</w:t>
      </w:r>
    </w:p>
    <w:p w14:paraId="46220AB1">
      <w:pPr>
        <w:snapToGrid w:val="0"/>
        <w:spacing w:line="360" w:lineRule="auto"/>
        <w:ind w:left="480" w:lef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2.2.5评标标准相应的商务技术资料；</w:t>
      </w:r>
    </w:p>
    <w:p w14:paraId="230103DE">
      <w:pPr>
        <w:snapToGrid w:val="0"/>
        <w:spacing w:line="360" w:lineRule="auto"/>
        <w:ind w:left="480" w:lef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2.2.6投标标的清单；</w:t>
      </w:r>
    </w:p>
    <w:p w14:paraId="78FE0DC6">
      <w:pPr>
        <w:snapToGrid w:val="0"/>
        <w:spacing w:line="360" w:lineRule="auto"/>
        <w:ind w:left="480" w:lef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2.2.7商务技术偏离表；</w:t>
      </w:r>
    </w:p>
    <w:p w14:paraId="456352A0">
      <w:pPr>
        <w:snapToGrid w:val="0"/>
        <w:spacing w:line="360" w:lineRule="auto"/>
        <w:ind w:left="480" w:leftChars="200" w:firstLine="480" w:firstLineChars="200"/>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8</w:t>
      </w:r>
      <w:r>
        <w:rPr>
          <w:rFonts w:hint="eastAsia" w:ascii="仿宋_GB2312" w:hAnsi="仿宋_GB2312" w:eastAsia="仿宋_GB2312" w:cs="仿宋_GB2312"/>
          <w:color w:val="auto"/>
          <w:highlight w:val="none"/>
          <w:lang w:val="zh-CN"/>
        </w:rPr>
        <w:t>政府采购供应商廉洁自律承诺书；</w:t>
      </w:r>
    </w:p>
    <w:p w14:paraId="0E659AF8">
      <w:pPr>
        <w:snapToGrid w:val="0"/>
        <w:spacing w:line="360" w:lineRule="auto"/>
        <w:ind w:firstLine="720" w:firstLineChars="3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zh-CN"/>
        </w:rPr>
        <w:t>.</w:t>
      </w:r>
      <w:r>
        <w:rPr>
          <w:rFonts w:hint="eastAsia" w:ascii="仿宋_GB2312" w:hAnsi="仿宋_GB2312" w:eastAsia="仿宋_GB2312" w:cs="仿宋_GB2312"/>
          <w:color w:val="auto"/>
          <w:highlight w:val="none"/>
        </w:rPr>
        <w:t>3报价文件</w:t>
      </w:r>
    </w:p>
    <w:p w14:paraId="6AF6E393">
      <w:pPr>
        <w:snapToGrid w:val="0"/>
        <w:spacing w:line="360" w:lineRule="auto"/>
        <w:ind w:left="480" w:lef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2.3.1开标一览表（报价表）；</w:t>
      </w:r>
    </w:p>
    <w:p w14:paraId="1C85632F">
      <w:pPr>
        <w:snapToGrid w:val="0"/>
        <w:spacing w:line="360" w:lineRule="auto"/>
        <w:ind w:left="480" w:leftChars="2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2.3.2中小企业声明函（如果有）。</w:t>
      </w:r>
    </w:p>
    <w:p w14:paraId="443AC164">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3、我方承诺除商务技术偏离表列出的偏离外，我方响应招标文件的全部要求。</w:t>
      </w:r>
    </w:p>
    <w:p w14:paraId="1D19DF77">
      <w:pPr>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4、如我方中标，我方承诺：</w:t>
      </w:r>
    </w:p>
    <w:p w14:paraId="049E8C4F">
      <w:pPr>
        <w:snapToGrid w:val="0"/>
        <w:spacing w:line="360" w:lineRule="auto"/>
        <w:ind w:left="240" w:leftChars="1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4.1在收到中标通知书后，在中标通知书规定的期限内与你方签订合同； </w:t>
      </w:r>
    </w:p>
    <w:p w14:paraId="51796F64">
      <w:pPr>
        <w:snapToGrid w:val="0"/>
        <w:spacing w:line="360" w:lineRule="auto"/>
        <w:ind w:left="240" w:leftChars="1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4.2在签订合同时不向你方提出附加条件； </w:t>
      </w:r>
    </w:p>
    <w:p w14:paraId="3AB32E1D">
      <w:pPr>
        <w:snapToGrid w:val="0"/>
        <w:spacing w:line="360" w:lineRule="auto"/>
        <w:ind w:left="240" w:leftChars="1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4.3按照招标文件要求提交履约保证金； </w:t>
      </w:r>
    </w:p>
    <w:p w14:paraId="06FCDFC3">
      <w:pPr>
        <w:snapToGrid w:val="0"/>
        <w:spacing w:line="360" w:lineRule="auto"/>
        <w:ind w:left="240" w:leftChars="1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4.4在合同约定的期限内完成合同规定的全部义务。 </w:t>
      </w:r>
    </w:p>
    <w:p w14:paraId="2E20EB6C">
      <w:pPr>
        <w:snapToGrid w:val="0"/>
        <w:spacing w:line="360" w:lineRule="auto"/>
        <w:ind w:left="240" w:leftChars="10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5、其他补充说明:</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3FF44ED3">
      <w:pPr>
        <w:spacing w:line="360" w:lineRule="auto"/>
        <w:ind w:firstLine="3600" w:firstLineChars="15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投标人名称（电子签名）：                          </w:t>
      </w:r>
    </w:p>
    <w:p w14:paraId="1A80BE29">
      <w:pPr>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日期：  年   月   日</w:t>
      </w:r>
    </w:p>
    <w:p w14:paraId="580BE5A3">
      <w:pPr>
        <w:spacing w:line="360" w:lineRule="auto"/>
        <w:ind w:right="420"/>
        <w:rPr>
          <w:rFonts w:hint="eastAsia" w:ascii="仿宋_GB2312" w:hAnsi="仿宋_GB2312" w:eastAsia="仿宋_GB2312" w:cs="仿宋_GB2312"/>
          <w:color w:val="auto"/>
          <w:highlight w:val="none"/>
        </w:rPr>
      </w:pPr>
    </w:p>
    <w:p w14:paraId="5B7587A3">
      <w:pPr>
        <w:spacing w:line="360" w:lineRule="auto"/>
        <w:ind w:right="4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注：按本格式和要求提供。</w:t>
      </w:r>
    </w:p>
    <w:p w14:paraId="46E167DC">
      <w:pPr>
        <w:snapToGrid w:val="0"/>
        <w:spacing w:line="360" w:lineRule="auto"/>
        <w:ind w:left="480" w:leftChars="200" w:firstLine="4200" w:firstLineChars="1750"/>
        <w:rPr>
          <w:rFonts w:hint="eastAsia" w:ascii="仿宋" w:hAnsi="仿宋" w:cs="仿宋"/>
          <w:color w:val="auto"/>
          <w:kern w:val="0"/>
          <w:highlight w:val="none"/>
          <w:u w:val="single"/>
        </w:rPr>
      </w:pPr>
    </w:p>
    <w:p w14:paraId="505A2F20">
      <w:pPr>
        <w:snapToGrid w:val="0"/>
        <w:spacing w:line="360" w:lineRule="auto"/>
        <w:jc w:val="center"/>
        <w:rPr>
          <w:rFonts w:hint="eastAsia" w:ascii="仿宋" w:hAnsi="仿宋" w:cs="仿宋"/>
          <w:b/>
          <w:color w:val="auto"/>
          <w:kern w:val="0"/>
          <w:sz w:val="32"/>
          <w:szCs w:val="32"/>
          <w:highlight w:val="none"/>
        </w:rPr>
      </w:pPr>
    </w:p>
    <w:p w14:paraId="2ECEAE0D">
      <w:pPr>
        <w:pStyle w:val="5"/>
        <w:rPr>
          <w:rFonts w:hint="eastAsia" w:ascii="仿宋" w:eastAsia="仿宋" w:cs="仿宋"/>
          <w:color w:val="auto"/>
          <w:kern w:val="0"/>
          <w:highlight w:val="none"/>
          <w:lang w:val="en-US"/>
        </w:rPr>
      </w:pPr>
    </w:p>
    <w:p w14:paraId="49F7F0E1">
      <w:pPr>
        <w:rPr>
          <w:rFonts w:hint="eastAsia" w:ascii="仿宋" w:hAnsi="仿宋" w:cs="仿宋"/>
          <w:b/>
          <w:color w:val="auto"/>
          <w:kern w:val="0"/>
          <w:sz w:val="32"/>
          <w:szCs w:val="32"/>
          <w:highlight w:val="none"/>
        </w:rPr>
      </w:pPr>
    </w:p>
    <w:p w14:paraId="47E0BE81">
      <w:pPr>
        <w:pStyle w:val="5"/>
        <w:rPr>
          <w:rFonts w:hint="eastAsia" w:ascii="仿宋" w:eastAsia="仿宋" w:cs="仿宋"/>
          <w:color w:val="auto"/>
          <w:kern w:val="0"/>
          <w:highlight w:val="none"/>
          <w:lang w:val="en-US"/>
        </w:rPr>
      </w:pPr>
    </w:p>
    <w:p w14:paraId="13F941BE">
      <w:pPr>
        <w:rPr>
          <w:rFonts w:hint="eastAsia" w:ascii="仿宋" w:hAnsi="仿宋" w:cs="仿宋"/>
          <w:b/>
          <w:color w:val="auto"/>
          <w:kern w:val="0"/>
          <w:sz w:val="32"/>
          <w:szCs w:val="32"/>
          <w:highlight w:val="none"/>
        </w:rPr>
      </w:pPr>
    </w:p>
    <w:p w14:paraId="5C5BD88F">
      <w:pPr>
        <w:pStyle w:val="5"/>
        <w:rPr>
          <w:rFonts w:hint="eastAsia" w:ascii="仿宋" w:eastAsia="仿宋" w:cs="仿宋"/>
          <w:color w:val="auto"/>
          <w:kern w:val="0"/>
          <w:highlight w:val="none"/>
          <w:lang w:val="en-US"/>
        </w:rPr>
      </w:pPr>
    </w:p>
    <w:p w14:paraId="4A8FCB2D">
      <w:pPr>
        <w:rPr>
          <w:rFonts w:hint="eastAsia" w:ascii="仿宋" w:hAnsi="仿宋" w:cs="仿宋"/>
          <w:b/>
          <w:color w:val="auto"/>
          <w:kern w:val="0"/>
          <w:sz w:val="32"/>
          <w:szCs w:val="32"/>
          <w:highlight w:val="none"/>
        </w:rPr>
      </w:pPr>
    </w:p>
    <w:p w14:paraId="09726667">
      <w:pPr>
        <w:pStyle w:val="5"/>
        <w:rPr>
          <w:rFonts w:hint="eastAsia" w:ascii="仿宋" w:eastAsia="仿宋" w:cs="仿宋"/>
          <w:color w:val="auto"/>
          <w:kern w:val="0"/>
          <w:highlight w:val="none"/>
          <w:lang w:val="en-US"/>
        </w:rPr>
      </w:pPr>
    </w:p>
    <w:p w14:paraId="04CF23DC">
      <w:pPr>
        <w:rPr>
          <w:rFonts w:hint="eastAsia" w:ascii="仿宋" w:hAnsi="仿宋" w:cs="仿宋"/>
          <w:b/>
          <w:color w:val="auto"/>
          <w:kern w:val="0"/>
          <w:sz w:val="32"/>
          <w:szCs w:val="32"/>
          <w:highlight w:val="none"/>
        </w:rPr>
      </w:pPr>
    </w:p>
    <w:p w14:paraId="199F695E">
      <w:pPr>
        <w:pStyle w:val="5"/>
        <w:rPr>
          <w:rFonts w:hint="eastAsia" w:ascii="仿宋" w:eastAsia="仿宋" w:cs="仿宋"/>
          <w:color w:val="auto"/>
          <w:kern w:val="0"/>
          <w:highlight w:val="none"/>
          <w:lang w:val="en-US"/>
        </w:rPr>
      </w:pPr>
    </w:p>
    <w:p w14:paraId="139A08B4">
      <w:pPr>
        <w:rPr>
          <w:rFonts w:hint="eastAsia" w:ascii="仿宋" w:hAnsi="仿宋" w:cs="仿宋"/>
          <w:b/>
          <w:color w:val="auto"/>
          <w:kern w:val="0"/>
          <w:sz w:val="32"/>
          <w:szCs w:val="32"/>
          <w:highlight w:val="none"/>
        </w:rPr>
      </w:pPr>
    </w:p>
    <w:p w14:paraId="174C94CB">
      <w:pPr>
        <w:pStyle w:val="5"/>
        <w:rPr>
          <w:rFonts w:hint="eastAsia" w:ascii="仿宋" w:eastAsia="仿宋" w:cs="仿宋"/>
          <w:color w:val="auto"/>
          <w:kern w:val="0"/>
          <w:highlight w:val="none"/>
          <w:lang w:val="en-US"/>
        </w:rPr>
      </w:pPr>
    </w:p>
    <w:p w14:paraId="6FF4FA72">
      <w:pPr>
        <w:rPr>
          <w:rFonts w:hint="eastAsia" w:ascii="仿宋" w:hAnsi="仿宋" w:cs="仿宋"/>
          <w:b/>
          <w:color w:val="auto"/>
          <w:kern w:val="0"/>
          <w:sz w:val="32"/>
          <w:szCs w:val="32"/>
          <w:highlight w:val="none"/>
        </w:rPr>
      </w:pPr>
    </w:p>
    <w:p w14:paraId="2438EB4A">
      <w:pPr>
        <w:pStyle w:val="5"/>
        <w:rPr>
          <w:rFonts w:hint="eastAsia" w:ascii="仿宋" w:eastAsia="仿宋" w:cs="仿宋"/>
          <w:color w:val="auto"/>
          <w:kern w:val="0"/>
          <w:highlight w:val="none"/>
          <w:lang w:val="en-US"/>
        </w:rPr>
      </w:pPr>
    </w:p>
    <w:p w14:paraId="36A743BC">
      <w:pPr>
        <w:rPr>
          <w:rFonts w:hint="eastAsia" w:ascii="仿宋" w:hAnsi="仿宋" w:cs="仿宋"/>
          <w:b/>
          <w:color w:val="auto"/>
          <w:kern w:val="0"/>
          <w:sz w:val="32"/>
          <w:szCs w:val="32"/>
          <w:highlight w:val="none"/>
        </w:rPr>
      </w:pPr>
    </w:p>
    <w:p w14:paraId="49DE5292">
      <w:pPr>
        <w:pStyle w:val="5"/>
        <w:rPr>
          <w:rFonts w:hint="eastAsia" w:ascii="仿宋" w:eastAsia="仿宋" w:cs="仿宋"/>
          <w:color w:val="auto"/>
          <w:kern w:val="0"/>
          <w:highlight w:val="none"/>
          <w:lang w:val="en-US"/>
        </w:rPr>
      </w:pPr>
    </w:p>
    <w:p w14:paraId="71128B9E">
      <w:pPr>
        <w:pStyle w:val="5"/>
        <w:ind w:left="0" w:firstLine="0"/>
        <w:rPr>
          <w:rFonts w:hint="eastAsia" w:ascii="仿宋" w:eastAsia="仿宋" w:cs="仿宋"/>
          <w:color w:val="auto"/>
          <w:kern w:val="0"/>
          <w:highlight w:val="none"/>
          <w:lang w:val="en-US"/>
        </w:rPr>
      </w:pPr>
    </w:p>
    <w:p w14:paraId="6F8331C5">
      <w:pPr>
        <w:rPr>
          <w:rFonts w:hint="eastAsia" w:ascii="仿宋" w:hAnsi="仿宋" w:cs="仿宋"/>
          <w:b/>
          <w:color w:val="auto"/>
          <w:kern w:val="0"/>
          <w:sz w:val="32"/>
          <w:szCs w:val="32"/>
          <w:highlight w:val="none"/>
        </w:rPr>
      </w:pPr>
    </w:p>
    <w:p w14:paraId="171938B2">
      <w:pPr>
        <w:pStyle w:val="5"/>
        <w:rPr>
          <w:rFonts w:hint="eastAsia" w:ascii="仿宋" w:eastAsia="仿宋" w:cs="仿宋"/>
          <w:color w:val="auto"/>
          <w:kern w:val="0"/>
          <w:highlight w:val="none"/>
          <w:lang w:val="en-US"/>
        </w:rPr>
      </w:pPr>
    </w:p>
    <w:p w14:paraId="3DA0CE52">
      <w:pPr>
        <w:rPr>
          <w:rFonts w:hint="eastAsia" w:ascii="仿宋" w:hAnsi="仿宋" w:cs="仿宋"/>
          <w:b/>
          <w:color w:val="auto"/>
          <w:kern w:val="0"/>
          <w:sz w:val="32"/>
          <w:szCs w:val="32"/>
          <w:highlight w:val="none"/>
        </w:rPr>
      </w:pPr>
    </w:p>
    <w:p w14:paraId="5D17E878">
      <w:pPr>
        <w:pStyle w:val="5"/>
        <w:rPr>
          <w:rFonts w:hint="eastAsia" w:ascii="仿宋" w:eastAsia="仿宋" w:cs="仿宋"/>
          <w:color w:val="auto"/>
          <w:kern w:val="0"/>
          <w:highlight w:val="none"/>
          <w:lang w:val="en-US"/>
        </w:rPr>
      </w:pPr>
    </w:p>
    <w:p w14:paraId="793E24C6">
      <w:pPr>
        <w:rPr>
          <w:color w:val="auto"/>
          <w:highlight w:val="none"/>
        </w:rPr>
      </w:pPr>
    </w:p>
    <w:p w14:paraId="6015B052">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lang w:val="zh-CN"/>
        </w:rPr>
        <w:t>二、授权委托书或法定代表人（单位负责人、自然人本人）身份证明</w:t>
      </w:r>
      <w:r>
        <w:rPr>
          <w:rFonts w:hint="eastAsia" w:ascii="仿宋_GB2312" w:hAnsi="仿宋_GB2312" w:eastAsia="仿宋_GB2312" w:cs="仿宋_GB2312"/>
          <w:color w:val="auto"/>
          <w:highlight w:val="none"/>
        </w:rPr>
        <w:t xml:space="preserve">     </w:t>
      </w:r>
    </w:p>
    <w:p w14:paraId="3B1A2550">
      <w:pPr>
        <w:snapToGrid w:val="0"/>
        <w:spacing w:line="360" w:lineRule="auto"/>
        <w:ind w:firstLine="2872" w:firstLineChars="894"/>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lang w:val="zh-CN"/>
        </w:rPr>
        <w:t>授权委托书（适用于非联合体投标）</w:t>
      </w:r>
      <w:r>
        <w:rPr>
          <w:rFonts w:hint="eastAsia" w:ascii="仿宋_GB2312" w:hAnsi="仿宋_GB2312" w:eastAsia="仿宋_GB2312" w:cs="仿宋_GB2312"/>
          <w:color w:val="auto"/>
          <w:highlight w:val="none"/>
        </w:rPr>
        <w:t xml:space="preserve">                               </w:t>
      </w:r>
    </w:p>
    <w:p w14:paraId="75163AA3">
      <w:pPr>
        <w:snapToGrid w:val="0"/>
        <w:spacing w:line="360" w:lineRule="auto"/>
        <w:rPr>
          <w:rFonts w:hint="eastAsia" w:ascii="仿宋_GB2312" w:hAnsi="仿宋_GB2312" w:eastAsia="仿宋_GB2312" w:cs="仿宋_GB2312"/>
          <w:color w:val="auto"/>
          <w:kern w:val="0"/>
          <w:highlight w:val="none"/>
        </w:rPr>
      </w:pPr>
      <w:r>
        <w:rPr>
          <w:rFonts w:hint="eastAsia" w:ascii="仿宋" w:hAnsi="仿宋" w:cs="仿宋"/>
          <w:color w:val="auto"/>
          <w:highlight w:val="none"/>
          <w:lang w:eastAsia="zh-CN"/>
        </w:rPr>
        <w:t>杭州市生态环境局钱塘分局</w:t>
      </w:r>
      <w:r>
        <w:rPr>
          <w:rFonts w:hint="eastAsia" w:ascii="仿宋" w:hAnsi="仿宋" w:cs="仿宋"/>
          <w:color w:val="auto"/>
          <w:highlight w:val="none"/>
        </w:rPr>
        <w:t>、</w:t>
      </w:r>
      <w:r>
        <w:rPr>
          <w:rFonts w:hint="eastAsia" w:ascii="仿宋" w:hAnsi="仿宋" w:cs="仿宋"/>
          <w:color w:val="auto"/>
          <w:highlight w:val="none"/>
          <w:lang w:eastAsia="zh-CN"/>
        </w:rPr>
        <w:t>浙江勋达工程咨询有限公司</w:t>
      </w:r>
      <w:r>
        <w:rPr>
          <w:rFonts w:hint="eastAsia" w:ascii="仿宋_GB2312" w:hAnsi="仿宋_GB2312" w:eastAsia="仿宋_GB2312" w:cs="仿宋_GB2312"/>
          <w:color w:val="auto"/>
          <w:kern w:val="0"/>
          <w:highlight w:val="none"/>
          <w:lang w:val="zh-CN"/>
        </w:rPr>
        <w:t>：</w:t>
      </w:r>
    </w:p>
    <w:p w14:paraId="70D4717A">
      <w:pPr>
        <w:snapToGrid w:val="0"/>
        <w:spacing w:line="360" w:lineRule="auto"/>
        <w:ind w:firstLine="576"/>
        <w:rPr>
          <w:rFonts w:hint="eastAsia" w:ascii="仿宋" w:hAnsi="仿宋" w:cs="仿宋"/>
          <w:color w:val="auto"/>
          <w:kern w:val="0"/>
          <w:highlight w:val="none"/>
        </w:rPr>
      </w:pPr>
      <w:r>
        <w:rPr>
          <w:rFonts w:hint="eastAsia" w:ascii="仿宋_GB2312" w:hAnsi="仿宋_GB2312" w:eastAsia="仿宋_GB2312" w:cs="仿宋_GB2312"/>
          <w:color w:val="auto"/>
          <w:kern w:val="0"/>
          <w:highlight w:val="none"/>
        </w:rPr>
        <w:t>现</w:t>
      </w:r>
      <w:r>
        <w:rPr>
          <w:rFonts w:hint="eastAsia" w:ascii="仿宋_GB2312" w:hAnsi="仿宋_GB2312" w:eastAsia="仿宋_GB2312" w:cs="仿宋_GB2312"/>
          <w:color w:val="auto"/>
          <w:kern w:val="0"/>
          <w:highlight w:val="none"/>
          <w:lang w:val="zh-CN"/>
        </w:rPr>
        <w:t>委托</w:t>
      </w:r>
      <w:r>
        <w:rPr>
          <w:rFonts w:hint="eastAsia" w:ascii="仿宋_GB2312" w:hAnsi="仿宋_GB2312" w:eastAsia="仿宋_GB2312" w:cs="仿宋_GB2312"/>
          <w:color w:val="auto"/>
          <w:kern w:val="0"/>
          <w:highlight w:val="none"/>
          <w:u w:val="single"/>
          <w:lang w:val="zh-CN"/>
        </w:rPr>
        <w:t xml:space="preserve">          </w:t>
      </w:r>
      <w:r>
        <w:rPr>
          <w:rFonts w:hint="eastAsia" w:ascii="仿宋_GB2312" w:hAnsi="仿宋_GB2312" w:eastAsia="仿宋_GB2312" w:cs="仿宋_GB2312"/>
          <w:color w:val="auto"/>
          <w:kern w:val="0"/>
          <w:highlight w:val="none"/>
          <w:lang w:val="zh-CN"/>
        </w:rPr>
        <w:t>（姓名）为我方代理人（身份证号码：</w:t>
      </w:r>
      <w:r>
        <w:rPr>
          <w:rFonts w:hint="eastAsia" w:ascii="仿宋_GB2312" w:hAnsi="仿宋_GB2312" w:eastAsia="仿宋_GB2312" w:cs="仿宋_GB2312"/>
          <w:color w:val="auto"/>
          <w:kern w:val="0"/>
          <w:highlight w:val="none"/>
          <w:u w:val="single"/>
          <w:lang w:val="zh-CN"/>
        </w:rPr>
        <w:t xml:space="preserve">          </w:t>
      </w:r>
      <w:r>
        <w:rPr>
          <w:rFonts w:hint="eastAsia" w:ascii="仿宋_GB2312" w:hAnsi="仿宋_GB2312" w:eastAsia="仿宋_GB2312" w:cs="仿宋_GB2312"/>
          <w:color w:val="auto"/>
          <w:kern w:val="0"/>
          <w:highlight w:val="none"/>
          <w:lang w:val="zh-CN"/>
        </w:rPr>
        <w:t>，手机：</w:t>
      </w:r>
      <w:r>
        <w:rPr>
          <w:rFonts w:hint="eastAsia" w:ascii="仿宋_GB2312" w:hAnsi="仿宋_GB2312" w:eastAsia="仿宋_GB2312" w:cs="仿宋_GB2312"/>
          <w:color w:val="auto"/>
          <w:kern w:val="0"/>
          <w:highlight w:val="none"/>
          <w:u w:val="single"/>
          <w:lang w:val="zh-CN"/>
        </w:rPr>
        <w:t xml:space="preserve">          </w:t>
      </w:r>
      <w:r>
        <w:rPr>
          <w:rFonts w:hint="eastAsia" w:ascii="仿宋_GB2312" w:hAnsi="仿宋_GB2312" w:eastAsia="仿宋_GB2312" w:cs="仿宋_GB2312"/>
          <w:color w:val="auto"/>
          <w:kern w:val="0"/>
          <w:highlight w:val="none"/>
          <w:lang w:val="zh-CN"/>
        </w:rPr>
        <w:t>），</w:t>
      </w:r>
      <w:r>
        <w:rPr>
          <w:rFonts w:hint="eastAsia" w:ascii="仿宋" w:hAnsi="仿宋" w:cs="仿宋"/>
          <w:color w:val="auto"/>
          <w:kern w:val="0"/>
          <w:highlight w:val="none"/>
          <w:lang w:val="zh-CN"/>
        </w:rPr>
        <w:t>以我方名义处理</w:t>
      </w:r>
      <w:r>
        <w:rPr>
          <w:rFonts w:hint="eastAsia" w:ascii="仿宋" w:hAnsi="仿宋" w:cs="仿宋"/>
          <w:color w:val="auto"/>
          <w:highlight w:val="none"/>
          <w:lang w:eastAsia="zh-CN"/>
        </w:rPr>
        <w:t>2025年钱塘区土壤重点监管单位周边土壤和地下水监测项目</w:t>
      </w:r>
      <w:r>
        <w:rPr>
          <w:rFonts w:hint="eastAsia" w:ascii="仿宋" w:hAnsi="仿宋" w:cs="仿宋"/>
          <w:color w:val="auto"/>
          <w:highlight w:val="none"/>
        </w:rPr>
        <w:t>【招标编号：</w:t>
      </w:r>
      <w:r>
        <w:rPr>
          <w:rFonts w:hint="eastAsia" w:ascii="仿宋" w:hAnsi="仿宋" w:cs="仿宋"/>
          <w:color w:val="auto"/>
          <w:highlight w:val="none"/>
          <w:lang w:eastAsia="zh-CN"/>
        </w:rPr>
        <w:t>QTCG-GK-2025-118</w:t>
      </w:r>
      <w:r>
        <w:rPr>
          <w:rFonts w:hint="eastAsia" w:ascii="仿宋" w:hAnsi="仿宋" w:cs="仿宋"/>
          <w:color w:val="auto"/>
          <w:highlight w:val="none"/>
        </w:rPr>
        <w:t>】</w:t>
      </w:r>
      <w:r>
        <w:rPr>
          <w:rFonts w:hint="eastAsia" w:ascii="仿宋" w:hAnsi="仿宋" w:cs="仿宋"/>
          <w:color w:val="auto"/>
          <w:kern w:val="0"/>
          <w:highlight w:val="none"/>
          <w:lang w:val="zh-CN"/>
        </w:rPr>
        <w:t>政府采购投标的一切事项，其法律后果由我方承担。</w:t>
      </w:r>
    </w:p>
    <w:p w14:paraId="211255AD">
      <w:pPr>
        <w:snapToGrid w:val="0"/>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委托期限</w:t>
      </w:r>
      <w:r>
        <w:rPr>
          <w:rFonts w:hint="eastAsia" w:ascii="仿宋_GB2312" w:hAnsi="仿宋_GB2312" w:eastAsia="仿宋_GB2312" w:cs="仿宋_GB2312"/>
          <w:color w:val="auto"/>
          <w:kern w:val="0"/>
          <w:highlight w:val="none"/>
        </w:rPr>
        <w:t>：</w:t>
      </w:r>
      <w:r>
        <w:rPr>
          <w:rFonts w:hint="eastAsia" w:ascii="仿宋_GB2312" w:hAnsi="仿宋_GB2312" w:eastAsia="仿宋_GB2312" w:cs="仿宋_GB2312"/>
          <w:color w:val="auto"/>
          <w:kern w:val="0"/>
          <w:highlight w:val="none"/>
          <w:lang w:val="zh-CN"/>
        </w:rPr>
        <w:t>自</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年</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月</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日起至</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年</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月</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日止。</w:t>
      </w:r>
    </w:p>
    <w:p w14:paraId="576D872B">
      <w:pPr>
        <w:snapToGrid w:val="0"/>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特此告知。</w:t>
      </w:r>
    </w:p>
    <w:p w14:paraId="1FE754BD">
      <w:pPr>
        <w:snapToGrid w:val="0"/>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val="zh-CN"/>
        </w:rPr>
        <w:t xml:space="preserve">                                                 投标人名称(电子签名)：</w:t>
      </w:r>
    </w:p>
    <w:p w14:paraId="08AAA184">
      <w:pPr>
        <w:snapToGri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val="zh-CN"/>
        </w:rPr>
        <w:t xml:space="preserve">                                                 签发日期：  年  月   日</w:t>
      </w:r>
    </w:p>
    <w:p w14:paraId="15030A0A">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val="zh-CN"/>
        </w:rPr>
        <w:t xml:space="preserve">      </w:t>
      </w:r>
      <w:r>
        <w:rPr>
          <w:rFonts w:hint="eastAsia" w:ascii="仿宋_GB2312" w:hAnsi="仿宋_GB2312" w:eastAsia="仿宋_GB2312" w:cs="仿宋_GB2312"/>
          <w:b/>
          <w:color w:val="auto"/>
          <w:kern w:val="0"/>
          <w:sz w:val="32"/>
          <w:szCs w:val="32"/>
          <w:highlight w:val="none"/>
        </w:rPr>
        <w:t xml:space="preserve"> </w:t>
      </w:r>
      <w:r>
        <w:rPr>
          <w:rFonts w:hint="eastAsia" w:ascii="仿宋_GB2312" w:hAnsi="仿宋_GB2312" w:eastAsia="仿宋_GB2312" w:cs="仿宋_GB2312"/>
          <w:b/>
          <w:color w:val="auto"/>
          <w:kern w:val="0"/>
          <w:sz w:val="32"/>
          <w:szCs w:val="32"/>
          <w:highlight w:val="none"/>
          <w:lang w:val="zh-CN"/>
        </w:rPr>
        <w:t>授权委托书（适用于联合体投标）</w:t>
      </w:r>
    </w:p>
    <w:p w14:paraId="30A4E73E">
      <w:pPr>
        <w:snapToGrid w:val="0"/>
        <w:spacing w:line="360" w:lineRule="auto"/>
        <w:rPr>
          <w:rFonts w:hint="eastAsia" w:ascii="仿宋_GB2312" w:hAnsi="仿宋_GB2312" w:eastAsia="仿宋_GB2312" w:cs="仿宋_GB2312"/>
          <w:color w:val="auto"/>
          <w:kern w:val="0"/>
          <w:highlight w:val="none"/>
        </w:rPr>
      </w:pPr>
      <w:r>
        <w:rPr>
          <w:rFonts w:hint="eastAsia" w:ascii="仿宋" w:hAnsi="仿宋" w:cs="仿宋"/>
          <w:color w:val="auto"/>
          <w:highlight w:val="none"/>
          <w:lang w:eastAsia="zh-CN"/>
        </w:rPr>
        <w:t>杭州市生态环境局钱塘分局</w:t>
      </w:r>
      <w:r>
        <w:rPr>
          <w:rFonts w:hint="eastAsia" w:ascii="仿宋" w:hAnsi="仿宋" w:cs="仿宋"/>
          <w:color w:val="auto"/>
          <w:highlight w:val="none"/>
        </w:rPr>
        <w:t>、</w:t>
      </w:r>
      <w:r>
        <w:rPr>
          <w:rFonts w:hint="eastAsia" w:ascii="仿宋" w:hAnsi="仿宋" w:cs="仿宋"/>
          <w:color w:val="auto"/>
          <w:highlight w:val="none"/>
          <w:lang w:eastAsia="zh-CN"/>
        </w:rPr>
        <w:t>浙江勋达工程咨询有限公司</w:t>
      </w:r>
      <w:r>
        <w:rPr>
          <w:rFonts w:hint="eastAsia" w:ascii="仿宋_GB2312" w:hAnsi="仿宋_GB2312" w:eastAsia="仿宋_GB2312" w:cs="仿宋_GB2312"/>
          <w:color w:val="auto"/>
          <w:kern w:val="0"/>
          <w:highlight w:val="none"/>
          <w:lang w:val="zh-CN"/>
        </w:rPr>
        <w:t>：</w:t>
      </w:r>
    </w:p>
    <w:p w14:paraId="4148058C">
      <w:pPr>
        <w:snapToGrid w:val="0"/>
        <w:spacing w:line="360" w:lineRule="auto"/>
        <w:ind w:firstLine="576"/>
        <w:rPr>
          <w:rFonts w:hint="eastAsia" w:ascii="仿宋" w:hAnsi="仿宋" w:cs="仿宋"/>
          <w:color w:val="auto"/>
          <w:kern w:val="0"/>
          <w:highlight w:val="none"/>
        </w:rPr>
      </w:pPr>
      <w:r>
        <w:rPr>
          <w:rFonts w:hint="eastAsia" w:ascii="仿宋_GB2312" w:hAnsi="仿宋_GB2312" w:eastAsia="仿宋_GB2312" w:cs="仿宋_GB2312"/>
          <w:color w:val="auto"/>
          <w:kern w:val="0"/>
          <w:highlight w:val="none"/>
        </w:rPr>
        <w:t>现</w:t>
      </w:r>
      <w:r>
        <w:rPr>
          <w:rFonts w:hint="eastAsia" w:ascii="仿宋_GB2312" w:hAnsi="仿宋_GB2312" w:eastAsia="仿宋_GB2312" w:cs="仿宋_GB2312"/>
          <w:color w:val="auto"/>
          <w:kern w:val="0"/>
          <w:highlight w:val="none"/>
          <w:lang w:val="zh-CN"/>
        </w:rPr>
        <w:t>委托</w:t>
      </w:r>
      <w:r>
        <w:rPr>
          <w:rFonts w:hint="eastAsia" w:ascii="仿宋_GB2312" w:hAnsi="仿宋_GB2312" w:eastAsia="仿宋_GB2312" w:cs="仿宋_GB2312"/>
          <w:color w:val="auto"/>
          <w:kern w:val="0"/>
          <w:highlight w:val="none"/>
          <w:u w:val="single"/>
          <w:lang w:val="zh-CN"/>
        </w:rPr>
        <w:t xml:space="preserve">          </w:t>
      </w:r>
      <w:r>
        <w:rPr>
          <w:rFonts w:hint="eastAsia" w:ascii="仿宋_GB2312" w:hAnsi="仿宋_GB2312" w:eastAsia="仿宋_GB2312" w:cs="仿宋_GB2312"/>
          <w:color w:val="auto"/>
          <w:kern w:val="0"/>
          <w:highlight w:val="none"/>
          <w:lang w:val="zh-CN"/>
        </w:rPr>
        <w:t>（姓名）为我方代理人（身份证号码：</w:t>
      </w:r>
      <w:r>
        <w:rPr>
          <w:rFonts w:hint="eastAsia" w:ascii="仿宋_GB2312" w:hAnsi="仿宋_GB2312" w:eastAsia="仿宋_GB2312" w:cs="仿宋_GB2312"/>
          <w:color w:val="auto"/>
          <w:kern w:val="0"/>
          <w:highlight w:val="none"/>
          <w:u w:val="single"/>
          <w:lang w:val="zh-CN"/>
        </w:rPr>
        <w:t xml:space="preserve">          </w:t>
      </w:r>
      <w:r>
        <w:rPr>
          <w:rFonts w:hint="eastAsia" w:ascii="仿宋_GB2312" w:hAnsi="仿宋_GB2312" w:eastAsia="仿宋_GB2312" w:cs="仿宋_GB2312"/>
          <w:color w:val="auto"/>
          <w:kern w:val="0"/>
          <w:highlight w:val="none"/>
          <w:lang w:val="zh-CN"/>
        </w:rPr>
        <w:t>，手机：</w:t>
      </w:r>
      <w:r>
        <w:rPr>
          <w:rFonts w:hint="eastAsia" w:ascii="仿宋_GB2312" w:hAnsi="仿宋_GB2312" w:eastAsia="仿宋_GB2312" w:cs="仿宋_GB2312"/>
          <w:color w:val="auto"/>
          <w:kern w:val="0"/>
          <w:highlight w:val="none"/>
          <w:u w:val="single"/>
          <w:lang w:val="zh-CN"/>
        </w:rPr>
        <w:t xml:space="preserve">          </w:t>
      </w:r>
      <w:r>
        <w:rPr>
          <w:rFonts w:hint="eastAsia" w:ascii="仿宋_GB2312" w:hAnsi="仿宋_GB2312" w:eastAsia="仿宋_GB2312" w:cs="仿宋_GB2312"/>
          <w:color w:val="auto"/>
          <w:kern w:val="0"/>
          <w:highlight w:val="none"/>
          <w:lang w:val="zh-CN"/>
        </w:rPr>
        <w:t>），</w:t>
      </w:r>
      <w:r>
        <w:rPr>
          <w:rFonts w:hint="eastAsia" w:ascii="仿宋" w:hAnsi="仿宋" w:cs="仿宋"/>
          <w:color w:val="auto"/>
          <w:kern w:val="0"/>
          <w:highlight w:val="none"/>
          <w:lang w:val="zh-CN"/>
        </w:rPr>
        <w:t>以我方名义处理</w:t>
      </w:r>
      <w:r>
        <w:rPr>
          <w:rFonts w:hint="eastAsia" w:ascii="仿宋" w:hAnsi="仿宋" w:cs="仿宋"/>
          <w:color w:val="auto"/>
          <w:highlight w:val="none"/>
          <w:lang w:eastAsia="zh-CN"/>
        </w:rPr>
        <w:t>2025年钱塘区土壤重点监管单位周边土壤和地下水监测项目</w:t>
      </w:r>
      <w:r>
        <w:rPr>
          <w:rFonts w:hint="eastAsia" w:ascii="仿宋" w:hAnsi="仿宋" w:cs="仿宋"/>
          <w:color w:val="auto"/>
          <w:highlight w:val="none"/>
        </w:rPr>
        <w:t>【招标编号：</w:t>
      </w:r>
      <w:r>
        <w:rPr>
          <w:rFonts w:hint="eastAsia" w:ascii="仿宋" w:hAnsi="仿宋" w:cs="仿宋"/>
          <w:color w:val="auto"/>
          <w:highlight w:val="none"/>
          <w:lang w:eastAsia="zh-CN"/>
        </w:rPr>
        <w:t>QTCG-GK-2025-118</w:t>
      </w:r>
      <w:r>
        <w:rPr>
          <w:rFonts w:hint="eastAsia" w:ascii="仿宋" w:hAnsi="仿宋" w:cs="仿宋"/>
          <w:color w:val="auto"/>
          <w:highlight w:val="none"/>
        </w:rPr>
        <w:t>】</w:t>
      </w:r>
      <w:r>
        <w:rPr>
          <w:rFonts w:hint="eastAsia" w:ascii="仿宋" w:hAnsi="仿宋" w:cs="仿宋"/>
          <w:color w:val="auto"/>
          <w:kern w:val="0"/>
          <w:highlight w:val="none"/>
          <w:lang w:val="zh-CN"/>
        </w:rPr>
        <w:t>政府采购投标的一切事项，其法律后果由我方承担。</w:t>
      </w:r>
    </w:p>
    <w:p w14:paraId="0309A567">
      <w:pPr>
        <w:snapToGrid w:val="0"/>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委托期限</w:t>
      </w:r>
      <w:r>
        <w:rPr>
          <w:rFonts w:hint="eastAsia" w:ascii="仿宋_GB2312" w:hAnsi="仿宋_GB2312" w:eastAsia="仿宋_GB2312" w:cs="仿宋_GB2312"/>
          <w:color w:val="auto"/>
          <w:kern w:val="0"/>
          <w:highlight w:val="none"/>
        </w:rPr>
        <w:t>：</w:t>
      </w:r>
      <w:r>
        <w:rPr>
          <w:rFonts w:hint="eastAsia" w:ascii="仿宋_GB2312" w:hAnsi="仿宋_GB2312" w:eastAsia="仿宋_GB2312" w:cs="仿宋_GB2312"/>
          <w:color w:val="auto"/>
          <w:kern w:val="0"/>
          <w:highlight w:val="none"/>
          <w:lang w:val="zh-CN"/>
        </w:rPr>
        <w:t>自</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年</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月</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日起至</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年</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月</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日止。</w:t>
      </w:r>
    </w:p>
    <w:p w14:paraId="241B1638">
      <w:pPr>
        <w:snapToGrid w:val="0"/>
        <w:spacing w:line="360" w:lineRule="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特此告知。</w:t>
      </w:r>
    </w:p>
    <w:p w14:paraId="3E3025DB">
      <w:pPr>
        <w:rPr>
          <w:rFonts w:hint="eastAsia" w:ascii="仿宋_GB2312" w:hAnsi="仿宋_GB2312" w:eastAsia="仿宋_GB2312" w:cs="仿宋_GB2312"/>
          <w:color w:val="auto"/>
          <w:highlight w:val="none"/>
        </w:rPr>
      </w:pPr>
    </w:p>
    <w:p w14:paraId="58292649">
      <w:pPr>
        <w:snapToGrid w:val="0"/>
        <w:spacing w:line="360" w:lineRule="auto"/>
        <w:ind w:firstLine="5040" w:firstLineChars="2100"/>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联合体成员名称(电子签名/公章)：</w:t>
      </w:r>
    </w:p>
    <w:p w14:paraId="3DAEB5A8">
      <w:pPr>
        <w:snapToGrid w:val="0"/>
        <w:spacing w:line="360" w:lineRule="auto"/>
        <w:ind w:firstLine="5040" w:firstLineChars="2100"/>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联合体成员名称(电子签名/公章)：</w:t>
      </w:r>
    </w:p>
    <w:p w14:paraId="727BC086">
      <w:pPr>
        <w:snapToGrid w:val="0"/>
        <w:spacing w:line="360" w:lineRule="auto"/>
        <w:ind w:firstLine="5760" w:firstLineChars="2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val="zh-CN"/>
        </w:rPr>
        <w:t>……</w:t>
      </w:r>
    </w:p>
    <w:p w14:paraId="1095D45C">
      <w:pPr>
        <w:snapToGrid w:val="0"/>
        <w:spacing w:line="360" w:lineRule="auto"/>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 xml:space="preserve">                                               日期：  年  月   日</w:t>
      </w:r>
    </w:p>
    <w:p w14:paraId="5F0094AD">
      <w:pPr>
        <w:spacing w:line="360" w:lineRule="auto"/>
        <w:ind w:firstLine="480" w:firstLineChars="200"/>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注：▲供应商委派不在本单位缴纳社保的人员作为授权代表（代理人）的，应当在投标（响应）文件中，说明具体原因、授权代表缴纳社保的单位，并附列该授权代表缴纳社保清单。</w:t>
      </w:r>
    </w:p>
    <w:p w14:paraId="3454A716">
      <w:pPr>
        <w:pStyle w:val="81"/>
        <w:ind w:firstLine="480"/>
        <w:jc w:val="right"/>
        <w:rPr>
          <w:rFonts w:hint="eastAsia" w:ascii="仿宋_GB2312" w:hAnsi="仿宋_GB2312" w:cs="仿宋_GB2312"/>
          <w:color w:val="auto"/>
          <w:kern w:val="0"/>
          <w:sz w:val="24"/>
          <w:highlight w:val="none"/>
          <w:lang w:val="zh-CN"/>
        </w:rPr>
      </w:pPr>
    </w:p>
    <w:p w14:paraId="2E9AC299">
      <w:pPr>
        <w:pStyle w:val="81"/>
        <w:ind w:firstLine="480"/>
        <w:jc w:val="right"/>
        <w:rPr>
          <w:rFonts w:hint="eastAsia" w:ascii="仿宋_GB2312" w:hAnsi="仿宋_GB2312" w:cs="仿宋_GB2312"/>
          <w:color w:val="auto"/>
          <w:kern w:val="0"/>
          <w:sz w:val="24"/>
          <w:highlight w:val="none"/>
          <w:lang w:val="zh-CN"/>
        </w:rPr>
        <w:sectPr>
          <w:pgSz w:w="11906" w:h="16838"/>
          <w:pgMar w:top="680" w:right="1418" w:bottom="471" w:left="1418" w:header="851" w:footer="992" w:gutter="0"/>
          <w:cols w:space="720" w:num="1"/>
          <w:titlePg/>
          <w:docGrid w:linePitch="312" w:charSpace="0"/>
        </w:sectPr>
      </w:pPr>
      <w:r>
        <w:rPr>
          <w:rFonts w:hint="eastAsia" w:ascii="仿宋_GB2312" w:hAnsi="仿宋_GB2312" w:cs="仿宋_GB2312"/>
          <w:color w:val="auto"/>
          <w:kern w:val="0"/>
          <w:sz w:val="24"/>
          <w:highlight w:val="none"/>
          <w:lang w:val="zh-CN"/>
        </w:rPr>
        <w:t>日期：  年  月   日</w:t>
      </w:r>
    </w:p>
    <w:p w14:paraId="022825A0">
      <w:pPr>
        <w:snapToGrid w:val="0"/>
        <w:spacing w:line="360" w:lineRule="auto"/>
        <w:rPr>
          <w:rFonts w:hint="eastAsia" w:ascii="仿宋" w:hAnsi="仿宋" w:cs="仿宋"/>
          <w:color w:val="auto"/>
          <w:kern w:val="0"/>
          <w:highlight w:val="none"/>
        </w:rPr>
      </w:pPr>
      <w:r>
        <w:rPr>
          <w:rFonts w:hint="eastAsia" w:ascii="仿宋" w:hAnsi="仿宋" w:cs="仿宋"/>
          <w:color w:val="auto"/>
          <w:kern w:val="0"/>
          <w:highlight w:val="none"/>
        </w:rPr>
        <w:t>=</w:t>
      </w:r>
    </w:p>
    <w:p w14:paraId="59382DE3">
      <w:pPr>
        <w:autoSpaceDE w:val="0"/>
        <w:autoSpaceDN w:val="0"/>
        <w:spacing w:line="360" w:lineRule="auto"/>
        <w:jc w:val="center"/>
        <w:rPr>
          <w:rFonts w:hint="eastAsia" w:ascii="仿宋" w:hAnsi="仿宋" w:cs="仿宋"/>
          <w:b/>
          <w:color w:val="auto"/>
          <w:highlight w:val="none"/>
        </w:rPr>
      </w:pPr>
      <w:r>
        <w:rPr>
          <w:rFonts w:hint="eastAsia" w:ascii="仿宋" w:hAnsi="仿宋" w:cs="仿宋"/>
          <w:b/>
          <w:color w:val="auto"/>
          <w:kern w:val="0"/>
          <w:sz w:val="32"/>
          <w:szCs w:val="32"/>
          <w:highlight w:val="none"/>
          <w:lang w:val="zh-CN"/>
        </w:rPr>
        <w:t>法定代表人、单位负责人或自然人本人</w:t>
      </w:r>
      <w:r>
        <w:rPr>
          <w:rFonts w:hint="eastAsia" w:ascii="仿宋" w:hAnsi="仿宋" w:cs="仿宋"/>
          <w:b/>
          <w:color w:val="auto"/>
          <w:sz w:val="30"/>
          <w:szCs w:val="30"/>
          <w:highlight w:val="none"/>
        </w:rPr>
        <w:t>的身份证明（适用于法定代表人、单位负责人或者自然人本人代表投标人参加投标）</w:t>
      </w:r>
    </w:p>
    <w:p w14:paraId="5B45313C">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51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87EBE7D">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15E8646">
            <w:pPr>
              <w:pStyle w:val="151"/>
              <w:adjustRightInd w:val="0"/>
              <w:spacing w:line="360" w:lineRule="auto"/>
              <w:rPr>
                <w:rFonts w:hint="eastAsia" w:ascii="仿宋" w:hAnsi="仿宋" w:eastAsia="仿宋" w:cs="仿宋"/>
                <w:bCs/>
                <w:color w:val="auto"/>
                <w:sz w:val="24"/>
                <w:highlight w:val="none"/>
              </w:rPr>
            </w:pPr>
          </w:p>
        </w:tc>
      </w:tr>
    </w:tbl>
    <w:p w14:paraId="3976E0BD">
      <w:pPr>
        <w:snapToGrid w:val="0"/>
        <w:spacing w:line="360" w:lineRule="auto"/>
        <w:ind w:firstLine="576"/>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14:paraId="20989694">
      <w:pPr>
        <w:snapToGrid w:val="0"/>
        <w:spacing w:line="360" w:lineRule="auto"/>
        <w:ind w:firstLine="576"/>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投标人名称(电子签名)：                              </w:t>
      </w:r>
    </w:p>
    <w:p w14:paraId="18D57ABE">
      <w:pPr>
        <w:spacing w:line="360" w:lineRule="auto"/>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日期：  年  月  日</w:t>
      </w:r>
    </w:p>
    <w:p w14:paraId="50D28FBB">
      <w:pPr>
        <w:jc w:val="center"/>
        <w:rPr>
          <w:rFonts w:hint="eastAsia" w:ascii="仿宋" w:hAnsi="仿宋" w:cs="仿宋"/>
          <w:b/>
          <w:color w:val="auto"/>
          <w:kern w:val="0"/>
          <w:sz w:val="32"/>
          <w:szCs w:val="32"/>
          <w:highlight w:val="none"/>
        </w:rPr>
      </w:pPr>
    </w:p>
    <w:p w14:paraId="38E0E86D">
      <w:pPr>
        <w:jc w:val="center"/>
        <w:rPr>
          <w:rFonts w:hint="eastAsia" w:ascii="仿宋" w:hAnsi="仿宋" w:cs="仿宋"/>
          <w:b/>
          <w:color w:val="auto"/>
          <w:kern w:val="0"/>
          <w:sz w:val="32"/>
          <w:szCs w:val="32"/>
          <w:highlight w:val="none"/>
        </w:rPr>
      </w:pPr>
    </w:p>
    <w:p w14:paraId="2741823A">
      <w:pPr>
        <w:jc w:val="center"/>
        <w:rPr>
          <w:rFonts w:hint="eastAsia" w:ascii="仿宋" w:hAnsi="仿宋" w:cs="仿宋"/>
          <w:b/>
          <w:color w:val="auto"/>
          <w:kern w:val="0"/>
          <w:sz w:val="32"/>
          <w:szCs w:val="32"/>
          <w:highlight w:val="none"/>
        </w:rPr>
      </w:pPr>
    </w:p>
    <w:p w14:paraId="172DC2BD">
      <w:pPr>
        <w:jc w:val="center"/>
        <w:rPr>
          <w:rFonts w:hint="eastAsia" w:ascii="仿宋" w:hAnsi="仿宋" w:cs="仿宋"/>
          <w:b/>
          <w:color w:val="auto"/>
          <w:kern w:val="0"/>
          <w:sz w:val="32"/>
          <w:szCs w:val="32"/>
          <w:highlight w:val="none"/>
        </w:rPr>
      </w:pPr>
    </w:p>
    <w:p w14:paraId="51949411">
      <w:pPr>
        <w:jc w:val="center"/>
        <w:rPr>
          <w:rFonts w:hint="eastAsia" w:ascii="仿宋" w:hAnsi="仿宋" w:cs="仿宋"/>
          <w:b/>
          <w:color w:val="auto"/>
          <w:kern w:val="0"/>
          <w:sz w:val="32"/>
          <w:szCs w:val="32"/>
          <w:highlight w:val="none"/>
        </w:rPr>
      </w:pPr>
    </w:p>
    <w:p w14:paraId="4C012DFC">
      <w:pPr>
        <w:jc w:val="center"/>
        <w:rPr>
          <w:rFonts w:hint="eastAsia" w:ascii="仿宋" w:hAnsi="仿宋" w:cs="仿宋"/>
          <w:b/>
          <w:color w:val="auto"/>
          <w:kern w:val="0"/>
          <w:sz w:val="32"/>
          <w:szCs w:val="32"/>
          <w:highlight w:val="none"/>
        </w:rPr>
      </w:pPr>
    </w:p>
    <w:p w14:paraId="644E0645">
      <w:pPr>
        <w:jc w:val="center"/>
        <w:rPr>
          <w:rFonts w:hint="eastAsia" w:ascii="仿宋" w:hAnsi="仿宋" w:cs="仿宋"/>
          <w:b/>
          <w:color w:val="auto"/>
          <w:kern w:val="0"/>
          <w:sz w:val="32"/>
          <w:szCs w:val="32"/>
          <w:highlight w:val="none"/>
        </w:rPr>
      </w:pPr>
    </w:p>
    <w:p w14:paraId="20536A39">
      <w:pPr>
        <w:jc w:val="center"/>
        <w:rPr>
          <w:rFonts w:hint="eastAsia" w:ascii="仿宋" w:hAnsi="仿宋" w:cs="仿宋"/>
          <w:b/>
          <w:color w:val="auto"/>
          <w:kern w:val="0"/>
          <w:sz w:val="32"/>
          <w:szCs w:val="32"/>
          <w:highlight w:val="none"/>
        </w:rPr>
      </w:pPr>
    </w:p>
    <w:p w14:paraId="3B1EC86D">
      <w:pPr>
        <w:jc w:val="center"/>
        <w:rPr>
          <w:rFonts w:hint="eastAsia" w:ascii="仿宋" w:hAnsi="仿宋" w:cs="仿宋"/>
          <w:b/>
          <w:color w:val="auto"/>
          <w:kern w:val="0"/>
          <w:sz w:val="32"/>
          <w:szCs w:val="32"/>
          <w:highlight w:val="none"/>
        </w:rPr>
      </w:pPr>
    </w:p>
    <w:p w14:paraId="26FBCE86">
      <w:pPr>
        <w:jc w:val="center"/>
        <w:rPr>
          <w:rFonts w:hint="eastAsia" w:ascii="仿宋" w:hAnsi="仿宋" w:cs="仿宋"/>
          <w:b/>
          <w:color w:val="auto"/>
          <w:kern w:val="0"/>
          <w:sz w:val="32"/>
          <w:szCs w:val="32"/>
          <w:highlight w:val="none"/>
        </w:rPr>
      </w:pPr>
    </w:p>
    <w:p w14:paraId="252EA4C0">
      <w:pPr>
        <w:jc w:val="center"/>
        <w:rPr>
          <w:rFonts w:hint="eastAsia" w:ascii="仿宋" w:hAnsi="仿宋" w:cs="仿宋"/>
          <w:b/>
          <w:color w:val="auto"/>
          <w:kern w:val="0"/>
          <w:sz w:val="32"/>
          <w:szCs w:val="32"/>
          <w:highlight w:val="none"/>
        </w:rPr>
      </w:pPr>
    </w:p>
    <w:p w14:paraId="09732AD3">
      <w:pPr>
        <w:pStyle w:val="5"/>
        <w:rPr>
          <w:rFonts w:hint="eastAsia"/>
          <w:color w:val="auto"/>
          <w:highlight w:val="none"/>
        </w:rPr>
      </w:pPr>
    </w:p>
    <w:p w14:paraId="223EA8A9">
      <w:pPr>
        <w:jc w:val="center"/>
        <w:rPr>
          <w:rFonts w:hint="eastAsia" w:ascii="仿宋" w:hAnsi="仿宋" w:cs="仿宋"/>
          <w:b/>
          <w:color w:val="auto"/>
          <w:kern w:val="0"/>
          <w:sz w:val="32"/>
          <w:szCs w:val="32"/>
          <w:highlight w:val="none"/>
        </w:rPr>
      </w:pPr>
    </w:p>
    <w:p w14:paraId="58D92439">
      <w:pPr>
        <w:jc w:val="center"/>
        <w:rPr>
          <w:rFonts w:hint="eastAsia" w:ascii="仿宋" w:hAnsi="仿宋" w:cs="仿宋"/>
          <w:b/>
          <w:color w:val="auto"/>
          <w:kern w:val="0"/>
          <w:sz w:val="32"/>
          <w:szCs w:val="32"/>
          <w:highlight w:val="none"/>
        </w:rPr>
      </w:pPr>
    </w:p>
    <w:p w14:paraId="1D4F8DD4">
      <w:pPr>
        <w:snapToGrid w:val="0"/>
        <w:spacing w:line="360" w:lineRule="auto"/>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三、分包意向协议（如果有）</w:t>
      </w:r>
    </w:p>
    <w:p w14:paraId="1000BFCE">
      <w:pPr>
        <w:widowControl/>
        <w:spacing w:line="360" w:lineRule="auto"/>
        <w:ind w:firstLine="120" w:firstLineChars="5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highlight w:val="none"/>
        </w:rPr>
        <w:t>中标后以分包方式履行合同的，提供分包意向协议(附件6)；采购人不同意分包或者投标人中标后不以分包方式履行合同的，则不需要提供。</w:t>
      </w:r>
      <w:r>
        <w:rPr>
          <w:rFonts w:hint="eastAsia" w:ascii="仿宋_GB2312" w:hAnsi="仿宋_GB2312" w:eastAsia="仿宋_GB2312" w:cs="仿宋_GB2312"/>
          <w:color w:val="auto"/>
          <w:highlight w:val="none"/>
        </w:rPr>
        <w:t>）</w:t>
      </w:r>
    </w:p>
    <w:p w14:paraId="07CB07BF">
      <w:pPr>
        <w:pStyle w:val="5"/>
        <w:rPr>
          <w:rFonts w:hint="eastAsia" w:hAnsi="仿宋_GB2312" w:cs="仿宋_GB2312"/>
          <w:color w:val="auto"/>
          <w:highlight w:val="none"/>
        </w:rPr>
      </w:pPr>
    </w:p>
    <w:p w14:paraId="12F4EFEC">
      <w:pPr>
        <w:rPr>
          <w:rFonts w:hint="eastAsia" w:ascii="仿宋_GB2312" w:hAnsi="仿宋_GB2312" w:eastAsia="仿宋_GB2312" w:cs="仿宋_GB2312"/>
          <w:color w:val="auto"/>
          <w:highlight w:val="none"/>
        </w:rPr>
      </w:pPr>
    </w:p>
    <w:p w14:paraId="59A4F9CA">
      <w:pPr>
        <w:pStyle w:val="5"/>
        <w:rPr>
          <w:rFonts w:hint="eastAsia" w:hAnsi="仿宋_GB2312" w:cs="仿宋_GB2312"/>
          <w:color w:val="auto"/>
          <w:highlight w:val="none"/>
        </w:rPr>
      </w:pPr>
    </w:p>
    <w:p w14:paraId="290F980B">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四、符合性审查资料</w:t>
      </w:r>
    </w:p>
    <w:p w14:paraId="5648B9C8">
      <w:pPr>
        <w:jc w:val="center"/>
        <w:rPr>
          <w:rFonts w:hint="eastAsia" w:ascii="仿宋_GB2312" w:hAnsi="仿宋_GB2312" w:eastAsia="仿宋_GB2312" w:cs="仿宋_GB2312"/>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894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F0C1B0D">
            <w:pPr>
              <w:snapToGrid w:val="0"/>
              <w:spacing w:line="240" w:lineRule="atLeas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序号</w:t>
            </w:r>
          </w:p>
        </w:tc>
        <w:tc>
          <w:tcPr>
            <w:tcW w:w="4991" w:type="dxa"/>
            <w:vAlign w:val="center"/>
          </w:tcPr>
          <w:p w14:paraId="4E76A30E">
            <w:pPr>
              <w:snapToGrid w:val="0"/>
              <w:spacing w:line="240" w:lineRule="atLeas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实质性要求</w:t>
            </w:r>
          </w:p>
        </w:tc>
        <w:tc>
          <w:tcPr>
            <w:tcW w:w="2551" w:type="dxa"/>
            <w:vAlign w:val="center"/>
          </w:tcPr>
          <w:p w14:paraId="385A280D">
            <w:pPr>
              <w:snapToGrid w:val="0"/>
              <w:spacing w:line="240" w:lineRule="atLeas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需要提供的符合性审查资料</w:t>
            </w:r>
          </w:p>
        </w:tc>
        <w:tc>
          <w:tcPr>
            <w:tcW w:w="1418" w:type="dxa"/>
            <w:vAlign w:val="center"/>
          </w:tcPr>
          <w:p w14:paraId="75BF5E00">
            <w:pPr>
              <w:snapToGrid w:val="0"/>
              <w:spacing w:line="240" w:lineRule="atLeas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投标文件中的</w:t>
            </w:r>
          </w:p>
          <w:p w14:paraId="498619B0">
            <w:pPr>
              <w:snapToGrid w:val="0"/>
              <w:spacing w:line="240" w:lineRule="atLeas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页码位置</w:t>
            </w:r>
          </w:p>
        </w:tc>
      </w:tr>
      <w:tr w14:paraId="0B1E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39DBF6">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p>
        </w:tc>
        <w:tc>
          <w:tcPr>
            <w:tcW w:w="4991" w:type="dxa"/>
          </w:tcPr>
          <w:p w14:paraId="59B848C1">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投标文件按照招标文件要求签署、盖章。</w:t>
            </w:r>
          </w:p>
        </w:tc>
        <w:tc>
          <w:tcPr>
            <w:tcW w:w="2551" w:type="dxa"/>
            <w:vAlign w:val="center"/>
          </w:tcPr>
          <w:p w14:paraId="0DCBEC88">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需要使用电子签名或者签字盖章的投标文件的组成部分</w:t>
            </w:r>
          </w:p>
        </w:tc>
        <w:tc>
          <w:tcPr>
            <w:tcW w:w="1418" w:type="dxa"/>
          </w:tcPr>
          <w:p w14:paraId="633DDDC5">
            <w:pPr>
              <w:rPr>
                <w:rFonts w:hint="eastAsia" w:ascii="仿宋_GB2312" w:hAnsi="仿宋_GB2312" w:eastAsia="仿宋_GB2312" w:cs="仿宋_GB2312"/>
                <w:color w:val="auto"/>
                <w:highlight w:val="none"/>
              </w:rPr>
            </w:pPr>
          </w:p>
          <w:p w14:paraId="5771A987">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见投标文件</w:t>
            </w:r>
          </w:p>
          <w:p w14:paraId="3E818D83">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页</w:t>
            </w:r>
          </w:p>
        </w:tc>
      </w:tr>
      <w:tr w14:paraId="5B26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2778AC">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p>
        </w:tc>
        <w:tc>
          <w:tcPr>
            <w:tcW w:w="4991" w:type="dxa"/>
          </w:tcPr>
          <w:p w14:paraId="234D4224">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投标文件中承诺的投标有效期不少于招标文件中载明的投标有效期。</w:t>
            </w:r>
          </w:p>
        </w:tc>
        <w:tc>
          <w:tcPr>
            <w:tcW w:w="2551" w:type="dxa"/>
            <w:vAlign w:val="center"/>
          </w:tcPr>
          <w:p w14:paraId="65EF28E1">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投标函</w:t>
            </w:r>
          </w:p>
        </w:tc>
        <w:tc>
          <w:tcPr>
            <w:tcW w:w="1418" w:type="dxa"/>
          </w:tcPr>
          <w:p w14:paraId="23003CB9">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见投标文件第</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页</w:t>
            </w:r>
          </w:p>
        </w:tc>
      </w:tr>
      <w:tr w14:paraId="6285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36E4CC">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p>
        </w:tc>
        <w:tc>
          <w:tcPr>
            <w:tcW w:w="4991" w:type="dxa"/>
          </w:tcPr>
          <w:p w14:paraId="28F44A97">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投标文件满足招标文件的其它实质性要求。</w:t>
            </w:r>
          </w:p>
        </w:tc>
        <w:tc>
          <w:tcPr>
            <w:tcW w:w="2551" w:type="dxa"/>
            <w:vAlign w:val="center"/>
          </w:tcPr>
          <w:p w14:paraId="3EDE4C96">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rPr>
              <w:t>招标文件其它实质性要求相应的材料（“▲” 系指实质性要求条款，招标文件无其它实质性要求的，无需提供）</w:t>
            </w:r>
          </w:p>
        </w:tc>
        <w:tc>
          <w:tcPr>
            <w:tcW w:w="1418" w:type="dxa"/>
          </w:tcPr>
          <w:p w14:paraId="712CE623">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见投标文件第</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页</w:t>
            </w:r>
          </w:p>
        </w:tc>
      </w:tr>
    </w:tbl>
    <w:p w14:paraId="428EBFA2">
      <w:pPr>
        <w:spacing w:line="360" w:lineRule="auto"/>
        <w:ind w:right="4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注：按本格式和要求提供。</w:t>
      </w:r>
    </w:p>
    <w:p w14:paraId="795A796C">
      <w:pPr>
        <w:jc w:val="center"/>
        <w:rPr>
          <w:rFonts w:hint="eastAsia" w:ascii="仿宋_GB2312" w:hAnsi="仿宋_GB2312" w:eastAsia="仿宋_GB2312" w:cs="仿宋_GB2312"/>
          <w:b/>
          <w:color w:val="auto"/>
          <w:kern w:val="0"/>
          <w:sz w:val="32"/>
          <w:szCs w:val="32"/>
          <w:highlight w:val="none"/>
        </w:rPr>
      </w:pPr>
    </w:p>
    <w:p w14:paraId="1EF120B1">
      <w:pPr>
        <w:snapToGrid w:val="0"/>
        <w:spacing w:line="360" w:lineRule="auto"/>
        <w:ind w:firstLine="576"/>
        <w:jc w:val="center"/>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 xml:space="preserve">投标人名称(电子签名)：                              </w:t>
      </w:r>
    </w:p>
    <w:p w14:paraId="237FF4E7">
      <w:pPr>
        <w:pStyle w:val="3"/>
        <w:rPr>
          <w:rFonts w:hint="eastAsia" w:ascii="仿宋_GB2312" w:hAnsi="仿宋_GB2312" w:eastAsia="仿宋_GB2312" w:cs="仿宋_GB2312"/>
          <w:color w:val="auto"/>
          <w:highlight w:val="none"/>
        </w:rPr>
        <w:sectPr>
          <w:pgSz w:w="11906" w:h="16838"/>
          <w:pgMar w:top="680" w:right="1418" w:bottom="471" w:left="1418" w:header="851" w:footer="992" w:gutter="0"/>
          <w:cols w:space="720" w:num="1"/>
          <w:titlePg/>
          <w:docGrid w:linePitch="312" w:charSpace="0"/>
        </w:sectPr>
      </w:pPr>
      <w:r>
        <w:rPr>
          <w:rFonts w:hint="eastAsia" w:ascii="仿宋_GB2312" w:hAnsi="仿宋_GB2312" w:eastAsia="仿宋_GB2312" w:cs="仿宋_GB2312"/>
          <w:color w:val="auto"/>
          <w:kern w:val="0"/>
          <w:highlight w:val="none"/>
          <w:lang w:val="zh-CN"/>
        </w:rPr>
        <w:t xml:space="preserve">                   </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日期：  年  月  日</w:t>
      </w:r>
    </w:p>
    <w:p w14:paraId="7EE30A25">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rPr>
        <w:t>五、评标标准相应的商务技术资料</w:t>
      </w:r>
    </w:p>
    <w:p w14:paraId="6709318A">
      <w:pPr>
        <w:snapToGrid w:val="0"/>
        <w:spacing w:line="360" w:lineRule="auto"/>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（按招标文件第四部分评标办法前附表中“投标文件中评标标准相应的商务技术资料目录”提供资料）</w:t>
      </w:r>
    </w:p>
    <w:p w14:paraId="66BE5DF6">
      <w:pPr>
        <w:pStyle w:val="5"/>
        <w:rPr>
          <w:rFonts w:hint="eastAsia"/>
          <w:color w:val="auto"/>
          <w:highlight w:val="none"/>
        </w:rPr>
      </w:pPr>
    </w:p>
    <w:p w14:paraId="3027969C">
      <w:pPr>
        <w:snapToGrid w:val="0"/>
        <w:spacing w:line="360" w:lineRule="auto"/>
        <w:ind w:firstLine="576"/>
        <w:jc w:val="center"/>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 xml:space="preserve">  </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 xml:space="preserve">投标人名称(电子签名)：                              </w:t>
      </w:r>
    </w:p>
    <w:p w14:paraId="79C9BC41">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highlight w:val="none"/>
          <w:lang w:val="zh-CN"/>
        </w:rPr>
        <w:t xml:space="preserve">                   日期：  年  月  日</w:t>
      </w:r>
    </w:p>
    <w:p w14:paraId="4B4804CC">
      <w:pPr>
        <w:jc w:val="center"/>
        <w:rPr>
          <w:rFonts w:hint="eastAsia" w:ascii="仿宋_GB2312" w:hAnsi="仿宋_GB2312" w:eastAsia="仿宋_GB2312" w:cs="仿宋_GB2312"/>
          <w:b/>
          <w:color w:val="auto"/>
          <w:kern w:val="0"/>
          <w:sz w:val="32"/>
          <w:szCs w:val="32"/>
          <w:highlight w:val="none"/>
        </w:rPr>
      </w:pPr>
    </w:p>
    <w:p w14:paraId="24ECD144">
      <w:pPr>
        <w:ind w:firstLine="2891" w:firstLineChars="900"/>
        <w:rPr>
          <w:rFonts w:hint="eastAsia" w:ascii="仿宋_GB2312" w:hAnsi="仿宋_GB2312" w:eastAsia="仿宋_GB2312" w:cs="仿宋_GB2312"/>
          <w:b/>
          <w:color w:val="auto"/>
          <w:kern w:val="0"/>
          <w:sz w:val="32"/>
          <w:szCs w:val="32"/>
          <w:highlight w:val="none"/>
        </w:rPr>
      </w:pPr>
    </w:p>
    <w:p w14:paraId="2C24D84C">
      <w:pPr>
        <w:ind w:firstLine="2891" w:firstLineChars="9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六、投标标的清单</w:t>
      </w:r>
    </w:p>
    <w:tbl>
      <w:tblPr>
        <w:tblStyle w:val="63"/>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14:paraId="0571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8AB719">
            <w:pPr>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09F0B9B">
            <w:pPr>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408D04C3">
            <w:pPr>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14:paraId="7CFC834E">
            <w:pPr>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14:paraId="7E4638B3">
            <w:pPr>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14:paraId="66FA247C">
            <w:pPr>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14:paraId="255693D2">
            <w:pPr>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备注</w:t>
            </w:r>
          </w:p>
        </w:tc>
      </w:tr>
      <w:tr w14:paraId="4331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E96364">
            <w:pPr>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96EFDD">
            <w:pPr>
              <w:snapToGrid w:val="0"/>
              <w:spacing w:line="360" w:lineRule="auto"/>
              <w:jc w:val="center"/>
              <w:rPr>
                <w:rFonts w:hint="eastAsia" w:ascii="仿宋_GB2312" w:hAnsi="仿宋_GB2312" w:eastAsia="仿宋_GB2312" w:cs="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A7CA090">
            <w:pPr>
              <w:snapToGrid w:val="0"/>
              <w:spacing w:line="360" w:lineRule="auto"/>
              <w:jc w:val="center"/>
              <w:rPr>
                <w:rFonts w:hint="eastAsia" w:ascii="仿宋_GB2312" w:hAnsi="仿宋_GB2312" w:eastAsia="仿宋_GB2312" w:cs="仿宋_GB2312"/>
                <w:color w:val="auto"/>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7A28A5C0">
            <w:pPr>
              <w:snapToGrid w:val="0"/>
              <w:spacing w:line="360" w:lineRule="auto"/>
              <w:jc w:val="center"/>
              <w:rPr>
                <w:rFonts w:hint="eastAsia" w:ascii="仿宋_GB2312" w:hAnsi="仿宋_GB2312" w:eastAsia="仿宋_GB2312" w:cs="仿宋_GB2312"/>
                <w:color w:val="auto"/>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046BB71B">
            <w:pPr>
              <w:spacing w:line="360" w:lineRule="auto"/>
              <w:jc w:val="center"/>
              <w:rPr>
                <w:rFonts w:hint="eastAsia" w:ascii="仿宋_GB2312" w:hAnsi="仿宋_GB2312" w:eastAsia="仿宋_GB2312" w:cs="仿宋_GB2312"/>
                <w:color w:val="auto"/>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335C4021">
            <w:pPr>
              <w:spacing w:line="360" w:lineRule="auto"/>
              <w:jc w:val="center"/>
              <w:rPr>
                <w:rFonts w:hint="eastAsia" w:ascii="仿宋_GB2312" w:hAnsi="仿宋_GB2312" w:eastAsia="仿宋_GB2312" w:cs="仿宋_GB2312"/>
                <w:color w:val="auto"/>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5150A1A">
            <w:pPr>
              <w:spacing w:line="360" w:lineRule="auto"/>
              <w:jc w:val="center"/>
              <w:rPr>
                <w:rFonts w:hint="eastAsia" w:ascii="仿宋_GB2312" w:hAnsi="仿宋_GB2312" w:eastAsia="仿宋_GB2312" w:cs="仿宋_GB2312"/>
                <w:color w:val="auto"/>
                <w:highlight w:val="none"/>
              </w:rPr>
            </w:pPr>
          </w:p>
        </w:tc>
      </w:tr>
      <w:tr w14:paraId="0678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EED6EA">
            <w:pPr>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4B7C1F2">
            <w:pPr>
              <w:snapToGrid w:val="0"/>
              <w:spacing w:line="360" w:lineRule="auto"/>
              <w:jc w:val="center"/>
              <w:rPr>
                <w:rFonts w:hint="eastAsia" w:ascii="仿宋_GB2312" w:hAnsi="仿宋_GB2312" w:eastAsia="仿宋_GB2312" w:cs="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898532E">
            <w:pPr>
              <w:snapToGrid w:val="0"/>
              <w:spacing w:line="360" w:lineRule="auto"/>
              <w:jc w:val="center"/>
              <w:rPr>
                <w:rFonts w:hint="eastAsia" w:ascii="仿宋_GB2312" w:hAnsi="仿宋_GB2312" w:eastAsia="仿宋_GB2312" w:cs="仿宋_GB2312"/>
                <w:color w:val="auto"/>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16BBE5B4">
            <w:pPr>
              <w:snapToGrid w:val="0"/>
              <w:spacing w:line="360" w:lineRule="auto"/>
              <w:jc w:val="center"/>
              <w:rPr>
                <w:rFonts w:hint="eastAsia" w:ascii="仿宋_GB2312" w:hAnsi="仿宋_GB2312" w:eastAsia="仿宋_GB2312" w:cs="仿宋_GB2312"/>
                <w:color w:val="auto"/>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4167E3A3">
            <w:pPr>
              <w:spacing w:line="360" w:lineRule="auto"/>
              <w:jc w:val="center"/>
              <w:rPr>
                <w:rFonts w:hint="eastAsia" w:ascii="仿宋_GB2312" w:hAnsi="仿宋_GB2312" w:eastAsia="仿宋_GB2312" w:cs="仿宋_GB2312"/>
                <w:color w:val="auto"/>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4994B55D">
            <w:pPr>
              <w:spacing w:line="360" w:lineRule="auto"/>
              <w:jc w:val="center"/>
              <w:rPr>
                <w:rFonts w:hint="eastAsia" w:ascii="仿宋_GB2312" w:hAnsi="仿宋_GB2312" w:eastAsia="仿宋_GB2312" w:cs="仿宋_GB2312"/>
                <w:color w:val="auto"/>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8FE7FC2">
            <w:pPr>
              <w:spacing w:line="360" w:lineRule="auto"/>
              <w:jc w:val="center"/>
              <w:rPr>
                <w:rFonts w:hint="eastAsia" w:ascii="仿宋_GB2312" w:hAnsi="仿宋_GB2312" w:eastAsia="仿宋_GB2312" w:cs="仿宋_GB2312"/>
                <w:color w:val="auto"/>
                <w:highlight w:val="none"/>
              </w:rPr>
            </w:pPr>
          </w:p>
        </w:tc>
      </w:tr>
      <w:tr w14:paraId="5218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858A5A">
            <w:pPr>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3198353">
            <w:pPr>
              <w:snapToGrid w:val="0"/>
              <w:spacing w:line="360" w:lineRule="auto"/>
              <w:jc w:val="center"/>
              <w:rPr>
                <w:rFonts w:hint="eastAsia" w:ascii="仿宋_GB2312" w:hAnsi="仿宋_GB2312" w:eastAsia="仿宋_GB2312" w:cs="仿宋_GB2312"/>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4CFDED2">
            <w:pPr>
              <w:snapToGrid w:val="0"/>
              <w:spacing w:line="360" w:lineRule="auto"/>
              <w:jc w:val="center"/>
              <w:rPr>
                <w:rFonts w:hint="eastAsia" w:ascii="仿宋_GB2312" w:hAnsi="仿宋_GB2312" w:eastAsia="仿宋_GB2312" w:cs="仿宋_GB2312"/>
                <w:color w:val="auto"/>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55A3E5B2">
            <w:pPr>
              <w:snapToGrid w:val="0"/>
              <w:spacing w:line="360" w:lineRule="auto"/>
              <w:jc w:val="center"/>
              <w:rPr>
                <w:rFonts w:hint="eastAsia" w:ascii="仿宋_GB2312" w:hAnsi="仿宋_GB2312" w:eastAsia="仿宋_GB2312" w:cs="仿宋_GB2312"/>
                <w:color w:val="auto"/>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0BAFBB7A">
            <w:pPr>
              <w:spacing w:line="360" w:lineRule="auto"/>
              <w:jc w:val="center"/>
              <w:rPr>
                <w:rFonts w:hint="eastAsia" w:ascii="仿宋_GB2312" w:hAnsi="仿宋_GB2312" w:eastAsia="仿宋_GB2312" w:cs="仿宋_GB2312"/>
                <w:color w:val="auto"/>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6FB7FAAE">
            <w:pPr>
              <w:spacing w:line="360" w:lineRule="auto"/>
              <w:jc w:val="center"/>
              <w:rPr>
                <w:rFonts w:hint="eastAsia" w:ascii="仿宋_GB2312" w:hAnsi="仿宋_GB2312" w:eastAsia="仿宋_GB2312" w:cs="仿宋_GB2312"/>
                <w:color w:val="auto"/>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018CA5E">
            <w:pPr>
              <w:spacing w:line="360" w:lineRule="auto"/>
              <w:jc w:val="center"/>
              <w:rPr>
                <w:rFonts w:hint="eastAsia" w:ascii="仿宋_GB2312" w:hAnsi="仿宋_GB2312" w:eastAsia="仿宋_GB2312" w:cs="仿宋_GB2312"/>
                <w:color w:val="auto"/>
                <w:highlight w:val="none"/>
              </w:rPr>
            </w:pPr>
          </w:p>
        </w:tc>
      </w:tr>
    </w:tbl>
    <w:p w14:paraId="05905C51">
      <w:pPr>
        <w:spacing w:line="360" w:lineRule="auto"/>
        <w:ind w:right="4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注：按本格式和要求提供。</w:t>
      </w:r>
    </w:p>
    <w:p w14:paraId="0E324EE5">
      <w:pPr>
        <w:snapToGrid w:val="0"/>
        <w:spacing w:line="360" w:lineRule="auto"/>
        <w:ind w:firstLine="576"/>
        <w:jc w:val="center"/>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 xml:space="preserve">投标人名称(电子签名)：                              </w:t>
      </w:r>
    </w:p>
    <w:p w14:paraId="3B0954E6">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highlight w:val="none"/>
          <w:lang w:val="zh-CN"/>
        </w:rPr>
        <w:t xml:space="preserve">                   日期：  年  月  日</w:t>
      </w:r>
    </w:p>
    <w:p w14:paraId="700ACDC0">
      <w:pPr>
        <w:jc w:val="center"/>
        <w:rPr>
          <w:rFonts w:hint="eastAsia" w:ascii="仿宋_GB2312" w:hAnsi="仿宋_GB2312" w:eastAsia="仿宋_GB2312" w:cs="仿宋_GB2312"/>
          <w:b/>
          <w:color w:val="auto"/>
          <w:kern w:val="0"/>
          <w:sz w:val="32"/>
          <w:szCs w:val="32"/>
          <w:highlight w:val="none"/>
        </w:rPr>
      </w:pPr>
    </w:p>
    <w:p w14:paraId="6984228D">
      <w:pPr>
        <w:jc w:val="center"/>
        <w:rPr>
          <w:rFonts w:hint="eastAsia" w:ascii="仿宋_GB2312" w:hAnsi="仿宋_GB2312" w:eastAsia="仿宋_GB2312" w:cs="仿宋_GB2312"/>
          <w:b/>
          <w:color w:val="auto"/>
          <w:kern w:val="0"/>
          <w:sz w:val="32"/>
          <w:szCs w:val="32"/>
          <w:highlight w:val="none"/>
        </w:rPr>
      </w:pPr>
    </w:p>
    <w:p w14:paraId="0D2E7955">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EE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F159E4">
            <w:pPr>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序号</w:t>
            </w:r>
          </w:p>
        </w:tc>
        <w:tc>
          <w:tcPr>
            <w:tcW w:w="3683" w:type="dxa"/>
          </w:tcPr>
          <w:p w14:paraId="28125985">
            <w:pPr>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招标文件章节及具体内容</w:t>
            </w:r>
          </w:p>
        </w:tc>
        <w:tc>
          <w:tcPr>
            <w:tcW w:w="3546" w:type="dxa"/>
          </w:tcPr>
          <w:p w14:paraId="6301070D">
            <w:pPr>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投标文件章节及具体内容</w:t>
            </w:r>
          </w:p>
        </w:tc>
        <w:tc>
          <w:tcPr>
            <w:tcW w:w="1276" w:type="dxa"/>
          </w:tcPr>
          <w:p w14:paraId="39785F5B">
            <w:pPr>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偏离说明</w:t>
            </w:r>
          </w:p>
        </w:tc>
      </w:tr>
      <w:tr w14:paraId="4DF6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01A191">
            <w:pPr>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1</w:t>
            </w:r>
          </w:p>
        </w:tc>
        <w:tc>
          <w:tcPr>
            <w:tcW w:w="3683" w:type="dxa"/>
          </w:tcPr>
          <w:p w14:paraId="3CA00680">
            <w:pPr>
              <w:jc w:val="center"/>
              <w:rPr>
                <w:rFonts w:hint="eastAsia" w:ascii="仿宋_GB2312" w:hAnsi="仿宋_GB2312" w:eastAsia="仿宋_GB2312" w:cs="仿宋_GB2312"/>
                <w:b/>
                <w:color w:val="auto"/>
                <w:kern w:val="0"/>
                <w:sz w:val="32"/>
                <w:szCs w:val="32"/>
                <w:highlight w:val="none"/>
              </w:rPr>
            </w:pPr>
          </w:p>
        </w:tc>
        <w:tc>
          <w:tcPr>
            <w:tcW w:w="3546" w:type="dxa"/>
          </w:tcPr>
          <w:p w14:paraId="622639A2">
            <w:pPr>
              <w:jc w:val="center"/>
              <w:rPr>
                <w:rFonts w:hint="eastAsia" w:ascii="仿宋_GB2312" w:hAnsi="仿宋_GB2312" w:eastAsia="仿宋_GB2312" w:cs="仿宋_GB2312"/>
                <w:b/>
                <w:color w:val="auto"/>
                <w:kern w:val="0"/>
                <w:sz w:val="32"/>
                <w:szCs w:val="32"/>
                <w:highlight w:val="none"/>
              </w:rPr>
            </w:pPr>
          </w:p>
        </w:tc>
        <w:tc>
          <w:tcPr>
            <w:tcW w:w="1276" w:type="dxa"/>
          </w:tcPr>
          <w:p w14:paraId="6F7DF396">
            <w:pPr>
              <w:jc w:val="center"/>
              <w:rPr>
                <w:rFonts w:hint="eastAsia" w:ascii="仿宋_GB2312" w:hAnsi="仿宋_GB2312" w:eastAsia="仿宋_GB2312" w:cs="仿宋_GB2312"/>
                <w:b/>
                <w:color w:val="auto"/>
                <w:kern w:val="0"/>
                <w:sz w:val="32"/>
                <w:szCs w:val="32"/>
                <w:highlight w:val="none"/>
              </w:rPr>
            </w:pPr>
          </w:p>
        </w:tc>
      </w:tr>
      <w:tr w14:paraId="39AA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330C4D">
            <w:pPr>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2</w:t>
            </w:r>
          </w:p>
        </w:tc>
        <w:tc>
          <w:tcPr>
            <w:tcW w:w="3683" w:type="dxa"/>
          </w:tcPr>
          <w:p w14:paraId="636B90D4">
            <w:pPr>
              <w:jc w:val="center"/>
              <w:rPr>
                <w:rFonts w:hint="eastAsia" w:ascii="仿宋_GB2312" w:hAnsi="仿宋_GB2312" w:eastAsia="仿宋_GB2312" w:cs="仿宋_GB2312"/>
                <w:b/>
                <w:color w:val="auto"/>
                <w:kern w:val="0"/>
                <w:sz w:val="32"/>
                <w:szCs w:val="32"/>
                <w:highlight w:val="none"/>
              </w:rPr>
            </w:pPr>
          </w:p>
        </w:tc>
        <w:tc>
          <w:tcPr>
            <w:tcW w:w="3546" w:type="dxa"/>
          </w:tcPr>
          <w:p w14:paraId="30A01153">
            <w:pPr>
              <w:jc w:val="center"/>
              <w:rPr>
                <w:rFonts w:hint="eastAsia" w:ascii="仿宋_GB2312" w:hAnsi="仿宋_GB2312" w:eastAsia="仿宋_GB2312" w:cs="仿宋_GB2312"/>
                <w:b/>
                <w:color w:val="auto"/>
                <w:kern w:val="0"/>
                <w:sz w:val="32"/>
                <w:szCs w:val="32"/>
                <w:highlight w:val="none"/>
              </w:rPr>
            </w:pPr>
          </w:p>
        </w:tc>
        <w:tc>
          <w:tcPr>
            <w:tcW w:w="1276" w:type="dxa"/>
          </w:tcPr>
          <w:p w14:paraId="07C55DBF">
            <w:pPr>
              <w:jc w:val="center"/>
              <w:rPr>
                <w:rFonts w:hint="eastAsia" w:ascii="仿宋_GB2312" w:hAnsi="仿宋_GB2312" w:eastAsia="仿宋_GB2312" w:cs="仿宋_GB2312"/>
                <w:b/>
                <w:color w:val="auto"/>
                <w:kern w:val="0"/>
                <w:sz w:val="32"/>
                <w:szCs w:val="32"/>
                <w:highlight w:val="none"/>
              </w:rPr>
            </w:pPr>
          </w:p>
        </w:tc>
      </w:tr>
      <w:tr w14:paraId="126F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891B26">
            <w:pPr>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w:t>
            </w:r>
          </w:p>
        </w:tc>
        <w:tc>
          <w:tcPr>
            <w:tcW w:w="3683" w:type="dxa"/>
          </w:tcPr>
          <w:p w14:paraId="65E36A3A">
            <w:pPr>
              <w:jc w:val="center"/>
              <w:rPr>
                <w:rFonts w:hint="eastAsia" w:ascii="仿宋_GB2312" w:hAnsi="仿宋_GB2312" w:eastAsia="仿宋_GB2312" w:cs="仿宋_GB2312"/>
                <w:b/>
                <w:color w:val="auto"/>
                <w:kern w:val="0"/>
                <w:sz w:val="32"/>
                <w:szCs w:val="32"/>
                <w:highlight w:val="none"/>
              </w:rPr>
            </w:pPr>
          </w:p>
        </w:tc>
        <w:tc>
          <w:tcPr>
            <w:tcW w:w="3546" w:type="dxa"/>
          </w:tcPr>
          <w:p w14:paraId="606F22B6">
            <w:pPr>
              <w:jc w:val="center"/>
              <w:rPr>
                <w:rFonts w:hint="eastAsia" w:ascii="仿宋_GB2312" w:hAnsi="仿宋_GB2312" w:eastAsia="仿宋_GB2312" w:cs="仿宋_GB2312"/>
                <w:b/>
                <w:color w:val="auto"/>
                <w:kern w:val="0"/>
                <w:sz w:val="32"/>
                <w:szCs w:val="32"/>
                <w:highlight w:val="none"/>
              </w:rPr>
            </w:pPr>
          </w:p>
        </w:tc>
        <w:tc>
          <w:tcPr>
            <w:tcW w:w="1276" w:type="dxa"/>
          </w:tcPr>
          <w:p w14:paraId="229392AF">
            <w:pPr>
              <w:jc w:val="center"/>
              <w:rPr>
                <w:rFonts w:hint="eastAsia" w:ascii="仿宋_GB2312" w:hAnsi="仿宋_GB2312" w:eastAsia="仿宋_GB2312" w:cs="仿宋_GB2312"/>
                <w:b/>
                <w:color w:val="auto"/>
                <w:kern w:val="0"/>
                <w:sz w:val="32"/>
                <w:szCs w:val="32"/>
                <w:highlight w:val="none"/>
              </w:rPr>
            </w:pPr>
          </w:p>
        </w:tc>
      </w:tr>
    </w:tbl>
    <w:p w14:paraId="4A38AF28">
      <w:pPr>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投标人保证：除商务技术偏离表列出的偏离外，投标人响应招标文件的全部要求</w:t>
      </w:r>
    </w:p>
    <w:p w14:paraId="7BA4684B">
      <w:pPr>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注：按本格式和要求提供。</w:t>
      </w:r>
    </w:p>
    <w:p w14:paraId="6D42127C">
      <w:pPr>
        <w:ind w:firstLine="1911" w:firstLineChars="595"/>
        <w:rPr>
          <w:rFonts w:hint="eastAsia" w:ascii="仿宋_GB2312" w:hAnsi="仿宋_GB2312" w:eastAsia="仿宋_GB2312" w:cs="仿宋_GB2312"/>
          <w:b/>
          <w:color w:val="auto"/>
          <w:kern w:val="0"/>
          <w:sz w:val="32"/>
          <w:szCs w:val="32"/>
          <w:highlight w:val="none"/>
        </w:rPr>
      </w:pPr>
    </w:p>
    <w:p w14:paraId="1ACC0806">
      <w:pPr>
        <w:snapToGrid w:val="0"/>
        <w:spacing w:line="360" w:lineRule="auto"/>
        <w:ind w:firstLine="576"/>
        <w:jc w:val="center"/>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 xml:space="preserve">投标人名称(电子签名)：                              </w:t>
      </w:r>
    </w:p>
    <w:p w14:paraId="205C9417">
      <w:pPr>
        <w:jc w:val="center"/>
        <w:rPr>
          <w:rFonts w:hint="eastAsia" w:ascii="仿宋_GB2312" w:hAnsi="仿宋_GB2312" w:eastAsia="仿宋_GB2312" w:cs="仿宋_GB2312"/>
          <w:color w:val="auto"/>
          <w:highlight w:val="none"/>
        </w:rPr>
        <w:sectPr>
          <w:pgSz w:w="11906" w:h="16838"/>
          <w:pgMar w:top="680" w:right="1418" w:bottom="471" w:left="1418" w:header="851" w:footer="992" w:gutter="0"/>
          <w:cols w:space="720" w:num="1"/>
          <w:titlePg/>
          <w:docGrid w:linePitch="312" w:charSpace="0"/>
        </w:sectPr>
      </w:pPr>
      <w:r>
        <w:rPr>
          <w:rFonts w:hint="eastAsia" w:ascii="仿宋_GB2312" w:hAnsi="仿宋_GB2312" w:eastAsia="仿宋_GB2312" w:cs="仿宋_GB2312"/>
          <w:color w:val="auto"/>
          <w:kern w:val="0"/>
          <w:highlight w:val="none"/>
          <w:lang w:val="zh-CN"/>
        </w:rPr>
        <w:t xml:space="preserve">                   日期：  年  月  日</w:t>
      </w:r>
    </w:p>
    <w:p w14:paraId="1AA9FBE4">
      <w:pPr>
        <w:rPr>
          <w:rFonts w:hint="eastAsia" w:ascii="仿宋" w:hAnsi="仿宋" w:cs="仿宋"/>
          <w:b/>
          <w:color w:val="auto"/>
          <w:kern w:val="0"/>
          <w:sz w:val="32"/>
          <w:szCs w:val="32"/>
          <w:highlight w:val="none"/>
        </w:rPr>
      </w:pPr>
    </w:p>
    <w:p w14:paraId="063122E3">
      <w:pPr>
        <w:ind w:firstLine="1911" w:firstLineChars="595"/>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rPr>
        <w:t>八、</w:t>
      </w:r>
      <w:r>
        <w:rPr>
          <w:rFonts w:hint="eastAsia" w:ascii="仿宋" w:hAnsi="仿宋" w:cs="仿宋"/>
          <w:b/>
          <w:color w:val="auto"/>
          <w:kern w:val="0"/>
          <w:sz w:val="32"/>
          <w:szCs w:val="32"/>
          <w:highlight w:val="none"/>
          <w:lang w:val="zh-CN"/>
        </w:rPr>
        <w:t>政府采购供应商廉洁自律承诺书</w:t>
      </w:r>
    </w:p>
    <w:p w14:paraId="261415C4">
      <w:pPr>
        <w:snapToGrid w:val="0"/>
        <w:spacing w:line="360" w:lineRule="auto"/>
        <w:rPr>
          <w:rFonts w:hint="eastAsia" w:ascii="仿宋" w:hAnsi="仿宋" w:cs="仿宋"/>
          <w:color w:val="auto"/>
          <w:highlight w:val="none"/>
        </w:rPr>
      </w:pPr>
    </w:p>
    <w:p w14:paraId="6B93B5A0">
      <w:pPr>
        <w:snapToGrid w:val="0"/>
        <w:spacing w:line="360" w:lineRule="auto"/>
        <w:rPr>
          <w:rFonts w:hint="eastAsia" w:ascii="仿宋" w:hAnsi="仿宋" w:cs="仿宋"/>
          <w:color w:val="auto"/>
          <w:kern w:val="0"/>
          <w:highlight w:val="none"/>
        </w:rPr>
      </w:pPr>
      <w:r>
        <w:rPr>
          <w:rFonts w:hint="eastAsia" w:ascii="仿宋" w:hAnsi="仿宋" w:cs="仿宋"/>
          <w:color w:val="auto"/>
          <w:highlight w:val="none"/>
          <w:lang w:eastAsia="zh-CN"/>
        </w:rPr>
        <w:t>杭州市生态环境局钱塘分局</w:t>
      </w:r>
      <w:r>
        <w:rPr>
          <w:rFonts w:hint="eastAsia" w:ascii="仿宋" w:hAnsi="仿宋" w:cs="仿宋"/>
          <w:color w:val="auto"/>
          <w:highlight w:val="none"/>
        </w:rPr>
        <w:t>、</w:t>
      </w:r>
      <w:r>
        <w:rPr>
          <w:rFonts w:hint="eastAsia" w:ascii="仿宋" w:hAnsi="仿宋" w:cs="仿宋"/>
          <w:color w:val="auto"/>
          <w:highlight w:val="none"/>
          <w:lang w:eastAsia="zh-CN"/>
        </w:rPr>
        <w:t>浙江勋达工程咨询有限公司</w:t>
      </w:r>
      <w:r>
        <w:rPr>
          <w:rFonts w:hint="eastAsia" w:ascii="仿宋" w:hAnsi="仿宋" w:cs="仿宋"/>
          <w:color w:val="auto"/>
          <w:kern w:val="0"/>
          <w:highlight w:val="none"/>
          <w:lang w:val="zh-CN"/>
        </w:rPr>
        <w:t>：</w:t>
      </w:r>
    </w:p>
    <w:p w14:paraId="1CABA886">
      <w:pPr>
        <w:autoSpaceDE w:val="0"/>
        <w:autoSpaceDN w:val="0"/>
        <w:spacing w:line="360" w:lineRule="auto"/>
        <w:ind w:left="2" w:leftChars="1"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我单位响应你</w:t>
      </w:r>
      <w:r>
        <w:rPr>
          <w:rFonts w:hint="eastAsia" w:ascii="仿宋" w:hAnsi="仿宋" w:cs="仿宋"/>
          <w:color w:val="auto"/>
          <w:highlight w:val="none"/>
        </w:rPr>
        <w:t>单位</w:t>
      </w:r>
      <w:r>
        <w:rPr>
          <w:rFonts w:hint="eastAsia" w:ascii="仿宋" w:hAnsi="仿宋" w:cs="仿宋"/>
          <w:color w:val="auto"/>
          <w:kern w:val="0"/>
          <w:highlight w:val="none"/>
          <w:lang w:val="zh-CN"/>
        </w:rPr>
        <w:t>项目招标要求参加投标。在这次投标过程中和中标后，我们将严格遵守国家法律法规要求，并郑重承诺：</w:t>
      </w:r>
    </w:p>
    <w:p w14:paraId="006CD7A7">
      <w:pPr>
        <w:autoSpaceDE w:val="0"/>
        <w:autoSpaceDN w:val="0"/>
        <w:spacing w:line="360" w:lineRule="auto"/>
        <w:ind w:left="2" w:leftChars="1"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一、不向项目有关人员及部门赠送礼金礼物、有价证券、回扣以及中介费、介绍费、咨询费等好处费； </w:t>
      </w:r>
    </w:p>
    <w:p w14:paraId="6A99D345">
      <w:pPr>
        <w:autoSpaceDE w:val="0"/>
        <w:autoSpaceDN w:val="0"/>
        <w:spacing w:line="360" w:lineRule="auto"/>
        <w:ind w:left="2" w:leftChars="1"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二、不为项目有关人员及部门报销应由你方单位或个人支付的费用； </w:t>
      </w:r>
    </w:p>
    <w:p w14:paraId="2A4AE159">
      <w:pPr>
        <w:autoSpaceDE w:val="0"/>
        <w:autoSpaceDN w:val="0"/>
        <w:spacing w:line="360" w:lineRule="auto"/>
        <w:ind w:left="2" w:leftChars="1"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三、不向项目有关人员及部门提供有可能影响公正的宴请和健身娱乐等活动； </w:t>
      </w:r>
    </w:p>
    <w:p w14:paraId="15B3EC20">
      <w:pPr>
        <w:autoSpaceDE w:val="0"/>
        <w:autoSpaceDN w:val="0"/>
        <w:spacing w:line="360" w:lineRule="auto"/>
        <w:ind w:left="2" w:leftChars="1"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四、不为项目有关人员及部门出国（境）、旅游等提供方便；</w:t>
      </w:r>
    </w:p>
    <w:p w14:paraId="32764478">
      <w:pPr>
        <w:autoSpaceDE w:val="0"/>
        <w:autoSpaceDN w:val="0"/>
        <w:spacing w:line="360" w:lineRule="auto"/>
        <w:ind w:left="550" w:leftChars="229"/>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五、不为项目有关人员个人装修住房、婚丧嫁娶、配偶子女工作安排等提供</w:t>
      </w:r>
    </w:p>
    <w:p w14:paraId="7E2D75F3">
      <w:pPr>
        <w:autoSpaceDE w:val="0"/>
        <w:autoSpaceDN w:val="0"/>
        <w:spacing w:line="360" w:lineRule="auto"/>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好处；</w:t>
      </w:r>
    </w:p>
    <w:p w14:paraId="3112DA9F">
      <w:pPr>
        <w:autoSpaceDE w:val="0"/>
        <w:autoSpaceDN w:val="0"/>
        <w:spacing w:line="360" w:lineRule="auto"/>
        <w:ind w:left="550" w:leftChars="229"/>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六、严格遵守《</w:t>
      </w:r>
      <w:r>
        <w:rPr>
          <w:rFonts w:hint="eastAsia" w:ascii="仿宋" w:hAnsi="仿宋" w:cs="仿宋"/>
          <w:color w:val="auto"/>
          <w:highlight w:val="none"/>
          <w:lang w:val="zh-CN"/>
        </w:rPr>
        <w:t>中华人民共和国</w:t>
      </w:r>
      <w:r>
        <w:rPr>
          <w:rFonts w:hint="eastAsia" w:ascii="仿宋" w:hAnsi="仿宋" w:cs="仿宋"/>
          <w:color w:val="auto"/>
          <w:kern w:val="0"/>
          <w:highlight w:val="none"/>
          <w:lang w:val="zh-CN"/>
        </w:rPr>
        <w:t>政府采购法》《</w:t>
      </w:r>
      <w:r>
        <w:rPr>
          <w:rFonts w:hint="eastAsia" w:ascii="仿宋" w:hAnsi="仿宋" w:cs="仿宋"/>
          <w:color w:val="auto"/>
          <w:highlight w:val="none"/>
          <w:lang w:val="zh-CN"/>
        </w:rPr>
        <w:t>中华人民共和国</w:t>
      </w:r>
      <w:r>
        <w:rPr>
          <w:rFonts w:hint="eastAsia" w:ascii="仿宋" w:hAnsi="仿宋" w:cs="仿宋"/>
          <w:color w:val="auto"/>
          <w:kern w:val="0"/>
          <w:highlight w:val="none"/>
          <w:lang w:val="zh-CN"/>
        </w:rPr>
        <w:t>招标投标</w:t>
      </w:r>
    </w:p>
    <w:p w14:paraId="3B59DC9B">
      <w:pPr>
        <w:autoSpaceDE w:val="0"/>
        <w:autoSpaceDN w:val="0"/>
        <w:spacing w:line="360" w:lineRule="auto"/>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法》</w:t>
      </w:r>
      <w:r>
        <w:rPr>
          <w:rFonts w:hint="eastAsia" w:ascii="仿宋" w:hAnsi="仿宋" w:cs="仿宋"/>
          <w:color w:val="auto"/>
          <w:highlight w:val="none"/>
          <w:lang w:val="zh-CN"/>
        </w:rPr>
        <w:t>《中华人民共和国民法典》</w:t>
      </w:r>
      <w:r>
        <w:rPr>
          <w:rFonts w:hint="eastAsia" w:ascii="仿宋" w:hAnsi="仿宋" w:cs="仿宋"/>
          <w:color w:val="auto"/>
          <w:kern w:val="0"/>
          <w:highlight w:val="none"/>
          <w:lang w:val="zh-CN"/>
        </w:rPr>
        <w:t xml:space="preserve">等法律法规，诚实守信，合法经营，坚决抵制各种违法违纪行为。 </w:t>
      </w:r>
    </w:p>
    <w:p w14:paraId="0170EDCB">
      <w:pPr>
        <w:autoSpaceDE w:val="0"/>
        <w:autoSpaceDN w:val="0"/>
        <w:spacing w:line="360" w:lineRule="auto"/>
        <w:ind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如违反上述承诺，你</w:t>
      </w:r>
      <w:r>
        <w:rPr>
          <w:rFonts w:hint="eastAsia" w:ascii="仿宋" w:hAnsi="仿宋" w:cs="仿宋"/>
          <w:color w:val="auto"/>
          <w:highlight w:val="none"/>
        </w:rPr>
        <w:t>单位</w:t>
      </w:r>
      <w:r>
        <w:rPr>
          <w:rFonts w:hint="eastAsia" w:ascii="仿宋" w:hAnsi="仿宋" w:cs="仿宋"/>
          <w:color w:val="auto"/>
          <w:kern w:val="0"/>
          <w:highlight w:val="none"/>
          <w:lang w:val="zh-CN"/>
        </w:rPr>
        <w:t>有权立即取消我单位投标、中标或在建项目的建设资格，有权拒绝我单位在一定时期内进入你</w:t>
      </w:r>
      <w:r>
        <w:rPr>
          <w:rFonts w:hint="eastAsia" w:ascii="仿宋" w:hAnsi="仿宋" w:cs="仿宋"/>
          <w:color w:val="auto"/>
          <w:highlight w:val="none"/>
        </w:rPr>
        <w:t>单位</w:t>
      </w:r>
      <w:r>
        <w:rPr>
          <w:rFonts w:hint="eastAsia" w:ascii="仿宋" w:hAnsi="仿宋" w:cs="仿宋"/>
          <w:color w:val="auto"/>
          <w:kern w:val="0"/>
          <w:highlight w:val="none"/>
          <w:lang w:val="zh-CN"/>
        </w:rPr>
        <w:t>进行项目建设或其他经营活动，并通报市财政局。由此引起的相应损失均由我单位承担。</w:t>
      </w:r>
    </w:p>
    <w:p w14:paraId="645F4329">
      <w:pPr>
        <w:autoSpaceDE w:val="0"/>
        <w:autoSpaceDN w:val="0"/>
        <w:spacing w:line="360" w:lineRule="auto"/>
        <w:ind w:left="2"/>
        <w:jc w:val="left"/>
        <w:rPr>
          <w:rFonts w:hint="eastAsia" w:ascii="仿宋" w:hAnsi="仿宋" w:cs="仿宋"/>
          <w:color w:val="auto"/>
          <w:kern w:val="0"/>
          <w:highlight w:val="none"/>
          <w:lang w:val="zh-CN"/>
        </w:rPr>
      </w:pPr>
    </w:p>
    <w:p w14:paraId="35A06180">
      <w:pPr>
        <w:autoSpaceDE w:val="0"/>
        <w:autoSpaceDN w:val="0"/>
        <w:spacing w:line="360" w:lineRule="auto"/>
        <w:ind w:left="2"/>
        <w:jc w:val="left"/>
        <w:rPr>
          <w:rFonts w:hint="eastAsia" w:ascii="仿宋" w:hAnsi="仿宋" w:cs="仿宋"/>
          <w:color w:val="auto"/>
          <w:kern w:val="0"/>
          <w:highlight w:val="none"/>
          <w:lang w:val="zh-CN"/>
        </w:rPr>
      </w:pPr>
    </w:p>
    <w:p w14:paraId="64C93620">
      <w:pPr>
        <w:autoSpaceDE w:val="0"/>
        <w:autoSpaceDN w:val="0"/>
        <w:spacing w:line="360" w:lineRule="auto"/>
        <w:ind w:left="2"/>
        <w:jc w:val="left"/>
        <w:rPr>
          <w:rFonts w:hint="eastAsia" w:ascii="仿宋" w:hAnsi="仿宋" w:cs="仿宋"/>
          <w:color w:val="auto"/>
          <w:kern w:val="0"/>
          <w:highlight w:val="none"/>
          <w:lang w:val="zh-CN"/>
        </w:rPr>
      </w:pPr>
    </w:p>
    <w:p w14:paraId="162E6689">
      <w:pPr>
        <w:autoSpaceDE w:val="0"/>
        <w:autoSpaceDN w:val="0"/>
        <w:spacing w:line="360" w:lineRule="auto"/>
        <w:ind w:left="2" w:leftChars="1" w:right="1120" w:firstLine="4560" w:firstLineChars="19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投标人名称（</w:t>
      </w:r>
      <w:r>
        <w:rPr>
          <w:rFonts w:hint="eastAsia" w:ascii="仿宋" w:hAnsi="仿宋" w:cs="仿宋"/>
          <w:color w:val="auto"/>
          <w:highlight w:val="none"/>
        </w:rPr>
        <w:t>电子签名</w:t>
      </w:r>
      <w:r>
        <w:rPr>
          <w:rFonts w:hint="eastAsia" w:ascii="仿宋" w:hAnsi="仿宋" w:cs="仿宋"/>
          <w:color w:val="auto"/>
          <w:kern w:val="0"/>
          <w:highlight w:val="none"/>
          <w:lang w:val="zh-CN"/>
        </w:rPr>
        <w:t xml:space="preserve">）：                                                                                                                                                                                                               </w:t>
      </w:r>
    </w:p>
    <w:p w14:paraId="0D204162">
      <w:pPr>
        <w:spacing w:line="360" w:lineRule="auto"/>
        <w:ind w:left="5280" w:leftChars="2200"/>
        <w:rPr>
          <w:rFonts w:hint="eastAsia" w:ascii="仿宋" w:hAnsi="仿宋" w:cs="仿宋"/>
          <w:color w:val="auto"/>
          <w:highlight w:val="none"/>
        </w:rPr>
      </w:pPr>
      <w:r>
        <w:rPr>
          <w:rFonts w:hint="eastAsia" w:ascii="仿宋" w:hAnsi="仿宋" w:cs="仿宋"/>
          <w:color w:val="auto"/>
          <w:kern w:val="0"/>
          <w:highlight w:val="none"/>
          <w:lang w:val="zh-CN"/>
        </w:rPr>
        <w:t>日期</w:t>
      </w:r>
      <w:r>
        <w:rPr>
          <w:rFonts w:hint="eastAsia" w:ascii="仿宋" w:hAnsi="仿宋" w:cs="仿宋"/>
          <w:color w:val="auto"/>
          <w:kern w:val="0"/>
          <w:highlight w:val="none"/>
        </w:rPr>
        <w:t>：</w:t>
      </w:r>
      <w:r>
        <w:rPr>
          <w:rFonts w:hint="eastAsia" w:ascii="仿宋" w:hAnsi="仿宋" w:cs="仿宋"/>
          <w:color w:val="auto"/>
          <w:kern w:val="0"/>
          <w:highlight w:val="none"/>
          <w:lang w:val="zh-CN"/>
        </w:rPr>
        <w:t xml:space="preserve">   年   月   日</w:t>
      </w:r>
    </w:p>
    <w:p w14:paraId="2978F524">
      <w:pPr>
        <w:spacing w:line="360" w:lineRule="auto"/>
        <w:jc w:val="center"/>
        <w:rPr>
          <w:rFonts w:hint="eastAsia" w:ascii="仿宋" w:hAnsi="仿宋" w:cs="仿宋"/>
          <w:b/>
          <w:bCs/>
          <w:color w:val="auto"/>
          <w:highlight w:val="none"/>
        </w:rPr>
      </w:pPr>
    </w:p>
    <w:p w14:paraId="206123D2">
      <w:pPr>
        <w:spacing w:line="360" w:lineRule="auto"/>
        <w:jc w:val="center"/>
        <w:rPr>
          <w:rFonts w:hint="eastAsia" w:ascii="仿宋" w:hAnsi="仿宋" w:cs="仿宋"/>
          <w:b/>
          <w:bCs/>
          <w:color w:val="auto"/>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49A7FC8A">
      <w:pPr>
        <w:spacing w:line="360" w:lineRule="auto"/>
        <w:jc w:val="center"/>
        <w:outlineLvl w:val="0"/>
        <w:rPr>
          <w:rFonts w:hint="eastAsia" w:ascii="仿宋" w:hAnsi="仿宋" w:cs="仿宋"/>
          <w:b/>
          <w:color w:val="auto"/>
          <w:kern w:val="0"/>
          <w:sz w:val="36"/>
          <w:szCs w:val="36"/>
          <w:highlight w:val="none"/>
        </w:rPr>
      </w:pPr>
      <w:r>
        <w:rPr>
          <w:rFonts w:hint="eastAsia" w:ascii="仿宋" w:hAnsi="仿宋" w:cs="仿宋"/>
          <w:b/>
          <w:color w:val="auto"/>
          <w:kern w:val="0"/>
          <w:sz w:val="36"/>
          <w:szCs w:val="36"/>
          <w:highlight w:val="none"/>
        </w:rPr>
        <w:t>报价文件部分</w:t>
      </w:r>
    </w:p>
    <w:p w14:paraId="4C901E63">
      <w:pPr>
        <w:spacing w:line="360" w:lineRule="auto"/>
        <w:jc w:val="center"/>
        <w:outlineLvl w:val="0"/>
        <w:rPr>
          <w:rFonts w:hint="eastAsia" w:ascii="仿宋" w:hAnsi="仿宋" w:cs="仿宋"/>
          <w:b/>
          <w:color w:val="auto"/>
          <w:kern w:val="0"/>
          <w:sz w:val="36"/>
          <w:szCs w:val="36"/>
          <w:highlight w:val="none"/>
        </w:rPr>
      </w:pPr>
      <w:r>
        <w:rPr>
          <w:rFonts w:hint="eastAsia" w:ascii="仿宋" w:hAnsi="仿宋" w:cs="仿宋"/>
          <w:b/>
          <w:color w:val="auto"/>
          <w:kern w:val="0"/>
          <w:sz w:val="36"/>
          <w:szCs w:val="36"/>
          <w:highlight w:val="none"/>
        </w:rPr>
        <w:t>目录</w:t>
      </w:r>
    </w:p>
    <w:p w14:paraId="4FEA9727">
      <w:pPr>
        <w:spacing w:line="360" w:lineRule="auto"/>
        <w:jc w:val="center"/>
        <w:outlineLvl w:val="0"/>
        <w:rPr>
          <w:rFonts w:hint="eastAsia" w:ascii="仿宋" w:hAnsi="仿宋" w:cs="仿宋"/>
          <w:b/>
          <w:color w:val="auto"/>
          <w:kern w:val="0"/>
          <w:sz w:val="36"/>
          <w:szCs w:val="36"/>
          <w:highlight w:val="none"/>
        </w:rPr>
      </w:pPr>
    </w:p>
    <w:p w14:paraId="75B58F2D">
      <w:pPr>
        <w:snapToGrid w:val="0"/>
        <w:spacing w:line="360" w:lineRule="auto"/>
        <w:rPr>
          <w:rFonts w:hint="eastAsia" w:ascii="仿宋" w:hAnsi="仿宋" w:cs="仿宋"/>
          <w:color w:val="auto"/>
          <w:highlight w:val="none"/>
        </w:rPr>
      </w:pPr>
      <w:r>
        <w:rPr>
          <w:rFonts w:hint="eastAsia" w:ascii="仿宋" w:hAnsi="仿宋" w:cs="仿宋"/>
          <w:color w:val="auto"/>
          <w:highlight w:val="none"/>
        </w:rPr>
        <w:t>（1）开标一览表（报价表）………………………………………………………（页码）</w:t>
      </w:r>
    </w:p>
    <w:p w14:paraId="5142B3A6">
      <w:pPr>
        <w:snapToGrid w:val="0"/>
        <w:spacing w:line="360" w:lineRule="auto"/>
        <w:rPr>
          <w:rFonts w:hint="eastAsia" w:ascii="仿宋" w:hAnsi="仿宋" w:cs="仿宋"/>
          <w:color w:val="auto"/>
          <w:highlight w:val="none"/>
        </w:rPr>
      </w:pPr>
      <w:r>
        <w:rPr>
          <w:rFonts w:hint="eastAsia" w:ascii="仿宋" w:hAnsi="仿宋" w:cs="仿宋"/>
          <w:color w:val="auto"/>
          <w:highlight w:val="none"/>
        </w:rPr>
        <w:t>（2）中小企业声明函………………………………………………………………（页码）</w:t>
      </w:r>
    </w:p>
    <w:p w14:paraId="06F2BC5A">
      <w:pPr>
        <w:snapToGrid w:val="0"/>
        <w:spacing w:line="360" w:lineRule="auto"/>
        <w:ind w:right="480"/>
        <w:jc w:val="center"/>
        <w:rPr>
          <w:rFonts w:hint="eastAsia" w:ascii="仿宋" w:hAnsi="仿宋" w:cs="仿宋"/>
          <w:b/>
          <w:color w:val="auto"/>
          <w:kern w:val="0"/>
          <w:sz w:val="32"/>
          <w:szCs w:val="32"/>
          <w:highlight w:val="none"/>
        </w:rPr>
      </w:pPr>
    </w:p>
    <w:p w14:paraId="29308264">
      <w:pPr>
        <w:snapToGrid w:val="0"/>
        <w:spacing w:line="360" w:lineRule="auto"/>
        <w:ind w:right="480"/>
        <w:jc w:val="center"/>
        <w:rPr>
          <w:rFonts w:hint="eastAsia" w:ascii="仿宋" w:hAnsi="仿宋" w:cs="仿宋"/>
          <w:b/>
          <w:color w:val="auto"/>
          <w:kern w:val="0"/>
          <w:sz w:val="32"/>
          <w:szCs w:val="32"/>
          <w:highlight w:val="none"/>
        </w:rPr>
      </w:pPr>
    </w:p>
    <w:p w14:paraId="45070AEC">
      <w:pPr>
        <w:snapToGrid w:val="0"/>
        <w:spacing w:line="360" w:lineRule="auto"/>
        <w:ind w:right="480"/>
        <w:jc w:val="center"/>
        <w:rPr>
          <w:rFonts w:hint="eastAsia" w:ascii="仿宋" w:hAnsi="仿宋" w:cs="仿宋"/>
          <w:b/>
          <w:color w:val="auto"/>
          <w:kern w:val="0"/>
          <w:sz w:val="32"/>
          <w:szCs w:val="32"/>
          <w:highlight w:val="none"/>
        </w:rPr>
      </w:pPr>
    </w:p>
    <w:p w14:paraId="3A3ADC59">
      <w:pPr>
        <w:snapToGrid w:val="0"/>
        <w:spacing w:line="360" w:lineRule="auto"/>
        <w:ind w:right="480"/>
        <w:jc w:val="center"/>
        <w:rPr>
          <w:rFonts w:hint="eastAsia" w:ascii="仿宋" w:hAnsi="仿宋" w:cs="仿宋"/>
          <w:b/>
          <w:color w:val="auto"/>
          <w:kern w:val="0"/>
          <w:sz w:val="32"/>
          <w:szCs w:val="32"/>
          <w:highlight w:val="none"/>
        </w:rPr>
      </w:pPr>
    </w:p>
    <w:p w14:paraId="7F240949">
      <w:pPr>
        <w:snapToGrid w:val="0"/>
        <w:spacing w:line="360" w:lineRule="auto"/>
        <w:ind w:right="480"/>
        <w:jc w:val="center"/>
        <w:rPr>
          <w:rFonts w:hint="eastAsia" w:ascii="仿宋" w:hAnsi="仿宋" w:cs="仿宋"/>
          <w:b/>
          <w:color w:val="auto"/>
          <w:kern w:val="0"/>
          <w:sz w:val="32"/>
          <w:szCs w:val="32"/>
          <w:highlight w:val="none"/>
        </w:rPr>
      </w:pPr>
    </w:p>
    <w:p w14:paraId="24853640">
      <w:pPr>
        <w:snapToGrid w:val="0"/>
        <w:spacing w:line="360" w:lineRule="auto"/>
        <w:ind w:right="480"/>
        <w:jc w:val="center"/>
        <w:rPr>
          <w:rFonts w:hint="eastAsia" w:ascii="仿宋" w:hAnsi="仿宋" w:cs="仿宋"/>
          <w:b/>
          <w:color w:val="auto"/>
          <w:kern w:val="0"/>
          <w:sz w:val="32"/>
          <w:szCs w:val="32"/>
          <w:highlight w:val="none"/>
        </w:rPr>
      </w:pPr>
    </w:p>
    <w:p w14:paraId="257EEB20">
      <w:pPr>
        <w:snapToGrid w:val="0"/>
        <w:spacing w:line="360" w:lineRule="auto"/>
        <w:ind w:right="480"/>
        <w:jc w:val="center"/>
        <w:rPr>
          <w:rFonts w:hint="eastAsia" w:ascii="仿宋" w:hAnsi="仿宋" w:cs="仿宋"/>
          <w:b/>
          <w:color w:val="auto"/>
          <w:kern w:val="0"/>
          <w:sz w:val="32"/>
          <w:szCs w:val="32"/>
          <w:highlight w:val="none"/>
        </w:rPr>
      </w:pPr>
    </w:p>
    <w:p w14:paraId="110EF51B">
      <w:pPr>
        <w:snapToGrid w:val="0"/>
        <w:spacing w:line="360" w:lineRule="auto"/>
        <w:ind w:right="480"/>
        <w:jc w:val="center"/>
        <w:rPr>
          <w:rFonts w:hint="eastAsia" w:ascii="仿宋" w:hAnsi="仿宋" w:cs="仿宋"/>
          <w:b/>
          <w:color w:val="auto"/>
          <w:kern w:val="0"/>
          <w:sz w:val="32"/>
          <w:szCs w:val="32"/>
          <w:highlight w:val="none"/>
        </w:rPr>
      </w:pPr>
    </w:p>
    <w:p w14:paraId="05DDD56B">
      <w:pPr>
        <w:snapToGrid w:val="0"/>
        <w:spacing w:line="360" w:lineRule="auto"/>
        <w:ind w:right="480"/>
        <w:jc w:val="center"/>
        <w:rPr>
          <w:rFonts w:hint="eastAsia" w:ascii="仿宋" w:hAnsi="仿宋" w:cs="仿宋"/>
          <w:b/>
          <w:color w:val="auto"/>
          <w:kern w:val="0"/>
          <w:sz w:val="32"/>
          <w:szCs w:val="32"/>
          <w:highlight w:val="none"/>
        </w:rPr>
      </w:pPr>
    </w:p>
    <w:p w14:paraId="2A511DB9">
      <w:pPr>
        <w:snapToGrid w:val="0"/>
        <w:spacing w:line="360" w:lineRule="auto"/>
        <w:ind w:right="480"/>
        <w:jc w:val="center"/>
        <w:rPr>
          <w:rFonts w:hint="eastAsia" w:ascii="仿宋" w:hAnsi="仿宋" w:cs="仿宋"/>
          <w:b/>
          <w:color w:val="auto"/>
          <w:kern w:val="0"/>
          <w:sz w:val="32"/>
          <w:szCs w:val="32"/>
          <w:highlight w:val="none"/>
        </w:rPr>
      </w:pPr>
    </w:p>
    <w:p w14:paraId="04EE105C">
      <w:pPr>
        <w:snapToGrid w:val="0"/>
        <w:spacing w:line="360" w:lineRule="auto"/>
        <w:ind w:right="480"/>
        <w:jc w:val="center"/>
        <w:rPr>
          <w:rFonts w:hint="eastAsia" w:ascii="仿宋" w:hAnsi="仿宋" w:cs="仿宋"/>
          <w:b/>
          <w:color w:val="auto"/>
          <w:kern w:val="0"/>
          <w:sz w:val="32"/>
          <w:szCs w:val="32"/>
          <w:highlight w:val="none"/>
        </w:rPr>
      </w:pPr>
    </w:p>
    <w:p w14:paraId="3BF65E35">
      <w:pPr>
        <w:snapToGrid w:val="0"/>
        <w:spacing w:line="360" w:lineRule="auto"/>
        <w:ind w:right="480"/>
        <w:jc w:val="center"/>
        <w:rPr>
          <w:rFonts w:hint="eastAsia" w:ascii="仿宋" w:hAnsi="仿宋" w:cs="仿宋"/>
          <w:b/>
          <w:color w:val="auto"/>
          <w:kern w:val="0"/>
          <w:sz w:val="32"/>
          <w:szCs w:val="32"/>
          <w:highlight w:val="none"/>
        </w:rPr>
      </w:pPr>
    </w:p>
    <w:p w14:paraId="7588E759">
      <w:pPr>
        <w:snapToGrid w:val="0"/>
        <w:spacing w:line="360" w:lineRule="auto"/>
        <w:ind w:right="480"/>
        <w:jc w:val="center"/>
        <w:rPr>
          <w:rFonts w:hint="eastAsia" w:ascii="仿宋" w:hAnsi="仿宋" w:cs="仿宋"/>
          <w:b/>
          <w:color w:val="auto"/>
          <w:kern w:val="0"/>
          <w:sz w:val="32"/>
          <w:szCs w:val="32"/>
          <w:highlight w:val="none"/>
        </w:rPr>
      </w:pPr>
    </w:p>
    <w:p w14:paraId="20204835">
      <w:pPr>
        <w:snapToGrid w:val="0"/>
        <w:spacing w:line="360" w:lineRule="auto"/>
        <w:ind w:right="480"/>
        <w:jc w:val="center"/>
        <w:rPr>
          <w:rFonts w:hint="eastAsia" w:ascii="仿宋" w:hAnsi="仿宋" w:cs="仿宋"/>
          <w:b/>
          <w:color w:val="auto"/>
          <w:kern w:val="0"/>
          <w:sz w:val="32"/>
          <w:szCs w:val="32"/>
          <w:highlight w:val="none"/>
        </w:rPr>
      </w:pPr>
    </w:p>
    <w:p w14:paraId="117ECAEF">
      <w:pPr>
        <w:snapToGrid w:val="0"/>
        <w:spacing w:line="360" w:lineRule="auto"/>
        <w:ind w:right="480"/>
        <w:jc w:val="center"/>
        <w:rPr>
          <w:rFonts w:hint="eastAsia" w:ascii="仿宋" w:hAnsi="仿宋" w:cs="仿宋"/>
          <w:b/>
          <w:color w:val="auto"/>
          <w:kern w:val="0"/>
          <w:sz w:val="32"/>
          <w:szCs w:val="32"/>
          <w:highlight w:val="none"/>
        </w:rPr>
      </w:pPr>
    </w:p>
    <w:p w14:paraId="483BF6B6">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3F746D53">
      <w:pPr>
        <w:snapToGrid w:val="0"/>
        <w:spacing w:line="360" w:lineRule="auto"/>
        <w:jc w:val="center"/>
        <w:outlineLvl w:val="2"/>
        <w:rPr>
          <w:rFonts w:hint="eastAsia" w:ascii="仿宋" w:hAnsi="仿宋" w:cs="仿宋"/>
          <w:b/>
          <w:color w:val="auto"/>
          <w:kern w:val="0"/>
          <w:sz w:val="32"/>
          <w:szCs w:val="32"/>
          <w:highlight w:val="none"/>
        </w:rPr>
      </w:pPr>
      <w:r>
        <w:rPr>
          <w:rFonts w:hint="eastAsia" w:ascii="仿宋" w:hAnsi="仿宋" w:cs="仿宋"/>
          <w:b/>
          <w:color w:val="auto"/>
          <w:kern w:val="0"/>
          <w:sz w:val="32"/>
          <w:szCs w:val="32"/>
          <w:highlight w:val="none"/>
          <w:lang w:val="zh-CN"/>
        </w:rPr>
        <w:t>一、开标一览表（报价表）</w:t>
      </w:r>
    </w:p>
    <w:p w14:paraId="7092CE62">
      <w:pPr>
        <w:snapToGrid w:val="0"/>
        <w:spacing w:line="360" w:lineRule="auto"/>
        <w:rPr>
          <w:rFonts w:hint="eastAsia" w:ascii="仿宋" w:hAnsi="仿宋" w:cs="仿宋"/>
          <w:color w:val="auto"/>
          <w:kern w:val="0"/>
          <w:highlight w:val="none"/>
        </w:rPr>
      </w:pPr>
      <w:r>
        <w:rPr>
          <w:rFonts w:hint="eastAsia" w:ascii="仿宋" w:hAnsi="仿宋" w:cs="仿宋"/>
          <w:color w:val="auto"/>
          <w:highlight w:val="none"/>
          <w:u w:val="single"/>
        </w:rPr>
        <w:t>杭州市生态环境局钱塘分局、浙江勋达工程咨询有限公司</w:t>
      </w:r>
      <w:r>
        <w:rPr>
          <w:rFonts w:hint="eastAsia" w:ascii="仿宋" w:hAnsi="仿宋" w:cs="仿宋"/>
          <w:color w:val="auto"/>
          <w:kern w:val="0"/>
          <w:highlight w:val="none"/>
          <w:lang w:val="zh-CN"/>
        </w:rPr>
        <w:t>：</w:t>
      </w:r>
    </w:p>
    <w:p w14:paraId="4B047F82">
      <w:pPr>
        <w:snapToGrid w:val="0"/>
        <w:spacing w:line="360" w:lineRule="auto"/>
        <w:ind w:firstLine="482"/>
        <w:rPr>
          <w:rFonts w:hint="eastAsia" w:ascii="仿宋" w:hAnsi="仿宋" w:cs="仿宋"/>
          <w:color w:val="auto"/>
          <w:kern w:val="0"/>
          <w:highlight w:val="none"/>
          <w:lang w:val="zh-CN"/>
        </w:rPr>
      </w:pPr>
      <w:r>
        <w:rPr>
          <w:rFonts w:hint="eastAsia" w:ascii="仿宋" w:hAnsi="仿宋" w:cs="仿宋"/>
          <w:color w:val="auto"/>
          <w:kern w:val="0"/>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cs="仿宋"/>
          <w:color w:val="auto"/>
          <w:highlight w:val="none"/>
          <w:lang w:eastAsia="zh-CN"/>
        </w:rPr>
        <w:t>2025年钱塘区土壤重点监管单位周边土壤和地下水监测项</w:t>
      </w:r>
      <w:r>
        <w:rPr>
          <w:rFonts w:hint="eastAsia" w:ascii="仿宋" w:hAnsi="仿宋" w:cs="仿宋"/>
          <w:color w:val="auto"/>
          <w:kern w:val="0"/>
          <w:highlight w:val="none"/>
          <w:lang w:val="zh-CN" w:eastAsia="zh-CN"/>
        </w:rPr>
        <w:t>目</w:t>
      </w:r>
      <w:r>
        <w:rPr>
          <w:rFonts w:hint="eastAsia" w:ascii="仿宋" w:hAnsi="仿宋" w:cs="仿宋"/>
          <w:color w:val="auto"/>
          <w:kern w:val="0"/>
          <w:highlight w:val="none"/>
          <w:lang w:val="zh-CN"/>
        </w:rPr>
        <w:t>【项目编号：QTCG-GK-2025-118】的实施。</w:t>
      </w:r>
    </w:p>
    <w:p w14:paraId="069C8C73">
      <w:pPr>
        <w:spacing w:line="360" w:lineRule="auto"/>
        <w:jc w:val="center"/>
        <w:rPr>
          <w:rFonts w:hint="eastAsia" w:ascii="仿宋" w:hAnsi="仿宋" w:cs="仿宋"/>
          <w:b/>
          <w:color w:val="auto"/>
          <w:kern w:val="0"/>
          <w:highlight w:val="none"/>
          <w:lang w:val="zh-CN"/>
        </w:rPr>
      </w:pPr>
      <w:r>
        <w:rPr>
          <w:rFonts w:hint="eastAsia" w:ascii="仿宋" w:hAnsi="仿宋" w:cs="仿宋"/>
          <w:b/>
          <w:color w:val="auto"/>
          <w:kern w:val="0"/>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837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EC4D2AC">
            <w:pPr>
              <w:spacing w:line="360" w:lineRule="auto"/>
              <w:jc w:val="center"/>
              <w:rPr>
                <w:rFonts w:hint="eastAsia" w:ascii="宋体" w:hAnsi="宋体" w:cs="宋体"/>
                <w:b/>
                <w:color w:val="auto"/>
                <w:highlight w:val="none"/>
              </w:rPr>
            </w:pPr>
            <w:r>
              <w:rPr>
                <w:rFonts w:hint="eastAsia" w:ascii="宋体" w:hAnsi="宋体" w:cs="宋体"/>
                <w:b/>
                <w:color w:val="auto"/>
                <w:highlight w:val="none"/>
              </w:rPr>
              <w:t>序号</w:t>
            </w:r>
          </w:p>
        </w:tc>
        <w:tc>
          <w:tcPr>
            <w:tcW w:w="992" w:type="dxa"/>
            <w:vAlign w:val="center"/>
          </w:tcPr>
          <w:p w14:paraId="1FD2E17C">
            <w:pPr>
              <w:spacing w:line="360" w:lineRule="auto"/>
              <w:jc w:val="center"/>
              <w:rPr>
                <w:rFonts w:hint="eastAsia" w:ascii="宋体" w:hAnsi="宋体" w:cs="宋体"/>
                <w:b/>
                <w:color w:val="auto"/>
                <w:highlight w:val="none"/>
              </w:rPr>
            </w:pPr>
            <w:r>
              <w:rPr>
                <w:rFonts w:hint="eastAsia" w:ascii="宋体" w:hAnsi="宋体" w:cs="宋体"/>
                <w:b/>
                <w:color w:val="auto"/>
                <w:highlight w:val="none"/>
              </w:rPr>
              <w:t>名称</w:t>
            </w:r>
          </w:p>
        </w:tc>
        <w:tc>
          <w:tcPr>
            <w:tcW w:w="2268" w:type="dxa"/>
          </w:tcPr>
          <w:p w14:paraId="78211315">
            <w:pPr>
              <w:spacing w:line="360" w:lineRule="auto"/>
              <w:jc w:val="center"/>
              <w:rPr>
                <w:rFonts w:hint="eastAsia" w:ascii="宋体" w:hAnsi="宋体" w:cs="宋体"/>
                <w:b/>
                <w:color w:val="auto"/>
                <w:highlight w:val="none"/>
              </w:rPr>
            </w:pPr>
          </w:p>
          <w:p w14:paraId="27E5FFF2">
            <w:pPr>
              <w:spacing w:line="360" w:lineRule="auto"/>
              <w:jc w:val="center"/>
              <w:rPr>
                <w:rFonts w:hint="eastAsia" w:ascii="宋体" w:hAnsi="宋体" w:cs="宋体"/>
                <w:b/>
                <w:color w:val="auto"/>
                <w:highlight w:val="none"/>
              </w:rPr>
            </w:pPr>
            <w:r>
              <w:rPr>
                <w:rFonts w:hint="eastAsia" w:ascii="宋体" w:hAnsi="宋体" w:cs="宋体"/>
                <w:b/>
                <w:color w:val="auto"/>
                <w:highlight w:val="none"/>
              </w:rPr>
              <w:t>服务范围</w:t>
            </w:r>
          </w:p>
        </w:tc>
        <w:tc>
          <w:tcPr>
            <w:tcW w:w="2410" w:type="dxa"/>
            <w:vAlign w:val="center"/>
          </w:tcPr>
          <w:p w14:paraId="3D98AF5F">
            <w:pPr>
              <w:spacing w:line="360" w:lineRule="auto"/>
              <w:jc w:val="center"/>
              <w:rPr>
                <w:rFonts w:hint="eastAsia" w:ascii="宋体" w:hAnsi="宋体" w:cs="宋体"/>
                <w:b/>
                <w:color w:val="auto"/>
                <w:highlight w:val="none"/>
              </w:rPr>
            </w:pPr>
            <w:r>
              <w:rPr>
                <w:rFonts w:hint="eastAsia" w:ascii="宋体" w:hAnsi="宋体" w:cs="宋体"/>
                <w:b/>
                <w:color w:val="auto"/>
                <w:highlight w:val="none"/>
              </w:rPr>
              <w:t>服务要求</w:t>
            </w:r>
          </w:p>
        </w:tc>
        <w:tc>
          <w:tcPr>
            <w:tcW w:w="2268" w:type="dxa"/>
            <w:vAlign w:val="center"/>
          </w:tcPr>
          <w:p w14:paraId="258C9BCA">
            <w:pPr>
              <w:spacing w:line="360" w:lineRule="auto"/>
              <w:jc w:val="center"/>
              <w:rPr>
                <w:rFonts w:hint="eastAsia" w:ascii="宋体" w:hAnsi="宋体" w:cs="宋体"/>
                <w:b/>
                <w:color w:val="auto"/>
                <w:highlight w:val="none"/>
              </w:rPr>
            </w:pPr>
            <w:r>
              <w:rPr>
                <w:rFonts w:hint="eastAsia" w:ascii="宋体" w:hAnsi="宋体" w:cs="宋体"/>
                <w:b/>
                <w:color w:val="auto"/>
                <w:highlight w:val="none"/>
              </w:rPr>
              <w:t>服务时间</w:t>
            </w:r>
          </w:p>
        </w:tc>
        <w:tc>
          <w:tcPr>
            <w:tcW w:w="2126" w:type="dxa"/>
            <w:vAlign w:val="center"/>
          </w:tcPr>
          <w:p w14:paraId="1E416AC7">
            <w:pPr>
              <w:spacing w:line="360" w:lineRule="auto"/>
              <w:jc w:val="center"/>
              <w:rPr>
                <w:rFonts w:hint="eastAsia" w:ascii="宋体" w:hAnsi="宋体" w:cs="宋体"/>
                <w:b/>
                <w:color w:val="auto"/>
                <w:highlight w:val="none"/>
              </w:rPr>
            </w:pPr>
            <w:r>
              <w:rPr>
                <w:rFonts w:hint="eastAsia" w:ascii="宋体" w:hAnsi="宋体" w:cs="宋体"/>
                <w:b/>
                <w:color w:val="auto"/>
                <w:highlight w:val="none"/>
              </w:rPr>
              <w:t>服务标准</w:t>
            </w:r>
          </w:p>
        </w:tc>
        <w:tc>
          <w:tcPr>
            <w:tcW w:w="2127" w:type="dxa"/>
          </w:tcPr>
          <w:p w14:paraId="4EAA1854">
            <w:pPr>
              <w:spacing w:line="360" w:lineRule="auto"/>
              <w:jc w:val="center"/>
              <w:rPr>
                <w:rFonts w:hint="eastAsia" w:ascii="宋体" w:hAnsi="宋体" w:cs="宋体"/>
                <w:b/>
                <w:color w:val="auto"/>
                <w:highlight w:val="none"/>
              </w:rPr>
            </w:pPr>
          </w:p>
          <w:p w14:paraId="6E7425A8">
            <w:pPr>
              <w:spacing w:line="360" w:lineRule="auto"/>
              <w:jc w:val="center"/>
              <w:rPr>
                <w:rFonts w:hint="eastAsia" w:ascii="宋体" w:hAnsi="宋体" w:cs="宋体"/>
                <w:b/>
                <w:color w:val="auto"/>
                <w:highlight w:val="none"/>
              </w:rPr>
            </w:pPr>
            <w:r>
              <w:rPr>
                <w:rFonts w:hint="eastAsia" w:ascii="宋体" w:hAnsi="宋体" w:cs="宋体"/>
                <w:b/>
                <w:color w:val="auto"/>
                <w:highlight w:val="none"/>
              </w:rPr>
              <w:t>服务人数</w:t>
            </w:r>
          </w:p>
        </w:tc>
        <w:tc>
          <w:tcPr>
            <w:tcW w:w="2126" w:type="dxa"/>
            <w:vAlign w:val="center"/>
          </w:tcPr>
          <w:p w14:paraId="78D58162">
            <w:pPr>
              <w:spacing w:line="360" w:lineRule="auto"/>
              <w:jc w:val="center"/>
              <w:rPr>
                <w:rFonts w:hint="eastAsia" w:ascii="宋体" w:hAnsi="宋体" w:cs="宋体"/>
                <w:b/>
                <w:color w:val="auto"/>
                <w:highlight w:val="none"/>
              </w:rPr>
            </w:pPr>
          </w:p>
          <w:p w14:paraId="31D18769">
            <w:pPr>
              <w:spacing w:line="360" w:lineRule="auto"/>
              <w:jc w:val="center"/>
              <w:rPr>
                <w:rFonts w:hint="eastAsia" w:ascii="宋体" w:hAnsi="宋体" w:cs="宋体"/>
                <w:b/>
                <w:color w:val="auto"/>
                <w:highlight w:val="none"/>
              </w:rPr>
            </w:pPr>
            <w:r>
              <w:rPr>
                <w:rFonts w:hint="eastAsia" w:ascii="宋体" w:hAnsi="宋体" w:cs="宋体"/>
                <w:b/>
                <w:color w:val="auto"/>
                <w:highlight w:val="none"/>
              </w:rPr>
              <w:t>备注（如果有）</w:t>
            </w:r>
          </w:p>
          <w:p w14:paraId="4E4495E5">
            <w:pPr>
              <w:spacing w:line="360" w:lineRule="auto"/>
              <w:jc w:val="center"/>
              <w:rPr>
                <w:rFonts w:hint="eastAsia" w:ascii="宋体" w:hAnsi="宋体" w:cs="宋体"/>
                <w:b/>
                <w:color w:val="auto"/>
                <w:highlight w:val="none"/>
              </w:rPr>
            </w:pPr>
          </w:p>
        </w:tc>
      </w:tr>
      <w:tr w14:paraId="2B89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BDFC6EA">
            <w:pPr>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992" w:type="dxa"/>
            <w:vAlign w:val="center"/>
          </w:tcPr>
          <w:p w14:paraId="12DEE284">
            <w:pPr>
              <w:snapToGrid w:val="0"/>
              <w:spacing w:line="360" w:lineRule="auto"/>
              <w:jc w:val="center"/>
              <w:rPr>
                <w:rFonts w:hint="eastAsia" w:ascii="宋体" w:hAnsi="宋体" w:cs="宋体"/>
                <w:color w:val="auto"/>
                <w:highlight w:val="none"/>
              </w:rPr>
            </w:pPr>
            <w:r>
              <w:rPr>
                <w:rFonts w:hint="eastAsia" w:ascii="宋体" w:hAnsi="宋体" w:cs="宋体"/>
                <w:color w:val="auto"/>
                <w:highlight w:val="none"/>
              </w:rPr>
              <w:t>X</w:t>
            </w:r>
            <w:r>
              <w:rPr>
                <w:rFonts w:ascii="宋体" w:hAnsi="宋体" w:cs="宋体"/>
                <w:color w:val="auto"/>
                <w:highlight w:val="none"/>
              </w:rPr>
              <w:t>X</w:t>
            </w:r>
          </w:p>
        </w:tc>
        <w:tc>
          <w:tcPr>
            <w:tcW w:w="2268" w:type="dxa"/>
            <w:vAlign w:val="center"/>
          </w:tcPr>
          <w:p w14:paraId="0BA49DD3">
            <w:pPr>
              <w:snapToGrid w:val="0"/>
              <w:spacing w:line="360" w:lineRule="auto"/>
              <w:jc w:val="center"/>
              <w:rPr>
                <w:rFonts w:hint="eastAsia" w:ascii="宋体" w:hAnsi="宋体" w:cs="宋体"/>
                <w:color w:val="auto"/>
                <w:highlight w:val="none"/>
              </w:rPr>
            </w:pPr>
          </w:p>
        </w:tc>
        <w:tc>
          <w:tcPr>
            <w:tcW w:w="2410" w:type="dxa"/>
            <w:vAlign w:val="center"/>
          </w:tcPr>
          <w:p w14:paraId="45476026">
            <w:pPr>
              <w:snapToGrid w:val="0"/>
              <w:spacing w:line="360" w:lineRule="auto"/>
              <w:jc w:val="center"/>
              <w:rPr>
                <w:rFonts w:hint="eastAsia" w:ascii="宋体" w:hAnsi="宋体" w:cs="宋体"/>
                <w:color w:val="auto"/>
                <w:highlight w:val="none"/>
              </w:rPr>
            </w:pPr>
          </w:p>
        </w:tc>
        <w:tc>
          <w:tcPr>
            <w:tcW w:w="2268" w:type="dxa"/>
            <w:vAlign w:val="center"/>
          </w:tcPr>
          <w:p w14:paraId="5E4069FE">
            <w:pPr>
              <w:snapToGrid w:val="0"/>
              <w:spacing w:line="360" w:lineRule="auto"/>
              <w:jc w:val="center"/>
              <w:rPr>
                <w:rFonts w:hint="eastAsia" w:ascii="宋体" w:hAnsi="宋体" w:cs="宋体"/>
                <w:color w:val="auto"/>
                <w:highlight w:val="none"/>
              </w:rPr>
            </w:pPr>
          </w:p>
        </w:tc>
        <w:tc>
          <w:tcPr>
            <w:tcW w:w="2126" w:type="dxa"/>
            <w:vAlign w:val="center"/>
          </w:tcPr>
          <w:p w14:paraId="682F2D75">
            <w:pPr>
              <w:spacing w:line="360" w:lineRule="auto"/>
              <w:jc w:val="center"/>
              <w:rPr>
                <w:rFonts w:hint="eastAsia" w:ascii="宋体" w:hAnsi="宋体" w:cs="宋体"/>
                <w:color w:val="auto"/>
                <w:highlight w:val="none"/>
              </w:rPr>
            </w:pPr>
          </w:p>
        </w:tc>
        <w:tc>
          <w:tcPr>
            <w:tcW w:w="2127" w:type="dxa"/>
          </w:tcPr>
          <w:p w14:paraId="74EFC8D4">
            <w:pPr>
              <w:spacing w:line="360" w:lineRule="auto"/>
              <w:jc w:val="center"/>
              <w:rPr>
                <w:rFonts w:hint="eastAsia" w:ascii="宋体" w:hAnsi="宋体" w:cs="宋体"/>
                <w:color w:val="auto"/>
                <w:highlight w:val="none"/>
              </w:rPr>
            </w:pPr>
          </w:p>
        </w:tc>
        <w:tc>
          <w:tcPr>
            <w:tcW w:w="2126" w:type="dxa"/>
            <w:vAlign w:val="center"/>
          </w:tcPr>
          <w:p w14:paraId="2DF8595D">
            <w:pPr>
              <w:spacing w:line="360" w:lineRule="auto"/>
              <w:jc w:val="center"/>
              <w:rPr>
                <w:rFonts w:hint="eastAsia" w:ascii="宋体" w:hAnsi="宋体" w:cs="宋体"/>
                <w:color w:val="auto"/>
                <w:highlight w:val="none"/>
              </w:rPr>
            </w:pPr>
          </w:p>
        </w:tc>
      </w:tr>
      <w:tr w14:paraId="229D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6EC88F">
            <w:pPr>
              <w:spacing w:line="36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992" w:type="dxa"/>
            <w:vAlign w:val="center"/>
          </w:tcPr>
          <w:p w14:paraId="6910EBBD">
            <w:pPr>
              <w:snapToGrid w:val="0"/>
              <w:spacing w:line="360" w:lineRule="auto"/>
              <w:jc w:val="center"/>
              <w:rPr>
                <w:rFonts w:hint="eastAsia" w:ascii="宋体" w:hAnsi="宋体" w:cs="宋体"/>
                <w:color w:val="auto"/>
                <w:highlight w:val="none"/>
              </w:rPr>
            </w:pPr>
            <w:r>
              <w:rPr>
                <w:rFonts w:hint="eastAsia" w:ascii="宋体" w:hAnsi="宋体" w:cs="宋体"/>
                <w:color w:val="auto"/>
                <w:highlight w:val="none"/>
              </w:rPr>
              <w:t>X</w:t>
            </w:r>
            <w:r>
              <w:rPr>
                <w:rFonts w:ascii="宋体" w:hAnsi="宋体" w:cs="宋体"/>
                <w:color w:val="auto"/>
                <w:highlight w:val="none"/>
              </w:rPr>
              <w:t>X</w:t>
            </w:r>
          </w:p>
        </w:tc>
        <w:tc>
          <w:tcPr>
            <w:tcW w:w="2268" w:type="dxa"/>
            <w:vAlign w:val="center"/>
          </w:tcPr>
          <w:p w14:paraId="4930B10A">
            <w:pPr>
              <w:snapToGrid w:val="0"/>
              <w:spacing w:line="360" w:lineRule="auto"/>
              <w:jc w:val="center"/>
              <w:rPr>
                <w:rFonts w:hint="eastAsia" w:ascii="宋体" w:hAnsi="宋体" w:cs="宋体"/>
                <w:color w:val="auto"/>
                <w:highlight w:val="none"/>
              </w:rPr>
            </w:pPr>
          </w:p>
        </w:tc>
        <w:tc>
          <w:tcPr>
            <w:tcW w:w="2410" w:type="dxa"/>
            <w:vAlign w:val="center"/>
          </w:tcPr>
          <w:p w14:paraId="6C049E61">
            <w:pPr>
              <w:snapToGrid w:val="0"/>
              <w:spacing w:line="360" w:lineRule="auto"/>
              <w:jc w:val="center"/>
              <w:rPr>
                <w:rFonts w:hint="eastAsia" w:ascii="宋体" w:hAnsi="宋体" w:cs="宋体"/>
                <w:color w:val="auto"/>
                <w:highlight w:val="none"/>
              </w:rPr>
            </w:pPr>
          </w:p>
        </w:tc>
        <w:tc>
          <w:tcPr>
            <w:tcW w:w="2268" w:type="dxa"/>
            <w:vAlign w:val="center"/>
          </w:tcPr>
          <w:p w14:paraId="083CCF9A">
            <w:pPr>
              <w:snapToGrid w:val="0"/>
              <w:spacing w:line="360" w:lineRule="auto"/>
              <w:jc w:val="center"/>
              <w:rPr>
                <w:rFonts w:hint="eastAsia" w:ascii="宋体" w:hAnsi="宋体" w:cs="宋体"/>
                <w:color w:val="auto"/>
                <w:highlight w:val="none"/>
              </w:rPr>
            </w:pPr>
          </w:p>
        </w:tc>
        <w:tc>
          <w:tcPr>
            <w:tcW w:w="2126" w:type="dxa"/>
            <w:vAlign w:val="center"/>
          </w:tcPr>
          <w:p w14:paraId="1FF4EAD7">
            <w:pPr>
              <w:spacing w:line="360" w:lineRule="auto"/>
              <w:jc w:val="center"/>
              <w:rPr>
                <w:rFonts w:hint="eastAsia" w:ascii="宋体" w:hAnsi="宋体" w:cs="宋体"/>
                <w:color w:val="auto"/>
                <w:highlight w:val="none"/>
              </w:rPr>
            </w:pPr>
          </w:p>
        </w:tc>
        <w:tc>
          <w:tcPr>
            <w:tcW w:w="2127" w:type="dxa"/>
          </w:tcPr>
          <w:p w14:paraId="11E1EDCF">
            <w:pPr>
              <w:spacing w:line="360" w:lineRule="auto"/>
              <w:jc w:val="center"/>
              <w:rPr>
                <w:rFonts w:hint="eastAsia" w:ascii="宋体" w:hAnsi="宋体" w:cs="宋体"/>
                <w:color w:val="auto"/>
                <w:highlight w:val="none"/>
              </w:rPr>
            </w:pPr>
          </w:p>
        </w:tc>
        <w:tc>
          <w:tcPr>
            <w:tcW w:w="2126" w:type="dxa"/>
            <w:vAlign w:val="center"/>
          </w:tcPr>
          <w:p w14:paraId="236CDE6A">
            <w:pPr>
              <w:spacing w:line="360" w:lineRule="auto"/>
              <w:jc w:val="center"/>
              <w:rPr>
                <w:rFonts w:hint="eastAsia" w:ascii="宋体" w:hAnsi="宋体" w:cs="宋体"/>
                <w:color w:val="auto"/>
                <w:highlight w:val="none"/>
              </w:rPr>
            </w:pPr>
          </w:p>
        </w:tc>
      </w:tr>
      <w:tr w14:paraId="611D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E7381F">
            <w:pPr>
              <w:spacing w:line="360" w:lineRule="auto"/>
              <w:jc w:val="center"/>
              <w:rPr>
                <w:rFonts w:hint="eastAsia" w:ascii="宋体" w:hAnsi="宋体" w:cs="宋体"/>
                <w:color w:val="auto"/>
                <w:highlight w:val="none"/>
              </w:rPr>
            </w:pPr>
            <w:r>
              <w:rPr>
                <w:rFonts w:hint="eastAsia" w:ascii="宋体" w:hAnsi="宋体" w:cs="宋体"/>
                <w:color w:val="auto"/>
                <w:highlight w:val="none"/>
              </w:rPr>
              <w:t>…</w:t>
            </w:r>
          </w:p>
        </w:tc>
        <w:tc>
          <w:tcPr>
            <w:tcW w:w="992" w:type="dxa"/>
            <w:vAlign w:val="center"/>
          </w:tcPr>
          <w:p w14:paraId="2960BE73">
            <w:pPr>
              <w:snapToGrid w:val="0"/>
              <w:spacing w:line="360" w:lineRule="auto"/>
              <w:jc w:val="center"/>
              <w:rPr>
                <w:rFonts w:hint="eastAsia" w:ascii="宋体" w:hAnsi="宋体" w:cs="宋体"/>
                <w:color w:val="auto"/>
                <w:highlight w:val="none"/>
              </w:rPr>
            </w:pPr>
          </w:p>
        </w:tc>
        <w:tc>
          <w:tcPr>
            <w:tcW w:w="2268" w:type="dxa"/>
            <w:vAlign w:val="center"/>
          </w:tcPr>
          <w:p w14:paraId="7F771CA9">
            <w:pPr>
              <w:snapToGrid w:val="0"/>
              <w:spacing w:line="360" w:lineRule="auto"/>
              <w:jc w:val="center"/>
              <w:rPr>
                <w:rFonts w:hint="eastAsia" w:ascii="宋体" w:hAnsi="宋体" w:cs="宋体"/>
                <w:color w:val="auto"/>
                <w:highlight w:val="none"/>
              </w:rPr>
            </w:pPr>
          </w:p>
        </w:tc>
        <w:tc>
          <w:tcPr>
            <w:tcW w:w="2410" w:type="dxa"/>
            <w:vAlign w:val="center"/>
          </w:tcPr>
          <w:p w14:paraId="17938C43">
            <w:pPr>
              <w:snapToGrid w:val="0"/>
              <w:spacing w:line="360" w:lineRule="auto"/>
              <w:jc w:val="center"/>
              <w:rPr>
                <w:rFonts w:hint="eastAsia" w:ascii="宋体" w:hAnsi="宋体" w:cs="宋体"/>
                <w:color w:val="auto"/>
                <w:highlight w:val="none"/>
              </w:rPr>
            </w:pPr>
          </w:p>
        </w:tc>
        <w:tc>
          <w:tcPr>
            <w:tcW w:w="2268" w:type="dxa"/>
            <w:vAlign w:val="center"/>
          </w:tcPr>
          <w:p w14:paraId="1278AC67">
            <w:pPr>
              <w:snapToGrid w:val="0"/>
              <w:spacing w:line="360" w:lineRule="auto"/>
              <w:jc w:val="center"/>
              <w:rPr>
                <w:rFonts w:hint="eastAsia" w:ascii="宋体" w:hAnsi="宋体" w:cs="宋体"/>
                <w:color w:val="auto"/>
                <w:highlight w:val="none"/>
              </w:rPr>
            </w:pPr>
          </w:p>
        </w:tc>
        <w:tc>
          <w:tcPr>
            <w:tcW w:w="2126" w:type="dxa"/>
            <w:vAlign w:val="center"/>
          </w:tcPr>
          <w:p w14:paraId="3A7A9887">
            <w:pPr>
              <w:spacing w:line="360" w:lineRule="auto"/>
              <w:jc w:val="center"/>
              <w:rPr>
                <w:rFonts w:hint="eastAsia" w:ascii="宋体" w:hAnsi="宋体" w:cs="宋体"/>
                <w:color w:val="auto"/>
                <w:highlight w:val="none"/>
              </w:rPr>
            </w:pPr>
          </w:p>
        </w:tc>
        <w:tc>
          <w:tcPr>
            <w:tcW w:w="2127" w:type="dxa"/>
          </w:tcPr>
          <w:p w14:paraId="0C3A33DC">
            <w:pPr>
              <w:spacing w:line="360" w:lineRule="auto"/>
              <w:jc w:val="center"/>
              <w:rPr>
                <w:rFonts w:hint="eastAsia" w:ascii="宋体" w:hAnsi="宋体" w:cs="宋体"/>
                <w:color w:val="auto"/>
                <w:highlight w:val="none"/>
              </w:rPr>
            </w:pPr>
          </w:p>
        </w:tc>
        <w:tc>
          <w:tcPr>
            <w:tcW w:w="2126" w:type="dxa"/>
            <w:vAlign w:val="center"/>
          </w:tcPr>
          <w:p w14:paraId="2FE436F8">
            <w:pPr>
              <w:spacing w:line="360" w:lineRule="auto"/>
              <w:jc w:val="center"/>
              <w:rPr>
                <w:rFonts w:hint="eastAsia" w:ascii="宋体" w:hAnsi="宋体" w:cs="宋体"/>
                <w:color w:val="auto"/>
                <w:highlight w:val="none"/>
              </w:rPr>
            </w:pPr>
          </w:p>
        </w:tc>
      </w:tr>
      <w:tr w14:paraId="4ADE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16A84A">
            <w:pPr>
              <w:spacing w:line="360" w:lineRule="auto"/>
              <w:jc w:val="center"/>
              <w:rPr>
                <w:rFonts w:hint="eastAsia" w:ascii="宋体" w:hAnsi="宋体" w:cs="宋体"/>
                <w:color w:val="auto"/>
                <w:highlight w:val="none"/>
              </w:rPr>
            </w:pPr>
          </w:p>
        </w:tc>
        <w:tc>
          <w:tcPr>
            <w:tcW w:w="992" w:type="dxa"/>
            <w:vAlign w:val="center"/>
          </w:tcPr>
          <w:p w14:paraId="284303F6">
            <w:pPr>
              <w:snapToGrid w:val="0"/>
              <w:spacing w:line="360" w:lineRule="auto"/>
              <w:jc w:val="center"/>
              <w:rPr>
                <w:rFonts w:hint="eastAsia" w:ascii="宋体" w:hAnsi="宋体" w:cs="宋体"/>
                <w:color w:val="auto"/>
                <w:highlight w:val="none"/>
              </w:rPr>
            </w:pPr>
          </w:p>
        </w:tc>
        <w:tc>
          <w:tcPr>
            <w:tcW w:w="2268" w:type="dxa"/>
            <w:vAlign w:val="center"/>
          </w:tcPr>
          <w:p w14:paraId="2DFBCF7B">
            <w:pPr>
              <w:snapToGrid w:val="0"/>
              <w:spacing w:line="360" w:lineRule="auto"/>
              <w:jc w:val="center"/>
              <w:rPr>
                <w:rFonts w:hint="eastAsia" w:ascii="宋体" w:hAnsi="宋体" w:cs="宋体"/>
                <w:color w:val="auto"/>
                <w:highlight w:val="none"/>
              </w:rPr>
            </w:pPr>
          </w:p>
        </w:tc>
        <w:tc>
          <w:tcPr>
            <w:tcW w:w="2410" w:type="dxa"/>
            <w:vAlign w:val="center"/>
          </w:tcPr>
          <w:p w14:paraId="305376BA">
            <w:pPr>
              <w:snapToGrid w:val="0"/>
              <w:spacing w:line="360" w:lineRule="auto"/>
              <w:jc w:val="center"/>
              <w:rPr>
                <w:rFonts w:hint="eastAsia" w:ascii="宋体" w:hAnsi="宋体" w:cs="宋体"/>
                <w:color w:val="auto"/>
                <w:highlight w:val="none"/>
              </w:rPr>
            </w:pPr>
          </w:p>
        </w:tc>
        <w:tc>
          <w:tcPr>
            <w:tcW w:w="2268" w:type="dxa"/>
            <w:vAlign w:val="center"/>
          </w:tcPr>
          <w:p w14:paraId="0CFE9DA2">
            <w:pPr>
              <w:snapToGrid w:val="0"/>
              <w:spacing w:line="360" w:lineRule="auto"/>
              <w:jc w:val="center"/>
              <w:rPr>
                <w:rFonts w:hint="eastAsia" w:ascii="宋体" w:hAnsi="宋体" w:cs="宋体"/>
                <w:color w:val="auto"/>
                <w:highlight w:val="none"/>
              </w:rPr>
            </w:pPr>
          </w:p>
        </w:tc>
        <w:tc>
          <w:tcPr>
            <w:tcW w:w="2126" w:type="dxa"/>
            <w:vAlign w:val="center"/>
          </w:tcPr>
          <w:p w14:paraId="1EF1FE16">
            <w:pPr>
              <w:spacing w:line="360" w:lineRule="auto"/>
              <w:jc w:val="center"/>
              <w:rPr>
                <w:rFonts w:hint="eastAsia" w:ascii="宋体" w:hAnsi="宋体" w:cs="宋体"/>
                <w:color w:val="auto"/>
                <w:highlight w:val="none"/>
              </w:rPr>
            </w:pPr>
          </w:p>
        </w:tc>
        <w:tc>
          <w:tcPr>
            <w:tcW w:w="2127" w:type="dxa"/>
          </w:tcPr>
          <w:p w14:paraId="44AD483E">
            <w:pPr>
              <w:spacing w:line="360" w:lineRule="auto"/>
              <w:jc w:val="center"/>
              <w:rPr>
                <w:rFonts w:hint="eastAsia" w:ascii="宋体" w:hAnsi="宋体" w:cs="宋体"/>
                <w:color w:val="auto"/>
                <w:highlight w:val="none"/>
              </w:rPr>
            </w:pPr>
          </w:p>
        </w:tc>
        <w:tc>
          <w:tcPr>
            <w:tcW w:w="2126" w:type="dxa"/>
            <w:vAlign w:val="center"/>
          </w:tcPr>
          <w:p w14:paraId="46B9397B">
            <w:pPr>
              <w:spacing w:line="360" w:lineRule="auto"/>
              <w:jc w:val="center"/>
              <w:rPr>
                <w:rFonts w:hint="eastAsia" w:ascii="宋体" w:hAnsi="宋体" w:cs="宋体"/>
                <w:color w:val="auto"/>
                <w:highlight w:val="none"/>
              </w:rPr>
            </w:pPr>
          </w:p>
        </w:tc>
      </w:tr>
      <w:tr w14:paraId="7DCC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C4EE72">
            <w:pPr>
              <w:spacing w:line="360" w:lineRule="auto"/>
              <w:jc w:val="center"/>
              <w:rPr>
                <w:rFonts w:hint="eastAsia" w:ascii="宋体" w:hAnsi="宋体" w:cs="宋体"/>
                <w:color w:val="auto"/>
                <w:highlight w:val="none"/>
              </w:rPr>
            </w:pPr>
          </w:p>
        </w:tc>
        <w:tc>
          <w:tcPr>
            <w:tcW w:w="992" w:type="dxa"/>
            <w:vAlign w:val="center"/>
          </w:tcPr>
          <w:p w14:paraId="08FC6E53">
            <w:pPr>
              <w:snapToGrid w:val="0"/>
              <w:spacing w:line="360" w:lineRule="auto"/>
              <w:jc w:val="center"/>
              <w:rPr>
                <w:rFonts w:hint="eastAsia" w:ascii="宋体" w:hAnsi="宋体" w:cs="宋体"/>
                <w:color w:val="auto"/>
                <w:highlight w:val="none"/>
              </w:rPr>
            </w:pPr>
          </w:p>
        </w:tc>
        <w:tc>
          <w:tcPr>
            <w:tcW w:w="2268" w:type="dxa"/>
            <w:vAlign w:val="center"/>
          </w:tcPr>
          <w:p w14:paraId="572110A3">
            <w:pPr>
              <w:snapToGrid w:val="0"/>
              <w:spacing w:line="360" w:lineRule="auto"/>
              <w:jc w:val="center"/>
              <w:rPr>
                <w:rFonts w:hint="eastAsia" w:ascii="宋体" w:hAnsi="宋体" w:cs="宋体"/>
                <w:color w:val="auto"/>
                <w:highlight w:val="none"/>
              </w:rPr>
            </w:pPr>
          </w:p>
        </w:tc>
        <w:tc>
          <w:tcPr>
            <w:tcW w:w="2410" w:type="dxa"/>
            <w:vAlign w:val="center"/>
          </w:tcPr>
          <w:p w14:paraId="2A8816AE">
            <w:pPr>
              <w:snapToGrid w:val="0"/>
              <w:spacing w:line="360" w:lineRule="auto"/>
              <w:jc w:val="center"/>
              <w:rPr>
                <w:rFonts w:hint="eastAsia" w:ascii="宋体" w:hAnsi="宋体" w:cs="宋体"/>
                <w:color w:val="auto"/>
                <w:highlight w:val="none"/>
              </w:rPr>
            </w:pPr>
          </w:p>
        </w:tc>
        <w:tc>
          <w:tcPr>
            <w:tcW w:w="2268" w:type="dxa"/>
            <w:vAlign w:val="center"/>
          </w:tcPr>
          <w:p w14:paraId="41DAE668">
            <w:pPr>
              <w:snapToGrid w:val="0"/>
              <w:spacing w:line="360" w:lineRule="auto"/>
              <w:jc w:val="center"/>
              <w:rPr>
                <w:rFonts w:hint="eastAsia" w:ascii="宋体" w:hAnsi="宋体" w:cs="宋体"/>
                <w:color w:val="auto"/>
                <w:highlight w:val="none"/>
              </w:rPr>
            </w:pPr>
          </w:p>
        </w:tc>
        <w:tc>
          <w:tcPr>
            <w:tcW w:w="2126" w:type="dxa"/>
            <w:vAlign w:val="center"/>
          </w:tcPr>
          <w:p w14:paraId="05C5EB6B">
            <w:pPr>
              <w:spacing w:line="360" w:lineRule="auto"/>
              <w:jc w:val="center"/>
              <w:rPr>
                <w:rFonts w:hint="eastAsia" w:ascii="宋体" w:hAnsi="宋体" w:cs="宋体"/>
                <w:color w:val="auto"/>
                <w:highlight w:val="none"/>
              </w:rPr>
            </w:pPr>
          </w:p>
        </w:tc>
        <w:tc>
          <w:tcPr>
            <w:tcW w:w="2127" w:type="dxa"/>
          </w:tcPr>
          <w:p w14:paraId="14E50DDD">
            <w:pPr>
              <w:spacing w:line="360" w:lineRule="auto"/>
              <w:jc w:val="center"/>
              <w:rPr>
                <w:rFonts w:hint="eastAsia" w:ascii="宋体" w:hAnsi="宋体" w:cs="宋体"/>
                <w:color w:val="auto"/>
                <w:highlight w:val="none"/>
              </w:rPr>
            </w:pPr>
          </w:p>
        </w:tc>
        <w:tc>
          <w:tcPr>
            <w:tcW w:w="2126" w:type="dxa"/>
            <w:vAlign w:val="center"/>
          </w:tcPr>
          <w:p w14:paraId="32518E49">
            <w:pPr>
              <w:spacing w:line="360" w:lineRule="auto"/>
              <w:jc w:val="center"/>
              <w:rPr>
                <w:rFonts w:hint="eastAsia" w:ascii="宋体" w:hAnsi="宋体" w:cs="宋体"/>
                <w:color w:val="auto"/>
                <w:highlight w:val="none"/>
              </w:rPr>
            </w:pPr>
          </w:p>
        </w:tc>
      </w:tr>
      <w:tr w14:paraId="3D22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0B6E7D8">
            <w:pPr>
              <w:spacing w:line="360" w:lineRule="auto"/>
              <w:jc w:val="center"/>
              <w:rPr>
                <w:rFonts w:hint="eastAsia" w:ascii="宋体" w:hAnsi="宋体" w:cs="宋体"/>
                <w:b/>
                <w:color w:val="auto"/>
                <w:highlight w:val="none"/>
              </w:rPr>
            </w:pPr>
            <w:r>
              <w:rPr>
                <w:rFonts w:hint="eastAsia" w:ascii="宋体" w:hAnsi="宋体" w:cs="宋体"/>
                <w:b/>
                <w:color w:val="auto"/>
                <w:highlight w:val="none"/>
              </w:rPr>
              <w:t>投标报价（小写）</w:t>
            </w:r>
          </w:p>
        </w:tc>
        <w:tc>
          <w:tcPr>
            <w:tcW w:w="8647" w:type="dxa"/>
            <w:gridSpan w:val="4"/>
          </w:tcPr>
          <w:p w14:paraId="23E902F1">
            <w:pPr>
              <w:spacing w:line="360" w:lineRule="auto"/>
              <w:jc w:val="center"/>
              <w:rPr>
                <w:rFonts w:hint="eastAsia" w:ascii="宋体" w:hAnsi="宋体" w:cs="宋体"/>
                <w:color w:val="auto"/>
                <w:highlight w:val="none"/>
              </w:rPr>
            </w:pPr>
          </w:p>
        </w:tc>
      </w:tr>
      <w:tr w14:paraId="08D3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310E822">
            <w:pPr>
              <w:spacing w:line="360" w:lineRule="auto"/>
              <w:jc w:val="center"/>
              <w:rPr>
                <w:rFonts w:hint="eastAsia" w:ascii="宋体" w:hAnsi="宋体" w:cs="宋体"/>
                <w:b/>
                <w:color w:val="auto"/>
                <w:highlight w:val="none"/>
              </w:rPr>
            </w:pPr>
            <w:r>
              <w:rPr>
                <w:rFonts w:hint="eastAsia" w:ascii="宋体" w:hAnsi="宋体" w:cs="宋体"/>
                <w:b/>
                <w:color w:val="auto"/>
                <w:highlight w:val="none"/>
              </w:rPr>
              <w:t>投标报价（大写）</w:t>
            </w:r>
          </w:p>
        </w:tc>
        <w:tc>
          <w:tcPr>
            <w:tcW w:w="8647" w:type="dxa"/>
            <w:gridSpan w:val="4"/>
          </w:tcPr>
          <w:p w14:paraId="6AA64C8C">
            <w:pPr>
              <w:spacing w:line="360" w:lineRule="auto"/>
              <w:jc w:val="center"/>
              <w:rPr>
                <w:rFonts w:hint="eastAsia" w:ascii="宋体" w:hAnsi="宋体" w:cs="宋体"/>
                <w:color w:val="auto"/>
                <w:highlight w:val="none"/>
              </w:rPr>
            </w:pPr>
          </w:p>
        </w:tc>
      </w:tr>
    </w:tbl>
    <w:p w14:paraId="3440C18F">
      <w:pPr>
        <w:snapToGrid w:val="0"/>
        <w:spacing w:line="360" w:lineRule="auto"/>
        <w:ind w:left="480"/>
        <w:rPr>
          <w:rFonts w:hint="eastAsia" w:ascii="宋体" w:hAnsi="宋体" w:cs="宋体"/>
          <w:b/>
          <w:color w:val="auto"/>
          <w:kern w:val="0"/>
          <w:highlight w:val="none"/>
          <w:lang w:val="zh-CN"/>
        </w:rPr>
      </w:pPr>
      <w:r>
        <w:rPr>
          <w:rFonts w:hint="eastAsia" w:ascii="宋体" w:hAnsi="宋体" w:cs="宋体"/>
          <w:b/>
          <w:color w:val="auto"/>
          <w:kern w:val="0"/>
          <w:highlight w:val="none"/>
          <w:lang w:val="zh-CN"/>
        </w:rPr>
        <w:t>注：</w:t>
      </w:r>
    </w:p>
    <w:p w14:paraId="334E683C">
      <w:pPr>
        <w:spacing w:line="360" w:lineRule="auto"/>
        <w:ind w:left="-2" w:leftChars="-1"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1、投标人需按本表格式填写</w:t>
      </w:r>
      <w:r>
        <w:rPr>
          <w:rFonts w:hint="eastAsia" w:ascii="宋体" w:hAnsi="宋体" w:cs="宋体"/>
          <w:b/>
          <w:color w:val="auto"/>
          <w:kern w:val="0"/>
          <w:highlight w:val="none"/>
          <w:lang w:val="zh-CN"/>
        </w:rPr>
        <w:t>，</w:t>
      </w:r>
      <w:r>
        <w:rPr>
          <w:rFonts w:hint="eastAsia" w:ascii="宋体" w:hAnsi="宋体" w:cs="宋体"/>
          <w:b/>
          <w:color w:val="auto"/>
          <w:kern w:val="0"/>
          <w:highlight w:val="none"/>
        </w:rPr>
        <w:t>否则视为</w:t>
      </w:r>
      <w:r>
        <w:rPr>
          <w:rFonts w:hint="eastAsia" w:ascii="宋体" w:hAnsi="宋体" w:cs="宋体"/>
          <w:b/>
          <w:color w:val="auto"/>
          <w:highlight w:val="none"/>
        </w:rPr>
        <w:t>投标文件含有采购人不能接受的附加条件，投标无效</w:t>
      </w:r>
      <w:r>
        <w:rPr>
          <w:rFonts w:hint="eastAsia" w:ascii="宋体" w:hAnsi="宋体" w:cs="宋体"/>
          <w:b/>
          <w:color w:val="auto"/>
          <w:kern w:val="0"/>
          <w:highlight w:val="none"/>
          <w:lang w:val="zh-CN"/>
        </w:rPr>
        <w:t>；</w:t>
      </w:r>
      <w:r>
        <w:rPr>
          <w:rFonts w:hint="eastAsia" w:ascii="宋体" w:hAnsi="宋体" w:cs="宋体"/>
          <w:color w:val="auto"/>
          <w:kern w:val="0"/>
          <w:highlight w:val="none"/>
          <w:lang w:val="zh-CN"/>
        </w:rPr>
        <w:t>。</w:t>
      </w:r>
    </w:p>
    <w:p w14:paraId="6201A51B">
      <w:pPr>
        <w:spacing w:line="360" w:lineRule="auto"/>
        <w:ind w:firstLine="480" w:firstLineChars="200"/>
        <w:rPr>
          <w:rFonts w:hint="eastAsia" w:ascii="宋体" w:hAnsi="宋体" w:cs="宋体"/>
          <w:b/>
          <w:color w:val="auto"/>
          <w:highlight w:val="none"/>
        </w:rPr>
      </w:pPr>
      <w:r>
        <w:rPr>
          <w:rFonts w:hint="eastAsia" w:ascii="宋体" w:hAnsi="宋体" w:cs="宋体"/>
          <w:color w:val="auto"/>
          <w:kern w:val="0"/>
          <w:highlight w:val="none"/>
          <w:lang w:val="zh-CN"/>
        </w:rPr>
        <w:t>2、有关本项目实施所涉及的一切费用均计入报价。</w:t>
      </w:r>
      <w:r>
        <w:rPr>
          <w:rFonts w:hint="eastAsia" w:ascii="宋体" w:hAnsi="宋体" w:cs="宋体"/>
          <w:b/>
          <w:color w:val="auto"/>
          <w:kern w:val="0"/>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highlight w:val="none"/>
        </w:rPr>
        <w:t>视为</w:t>
      </w:r>
      <w:r>
        <w:rPr>
          <w:rFonts w:hint="eastAsia" w:ascii="宋体" w:hAnsi="宋体" w:cs="宋体"/>
          <w:b/>
          <w:color w:val="auto"/>
          <w:highlight w:val="none"/>
        </w:rPr>
        <w:t>投标文件含有采购人不能接受的附加条件的，投标无效。</w:t>
      </w:r>
    </w:p>
    <w:p w14:paraId="7427D871">
      <w:pPr>
        <w:snapToGrid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3、特别提示：采购代理机构将对项目名称和项目编号，中标供应商名称、地址和中标金额，主要中标标的名称、服务范围、服务要求、服务时间、服务标准等予以公示。</w:t>
      </w:r>
    </w:p>
    <w:p w14:paraId="37A76CE0">
      <w:pPr>
        <w:snapToGrid w:val="0"/>
        <w:spacing w:line="360" w:lineRule="auto"/>
        <w:ind w:firstLine="480" w:firstLineChars="200"/>
        <w:jc w:val="left"/>
        <w:rPr>
          <w:rFonts w:hint="eastAsia" w:ascii="宋体" w:hAnsi="宋体" w:cs="宋体"/>
          <w:color w:val="auto"/>
          <w:kern w:val="0"/>
          <w:highlight w:val="none"/>
          <w:lang w:val="zh-CN"/>
        </w:rPr>
      </w:pPr>
      <w:r>
        <w:rPr>
          <w:rFonts w:ascii="宋体" w:hAnsi="宋体" w:cs="宋体"/>
          <w:color w:val="auto"/>
          <w:kern w:val="0"/>
          <w:szCs w:val="22"/>
          <w:highlight w:val="none"/>
          <w:lang w:val="zh-CN"/>
        </w:rPr>
        <w:t>4</w:t>
      </w:r>
      <w:r>
        <w:rPr>
          <w:rFonts w:hint="eastAsia" w:ascii="宋体" w:hAnsi="宋体" w:cs="宋体"/>
          <w:color w:val="auto"/>
          <w:kern w:val="0"/>
          <w:szCs w:val="22"/>
          <w:highlight w:val="none"/>
          <w:lang w:val="zh-CN"/>
        </w:rPr>
        <w:t>、</w:t>
      </w:r>
      <w:r>
        <w:rPr>
          <w:rFonts w:hint="eastAsia" w:ascii="宋体" w:hAnsi="宋体" w:cs="宋体"/>
          <w:color w:val="auto"/>
          <w:kern w:val="0"/>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D0890BD">
      <w:pPr>
        <w:spacing w:line="360" w:lineRule="auto"/>
        <w:ind w:firstLine="482" w:firstLineChars="200"/>
        <w:rPr>
          <w:rFonts w:hint="eastAsia" w:ascii="宋体" w:hAnsi="宋体" w:eastAsia="宋体" w:cs="宋体"/>
          <w:b/>
          <w:color w:val="auto"/>
          <w:highlight w:val="none"/>
        </w:rPr>
      </w:pPr>
      <w:r>
        <w:rPr>
          <w:rFonts w:hint="eastAsia" w:ascii="宋体" w:hAnsi="宋体" w:cs="宋体"/>
          <w:b/>
          <w:color w:val="auto"/>
          <w:highlight w:val="none"/>
        </w:rPr>
        <w:t>5、特别说明：▲供应商报价低于项目预算50%的，应当在报价文件中详细阐述不影响产品质量或者诚信履约的具体原因，未做阐述说明的，投标无效。</w:t>
      </w:r>
    </w:p>
    <w:p w14:paraId="3CA56173">
      <w:pPr>
        <w:autoSpaceDE w:val="0"/>
        <w:autoSpaceDN w:val="0"/>
        <w:spacing w:line="360" w:lineRule="auto"/>
        <w:ind w:left="2" w:leftChars="1" w:right="1120" w:firstLine="8880" w:firstLineChars="3700"/>
        <w:jc w:val="left"/>
        <w:rPr>
          <w:rFonts w:hint="eastAsia" w:ascii="仿宋" w:hAnsi="仿宋" w:cs="仿宋"/>
          <w:color w:val="auto"/>
          <w:sz w:val="32"/>
          <w:szCs w:val="32"/>
          <w:highlight w:val="none"/>
        </w:rPr>
        <w:sectPr>
          <w:headerReference r:id="rId18" w:type="first"/>
          <w:footerReference r:id="rId20" w:type="first"/>
          <w:headerReference r:id="rId17" w:type="default"/>
          <w:footerReference r:id="rId19" w:type="default"/>
          <w:pgSz w:w="16838" w:h="11906" w:orient="landscape"/>
          <w:pgMar w:top="1417" w:right="1276" w:bottom="539" w:left="1247" w:header="851" w:footer="992" w:gutter="0"/>
          <w:cols w:space="0" w:num="1"/>
          <w:titlePg/>
          <w:docGrid w:linePitch="312" w:charSpace="0"/>
        </w:sectPr>
      </w:pPr>
      <w:r>
        <w:rPr>
          <w:rFonts w:hint="eastAsia" w:ascii="仿宋" w:hAnsi="仿宋" w:cs="仿宋"/>
          <w:color w:val="auto"/>
          <w:kern w:val="0"/>
          <w:highlight w:val="none"/>
          <w:lang w:val="zh-CN"/>
        </w:rPr>
        <w:t xml:space="preserve">                                                                                                                                                                                                           </w:t>
      </w:r>
    </w:p>
    <w:p w14:paraId="2F985ADC">
      <w:pPr>
        <w:pStyle w:val="692"/>
        <w:keepNext w:val="0"/>
        <w:pageBreakBefore w:val="0"/>
        <w:tabs>
          <w:tab w:val="clear" w:pos="720"/>
        </w:tabs>
        <w:snapToGrid w:val="0"/>
        <w:spacing w:before="120" w:after="120"/>
        <w:ind w:firstLine="643"/>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二、</w:t>
      </w:r>
      <w:r>
        <w:rPr>
          <w:rFonts w:hint="eastAsia" w:ascii="仿宋_GB2312" w:hAnsi="仿宋_GB2312" w:eastAsia="仿宋_GB2312" w:cs="仿宋_GB2312"/>
          <w:color w:val="auto"/>
          <w:sz w:val="32"/>
          <w:szCs w:val="32"/>
          <w:highlight w:val="none"/>
        </w:rPr>
        <w:t>中小企业声明函（如果有）</w:t>
      </w:r>
    </w:p>
    <w:p w14:paraId="02E27AD9">
      <w:pPr>
        <w:widowControl/>
        <w:spacing w:line="360" w:lineRule="auto"/>
        <w:ind w:firstLine="120" w:firstLineChars="5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58F90E7">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2FB6BEFE">
      <w:pPr>
        <w:spacing w:line="360" w:lineRule="auto"/>
        <w:ind w:right="420" w:firstLine="3614" w:firstLineChars="1000"/>
        <w:rPr>
          <w:rFonts w:hint="eastAsia" w:ascii="仿宋" w:hAnsi="仿宋" w:cs="仿宋"/>
          <w:b/>
          <w:color w:val="auto"/>
          <w:kern w:val="0"/>
          <w:sz w:val="36"/>
          <w:szCs w:val="36"/>
          <w:highlight w:val="none"/>
        </w:rPr>
      </w:pPr>
    </w:p>
    <w:p w14:paraId="10C9F549">
      <w:pPr>
        <w:spacing w:line="360" w:lineRule="auto"/>
        <w:ind w:right="420" w:firstLine="3614" w:firstLineChars="1000"/>
        <w:rPr>
          <w:rFonts w:hint="eastAsia" w:ascii="仿宋" w:hAnsi="仿宋" w:cs="仿宋"/>
          <w:b/>
          <w:color w:val="auto"/>
          <w:kern w:val="0"/>
          <w:sz w:val="36"/>
          <w:szCs w:val="36"/>
          <w:highlight w:val="none"/>
        </w:rPr>
      </w:pPr>
    </w:p>
    <w:p w14:paraId="2ED3B149">
      <w:pPr>
        <w:spacing w:line="360" w:lineRule="auto"/>
        <w:ind w:right="420" w:firstLine="3614" w:firstLineChars="1000"/>
        <w:rPr>
          <w:rFonts w:hint="eastAsia" w:ascii="仿宋" w:hAnsi="仿宋" w:cs="仿宋"/>
          <w:b/>
          <w:color w:val="auto"/>
          <w:kern w:val="0"/>
          <w:sz w:val="36"/>
          <w:szCs w:val="36"/>
          <w:highlight w:val="none"/>
        </w:rPr>
      </w:pPr>
    </w:p>
    <w:p w14:paraId="0A45071A">
      <w:pPr>
        <w:spacing w:line="360" w:lineRule="auto"/>
        <w:ind w:right="420" w:firstLine="3614" w:firstLineChars="1000"/>
        <w:rPr>
          <w:rFonts w:hint="eastAsia" w:ascii="仿宋" w:hAnsi="仿宋" w:cs="仿宋"/>
          <w:b/>
          <w:color w:val="auto"/>
          <w:kern w:val="0"/>
          <w:sz w:val="36"/>
          <w:szCs w:val="36"/>
          <w:highlight w:val="none"/>
        </w:rPr>
      </w:pPr>
    </w:p>
    <w:p w14:paraId="152E3229">
      <w:pPr>
        <w:spacing w:line="360" w:lineRule="auto"/>
        <w:ind w:right="420" w:firstLine="3614" w:firstLineChars="1000"/>
        <w:rPr>
          <w:rFonts w:hint="eastAsia" w:ascii="仿宋" w:hAnsi="仿宋" w:cs="仿宋"/>
          <w:b/>
          <w:color w:val="auto"/>
          <w:kern w:val="0"/>
          <w:sz w:val="36"/>
          <w:szCs w:val="36"/>
          <w:highlight w:val="none"/>
        </w:rPr>
      </w:pPr>
    </w:p>
    <w:p w14:paraId="28470DD6">
      <w:pPr>
        <w:spacing w:line="360" w:lineRule="auto"/>
        <w:ind w:right="420" w:firstLine="3614" w:firstLineChars="1000"/>
        <w:rPr>
          <w:rFonts w:hint="eastAsia" w:ascii="仿宋" w:hAnsi="仿宋" w:cs="仿宋"/>
          <w:b/>
          <w:color w:val="auto"/>
          <w:kern w:val="0"/>
          <w:sz w:val="36"/>
          <w:szCs w:val="36"/>
          <w:highlight w:val="none"/>
        </w:rPr>
      </w:pPr>
    </w:p>
    <w:p w14:paraId="48EA9465">
      <w:pPr>
        <w:spacing w:line="360" w:lineRule="auto"/>
        <w:ind w:right="420" w:firstLine="3614" w:firstLineChars="1000"/>
        <w:rPr>
          <w:rFonts w:hint="eastAsia" w:ascii="仿宋" w:hAnsi="仿宋" w:cs="仿宋"/>
          <w:b/>
          <w:color w:val="auto"/>
          <w:kern w:val="0"/>
          <w:sz w:val="36"/>
          <w:szCs w:val="36"/>
          <w:highlight w:val="none"/>
        </w:rPr>
      </w:pPr>
    </w:p>
    <w:p w14:paraId="6A4BD5BC">
      <w:pPr>
        <w:spacing w:line="360" w:lineRule="auto"/>
        <w:ind w:right="420" w:firstLine="3614" w:firstLineChars="1000"/>
        <w:rPr>
          <w:rFonts w:hint="eastAsia" w:ascii="仿宋" w:hAnsi="仿宋" w:cs="仿宋"/>
          <w:b/>
          <w:color w:val="auto"/>
          <w:kern w:val="0"/>
          <w:sz w:val="36"/>
          <w:szCs w:val="36"/>
          <w:highlight w:val="none"/>
        </w:rPr>
      </w:pPr>
    </w:p>
    <w:p w14:paraId="7A536E7A">
      <w:pPr>
        <w:spacing w:line="360" w:lineRule="auto"/>
        <w:ind w:right="420" w:firstLine="3614" w:firstLineChars="1000"/>
        <w:rPr>
          <w:rFonts w:hint="eastAsia" w:ascii="仿宋" w:hAnsi="仿宋" w:cs="仿宋"/>
          <w:b/>
          <w:color w:val="auto"/>
          <w:kern w:val="0"/>
          <w:sz w:val="36"/>
          <w:szCs w:val="36"/>
          <w:highlight w:val="none"/>
        </w:rPr>
      </w:pPr>
    </w:p>
    <w:p w14:paraId="6DC22EB6">
      <w:pPr>
        <w:spacing w:line="360" w:lineRule="auto"/>
        <w:ind w:right="420" w:firstLine="3614" w:firstLineChars="1000"/>
        <w:rPr>
          <w:rFonts w:hint="eastAsia" w:ascii="仿宋" w:hAnsi="仿宋" w:cs="仿宋"/>
          <w:b/>
          <w:color w:val="auto"/>
          <w:kern w:val="0"/>
          <w:sz w:val="36"/>
          <w:szCs w:val="36"/>
          <w:highlight w:val="none"/>
        </w:rPr>
      </w:pPr>
    </w:p>
    <w:p w14:paraId="4D86E7A4">
      <w:pPr>
        <w:spacing w:line="360" w:lineRule="auto"/>
        <w:ind w:right="420" w:firstLine="3614" w:firstLineChars="1000"/>
        <w:rPr>
          <w:rFonts w:hint="eastAsia" w:ascii="仿宋" w:hAnsi="仿宋" w:cs="仿宋"/>
          <w:b/>
          <w:color w:val="auto"/>
          <w:kern w:val="0"/>
          <w:sz w:val="36"/>
          <w:szCs w:val="36"/>
          <w:highlight w:val="none"/>
        </w:rPr>
      </w:pPr>
    </w:p>
    <w:p w14:paraId="4B714B3B">
      <w:pPr>
        <w:spacing w:line="360" w:lineRule="auto"/>
        <w:ind w:right="420" w:firstLine="3614" w:firstLineChars="1000"/>
        <w:rPr>
          <w:rFonts w:hint="eastAsia" w:ascii="仿宋" w:hAnsi="仿宋" w:cs="仿宋"/>
          <w:b/>
          <w:color w:val="auto"/>
          <w:kern w:val="0"/>
          <w:sz w:val="36"/>
          <w:szCs w:val="36"/>
          <w:highlight w:val="none"/>
        </w:rPr>
      </w:pPr>
    </w:p>
    <w:p w14:paraId="545FE94E">
      <w:pPr>
        <w:spacing w:line="360" w:lineRule="auto"/>
        <w:ind w:right="420" w:firstLine="3614" w:firstLineChars="1000"/>
        <w:rPr>
          <w:rFonts w:hint="eastAsia" w:ascii="仿宋" w:hAnsi="仿宋" w:cs="仿宋"/>
          <w:b/>
          <w:color w:val="auto"/>
          <w:kern w:val="0"/>
          <w:sz w:val="36"/>
          <w:szCs w:val="36"/>
          <w:highlight w:val="none"/>
        </w:rPr>
      </w:pPr>
    </w:p>
    <w:p w14:paraId="7E862B20">
      <w:pPr>
        <w:spacing w:line="360" w:lineRule="auto"/>
        <w:ind w:right="420" w:firstLine="3614" w:firstLineChars="1000"/>
        <w:rPr>
          <w:rFonts w:hint="eastAsia" w:ascii="仿宋" w:hAnsi="仿宋" w:cs="仿宋"/>
          <w:b/>
          <w:color w:val="auto"/>
          <w:kern w:val="0"/>
          <w:sz w:val="36"/>
          <w:szCs w:val="36"/>
          <w:highlight w:val="none"/>
        </w:rPr>
      </w:pPr>
    </w:p>
    <w:p w14:paraId="7C316A00">
      <w:pPr>
        <w:spacing w:line="360" w:lineRule="auto"/>
        <w:ind w:right="420" w:firstLine="3614" w:firstLineChars="1000"/>
        <w:rPr>
          <w:rFonts w:hint="eastAsia" w:ascii="仿宋" w:hAnsi="仿宋" w:cs="仿宋"/>
          <w:b/>
          <w:color w:val="auto"/>
          <w:kern w:val="0"/>
          <w:sz w:val="36"/>
          <w:szCs w:val="36"/>
          <w:highlight w:val="none"/>
        </w:rPr>
      </w:pPr>
    </w:p>
    <w:p w14:paraId="0EBC7A1D">
      <w:pPr>
        <w:spacing w:line="360" w:lineRule="auto"/>
        <w:ind w:right="420" w:firstLine="3614" w:firstLineChars="1000"/>
        <w:rPr>
          <w:rFonts w:hint="eastAsia" w:ascii="仿宋" w:hAnsi="仿宋" w:cs="仿宋"/>
          <w:b/>
          <w:color w:val="auto"/>
          <w:kern w:val="0"/>
          <w:sz w:val="36"/>
          <w:szCs w:val="36"/>
          <w:highlight w:val="none"/>
        </w:rPr>
      </w:pPr>
    </w:p>
    <w:p w14:paraId="6FA5649A">
      <w:pPr>
        <w:spacing w:line="360" w:lineRule="auto"/>
        <w:jc w:val="center"/>
        <w:rPr>
          <w:rFonts w:hint="eastAsia" w:ascii="仿宋" w:hAnsi="仿宋" w:cs="仿宋"/>
          <w:b/>
          <w:color w:val="auto"/>
          <w:szCs w:val="21"/>
          <w:highlight w:val="none"/>
        </w:rPr>
      </w:pPr>
      <w:r>
        <w:rPr>
          <w:rFonts w:hint="eastAsia" w:ascii="仿宋" w:hAnsi="仿宋" w:cs="仿宋"/>
          <w:b/>
          <w:color w:val="auto"/>
          <w:szCs w:val="21"/>
          <w:highlight w:val="none"/>
        </w:rPr>
        <w:t>关于钱塘区政府采购支持中小企业信用融资相关事项通知</w:t>
      </w:r>
    </w:p>
    <w:p w14:paraId="37115F62">
      <w:pPr>
        <w:spacing w:line="360" w:lineRule="auto"/>
        <w:jc w:val="center"/>
        <w:rPr>
          <w:rFonts w:hint="eastAsia" w:ascii="仿宋" w:hAnsi="仿宋" w:cs="仿宋"/>
          <w:b/>
          <w:color w:val="auto"/>
          <w:szCs w:val="21"/>
          <w:highlight w:val="none"/>
        </w:rPr>
      </w:pPr>
    </w:p>
    <w:p w14:paraId="3084FAC2">
      <w:pPr>
        <w:snapToGrid w:val="0"/>
        <w:spacing w:line="360" w:lineRule="auto"/>
        <w:ind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7894BB3E">
      <w:pPr>
        <w:snapToGrid w:val="0"/>
        <w:spacing w:line="360" w:lineRule="auto"/>
        <w:ind w:firstLine="482" w:firstLineChars="200"/>
        <w:jc w:val="left"/>
        <w:rPr>
          <w:rFonts w:hint="eastAsia" w:ascii="仿宋" w:hAnsi="仿宋" w:cs="仿宋"/>
          <w:b/>
          <w:bCs/>
          <w:color w:val="auto"/>
          <w:kern w:val="0"/>
          <w:highlight w:val="none"/>
          <w:lang w:val="zh-CN"/>
        </w:rPr>
      </w:pPr>
      <w:r>
        <w:rPr>
          <w:rFonts w:hint="eastAsia" w:ascii="仿宋" w:hAnsi="仿宋" w:cs="仿宋"/>
          <w:b/>
          <w:bCs/>
          <w:color w:val="auto"/>
          <w:kern w:val="0"/>
          <w:highlight w:val="none"/>
          <w:lang w:val="zh-CN"/>
        </w:rPr>
        <w:t>一、适用对象</w:t>
      </w:r>
    </w:p>
    <w:p w14:paraId="7CE02066">
      <w:pPr>
        <w:snapToGrid w:val="0"/>
        <w:spacing w:line="360" w:lineRule="auto"/>
        <w:ind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在浙江“政采云”平台注册入库，并取得钱塘区政府采购合同的中小企业供应商。</w:t>
      </w:r>
    </w:p>
    <w:p w14:paraId="3D47D208">
      <w:pPr>
        <w:snapToGrid w:val="0"/>
        <w:spacing w:line="360" w:lineRule="auto"/>
        <w:ind w:firstLine="482" w:firstLineChars="200"/>
        <w:jc w:val="left"/>
        <w:rPr>
          <w:rFonts w:hint="eastAsia" w:ascii="仿宋" w:hAnsi="仿宋" w:cs="仿宋"/>
          <w:b/>
          <w:bCs/>
          <w:color w:val="auto"/>
          <w:kern w:val="0"/>
          <w:highlight w:val="none"/>
          <w:lang w:val="zh-CN"/>
        </w:rPr>
      </w:pPr>
      <w:r>
        <w:rPr>
          <w:rFonts w:hint="eastAsia" w:ascii="仿宋" w:hAnsi="仿宋" w:cs="仿宋"/>
          <w:b/>
          <w:bCs/>
          <w:color w:val="auto"/>
          <w:kern w:val="0"/>
          <w:highlight w:val="none"/>
          <w:lang w:val="zh-CN"/>
        </w:rPr>
        <w:t>二、相关信息获取方式</w:t>
      </w:r>
    </w:p>
    <w:p w14:paraId="075142D1">
      <w:pPr>
        <w:snapToGrid w:val="0"/>
        <w:spacing w:line="360" w:lineRule="auto"/>
        <w:ind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请登陆杭州钱塘新区管理委员会官网（http://qt.hangzhou.gov.cn） “公告公示”专栏，查看信用融资政策文件及各相关银行服务方案。</w:t>
      </w:r>
    </w:p>
    <w:p w14:paraId="537D1175">
      <w:pPr>
        <w:snapToGrid w:val="0"/>
        <w:spacing w:line="360" w:lineRule="auto"/>
        <w:ind w:firstLine="482" w:firstLineChars="200"/>
        <w:jc w:val="left"/>
        <w:rPr>
          <w:rFonts w:hint="eastAsia" w:ascii="仿宋" w:hAnsi="仿宋" w:cs="仿宋"/>
          <w:b/>
          <w:bCs/>
          <w:color w:val="auto"/>
          <w:kern w:val="0"/>
          <w:highlight w:val="none"/>
          <w:lang w:val="zh-CN"/>
        </w:rPr>
      </w:pPr>
      <w:r>
        <w:rPr>
          <w:rFonts w:hint="eastAsia" w:ascii="仿宋" w:hAnsi="仿宋" w:cs="仿宋"/>
          <w:b/>
          <w:bCs/>
          <w:color w:val="auto"/>
          <w:kern w:val="0"/>
          <w:highlight w:val="none"/>
          <w:lang w:val="zh-CN"/>
        </w:rPr>
        <w:t>三、申请方式和步骤</w:t>
      </w:r>
    </w:p>
    <w:p w14:paraId="0013A4ED">
      <w:pPr>
        <w:snapToGrid w:val="0"/>
        <w:spacing w:line="360" w:lineRule="auto"/>
        <w:ind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1、供应商若有融资意向，需先与钱塘区财政局合作的银行对接，办理相关融资前期手续；</w:t>
      </w:r>
    </w:p>
    <w:p w14:paraId="0CAACF66">
      <w:pPr>
        <w:snapToGrid w:val="0"/>
        <w:spacing w:line="360" w:lineRule="auto"/>
        <w:ind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2、中标后，供应商应与采购单位或者采购代理机构及时联系，告知融资需求；</w:t>
      </w:r>
    </w:p>
    <w:p w14:paraId="0FE3317C">
      <w:pPr>
        <w:snapToGrid w:val="0"/>
        <w:spacing w:line="360" w:lineRule="auto"/>
        <w:ind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3、相关合作银行联系并审核供应商及相关中标信息，办理相关融资事宜；</w:t>
      </w:r>
    </w:p>
    <w:p w14:paraId="19EE1060">
      <w:pPr>
        <w:snapToGrid w:val="0"/>
        <w:spacing w:line="360" w:lineRule="auto"/>
        <w:ind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rPr>
        <w:t>4</w:t>
      </w:r>
      <w:r>
        <w:rPr>
          <w:rFonts w:hint="eastAsia" w:ascii="仿宋" w:hAnsi="仿宋" w:cs="仿宋"/>
          <w:color w:val="auto"/>
          <w:kern w:val="0"/>
          <w:highlight w:val="none"/>
          <w:lang w:val="zh-CN"/>
        </w:rPr>
        <w:t>、采购单位应及时将信用融资合同提交备案。</w:t>
      </w:r>
    </w:p>
    <w:p w14:paraId="5CF6E83E">
      <w:pPr>
        <w:snapToGrid w:val="0"/>
        <w:spacing w:line="360" w:lineRule="auto"/>
        <w:ind w:firstLine="482" w:firstLineChars="200"/>
        <w:jc w:val="left"/>
        <w:rPr>
          <w:rFonts w:hint="eastAsia" w:ascii="仿宋" w:hAnsi="仿宋" w:cs="仿宋"/>
          <w:b/>
          <w:bCs/>
          <w:color w:val="auto"/>
          <w:kern w:val="0"/>
          <w:highlight w:val="none"/>
          <w:lang w:val="zh-CN"/>
        </w:rPr>
      </w:pPr>
      <w:r>
        <w:rPr>
          <w:rFonts w:hint="eastAsia" w:ascii="仿宋" w:hAnsi="仿宋" w:cs="仿宋"/>
          <w:b/>
          <w:bCs/>
          <w:color w:val="auto"/>
          <w:kern w:val="0"/>
          <w:highlight w:val="none"/>
          <w:lang w:val="zh-CN"/>
        </w:rPr>
        <w:t>四、注意事项</w:t>
      </w:r>
    </w:p>
    <w:p w14:paraId="0738711B">
      <w:pPr>
        <w:snapToGrid w:val="0"/>
        <w:spacing w:line="360" w:lineRule="auto"/>
        <w:ind w:firstLine="480" w:firstLineChars="200"/>
        <w:jc w:val="left"/>
        <w:rPr>
          <w:rFonts w:hint="eastAsia" w:ascii="仿宋" w:hAnsi="仿宋" w:cs="仿宋"/>
          <w:color w:val="auto"/>
          <w:kern w:val="0"/>
          <w:highlight w:val="none"/>
          <w:lang w:val="zh-CN"/>
        </w:rPr>
      </w:pPr>
      <w:r>
        <w:rPr>
          <w:rFonts w:hint="eastAsia" w:ascii="仿宋" w:hAnsi="仿宋" w:cs="仿宋"/>
          <w:color w:val="auto"/>
          <w:kern w:val="0"/>
          <w:highlight w:val="none"/>
          <w:lang w:val="zh-CN"/>
        </w:rPr>
        <w:t>请各采购单位和采购代理机构积极支持和配合政府采购信用融资工作，在合同备案环节务必请仔细核对收款银行、账号信息等内容。</w:t>
      </w:r>
    </w:p>
    <w:p w14:paraId="1B57CD43">
      <w:pPr>
        <w:snapToGrid w:val="0"/>
        <w:spacing w:line="360" w:lineRule="auto"/>
        <w:ind w:firstLine="482" w:firstLineChars="200"/>
        <w:jc w:val="left"/>
        <w:rPr>
          <w:rFonts w:hint="eastAsia" w:ascii="仿宋" w:hAnsi="仿宋" w:cs="仿宋"/>
          <w:b/>
          <w:bCs/>
          <w:color w:val="auto"/>
          <w:kern w:val="0"/>
          <w:highlight w:val="none"/>
          <w:lang w:val="zh-CN"/>
        </w:rPr>
      </w:pPr>
      <w:r>
        <w:rPr>
          <w:rFonts w:hint="eastAsia" w:ascii="仿宋" w:hAnsi="仿宋" w:cs="仿宋"/>
          <w:b/>
          <w:bCs/>
          <w:color w:val="auto"/>
          <w:kern w:val="0"/>
          <w:highlight w:val="none"/>
          <w:lang w:val="zh-CN"/>
        </w:rPr>
        <w:t>五、合作银行及联系方式</w:t>
      </w:r>
    </w:p>
    <w:tbl>
      <w:tblPr>
        <w:tblStyle w:val="63"/>
        <w:tblW w:w="8740" w:type="dxa"/>
        <w:tblInd w:w="95" w:type="dxa"/>
        <w:tblLayout w:type="fixed"/>
        <w:tblCellMar>
          <w:top w:w="0" w:type="dxa"/>
          <w:left w:w="108" w:type="dxa"/>
          <w:bottom w:w="0" w:type="dxa"/>
          <w:right w:w="108" w:type="dxa"/>
        </w:tblCellMar>
      </w:tblPr>
      <w:tblGrid>
        <w:gridCol w:w="1080"/>
        <w:gridCol w:w="3020"/>
        <w:gridCol w:w="1420"/>
        <w:gridCol w:w="3220"/>
      </w:tblGrid>
      <w:tr w14:paraId="3779165F">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126A3C83">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10A037C6">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6D8853A9">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21FE6518">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电话</w:t>
            </w:r>
          </w:p>
        </w:tc>
      </w:tr>
      <w:tr w14:paraId="6282E4D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B5C0D62">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1</w:t>
            </w:r>
          </w:p>
        </w:tc>
        <w:tc>
          <w:tcPr>
            <w:tcW w:w="3020" w:type="dxa"/>
            <w:tcBorders>
              <w:top w:val="nil"/>
              <w:left w:val="nil"/>
              <w:bottom w:val="single" w:color="auto" w:sz="4" w:space="0"/>
              <w:right w:val="single" w:color="auto" w:sz="4" w:space="0"/>
            </w:tcBorders>
            <w:noWrap/>
            <w:vAlign w:val="center"/>
          </w:tcPr>
          <w:p w14:paraId="557A3E65">
            <w:pPr>
              <w:widowControl/>
              <w:jc w:val="center"/>
              <w:rPr>
                <w:rFonts w:hint="eastAsia" w:ascii="仿宋" w:hAnsi="仿宋" w:cs="仿宋"/>
                <w:color w:val="auto"/>
                <w:kern w:val="0"/>
                <w:highlight w:val="none"/>
              </w:rPr>
            </w:pPr>
            <w:r>
              <w:rPr>
                <w:rFonts w:hint="eastAsia" w:ascii="仿宋" w:hAnsi="仿宋" w:cs="仿宋"/>
                <w:color w:val="auto"/>
                <w:kern w:val="0"/>
                <w:highlight w:val="none"/>
              </w:rPr>
              <w:t>建设银行钱塘支行</w:t>
            </w:r>
          </w:p>
        </w:tc>
        <w:tc>
          <w:tcPr>
            <w:tcW w:w="1420" w:type="dxa"/>
            <w:tcBorders>
              <w:top w:val="nil"/>
              <w:left w:val="nil"/>
              <w:bottom w:val="single" w:color="auto" w:sz="4" w:space="0"/>
              <w:right w:val="single" w:color="auto" w:sz="4" w:space="0"/>
            </w:tcBorders>
            <w:noWrap/>
            <w:vAlign w:val="center"/>
          </w:tcPr>
          <w:p w14:paraId="4DB881B5">
            <w:pPr>
              <w:widowControl/>
              <w:jc w:val="center"/>
              <w:rPr>
                <w:rFonts w:hint="eastAsia" w:ascii="仿宋" w:hAnsi="仿宋" w:cs="仿宋"/>
                <w:color w:val="auto"/>
                <w:kern w:val="0"/>
                <w:highlight w:val="none"/>
              </w:rPr>
            </w:pPr>
            <w:r>
              <w:rPr>
                <w:rFonts w:hint="eastAsia" w:ascii="仿宋" w:hAnsi="仿宋" w:cs="仿宋"/>
                <w:color w:val="auto"/>
                <w:kern w:val="0"/>
                <w:highlight w:val="none"/>
              </w:rPr>
              <w:t>张苏航</w:t>
            </w:r>
          </w:p>
        </w:tc>
        <w:tc>
          <w:tcPr>
            <w:tcW w:w="3220" w:type="dxa"/>
            <w:tcBorders>
              <w:top w:val="nil"/>
              <w:left w:val="nil"/>
              <w:bottom w:val="single" w:color="auto" w:sz="4" w:space="0"/>
              <w:right w:val="single" w:color="auto" w:sz="4" w:space="0"/>
            </w:tcBorders>
            <w:noWrap/>
            <w:vAlign w:val="center"/>
          </w:tcPr>
          <w:p w14:paraId="3A54CE80">
            <w:pPr>
              <w:widowControl/>
              <w:jc w:val="center"/>
              <w:rPr>
                <w:rFonts w:hint="eastAsia" w:ascii="仿宋" w:hAnsi="仿宋" w:cs="仿宋"/>
                <w:color w:val="auto"/>
                <w:kern w:val="0"/>
                <w:highlight w:val="none"/>
              </w:rPr>
            </w:pPr>
            <w:r>
              <w:rPr>
                <w:rFonts w:hint="eastAsia" w:ascii="仿宋" w:hAnsi="仿宋" w:cs="仿宋"/>
                <w:color w:val="auto"/>
                <w:kern w:val="0"/>
                <w:highlight w:val="none"/>
              </w:rPr>
              <w:t>13065710830</w:t>
            </w:r>
          </w:p>
        </w:tc>
      </w:tr>
      <w:tr w14:paraId="7CAE6C8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2929606">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2</w:t>
            </w:r>
          </w:p>
        </w:tc>
        <w:tc>
          <w:tcPr>
            <w:tcW w:w="3020" w:type="dxa"/>
            <w:tcBorders>
              <w:top w:val="nil"/>
              <w:left w:val="nil"/>
              <w:bottom w:val="single" w:color="auto" w:sz="4" w:space="0"/>
              <w:right w:val="single" w:color="auto" w:sz="4" w:space="0"/>
            </w:tcBorders>
            <w:noWrap/>
            <w:vAlign w:val="center"/>
          </w:tcPr>
          <w:p w14:paraId="5C9256AB">
            <w:pPr>
              <w:widowControl/>
              <w:jc w:val="center"/>
              <w:rPr>
                <w:rFonts w:hint="eastAsia" w:ascii="仿宋" w:hAnsi="仿宋" w:cs="仿宋"/>
                <w:color w:val="auto"/>
                <w:kern w:val="0"/>
                <w:highlight w:val="none"/>
              </w:rPr>
            </w:pPr>
            <w:r>
              <w:rPr>
                <w:rFonts w:hint="eastAsia" w:ascii="仿宋" w:hAnsi="仿宋" w:cs="仿宋"/>
                <w:color w:val="auto"/>
                <w:kern w:val="0"/>
                <w:highlight w:val="none"/>
              </w:rPr>
              <w:t>中信银行开发支行</w:t>
            </w:r>
          </w:p>
        </w:tc>
        <w:tc>
          <w:tcPr>
            <w:tcW w:w="1420" w:type="dxa"/>
            <w:tcBorders>
              <w:top w:val="nil"/>
              <w:left w:val="nil"/>
              <w:bottom w:val="single" w:color="auto" w:sz="4" w:space="0"/>
              <w:right w:val="single" w:color="auto" w:sz="4" w:space="0"/>
            </w:tcBorders>
            <w:noWrap/>
            <w:vAlign w:val="center"/>
          </w:tcPr>
          <w:p w14:paraId="7513CCF0">
            <w:pPr>
              <w:widowControl/>
              <w:jc w:val="center"/>
              <w:rPr>
                <w:rFonts w:hint="eastAsia" w:ascii="仿宋" w:hAnsi="仿宋" w:cs="仿宋"/>
                <w:color w:val="auto"/>
                <w:kern w:val="0"/>
                <w:highlight w:val="none"/>
              </w:rPr>
            </w:pPr>
            <w:r>
              <w:rPr>
                <w:rFonts w:hint="eastAsia" w:ascii="仿宋" w:hAnsi="仿宋" w:cs="仿宋"/>
                <w:color w:val="auto"/>
                <w:kern w:val="0"/>
                <w:highlight w:val="none"/>
              </w:rPr>
              <w:t>左劼</w:t>
            </w:r>
          </w:p>
        </w:tc>
        <w:tc>
          <w:tcPr>
            <w:tcW w:w="3220" w:type="dxa"/>
            <w:tcBorders>
              <w:top w:val="nil"/>
              <w:left w:val="nil"/>
              <w:bottom w:val="single" w:color="auto" w:sz="4" w:space="0"/>
              <w:right w:val="single" w:color="auto" w:sz="4" w:space="0"/>
            </w:tcBorders>
            <w:noWrap/>
            <w:vAlign w:val="center"/>
          </w:tcPr>
          <w:p w14:paraId="13AA05D5">
            <w:pPr>
              <w:widowControl/>
              <w:jc w:val="center"/>
              <w:rPr>
                <w:rFonts w:hint="eastAsia" w:ascii="仿宋" w:hAnsi="仿宋" w:cs="仿宋"/>
                <w:color w:val="auto"/>
                <w:kern w:val="0"/>
                <w:highlight w:val="none"/>
              </w:rPr>
            </w:pPr>
            <w:r>
              <w:rPr>
                <w:rFonts w:hint="eastAsia" w:ascii="仿宋" w:hAnsi="仿宋" w:cs="仿宋"/>
                <w:color w:val="auto"/>
                <w:kern w:val="0"/>
                <w:highlight w:val="none"/>
              </w:rPr>
              <w:t>13777889798</w:t>
            </w:r>
          </w:p>
        </w:tc>
      </w:tr>
      <w:tr w14:paraId="1BDD775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A877BEC">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3</w:t>
            </w:r>
          </w:p>
        </w:tc>
        <w:tc>
          <w:tcPr>
            <w:tcW w:w="3020" w:type="dxa"/>
            <w:tcBorders>
              <w:top w:val="nil"/>
              <w:left w:val="nil"/>
              <w:bottom w:val="single" w:color="auto" w:sz="4" w:space="0"/>
              <w:right w:val="single" w:color="auto" w:sz="4" w:space="0"/>
            </w:tcBorders>
            <w:noWrap/>
            <w:vAlign w:val="center"/>
          </w:tcPr>
          <w:p w14:paraId="4AA9DBC9">
            <w:pPr>
              <w:widowControl/>
              <w:jc w:val="center"/>
              <w:rPr>
                <w:rFonts w:hint="eastAsia" w:ascii="仿宋" w:hAnsi="仿宋" w:cs="仿宋"/>
                <w:color w:val="auto"/>
                <w:kern w:val="0"/>
                <w:highlight w:val="none"/>
              </w:rPr>
            </w:pPr>
            <w:r>
              <w:rPr>
                <w:rFonts w:hint="eastAsia" w:ascii="仿宋" w:hAnsi="仿宋" w:cs="仿宋"/>
                <w:color w:val="auto"/>
                <w:kern w:val="0"/>
                <w:highlight w:val="none"/>
              </w:rPr>
              <w:t>民生银行义蓬支行</w:t>
            </w:r>
          </w:p>
        </w:tc>
        <w:tc>
          <w:tcPr>
            <w:tcW w:w="1420" w:type="dxa"/>
            <w:tcBorders>
              <w:top w:val="nil"/>
              <w:left w:val="nil"/>
              <w:bottom w:val="single" w:color="auto" w:sz="4" w:space="0"/>
              <w:right w:val="single" w:color="auto" w:sz="4" w:space="0"/>
            </w:tcBorders>
            <w:noWrap/>
            <w:vAlign w:val="center"/>
          </w:tcPr>
          <w:p w14:paraId="716179B2">
            <w:pPr>
              <w:widowControl/>
              <w:jc w:val="center"/>
              <w:rPr>
                <w:rFonts w:hint="eastAsia" w:ascii="仿宋" w:hAnsi="仿宋" w:cs="仿宋"/>
                <w:color w:val="auto"/>
                <w:kern w:val="0"/>
                <w:highlight w:val="none"/>
              </w:rPr>
            </w:pPr>
            <w:r>
              <w:rPr>
                <w:rFonts w:hint="eastAsia" w:ascii="仿宋" w:hAnsi="仿宋" w:cs="仿宋"/>
                <w:color w:val="auto"/>
                <w:kern w:val="0"/>
                <w:highlight w:val="none"/>
              </w:rPr>
              <w:t>吕刚</w:t>
            </w:r>
          </w:p>
        </w:tc>
        <w:tc>
          <w:tcPr>
            <w:tcW w:w="3220" w:type="dxa"/>
            <w:tcBorders>
              <w:top w:val="nil"/>
              <w:left w:val="nil"/>
              <w:bottom w:val="single" w:color="auto" w:sz="4" w:space="0"/>
              <w:right w:val="single" w:color="auto" w:sz="4" w:space="0"/>
            </w:tcBorders>
            <w:noWrap/>
            <w:vAlign w:val="center"/>
          </w:tcPr>
          <w:p w14:paraId="43868D09">
            <w:pPr>
              <w:widowControl/>
              <w:jc w:val="center"/>
              <w:rPr>
                <w:rFonts w:hint="eastAsia" w:ascii="仿宋" w:hAnsi="仿宋" w:cs="仿宋"/>
                <w:color w:val="auto"/>
                <w:kern w:val="0"/>
                <w:highlight w:val="none"/>
              </w:rPr>
            </w:pPr>
            <w:r>
              <w:rPr>
                <w:rFonts w:hint="eastAsia" w:ascii="仿宋" w:hAnsi="仿宋" w:cs="仿宋"/>
                <w:color w:val="auto"/>
                <w:kern w:val="0"/>
                <w:highlight w:val="none"/>
              </w:rPr>
              <w:t>13906811832</w:t>
            </w:r>
          </w:p>
        </w:tc>
      </w:tr>
      <w:tr w14:paraId="64BB4B7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1A386C73">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4</w:t>
            </w:r>
          </w:p>
        </w:tc>
        <w:tc>
          <w:tcPr>
            <w:tcW w:w="3020" w:type="dxa"/>
            <w:tcBorders>
              <w:top w:val="nil"/>
              <w:left w:val="nil"/>
              <w:bottom w:val="single" w:color="auto" w:sz="4" w:space="0"/>
              <w:right w:val="single" w:color="auto" w:sz="4" w:space="0"/>
            </w:tcBorders>
            <w:noWrap/>
            <w:vAlign w:val="center"/>
          </w:tcPr>
          <w:p w14:paraId="01A52676">
            <w:pPr>
              <w:widowControl/>
              <w:jc w:val="center"/>
              <w:rPr>
                <w:rFonts w:hint="eastAsia" w:ascii="仿宋" w:hAnsi="仿宋" w:cs="仿宋"/>
                <w:color w:val="auto"/>
                <w:kern w:val="0"/>
                <w:highlight w:val="none"/>
              </w:rPr>
            </w:pPr>
            <w:r>
              <w:rPr>
                <w:rFonts w:hint="eastAsia" w:ascii="仿宋" w:hAnsi="仿宋" w:cs="仿宋"/>
                <w:color w:val="auto"/>
                <w:kern w:val="0"/>
                <w:highlight w:val="none"/>
              </w:rPr>
              <w:t>杭州银行钱塘支行</w:t>
            </w:r>
          </w:p>
        </w:tc>
        <w:tc>
          <w:tcPr>
            <w:tcW w:w="1420" w:type="dxa"/>
            <w:tcBorders>
              <w:top w:val="nil"/>
              <w:left w:val="nil"/>
              <w:bottom w:val="single" w:color="auto" w:sz="4" w:space="0"/>
              <w:right w:val="single" w:color="auto" w:sz="4" w:space="0"/>
            </w:tcBorders>
            <w:noWrap/>
            <w:vAlign w:val="center"/>
          </w:tcPr>
          <w:p w14:paraId="37C13690">
            <w:pPr>
              <w:widowControl/>
              <w:jc w:val="center"/>
              <w:rPr>
                <w:rFonts w:hint="eastAsia" w:ascii="仿宋" w:hAnsi="仿宋" w:cs="仿宋"/>
                <w:color w:val="auto"/>
                <w:kern w:val="0"/>
                <w:highlight w:val="none"/>
              </w:rPr>
            </w:pPr>
            <w:r>
              <w:rPr>
                <w:rFonts w:hint="eastAsia" w:ascii="仿宋" w:hAnsi="仿宋" w:cs="仿宋"/>
                <w:color w:val="auto"/>
                <w:kern w:val="0"/>
                <w:highlight w:val="none"/>
              </w:rPr>
              <w:t>费莎</w:t>
            </w:r>
          </w:p>
          <w:p w14:paraId="0A5706E9">
            <w:pPr>
              <w:widowControl/>
              <w:jc w:val="center"/>
              <w:rPr>
                <w:rFonts w:hint="eastAsia" w:ascii="仿宋" w:hAnsi="仿宋" w:cs="仿宋"/>
                <w:color w:val="auto"/>
                <w:kern w:val="0"/>
                <w:highlight w:val="none"/>
              </w:rPr>
            </w:pPr>
            <w:r>
              <w:rPr>
                <w:rFonts w:hint="eastAsia" w:ascii="仿宋" w:hAnsi="仿宋" w:cs="仿宋"/>
                <w:color w:val="auto"/>
                <w:kern w:val="0"/>
                <w:highlight w:val="none"/>
              </w:rPr>
              <w:t>严培蓓</w:t>
            </w:r>
          </w:p>
        </w:tc>
        <w:tc>
          <w:tcPr>
            <w:tcW w:w="3220" w:type="dxa"/>
            <w:tcBorders>
              <w:top w:val="nil"/>
              <w:left w:val="nil"/>
              <w:bottom w:val="single" w:color="auto" w:sz="4" w:space="0"/>
              <w:right w:val="single" w:color="auto" w:sz="4" w:space="0"/>
            </w:tcBorders>
            <w:noWrap/>
            <w:vAlign w:val="center"/>
          </w:tcPr>
          <w:p w14:paraId="47B0DA5B">
            <w:pPr>
              <w:widowControl/>
              <w:jc w:val="center"/>
              <w:rPr>
                <w:rFonts w:hint="eastAsia" w:ascii="仿宋" w:hAnsi="仿宋" w:cs="仿宋"/>
                <w:color w:val="auto"/>
                <w:kern w:val="0"/>
                <w:highlight w:val="none"/>
              </w:rPr>
            </w:pPr>
            <w:r>
              <w:rPr>
                <w:rFonts w:hint="eastAsia" w:ascii="仿宋" w:hAnsi="仿宋" w:cs="仿宋"/>
                <w:color w:val="auto"/>
                <w:kern w:val="0"/>
                <w:highlight w:val="none"/>
              </w:rPr>
              <w:t>13388617781</w:t>
            </w:r>
          </w:p>
          <w:p w14:paraId="66B5BA5C">
            <w:pPr>
              <w:widowControl/>
              <w:jc w:val="center"/>
              <w:rPr>
                <w:rFonts w:hint="eastAsia" w:ascii="仿宋" w:hAnsi="仿宋" w:cs="仿宋"/>
                <w:color w:val="auto"/>
                <w:kern w:val="0"/>
                <w:highlight w:val="none"/>
              </w:rPr>
            </w:pPr>
            <w:r>
              <w:rPr>
                <w:rFonts w:hint="eastAsia" w:ascii="仿宋" w:hAnsi="仿宋" w:cs="仿宋"/>
                <w:color w:val="auto"/>
                <w:kern w:val="0"/>
                <w:highlight w:val="none"/>
              </w:rPr>
              <w:t>13858023883</w:t>
            </w:r>
          </w:p>
        </w:tc>
      </w:tr>
      <w:tr w14:paraId="08B8BB8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049F6BC">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5</w:t>
            </w:r>
          </w:p>
        </w:tc>
        <w:tc>
          <w:tcPr>
            <w:tcW w:w="3020" w:type="dxa"/>
            <w:tcBorders>
              <w:top w:val="nil"/>
              <w:left w:val="nil"/>
              <w:bottom w:val="single" w:color="auto" w:sz="4" w:space="0"/>
              <w:right w:val="single" w:color="auto" w:sz="4" w:space="0"/>
            </w:tcBorders>
            <w:noWrap/>
            <w:vAlign w:val="center"/>
          </w:tcPr>
          <w:p w14:paraId="308B451E">
            <w:pPr>
              <w:widowControl/>
              <w:jc w:val="center"/>
              <w:rPr>
                <w:rFonts w:hint="eastAsia" w:ascii="仿宋" w:hAnsi="仿宋" w:cs="仿宋"/>
                <w:color w:val="auto"/>
                <w:kern w:val="0"/>
                <w:highlight w:val="none"/>
              </w:rPr>
            </w:pPr>
            <w:r>
              <w:rPr>
                <w:rFonts w:hint="eastAsia" w:ascii="仿宋" w:hAnsi="仿宋" w:cs="仿宋"/>
                <w:color w:val="auto"/>
                <w:kern w:val="0"/>
                <w:highlight w:val="none"/>
              </w:rPr>
              <w:t>兴业银行开发区支行</w:t>
            </w:r>
          </w:p>
        </w:tc>
        <w:tc>
          <w:tcPr>
            <w:tcW w:w="1420" w:type="dxa"/>
            <w:tcBorders>
              <w:top w:val="nil"/>
              <w:left w:val="nil"/>
              <w:bottom w:val="single" w:color="auto" w:sz="4" w:space="0"/>
              <w:right w:val="single" w:color="auto" w:sz="4" w:space="0"/>
            </w:tcBorders>
            <w:noWrap/>
            <w:vAlign w:val="center"/>
          </w:tcPr>
          <w:p w14:paraId="69E759ED">
            <w:pPr>
              <w:widowControl/>
              <w:jc w:val="center"/>
              <w:rPr>
                <w:rFonts w:hint="eastAsia" w:ascii="仿宋" w:hAnsi="仿宋" w:cs="仿宋"/>
                <w:color w:val="auto"/>
                <w:kern w:val="0"/>
                <w:highlight w:val="none"/>
              </w:rPr>
            </w:pPr>
            <w:r>
              <w:rPr>
                <w:rFonts w:hint="eastAsia" w:ascii="仿宋" w:hAnsi="仿宋" w:cs="仿宋"/>
                <w:color w:val="auto"/>
                <w:kern w:val="0"/>
                <w:highlight w:val="none"/>
              </w:rPr>
              <w:t>丁萍</w:t>
            </w:r>
          </w:p>
        </w:tc>
        <w:tc>
          <w:tcPr>
            <w:tcW w:w="3220" w:type="dxa"/>
            <w:tcBorders>
              <w:top w:val="nil"/>
              <w:left w:val="nil"/>
              <w:bottom w:val="single" w:color="auto" w:sz="4" w:space="0"/>
              <w:right w:val="single" w:color="auto" w:sz="4" w:space="0"/>
            </w:tcBorders>
            <w:noWrap/>
            <w:vAlign w:val="center"/>
          </w:tcPr>
          <w:p w14:paraId="6B71D301">
            <w:pPr>
              <w:widowControl/>
              <w:jc w:val="center"/>
              <w:rPr>
                <w:rFonts w:hint="eastAsia" w:ascii="仿宋" w:hAnsi="仿宋" w:cs="仿宋"/>
                <w:color w:val="auto"/>
                <w:kern w:val="0"/>
                <w:highlight w:val="none"/>
              </w:rPr>
            </w:pPr>
            <w:r>
              <w:rPr>
                <w:rFonts w:hint="eastAsia" w:ascii="仿宋" w:hAnsi="仿宋" w:cs="仿宋"/>
                <w:color w:val="auto"/>
                <w:kern w:val="0"/>
                <w:highlight w:val="none"/>
              </w:rPr>
              <w:t>13777421564</w:t>
            </w:r>
          </w:p>
        </w:tc>
      </w:tr>
      <w:tr w14:paraId="15F3898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1FE44AB">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6</w:t>
            </w:r>
          </w:p>
        </w:tc>
        <w:tc>
          <w:tcPr>
            <w:tcW w:w="3020" w:type="dxa"/>
            <w:tcBorders>
              <w:top w:val="nil"/>
              <w:left w:val="nil"/>
              <w:bottom w:val="single" w:color="auto" w:sz="4" w:space="0"/>
              <w:right w:val="single" w:color="auto" w:sz="4" w:space="0"/>
            </w:tcBorders>
            <w:noWrap/>
            <w:vAlign w:val="center"/>
          </w:tcPr>
          <w:p w14:paraId="029D10D1">
            <w:pPr>
              <w:widowControl/>
              <w:jc w:val="center"/>
              <w:rPr>
                <w:rFonts w:hint="eastAsia" w:ascii="仿宋" w:hAnsi="仿宋" w:cs="仿宋"/>
                <w:color w:val="auto"/>
                <w:kern w:val="0"/>
                <w:highlight w:val="none"/>
              </w:rPr>
            </w:pPr>
            <w:r>
              <w:rPr>
                <w:rFonts w:hint="eastAsia" w:ascii="仿宋" w:hAnsi="仿宋" w:cs="仿宋"/>
                <w:color w:val="auto"/>
                <w:kern w:val="0"/>
                <w:highlight w:val="none"/>
              </w:rPr>
              <w:t>中国银行钱塘支行</w:t>
            </w:r>
          </w:p>
        </w:tc>
        <w:tc>
          <w:tcPr>
            <w:tcW w:w="1420" w:type="dxa"/>
            <w:tcBorders>
              <w:top w:val="nil"/>
              <w:left w:val="nil"/>
              <w:bottom w:val="single" w:color="auto" w:sz="4" w:space="0"/>
              <w:right w:val="single" w:color="auto" w:sz="4" w:space="0"/>
            </w:tcBorders>
            <w:noWrap/>
            <w:vAlign w:val="center"/>
          </w:tcPr>
          <w:p w14:paraId="5E9ADA58">
            <w:pPr>
              <w:widowControl/>
              <w:jc w:val="center"/>
              <w:rPr>
                <w:rFonts w:hint="eastAsia" w:ascii="仿宋" w:hAnsi="仿宋" w:cs="仿宋"/>
                <w:color w:val="auto"/>
                <w:kern w:val="0"/>
                <w:highlight w:val="none"/>
              </w:rPr>
            </w:pPr>
            <w:r>
              <w:rPr>
                <w:rFonts w:hint="eastAsia" w:ascii="仿宋" w:hAnsi="仿宋" w:cs="仿宋"/>
                <w:color w:val="auto"/>
                <w:kern w:val="0"/>
                <w:highlight w:val="none"/>
              </w:rPr>
              <w:t>沈振华</w:t>
            </w:r>
          </w:p>
        </w:tc>
        <w:tc>
          <w:tcPr>
            <w:tcW w:w="3220" w:type="dxa"/>
            <w:tcBorders>
              <w:top w:val="nil"/>
              <w:left w:val="nil"/>
              <w:bottom w:val="single" w:color="auto" w:sz="4" w:space="0"/>
              <w:right w:val="single" w:color="auto" w:sz="4" w:space="0"/>
            </w:tcBorders>
            <w:noWrap/>
            <w:vAlign w:val="center"/>
          </w:tcPr>
          <w:p w14:paraId="75B7598E">
            <w:pPr>
              <w:widowControl/>
              <w:jc w:val="center"/>
              <w:rPr>
                <w:rFonts w:hint="eastAsia" w:ascii="仿宋" w:hAnsi="仿宋" w:cs="仿宋"/>
                <w:color w:val="auto"/>
                <w:kern w:val="0"/>
                <w:highlight w:val="none"/>
              </w:rPr>
            </w:pPr>
            <w:r>
              <w:rPr>
                <w:rFonts w:hint="eastAsia" w:ascii="仿宋" w:hAnsi="仿宋" w:cs="仿宋"/>
                <w:color w:val="auto"/>
                <w:kern w:val="0"/>
                <w:highlight w:val="none"/>
              </w:rPr>
              <w:t>13957168926</w:t>
            </w:r>
          </w:p>
        </w:tc>
      </w:tr>
      <w:tr w14:paraId="50ECF7C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AF00471">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7</w:t>
            </w:r>
          </w:p>
        </w:tc>
        <w:tc>
          <w:tcPr>
            <w:tcW w:w="3020" w:type="dxa"/>
            <w:tcBorders>
              <w:top w:val="nil"/>
              <w:left w:val="nil"/>
              <w:bottom w:val="single" w:color="auto" w:sz="4" w:space="0"/>
              <w:right w:val="single" w:color="auto" w:sz="4" w:space="0"/>
            </w:tcBorders>
            <w:noWrap/>
            <w:vAlign w:val="center"/>
          </w:tcPr>
          <w:p w14:paraId="24E73B51">
            <w:pPr>
              <w:widowControl/>
              <w:jc w:val="center"/>
              <w:rPr>
                <w:rFonts w:hint="eastAsia" w:ascii="仿宋" w:hAnsi="仿宋" w:cs="仿宋"/>
                <w:color w:val="auto"/>
                <w:kern w:val="0"/>
                <w:highlight w:val="none"/>
              </w:rPr>
            </w:pPr>
            <w:r>
              <w:rPr>
                <w:rFonts w:hint="eastAsia" w:ascii="仿宋" w:hAnsi="仿宋" w:cs="仿宋"/>
                <w:color w:val="auto"/>
                <w:kern w:val="0"/>
                <w:highlight w:val="none"/>
              </w:rPr>
              <w:t>工商银行开发区支行</w:t>
            </w:r>
          </w:p>
        </w:tc>
        <w:tc>
          <w:tcPr>
            <w:tcW w:w="1420" w:type="dxa"/>
            <w:tcBorders>
              <w:top w:val="nil"/>
              <w:left w:val="nil"/>
              <w:bottom w:val="single" w:color="auto" w:sz="4" w:space="0"/>
              <w:right w:val="single" w:color="auto" w:sz="4" w:space="0"/>
            </w:tcBorders>
            <w:noWrap/>
            <w:vAlign w:val="center"/>
          </w:tcPr>
          <w:p w14:paraId="55DB6B37">
            <w:pPr>
              <w:widowControl/>
              <w:jc w:val="center"/>
              <w:rPr>
                <w:rFonts w:hint="eastAsia" w:ascii="仿宋" w:hAnsi="仿宋" w:cs="仿宋"/>
                <w:color w:val="auto"/>
                <w:kern w:val="0"/>
                <w:highlight w:val="none"/>
              </w:rPr>
            </w:pPr>
            <w:r>
              <w:rPr>
                <w:rFonts w:hint="eastAsia" w:ascii="仿宋" w:hAnsi="仿宋" w:cs="仿宋"/>
                <w:color w:val="auto"/>
                <w:kern w:val="0"/>
                <w:highlight w:val="none"/>
              </w:rPr>
              <w:t>李燕珍</w:t>
            </w:r>
          </w:p>
        </w:tc>
        <w:tc>
          <w:tcPr>
            <w:tcW w:w="3220" w:type="dxa"/>
            <w:tcBorders>
              <w:top w:val="nil"/>
              <w:left w:val="nil"/>
              <w:bottom w:val="single" w:color="auto" w:sz="4" w:space="0"/>
              <w:right w:val="single" w:color="auto" w:sz="4" w:space="0"/>
            </w:tcBorders>
            <w:noWrap/>
            <w:vAlign w:val="center"/>
          </w:tcPr>
          <w:p w14:paraId="5DAD002F">
            <w:pPr>
              <w:widowControl/>
              <w:jc w:val="center"/>
              <w:rPr>
                <w:rFonts w:hint="eastAsia" w:ascii="仿宋" w:hAnsi="仿宋" w:cs="仿宋"/>
                <w:color w:val="auto"/>
                <w:kern w:val="0"/>
                <w:highlight w:val="none"/>
              </w:rPr>
            </w:pPr>
            <w:r>
              <w:rPr>
                <w:rFonts w:hint="eastAsia" w:ascii="仿宋" w:hAnsi="仿宋" w:cs="仿宋"/>
                <w:color w:val="auto"/>
                <w:kern w:val="0"/>
                <w:highlight w:val="none"/>
              </w:rPr>
              <w:t>13735710338</w:t>
            </w:r>
          </w:p>
        </w:tc>
      </w:tr>
      <w:tr w14:paraId="067D9610">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2DEB1617">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8</w:t>
            </w:r>
          </w:p>
        </w:tc>
        <w:tc>
          <w:tcPr>
            <w:tcW w:w="3020" w:type="dxa"/>
            <w:tcBorders>
              <w:top w:val="nil"/>
              <w:left w:val="nil"/>
              <w:bottom w:val="single" w:color="auto" w:sz="4" w:space="0"/>
              <w:right w:val="single" w:color="auto" w:sz="4" w:space="0"/>
            </w:tcBorders>
            <w:noWrap/>
            <w:vAlign w:val="center"/>
          </w:tcPr>
          <w:p w14:paraId="2EBB470D">
            <w:pPr>
              <w:widowControl/>
              <w:jc w:val="center"/>
              <w:rPr>
                <w:rFonts w:hint="eastAsia" w:ascii="仿宋" w:hAnsi="仿宋" w:cs="仿宋"/>
                <w:color w:val="auto"/>
                <w:kern w:val="0"/>
                <w:highlight w:val="none"/>
              </w:rPr>
            </w:pPr>
            <w:r>
              <w:rPr>
                <w:rFonts w:hint="eastAsia" w:ascii="仿宋" w:hAnsi="仿宋" w:cs="仿宋"/>
                <w:color w:val="auto"/>
                <w:kern w:val="0"/>
                <w:highlight w:val="none"/>
              </w:rPr>
              <w:t>宁波银行开发区支行</w:t>
            </w:r>
          </w:p>
        </w:tc>
        <w:tc>
          <w:tcPr>
            <w:tcW w:w="1420" w:type="dxa"/>
            <w:tcBorders>
              <w:top w:val="nil"/>
              <w:left w:val="nil"/>
              <w:bottom w:val="single" w:color="auto" w:sz="4" w:space="0"/>
              <w:right w:val="single" w:color="auto" w:sz="4" w:space="0"/>
            </w:tcBorders>
            <w:noWrap/>
            <w:vAlign w:val="center"/>
          </w:tcPr>
          <w:p w14:paraId="61A17744">
            <w:pPr>
              <w:widowControl/>
              <w:jc w:val="center"/>
              <w:rPr>
                <w:rFonts w:hint="eastAsia" w:ascii="仿宋" w:hAnsi="仿宋" w:cs="仿宋"/>
                <w:color w:val="auto"/>
                <w:kern w:val="0"/>
                <w:highlight w:val="none"/>
              </w:rPr>
            </w:pPr>
            <w:r>
              <w:rPr>
                <w:rFonts w:hint="eastAsia" w:ascii="仿宋" w:hAnsi="仿宋" w:cs="仿宋"/>
                <w:color w:val="auto"/>
                <w:kern w:val="0"/>
                <w:highlight w:val="none"/>
              </w:rPr>
              <w:t>贾磊</w:t>
            </w:r>
          </w:p>
        </w:tc>
        <w:tc>
          <w:tcPr>
            <w:tcW w:w="3220" w:type="dxa"/>
            <w:tcBorders>
              <w:top w:val="nil"/>
              <w:left w:val="nil"/>
              <w:bottom w:val="single" w:color="auto" w:sz="4" w:space="0"/>
              <w:right w:val="single" w:color="auto" w:sz="4" w:space="0"/>
            </w:tcBorders>
            <w:noWrap/>
            <w:vAlign w:val="center"/>
          </w:tcPr>
          <w:p w14:paraId="0A6958BA">
            <w:pPr>
              <w:widowControl/>
              <w:jc w:val="center"/>
              <w:rPr>
                <w:rFonts w:hint="eastAsia" w:ascii="仿宋" w:hAnsi="仿宋" w:cs="仿宋"/>
                <w:color w:val="auto"/>
                <w:kern w:val="0"/>
                <w:highlight w:val="none"/>
              </w:rPr>
            </w:pPr>
            <w:r>
              <w:rPr>
                <w:rFonts w:hint="eastAsia" w:ascii="仿宋" w:hAnsi="仿宋" w:cs="仿宋"/>
                <w:color w:val="auto"/>
                <w:kern w:val="0"/>
                <w:highlight w:val="none"/>
              </w:rPr>
              <w:t>13575745232</w:t>
            </w:r>
          </w:p>
        </w:tc>
      </w:tr>
      <w:tr w14:paraId="3292EA5D">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1AF2AA06">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9</w:t>
            </w:r>
          </w:p>
        </w:tc>
        <w:tc>
          <w:tcPr>
            <w:tcW w:w="3020" w:type="dxa"/>
            <w:tcBorders>
              <w:top w:val="nil"/>
              <w:left w:val="nil"/>
              <w:bottom w:val="single" w:color="auto" w:sz="4" w:space="0"/>
              <w:right w:val="single" w:color="auto" w:sz="4" w:space="0"/>
            </w:tcBorders>
            <w:noWrap/>
            <w:vAlign w:val="center"/>
          </w:tcPr>
          <w:p w14:paraId="6A716339">
            <w:pPr>
              <w:widowControl/>
              <w:jc w:val="center"/>
              <w:rPr>
                <w:rFonts w:hint="eastAsia" w:ascii="仿宋" w:hAnsi="仿宋" w:cs="仿宋"/>
                <w:color w:val="auto"/>
                <w:kern w:val="0"/>
                <w:highlight w:val="none"/>
              </w:rPr>
            </w:pPr>
            <w:r>
              <w:rPr>
                <w:rFonts w:hint="eastAsia" w:ascii="仿宋" w:hAnsi="仿宋" w:cs="仿宋"/>
                <w:color w:val="auto"/>
                <w:kern w:val="0"/>
                <w:highlight w:val="none"/>
              </w:rPr>
              <w:t>杭州联合银行义蓬支行</w:t>
            </w:r>
          </w:p>
        </w:tc>
        <w:tc>
          <w:tcPr>
            <w:tcW w:w="1420" w:type="dxa"/>
            <w:tcBorders>
              <w:top w:val="nil"/>
              <w:left w:val="nil"/>
              <w:bottom w:val="single" w:color="auto" w:sz="4" w:space="0"/>
              <w:right w:val="single" w:color="auto" w:sz="4" w:space="0"/>
            </w:tcBorders>
            <w:noWrap/>
            <w:vAlign w:val="center"/>
          </w:tcPr>
          <w:p w14:paraId="1AF860A5">
            <w:pPr>
              <w:widowControl/>
              <w:jc w:val="center"/>
              <w:rPr>
                <w:rFonts w:hint="eastAsia" w:ascii="仿宋" w:hAnsi="仿宋" w:cs="仿宋"/>
                <w:color w:val="auto"/>
                <w:kern w:val="0"/>
                <w:highlight w:val="none"/>
              </w:rPr>
            </w:pPr>
            <w:r>
              <w:rPr>
                <w:rFonts w:hint="eastAsia" w:ascii="仿宋" w:hAnsi="仿宋" w:cs="仿宋"/>
                <w:color w:val="auto"/>
                <w:kern w:val="0"/>
                <w:highlight w:val="none"/>
              </w:rPr>
              <w:t>王宁</w:t>
            </w:r>
          </w:p>
        </w:tc>
        <w:tc>
          <w:tcPr>
            <w:tcW w:w="3220" w:type="dxa"/>
            <w:tcBorders>
              <w:top w:val="nil"/>
              <w:left w:val="nil"/>
              <w:bottom w:val="single" w:color="auto" w:sz="4" w:space="0"/>
              <w:right w:val="single" w:color="auto" w:sz="4" w:space="0"/>
            </w:tcBorders>
            <w:noWrap/>
            <w:vAlign w:val="center"/>
          </w:tcPr>
          <w:p w14:paraId="45A052BD">
            <w:pPr>
              <w:widowControl/>
              <w:jc w:val="center"/>
              <w:rPr>
                <w:rFonts w:hint="eastAsia" w:ascii="仿宋" w:hAnsi="仿宋" w:cs="仿宋"/>
                <w:color w:val="auto"/>
                <w:kern w:val="0"/>
                <w:highlight w:val="none"/>
              </w:rPr>
            </w:pPr>
            <w:r>
              <w:rPr>
                <w:rFonts w:hint="eastAsia" w:ascii="仿宋" w:hAnsi="仿宋" w:cs="仿宋"/>
                <w:color w:val="auto"/>
                <w:kern w:val="0"/>
                <w:highlight w:val="none"/>
              </w:rPr>
              <w:t>18906520030</w:t>
            </w:r>
          </w:p>
        </w:tc>
      </w:tr>
      <w:tr w14:paraId="1A24785E">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4935B31F">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10</w:t>
            </w:r>
          </w:p>
        </w:tc>
        <w:tc>
          <w:tcPr>
            <w:tcW w:w="3020" w:type="dxa"/>
            <w:tcBorders>
              <w:top w:val="nil"/>
              <w:left w:val="nil"/>
              <w:bottom w:val="single" w:color="auto" w:sz="4" w:space="0"/>
              <w:right w:val="single" w:color="auto" w:sz="4" w:space="0"/>
            </w:tcBorders>
            <w:noWrap/>
            <w:vAlign w:val="center"/>
          </w:tcPr>
          <w:p w14:paraId="2C259517">
            <w:pPr>
              <w:widowControl/>
              <w:jc w:val="center"/>
              <w:rPr>
                <w:rFonts w:hint="eastAsia" w:ascii="仿宋" w:hAnsi="仿宋" w:cs="仿宋"/>
                <w:color w:val="auto"/>
                <w:kern w:val="0"/>
                <w:highlight w:val="none"/>
              </w:rPr>
            </w:pPr>
            <w:r>
              <w:rPr>
                <w:rFonts w:hint="eastAsia" w:ascii="仿宋" w:hAnsi="仿宋" w:cs="仿宋"/>
                <w:color w:val="auto"/>
                <w:kern w:val="0"/>
                <w:highlight w:val="none"/>
              </w:rPr>
              <w:t>农业银行钱塘支行</w:t>
            </w:r>
          </w:p>
        </w:tc>
        <w:tc>
          <w:tcPr>
            <w:tcW w:w="1420" w:type="dxa"/>
            <w:tcBorders>
              <w:top w:val="nil"/>
              <w:left w:val="nil"/>
              <w:bottom w:val="single" w:color="auto" w:sz="4" w:space="0"/>
              <w:right w:val="single" w:color="auto" w:sz="4" w:space="0"/>
            </w:tcBorders>
            <w:noWrap/>
            <w:vAlign w:val="center"/>
          </w:tcPr>
          <w:p w14:paraId="38D54B41">
            <w:pPr>
              <w:widowControl/>
              <w:jc w:val="center"/>
              <w:rPr>
                <w:rFonts w:hint="eastAsia" w:ascii="仿宋" w:hAnsi="仿宋" w:cs="仿宋"/>
                <w:color w:val="auto"/>
                <w:kern w:val="0"/>
                <w:highlight w:val="none"/>
              </w:rPr>
            </w:pPr>
            <w:r>
              <w:rPr>
                <w:rFonts w:hint="eastAsia" w:ascii="仿宋" w:hAnsi="仿宋" w:cs="仿宋"/>
                <w:color w:val="auto"/>
                <w:kern w:val="0"/>
                <w:highlight w:val="none"/>
              </w:rPr>
              <w:t>王安东</w:t>
            </w:r>
          </w:p>
          <w:p w14:paraId="69B4C36B">
            <w:pPr>
              <w:widowControl/>
              <w:jc w:val="center"/>
              <w:rPr>
                <w:rFonts w:hint="eastAsia" w:ascii="仿宋" w:hAnsi="仿宋" w:cs="仿宋"/>
                <w:color w:val="auto"/>
                <w:kern w:val="0"/>
                <w:highlight w:val="none"/>
              </w:rPr>
            </w:pPr>
            <w:r>
              <w:rPr>
                <w:rFonts w:hint="eastAsia" w:ascii="仿宋" w:hAnsi="仿宋" w:cs="仿宋"/>
                <w:color w:val="auto"/>
                <w:kern w:val="0"/>
                <w:highlight w:val="none"/>
              </w:rPr>
              <w:t>方若愚</w:t>
            </w:r>
          </w:p>
        </w:tc>
        <w:tc>
          <w:tcPr>
            <w:tcW w:w="3220" w:type="dxa"/>
            <w:tcBorders>
              <w:top w:val="nil"/>
              <w:left w:val="nil"/>
              <w:bottom w:val="single" w:color="auto" w:sz="4" w:space="0"/>
              <w:right w:val="single" w:color="auto" w:sz="4" w:space="0"/>
            </w:tcBorders>
            <w:noWrap/>
            <w:vAlign w:val="center"/>
          </w:tcPr>
          <w:p w14:paraId="56B9D2A9">
            <w:pPr>
              <w:widowControl/>
              <w:jc w:val="center"/>
              <w:rPr>
                <w:rFonts w:hint="eastAsia" w:ascii="仿宋" w:hAnsi="仿宋" w:cs="仿宋"/>
                <w:color w:val="auto"/>
                <w:kern w:val="0"/>
                <w:highlight w:val="none"/>
              </w:rPr>
            </w:pPr>
            <w:r>
              <w:rPr>
                <w:rFonts w:hint="eastAsia" w:ascii="仿宋" w:hAnsi="仿宋" w:cs="仿宋"/>
                <w:color w:val="auto"/>
                <w:kern w:val="0"/>
                <w:highlight w:val="none"/>
              </w:rPr>
              <w:t>15158025713</w:t>
            </w:r>
          </w:p>
          <w:p w14:paraId="31D381BA">
            <w:pPr>
              <w:widowControl/>
              <w:jc w:val="center"/>
              <w:rPr>
                <w:rFonts w:hint="eastAsia" w:ascii="仿宋" w:hAnsi="仿宋" w:cs="仿宋"/>
                <w:color w:val="auto"/>
                <w:highlight w:val="none"/>
              </w:rPr>
            </w:pPr>
            <w:r>
              <w:rPr>
                <w:rFonts w:hint="eastAsia" w:ascii="仿宋" w:hAnsi="仿宋" w:cs="仿宋"/>
                <w:color w:val="auto"/>
                <w:kern w:val="0"/>
                <w:highlight w:val="none"/>
              </w:rPr>
              <w:t>15067483470</w:t>
            </w:r>
          </w:p>
        </w:tc>
      </w:tr>
      <w:tr w14:paraId="6BDF82BA">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042A5FAE">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68A54C28">
            <w:pPr>
              <w:widowControl/>
              <w:jc w:val="center"/>
              <w:rPr>
                <w:rFonts w:hint="eastAsia" w:ascii="仿宋" w:hAnsi="仿宋" w:cs="仿宋"/>
                <w:color w:val="auto"/>
                <w:kern w:val="0"/>
                <w:highlight w:val="none"/>
              </w:rPr>
            </w:pPr>
            <w:r>
              <w:rPr>
                <w:rFonts w:hint="eastAsia" w:ascii="仿宋" w:hAnsi="仿宋" w:cs="仿宋"/>
                <w:color w:val="auto"/>
                <w:kern w:val="0"/>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28679258">
            <w:pPr>
              <w:widowControl/>
              <w:jc w:val="center"/>
              <w:rPr>
                <w:rFonts w:hint="eastAsia" w:ascii="仿宋" w:hAnsi="仿宋" w:cs="仿宋"/>
                <w:color w:val="auto"/>
                <w:kern w:val="0"/>
                <w:highlight w:val="none"/>
              </w:rPr>
            </w:pPr>
            <w:r>
              <w:rPr>
                <w:rFonts w:hint="eastAsia" w:ascii="仿宋" w:hAnsi="仿宋" w:cs="仿宋"/>
                <w:color w:val="auto"/>
                <w:kern w:val="0"/>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2865FE74">
            <w:pPr>
              <w:widowControl/>
              <w:jc w:val="center"/>
              <w:rPr>
                <w:rFonts w:hint="eastAsia" w:ascii="仿宋" w:hAnsi="仿宋" w:cs="仿宋"/>
                <w:color w:val="auto"/>
                <w:kern w:val="0"/>
                <w:highlight w:val="none"/>
              </w:rPr>
            </w:pPr>
            <w:r>
              <w:rPr>
                <w:rFonts w:hint="eastAsia" w:ascii="仿宋" w:hAnsi="仿宋" w:cs="仿宋"/>
                <w:color w:val="auto"/>
                <w:kern w:val="0"/>
                <w:highlight w:val="none"/>
              </w:rPr>
              <w:t>82921293，18258888258</w:t>
            </w:r>
          </w:p>
        </w:tc>
      </w:tr>
      <w:tr w14:paraId="349AA555">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78A70A8F">
            <w:pPr>
              <w:widowControl/>
              <w:jc w:val="center"/>
              <w:rPr>
                <w:rFonts w:hint="eastAsia" w:ascii="仿宋" w:hAnsi="仿宋" w:cs="仿宋"/>
                <w:b/>
                <w:bCs/>
                <w:color w:val="auto"/>
                <w:kern w:val="0"/>
                <w:highlight w:val="none"/>
              </w:rPr>
            </w:pPr>
            <w:r>
              <w:rPr>
                <w:rFonts w:hint="eastAsia" w:ascii="仿宋" w:hAnsi="仿宋" w:cs="仿宋"/>
                <w:b/>
                <w:bCs/>
                <w:color w:val="auto"/>
                <w:kern w:val="0"/>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3B4D0CDB">
            <w:pPr>
              <w:widowControl/>
              <w:jc w:val="center"/>
              <w:rPr>
                <w:rFonts w:hint="eastAsia" w:ascii="仿宋" w:hAnsi="仿宋" w:cs="仿宋"/>
                <w:color w:val="auto"/>
                <w:kern w:val="0"/>
                <w:highlight w:val="none"/>
              </w:rPr>
            </w:pPr>
            <w:r>
              <w:rPr>
                <w:rFonts w:hint="eastAsia" w:ascii="仿宋" w:hAnsi="仿宋" w:cs="仿宋"/>
                <w:color w:val="auto"/>
                <w:kern w:val="0"/>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15F2FF9C">
            <w:pPr>
              <w:widowControl/>
              <w:jc w:val="center"/>
              <w:rPr>
                <w:rFonts w:hint="eastAsia" w:ascii="仿宋" w:hAnsi="仿宋" w:cs="仿宋"/>
                <w:color w:val="auto"/>
                <w:kern w:val="0"/>
                <w:highlight w:val="none"/>
              </w:rPr>
            </w:pPr>
            <w:r>
              <w:rPr>
                <w:rFonts w:hint="eastAsia" w:ascii="仿宋" w:hAnsi="仿宋" w:cs="仿宋"/>
                <w:color w:val="auto"/>
                <w:kern w:val="0"/>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2644B32E">
            <w:pPr>
              <w:widowControl/>
              <w:jc w:val="center"/>
              <w:rPr>
                <w:rFonts w:hint="eastAsia" w:ascii="仿宋" w:hAnsi="仿宋" w:cs="仿宋"/>
                <w:color w:val="auto"/>
                <w:kern w:val="0"/>
                <w:highlight w:val="none"/>
              </w:rPr>
            </w:pPr>
            <w:r>
              <w:rPr>
                <w:rFonts w:hint="eastAsia" w:ascii="仿宋" w:hAnsi="仿宋" w:cs="仿宋"/>
                <w:color w:val="auto"/>
                <w:kern w:val="0"/>
                <w:highlight w:val="none"/>
              </w:rPr>
              <w:t>18805812679</w:t>
            </w:r>
          </w:p>
        </w:tc>
      </w:tr>
    </w:tbl>
    <w:p w14:paraId="2BC57B82">
      <w:pPr>
        <w:spacing w:line="360" w:lineRule="auto"/>
        <w:ind w:left="5060" w:hanging="5060" w:hangingChars="2100"/>
        <w:rPr>
          <w:rFonts w:hint="eastAsia" w:ascii="仿宋" w:hAnsi="仿宋" w:cs="仿宋"/>
          <w:b/>
          <w:bCs/>
          <w:color w:val="auto"/>
          <w:kern w:val="0"/>
          <w:highlight w:val="none"/>
        </w:rPr>
      </w:pPr>
    </w:p>
    <w:p w14:paraId="521FE498">
      <w:pPr>
        <w:pStyle w:val="4"/>
        <w:keepNext w:val="0"/>
        <w:keepLines w:val="0"/>
        <w:pageBreakBefore/>
        <w:widowControl/>
        <w:spacing w:before="100" w:beforeAutospacing="1" w:after="100" w:afterAutospacing="1" w:line="360" w:lineRule="auto"/>
        <w:ind w:left="1290" w:firstLine="3092" w:firstLineChars="700"/>
        <w:rPr>
          <w:rFonts w:hint="eastAsia" w:ascii="仿宋" w:hAnsi="仿宋" w:cs="仿宋"/>
          <w:color w:val="auto"/>
          <w:highlight w:val="none"/>
        </w:rPr>
      </w:pPr>
      <w:bookmarkStart w:id="507" w:name="_Toc465665161"/>
      <w:r>
        <w:rPr>
          <w:rFonts w:hint="eastAsia" w:ascii="仿宋" w:hAnsi="仿宋" w:cs="仿宋"/>
          <w:color w:val="auto"/>
          <w:highlight w:val="none"/>
        </w:rPr>
        <w:t>附件</w:t>
      </w:r>
      <w:bookmarkEnd w:id="507"/>
    </w:p>
    <w:p w14:paraId="2C91882A">
      <w:pPr>
        <w:spacing w:line="360" w:lineRule="auto"/>
        <w:rPr>
          <w:rFonts w:hint="eastAsia" w:ascii="仿宋" w:hAnsi="仿宋" w:cs="仿宋"/>
          <w:b/>
          <w:color w:val="auto"/>
          <w:spacing w:val="6"/>
          <w:sz w:val="32"/>
          <w:szCs w:val="32"/>
          <w:highlight w:val="none"/>
        </w:rPr>
      </w:pPr>
      <w:r>
        <w:rPr>
          <w:rFonts w:hint="eastAsia" w:ascii="仿宋" w:hAnsi="仿宋" w:cs="仿宋"/>
          <w:b/>
          <w:color w:val="auto"/>
          <w:spacing w:val="6"/>
          <w:sz w:val="32"/>
          <w:szCs w:val="32"/>
          <w:highlight w:val="none"/>
        </w:rPr>
        <w:t>附件1：</w:t>
      </w:r>
    </w:p>
    <w:p w14:paraId="66219124">
      <w:pPr>
        <w:spacing w:line="360" w:lineRule="auto"/>
        <w:jc w:val="center"/>
        <w:rPr>
          <w:rFonts w:hint="eastAsia" w:ascii="仿宋" w:hAnsi="仿宋" w:cs="仿宋"/>
          <w:b/>
          <w:color w:val="auto"/>
          <w:spacing w:val="6"/>
          <w:sz w:val="32"/>
          <w:szCs w:val="32"/>
          <w:highlight w:val="none"/>
        </w:rPr>
      </w:pPr>
      <w:bookmarkStart w:id="508" w:name="OLE_LINK13"/>
      <w:bookmarkStart w:id="509" w:name="OLE_LINK14"/>
      <w:r>
        <w:rPr>
          <w:rFonts w:hint="eastAsia" w:ascii="仿宋" w:hAnsi="仿宋" w:cs="仿宋"/>
          <w:b/>
          <w:color w:val="auto"/>
          <w:spacing w:val="6"/>
          <w:sz w:val="32"/>
          <w:szCs w:val="32"/>
          <w:highlight w:val="none"/>
        </w:rPr>
        <w:t>残疾人福利性单位声明函</w:t>
      </w:r>
    </w:p>
    <w:bookmarkEnd w:id="508"/>
    <w:bookmarkEnd w:id="509"/>
    <w:p w14:paraId="30CA02C6">
      <w:pPr>
        <w:spacing w:line="360" w:lineRule="auto"/>
        <w:rPr>
          <w:rFonts w:hint="eastAsia" w:ascii="仿宋" w:hAnsi="仿宋" w:cs="仿宋"/>
          <w:b/>
          <w:color w:val="auto"/>
          <w:spacing w:val="6"/>
          <w:sz w:val="30"/>
          <w:szCs w:val="30"/>
          <w:highlight w:val="none"/>
        </w:rPr>
      </w:pPr>
    </w:p>
    <w:p w14:paraId="50D92099">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C4700A">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本单位对上述声明的真实性负责。如有虚假，将依法承担相应责任。</w:t>
      </w:r>
    </w:p>
    <w:p w14:paraId="6F0AFD08">
      <w:pPr>
        <w:spacing w:line="360" w:lineRule="auto"/>
        <w:ind w:firstLine="480" w:firstLineChars="200"/>
        <w:rPr>
          <w:rFonts w:hint="eastAsia" w:ascii="仿宋" w:hAnsi="仿宋" w:cs="仿宋"/>
          <w:color w:val="auto"/>
          <w:highlight w:val="none"/>
        </w:rPr>
      </w:pPr>
    </w:p>
    <w:p w14:paraId="139A0E1A">
      <w:pPr>
        <w:spacing w:line="360" w:lineRule="auto"/>
        <w:ind w:firstLine="480" w:firstLineChars="200"/>
        <w:rPr>
          <w:rFonts w:hint="eastAsia" w:ascii="仿宋" w:hAnsi="仿宋" w:cs="仿宋"/>
          <w:color w:val="auto"/>
          <w:highlight w:val="none"/>
        </w:rPr>
      </w:pPr>
    </w:p>
    <w:p w14:paraId="181BA808">
      <w:pPr>
        <w:tabs>
          <w:tab w:val="left" w:pos="4860"/>
        </w:tabs>
        <w:spacing w:line="360" w:lineRule="auto"/>
        <w:ind w:right="1560" w:firstLine="480" w:firstLineChars="200"/>
        <w:jc w:val="center"/>
        <w:rPr>
          <w:rFonts w:hint="eastAsia" w:ascii="仿宋" w:hAnsi="仿宋" w:cs="仿宋"/>
          <w:color w:val="auto"/>
          <w:highlight w:val="none"/>
        </w:rPr>
      </w:pPr>
      <w:r>
        <w:rPr>
          <w:rFonts w:hint="eastAsia" w:ascii="仿宋" w:hAnsi="仿宋" w:cs="仿宋"/>
          <w:color w:val="auto"/>
          <w:highlight w:val="none"/>
        </w:rPr>
        <w:t xml:space="preserve">               </w:t>
      </w:r>
      <w:r>
        <w:rPr>
          <w:rFonts w:hint="eastAsia" w:ascii="仿宋" w:hAnsi="仿宋" w:cs="仿宋"/>
          <w:color w:val="auto"/>
          <w:kern w:val="0"/>
          <w:highlight w:val="none"/>
          <w:lang w:val="zh-CN"/>
        </w:rPr>
        <w:t>投标人名称（电子签名）</w:t>
      </w:r>
      <w:r>
        <w:rPr>
          <w:rFonts w:hint="eastAsia" w:ascii="仿宋" w:hAnsi="仿宋" w:cs="仿宋"/>
          <w:color w:val="auto"/>
          <w:highlight w:val="none"/>
        </w:rPr>
        <w:t>：</w:t>
      </w:r>
    </w:p>
    <w:p w14:paraId="7809F14D">
      <w:pPr>
        <w:tabs>
          <w:tab w:val="left" w:pos="4860"/>
        </w:tabs>
        <w:spacing w:line="360" w:lineRule="auto"/>
        <w:ind w:right="1560" w:firstLine="480" w:firstLineChars="200"/>
        <w:jc w:val="center"/>
        <w:rPr>
          <w:rFonts w:hint="eastAsia" w:ascii="仿宋" w:hAnsi="仿宋" w:cs="仿宋"/>
          <w:color w:val="auto"/>
          <w:highlight w:val="none"/>
        </w:rPr>
      </w:pPr>
      <w:r>
        <w:rPr>
          <w:rFonts w:hint="eastAsia" w:ascii="仿宋" w:hAnsi="仿宋" w:cs="仿宋"/>
          <w:color w:val="auto"/>
          <w:highlight w:val="none"/>
        </w:rPr>
        <w:t xml:space="preserve">       日  期：</w:t>
      </w:r>
    </w:p>
    <w:p w14:paraId="307B123B">
      <w:pPr>
        <w:spacing w:line="360" w:lineRule="auto"/>
        <w:ind w:firstLine="480" w:firstLineChars="200"/>
        <w:rPr>
          <w:rFonts w:hint="eastAsia" w:ascii="仿宋" w:hAnsi="仿宋" w:cs="仿宋"/>
          <w:color w:val="auto"/>
          <w:highlight w:val="none"/>
        </w:rPr>
      </w:pPr>
    </w:p>
    <w:p w14:paraId="7C7733A0">
      <w:pPr>
        <w:spacing w:line="360" w:lineRule="auto"/>
        <w:ind w:firstLine="480" w:firstLineChars="200"/>
        <w:rPr>
          <w:rFonts w:hint="eastAsia" w:ascii="仿宋" w:hAnsi="仿宋" w:cs="仿宋"/>
          <w:color w:val="auto"/>
          <w:highlight w:val="none"/>
        </w:rPr>
      </w:pPr>
    </w:p>
    <w:p w14:paraId="04048B4C">
      <w:pPr>
        <w:spacing w:line="360" w:lineRule="auto"/>
        <w:ind w:firstLine="480" w:firstLineChars="200"/>
        <w:rPr>
          <w:rFonts w:hint="eastAsia" w:ascii="仿宋" w:hAnsi="仿宋" w:cs="仿宋"/>
          <w:color w:val="auto"/>
          <w:highlight w:val="none"/>
        </w:rPr>
      </w:pPr>
    </w:p>
    <w:p w14:paraId="3D6093FD">
      <w:pPr>
        <w:spacing w:line="360" w:lineRule="auto"/>
        <w:ind w:firstLine="480" w:firstLineChars="200"/>
        <w:rPr>
          <w:rFonts w:hint="eastAsia" w:ascii="仿宋" w:hAnsi="仿宋" w:cs="仿宋"/>
          <w:color w:val="auto"/>
          <w:highlight w:val="none"/>
        </w:rPr>
      </w:pPr>
    </w:p>
    <w:p w14:paraId="3D1A1F49">
      <w:pPr>
        <w:spacing w:line="360" w:lineRule="auto"/>
        <w:ind w:firstLine="480" w:firstLineChars="200"/>
        <w:rPr>
          <w:rFonts w:hint="eastAsia" w:ascii="仿宋" w:hAnsi="仿宋" w:cs="仿宋"/>
          <w:color w:val="auto"/>
          <w:highlight w:val="none"/>
        </w:rPr>
      </w:pPr>
    </w:p>
    <w:p w14:paraId="2E2F0D36">
      <w:pPr>
        <w:spacing w:line="360" w:lineRule="auto"/>
        <w:rPr>
          <w:rFonts w:hint="eastAsia" w:ascii="仿宋" w:hAnsi="仿宋" w:cs="仿宋"/>
          <w:b/>
          <w:color w:val="auto"/>
          <w:highlight w:val="none"/>
        </w:rPr>
      </w:pPr>
    </w:p>
    <w:p w14:paraId="5E1A945A">
      <w:pPr>
        <w:spacing w:line="360" w:lineRule="auto"/>
        <w:rPr>
          <w:rFonts w:hint="eastAsia" w:ascii="仿宋" w:hAnsi="仿宋" w:cs="仿宋"/>
          <w:b/>
          <w:color w:val="auto"/>
          <w:highlight w:val="none"/>
        </w:rPr>
      </w:pPr>
    </w:p>
    <w:p w14:paraId="3CBA2254">
      <w:pPr>
        <w:spacing w:line="360" w:lineRule="auto"/>
        <w:rPr>
          <w:rFonts w:hint="eastAsia" w:ascii="仿宋" w:hAnsi="仿宋" w:cs="仿宋"/>
          <w:b/>
          <w:color w:val="auto"/>
          <w:highlight w:val="none"/>
        </w:rPr>
      </w:pPr>
    </w:p>
    <w:p w14:paraId="4BC3BDFE">
      <w:pPr>
        <w:spacing w:line="360" w:lineRule="auto"/>
        <w:rPr>
          <w:rFonts w:hint="eastAsia" w:ascii="仿宋" w:hAnsi="仿宋" w:cs="仿宋"/>
          <w:b/>
          <w:color w:val="auto"/>
          <w:highlight w:val="none"/>
        </w:rPr>
      </w:pPr>
    </w:p>
    <w:p w14:paraId="2F5C8C12">
      <w:pPr>
        <w:spacing w:line="360" w:lineRule="auto"/>
        <w:rPr>
          <w:rFonts w:hint="eastAsia" w:ascii="仿宋" w:hAnsi="仿宋" w:cs="仿宋"/>
          <w:b/>
          <w:color w:val="auto"/>
          <w:highlight w:val="none"/>
        </w:rPr>
      </w:pPr>
    </w:p>
    <w:p w14:paraId="0C765D5E">
      <w:pPr>
        <w:spacing w:line="360" w:lineRule="auto"/>
        <w:rPr>
          <w:rFonts w:hint="eastAsia" w:ascii="仿宋" w:hAnsi="仿宋" w:cs="仿宋"/>
          <w:b/>
          <w:color w:val="auto"/>
          <w:highlight w:val="none"/>
        </w:rPr>
      </w:pPr>
    </w:p>
    <w:p w14:paraId="33E895EC">
      <w:pPr>
        <w:spacing w:line="360" w:lineRule="auto"/>
        <w:rPr>
          <w:rFonts w:hint="eastAsia" w:ascii="仿宋" w:hAnsi="仿宋" w:cs="仿宋"/>
          <w:b/>
          <w:color w:val="auto"/>
          <w:highlight w:val="none"/>
        </w:rPr>
      </w:pPr>
    </w:p>
    <w:p w14:paraId="7CCC501A">
      <w:pPr>
        <w:spacing w:line="360" w:lineRule="auto"/>
        <w:rPr>
          <w:rFonts w:hint="eastAsia" w:ascii="仿宋" w:hAnsi="仿宋" w:cs="仿宋"/>
          <w:b/>
          <w:color w:val="auto"/>
          <w:highlight w:val="none"/>
        </w:rPr>
      </w:pPr>
    </w:p>
    <w:p w14:paraId="4529FFB0">
      <w:pPr>
        <w:spacing w:line="360" w:lineRule="auto"/>
        <w:rPr>
          <w:rFonts w:hint="eastAsia" w:ascii="仿宋" w:hAnsi="仿宋" w:cs="仿宋"/>
          <w:b/>
          <w:color w:val="auto"/>
          <w:highlight w:val="none"/>
        </w:rPr>
      </w:pPr>
    </w:p>
    <w:p w14:paraId="7742E1B8">
      <w:pPr>
        <w:spacing w:line="360" w:lineRule="auto"/>
        <w:jc w:val="left"/>
        <w:rPr>
          <w:rFonts w:hint="eastAsia" w:ascii="仿宋" w:hAnsi="仿宋" w:cs="仿宋"/>
          <w:b/>
          <w:color w:val="auto"/>
          <w:spacing w:val="6"/>
          <w:sz w:val="32"/>
          <w:szCs w:val="32"/>
          <w:highlight w:val="none"/>
        </w:rPr>
      </w:pPr>
      <w:r>
        <w:rPr>
          <w:rFonts w:hint="eastAsia" w:ascii="仿宋" w:hAnsi="仿宋" w:cs="仿宋"/>
          <w:b/>
          <w:color w:val="auto"/>
          <w:spacing w:val="6"/>
          <w:sz w:val="32"/>
          <w:szCs w:val="32"/>
          <w:highlight w:val="none"/>
        </w:rPr>
        <w:t>附件2：质疑函范本及制作说明</w:t>
      </w:r>
    </w:p>
    <w:p w14:paraId="5BDA476E">
      <w:pPr>
        <w:spacing w:line="360" w:lineRule="auto"/>
        <w:jc w:val="center"/>
        <w:rPr>
          <w:rFonts w:hint="eastAsia" w:ascii="仿宋" w:hAnsi="仿宋" w:cs="仿宋"/>
          <w:b/>
          <w:color w:val="auto"/>
          <w:spacing w:val="6"/>
          <w:sz w:val="32"/>
          <w:szCs w:val="32"/>
          <w:highlight w:val="none"/>
        </w:rPr>
      </w:pPr>
      <w:r>
        <w:rPr>
          <w:rFonts w:hint="eastAsia" w:ascii="仿宋" w:hAnsi="仿宋" w:cs="仿宋"/>
          <w:b/>
          <w:color w:val="auto"/>
          <w:spacing w:val="6"/>
          <w:sz w:val="32"/>
          <w:szCs w:val="32"/>
          <w:highlight w:val="none"/>
        </w:rPr>
        <w:t>质疑函范本</w:t>
      </w:r>
    </w:p>
    <w:p w14:paraId="5FF31CE7">
      <w:pPr>
        <w:snapToGrid w:val="0"/>
        <w:spacing w:before="240" w:beforeLines="100" w:line="360" w:lineRule="auto"/>
        <w:rPr>
          <w:rFonts w:hint="eastAsia" w:ascii="仿宋" w:hAnsi="仿宋" w:cs="仿宋"/>
          <w:bCs/>
          <w:color w:val="auto"/>
          <w:highlight w:val="none"/>
        </w:rPr>
      </w:pPr>
      <w:r>
        <w:rPr>
          <w:rFonts w:hint="eastAsia" w:ascii="仿宋" w:hAnsi="仿宋" w:cs="仿宋"/>
          <w:bCs/>
          <w:color w:val="auto"/>
          <w:highlight w:val="none"/>
        </w:rPr>
        <w:t>一、质疑供应商基本信息</w:t>
      </w:r>
    </w:p>
    <w:p w14:paraId="0CA8B0DF">
      <w:pPr>
        <w:snapToGrid w:val="0"/>
        <w:spacing w:line="360" w:lineRule="auto"/>
        <w:rPr>
          <w:rFonts w:hint="eastAsia" w:ascii="仿宋" w:hAnsi="仿宋" w:cs="仿宋"/>
          <w:color w:val="auto"/>
          <w:highlight w:val="none"/>
          <w:u w:val="dotted"/>
        </w:rPr>
      </w:pPr>
      <w:r>
        <w:rPr>
          <w:rFonts w:hint="eastAsia" w:ascii="仿宋" w:hAnsi="仿宋" w:cs="仿宋"/>
          <w:color w:val="auto"/>
          <w:highlight w:val="none"/>
        </w:rPr>
        <w:t>质疑供应商：</w:t>
      </w:r>
      <w:r>
        <w:rPr>
          <w:rFonts w:hint="eastAsia" w:ascii="仿宋" w:hAnsi="仿宋" w:cs="仿宋"/>
          <w:color w:val="auto"/>
          <w:highlight w:val="none"/>
          <w:u w:val="dotted"/>
        </w:rPr>
        <w:t xml:space="preserve">                                        </w:t>
      </w:r>
    </w:p>
    <w:p w14:paraId="3E962484">
      <w:pPr>
        <w:snapToGrid w:val="0"/>
        <w:spacing w:line="360" w:lineRule="auto"/>
        <w:rPr>
          <w:rFonts w:hint="eastAsia" w:ascii="仿宋" w:hAnsi="仿宋" w:cs="仿宋"/>
          <w:color w:val="auto"/>
          <w:highlight w:val="none"/>
        </w:rPr>
      </w:pPr>
      <w:r>
        <w:rPr>
          <w:rFonts w:hint="eastAsia" w:ascii="仿宋" w:hAnsi="仿宋" w:cs="仿宋"/>
          <w:color w:val="auto"/>
          <w:highlight w:val="none"/>
        </w:rPr>
        <w:t>地址：</w:t>
      </w:r>
      <w:r>
        <w:rPr>
          <w:rFonts w:hint="eastAsia" w:ascii="仿宋" w:hAnsi="仿宋" w:cs="仿宋"/>
          <w:color w:val="auto"/>
          <w:highlight w:val="none"/>
          <w:u w:val="dotted"/>
        </w:rPr>
        <w:t xml:space="preserve">                          </w:t>
      </w:r>
      <w:r>
        <w:rPr>
          <w:rFonts w:hint="eastAsia" w:ascii="仿宋" w:hAnsi="仿宋" w:cs="仿宋"/>
          <w:color w:val="auto"/>
          <w:highlight w:val="none"/>
        </w:rPr>
        <w:t>邮编：</w:t>
      </w:r>
      <w:r>
        <w:rPr>
          <w:rFonts w:hint="eastAsia" w:ascii="仿宋" w:hAnsi="仿宋" w:cs="仿宋"/>
          <w:color w:val="auto"/>
          <w:highlight w:val="none"/>
          <w:u w:val="dotted"/>
        </w:rPr>
        <w:t xml:space="preserve">                                                   </w:t>
      </w:r>
    </w:p>
    <w:p w14:paraId="2103BD10">
      <w:pPr>
        <w:snapToGrid w:val="0"/>
        <w:spacing w:line="360" w:lineRule="auto"/>
        <w:rPr>
          <w:rFonts w:hint="eastAsia" w:ascii="仿宋" w:hAnsi="仿宋" w:cs="仿宋"/>
          <w:color w:val="auto"/>
          <w:highlight w:val="none"/>
        </w:rPr>
      </w:pPr>
      <w:r>
        <w:rPr>
          <w:rFonts w:hint="eastAsia" w:ascii="仿宋" w:hAnsi="仿宋" w:cs="仿宋"/>
          <w:color w:val="auto"/>
          <w:highlight w:val="none"/>
        </w:rPr>
        <w:t>联系人：</w:t>
      </w:r>
      <w:r>
        <w:rPr>
          <w:rFonts w:hint="eastAsia" w:ascii="仿宋" w:hAnsi="仿宋" w:cs="仿宋"/>
          <w:color w:val="auto"/>
          <w:highlight w:val="none"/>
          <w:u w:val="dotted"/>
        </w:rPr>
        <w:t xml:space="preserve">                      </w:t>
      </w:r>
      <w:r>
        <w:rPr>
          <w:rFonts w:hint="eastAsia" w:ascii="仿宋" w:hAnsi="仿宋" w:cs="仿宋"/>
          <w:color w:val="auto"/>
          <w:highlight w:val="none"/>
        </w:rPr>
        <w:t>联系电话：</w:t>
      </w:r>
      <w:r>
        <w:rPr>
          <w:rFonts w:hint="eastAsia" w:ascii="仿宋" w:hAnsi="仿宋" w:cs="仿宋"/>
          <w:color w:val="auto"/>
          <w:highlight w:val="none"/>
          <w:u w:val="dotted"/>
        </w:rPr>
        <w:t xml:space="preserve">                              </w:t>
      </w:r>
    </w:p>
    <w:p w14:paraId="2778D1E0">
      <w:pPr>
        <w:snapToGrid w:val="0"/>
        <w:spacing w:line="360" w:lineRule="auto"/>
        <w:rPr>
          <w:rFonts w:hint="eastAsia" w:ascii="仿宋" w:hAnsi="仿宋" w:cs="仿宋"/>
          <w:color w:val="auto"/>
          <w:highlight w:val="none"/>
          <w:u w:val="dotted"/>
        </w:rPr>
      </w:pPr>
      <w:r>
        <w:rPr>
          <w:rFonts w:hint="eastAsia" w:ascii="仿宋" w:hAnsi="仿宋" w:cs="仿宋"/>
          <w:color w:val="auto"/>
          <w:highlight w:val="none"/>
        </w:rPr>
        <w:t>授权代表：</w:t>
      </w:r>
      <w:r>
        <w:rPr>
          <w:rFonts w:hint="eastAsia" w:ascii="仿宋" w:hAnsi="仿宋" w:cs="仿宋"/>
          <w:color w:val="auto"/>
          <w:highlight w:val="none"/>
          <w:u w:val="dotted"/>
        </w:rPr>
        <w:t xml:space="preserve">                                          </w:t>
      </w:r>
    </w:p>
    <w:p w14:paraId="611847A7">
      <w:pPr>
        <w:snapToGrid w:val="0"/>
        <w:spacing w:line="360" w:lineRule="auto"/>
        <w:rPr>
          <w:rFonts w:hint="eastAsia" w:ascii="仿宋" w:hAnsi="仿宋" w:cs="仿宋"/>
          <w:color w:val="auto"/>
          <w:highlight w:val="none"/>
        </w:rPr>
      </w:pPr>
      <w:r>
        <w:rPr>
          <w:rFonts w:hint="eastAsia" w:ascii="仿宋" w:hAnsi="仿宋" w:cs="仿宋"/>
          <w:color w:val="auto"/>
          <w:highlight w:val="none"/>
        </w:rPr>
        <w:t>联系电话：</w:t>
      </w:r>
      <w:r>
        <w:rPr>
          <w:rFonts w:hint="eastAsia" w:ascii="仿宋" w:hAnsi="仿宋" w:cs="仿宋"/>
          <w:color w:val="auto"/>
          <w:highlight w:val="none"/>
          <w:u w:val="dotted"/>
        </w:rPr>
        <w:t xml:space="preserve">                                           </w:t>
      </w:r>
      <w:r>
        <w:rPr>
          <w:rFonts w:hint="eastAsia" w:ascii="仿宋" w:hAnsi="仿宋" w:cs="仿宋"/>
          <w:color w:val="auto"/>
          <w:highlight w:val="none"/>
        </w:rPr>
        <w:t xml:space="preserve"> </w:t>
      </w:r>
    </w:p>
    <w:p w14:paraId="7B81C43B">
      <w:pPr>
        <w:snapToGrid w:val="0"/>
        <w:spacing w:line="360" w:lineRule="auto"/>
        <w:rPr>
          <w:rFonts w:hint="eastAsia" w:ascii="仿宋" w:hAnsi="仿宋" w:cs="仿宋"/>
          <w:color w:val="auto"/>
          <w:highlight w:val="none"/>
        </w:rPr>
      </w:pPr>
      <w:r>
        <w:rPr>
          <w:rFonts w:hint="eastAsia" w:ascii="仿宋" w:hAnsi="仿宋" w:cs="仿宋"/>
          <w:color w:val="auto"/>
          <w:highlight w:val="none"/>
        </w:rPr>
        <w:t xml:space="preserve">地址： </w:t>
      </w:r>
      <w:r>
        <w:rPr>
          <w:rFonts w:hint="eastAsia" w:ascii="仿宋" w:hAnsi="仿宋" w:cs="仿宋"/>
          <w:color w:val="auto"/>
          <w:highlight w:val="none"/>
          <w:u w:val="dotted"/>
        </w:rPr>
        <w:t xml:space="preserve">                        </w:t>
      </w:r>
      <w:r>
        <w:rPr>
          <w:rFonts w:hint="eastAsia" w:ascii="仿宋" w:hAnsi="仿宋" w:cs="仿宋"/>
          <w:color w:val="auto"/>
          <w:highlight w:val="none"/>
        </w:rPr>
        <w:t>邮编：</w:t>
      </w:r>
      <w:r>
        <w:rPr>
          <w:rFonts w:hint="eastAsia" w:ascii="仿宋" w:hAnsi="仿宋" w:cs="仿宋"/>
          <w:color w:val="auto"/>
          <w:highlight w:val="none"/>
          <w:u w:val="dotted"/>
        </w:rPr>
        <w:t xml:space="preserve">                                                </w:t>
      </w:r>
    </w:p>
    <w:p w14:paraId="3C520139">
      <w:pPr>
        <w:snapToGrid w:val="0"/>
        <w:spacing w:line="360" w:lineRule="auto"/>
        <w:rPr>
          <w:rFonts w:hint="eastAsia" w:ascii="仿宋" w:hAnsi="仿宋" w:cs="仿宋"/>
          <w:bCs/>
          <w:color w:val="auto"/>
          <w:highlight w:val="none"/>
        </w:rPr>
      </w:pPr>
      <w:r>
        <w:rPr>
          <w:rFonts w:hint="eastAsia" w:ascii="仿宋" w:hAnsi="仿宋" w:cs="仿宋"/>
          <w:bCs/>
          <w:color w:val="auto"/>
          <w:highlight w:val="none"/>
        </w:rPr>
        <w:t>二、质疑项目基本情况</w:t>
      </w:r>
    </w:p>
    <w:p w14:paraId="3105AFDD">
      <w:pPr>
        <w:snapToGrid w:val="0"/>
        <w:spacing w:line="360" w:lineRule="auto"/>
        <w:rPr>
          <w:rFonts w:hint="eastAsia" w:ascii="仿宋" w:hAnsi="仿宋" w:cs="仿宋"/>
          <w:color w:val="auto"/>
          <w:highlight w:val="none"/>
        </w:rPr>
      </w:pPr>
      <w:r>
        <w:rPr>
          <w:rFonts w:hint="eastAsia" w:ascii="仿宋" w:hAnsi="仿宋" w:cs="仿宋"/>
          <w:color w:val="auto"/>
          <w:highlight w:val="none"/>
        </w:rPr>
        <w:t>质疑项目的名称：</w:t>
      </w:r>
      <w:r>
        <w:rPr>
          <w:rFonts w:hint="eastAsia" w:ascii="仿宋" w:hAnsi="仿宋" w:cs="仿宋"/>
          <w:color w:val="auto"/>
          <w:highlight w:val="none"/>
          <w:u w:val="dotted"/>
        </w:rPr>
        <w:t xml:space="preserve">                                      </w:t>
      </w:r>
    </w:p>
    <w:p w14:paraId="4238880D">
      <w:pPr>
        <w:snapToGrid w:val="0"/>
        <w:spacing w:line="360" w:lineRule="auto"/>
        <w:rPr>
          <w:rFonts w:hint="eastAsia" w:ascii="仿宋" w:hAnsi="仿宋" w:cs="仿宋"/>
          <w:color w:val="auto"/>
          <w:highlight w:val="none"/>
        </w:rPr>
      </w:pPr>
      <w:r>
        <w:rPr>
          <w:rFonts w:hint="eastAsia" w:ascii="仿宋" w:hAnsi="仿宋" w:cs="仿宋"/>
          <w:color w:val="auto"/>
          <w:highlight w:val="none"/>
        </w:rPr>
        <w:t>质疑项目的编号：</w:t>
      </w:r>
      <w:r>
        <w:rPr>
          <w:rFonts w:hint="eastAsia" w:ascii="仿宋" w:hAnsi="仿宋" w:cs="仿宋"/>
          <w:color w:val="auto"/>
          <w:highlight w:val="none"/>
          <w:u w:val="dotted"/>
        </w:rPr>
        <w:t xml:space="preserve">               </w:t>
      </w:r>
      <w:r>
        <w:rPr>
          <w:rFonts w:hint="eastAsia" w:ascii="仿宋" w:hAnsi="仿宋" w:cs="仿宋"/>
          <w:color w:val="auto"/>
          <w:highlight w:val="none"/>
        </w:rPr>
        <w:t>包号：</w:t>
      </w:r>
      <w:r>
        <w:rPr>
          <w:rFonts w:hint="eastAsia" w:ascii="仿宋" w:hAnsi="仿宋" w:cs="仿宋"/>
          <w:color w:val="auto"/>
          <w:highlight w:val="none"/>
          <w:u w:val="dotted"/>
        </w:rPr>
        <w:t xml:space="preserve">                 </w:t>
      </w:r>
    </w:p>
    <w:p w14:paraId="0DC8419A">
      <w:pPr>
        <w:snapToGrid w:val="0"/>
        <w:spacing w:line="360" w:lineRule="auto"/>
        <w:rPr>
          <w:rFonts w:hint="eastAsia" w:ascii="仿宋" w:hAnsi="仿宋" w:cs="仿宋"/>
          <w:color w:val="auto"/>
          <w:highlight w:val="none"/>
          <w:u w:val="dotted"/>
        </w:rPr>
      </w:pPr>
      <w:r>
        <w:rPr>
          <w:rFonts w:hint="eastAsia" w:ascii="仿宋" w:hAnsi="仿宋" w:cs="仿宋"/>
          <w:color w:val="auto"/>
          <w:highlight w:val="none"/>
        </w:rPr>
        <w:t>采购人名称：</w:t>
      </w:r>
      <w:r>
        <w:rPr>
          <w:rFonts w:hint="eastAsia" w:ascii="仿宋" w:hAnsi="仿宋" w:cs="仿宋"/>
          <w:color w:val="auto"/>
          <w:highlight w:val="none"/>
          <w:u w:val="dotted"/>
        </w:rPr>
        <w:t xml:space="preserve">                                         </w:t>
      </w:r>
    </w:p>
    <w:p w14:paraId="5689737B">
      <w:pPr>
        <w:snapToGrid w:val="0"/>
        <w:spacing w:line="360" w:lineRule="auto"/>
        <w:rPr>
          <w:rFonts w:hint="eastAsia" w:ascii="仿宋" w:hAnsi="仿宋" w:cs="仿宋"/>
          <w:color w:val="auto"/>
          <w:highlight w:val="none"/>
        </w:rPr>
      </w:pPr>
      <w:r>
        <w:rPr>
          <w:rFonts w:hint="eastAsia" w:ascii="仿宋" w:hAnsi="仿宋" w:cs="仿宋"/>
          <w:color w:val="auto"/>
          <w:highlight w:val="none"/>
        </w:rPr>
        <w:t>采购文件获取日期：</w:t>
      </w:r>
      <w:r>
        <w:rPr>
          <w:rFonts w:hint="eastAsia" w:ascii="仿宋" w:hAnsi="仿宋" w:cs="仿宋"/>
          <w:color w:val="auto"/>
          <w:highlight w:val="none"/>
          <w:u w:val="dotted"/>
        </w:rPr>
        <w:t xml:space="preserve">                                           </w:t>
      </w:r>
    </w:p>
    <w:p w14:paraId="72201AE9">
      <w:pPr>
        <w:snapToGrid w:val="0"/>
        <w:spacing w:line="360" w:lineRule="auto"/>
        <w:rPr>
          <w:rFonts w:hint="eastAsia" w:ascii="仿宋" w:hAnsi="仿宋" w:cs="仿宋"/>
          <w:bCs/>
          <w:color w:val="auto"/>
          <w:highlight w:val="none"/>
        </w:rPr>
      </w:pPr>
      <w:r>
        <w:rPr>
          <w:rFonts w:hint="eastAsia" w:ascii="仿宋" w:hAnsi="仿宋" w:cs="仿宋"/>
          <w:bCs/>
          <w:color w:val="auto"/>
          <w:highlight w:val="none"/>
        </w:rPr>
        <w:t>三、质疑事项具体内容</w:t>
      </w:r>
    </w:p>
    <w:p w14:paraId="54B545B1">
      <w:pPr>
        <w:snapToGrid w:val="0"/>
        <w:spacing w:line="360" w:lineRule="auto"/>
        <w:rPr>
          <w:rFonts w:hint="eastAsia" w:ascii="仿宋" w:hAnsi="仿宋" w:cs="仿宋"/>
          <w:color w:val="auto"/>
          <w:highlight w:val="none"/>
          <w:u w:val="dotted"/>
        </w:rPr>
      </w:pPr>
      <w:r>
        <w:rPr>
          <w:rFonts w:hint="eastAsia" w:ascii="仿宋" w:hAnsi="仿宋" w:cs="仿宋"/>
          <w:color w:val="auto"/>
          <w:highlight w:val="none"/>
        </w:rPr>
        <w:t>质疑事项1：</w:t>
      </w:r>
      <w:r>
        <w:rPr>
          <w:rFonts w:hint="eastAsia" w:ascii="仿宋" w:hAnsi="仿宋" w:cs="仿宋"/>
          <w:color w:val="auto"/>
          <w:highlight w:val="none"/>
          <w:u w:val="dotted"/>
        </w:rPr>
        <w:t xml:space="preserve">                                         </w:t>
      </w:r>
    </w:p>
    <w:p w14:paraId="493F8A9D">
      <w:pPr>
        <w:snapToGrid w:val="0"/>
        <w:spacing w:line="360" w:lineRule="auto"/>
        <w:rPr>
          <w:rFonts w:hint="eastAsia" w:ascii="仿宋" w:hAnsi="仿宋" w:cs="仿宋"/>
          <w:color w:val="auto"/>
          <w:highlight w:val="none"/>
          <w:u w:val="dotted"/>
        </w:rPr>
      </w:pPr>
      <w:r>
        <w:rPr>
          <w:rFonts w:hint="eastAsia" w:ascii="仿宋" w:hAnsi="仿宋" w:cs="仿宋"/>
          <w:color w:val="auto"/>
          <w:highlight w:val="none"/>
        </w:rPr>
        <w:t>事实依据：</w:t>
      </w:r>
      <w:r>
        <w:rPr>
          <w:rFonts w:hint="eastAsia" w:ascii="仿宋" w:hAnsi="仿宋" w:cs="仿宋"/>
          <w:color w:val="auto"/>
          <w:highlight w:val="none"/>
          <w:u w:val="dotted"/>
        </w:rPr>
        <w:t xml:space="preserve">                                          </w:t>
      </w:r>
    </w:p>
    <w:p w14:paraId="25B597C8">
      <w:pPr>
        <w:snapToGrid w:val="0"/>
        <w:spacing w:line="360" w:lineRule="auto"/>
        <w:rPr>
          <w:rFonts w:hint="eastAsia" w:ascii="仿宋" w:hAnsi="仿宋" w:cs="仿宋"/>
          <w:color w:val="auto"/>
          <w:highlight w:val="none"/>
        </w:rPr>
      </w:pPr>
      <w:r>
        <w:rPr>
          <w:rFonts w:hint="eastAsia" w:ascii="仿宋" w:hAnsi="仿宋" w:cs="仿宋"/>
          <w:color w:val="auto"/>
          <w:highlight w:val="none"/>
          <w:u w:val="dotted"/>
        </w:rPr>
        <w:t xml:space="preserve">                                                       </w:t>
      </w:r>
    </w:p>
    <w:p w14:paraId="428C98F7">
      <w:pPr>
        <w:snapToGrid w:val="0"/>
        <w:spacing w:line="360" w:lineRule="auto"/>
        <w:rPr>
          <w:rFonts w:hint="eastAsia" w:ascii="仿宋" w:hAnsi="仿宋" w:cs="仿宋"/>
          <w:color w:val="auto"/>
          <w:highlight w:val="none"/>
          <w:u w:val="dotted"/>
        </w:rPr>
      </w:pPr>
      <w:r>
        <w:rPr>
          <w:rFonts w:hint="eastAsia" w:ascii="仿宋" w:hAnsi="仿宋" w:cs="仿宋"/>
          <w:color w:val="auto"/>
          <w:highlight w:val="none"/>
        </w:rPr>
        <w:t>法律依据：</w:t>
      </w:r>
      <w:r>
        <w:rPr>
          <w:rFonts w:hint="eastAsia" w:ascii="仿宋" w:hAnsi="仿宋" w:cs="仿宋"/>
          <w:color w:val="auto"/>
          <w:highlight w:val="none"/>
          <w:u w:val="dotted"/>
        </w:rPr>
        <w:t xml:space="preserve">                                          </w:t>
      </w:r>
    </w:p>
    <w:p w14:paraId="26D5163F">
      <w:pPr>
        <w:snapToGrid w:val="0"/>
        <w:spacing w:line="360" w:lineRule="auto"/>
        <w:rPr>
          <w:rFonts w:hint="eastAsia" w:ascii="仿宋" w:hAnsi="仿宋" w:cs="仿宋"/>
          <w:color w:val="auto"/>
          <w:highlight w:val="none"/>
          <w:u w:val="dotted"/>
        </w:rPr>
      </w:pPr>
      <w:r>
        <w:rPr>
          <w:rFonts w:hint="eastAsia" w:ascii="仿宋" w:hAnsi="仿宋" w:cs="仿宋"/>
          <w:color w:val="auto"/>
          <w:highlight w:val="none"/>
          <w:u w:val="dotted"/>
        </w:rPr>
        <w:t xml:space="preserve">                                                     </w:t>
      </w:r>
    </w:p>
    <w:p w14:paraId="57C3328C">
      <w:pPr>
        <w:snapToGrid w:val="0"/>
        <w:spacing w:line="360" w:lineRule="auto"/>
        <w:rPr>
          <w:rFonts w:hint="eastAsia" w:ascii="仿宋" w:hAnsi="仿宋" w:cs="仿宋"/>
          <w:color w:val="auto"/>
          <w:highlight w:val="none"/>
          <w:u w:val="dotted"/>
        </w:rPr>
      </w:pPr>
      <w:r>
        <w:rPr>
          <w:rFonts w:hint="eastAsia" w:ascii="仿宋" w:hAnsi="仿宋" w:cs="仿宋"/>
          <w:color w:val="auto"/>
          <w:highlight w:val="none"/>
        </w:rPr>
        <w:t>质疑事项2</w:t>
      </w:r>
    </w:p>
    <w:p w14:paraId="7676FF85">
      <w:pPr>
        <w:snapToGrid w:val="0"/>
        <w:spacing w:line="360" w:lineRule="auto"/>
        <w:rPr>
          <w:rFonts w:hint="eastAsia" w:ascii="仿宋" w:hAnsi="仿宋" w:cs="仿宋"/>
          <w:color w:val="auto"/>
          <w:highlight w:val="none"/>
        </w:rPr>
      </w:pPr>
      <w:r>
        <w:rPr>
          <w:rFonts w:hint="eastAsia" w:ascii="仿宋" w:hAnsi="仿宋" w:cs="仿宋"/>
          <w:color w:val="auto"/>
          <w:highlight w:val="none"/>
        </w:rPr>
        <w:t>……</w:t>
      </w:r>
    </w:p>
    <w:p w14:paraId="4E358947">
      <w:pPr>
        <w:snapToGrid w:val="0"/>
        <w:spacing w:line="360" w:lineRule="auto"/>
        <w:rPr>
          <w:rFonts w:hint="eastAsia" w:ascii="仿宋" w:hAnsi="仿宋" w:cs="仿宋"/>
          <w:bCs/>
          <w:color w:val="auto"/>
          <w:highlight w:val="none"/>
        </w:rPr>
      </w:pPr>
      <w:r>
        <w:rPr>
          <w:rFonts w:hint="eastAsia" w:ascii="仿宋" w:hAnsi="仿宋" w:cs="仿宋"/>
          <w:bCs/>
          <w:color w:val="auto"/>
          <w:highlight w:val="none"/>
        </w:rPr>
        <w:t>四、与质疑事项相关的质疑请求</w:t>
      </w:r>
    </w:p>
    <w:p w14:paraId="76E03B49">
      <w:pPr>
        <w:snapToGrid w:val="0"/>
        <w:spacing w:line="360" w:lineRule="auto"/>
        <w:rPr>
          <w:rFonts w:hint="eastAsia" w:ascii="仿宋" w:hAnsi="仿宋" w:cs="仿宋"/>
          <w:color w:val="auto"/>
          <w:highlight w:val="none"/>
          <w:u w:val="dotted"/>
        </w:rPr>
      </w:pPr>
      <w:r>
        <w:rPr>
          <w:rFonts w:hint="eastAsia" w:ascii="仿宋" w:hAnsi="仿宋" w:cs="仿宋"/>
          <w:color w:val="auto"/>
          <w:highlight w:val="none"/>
        </w:rPr>
        <w:t>请求：</w:t>
      </w:r>
      <w:r>
        <w:rPr>
          <w:rFonts w:hint="eastAsia" w:ascii="仿宋" w:hAnsi="仿宋" w:cs="仿宋"/>
          <w:color w:val="auto"/>
          <w:highlight w:val="none"/>
          <w:u w:val="dotted"/>
        </w:rPr>
        <w:t xml:space="preserve">                                               </w:t>
      </w:r>
    </w:p>
    <w:p w14:paraId="134F5F33">
      <w:pPr>
        <w:spacing w:line="360" w:lineRule="auto"/>
        <w:rPr>
          <w:rFonts w:hint="eastAsia" w:ascii="仿宋" w:hAnsi="仿宋" w:cs="仿宋"/>
          <w:color w:val="auto"/>
          <w:highlight w:val="none"/>
        </w:rPr>
      </w:pPr>
      <w:r>
        <w:rPr>
          <w:rFonts w:hint="eastAsia" w:ascii="仿宋" w:hAnsi="仿宋" w:cs="仿宋"/>
          <w:color w:val="auto"/>
          <w:highlight w:val="none"/>
        </w:rPr>
        <w:t xml:space="preserve">签字(签章)：                   公章：                      </w:t>
      </w:r>
    </w:p>
    <w:p w14:paraId="6703EEC8">
      <w:pPr>
        <w:spacing w:line="360" w:lineRule="auto"/>
        <w:rPr>
          <w:rFonts w:hint="eastAsia" w:ascii="仿宋" w:hAnsi="仿宋" w:cs="仿宋"/>
          <w:color w:val="auto"/>
          <w:highlight w:val="none"/>
        </w:rPr>
      </w:pPr>
      <w:r>
        <w:rPr>
          <w:rFonts w:hint="eastAsia" w:ascii="仿宋" w:hAnsi="仿宋" w:cs="仿宋"/>
          <w:color w:val="auto"/>
          <w:highlight w:val="none"/>
        </w:rPr>
        <w:t xml:space="preserve">日期：    </w:t>
      </w:r>
    </w:p>
    <w:p w14:paraId="1CEC64E5">
      <w:pPr>
        <w:spacing w:line="360" w:lineRule="auto"/>
        <w:jc w:val="center"/>
        <w:rPr>
          <w:rFonts w:hint="eastAsia" w:ascii="仿宋" w:hAnsi="仿宋" w:cs="仿宋"/>
          <w:b/>
          <w:bCs/>
          <w:color w:val="auto"/>
          <w:highlight w:val="none"/>
        </w:rPr>
      </w:pPr>
    </w:p>
    <w:p w14:paraId="33E770CC">
      <w:pPr>
        <w:spacing w:line="360" w:lineRule="auto"/>
        <w:rPr>
          <w:rFonts w:hint="eastAsia" w:ascii="仿宋" w:hAnsi="仿宋" w:cs="仿宋"/>
          <w:b/>
          <w:color w:val="auto"/>
          <w:highlight w:val="none"/>
        </w:rPr>
      </w:pPr>
    </w:p>
    <w:p w14:paraId="50DF0026">
      <w:pPr>
        <w:spacing w:line="360" w:lineRule="auto"/>
        <w:rPr>
          <w:rFonts w:hint="eastAsia" w:ascii="仿宋" w:hAnsi="仿宋" w:cs="仿宋"/>
          <w:b/>
          <w:color w:val="auto"/>
          <w:highlight w:val="none"/>
        </w:rPr>
      </w:pPr>
    </w:p>
    <w:p w14:paraId="16159AEF">
      <w:pPr>
        <w:spacing w:line="360" w:lineRule="auto"/>
        <w:rPr>
          <w:rFonts w:hint="eastAsia" w:ascii="仿宋" w:hAnsi="仿宋" w:cs="仿宋"/>
          <w:b/>
          <w:color w:val="auto"/>
          <w:highlight w:val="none"/>
        </w:rPr>
      </w:pPr>
    </w:p>
    <w:p w14:paraId="55E5703B">
      <w:pPr>
        <w:spacing w:line="360" w:lineRule="auto"/>
        <w:rPr>
          <w:rFonts w:hint="eastAsia" w:ascii="仿宋" w:hAnsi="仿宋" w:cs="仿宋"/>
          <w:b/>
          <w:color w:val="auto"/>
          <w:highlight w:val="none"/>
        </w:rPr>
      </w:pPr>
      <w:r>
        <w:rPr>
          <w:rFonts w:hint="eastAsia" w:ascii="仿宋" w:hAnsi="仿宋" w:cs="仿宋"/>
          <w:b/>
          <w:color w:val="auto"/>
          <w:highlight w:val="none"/>
        </w:rPr>
        <w:t>质疑函制作说明：</w:t>
      </w:r>
    </w:p>
    <w:p w14:paraId="5E0F641E">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1.供应商提出质疑时，应提交质疑函和必要的证明材料。</w:t>
      </w:r>
    </w:p>
    <w:p w14:paraId="0F80C731">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2.质疑供应商若委托代理人进行质疑的，质疑函应按要求列明“授权代表”的有关内容，并在附件中提交由质疑</w:t>
      </w:r>
      <w:r>
        <w:rPr>
          <w:rFonts w:hint="eastAsia" w:ascii="仿宋" w:hAnsi="仿宋" w:cs="仿宋"/>
          <w:color w:val="auto"/>
          <w:kern w:val="0"/>
          <w:highlight w:val="none"/>
        </w:rPr>
        <w:t>供应商签署的授权委托书。授权委托书应载明代理人的姓名或者名称、代理事项、具体权限、期限和相关事项。</w:t>
      </w:r>
    </w:p>
    <w:p w14:paraId="5A6652AE">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3.质疑供应商若对项目的某一分包进行质疑，质疑函中应列明具体分包号。</w:t>
      </w:r>
    </w:p>
    <w:p w14:paraId="227EB9AD">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4.质疑函的质疑事项应具体、明确，并有必要的事实依据和法律依据。</w:t>
      </w:r>
    </w:p>
    <w:p w14:paraId="72A5DADE">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5.质疑函的质疑请求应与质疑事项相关。</w:t>
      </w:r>
    </w:p>
    <w:p w14:paraId="5FCA5941">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6.质疑供应商为自然人的，质疑函应由本人签字；质疑供应商为法人或者其他组织的，质疑函应由法定代表人、主要负责人，或者其授权代表签字或者盖章，并加盖公章。</w:t>
      </w:r>
    </w:p>
    <w:p w14:paraId="70CEEDF3">
      <w:pPr>
        <w:widowControl/>
        <w:spacing w:line="360" w:lineRule="auto"/>
        <w:ind w:firstLine="600" w:firstLineChars="200"/>
        <w:jc w:val="left"/>
        <w:rPr>
          <w:rFonts w:hint="eastAsia" w:ascii="仿宋" w:hAnsi="仿宋" w:cs="仿宋"/>
          <w:color w:val="auto"/>
          <w:sz w:val="30"/>
          <w:szCs w:val="30"/>
          <w:highlight w:val="none"/>
        </w:rPr>
      </w:pPr>
    </w:p>
    <w:p w14:paraId="4D8B6D3A">
      <w:pPr>
        <w:spacing w:line="360" w:lineRule="auto"/>
        <w:jc w:val="center"/>
        <w:rPr>
          <w:rFonts w:hint="eastAsia" w:ascii="仿宋" w:hAnsi="仿宋" w:cs="仿宋"/>
          <w:b/>
          <w:color w:val="auto"/>
          <w:spacing w:val="6"/>
          <w:sz w:val="32"/>
          <w:szCs w:val="32"/>
          <w:highlight w:val="none"/>
        </w:rPr>
      </w:pPr>
    </w:p>
    <w:p w14:paraId="78EA1DE9">
      <w:pPr>
        <w:spacing w:line="360" w:lineRule="auto"/>
        <w:jc w:val="center"/>
        <w:rPr>
          <w:rFonts w:hint="eastAsia" w:ascii="仿宋" w:hAnsi="仿宋" w:cs="仿宋"/>
          <w:b/>
          <w:color w:val="auto"/>
          <w:spacing w:val="6"/>
          <w:sz w:val="32"/>
          <w:szCs w:val="32"/>
          <w:highlight w:val="none"/>
        </w:rPr>
      </w:pPr>
    </w:p>
    <w:p w14:paraId="488A7DAA">
      <w:pPr>
        <w:spacing w:line="360" w:lineRule="auto"/>
        <w:jc w:val="center"/>
        <w:rPr>
          <w:rFonts w:hint="eastAsia" w:ascii="仿宋" w:hAnsi="仿宋" w:cs="仿宋"/>
          <w:b/>
          <w:color w:val="auto"/>
          <w:spacing w:val="6"/>
          <w:sz w:val="32"/>
          <w:szCs w:val="32"/>
          <w:highlight w:val="none"/>
        </w:rPr>
      </w:pPr>
    </w:p>
    <w:p w14:paraId="0403ACB7">
      <w:pPr>
        <w:spacing w:line="360" w:lineRule="auto"/>
        <w:jc w:val="center"/>
        <w:rPr>
          <w:rFonts w:hint="eastAsia" w:ascii="仿宋" w:hAnsi="仿宋" w:cs="仿宋"/>
          <w:b/>
          <w:color w:val="auto"/>
          <w:spacing w:val="6"/>
          <w:sz w:val="32"/>
          <w:szCs w:val="32"/>
          <w:highlight w:val="none"/>
        </w:rPr>
      </w:pPr>
    </w:p>
    <w:p w14:paraId="1C05A6AC">
      <w:pPr>
        <w:spacing w:line="360" w:lineRule="auto"/>
        <w:jc w:val="center"/>
        <w:rPr>
          <w:rFonts w:hint="eastAsia" w:ascii="仿宋" w:hAnsi="仿宋" w:cs="仿宋"/>
          <w:b/>
          <w:color w:val="auto"/>
          <w:spacing w:val="6"/>
          <w:sz w:val="32"/>
          <w:szCs w:val="32"/>
          <w:highlight w:val="none"/>
        </w:rPr>
      </w:pPr>
    </w:p>
    <w:p w14:paraId="1FD7E52F">
      <w:pPr>
        <w:spacing w:line="360" w:lineRule="auto"/>
        <w:jc w:val="center"/>
        <w:rPr>
          <w:rFonts w:hint="eastAsia" w:ascii="仿宋" w:hAnsi="仿宋" w:cs="仿宋"/>
          <w:b/>
          <w:color w:val="auto"/>
          <w:spacing w:val="6"/>
          <w:sz w:val="32"/>
          <w:szCs w:val="32"/>
          <w:highlight w:val="none"/>
        </w:rPr>
      </w:pPr>
    </w:p>
    <w:p w14:paraId="3880079A">
      <w:pPr>
        <w:spacing w:line="360" w:lineRule="auto"/>
        <w:jc w:val="center"/>
        <w:rPr>
          <w:rFonts w:hint="eastAsia" w:ascii="仿宋" w:hAnsi="仿宋" w:cs="仿宋"/>
          <w:b/>
          <w:color w:val="auto"/>
          <w:spacing w:val="6"/>
          <w:sz w:val="32"/>
          <w:szCs w:val="32"/>
          <w:highlight w:val="none"/>
        </w:rPr>
      </w:pPr>
    </w:p>
    <w:p w14:paraId="22B07C62">
      <w:pPr>
        <w:spacing w:line="360" w:lineRule="auto"/>
        <w:jc w:val="center"/>
        <w:rPr>
          <w:rFonts w:hint="eastAsia" w:ascii="仿宋" w:hAnsi="仿宋" w:cs="仿宋"/>
          <w:b/>
          <w:color w:val="auto"/>
          <w:spacing w:val="6"/>
          <w:sz w:val="32"/>
          <w:szCs w:val="32"/>
          <w:highlight w:val="none"/>
        </w:rPr>
      </w:pPr>
    </w:p>
    <w:p w14:paraId="67A0827B">
      <w:pPr>
        <w:spacing w:line="360" w:lineRule="auto"/>
        <w:jc w:val="center"/>
        <w:rPr>
          <w:rFonts w:hint="eastAsia" w:ascii="仿宋" w:hAnsi="仿宋" w:cs="仿宋"/>
          <w:b/>
          <w:color w:val="auto"/>
          <w:spacing w:val="6"/>
          <w:sz w:val="32"/>
          <w:szCs w:val="32"/>
          <w:highlight w:val="none"/>
        </w:rPr>
      </w:pPr>
    </w:p>
    <w:p w14:paraId="13BAA272">
      <w:pPr>
        <w:spacing w:line="360" w:lineRule="auto"/>
        <w:jc w:val="center"/>
        <w:rPr>
          <w:rFonts w:hint="eastAsia" w:ascii="仿宋" w:hAnsi="仿宋" w:cs="仿宋"/>
          <w:b/>
          <w:color w:val="auto"/>
          <w:spacing w:val="6"/>
          <w:sz w:val="32"/>
          <w:szCs w:val="32"/>
          <w:highlight w:val="none"/>
        </w:rPr>
      </w:pPr>
    </w:p>
    <w:p w14:paraId="79F6A941">
      <w:pPr>
        <w:spacing w:line="360" w:lineRule="auto"/>
        <w:jc w:val="center"/>
        <w:rPr>
          <w:rFonts w:hint="eastAsia" w:ascii="仿宋" w:hAnsi="仿宋" w:cs="仿宋"/>
          <w:b/>
          <w:color w:val="auto"/>
          <w:spacing w:val="6"/>
          <w:sz w:val="32"/>
          <w:szCs w:val="32"/>
          <w:highlight w:val="none"/>
        </w:rPr>
      </w:pPr>
    </w:p>
    <w:p w14:paraId="06C82B83">
      <w:pPr>
        <w:spacing w:line="360" w:lineRule="auto"/>
        <w:jc w:val="center"/>
        <w:rPr>
          <w:rFonts w:hint="eastAsia" w:ascii="仿宋" w:hAnsi="仿宋" w:cs="仿宋"/>
          <w:b/>
          <w:color w:val="auto"/>
          <w:spacing w:val="6"/>
          <w:sz w:val="32"/>
          <w:szCs w:val="32"/>
          <w:highlight w:val="none"/>
        </w:rPr>
      </w:pPr>
    </w:p>
    <w:p w14:paraId="4839EEAC">
      <w:pPr>
        <w:spacing w:line="360" w:lineRule="auto"/>
        <w:jc w:val="left"/>
        <w:rPr>
          <w:rFonts w:hint="eastAsia" w:ascii="仿宋" w:hAnsi="仿宋" w:cs="仿宋"/>
          <w:b/>
          <w:color w:val="auto"/>
          <w:spacing w:val="6"/>
          <w:sz w:val="32"/>
          <w:szCs w:val="32"/>
          <w:highlight w:val="none"/>
        </w:rPr>
      </w:pPr>
    </w:p>
    <w:p w14:paraId="71860B28">
      <w:pPr>
        <w:spacing w:line="360" w:lineRule="auto"/>
        <w:jc w:val="left"/>
        <w:rPr>
          <w:rFonts w:hint="eastAsia" w:ascii="仿宋" w:hAnsi="仿宋" w:cs="仿宋"/>
          <w:b/>
          <w:color w:val="auto"/>
          <w:spacing w:val="6"/>
          <w:sz w:val="32"/>
          <w:szCs w:val="32"/>
          <w:highlight w:val="none"/>
        </w:rPr>
      </w:pPr>
    </w:p>
    <w:p w14:paraId="3E66F318">
      <w:pPr>
        <w:pStyle w:val="5"/>
        <w:rPr>
          <w:rFonts w:hint="eastAsia"/>
          <w:color w:val="auto"/>
          <w:highlight w:val="none"/>
        </w:rPr>
      </w:pPr>
    </w:p>
    <w:p w14:paraId="0E88B969">
      <w:pPr>
        <w:spacing w:line="360" w:lineRule="auto"/>
        <w:jc w:val="left"/>
        <w:rPr>
          <w:rFonts w:hint="eastAsia" w:ascii="仿宋" w:hAnsi="仿宋" w:cs="仿宋"/>
          <w:b/>
          <w:color w:val="auto"/>
          <w:spacing w:val="6"/>
          <w:sz w:val="32"/>
          <w:szCs w:val="32"/>
          <w:highlight w:val="none"/>
        </w:rPr>
      </w:pPr>
      <w:r>
        <w:rPr>
          <w:rFonts w:hint="eastAsia" w:ascii="仿宋" w:hAnsi="仿宋" w:cs="仿宋"/>
          <w:b/>
          <w:color w:val="auto"/>
          <w:spacing w:val="6"/>
          <w:sz w:val="32"/>
          <w:szCs w:val="32"/>
          <w:highlight w:val="none"/>
        </w:rPr>
        <w:t>附件3：投诉书范本及制作说明</w:t>
      </w:r>
    </w:p>
    <w:p w14:paraId="2E3DB4E2">
      <w:pPr>
        <w:spacing w:line="360" w:lineRule="auto"/>
        <w:jc w:val="center"/>
        <w:rPr>
          <w:rFonts w:hint="eastAsia" w:ascii="仿宋" w:hAnsi="仿宋" w:cs="仿宋"/>
          <w:b/>
          <w:color w:val="auto"/>
          <w:highlight w:val="none"/>
        </w:rPr>
      </w:pPr>
    </w:p>
    <w:p w14:paraId="1050FD60">
      <w:pPr>
        <w:spacing w:line="360" w:lineRule="auto"/>
        <w:jc w:val="center"/>
        <w:rPr>
          <w:rFonts w:hint="eastAsia" w:ascii="仿宋" w:hAnsi="仿宋" w:cs="仿宋"/>
          <w:b/>
          <w:color w:val="auto"/>
          <w:spacing w:val="6"/>
          <w:sz w:val="32"/>
          <w:szCs w:val="32"/>
          <w:highlight w:val="none"/>
        </w:rPr>
      </w:pPr>
      <w:r>
        <w:rPr>
          <w:rFonts w:hint="eastAsia" w:ascii="仿宋" w:hAnsi="仿宋" w:cs="仿宋"/>
          <w:b/>
          <w:color w:val="auto"/>
          <w:spacing w:val="6"/>
          <w:sz w:val="32"/>
          <w:szCs w:val="32"/>
          <w:highlight w:val="none"/>
        </w:rPr>
        <w:t>投诉书范本</w:t>
      </w:r>
    </w:p>
    <w:p w14:paraId="0E14F2FE">
      <w:pPr>
        <w:spacing w:line="360" w:lineRule="auto"/>
        <w:rPr>
          <w:rFonts w:hint="eastAsia" w:ascii="仿宋" w:hAnsi="仿宋" w:cs="仿宋"/>
          <w:color w:val="auto"/>
          <w:highlight w:val="none"/>
        </w:rPr>
      </w:pPr>
      <w:r>
        <w:rPr>
          <w:rFonts w:hint="eastAsia" w:ascii="仿宋" w:hAnsi="仿宋" w:cs="仿宋"/>
          <w:color w:val="auto"/>
          <w:highlight w:val="none"/>
        </w:rPr>
        <w:t>一、投诉相关主体基本情况</w:t>
      </w:r>
    </w:p>
    <w:p w14:paraId="54BAA6B4">
      <w:pPr>
        <w:spacing w:line="360" w:lineRule="auto"/>
        <w:rPr>
          <w:rFonts w:hint="eastAsia" w:ascii="仿宋" w:hAnsi="仿宋" w:cs="仿宋"/>
          <w:color w:val="auto"/>
          <w:highlight w:val="none"/>
          <w:u w:val="dotted"/>
        </w:rPr>
      </w:pPr>
      <w:r>
        <w:rPr>
          <w:rFonts w:hint="eastAsia" w:ascii="仿宋" w:hAnsi="仿宋" w:cs="仿宋"/>
          <w:color w:val="auto"/>
          <w:highlight w:val="none"/>
        </w:rPr>
        <w:t>投诉人：</w:t>
      </w:r>
      <w:r>
        <w:rPr>
          <w:rFonts w:hint="eastAsia" w:ascii="仿宋" w:hAnsi="仿宋" w:cs="仿宋"/>
          <w:color w:val="auto"/>
          <w:highlight w:val="none"/>
          <w:u w:val="dotted"/>
        </w:rPr>
        <w:t xml:space="preserve">                                               </w:t>
      </w:r>
    </w:p>
    <w:p w14:paraId="179A3C95">
      <w:pPr>
        <w:spacing w:line="360" w:lineRule="auto"/>
        <w:rPr>
          <w:rFonts w:hint="eastAsia" w:ascii="仿宋" w:hAnsi="仿宋" w:cs="仿宋"/>
          <w:color w:val="auto"/>
          <w:highlight w:val="none"/>
          <w:u w:val="single"/>
        </w:rPr>
      </w:pPr>
      <w:r>
        <w:rPr>
          <w:rFonts w:hint="eastAsia" w:ascii="仿宋" w:hAnsi="仿宋" w:cs="仿宋"/>
          <w:color w:val="auto"/>
          <w:highlight w:val="none"/>
        </w:rPr>
        <w:t>地     址：</w:t>
      </w:r>
      <w:r>
        <w:rPr>
          <w:rFonts w:hint="eastAsia" w:ascii="仿宋" w:hAnsi="仿宋" w:cs="仿宋"/>
          <w:color w:val="auto"/>
          <w:highlight w:val="none"/>
          <w:u w:val="dotted"/>
        </w:rPr>
        <w:t xml:space="preserve">                             </w:t>
      </w:r>
      <w:r>
        <w:rPr>
          <w:rFonts w:hint="eastAsia" w:ascii="仿宋" w:hAnsi="仿宋" w:cs="仿宋"/>
          <w:color w:val="auto"/>
          <w:highlight w:val="none"/>
        </w:rPr>
        <w:t>邮编：</w:t>
      </w:r>
      <w:r>
        <w:rPr>
          <w:rFonts w:hint="eastAsia" w:ascii="仿宋" w:hAnsi="仿宋" w:cs="仿宋"/>
          <w:color w:val="auto"/>
          <w:highlight w:val="none"/>
          <w:u w:val="dotted"/>
        </w:rPr>
        <w:t xml:space="preserve">         </w:t>
      </w:r>
      <w:r>
        <w:rPr>
          <w:rFonts w:hint="eastAsia" w:ascii="仿宋" w:hAnsi="仿宋" w:cs="仿宋"/>
          <w:color w:val="auto"/>
          <w:highlight w:val="none"/>
          <w:u w:val="single"/>
        </w:rPr>
        <w:t xml:space="preserve">   </w:t>
      </w:r>
    </w:p>
    <w:p w14:paraId="1312D6E8">
      <w:pPr>
        <w:tabs>
          <w:tab w:val="left" w:pos="6510"/>
        </w:tabs>
        <w:spacing w:line="360" w:lineRule="auto"/>
        <w:jc w:val="left"/>
        <w:rPr>
          <w:rFonts w:hint="eastAsia" w:ascii="仿宋" w:hAnsi="仿宋" w:cs="仿宋"/>
          <w:color w:val="auto"/>
          <w:highlight w:val="none"/>
        </w:rPr>
      </w:pPr>
      <w:r>
        <w:rPr>
          <w:rFonts w:hint="eastAsia" w:ascii="仿宋" w:hAnsi="仿宋" w:cs="仿宋"/>
          <w:color w:val="auto"/>
          <w:highlight w:val="none"/>
        </w:rPr>
        <w:t>法定代表人/主要负责人：</w:t>
      </w:r>
      <w:r>
        <w:rPr>
          <w:rFonts w:hint="eastAsia" w:ascii="仿宋" w:hAnsi="仿宋" w:cs="仿宋"/>
          <w:color w:val="auto"/>
          <w:highlight w:val="none"/>
          <w:u w:val="dotted"/>
        </w:rPr>
        <w:t xml:space="preserve">                                   </w:t>
      </w:r>
      <w:r>
        <w:rPr>
          <w:rFonts w:hint="eastAsia" w:ascii="仿宋" w:hAnsi="仿宋" w:cs="仿宋"/>
          <w:color w:val="auto"/>
          <w:highlight w:val="none"/>
        </w:rPr>
        <w:t xml:space="preserve">  </w:t>
      </w:r>
    </w:p>
    <w:p w14:paraId="54CB2D4A">
      <w:pPr>
        <w:tabs>
          <w:tab w:val="left" w:pos="6510"/>
        </w:tabs>
        <w:spacing w:line="360" w:lineRule="auto"/>
        <w:rPr>
          <w:rFonts w:hint="eastAsia" w:ascii="仿宋" w:hAnsi="仿宋" w:cs="仿宋"/>
          <w:color w:val="auto"/>
          <w:highlight w:val="none"/>
          <w:u w:val="dotted"/>
        </w:rPr>
      </w:pPr>
      <w:r>
        <w:rPr>
          <w:rFonts w:hint="eastAsia" w:ascii="仿宋" w:hAnsi="仿宋" w:cs="仿宋"/>
          <w:color w:val="auto"/>
          <w:highlight w:val="none"/>
        </w:rPr>
        <w:t>联系电话：</w:t>
      </w:r>
      <w:r>
        <w:rPr>
          <w:rFonts w:hint="eastAsia" w:ascii="仿宋" w:hAnsi="仿宋" w:cs="仿宋"/>
          <w:color w:val="auto"/>
          <w:highlight w:val="none"/>
          <w:u w:val="dotted"/>
        </w:rPr>
        <w:t xml:space="preserve">                                             </w:t>
      </w:r>
    </w:p>
    <w:p w14:paraId="119553C4">
      <w:pPr>
        <w:spacing w:line="360" w:lineRule="auto"/>
        <w:rPr>
          <w:rFonts w:hint="eastAsia" w:ascii="仿宋" w:hAnsi="仿宋" w:cs="仿宋"/>
          <w:color w:val="auto"/>
          <w:highlight w:val="none"/>
          <w:u w:val="dotted"/>
        </w:rPr>
      </w:pPr>
      <w:r>
        <w:rPr>
          <w:rFonts w:hint="eastAsia" w:ascii="仿宋" w:hAnsi="仿宋" w:cs="仿宋"/>
          <w:color w:val="auto"/>
          <w:highlight w:val="none"/>
        </w:rPr>
        <w:t>授权代表：</w:t>
      </w:r>
      <w:r>
        <w:rPr>
          <w:rFonts w:hint="eastAsia" w:ascii="仿宋" w:hAnsi="仿宋" w:cs="仿宋"/>
          <w:color w:val="auto"/>
          <w:highlight w:val="none"/>
          <w:u w:val="dotted"/>
        </w:rPr>
        <w:t xml:space="preserve">             </w:t>
      </w:r>
      <w:r>
        <w:rPr>
          <w:rFonts w:hint="eastAsia" w:ascii="仿宋" w:hAnsi="仿宋" w:cs="仿宋"/>
          <w:color w:val="auto"/>
          <w:highlight w:val="none"/>
        </w:rPr>
        <w:t>联系电话</w:t>
      </w:r>
      <w:r>
        <w:rPr>
          <w:rFonts w:hint="eastAsia" w:ascii="仿宋" w:hAnsi="仿宋" w:cs="仿宋"/>
          <w:color w:val="auto"/>
          <w:highlight w:val="none"/>
          <w:u w:val="dotted"/>
        </w:rPr>
        <w:t xml:space="preserve">：                  </w:t>
      </w:r>
    </w:p>
    <w:p w14:paraId="28BB3E8D">
      <w:pPr>
        <w:spacing w:line="360" w:lineRule="auto"/>
        <w:rPr>
          <w:rFonts w:hint="eastAsia" w:ascii="仿宋" w:hAnsi="仿宋" w:cs="仿宋"/>
          <w:color w:val="auto"/>
          <w:highlight w:val="none"/>
          <w:u w:val="dotted"/>
        </w:rPr>
      </w:pPr>
      <w:r>
        <w:rPr>
          <w:rFonts w:hint="eastAsia" w:ascii="仿宋" w:hAnsi="仿宋" w:cs="仿宋"/>
          <w:color w:val="auto"/>
          <w:highlight w:val="none"/>
        </w:rPr>
        <w:t>地     址：</w:t>
      </w:r>
      <w:r>
        <w:rPr>
          <w:rFonts w:hint="eastAsia" w:ascii="仿宋" w:hAnsi="仿宋" w:cs="仿宋"/>
          <w:color w:val="auto"/>
          <w:highlight w:val="none"/>
          <w:u w:val="dotted"/>
        </w:rPr>
        <w:t xml:space="preserve">                             </w:t>
      </w:r>
      <w:r>
        <w:rPr>
          <w:rFonts w:hint="eastAsia" w:ascii="仿宋" w:hAnsi="仿宋" w:cs="仿宋"/>
          <w:color w:val="auto"/>
          <w:highlight w:val="none"/>
        </w:rPr>
        <w:t>邮编：</w:t>
      </w:r>
      <w:r>
        <w:rPr>
          <w:rFonts w:hint="eastAsia" w:ascii="仿宋" w:hAnsi="仿宋" w:cs="仿宋"/>
          <w:color w:val="auto"/>
          <w:highlight w:val="none"/>
          <w:u w:val="dotted"/>
        </w:rPr>
        <w:t xml:space="preserve">         </w:t>
      </w:r>
      <w:r>
        <w:rPr>
          <w:rFonts w:hint="eastAsia" w:ascii="仿宋" w:hAnsi="仿宋" w:cs="仿宋"/>
          <w:color w:val="auto"/>
          <w:highlight w:val="none"/>
          <w:u w:val="single"/>
        </w:rPr>
        <w:t xml:space="preserve"> </w:t>
      </w:r>
      <w:r>
        <w:rPr>
          <w:rFonts w:hint="eastAsia" w:ascii="仿宋" w:hAnsi="仿宋" w:cs="仿宋"/>
          <w:color w:val="auto"/>
          <w:highlight w:val="none"/>
          <w:u w:val="dotted"/>
        </w:rPr>
        <w:t xml:space="preserve">                   </w:t>
      </w:r>
    </w:p>
    <w:p w14:paraId="325B717A">
      <w:pPr>
        <w:spacing w:line="360" w:lineRule="auto"/>
        <w:rPr>
          <w:rFonts w:hint="eastAsia" w:ascii="仿宋" w:hAnsi="仿宋" w:cs="仿宋"/>
          <w:color w:val="auto"/>
          <w:highlight w:val="none"/>
          <w:u w:val="single"/>
        </w:rPr>
      </w:pPr>
      <w:r>
        <w:rPr>
          <w:rFonts w:hint="eastAsia" w:ascii="仿宋" w:hAnsi="仿宋" w:cs="仿宋"/>
          <w:color w:val="auto"/>
          <w:highlight w:val="none"/>
        </w:rPr>
        <w:t>被投诉人1：</w:t>
      </w:r>
      <w:r>
        <w:rPr>
          <w:rFonts w:hint="eastAsia" w:ascii="仿宋" w:hAnsi="仿宋" w:cs="仿宋"/>
          <w:color w:val="auto"/>
          <w:highlight w:val="none"/>
          <w:u w:val="dotted"/>
        </w:rPr>
        <w:t xml:space="preserve">                                           </w:t>
      </w:r>
      <w:r>
        <w:rPr>
          <w:rFonts w:hint="eastAsia" w:ascii="仿宋" w:hAnsi="仿宋" w:cs="仿宋"/>
          <w:color w:val="auto"/>
          <w:highlight w:val="none"/>
          <w:u w:val="single"/>
        </w:rPr>
        <w:t xml:space="preserve">  </w:t>
      </w:r>
    </w:p>
    <w:p w14:paraId="791D2F62">
      <w:pPr>
        <w:spacing w:line="360" w:lineRule="auto"/>
        <w:rPr>
          <w:rFonts w:hint="eastAsia" w:ascii="仿宋" w:hAnsi="仿宋" w:cs="仿宋"/>
          <w:color w:val="auto"/>
          <w:highlight w:val="none"/>
          <w:u w:val="single"/>
        </w:rPr>
      </w:pPr>
      <w:r>
        <w:rPr>
          <w:rFonts w:hint="eastAsia" w:ascii="仿宋" w:hAnsi="仿宋" w:cs="仿宋"/>
          <w:color w:val="auto"/>
          <w:highlight w:val="none"/>
        </w:rPr>
        <w:t>地     址：</w:t>
      </w:r>
      <w:r>
        <w:rPr>
          <w:rFonts w:hint="eastAsia" w:ascii="仿宋" w:hAnsi="仿宋" w:cs="仿宋"/>
          <w:color w:val="auto"/>
          <w:highlight w:val="none"/>
          <w:u w:val="dotted"/>
        </w:rPr>
        <w:t xml:space="preserve">                             </w:t>
      </w:r>
      <w:r>
        <w:rPr>
          <w:rFonts w:hint="eastAsia" w:ascii="仿宋" w:hAnsi="仿宋" w:cs="仿宋"/>
          <w:color w:val="auto"/>
          <w:highlight w:val="none"/>
        </w:rPr>
        <w:t>邮编：</w:t>
      </w:r>
      <w:r>
        <w:rPr>
          <w:rFonts w:hint="eastAsia" w:ascii="仿宋" w:hAnsi="仿宋" w:cs="仿宋"/>
          <w:color w:val="auto"/>
          <w:highlight w:val="none"/>
          <w:u w:val="dotted"/>
        </w:rPr>
        <w:t xml:space="preserve">          </w:t>
      </w:r>
      <w:r>
        <w:rPr>
          <w:rFonts w:hint="eastAsia" w:ascii="仿宋" w:hAnsi="仿宋" w:cs="仿宋"/>
          <w:color w:val="auto"/>
          <w:highlight w:val="none"/>
          <w:u w:val="single"/>
        </w:rPr>
        <w:t xml:space="preserve"> </w:t>
      </w:r>
    </w:p>
    <w:p w14:paraId="6FAFA92D">
      <w:pPr>
        <w:spacing w:line="360" w:lineRule="auto"/>
        <w:rPr>
          <w:rFonts w:hint="eastAsia" w:ascii="仿宋" w:hAnsi="仿宋" w:cs="仿宋"/>
          <w:color w:val="auto"/>
          <w:highlight w:val="none"/>
          <w:u w:val="single"/>
        </w:rPr>
      </w:pPr>
      <w:r>
        <w:rPr>
          <w:rFonts w:hint="eastAsia" w:ascii="仿宋" w:hAnsi="仿宋" w:cs="仿宋"/>
          <w:color w:val="auto"/>
          <w:highlight w:val="none"/>
        </w:rPr>
        <w:t>联系人：</w:t>
      </w:r>
      <w:r>
        <w:rPr>
          <w:rFonts w:hint="eastAsia" w:ascii="仿宋" w:hAnsi="仿宋" w:cs="仿宋"/>
          <w:color w:val="auto"/>
          <w:highlight w:val="none"/>
          <w:u w:val="dotted"/>
        </w:rPr>
        <w:t xml:space="preserve">               </w:t>
      </w:r>
      <w:r>
        <w:rPr>
          <w:rFonts w:hint="eastAsia" w:ascii="仿宋" w:hAnsi="仿宋" w:cs="仿宋"/>
          <w:color w:val="auto"/>
          <w:highlight w:val="none"/>
        </w:rPr>
        <w:t>联系电话：</w:t>
      </w:r>
      <w:r>
        <w:rPr>
          <w:rFonts w:hint="eastAsia" w:ascii="仿宋" w:hAnsi="仿宋" w:cs="仿宋"/>
          <w:color w:val="auto"/>
          <w:highlight w:val="none"/>
          <w:u w:val="dotted"/>
        </w:rPr>
        <w:t xml:space="preserve">                      </w:t>
      </w:r>
      <w:r>
        <w:rPr>
          <w:rFonts w:hint="eastAsia" w:ascii="仿宋" w:hAnsi="仿宋" w:cs="仿宋"/>
          <w:color w:val="auto"/>
          <w:highlight w:val="none"/>
          <w:u w:val="single"/>
        </w:rPr>
        <w:t xml:space="preserve"> </w:t>
      </w:r>
    </w:p>
    <w:p w14:paraId="40FA16D0">
      <w:pPr>
        <w:spacing w:line="360" w:lineRule="auto"/>
        <w:rPr>
          <w:rFonts w:hint="eastAsia" w:ascii="仿宋" w:hAnsi="仿宋" w:cs="仿宋"/>
          <w:color w:val="auto"/>
          <w:highlight w:val="none"/>
        </w:rPr>
      </w:pPr>
      <w:r>
        <w:rPr>
          <w:rFonts w:hint="eastAsia" w:ascii="仿宋" w:hAnsi="仿宋" w:cs="仿宋"/>
          <w:color w:val="auto"/>
          <w:highlight w:val="none"/>
        </w:rPr>
        <w:t>被投诉人2</w:t>
      </w:r>
    </w:p>
    <w:p w14:paraId="5549FFF4">
      <w:pPr>
        <w:spacing w:line="360" w:lineRule="auto"/>
        <w:rPr>
          <w:rFonts w:hint="eastAsia" w:ascii="仿宋" w:hAnsi="仿宋" w:cs="仿宋"/>
          <w:color w:val="auto"/>
          <w:highlight w:val="none"/>
          <w:u w:val="dotted"/>
        </w:rPr>
      </w:pPr>
      <w:r>
        <w:rPr>
          <w:rFonts w:hint="eastAsia" w:ascii="仿宋" w:hAnsi="仿宋" w:cs="仿宋"/>
          <w:color w:val="auto"/>
          <w:highlight w:val="none"/>
        </w:rPr>
        <w:t>……</w:t>
      </w:r>
    </w:p>
    <w:p w14:paraId="12ED1E0B">
      <w:pPr>
        <w:spacing w:line="360" w:lineRule="auto"/>
        <w:rPr>
          <w:rFonts w:hint="eastAsia" w:ascii="仿宋" w:hAnsi="仿宋" w:cs="仿宋"/>
          <w:color w:val="auto"/>
          <w:highlight w:val="none"/>
          <w:u w:val="single"/>
        </w:rPr>
      </w:pPr>
      <w:r>
        <w:rPr>
          <w:rFonts w:hint="eastAsia" w:ascii="仿宋" w:hAnsi="仿宋" w:cs="仿宋"/>
          <w:color w:val="auto"/>
          <w:highlight w:val="none"/>
        </w:rPr>
        <w:t>相关供应商：</w:t>
      </w:r>
      <w:r>
        <w:rPr>
          <w:rFonts w:hint="eastAsia" w:ascii="仿宋" w:hAnsi="仿宋" w:cs="仿宋"/>
          <w:color w:val="auto"/>
          <w:highlight w:val="none"/>
          <w:u w:val="dotted"/>
        </w:rPr>
        <w:t xml:space="preserve">                                           </w:t>
      </w:r>
      <w:r>
        <w:rPr>
          <w:rFonts w:hint="eastAsia" w:ascii="仿宋" w:hAnsi="仿宋" w:cs="仿宋"/>
          <w:color w:val="auto"/>
          <w:highlight w:val="none"/>
          <w:u w:val="single"/>
        </w:rPr>
        <w:t xml:space="preserve">    </w:t>
      </w:r>
    </w:p>
    <w:p w14:paraId="2DA63CC7">
      <w:pPr>
        <w:spacing w:line="360" w:lineRule="auto"/>
        <w:rPr>
          <w:rFonts w:hint="eastAsia" w:ascii="仿宋" w:hAnsi="仿宋" w:cs="仿宋"/>
          <w:color w:val="auto"/>
          <w:highlight w:val="none"/>
          <w:u w:val="single"/>
        </w:rPr>
      </w:pPr>
      <w:r>
        <w:rPr>
          <w:rFonts w:hint="eastAsia" w:ascii="仿宋" w:hAnsi="仿宋" w:cs="仿宋"/>
          <w:color w:val="auto"/>
          <w:highlight w:val="none"/>
        </w:rPr>
        <w:t>地     址：</w:t>
      </w:r>
      <w:r>
        <w:rPr>
          <w:rFonts w:hint="eastAsia" w:ascii="仿宋" w:hAnsi="仿宋" w:cs="仿宋"/>
          <w:color w:val="auto"/>
          <w:highlight w:val="none"/>
          <w:u w:val="dotted"/>
        </w:rPr>
        <w:t xml:space="preserve">                             </w:t>
      </w:r>
      <w:r>
        <w:rPr>
          <w:rFonts w:hint="eastAsia" w:ascii="仿宋" w:hAnsi="仿宋" w:cs="仿宋"/>
          <w:color w:val="auto"/>
          <w:highlight w:val="none"/>
        </w:rPr>
        <w:t>邮编：</w:t>
      </w:r>
      <w:r>
        <w:rPr>
          <w:rFonts w:hint="eastAsia" w:ascii="仿宋" w:hAnsi="仿宋" w:cs="仿宋"/>
          <w:color w:val="auto"/>
          <w:highlight w:val="none"/>
          <w:u w:val="dotted"/>
        </w:rPr>
        <w:t xml:space="preserve">          </w:t>
      </w:r>
      <w:r>
        <w:rPr>
          <w:rFonts w:hint="eastAsia" w:ascii="仿宋" w:hAnsi="仿宋" w:cs="仿宋"/>
          <w:color w:val="auto"/>
          <w:highlight w:val="none"/>
          <w:u w:val="single"/>
        </w:rPr>
        <w:t xml:space="preserve"> </w:t>
      </w:r>
    </w:p>
    <w:p w14:paraId="5D765B48">
      <w:pPr>
        <w:spacing w:line="360" w:lineRule="auto"/>
        <w:rPr>
          <w:rFonts w:hint="eastAsia" w:ascii="仿宋" w:hAnsi="仿宋" w:cs="仿宋"/>
          <w:color w:val="auto"/>
          <w:highlight w:val="none"/>
          <w:u w:val="single"/>
        </w:rPr>
      </w:pPr>
      <w:r>
        <w:rPr>
          <w:rFonts w:hint="eastAsia" w:ascii="仿宋" w:hAnsi="仿宋" w:cs="仿宋"/>
          <w:color w:val="auto"/>
          <w:highlight w:val="none"/>
        </w:rPr>
        <w:t>联系人：</w:t>
      </w:r>
      <w:r>
        <w:rPr>
          <w:rFonts w:hint="eastAsia" w:ascii="仿宋" w:hAnsi="仿宋" w:cs="仿宋"/>
          <w:color w:val="auto"/>
          <w:highlight w:val="none"/>
          <w:u w:val="dotted"/>
        </w:rPr>
        <w:t xml:space="preserve">               </w:t>
      </w:r>
      <w:r>
        <w:rPr>
          <w:rFonts w:hint="eastAsia" w:ascii="仿宋" w:hAnsi="仿宋" w:cs="仿宋"/>
          <w:color w:val="auto"/>
          <w:highlight w:val="none"/>
        </w:rPr>
        <w:t>联系电话：</w:t>
      </w:r>
      <w:r>
        <w:rPr>
          <w:rFonts w:hint="eastAsia" w:ascii="仿宋" w:hAnsi="仿宋" w:cs="仿宋"/>
          <w:color w:val="auto"/>
          <w:highlight w:val="none"/>
          <w:u w:val="dotted"/>
        </w:rPr>
        <w:t xml:space="preserve">                      </w:t>
      </w:r>
      <w:r>
        <w:rPr>
          <w:rFonts w:hint="eastAsia" w:ascii="仿宋" w:hAnsi="仿宋" w:cs="仿宋"/>
          <w:color w:val="auto"/>
          <w:highlight w:val="none"/>
          <w:u w:val="single"/>
        </w:rPr>
        <w:t xml:space="preserve">      </w:t>
      </w:r>
    </w:p>
    <w:p w14:paraId="2098D3D1">
      <w:pPr>
        <w:spacing w:line="360" w:lineRule="auto"/>
        <w:rPr>
          <w:rFonts w:hint="eastAsia" w:ascii="仿宋" w:hAnsi="仿宋" w:cs="仿宋"/>
          <w:color w:val="auto"/>
          <w:highlight w:val="none"/>
        </w:rPr>
      </w:pPr>
      <w:r>
        <w:rPr>
          <w:rFonts w:hint="eastAsia" w:ascii="仿宋" w:hAnsi="仿宋" w:cs="仿宋"/>
          <w:color w:val="auto"/>
          <w:highlight w:val="none"/>
        </w:rPr>
        <w:t>二、投诉项目基本情况</w:t>
      </w:r>
    </w:p>
    <w:p w14:paraId="2202B9AA">
      <w:pPr>
        <w:spacing w:line="360" w:lineRule="auto"/>
        <w:rPr>
          <w:rFonts w:hint="eastAsia" w:ascii="仿宋" w:hAnsi="仿宋" w:cs="仿宋"/>
          <w:color w:val="auto"/>
          <w:highlight w:val="none"/>
          <w:u w:val="dotted"/>
        </w:rPr>
      </w:pPr>
      <w:r>
        <w:rPr>
          <w:rFonts w:hint="eastAsia" w:ascii="仿宋" w:hAnsi="仿宋" w:cs="仿宋"/>
          <w:color w:val="auto"/>
          <w:highlight w:val="none"/>
        </w:rPr>
        <w:t>采购项目名称：</w:t>
      </w:r>
      <w:r>
        <w:rPr>
          <w:rFonts w:hint="eastAsia" w:ascii="仿宋" w:hAnsi="仿宋" w:cs="仿宋"/>
          <w:color w:val="auto"/>
          <w:highlight w:val="none"/>
          <w:u w:val="dotted"/>
        </w:rPr>
        <w:t xml:space="preserve">                                        </w:t>
      </w:r>
    </w:p>
    <w:p w14:paraId="5D998633">
      <w:pPr>
        <w:spacing w:line="360" w:lineRule="auto"/>
        <w:rPr>
          <w:rFonts w:hint="eastAsia" w:ascii="仿宋" w:hAnsi="仿宋" w:cs="仿宋"/>
          <w:color w:val="auto"/>
          <w:highlight w:val="none"/>
          <w:u w:val="single"/>
        </w:rPr>
      </w:pPr>
      <w:r>
        <w:rPr>
          <w:rFonts w:hint="eastAsia" w:ascii="仿宋" w:hAnsi="仿宋" w:cs="仿宋"/>
          <w:color w:val="auto"/>
          <w:highlight w:val="none"/>
        </w:rPr>
        <w:t>采购项目编号：</w:t>
      </w:r>
      <w:r>
        <w:rPr>
          <w:rFonts w:hint="eastAsia" w:ascii="仿宋" w:hAnsi="仿宋" w:cs="仿宋"/>
          <w:color w:val="auto"/>
          <w:highlight w:val="none"/>
          <w:u w:val="dotted"/>
        </w:rPr>
        <w:t xml:space="preserve">                 </w:t>
      </w:r>
      <w:r>
        <w:rPr>
          <w:rFonts w:hint="eastAsia" w:ascii="仿宋" w:hAnsi="仿宋" w:cs="仿宋"/>
          <w:color w:val="auto"/>
          <w:highlight w:val="none"/>
        </w:rPr>
        <w:t>包号：</w:t>
      </w:r>
      <w:r>
        <w:rPr>
          <w:rFonts w:hint="eastAsia" w:ascii="仿宋" w:hAnsi="仿宋" w:cs="仿宋"/>
          <w:color w:val="auto"/>
          <w:highlight w:val="none"/>
          <w:u w:val="dotted"/>
        </w:rPr>
        <w:t xml:space="preserve">              </w:t>
      </w:r>
    </w:p>
    <w:p w14:paraId="65BE2B64">
      <w:pPr>
        <w:spacing w:line="360" w:lineRule="auto"/>
        <w:rPr>
          <w:rFonts w:hint="eastAsia" w:ascii="仿宋" w:hAnsi="仿宋" w:cs="仿宋"/>
          <w:color w:val="auto"/>
          <w:highlight w:val="none"/>
        </w:rPr>
      </w:pPr>
      <w:r>
        <w:rPr>
          <w:rFonts w:hint="eastAsia" w:ascii="仿宋" w:hAnsi="仿宋" w:cs="仿宋"/>
          <w:color w:val="auto"/>
          <w:highlight w:val="none"/>
        </w:rPr>
        <w:t>采购人名称：</w:t>
      </w:r>
      <w:r>
        <w:rPr>
          <w:rFonts w:hint="eastAsia" w:ascii="仿宋" w:hAnsi="仿宋" w:cs="仿宋"/>
          <w:color w:val="auto"/>
          <w:highlight w:val="none"/>
          <w:u w:val="dotted"/>
        </w:rPr>
        <w:t xml:space="preserve">                                           </w:t>
      </w:r>
      <w:r>
        <w:rPr>
          <w:rFonts w:hint="eastAsia" w:ascii="仿宋" w:hAnsi="仿宋" w:cs="仿宋"/>
          <w:color w:val="auto"/>
          <w:highlight w:val="none"/>
          <w:u w:val="single"/>
        </w:rPr>
        <w:t xml:space="preserve">  </w:t>
      </w:r>
    </w:p>
    <w:p w14:paraId="4B938580">
      <w:pPr>
        <w:spacing w:line="360" w:lineRule="auto"/>
        <w:rPr>
          <w:rFonts w:hint="eastAsia" w:ascii="仿宋" w:hAnsi="仿宋" w:cs="仿宋"/>
          <w:color w:val="auto"/>
          <w:highlight w:val="none"/>
          <w:u w:val="single"/>
        </w:rPr>
      </w:pPr>
      <w:r>
        <w:rPr>
          <w:rFonts w:hint="eastAsia" w:ascii="仿宋" w:hAnsi="仿宋" w:cs="仿宋"/>
          <w:color w:val="auto"/>
          <w:highlight w:val="none"/>
        </w:rPr>
        <w:t>代理机构名称：</w:t>
      </w:r>
      <w:r>
        <w:rPr>
          <w:rFonts w:hint="eastAsia" w:ascii="仿宋" w:hAnsi="仿宋" w:cs="仿宋"/>
          <w:color w:val="auto"/>
          <w:highlight w:val="none"/>
          <w:u w:val="dotted"/>
        </w:rPr>
        <w:t xml:space="preserve">                                         </w:t>
      </w:r>
    </w:p>
    <w:p w14:paraId="75756819">
      <w:pPr>
        <w:spacing w:line="360" w:lineRule="auto"/>
        <w:rPr>
          <w:rFonts w:hint="eastAsia" w:ascii="仿宋" w:hAnsi="仿宋" w:cs="仿宋"/>
          <w:color w:val="auto"/>
          <w:highlight w:val="none"/>
          <w:u w:val="dotted"/>
        </w:rPr>
      </w:pPr>
      <w:r>
        <w:rPr>
          <w:rFonts w:hint="eastAsia" w:ascii="仿宋" w:hAnsi="仿宋" w:cs="仿宋"/>
          <w:color w:val="auto"/>
          <w:highlight w:val="none"/>
        </w:rPr>
        <w:t>采购文件公告:</w:t>
      </w:r>
      <w:r>
        <w:rPr>
          <w:rFonts w:hint="eastAsia" w:ascii="仿宋" w:hAnsi="仿宋" w:cs="仿宋"/>
          <w:color w:val="auto"/>
          <w:highlight w:val="none"/>
          <w:u w:val="dotted"/>
        </w:rPr>
        <w:t xml:space="preserve">是/否 </w:t>
      </w:r>
      <w:r>
        <w:rPr>
          <w:rFonts w:hint="eastAsia" w:ascii="仿宋" w:hAnsi="仿宋" w:cs="仿宋"/>
          <w:color w:val="auto"/>
          <w:highlight w:val="none"/>
        </w:rPr>
        <w:t>公告期限：</w:t>
      </w:r>
      <w:r>
        <w:rPr>
          <w:rFonts w:hint="eastAsia" w:ascii="仿宋" w:hAnsi="仿宋" w:cs="仿宋"/>
          <w:color w:val="auto"/>
          <w:highlight w:val="none"/>
          <w:u w:val="dotted"/>
        </w:rPr>
        <w:t xml:space="preserve">                                 </w:t>
      </w:r>
    </w:p>
    <w:p w14:paraId="342776CD">
      <w:pPr>
        <w:spacing w:line="360" w:lineRule="auto"/>
        <w:rPr>
          <w:rFonts w:hint="eastAsia" w:ascii="仿宋" w:hAnsi="仿宋" w:cs="仿宋"/>
          <w:color w:val="auto"/>
          <w:highlight w:val="none"/>
          <w:u w:val="single"/>
        </w:rPr>
      </w:pPr>
      <w:r>
        <w:rPr>
          <w:rFonts w:hint="eastAsia" w:ascii="仿宋" w:hAnsi="仿宋" w:cs="仿宋"/>
          <w:color w:val="auto"/>
          <w:highlight w:val="none"/>
        </w:rPr>
        <w:t>采购结果公告:</w:t>
      </w:r>
      <w:r>
        <w:rPr>
          <w:rFonts w:hint="eastAsia" w:ascii="仿宋" w:hAnsi="仿宋" w:cs="仿宋"/>
          <w:color w:val="auto"/>
          <w:highlight w:val="none"/>
          <w:u w:val="dotted"/>
        </w:rPr>
        <w:t xml:space="preserve">是/否 </w:t>
      </w:r>
      <w:r>
        <w:rPr>
          <w:rFonts w:hint="eastAsia" w:ascii="仿宋" w:hAnsi="仿宋" w:cs="仿宋"/>
          <w:color w:val="auto"/>
          <w:highlight w:val="none"/>
        </w:rPr>
        <w:t>公告期限：</w:t>
      </w:r>
      <w:r>
        <w:rPr>
          <w:rFonts w:hint="eastAsia" w:ascii="仿宋" w:hAnsi="仿宋" w:cs="仿宋"/>
          <w:color w:val="auto"/>
          <w:highlight w:val="none"/>
          <w:u w:val="dotted"/>
        </w:rPr>
        <w:t xml:space="preserve">                        </w:t>
      </w:r>
    </w:p>
    <w:p w14:paraId="690569B7">
      <w:pPr>
        <w:spacing w:line="360" w:lineRule="auto"/>
        <w:rPr>
          <w:rFonts w:hint="eastAsia" w:ascii="仿宋" w:hAnsi="仿宋" w:cs="仿宋"/>
          <w:color w:val="auto"/>
          <w:highlight w:val="none"/>
        </w:rPr>
      </w:pPr>
      <w:r>
        <w:rPr>
          <w:rFonts w:hint="eastAsia" w:ascii="仿宋" w:hAnsi="仿宋" w:cs="仿宋"/>
          <w:color w:val="auto"/>
          <w:highlight w:val="none"/>
        </w:rPr>
        <w:t>三、质疑基本情况</w:t>
      </w:r>
    </w:p>
    <w:p w14:paraId="0FB58A1E">
      <w:pPr>
        <w:spacing w:line="360" w:lineRule="auto"/>
        <w:ind w:firstLine="480" w:firstLineChars="200"/>
        <w:rPr>
          <w:rFonts w:hint="eastAsia" w:ascii="仿宋" w:hAnsi="仿宋" w:cs="仿宋"/>
          <w:color w:val="auto"/>
          <w:highlight w:val="none"/>
          <w:u w:val="dotted"/>
        </w:rPr>
      </w:pPr>
      <w:r>
        <w:rPr>
          <w:rFonts w:hint="eastAsia" w:ascii="仿宋" w:hAnsi="仿宋" w:cs="仿宋"/>
          <w:color w:val="auto"/>
          <w:highlight w:val="none"/>
        </w:rPr>
        <w:t>投诉人于</w:t>
      </w:r>
      <w:r>
        <w:rPr>
          <w:rFonts w:hint="eastAsia" w:ascii="仿宋" w:hAnsi="仿宋" w:cs="仿宋"/>
          <w:color w:val="auto"/>
          <w:highlight w:val="none"/>
          <w:u w:val="dotted"/>
        </w:rPr>
        <w:t xml:space="preserve">   </w:t>
      </w:r>
      <w:r>
        <w:rPr>
          <w:rFonts w:hint="eastAsia" w:ascii="仿宋" w:hAnsi="仿宋" w:cs="仿宋"/>
          <w:color w:val="auto"/>
          <w:highlight w:val="none"/>
        </w:rPr>
        <w:t>年</w:t>
      </w:r>
      <w:r>
        <w:rPr>
          <w:rFonts w:hint="eastAsia" w:ascii="仿宋" w:hAnsi="仿宋" w:cs="仿宋"/>
          <w:color w:val="auto"/>
          <w:highlight w:val="none"/>
          <w:u w:val="dotted"/>
        </w:rPr>
        <w:t xml:space="preserve">   </w:t>
      </w:r>
      <w:r>
        <w:rPr>
          <w:rFonts w:hint="eastAsia" w:ascii="仿宋" w:hAnsi="仿宋" w:cs="仿宋"/>
          <w:color w:val="auto"/>
          <w:highlight w:val="none"/>
        </w:rPr>
        <w:t>月</w:t>
      </w:r>
      <w:r>
        <w:rPr>
          <w:rFonts w:hint="eastAsia" w:ascii="仿宋" w:hAnsi="仿宋" w:cs="仿宋"/>
          <w:color w:val="auto"/>
          <w:highlight w:val="none"/>
          <w:u w:val="dotted"/>
        </w:rPr>
        <w:t xml:space="preserve">  </w:t>
      </w:r>
      <w:r>
        <w:rPr>
          <w:rFonts w:hint="eastAsia" w:ascii="仿宋" w:hAnsi="仿宋" w:cs="仿宋"/>
          <w:color w:val="auto"/>
          <w:highlight w:val="none"/>
        </w:rPr>
        <w:t>日,向</w:t>
      </w:r>
      <w:r>
        <w:rPr>
          <w:rFonts w:hint="eastAsia" w:ascii="仿宋" w:hAnsi="仿宋" w:cs="仿宋"/>
          <w:color w:val="auto"/>
          <w:highlight w:val="none"/>
          <w:u w:val="dotted"/>
        </w:rPr>
        <w:t xml:space="preserve">                   </w:t>
      </w:r>
      <w:r>
        <w:rPr>
          <w:rFonts w:hint="eastAsia" w:ascii="仿宋" w:hAnsi="仿宋" w:cs="仿宋"/>
          <w:color w:val="auto"/>
          <w:highlight w:val="none"/>
        </w:rPr>
        <w:t>提出质疑，质疑事项为：</w:t>
      </w:r>
      <w:r>
        <w:rPr>
          <w:rFonts w:hint="eastAsia" w:ascii="仿宋" w:hAnsi="仿宋" w:cs="仿宋"/>
          <w:color w:val="auto"/>
          <w:highlight w:val="none"/>
          <w:u w:val="dotted"/>
        </w:rPr>
        <w:t xml:space="preserve">                                </w:t>
      </w:r>
    </w:p>
    <w:p w14:paraId="4280654F">
      <w:pPr>
        <w:spacing w:line="360" w:lineRule="auto"/>
        <w:rPr>
          <w:rFonts w:hint="eastAsia" w:ascii="仿宋" w:hAnsi="仿宋" w:cs="仿宋"/>
          <w:color w:val="auto"/>
          <w:highlight w:val="none"/>
          <w:u w:val="dotted"/>
        </w:rPr>
      </w:pPr>
      <w:r>
        <w:rPr>
          <w:rFonts w:hint="eastAsia" w:ascii="仿宋" w:hAnsi="仿宋" w:cs="仿宋"/>
          <w:color w:val="auto"/>
          <w:highlight w:val="none"/>
          <w:u w:val="dotted"/>
        </w:rPr>
        <w:t xml:space="preserve">                                                     </w:t>
      </w:r>
      <w:r>
        <w:rPr>
          <w:rFonts w:hint="eastAsia" w:ascii="仿宋" w:hAnsi="仿宋" w:cs="仿宋"/>
          <w:color w:val="auto"/>
          <w:highlight w:val="none"/>
        </w:rPr>
        <w:t xml:space="preserve">  </w:t>
      </w:r>
    </w:p>
    <w:p w14:paraId="52BB5B52">
      <w:pPr>
        <w:spacing w:line="360" w:lineRule="auto"/>
        <w:ind w:firstLine="360" w:firstLineChars="150"/>
        <w:rPr>
          <w:rFonts w:hint="eastAsia" w:ascii="仿宋" w:hAnsi="仿宋" w:cs="仿宋"/>
          <w:color w:val="auto"/>
          <w:highlight w:val="none"/>
        </w:rPr>
      </w:pPr>
      <w:r>
        <w:rPr>
          <w:rFonts w:hint="eastAsia" w:ascii="仿宋" w:hAnsi="仿宋" w:cs="仿宋"/>
          <w:color w:val="auto"/>
          <w:highlight w:val="none"/>
          <w:u w:val="dotted"/>
        </w:rPr>
        <w:t>采购人/代理机构</w:t>
      </w:r>
      <w:r>
        <w:rPr>
          <w:rFonts w:hint="eastAsia" w:ascii="仿宋" w:hAnsi="仿宋" w:cs="仿宋"/>
          <w:color w:val="auto"/>
          <w:highlight w:val="none"/>
        </w:rPr>
        <w:t>于</w:t>
      </w:r>
      <w:r>
        <w:rPr>
          <w:rFonts w:hint="eastAsia" w:ascii="仿宋" w:hAnsi="仿宋" w:cs="仿宋"/>
          <w:color w:val="auto"/>
          <w:highlight w:val="none"/>
          <w:u w:val="dotted"/>
        </w:rPr>
        <w:t xml:space="preserve">   </w:t>
      </w:r>
      <w:r>
        <w:rPr>
          <w:rFonts w:hint="eastAsia" w:ascii="仿宋" w:hAnsi="仿宋" w:cs="仿宋"/>
          <w:color w:val="auto"/>
          <w:highlight w:val="none"/>
        </w:rPr>
        <w:t>年</w:t>
      </w:r>
      <w:r>
        <w:rPr>
          <w:rFonts w:hint="eastAsia" w:ascii="仿宋" w:hAnsi="仿宋" w:cs="仿宋"/>
          <w:color w:val="auto"/>
          <w:highlight w:val="none"/>
          <w:u w:val="dotted"/>
        </w:rPr>
        <w:t xml:space="preserve">   </w:t>
      </w:r>
      <w:r>
        <w:rPr>
          <w:rFonts w:hint="eastAsia" w:ascii="仿宋" w:hAnsi="仿宋" w:cs="仿宋"/>
          <w:color w:val="auto"/>
          <w:highlight w:val="none"/>
        </w:rPr>
        <w:t>月</w:t>
      </w:r>
      <w:r>
        <w:rPr>
          <w:rFonts w:hint="eastAsia" w:ascii="仿宋" w:hAnsi="仿宋" w:cs="仿宋"/>
          <w:color w:val="auto"/>
          <w:highlight w:val="none"/>
          <w:u w:val="dotted"/>
        </w:rPr>
        <w:t xml:space="preserve">   </w:t>
      </w:r>
      <w:r>
        <w:rPr>
          <w:rFonts w:hint="eastAsia" w:ascii="仿宋" w:hAnsi="仿宋" w:cs="仿宋"/>
          <w:color w:val="auto"/>
          <w:highlight w:val="none"/>
        </w:rPr>
        <w:t>日,就质疑事项作出了答复/没有在法定期限内作出答复。</w:t>
      </w:r>
    </w:p>
    <w:p w14:paraId="78AB2789">
      <w:pPr>
        <w:spacing w:line="360" w:lineRule="auto"/>
        <w:rPr>
          <w:rFonts w:hint="eastAsia" w:ascii="仿宋" w:hAnsi="仿宋" w:cs="仿宋"/>
          <w:color w:val="auto"/>
          <w:highlight w:val="none"/>
        </w:rPr>
      </w:pPr>
      <w:r>
        <w:rPr>
          <w:rFonts w:hint="eastAsia" w:ascii="仿宋" w:hAnsi="仿宋" w:cs="仿宋"/>
          <w:color w:val="auto"/>
          <w:highlight w:val="none"/>
        </w:rPr>
        <w:t>四、投诉事项具体内容</w:t>
      </w:r>
    </w:p>
    <w:p w14:paraId="5918AF4D">
      <w:pPr>
        <w:spacing w:line="360" w:lineRule="auto"/>
        <w:rPr>
          <w:rFonts w:hint="eastAsia" w:ascii="仿宋" w:hAnsi="仿宋" w:cs="仿宋"/>
          <w:color w:val="auto"/>
          <w:highlight w:val="none"/>
          <w:u w:val="single"/>
        </w:rPr>
      </w:pPr>
      <w:r>
        <w:rPr>
          <w:rFonts w:hint="eastAsia" w:ascii="仿宋" w:hAnsi="仿宋" w:cs="仿宋"/>
          <w:color w:val="auto"/>
          <w:highlight w:val="none"/>
        </w:rPr>
        <w:t>投诉事项 1：</w:t>
      </w:r>
      <w:r>
        <w:rPr>
          <w:rFonts w:hint="eastAsia" w:ascii="仿宋" w:hAnsi="仿宋" w:cs="仿宋"/>
          <w:color w:val="auto"/>
          <w:highlight w:val="none"/>
          <w:u w:val="dotted"/>
        </w:rPr>
        <w:t xml:space="preserve">                                       </w:t>
      </w:r>
    </w:p>
    <w:p w14:paraId="2309F29E">
      <w:pPr>
        <w:spacing w:line="360" w:lineRule="auto"/>
        <w:rPr>
          <w:rFonts w:hint="eastAsia" w:ascii="仿宋" w:hAnsi="仿宋" w:cs="仿宋"/>
          <w:color w:val="auto"/>
          <w:highlight w:val="none"/>
        </w:rPr>
      </w:pPr>
      <w:r>
        <w:rPr>
          <w:rFonts w:hint="eastAsia" w:ascii="仿宋" w:hAnsi="仿宋" w:cs="仿宋"/>
          <w:color w:val="auto"/>
          <w:highlight w:val="none"/>
        </w:rPr>
        <w:t>事实依据：</w:t>
      </w:r>
      <w:r>
        <w:rPr>
          <w:rFonts w:hint="eastAsia" w:ascii="仿宋" w:hAnsi="仿宋" w:cs="仿宋"/>
          <w:color w:val="auto"/>
          <w:highlight w:val="none"/>
          <w:u w:val="dotted"/>
        </w:rPr>
        <w:t xml:space="preserve">                                         </w:t>
      </w:r>
    </w:p>
    <w:p w14:paraId="4FAD627A">
      <w:pPr>
        <w:spacing w:line="360" w:lineRule="auto"/>
        <w:rPr>
          <w:rFonts w:hint="eastAsia" w:ascii="仿宋" w:hAnsi="仿宋" w:cs="仿宋"/>
          <w:color w:val="auto"/>
          <w:highlight w:val="none"/>
          <w:u w:val="dotted"/>
        </w:rPr>
      </w:pPr>
      <w:r>
        <w:rPr>
          <w:rFonts w:hint="eastAsia" w:ascii="仿宋" w:hAnsi="仿宋" w:cs="仿宋"/>
          <w:color w:val="auto"/>
          <w:highlight w:val="none"/>
          <w:u w:val="dotted"/>
        </w:rPr>
        <w:t xml:space="preserve">                                                      </w:t>
      </w:r>
    </w:p>
    <w:p w14:paraId="49A7BC4F">
      <w:pPr>
        <w:spacing w:line="360" w:lineRule="auto"/>
        <w:rPr>
          <w:rFonts w:hint="eastAsia" w:ascii="仿宋" w:hAnsi="仿宋" w:cs="仿宋"/>
          <w:color w:val="auto"/>
          <w:highlight w:val="none"/>
          <w:u w:val="single"/>
        </w:rPr>
      </w:pPr>
      <w:r>
        <w:rPr>
          <w:rFonts w:hint="eastAsia" w:ascii="仿宋" w:hAnsi="仿宋" w:cs="仿宋"/>
          <w:color w:val="auto"/>
          <w:highlight w:val="none"/>
        </w:rPr>
        <w:t>法律依据：</w:t>
      </w:r>
      <w:r>
        <w:rPr>
          <w:rFonts w:hint="eastAsia" w:ascii="仿宋" w:hAnsi="仿宋" w:cs="仿宋"/>
          <w:color w:val="auto"/>
          <w:highlight w:val="none"/>
          <w:u w:val="dotted"/>
        </w:rPr>
        <w:t xml:space="preserve">                                          </w:t>
      </w:r>
    </w:p>
    <w:p w14:paraId="42F0024F">
      <w:pPr>
        <w:spacing w:line="360" w:lineRule="auto"/>
        <w:rPr>
          <w:rFonts w:hint="eastAsia" w:ascii="仿宋" w:hAnsi="仿宋" w:cs="仿宋"/>
          <w:color w:val="auto"/>
          <w:highlight w:val="none"/>
          <w:u w:val="dotted"/>
        </w:rPr>
      </w:pPr>
      <w:r>
        <w:rPr>
          <w:rFonts w:hint="eastAsia" w:ascii="仿宋" w:hAnsi="仿宋" w:cs="仿宋"/>
          <w:color w:val="auto"/>
          <w:highlight w:val="none"/>
          <w:u w:val="dotted"/>
        </w:rPr>
        <w:t xml:space="preserve">                                                      </w:t>
      </w:r>
    </w:p>
    <w:p w14:paraId="0C9561DA">
      <w:pPr>
        <w:spacing w:line="360" w:lineRule="auto"/>
        <w:rPr>
          <w:rFonts w:hint="eastAsia" w:ascii="仿宋" w:hAnsi="仿宋" w:cs="仿宋"/>
          <w:color w:val="auto"/>
          <w:highlight w:val="none"/>
        </w:rPr>
      </w:pPr>
      <w:r>
        <w:rPr>
          <w:rFonts w:hint="eastAsia" w:ascii="仿宋" w:hAnsi="仿宋" w:cs="仿宋"/>
          <w:color w:val="auto"/>
          <w:highlight w:val="none"/>
        </w:rPr>
        <w:t>投诉事项2</w:t>
      </w:r>
    </w:p>
    <w:p w14:paraId="59D790CE">
      <w:pPr>
        <w:spacing w:line="360" w:lineRule="auto"/>
        <w:rPr>
          <w:rFonts w:hint="eastAsia" w:ascii="仿宋" w:hAnsi="仿宋" w:cs="仿宋"/>
          <w:color w:val="auto"/>
          <w:highlight w:val="none"/>
          <w:u w:val="dotted"/>
        </w:rPr>
      </w:pPr>
      <w:r>
        <w:rPr>
          <w:rFonts w:hint="eastAsia" w:ascii="仿宋" w:hAnsi="仿宋" w:cs="仿宋"/>
          <w:color w:val="auto"/>
          <w:highlight w:val="none"/>
        </w:rPr>
        <w:t>……</w:t>
      </w:r>
    </w:p>
    <w:p w14:paraId="3DDB19E9">
      <w:pPr>
        <w:spacing w:line="360" w:lineRule="auto"/>
        <w:rPr>
          <w:rFonts w:hint="eastAsia" w:ascii="仿宋" w:hAnsi="仿宋" w:cs="仿宋"/>
          <w:color w:val="auto"/>
          <w:highlight w:val="none"/>
        </w:rPr>
      </w:pPr>
      <w:r>
        <w:rPr>
          <w:rFonts w:hint="eastAsia" w:ascii="仿宋" w:hAnsi="仿宋" w:cs="仿宋"/>
          <w:color w:val="auto"/>
          <w:highlight w:val="none"/>
        </w:rPr>
        <w:t>五、与投诉事项相关的投诉请求</w:t>
      </w:r>
    </w:p>
    <w:p w14:paraId="197DC8C7">
      <w:pPr>
        <w:spacing w:line="360" w:lineRule="auto"/>
        <w:rPr>
          <w:rFonts w:hint="eastAsia" w:ascii="仿宋" w:hAnsi="仿宋" w:cs="仿宋"/>
          <w:color w:val="auto"/>
          <w:highlight w:val="none"/>
        </w:rPr>
      </w:pPr>
      <w:r>
        <w:rPr>
          <w:rFonts w:hint="eastAsia" w:ascii="仿宋" w:hAnsi="仿宋" w:cs="仿宋"/>
          <w:color w:val="auto"/>
          <w:highlight w:val="none"/>
        </w:rPr>
        <w:t>请求：</w:t>
      </w:r>
      <w:r>
        <w:rPr>
          <w:rFonts w:hint="eastAsia" w:ascii="仿宋" w:hAnsi="仿宋" w:cs="仿宋"/>
          <w:color w:val="auto"/>
          <w:highlight w:val="none"/>
          <w:u w:val="dotted"/>
        </w:rPr>
        <w:t xml:space="preserve">                                              </w:t>
      </w:r>
      <w:r>
        <w:rPr>
          <w:rFonts w:hint="eastAsia" w:ascii="仿宋" w:hAnsi="仿宋" w:cs="仿宋"/>
          <w:color w:val="auto"/>
          <w:highlight w:val="none"/>
        </w:rPr>
        <w:t xml:space="preserve"> </w:t>
      </w:r>
    </w:p>
    <w:p w14:paraId="098C3890">
      <w:pPr>
        <w:spacing w:line="360" w:lineRule="auto"/>
        <w:rPr>
          <w:rFonts w:hint="eastAsia" w:ascii="仿宋" w:hAnsi="仿宋" w:cs="仿宋"/>
          <w:color w:val="auto"/>
          <w:highlight w:val="none"/>
          <w:u w:val="single"/>
        </w:rPr>
      </w:pPr>
      <w:r>
        <w:rPr>
          <w:rFonts w:hint="eastAsia" w:ascii="仿宋" w:hAnsi="仿宋" w:cs="仿宋"/>
          <w:color w:val="auto"/>
          <w:highlight w:val="none"/>
        </w:rPr>
        <w:t xml:space="preserve">                                                                                                    </w:t>
      </w:r>
    </w:p>
    <w:p w14:paraId="63629D9D">
      <w:pPr>
        <w:spacing w:line="360" w:lineRule="auto"/>
        <w:rPr>
          <w:rFonts w:hint="eastAsia" w:ascii="仿宋" w:hAnsi="仿宋" w:cs="仿宋"/>
          <w:color w:val="auto"/>
          <w:highlight w:val="none"/>
        </w:rPr>
      </w:pPr>
      <w:r>
        <w:rPr>
          <w:rFonts w:hint="eastAsia" w:ascii="仿宋" w:hAnsi="仿宋" w:cs="仿宋"/>
          <w:color w:val="auto"/>
          <w:highlight w:val="none"/>
        </w:rPr>
        <w:t xml:space="preserve">签字(签章)：                   公章：                      </w:t>
      </w:r>
    </w:p>
    <w:p w14:paraId="59457DCE">
      <w:pPr>
        <w:spacing w:line="360" w:lineRule="auto"/>
        <w:rPr>
          <w:rFonts w:hint="eastAsia" w:ascii="仿宋" w:hAnsi="仿宋" w:cs="仿宋"/>
          <w:color w:val="auto"/>
          <w:highlight w:val="none"/>
        </w:rPr>
      </w:pPr>
      <w:r>
        <w:rPr>
          <w:rFonts w:hint="eastAsia" w:ascii="仿宋" w:hAnsi="仿宋" w:cs="仿宋"/>
          <w:color w:val="auto"/>
          <w:highlight w:val="none"/>
        </w:rPr>
        <w:t xml:space="preserve">日期：    </w:t>
      </w:r>
    </w:p>
    <w:p w14:paraId="59F825A5">
      <w:pPr>
        <w:spacing w:line="360" w:lineRule="auto"/>
        <w:rPr>
          <w:rFonts w:hint="eastAsia" w:ascii="仿宋" w:hAnsi="仿宋" w:cs="仿宋"/>
          <w:b/>
          <w:color w:val="auto"/>
          <w:highlight w:val="none"/>
        </w:rPr>
      </w:pPr>
    </w:p>
    <w:p w14:paraId="1FC914AB">
      <w:pPr>
        <w:spacing w:line="360" w:lineRule="auto"/>
        <w:rPr>
          <w:rFonts w:hint="eastAsia" w:ascii="仿宋" w:hAnsi="仿宋" w:cs="仿宋"/>
          <w:b/>
          <w:color w:val="auto"/>
          <w:highlight w:val="none"/>
        </w:rPr>
      </w:pPr>
    </w:p>
    <w:p w14:paraId="002AA2EA">
      <w:pPr>
        <w:spacing w:line="360" w:lineRule="auto"/>
        <w:rPr>
          <w:rFonts w:hint="eastAsia" w:ascii="仿宋" w:hAnsi="仿宋" w:cs="仿宋"/>
          <w:b/>
          <w:color w:val="auto"/>
          <w:highlight w:val="none"/>
        </w:rPr>
      </w:pPr>
      <w:r>
        <w:rPr>
          <w:rFonts w:hint="eastAsia" w:ascii="仿宋" w:hAnsi="仿宋" w:cs="仿宋"/>
          <w:b/>
          <w:color w:val="auto"/>
          <w:highlight w:val="none"/>
        </w:rPr>
        <w:t>投诉书制作说明：</w:t>
      </w:r>
    </w:p>
    <w:p w14:paraId="7EB8A6B9">
      <w:pPr>
        <w:widowControl/>
        <w:spacing w:line="360" w:lineRule="auto"/>
        <w:ind w:firstLine="480" w:firstLineChars="200"/>
        <w:rPr>
          <w:rFonts w:hint="eastAsia" w:ascii="仿宋" w:hAnsi="仿宋" w:cs="仿宋"/>
          <w:color w:val="auto"/>
          <w:kern w:val="0"/>
          <w:highlight w:val="none"/>
        </w:rPr>
      </w:pPr>
      <w:r>
        <w:rPr>
          <w:rFonts w:hint="eastAsia" w:ascii="仿宋" w:hAnsi="仿宋" w:cs="仿宋"/>
          <w:color w:val="auto"/>
          <w:highlight w:val="none"/>
        </w:rPr>
        <w:t>1.投诉人提起投诉时，应当提交投诉书和必要的证明材料，并按照被投诉人和与投诉事项有关的供应商数量提供投诉书副本。</w:t>
      </w:r>
    </w:p>
    <w:p w14:paraId="0CE0FE7F">
      <w:pPr>
        <w:widowControl/>
        <w:spacing w:line="360" w:lineRule="auto"/>
        <w:ind w:firstLine="480" w:firstLineChars="200"/>
        <w:jc w:val="left"/>
        <w:rPr>
          <w:rFonts w:hint="eastAsia" w:ascii="仿宋" w:hAnsi="仿宋" w:cs="仿宋"/>
          <w:color w:val="auto"/>
          <w:kern w:val="0"/>
          <w:highlight w:val="none"/>
        </w:rPr>
      </w:pPr>
      <w:r>
        <w:rPr>
          <w:rFonts w:hint="eastAsia" w:ascii="仿宋" w:hAnsi="仿宋" w:cs="仿宋"/>
          <w:color w:val="auto"/>
          <w:highlight w:val="none"/>
        </w:rPr>
        <w:t>2.投诉人若委托代理人进行投诉的，投诉书应按照要求列明“授权代表”的有关内容，并在附件中提交由</w:t>
      </w:r>
      <w:r>
        <w:rPr>
          <w:rFonts w:hint="eastAsia" w:ascii="仿宋" w:hAnsi="仿宋" w:cs="仿宋"/>
          <w:color w:val="auto"/>
          <w:kern w:val="0"/>
          <w:highlight w:val="none"/>
        </w:rPr>
        <w:t>投诉人签署的授权委托书。授权委托书应当载明代理人的姓名或者名称、代理事项、具体权限、期限和相关事项。</w:t>
      </w:r>
    </w:p>
    <w:p w14:paraId="2E901698">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3.投诉人若对项目的某一分包进行投诉，投诉书应列明具体分包号。</w:t>
      </w:r>
    </w:p>
    <w:p w14:paraId="68BF917E">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4.投诉书应简要列明质疑事项，质疑函、质疑答复等作为附件材料提供。</w:t>
      </w:r>
    </w:p>
    <w:p w14:paraId="183D8B88">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5.投诉书的投诉事项应具体、明确，并有必要的事实依据和法律依据。</w:t>
      </w:r>
    </w:p>
    <w:p w14:paraId="0C1EA472">
      <w:pPr>
        <w:widowControl/>
        <w:spacing w:line="360" w:lineRule="auto"/>
        <w:ind w:firstLine="480" w:firstLineChars="200"/>
        <w:jc w:val="left"/>
        <w:rPr>
          <w:rFonts w:hint="eastAsia" w:ascii="仿宋" w:hAnsi="仿宋" w:cs="仿宋"/>
          <w:color w:val="auto"/>
          <w:highlight w:val="none"/>
        </w:rPr>
      </w:pPr>
      <w:r>
        <w:rPr>
          <w:rFonts w:hint="eastAsia" w:ascii="仿宋" w:hAnsi="仿宋" w:cs="仿宋"/>
          <w:color w:val="auto"/>
          <w:highlight w:val="none"/>
        </w:rPr>
        <w:t>6.投诉书的投诉请求应与投诉事项相关。</w:t>
      </w:r>
    </w:p>
    <w:p w14:paraId="0E975A32">
      <w:pPr>
        <w:widowControl/>
        <w:spacing w:line="360" w:lineRule="auto"/>
        <w:ind w:firstLine="480" w:firstLineChars="200"/>
        <w:jc w:val="left"/>
        <w:rPr>
          <w:rFonts w:hint="eastAsia" w:ascii="仿宋" w:hAnsi="仿宋" w:cs="仿宋"/>
          <w:color w:val="auto"/>
          <w:kern w:val="0"/>
          <w:highlight w:val="none"/>
        </w:rPr>
      </w:pPr>
      <w:r>
        <w:rPr>
          <w:rFonts w:hint="eastAsia" w:ascii="仿宋" w:hAnsi="仿宋" w:cs="仿宋"/>
          <w:color w:val="auto"/>
          <w:highlight w:val="none"/>
        </w:rPr>
        <w:t>7.投诉人为自然人的，投诉书应当由本人签字；投诉人为法人或者其他组织的，投诉书应当由法定代表人、主要负责人，或者其授权代表签字或者盖章，并加盖公章。</w:t>
      </w:r>
    </w:p>
    <w:p w14:paraId="5F6BED27">
      <w:pPr>
        <w:spacing w:line="360" w:lineRule="auto"/>
        <w:rPr>
          <w:rFonts w:hint="eastAsia" w:ascii="仿宋" w:hAnsi="仿宋" w:cs="仿宋"/>
          <w:b/>
          <w:color w:val="auto"/>
          <w:highlight w:val="none"/>
        </w:rPr>
      </w:pPr>
    </w:p>
    <w:p w14:paraId="4A75EBD3">
      <w:pPr>
        <w:autoSpaceDE w:val="0"/>
        <w:autoSpaceDN w:val="0"/>
        <w:rPr>
          <w:rFonts w:hint="eastAsia" w:ascii="仿宋" w:hAnsi="仿宋" w:cs="仿宋"/>
          <w:b/>
          <w:color w:val="auto"/>
          <w:spacing w:val="6"/>
          <w:sz w:val="32"/>
          <w:szCs w:val="32"/>
          <w:highlight w:val="none"/>
        </w:rPr>
      </w:pPr>
    </w:p>
    <w:p w14:paraId="28E4E4C1">
      <w:pPr>
        <w:pStyle w:val="5"/>
        <w:rPr>
          <w:rFonts w:hint="eastAsia"/>
          <w:color w:val="auto"/>
          <w:highlight w:val="none"/>
        </w:rPr>
      </w:pPr>
    </w:p>
    <w:p w14:paraId="7028978D">
      <w:pPr>
        <w:autoSpaceDE w:val="0"/>
        <w:autoSpaceDN w:val="0"/>
        <w:jc w:val="center"/>
        <w:rPr>
          <w:rFonts w:hint="eastAsia" w:ascii="仿宋" w:hAnsi="仿宋" w:cs="仿宋"/>
          <w:b/>
          <w:bCs/>
          <w:color w:val="auto"/>
          <w:sz w:val="32"/>
          <w:szCs w:val="32"/>
          <w:highlight w:val="none"/>
        </w:rPr>
      </w:pPr>
      <w:r>
        <w:rPr>
          <w:rFonts w:hint="eastAsia" w:ascii="仿宋" w:hAnsi="仿宋" w:cs="仿宋"/>
          <w:b/>
          <w:color w:val="auto"/>
          <w:spacing w:val="6"/>
          <w:sz w:val="32"/>
          <w:szCs w:val="32"/>
          <w:highlight w:val="none"/>
        </w:rPr>
        <w:t>附件4：</w:t>
      </w:r>
      <w:r>
        <w:rPr>
          <w:rFonts w:hint="eastAsia" w:ascii="仿宋" w:hAnsi="仿宋" w:cs="仿宋"/>
          <w:b/>
          <w:bCs/>
          <w:color w:val="auto"/>
          <w:sz w:val="32"/>
          <w:szCs w:val="32"/>
          <w:highlight w:val="none"/>
        </w:rPr>
        <w:t>业务专用章使用说明函</w:t>
      </w:r>
    </w:p>
    <w:p w14:paraId="604AFB73">
      <w:pPr>
        <w:spacing w:line="360" w:lineRule="auto"/>
        <w:rPr>
          <w:rFonts w:hint="eastAsia" w:ascii="仿宋" w:hAnsi="仿宋" w:eastAsia="仿宋" w:cs="仿宋"/>
          <w:color w:val="auto"/>
          <w:highlight w:val="none"/>
          <w:lang w:eastAsia="zh-CN"/>
        </w:rPr>
      </w:pPr>
      <w:r>
        <w:rPr>
          <w:rFonts w:hint="eastAsia" w:ascii="仿宋" w:hAnsi="仿宋" w:cs="仿宋"/>
          <w:color w:val="auto"/>
          <w:highlight w:val="none"/>
          <w:u w:val="single"/>
          <w:lang w:eastAsia="zh-CN"/>
        </w:rPr>
        <w:t>杭州市生态环境局钱塘分局</w:t>
      </w:r>
      <w:r>
        <w:rPr>
          <w:rFonts w:hint="eastAsia" w:ascii="仿宋" w:hAnsi="仿宋" w:cs="仿宋"/>
          <w:color w:val="auto"/>
          <w:highlight w:val="none"/>
          <w:u w:val="single"/>
        </w:rPr>
        <w:t>、</w:t>
      </w:r>
      <w:r>
        <w:rPr>
          <w:rFonts w:hint="eastAsia" w:ascii="仿宋" w:hAnsi="仿宋" w:cs="仿宋"/>
          <w:color w:val="auto"/>
          <w:highlight w:val="none"/>
          <w:u w:val="single"/>
          <w:lang w:eastAsia="zh-CN"/>
        </w:rPr>
        <w:t>浙江勋达工程咨询有限公司</w:t>
      </w:r>
    </w:p>
    <w:p w14:paraId="379D551A">
      <w:pPr>
        <w:spacing w:line="360" w:lineRule="auto"/>
        <w:ind w:firstLine="480" w:firstLineChars="200"/>
        <w:rPr>
          <w:rFonts w:hint="eastAsia" w:ascii="仿宋" w:hAnsi="仿宋" w:cs="仿宋"/>
          <w:color w:val="auto"/>
          <w:highlight w:val="none"/>
        </w:rPr>
      </w:pPr>
      <w:r>
        <w:rPr>
          <w:rFonts w:hint="eastAsia" w:ascii="仿宋" w:hAnsi="仿宋" w:cs="仿宋"/>
          <w:color w:val="auto"/>
          <w:kern w:val="0"/>
          <w:highlight w:val="none"/>
          <w:lang w:val="zh-CN"/>
        </w:rPr>
        <w:t>我方</w:t>
      </w:r>
      <w:r>
        <w:rPr>
          <w:rFonts w:hint="eastAsia" w:ascii="仿宋" w:hAnsi="仿宋" w:cs="仿宋"/>
          <w:color w:val="auto"/>
          <w:kern w:val="0"/>
          <w:highlight w:val="none"/>
          <w:u w:val="single"/>
          <w:lang w:val="zh-CN"/>
        </w:rPr>
        <w:t xml:space="preserve">                         </w:t>
      </w:r>
      <w:r>
        <w:rPr>
          <w:rFonts w:hint="eastAsia" w:ascii="仿宋" w:hAnsi="仿宋" w:cs="仿宋"/>
          <w:color w:val="auto"/>
          <w:highlight w:val="none"/>
        </w:rPr>
        <w:t>(投标人全称)是中华人民共和国依法登记注册的合法企业，</w:t>
      </w:r>
      <w:r>
        <w:rPr>
          <w:rFonts w:hint="eastAsia" w:ascii="仿宋" w:hAnsi="仿宋" w:cs="仿宋"/>
          <w:bCs/>
          <w:color w:val="auto"/>
          <w:highlight w:val="none"/>
        </w:rPr>
        <w:t>在参加</w:t>
      </w:r>
      <w:r>
        <w:rPr>
          <w:rFonts w:hint="eastAsia" w:ascii="仿宋" w:hAnsi="仿宋" w:cs="仿宋"/>
          <w:color w:val="auto"/>
          <w:highlight w:val="none"/>
        </w:rPr>
        <w:t>你方组织的</w:t>
      </w:r>
      <w:r>
        <w:rPr>
          <w:rFonts w:hint="eastAsia" w:ascii="仿宋" w:hAnsi="仿宋" w:cs="仿宋"/>
          <w:color w:val="auto"/>
          <w:highlight w:val="none"/>
          <w:lang w:eastAsia="zh-CN"/>
        </w:rPr>
        <w:t>2025年钱塘区土壤重点监管单位周边土壤和地下水监测项目</w:t>
      </w:r>
      <w:r>
        <w:rPr>
          <w:rFonts w:hint="eastAsia" w:ascii="仿宋" w:hAnsi="仿宋" w:cs="仿宋"/>
          <w:color w:val="auto"/>
          <w:highlight w:val="none"/>
        </w:rPr>
        <w:t>项目【招标编号：</w:t>
      </w:r>
      <w:r>
        <w:rPr>
          <w:rFonts w:hint="eastAsia" w:ascii="仿宋" w:hAnsi="仿宋" w:cs="仿宋"/>
          <w:color w:val="auto"/>
          <w:highlight w:val="none"/>
          <w:lang w:eastAsia="zh-CN"/>
        </w:rPr>
        <w:t>QTCG-GK-2025-118</w:t>
      </w:r>
      <w:r>
        <w:rPr>
          <w:rFonts w:hint="eastAsia" w:ascii="仿宋" w:hAnsi="仿宋" w:cs="仿宋"/>
          <w:color w:val="auto"/>
          <w:highlight w:val="none"/>
        </w:rPr>
        <w:t>】</w:t>
      </w:r>
      <w:r>
        <w:rPr>
          <w:rFonts w:hint="eastAsia" w:ascii="仿宋" w:hAnsi="仿宋" w:cs="仿宋"/>
          <w:bCs/>
          <w:color w:val="auto"/>
          <w:highlight w:val="none"/>
        </w:rPr>
        <w:t>投标活动中作如下说明：</w:t>
      </w:r>
      <w:r>
        <w:rPr>
          <w:rFonts w:hint="eastAsia" w:ascii="仿宋" w:hAnsi="仿宋" w:cs="仿宋"/>
          <w:color w:val="auto"/>
          <w:highlight w:val="none"/>
        </w:rPr>
        <w:t xml:space="preserve">我方所使用的“XX专用章”与法定名称章具有同等的法律效力，对使用“XX专用章”的行为予以完全承认，并愿意承担相应责任。   </w:t>
      </w:r>
    </w:p>
    <w:p w14:paraId="29D6969F">
      <w:pPr>
        <w:spacing w:line="360" w:lineRule="auto"/>
        <w:ind w:firstLine="480" w:firstLineChars="200"/>
        <w:rPr>
          <w:rFonts w:hint="eastAsia" w:ascii="仿宋" w:hAnsi="仿宋" w:cs="仿宋"/>
          <w:color w:val="auto"/>
          <w:highlight w:val="none"/>
        </w:rPr>
      </w:pPr>
      <w:r>
        <w:rPr>
          <w:rFonts w:hint="eastAsia" w:ascii="仿宋" w:hAnsi="仿宋" w:cs="仿宋"/>
          <w:color w:val="auto"/>
          <w:highlight w:val="none"/>
        </w:rPr>
        <w:t>特此说明。</w:t>
      </w:r>
    </w:p>
    <w:p w14:paraId="285D12E0">
      <w:pPr>
        <w:spacing w:line="360" w:lineRule="auto"/>
        <w:ind w:firstLine="494"/>
        <w:rPr>
          <w:rFonts w:hint="eastAsia" w:ascii="仿宋" w:hAnsi="仿宋" w:cs="仿宋"/>
          <w:color w:val="auto"/>
          <w:highlight w:val="none"/>
        </w:rPr>
      </w:pPr>
    </w:p>
    <w:p w14:paraId="15A9EF4C">
      <w:pPr>
        <w:spacing w:line="360" w:lineRule="auto"/>
        <w:ind w:firstLine="494"/>
        <w:rPr>
          <w:rFonts w:hint="eastAsia" w:ascii="仿宋" w:hAnsi="仿宋" w:cs="仿宋"/>
          <w:color w:val="auto"/>
          <w:highlight w:val="none"/>
        </w:rPr>
      </w:pPr>
    </w:p>
    <w:p w14:paraId="334DFADF">
      <w:pPr>
        <w:spacing w:line="360" w:lineRule="auto"/>
        <w:ind w:firstLine="494"/>
        <w:rPr>
          <w:rFonts w:hint="eastAsia" w:ascii="仿宋" w:hAnsi="仿宋" w:cs="仿宋"/>
          <w:color w:val="auto"/>
          <w:highlight w:val="none"/>
        </w:rPr>
      </w:pPr>
    </w:p>
    <w:p w14:paraId="519E02B2">
      <w:pPr>
        <w:spacing w:line="360" w:lineRule="auto"/>
        <w:ind w:firstLine="494"/>
        <w:rPr>
          <w:rFonts w:hint="eastAsia" w:ascii="仿宋" w:hAnsi="仿宋" w:cs="仿宋"/>
          <w:color w:val="auto"/>
          <w:highlight w:val="none"/>
        </w:rPr>
      </w:pPr>
    </w:p>
    <w:p w14:paraId="35DA3DA8">
      <w:pPr>
        <w:spacing w:line="360" w:lineRule="auto"/>
        <w:ind w:right="480" w:firstLine="4080" w:firstLineChars="1700"/>
        <w:rPr>
          <w:rFonts w:hint="eastAsia" w:ascii="仿宋" w:hAnsi="仿宋" w:cs="仿宋"/>
          <w:color w:val="auto"/>
          <w:highlight w:val="none"/>
        </w:rPr>
      </w:pPr>
      <w:r>
        <w:rPr>
          <w:rFonts w:hint="eastAsia" w:ascii="仿宋" w:hAnsi="仿宋" w:cs="仿宋"/>
          <w:color w:val="auto"/>
          <w:highlight w:val="none"/>
        </w:rPr>
        <w:t>投标单位（法定名称章）：</w:t>
      </w:r>
    </w:p>
    <w:p w14:paraId="107C2B74">
      <w:pPr>
        <w:ind w:right="1440" w:firstLine="494"/>
        <w:jc w:val="center"/>
        <w:rPr>
          <w:rFonts w:hint="eastAsia" w:ascii="仿宋" w:hAnsi="仿宋" w:cs="仿宋"/>
          <w:color w:val="auto"/>
          <w:highlight w:val="none"/>
        </w:rPr>
      </w:pPr>
      <w:r>
        <w:rPr>
          <w:rFonts w:hint="eastAsia" w:ascii="仿宋" w:hAnsi="仿宋" w:cs="仿宋"/>
          <w:color w:val="auto"/>
          <w:highlight w:val="none"/>
        </w:rPr>
        <w:t xml:space="preserve">                              日期：       年     月     日</w:t>
      </w:r>
    </w:p>
    <w:p w14:paraId="069BB751">
      <w:pPr>
        <w:rPr>
          <w:rFonts w:hint="eastAsia" w:ascii="仿宋" w:hAnsi="仿宋" w:cs="仿宋"/>
          <w:color w:val="auto"/>
          <w:highlight w:val="none"/>
        </w:rPr>
      </w:pPr>
      <w:r>
        <w:rPr>
          <w:rFonts w:hint="eastAsia" w:ascii="仿宋" w:hAnsi="仿宋" w:cs="仿宋"/>
          <w:b/>
          <w:bCs/>
          <w:color w:val="auto"/>
          <w:highlight w:val="none"/>
        </w:rPr>
        <w:t>附：</w:t>
      </w:r>
    </w:p>
    <w:p w14:paraId="1ED45E6B">
      <w:pPr>
        <w:spacing w:line="360" w:lineRule="auto"/>
        <w:rPr>
          <w:rFonts w:hint="eastAsia" w:ascii="仿宋" w:hAnsi="仿宋" w:cs="仿宋"/>
          <w:bCs/>
          <w:color w:val="auto"/>
          <w:highlight w:val="none"/>
        </w:rPr>
      </w:pPr>
      <w:r>
        <w:rPr>
          <w:rFonts w:hint="eastAsia" w:ascii="仿宋" w:hAnsi="仿宋" w:cs="仿宋"/>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color w:val="auto"/>
          <w:highlight w:val="none"/>
        </w:rPr>
        <w:t>投标单位法定名称章（印模）                投标单位“XX专用章”（印模）</w:t>
      </w:r>
    </w:p>
    <w:p w14:paraId="5436E6FE">
      <w:pPr>
        <w:autoSpaceDE w:val="0"/>
        <w:autoSpaceDN w:val="0"/>
        <w:jc w:val="center"/>
        <w:rPr>
          <w:rFonts w:hint="eastAsia" w:ascii="仿宋" w:hAnsi="仿宋" w:cs="仿宋"/>
          <w:b/>
          <w:color w:val="auto"/>
          <w:spacing w:val="6"/>
          <w:sz w:val="32"/>
          <w:szCs w:val="32"/>
          <w:highlight w:val="none"/>
        </w:rPr>
      </w:pPr>
    </w:p>
    <w:p w14:paraId="594879FC">
      <w:pPr>
        <w:autoSpaceDE w:val="0"/>
        <w:autoSpaceDN w:val="0"/>
        <w:jc w:val="center"/>
        <w:rPr>
          <w:rFonts w:hint="eastAsia" w:ascii="仿宋" w:hAnsi="仿宋" w:cs="仿宋"/>
          <w:b/>
          <w:color w:val="auto"/>
          <w:spacing w:val="6"/>
          <w:sz w:val="32"/>
          <w:szCs w:val="32"/>
          <w:highlight w:val="none"/>
        </w:rPr>
      </w:pPr>
    </w:p>
    <w:p w14:paraId="4C7C9EF9">
      <w:pPr>
        <w:autoSpaceDE w:val="0"/>
        <w:autoSpaceDN w:val="0"/>
        <w:jc w:val="center"/>
        <w:rPr>
          <w:rFonts w:hint="eastAsia" w:ascii="仿宋" w:hAnsi="仿宋" w:cs="仿宋"/>
          <w:b/>
          <w:color w:val="auto"/>
          <w:spacing w:val="6"/>
          <w:sz w:val="32"/>
          <w:szCs w:val="32"/>
          <w:highlight w:val="none"/>
        </w:rPr>
      </w:pPr>
    </w:p>
    <w:p w14:paraId="63EB9BE8">
      <w:pPr>
        <w:autoSpaceDE w:val="0"/>
        <w:autoSpaceDN w:val="0"/>
        <w:jc w:val="center"/>
        <w:rPr>
          <w:rFonts w:hint="eastAsia" w:ascii="仿宋" w:hAnsi="仿宋" w:cs="仿宋"/>
          <w:b/>
          <w:color w:val="auto"/>
          <w:spacing w:val="6"/>
          <w:sz w:val="32"/>
          <w:szCs w:val="32"/>
          <w:highlight w:val="none"/>
        </w:rPr>
      </w:pPr>
    </w:p>
    <w:p w14:paraId="60C9113C">
      <w:pPr>
        <w:autoSpaceDE w:val="0"/>
        <w:autoSpaceDN w:val="0"/>
        <w:jc w:val="center"/>
        <w:rPr>
          <w:rFonts w:hint="eastAsia" w:ascii="仿宋" w:hAnsi="仿宋" w:cs="仿宋"/>
          <w:b/>
          <w:color w:val="auto"/>
          <w:spacing w:val="6"/>
          <w:sz w:val="32"/>
          <w:szCs w:val="32"/>
          <w:highlight w:val="none"/>
        </w:rPr>
      </w:pPr>
    </w:p>
    <w:p w14:paraId="1CA7119A">
      <w:pPr>
        <w:autoSpaceDE w:val="0"/>
        <w:autoSpaceDN w:val="0"/>
        <w:jc w:val="center"/>
        <w:rPr>
          <w:rFonts w:hint="eastAsia" w:ascii="仿宋" w:hAnsi="仿宋" w:cs="仿宋"/>
          <w:b/>
          <w:color w:val="auto"/>
          <w:spacing w:val="6"/>
          <w:sz w:val="32"/>
          <w:szCs w:val="32"/>
          <w:highlight w:val="none"/>
        </w:rPr>
      </w:pPr>
    </w:p>
    <w:p w14:paraId="505AFC83">
      <w:pPr>
        <w:autoSpaceDE w:val="0"/>
        <w:autoSpaceDN w:val="0"/>
        <w:jc w:val="center"/>
        <w:rPr>
          <w:rFonts w:hint="eastAsia" w:ascii="仿宋" w:hAnsi="仿宋" w:cs="仿宋"/>
          <w:b/>
          <w:color w:val="auto"/>
          <w:spacing w:val="6"/>
          <w:sz w:val="32"/>
          <w:szCs w:val="32"/>
          <w:highlight w:val="none"/>
        </w:rPr>
      </w:pPr>
    </w:p>
    <w:p w14:paraId="4D9616F0">
      <w:pPr>
        <w:autoSpaceDE w:val="0"/>
        <w:autoSpaceDN w:val="0"/>
        <w:jc w:val="center"/>
        <w:rPr>
          <w:rFonts w:hint="eastAsia" w:ascii="仿宋" w:hAnsi="仿宋" w:cs="仿宋"/>
          <w:b/>
          <w:color w:val="auto"/>
          <w:spacing w:val="6"/>
          <w:sz w:val="32"/>
          <w:szCs w:val="32"/>
          <w:highlight w:val="none"/>
        </w:rPr>
      </w:pPr>
    </w:p>
    <w:p w14:paraId="11FADDDE">
      <w:pPr>
        <w:autoSpaceDE w:val="0"/>
        <w:autoSpaceDN w:val="0"/>
        <w:jc w:val="center"/>
        <w:rPr>
          <w:rFonts w:hint="eastAsia" w:ascii="仿宋" w:hAnsi="仿宋" w:cs="仿宋"/>
          <w:b/>
          <w:color w:val="auto"/>
          <w:spacing w:val="6"/>
          <w:sz w:val="32"/>
          <w:szCs w:val="32"/>
          <w:highlight w:val="none"/>
        </w:rPr>
      </w:pPr>
    </w:p>
    <w:p w14:paraId="601E379B">
      <w:pPr>
        <w:autoSpaceDE w:val="0"/>
        <w:autoSpaceDN w:val="0"/>
        <w:jc w:val="center"/>
        <w:rPr>
          <w:rFonts w:hint="eastAsia" w:ascii="仿宋" w:hAnsi="仿宋" w:cs="仿宋"/>
          <w:b/>
          <w:color w:val="auto"/>
          <w:spacing w:val="6"/>
          <w:sz w:val="32"/>
          <w:szCs w:val="32"/>
          <w:highlight w:val="none"/>
        </w:rPr>
      </w:pPr>
    </w:p>
    <w:p w14:paraId="02482ABA">
      <w:pPr>
        <w:autoSpaceDE w:val="0"/>
        <w:autoSpaceDN w:val="0"/>
        <w:jc w:val="center"/>
        <w:rPr>
          <w:rFonts w:hint="eastAsia" w:ascii="仿宋" w:hAnsi="仿宋" w:cs="仿宋"/>
          <w:b/>
          <w:color w:val="auto"/>
          <w:spacing w:val="6"/>
          <w:sz w:val="32"/>
          <w:szCs w:val="32"/>
          <w:highlight w:val="none"/>
        </w:rPr>
      </w:pPr>
    </w:p>
    <w:p w14:paraId="259BC6E3">
      <w:pPr>
        <w:autoSpaceDE w:val="0"/>
        <w:autoSpaceDN w:val="0"/>
        <w:jc w:val="center"/>
        <w:rPr>
          <w:rFonts w:hint="eastAsia" w:ascii="仿宋" w:hAnsi="仿宋" w:cs="仿宋"/>
          <w:b/>
          <w:color w:val="auto"/>
          <w:spacing w:val="6"/>
          <w:sz w:val="32"/>
          <w:szCs w:val="32"/>
          <w:highlight w:val="none"/>
        </w:rPr>
      </w:pPr>
    </w:p>
    <w:p w14:paraId="6429B779">
      <w:pPr>
        <w:autoSpaceDE w:val="0"/>
        <w:autoSpaceDN w:val="0"/>
        <w:jc w:val="center"/>
        <w:rPr>
          <w:rFonts w:hint="eastAsia" w:ascii="仿宋" w:hAnsi="仿宋" w:cs="仿宋"/>
          <w:b/>
          <w:color w:val="auto"/>
          <w:spacing w:val="6"/>
          <w:sz w:val="32"/>
          <w:szCs w:val="32"/>
          <w:highlight w:val="none"/>
        </w:rPr>
      </w:pPr>
    </w:p>
    <w:p w14:paraId="2F7098F7">
      <w:pPr>
        <w:autoSpaceDE w:val="0"/>
        <w:autoSpaceDN w:val="0"/>
        <w:jc w:val="center"/>
        <w:rPr>
          <w:rFonts w:hint="eastAsia" w:ascii="仿宋" w:hAnsi="仿宋" w:cs="仿宋"/>
          <w:b/>
          <w:color w:val="auto"/>
          <w:spacing w:val="6"/>
          <w:sz w:val="32"/>
          <w:szCs w:val="32"/>
          <w:highlight w:val="none"/>
        </w:rPr>
      </w:pPr>
    </w:p>
    <w:p w14:paraId="0DA906D0">
      <w:pPr>
        <w:autoSpaceDE w:val="0"/>
        <w:autoSpaceDN w:val="0"/>
        <w:jc w:val="center"/>
        <w:rPr>
          <w:rFonts w:hint="eastAsia" w:ascii="仿宋" w:hAnsi="仿宋" w:cs="仿宋"/>
          <w:b/>
          <w:color w:val="auto"/>
          <w:spacing w:val="6"/>
          <w:sz w:val="32"/>
          <w:szCs w:val="32"/>
          <w:highlight w:val="none"/>
        </w:rPr>
      </w:pPr>
    </w:p>
    <w:p w14:paraId="28770D31">
      <w:pPr>
        <w:autoSpaceDE w:val="0"/>
        <w:autoSpaceDN w:val="0"/>
        <w:jc w:val="center"/>
        <w:rPr>
          <w:rFonts w:hint="eastAsia" w:ascii="仿宋" w:hAnsi="仿宋" w:cs="仿宋"/>
          <w:b/>
          <w:color w:val="auto"/>
          <w:spacing w:val="6"/>
          <w:sz w:val="32"/>
          <w:szCs w:val="32"/>
          <w:highlight w:val="none"/>
        </w:rPr>
      </w:pPr>
    </w:p>
    <w:p w14:paraId="7A41CA0B">
      <w:pPr>
        <w:autoSpaceDE w:val="0"/>
        <w:autoSpaceDN w:val="0"/>
        <w:jc w:val="center"/>
        <w:rPr>
          <w:rFonts w:hint="eastAsia" w:ascii="仿宋" w:hAnsi="仿宋" w:cs="仿宋"/>
          <w:b/>
          <w:color w:val="auto"/>
          <w:spacing w:val="6"/>
          <w:sz w:val="32"/>
          <w:szCs w:val="32"/>
          <w:highlight w:val="none"/>
        </w:rPr>
      </w:pPr>
    </w:p>
    <w:p w14:paraId="48F0FF82">
      <w:pPr>
        <w:autoSpaceDE w:val="0"/>
        <w:autoSpaceDN w:val="0"/>
        <w:rPr>
          <w:rFonts w:hint="eastAsia" w:ascii="仿宋" w:hAnsi="仿宋" w:cs="仿宋"/>
          <w:b/>
          <w:color w:val="auto"/>
          <w:spacing w:val="6"/>
          <w:sz w:val="32"/>
          <w:szCs w:val="32"/>
          <w:highlight w:val="none"/>
        </w:rPr>
      </w:pPr>
    </w:p>
    <w:p w14:paraId="6086ED46">
      <w:pPr>
        <w:autoSpaceDE w:val="0"/>
        <w:autoSpaceDN w:val="0"/>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spacing w:val="6"/>
          <w:sz w:val="32"/>
          <w:szCs w:val="32"/>
          <w:highlight w:val="none"/>
        </w:rPr>
        <w:t>附件5：</w:t>
      </w:r>
      <w:r>
        <w:rPr>
          <w:rFonts w:hint="eastAsia" w:ascii="仿宋_GB2312" w:hAnsi="仿宋_GB2312" w:eastAsia="仿宋_GB2312" w:cs="仿宋_GB2312"/>
          <w:b/>
          <w:color w:val="auto"/>
          <w:kern w:val="0"/>
          <w:sz w:val="32"/>
          <w:szCs w:val="32"/>
          <w:highlight w:val="none"/>
          <w:lang w:val="zh-CN"/>
        </w:rPr>
        <w:t>联合协议</w:t>
      </w:r>
    </w:p>
    <w:p w14:paraId="33498879">
      <w:pPr>
        <w:widowControl/>
        <w:spacing w:line="360" w:lineRule="auto"/>
        <w:ind w:firstLine="48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（以联合体形式投标的，提供联合协议；本项目不接受联合体投标或者投标人不以联合体形式投标的，则不需要提供）</w:t>
      </w:r>
    </w:p>
    <w:p w14:paraId="27054EF8">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u w:val="single"/>
        </w:rPr>
        <w:t>（联合体所有成员名称）</w:t>
      </w:r>
      <w:r>
        <w:rPr>
          <w:rFonts w:hint="eastAsia" w:ascii="仿宋_GB2312" w:hAnsi="仿宋_GB2312" w:eastAsia="仿宋_GB2312" w:cs="仿宋_GB2312"/>
          <w:color w:val="auto"/>
          <w:kern w:val="0"/>
          <w:highlight w:val="none"/>
        </w:rPr>
        <w:t>自愿</w:t>
      </w:r>
      <w:r>
        <w:rPr>
          <w:rFonts w:hint="eastAsia" w:ascii="仿宋_GB2312" w:hAnsi="仿宋_GB2312" w:eastAsia="仿宋_GB2312" w:cs="仿宋_GB2312"/>
          <w:color w:val="auto"/>
          <w:kern w:val="0"/>
          <w:highlight w:val="none"/>
          <w:lang w:val="zh-CN"/>
        </w:rPr>
        <w:t>组成一个联合体，以一个投标人的身份</w:t>
      </w:r>
      <w:r>
        <w:rPr>
          <w:rFonts w:hint="eastAsia" w:ascii="仿宋_GB2312" w:hAnsi="仿宋_GB2312" w:eastAsia="仿宋_GB2312" w:cs="仿宋_GB2312"/>
          <w:color w:val="auto"/>
          <w:kern w:val="0"/>
          <w:highlight w:val="none"/>
        </w:rPr>
        <w:t>参加</w:t>
      </w:r>
      <w:r>
        <w:rPr>
          <w:rFonts w:hint="eastAsia" w:ascii="仿宋" w:hAnsi="仿宋" w:eastAsia="仿宋_GB2312" w:cs="仿宋"/>
          <w:color w:val="auto"/>
          <w:highlight w:val="none"/>
          <w:lang w:eastAsia="zh-CN"/>
        </w:rPr>
        <w:t>2025年钱塘区土壤重点监管单位周边土壤和地下水监测项目</w:t>
      </w:r>
      <w:r>
        <w:rPr>
          <w:rFonts w:hint="eastAsia" w:ascii="仿宋" w:hAnsi="仿宋" w:cs="仿宋"/>
          <w:color w:val="auto"/>
          <w:highlight w:val="none"/>
        </w:rPr>
        <w:t>【招标编号：</w:t>
      </w:r>
      <w:r>
        <w:rPr>
          <w:rFonts w:hint="eastAsia" w:ascii="仿宋" w:hAnsi="仿宋" w:cs="仿宋"/>
          <w:color w:val="auto"/>
          <w:highlight w:val="none"/>
          <w:lang w:eastAsia="zh-CN"/>
        </w:rPr>
        <w:t>QTCG-GK-2025-118</w:t>
      </w:r>
      <w:r>
        <w:rPr>
          <w:rFonts w:hint="eastAsia" w:ascii="仿宋" w:hAnsi="仿宋" w:cs="仿宋"/>
          <w:color w:val="auto"/>
          <w:highlight w:val="none"/>
        </w:rPr>
        <w:t>】</w:t>
      </w:r>
      <w:r>
        <w:rPr>
          <w:rFonts w:hint="eastAsia" w:ascii="仿宋_GB2312" w:hAnsi="仿宋_GB2312" w:eastAsia="仿宋_GB2312" w:cs="仿宋_GB2312"/>
          <w:color w:val="auto"/>
          <w:kern w:val="0"/>
          <w:highlight w:val="none"/>
          <w:lang w:val="zh-CN"/>
        </w:rPr>
        <w:t xml:space="preserve">投标。 </w:t>
      </w:r>
    </w:p>
    <w:p w14:paraId="11B33EBD">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一、各方一致决定，</w:t>
      </w:r>
      <w:r>
        <w:rPr>
          <w:rFonts w:hint="eastAsia" w:ascii="仿宋_GB2312" w:hAnsi="仿宋_GB2312" w:eastAsia="仿宋_GB2312" w:cs="仿宋_GB2312"/>
          <w:color w:val="auto"/>
          <w:kern w:val="0"/>
          <w:highlight w:val="none"/>
          <w:u w:val="single"/>
        </w:rPr>
        <w:t>（某联合体成员名称）</w:t>
      </w:r>
      <w:r>
        <w:rPr>
          <w:rFonts w:hint="eastAsia" w:ascii="仿宋_GB2312" w:hAnsi="仿宋_GB2312" w:eastAsia="仿宋_GB2312" w:cs="仿宋_GB2312"/>
          <w:color w:val="auto"/>
          <w:kern w:val="0"/>
          <w:highlight w:val="none"/>
        </w:rPr>
        <w:t>为联合体</w:t>
      </w:r>
      <w:r>
        <w:rPr>
          <w:rFonts w:hint="eastAsia" w:ascii="仿宋_GB2312" w:hAnsi="仿宋_GB2312" w:eastAsia="仿宋_GB2312" w:cs="仿宋_GB2312"/>
          <w:color w:val="auto"/>
          <w:kern w:val="0"/>
          <w:highlight w:val="none"/>
          <w:lang w:val="zh-CN"/>
        </w:rPr>
        <w:t>牵头人</w:t>
      </w:r>
      <w:r>
        <w:rPr>
          <w:rFonts w:hint="eastAsia" w:ascii="仿宋_GB2312" w:hAnsi="仿宋_GB2312" w:eastAsia="仿宋_GB2312" w:cs="仿宋_GB2312"/>
          <w:color w:val="auto"/>
          <w:highlight w:val="none"/>
        </w:rPr>
        <w:t>，代表所有联合体成员负责投标和合同实施阶段的主办、协调工作</w:t>
      </w:r>
      <w:r>
        <w:rPr>
          <w:rFonts w:hint="eastAsia" w:ascii="仿宋_GB2312" w:hAnsi="仿宋_GB2312" w:eastAsia="仿宋_GB2312" w:cs="仿宋_GB2312"/>
          <w:color w:val="auto"/>
          <w:kern w:val="0"/>
          <w:highlight w:val="none"/>
          <w:lang w:val="zh-CN"/>
        </w:rPr>
        <w:t>。</w:t>
      </w:r>
    </w:p>
    <w:p w14:paraId="247A8671">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二、</w:t>
      </w:r>
      <w:r>
        <w:rPr>
          <w:rFonts w:hint="eastAsia" w:ascii="仿宋_GB2312" w:hAnsi="仿宋_GB2312" w:eastAsia="仿宋_GB2312" w:cs="仿宋_GB2312"/>
          <w:color w:val="auto"/>
          <w:highlight w:val="none"/>
        </w:rPr>
        <w:t>所有联合体成员各方签署授权书，授权书载明的</w:t>
      </w:r>
      <w:r>
        <w:rPr>
          <w:rFonts w:hint="eastAsia" w:ascii="仿宋_GB2312" w:hAnsi="仿宋_GB2312" w:eastAsia="仿宋_GB2312" w:cs="仿宋_GB2312"/>
          <w:color w:val="auto"/>
          <w:kern w:val="0"/>
          <w:highlight w:val="none"/>
          <w:lang w:val="zh-CN"/>
        </w:rPr>
        <w:t>授权代表根据招标文件规定及投标内容而对采购人、采购代理机构所作的任何合法承诺，包括书面澄清及相应等均对联合投标各方产生约束力。</w:t>
      </w:r>
    </w:p>
    <w:p w14:paraId="0B847638">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三、本次联合投标中，分工如下：</w:t>
      </w:r>
    </w:p>
    <w:p w14:paraId="73B7FBA9">
      <w:pPr>
        <w:snapToGrid w:val="0"/>
        <w:spacing w:line="360" w:lineRule="auto"/>
        <w:ind w:firstLine="576"/>
        <w:rPr>
          <w:rFonts w:hint="eastAsia" w:ascii="仿宋_GB2312" w:hAnsi="仿宋_GB2312" w:eastAsia="仿宋_GB2312" w:cs="仿宋_GB2312"/>
          <w:color w:val="auto"/>
          <w:kern w:val="0"/>
          <w:highlight w:val="none"/>
          <w:lang w:val="zh-CN"/>
        </w:rPr>
      </w:pPr>
      <w:bookmarkStart w:id="510" w:name="_Hlk101134295"/>
      <w:r>
        <w:rPr>
          <w:rFonts w:hint="eastAsia" w:ascii="仿宋_GB2312" w:hAnsi="仿宋_GB2312" w:eastAsia="仿宋_GB2312" w:cs="仿宋_GB2312"/>
          <w:color w:val="auto"/>
          <w:kern w:val="0"/>
          <w:highlight w:val="none"/>
          <w:u w:val="single"/>
        </w:rPr>
        <w:t>（联合体成员1）</w:t>
      </w:r>
      <w:r>
        <w:rPr>
          <w:rFonts w:hint="eastAsia" w:ascii="仿宋_GB2312" w:hAnsi="仿宋_GB2312" w:eastAsia="仿宋_GB2312" w:cs="仿宋_GB2312"/>
          <w:color w:val="auto"/>
          <w:kern w:val="0"/>
          <w:highlight w:val="none"/>
          <w:lang w:val="zh-CN"/>
        </w:rPr>
        <w:t>承担的工作和义务为：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highlight w:val="none"/>
          <w:lang w:val="zh-CN"/>
        </w:rPr>
        <w:t>；</w:t>
      </w:r>
    </w:p>
    <w:p w14:paraId="743E80DF">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u w:val="single"/>
        </w:rPr>
        <w:t>（联合体成员2）</w:t>
      </w:r>
      <w:r>
        <w:rPr>
          <w:rFonts w:hint="eastAsia" w:ascii="仿宋_GB2312" w:hAnsi="仿宋_GB2312" w:eastAsia="仿宋_GB2312" w:cs="仿宋_GB2312"/>
          <w:color w:val="auto"/>
          <w:kern w:val="0"/>
          <w:highlight w:val="none"/>
          <w:lang w:val="zh-CN"/>
        </w:rPr>
        <w:t>承担的工作和义务为：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highlight w:val="none"/>
          <w:lang w:val="zh-CN"/>
        </w:rPr>
        <w:t>；</w:t>
      </w:r>
    </w:p>
    <w:p w14:paraId="1CE2DC3B">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w:t>
      </w:r>
    </w:p>
    <w:bookmarkEnd w:id="510"/>
    <w:p w14:paraId="46278898">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四、联合体成员中小企业合同份额。</w:t>
      </w:r>
    </w:p>
    <w:p w14:paraId="75AFFBCB">
      <w:pPr>
        <w:snapToGrid w:val="0"/>
        <w:spacing w:line="360" w:lineRule="auto"/>
        <w:ind w:firstLine="576"/>
        <w:rPr>
          <w:rFonts w:hint="eastAsia" w:ascii="仿宋_GB2312" w:hAnsi="仿宋_GB2312" w:eastAsia="仿宋_GB2312" w:cs="仿宋_GB2312"/>
          <w:b/>
          <w:color w:val="auto"/>
          <w:kern w:val="0"/>
          <w:highlight w:val="none"/>
          <w:lang w:val="zh-CN"/>
        </w:rPr>
      </w:pPr>
      <w:r>
        <w:rPr>
          <w:rFonts w:hint="eastAsia" w:ascii="仿宋_GB2312" w:hAnsi="仿宋_GB2312" w:eastAsia="仿宋_GB2312" w:cs="仿宋_GB2312"/>
          <w:color w:val="auto"/>
          <w:kern w:val="0"/>
          <w:highlight w:val="none"/>
          <w:lang w:val="zh-CN"/>
        </w:rPr>
        <w:t>1、</w:t>
      </w:r>
      <w:r>
        <w:rPr>
          <w:rFonts w:hint="eastAsia" w:ascii="仿宋_GB2312" w:hAnsi="仿宋_GB2312" w:eastAsia="仿宋_GB2312" w:cs="仿宋_GB2312"/>
          <w:color w:val="auto"/>
          <w:kern w:val="0"/>
          <w:highlight w:val="none"/>
          <w:u w:val="single"/>
        </w:rPr>
        <w:t>（联合体成员X,……）</w:t>
      </w:r>
      <w:r>
        <w:rPr>
          <w:rFonts w:hint="eastAsia" w:ascii="仿宋_GB2312" w:hAnsi="仿宋_GB2312" w:eastAsia="仿宋_GB2312" w:cs="仿宋_GB2312"/>
          <w:color w:val="auto"/>
          <w:kern w:val="0"/>
          <w:highlight w:val="none"/>
        </w:rPr>
        <w:t>提供的服务由小微企业承接，其合同份额占到合同总金额</w:t>
      </w:r>
      <w:r>
        <w:rPr>
          <w:rFonts w:hint="eastAsia" w:ascii="仿宋_GB2312" w:hAnsi="仿宋_GB2312" w:eastAsia="仿宋_GB2312" w:cs="仿宋_GB2312"/>
          <w:color w:val="auto"/>
          <w:kern w:val="0"/>
          <w:highlight w:val="none"/>
          <w:u w:val="single"/>
        </w:rPr>
        <w:t xml:space="preserve">     </w:t>
      </w:r>
      <w:r>
        <w:rPr>
          <w:rFonts w:hint="eastAsia" w:ascii="仿宋_GB2312" w:hAnsi="仿宋_GB2312" w:eastAsia="仿宋_GB2312" w:cs="仿宋_GB2312"/>
          <w:color w:val="auto"/>
          <w:kern w:val="0"/>
          <w:highlight w:val="none"/>
        </w:rPr>
        <w:t>%以上；</w:t>
      </w:r>
      <w:r>
        <w:rPr>
          <w:rFonts w:hint="eastAsia" w:ascii="仿宋_GB2312" w:hAnsi="仿宋_GB2312" w:eastAsia="仿宋_GB2312" w:cs="仿宋_GB2312"/>
          <w:color w:val="auto"/>
          <w:kern w:val="0"/>
          <w:highlight w:val="none"/>
          <w:lang w:val="zh-CN"/>
        </w:rPr>
        <w:t>……。</w:t>
      </w:r>
      <w:r>
        <w:rPr>
          <w:rFonts w:hint="eastAsia" w:ascii="仿宋_GB2312" w:hAnsi="仿宋_GB2312" w:eastAsia="仿宋_GB2312" w:cs="仿宋_GB2312"/>
          <w:b/>
          <w:color w:val="auto"/>
          <w:kern w:val="0"/>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color w:val="auto"/>
          <w:highlight w:val="none"/>
        </w:rPr>
        <w:t>拟享受以上价格扣除政策的，填写有关内容。</w:t>
      </w:r>
      <w:r>
        <w:rPr>
          <w:rFonts w:hint="eastAsia" w:ascii="仿宋_GB2312" w:hAnsi="仿宋_GB2312" w:eastAsia="仿宋_GB2312" w:cs="仿宋_GB2312"/>
          <w:b/>
          <w:color w:val="auto"/>
          <w:kern w:val="0"/>
          <w:highlight w:val="none"/>
          <w:lang w:val="zh-CN"/>
        </w:rPr>
        <w:t>）</w:t>
      </w:r>
    </w:p>
    <w:p w14:paraId="7B5B8D02">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highlight w:val="none"/>
        </w:rPr>
        <w:t>2、中小企业合同金额达到</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%，其中小微企业合同金额达到</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kern w:val="0"/>
          <w:highlight w:val="none"/>
          <w:lang w:val="zh-CN"/>
        </w:rPr>
        <w:t>。</w:t>
      </w:r>
      <w:r>
        <w:rPr>
          <w:rFonts w:hint="eastAsia" w:ascii="仿宋_GB2312" w:hAnsi="仿宋_GB2312" w:eastAsia="仿宋_GB2312" w:cs="仿宋_GB2312"/>
          <w:b/>
          <w:bCs/>
          <w:color w:val="auto"/>
          <w:kern w:val="0"/>
          <w:highlight w:val="none"/>
          <w:lang w:val="zh-CN"/>
        </w:rPr>
        <w:t>（</w:t>
      </w:r>
      <w:r>
        <w:rPr>
          <w:rFonts w:hint="eastAsia" w:ascii="仿宋_GB2312" w:hAnsi="仿宋_GB2312" w:eastAsia="仿宋_GB2312" w:cs="仿宋_GB2312"/>
          <w:b/>
          <w:bCs/>
          <w:color w:val="auto"/>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color w:val="auto"/>
          <w:kern w:val="0"/>
          <w:highlight w:val="none"/>
          <w:lang w:val="zh-CN"/>
        </w:rPr>
        <w:t>）</w:t>
      </w:r>
    </w:p>
    <w:p w14:paraId="023D8615">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五、如果中标，</w:t>
      </w:r>
      <w:r>
        <w:rPr>
          <w:rFonts w:hint="eastAsia" w:ascii="仿宋_GB2312" w:hAnsi="仿宋_GB2312" w:eastAsia="仿宋_GB2312" w:cs="仿宋_GB2312"/>
          <w:color w:val="auto"/>
          <w:highlight w:val="none"/>
        </w:rPr>
        <w:t>联合体各成员方共同与采购人签订合同，并就采购合同约定的事项对采购人承担连带责任。</w:t>
      </w:r>
    </w:p>
    <w:p w14:paraId="0D4D8CF4">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六、有关本次联合投标的其他事宜：</w:t>
      </w:r>
    </w:p>
    <w:p w14:paraId="73251E64">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1、联合体各方不再单独参加或者与其他供应商另外组成联合体参加同一合同项下的政府采购活动。</w:t>
      </w:r>
    </w:p>
    <w:p w14:paraId="720BEA89">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2、联合体中有同类资质的各方按照联合体分工承担相同工作的，按照资质等级较低的供应商确定资质等级。</w:t>
      </w:r>
    </w:p>
    <w:p w14:paraId="4E318361">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3、本协议提交采购人、采购代理机构后，联合体各方不得以任何形式对上述内容进行修改或撤销。</w:t>
      </w:r>
    </w:p>
    <w:p w14:paraId="5C89F295">
      <w:pPr>
        <w:snapToGrid w:val="0"/>
        <w:spacing w:line="360" w:lineRule="auto"/>
        <w:ind w:firstLine="5040" w:firstLineChars="2100"/>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联合体成员名称(电子签名/公章)：</w:t>
      </w:r>
    </w:p>
    <w:p w14:paraId="332C2FDF">
      <w:pPr>
        <w:snapToGrid w:val="0"/>
        <w:spacing w:line="360" w:lineRule="auto"/>
        <w:ind w:firstLine="5040" w:firstLineChars="2100"/>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联合体成员名称(电子签名/公章)：</w:t>
      </w:r>
    </w:p>
    <w:p w14:paraId="41354D83">
      <w:pPr>
        <w:snapToGrid w:val="0"/>
        <w:spacing w:line="360" w:lineRule="auto"/>
        <w:ind w:right="960"/>
        <w:jc w:val="center"/>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 xml:space="preserve">             ……</w:t>
      </w:r>
    </w:p>
    <w:p w14:paraId="34EB69B7">
      <w:pPr>
        <w:snapToGrid w:val="0"/>
        <w:spacing w:line="360" w:lineRule="auto"/>
        <w:ind w:firstLine="5040" w:firstLineChars="2100"/>
        <w:rPr>
          <w:rFonts w:hint="eastAsia" w:ascii="仿宋_GB2312" w:hAnsi="仿宋_GB2312" w:eastAsia="仿宋_GB2312" w:cs="仿宋_GB2312"/>
          <w:color w:val="auto"/>
          <w:kern w:val="0"/>
          <w:highlight w:val="none"/>
          <w:lang w:val="zh-CN"/>
        </w:rPr>
      </w:pPr>
    </w:p>
    <w:p w14:paraId="46436420">
      <w:pPr>
        <w:snapToGrid w:val="0"/>
        <w:spacing w:line="360" w:lineRule="auto"/>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 xml:space="preserve">                                               日期：  年  月   日</w:t>
      </w:r>
    </w:p>
    <w:p w14:paraId="226506E1">
      <w:pPr>
        <w:spacing w:line="360" w:lineRule="auto"/>
        <w:ind w:right="42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注：按本格式和要求提供。</w:t>
      </w:r>
    </w:p>
    <w:p w14:paraId="18C5A4C1">
      <w:pPr>
        <w:snapToGrid w:val="0"/>
        <w:spacing w:line="360" w:lineRule="auto"/>
        <w:ind w:firstLine="3666" w:firstLineChars="1100"/>
        <w:rPr>
          <w:rFonts w:hint="eastAsia" w:ascii="仿宋_GB2312" w:hAnsi="仿宋_GB2312" w:eastAsia="仿宋_GB2312" w:cs="仿宋_GB2312"/>
          <w:b/>
          <w:color w:val="auto"/>
          <w:spacing w:val="6"/>
          <w:sz w:val="32"/>
          <w:szCs w:val="32"/>
          <w:highlight w:val="none"/>
        </w:rPr>
        <w:sectPr>
          <w:pgSz w:w="11906" w:h="16838"/>
          <w:pgMar w:top="680" w:right="1417" w:bottom="471" w:left="1418" w:header="851" w:footer="992" w:gutter="0"/>
          <w:cols w:space="720" w:num="1"/>
          <w:titlePg/>
          <w:docGrid w:linePitch="312" w:charSpace="0"/>
        </w:sectPr>
      </w:pPr>
    </w:p>
    <w:p w14:paraId="714E50BC">
      <w:pPr>
        <w:snapToGrid w:val="0"/>
        <w:spacing w:line="360" w:lineRule="auto"/>
        <w:ind w:firstLine="3666" w:firstLineChars="11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spacing w:val="6"/>
          <w:sz w:val="32"/>
          <w:szCs w:val="32"/>
          <w:highlight w:val="none"/>
        </w:rPr>
        <w:t>附件6：</w:t>
      </w:r>
      <w:r>
        <w:rPr>
          <w:rFonts w:hint="eastAsia" w:ascii="仿宋_GB2312" w:hAnsi="仿宋_GB2312" w:eastAsia="仿宋_GB2312" w:cs="仿宋_GB2312"/>
          <w:b/>
          <w:color w:val="auto"/>
          <w:kern w:val="0"/>
          <w:sz w:val="32"/>
          <w:szCs w:val="32"/>
          <w:highlight w:val="none"/>
        </w:rPr>
        <w:t>分包意向协议</w:t>
      </w:r>
    </w:p>
    <w:p w14:paraId="647C2738">
      <w:pPr>
        <w:widowControl/>
        <w:spacing w:line="360" w:lineRule="auto"/>
        <w:ind w:firstLine="120" w:firstLineChars="5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auto"/>
          <w:highlight w:val="none"/>
        </w:rPr>
        <w:t>）</w:t>
      </w:r>
    </w:p>
    <w:p w14:paraId="09F970FB">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u w:val="single"/>
        </w:rPr>
        <w:t>（投标人名称）</w:t>
      </w:r>
      <w:r>
        <w:rPr>
          <w:rFonts w:hint="eastAsia" w:ascii="仿宋_GB2312" w:hAnsi="仿宋_GB2312" w:eastAsia="仿宋_GB2312" w:cs="仿宋_GB2312"/>
          <w:color w:val="auto"/>
          <w:kern w:val="0"/>
          <w:highlight w:val="none"/>
          <w:lang w:val="zh-CN"/>
        </w:rPr>
        <w:t>若成为</w:t>
      </w:r>
      <w:r>
        <w:rPr>
          <w:rFonts w:hint="eastAsia" w:ascii="仿宋" w:hAnsi="仿宋" w:eastAsia="仿宋_GB2312" w:cs="仿宋"/>
          <w:color w:val="auto"/>
          <w:highlight w:val="none"/>
          <w:lang w:eastAsia="zh-CN"/>
        </w:rPr>
        <w:t>2025年钱塘区土壤重点监管单位周边土壤和地下水监测项目</w:t>
      </w:r>
      <w:r>
        <w:rPr>
          <w:rFonts w:hint="eastAsia" w:ascii="仿宋" w:hAnsi="仿宋" w:cs="仿宋"/>
          <w:color w:val="auto"/>
          <w:highlight w:val="none"/>
        </w:rPr>
        <w:t>【招标编号：</w:t>
      </w:r>
      <w:r>
        <w:rPr>
          <w:rFonts w:hint="eastAsia" w:ascii="仿宋" w:hAnsi="仿宋" w:cs="仿宋"/>
          <w:color w:val="auto"/>
          <w:highlight w:val="none"/>
          <w:lang w:eastAsia="zh-CN"/>
        </w:rPr>
        <w:t>QTCG-GK-2025-118</w:t>
      </w:r>
      <w:r>
        <w:rPr>
          <w:rFonts w:hint="eastAsia" w:ascii="仿宋" w:hAnsi="仿宋" w:cs="仿宋"/>
          <w:color w:val="auto"/>
          <w:highlight w:val="none"/>
        </w:rPr>
        <w:t>】</w:t>
      </w:r>
      <w:r>
        <w:rPr>
          <w:rFonts w:hint="eastAsia" w:ascii="仿宋_GB2312" w:hAnsi="仿宋_GB2312" w:eastAsia="仿宋_GB2312" w:cs="仿宋_GB2312"/>
          <w:color w:val="auto"/>
          <w:kern w:val="0"/>
          <w:highlight w:val="none"/>
          <w:lang w:val="zh-CN"/>
        </w:rPr>
        <w:t>的中标供应商，将依法采取分包方式履行合同。</w:t>
      </w:r>
      <w:r>
        <w:rPr>
          <w:rFonts w:hint="eastAsia" w:ascii="仿宋_GB2312" w:hAnsi="仿宋_GB2312" w:eastAsia="仿宋_GB2312" w:cs="仿宋_GB2312"/>
          <w:color w:val="auto"/>
          <w:kern w:val="0"/>
          <w:highlight w:val="none"/>
          <w:u w:val="single"/>
        </w:rPr>
        <w:t>（投标人名称）</w:t>
      </w:r>
      <w:r>
        <w:rPr>
          <w:rFonts w:hint="eastAsia" w:ascii="仿宋_GB2312" w:hAnsi="仿宋_GB2312" w:eastAsia="仿宋_GB2312" w:cs="仿宋_GB2312"/>
          <w:color w:val="auto"/>
          <w:kern w:val="0"/>
          <w:highlight w:val="none"/>
        </w:rPr>
        <w:t>与</w:t>
      </w:r>
      <w:r>
        <w:rPr>
          <w:rFonts w:hint="eastAsia" w:ascii="仿宋_GB2312" w:hAnsi="仿宋_GB2312" w:eastAsia="仿宋_GB2312" w:cs="仿宋_GB2312"/>
          <w:color w:val="auto"/>
          <w:kern w:val="0"/>
          <w:highlight w:val="none"/>
          <w:u w:val="single"/>
        </w:rPr>
        <w:t>（所有分包供应商名称）</w:t>
      </w:r>
      <w:r>
        <w:rPr>
          <w:rFonts w:hint="eastAsia" w:ascii="仿宋_GB2312" w:hAnsi="仿宋_GB2312" w:eastAsia="仿宋_GB2312" w:cs="仿宋_GB2312"/>
          <w:color w:val="auto"/>
          <w:kern w:val="0"/>
          <w:highlight w:val="none"/>
        </w:rPr>
        <w:t>达成分包意向协议</w:t>
      </w:r>
      <w:r>
        <w:rPr>
          <w:rFonts w:hint="eastAsia" w:ascii="仿宋_GB2312" w:hAnsi="仿宋_GB2312" w:eastAsia="仿宋_GB2312" w:cs="仿宋_GB2312"/>
          <w:color w:val="auto"/>
          <w:kern w:val="0"/>
          <w:highlight w:val="none"/>
          <w:lang w:val="zh-CN"/>
        </w:rPr>
        <w:t xml:space="preserve">。 </w:t>
      </w:r>
    </w:p>
    <w:p w14:paraId="416FF44C">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一、分包标的及数量</w:t>
      </w:r>
    </w:p>
    <w:p w14:paraId="7EFBDA67">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u w:val="single"/>
        </w:rPr>
        <w:t>（投标人名称）</w:t>
      </w:r>
      <w:r>
        <w:rPr>
          <w:rFonts w:hint="eastAsia" w:ascii="仿宋_GB2312" w:hAnsi="仿宋_GB2312" w:eastAsia="仿宋_GB2312" w:cs="仿宋_GB2312"/>
          <w:color w:val="auto"/>
          <w:kern w:val="0"/>
          <w:highlight w:val="none"/>
          <w:lang w:val="zh-CN"/>
        </w:rPr>
        <w:t>将</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highlight w:val="none"/>
          <w:u w:val="single"/>
        </w:rPr>
        <w:t xml:space="preserve">  XX工作内容   </w:t>
      </w:r>
      <w:r>
        <w:rPr>
          <w:rFonts w:hint="eastAsia" w:ascii="仿宋_GB2312" w:hAnsi="仿宋_GB2312" w:eastAsia="仿宋_GB2312" w:cs="仿宋_GB2312"/>
          <w:color w:val="auto"/>
          <w:highlight w:val="none"/>
        </w:rPr>
        <w:t>分包给</w:t>
      </w:r>
      <w:r>
        <w:rPr>
          <w:rFonts w:hint="eastAsia" w:ascii="仿宋_GB2312" w:hAnsi="仿宋_GB2312" w:eastAsia="仿宋_GB2312" w:cs="仿宋_GB2312"/>
          <w:color w:val="auto"/>
          <w:kern w:val="0"/>
          <w:highlight w:val="none"/>
          <w:u w:val="single"/>
        </w:rPr>
        <w:t>（分包供应商1名称）</w:t>
      </w:r>
      <w:r>
        <w:rPr>
          <w:rFonts w:hint="eastAsia" w:ascii="仿宋_GB2312" w:hAnsi="仿宋_GB2312" w:eastAsia="仿宋_GB2312" w:cs="仿宋_GB2312"/>
          <w:color w:val="auto"/>
          <w:kern w:val="0"/>
          <w:highlight w:val="none"/>
          <w:lang w:val="zh-CN"/>
        </w:rPr>
        <w:t>，</w:t>
      </w:r>
      <w:r>
        <w:rPr>
          <w:rFonts w:hint="eastAsia" w:ascii="仿宋_GB2312" w:hAnsi="仿宋_GB2312" w:eastAsia="仿宋_GB2312" w:cs="仿宋_GB2312"/>
          <w:color w:val="auto"/>
          <w:kern w:val="0"/>
          <w:highlight w:val="none"/>
          <w:u w:val="single"/>
        </w:rPr>
        <w:t>（分包供应商1名称），</w:t>
      </w:r>
      <w:r>
        <w:rPr>
          <w:rFonts w:hint="eastAsia" w:ascii="仿宋_GB2312" w:hAnsi="仿宋_GB2312" w:eastAsia="仿宋_GB2312" w:cs="仿宋_GB2312"/>
          <w:color w:val="auto"/>
          <w:kern w:val="0"/>
          <w:highlight w:val="none"/>
          <w:lang w:val="zh-CN"/>
        </w:rPr>
        <w:t>具备承</w:t>
      </w:r>
      <w:r>
        <w:rPr>
          <w:rFonts w:hint="eastAsia" w:ascii="仿宋_GB2312" w:hAnsi="仿宋_GB2312" w:eastAsia="仿宋_GB2312" w:cs="仿宋_GB2312"/>
          <w:color w:val="auto"/>
          <w:kern w:val="0"/>
          <w:highlight w:val="none"/>
        </w:rPr>
        <w:t>担</w:t>
      </w:r>
      <w:r>
        <w:rPr>
          <w:rFonts w:hint="eastAsia" w:ascii="仿宋_GB2312" w:hAnsi="仿宋_GB2312" w:eastAsia="仿宋_GB2312" w:cs="仿宋_GB2312"/>
          <w:color w:val="auto"/>
          <w:kern w:val="0"/>
          <w:highlight w:val="none"/>
          <w:u w:val="single"/>
          <w:lang w:val="zh-CN"/>
        </w:rPr>
        <w:t>XX工作内容</w:t>
      </w:r>
      <w:r>
        <w:rPr>
          <w:rFonts w:hint="eastAsia" w:ascii="仿宋_GB2312" w:hAnsi="仿宋_GB2312" w:eastAsia="仿宋_GB2312" w:cs="仿宋_GB2312"/>
          <w:color w:val="auto"/>
          <w:kern w:val="0"/>
          <w:highlight w:val="none"/>
          <w:lang w:val="zh-CN"/>
        </w:rPr>
        <w:t>相应资质条件且不得再次分包；</w:t>
      </w:r>
    </w:p>
    <w:p w14:paraId="1EF6969C">
      <w:pPr>
        <w:pStyle w:val="5"/>
        <w:ind w:left="758" w:leftChars="316" w:firstLine="229" w:firstLineChars="95"/>
        <w:rPr>
          <w:rFonts w:hint="eastAsia" w:hAnsi="仿宋_GB2312" w:cs="仿宋_GB2312"/>
          <w:color w:val="auto"/>
          <w:kern w:val="0"/>
          <w:sz w:val="24"/>
          <w:szCs w:val="24"/>
          <w:highlight w:val="none"/>
        </w:rPr>
      </w:pPr>
      <w:r>
        <w:rPr>
          <w:rFonts w:hint="eastAsia" w:hAnsi="仿宋_GB2312" w:cs="仿宋_GB2312"/>
          <w:color w:val="auto"/>
          <w:kern w:val="0"/>
          <w:sz w:val="24"/>
          <w:szCs w:val="24"/>
          <w:highlight w:val="none"/>
        </w:rPr>
        <w:t>……</w:t>
      </w:r>
    </w:p>
    <w:p w14:paraId="74FC9571">
      <w:pPr>
        <w:snapToGrid w:val="0"/>
        <w:spacing w:line="360" w:lineRule="auto"/>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二、分包供应商中小企业合同份额</w:t>
      </w:r>
    </w:p>
    <w:p w14:paraId="18FE07CA">
      <w:pPr>
        <w:snapToGrid w:val="0"/>
        <w:spacing w:line="360" w:lineRule="auto"/>
        <w:ind w:firstLine="576"/>
        <w:rPr>
          <w:rFonts w:hint="eastAsia" w:ascii="仿宋_GB2312" w:hAnsi="仿宋_GB2312" w:eastAsia="仿宋_GB2312" w:cs="仿宋_GB2312"/>
          <w:b/>
          <w:color w:val="auto"/>
          <w:kern w:val="0"/>
          <w:highlight w:val="none"/>
          <w:lang w:val="zh-CN"/>
        </w:rPr>
      </w:pPr>
      <w:r>
        <w:rPr>
          <w:rFonts w:hint="eastAsia" w:ascii="仿宋_GB2312" w:hAnsi="仿宋_GB2312" w:eastAsia="仿宋_GB2312" w:cs="仿宋_GB2312"/>
          <w:color w:val="auto"/>
          <w:kern w:val="0"/>
          <w:highlight w:val="none"/>
        </w:rPr>
        <w:t>1、</w:t>
      </w:r>
      <w:r>
        <w:rPr>
          <w:rFonts w:hint="eastAsia" w:ascii="仿宋_GB2312" w:hAnsi="仿宋_GB2312" w:eastAsia="仿宋_GB2312" w:cs="仿宋_GB2312"/>
          <w:color w:val="auto"/>
          <w:kern w:val="0"/>
          <w:highlight w:val="none"/>
          <w:u w:val="single"/>
        </w:rPr>
        <w:t>（分包供应商X,……）提供的服务全部由（中型或小型或微型），</w:t>
      </w:r>
      <w:r>
        <w:rPr>
          <w:rFonts w:hint="eastAsia" w:ascii="仿宋_GB2312" w:hAnsi="仿宋_GB2312" w:eastAsia="仿宋_GB2312" w:cs="仿宋_GB2312"/>
          <w:color w:val="auto"/>
          <w:kern w:val="0"/>
          <w:highlight w:val="none"/>
        </w:rPr>
        <w:t>其合同份额占到合同总金额</w:t>
      </w:r>
      <w:r>
        <w:rPr>
          <w:rFonts w:hint="eastAsia" w:ascii="仿宋_GB2312" w:hAnsi="仿宋_GB2312" w:eastAsia="仿宋_GB2312" w:cs="仿宋_GB2312"/>
          <w:color w:val="auto"/>
          <w:kern w:val="0"/>
          <w:highlight w:val="none"/>
          <w:u w:val="single"/>
        </w:rPr>
        <w:t xml:space="preserve">     </w:t>
      </w:r>
      <w:r>
        <w:rPr>
          <w:rFonts w:hint="eastAsia" w:ascii="仿宋_GB2312" w:hAnsi="仿宋_GB2312" w:eastAsia="仿宋_GB2312" w:cs="仿宋_GB2312"/>
          <w:color w:val="auto"/>
          <w:kern w:val="0"/>
          <w:highlight w:val="none"/>
        </w:rPr>
        <w:t>%以上</w:t>
      </w: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kern w:val="0"/>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color w:val="auto"/>
          <w:highlight w:val="none"/>
        </w:rPr>
        <w:t>拟享受以上价格扣除政策的，填写有关内容。</w:t>
      </w:r>
      <w:r>
        <w:rPr>
          <w:rFonts w:hint="eastAsia" w:ascii="仿宋_GB2312" w:hAnsi="仿宋_GB2312" w:eastAsia="仿宋_GB2312" w:cs="仿宋_GB2312"/>
          <w:b/>
          <w:color w:val="auto"/>
          <w:kern w:val="0"/>
          <w:highlight w:val="none"/>
          <w:lang w:val="zh-CN"/>
        </w:rPr>
        <w:t>）</w:t>
      </w:r>
    </w:p>
    <w:p w14:paraId="647D8E0C">
      <w:pPr>
        <w:spacing w:line="360" w:lineRule="auto"/>
        <w:ind w:firstLine="480" w:firstLineChars="200"/>
        <w:rPr>
          <w:rFonts w:hint="eastAsia" w:ascii="仿宋_GB2312" w:hAnsi="仿宋_GB2312" w:eastAsia="仿宋_GB2312" w:cs="仿宋_GB2312"/>
          <w:b/>
          <w:bCs/>
          <w:color w:val="auto"/>
          <w:kern w:val="0"/>
          <w:highlight w:val="none"/>
          <w:lang w:val="zh-CN"/>
        </w:rPr>
      </w:pPr>
      <w:r>
        <w:rPr>
          <w:rFonts w:hint="eastAsia" w:ascii="仿宋_GB2312" w:hAnsi="仿宋_GB2312" w:eastAsia="仿宋_GB2312" w:cs="仿宋_GB2312"/>
          <w:color w:val="auto"/>
          <w:highlight w:val="none"/>
        </w:rPr>
        <w:t>2、</w:t>
      </w:r>
      <w:bookmarkStart w:id="511" w:name="_Hlk101133173"/>
      <w:r>
        <w:rPr>
          <w:rFonts w:hint="eastAsia" w:ascii="仿宋_GB2312" w:hAnsi="仿宋_GB2312" w:eastAsia="仿宋_GB2312" w:cs="仿宋_GB2312"/>
          <w:color w:val="auto"/>
          <w:highlight w:val="none"/>
        </w:rPr>
        <w:t>中小企业合同金额达到</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%，其中小微企业合同金额达到</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kern w:val="0"/>
          <w:highlight w:val="none"/>
          <w:lang w:val="zh-CN"/>
        </w:rPr>
        <w:t>。</w:t>
      </w:r>
      <w:r>
        <w:rPr>
          <w:rFonts w:hint="eastAsia" w:ascii="仿宋_GB2312" w:hAnsi="仿宋_GB2312" w:eastAsia="仿宋_GB2312" w:cs="仿宋_GB2312"/>
          <w:b/>
          <w:bCs/>
          <w:color w:val="auto"/>
          <w:kern w:val="0"/>
          <w:highlight w:val="none"/>
          <w:lang w:val="zh-CN"/>
        </w:rPr>
        <w:t>（</w:t>
      </w:r>
      <w:r>
        <w:rPr>
          <w:rFonts w:hint="eastAsia" w:ascii="仿宋_GB2312" w:hAnsi="仿宋_GB2312" w:eastAsia="仿宋_GB2312" w:cs="仿宋_GB2312"/>
          <w:b/>
          <w:bCs/>
          <w:color w:val="auto"/>
          <w:highlight w:val="none"/>
        </w:rPr>
        <w:t>要求合同分包形式参加的项目或采购包，供应商按招标文件第一部分招标公告申请人的资格要求中规定的</w:t>
      </w:r>
      <w:r>
        <w:rPr>
          <w:rFonts w:hint="eastAsia" w:ascii="仿宋_GB2312" w:hAnsi="仿宋_GB2312" w:eastAsia="仿宋_GB2312" w:cs="仿宋_GB2312"/>
          <w:b/>
          <w:color w:val="auto"/>
          <w:kern w:val="0"/>
          <w:highlight w:val="none"/>
          <w:lang w:val="zh-CN"/>
        </w:rPr>
        <w:t>分包意向协议</w:t>
      </w:r>
      <w:r>
        <w:rPr>
          <w:rFonts w:hint="eastAsia" w:ascii="仿宋_GB2312" w:hAnsi="仿宋_GB2312" w:eastAsia="仿宋_GB2312" w:cs="仿宋_GB2312"/>
          <w:b/>
          <w:bCs/>
          <w:color w:val="auto"/>
          <w:highlight w:val="none"/>
        </w:rPr>
        <w:t>中中小企业、小微企业合同金额应当达到的比例要求填写。</w:t>
      </w:r>
      <w:r>
        <w:rPr>
          <w:rFonts w:hint="eastAsia" w:ascii="仿宋_GB2312" w:hAnsi="仿宋_GB2312" w:eastAsia="仿宋_GB2312" w:cs="仿宋_GB2312"/>
          <w:b/>
          <w:bCs/>
          <w:color w:val="auto"/>
          <w:kern w:val="0"/>
          <w:highlight w:val="none"/>
          <w:lang w:val="zh-CN"/>
        </w:rPr>
        <w:t>）</w:t>
      </w:r>
      <w:bookmarkEnd w:id="511"/>
    </w:p>
    <w:p w14:paraId="3FBF4F01">
      <w:pPr>
        <w:snapToGrid w:val="0"/>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三、分包工作履行期限、地点、方式</w:t>
      </w:r>
    </w:p>
    <w:p w14:paraId="2946C1BD">
      <w:pPr>
        <w:snapToGrid w:val="0"/>
        <w:ind w:firstLine="576"/>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 xml:space="preserve">                                                                                  </w:t>
      </w:r>
    </w:p>
    <w:p w14:paraId="1A834A7A">
      <w:pPr>
        <w:snapToGrid w:val="0"/>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四、质量</w:t>
      </w:r>
    </w:p>
    <w:p w14:paraId="39CCE37E">
      <w:pPr>
        <w:snapToGrid w:val="0"/>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highlight w:val="none"/>
          <w:u w:val="single"/>
        </w:rPr>
        <w:t xml:space="preserve">                                                                                       </w:t>
      </w:r>
    </w:p>
    <w:p w14:paraId="044022F5">
      <w:pPr>
        <w:snapToGrid w:val="0"/>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五、价款或者报酬</w:t>
      </w:r>
    </w:p>
    <w:p w14:paraId="2B89BDBD">
      <w:pPr>
        <w:snapToGrid w:val="0"/>
        <w:ind w:left="655" w:leftChars="273"/>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highlight w:val="none"/>
          <w:u w:val="single"/>
        </w:rPr>
        <w:t xml:space="preserve">                                                                                     </w:t>
      </w:r>
    </w:p>
    <w:p w14:paraId="5E40BFFE">
      <w:pPr>
        <w:snapToGrid w:val="0"/>
        <w:ind w:left="655" w:leftChars="273"/>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六、违约责任</w:t>
      </w:r>
    </w:p>
    <w:p w14:paraId="75126649">
      <w:pPr>
        <w:snapToGrid w:val="0"/>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highlight w:val="none"/>
          <w:u w:val="single"/>
        </w:rPr>
        <w:t xml:space="preserve">                                                                                     </w:t>
      </w:r>
    </w:p>
    <w:p w14:paraId="5DEAF7C1">
      <w:pPr>
        <w:snapToGrid w:val="0"/>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七、争议解决的办法</w:t>
      </w:r>
    </w:p>
    <w:p w14:paraId="1A2F7D0F">
      <w:pPr>
        <w:snapToGrid w:val="0"/>
        <w:ind w:firstLine="576"/>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highlight w:val="none"/>
          <w:u w:val="single"/>
        </w:rPr>
        <w:t xml:space="preserve">                                                                                  </w:t>
      </w:r>
    </w:p>
    <w:p w14:paraId="2ADD690A">
      <w:pPr>
        <w:snapToGrid w:val="0"/>
        <w:spacing w:line="360" w:lineRule="auto"/>
        <w:ind w:left="5861" w:leftChars="342" w:hanging="5040" w:hangingChars="2100"/>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 xml:space="preserve">                                          投标人名称(电子签名)：</w:t>
      </w:r>
    </w:p>
    <w:p w14:paraId="0B136E24">
      <w:pPr>
        <w:snapToGrid w:val="0"/>
        <w:spacing w:line="360" w:lineRule="auto"/>
        <w:ind w:firstLine="4800" w:firstLineChars="2000"/>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分包供应商名称(电子签名/公章)：</w:t>
      </w:r>
    </w:p>
    <w:p w14:paraId="037515D3">
      <w:pPr>
        <w:snapToGrid w:val="0"/>
        <w:spacing w:line="360" w:lineRule="auto"/>
        <w:ind w:firstLine="5760" w:firstLineChars="2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highlight w:val="none"/>
          <w:lang w:val="zh-CN"/>
        </w:rPr>
        <w:t>……</w:t>
      </w:r>
    </w:p>
    <w:p w14:paraId="3DD302B7">
      <w:pPr>
        <w:autoSpaceDE w:val="0"/>
        <w:autoSpaceDN w:val="0"/>
        <w:jc w:val="center"/>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 xml:space="preserve">                                        日期：  年  月   日</w:t>
      </w:r>
    </w:p>
    <w:p w14:paraId="631BEFC2">
      <w:pPr>
        <w:autoSpaceDE w:val="0"/>
        <w:autoSpaceDN w:val="0"/>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color w:val="auto"/>
          <w:highlight w:val="none"/>
        </w:rPr>
        <w:t>注：按本格式和要求提供。</w:t>
      </w:r>
    </w:p>
    <w:p w14:paraId="41C9D80B">
      <w:pPr>
        <w:pStyle w:val="5"/>
        <w:rPr>
          <w:rFonts w:hint="eastAsia" w:hAnsi="仿宋_GB2312" w:cs="仿宋_GB2312"/>
          <w:color w:val="auto"/>
          <w:highlight w:val="none"/>
        </w:rPr>
        <w:sectPr>
          <w:pgSz w:w="11906" w:h="16838"/>
          <w:pgMar w:top="680" w:right="1417" w:bottom="471" w:left="1418" w:header="851" w:footer="992" w:gutter="0"/>
          <w:cols w:space="720" w:num="1"/>
          <w:titlePg/>
          <w:docGrid w:linePitch="312" w:charSpace="0"/>
        </w:sectPr>
      </w:pPr>
    </w:p>
    <w:p w14:paraId="7771ED6B">
      <w:pPr>
        <w:autoSpaceDE w:val="0"/>
        <w:autoSpaceDN w:val="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pacing w:val="6"/>
          <w:sz w:val="32"/>
          <w:szCs w:val="32"/>
          <w:highlight w:val="none"/>
        </w:rPr>
        <w:t>附件7：</w:t>
      </w:r>
      <w:r>
        <w:rPr>
          <w:rFonts w:hint="eastAsia" w:ascii="仿宋_GB2312" w:hAnsi="仿宋_GB2312" w:eastAsia="仿宋_GB2312" w:cs="仿宋_GB2312"/>
          <w:b/>
          <w:color w:val="auto"/>
          <w:sz w:val="32"/>
          <w:szCs w:val="32"/>
          <w:highlight w:val="none"/>
        </w:rPr>
        <w:t>中小企业声明函</w:t>
      </w:r>
    </w:p>
    <w:p w14:paraId="68AE1063">
      <w:pPr>
        <w:spacing w:line="36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中小企业声明函（服务）</w:t>
      </w:r>
    </w:p>
    <w:p w14:paraId="78B7A32B">
      <w:pPr>
        <w:spacing w:line="360" w:lineRule="auto"/>
        <w:ind w:left="4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本公司（联合体）郑重声明，根据《政府采购促进中小企业发展管理办法》（财库﹝2020﹞46 号）的规定，本公司（联合体）参加 </w:t>
      </w:r>
      <w:r>
        <w:rPr>
          <w:rFonts w:hint="eastAsia" w:ascii="仿宋_GB2312" w:hAnsi="仿宋_GB2312" w:eastAsia="仿宋_GB2312" w:cs="仿宋_GB2312"/>
          <w:color w:val="auto"/>
          <w:highlight w:val="none"/>
          <w:u w:val="single"/>
          <w:lang w:val="en"/>
        </w:rPr>
        <w:t>杭州市生态环境局钱塘分局</w:t>
      </w:r>
      <w:r>
        <w:rPr>
          <w:rFonts w:hint="eastAsia" w:ascii="仿宋_GB2312" w:hAnsi="仿宋_GB2312" w:eastAsia="仿宋_GB2312" w:cs="仿宋_GB2312"/>
          <w:color w:val="auto"/>
          <w:highlight w:val="none"/>
        </w:rPr>
        <w:t>的</w:t>
      </w:r>
      <w:r>
        <w:rPr>
          <w:rFonts w:hint="eastAsia" w:ascii="仿宋_GB2312" w:hAnsi="仿宋_GB2312" w:eastAsia="仿宋_GB2312" w:cs="仿宋_GB2312"/>
          <w:color w:val="auto"/>
          <w:highlight w:val="none"/>
          <w:u w:val="single"/>
        </w:rPr>
        <w:t xml:space="preserve"> 2025年钱塘区土壤重点监管单位周边土壤和地下水监测项目 </w:t>
      </w:r>
      <w:r>
        <w:rPr>
          <w:rFonts w:hint="eastAsia" w:ascii="仿宋_GB2312" w:hAnsi="仿宋_GB2312" w:eastAsia="仿宋_GB2312" w:cs="仿宋_GB2312"/>
          <w:color w:val="auto"/>
          <w:highlight w:val="none"/>
        </w:rPr>
        <w:t>采购活动，服务全部由符合政策要求的中小企业承接。相关企业（含联合体中的中小企业、签订分包意向协议的中小企业）的具体情况如下：</w:t>
      </w:r>
    </w:p>
    <w:p w14:paraId="37FB9678">
      <w:pPr>
        <w:numPr>
          <w:ilvl w:val="0"/>
          <w:numId w:val="3"/>
        </w:num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single"/>
        </w:rPr>
        <w:t xml:space="preserve"> 2025年钱塘区土壤重点监管单位周边土壤和地下水监测项目 </w:t>
      </w:r>
      <w:r>
        <w:rPr>
          <w:rFonts w:hint="eastAsia" w:ascii="仿宋_GB2312" w:hAnsi="仿宋_GB2312" w:eastAsia="仿宋_GB2312" w:cs="仿宋_GB2312"/>
          <w:color w:val="auto"/>
          <w:highlight w:val="none"/>
        </w:rPr>
        <w:t>，属于</w:t>
      </w:r>
      <w:r>
        <w:rPr>
          <w:rFonts w:hint="eastAsia" w:ascii="仿宋_GB2312" w:hAnsi="仿宋_GB2312" w:eastAsia="仿宋_GB2312" w:cs="仿宋_GB2312"/>
          <w:color w:val="auto"/>
          <w:highlight w:val="none"/>
          <w:u w:val="single"/>
        </w:rPr>
        <w:t xml:space="preserve"> 其他未列明行业 </w:t>
      </w:r>
      <w:r>
        <w:rPr>
          <w:rFonts w:hint="eastAsia" w:ascii="仿宋_GB2312" w:hAnsi="仿宋_GB2312" w:eastAsia="仿宋_GB2312" w:cs="仿宋_GB2312"/>
          <w:color w:val="auto"/>
          <w:highlight w:val="none"/>
        </w:rPr>
        <w:t xml:space="preserve">；承建（承接）企业为 </w:t>
      </w:r>
      <w:r>
        <w:rPr>
          <w:rFonts w:hint="eastAsia" w:ascii="仿宋_GB2312" w:hAnsi="仿宋_GB2312" w:eastAsia="仿宋_GB2312" w:cs="仿宋_GB2312"/>
          <w:color w:val="auto"/>
          <w:highlight w:val="none"/>
          <w:u w:val="single"/>
        </w:rPr>
        <w:t xml:space="preserve">（企业名称） </w:t>
      </w:r>
      <w:r>
        <w:rPr>
          <w:rFonts w:hint="eastAsia" w:ascii="仿宋_GB2312" w:hAnsi="仿宋_GB2312" w:eastAsia="仿宋_GB2312" w:cs="仿宋_GB2312"/>
          <w:color w:val="auto"/>
          <w:highlight w:val="none"/>
        </w:rPr>
        <w:t>，从业人员</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人，营业收入为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万元，资产总额为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万元属于</w:t>
      </w:r>
      <w:r>
        <w:rPr>
          <w:rFonts w:hint="eastAsia" w:ascii="仿宋_GB2312" w:hAnsi="仿宋_GB2312" w:eastAsia="仿宋_GB2312" w:cs="仿宋_GB2312"/>
          <w:color w:val="auto"/>
          <w:highlight w:val="none"/>
          <w:u w:val="single"/>
        </w:rPr>
        <w:t xml:space="preserve">   （中型企业、小型企业、微型企业） </w:t>
      </w:r>
      <w:r>
        <w:rPr>
          <w:rFonts w:hint="eastAsia" w:ascii="仿宋_GB2312" w:hAnsi="仿宋_GB2312" w:eastAsia="仿宋_GB2312" w:cs="仿宋_GB2312"/>
          <w:color w:val="auto"/>
          <w:highlight w:val="none"/>
        </w:rPr>
        <w:t>；</w:t>
      </w:r>
    </w:p>
    <w:p w14:paraId="49C83829">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 </w:t>
      </w:r>
      <w:r>
        <w:rPr>
          <w:rFonts w:hint="eastAsia" w:ascii="仿宋_GB2312" w:hAnsi="仿宋_GB2312" w:eastAsia="仿宋_GB2312" w:cs="仿宋_GB2312"/>
          <w:color w:val="auto"/>
          <w:highlight w:val="none"/>
          <w:u w:val="single"/>
        </w:rPr>
        <w:t>（标的名称）</w:t>
      </w:r>
      <w:r>
        <w:rPr>
          <w:rFonts w:hint="eastAsia" w:ascii="仿宋_GB2312" w:hAnsi="仿宋_GB2312" w:eastAsia="仿宋_GB2312" w:cs="仿宋_GB2312"/>
          <w:color w:val="auto"/>
          <w:highlight w:val="none"/>
        </w:rPr>
        <w:t xml:space="preserve">，属于 </w:t>
      </w:r>
      <w:r>
        <w:rPr>
          <w:rFonts w:hint="eastAsia" w:ascii="仿宋_GB2312" w:hAnsi="仿宋_GB2312" w:eastAsia="仿宋_GB2312" w:cs="仿宋_GB2312"/>
          <w:color w:val="auto"/>
          <w:highlight w:val="none"/>
          <w:u w:val="single"/>
        </w:rPr>
        <w:t>（采购文件中明确的所属行业）</w:t>
      </w:r>
      <w:r>
        <w:rPr>
          <w:rFonts w:hint="eastAsia" w:ascii="仿宋_GB2312" w:hAnsi="仿宋_GB2312" w:eastAsia="仿宋_GB2312" w:cs="仿宋_GB2312"/>
          <w:color w:val="auto"/>
          <w:highlight w:val="none"/>
        </w:rPr>
        <w:t xml:space="preserve"> ；承建（承接）企业为 </w:t>
      </w:r>
      <w:r>
        <w:rPr>
          <w:rFonts w:hint="eastAsia" w:ascii="仿宋_GB2312" w:hAnsi="仿宋_GB2312" w:eastAsia="仿宋_GB2312" w:cs="仿宋_GB2312"/>
          <w:color w:val="auto"/>
          <w:highlight w:val="none"/>
          <w:u w:val="single"/>
        </w:rPr>
        <w:t xml:space="preserve">（企业名称） </w:t>
      </w:r>
      <w:r>
        <w:rPr>
          <w:rFonts w:hint="eastAsia" w:ascii="仿宋_GB2312" w:hAnsi="仿宋_GB2312" w:eastAsia="仿宋_GB2312" w:cs="仿宋_GB2312"/>
          <w:color w:val="auto"/>
          <w:highlight w:val="none"/>
        </w:rPr>
        <w:t>，从业人员</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人，营业收入为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万元，资产总额为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万元属于</w:t>
      </w:r>
      <w:r>
        <w:rPr>
          <w:rFonts w:hint="eastAsia" w:ascii="仿宋_GB2312" w:hAnsi="仿宋_GB2312" w:eastAsia="仿宋_GB2312" w:cs="仿宋_GB2312"/>
          <w:color w:val="auto"/>
          <w:highlight w:val="none"/>
          <w:u w:val="single"/>
        </w:rPr>
        <w:t xml:space="preserve">   （中型企业、小型企业、微型企业） </w:t>
      </w:r>
      <w:r>
        <w:rPr>
          <w:rFonts w:hint="eastAsia" w:ascii="仿宋_GB2312" w:hAnsi="仿宋_GB2312" w:eastAsia="仿宋_GB2312" w:cs="仿宋_GB2312"/>
          <w:color w:val="auto"/>
          <w:highlight w:val="none"/>
        </w:rPr>
        <w:t>；</w:t>
      </w:r>
    </w:p>
    <w:p w14:paraId="211F4A13">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p w14:paraId="486971D3">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10408AF7">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本企业对上述声明内容的真实性负责。如有虚假，将依法承担相应责任。</w:t>
      </w:r>
    </w:p>
    <w:p w14:paraId="171FDB02">
      <w:pPr>
        <w:snapToGrid w:val="0"/>
        <w:spacing w:line="360" w:lineRule="auto"/>
        <w:ind w:firstLine="5160" w:firstLineChars="215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val="zh-CN"/>
        </w:rPr>
        <w:t>投标人名称(电子签名)：</w:t>
      </w:r>
    </w:p>
    <w:p w14:paraId="3C2194D3">
      <w:pPr>
        <w:snapToGrid w:val="0"/>
        <w:spacing w:line="360" w:lineRule="auto"/>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 xml:space="preserve">                                           日期</w:t>
      </w:r>
      <w:r>
        <w:rPr>
          <w:rFonts w:hint="eastAsia" w:ascii="仿宋_GB2312" w:hAnsi="仿宋_GB2312" w:eastAsia="仿宋_GB2312" w:cs="仿宋_GB2312"/>
          <w:color w:val="auto"/>
          <w:kern w:val="0"/>
          <w:highlight w:val="none"/>
        </w:rPr>
        <w:t xml:space="preserve">：  年  </w:t>
      </w:r>
      <w:r>
        <w:rPr>
          <w:rFonts w:hint="eastAsia" w:ascii="仿宋_GB2312" w:hAnsi="仿宋_GB2312" w:eastAsia="仿宋_GB2312" w:cs="仿宋_GB2312"/>
          <w:color w:val="auto"/>
          <w:kern w:val="0"/>
          <w:highlight w:val="none"/>
          <w:lang w:val="zh-CN"/>
        </w:rPr>
        <w:t>月</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日</w:t>
      </w:r>
    </w:p>
    <w:p w14:paraId="6F5725DC">
      <w:pPr>
        <w:spacing w:line="36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Cs w:val="21"/>
          <w:highlight w:val="none"/>
        </w:rPr>
        <w:t>从业人员、营业收入、资产总额填报上一年度数据，无上一年度数据的新成立企业可不填报。</w:t>
      </w:r>
    </w:p>
    <w:p w14:paraId="7D546680">
      <w:pPr>
        <w:spacing w:line="360" w:lineRule="auto"/>
        <w:ind w:right="42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w:t>
      </w:r>
    </w:p>
    <w:p w14:paraId="29ED26D3">
      <w:pPr>
        <w:spacing w:line="360" w:lineRule="auto"/>
        <w:ind w:right="420"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09F73CE7">
      <w:pPr>
        <w:spacing w:line="360" w:lineRule="auto"/>
        <w:ind w:right="420" w:firstLine="480" w:firstLineChars="200"/>
        <w:rPr>
          <w:rFonts w:hint="eastAsia" w:ascii="仿宋" w:hAnsi="仿宋" w:cs="仿宋"/>
          <w:bCs/>
          <w:color w:val="auto"/>
          <w:highlight w:val="none"/>
        </w:rPr>
      </w:pPr>
      <w:r>
        <w:rPr>
          <w:rFonts w:hint="eastAsia" w:ascii="仿宋_GB2312" w:hAnsi="仿宋_GB2312" w:eastAsia="仿宋_GB2312" w:cs="仿宋_GB2312"/>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134" w:bottom="1247" w:left="1134"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5AE9995-56B0-4C14-ADD7-57C6C72DE87B}"/>
  </w:font>
  <w:font w:name="Arial">
    <w:panose1 w:val="020B0604020202020204"/>
    <w:charset w:val="01"/>
    <w:family w:val="swiss"/>
    <w:pitch w:val="default"/>
    <w:sig w:usb0="E0002EFF" w:usb1="C000785B" w:usb2="00000009" w:usb3="00000000" w:csb0="400001FF" w:csb1="FFFF0000"/>
    <w:embedRegular r:id="rId2" w:fontKey="{E279BB6F-BA1F-4BC9-8B60-0357DF3B37CF}"/>
  </w:font>
  <w:font w:name="黑体">
    <w:panose1 w:val="02010609060101010101"/>
    <w:charset w:val="86"/>
    <w:family w:val="auto"/>
    <w:pitch w:val="default"/>
    <w:sig w:usb0="800002BF" w:usb1="38CF7CFA" w:usb2="00000016" w:usb3="00000000" w:csb0="00040001" w:csb1="00000000"/>
    <w:embedRegular r:id="rId3" w:fontKey="{5D9ACC2A-6A13-4F74-818A-D492B2CC89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4" w:fontKey="{4EA06DD7-766F-484C-A4F8-AD1EF4C02516}"/>
  </w:font>
  <w:font w:name="仿宋_GB2312">
    <w:panose1 w:val="02010609030101010101"/>
    <w:charset w:val="86"/>
    <w:family w:val="auto"/>
    <w:pitch w:val="default"/>
    <w:sig w:usb0="00000001" w:usb1="080E0000" w:usb2="00000000" w:usb3="00000000" w:csb0="00040000" w:csb1="00000000"/>
    <w:embedRegular r:id="rId5" w:fontKey="{C6ECCDE4-5B6B-438E-8C4D-EE064917F2DF}"/>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6" w:fontKey="{B3DB9260-7F4D-486B-90B9-78D2E37FBA4A}"/>
  </w:font>
  <w:font w:name="Segoe UI Symbol">
    <w:panose1 w:val="020B0502040204020203"/>
    <w:charset w:val="00"/>
    <w:family w:val="swiss"/>
    <w:pitch w:val="default"/>
    <w:sig w:usb0="800001E3" w:usb1="1200FFEF" w:usb2="00040000" w:usb3="04000000" w:csb0="00000001" w:csb1="40000000"/>
    <w:embedRegular r:id="rId7" w:fontKey="{5E987C57-F899-4E5B-ACE3-CF95A45F6E42}"/>
  </w:font>
  <w:font w:name="方正书宋_GBK">
    <w:altName w:val="微软雅黑"/>
    <w:panose1 w:val="00000000000000000000"/>
    <w:charset w:val="86"/>
    <w:family w:val="auto"/>
    <w:pitch w:val="default"/>
    <w:sig w:usb0="00000000" w:usb1="00000000" w:usb2="00000000" w:usb3="00000000" w:csb0="00040000" w:csb1="00000000"/>
    <w:embedRegular r:id="rId8" w:fontKey="{E2A7EE0A-9292-4DDE-A406-E28458BB487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98A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66CD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2" w:name="_Toc164085800"/>
    <w:bookmarkStart w:id="513" w:name="_Toc131845147"/>
    <w:bookmarkStart w:id="514" w:name="_Toc36110187"/>
    <w:bookmarkStart w:id="515" w:name="_Toc91899912"/>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5A7EE">
    <w:pPr>
      <w:pStyle w:val="41"/>
      <w:framePr w:wrap="around" w:vAnchor="text" w:hAnchor="margin" w:xAlign="right" w:y="1"/>
      <w:rPr>
        <w:rStyle w:val="73"/>
      </w:rPr>
    </w:pPr>
    <w:r>
      <w:fldChar w:fldCharType="begin"/>
    </w:r>
    <w:r>
      <w:rPr>
        <w:rStyle w:val="73"/>
      </w:rPr>
      <w:instrText xml:space="preserve">PAGE  </w:instrText>
    </w:r>
    <w:r>
      <w:fldChar w:fldCharType="end"/>
    </w:r>
  </w:p>
  <w:p w14:paraId="21A83D9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DE1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180B2">
    <w:pPr>
      <w:snapToGrid w:val="0"/>
      <w:jc w:val="center"/>
      <w:rPr>
        <w:rFonts w:eastAsia="宋体"/>
        <w:sz w:val="18"/>
        <w:szCs w:val="18"/>
      </w:rPr>
    </w:pPr>
    <w:r>
      <w:rPr>
        <w:rFonts w:eastAsia="宋体"/>
        <w:sz w:val="18"/>
        <w:szCs w:val="18"/>
        <w:lang w:val="zh-CN"/>
      </w:rPr>
      <w:t xml:space="preserve"> </w:t>
    </w:r>
    <w:r>
      <w:rPr>
        <w:rFonts w:eastAsia="宋体"/>
        <w:b/>
        <w:bCs/>
        <w:sz w:val="18"/>
        <w:szCs w:val="18"/>
      </w:rPr>
      <w:fldChar w:fldCharType="begin"/>
    </w:r>
    <w:r>
      <w:rPr>
        <w:rFonts w:eastAsia="宋体"/>
        <w:b/>
        <w:bCs/>
        <w:sz w:val="18"/>
        <w:szCs w:val="18"/>
      </w:rPr>
      <w:instrText xml:space="preserve">PAGE  \* Arabic  \* MERGEFORMAT</w:instrText>
    </w:r>
    <w:r>
      <w:rPr>
        <w:rFonts w:eastAsia="宋体"/>
        <w:b/>
        <w:bCs/>
        <w:sz w:val="18"/>
        <w:szCs w:val="18"/>
      </w:rPr>
      <w:fldChar w:fldCharType="separate"/>
    </w:r>
    <w:r>
      <w:rPr>
        <w:rFonts w:eastAsia="宋体"/>
        <w:b/>
        <w:bCs/>
        <w:sz w:val="18"/>
        <w:szCs w:val="18"/>
        <w:lang w:val="zh-CN"/>
      </w:rPr>
      <w:t>31</w:t>
    </w:r>
    <w:r>
      <w:rPr>
        <w:rFonts w:eastAsia="宋体"/>
        <w:b/>
        <w:bCs/>
        <w:sz w:val="18"/>
        <w:szCs w:val="18"/>
      </w:rPr>
      <w:fldChar w:fldCharType="end"/>
    </w:r>
    <w:r>
      <w:rPr>
        <w:rFonts w:eastAsia="宋体"/>
        <w:sz w:val="18"/>
        <w:szCs w:val="18"/>
        <w:lang w:val="zh-CN"/>
      </w:rPr>
      <w:t xml:space="preserve"> / </w:t>
    </w:r>
    <w:r>
      <w:rPr>
        <w:rFonts w:eastAsia="宋体"/>
        <w:b/>
        <w:bCs/>
        <w:sz w:val="18"/>
        <w:szCs w:val="18"/>
      </w:rPr>
      <w:fldChar w:fldCharType="begin"/>
    </w:r>
    <w:r>
      <w:rPr>
        <w:rFonts w:eastAsia="宋体"/>
        <w:b/>
        <w:bCs/>
        <w:sz w:val="18"/>
        <w:szCs w:val="18"/>
      </w:rPr>
      <w:instrText xml:space="preserve">NUMPAGES  \* Arabic  \* MERGEFORMAT</w:instrText>
    </w:r>
    <w:r>
      <w:rPr>
        <w:rFonts w:eastAsia="宋体"/>
        <w:b/>
        <w:bCs/>
        <w:sz w:val="18"/>
        <w:szCs w:val="18"/>
      </w:rPr>
      <w:fldChar w:fldCharType="separate"/>
    </w:r>
    <w:r>
      <w:rPr>
        <w:rFonts w:eastAsia="宋体"/>
        <w:b/>
        <w:bCs/>
        <w:sz w:val="18"/>
        <w:szCs w:val="18"/>
        <w:lang w:val="zh-CN"/>
      </w:rPr>
      <w:t>91</w:t>
    </w:r>
    <w:r>
      <w:rPr>
        <w:rFonts w:eastAsia="宋体"/>
        <w:b/>
        <w:bCs/>
        <w:sz w:val="18"/>
        <w:szCs w:val="18"/>
      </w:rPr>
      <w:fldChar w:fldCharType="end"/>
    </w:r>
  </w:p>
  <w:p w14:paraId="33B31EA2">
    <w:pPr>
      <w:snapToGrid w:val="0"/>
      <w:jc w:val="left"/>
      <w:rPr>
        <w:rFonts w:eastAsia="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EB5A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31C6F7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0B85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1BDADE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FCA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147B2D1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E75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1C6E2F4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A88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DBE72">
    <w:pPr>
      <w:pStyle w:val="43"/>
      <w:pBdr>
        <w:bottom w:val="single" w:color="auto" w:sz="6" w:space="4"/>
      </w:pBdr>
      <w:tabs>
        <w:tab w:val="right" w:pos="9040"/>
        <w:tab w:val="clear" w:pos="8306"/>
      </w:tabs>
      <w:ind w:right="-617" w:rightChars="-257"/>
      <w:jc w:val="right"/>
    </w:pPr>
    <w:r>
      <w:t></w:t>
    </w:r>
    <w:r>
      <w:rPr>
        <w:rFonts w:hint="eastAsia"/>
      </w:rPr>
      <w:t xml:space="preserve">       </w:t>
    </w:r>
    <w:r>
      <w:t>杭州市</w:t>
    </w:r>
    <w:r>
      <w:rPr>
        <w:rFonts w:hint="eastAsia"/>
      </w:rPr>
      <w:t>钱塘区</w:t>
    </w:r>
    <w:r>
      <w:t>政府采购公开招标文件</w:t>
    </w:r>
  </w:p>
  <w:p w14:paraId="573FE36B">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971C">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F5D3">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32576F4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06B74">
    <w:pPr>
      <w:pStyle w:val="43"/>
    </w:pPr>
    <w:r>
      <w:t></w:t>
    </w:r>
    <w:r>
      <w:rPr>
        <w:rFonts w:hint="eastAsia"/>
      </w:rPr>
      <w:t xml:space="preserve">         </w:t>
    </w:r>
  </w:p>
  <w:p w14:paraId="4C87106A">
    <w:pPr>
      <w:pStyle w:val="43"/>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A4971">
    <w:pPr>
      <w:pStyle w:val="43"/>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14:paraId="17302ED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50D90">
    <w:pPr>
      <w:pStyle w:val="43"/>
      <w:jc w:val="right"/>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391F">
    <w:pPr>
      <w:pStyle w:val="43"/>
      <w:jc w:val="right"/>
      <w:rPr>
        <w:rFonts w:ascii="仿宋_GB2312" w:eastAsia="仿宋_GB2312"/>
        <w:b/>
        <w:i/>
        <w:iCs/>
        <w:u w:val="single"/>
      </w:rPr>
    </w:pPr>
    <w:r>
      <w:t>杭州市</w:t>
    </w:r>
    <w:r>
      <w:rPr>
        <w:rFonts w:hint="eastAsia"/>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C98EF">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E51F3"/>
    <w:multiLevelType w:val="singleLevel"/>
    <w:tmpl w:val="8CCE51F3"/>
    <w:lvl w:ilvl="0" w:tentative="0">
      <w:start w:val="3"/>
      <w:numFmt w:val="chineseCounting"/>
      <w:suff w:val="space"/>
      <w:lvlText w:val="第%1部分"/>
      <w:lvlJc w:val="left"/>
      <w:rPr>
        <w:rFonts w:hint="eastAsia"/>
      </w:rPr>
    </w:lvl>
  </w:abstractNum>
  <w:abstractNum w:abstractNumId="1">
    <w:nsid w:val="F4CF58BF"/>
    <w:multiLevelType w:val="singleLevel"/>
    <w:tmpl w:val="F4CF58BF"/>
    <w:lvl w:ilvl="0" w:tentative="0">
      <w:start w:val="5"/>
      <w:numFmt w:val="chineseCounting"/>
      <w:suff w:val="nothing"/>
      <w:lvlText w:val="%1、"/>
      <w:lvlJc w:val="left"/>
      <w:rPr>
        <w:rFonts w:hint="eastAsia"/>
      </w:rPr>
    </w:lvl>
  </w:abstractNum>
  <w:abstractNum w:abstractNumId="2">
    <w:nsid w:val="24CBEEC0"/>
    <w:multiLevelType w:val="singleLevel"/>
    <w:tmpl w:val="24CBEEC0"/>
    <w:lvl w:ilvl="0" w:tentative="0">
      <w:start w:val="1"/>
      <w:numFmt w:val="decimal"/>
      <w:suff w:val="space"/>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ODk1ODg1NjliNjNiYzNmYzQyMTVlYmUyYjI4M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ED6"/>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6F3B"/>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A7A"/>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8FF"/>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8F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2B1"/>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A5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FEF"/>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AD2"/>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BA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35"/>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65C22"/>
    <w:rsid w:val="016A347B"/>
    <w:rsid w:val="017C039A"/>
    <w:rsid w:val="018F2EE2"/>
    <w:rsid w:val="019F7441"/>
    <w:rsid w:val="01AE0EEA"/>
    <w:rsid w:val="01B37585"/>
    <w:rsid w:val="01C75BB3"/>
    <w:rsid w:val="01D55165"/>
    <w:rsid w:val="01DF6BF8"/>
    <w:rsid w:val="01EC2C57"/>
    <w:rsid w:val="023A32B8"/>
    <w:rsid w:val="023B6CB2"/>
    <w:rsid w:val="025129DE"/>
    <w:rsid w:val="0269000C"/>
    <w:rsid w:val="026B2E25"/>
    <w:rsid w:val="0273010D"/>
    <w:rsid w:val="02824D4D"/>
    <w:rsid w:val="028F164E"/>
    <w:rsid w:val="0293255D"/>
    <w:rsid w:val="02DA018C"/>
    <w:rsid w:val="02DC4B10"/>
    <w:rsid w:val="02DD76CE"/>
    <w:rsid w:val="02E84657"/>
    <w:rsid w:val="02F36323"/>
    <w:rsid w:val="02F5619C"/>
    <w:rsid w:val="02FC44FD"/>
    <w:rsid w:val="0321400D"/>
    <w:rsid w:val="0326446A"/>
    <w:rsid w:val="032D5555"/>
    <w:rsid w:val="033243F7"/>
    <w:rsid w:val="034B2E38"/>
    <w:rsid w:val="036634D2"/>
    <w:rsid w:val="03990047"/>
    <w:rsid w:val="03A762C0"/>
    <w:rsid w:val="03B15391"/>
    <w:rsid w:val="03DD35E4"/>
    <w:rsid w:val="04076900"/>
    <w:rsid w:val="041A5A3B"/>
    <w:rsid w:val="04205325"/>
    <w:rsid w:val="042311BA"/>
    <w:rsid w:val="042B157A"/>
    <w:rsid w:val="044A0B40"/>
    <w:rsid w:val="044C330C"/>
    <w:rsid w:val="048F763B"/>
    <w:rsid w:val="049F330E"/>
    <w:rsid w:val="04AA775C"/>
    <w:rsid w:val="04AB7BBB"/>
    <w:rsid w:val="04AF1889"/>
    <w:rsid w:val="04BC7924"/>
    <w:rsid w:val="04CB2EA5"/>
    <w:rsid w:val="04D75109"/>
    <w:rsid w:val="04DC7BB8"/>
    <w:rsid w:val="04F55751"/>
    <w:rsid w:val="04F66F48"/>
    <w:rsid w:val="05251E14"/>
    <w:rsid w:val="052A0AC7"/>
    <w:rsid w:val="05326871"/>
    <w:rsid w:val="053E4A03"/>
    <w:rsid w:val="05575746"/>
    <w:rsid w:val="05720B50"/>
    <w:rsid w:val="05776166"/>
    <w:rsid w:val="05A16594"/>
    <w:rsid w:val="05A7762D"/>
    <w:rsid w:val="05C25634"/>
    <w:rsid w:val="05C55124"/>
    <w:rsid w:val="05DE0936"/>
    <w:rsid w:val="05F83E3E"/>
    <w:rsid w:val="060E5941"/>
    <w:rsid w:val="06110FAF"/>
    <w:rsid w:val="06400C4E"/>
    <w:rsid w:val="06493CA7"/>
    <w:rsid w:val="065546FA"/>
    <w:rsid w:val="065A3ABE"/>
    <w:rsid w:val="065A6178"/>
    <w:rsid w:val="06691F53"/>
    <w:rsid w:val="066B5037"/>
    <w:rsid w:val="066C4CFD"/>
    <w:rsid w:val="066F1CF3"/>
    <w:rsid w:val="067D155B"/>
    <w:rsid w:val="06802705"/>
    <w:rsid w:val="06930BB8"/>
    <w:rsid w:val="069A6270"/>
    <w:rsid w:val="06D939D5"/>
    <w:rsid w:val="06E74D44"/>
    <w:rsid w:val="06FC2DC7"/>
    <w:rsid w:val="071D537B"/>
    <w:rsid w:val="07245D42"/>
    <w:rsid w:val="07256D45"/>
    <w:rsid w:val="07264C62"/>
    <w:rsid w:val="07373DFF"/>
    <w:rsid w:val="073C1416"/>
    <w:rsid w:val="075C1AB8"/>
    <w:rsid w:val="077878FD"/>
    <w:rsid w:val="0779354C"/>
    <w:rsid w:val="07866B35"/>
    <w:rsid w:val="078D393A"/>
    <w:rsid w:val="07BD64DF"/>
    <w:rsid w:val="07D72EEC"/>
    <w:rsid w:val="07E94B80"/>
    <w:rsid w:val="08061376"/>
    <w:rsid w:val="081340BE"/>
    <w:rsid w:val="08452D77"/>
    <w:rsid w:val="085658B8"/>
    <w:rsid w:val="086401F8"/>
    <w:rsid w:val="086D32A4"/>
    <w:rsid w:val="08751CAA"/>
    <w:rsid w:val="087E436A"/>
    <w:rsid w:val="087E4C40"/>
    <w:rsid w:val="08823AF5"/>
    <w:rsid w:val="089748FF"/>
    <w:rsid w:val="08A435E9"/>
    <w:rsid w:val="08B374B6"/>
    <w:rsid w:val="08D66AD6"/>
    <w:rsid w:val="08DA33A3"/>
    <w:rsid w:val="08E31652"/>
    <w:rsid w:val="08E80F13"/>
    <w:rsid w:val="08F1667E"/>
    <w:rsid w:val="0900410E"/>
    <w:rsid w:val="090D3E5F"/>
    <w:rsid w:val="09134260"/>
    <w:rsid w:val="09335624"/>
    <w:rsid w:val="093F6F9B"/>
    <w:rsid w:val="0944690F"/>
    <w:rsid w:val="09535675"/>
    <w:rsid w:val="095900C1"/>
    <w:rsid w:val="095F057D"/>
    <w:rsid w:val="09642282"/>
    <w:rsid w:val="096D7C7F"/>
    <w:rsid w:val="09733572"/>
    <w:rsid w:val="09772C16"/>
    <w:rsid w:val="098353B5"/>
    <w:rsid w:val="09A92330"/>
    <w:rsid w:val="09B06B87"/>
    <w:rsid w:val="09C120A6"/>
    <w:rsid w:val="09C13146"/>
    <w:rsid w:val="09C262A2"/>
    <w:rsid w:val="09C771CC"/>
    <w:rsid w:val="09C849CE"/>
    <w:rsid w:val="09E04166"/>
    <w:rsid w:val="09F00295"/>
    <w:rsid w:val="09F12CD0"/>
    <w:rsid w:val="09F14739"/>
    <w:rsid w:val="0A142DE9"/>
    <w:rsid w:val="0A1C0718"/>
    <w:rsid w:val="0A3E7710"/>
    <w:rsid w:val="0A5B7E63"/>
    <w:rsid w:val="0A981059"/>
    <w:rsid w:val="0AA374A5"/>
    <w:rsid w:val="0AAB7649"/>
    <w:rsid w:val="0ABC5606"/>
    <w:rsid w:val="0ACA278E"/>
    <w:rsid w:val="0ACC2AB1"/>
    <w:rsid w:val="0ACF434F"/>
    <w:rsid w:val="0AEC4F01"/>
    <w:rsid w:val="0B0C35CA"/>
    <w:rsid w:val="0B15276E"/>
    <w:rsid w:val="0B30404E"/>
    <w:rsid w:val="0B3A3EBE"/>
    <w:rsid w:val="0B4668ED"/>
    <w:rsid w:val="0B48482D"/>
    <w:rsid w:val="0B4C6C14"/>
    <w:rsid w:val="0B4F677E"/>
    <w:rsid w:val="0B5D7BAD"/>
    <w:rsid w:val="0B631A88"/>
    <w:rsid w:val="0B683D45"/>
    <w:rsid w:val="0B7F3F11"/>
    <w:rsid w:val="0B884417"/>
    <w:rsid w:val="0B8D0F28"/>
    <w:rsid w:val="0BC014FA"/>
    <w:rsid w:val="0BF6188C"/>
    <w:rsid w:val="0BF73C91"/>
    <w:rsid w:val="0C0F6D61"/>
    <w:rsid w:val="0C170175"/>
    <w:rsid w:val="0C1C2A4F"/>
    <w:rsid w:val="0C353956"/>
    <w:rsid w:val="0C474AE5"/>
    <w:rsid w:val="0C540FAF"/>
    <w:rsid w:val="0C571A41"/>
    <w:rsid w:val="0C5C1171"/>
    <w:rsid w:val="0C5E1CBC"/>
    <w:rsid w:val="0C615B50"/>
    <w:rsid w:val="0C662B30"/>
    <w:rsid w:val="0C66658E"/>
    <w:rsid w:val="0C827929"/>
    <w:rsid w:val="0C8445DA"/>
    <w:rsid w:val="0C85560D"/>
    <w:rsid w:val="0C87121B"/>
    <w:rsid w:val="0C9E222B"/>
    <w:rsid w:val="0CC007F7"/>
    <w:rsid w:val="0CD8573D"/>
    <w:rsid w:val="0CFE707A"/>
    <w:rsid w:val="0D063BDA"/>
    <w:rsid w:val="0D08375F"/>
    <w:rsid w:val="0D184CFB"/>
    <w:rsid w:val="0D1B19F6"/>
    <w:rsid w:val="0D232EDB"/>
    <w:rsid w:val="0D4A7419"/>
    <w:rsid w:val="0D580CD3"/>
    <w:rsid w:val="0D7F4582"/>
    <w:rsid w:val="0D827401"/>
    <w:rsid w:val="0D84094E"/>
    <w:rsid w:val="0D8A00E9"/>
    <w:rsid w:val="0D8D589E"/>
    <w:rsid w:val="0DA01C73"/>
    <w:rsid w:val="0DAC63FA"/>
    <w:rsid w:val="0DD57ECE"/>
    <w:rsid w:val="0DD63300"/>
    <w:rsid w:val="0DF50604"/>
    <w:rsid w:val="0DF702FE"/>
    <w:rsid w:val="0E060E51"/>
    <w:rsid w:val="0E5604B2"/>
    <w:rsid w:val="0E6D5D79"/>
    <w:rsid w:val="0E9D0089"/>
    <w:rsid w:val="0EB803EE"/>
    <w:rsid w:val="0EBD2C18"/>
    <w:rsid w:val="0EDC2BF8"/>
    <w:rsid w:val="0EF94D4B"/>
    <w:rsid w:val="0F073156"/>
    <w:rsid w:val="0F182768"/>
    <w:rsid w:val="0F4958DC"/>
    <w:rsid w:val="0F515DF7"/>
    <w:rsid w:val="0F596BA8"/>
    <w:rsid w:val="0F6248D2"/>
    <w:rsid w:val="0F693536"/>
    <w:rsid w:val="0F7B0511"/>
    <w:rsid w:val="0F7B76D9"/>
    <w:rsid w:val="0F816ACD"/>
    <w:rsid w:val="0F87344A"/>
    <w:rsid w:val="0F9832DB"/>
    <w:rsid w:val="0FB76C18"/>
    <w:rsid w:val="0FBF3FD2"/>
    <w:rsid w:val="0FBF7FF3"/>
    <w:rsid w:val="0FDF5034"/>
    <w:rsid w:val="10001163"/>
    <w:rsid w:val="101E65E5"/>
    <w:rsid w:val="10646583"/>
    <w:rsid w:val="1072498F"/>
    <w:rsid w:val="10727C56"/>
    <w:rsid w:val="107D43E9"/>
    <w:rsid w:val="107D4B15"/>
    <w:rsid w:val="108A3C80"/>
    <w:rsid w:val="108F0808"/>
    <w:rsid w:val="10A049F6"/>
    <w:rsid w:val="10BC06C0"/>
    <w:rsid w:val="10C26171"/>
    <w:rsid w:val="10E548CC"/>
    <w:rsid w:val="10F33360"/>
    <w:rsid w:val="10FC16EA"/>
    <w:rsid w:val="110F1D40"/>
    <w:rsid w:val="1111746F"/>
    <w:rsid w:val="11155FA7"/>
    <w:rsid w:val="11266F33"/>
    <w:rsid w:val="11403485"/>
    <w:rsid w:val="116E59D2"/>
    <w:rsid w:val="118251BF"/>
    <w:rsid w:val="11833402"/>
    <w:rsid w:val="118963A1"/>
    <w:rsid w:val="11B147AE"/>
    <w:rsid w:val="11B86CCE"/>
    <w:rsid w:val="11C6522A"/>
    <w:rsid w:val="11E104CC"/>
    <w:rsid w:val="11E20309"/>
    <w:rsid w:val="11EC3A38"/>
    <w:rsid w:val="11FF551A"/>
    <w:rsid w:val="120328B4"/>
    <w:rsid w:val="12255233"/>
    <w:rsid w:val="12530213"/>
    <w:rsid w:val="125D4C68"/>
    <w:rsid w:val="127723A9"/>
    <w:rsid w:val="127B43A8"/>
    <w:rsid w:val="12862074"/>
    <w:rsid w:val="12883966"/>
    <w:rsid w:val="129245E0"/>
    <w:rsid w:val="129E45B4"/>
    <w:rsid w:val="12A85BB1"/>
    <w:rsid w:val="12D81596"/>
    <w:rsid w:val="12E56E05"/>
    <w:rsid w:val="12F126A5"/>
    <w:rsid w:val="13072A44"/>
    <w:rsid w:val="13394B76"/>
    <w:rsid w:val="13435B84"/>
    <w:rsid w:val="13477178"/>
    <w:rsid w:val="135F4BE2"/>
    <w:rsid w:val="13777DA9"/>
    <w:rsid w:val="139B1A0A"/>
    <w:rsid w:val="139D25C7"/>
    <w:rsid w:val="13BF3CE4"/>
    <w:rsid w:val="14081BDD"/>
    <w:rsid w:val="141008D8"/>
    <w:rsid w:val="14125FE6"/>
    <w:rsid w:val="141F00F5"/>
    <w:rsid w:val="142624B3"/>
    <w:rsid w:val="14357918"/>
    <w:rsid w:val="145F46B7"/>
    <w:rsid w:val="146D271E"/>
    <w:rsid w:val="147321EF"/>
    <w:rsid w:val="14830684"/>
    <w:rsid w:val="14884E45"/>
    <w:rsid w:val="14982588"/>
    <w:rsid w:val="149A5AD9"/>
    <w:rsid w:val="149A6173"/>
    <w:rsid w:val="14A405FA"/>
    <w:rsid w:val="14A7619D"/>
    <w:rsid w:val="14C52BB9"/>
    <w:rsid w:val="14CB202B"/>
    <w:rsid w:val="14D07641"/>
    <w:rsid w:val="150536C3"/>
    <w:rsid w:val="150C1963"/>
    <w:rsid w:val="150F1F18"/>
    <w:rsid w:val="151447A0"/>
    <w:rsid w:val="153576D5"/>
    <w:rsid w:val="15485429"/>
    <w:rsid w:val="154A6454"/>
    <w:rsid w:val="15602773"/>
    <w:rsid w:val="15762120"/>
    <w:rsid w:val="159348F7"/>
    <w:rsid w:val="159D5775"/>
    <w:rsid w:val="15A07014"/>
    <w:rsid w:val="15A42F27"/>
    <w:rsid w:val="15AE1730"/>
    <w:rsid w:val="15AF7257"/>
    <w:rsid w:val="15B43CCC"/>
    <w:rsid w:val="15E2762C"/>
    <w:rsid w:val="15F20C1E"/>
    <w:rsid w:val="15F335E7"/>
    <w:rsid w:val="15FD4466"/>
    <w:rsid w:val="1638724C"/>
    <w:rsid w:val="163879C5"/>
    <w:rsid w:val="1658169C"/>
    <w:rsid w:val="16A8729C"/>
    <w:rsid w:val="16B33777"/>
    <w:rsid w:val="16BC70A7"/>
    <w:rsid w:val="16C6339E"/>
    <w:rsid w:val="16CD4677"/>
    <w:rsid w:val="16E20ACC"/>
    <w:rsid w:val="171C6B6E"/>
    <w:rsid w:val="17285513"/>
    <w:rsid w:val="172F2D79"/>
    <w:rsid w:val="17557BEF"/>
    <w:rsid w:val="17563E2E"/>
    <w:rsid w:val="17696E04"/>
    <w:rsid w:val="17A16EC5"/>
    <w:rsid w:val="17B521EA"/>
    <w:rsid w:val="17CA75AF"/>
    <w:rsid w:val="17D349C1"/>
    <w:rsid w:val="1830729E"/>
    <w:rsid w:val="18323663"/>
    <w:rsid w:val="183811AC"/>
    <w:rsid w:val="183F0D66"/>
    <w:rsid w:val="18477C1A"/>
    <w:rsid w:val="185F0FC1"/>
    <w:rsid w:val="18664544"/>
    <w:rsid w:val="1870062C"/>
    <w:rsid w:val="18817102"/>
    <w:rsid w:val="18830A15"/>
    <w:rsid w:val="18852B28"/>
    <w:rsid w:val="188B5321"/>
    <w:rsid w:val="188B7B07"/>
    <w:rsid w:val="188C5EAB"/>
    <w:rsid w:val="18AD2173"/>
    <w:rsid w:val="18B1529D"/>
    <w:rsid w:val="193429B6"/>
    <w:rsid w:val="194E0F99"/>
    <w:rsid w:val="19564572"/>
    <w:rsid w:val="195C774C"/>
    <w:rsid w:val="197E61E3"/>
    <w:rsid w:val="19932372"/>
    <w:rsid w:val="19A20DD5"/>
    <w:rsid w:val="19A6605E"/>
    <w:rsid w:val="19AB6C74"/>
    <w:rsid w:val="19AE03F1"/>
    <w:rsid w:val="19C239FC"/>
    <w:rsid w:val="1A071A03"/>
    <w:rsid w:val="1A1F16AE"/>
    <w:rsid w:val="1A3B5C77"/>
    <w:rsid w:val="1A407C9B"/>
    <w:rsid w:val="1A5F231D"/>
    <w:rsid w:val="1A6A6690"/>
    <w:rsid w:val="1A984BAD"/>
    <w:rsid w:val="1AA7450E"/>
    <w:rsid w:val="1AA749A0"/>
    <w:rsid w:val="1AB8220E"/>
    <w:rsid w:val="1AD1641F"/>
    <w:rsid w:val="1AE4166C"/>
    <w:rsid w:val="1AF06CFB"/>
    <w:rsid w:val="1AF11B8D"/>
    <w:rsid w:val="1B11359C"/>
    <w:rsid w:val="1B2A271F"/>
    <w:rsid w:val="1B4A1EFB"/>
    <w:rsid w:val="1B530544"/>
    <w:rsid w:val="1B713184"/>
    <w:rsid w:val="1B723200"/>
    <w:rsid w:val="1B894423"/>
    <w:rsid w:val="1BA209CF"/>
    <w:rsid w:val="1BB4777D"/>
    <w:rsid w:val="1BBFFA0D"/>
    <w:rsid w:val="1BC81072"/>
    <w:rsid w:val="1BD75AB8"/>
    <w:rsid w:val="1BE13EE2"/>
    <w:rsid w:val="1C0459C2"/>
    <w:rsid w:val="1C13053F"/>
    <w:rsid w:val="1C1B3B4A"/>
    <w:rsid w:val="1C1C4F1A"/>
    <w:rsid w:val="1C3D6766"/>
    <w:rsid w:val="1C421C93"/>
    <w:rsid w:val="1C6201FC"/>
    <w:rsid w:val="1C88086E"/>
    <w:rsid w:val="1C92024C"/>
    <w:rsid w:val="1CB25FAA"/>
    <w:rsid w:val="1CBA27B2"/>
    <w:rsid w:val="1CBD494F"/>
    <w:rsid w:val="1CC96B83"/>
    <w:rsid w:val="1CDF7469"/>
    <w:rsid w:val="1D266CE1"/>
    <w:rsid w:val="1D2B18B9"/>
    <w:rsid w:val="1D3963AF"/>
    <w:rsid w:val="1D3F269C"/>
    <w:rsid w:val="1D441EE7"/>
    <w:rsid w:val="1D6A673C"/>
    <w:rsid w:val="1D796AC8"/>
    <w:rsid w:val="1D861B8A"/>
    <w:rsid w:val="1D9247AE"/>
    <w:rsid w:val="1D944134"/>
    <w:rsid w:val="1D9E652E"/>
    <w:rsid w:val="1DB567EC"/>
    <w:rsid w:val="1DC02833"/>
    <w:rsid w:val="1DDC5AED"/>
    <w:rsid w:val="1DEF6D8A"/>
    <w:rsid w:val="1DF51A98"/>
    <w:rsid w:val="1E193E07"/>
    <w:rsid w:val="1E3D060F"/>
    <w:rsid w:val="1E3F7D2E"/>
    <w:rsid w:val="1E403055"/>
    <w:rsid w:val="1E4134E4"/>
    <w:rsid w:val="1E4939F3"/>
    <w:rsid w:val="1E5062B3"/>
    <w:rsid w:val="1E523514"/>
    <w:rsid w:val="1E560BB7"/>
    <w:rsid w:val="1E714A66"/>
    <w:rsid w:val="1E7549FC"/>
    <w:rsid w:val="1E802593"/>
    <w:rsid w:val="1E8E28AE"/>
    <w:rsid w:val="1E9516DF"/>
    <w:rsid w:val="1EA703CC"/>
    <w:rsid w:val="1EB7330C"/>
    <w:rsid w:val="1ED007AB"/>
    <w:rsid w:val="1F0A0FF3"/>
    <w:rsid w:val="1F264A2D"/>
    <w:rsid w:val="1F325180"/>
    <w:rsid w:val="1F5771FF"/>
    <w:rsid w:val="1FC05C69"/>
    <w:rsid w:val="1FC35DD8"/>
    <w:rsid w:val="1FCF6E73"/>
    <w:rsid w:val="1FD44489"/>
    <w:rsid w:val="1FE30A9E"/>
    <w:rsid w:val="1FE83A91"/>
    <w:rsid w:val="1FE868A9"/>
    <w:rsid w:val="20034907"/>
    <w:rsid w:val="200F3851"/>
    <w:rsid w:val="20173E4B"/>
    <w:rsid w:val="20450EE3"/>
    <w:rsid w:val="204E48BC"/>
    <w:rsid w:val="20711CD8"/>
    <w:rsid w:val="207B4905"/>
    <w:rsid w:val="208921B3"/>
    <w:rsid w:val="20973DEB"/>
    <w:rsid w:val="209C5078"/>
    <w:rsid w:val="20A774A8"/>
    <w:rsid w:val="20AC2D10"/>
    <w:rsid w:val="20B26522"/>
    <w:rsid w:val="20B44310"/>
    <w:rsid w:val="211116EB"/>
    <w:rsid w:val="21350F58"/>
    <w:rsid w:val="215D2B5A"/>
    <w:rsid w:val="216133FC"/>
    <w:rsid w:val="21D56769"/>
    <w:rsid w:val="21E14C3C"/>
    <w:rsid w:val="21E302F6"/>
    <w:rsid w:val="21E40288"/>
    <w:rsid w:val="21E52EF3"/>
    <w:rsid w:val="21FB5D7B"/>
    <w:rsid w:val="220B1C3D"/>
    <w:rsid w:val="221072CF"/>
    <w:rsid w:val="221D1D20"/>
    <w:rsid w:val="22334A87"/>
    <w:rsid w:val="22401962"/>
    <w:rsid w:val="229949F1"/>
    <w:rsid w:val="22A55C69"/>
    <w:rsid w:val="22A87507"/>
    <w:rsid w:val="22BE6801"/>
    <w:rsid w:val="233500BF"/>
    <w:rsid w:val="23377FF7"/>
    <w:rsid w:val="236B425F"/>
    <w:rsid w:val="23836192"/>
    <w:rsid w:val="23901F29"/>
    <w:rsid w:val="239962AA"/>
    <w:rsid w:val="239C0061"/>
    <w:rsid w:val="23B908A4"/>
    <w:rsid w:val="23BC1356"/>
    <w:rsid w:val="23E87AD7"/>
    <w:rsid w:val="23E95BEF"/>
    <w:rsid w:val="23F72873"/>
    <w:rsid w:val="23F8607F"/>
    <w:rsid w:val="23FA1FE5"/>
    <w:rsid w:val="23FD0064"/>
    <w:rsid w:val="242A269E"/>
    <w:rsid w:val="245375B0"/>
    <w:rsid w:val="24642C0A"/>
    <w:rsid w:val="247E195A"/>
    <w:rsid w:val="247E49C4"/>
    <w:rsid w:val="24802433"/>
    <w:rsid w:val="24913CFE"/>
    <w:rsid w:val="249E7A14"/>
    <w:rsid w:val="24B22173"/>
    <w:rsid w:val="24B95AD9"/>
    <w:rsid w:val="24BE24DA"/>
    <w:rsid w:val="24CC572F"/>
    <w:rsid w:val="24CF5825"/>
    <w:rsid w:val="24CF6FCD"/>
    <w:rsid w:val="24D663E6"/>
    <w:rsid w:val="24D77F2B"/>
    <w:rsid w:val="24D804D4"/>
    <w:rsid w:val="24E22A16"/>
    <w:rsid w:val="25292B82"/>
    <w:rsid w:val="253908EB"/>
    <w:rsid w:val="253D487F"/>
    <w:rsid w:val="25845AE4"/>
    <w:rsid w:val="258A1146"/>
    <w:rsid w:val="258B00E2"/>
    <w:rsid w:val="25981AB5"/>
    <w:rsid w:val="25A917A6"/>
    <w:rsid w:val="25BE27CC"/>
    <w:rsid w:val="25DD571A"/>
    <w:rsid w:val="25E92219"/>
    <w:rsid w:val="25F54D01"/>
    <w:rsid w:val="25F74A5C"/>
    <w:rsid w:val="2600781F"/>
    <w:rsid w:val="2609650F"/>
    <w:rsid w:val="2628662C"/>
    <w:rsid w:val="262D45DE"/>
    <w:rsid w:val="26462005"/>
    <w:rsid w:val="265D123D"/>
    <w:rsid w:val="26891855"/>
    <w:rsid w:val="268D2755"/>
    <w:rsid w:val="26A53EF9"/>
    <w:rsid w:val="26A94201"/>
    <w:rsid w:val="26AC274F"/>
    <w:rsid w:val="26B26BA7"/>
    <w:rsid w:val="26C304D5"/>
    <w:rsid w:val="26EB3002"/>
    <w:rsid w:val="27044A29"/>
    <w:rsid w:val="271D34C8"/>
    <w:rsid w:val="273E043A"/>
    <w:rsid w:val="274C2B57"/>
    <w:rsid w:val="27595274"/>
    <w:rsid w:val="276142BF"/>
    <w:rsid w:val="27783712"/>
    <w:rsid w:val="27907362"/>
    <w:rsid w:val="27930616"/>
    <w:rsid w:val="27952750"/>
    <w:rsid w:val="27A34F67"/>
    <w:rsid w:val="27AB1F74"/>
    <w:rsid w:val="27B24123"/>
    <w:rsid w:val="28044029"/>
    <w:rsid w:val="28333E1D"/>
    <w:rsid w:val="283F090E"/>
    <w:rsid w:val="28454BD6"/>
    <w:rsid w:val="28455253"/>
    <w:rsid w:val="28551971"/>
    <w:rsid w:val="285B1C53"/>
    <w:rsid w:val="285C326E"/>
    <w:rsid w:val="285F60AF"/>
    <w:rsid w:val="289F7086"/>
    <w:rsid w:val="28C32028"/>
    <w:rsid w:val="28CC490F"/>
    <w:rsid w:val="28DA0759"/>
    <w:rsid w:val="28DE40AA"/>
    <w:rsid w:val="28E05C4D"/>
    <w:rsid w:val="28E31299"/>
    <w:rsid w:val="290B023E"/>
    <w:rsid w:val="291E22D1"/>
    <w:rsid w:val="291E49C7"/>
    <w:rsid w:val="29266E45"/>
    <w:rsid w:val="29345E77"/>
    <w:rsid w:val="294C65AD"/>
    <w:rsid w:val="2963612E"/>
    <w:rsid w:val="29806583"/>
    <w:rsid w:val="298B3C4C"/>
    <w:rsid w:val="29AE7AF9"/>
    <w:rsid w:val="29B91B25"/>
    <w:rsid w:val="29F26D24"/>
    <w:rsid w:val="29F82F90"/>
    <w:rsid w:val="2A15033F"/>
    <w:rsid w:val="2A1662C1"/>
    <w:rsid w:val="2A1C7367"/>
    <w:rsid w:val="2A2815FA"/>
    <w:rsid w:val="2A325A8B"/>
    <w:rsid w:val="2A4509B5"/>
    <w:rsid w:val="2A481CFC"/>
    <w:rsid w:val="2A503C36"/>
    <w:rsid w:val="2A6D6092"/>
    <w:rsid w:val="2A783C63"/>
    <w:rsid w:val="2A7D76B4"/>
    <w:rsid w:val="2AA37998"/>
    <w:rsid w:val="2B0100FD"/>
    <w:rsid w:val="2B1020EE"/>
    <w:rsid w:val="2B437463"/>
    <w:rsid w:val="2B45448D"/>
    <w:rsid w:val="2B5260DB"/>
    <w:rsid w:val="2B5B5A5F"/>
    <w:rsid w:val="2B67536E"/>
    <w:rsid w:val="2B7807EE"/>
    <w:rsid w:val="2B7B2D90"/>
    <w:rsid w:val="2B7C09FF"/>
    <w:rsid w:val="2BA03472"/>
    <w:rsid w:val="2BBF00EC"/>
    <w:rsid w:val="2BC36A66"/>
    <w:rsid w:val="2BC37CFD"/>
    <w:rsid w:val="2BD5237F"/>
    <w:rsid w:val="2BD61589"/>
    <w:rsid w:val="2BE536CE"/>
    <w:rsid w:val="2BE758D9"/>
    <w:rsid w:val="2C09049E"/>
    <w:rsid w:val="2C0A4D8F"/>
    <w:rsid w:val="2C0A653C"/>
    <w:rsid w:val="2C181117"/>
    <w:rsid w:val="2C191F85"/>
    <w:rsid w:val="2C587C1E"/>
    <w:rsid w:val="2C5D75B5"/>
    <w:rsid w:val="2C736DD8"/>
    <w:rsid w:val="2C797CD0"/>
    <w:rsid w:val="2C8B4122"/>
    <w:rsid w:val="2C923DA9"/>
    <w:rsid w:val="2CE82D6F"/>
    <w:rsid w:val="2CFC0B7C"/>
    <w:rsid w:val="2D173C07"/>
    <w:rsid w:val="2D343236"/>
    <w:rsid w:val="2D4C1961"/>
    <w:rsid w:val="2D524C40"/>
    <w:rsid w:val="2DBD0A88"/>
    <w:rsid w:val="2DD15014"/>
    <w:rsid w:val="2DE50644"/>
    <w:rsid w:val="2DED6716"/>
    <w:rsid w:val="2DF72DE4"/>
    <w:rsid w:val="2DFA0DC5"/>
    <w:rsid w:val="2E0220AF"/>
    <w:rsid w:val="2E1126DF"/>
    <w:rsid w:val="2E1B3283"/>
    <w:rsid w:val="2E3B3926"/>
    <w:rsid w:val="2E4B082A"/>
    <w:rsid w:val="2E51400E"/>
    <w:rsid w:val="2E556795"/>
    <w:rsid w:val="2E563BF7"/>
    <w:rsid w:val="2E5D4E86"/>
    <w:rsid w:val="2E5D790B"/>
    <w:rsid w:val="2E7035CF"/>
    <w:rsid w:val="2E9A3C18"/>
    <w:rsid w:val="2EBB0FEE"/>
    <w:rsid w:val="2EC63002"/>
    <w:rsid w:val="2F0A6B38"/>
    <w:rsid w:val="2F124686"/>
    <w:rsid w:val="2F1750AC"/>
    <w:rsid w:val="2F5A34F6"/>
    <w:rsid w:val="2F642A08"/>
    <w:rsid w:val="2F787B90"/>
    <w:rsid w:val="2F886979"/>
    <w:rsid w:val="2F946CCB"/>
    <w:rsid w:val="2F951DFB"/>
    <w:rsid w:val="2F9652B7"/>
    <w:rsid w:val="2FB7088F"/>
    <w:rsid w:val="2FD25781"/>
    <w:rsid w:val="2FFD7934"/>
    <w:rsid w:val="30534F57"/>
    <w:rsid w:val="305B1897"/>
    <w:rsid w:val="30733ACD"/>
    <w:rsid w:val="308C3862"/>
    <w:rsid w:val="309379D8"/>
    <w:rsid w:val="309F1F4A"/>
    <w:rsid w:val="30A05CC2"/>
    <w:rsid w:val="30A270F7"/>
    <w:rsid w:val="30CD2C66"/>
    <w:rsid w:val="30D36097"/>
    <w:rsid w:val="30D90298"/>
    <w:rsid w:val="30DF1478"/>
    <w:rsid w:val="30EC586F"/>
    <w:rsid w:val="31083F93"/>
    <w:rsid w:val="31264419"/>
    <w:rsid w:val="31464ABB"/>
    <w:rsid w:val="31490FC3"/>
    <w:rsid w:val="31554CFE"/>
    <w:rsid w:val="318A0E4C"/>
    <w:rsid w:val="31905D36"/>
    <w:rsid w:val="319375DC"/>
    <w:rsid w:val="319C6071"/>
    <w:rsid w:val="319C7F9D"/>
    <w:rsid w:val="31AC537E"/>
    <w:rsid w:val="31D7650C"/>
    <w:rsid w:val="31DC7DE2"/>
    <w:rsid w:val="31E3679B"/>
    <w:rsid w:val="31E732FD"/>
    <w:rsid w:val="32517576"/>
    <w:rsid w:val="32545E86"/>
    <w:rsid w:val="326233E9"/>
    <w:rsid w:val="32656374"/>
    <w:rsid w:val="328D5B94"/>
    <w:rsid w:val="32A01FA9"/>
    <w:rsid w:val="32BE5C2C"/>
    <w:rsid w:val="32FB6478"/>
    <w:rsid w:val="33263B3F"/>
    <w:rsid w:val="334E24B3"/>
    <w:rsid w:val="334F7120"/>
    <w:rsid w:val="336963EB"/>
    <w:rsid w:val="337230F3"/>
    <w:rsid w:val="33727DEA"/>
    <w:rsid w:val="33816EEB"/>
    <w:rsid w:val="33846123"/>
    <w:rsid w:val="338813BB"/>
    <w:rsid w:val="338A0311"/>
    <w:rsid w:val="33DE722D"/>
    <w:rsid w:val="33EB55CD"/>
    <w:rsid w:val="33EC194A"/>
    <w:rsid w:val="33EC4C02"/>
    <w:rsid w:val="340D2360"/>
    <w:rsid w:val="3410665D"/>
    <w:rsid w:val="34124E23"/>
    <w:rsid w:val="341365A3"/>
    <w:rsid w:val="34211214"/>
    <w:rsid w:val="342B1616"/>
    <w:rsid w:val="342C7F98"/>
    <w:rsid w:val="342E63AB"/>
    <w:rsid w:val="343155AF"/>
    <w:rsid w:val="3449236A"/>
    <w:rsid w:val="344B50E2"/>
    <w:rsid w:val="34787E91"/>
    <w:rsid w:val="34950E68"/>
    <w:rsid w:val="34986E94"/>
    <w:rsid w:val="34AF62C9"/>
    <w:rsid w:val="34BA37F6"/>
    <w:rsid w:val="34C46423"/>
    <w:rsid w:val="34CB4388"/>
    <w:rsid w:val="34DF325D"/>
    <w:rsid w:val="34E95E89"/>
    <w:rsid w:val="34FA6E12"/>
    <w:rsid w:val="34FD36E3"/>
    <w:rsid w:val="351B7034"/>
    <w:rsid w:val="353428FA"/>
    <w:rsid w:val="353F5AA9"/>
    <w:rsid w:val="356E638F"/>
    <w:rsid w:val="35835ED9"/>
    <w:rsid w:val="358D2CB9"/>
    <w:rsid w:val="358D5588"/>
    <w:rsid w:val="35BA6262"/>
    <w:rsid w:val="35D91634"/>
    <w:rsid w:val="36017203"/>
    <w:rsid w:val="360C2F1F"/>
    <w:rsid w:val="360D1549"/>
    <w:rsid w:val="36107446"/>
    <w:rsid w:val="361909F0"/>
    <w:rsid w:val="36383C2B"/>
    <w:rsid w:val="363A3B40"/>
    <w:rsid w:val="364A2958"/>
    <w:rsid w:val="364D069A"/>
    <w:rsid w:val="365302AE"/>
    <w:rsid w:val="36607A0A"/>
    <w:rsid w:val="366A4187"/>
    <w:rsid w:val="366E227C"/>
    <w:rsid w:val="366F2E0D"/>
    <w:rsid w:val="367B6A5C"/>
    <w:rsid w:val="367E6AA5"/>
    <w:rsid w:val="368F553E"/>
    <w:rsid w:val="36A74ADA"/>
    <w:rsid w:val="36AD60D5"/>
    <w:rsid w:val="36B224F9"/>
    <w:rsid w:val="36CD06D8"/>
    <w:rsid w:val="36D36DF1"/>
    <w:rsid w:val="36D6068F"/>
    <w:rsid w:val="36EC0CC9"/>
    <w:rsid w:val="370C12F5"/>
    <w:rsid w:val="37153EE7"/>
    <w:rsid w:val="371D36CD"/>
    <w:rsid w:val="373F410B"/>
    <w:rsid w:val="37557E0A"/>
    <w:rsid w:val="376822D6"/>
    <w:rsid w:val="37751C56"/>
    <w:rsid w:val="378B76CC"/>
    <w:rsid w:val="37BA1D5F"/>
    <w:rsid w:val="37C30C14"/>
    <w:rsid w:val="37EE7094"/>
    <w:rsid w:val="37FC4126"/>
    <w:rsid w:val="382316B2"/>
    <w:rsid w:val="38262F33"/>
    <w:rsid w:val="38296C89"/>
    <w:rsid w:val="383002EB"/>
    <w:rsid w:val="38586797"/>
    <w:rsid w:val="3894435E"/>
    <w:rsid w:val="38B7004D"/>
    <w:rsid w:val="38BB18EB"/>
    <w:rsid w:val="38BC0149"/>
    <w:rsid w:val="38D87D1C"/>
    <w:rsid w:val="38DB384F"/>
    <w:rsid w:val="38EF0EF7"/>
    <w:rsid w:val="393022D9"/>
    <w:rsid w:val="39636459"/>
    <w:rsid w:val="396B7F6C"/>
    <w:rsid w:val="39B417A9"/>
    <w:rsid w:val="39B966BF"/>
    <w:rsid w:val="39FC5695"/>
    <w:rsid w:val="3A006D8E"/>
    <w:rsid w:val="3A1C285D"/>
    <w:rsid w:val="3A3651E5"/>
    <w:rsid w:val="3A547712"/>
    <w:rsid w:val="3A5E2E76"/>
    <w:rsid w:val="3A685AA2"/>
    <w:rsid w:val="3A6F0BDF"/>
    <w:rsid w:val="3A731E67"/>
    <w:rsid w:val="3A744481"/>
    <w:rsid w:val="3A8221A0"/>
    <w:rsid w:val="3A824DB6"/>
    <w:rsid w:val="3A8C7BEF"/>
    <w:rsid w:val="3A906246"/>
    <w:rsid w:val="3AA02C14"/>
    <w:rsid w:val="3B0B16C4"/>
    <w:rsid w:val="3B0C4680"/>
    <w:rsid w:val="3B221D3B"/>
    <w:rsid w:val="3B2349B7"/>
    <w:rsid w:val="3B392F9B"/>
    <w:rsid w:val="3B616CFF"/>
    <w:rsid w:val="3B6259F6"/>
    <w:rsid w:val="3B7017EA"/>
    <w:rsid w:val="3B8559E3"/>
    <w:rsid w:val="3B976654"/>
    <w:rsid w:val="3BC01EFC"/>
    <w:rsid w:val="3BCA786A"/>
    <w:rsid w:val="3BD31E2F"/>
    <w:rsid w:val="3BD625E2"/>
    <w:rsid w:val="3BF15831"/>
    <w:rsid w:val="3BF36F22"/>
    <w:rsid w:val="3C047A4D"/>
    <w:rsid w:val="3C105946"/>
    <w:rsid w:val="3C471448"/>
    <w:rsid w:val="3C526A0A"/>
    <w:rsid w:val="3C5B35E6"/>
    <w:rsid w:val="3C5F759A"/>
    <w:rsid w:val="3C6C525A"/>
    <w:rsid w:val="3C795D45"/>
    <w:rsid w:val="3C9963E7"/>
    <w:rsid w:val="3CAD1E92"/>
    <w:rsid w:val="3CCE23CB"/>
    <w:rsid w:val="3CD17D17"/>
    <w:rsid w:val="3CD967E3"/>
    <w:rsid w:val="3CE56CCD"/>
    <w:rsid w:val="3CF96EA3"/>
    <w:rsid w:val="3D092ABE"/>
    <w:rsid w:val="3D163594"/>
    <w:rsid w:val="3D3C7F39"/>
    <w:rsid w:val="3D440F09"/>
    <w:rsid w:val="3D4504A0"/>
    <w:rsid w:val="3D662991"/>
    <w:rsid w:val="3D8734BB"/>
    <w:rsid w:val="3D962926"/>
    <w:rsid w:val="3D9A11D4"/>
    <w:rsid w:val="3DA16D89"/>
    <w:rsid w:val="3DA364BE"/>
    <w:rsid w:val="3DAF5C29"/>
    <w:rsid w:val="3DB54E2C"/>
    <w:rsid w:val="3DC56607"/>
    <w:rsid w:val="3DE041CB"/>
    <w:rsid w:val="3E0D48F6"/>
    <w:rsid w:val="3E1868B4"/>
    <w:rsid w:val="3E377251"/>
    <w:rsid w:val="3E42664B"/>
    <w:rsid w:val="3E5A7334"/>
    <w:rsid w:val="3E6F7297"/>
    <w:rsid w:val="3E720C9E"/>
    <w:rsid w:val="3E7569E0"/>
    <w:rsid w:val="3E7B5D6B"/>
    <w:rsid w:val="3E843E66"/>
    <w:rsid w:val="3E88226F"/>
    <w:rsid w:val="3E8F51FE"/>
    <w:rsid w:val="3E926F87"/>
    <w:rsid w:val="3E9A59DE"/>
    <w:rsid w:val="3EA03A5D"/>
    <w:rsid w:val="3EAF4836"/>
    <w:rsid w:val="3EC33DFA"/>
    <w:rsid w:val="3ECE746E"/>
    <w:rsid w:val="3EF90B81"/>
    <w:rsid w:val="3F0538C0"/>
    <w:rsid w:val="3F060E16"/>
    <w:rsid w:val="3F1D1096"/>
    <w:rsid w:val="3F2F0234"/>
    <w:rsid w:val="3F401855"/>
    <w:rsid w:val="3F6031EC"/>
    <w:rsid w:val="3F6363FE"/>
    <w:rsid w:val="3F756B8F"/>
    <w:rsid w:val="3F7B6278"/>
    <w:rsid w:val="3F81250C"/>
    <w:rsid w:val="3F95482B"/>
    <w:rsid w:val="3FB3156E"/>
    <w:rsid w:val="3FFB181F"/>
    <w:rsid w:val="400022D9"/>
    <w:rsid w:val="40181D19"/>
    <w:rsid w:val="4019356B"/>
    <w:rsid w:val="401C35B7"/>
    <w:rsid w:val="401E5FF4"/>
    <w:rsid w:val="403A09BD"/>
    <w:rsid w:val="40592157"/>
    <w:rsid w:val="406E1CAE"/>
    <w:rsid w:val="40860A30"/>
    <w:rsid w:val="40913477"/>
    <w:rsid w:val="4096091E"/>
    <w:rsid w:val="40970E8F"/>
    <w:rsid w:val="40A0133A"/>
    <w:rsid w:val="40B05AAD"/>
    <w:rsid w:val="40C31A53"/>
    <w:rsid w:val="40FF545D"/>
    <w:rsid w:val="410067C8"/>
    <w:rsid w:val="4105229D"/>
    <w:rsid w:val="410A78B3"/>
    <w:rsid w:val="41250249"/>
    <w:rsid w:val="4135050E"/>
    <w:rsid w:val="414A5F02"/>
    <w:rsid w:val="417E3DFD"/>
    <w:rsid w:val="41806702"/>
    <w:rsid w:val="418F0D2A"/>
    <w:rsid w:val="41A444BF"/>
    <w:rsid w:val="41A87593"/>
    <w:rsid w:val="41D01505"/>
    <w:rsid w:val="41D80075"/>
    <w:rsid w:val="41DA7286"/>
    <w:rsid w:val="41E9396D"/>
    <w:rsid w:val="41F30347"/>
    <w:rsid w:val="42474939"/>
    <w:rsid w:val="424C3C57"/>
    <w:rsid w:val="425012F6"/>
    <w:rsid w:val="42613FF3"/>
    <w:rsid w:val="42660D96"/>
    <w:rsid w:val="42756FAE"/>
    <w:rsid w:val="42857F51"/>
    <w:rsid w:val="428667D2"/>
    <w:rsid w:val="42987AED"/>
    <w:rsid w:val="42C102E6"/>
    <w:rsid w:val="42CD1CE0"/>
    <w:rsid w:val="42E1381E"/>
    <w:rsid w:val="42ED6459"/>
    <w:rsid w:val="42F51E9D"/>
    <w:rsid w:val="42F62DE5"/>
    <w:rsid w:val="42FE58DD"/>
    <w:rsid w:val="43087E22"/>
    <w:rsid w:val="43174B3D"/>
    <w:rsid w:val="43415CBD"/>
    <w:rsid w:val="434B790E"/>
    <w:rsid w:val="4360274F"/>
    <w:rsid w:val="4368157D"/>
    <w:rsid w:val="4369300C"/>
    <w:rsid w:val="43721740"/>
    <w:rsid w:val="437A2EFB"/>
    <w:rsid w:val="437C436D"/>
    <w:rsid w:val="43947908"/>
    <w:rsid w:val="43977AB6"/>
    <w:rsid w:val="43994F1E"/>
    <w:rsid w:val="439B0949"/>
    <w:rsid w:val="439C056B"/>
    <w:rsid w:val="43A3342B"/>
    <w:rsid w:val="43A63197"/>
    <w:rsid w:val="43BC29BB"/>
    <w:rsid w:val="43C77C27"/>
    <w:rsid w:val="43DE09EE"/>
    <w:rsid w:val="44002FAD"/>
    <w:rsid w:val="441D54B8"/>
    <w:rsid w:val="444B1747"/>
    <w:rsid w:val="444E5A56"/>
    <w:rsid w:val="445A645C"/>
    <w:rsid w:val="447D039C"/>
    <w:rsid w:val="4488419C"/>
    <w:rsid w:val="449101DD"/>
    <w:rsid w:val="44953938"/>
    <w:rsid w:val="44DE1391"/>
    <w:rsid w:val="44E679FE"/>
    <w:rsid w:val="44FF5255"/>
    <w:rsid w:val="451B225C"/>
    <w:rsid w:val="452410C9"/>
    <w:rsid w:val="45317DFB"/>
    <w:rsid w:val="45433394"/>
    <w:rsid w:val="45554E75"/>
    <w:rsid w:val="456D3CE4"/>
    <w:rsid w:val="4579042C"/>
    <w:rsid w:val="457F0571"/>
    <w:rsid w:val="457F108D"/>
    <w:rsid w:val="458043A8"/>
    <w:rsid w:val="45851176"/>
    <w:rsid w:val="459D20E0"/>
    <w:rsid w:val="45AE13B7"/>
    <w:rsid w:val="45C63B94"/>
    <w:rsid w:val="45CA13BF"/>
    <w:rsid w:val="45D466E2"/>
    <w:rsid w:val="45E87A96"/>
    <w:rsid w:val="45F8417E"/>
    <w:rsid w:val="46004DE1"/>
    <w:rsid w:val="460A1F68"/>
    <w:rsid w:val="460E7DA5"/>
    <w:rsid w:val="46402DFD"/>
    <w:rsid w:val="46422483"/>
    <w:rsid w:val="4642364B"/>
    <w:rsid w:val="4659254A"/>
    <w:rsid w:val="465B0637"/>
    <w:rsid w:val="465E3F0D"/>
    <w:rsid w:val="466A16E6"/>
    <w:rsid w:val="466A3D31"/>
    <w:rsid w:val="468714D3"/>
    <w:rsid w:val="46893F2B"/>
    <w:rsid w:val="46B575C9"/>
    <w:rsid w:val="46C4686E"/>
    <w:rsid w:val="47150D60"/>
    <w:rsid w:val="471F398D"/>
    <w:rsid w:val="474349B2"/>
    <w:rsid w:val="475E05D7"/>
    <w:rsid w:val="47785793"/>
    <w:rsid w:val="477B778F"/>
    <w:rsid w:val="477D37F4"/>
    <w:rsid w:val="478203EC"/>
    <w:rsid w:val="478A34FC"/>
    <w:rsid w:val="479223B1"/>
    <w:rsid w:val="47A13F1B"/>
    <w:rsid w:val="47A73327"/>
    <w:rsid w:val="47B025FA"/>
    <w:rsid w:val="47F92430"/>
    <w:rsid w:val="4809698F"/>
    <w:rsid w:val="4811697D"/>
    <w:rsid w:val="481D748E"/>
    <w:rsid w:val="484C4889"/>
    <w:rsid w:val="48537D92"/>
    <w:rsid w:val="48627FD5"/>
    <w:rsid w:val="487A3E25"/>
    <w:rsid w:val="488B5503"/>
    <w:rsid w:val="48937E21"/>
    <w:rsid w:val="489A0361"/>
    <w:rsid w:val="48B94FF3"/>
    <w:rsid w:val="48E37AAB"/>
    <w:rsid w:val="48E670EE"/>
    <w:rsid w:val="48FD4B4C"/>
    <w:rsid w:val="4908230F"/>
    <w:rsid w:val="490A68E0"/>
    <w:rsid w:val="490B41C9"/>
    <w:rsid w:val="491055FE"/>
    <w:rsid w:val="495F5B3E"/>
    <w:rsid w:val="496F77D7"/>
    <w:rsid w:val="497654FD"/>
    <w:rsid w:val="49772C3B"/>
    <w:rsid w:val="498F1B59"/>
    <w:rsid w:val="4996003A"/>
    <w:rsid w:val="49A66CF3"/>
    <w:rsid w:val="49B64211"/>
    <w:rsid w:val="49BE56DF"/>
    <w:rsid w:val="49C16F7D"/>
    <w:rsid w:val="49CF3474"/>
    <w:rsid w:val="49D56585"/>
    <w:rsid w:val="49F6167F"/>
    <w:rsid w:val="4A064FA0"/>
    <w:rsid w:val="4A080708"/>
    <w:rsid w:val="4A16615C"/>
    <w:rsid w:val="4A1A388C"/>
    <w:rsid w:val="4A225C6E"/>
    <w:rsid w:val="4A3D4856"/>
    <w:rsid w:val="4A4424D7"/>
    <w:rsid w:val="4A675D7F"/>
    <w:rsid w:val="4AB82D0F"/>
    <w:rsid w:val="4AC62A9D"/>
    <w:rsid w:val="4AEB7664"/>
    <w:rsid w:val="4AFD7C19"/>
    <w:rsid w:val="4B0567D1"/>
    <w:rsid w:val="4B236AAE"/>
    <w:rsid w:val="4B2E4C36"/>
    <w:rsid w:val="4B2E6CE4"/>
    <w:rsid w:val="4B530E69"/>
    <w:rsid w:val="4B616322"/>
    <w:rsid w:val="4B707271"/>
    <w:rsid w:val="4B9739F7"/>
    <w:rsid w:val="4BDF36EB"/>
    <w:rsid w:val="4BEE2503"/>
    <w:rsid w:val="4BF50902"/>
    <w:rsid w:val="4C2100F3"/>
    <w:rsid w:val="4C245A30"/>
    <w:rsid w:val="4C2757BD"/>
    <w:rsid w:val="4C7C718B"/>
    <w:rsid w:val="4C806C7C"/>
    <w:rsid w:val="4C997D3D"/>
    <w:rsid w:val="4CB6685F"/>
    <w:rsid w:val="4CC367FE"/>
    <w:rsid w:val="4CC72A3A"/>
    <w:rsid w:val="4CDE27F3"/>
    <w:rsid w:val="4CEC60BF"/>
    <w:rsid w:val="4D001B6A"/>
    <w:rsid w:val="4D077F3C"/>
    <w:rsid w:val="4D122BF3"/>
    <w:rsid w:val="4D123355"/>
    <w:rsid w:val="4D211BAD"/>
    <w:rsid w:val="4D243AAB"/>
    <w:rsid w:val="4D2A3B31"/>
    <w:rsid w:val="4D312C52"/>
    <w:rsid w:val="4D5E7A8A"/>
    <w:rsid w:val="4D7F5185"/>
    <w:rsid w:val="4D905305"/>
    <w:rsid w:val="4D964A72"/>
    <w:rsid w:val="4D9C1254"/>
    <w:rsid w:val="4DA5643A"/>
    <w:rsid w:val="4DC332C4"/>
    <w:rsid w:val="4DDE62FD"/>
    <w:rsid w:val="4DF80A94"/>
    <w:rsid w:val="4E2023C2"/>
    <w:rsid w:val="4E351802"/>
    <w:rsid w:val="4E4C6050"/>
    <w:rsid w:val="4E523A78"/>
    <w:rsid w:val="4E5D3ACD"/>
    <w:rsid w:val="4E5F0F4B"/>
    <w:rsid w:val="4E673416"/>
    <w:rsid w:val="4E793892"/>
    <w:rsid w:val="4E800872"/>
    <w:rsid w:val="4E854A1D"/>
    <w:rsid w:val="4E9609D8"/>
    <w:rsid w:val="4EBD474A"/>
    <w:rsid w:val="4EC569ED"/>
    <w:rsid w:val="4ED50EA1"/>
    <w:rsid w:val="4EEC050C"/>
    <w:rsid w:val="4F104EC3"/>
    <w:rsid w:val="4F147E6A"/>
    <w:rsid w:val="4F47354A"/>
    <w:rsid w:val="4F5523AA"/>
    <w:rsid w:val="4F701B08"/>
    <w:rsid w:val="4F911C54"/>
    <w:rsid w:val="4F9F6A34"/>
    <w:rsid w:val="4FDA66A3"/>
    <w:rsid w:val="4FE60E67"/>
    <w:rsid w:val="4FE625E0"/>
    <w:rsid w:val="4FF41295"/>
    <w:rsid w:val="501A2F43"/>
    <w:rsid w:val="5021480F"/>
    <w:rsid w:val="503A5393"/>
    <w:rsid w:val="503F0BFC"/>
    <w:rsid w:val="50724B2D"/>
    <w:rsid w:val="50962ECB"/>
    <w:rsid w:val="50A42E38"/>
    <w:rsid w:val="50A4577F"/>
    <w:rsid w:val="50A538CF"/>
    <w:rsid w:val="50B53FBE"/>
    <w:rsid w:val="50B73D1F"/>
    <w:rsid w:val="50BD5BC9"/>
    <w:rsid w:val="50C11EEE"/>
    <w:rsid w:val="50C25AB5"/>
    <w:rsid w:val="50CE1332"/>
    <w:rsid w:val="50E40117"/>
    <w:rsid w:val="50E85C10"/>
    <w:rsid w:val="50E97CFC"/>
    <w:rsid w:val="50FA4028"/>
    <w:rsid w:val="51024103"/>
    <w:rsid w:val="5105097F"/>
    <w:rsid w:val="51085492"/>
    <w:rsid w:val="510D65B7"/>
    <w:rsid w:val="511157AB"/>
    <w:rsid w:val="5142540C"/>
    <w:rsid w:val="51497F84"/>
    <w:rsid w:val="518832C8"/>
    <w:rsid w:val="51A0432A"/>
    <w:rsid w:val="51A86090"/>
    <w:rsid w:val="51B7396D"/>
    <w:rsid w:val="51D71075"/>
    <w:rsid w:val="51DB38BF"/>
    <w:rsid w:val="51EF45A7"/>
    <w:rsid w:val="521265C8"/>
    <w:rsid w:val="522E4CC3"/>
    <w:rsid w:val="52412A09"/>
    <w:rsid w:val="5244713B"/>
    <w:rsid w:val="52615633"/>
    <w:rsid w:val="526702B9"/>
    <w:rsid w:val="5268443A"/>
    <w:rsid w:val="526F3A1A"/>
    <w:rsid w:val="52977FD4"/>
    <w:rsid w:val="529C2335"/>
    <w:rsid w:val="52A25790"/>
    <w:rsid w:val="52A96B6F"/>
    <w:rsid w:val="52B45975"/>
    <w:rsid w:val="52C378C2"/>
    <w:rsid w:val="52D94AA4"/>
    <w:rsid w:val="52E53CDC"/>
    <w:rsid w:val="52EA3A62"/>
    <w:rsid w:val="52EC6E19"/>
    <w:rsid w:val="52ED4596"/>
    <w:rsid w:val="52F50BB8"/>
    <w:rsid w:val="53097272"/>
    <w:rsid w:val="53544462"/>
    <w:rsid w:val="536113AB"/>
    <w:rsid w:val="5397158E"/>
    <w:rsid w:val="53AA2830"/>
    <w:rsid w:val="53B51901"/>
    <w:rsid w:val="53EB113C"/>
    <w:rsid w:val="54013861"/>
    <w:rsid w:val="540C7047"/>
    <w:rsid w:val="541F321E"/>
    <w:rsid w:val="544467E1"/>
    <w:rsid w:val="54487265"/>
    <w:rsid w:val="544D6070"/>
    <w:rsid w:val="54605E1E"/>
    <w:rsid w:val="54656D67"/>
    <w:rsid w:val="547A0C40"/>
    <w:rsid w:val="54B3506A"/>
    <w:rsid w:val="54CA0D16"/>
    <w:rsid w:val="54DD4057"/>
    <w:rsid w:val="54E7490F"/>
    <w:rsid w:val="550764A4"/>
    <w:rsid w:val="550B2BF6"/>
    <w:rsid w:val="55214EB5"/>
    <w:rsid w:val="552D7E98"/>
    <w:rsid w:val="55364EFD"/>
    <w:rsid w:val="55423DE2"/>
    <w:rsid w:val="555D3FFE"/>
    <w:rsid w:val="555D4828"/>
    <w:rsid w:val="556E094B"/>
    <w:rsid w:val="557A4C8B"/>
    <w:rsid w:val="558931E1"/>
    <w:rsid w:val="55923347"/>
    <w:rsid w:val="55925180"/>
    <w:rsid w:val="55983B1B"/>
    <w:rsid w:val="559B2D78"/>
    <w:rsid w:val="559F5436"/>
    <w:rsid w:val="55A8164C"/>
    <w:rsid w:val="55A8376B"/>
    <w:rsid w:val="55AE6607"/>
    <w:rsid w:val="55DC29B6"/>
    <w:rsid w:val="55DD4241"/>
    <w:rsid w:val="55EC1538"/>
    <w:rsid w:val="56066443"/>
    <w:rsid w:val="561C5C67"/>
    <w:rsid w:val="562468CA"/>
    <w:rsid w:val="562B40FC"/>
    <w:rsid w:val="563E1B99"/>
    <w:rsid w:val="56486A5C"/>
    <w:rsid w:val="566B6D1E"/>
    <w:rsid w:val="566F1F48"/>
    <w:rsid w:val="568B53F9"/>
    <w:rsid w:val="568C7211"/>
    <w:rsid w:val="56BA5480"/>
    <w:rsid w:val="56BC2FA6"/>
    <w:rsid w:val="56CA56C3"/>
    <w:rsid w:val="57032A2C"/>
    <w:rsid w:val="57053291"/>
    <w:rsid w:val="570F5219"/>
    <w:rsid w:val="573A1111"/>
    <w:rsid w:val="575D12B5"/>
    <w:rsid w:val="57610A87"/>
    <w:rsid w:val="577B1140"/>
    <w:rsid w:val="577B7F21"/>
    <w:rsid w:val="577F181B"/>
    <w:rsid w:val="57921984"/>
    <w:rsid w:val="579737F0"/>
    <w:rsid w:val="57AB7B30"/>
    <w:rsid w:val="57AF5251"/>
    <w:rsid w:val="57B26373"/>
    <w:rsid w:val="57B63F04"/>
    <w:rsid w:val="57CB64E6"/>
    <w:rsid w:val="57CD20C2"/>
    <w:rsid w:val="57D675AB"/>
    <w:rsid w:val="57D95FDD"/>
    <w:rsid w:val="57DD4F82"/>
    <w:rsid w:val="58734920"/>
    <w:rsid w:val="588A050B"/>
    <w:rsid w:val="58917D2F"/>
    <w:rsid w:val="5894085C"/>
    <w:rsid w:val="58AE4F0C"/>
    <w:rsid w:val="58B85899"/>
    <w:rsid w:val="58BC54DF"/>
    <w:rsid w:val="58D173B3"/>
    <w:rsid w:val="58E363A9"/>
    <w:rsid w:val="58F85DEC"/>
    <w:rsid w:val="59013DDD"/>
    <w:rsid w:val="594471C3"/>
    <w:rsid w:val="595E1678"/>
    <w:rsid w:val="596D5BD4"/>
    <w:rsid w:val="597E3DD8"/>
    <w:rsid w:val="598D6C40"/>
    <w:rsid w:val="59A04E1D"/>
    <w:rsid w:val="59E7033A"/>
    <w:rsid w:val="59ED41B0"/>
    <w:rsid w:val="59EE6F2C"/>
    <w:rsid w:val="59EF5441"/>
    <w:rsid w:val="59F80043"/>
    <w:rsid w:val="59FD190B"/>
    <w:rsid w:val="5A09252F"/>
    <w:rsid w:val="5A0B2778"/>
    <w:rsid w:val="5A105AE3"/>
    <w:rsid w:val="5A186745"/>
    <w:rsid w:val="5A2A7C7B"/>
    <w:rsid w:val="5A3E2560"/>
    <w:rsid w:val="5A5D3B6E"/>
    <w:rsid w:val="5A637A76"/>
    <w:rsid w:val="5A6D33BA"/>
    <w:rsid w:val="5A712320"/>
    <w:rsid w:val="5A755946"/>
    <w:rsid w:val="5A792B1F"/>
    <w:rsid w:val="5A874767"/>
    <w:rsid w:val="5A8E2EAB"/>
    <w:rsid w:val="5A92474A"/>
    <w:rsid w:val="5A9304C2"/>
    <w:rsid w:val="5A9A3DBD"/>
    <w:rsid w:val="5A9D63A1"/>
    <w:rsid w:val="5AAD6F28"/>
    <w:rsid w:val="5AC5776F"/>
    <w:rsid w:val="5AD22D98"/>
    <w:rsid w:val="5AD63A24"/>
    <w:rsid w:val="5B0E18F6"/>
    <w:rsid w:val="5B151649"/>
    <w:rsid w:val="5B1C4013"/>
    <w:rsid w:val="5B21454D"/>
    <w:rsid w:val="5B2E1A1D"/>
    <w:rsid w:val="5B510A5B"/>
    <w:rsid w:val="5B843A1C"/>
    <w:rsid w:val="5B873E3F"/>
    <w:rsid w:val="5BA02688"/>
    <w:rsid w:val="5BAA161F"/>
    <w:rsid w:val="5BB80FBB"/>
    <w:rsid w:val="5C02690E"/>
    <w:rsid w:val="5C196DA7"/>
    <w:rsid w:val="5C205C9B"/>
    <w:rsid w:val="5C2A048C"/>
    <w:rsid w:val="5C2F5FC8"/>
    <w:rsid w:val="5C3D2493"/>
    <w:rsid w:val="5C80234E"/>
    <w:rsid w:val="5C8A680C"/>
    <w:rsid w:val="5C9127DF"/>
    <w:rsid w:val="5CC337CD"/>
    <w:rsid w:val="5D0C4701"/>
    <w:rsid w:val="5D0D6309"/>
    <w:rsid w:val="5D0F0395"/>
    <w:rsid w:val="5D221076"/>
    <w:rsid w:val="5D292A17"/>
    <w:rsid w:val="5D397964"/>
    <w:rsid w:val="5D5A391C"/>
    <w:rsid w:val="5D5B3481"/>
    <w:rsid w:val="5D5F10C0"/>
    <w:rsid w:val="5D794C68"/>
    <w:rsid w:val="5D891B7B"/>
    <w:rsid w:val="5DAD38EE"/>
    <w:rsid w:val="5DB1138B"/>
    <w:rsid w:val="5DE51034"/>
    <w:rsid w:val="5E006862"/>
    <w:rsid w:val="5E0207B9"/>
    <w:rsid w:val="5E1834A1"/>
    <w:rsid w:val="5E261785"/>
    <w:rsid w:val="5E2C5875"/>
    <w:rsid w:val="5E335564"/>
    <w:rsid w:val="5E4A7017"/>
    <w:rsid w:val="5E552BBA"/>
    <w:rsid w:val="5E5B12F6"/>
    <w:rsid w:val="5E611C10"/>
    <w:rsid w:val="5E6F6B50"/>
    <w:rsid w:val="5E7924E3"/>
    <w:rsid w:val="5E973525"/>
    <w:rsid w:val="5EAE1426"/>
    <w:rsid w:val="5ECC7AFE"/>
    <w:rsid w:val="5ED57957"/>
    <w:rsid w:val="5EFC7377"/>
    <w:rsid w:val="5F06174D"/>
    <w:rsid w:val="5F205F8A"/>
    <w:rsid w:val="5F2711D9"/>
    <w:rsid w:val="5F2C38F8"/>
    <w:rsid w:val="5F3A3602"/>
    <w:rsid w:val="5F4B1102"/>
    <w:rsid w:val="5F6277C6"/>
    <w:rsid w:val="5F6661A5"/>
    <w:rsid w:val="5F6D0B1D"/>
    <w:rsid w:val="5F8D0B82"/>
    <w:rsid w:val="5FA6729D"/>
    <w:rsid w:val="5FA82666"/>
    <w:rsid w:val="5FCC5339"/>
    <w:rsid w:val="5FE34A5B"/>
    <w:rsid w:val="5FE4307B"/>
    <w:rsid w:val="5FF90DC7"/>
    <w:rsid w:val="5FFE1E36"/>
    <w:rsid w:val="5FFF8A77"/>
    <w:rsid w:val="60232584"/>
    <w:rsid w:val="603911C4"/>
    <w:rsid w:val="604D4D4A"/>
    <w:rsid w:val="605204D7"/>
    <w:rsid w:val="6062696C"/>
    <w:rsid w:val="607330CE"/>
    <w:rsid w:val="60825176"/>
    <w:rsid w:val="609F2AC4"/>
    <w:rsid w:val="609F6606"/>
    <w:rsid w:val="60A2320D"/>
    <w:rsid w:val="60BD0047"/>
    <w:rsid w:val="60D525EF"/>
    <w:rsid w:val="60DC5CFB"/>
    <w:rsid w:val="60FA2EE8"/>
    <w:rsid w:val="61054A27"/>
    <w:rsid w:val="610A52BC"/>
    <w:rsid w:val="61120162"/>
    <w:rsid w:val="61140A35"/>
    <w:rsid w:val="611D2366"/>
    <w:rsid w:val="612956DC"/>
    <w:rsid w:val="61421856"/>
    <w:rsid w:val="61502C69"/>
    <w:rsid w:val="615227C4"/>
    <w:rsid w:val="61630BEE"/>
    <w:rsid w:val="61654E3F"/>
    <w:rsid w:val="61767EFC"/>
    <w:rsid w:val="6182292A"/>
    <w:rsid w:val="61926DDD"/>
    <w:rsid w:val="619863BE"/>
    <w:rsid w:val="619F7F92"/>
    <w:rsid w:val="61A30182"/>
    <w:rsid w:val="61A83401"/>
    <w:rsid w:val="61CB6793"/>
    <w:rsid w:val="61F94C26"/>
    <w:rsid w:val="62000E56"/>
    <w:rsid w:val="62483940"/>
    <w:rsid w:val="624F3E49"/>
    <w:rsid w:val="62632286"/>
    <w:rsid w:val="628439B1"/>
    <w:rsid w:val="62885958"/>
    <w:rsid w:val="62AA788E"/>
    <w:rsid w:val="62CA79B8"/>
    <w:rsid w:val="62F40B65"/>
    <w:rsid w:val="62FC2CFE"/>
    <w:rsid w:val="63024505"/>
    <w:rsid w:val="630E4B89"/>
    <w:rsid w:val="632717A7"/>
    <w:rsid w:val="63400ABB"/>
    <w:rsid w:val="635B1DB5"/>
    <w:rsid w:val="63711FED"/>
    <w:rsid w:val="63880DDC"/>
    <w:rsid w:val="638D750D"/>
    <w:rsid w:val="639D7CBB"/>
    <w:rsid w:val="63AC6CC0"/>
    <w:rsid w:val="63B3765E"/>
    <w:rsid w:val="63B76AE1"/>
    <w:rsid w:val="63BC45E5"/>
    <w:rsid w:val="63C4349A"/>
    <w:rsid w:val="63EC71C5"/>
    <w:rsid w:val="63F303BE"/>
    <w:rsid w:val="64055776"/>
    <w:rsid w:val="64131EB4"/>
    <w:rsid w:val="641A690B"/>
    <w:rsid w:val="64240056"/>
    <w:rsid w:val="643B782A"/>
    <w:rsid w:val="643E143A"/>
    <w:rsid w:val="648B6EEF"/>
    <w:rsid w:val="64921FD5"/>
    <w:rsid w:val="64BF60B1"/>
    <w:rsid w:val="64C158BF"/>
    <w:rsid w:val="64CE2EAA"/>
    <w:rsid w:val="64F16511"/>
    <w:rsid w:val="64F25582"/>
    <w:rsid w:val="64FC67DF"/>
    <w:rsid w:val="650054DB"/>
    <w:rsid w:val="6502427A"/>
    <w:rsid w:val="652679F8"/>
    <w:rsid w:val="652C04B0"/>
    <w:rsid w:val="653A3114"/>
    <w:rsid w:val="653C3090"/>
    <w:rsid w:val="653E5637"/>
    <w:rsid w:val="65457BCE"/>
    <w:rsid w:val="654F3237"/>
    <w:rsid w:val="65854376"/>
    <w:rsid w:val="658767BE"/>
    <w:rsid w:val="65892531"/>
    <w:rsid w:val="65A36159"/>
    <w:rsid w:val="65D025CA"/>
    <w:rsid w:val="65D57BE0"/>
    <w:rsid w:val="65D774B5"/>
    <w:rsid w:val="65F20792"/>
    <w:rsid w:val="65FF1B98"/>
    <w:rsid w:val="66195831"/>
    <w:rsid w:val="66285F62"/>
    <w:rsid w:val="662A4220"/>
    <w:rsid w:val="662E75B1"/>
    <w:rsid w:val="66342C2E"/>
    <w:rsid w:val="663E784C"/>
    <w:rsid w:val="665054B9"/>
    <w:rsid w:val="66576847"/>
    <w:rsid w:val="665925BF"/>
    <w:rsid w:val="66707909"/>
    <w:rsid w:val="668B6A45"/>
    <w:rsid w:val="66CD36E6"/>
    <w:rsid w:val="66DB1413"/>
    <w:rsid w:val="67136C12"/>
    <w:rsid w:val="672B5A94"/>
    <w:rsid w:val="672F3F24"/>
    <w:rsid w:val="673E055F"/>
    <w:rsid w:val="67551CE3"/>
    <w:rsid w:val="677156E7"/>
    <w:rsid w:val="67A22552"/>
    <w:rsid w:val="67B22DCC"/>
    <w:rsid w:val="67BE71AA"/>
    <w:rsid w:val="67D90273"/>
    <w:rsid w:val="67DE5875"/>
    <w:rsid w:val="67E55852"/>
    <w:rsid w:val="67EB1AB4"/>
    <w:rsid w:val="67FA1285"/>
    <w:rsid w:val="6825309F"/>
    <w:rsid w:val="6833385C"/>
    <w:rsid w:val="683A3D2B"/>
    <w:rsid w:val="684B418A"/>
    <w:rsid w:val="68551F4F"/>
    <w:rsid w:val="68633281"/>
    <w:rsid w:val="6868073D"/>
    <w:rsid w:val="68774B26"/>
    <w:rsid w:val="687C10C9"/>
    <w:rsid w:val="687F015B"/>
    <w:rsid w:val="68840C16"/>
    <w:rsid w:val="68876EFB"/>
    <w:rsid w:val="68884654"/>
    <w:rsid w:val="689478DF"/>
    <w:rsid w:val="689A2A1B"/>
    <w:rsid w:val="689F102B"/>
    <w:rsid w:val="689F444F"/>
    <w:rsid w:val="68B96DBB"/>
    <w:rsid w:val="68BA6CFF"/>
    <w:rsid w:val="68BE495C"/>
    <w:rsid w:val="68CA2805"/>
    <w:rsid w:val="68E937A3"/>
    <w:rsid w:val="690C6221"/>
    <w:rsid w:val="690D7F75"/>
    <w:rsid w:val="69111FC0"/>
    <w:rsid w:val="69247D13"/>
    <w:rsid w:val="693B7D5A"/>
    <w:rsid w:val="693E15D3"/>
    <w:rsid w:val="69513A22"/>
    <w:rsid w:val="69561038"/>
    <w:rsid w:val="69621F1C"/>
    <w:rsid w:val="69627681"/>
    <w:rsid w:val="69766FE4"/>
    <w:rsid w:val="6977531D"/>
    <w:rsid w:val="69A300BA"/>
    <w:rsid w:val="69A51678"/>
    <w:rsid w:val="69A7626C"/>
    <w:rsid w:val="69AE66C0"/>
    <w:rsid w:val="69B12712"/>
    <w:rsid w:val="69CC2BFF"/>
    <w:rsid w:val="69CE6E20"/>
    <w:rsid w:val="69D41F5D"/>
    <w:rsid w:val="69EC54F9"/>
    <w:rsid w:val="69FD55B8"/>
    <w:rsid w:val="6A050368"/>
    <w:rsid w:val="6A0B1C62"/>
    <w:rsid w:val="6A2406C8"/>
    <w:rsid w:val="6A37493D"/>
    <w:rsid w:val="6A3824EC"/>
    <w:rsid w:val="6A5A184D"/>
    <w:rsid w:val="6A5C10CF"/>
    <w:rsid w:val="6A5D1F52"/>
    <w:rsid w:val="6A667CB9"/>
    <w:rsid w:val="6A7C687C"/>
    <w:rsid w:val="6A82511C"/>
    <w:rsid w:val="6A9A3191"/>
    <w:rsid w:val="6ADE0BD1"/>
    <w:rsid w:val="6AE83F12"/>
    <w:rsid w:val="6AE96859"/>
    <w:rsid w:val="6B147746"/>
    <w:rsid w:val="6B24787C"/>
    <w:rsid w:val="6B4C0909"/>
    <w:rsid w:val="6B573233"/>
    <w:rsid w:val="6B574999"/>
    <w:rsid w:val="6B5B6274"/>
    <w:rsid w:val="6B6C069F"/>
    <w:rsid w:val="6B935D53"/>
    <w:rsid w:val="6B99520C"/>
    <w:rsid w:val="6BA22313"/>
    <w:rsid w:val="6BA50981"/>
    <w:rsid w:val="6BAA7419"/>
    <w:rsid w:val="6BFD721F"/>
    <w:rsid w:val="6C0535E9"/>
    <w:rsid w:val="6C097901"/>
    <w:rsid w:val="6C0E1756"/>
    <w:rsid w:val="6C196F71"/>
    <w:rsid w:val="6C226FCB"/>
    <w:rsid w:val="6C2E3BA6"/>
    <w:rsid w:val="6C30791F"/>
    <w:rsid w:val="6C31226F"/>
    <w:rsid w:val="6C313697"/>
    <w:rsid w:val="6C44786E"/>
    <w:rsid w:val="6C4C513F"/>
    <w:rsid w:val="6C552F0B"/>
    <w:rsid w:val="6C5A07E8"/>
    <w:rsid w:val="6C755C79"/>
    <w:rsid w:val="6C757A27"/>
    <w:rsid w:val="6C7D65C2"/>
    <w:rsid w:val="6C88775B"/>
    <w:rsid w:val="6C8B0840"/>
    <w:rsid w:val="6C8C67B7"/>
    <w:rsid w:val="6C9D744C"/>
    <w:rsid w:val="6C9F0987"/>
    <w:rsid w:val="6CB04975"/>
    <w:rsid w:val="6CE33A9C"/>
    <w:rsid w:val="6CE46DA2"/>
    <w:rsid w:val="6D167928"/>
    <w:rsid w:val="6D26299B"/>
    <w:rsid w:val="6D3C0545"/>
    <w:rsid w:val="6D4772EC"/>
    <w:rsid w:val="6D6C56BB"/>
    <w:rsid w:val="6D8819DC"/>
    <w:rsid w:val="6D9078AF"/>
    <w:rsid w:val="6DAA3FEF"/>
    <w:rsid w:val="6DC0172B"/>
    <w:rsid w:val="6DCB690C"/>
    <w:rsid w:val="6DD41A5B"/>
    <w:rsid w:val="6DD444DF"/>
    <w:rsid w:val="6DDB1B0C"/>
    <w:rsid w:val="6DF43C2E"/>
    <w:rsid w:val="6DF51CA3"/>
    <w:rsid w:val="6E001573"/>
    <w:rsid w:val="6E2A70EC"/>
    <w:rsid w:val="6E4A39F8"/>
    <w:rsid w:val="6E5A6DD8"/>
    <w:rsid w:val="6E8335BD"/>
    <w:rsid w:val="6E8E12EF"/>
    <w:rsid w:val="6E972936"/>
    <w:rsid w:val="6E9A5523"/>
    <w:rsid w:val="6EAB5982"/>
    <w:rsid w:val="6EB74327"/>
    <w:rsid w:val="6ED446C5"/>
    <w:rsid w:val="6F2A2D4B"/>
    <w:rsid w:val="6F2A7D94"/>
    <w:rsid w:val="6F5B1156"/>
    <w:rsid w:val="6F6A3147"/>
    <w:rsid w:val="6F8331F1"/>
    <w:rsid w:val="6F906926"/>
    <w:rsid w:val="6F9A118C"/>
    <w:rsid w:val="6FA36659"/>
    <w:rsid w:val="6FA70DEC"/>
    <w:rsid w:val="6FAE1A09"/>
    <w:rsid w:val="6FCC5197"/>
    <w:rsid w:val="6FD75BF8"/>
    <w:rsid w:val="6FFE6032"/>
    <w:rsid w:val="7012558D"/>
    <w:rsid w:val="70253512"/>
    <w:rsid w:val="707723D0"/>
    <w:rsid w:val="709F6AD5"/>
    <w:rsid w:val="70BD6A24"/>
    <w:rsid w:val="70CC4DD8"/>
    <w:rsid w:val="70D06A63"/>
    <w:rsid w:val="70E21403"/>
    <w:rsid w:val="70F5661B"/>
    <w:rsid w:val="71224CEB"/>
    <w:rsid w:val="71233EF6"/>
    <w:rsid w:val="712B2DAA"/>
    <w:rsid w:val="71360107"/>
    <w:rsid w:val="713752AB"/>
    <w:rsid w:val="713B688E"/>
    <w:rsid w:val="71867A4F"/>
    <w:rsid w:val="718B4A1F"/>
    <w:rsid w:val="71B5658F"/>
    <w:rsid w:val="71CF7BDA"/>
    <w:rsid w:val="71D43752"/>
    <w:rsid w:val="71DA7FB6"/>
    <w:rsid w:val="71E35433"/>
    <w:rsid w:val="71E74F23"/>
    <w:rsid w:val="71F1796A"/>
    <w:rsid w:val="72154626"/>
    <w:rsid w:val="7218332F"/>
    <w:rsid w:val="721C27FE"/>
    <w:rsid w:val="72262B5D"/>
    <w:rsid w:val="72283FF7"/>
    <w:rsid w:val="722D0A37"/>
    <w:rsid w:val="722E7212"/>
    <w:rsid w:val="723A0474"/>
    <w:rsid w:val="724C67D0"/>
    <w:rsid w:val="725923E4"/>
    <w:rsid w:val="726245AA"/>
    <w:rsid w:val="726C5429"/>
    <w:rsid w:val="72864BF7"/>
    <w:rsid w:val="729023FC"/>
    <w:rsid w:val="729F75AC"/>
    <w:rsid w:val="72B8241C"/>
    <w:rsid w:val="72C15774"/>
    <w:rsid w:val="72E42103"/>
    <w:rsid w:val="72F50DA2"/>
    <w:rsid w:val="730C2768"/>
    <w:rsid w:val="737F118B"/>
    <w:rsid w:val="7386076C"/>
    <w:rsid w:val="7392139D"/>
    <w:rsid w:val="73B07597"/>
    <w:rsid w:val="73C0646E"/>
    <w:rsid w:val="73D17C39"/>
    <w:rsid w:val="73D704BF"/>
    <w:rsid w:val="73DE2356"/>
    <w:rsid w:val="742222F5"/>
    <w:rsid w:val="74476126"/>
    <w:rsid w:val="744F4F25"/>
    <w:rsid w:val="74511C71"/>
    <w:rsid w:val="74706664"/>
    <w:rsid w:val="747F3682"/>
    <w:rsid w:val="74956EB9"/>
    <w:rsid w:val="749C4185"/>
    <w:rsid w:val="74AB3134"/>
    <w:rsid w:val="74B15375"/>
    <w:rsid w:val="74D177C5"/>
    <w:rsid w:val="74DA48CB"/>
    <w:rsid w:val="75067759"/>
    <w:rsid w:val="750D06C4"/>
    <w:rsid w:val="751A1C96"/>
    <w:rsid w:val="752E6DCD"/>
    <w:rsid w:val="7551380D"/>
    <w:rsid w:val="75581C94"/>
    <w:rsid w:val="75600BE5"/>
    <w:rsid w:val="7564475C"/>
    <w:rsid w:val="756E3266"/>
    <w:rsid w:val="7583797F"/>
    <w:rsid w:val="75894543"/>
    <w:rsid w:val="75AC6324"/>
    <w:rsid w:val="75B55338"/>
    <w:rsid w:val="75BB0783"/>
    <w:rsid w:val="75CD2682"/>
    <w:rsid w:val="75CD61DE"/>
    <w:rsid w:val="75D20F1D"/>
    <w:rsid w:val="75D56A86"/>
    <w:rsid w:val="75DA2C18"/>
    <w:rsid w:val="75F54412"/>
    <w:rsid w:val="760F2C9B"/>
    <w:rsid w:val="761D08E0"/>
    <w:rsid w:val="765D347C"/>
    <w:rsid w:val="767D5E56"/>
    <w:rsid w:val="768129FD"/>
    <w:rsid w:val="76820AEF"/>
    <w:rsid w:val="76826699"/>
    <w:rsid w:val="76986314"/>
    <w:rsid w:val="76C87133"/>
    <w:rsid w:val="76CC46E8"/>
    <w:rsid w:val="76CD08D5"/>
    <w:rsid w:val="76DB4B92"/>
    <w:rsid w:val="76E9489D"/>
    <w:rsid w:val="77052AA4"/>
    <w:rsid w:val="77136511"/>
    <w:rsid w:val="77340A39"/>
    <w:rsid w:val="77343640"/>
    <w:rsid w:val="77351FD0"/>
    <w:rsid w:val="773F135E"/>
    <w:rsid w:val="77444E34"/>
    <w:rsid w:val="77472422"/>
    <w:rsid w:val="77510F5D"/>
    <w:rsid w:val="777F31F2"/>
    <w:rsid w:val="778B08AF"/>
    <w:rsid w:val="779F1DFC"/>
    <w:rsid w:val="77AB6AA4"/>
    <w:rsid w:val="77CB499F"/>
    <w:rsid w:val="77D1700D"/>
    <w:rsid w:val="77EC04CC"/>
    <w:rsid w:val="78003D06"/>
    <w:rsid w:val="78212811"/>
    <w:rsid w:val="7856695F"/>
    <w:rsid w:val="786460E7"/>
    <w:rsid w:val="78775729"/>
    <w:rsid w:val="78A42DB0"/>
    <w:rsid w:val="78A656AB"/>
    <w:rsid w:val="78B2245C"/>
    <w:rsid w:val="78CD4747"/>
    <w:rsid w:val="78E172CC"/>
    <w:rsid w:val="78E71CAD"/>
    <w:rsid w:val="78EA1D1F"/>
    <w:rsid w:val="78EF290F"/>
    <w:rsid w:val="78F148D9"/>
    <w:rsid w:val="78F61EF0"/>
    <w:rsid w:val="7904172F"/>
    <w:rsid w:val="790740FD"/>
    <w:rsid w:val="790C526F"/>
    <w:rsid w:val="790F6B0E"/>
    <w:rsid w:val="790F7E27"/>
    <w:rsid w:val="792A231A"/>
    <w:rsid w:val="792B4C8F"/>
    <w:rsid w:val="79316829"/>
    <w:rsid w:val="79421A53"/>
    <w:rsid w:val="795332BF"/>
    <w:rsid w:val="7967694A"/>
    <w:rsid w:val="797E66A9"/>
    <w:rsid w:val="79A97383"/>
    <w:rsid w:val="79D32691"/>
    <w:rsid w:val="79D41D23"/>
    <w:rsid w:val="79E27E8B"/>
    <w:rsid w:val="79F850CE"/>
    <w:rsid w:val="79FD443C"/>
    <w:rsid w:val="7A020420"/>
    <w:rsid w:val="7A15284A"/>
    <w:rsid w:val="7A1D1975"/>
    <w:rsid w:val="7A243C3F"/>
    <w:rsid w:val="7A2A00A3"/>
    <w:rsid w:val="7A3870D9"/>
    <w:rsid w:val="7A3E5150"/>
    <w:rsid w:val="7A41472A"/>
    <w:rsid w:val="7A4670D6"/>
    <w:rsid w:val="7A534B63"/>
    <w:rsid w:val="7A615382"/>
    <w:rsid w:val="7A635363"/>
    <w:rsid w:val="7A67303B"/>
    <w:rsid w:val="7A850E5E"/>
    <w:rsid w:val="7AAB1D04"/>
    <w:rsid w:val="7AAF05A8"/>
    <w:rsid w:val="7ABA4368"/>
    <w:rsid w:val="7AD05746"/>
    <w:rsid w:val="7AEF309B"/>
    <w:rsid w:val="7B036252"/>
    <w:rsid w:val="7B257FFD"/>
    <w:rsid w:val="7B2C39A7"/>
    <w:rsid w:val="7B343476"/>
    <w:rsid w:val="7B476A33"/>
    <w:rsid w:val="7B5A2978"/>
    <w:rsid w:val="7B5A7E4C"/>
    <w:rsid w:val="7B667AF9"/>
    <w:rsid w:val="7B7468F8"/>
    <w:rsid w:val="7BA9149B"/>
    <w:rsid w:val="7BC938EC"/>
    <w:rsid w:val="7BD66146"/>
    <w:rsid w:val="7BD874A1"/>
    <w:rsid w:val="7BEE0103"/>
    <w:rsid w:val="7C0A0FE4"/>
    <w:rsid w:val="7C254906"/>
    <w:rsid w:val="7C4E5B9F"/>
    <w:rsid w:val="7C590818"/>
    <w:rsid w:val="7C7272B1"/>
    <w:rsid w:val="7C7C10F6"/>
    <w:rsid w:val="7C835B8E"/>
    <w:rsid w:val="7C853BEA"/>
    <w:rsid w:val="7C881368"/>
    <w:rsid w:val="7CD40756"/>
    <w:rsid w:val="7CE27788"/>
    <w:rsid w:val="7CF278DA"/>
    <w:rsid w:val="7D0C32F1"/>
    <w:rsid w:val="7D0F408D"/>
    <w:rsid w:val="7D1D3EEF"/>
    <w:rsid w:val="7D491C6C"/>
    <w:rsid w:val="7D5429C0"/>
    <w:rsid w:val="7D5D253D"/>
    <w:rsid w:val="7D6D05DE"/>
    <w:rsid w:val="7D6E6D43"/>
    <w:rsid w:val="7D9677FD"/>
    <w:rsid w:val="7DAE0FEB"/>
    <w:rsid w:val="7DB57A34"/>
    <w:rsid w:val="7DDAA029"/>
    <w:rsid w:val="7DE60973"/>
    <w:rsid w:val="7DEF0916"/>
    <w:rsid w:val="7DFB432E"/>
    <w:rsid w:val="7E17093E"/>
    <w:rsid w:val="7E1E5218"/>
    <w:rsid w:val="7E452050"/>
    <w:rsid w:val="7E4C02D3"/>
    <w:rsid w:val="7E9A4E1F"/>
    <w:rsid w:val="7EA7723A"/>
    <w:rsid w:val="7EF56FBB"/>
    <w:rsid w:val="7EF90BC1"/>
    <w:rsid w:val="7EFF551E"/>
    <w:rsid w:val="7F0768EB"/>
    <w:rsid w:val="7F143BEC"/>
    <w:rsid w:val="7F22175F"/>
    <w:rsid w:val="7F2C5FB2"/>
    <w:rsid w:val="7F3823EB"/>
    <w:rsid w:val="7F715AF2"/>
    <w:rsid w:val="7F78540D"/>
    <w:rsid w:val="7F886E69"/>
    <w:rsid w:val="7F954211"/>
    <w:rsid w:val="7FC26792"/>
    <w:rsid w:val="7FC732C5"/>
    <w:rsid w:val="7FFD3B64"/>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3"/>
    <w:qFormat/>
    <w:uiPriority w:val="0"/>
    <w:pPr>
      <w:adjustRightInd/>
      <w:spacing w:after="120" w:line="240" w:lineRule="auto"/>
      <w:ind w:left="420" w:leftChars="200" w:firstLine="210"/>
    </w:pPr>
    <w:rPr>
      <w:sz w:val="21"/>
    </w:rPr>
  </w:style>
  <w:style w:type="paragraph" w:styleId="3">
    <w:name w:val="Body Text Indent"/>
    <w:basedOn w:val="1"/>
    <w:next w:val="1"/>
    <w:link w:val="266"/>
    <w:qFormat/>
    <w:uiPriority w:val="0"/>
    <w:pPr>
      <w:spacing w:line="480" w:lineRule="exact"/>
      <w:ind w:firstLine="480" w:firstLineChars="200"/>
    </w:pPr>
    <w:rPr>
      <w:rFonts w:ascii="宋体" w:hAnsi="宋体"/>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Cs w:val="21"/>
      <w:lang w:val="zh-CN"/>
    </w:rPr>
  </w:style>
  <w:style w:type="paragraph" w:styleId="26">
    <w:name w:val="Body Text First Indent"/>
    <w:basedOn w:val="25"/>
    <w:link w:val="321"/>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qFormat/>
    <w:uiPriority w:val="0"/>
    <w:rPr>
      <w:rFonts w:ascii="宋体" w:hAnsi="宋体"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envelope return"/>
    <w:basedOn w:val="1"/>
    <w:qFormat/>
    <w:uiPriority w:val="0"/>
    <w:pPr>
      <w:widowControl/>
      <w:spacing w:line="220" w:lineRule="atLeast"/>
      <w:ind w:firstLine="181"/>
      <w:jc w:val="left"/>
      <w:textAlignment w:val="baseline"/>
    </w:pPr>
    <w:rPr>
      <w:rFonts w:ascii="Arial" w:hAnsi="Arial"/>
      <w:kern w:val="0"/>
      <w:sz w:val="18"/>
      <w:szCs w:val="20"/>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Cs w:val="20"/>
    </w:rPr>
  </w:style>
  <w:style w:type="paragraph" w:styleId="51">
    <w:name w:val="List"/>
    <w:basedOn w:val="1"/>
    <w:qFormat/>
    <w:uiPriority w:val="0"/>
    <w:pPr>
      <w:ind w:left="200" w:hanging="200" w:hangingChars="200"/>
    </w:pPr>
  </w:style>
  <w:style w:type="paragraph" w:styleId="52">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rPr>
  </w:style>
  <w:style w:type="paragraph" w:styleId="61">
    <w:name w:val="Title"/>
    <w:basedOn w:val="1"/>
    <w:link w:val="286"/>
    <w:qFormat/>
    <w:uiPriority w:val="10"/>
    <w:pPr>
      <w:widowControl/>
      <w:overflowPunct w:val="0"/>
      <w:autoSpaceDE w:val="0"/>
      <w:autoSpaceDN w:val="0"/>
      <w:jc w:val="center"/>
      <w:textAlignment w:val="baseline"/>
    </w:pPr>
    <w:rPr>
      <w:b/>
      <w:kern w:val="0"/>
      <w:szCs w:val="20"/>
      <w:lang w:val="en-GB"/>
    </w:rPr>
  </w:style>
  <w:style w:type="paragraph" w:styleId="62">
    <w:name w:val="annotation subject"/>
    <w:basedOn w:val="21"/>
    <w:next w:val="21"/>
    <w:link w:val="100"/>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_Style 3"/>
    <w:basedOn w:val="1"/>
    <w:qFormat/>
    <w:uiPriority w:val="0"/>
    <w:pPr>
      <w:adjustRightInd/>
      <w:ind w:firstLine="420" w:firstLineChars="200"/>
    </w:pPr>
    <w:rPr>
      <w:rFonts w:eastAsia="仿宋_GB2312"/>
      <w:sz w:val="28"/>
    </w:rPr>
  </w:style>
  <w:style w:type="character" w:customStyle="1" w:styleId="82">
    <w:name w:val="标题 1 字符1"/>
    <w:link w:val="4"/>
    <w:qFormat/>
    <w:uiPriority w:val="9"/>
    <w:rPr>
      <w:b/>
      <w:bCs/>
      <w:kern w:val="44"/>
      <w:sz w:val="44"/>
      <w:szCs w:val="44"/>
    </w:rPr>
  </w:style>
  <w:style w:type="character" w:customStyle="1" w:styleId="83">
    <w:name w:val="标题 2 Char"/>
    <w:qFormat/>
    <w:uiPriority w:val="0"/>
    <w:rPr>
      <w:rFonts w:ascii="Arial" w:hAnsi="Arial" w:eastAsia="黑体"/>
      <w:b/>
      <w:kern w:val="2"/>
      <w:sz w:val="32"/>
      <w:lang w:val="en-US" w:eastAsia="zh-CN"/>
    </w:rPr>
  </w:style>
  <w:style w:type="character" w:customStyle="1" w:styleId="84">
    <w:name w:val="标题 4 Char"/>
    <w:qFormat/>
    <w:uiPriority w:val="0"/>
    <w:rPr>
      <w:rFonts w:ascii="Arial" w:hAnsi="Arial" w:eastAsia="黑体"/>
      <w:b/>
      <w:kern w:val="2"/>
      <w:sz w:val="28"/>
    </w:rPr>
  </w:style>
  <w:style w:type="character" w:customStyle="1" w:styleId="85">
    <w:name w:val="标题 3 字符"/>
    <w:qFormat/>
    <w:uiPriority w:val="9"/>
    <w:rPr>
      <w:b/>
      <w:bCs/>
      <w:kern w:val="2"/>
      <w:sz w:val="32"/>
      <w:szCs w:val="32"/>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
    <w:qFormat/>
    <w:uiPriority w:val="0"/>
    <w:rPr>
      <w:rFonts w:ascii="宋体" w:hAnsi="宋体"/>
      <w:kern w:val="2"/>
      <w:sz w:val="21"/>
      <w:szCs w:val="24"/>
    </w:rPr>
  </w:style>
  <w:style w:type="character" w:customStyle="1" w:styleId="124">
    <w:name w:val="font11"/>
    <w:basedOn w:val="70"/>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4"/>
    <w:qFormat/>
    <w:uiPriority w:val="0"/>
    <w:rPr>
      <w:rFonts w:ascii="宋体" w:hAnsi="宋体" w:eastAsia="仿宋" w:cs="Arial"/>
      <w:snapToGrid w:val="0"/>
      <w:kern w:val="2"/>
      <w:sz w:val="24"/>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Cs w:val="20"/>
    </w:rPr>
  </w:style>
  <w:style w:type="character" w:customStyle="1" w:styleId="134">
    <w:name w:val="Char Char24"/>
    <w:qFormat/>
    <w:uiPriority w:val="6"/>
    <w:rPr>
      <w:kern w:val="1"/>
      <w:sz w:val="21"/>
    </w:rPr>
  </w:style>
  <w:style w:type="character" w:customStyle="1" w:styleId="135">
    <w:name w:val="副标题 字符"/>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rPr>
  </w:style>
  <w:style w:type="character" w:customStyle="1" w:styleId="195">
    <w:name w:val="正文缩进 字符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0"/>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qFormat/>
    <w:uiPriority w:val="0"/>
    <w:pPr>
      <w:tabs>
        <w:tab w:val="left" w:pos="360"/>
      </w:tabs>
    </w:pPr>
    <w:rPr>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0">
    <w:name w:val="Char Char Char"/>
    <w:basedOn w:val="1"/>
    <w:qFormat/>
    <w:uiPriority w:val="0"/>
    <w:rPr>
      <w:rFonts w:ascii="Tahoma" w:hAnsi="Tahoma"/>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Cs w:val="20"/>
    </w:rPr>
  </w:style>
  <w:style w:type="paragraph" w:customStyle="1" w:styleId="513">
    <w:name w:val="列出段落5"/>
    <w:basedOn w:val="1"/>
    <w:qFormat/>
    <w:uiPriority w:val="0"/>
    <w:pPr>
      <w:spacing w:line="360" w:lineRule="auto"/>
      <w:ind w:firstLine="200" w:firstLineChars="200"/>
    </w:pPr>
    <w:rPr>
      <w:rFonts w:eastAsia="楷体_GB2312" w:cs="Lucida Sans"/>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156"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eastAsia="仿宋_GB2312"/>
      <w:b/>
      <w:bCs/>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Cs w:val="20"/>
    </w:rPr>
  </w:style>
  <w:style w:type="paragraph" w:customStyle="1" w:styleId="601">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Cs w:val="20"/>
    </w:rPr>
  </w:style>
  <w:style w:type="paragraph" w:customStyle="1" w:styleId="603">
    <w:name w:val="正文文字表格居中"/>
    <w:basedOn w:val="1"/>
    <w:next w:val="58"/>
    <w:qFormat/>
    <w:uiPriority w:val="0"/>
    <w:pPr>
      <w:snapToGrid w:val="0"/>
      <w:spacing w:line="360" w:lineRule="auto"/>
    </w:pPr>
    <w:rPr>
      <w:rFonts w:ascii="宋体"/>
      <w:b/>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Cs w:val="20"/>
    </w:rPr>
  </w:style>
  <w:style w:type="paragraph" w:customStyle="1" w:styleId="645">
    <w:name w:val="Char1 Char Char Char1"/>
    <w:basedOn w:val="1"/>
    <w:qFormat/>
    <w:uiPriority w:val="0"/>
    <w:pPr>
      <w:adjustRightInd/>
      <w:ind w:firstLine="200" w:firstLineChars="200"/>
    </w:pPr>
    <w:rPr>
      <w:rFonts w:ascii="Tahoma" w:hAnsi="Tahoma"/>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6">
    <w:name w:val="Body Text 2*"/>
    <w:basedOn w:val="1"/>
    <w:qFormat/>
    <w:uiPriority w:val="6"/>
    <w:pPr>
      <w:widowControl/>
      <w:adjustRightInd/>
      <w:ind w:left="720" w:hanging="720"/>
    </w:pPr>
    <w:rPr>
      <w:color w:val="000000"/>
      <w:kern w:val="0"/>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1">
    <w:name w:val="2级标题"/>
    <w:basedOn w:val="672"/>
    <w:qFormat/>
    <w:uiPriority w:val="0"/>
    <w:pPr>
      <w:jc w:val="left"/>
      <w:outlineLvl w:val="1"/>
    </w:pPr>
    <w:rPr>
      <w:rFonts w:ascii="Times New Roman" w:hAnsi="Times New Roman"/>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3"/>
    <w:qFormat/>
    <w:uiPriority w:val="0"/>
    <w:pPr>
      <w:autoSpaceDE w:val="0"/>
      <w:autoSpaceDN w:val="0"/>
      <w:snapToGrid w:val="0"/>
      <w:spacing w:after="120" w:line="360" w:lineRule="auto"/>
      <w:ind w:left="420" w:leftChars="200" w:firstLine="480" w:firstLineChars="200"/>
    </w:pPr>
    <w:rPr>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1">
    <w:name w:val="4"/>
    <w:basedOn w:val="1"/>
    <w:next w:val="38"/>
    <w:qFormat/>
    <w:uiPriority w:val="0"/>
    <w:pPr>
      <w:spacing w:after="120" w:line="480" w:lineRule="auto"/>
      <w:ind w:left="420" w:leftChars="200"/>
    </w:pPr>
    <w:rPr>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2">
    <w:name w:val="Char Char Char Char Char Char Char Char Char Char Char1 Char"/>
    <w:basedOn w:val="1"/>
    <w:qFormat/>
    <w:uiPriority w:val="0"/>
    <w:pPr>
      <w:adjustRightInd/>
    </w:pPr>
    <w:rPr>
      <w:rFonts w:ascii="Tahoma" w:hAnsi="Tahoma"/>
    </w:rPr>
  </w:style>
  <w:style w:type="paragraph" w:customStyle="1" w:styleId="753">
    <w:name w:val="Char Char Char Char11"/>
    <w:basedOn w:val="1"/>
    <w:qFormat/>
    <w:uiPriority w:val="0"/>
    <w:rPr>
      <w:rFonts w:ascii="Tahoma" w:hAnsi="Tahoma"/>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7">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5"/>
    <w:qFormat/>
    <w:uiPriority w:val="0"/>
    <w:pPr>
      <w:tabs>
        <w:tab w:val="clear" w:pos="900"/>
      </w:tabs>
      <w:spacing w:after="0" w:line="360" w:lineRule="auto"/>
    </w:pPr>
    <w:rPr>
      <w:rFonts w:ascii="仿宋" w:hAnsi="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8">
    <w:name w:val="列出段落3"/>
    <w:basedOn w:val="1"/>
    <w:qFormat/>
    <w:uiPriority w:val="34"/>
    <w:pPr>
      <w:adjustRightInd/>
      <w:spacing w:line="360" w:lineRule="auto"/>
      <w:ind w:firstLine="420" w:firstLineChars="200"/>
    </w:pPr>
    <w:rPr>
      <w:rFonts w:ascii="Calibri" w:hAnsi="Calibri"/>
      <w:szCs w:val="22"/>
    </w:rPr>
  </w:style>
  <w:style w:type="paragraph" w:customStyle="1" w:styleId="799">
    <w:name w:val="首行缩进"/>
    <w:basedOn w:val="1"/>
    <w:next w:val="25"/>
    <w:qFormat/>
    <w:uiPriority w:val="0"/>
    <w:pPr>
      <w:spacing w:line="360" w:lineRule="auto"/>
      <w:ind w:firstLine="480" w:firstLineChars="200"/>
    </w:pPr>
    <w:rPr>
      <w:rFonts w:ascii="宋体"/>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1">
    <w:name w:val="单元格左对齐"/>
    <w:basedOn w:val="1"/>
    <w:qFormat/>
    <w:uiPriority w:val="0"/>
    <w:pPr>
      <w:adjustRightInd/>
      <w:spacing w:line="360" w:lineRule="auto"/>
    </w:p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Cs w:val="20"/>
    </w:rPr>
  </w:style>
  <w:style w:type="paragraph" w:customStyle="1" w:styleId="838">
    <w:name w:val="Char Char Char Char Char Char Char Char Char Char Char Char1 Char"/>
    <w:basedOn w:val="1"/>
    <w:qFormat/>
    <w:uiPriority w:val="0"/>
    <w:rPr>
      <w:rFonts w:ascii="Tahoma" w:hAnsi="Tahoma" w:cs="仿宋_GB2312"/>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2">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rPr>
  </w:style>
  <w:style w:type="paragraph" w:customStyle="1" w:styleId="862">
    <w:name w:val="Char Char110"/>
    <w:basedOn w:val="1"/>
    <w:qFormat/>
    <w:uiPriority w:val="6"/>
    <w:pPr>
      <w:spacing w:line="360" w:lineRule="auto"/>
    </w:pPr>
    <w:rPr>
      <w:rFonts w:ascii="Tahoma" w:hAnsi="Tahoma"/>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_Style 468"/>
    <w:basedOn w:val="1"/>
    <w:next w:val="259"/>
    <w:qFormat/>
    <w:uiPriority w:val="99"/>
    <w:pPr>
      <w:spacing w:line="360" w:lineRule="auto"/>
      <w:ind w:firstLine="200" w:firstLineChars="200"/>
    </w:pPr>
    <w:rPr>
      <w:rFonts w:ascii="宋体" w:hAnsi="宋体" w:eastAsia="宋体"/>
      <w:kern w:val="0"/>
      <w:sz w:val="20"/>
    </w:rPr>
  </w:style>
  <w:style w:type="character" w:customStyle="1" w:styleId="964">
    <w:name w:val="ca-1"/>
    <w:qFormat/>
    <w:uiPriority w:val="0"/>
  </w:style>
  <w:style w:type="character" w:customStyle="1" w:styleId="965">
    <w:name w:val="无"/>
    <w:qFormat/>
    <w:uiPriority w:val="0"/>
  </w:style>
  <w:style w:type="paragraph" w:customStyle="1" w:styleId="96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15213</Words>
  <Characters>16469</Characters>
  <Lines>336</Lines>
  <Paragraphs>94</Paragraphs>
  <TotalTime>17</TotalTime>
  <ScaleCrop>false</ScaleCrop>
  <LinksUpToDate>false</LinksUpToDate>
  <CharactersWithSpaces>16871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2025-06-10T08:20:00Z</dcterms:created>
  <dc:creator>玥</dc:creator>
  <cp:lastModifiedBy>crows</cp:lastModifiedBy>
  <cp:lastPrinted>2024-12-03T14:55:00Z</cp:lastPrinted>
  <dcterms:modified xsi:type="dcterms:W3CDTF">2025-07-11T08:53:47Z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68AFF6E0EA5241FFAA4E6355ED3D24F0_13</vt:lpwstr>
  </property>
  <property fmtid="{D5CDD505-2E9C-101B-9397-08002B2CF9AE}" pid="5" name="KSOTemplateDocerSaveRecord">
    <vt:lpwstr>eyJoZGlkIjoiNTMzZTFhODBmMmJhYWVmODZjODY1ZTllNmVlNjFjMGQiLCJ1c2VySWQiOiI0NTgzNjc2MzQifQ==</vt:lpwstr>
  </property>
</Properties>
</file>