
<file path=[Content_Types].xml><?xml version="1.0" encoding="utf-8"?>
<Types xmlns="http://schemas.openxmlformats.org/package/2006/content-types">
  <Default ContentType="application/vnd.openxmlformats-package.relationships+xml" Extension="rels"/>
  <Default ContentType="application/xml" Extension="xml"/>
  <Override ContentType="application/vnd.openxmlformats-officedocument.customXmlProperties+xml" PartName="/customXml/itemProps1.xml"/>
  <Override ContentType="application/vnd.openxmlformats-officedocument.extended-properties+xml" PartName="/docProps/app.xml"/>
  <Override ContentType="application/vnd.openxmlformats-package.core-properties+xml" PartName="/docProps/core.xml"/>
  <Override ContentType="application/vnd.openxmlformats-officedocument.custom-properties+xml" PartName="/docProps/custom.xml"/>
  <Override ContentType="application/vnd.openxmlformats-officedocument.wordprocessingml.document.main+xml" PartName="/word/document.xml"/>
  <Override ContentType="application/vnd.openxmlformats-officedocument.wordprocessingml.fontTable+xml" PartName="/word/fontTable.xml"/>
  <Override ContentType="application/vnd.openxmlformats-officedocument.wordprocessingml.footer+xml" PartName="/word/footer1.xml"/>
  <Override ContentType="application/vnd.openxmlformats-officedocument.wordprocessingml.footer+xml" PartName="/word/footer2.xml"/>
  <Override ContentType="application/vnd.openxmlformats-officedocument.wordprocessingml.header+xml" PartName="/word/header1.xml"/>
  <Override ContentType="application/vnd.openxmlformats-officedocument.wordprocessingml.header+xml" PartName="/word/header2.xml"/>
  <Override ContentType="application/vnd.openxmlformats-officedocument.wordprocessingml.numbering+xml" PartName="/word/numbering.xml"/>
  <Override ContentType="application/vnd.openxmlformats-officedocument.wordprocessingml.settings+xml" PartName="/word/settings.xml"/>
  <Override ContentType="application/vnd.openxmlformats-officedocument.wordprocessingml.styles+xml" PartName="/word/styles.xml"/>
  <Override ContentType="application/vnd.openxmlformats-officedocument.theme+xml" PartName="/word/theme/theme1.xml"/>
</Types>
</file>

<file path=_rels/.rels><?xml version="1.0" encoding="UTF-8" standalone="yes"?><Relationships xmlns="http://schemas.openxmlformats.org/package/2006/relationships"><Relationship Id="rId1" Target="docProps/app.xml" Type="http://schemas.openxmlformats.org/officeDocument/2006/relationships/extended-properties"/><Relationship Id="rId2" Target="docProps/core.xml" Type="http://schemas.openxmlformats.org/package/2006/relationships/metadata/core-properties"/><Relationship Id="rId3" Target="docProps/custom.xml" Type="http://schemas.openxmlformats.org/officeDocument/2006/relationships/custom-properties"/><Relationship Id="rId4" Target="word/document.xml" Type="http://schemas.openxmlformats.org/officeDocument/2006/relationships/officeDocument"/></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tabs>
          <w:tab w:val="left" w:pos="5580"/>
        </w:tabs>
        <w:jc w:val="center"/>
        <w:rPr>
          <w:rFonts w:hint="eastAsia" w:ascii="宋体" w:hAnsi="宋体"/>
          <w:color w:val="auto"/>
          <w:sz w:val="52"/>
          <w:highlight w:val="none"/>
        </w:rPr>
      </w:pPr>
      <w:bookmarkStart w:id="230" w:name="_GoBack"/>
      <w:bookmarkEnd w:id="230"/>
      <w:r>
        <w:rPr>
          <w:rFonts w:hint="eastAsia" w:ascii="宋体" w:hAnsi="宋体"/>
          <w:color w:val="auto"/>
          <w:sz w:val="52"/>
          <w:highlight w:val="none"/>
          <w:lang w:val="en-US" w:eastAsia="zh-CN"/>
        </w:rPr>
        <w:t xml:space="preserve">   </w:t>
      </w:r>
      <w:r>
        <w:rPr>
          <w:rFonts w:hint="eastAsia" w:ascii="宋体" w:hAnsi="宋体"/>
          <w:color w:val="auto"/>
          <w:sz w:val="52"/>
          <w:highlight w:val="none"/>
        </w:rPr>
        <w:t xml:space="preserve">                                         </w:t>
      </w:r>
    </w:p>
    <w:p>
      <w:pPr>
        <w:pStyle w:val="29"/>
        <w:ind w:left="145" w:leftChars="-202" w:right="-521" w:rightChars="-248" w:hanging="569" w:hangingChars="118"/>
        <w:jc w:val="center"/>
        <w:rPr>
          <w:rFonts w:hint="eastAsia" w:hAnsi="宋体" w:cs="Tahoma"/>
          <w:b/>
          <w:bCs/>
          <w:color w:val="auto"/>
          <w:kern w:val="36"/>
          <w:sz w:val="48"/>
          <w:szCs w:val="48"/>
          <w:highlight w:val="none"/>
        </w:rPr>
      </w:pPr>
      <w:bookmarkStart w:id="0" w:name="_Hlt162751967"/>
      <w:bookmarkEnd w:id="0"/>
      <w:r>
        <w:rPr>
          <w:rFonts w:hint="eastAsia" w:hAnsi="宋体" w:cs="Tahoma"/>
          <w:b/>
          <w:bCs/>
          <w:color w:val="auto"/>
          <w:kern w:val="36"/>
          <w:sz w:val="48"/>
          <w:szCs w:val="48"/>
          <w:highlight w:val="none"/>
          <w:lang w:eastAsia="zh-CN"/>
        </w:rPr>
        <w:t xml:space="preserve"> 嘉兴市实验初级中学教育集团艺术教室室内装修工程设计施工一体化项目</w:t>
      </w:r>
    </w:p>
    <w:p>
      <w:pPr>
        <w:rPr>
          <w:rFonts w:hint="eastAsia" w:ascii="宋体" w:hAnsi="宋体"/>
          <w:color w:val="auto"/>
          <w:sz w:val="72"/>
          <w:highlight w:val="none"/>
        </w:rPr>
      </w:pPr>
    </w:p>
    <w:p>
      <w:pPr>
        <w:pStyle w:val="679"/>
        <w:rPr>
          <w:rFonts w:hint="eastAsia"/>
          <w:color w:val="auto"/>
          <w:highlight w:val="none"/>
          <w:lang w:val="en-US"/>
        </w:rPr>
      </w:pPr>
    </w:p>
    <w:p>
      <w:pPr>
        <w:pStyle w:val="679"/>
        <w:rPr>
          <w:rFonts w:hint="eastAsia"/>
          <w:color w:val="auto"/>
          <w:highlight w:val="none"/>
          <w:lang w:val="en-US"/>
        </w:rPr>
      </w:pPr>
    </w:p>
    <w:p>
      <w:pPr>
        <w:pStyle w:val="679"/>
        <w:rPr>
          <w:rFonts w:hint="eastAsia"/>
          <w:color w:val="auto"/>
          <w:highlight w:val="none"/>
          <w:lang w:val="en-US"/>
        </w:rPr>
      </w:pPr>
    </w:p>
    <w:p>
      <w:pPr>
        <w:pStyle w:val="679"/>
        <w:rPr>
          <w:rFonts w:hint="eastAsia"/>
          <w:color w:val="auto"/>
          <w:highlight w:val="none"/>
          <w:lang w:val="en-US"/>
        </w:rPr>
      </w:pPr>
    </w:p>
    <w:p>
      <w:pPr>
        <w:pStyle w:val="679"/>
        <w:rPr>
          <w:rFonts w:hint="eastAsia"/>
          <w:color w:val="auto"/>
          <w:highlight w:val="none"/>
          <w:lang w:val="en-US"/>
        </w:rPr>
      </w:pPr>
    </w:p>
    <w:p>
      <w:pPr>
        <w:pStyle w:val="29"/>
        <w:tabs>
          <w:tab w:val="left" w:pos="8772"/>
        </w:tabs>
        <w:jc w:val="left"/>
        <w:rPr>
          <w:rFonts w:hint="eastAsia" w:hAnsi="宋体" w:eastAsia="宋体"/>
          <w:b/>
          <w:color w:val="auto"/>
          <w:sz w:val="52"/>
          <w:szCs w:val="52"/>
          <w:highlight w:val="none"/>
          <w:lang w:eastAsia="zh-CN"/>
        </w:rPr>
      </w:pPr>
      <w:r>
        <w:rPr>
          <w:rFonts w:hint="eastAsia" w:hAnsi="宋体"/>
          <w:b/>
          <w:color w:val="auto"/>
          <w:sz w:val="52"/>
          <w:szCs w:val="52"/>
          <w:highlight w:val="none"/>
          <w:lang w:eastAsia="zh-CN"/>
        </w:rPr>
        <w:tab/>
      </w:r>
    </w:p>
    <w:p>
      <w:pPr>
        <w:pStyle w:val="29"/>
        <w:jc w:val="center"/>
        <w:rPr>
          <w:rFonts w:hAnsi="宋体"/>
          <w:b/>
          <w:color w:val="auto"/>
          <w:sz w:val="52"/>
          <w:szCs w:val="52"/>
          <w:highlight w:val="none"/>
        </w:rPr>
      </w:pPr>
      <w:r>
        <w:rPr>
          <w:rFonts w:hint="eastAsia" w:hAnsi="宋体"/>
          <w:b/>
          <w:color w:val="auto"/>
          <w:sz w:val="52"/>
          <w:szCs w:val="52"/>
          <w:highlight w:val="none"/>
        </w:rPr>
        <w:t>竞争性磋商</w:t>
      </w:r>
      <w:r>
        <w:rPr>
          <w:rFonts w:hAnsi="宋体"/>
          <w:b/>
          <w:color w:val="auto"/>
          <w:sz w:val="52"/>
          <w:szCs w:val="52"/>
          <w:highlight w:val="none"/>
        </w:rPr>
        <w:t>文件</w:t>
      </w:r>
    </w:p>
    <w:p>
      <w:pPr>
        <w:rPr>
          <w:rFonts w:hint="eastAsia" w:ascii="宋体" w:hAnsi="宋体"/>
          <w:color w:val="auto"/>
          <w:sz w:val="30"/>
          <w:highlight w:val="none"/>
        </w:rPr>
      </w:pPr>
    </w:p>
    <w:p>
      <w:pPr>
        <w:snapToGrid w:val="0"/>
        <w:spacing w:before="156" w:beforeLines="50" w:line="360" w:lineRule="auto"/>
        <w:rPr>
          <w:rFonts w:hint="eastAsia" w:ascii="宋体" w:hAnsi="宋体"/>
          <w:color w:val="auto"/>
          <w:sz w:val="30"/>
          <w:szCs w:val="72"/>
          <w:highlight w:val="none"/>
        </w:rPr>
      </w:pPr>
    </w:p>
    <w:p>
      <w:pPr>
        <w:snapToGrid w:val="0"/>
        <w:spacing w:before="156" w:beforeLines="50" w:line="360" w:lineRule="auto"/>
        <w:rPr>
          <w:rFonts w:hint="eastAsia" w:ascii="宋体" w:hAnsi="宋体"/>
          <w:color w:val="auto"/>
          <w:sz w:val="30"/>
          <w:szCs w:val="72"/>
          <w:highlight w:val="none"/>
        </w:rPr>
      </w:pPr>
    </w:p>
    <w:p>
      <w:pPr>
        <w:snapToGrid w:val="0"/>
        <w:spacing w:before="156" w:beforeLines="50" w:line="360" w:lineRule="auto"/>
        <w:rPr>
          <w:rFonts w:hint="eastAsia" w:ascii="宋体" w:hAnsi="宋体"/>
          <w:color w:val="auto"/>
          <w:sz w:val="30"/>
          <w:szCs w:val="72"/>
          <w:highlight w:val="none"/>
        </w:rPr>
      </w:pPr>
    </w:p>
    <w:p>
      <w:pPr>
        <w:pStyle w:val="4"/>
        <w:rPr>
          <w:rFonts w:hint="eastAsia"/>
          <w:color w:val="auto"/>
          <w:highlight w:val="none"/>
        </w:rPr>
      </w:pPr>
    </w:p>
    <w:p>
      <w:pPr>
        <w:spacing w:line="360" w:lineRule="auto"/>
        <w:jc w:val="center"/>
        <w:rPr>
          <w:rFonts w:hint="eastAsia" w:ascii="宋体" w:hAnsi="宋体"/>
          <w:color w:val="auto"/>
          <w:highlight w:val="none"/>
        </w:rPr>
      </w:pPr>
    </w:p>
    <w:p>
      <w:pPr>
        <w:spacing w:line="360" w:lineRule="auto"/>
        <w:rPr>
          <w:rFonts w:hint="default" w:ascii="宋体" w:hAnsi="宋体"/>
          <w:b/>
          <w:bCs/>
          <w:color w:val="auto"/>
          <w:w w:val="95"/>
          <w:kern w:val="2"/>
          <w:sz w:val="28"/>
          <w:szCs w:val="28"/>
          <w:highlight w:val="none"/>
          <w:lang w:val="en-US"/>
        </w:rPr>
      </w:pPr>
      <w:r>
        <w:rPr>
          <w:rFonts w:hint="eastAsia" w:ascii="宋体" w:hAnsi="宋体"/>
          <w:b/>
          <w:bCs/>
          <w:color w:val="auto"/>
          <w:w w:val="95"/>
          <w:kern w:val="2"/>
          <w:sz w:val="28"/>
          <w:szCs w:val="28"/>
          <w:highlight w:val="none"/>
        </w:rPr>
        <w:t xml:space="preserve">         项目编号</w:t>
      </w:r>
      <w:r>
        <w:rPr>
          <w:rFonts w:hint="eastAsia" w:ascii="宋体" w:hAnsi="宋体"/>
          <w:b/>
          <w:bCs/>
          <w:color w:val="auto"/>
          <w:w w:val="95"/>
          <w:kern w:val="2"/>
          <w:sz w:val="28"/>
          <w:szCs w:val="28"/>
          <w:highlight w:val="none"/>
          <w:lang w:eastAsia="zh-CN"/>
        </w:rPr>
        <w:t>：</w:t>
      </w:r>
      <w:r>
        <w:rPr>
          <w:rFonts w:hint="eastAsia" w:ascii="宋体" w:hAnsi="宋体"/>
          <w:b/>
          <w:bCs/>
          <w:color w:val="auto"/>
          <w:w w:val="95"/>
          <w:kern w:val="2"/>
          <w:sz w:val="28"/>
          <w:szCs w:val="28"/>
          <w:highlight w:val="none"/>
          <w:lang w:val="en-US" w:eastAsia="zh-CN"/>
        </w:rPr>
        <w:t>FLCX-2023-45</w:t>
      </w:r>
    </w:p>
    <w:p>
      <w:pPr>
        <w:pStyle w:val="29"/>
        <w:spacing w:line="360" w:lineRule="auto"/>
        <w:ind w:firstLine="267" w:firstLineChars="100"/>
        <w:jc w:val="left"/>
        <w:rPr>
          <w:rFonts w:hint="eastAsia" w:hAnsi="宋体" w:eastAsia="宋体"/>
          <w:b/>
          <w:bCs/>
          <w:color w:val="auto"/>
          <w:w w:val="95"/>
          <w:sz w:val="28"/>
          <w:szCs w:val="28"/>
          <w:highlight w:val="none"/>
          <w:lang w:eastAsia="zh-CN"/>
        </w:rPr>
      </w:pPr>
      <w:r>
        <w:rPr>
          <w:rFonts w:hint="eastAsia" w:hAnsi="宋体"/>
          <w:b/>
          <w:bCs/>
          <w:color w:val="auto"/>
          <w:w w:val="95"/>
          <w:sz w:val="28"/>
          <w:szCs w:val="28"/>
          <w:highlight w:val="none"/>
        </w:rPr>
        <w:t xml:space="preserve">       采购单位：</w:t>
      </w:r>
      <w:r>
        <w:rPr>
          <w:rFonts w:hint="eastAsia" w:hAnsi="宋体"/>
          <w:b/>
          <w:bCs/>
          <w:color w:val="auto"/>
          <w:w w:val="95"/>
          <w:sz w:val="28"/>
          <w:szCs w:val="28"/>
          <w:highlight w:val="none"/>
          <w:lang w:eastAsia="zh-CN"/>
        </w:rPr>
        <w:t>嘉兴市实验初级中学教育集团</w:t>
      </w:r>
    </w:p>
    <w:p>
      <w:pPr>
        <w:pStyle w:val="29"/>
        <w:spacing w:line="360" w:lineRule="auto"/>
        <w:ind w:firstLine="267" w:firstLineChars="100"/>
        <w:jc w:val="left"/>
        <w:rPr>
          <w:rFonts w:hint="eastAsia" w:hAnsi="宋体" w:eastAsia="宋体"/>
          <w:b/>
          <w:bCs/>
          <w:color w:val="auto"/>
          <w:w w:val="95"/>
          <w:sz w:val="28"/>
          <w:szCs w:val="28"/>
          <w:highlight w:val="none"/>
          <w:lang w:eastAsia="zh-CN"/>
        </w:rPr>
      </w:pPr>
      <w:r>
        <w:rPr>
          <w:rFonts w:hint="eastAsia" w:hAnsi="宋体"/>
          <w:b/>
          <w:bCs/>
          <w:color w:val="auto"/>
          <w:w w:val="95"/>
          <w:sz w:val="28"/>
          <w:szCs w:val="28"/>
          <w:highlight w:val="none"/>
        </w:rPr>
        <w:t xml:space="preserve">       采购机构：</w:t>
      </w:r>
      <w:r>
        <w:rPr>
          <w:rFonts w:hint="eastAsia" w:hAnsi="宋体"/>
          <w:b/>
          <w:bCs/>
          <w:color w:val="auto"/>
          <w:w w:val="95"/>
          <w:sz w:val="28"/>
          <w:szCs w:val="28"/>
          <w:highlight w:val="none"/>
          <w:lang w:eastAsia="zh-CN"/>
        </w:rPr>
        <w:t>浙江富力诚欣工程顾问有限公司</w:t>
      </w:r>
    </w:p>
    <w:p>
      <w:pPr>
        <w:snapToGrid w:val="0"/>
        <w:spacing w:before="156" w:beforeLines="50" w:line="360" w:lineRule="auto"/>
        <w:jc w:val="center"/>
        <w:rPr>
          <w:rFonts w:hint="eastAsia" w:ascii="宋体" w:hAnsi="宋体"/>
          <w:b/>
          <w:bCs/>
          <w:color w:val="auto"/>
          <w:w w:val="95"/>
          <w:kern w:val="2"/>
          <w:sz w:val="28"/>
          <w:szCs w:val="28"/>
          <w:highlight w:val="none"/>
        </w:rPr>
      </w:pPr>
      <w:r>
        <w:rPr>
          <w:rFonts w:hint="eastAsia" w:ascii="宋体" w:hAnsi="宋体"/>
          <w:b/>
          <w:bCs/>
          <w:color w:val="auto"/>
          <w:w w:val="95"/>
          <w:kern w:val="2"/>
          <w:sz w:val="28"/>
          <w:szCs w:val="28"/>
          <w:highlight w:val="none"/>
          <w:lang w:val="en-US" w:eastAsia="zh-CN"/>
        </w:rPr>
        <w:t>2</w:t>
      </w:r>
      <w:r>
        <w:rPr>
          <w:rFonts w:hint="eastAsia" w:ascii="宋体" w:hAnsi="宋体"/>
          <w:b/>
          <w:bCs/>
          <w:color w:val="auto"/>
          <w:w w:val="95"/>
          <w:kern w:val="2"/>
          <w:sz w:val="28"/>
          <w:szCs w:val="28"/>
          <w:highlight w:val="none"/>
          <w:lang w:val="en-US" w:eastAsia="zh-CN"/>
        </w:rPr>
        <w:t>023</w:t>
      </w:r>
      <w:r>
        <w:rPr>
          <w:rFonts w:hint="eastAsia" w:ascii="宋体" w:hAnsi="宋体"/>
          <w:b/>
          <w:bCs/>
          <w:color w:val="auto"/>
          <w:w w:val="95"/>
          <w:kern w:val="2"/>
          <w:sz w:val="28"/>
          <w:szCs w:val="28"/>
          <w:highlight w:val="none"/>
        </w:rPr>
        <w:t>年</w:t>
      </w:r>
      <w:r>
        <w:rPr>
          <w:rFonts w:hint="eastAsia" w:ascii="宋体" w:hAnsi="宋体"/>
          <w:b/>
          <w:bCs/>
          <w:color w:val="auto"/>
          <w:w w:val="95"/>
          <w:kern w:val="2"/>
          <w:sz w:val="28"/>
          <w:szCs w:val="28"/>
          <w:highlight w:val="none"/>
          <w:lang w:val="en-US" w:eastAsia="zh-CN"/>
        </w:rPr>
        <w:t>1</w:t>
      </w:r>
      <w:r>
        <w:rPr>
          <w:rFonts w:hint="eastAsia" w:ascii="宋体" w:hAnsi="宋体"/>
          <w:b/>
          <w:bCs/>
          <w:color w:val="auto"/>
          <w:w w:val="95"/>
          <w:kern w:val="2"/>
          <w:sz w:val="28"/>
          <w:szCs w:val="28"/>
          <w:highlight w:val="none"/>
          <w:lang w:val="en-US" w:eastAsia="zh-CN"/>
        </w:rPr>
        <w:t>0</w:t>
      </w:r>
      <w:r>
        <w:rPr>
          <w:rFonts w:hint="eastAsia" w:ascii="宋体" w:hAnsi="宋体"/>
          <w:b/>
          <w:bCs/>
          <w:color w:val="auto"/>
          <w:w w:val="95"/>
          <w:kern w:val="2"/>
          <w:sz w:val="28"/>
          <w:szCs w:val="28"/>
          <w:highlight w:val="none"/>
        </w:rPr>
        <w:t>月</w:t>
      </w:r>
    </w:p>
    <w:p>
      <w:pPr>
        <w:spacing w:line="360" w:lineRule="auto"/>
        <w:jc w:val="center"/>
        <w:rPr>
          <w:rFonts w:hint="eastAsia" w:ascii="宋体" w:hAnsi="宋体"/>
          <w:b/>
          <w:bCs/>
          <w:color w:val="auto"/>
          <w:w w:val="95"/>
          <w:kern w:val="2"/>
          <w:sz w:val="28"/>
          <w:szCs w:val="28"/>
          <w:highlight w:val="none"/>
        </w:rPr>
      </w:pPr>
      <w:r>
        <w:rPr>
          <w:rFonts w:ascii="宋体" w:hAnsi="宋体"/>
          <w:b/>
          <w:bCs/>
          <w:color w:val="auto"/>
          <w:w w:val="95"/>
          <w:kern w:val="2"/>
          <w:sz w:val="28"/>
          <w:szCs w:val="28"/>
          <w:highlight w:val="none"/>
        </w:rPr>
        <w:t xml:space="preserve">                                 </w:t>
      </w:r>
    </w:p>
    <w:p>
      <w:pPr>
        <w:rPr>
          <w:rFonts w:ascii="宋体" w:hAnsi="宋体"/>
          <w:color w:val="auto"/>
          <w:highlight w:val="none"/>
        </w:rPr>
      </w:pPr>
    </w:p>
    <w:p>
      <w:pPr>
        <w:pStyle w:val="29"/>
        <w:spacing w:before="156" w:beforeLines="50" w:line="360" w:lineRule="auto"/>
        <w:jc w:val="center"/>
        <w:rPr>
          <w:rFonts w:hint="eastAsia" w:hAnsi="宋体"/>
          <w:b/>
          <w:bCs/>
          <w:color w:val="auto"/>
          <w:kern w:val="44"/>
          <w:sz w:val="32"/>
          <w:szCs w:val="32"/>
          <w:highlight w:val="none"/>
          <w:lang w:val="zh-CN"/>
        </w:rPr>
      </w:pPr>
      <w:r>
        <w:rPr>
          <w:rFonts w:hint="eastAsia" w:hAnsi="宋体"/>
          <w:b/>
          <w:bCs/>
          <w:color w:val="auto"/>
          <w:kern w:val="44"/>
          <w:sz w:val="32"/>
          <w:szCs w:val="32"/>
          <w:highlight w:val="none"/>
          <w:lang w:val="zh-CN"/>
        </w:rPr>
        <w:t>目  录</w:t>
      </w:r>
    </w:p>
    <w:p>
      <w:pPr>
        <w:pStyle w:val="29"/>
        <w:spacing w:before="156" w:beforeLines="50" w:line="360" w:lineRule="auto"/>
        <w:jc w:val="center"/>
        <w:rPr>
          <w:rFonts w:hint="eastAsia" w:hAnsi="宋体"/>
          <w:b/>
          <w:color w:val="auto"/>
          <w:sz w:val="48"/>
          <w:szCs w:val="48"/>
          <w:highlight w:val="none"/>
        </w:rPr>
      </w:pPr>
    </w:p>
    <w:p>
      <w:pPr>
        <w:pStyle w:val="37"/>
        <w:tabs>
          <w:tab w:val="right" w:leader="dot" w:pos="9638"/>
        </w:tabs>
        <w:rPr>
          <w:rStyle w:val="63"/>
          <w:rFonts w:ascii="宋体" w:hAnsi="宋体"/>
          <w:bCs w:val="0"/>
          <w:caps w:val="0"/>
          <w:color w:val="auto"/>
          <w:kern w:val="2"/>
          <w:sz w:val="21"/>
          <w:szCs w:val="24"/>
          <w:highlight w:val="none"/>
          <w:lang/>
        </w:rPr>
      </w:pPr>
      <w:r>
        <w:rPr>
          <w:rFonts w:hint="eastAsia" w:ascii="宋体" w:hAnsi="宋体"/>
          <w:bCs w:val="0"/>
          <w:caps w:val="0"/>
          <w:color w:val="auto"/>
          <w:kern w:val="2"/>
          <w:sz w:val="21"/>
          <w:szCs w:val="24"/>
          <w:highlight w:val="none"/>
          <w:lang/>
        </w:rPr>
        <w:fldChar w:fldCharType="begin"/>
      </w:r>
      <w:r>
        <w:rPr>
          <w:rStyle w:val="63"/>
          <w:rFonts w:hint="eastAsia" w:ascii="宋体" w:hAnsi="宋体"/>
          <w:bCs w:val="0"/>
          <w:caps w:val="0"/>
          <w:color w:val="auto"/>
          <w:kern w:val="2"/>
          <w:sz w:val="21"/>
          <w:szCs w:val="24"/>
          <w:highlight w:val="none"/>
          <w:lang/>
        </w:rPr>
        <w:instrText xml:space="preserve"> TOC \o "1-1" \h \z \u </w:instrText>
      </w:r>
      <w:r>
        <w:rPr>
          <w:rFonts w:hint="eastAsia" w:ascii="宋体" w:hAnsi="宋体"/>
          <w:bCs w:val="0"/>
          <w:caps w:val="0"/>
          <w:color w:val="auto"/>
          <w:kern w:val="2"/>
          <w:sz w:val="21"/>
          <w:szCs w:val="24"/>
          <w:highlight w:val="none"/>
          <w:lang/>
        </w:rPr>
        <w:fldChar w:fldCharType="separate"/>
      </w:r>
      <w:r>
        <w:rPr>
          <w:rFonts w:hint="eastAsia" w:ascii="宋体" w:hAnsi="宋体"/>
          <w:bCs w:val="0"/>
          <w:caps w:val="0"/>
          <w:color w:val="auto"/>
          <w:kern w:val="2"/>
          <w:sz w:val="21"/>
          <w:szCs w:val="24"/>
          <w:highlight w:val="none"/>
          <w:lang/>
        </w:rPr>
        <w:fldChar w:fldCharType="begin"/>
      </w:r>
      <w:r>
        <w:rPr>
          <w:rStyle w:val="63"/>
          <w:rFonts w:hint="eastAsia" w:ascii="宋体" w:hAnsi="宋体"/>
          <w:bCs w:val="0"/>
          <w:caps w:val="0"/>
          <w:color w:val="auto"/>
          <w:kern w:val="2"/>
          <w:sz w:val="21"/>
          <w:szCs w:val="24"/>
          <w:highlight w:val="none"/>
          <w:lang/>
        </w:rPr>
        <w:instrText xml:space="preserve"> HYPERLINK \l _Toc3487 </w:instrText>
      </w:r>
      <w:r>
        <w:rPr>
          <w:rFonts w:hint="eastAsia" w:ascii="宋体" w:hAnsi="宋体"/>
          <w:bCs w:val="0"/>
          <w:caps w:val="0"/>
          <w:color w:val="auto"/>
          <w:kern w:val="2"/>
          <w:sz w:val="21"/>
          <w:szCs w:val="24"/>
          <w:highlight w:val="none"/>
          <w:lang/>
        </w:rPr>
        <w:fldChar w:fldCharType="separate"/>
      </w:r>
      <w:r>
        <w:rPr>
          <w:rStyle w:val="63"/>
          <w:rFonts w:hint="eastAsia" w:ascii="宋体" w:hAnsi="宋体"/>
          <w:bCs w:val="0"/>
          <w:caps w:val="0"/>
          <w:color w:val="auto"/>
          <w:kern w:val="2"/>
          <w:sz w:val="21"/>
          <w:szCs w:val="24"/>
          <w:highlight w:val="none"/>
          <w:lang/>
        </w:rPr>
        <w:t>第一章  竞争性磋商公告</w:t>
      </w:r>
      <w:r>
        <w:rPr>
          <w:rStyle w:val="63"/>
          <w:rFonts w:ascii="宋体" w:hAnsi="宋体"/>
          <w:bCs w:val="0"/>
          <w:caps w:val="0"/>
          <w:color w:val="auto"/>
          <w:kern w:val="2"/>
          <w:sz w:val="21"/>
          <w:szCs w:val="24"/>
          <w:highlight w:val="none"/>
          <w:lang/>
        </w:rPr>
        <w:tab/>
      </w:r>
      <w:r>
        <w:rPr>
          <w:rFonts w:ascii="宋体" w:hAnsi="宋体"/>
          <w:bCs w:val="0"/>
          <w:caps w:val="0"/>
          <w:color w:val="auto"/>
          <w:kern w:val="2"/>
          <w:sz w:val="21"/>
          <w:szCs w:val="24"/>
          <w:highlight w:val="none"/>
          <w:lang/>
        </w:rPr>
        <w:fldChar w:fldCharType="begin"/>
      </w:r>
      <w:r>
        <w:rPr>
          <w:rStyle w:val="63"/>
          <w:rFonts w:ascii="宋体" w:hAnsi="宋体"/>
          <w:bCs w:val="0"/>
          <w:caps w:val="0"/>
          <w:color w:val="auto"/>
          <w:kern w:val="2"/>
          <w:sz w:val="21"/>
          <w:szCs w:val="24"/>
          <w:highlight w:val="none"/>
          <w:lang/>
        </w:rPr>
        <w:instrText xml:space="preserve"> PAGEREF _Toc3487 </w:instrText>
      </w:r>
      <w:r>
        <w:rPr>
          <w:rFonts w:ascii="宋体" w:hAnsi="宋体"/>
          <w:bCs w:val="0"/>
          <w:caps w:val="0"/>
          <w:color w:val="auto"/>
          <w:kern w:val="2"/>
          <w:sz w:val="21"/>
          <w:szCs w:val="24"/>
          <w:highlight w:val="none"/>
          <w:lang/>
        </w:rPr>
        <w:fldChar w:fldCharType="separate"/>
      </w:r>
      <w:r>
        <w:rPr>
          <w:rStyle w:val="63"/>
          <w:rFonts w:ascii="宋体" w:hAnsi="宋体"/>
          <w:bCs w:val="0"/>
          <w:caps w:val="0"/>
          <w:color w:val="auto"/>
          <w:kern w:val="2"/>
          <w:sz w:val="21"/>
          <w:szCs w:val="24"/>
          <w:highlight w:val="none"/>
          <w:lang/>
        </w:rPr>
        <w:t>2</w:t>
      </w:r>
      <w:r>
        <w:rPr>
          <w:rFonts w:ascii="宋体" w:hAnsi="宋体"/>
          <w:bCs w:val="0"/>
          <w:caps w:val="0"/>
          <w:color w:val="auto"/>
          <w:kern w:val="2"/>
          <w:sz w:val="21"/>
          <w:szCs w:val="24"/>
          <w:highlight w:val="none"/>
          <w:lang/>
        </w:rPr>
        <w:fldChar w:fldCharType="end"/>
      </w:r>
      <w:r>
        <w:rPr>
          <w:rFonts w:hint="eastAsia" w:ascii="宋体" w:hAnsi="宋体"/>
          <w:bCs w:val="0"/>
          <w:caps w:val="0"/>
          <w:color w:val="auto"/>
          <w:kern w:val="2"/>
          <w:sz w:val="21"/>
          <w:szCs w:val="24"/>
          <w:highlight w:val="none"/>
          <w:lang/>
        </w:rPr>
        <w:fldChar w:fldCharType="end"/>
      </w:r>
    </w:p>
    <w:p>
      <w:pPr>
        <w:pStyle w:val="37"/>
        <w:tabs>
          <w:tab w:val="right" w:leader="dot" w:pos="9638"/>
        </w:tabs>
        <w:rPr>
          <w:rStyle w:val="63"/>
          <w:rFonts w:ascii="宋体" w:hAnsi="宋体"/>
          <w:bCs w:val="0"/>
          <w:caps w:val="0"/>
          <w:color w:val="auto"/>
          <w:kern w:val="2"/>
          <w:sz w:val="21"/>
          <w:szCs w:val="24"/>
          <w:highlight w:val="none"/>
          <w:lang/>
        </w:rPr>
      </w:pPr>
      <w:r>
        <w:rPr>
          <w:rFonts w:hint="eastAsia" w:ascii="宋体" w:hAnsi="宋体"/>
          <w:bCs w:val="0"/>
          <w:caps w:val="0"/>
          <w:color w:val="auto"/>
          <w:kern w:val="2"/>
          <w:sz w:val="21"/>
          <w:szCs w:val="24"/>
          <w:highlight w:val="none"/>
          <w:lang/>
        </w:rPr>
        <w:fldChar w:fldCharType="begin"/>
      </w:r>
      <w:r>
        <w:rPr>
          <w:rStyle w:val="63"/>
          <w:rFonts w:hint="eastAsia" w:ascii="宋体" w:hAnsi="宋体"/>
          <w:bCs w:val="0"/>
          <w:caps w:val="0"/>
          <w:color w:val="auto"/>
          <w:kern w:val="2"/>
          <w:sz w:val="21"/>
          <w:szCs w:val="24"/>
          <w:highlight w:val="none"/>
          <w:lang/>
        </w:rPr>
        <w:instrText xml:space="preserve"> HYPERLINK \l _Toc9634 </w:instrText>
      </w:r>
      <w:r>
        <w:rPr>
          <w:rFonts w:hint="eastAsia" w:ascii="宋体" w:hAnsi="宋体"/>
          <w:bCs w:val="0"/>
          <w:caps w:val="0"/>
          <w:color w:val="auto"/>
          <w:kern w:val="2"/>
          <w:sz w:val="21"/>
          <w:szCs w:val="24"/>
          <w:highlight w:val="none"/>
          <w:lang/>
        </w:rPr>
        <w:fldChar w:fldCharType="separate"/>
      </w:r>
      <w:r>
        <w:rPr>
          <w:rStyle w:val="63"/>
          <w:rFonts w:hint="eastAsia" w:ascii="宋体" w:hAnsi="宋体"/>
          <w:bCs w:val="0"/>
          <w:caps w:val="0"/>
          <w:color w:val="auto"/>
          <w:kern w:val="2"/>
          <w:sz w:val="21"/>
          <w:szCs w:val="24"/>
          <w:highlight w:val="none"/>
          <w:lang/>
        </w:rPr>
        <w:t>第二章  磋商需求</w:t>
      </w:r>
      <w:r>
        <w:rPr>
          <w:rStyle w:val="63"/>
          <w:rFonts w:ascii="宋体" w:hAnsi="宋体"/>
          <w:bCs w:val="0"/>
          <w:caps w:val="0"/>
          <w:color w:val="auto"/>
          <w:kern w:val="2"/>
          <w:sz w:val="21"/>
          <w:szCs w:val="24"/>
          <w:highlight w:val="none"/>
          <w:lang/>
        </w:rPr>
        <w:tab/>
      </w:r>
      <w:r>
        <w:rPr>
          <w:rFonts w:hint="eastAsia" w:ascii="宋体" w:hAnsi="宋体"/>
          <w:bCs w:val="0"/>
          <w:caps w:val="0"/>
          <w:color w:val="auto"/>
          <w:kern w:val="2"/>
          <w:sz w:val="21"/>
          <w:szCs w:val="24"/>
          <w:highlight w:val="none"/>
          <w:lang w:val="en-US" w:eastAsia="zh-CN"/>
        </w:rPr>
        <w:t>7</w:t>
      </w:r>
      <w:r>
        <w:rPr>
          <w:rFonts w:hint="eastAsia" w:ascii="宋体" w:hAnsi="宋体"/>
          <w:bCs w:val="0"/>
          <w:caps w:val="0"/>
          <w:color w:val="auto"/>
          <w:kern w:val="2"/>
          <w:sz w:val="21"/>
          <w:szCs w:val="24"/>
          <w:highlight w:val="none"/>
          <w:lang/>
        </w:rPr>
        <w:fldChar w:fldCharType="end"/>
      </w:r>
    </w:p>
    <w:p>
      <w:pPr>
        <w:pStyle w:val="37"/>
        <w:tabs>
          <w:tab w:val="right" w:leader="dot" w:pos="9638"/>
        </w:tabs>
        <w:rPr>
          <w:rStyle w:val="63"/>
          <w:rFonts w:ascii="宋体" w:hAnsi="宋体"/>
          <w:bCs w:val="0"/>
          <w:caps w:val="0"/>
          <w:color w:val="auto"/>
          <w:kern w:val="2"/>
          <w:sz w:val="21"/>
          <w:szCs w:val="24"/>
          <w:highlight w:val="none"/>
          <w:lang/>
        </w:rPr>
      </w:pPr>
      <w:r>
        <w:rPr>
          <w:rFonts w:hint="eastAsia" w:ascii="宋体" w:hAnsi="宋体"/>
          <w:bCs w:val="0"/>
          <w:caps w:val="0"/>
          <w:color w:val="auto"/>
          <w:kern w:val="2"/>
          <w:sz w:val="21"/>
          <w:szCs w:val="24"/>
          <w:highlight w:val="none"/>
          <w:lang/>
        </w:rPr>
        <w:fldChar w:fldCharType="begin"/>
      </w:r>
      <w:r>
        <w:rPr>
          <w:rStyle w:val="63"/>
          <w:rFonts w:hint="eastAsia" w:ascii="宋体" w:hAnsi="宋体"/>
          <w:bCs w:val="0"/>
          <w:caps w:val="0"/>
          <w:color w:val="auto"/>
          <w:kern w:val="2"/>
          <w:sz w:val="21"/>
          <w:szCs w:val="24"/>
          <w:highlight w:val="none"/>
          <w:lang/>
        </w:rPr>
        <w:instrText xml:space="preserve"> HYPERLINK \l _Toc214 </w:instrText>
      </w:r>
      <w:r>
        <w:rPr>
          <w:rFonts w:hint="eastAsia" w:ascii="宋体" w:hAnsi="宋体"/>
          <w:bCs w:val="0"/>
          <w:caps w:val="0"/>
          <w:color w:val="auto"/>
          <w:kern w:val="2"/>
          <w:sz w:val="21"/>
          <w:szCs w:val="24"/>
          <w:highlight w:val="none"/>
          <w:lang/>
        </w:rPr>
        <w:fldChar w:fldCharType="separate"/>
      </w:r>
      <w:r>
        <w:rPr>
          <w:rStyle w:val="63"/>
          <w:rFonts w:hint="eastAsia" w:ascii="宋体" w:hAnsi="宋体"/>
          <w:bCs w:val="0"/>
          <w:caps w:val="0"/>
          <w:color w:val="auto"/>
          <w:kern w:val="2"/>
          <w:sz w:val="21"/>
          <w:szCs w:val="24"/>
          <w:highlight w:val="none"/>
          <w:lang/>
        </w:rPr>
        <w:t>第三章  供应商须知</w:t>
      </w:r>
      <w:r>
        <w:rPr>
          <w:rStyle w:val="63"/>
          <w:rFonts w:ascii="宋体" w:hAnsi="宋体"/>
          <w:bCs w:val="0"/>
          <w:caps w:val="0"/>
          <w:color w:val="auto"/>
          <w:kern w:val="2"/>
          <w:sz w:val="21"/>
          <w:szCs w:val="24"/>
          <w:highlight w:val="none"/>
          <w:lang/>
        </w:rPr>
        <w:tab/>
      </w:r>
      <w:r>
        <w:rPr>
          <w:rStyle w:val="63"/>
          <w:rFonts w:hint="eastAsia" w:ascii="宋体" w:hAnsi="宋体"/>
          <w:bCs w:val="0"/>
          <w:caps w:val="0"/>
          <w:color w:val="auto"/>
          <w:kern w:val="2"/>
          <w:sz w:val="21"/>
          <w:szCs w:val="24"/>
          <w:highlight w:val="none"/>
          <w:lang w:val="en-US" w:eastAsia="zh-CN"/>
        </w:rPr>
        <w:t>11</w:t>
      </w:r>
      <w:r>
        <w:rPr>
          <w:rFonts w:hint="eastAsia" w:ascii="宋体" w:hAnsi="宋体"/>
          <w:bCs w:val="0"/>
          <w:caps w:val="0"/>
          <w:color w:val="auto"/>
          <w:kern w:val="2"/>
          <w:sz w:val="21"/>
          <w:szCs w:val="24"/>
          <w:highlight w:val="none"/>
          <w:lang/>
        </w:rPr>
        <w:fldChar w:fldCharType="end"/>
      </w:r>
    </w:p>
    <w:p>
      <w:pPr>
        <w:pStyle w:val="37"/>
        <w:tabs>
          <w:tab w:val="right" w:leader="dot" w:pos="9638"/>
        </w:tabs>
        <w:rPr>
          <w:rStyle w:val="63"/>
          <w:rFonts w:hint="eastAsia" w:ascii="宋体" w:hAnsi="宋体" w:eastAsia="宋体"/>
          <w:bCs w:val="0"/>
          <w:caps w:val="0"/>
          <w:color w:val="auto"/>
          <w:kern w:val="2"/>
          <w:sz w:val="21"/>
          <w:szCs w:val="24"/>
          <w:highlight w:val="none"/>
          <w:lang w:val="en-US" w:eastAsia="zh-CN"/>
        </w:rPr>
      </w:pPr>
      <w:r>
        <w:rPr>
          <w:rFonts w:hint="eastAsia" w:ascii="宋体" w:hAnsi="宋体"/>
          <w:bCs w:val="0"/>
          <w:caps w:val="0"/>
          <w:color w:val="auto"/>
          <w:kern w:val="2"/>
          <w:sz w:val="21"/>
          <w:szCs w:val="24"/>
          <w:highlight w:val="none"/>
          <w:lang/>
        </w:rPr>
        <w:fldChar w:fldCharType="begin"/>
      </w:r>
      <w:r>
        <w:rPr>
          <w:rStyle w:val="63"/>
          <w:rFonts w:hint="eastAsia" w:ascii="宋体" w:hAnsi="宋体"/>
          <w:bCs w:val="0"/>
          <w:caps w:val="0"/>
          <w:color w:val="auto"/>
          <w:kern w:val="2"/>
          <w:sz w:val="21"/>
          <w:szCs w:val="24"/>
          <w:highlight w:val="none"/>
          <w:lang/>
        </w:rPr>
        <w:instrText xml:space="preserve"> HYPERLINK \l _Toc14065 </w:instrText>
      </w:r>
      <w:r>
        <w:rPr>
          <w:rFonts w:hint="eastAsia" w:ascii="宋体" w:hAnsi="宋体"/>
          <w:bCs w:val="0"/>
          <w:caps w:val="0"/>
          <w:color w:val="auto"/>
          <w:kern w:val="2"/>
          <w:sz w:val="21"/>
          <w:szCs w:val="24"/>
          <w:highlight w:val="none"/>
          <w:lang/>
        </w:rPr>
        <w:fldChar w:fldCharType="separate"/>
      </w:r>
      <w:r>
        <w:rPr>
          <w:rStyle w:val="63"/>
          <w:rFonts w:hint="eastAsia" w:ascii="宋体" w:hAnsi="宋体"/>
          <w:bCs w:val="0"/>
          <w:caps w:val="0"/>
          <w:color w:val="auto"/>
          <w:kern w:val="2"/>
          <w:sz w:val="21"/>
          <w:szCs w:val="24"/>
          <w:highlight w:val="none"/>
          <w:lang/>
        </w:rPr>
        <w:t>第四章  评标办法</w:t>
      </w:r>
      <w:r>
        <w:rPr>
          <w:rStyle w:val="63"/>
          <w:rFonts w:ascii="宋体" w:hAnsi="宋体"/>
          <w:bCs w:val="0"/>
          <w:caps w:val="0"/>
          <w:color w:val="auto"/>
          <w:kern w:val="2"/>
          <w:sz w:val="21"/>
          <w:szCs w:val="24"/>
          <w:highlight w:val="none"/>
          <w:lang/>
        </w:rPr>
        <w:tab/>
      </w:r>
      <w:r>
        <w:rPr>
          <w:rFonts w:hint="eastAsia" w:ascii="宋体" w:hAnsi="宋体"/>
          <w:bCs w:val="0"/>
          <w:caps w:val="0"/>
          <w:color w:val="auto"/>
          <w:kern w:val="2"/>
          <w:sz w:val="21"/>
          <w:szCs w:val="24"/>
          <w:highlight w:val="none"/>
          <w:lang w:val="en-US" w:eastAsia="zh-CN"/>
        </w:rPr>
        <w:t>2</w:t>
      </w:r>
      <w:r>
        <w:rPr>
          <w:rFonts w:hint="eastAsia" w:ascii="宋体" w:hAnsi="宋体"/>
          <w:bCs w:val="0"/>
          <w:caps w:val="0"/>
          <w:color w:val="auto"/>
          <w:kern w:val="2"/>
          <w:sz w:val="21"/>
          <w:szCs w:val="24"/>
          <w:highlight w:val="none"/>
          <w:lang/>
        </w:rPr>
        <w:fldChar w:fldCharType="end"/>
      </w:r>
      <w:r>
        <w:rPr>
          <w:rFonts w:hint="eastAsia" w:ascii="宋体" w:hAnsi="宋体"/>
          <w:bCs w:val="0"/>
          <w:caps w:val="0"/>
          <w:color w:val="auto"/>
          <w:kern w:val="2"/>
          <w:sz w:val="21"/>
          <w:szCs w:val="24"/>
          <w:highlight w:val="none"/>
          <w:lang w:val="en-US" w:eastAsia="zh-CN"/>
        </w:rPr>
        <w:t>5</w:t>
      </w:r>
    </w:p>
    <w:p>
      <w:pPr>
        <w:pStyle w:val="37"/>
        <w:tabs>
          <w:tab w:val="right" w:leader="dot" w:pos="9638"/>
        </w:tabs>
        <w:rPr>
          <w:rStyle w:val="63"/>
          <w:rFonts w:hint="eastAsia" w:ascii="宋体" w:hAnsi="宋体" w:eastAsia="宋体"/>
          <w:bCs w:val="0"/>
          <w:caps w:val="0"/>
          <w:color w:val="auto"/>
          <w:kern w:val="2"/>
          <w:sz w:val="21"/>
          <w:szCs w:val="24"/>
          <w:highlight w:val="none"/>
          <w:lang w:val="en-US" w:eastAsia="zh-CN"/>
        </w:rPr>
      </w:pPr>
      <w:r>
        <w:rPr>
          <w:rFonts w:hint="eastAsia" w:ascii="宋体" w:hAnsi="宋体"/>
          <w:bCs w:val="0"/>
          <w:caps w:val="0"/>
          <w:color w:val="auto"/>
          <w:kern w:val="2"/>
          <w:sz w:val="21"/>
          <w:szCs w:val="24"/>
          <w:highlight w:val="none"/>
          <w:lang/>
        </w:rPr>
        <w:fldChar w:fldCharType="begin"/>
      </w:r>
      <w:r>
        <w:rPr>
          <w:rStyle w:val="63"/>
          <w:rFonts w:hint="eastAsia" w:ascii="宋体" w:hAnsi="宋体"/>
          <w:bCs w:val="0"/>
          <w:caps w:val="0"/>
          <w:color w:val="auto"/>
          <w:kern w:val="2"/>
          <w:sz w:val="21"/>
          <w:szCs w:val="24"/>
          <w:highlight w:val="none"/>
          <w:lang/>
        </w:rPr>
        <w:instrText xml:space="preserve"> HYPERLINK \l _Toc26924 </w:instrText>
      </w:r>
      <w:r>
        <w:rPr>
          <w:rFonts w:hint="eastAsia" w:ascii="宋体" w:hAnsi="宋体"/>
          <w:bCs w:val="0"/>
          <w:caps w:val="0"/>
          <w:color w:val="auto"/>
          <w:kern w:val="2"/>
          <w:sz w:val="21"/>
          <w:szCs w:val="24"/>
          <w:highlight w:val="none"/>
          <w:lang/>
        </w:rPr>
        <w:fldChar w:fldCharType="separate"/>
      </w:r>
      <w:r>
        <w:rPr>
          <w:rStyle w:val="63"/>
          <w:rFonts w:hint="eastAsia" w:ascii="宋体" w:hAnsi="宋体"/>
          <w:bCs w:val="0"/>
          <w:caps w:val="0"/>
          <w:color w:val="auto"/>
          <w:kern w:val="2"/>
          <w:sz w:val="21"/>
          <w:szCs w:val="24"/>
          <w:highlight w:val="none"/>
          <w:lang/>
        </w:rPr>
        <w:t>第五章  合同条款</w:t>
      </w:r>
      <w:r>
        <w:rPr>
          <w:rStyle w:val="63"/>
          <w:rFonts w:ascii="宋体" w:hAnsi="宋体"/>
          <w:bCs w:val="0"/>
          <w:caps w:val="0"/>
          <w:color w:val="auto"/>
          <w:kern w:val="2"/>
          <w:sz w:val="21"/>
          <w:szCs w:val="24"/>
          <w:highlight w:val="none"/>
          <w:lang/>
        </w:rPr>
        <w:tab/>
      </w:r>
      <w:r>
        <w:rPr>
          <w:rFonts w:hint="eastAsia" w:ascii="宋体" w:hAnsi="宋体"/>
          <w:bCs w:val="0"/>
          <w:caps w:val="0"/>
          <w:color w:val="auto"/>
          <w:kern w:val="2"/>
          <w:sz w:val="21"/>
          <w:szCs w:val="24"/>
          <w:highlight w:val="none"/>
          <w:lang w:val="en-US" w:eastAsia="zh-CN"/>
        </w:rPr>
        <w:t>2</w:t>
      </w:r>
      <w:r>
        <w:rPr>
          <w:rFonts w:hint="eastAsia" w:ascii="宋体" w:hAnsi="宋体"/>
          <w:bCs w:val="0"/>
          <w:caps w:val="0"/>
          <w:color w:val="auto"/>
          <w:kern w:val="2"/>
          <w:sz w:val="21"/>
          <w:szCs w:val="24"/>
          <w:highlight w:val="none"/>
          <w:lang/>
        </w:rPr>
        <w:fldChar w:fldCharType="end"/>
      </w:r>
      <w:r>
        <w:rPr>
          <w:rFonts w:hint="eastAsia" w:ascii="宋体" w:hAnsi="宋体"/>
          <w:bCs w:val="0"/>
          <w:caps w:val="0"/>
          <w:color w:val="auto"/>
          <w:kern w:val="2"/>
          <w:sz w:val="21"/>
          <w:szCs w:val="24"/>
          <w:highlight w:val="none"/>
          <w:lang w:val="en-US" w:eastAsia="zh-CN"/>
        </w:rPr>
        <w:t>8</w:t>
      </w:r>
    </w:p>
    <w:p>
      <w:pPr>
        <w:pStyle w:val="37"/>
        <w:tabs>
          <w:tab w:val="right" w:leader="dot" w:pos="9638"/>
        </w:tabs>
        <w:rPr>
          <w:rStyle w:val="63"/>
          <w:rFonts w:hint="default" w:ascii="宋体" w:hAnsi="宋体" w:eastAsia="宋体"/>
          <w:bCs w:val="0"/>
          <w:caps w:val="0"/>
          <w:color w:val="auto"/>
          <w:kern w:val="2"/>
          <w:sz w:val="21"/>
          <w:szCs w:val="24"/>
          <w:highlight w:val="none"/>
          <w:lang w:val="en-US" w:eastAsia="zh-CN"/>
        </w:rPr>
      </w:pPr>
      <w:r>
        <w:rPr>
          <w:rFonts w:hint="eastAsia" w:ascii="宋体" w:hAnsi="宋体"/>
          <w:bCs w:val="0"/>
          <w:caps w:val="0"/>
          <w:color w:val="auto"/>
          <w:kern w:val="2"/>
          <w:sz w:val="21"/>
          <w:szCs w:val="24"/>
          <w:highlight w:val="none"/>
          <w:lang/>
        </w:rPr>
        <w:fldChar w:fldCharType="begin"/>
      </w:r>
      <w:r>
        <w:rPr>
          <w:rStyle w:val="63"/>
          <w:rFonts w:hint="eastAsia" w:ascii="宋体" w:hAnsi="宋体"/>
          <w:bCs w:val="0"/>
          <w:caps w:val="0"/>
          <w:color w:val="auto"/>
          <w:kern w:val="2"/>
          <w:sz w:val="21"/>
          <w:szCs w:val="24"/>
          <w:highlight w:val="none"/>
          <w:lang/>
        </w:rPr>
        <w:instrText xml:space="preserve"> HYPERLINK \l _Toc4554 </w:instrText>
      </w:r>
      <w:r>
        <w:rPr>
          <w:rFonts w:hint="eastAsia" w:ascii="宋体" w:hAnsi="宋体"/>
          <w:bCs w:val="0"/>
          <w:caps w:val="0"/>
          <w:color w:val="auto"/>
          <w:kern w:val="2"/>
          <w:sz w:val="21"/>
          <w:szCs w:val="24"/>
          <w:highlight w:val="none"/>
          <w:lang/>
        </w:rPr>
        <w:fldChar w:fldCharType="separate"/>
      </w:r>
      <w:r>
        <w:rPr>
          <w:rStyle w:val="63"/>
          <w:rFonts w:hint="eastAsia" w:ascii="宋体" w:hAnsi="宋体"/>
          <w:bCs w:val="0"/>
          <w:caps w:val="0"/>
          <w:color w:val="auto"/>
          <w:kern w:val="2"/>
          <w:sz w:val="21"/>
          <w:szCs w:val="24"/>
          <w:highlight w:val="none"/>
          <w:lang/>
        </w:rPr>
        <w:t>第六章  响应文件格式</w:t>
      </w:r>
      <w:r>
        <w:rPr>
          <w:rStyle w:val="63"/>
          <w:rFonts w:ascii="宋体" w:hAnsi="宋体"/>
          <w:bCs w:val="0"/>
          <w:caps w:val="0"/>
          <w:color w:val="auto"/>
          <w:kern w:val="2"/>
          <w:sz w:val="21"/>
          <w:szCs w:val="24"/>
          <w:highlight w:val="none"/>
          <w:lang/>
        </w:rPr>
        <w:tab/>
      </w:r>
      <w:r>
        <w:rPr>
          <w:rFonts w:hint="eastAsia" w:ascii="宋体" w:hAnsi="宋体"/>
          <w:bCs w:val="0"/>
          <w:caps w:val="0"/>
          <w:color w:val="auto"/>
          <w:kern w:val="2"/>
          <w:sz w:val="21"/>
          <w:szCs w:val="24"/>
          <w:highlight w:val="none"/>
          <w:lang w:val="en-US" w:eastAsia="zh-CN"/>
        </w:rPr>
        <w:t>1</w:t>
      </w:r>
      <w:r>
        <w:rPr>
          <w:rFonts w:hint="eastAsia" w:ascii="宋体" w:hAnsi="宋体"/>
          <w:bCs w:val="0"/>
          <w:caps w:val="0"/>
          <w:color w:val="auto"/>
          <w:kern w:val="2"/>
          <w:sz w:val="21"/>
          <w:szCs w:val="24"/>
          <w:highlight w:val="none"/>
          <w:lang/>
        </w:rPr>
        <w:fldChar w:fldCharType="end"/>
      </w:r>
      <w:r>
        <w:rPr>
          <w:rFonts w:hint="eastAsia" w:ascii="宋体" w:hAnsi="宋体"/>
          <w:bCs w:val="0"/>
          <w:caps w:val="0"/>
          <w:color w:val="auto"/>
          <w:kern w:val="2"/>
          <w:sz w:val="21"/>
          <w:szCs w:val="24"/>
          <w:highlight w:val="none"/>
          <w:lang w:val="en-US" w:eastAsia="zh-CN"/>
        </w:rPr>
        <w:t>05</w:t>
      </w:r>
    </w:p>
    <w:p>
      <w:pPr>
        <w:pStyle w:val="37"/>
        <w:tabs>
          <w:tab w:val="right" w:leader="dot" w:pos="9638"/>
        </w:tabs>
        <w:rPr>
          <w:rStyle w:val="63"/>
          <w:rFonts w:hint="default" w:ascii="宋体" w:hAnsi="宋体" w:eastAsia="宋体"/>
          <w:bCs w:val="0"/>
          <w:caps w:val="0"/>
          <w:color w:val="auto"/>
          <w:kern w:val="2"/>
          <w:sz w:val="21"/>
          <w:szCs w:val="24"/>
          <w:highlight w:val="none"/>
          <w:u w:val="none"/>
          <w:lang w:val="en-US" w:eastAsia="zh-CN"/>
        </w:rPr>
      </w:pPr>
      <w:r>
        <w:rPr>
          <w:rFonts w:hint="eastAsia" w:ascii="宋体" w:hAnsi="宋体"/>
          <w:bCs w:val="0"/>
          <w:caps w:val="0"/>
          <w:color w:val="auto"/>
          <w:kern w:val="2"/>
          <w:sz w:val="21"/>
          <w:szCs w:val="24"/>
          <w:highlight w:val="none"/>
          <w:lang/>
        </w:rPr>
        <w:fldChar w:fldCharType="begin"/>
      </w:r>
      <w:r>
        <w:rPr>
          <w:rStyle w:val="63"/>
          <w:rFonts w:hint="eastAsia" w:ascii="宋体" w:hAnsi="宋体"/>
          <w:bCs w:val="0"/>
          <w:caps w:val="0"/>
          <w:color w:val="auto"/>
          <w:kern w:val="2"/>
          <w:sz w:val="21"/>
          <w:szCs w:val="24"/>
          <w:highlight w:val="none"/>
          <w:lang/>
        </w:rPr>
        <w:instrText xml:space="preserve"> HYPERLINK \l _Toc25391 </w:instrText>
      </w:r>
      <w:r>
        <w:rPr>
          <w:rFonts w:hint="eastAsia" w:ascii="宋体" w:hAnsi="宋体"/>
          <w:bCs w:val="0"/>
          <w:caps w:val="0"/>
          <w:color w:val="auto"/>
          <w:kern w:val="2"/>
          <w:sz w:val="21"/>
          <w:szCs w:val="24"/>
          <w:highlight w:val="none"/>
          <w:lang/>
        </w:rPr>
        <w:fldChar w:fldCharType="separate"/>
      </w:r>
      <w:r>
        <w:rPr>
          <w:rStyle w:val="63"/>
          <w:rFonts w:hint="eastAsia" w:ascii="宋体" w:hAnsi="宋体"/>
          <w:bCs w:val="0"/>
          <w:caps w:val="0"/>
          <w:color w:val="auto"/>
          <w:kern w:val="2"/>
          <w:sz w:val="21"/>
          <w:szCs w:val="24"/>
          <w:highlight w:val="none"/>
          <w:lang/>
        </w:rPr>
        <w:t>第七章  附件</w:t>
      </w:r>
      <w:r>
        <w:rPr>
          <w:rStyle w:val="63"/>
          <w:rFonts w:ascii="宋体" w:hAnsi="宋体"/>
          <w:bCs w:val="0"/>
          <w:caps w:val="0"/>
          <w:color w:val="auto"/>
          <w:kern w:val="2"/>
          <w:sz w:val="21"/>
          <w:szCs w:val="24"/>
          <w:highlight w:val="none"/>
          <w:lang/>
        </w:rPr>
        <w:tab/>
      </w:r>
      <w:r>
        <w:rPr>
          <w:rFonts w:hint="eastAsia" w:ascii="宋体" w:hAnsi="宋体"/>
          <w:bCs w:val="0"/>
          <w:caps w:val="0"/>
          <w:color w:val="auto"/>
          <w:kern w:val="2"/>
          <w:sz w:val="21"/>
          <w:szCs w:val="24"/>
          <w:highlight w:val="none"/>
          <w:lang/>
        </w:rPr>
        <w:fldChar w:fldCharType="end"/>
      </w:r>
      <w:r>
        <w:rPr>
          <w:rStyle w:val="63"/>
          <w:rFonts w:hint="eastAsia" w:ascii="宋体" w:hAnsi="宋体"/>
          <w:bCs w:val="0"/>
          <w:caps w:val="0"/>
          <w:color w:val="auto"/>
          <w:kern w:val="2"/>
          <w:sz w:val="21"/>
          <w:szCs w:val="24"/>
          <w:highlight w:val="none"/>
          <w:u w:val="none"/>
          <w:lang w:val="en-US" w:eastAsia="zh-CN"/>
        </w:rPr>
        <w:t>1</w:t>
      </w:r>
      <w:r>
        <w:rPr>
          <w:rStyle w:val="63"/>
          <w:rFonts w:hint="eastAsia" w:ascii="宋体" w:hAnsi="宋体"/>
          <w:bCs w:val="0"/>
          <w:caps w:val="0"/>
          <w:color w:val="auto"/>
          <w:kern w:val="2"/>
          <w:sz w:val="21"/>
          <w:szCs w:val="24"/>
          <w:highlight w:val="none"/>
          <w:u w:val="none"/>
          <w:lang w:val="en-US" w:eastAsia="zh-CN"/>
        </w:rPr>
        <w:t>22</w:t>
      </w:r>
    </w:p>
    <w:p>
      <w:pPr>
        <w:rPr>
          <w:rFonts w:hint="eastAsia" w:ascii="宋体" w:hAnsi="宋体"/>
          <w:color w:val="auto"/>
          <w:highlight w:val="none"/>
        </w:rPr>
        <w:sectPr>
          <w:headerReference r:id="rId3" w:type="default"/>
          <w:footerReference r:id="rId4" w:type="default"/>
          <w:pgSz w:w="11906" w:h="16838"/>
          <w:pgMar w:top="1134" w:right="1134" w:bottom="1134" w:left="1134" w:header="680" w:footer="992" w:gutter="0"/>
          <w:pgNumType w:start="0"/>
          <w:cols w:space="720" w:num="1"/>
          <w:titlePg/>
          <w:docGrid w:type="lines" w:linePitch="312" w:charSpace="0"/>
        </w:sectPr>
      </w:pPr>
      <w:r>
        <w:rPr>
          <w:rFonts w:hint="eastAsia" w:ascii="宋体" w:hAnsi="宋体"/>
          <w:b/>
          <w:color w:val="auto"/>
          <w:kern w:val="2"/>
          <w:szCs w:val="24"/>
          <w:highlight w:val="none"/>
          <w:lang/>
        </w:rPr>
        <w:fldChar w:fldCharType="end"/>
      </w:r>
    </w:p>
    <w:p>
      <w:pPr>
        <w:pStyle w:val="3"/>
        <w:keepNext w:val="0"/>
        <w:keepLines w:val="0"/>
        <w:pageBreakBefore/>
        <w:spacing w:line="600" w:lineRule="exact"/>
        <w:jc w:val="center"/>
        <w:rPr>
          <w:rFonts w:hint="eastAsia" w:hAnsi="宋体"/>
          <w:bCs/>
          <w:color w:val="auto"/>
          <w:kern w:val="2"/>
          <w:sz w:val="21"/>
          <w:szCs w:val="21"/>
          <w:highlight w:val="none"/>
        </w:rPr>
      </w:pPr>
      <w:bookmarkStart w:id="1" w:name="_Toc528441151"/>
      <w:bookmarkStart w:id="2" w:name="_Toc29224"/>
      <w:bookmarkStart w:id="3" w:name="_Toc28640"/>
      <w:bookmarkStart w:id="4" w:name="_Toc3487"/>
      <w:r>
        <w:rPr>
          <w:rFonts w:hint="eastAsia" w:hAnsi="宋体"/>
          <w:bCs/>
          <w:color w:val="auto"/>
          <w:kern w:val="2"/>
          <w:sz w:val="21"/>
          <w:szCs w:val="21"/>
          <w:highlight w:val="none"/>
        </w:rPr>
        <w:t>第一章  竞争性磋商公告</w:t>
      </w:r>
      <w:bookmarkEnd w:id="1"/>
      <w:bookmarkEnd w:id="2"/>
      <w:bookmarkEnd w:id="3"/>
      <w:bookmarkEnd w:id="4"/>
    </w:p>
    <w:p>
      <w:pPr>
        <w:pageBreakBefore w:val="0"/>
        <w:widowControl/>
        <w:kinsoku/>
        <w:wordWrap/>
        <w:overflowPunct/>
        <w:topLinePunct w:val="0"/>
        <w:autoSpaceDE/>
        <w:autoSpaceDN/>
        <w:bidi w:val="0"/>
        <w:adjustRightInd/>
        <w:snapToGrid w:val="0"/>
        <w:spacing w:before="100" w:beforeAutospacing="1" w:after="120" w:line="360" w:lineRule="auto"/>
        <w:contextualSpacing/>
        <w:textAlignment w:val="auto"/>
        <w:rPr>
          <w:rFonts w:ascii="宋体" w:hAnsi="宋体" w:cs="宋体"/>
          <w:color w:val="auto"/>
          <w:sz w:val="21"/>
          <w:szCs w:val="21"/>
          <w:highlight w:val="none"/>
        </w:rPr>
      </w:pPr>
      <w:r>
        <w:rPr>
          <w:rFonts w:ascii="宋体" w:hAnsi="宋体" w:cs="宋体"/>
          <w:color w:val="auto"/>
          <w:sz w:val="22"/>
          <w:szCs w:val="22"/>
          <w:highlight w:val="none"/>
        </w:rPr>
        <w:t>   </w:t>
      </w:r>
      <w:r>
        <w:rPr>
          <w:rFonts w:ascii="宋体" w:hAnsi="宋体" w:cs="宋体"/>
          <w:color w:val="auto"/>
          <w:szCs w:val="21"/>
          <w:highlight w:val="none"/>
        </w:rPr>
        <w:t xml:space="preserve">  </w:t>
      </w:r>
      <w:r>
        <w:rPr>
          <w:rFonts w:ascii="宋体" w:hAnsi="宋体" w:cs="宋体"/>
          <w:color w:val="auto"/>
          <w:sz w:val="21"/>
          <w:szCs w:val="21"/>
          <w:highlight w:val="none"/>
        </w:rPr>
        <w:t xml:space="preserve">                                        </w:t>
      </w:r>
    </w:p>
    <w:p>
      <w:pPr>
        <w:pageBreakBefore w:val="0"/>
        <w:widowControl/>
        <w:pBdr>
          <w:top w:val="single" w:color="auto" w:sz="4" w:space="1"/>
          <w:left w:val="single" w:color="auto" w:sz="4" w:space="4"/>
          <w:bottom w:val="single" w:color="auto" w:sz="4" w:space="1"/>
          <w:right w:val="single" w:color="auto" w:sz="4" w:space="4"/>
        </w:pBdr>
        <w:kinsoku/>
        <w:wordWrap/>
        <w:overflowPunct/>
        <w:topLinePunct w:val="0"/>
        <w:autoSpaceDE/>
        <w:autoSpaceDN/>
        <w:bidi w:val="0"/>
        <w:adjustRightInd/>
        <w:spacing w:line="360" w:lineRule="auto"/>
        <w:textAlignment w:val="auto"/>
        <w:rPr>
          <w:rFonts w:ascii="宋体" w:hAnsi="宋体" w:cs="宋体"/>
          <w:color w:val="auto"/>
          <w:kern w:val="0"/>
          <w:sz w:val="21"/>
          <w:szCs w:val="21"/>
          <w:highlight w:val="none"/>
        </w:rPr>
      </w:pPr>
      <w:r>
        <w:rPr>
          <w:rFonts w:hint="eastAsia" w:ascii="宋体" w:hAnsi="宋体" w:cs="宋体"/>
          <w:color w:val="auto"/>
          <w:kern w:val="0"/>
          <w:sz w:val="21"/>
          <w:szCs w:val="21"/>
          <w:highlight w:val="none"/>
        </w:rPr>
        <w:t xml:space="preserve"> 项目概况</w:t>
      </w:r>
    </w:p>
    <w:p>
      <w:pPr>
        <w:pageBreakBefore w:val="0"/>
        <w:widowControl/>
        <w:pBdr>
          <w:top w:val="single" w:color="auto" w:sz="4" w:space="1"/>
          <w:left w:val="single" w:color="auto" w:sz="4" w:space="4"/>
          <w:bottom w:val="single" w:color="auto" w:sz="4" w:space="1"/>
          <w:right w:val="single" w:color="auto" w:sz="4" w:space="4"/>
        </w:pBdr>
        <w:kinsoku/>
        <w:wordWrap/>
        <w:overflowPunct/>
        <w:topLinePunct w:val="0"/>
        <w:autoSpaceDE/>
        <w:autoSpaceDN/>
        <w:bidi w:val="0"/>
        <w:adjustRightInd/>
        <w:spacing w:line="360" w:lineRule="auto"/>
        <w:ind w:firstLine="420" w:firstLineChars="200"/>
        <w:textAlignment w:val="auto"/>
        <w:rPr>
          <w:rFonts w:ascii="宋体" w:hAnsi="宋体" w:cs="宋体"/>
          <w:color w:val="auto"/>
          <w:kern w:val="0"/>
          <w:sz w:val="21"/>
          <w:szCs w:val="21"/>
          <w:highlight w:val="none"/>
        </w:rPr>
      </w:pPr>
      <w:r>
        <w:rPr>
          <w:rFonts w:hint="eastAsia" w:ascii="宋体" w:hAnsi="宋体" w:cs="宋体"/>
          <w:color w:val="auto"/>
          <w:kern w:val="0"/>
          <w:sz w:val="21"/>
          <w:szCs w:val="21"/>
          <w:highlight w:val="none"/>
          <w:u w:val="single"/>
        </w:rPr>
        <w:t xml:space="preserve"> </w:t>
      </w:r>
      <w:r>
        <w:rPr>
          <w:rFonts w:hint="eastAsia" w:ascii="宋体" w:hAnsi="宋体" w:cs="宋体"/>
          <w:color w:val="auto"/>
          <w:kern w:val="0"/>
          <w:sz w:val="21"/>
          <w:szCs w:val="21"/>
          <w:highlight w:val="none"/>
          <w:u w:val="single"/>
          <w:lang w:eastAsia="zh-CN"/>
        </w:rPr>
        <w:t xml:space="preserve"> 嘉兴市实验初级中学教育集团艺术教室室内装修工程设计施工一体化项目</w:t>
      </w:r>
      <w:r>
        <w:rPr>
          <w:rFonts w:hint="eastAsia" w:ascii="宋体" w:hAnsi="宋体" w:cs="宋体"/>
          <w:color w:val="auto"/>
          <w:kern w:val="0"/>
          <w:sz w:val="21"/>
          <w:szCs w:val="21"/>
          <w:highlight w:val="none"/>
        </w:rPr>
        <w:t>的潜在</w:t>
      </w:r>
      <w:r>
        <w:rPr>
          <w:rFonts w:hint="eastAsia" w:ascii="宋体" w:hAnsi="宋体" w:cs="宋体"/>
          <w:color w:val="auto"/>
          <w:kern w:val="0"/>
          <w:sz w:val="21"/>
          <w:szCs w:val="21"/>
          <w:highlight w:val="none"/>
          <w:lang w:eastAsia="zh-CN"/>
        </w:rPr>
        <w:t>供应商</w:t>
      </w:r>
      <w:r>
        <w:rPr>
          <w:rFonts w:hint="eastAsia" w:ascii="宋体" w:hAnsi="宋体" w:cs="宋体"/>
          <w:color w:val="auto"/>
          <w:kern w:val="0"/>
          <w:sz w:val="21"/>
          <w:szCs w:val="21"/>
          <w:highlight w:val="none"/>
        </w:rPr>
        <w:t>应</w:t>
      </w:r>
      <w:r>
        <w:rPr>
          <w:rFonts w:hint="eastAsia" w:ascii="宋体" w:hAnsi="宋体" w:cs="宋体"/>
          <w:color w:val="auto"/>
          <w:kern w:val="0"/>
          <w:sz w:val="21"/>
          <w:szCs w:val="21"/>
          <w:highlight w:val="none"/>
          <w:u w:val="single"/>
        </w:rPr>
        <w:t>在</w:t>
      </w:r>
      <w:r>
        <w:rPr>
          <w:rFonts w:hint="eastAsia" w:ascii="宋体" w:hAnsi="宋体" w:cs="仿宋"/>
          <w:szCs w:val="21"/>
          <w:u w:val="single"/>
        </w:rPr>
        <w:t>浙江政府采购网</w:t>
      </w:r>
      <w:r>
        <w:rPr>
          <w:rFonts w:hint="eastAsia" w:ascii="宋体" w:hAnsi="宋体" w:cs="仿宋"/>
          <w:szCs w:val="21"/>
        </w:rPr>
        <w:t>（</w:t>
      </w:r>
      <w:r>
        <w:rPr>
          <w:rFonts w:ascii="宋体" w:hAnsi="宋体" w:cs="仿宋"/>
          <w:szCs w:val="21"/>
          <w:u w:val="single"/>
        </w:rPr>
        <w:t>http://zfcg.czt.zj.gov.cn）获取采购文件，</w:t>
      </w:r>
      <w:r>
        <w:rPr>
          <w:rFonts w:hint="eastAsia" w:ascii="宋体" w:hAnsi="宋体" w:cs="宋体"/>
          <w:color w:val="auto"/>
          <w:kern w:val="0"/>
          <w:sz w:val="21"/>
          <w:szCs w:val="21"/>
          <w:highlight w:val="none"/>
        </w:rPr>
        <w:t>并于</w:t>
      </w:r>
      <w:r>
        <w:rPr>
          <w:rFonts w:hint="eastAsia" w:ascii="宋体" w:hAnsi="宋体" w:cs="宋体"/>
          <w:color w:val="auto"/>
          <w:kern w:val="0"/>
          <w:sz w:val="21"/>
          <w:szCs w:val="21"/>
          <w:highlight w:val="none"/>
          <w:u w:val="single"/>
        </w:rPr>
        <w:t>202</w:t>
      </w:r>
      <w:r>
        <w:rPr>
          <w:rFonts w:hint="eastAsia" w:ascii="宋体" w:hAnsi="宋体" w:cs="宋体"/>
          <w:color w:val="auto"/>
          <w:kern w:val="0"/>
          <w:sz w:val="21"/>
          <w:szCs w:val="21"/>
          <w:highlight w:val="none"/>
          <w:u w:val="single"/>
          <w:lang w:val="en-US" w:eastAsia="zh-CN"/>
        </w:rPr>
        <w:t>3</w:t>
      </w:r>
      <w:r>
        <w:rPr>
          <w:rFonts w:hint="eastAsia" w:ascii="宋体" w:hAnsi="宋体" w:cs="宋体"/>
          <w:color w:val="auto"/>
          <w:kern w:val="0"/>
          <w:sz w:val="21"/>
          <w:szCs w:val="21"/>
          <w:highlight w:val="none"/>
          <w:u w:val="single"/>
        </w:rPr>
        <w:t>年</w:t>
      </w:r>
      <w:r>
        <w:rPr>
          <w:rFonts w:hint="eastAsia" w:ascii="宋体" w:hAnsi="宋体" w:cs="宋体"/>
          <w:color w:val="auto"/>
          <w:kern w:val="0"/>
          <w:sz w:val="21"/>
          <w:szCs w:val="21"/>
          <w:highlight w:val="none"/>
          <w:u w:val="single"/>
          <w:lang w:val="en-US" w:eastAsia="zh-CN"/>
        </w:rPr>
        <w:t>11</w:t>
      </w:r>
      <w:r>
        <w:rPr>
          <w:rFonts w:hint="eastAsia" w:ascii="宋体" w:hAnsi="宋体" w:cs="宋体"/>
          <w:color w:val="auto"/>
          <w:kern w:val="0"/>
          <w:sz w:val="21"/>
          <w:szCs w:val="21"/>
          <w:highlight w:val="none"/>
          <w:u w:val="single"/>
        </w:rPr>
        <w:t>月</w:t>
      </w:r>
      <w:r>
        <w:rPr>
          <w:rFonts w:hint="eastAsia" w:ascii="宋体" w:hAnsi="宋体" w:cs="宋体"/>
          <w:color w:val="auto"/>
          <w:kern w:val="0"/>
          <w:sz w:val="21"/>
          <w:szCs w:val="21"/>
          <w:highlight w:val="none"/>
          <w:u w:val="single"/>
          <w:lang w:val="en-US" w:eastAsia="zh-CN"/>
        </w:rPr>
        <w:t>7</w:t>
      </w:r>
      <w:r>
        <w:rPr>
          <w:rFonts w:hint="eastAsia" w:ascii="宋体" w:hAnsi="宋体" w:cs="宋体"/>
          <w:color w:val="auto"/>
          <w:kern w:val="0"/>
          <w:sz w:val="21"/>
          <w:szCs w:val="21"/>
          <w:highlight w:val="none"/>
          <w:u w:val="single"/>
        </w:rPr>
        <w:t>日</w:t>
      </w:r>
      <w:r>
        <w:rPr>
          <w:rFonts w:hint="eastAsia" w:ascii="宋体" w:hAnsi="宋体" w:cs="宋体"/>
          <w:color w:val="auto"/>
          <w:kern w:val="0"/>
          <w:sz w:val="21"/>
          <w:szCs w:val="21"/>
          <w:highlight w:val="none"/>
          <w:u w:val="single"/>
          <w:lang w:val="en-US" w:eastAsia="zh-CN"/>
        </w:rPr>
        <w:t>9</w:t>
      </w:r>
      <w:r>
        <w:rPr>
          <w:rFonts w:hint="eastAsia" w:ascii="宋体" w:hAnsi="宋体" w:cs="宋体"/>
          <w:color w:val="auto"/>
          <w:kern w:val="0"/>
          <w:sz w:val="21"/>
          <w:szCs w:val="21"/>
          <w:highlight w:val="none"/>
          <w:u w:val="single"/>
          <w:lang w:eastAsia="zh-CN"/>
        </w:rPr>
        <w:t>：</w:t>
      </w:r>
      <w:r>
        <w:rPr>
          <w:rFonts w:hint="eastAsia" w:ascii="宋体" w:hAnsi="宋体" w:cs="宋体"/>
          <w:color w:val="auto"/>
          <w:kern w:val="0"/>
          <w:sz w:val="21"/>
          <w:szCs w:val="21"/>
          <w:highlight w:val="none"/>
          <w:u w:val="single"/>
        </w:rPr>
        <w:t>30分（北京时间）</w:t>
      </w:r>
      <w:r>
        <w:rPr>
          <w:rFonts w:hint="eastAsia" w:ascii="宋体" w:hAnsi="宋体" w:cs="宋体"/>
          <w:color w:val="auto"/>
          <w:kern w:val="0"/>
          <w:sz w:val="21"/>
          <w:szCs w:val="21"/>
          <w:highlight w:val="none"/>
        </w:rPr>
        <w:t>前递交</w:t>
      </w:r>
      <w:r>
        <w:rPr>
          <w:rFonts w:hint="eastAsia" w:ascii="宋体" w:hAnsi="宋体" w:cs="宋体"/>
          <w:color w:val="auto"/>
          <w:kern w:val="0"/>
          <w:sz w:val="21"/>
          <w:szCs w:val="21"/>
          <w:highlight w:val="none"/>
          <w:lang w:eastAsia="zh-CN"/>
        </w:rPr>
        <w:t>磋商响应文件</w:t>
      </w:r>
      <w:r>
        <w:rPr>
          <w:rFonts w:hint="eastAsia" w:ascii="宋体" w:hAnsi="宋体" w:cs="宋体"/>
          <w:color w:val="auto"/>
          <w:kern w:val="0"/>
          <w:sz w:val="21"/>
          <w:szCs w:val="21"/>
          <w:highlight w:val="none"/>
        </w:rPr>
        <w:t>。</w:t>
      </w:r>
    </w:p>
    <w:p>
      <w:pPr>
        <w:pStyle w:val="49"/>
        <w:pageBreakBefore w:val="0"/>
        <w:widowControl/>
        <w:kinsoku/>
        <w:wordWrap/>
        <w:overflowPunct/>
        <w:topLinePunct w:val="0"/>
        <w:autoSpaceDE/>
        <w:autoSpaceDN/>
        <w:bidi w:val="0"/>
        <w:adjustRightInd/>
        <w:spacing w:before="60" w:beforeAutospacing="0" w:after="60" w:afterAutospacing="0" w:line="360" w:lineRule="auto"/>
        <w:ind w:firstLine="420" w:firstLineChars="200"/>
        <w:textAlignment w:val="auto"/>
        <w:rPr>
          <w:rFonts w:cs="宋体"/>
          <w:color w:val="auto"/>
          <w:sz w:val="21"/>
          <w:szCs w:val="21"/>
          <w:highlight w:val="none"/>
        </w:rPr>
      </w:pPr>
      <w:r>
        <w:rPr>
          <w:rFonts w:hint="eastAsia" w:cs="宋体"/>
          <w:color w:val="auto"/>
          <w:sz w:val="21"/>
          <w:szCs w:val="21"/>
          <w:highlight w:val="none"/>
        </w:rPr>
        <w:t>根据《中华人民共和国政府采购法》等有关规定，</w:t>
      </w:r>
      <w:r>
        <w:rPr>
          <w:rFonts w:hint="eastAsia" w:eastAsia="宋体" w:cs="宋体"/>
          <w:color w:val="auto"/>
          <w:sz w:val="21"/>
          <w:szCs w:val="21"/>
          <w:highlight w:val="none"/>
          <w:lang w:eastAsia="zh-CN"/>
        </w:rPr>
        <w:t>浙江富力诚欣工程顾问有限公司</w:t>
      </w:r>
      <w:r>
        <w:rPr>
          <w:rFonts w:hint="eastAsia" w:cs="宋体"/>
          <w:color w:val="auto"/>
          <w:sz w:val="21"/>
          <w:szCs w:val="21"/>
          <w:highlight w:val="none"/>
        </w:rPr>
        <w:t>受</w:t>
      </w:r>
      <w:r>
        <w:rPr>
          <w:rFonts w:hint="eastAsia" w:eastAsia="宋体" w:cs="宋体"/>
          <w:b/>
          <w:bCs/>
          <w:color w:val="auto"/>
          <w:sz w:val="21"/>
          <w:szCs w:val="21"/>
          <w:highlight w:val="none"/>
          <w:u w:val="single"/>
          <w:lang w:eastAsia="zh-CN"/>
        </w:rPr>
        <w:t>嘉兴市实验初级中学教育集团</w:t>
      </w:r>
      <w:r>
        <w:rPr>
          <w:rFonts w:hint="eastAsia" w:cs="宋体"/>
          <w:color w:val="auto"/>
          <w:sz w:val="21"/>
          <w:szCs w:val="21"/>
          <w:highlight w:val="none"/>
        </w:rPr>
        <w:t>委托，就</w:t>
      </w:r>
      <w:r>
        <w:rPr>
          <w:rFonts w:hint="eastAsia" w:cs="宋体"/>
          <w:color w:val="auto"/>
          <w:sz w:val="21"/>
          <w:szCs w:val="21"/>
          <w:highlight w:val="none"/>
          <w:u w:val="single"/>
        </w:rPr>
        <w:t xml:space="preserve"> </w:t>
      </w:r>
      <w:r>
        <w:rPr>
          <w:rFonts w:hint="eastAsia" w:eastAsia="宋体" w:cs="宋体"/>
          <w:b/>
          <w:bCs/>
          <w:color w:val="auto"/>
          <w:sz w:val="21"/>
          <w:szCs w:val="21"/>
          <w:highlight w:val="none"/>
          <w:u w:val="single"/>
          <w:lang w:eastAsia="zh-CN"/>
        </w:rPr>
        <w:t xml:space="preserve"> 嘉兴市实验初级中学教育集团艺术教室室内装修工程设计施工一体化项目</w:t>
      </w:r>
      <w:r>
        <w:rPr>
          <w:rFonts w:hint="eastAsia" w:cs="宋体"/>
          <w:color w:val="auto"/>
          <w:sz w:val="21"/>
          <w:szCs w:val="21"/>
          <w:highlight w:val="none"/>
        </w:rPr>
        <w:t>进行</w:t>
      </w:r>
      <w:r>
        <w:rPr>
          <w:rFonts w:hint="eastAsia" w:eastAsia="宋体" w:cs="宋体"/>
          <w:color w:val="auto"/>
          <w:sz w:val="21"/>
          <w:szCs w:val="21"/>
          <w:highlight w:val="none"/>
          <w:lang w:val="en-US" w:eastAsia="zh-CN"/>
        </w:rPr>
        <w:t>竞争性磋商</w:t>
      </w:r>
      <w:r>
        <w:rPr>
          <w:rFonts w:hint="eastAsia" w:cs="宋体"/>
          <w:color w:val="auto"/>
          <w:sz w:val="21"/>
          <w:szCs w:val="21"/>
          <w:highlight w:val="none"/>
        </w:rPr>
        <w:t>，欢迎国内合格的供应商前来投标。</w:t>
      </w:r>
    </w:p>
    <w:p>
      <w:pPr>
        <w:adjustRightInd w:val="0"/>
        <w:snapToGrid w:val="0"/>
        <w:spacing w:line="390" w:lineRule="exact"/>
        <w:jc w:val="left"/>
        <w:rPr>
          <w:rFonts w:hint="eastAsia" w:ascii="宋体" w:hAnsi="宋体" w:eastAsia="宋体" w:cs="仿宋"/>
          <w:b/>
          <w:bCs/>
          <w:szCs w:val="21"/>
        </w:rPr>
      </w:pPr>
      <w:r>
        <w:rPr>
          <w:rFonts w:hint="eastAsia" w:ascii="宋体" w:hAnsi="宋体" w:eastAsia="宋体" w:cs="仿宋"/>
          <w:b/>
          <w:bCs/>
          <w:szCs w:val="21"/>
          <w:lang w:val="en-US" w:eastAsia="zh-CN"/>
        </w:rPr>
        <w:t>一、</w:t>
      </w:r>
      <w:r>
        <w:rPr>
          <w:rFonts w:hint="eastAsia" w:ascii="宋体" w:hAnsi="宋体" w:eastAsia="宋体" w:cs="仿宋"/>
          <w:b/>
          <w:bCs/>
          <w:szCs w:val="21"/>
        </w:rPr>
        <w:t>项目基本情况</w:t>
      </w:r>
    </w:p>
    <w:p>
      <w:pPr>
        <w:adjustRightInd w:val="0"/>
        <w:snapToGrid w:val="0"/>
        <w:spacing w:line="390" w:lineRule="exact"/>
        <w:ind w:firstLine="420" w:firstLineChars="200"/>
        <w:jc w:val="left"/>
        <w:rPr>
          <w:rFonts w:hint="default" w:ascii="宋体" w:hAnsi="宋体" w:eastAsia="宋体" w:cs="仿宋"/>
          <w:szCs w:val="21"/>
          <w:lang w:val="en-US" w:eastAsia="zh-CN"/>
        </w:rPr>
      </w:pPr>
      <w:r>
        <w:rPr>
          <w:rFonts w:hint="eastAsia" w:ascii="宋体" w:hAnsi="宋体" w:eastAsia="宋体" w:cs="仿宋"/>
          <w:szCs w:val="21"/>
        </w:rPr>
        <w:t>项目编号： </w:t>
      </w:r>
      <w:r>
        <w:rPr>
          <w:rFonts w:hint="eastAsia" w:ascii="宋体" w:hAnsi="宋体" w:eastAsia="宋体" w:cs="仿宋"/>
          <w:szCs w:val="21"/>
          <w:lang w:eastAsia="zh-CN"/>
        </w:rPr>
        <w:t>FLCX-2023-</w:t>
      </w:r>
      <w:r>
        <w:rPr>
          <w:rFonts w:hint="eastAsia" w:ascii="宋体" w:hAnsi="宋体" w:eastAsia="宋体" w:cs="仿宋"/>
          <w:szCs w:val="21"/>
          <w:lang w:val="en-US" w:eastAsia="zh-CN"/>
        </w:rPr>
        <w:t>45</w:t>
      </w:r>
    </w:p>
    <w:p>
      <w:pPr>
        <w:adjustRightInd w:val="0"/>
        <w:snapToGrid w:val="0"/>
        <w:spacing w:line="390" w:lineRule="exact"/>
        <w:ind w:firstLine="420" w:firstLineChars="200"/>
        <w:jc w:val="left"/>
        <w:rPr>
          <w:rFonts w:hint="eastAsia" w:ascii="宋体" w:hAnsi="宋体" w:eastAsia="宋体" w:cs="仿宋"/>
          <w:szCs w:val="21"/>
        </w:rPr>
      </w:pPr>
      <w:r>
        <w:rPr>
          <w:rFonts w:hint="eastAsia" w:ascii="宋体" w:hAnsi="宋体" w:eastAsia="宋体" w:cs="仿宋"/>
          <w:szCs w:val="21"/>
        </w:rPr>
        <w:t>项目名称：</w:t>
      </w:r>
      <w:r>
        <w:rPr>
          <w:rFonts w:hint="eastAsia" w:ascii="宋体" w:hAnsi="宋体" w:eastAsia="宋体" w:cs="仿宋"/>
          <w:szCs w:val="21"/>
          <w:lang w:eastAsia="zh-CN"/>
        </w:rPr>
        <w:t xml:space="preserve"> 嘉兴市实验初级中学教育集团艺术教室室内装修工程设计施工一体化项目</w:t>
      </w:r>
      <w:r>
        <w:rPr>
          <w:rFonts w:hint="eastAsia" w:ascii="宋体" w:hAnsi="宋体" w:eastAsia="宋体" w:cs="仿宋"/>
          <w:szCs w:val="21"/>
        </w:rPr>
        <w:t xml:space="preserve"> </w:t>
      </w:r>
    </w:p>
    <w:p>
      <w:pPr>
        <w:adjustRightInd w:val="0"/>
        <w:snapToGrid w:val="0"/>
        <w:spacing w:line="390" w:lineRule="exact"/>
        <w:ind w:firstLine="420" w:firstLineChars="200"/>
        <w:jc w:val="left"/>
        <w:rPr>
          <w:rFonts w:hint="eastAsia" w:ascii="宋体" w:hAnsi="宋体" w:eastAsia="宋体" w:cs="仿宋"/>
          <w:szCs w:val="21"/>
        </w:rPr>
      </w:pPr>
      <w:r>
        <w:rPr>
          <w:rFonts w:hint="eastAsia" w:ascii="宋体" w:hAnsi="宋体" w:eastAsia="宋体" w:cs="仿宋"/>
          <w:szCs w:val="21"/>
        </w:rPr>
        <w:t>预算金额（元）：</w:t>
      </w:r>
      <w:r>
        <w:rPr>
          <w:rFonts w:hint="eastAsia" w:ascii="宋体" w:hAnsi="宋体" w:eastAsia="宋体" w:cs="仿宋"/>
          <w:szCs w:val="21"/>
          <w:lang w:val="en-US" w:eastAsia="zh-CN"/>
        </w:rPr>
        <w:t>200万</w:t>
      </w:r>
      <w:r>
        <w:rPr>
          <w:rFonts w:hint="eastAsia" w:ascii="宋体" w:hAnsi="宋体" w:eastAsia="宋体" w:cs="仿宋"/>
          <w:szCs w:val="21"/>
        </w:rPr>
        <w:t xml:space="preserve">元 </w:t>
      </w:r>
    </w:p>
    <w:p>
      <w:pPr>
        <w:adjustRightInd w:val="0"/>
        <w:snapToGrid w:val="0"/>
        <w:spacing w:line="390" w:lineRule="exact"/>
        <w:ind w:firstLine="420" w:firstLineChars="200"/>
        <w:jc w:val="left"/>
        <w:rPr>
          <w:rFonts w:hint="eastAsia" w:ascii="宋体" w:hAnsi="宋体" w:eastAsia="宋体" w:cs="仿宋"/>
          <w:szCs w:val="21"/>
          <w:lang w:val="en-US" w:eastAsia="zh-CN"/>
        </w:rPr>
      </w:pPr>
      <w:r>
        <w:rPr>
          <w:rFonts w:hint="eastAsia" w:ascii="宋体" w:hAnsi="宋体" w:eastAsia="宋体" w:cs="仿宋"/>
          <w:szCs w:val="21"/>
        </w:rPr>
        <w:t>最高限价（元</w:t>
      </w:r>
      <w:r>
        <w:rPr>
          <w:rFonts w:hint="eastAsia" w:ascii="宋体" w:hAnsi="宋体" w:eastAsia="宋体" w:cs="仿宋"/>
          <w:szCs w:val="21"/>
          <w:lang w:val="en-US" w:eastAsia="zh-CN"/>
        </w:rPr>
        <w:t xml:space="preserve">）：196.0926万元 </w:t>
      </w:r>
    </w:p>
    <w:p>
      <w:pPr>
        <w:adjustRightInd w:val="0"/>
        <w:snapToGrid w:val="0"/>
        <w:spacing w:line="390" w:lineRule="exact"/>
        <w:ind w:firstLine="420" w:firstLineChars="200"/>
        <w:jc w:val="left"/>
        <w:rPr>
          <w:rFonts w:hint="eastAsia" w:ascii="宋体" w:hAnsi="宋体" w:eastAsia="宋体" w:cs="仿宋"/>
          <w:szCs w:val="21"/>
          <w:lang w:eastAsia="zh-CN"/>
        </w:rPr>
      </w:pPr>
      <w:r>
        <w:rPr>
          <w:rFonts w:hint="eastAsia" w:ascii="宋体" w:hAnsi="宋体" w:eastAsia="宋体" w:cs="仿宋"/>
          <w:szCs w:val="21"/>
          <w:lang w:val="en-US" w:eastAsia="zh-CN"/>
        </w:rPr>
        <w:t>采购需求：</w:t>
      </w:r>
      <w:r>
        <w:rPr>
          <w:rFonts w:hint="eastAsia" w:ascii="宋体" w:hAnsi="宋体" w:eastAsia="宋体" w:cs="仿宋"/>
          <w:szCs w:val="21"/>
          <w:lang w:eastAsia="zh-CN"/>
        </w:rPr>
        <w:t>艺术教室室内装修工程</w:t>
      </w:r>
      <w:r>
        <w:rPr>
          <w:rFonts w:hint="eastAsia" w:ascii="宋体" w:hAnsi="宋体" w:eastAsia="宋体" w:cs="仿宋"/>
          <w:szCs w:val="21"/>
        </w:rPr>
        <w:t>设计、施工一体化，详见采购需求。</w:t>
      </w:r>
    </w:p>
    <w:p>
      <w:pPr>
        <w:adjustRightInd w:val="0"/>
        <w:snapToGrid w:val="0"/>
        <w:spacing w:line="390" w:lineRule="exact"/>
        <w:ind w:firstLine="420" w:firstLineChars="200"/>
        <w:jc w:val="left"/>
        <w:rPr>
          <w:rFonts w:hint="eastAsia" w:ascii="宋体" w:hAnsi="宋体" w:eastAsia="宋体" w:cs="仿宋"/>
          <w:color w:val="auto"/>
          <w:szCs w:val="21"/>
        </w:rPr>
      </w:pPr>
      <w:r>
        <w:rPr>
          <w:rFonts w:hint="eastAsia" w:ascii="宋体" w:hAnsi="宋体" w:eastAsia="宋体" w:cs="仿宋"/>
          <w:color w:val="auto"/>
          <w:szCs w:val="21"/>
        </w:rPr>
        <w:t>合同履约期限：要求在合同签订后</w:t>
      </w:r>
      <w:r>
        <w:rPr>
          <w:rFonts w:hint="eastAsia" w:ascii="宋体" w:hAnsi="宋体" w:eastAsia="宋体" w:cs="仿宋"/>
          <w:color w:val="auto"/>
          <w:szCs w:val="21"/>
          <w:lang w:val="en-US" w:eastAsia="zh-CN"/>
        </w:rPr>
        <w:t>5</w:t>
      </w:r>
      <w:r>
        <w:rPr>
          <w:rFonts w:hint="eastAsia" w:ascii="宋体" w:hAnsi="宋体" w:eastAsia="宋体" w:cs="仿宋"/>
          <w:color w:val="auto"/>
          <w:szCs w:val="21"/>
        </w:rPr>
        <w:t>日历天内完成深化设计方案；方案定稿后</w:t>
      </w:r>
      <w:r>
        <w:rPr>
          <w:rFonts w:hint="eastAsia" w:ascii="宋体" w:hAnsi="宋体" w:eastAsia="宋体" w:cs="仿宋"/>
          <w:color w:val="auto"/>
          <w:szCs w:val="21"/>
          <w:lang w:val="en-US" w:eastAsia="zh-CN"/>
        </w:rPr>
        <w:t>5</w:t>
      </w:r>
      <w:r>
        <w:rPr>
          <w:rFonts w:hint="eastAsia" w:ascii="宋体" w:hAnsi="宋体" w:eastAsia="宋体" w:cs="仿宋"/>
          <w:color w:val="auto"/>
          <w:szCs w:val="21"/>
        </w:rPr>
        <w:t>日历天内完成施工图设计，</w:t>
      </w:r>
      <w:r>
        <w:rPr>
          <w:rFonts w:hint="eastAsia" w:ascii="宋体" w:hAnsi="宋体" w:eastAsia="宋体" w:cs="仿宋"/>
          <w:color w:val="auto"/>
          <w:szCs w:val="21"/>
          <w:lang w:val="en-US" w:eastAsia="zh-CN"/>
        </w:rPr>
        <w:t>2024年1月25日前完成所有工作</w:t>
      </w:r>
      <w:r>
        <w:rPr>
          <w:rFonts w:hint="eastAsia" w:ascii="宋体" w:hAnsi="宋体" w:eastAsia="宋体" w:cs="仿宋"/>
          <w:color w:val="auto"/>
          <w:szCs w:val="21"/>
        </w:rPr>
        <w:t>。</w:t>
      </w:r>
    </w:p>
    <w:p>
      <w:pPr>
        <w:adjustRightInd w:val="0"/>
        <w:snapToGrid w:val="0"/>
        <w:spacing w:line="390" w:lineRule="exact"/>
        <w:ind w:firstLine="420" w:firstLineChars="200"/>
        <w:jc w:val="left"/>
        <w:rPr>
          <w:rFonts w:hint="eastAsia" w:ascii="宋体" w:hAnsi="宋体" w:eastAsia="宋体" w:cs="仿宋"/>
          <w:szCs w:val="21"/>
        </w:rPr>
      </w:pPr>
      <w:r>
        <w:rPr>
          <w:rFonts w:hint="eastAsia" w:ascii="宋体" w:hAnsi="宋体" w:eastAsia="宋体" w:cs="仿宋"/>
          <w:szCs w:val="21"/>
        </w:rPr>
        <w:t>本项目（是）接受联合体投标。</w:t>
      </w:r>
    </w:p>
    <w:p>
      <w:pPr>
        <w:adjustRightInd w:val="0"/>
        <w:snapToGrid w:val="0"/>
        <w:spacing w:line="390" w:lineRule="exact"/>
        <w:jc w:val="left"/>
        <w:rPr>
          <w:rFonts w:hint="eastAsia" w:ascii="宋体" w:hAnsi="宋体" w:eastAsia="宋体" w:cs="仿宋"/>
          <w:b/>
          <w:bCs/>
          <w:szCs w:val="21"/>
        </w:rPr>
      </w:pPr>
      <w:r>
        <w:rPr>
          <w:rFonts w:hint="eastAsia" w:ascii="宋体" w:hAnsi="宋体" w:eastAsia="宋体" w:cs="仿宋"/>
          <w:b/>
          <w:bCs/>
          <w:szCs w:val="21"/>
        </w:rPr>
        <w:t>二、申请人的资格要求：</w:t>
      </w:r>
    </w:p>
    <w:p>
      <w:pPr>
        <w:adjustRightInd w:val="0"/>
        <w:snapToGrid w:val="0"/>
        <w:spacing w:line="390" w:lineRule="exact"/>
        <w:ind w:firstLine="420" w:firstLineChars="200"/>
        <w:jc w:val="left"/>
        <w:rPr>
          <w:rFonts w:hint="eastAsia" w:ascii="宋体" w:hAnsi="宋体" w:eastAsia="宋体" w:cs="仿宋"/>
          <w:szCs w:val="21"/>
        </w:rPr>
      </w:pPr>
      <w:r>
        <w:rPr>
          <w:rFonts w:hint="eastAsia" w:ascii="宋体" w:hAnsi="宋体" w:eastAsia="宋体" w:cs="仿宋"/>
          <w:szCs w:val="21"/>
        </w:rPr>
        <w:t>1.满足《中华人民共和国政府采购法》第二十二条规定；</w:t>
      </w:r>
    </w:p>
    <w:p>
      <w:pPr>
        <w:adjustRightInd w:val="0"/>
        <w:snapToGrid w:val="0"/>
        <w:spacing w:line="390" w:lineRule="exact"/>
        <w:ind w:firstLine="420" w:firstLineChars="200"/>
        <w:jc w:val="left"/>
        <w:rPr>
          <w:rFonts w:hint="eastAsia" w:ascii="宋体" w:hAnsi="宋体" w:eastAsia="宋体" w:cs="仿宋"/>
          <w:szCs w:val="21"/>
        </w:rPr>
      </w:pPr>
      <w:r>
        <w:rPr>
          <w:rFonts w:hint="eastAsia" w:ascii="宋体" w:hAnsi="宋体" w:eastAsia="宋体" w:cs="仿宋"/>
          <w:szCs w:val="21"/>
        </w:rPr>
        <w:t>2.落实政府采购政策需满足的资格要求：本项目专门面向中小企业/小微企业或监狱企业或残疾人福利性单位（中小企业划分标准对应行业为“建筑业”）。 </w:t>
      </w:r>
    </w:p>
    <w:p>
      <w:pPr>
        <w:adjustRightInd w:val="0"/>
        <w:snapToGrid w:val="0"/>
        <w:spacing w:line="390" w:lineRule="exact"/>
        <w:ind w:firstLine="420" w:firstLineChars="200"/>
        <w:jc w:val="left"/>
        <w:rPr>
          <w:rFonts w:hint="eastAsia" w:ascii="宋体" w:hAnsi="宋体" w:eastAsia="宋体" w:cs="仿宋"/>
          <w:szCs w:val="21"/>
        </w:rPr>
      </w:pPr>
      <w:r>
        <w:rPr>
          <w:rFonts w:hint="eastAsia" w:ascii="宋体" w:hAnsi="宋体" w:eastAsia="宋体" w:cs="仿宋"/>
          <w:szCs w:val="21"/>
        </w:rPr>
        <w:t>3.本项目的特定资格要求：</w:t>
      </w:r>
    </w:p>
    <w:p>
      <w:pPr>
        <w:adjustRightInd w:val="0"/>
        <w:snapToGrid w:val="0"/>
        <w:spacing w:line="390" w:lineRule="exact"/>
        <w:ind w:firstLine="420" w:firstLineChars="200"/>
        <w:jc w:val="left"/>
        <w:rPr>
          <w:rFonts w:hint="eastAsia" w:ascii="宋体" w:hAnsi="宋体" w:eastAsia="宋体" w:cs="仿宋"/>
          <w:szCs w:val="21"/>
        </w:rPr>
      </w:pPr>
      <w:r>
        <w:rPr>
          <w:rFonts w:hint="eastAsia" w:ascii="宋体" w:hAnsi="宋体" w:eastAsia="宋体" w:cs="仿宋"/>
          <w:szCs w:val="21"/>
        </w:rPr>
        <w:t>3.1</w:t>
      </w:r>
      <w:r>
        <w:rPr>
          <w:rFonts w:hint="eastAsia" w:ascii="宋体" w:hAnsi="宋体" w:eastAsia="宋体" w:cs="仿宋"/>
          <w:szCs w:val="21"/>
          <w:lang w:eastAsia="zh-CN"/>
        </w:rPr>
        <w:t>供应商</w:t>
      </w:r>
      <w:r>
        <w:rPr>
          <w:rFonts w:hint="eastAsia" w:ascii="宋体" w:hAnsi="宋体" w:eastAsia="宋体" w:cs="仿宋"/>
          <w:szCs w:val="21"/>
        </w:rPr>
        <w:t>未被“信用中国”（www.creditchina.gov.cn)、中国政府采购网（www.ccgp.gov.cn）列入失信被执行人、重大税收违法案件当事人名单、政府采购严重违法失信行为记录名单。</w:t>
      </w:r>
    </w:p>
    <w:p>
      <w:pPr>
        <w:pageBreakBefore w:val="0"/>
        <w:widowControl/>
        <w:shd w:val="clear" w:color="auto" w:fill="FFFFFF"/>
        <w:kinsoku/>
        <w:wordWrap/>
        <w:overflowPunct/>
        <w:topLinePunct w:val="0"/>
        <w:autoSpaceDE/>
        <w:autoSpaceDN/>
        <w:bidi w:val="0"/>
        <w:adjustRightInd/>
        <w:spacing w:line="360" w:lineRule="auto"/>
        <w:ind w:firstLine="422" w:firstLineChars="200"/>
        <w:textAlignment w:val="auto"/>
        <w:rPr>
          <w:rFonts w:ascii="宋体" w:hAnsi="宋体"/>
          <w:b/>
          <w:color w:val="auto"/>
          <w:kern w:val="0"/>
          <w:sz w:val="21"/>
          <w:szCs w:val="21"/>
          <w:highlight w:val="none"/>
          <w:u w:val="single"/>
        </w:rPr>
      </w:pPr>
      <w:r>
        <w:rPr>
          <w:rFonts w:hint="eastAsia" w:ascii="宋体" w:hAnsi="宋体"/>
          <w:b/>
          <w:color w:val="auto"/>
          <w:kern w:val="0"/>
          <w:sz w:val="21"/>
          <w:szCs w:val="21"/>
          <w:highlight w:val="none"/>
          <w:lang w:val="en-US" w:eastAsia="zh-CN"/>
        </w:rPr>
        <w:t>3.2</w:t>
      </w:r>
      <w:r>
        <w:rPr>
          <w:rFonts w:ascii="宋体" w:hAnsi="宋体"/>
          <w:b/>
          <w:color w:val="auto"/>
          <w:kern w:val="0"/>
          <w:sz w:val="21"/>
          <w:szCs w:val="21"/>
          <w:highlight w:val="none"/>
        </w:rPr>
        <w:t>（1）</w:t>
      </w:r>
      <w:r>
        <w:rPr>
          <w:rFonts w:hint="eastAsia" w:ascii="宋体" w:hAnsi="宋体" w:eastAsia="宋体" w:cs="Times New Roman"/>
          <w:b/>
          <w:color w:val="auto"/>
          <w:kern w:val="0"/>
          <w:sz w:val="21"/>
          <w:szCs w:val="21"/>
          <w:highlight w:val="none"/>
          <w:u w:val="single"/>
          <w:lang w:eastAsia="zh-CN"/>
        </w:rPr>
        <w:t>供应商</w:t>
      </w:r>
      <w:r>
        <w:rPr>
          <w:rFonts w:hint="eastAsia" w:ascii="宋体" w:hAnsi="宋体" w:eastAsia="宋体" w:cs="Times New Roman"/>
          <w:b/>
          <w:color w:val="auto"/>
          <w:kern w:val="0"/>
          <w:sz w:val="21"/>
          <w:szCs w:val="21"/>
          <w:highlight w:val="none"/>
          <w:u w:val="single"/>
        </w:rPr>
        <w:t>必须具有独立法人资格，且同时具备①</w:t>
      </w:r>
      <w:r>
        <w:rPr>
          <w:rFonts w:hint="eastAsia" w:ascii="宋体" w:hAnsi="宋体" w:eastAsia="宋体" w:cs="Times New Roman"/>
          <w:b/>
          <w:color w:val="auto"/>
          <w:kern w:val="0"/>
          <w:sz w:val="21"/>
          <w:szCs w:val="21"/>
          <w:highlight w:val="none"/>
          <w:u w:val="single"/>
          <w:lang w:val="en-US" w:eastAsia="zh-CN"/>
        </w:rPr>
        <w:t>及</w:t>
      </w:r>
      <w:r>
        <w:rPr>
          <w:rFonts w:hint="eastAsia" w:ascii="宋体" w:hAnsi="宋体" w:eastAsia="宋体" w:cs="Times New Roman"/>
          <w:b/>
          <w:color w:val="auto"/>
          <w:kern w:val="0"/>
          <w:sz w:val="21"/>
          <w:szCs w:val="21"/>
          <w:highlight w:val="none"/>
          <w:u w:val="single"/>
        </w:rPr>
        <w:t>②</w:t>
      </w:r>
      <w:r>
        <w:rPr>
          <w:rFonts w:hint="eastAsia" w:ascii="宋体" w:hAnsi="宋体" w:eastAsia="宋体" w:cs="Times New Roman"/>
          <w:b/>
          <w:color w:val="auto"/>
          <w:kern w:val="0"/>
          <w:sz w:val="21"/>
          <w:szCs w:val="21"/>
          <w:highlight w:val="none"/>
          <w:u w:val="single"/>
          <w:lang w:eastAsia="zh-CN"/>
        </w:rPr>
        <w:t>（</w:t>
      </w:r>
      <w:r>
        <w:rPr>
          <w:rFonts w:hint="eastAsia" w:ascii="宋体" w:hAnsi="宋体" w:eastAsia="宋体" w:cs="Times New Roman"/>
          <w:b/>
          <w:color w:val="auto"/>
          <w:kern w:val="0"/>
          <w:sz w:val="21"/>
          <w:szCs w:val="21"/>
          <w:highlight w:val="none"/>
          <w:u w:val="single"/>
        </w:rPr>
        <w:t>①建筑装修装饰工程专业承包二级及以上企业资质；②工程设计综合类综合资质或建筑装饰工程设计专项乙级及以上资质。</w:t>
      </w:r>
      <w:r>
        <w:rPr>
          <w:rFonts w:hint="eastAsia" w:ascii="宋体" w:hAnsi="宋体" w:eastAsia="宋体" w:cs="Times New Roman"/>
          <w:b/>
          <w:color w:val="auto"/>
          <w:kern w:val="0"/>
          <w:sz w:val="21"/>
          <w:szCs w:val="21"/>
          <w:highlight w:val="none"/>
          <w:u w:val="single"/>
          <w:lang w:eastAsia="zh-CN"/>
        </w:rPr>
        <w:t>）</w:t>
      </w:r>
      <w:r>
        <w:rPr>
          <w:rFonts w:hint="eastAsia" w:ascii="宋体" w:hAnsi="宋体" w:eastAsia="宋体" w:cs="Times New Roman"/>
          <w:b/>
          <w:color w:val="auto"/>
          <w:kern w:val="0"/>
          <w:sz w:val="21"/>
          <w:szCs w:val="21"/>
          <w:highlight w:val="none"/>
          <w:u w:val="single"/>
        </w:rPr>
        <w:t>并在人员、设备、资金等方面具有承担本项目设计施工的能力。</w:t>
      </w:r>
    </w:p>
    <w:p>
      <w:pPr>
        <w:pageBreakBefore w:val="0"/>
        <w:widowControl/>
        <w:kinsoku/>
        <w:wordWrap/>
        <w:overflowPunct/>
        <w:topLinePunct w:val="0"/>
        <w:autoSpaceDE/>
        <w:autoSpaceDN/>
        <w:bidi w:val="0"/>
        <w:adjustRightInd/>
        <w:spacing w:line="360" w:lineRule="auto"/>
        <w:ind w:firstLine="422" w:firstLineChars="200"/>
        <w:textAlignment w:val="auto"/>
        <w:rPr>
          <w:rFonts w:ascii="宋体" w:hAnsi="宋体"/>
          <w:b/>
          <w:color w:val="auto"/>
          <w:kern w:val="0"/>
          <w:sz w:val="21"/>
          <w:szCs w:val="21"/>
          <w:highlight w:val="none"/>
          <w:u w:val="single"/>
        </w:rPr>
      </w:pPr>
      <w:r>
        <w:rPr>
          <w:rFonts w:ascii="宋体" w:hAnsi="宋体"/>
          <w:b/>
          <w:color w:val="auto"/>
          <w:kern w:val="0"/>
          <w:sz w:val="21"/>
          <w:szCs w:val="21"/>
          <w:highlight w:val="none"/>
        </w:rPr>
        <w:t>（2）</w:t>
      </w:r>
      <w:r>
        <w:rPr>
          <w:rFonts w:hint="eastAsia" w:ascii="宋体" w:hAnsi="宋体"/>
          <w:b/>
          <w:color w:val="auto"/>
          <w:kern w:val="0"/>
          <w:sz w:val="21"/>
          <w:szCs w:val="21"/>
          <w:highlight w:val="none"/>
          <w:u w:val="single"/>
        </w:rPr>
        <w:t>进入浙江省的外省施工企业：外省施工企业备案相关手续按嘉建（2015）1 号文件规定执行或在“浙江省建筑市场监管公共服务系统”信息公开；进入浙江省的外省设计企业：省外设计企业须提供《浙江省省外勘察设计企业进浙承接业务登记备案证明》复印件（加盖单位公章）且在有效期内或网站备案截图（加盖单位公章）&lt;关于调整省外建设工程企业进浙备案办法流程的提示&gt;或在“浙江省勘察设计行业四库一平台信息系统”信息公开；</w:t>
      </w:r>
    </w:p>
    <w:p>
      <w:pPr>
        <w:pageBreakBefore w:val="0"/>
        <w:widowControl/>
        <w:shd w:val="clear" w:color="auto" w:fill="FFFFFF"/>
        <w:kinsoku/>
        <w:wordWrap/>
        <w:overflowPunct/>
        <w:topLinePunct w:val="0"/>
        <w:autoSpaceDE/>
        <w:autoSpaceDN/>
        <w:bidi w:val="0"/>
        <w:adjustRightInd/>
        <w:spacing w:line="360" w:lineRule="auto"/>
        <w:ind w:firstLine="422" w:firstLineChars="200"/>
        <w:textAlignment w:val="auto"/>
        <w:rPr>
          <w:rFonts w:hint="eastAsia" w:ascii="微软雅黑" w:hAnsi="微软雅黑" w:eastAsia="微软雅黑"/>
          <w:color w:val="auto"/>
          <w:sz w:val="21"/>
          <w:szCs w:val="21"/>
          <w:highlight w:val="none"/>
        </w:rPr>
      </w:pPr>
      <w:r>
        <w:rPr>
          <w:rFonts w:hint="eastAsia" w:ascii="宋体" w:hAnsi="宋体"/>
          <w:b/>
          <w:color w:val="auto"/>
          <w:kern w:val="0"/>
          <w:sz w:val="21"/>
          <w:szCs w:val="21"/>
          <w:highlight w:val="none"/>
        </w:rPr>
        <w:t>（3）</w:t>
      </w:r>
      <w:r>
        <w:rPr>
          <w:rFonts w:hint="eastAsia" w:ascii="宋体" w:hAnsi="宋体"/>
          <w:b/>
          <w:color w:val="auto"/>
          <w:kern w:val="0"/>
          <w:sz w:val="21"/>
          <w:szCs w:val="21"/>
          <w:highlight w:val="none"/>
          <w:u w:val="single"/>
        </w:rPr>
        <w:t>本次招标接受联合体投标。联合体投标的，应满足下列要求：联合体各方均须具有独立法人资格；组成联合体</w:t>
      </w:r>
      <w:r>
        <w:rPr>
          <w:rFonts w:hint="eastAsia" w:ascii="宋体" w:hAnsi="宋体"/>
          <w:b/>
          <w:color w:val="auto"/>
          <w:kern w:val="0"/>
          <w:sz w:val="21"/>
          <w:szCs w:val="21"/>
          <w:highlight w:val="none"/>
          <w:u w:val="single"/>
          <w:lang w:val="en-US" w:eastAsia="zh-CN"/>
        </w:rPr>
        <w:t>的单位数量不超过二家并在磋商响应文件中明确联合体牵头人及联合体成员的工作内容及职责。以联合体形式参加政府采购活动，联合体各方均为中小企业的，联合体视同中小企业。</w:t>
      </w:r>
    </w:p>
    <w:p>
      <w:pPr>
        <w:pageBreakBefore w:val="0"/>
        <w:widowControl/>
        <w:shd w:val="clear" w:color="auto" w:fill="FFFFFF"/>
        <w:kinsoku/>
        <w:wordWrap/>
        <w:overflowPunct/>
        <w:topLinePunct w:val="0"/>
        <w:autoSpaceDE/>
        <w:autoSpaceDN/>
        <w:bidi w:val="0"/>
        <w:adjustRightInd/>
        <w:spacing w:line="360" w:lineRule="auto"/>
        <w:ind w:firstLine="422" w:firstLineChars="200"/>
        <w:textAlignment w:val="auto"/>
        <w:rPr>
          <w:rFonts w:ascii="宋体" w:hAnsi="宋体"/>
          <w:b/>
          <w:color w:val="auto"/>
          <w:kern w:val="0"/>
          <w:sz w:val="21"/>
          <w:szCs w:val="21"/>
          <w:highlight w:val="none"/>
        </w:rPr>
      </w:pPr>
      <w:r>
        <w:rPr>
          <w:rFonts w:hint="eastAsia" w:ascii="宋体" w:hAnsi="宋体"/>
          <w:b/>
          <w:color w:val="auto"/>
          <w:kern w:val="0"/>
          <w:sz w:val="21"/>
          <w:szCs w:val="21"/>
          <w:highlight w:val="none"/>
        </w:rPr>
        <w:t>（4）主要人员资格要求：</w:t>
      </w:r>
    </w:p>
    <w:p>
      <w:pPr>
        <w:pageBreakBefore w:val="0"/>
        <w:widowControl/>
        <w:shd w:val="clear" w:color="auto" w:fill="FFFFFF"/>
        <w:kinsoku/>
        <w:wordWrap/>
        <w:overflowPunct/>
        <w:topLinePunct w:val="0"/>
        <w:autoSpaceDE/>
        <w:autoSpaceDN/>
        <w:bidi w:val="0"/>
        <w:adjustRightInd/>
        <w:spacing w:line="360" w:lineRule="auto"/>
        <w:ind w:firstLine="422" w:firstLineChars="200"/>
        <w:textAlignment w:val="auto"/>
        <w:rPr>
          <w:rFonts w:ascii="宋体" w:hAnsi="宋体"/>
          <w:b/>
          <w:color w:val="auto"/>
          <w:kern w:val="0"/>
          <w:sz w:val="21"/>
          <w:szCs w:val="21"/>
          <w:highlight w:val="none"/>
          <w:u w:val="single"/>
        </w:rPr>
      </w:pPr>
      <w:r>
        <w:rPr>
          <w:rFonts w:hint="eastAsia" w:ascii="宋体" w:hAnsi="宋体"/>
          <w:b/>
          <w:color w:val="auto"/>
          <w:kern w:val="0"/>
          <w:sz w:val="21"/>
          <w:szCs w:val="21"/>
          <w:highlight w:val="none"/>
          <w:u w:val="single"/>
        </w:rPr>
        <w:t>项目总负责人的资格要求：具有建筑专业二级及以上注册建造师执业资格，并具有安全生产考核合格证书（B证），注册在本单位。</w:t>
      </w:r>
    </w:p>
    <w:p>
      <w:pPr>
        <w:pageBreakBefore w:val="0"/>
        <w:widowControl/>
        <w:shd w:val="clear" w:color="auto" w:fill="FFFFFF"/>
        <w:kinsoku/>
        <w:wordWrap/>
        <w:overflowPunct/>
        <w:topLinePunct w:val="0"/>
        <w:autoSpaceDE/>
        <w:autoSpaceDN/>
        <w:bidi w:val="0"/>
        <w:adjustRightInd/>
        <w:spacing w:line="360" w:lineRule="auto"/>
        <w:ind w:firstLine="422" w:firstLineChars="200"/>
        <w:textAlignment w:val="auto"/>
        <w:rPr>
          <w:rFonts w:ascii="宋体" w:hAnsi="宋体"/>
          <w:b/>
          <w:color w:val="auto"/>
          <w:kern w:val="0"/>
          <w:sz w:val="21"/>
          <w:szCs w:val="21"/>
          <w:highlight w:val="none"/>
          <w:u w:val="single"/>
        </w:rPr>
      </w:pPr>
      <w:r>
        <w:rPr>
          <w:rFonts w:hint="eastAsia" w:ascii="宋体" w:hAnsi="宋体"/>
          <w:b/>
          <w:color w:val="auto"/>
          <w:kern w:val="0"/>
          <w:sz w:val="21"/>
          <w:szCs w:val="21"/>
          <w:highlight w:val="none"/>
          <w:u w:val="single"/>
        </w:rPr>
        <w:t>设计负责人的资格要求：具有建筑工程（或相近）专业中级及以上技术职称。（</w:t>
      </w:r>
      <w:r>
        <w:rPr>
          <w:rFonts w:hint="eastAsia" w:ascii="宋体" w:hAnsi="宋体"/>
          <w:b/>
          <w:color w:val="auto"/>
          <w:kern w:val="0"/>
          <w:sz w:val="21"/>
          <w:szCs w:val="21"/>
          <w:highlight w:val="none"/>
          <w:u w:val="single"/>
          <w:lang w:eastAsia="zh-CN"/>
        </w:rPr>
        <w:t>供应商</w:t>
      </w:r>
      <w:r>
        <w:rPr>
          <w:rFonts w:hint="eastAsia" w:ascii="宋体" w:hAnsi="宋体"/>
          <w:b/>
          <w:color w:val="auto"/>
          <w:kern w:val="0"/>
          <w:sz w:val="21"/>
          <w:szCs w:val="21"/>
          <w:highlight w:val="none"/>
          <w:u w:val="single"/>
        </w:rPr>
        <w:t>联合体投标的，须注册在联合体设计单位）。</w:t>
      </w:r>
    </w:p>
    <w:p>
      <w:pPr>
        <w:pageBreakBefore w:val="0"/>
        <w:widowControl/>
        <w:shd w:val="clear" w:color="auto" w:fill="FFFFFF"/>
        <w:kinsoku/>
        <w:wordWrap/>
        <w:overflowPunct/>
        <w:topLinePunct w:val="0"/>
        <w:autoSpaceDE/>
        <w:autoSpaceDN/>
        <w:bidi w:val="0"/>
        <w:adjustRightInd/>
        <w:spacing w:line="360" w:lineRule="auto"/>
        <w:ind w:firstLine="422" w:firstLineChars="200"/>
        <w:textAlignment w:val="auto"/>
        <w:rPr>
          <w:rFonts w:ascii="宋体" w:hAnsi="宋体"/>
          <w:b/>
          <w:color w:val="auto"/>
          <w:kern w:val="0"/>
          <w:sz w:val="21"/>
          <w:szCs w:val="21"/>
          <w:highlight w:val="none"/>
          <w:u w:val="single"/>
        </w:rPr>
      </w:pPr>
      <w:r>
        <w:rPr>
          <w:rFonts w:hint="eastAsia" w:ascii="宋体" w:hAnsi="宋体"/>
          <w:b/>
          <w:color w:val="auto"/>
          <w:kern w:val="0"/>
          <w:sz w:val="21"/>
          <w:szCs w:val="21"/>
          <w:highlight w:val="none"/>
          <w:u w:val="single"/>
        </w:rPr>
        <w:t>施工项目经理的资格要求：具有建筑工程二级建造师及以上资格，并具有安全生产考核合格证书（B证），注册在本单位。</w:t>
      </w:r>
    </w:p>
    <w:p>
      <w:pPr>
        <w:pStyle w:val="49"/>
        <w:pageBreakBefore w:val="0"/>
        <w:widowControl/>
        <w:kinsoku/>
        <w:wordWrap/>
        <w:overflowPunct/>
        <w:topLinePunct w:val="0"/>
        <w:autoSpaceDE/>
        <w:autoSpaceDN/>
        <w:bidi w:val="0"/>
        <w:adjustRightInd/>
        <w:spacing w:before="60" w:beforeAutospacing="0" w:after="60" w:afterAutospacing="0" w:line="360" w:lineRule="auto"/>
        <w:ind w:firstLine="420" w:firstLineChars="200"/>
        <w:textAlignment w:val="auto"/>
        <w:rPr>
          <w:rFonts w:cs="宋体"/>
          <w:color w:val="auto"/>
          <w:sz w:val="21"/>
          <w:szCs w:val="21"/>
          <w:highlight w:val="none"/>
        </w:rPr>
      </w:pPr>
      <w:r>
        <w:rPr>
          <w:rFonts w:hint="eastAsia"/>
          <w:b/>
          <w:color w:val="auto"/>
          <w:sz w:val="21"/>
          <w:szCs w:val="21"/>
          <w:highlight w:val="none"/>
          <w:u w:val="single"/>
        </w:rPr>
        <w:t>项目总负责人与设计负责人</w:t>
      </w:r>
      <w:r>
        <w:rPr>
          <w:rFonts w:hint="eastAsia"/>
          <w:b/>
          <w:color w:val="auto"/>
          <w:sz w:val="21"/>
          <w:szCs w:val="21"/>
          <w:highlight w:val="none"/>
          <w:u w:val="single"/>
          <w:lang w:eastAsia="zh-CN"/>
        </w:rPr>
        <w:t>（</w:t>
      </w:r>
      <w:r>
        <w:rPr>
          <w:rFonts w:hint="eastAsia"/>
          <w:b/>
          <w:color w:val="auto"/>
          <w:sz w:val="21"/>
          <w:szCs w:val="21"/>
          <w:highlight w:val="none"/>
          <w:u w:val="single"/>
        </w:rPr>
        <w:t>或与施工项目经理</w:t>
      </w:r>
      <w:r>
        <w:rPr>
          <w:rFonts w:hint="eastAsia"/>
          <w:b/>
          <w:color w:val="auto"/>
          <w:sz w:val="21"/>
          <w:szCs w:val="21"/>
          <w:highlight w:val="none"/>
          <w:u w:val="single"/>
          <w:lang w:eastAsia="zh-CN"/>
        </w:rPr>
        <w:t>）</w:t>
      </w:r>
      <w:r>
        <w:rPr>
          <w:rFonts w:hint="eastAsia"/>
          <w:b/>
          <w:color w:val="auto"/>
          <w:sz w:val="21"/>
          <w:szCs w:val="21"/>
          <w:highlight w:val="none"/>
          <w:u w:val="single"/>
        </w:rPr>
        <w:t>可以为同一人。</w:t>
      </w:r>
    </w:p>
    <w:p>
      <w:pPr>
        <w:adjustRightInd w:val="0"/>
        <w:snapToGrid w:val="0"/>
        <w:spacing w:line="390" w:lineRule="exact"/>
        <w:jc w:val="left"/>
        <w:rPr>
          <w:rFonts w:hint="eastAsia" w:ascii="宋体" w:hAnsi="宋体" w:eastAsia="宋体" w:cs="仿宋"/>
          <w:b/>
          <w:szCs w:val="21"/>
        </w:rPr>
      </w:pPr>
      <w:r>
        <w:rPr>
          <w:rFonts w:hint="eastAsia" w:ascii="宋体" w:hAnsi="宋体" w:eastAsia="宋体" w:cs="仿宋"/>
          <w:b/>
          <w:szCs w:val="21"/>
        </w:rPr>
        <w:t>三、获取招标文件方式 </w:t>
      </w:r>
    </w:p>
    <w:p>
      <w:pPr>
        <w:adjustRightInd w:val="0"/>
        <w:snapToGrid w:val="0"/>
        <w:spacing w:line="390" w:lineRule="exact"/>
        <w:ind w:firstLine="420" w:firstLineChars="200"/>
        <w:jc w:val="left"/>
        <w:rPr>
          <w:rFonts w:hint="eastAsia" w:ascii="宋体" w:hAnsi="宋体" w:eastAsia="宋体" w:cs="仿宋"/>
          <w:szCs w:val="21"/>
          <w:lang w:val="en-US" w:eastAsia="zh-CN"/>
        </w:rPr>
      </w:pPr>
      <w:r>
        <w:rPr>
          <w:rFonts w:hint="eastAsia" w:ascii="宋体" w:hAnsi="宋体" w:eastAsia="宋体" w:cs="仿宋"/>
          <w:szCs w:val="21"/>
        </w:rPr>
        <w:t>时间： 2023年</w:t>
      </w:r>
      <w:r>
        <w:rPr>
          <w:rFonts w:hint="eastAsia" w:ascii="宋体" w:hAnsi="宋体" w:eastAsia="宋体" w:cs="仿宋"/>
          <w:szCs w:val="21"/>
          <w:lang w:val="en-US" w:eastAsia="zh-CN"/>
        </w:rPr>
        <w:t>10</w:t>
      </w:r>
      <w:r>
        <w:rPr>
          <w:rFonts w:hint="eastAsia" w:ascii="宋体" w:hAnsi="宋体" w:eastAsia="宋体" w:cs="仿宋"/>
          <w:szCs w:val="21"/>
        </w:rPr>
        <w:t>月</w:t>
      </w:r>
      <w:r>
        <w:rPr>
          <w:rFonts w:hint="eastAsia" w:ascii="宋体" w:hAnsi="宋体" w:eastAsia="宋体" w:cs="仿宋"/>
          <w:szCs w:val="21"/>
          <w:lang w:val="en-US" w:eastAsia="zh-CN"/>
        </w:rPr>
        <w:t>18</w:t>
      </w:r>
      <w:r>
        <w:rPr>
          <w:rFonts w:hint="eastAsia" w:ascii="宋体" w:hAnsi="宋体" w:eastAsia="宋体" w:cs="仿宋"/>
          <w:szCs w:val="21"/>
        </w:rPr>
        <w:t>日至2023年</w:t>
      </w:r>
      <w:r>
        <w:rPr>
          <w:rFonts w:hint="eastAsia" w:ascii="宋体" w:hAnsi="宋体" w:eastAsia="宋体" w:cs="仿宋"/>
          <w:szCs w:val="21"/>
          <w:lang w:val="en-US" w:eastAsia="zh-CN"/>
        </w:rPr>
        <w:t>11</w:t>
      </w:r>
      <w:r>
        <w:rPr>
          <w:rFonts w:hint="eastAsia" w:ascii="宋体" w:hAnsi="宋体" w:eastAsia="宋体" w:cs="仿宋"/>
          <w:szCs w:val="21"/>
          <w:lang w:eastAsia="zh-CN"/>
        </w:rPr>
        <w:t>月</w:t>
      </w:r>
      <w:r>
        <w:rPr>
          <w:rFonts w:hint="eastAsia" w:ascii="宋体" w:hAnsi="宋体" w:eastAsia="宋体" w:cs="仿宋"/>
          <w:szCs w:val="21"/>
          <w:lang w:val="en-US" w:eastAsia="zh-CN"/>
        </w:rPr>
        <w:t>7</w:t>
      </w:r>
      <w:r>
        <w:rPr>
          <w:rFonts w:hint="eastAsia" w:ascii="宋体" w:hAnsi="宋体" w:eastAsia="宋体" w:cs="仿宋"/>
          <w:szCs w:val="21"/>
          <w:lang w:eastAsia="zh-CN"/>
        </w:rPr>
        <w:t>日</w:t>
      </w:r>
      <w:r>
        <w:rPr>
          <w:rFonts w:hint="eastAsia" w:ascii="宋体" w:hAnsi="宋体" w:eastAsia="宋体" w:cs="仿宋"/>
          <w:szCs w:val="21"/>
        </w:rPr>
        <w:t>上午</w:t>
      </w:r>
      <w:r>
        <w:rPr>
          <w:rFonts w:hint="eastAsia" w:ascii="宋体" w:hAnsi="宋体" w:eastAsia="宋体" w:cs="仿宋"/>
          <w:szCs w:val="21"/>
          <w:lang w:val="en-US" w:eastAsia="zh-CN"/>
        </w:rPr>
        <w:t>9</w:t>
      </w:r>
      <w:r>
        <w:rPr>
          <w:rFonts w:hint="eastAsia" w:ascii="宋体" w:hAnsi="宋体" w:eastAsia="宋体" w:cs="仿宋"/>
          <w:szCs w:val="21"/>
        </w:rPr>
        <w:t>：</w:t>
      </w:r>
      <w:r>
        <w:rPr>
          <w:rFonts w:hint="eastAsia" w:ascii="宋体" w:hAnsi="宋体" w:eastAsia="宋体" w:cs="仿宋"/>
          <w:szCs w:val="21"/>
          <w:lang w:val="en-US" w:eastAsia="zh-CN"/>
        </w:rPr>
        <w:t>30</w:t>
      </w:r>
    </w:p>
    <w:p>
      <w:pPr>
        <w:adjustRightInd w:val="0"/>
        <w:snapToGrid w:val="0"/>
        <w:spacing w:line="390" w:lineRule="exact"/>
        <w:ind w:firstLine="420" w:firstLineChars="200"/>
        <w:jc w:val="left"/>
        <w:rPr>
          <w:rFonts w:hint="eastAsia" w:ascii="宋体" w:hAnsi="宋体" w:eastAsia="宋体" w:cs="仿宋"/>
          <w:szCs w:val="21"/>
        </w:rPr>
      </w:pPr>
      <w:r>
        <w:rPr>
          <w:rFonts w:hint="eastAsia" w:ascii="宋体" w:hAnsi="宋体" w:eastAsia="宋体" w:cs="仿宋"/>
          <w:szCs w:val="21"/>
        </w:rPr>
        <w:t>地点（网址）：政采云平台（https://www.zcygov.cn/）</w:t>
      </w:r>
    </w:p>
    <w:p>
      <w:pPr>
        <w:adjustRightInd w:val="0"/>
        <w:snapToGrid w:val="0"/>
        <w:spacing w:line="390" w:lineRule="exact"/>
        <w:ind w:firstLine="420" w:firstLineChars="200"/>
        <w:jc w:val="left"/>
        <w:rPr>
          <w:rFonts w:hint="eastAsia" w:ascii="宋体" w:hAnsi="宋体" w:eastAsia="宋体" w:cs="仿宋"/>
          <w:szCs w:val="21"/>
        </w:rPr>
      </w:pPr>
      <w:r>
        <w:rPr>
          <w:rFonts w:hint="eastAsia" w:ascii="宋体" w:hAnsi="宋体" w:eastAsia="宋体" w:cs="仿宋"/>
          <w:szCs w:val="21"/>
        </w:rPr>
        <w:t>方式：供应商登录政采云平台https://www.zcygov.cn/在线申请获取采购文件（进入“项目采购”应用，在获取采购文件菜单中选择项目，申请获取采购文件）。</w:t>
      </w:r>
    </w:p>
    <w:p>
      <w:pPr>
        <w:adjustRightInd w:val="0"/>
        <w:snapToGrid w:val="0"/>
        <w:spacing w:line="390" w:lineRule="exact"/>
        <w:ind w:firstLine="420" w:firstLineChars="200"/>
        <w:jc w:val="left"/>
        <w:rPr>
          <w:rFonts w:hint="eastAsia" w:ascii="宋体" w:hAnsi="宋体" w:eastAsia="宋体" w:cs="仿宋"/>
          <w:szCs w:val="21"/>
        </w:rPr>
      </w:pPr>
      <w:r>
        <w:rPr>
          <w:rFonts w:hint="eastAsia" w:ascii="宋体" w:hAnsi="宋体" w:eastAsia="宋体" w:cs="仿宋"/>
          <w:szCs w:val="21"/>
        </w:rPr>
        <w:t>售价：免费。</w:t>
      </w:r>
    </w:p>
    <w:p>
      <w:pPr>
        <w:adjustRightInd w:val="0"/>
        <w:snapToGrid w:val="0"/>
        <w:spacing w:line="390" w:lineRule="exact"/>
        <w:jc w:val="left"/>
        <w:rPr>
          <w:rFonts w:ascii="宋体" w:hAnsi="宋体" w:cs="仿宋"/>
          <w:b/>
          <w:szCs w:val="21"/>
        </w:rPr>
      </w:pPr>
      <w:bookmarkStart w:id="5" w:name="_Toc28359005"/>
      <w:bookmarkStart w:id="6" w:name="_Toc28359082"/>
      <w:bookmarkStart w:id="7" w:name="_Toc35393793"/>
      <w:bookmarkStart w:id="8" w:name="_Toc35393624"/>
      <w:r>
        <w:rPr>
          <w:rFonts w:hint="eastAsia" w:ascii="宋体" w:hAnsi="宋体" w:cs="仿宋"/>
          <w:b/>
          <w:szCs w:val="21"/>
        </w:rPr>
        <w:t>四、提交响应文件</w:t>
      </w:r>
      <w:bookmarkEnd w:id="5"/>
      <w:bookmarkEnd w:id="6"/>
      <w:r>
        <w:rPr>
          <w:rFonts w:hint="eastAsia" w:ascii="宋体" w:hAnsi="宋体" w:cs="仿宋"/>
          <w:b/>
          <w:szCs w:val="21"/>
        </w:rPr>
        <w:t>截止时间、开标时间和地点</w:t>
      </w:r>
      <w:bookmarkEnd w:id="7"/>
      <w:bookmarkEnd w:id="8"/>
    </w:p>
    <w:p>
      <w:pPr>
        <w:adjustRightInd w:val="0"/>
        <w:snapToGrid w:val="0"/>
        <w:spacing w:line="390" w:lineRule="exact"/>
        <w:ind w:firstLine="420" w:firstLineChars="200"/>
        <w:jc w:val="left"/>
        <w:rPr>
          <w:rFonts w:ascii="宋体" w:hAnsi="宋体" w:cs="仿宋"/>
          <w:szCs w:val="21"/>
        </w:rPr>
      </w:pPr>
      <w:r>
        <w:rPr>
          <w:rFonts w:hint="eastAsia" w:ascii="宋体" w:hAnsi="宋体" w:cs="仿宋"/>
          <w:szCs w:val="21"/>
        </w:rPr>
        <w:t>响应文件截止时间、开标时间：</w:t>
      </w:r>
      <w:r>
        <w:rPr>
          <w:rFonts w:hint="eastAsia" w:ascii="宋体" w:hAnsi="宋体" w:cs="仿宋"/>
          <w:szCs w:val="21"/>
          <w:u w:val="single"/>
        </w:rPr>
        <w:t>2023年</w:t>
      </w:r>
      <w:r>
        <w:rPr>
          <w:rFonts w:hint="eastAsia" w:ascii="宋体" w:hAnsi="宋体" w:cs="仿宋"/>
          <w:szCs w:val="21"/>
          <w:u w:val="single"/>
          <w:lang w:val="en-US" w:eastAsia="zh-CN"/>
        </w:rPr>
        <w:t>11</w:t>
      </w:r>
      <w:r>
        <w:rPr>
          <w:rFonts w:hint="eastAsia" w:ascii="宋体" w:hAnsi="宋体" w:cs="仿宋"/>
          <w:szCs w:val="21"/>
          <w:u w:val="single"/>
          <w:lang w:eastAsia="zh-CN"/>
        </w:rPr>
        <w:t>月</w:t>
      </w:r>
      <w:r>
        <w:rPr>
          <w:rFonts w:hint="eastAsia" w:ascii="宋体" w:hAnsi="宋体" w:cs="仿宋"/>
          <w:szCs w:val="21"/>
          <w:u w:val="single"/>
          <w:lang w:val="en-US" w:eastAsia="zh-CN"/>
        </w:rPr>
        <w:t>7</w:t>
      </w:r>
      <w:r>
        <w:rPr>
          <w:rFonts w:hint="eastAsia" w:ascii="宋体" w:hAnsi="宋体" w:cs="仿宋"/>
          <w:szCs w:val="21"/>
          <w:u w:val="single"/>
          <w:lang w:eastAsia="zh-CN"/>
        </w:rPr>
        <w:t>日</w:t>
      </w:r>
      <w:r>
        <w:rPr>
          <w:rFonts w:hint="eastAsia" w:ascii="宋体" w:hAnsi="宋体" w:cs="仿宋"/>
          <w:szCs w:val="21"/>
          <w:u w:val="single"/>
        </w:rPr>
        <w:t>上午</w:t>
      </w:r>
      <w:r>
        <w:rPr>
          <w:rFonts w:hint="eastAsia" w:ascii="宋体" w:hAnsi="宋体" w:cs="仿宋"/>
          <w:szCs w:val="21"/>
          <w:u w:val="single"/>
          <w:lang w:val="en-US" w:eastAsia="zh-CN"/>
        </w:rPr>
        <w:t>9</w:t>
      </w:r>
      <w:r>
        <w:rPr>
          <w:rFonts w:hint="eastAsia" w:ascii="宋体" w:hAnsi="宋体" w:cs="仿宋"/>
          <w:szCs w:val="21"/>
          <w:u w:val="single"/>
        </w:rPr>
        <w:t>：</w:t>
      </w:r>
      <w:r>
        <w:rPr>
          <w:rFonts w:hint="eastAsia" w:ascii="宋体" w:hAnsi="宋体" w:cs="仿宋"/>
          <w:szCs w:val="21"/>
          <w:u w:val="single"/>
          <w:lang w:val="en-US" w:eastAsia="zh-CN"/>
        </w:rPr>
        <w:t>3</w:t>
      </w:r>
      <w:r>
        <w:rPr>
          <w:rFonts w:hint="eastAsia" w:ascii="宋体" w:hAnsi="宋体" w:cs="仿宋"/>
          <w:szCs w:val="21"/>
          <w:u w:val="single"/>
        </w:rPr>
        <w:t>0</w:t>
      </w:r>
      <w:r>
        <w:rPr>
          <w:rFonts w:hint="eastAsia" w:ascii="宋体" w:hAnsi="宋体" w:cs="仿宋"/>
          <w:bCs/>
          <w:szCs w:val="21"/>
        </w:rPr>
        <w:t>（北京时间）</w:t>
      </w:r>
    </w:p>
    <w:p>
      <w:pPr>
        <w:adjustRightInd w:val="0"/>
        <w:snapToGrid w:val="0"/>
        <w:spacing w:line="390" w:lineRule="exact"/>
        <w:ind w:firstLine="420" w:firstLineChars="200"/>
        <w:jc w:val="left"/>
        <w:rPr>
          <w:rFonts w:hint="eastAsia" w:ascii="宋体" w:hAnsi="宋体" w:cs="仿宋"/>
          <w:szCs w:val="21"/>
        </w:rPr>
      </w:pPr>
      <w:r>
        <w:rPr>
          <w:rFonts w:hint="eastAsia" w:ascii="宋体" w:hAnsi="宋体" w:cs="仿宋"/>
          <w:szCs w:val="21"/>
        </w:rPr>
        <w:t>投标地点（网址）：政采云平台（</w:t>
      </w:r>
      <w:r>
        <w:rPr>
          <w:rFonts w:ascii="宋体" w:hAnsi="宋体" w:cs="仿宋"/>
          <w:szCs w:val="21"/>
        </w:rPr>
        <w:fldChar w:fldCharType="begin"/>
      </w:r>
      <w:r>
        <w:rPr>
          <w:rFonts w:ascii="宋体" w:hAnsi="宋体" w:cs="仿宋"/>
          <w:szCs w:val="21"/>
        </w:rPr>
        <w:instrText xml:space="preserve"> HYPERLINK "</w:instrText>
      </w:r>
      <w:r>
        <w:rPr>
          <w:rFonts w:hint="eastAsia" w:ascii="宋体" w:hAnsi="宋体" w:cs="仿宋"/>
          <w:szCs w:val="21"/>
        </w:rPr>
        <w:instrText xml:space="preserve">https://www.zcygov.cn/</w:instrText>
      </w:r>
      <w:r>
        <w:rPr>
          <w:rFonts w:ascii="宋体" w:hAnsi="宋体" w:cs="仿宋"/>
          <w:szCs w:val="21"/>
        </w:rPr>
        <w:instrText xml:space="preserve">" </w:instrText>
      </w:r>
      <w:r>
        <w:rPr>
          <w:rFonts w:ascii="宋体" w:hAnsi="宋体" w:cs="仿宋"/>
          <w:szCs w:val="21"/>
        </w:rPr>
        <w:fldChar w:fldCharType="separate"/>
      </w:r>
      <w:r>
        <w:rPr>
          <w:rStyle w:val="63"/>
          <w:rFonts w:hint="eastAsia" w:ascii="宋体" w:hAnsi="宋体" w:cs="仿宋"/>
          <w:color w:val="auto"/>
          <w:szCs w:val="21"/>
        </w:rPr>
        <w:t>https://www.zcygov.cn/</w:t>
      </w:r>
      <w:r>
        <w:rPr>
          <w:rFonts w:ascii="宋体" w:hAnsi="宋体" w:cs="仿宋"/>
          <w:szCs w:val="21"/>
        </w:rPr>
        <w:fldChar w:fldCharType="end"/>
      </w:r>
      <w:r>
        <w:rPr>
          <w:rFonts w:hint="eastAsia" w:ascii="宋体" w:hAnsi="宋体" w:cs="仿宋"/>
          <w:szCs w:val="21"/>
        </w:rPr>
        <w:t>）</w:t>
      </w:r>
    </w:p>
    <w:p>
      <w:pPr>
        <w:adjustRightInd w:val="0"/>
        <w:snapToGrid w:val="0"/>
        <w:spacing w:line="390" w:lineRule="exact"/>
        <w:ind w:firstLine="420" w:firstLineChars="200"/>
        <w:jc w:val="left"/>
        <w:rPr>
          <w:rFonts w:ascii="宋体" w:hAnsi="宋体" w:cs="仿宋"/>
          <w:szCs w:val="21"/>
        </w:rPr>
      </w:pPr>
      <w:r>
        <w:rPr>
          <w:rFonts w:hint="eastAsia" w:ascii="宋体" w:hAnsi="宋体" w:cs="仿宋"/>
          <w:szCs w:val="21"/>
        </w:rPr>
        <w:t>开标地点：</w:t>
      </w:r>
      <w:r>
        <w:rPr>
          <w:rFonts w:hint="eastAsia" w:ascii="宋体" w:hAnsi="宋体" w:cs="仿宋"/>
          <w:szCs w:val="21"/>
          <w:lang w:eastAsia="zh-CN"/>
        </w:rPr>
        <w:t>浙江富力诚欣工程顾问有限公司</w:t>
      </w:r>
      <w:r>
        <w:rPr>
          <w:rFonts w:hint="eastAsia" w:ascii="宋体" w:hAnsi="宋体" w:cs="仿宋"/>
          <w:szCs w:val="21"/>
        </w:rPr>
        <w:t>开标室（</w:t>
      </w:r>
      <w:r>
        <w:rPr>
          <w:rFonts w:hint="eastAsia" w:ascii="宋体" w:hAnsi="宋体" w:cs="仿宋"/>
          <w:szCs w:val="21"/>
          <w:lang w:eastAsia="zh-CN"/>
        </w:rPr>
        <w:t>嘉兴市经济技术开发区姚家荡路42号长新农贸市场办公楼5楼501室</w:t>
      </w:r>
      <w:r>
        <w:rPr>
          <w:rFonts w:hint="eastAsia" w:ascii="宋体" w:hAnsi="宋体" w:cs="仿宋"/>
          <w:szCs w:val="21"/>
        </w:rPr>
        <w:t>）</w:t>
      </w:r>
    </w:p>
    <w:p>
      <w:pPr>
        <w:adjustRightInd w:val="0"/>
        <w:snapToGrid w:val="0"/>
        <w:spacing w:line="390" w:lineRule="exact"/>
        <w:jc w:val="left"/>
        <w:rPr>
          <w:rFonts w:ascii="宋体" w:hAnsi="宋体" w:cs="仿宋"/>
          <w:b/>
          <w:szCs w:val="21"/>
        </w:rPr>
      </w:pPr>
      <w:bookmarkStart w:id="9" w:name="_Toc28359084"/>
      <w:bookmarkStart w:id="10" w:name="_Toc28359007"/>
      <w:bookmarkStart w:id="11" w:name="_Toc35393794"/>
      <w:bookmarkStart w:id="12" w:name="_Toc35393625"/>
      <w:r>
        <w:rPr>
          <w:rFonts w:hint="eastAsia" w:ascii="宋体" w:hAnsi="宋体" w:cs="仿宋"/>
          <w:b/>
          <w:szCs w:val="21"/>
        </w:rPr>
        <w:t>五、公告期限</w:t>
      </w:r>
      <w:bookmarkEnd w:id="9"/>
      <w:bookmarkEnd w:id="10"/>
      <w:bookmarkEnd w:id="11"/>
      <w:bookmarkEnd w:id="12"/>
    </w:p>
    <w:p>
      <w:pPr>
        <w:adjustRightInd w:val="0"/>
        <w:snapToGrid w:val="0"/>
        <w:spacing w:line="390" w:lineRule="exact"/>
        <w:ind w:firstLine="420" w:firstLineChars="200"/>
        <w:jc w:val="left"/>
        <w:rPr>
          <w:rFonts w:ascii="宋体" w:hAnsi="宋体" w:cs="仿宋"/>
          <w:kern w:val="0"/>
          <w:szCs w:val="21"/>
        </w:rPr>
      </w:pPr>
      <w:r>
        <w:rPr>
          <w:rFonts w:hint="eastAsia" w:ascii="宋体" w:hAnsi="宋体" w:cs="仿宋"/>
          <w:kern w:val="0"/>
          <w:szCs w:val="21"/>
        </w:rPr>
        <w:t>自本公告发布之日起5个工作日。</w:t>
      </w:r>
    </w:p>
    <w:p>
      <w:pPr>
        <w:adjustRightInd w:val="0"/>
        <w:snapToGrid w:val="0"/>
        <w:spacing w:line="390" w:lineRule="exact"/>
        <w:jc w:val="left"/>
        <w:rPr>
          <w:rFonts w:ascii="宋体" w:hAnsi="宋体" w:cs="仿宋"/>
          <w:b/>
          <w:szCs w:val="21"/>
        </w:rPr>
      </w:pPr>
      <w:bookmarkStart w:id="13" w:name="_Toc35393626"/>
      <w:bookmarkStart w:id="14" w:name="_Toc35393795"/>
      <w:r>
        <w:rPr>
          <w:rFonts w:hint="eastAsia" w:ascii="宋体" w:hAnsi="宋体" w:cs="仿宋"/>
          <w:b/>
          <w:szCs w:val="21"/>
        </w:rPr>
        <w:t>六、其他补充事宜</w:t>
      </w:r>
      <w:bookmarkEnd w:id="13"/>
      <w:bookmarkEnd w:id="14"/>
    </w:p>
    <w:p>
      <w:pPr>
        <w:adjustRightInd w:val="0"/>
        <w:snapToGrid w:val="0"/>
        <w:spacing w:line="390" w:lineRule="exact"/>
        <w:ind w:firstLine="420" w:firstLineChars="200"/>
        <w:jc w:val="left"/>
        <w:rPr>
          <w:rFonts w:hint="eastAsia" w:ascii="宋体" w:hAnsi="宋体"/>
          <w:bCs/>
          <w:szCs w:val="21"/>
        </w:rPr>
      </w:pPr>
      <w:r>
        <w:rPr>
          <w:rFonts w:hint="eastAsia" w:ascii="宋体" w:hAnsi="宋体"/>
          <w:bCs/>
          <w:szCs w:val="21"/>
        </w:rPr>
        <w:t>1.供应商认为采购文件使自己的权益受到损害的，可以自获取采购文件之日或者采购文件公告期限届满之日（公告期限届满后获取采购文件的，以公告期限届满之日为准）起7个工作日内，以书面形式在政采云平台向采购人和采购代理机构提出质疑。质疑供应商对采购人、采购代理机构的答复不满意或者采购人、采购代理机构未在规定的时间内作出答复的，可以在答复期满后十五个工作日内向同级政府采购监督管理部门投诉。质疑函范本、投诉书范本请到浙江政府采购网下载专区下载。</w:t>
      </w:r>
    </w:p>
    <w:p>
      <w:pPr>
        <w:adjustRightInd w:val="0"/>
        <w:snapToGrid w:val="0"/>
        <w:spacing w:line="390" w:lineRule="exact"/>
        <w:ind w:firstLine="420" w:firstLineChars="200"/>
        <w:jc w:val="left"/>
        <w:rPr>
          <w:rFonts w:hint="eastAsia" w:ascii="宋体" w:hAnsi="宋体"/>
          <w:bCs/>
          <w:szCs w:val="21"/>
        </w:rPr>
      </w:pPr>
      <w:r>
        <w:rPr>
          <w:rFonts w:hint="eastAsia" w:ascii="宋体" w:hAnsi="宋体"/>
          <w:bCs/>
          <w:szCs w:val="21"/>
        </w:rPr>
        <w:t>2.其他事项：</w:t>
      </w:r>
    </w:p>
    <w:p>
      <w:pPr>
        <w:adjustRightInd w:val="0"/>
        <w:snapToGrid w:val="0"/>
        <w:spacing w:line="390" w:lineRule="exact"/>
        <w:ind w:firstLine="420" w:firstLineChars="200"/>
        <w:jc w:val="left"/>
        <w:rPr>
          <w:rFonts w:hint="eastAsia" w:ascii="宋体" w:hAnsi="宋体"/>
          <w:bCs/>
          <w:szCs w:val="21"/>
        </w:rPr>
      </w:pPr>
      <w:r>
        <w:rPr>
          <w:rFonts w:hint="eastAsia" w:ascii="宋体" w:hAnsi="宋体"/>
          <w:bCs/>
          <w:szCs w:val="21"/>
        </w:rPr>
        <w:t>（1）需要落实的政府采购政策：包括节约资源、保护环境、支持创新、促进中小企业发展等。</w:t>
      </w:r>
    </w:p>
    <w:p>
      <w:pPr>
        <w:adjustRightInd w:val="0"/>
        <w:snapToGrid w:val="0"/>
        <w:spacing w:line="390" w:lineRule="exact"/>
        <w:ind w:firstLine="420" w:firstLineChars="200"/>
        <w:jc w:val="left"/>
        <w:rPr>
          <w:rFonts w:hint="eastAsia" w:ascii="宋体" w:hAnsi="宋体"/>
          <w:bCs/>
          <w:szCs w:val="21"/>
        </w:rPr>
      </w:pPr>
      <w:r>
        <w:rPr>
          <w:rFonts w:hint="eastAsia" w:ascii="宋体" w:hAnsi="宋体"/>
          <w:bCs/>
          <w:szCs w:val="21"/>
        </w:rPr>
        <w:t>（2）电子招投标的说明：</w:t>
      </w:r>
    </w:p>
    <w:p>
      <w:pPr>
        <w:adjustRightInd w:val="0"/>
        <w:snapToGrid w:val="0"/>
        <w:spacing w:line="390" w:lineRule="exact"/>
        <w:ind w:firstLine="420" w:firstLineChars="200"/>
        <w:jc w:val="left"/>
        <w:rPr>
          <w:rFonts w:hint="eastAsia" w:ascii="宋体" w:hAnsi="宋体"/>
          <w:bCs/>
          <w:szCs w:val="21"/>
        </w:rPr>
      </w:pPr>
      <w:r>
        <w:rPr>
          <w:rFonts w:hint="eastAsia" w:ascii="宋体" w:hAnsi="宋体"/>
          <w:bCs/>
          <w:szCs w:val="21"/>
        </w:rPr>
        <w:t>①电子招投标：本项目以数据电文形式，依托“政府采购云平台（www.zcygov.cn）”进行招投标活动；</w:t>
      </w:r>
    </w:p>
    <w:p>
      <w:pPr>
        <w:adjustRightInd w:val="0"/>
        <w:snapToGrid w:val="0"/>
        <w:spacing w:line="390" w:lineRule="exact"/>
        <w:ind w:firstLine="420" w:firstLineChars="200"/>
        <w:jc w:val="left"/>
        <w:rPr>
          <w:rFonts w:hint="eastAsia" w:ascii="宋体" w:hAnsi="宋体"/>
          <w:bCs/>
          <w:szCs w:val="21"/>
        </w:rPr>
      </w:pPr>
      <w:r>
        <w:rPr>
          <w:rFonts w:hint="eastAsia" w:ascii="宋体" w:hAnsi="宋体"/>
          <w:bCs/>
          <w:szCs w:val="21"/>
        </w:rPr>
        <w:t>②投标准备：注册账号--点击“商家入驻”，进行政府采购供应商资料填写；申领CA数字证书---申领流程详见“浙江政府采购网-下载专区-电子交易客户端-CA驱动和申领流程”；安装“政采云电子交易客户端”----前往“浙江政府采购网-下载专区-电子交易客户端”进行下载并安装；</w:t>
      </w:r>
    </w:p>
    <w:p>
      <w:pPr>
        <w:adjustRightInd w:val="0"/>
        <w:snapToGrid w:val="0"/>
        <w:spacing w:line="390" w:lineRule="exact"/>
        <w:ind w:firstLine="420" w:firstLineChars="200"/>
        <w:jc w:val="left"/>
        <w:rPr>
          <w:rFonts w:hint="eastAsia" w:ascii="宋体" w:hAnsi="宋体"/>
          <w:bCs/>
          <w:szCs w:val="21"/>
        </w:rPr>
      </w:pPr>
      <w:r>
        <w:rPr>
          <w:rFonts w:hint="eastAsia" w:ascii="宋体" w:hAnsi="宋体"/>
          <w:bCs/>
          <w:szCs w:val="21"/>
        </w:rPr>
        <w:t>CA驱动和申领流程</w:t>
      </w:r>
    </w:p>
    <w:p>
      <w:pPr>
        <w:adjustRightInd w:val="0"/>
        <w:snapToGrid w:val="0"/>
        <w:spacing w:line="390" w:lineRule="exact"/>
        <w:ind w:firstLine="420" w:firstLineChars="200"/>
        <w:jc w:val="left"/>
        <w:rPr>
          <w:rFonts w:ascii="宋体" w:hAnsi="宋体"/>
          <w:bCs/>
          <w:szCs w:val="21"/>
        </w:rPr>
      </w:pPr>
      <w:r>
        <w:rPr>
          <w:rFonts w:ascii="宋体" w:hAnsi="宋体"/>
          <w:bCs/>
          <w:szCs w:val="21"/>
        </w:rPr>
        <w:t xml:space="preserve">https://zfcg.czt.zj.gov.cn/bidClientTemplate/2019-05-27/12945.html    </w:t>
      </w:r>
    </w:p>
    <w:p>
      <w:pPr>
        <w:adjustRightInd w:val="0"/>
        <w:snapToGrid w:val="0"/>
        <w:spacing w:line="390" w:lineRule="exact"/>
        <w:ind w:firstLine="420" w:firstLineChars="200"/>
        <w:jc w:val="left"/>
        <w:rPr>
          <w:rFonts w:hint="eastAsia" w:ascii="宋体" w:hAnsi="宋体"/>
          <w:bCs/>
          <w:szCs w:val="21"/>
        </w:rPr>
      </w:pPr>
      <w:r>
        <w:rPr>
          <w:rFonts w:hint="eastAsia" w:ascii="宋体" w:hAnsi="宋体"/>
          <w:bCs/>
          <w:szCs w:val="21"/>
        </w:rPr>
        <w:t>注：ＣＡ证书遗失补办、延期、解锁、质保等业务可以在联连客户端上进行操作；使用政采云投标客户端时，建议使用windows7以上且64位的操作系统。</w:t>
      </w:r>
    </w:p>
    <w:p>
      <w:pPr>
        <w:adjustRightInd w:val="0"/>
        <w:snapToGrid w:val="0"/>
        <w:spacing w:line="390" w:lineRule="exact"/>
        <w:ind w:firstLine="420" w:firstLineChars="200"/>
        <w:jc w:val="left"/>
        <w:rPr>
          <w:rFonts w:hint="eastAsia" w:ascii="宋体" w:hAnsi="宋体"/>
          <w:bCs/>
          <w:szCs w:val="21"/>
        </w:rPr>
      </w:pPr>
      <w:r>
        <w:rPr>
          <w:rFonts w:hint="eastAsia" w:ascii="宋体" w:hAnsi="宋体"/>
          <w:bCs/>
          <w:szCs w:val="21"/>
        </w:rPr>
        <w:t>CA证书办理操作视频</w:t>
      </w:r>
    </w:p>
    <w:p>
      <w:pPr>
        <w:adjustRightInd w:val="0"/>
        <w:snapToGrid w:val="0"/>
        <w:spacing w:line="390" w:lineRule="exact"/>
        <w:ind w:firstLine="420" w:firstLineChars="200"/>
        <w:jc w:val="left"/>
        <w:rPr>
          <w:rFonts w:ascii="宋体" w:hAnsi="宋体"/>
          <w:bCs/>
          <w:szCs w:val="21"/>
        </w:rPr>
      </w:pPr>
      <w:r>
        <w:rPr>
          <w:rFonts w:ascii="宋体" w:hAnsi="宋体"/>
          <w:bCs/>
          <w:szCs w:val="21"/>
        </w:rPr>
        <w:t>https://service.zcygov.cn/#/knowledges/UgcbC3EBiyELHE-opz1b/EWqqyXEByNnJ3A2CPyDI</w:t>
      </w:r>
    </w:p>
    <w:p>
      <w:pPr>
        <w:adjustRightInd w:val="0"/>
        <w:snapToGrid w:val="0"/>
        <w:spacing w:line="390" w:lineRule="exact"/>
        <w:ind w:firstLine="420" w:firstLineChars="200"/>
        <w:jc w:val="left"/>
        <w:rPr>
          <w:rFonts w:hint="eastAsia" w:ascii="宋体" w:hAnsi="宋体"/>
          <w:bCs/>
          <w:szCs w:val="21"/>
        </w:rPr>
      </w:pPr>
      <w:r>
        <w:rPr>
          <w:rFonts w:hint="eastAsia" w:ascii="宋体" w:hAnsi="宋体"/>
          <w:bCs/>
          <w:szCs w:val="21"/>
        </w:rPr>
        <w:t>CA绑定登录操作视频</w:t>
      </w:r>
    </w:p>
    <w:p>
      <w:pPr>
        <w:adjustRightInd w:val="0"/>
        <w:snapToGrid w:val="0"/>
        <w:spacing w:line="390" w:lineRule="exact"/>
        <w:ind w:firstLine="420" w:firstLineChars="200"/>
        <w:jc w:val="left"/>
        <w:rPr>
          <w:rFonts w:ascii="宋体" w:hAnsi="宋体"/>
          <w:bCs/>
          <w:szCs w:val="21"/>
        </w:rPr>
      </w:pPr>
      <w:r>
        <w:rPr>
          <w:rFonts w:ascii="宋体" w:hAnsi="宋体"/>
          <w:bCs/>
          <w:szCs w:val="21"/>
        </w:rPr>
        <w:t>https://service.zcygov.cn/#/knowledges/UgcbC3EBiyELHE-opz1b/nAkmyXEBiyELHE-o-983</w:t>
      </w:r>
    </w:p>
    <w:p>
      <w:pPr>
        <w:adjustRightInd w:val="0"/>
        <w:snapToGrid w:val="0"/>
        <w:spacing w:line="390" w:lineRule="exact"/>
        <w:ind w:firstLine="420" w:firstLineChars="200"/>
        <w:jc w:val="left"/>
        <w:rPr>
          <w:rFonts w:hint="eastAsia" w:ascii="宋体" w:hAnsi="宋体"/>
          <w:bCs/>
          <w:szCs w:val="21"/>
        </w:rPr>
      </w:pPr>
      <w:r>
        <w:rPr>
          <w:rFonts w:hint="eastAsia" w:ascii="宋体" w:hAnsi="宋体"/>
          <w:bCs/>
          <w:szCs w:val="21"/>
        </w:rPr>
        <w:t>③采购文件的获取：使用账号登录或者使用CA登录政采云平台；进入“项目采购”应用，在获取采购文件菜单中选择项目，获取采购文件；</w:t>
      </w:r>
    </w:p>
    <w:p>
      <w:pPr>
        <w:adjustRightInd w:val="0"/>
        <w:snapToGrid w:val="0"/>
        <w:spacing w:line="390" w:lineRule="exact"/>
        <w:ind w:firstLine="420" w:firstLineChars="200"/>
        <w:jc w:val="left"/>
        <w:rPr>
          <w:rFonts w:hint="eastAsia" w:ascii="宋体" w:hAnsi="宋体"/>
          <w:bCs/>
          <w:szCs w:val="21"/>
        </w:rPr>
      </w:pPr>
      <w:r>
        <w:rPr>
          <w:rFonts w:hint="eastAsia" w:ascii="宋体" w:hAnsi="宋体"/>
          <w:bCs/>
          <w:szCs w:val="21"/>
        </w:rPr>
        <w:t>④响应文件的制作：在“政采云电子交易客户端”中完成“填写基本信息”、“导入响应文件”、“标书关联”、“标书检查”、“电子签名”、“生成电子标书”等操作；</w:t>
      </w:r>
    </w:p>
    <w:p>
      <w:pPr>
        <w:adjustRightInd w:val="0"/>
        <w:snapToGrid w:val="0"/>
        <w:spacing w:line="390" w:lineRule="exact"/>
        <w:ind w:firstLine="420" w:firstLineChars="200"/>
        <w:jc w:val="left"/>
        <w:rPr>
          <w:rFonts w:hint="eastAsia" w:ascii="宋体" w:hAnsi="宋体"/>
          <w:bCs/>
          <w:szCs w:val="21"/>
        </w:rPr>
      </w:pPr>
      <w:r>
        <w:rPr>
          <w:rFonts w:hint="eastAsia" w:ascii="宋体" w:hAnsi="宋体"/>
          <w:bCs/>
          <w:szCs w:val="21"/>
        </w:rPr>
        <w:t xml:space="preserve">⑤采购人、采购机构将依托政采云平台完成本项目的电子交易活动，平台不接受未按上述方式获取采购文件的供应商进行投标活动； </w:t>
      </w:r>
    </w:p>
    <w:p>
      <w:pPr>
        <w:adjustRightInd w:val="0"/>
        <w:snapToGrid w:val="0"/>
        <w:spacing w:line="390" w:lineRule="exact"/>
        <w:ind w:firstLine="420" w:firstLineChars="200"/>
        <w:jc w:val="left"/>
        <w:rPr>
          <w:rFonts w:hint="eastAsia" w:ascii="宋体" w:hAnsi="宋体"/>
          <w:bCs/>
          <w:szCs w:val="21"/>
        </w:rPr>
      </w:pPr>
      <w:r>
        <w:rPr>
          <w:rFonts w:hint="eastAsia" w:ascii="宋体" w:hAnsi="宋体"/>
          <w:bCs/>
          <w:szCs w:val="21"/>
        </w:rPr>
        <w:t>⑥对未按上述方式获取采购文件的供应商对该文件提出的质疑，采购人或采购代理机构将不予处理；</w:t>
      </w:r>
    </w:p>
    <w:p>
      <w:pPr>
        <w:adjustRightInd w:val="0"/>
        <w:snapToGrid w:val="0"/>
        <w:spacing w:line="390" w:lineRule="exact"/>
        <w:ind w:firstLine="420" w:firstLineChars="200"/>
        <w:jc w:val="left"/>
        <w:rPr>
          <w:rFonts w:hint="eastAsia" w:ascii="宋体" w:hAnsi="宋体"/>
          <w:bCs/>
          <w:szCs w:val="21"/>
        </w:rPr>
      </w:pPr>
      <w:r>
        <w:rPr>
          <w:rFonts w:hint="eastAsia" w:ascii="宋体" w:hAnsi="宋体"/>
          <w:bCs/>
          <w:szCs w:val="21"/>
        </w:rPr>
        <w:t>⑦不提供采购文件纸质版；</w:t>
      </w:r>
    </w:p>
    <w:p>
      <w:pPr>
        <w:adjustRightInd w:val="0"/>
        <w:snapToGrid w:val="0"/>
        <w:spacing w:line="390" w:lineRule="exact"/>
        <w:ind w:firstLine="422" w:firstLineChars="200"/>
        <w:jc w:val="left"/>
        <w:rPr>
          <w:rFonts w:hint="eastAsia" w:ascii="宋体" w:hAnsi="宋体" w:eastAsia="宋体" w:cs="Times New Roman"/>
          <w:b/>
          <w:bCs w:val="0"/>
          <w:szCs w:val="21"/>
        </w:rPr>
      </w:pPr>
      <w:r>
        <w:rPr>
          <w:rFonts w:hint="eastAsia" w:ascii="宋体" w:hAnsi="宋体"/>
          <w:b/>
          <w:bCs w:val="0"/>
          <w:szCs w:val="21"/>
        </w:rPr>
        <w:t>⑧响应文件的传输递交：投标供应商在投标截止时间前将加密的响应文件上传至政府采购云平台，</w:t>
      </w:r>
      <w:r>
        <w:rPr>
          <w:rFonts w:hint="eastAsia" w:ascii="宋体" w:hAnsi="宋体"/>
          <w:b/>
          <w:bCs w:val="0"/>
          <w:szCs w:val="21"/>
          <w:lang w:val="en-US" w:eastAsia="zh-CN"/>
        </w:rPr>
        <w:t>并</w:t>
      </w:r>
      <w:r>
        <w:rPr>
          <w:rFonts w:hint="eastAsia" w:ascii="宋体" w:hAnsi="宋体"/>
          <w:b/>
          <w:bCs w:val="0"/>
          <w:szCs w:val="21"/>
        </w:rPr>
        <w:t>在投标截止时间前直接提交或者以快递方式递交备份响应文件</w:t>
      </w:r>
      <w:r>
        <w:rPr>
          <w:rFonts w:hint="eastAsia" w:ascii="宋体" w:hAnsi="宋体"/>
          <w:b/>
          <w:bCs w:val="0"/>
          <w:szCs w:val="21"/>
          <w:lang w:eastAsia="zh-CN"/>
        </w:rPr>
        <w:t>（</w:t>
      </w:r>
      <w:r>
        <w:rPr>
          <w:rFonts w:hint="eastAsia" w:ascii="宋体" w:hAnsi="宋体"/>
          <w:b/>
          <w:bCs w:val="0"/>
          <w:szCs w:val="21"/>
          <w:lang w:val="en-US" w:eastAsia="zh-CN"/>
        </w:rPr>
        <w:t>电子及</w:t>
      </w:r>
      <w:r>
        <w:rPr>
          <w:rFonts w:hint="eastAsia" w:ascii="宋体" w:hAnsi="宋体" w:eastAsia="宋体" w:cs="Times New Roman"/>
          <w:b/>
          <w:bCs w:val="0"/>
          <w:szCs w:val="21"/>
          <w:lang w:val="en-US" w:eastAsia="zh-CN"/>
        </w:rPr>
        <w:t>纸质、图纸</w:t>
      </w:r>
      <w:r>
        <w:rPr>
          <w:rFonts w:hint="eastAsia" w:ascii="宋体" w:hAnsi="宋体" w:eastAsia="宋体" w:cs="Times New Roman"/>
          <w:b/>
          <w:bCs w:val="0"/>
          <w:szCs w:val="21"/>
        </w:rPr>
        <w:t>（含深化设计方案文本）</w:t>
      </w:r>
      <w:r>
        <w:rPr>
          <w:rFonts w:hint="eastAsia" w:ascii="宋体" w:hAnsi="宋体" w:eastAsia="宋体" w:cs="Times New Roman"/>
          <w:b/>
          <w:bCs w:val="0"/>
          <w:szCs w:val="21"/>
          <w:lang w:eastAsia="zh-CN"/>
        </w:rPr>
        <w:t>（</w:t>
      </w:r>
      <w:r>
        <w:rPr>
          <w:rFonts w:hint="eastAsia" w:ascii="宋体" w:hAnsi="宋体" w:eastAsia="宋体" w:cs="Times New Roman"/>
          <w:b/>
          <w:bCs w:val="0"/>
          <w:szCs w:val="21"/>
          <w:lang w:val="en-US" w:eastAsia="zh-CN"/>
        </w:rPr>
        <w:t>注：备份响应文件为必须提供</w:t>
      </w:r>
      <w:r>
        <w:rPr>
          <w:rFonts w:hint="eastAsia" w:ascii="宋体" w:hAnsi="宋体" w:eastAsia="宋体" w:cs="Times New Roman"/>
          <w:b/>
          <w:bCs w:val="0"/>
          <w:szCs w:val="21"/>
          <w:lang w:eastAsia="zh-CN"/>
        </w:rPr>
        <w:t>）</w:t>
      </w:r>
      <w:r>
        <w:rPr>
          <w:rFonts w:hint="eastAsia" w:ascii="宋体" w:hAnsi="宋体" w:eastAsia="宋体" w:cs="Times New Roman"/>
          <w:b/>
          <w:bCs w:val="0"/>
          <w:szCs w:val="21"/>
        </w:rPr>
        <w:t>【地址：</w:t>
      </w:r>
      <w:r>
        <w:rPr>
          <w:rFonts w:hint="eastAsia" w:ascii="宋体" w:hAnsi="宋体" w:eastAsia="宋体" w:cs="Times New Roman"/>
          <w:b/>
          <w:bCs w:val="0"/>
          <w:szCs w:val="21"/>
          <w:lang w:eastAsia="zh-CN"/>
        </w:rPr>
        <w:t>浙江富力诚欣工程顾问有限公司</w:t>
      </w:r>
      <w:r>
        <w:rPr>
          <w:rFonts w:hint="eastAsia" w:ascii="宋体" w:hAnsi="宋体" w:eastAsia="宋体" w:cs="Times New Roman"/>
          <w:b/>
          <w:bCs w:val="0"/>
          <w:szCs w:val="21"/>
        </w:rPr>
        <w:t>招标代理部（</w:t>
      </w:r>
      <w:r>
        <w:rPr>
          <w:rFonts w:hint="eastAsia" w:ascii="宋体" w:hAnsi="宋体" w:eastAsia="宋体" w:cs="Times New Roman"/>
          <w:b/>
          <w:bCs w:val="0"/>
          <w:szCs w:val="21"/>
          <w:lang w:eastAsia="zh-CN"/>
        </w:rPr>
        <w:t>嘉兴市经济技术开发区姚家荡路42号长新农贸市场办公楼5楼501室</w:t>
      </w:r>
      <w:r>
        <w:rPr>
          <w:rFonts w:hint="eastAsia" w:ascii="宋体" w:hAnsi="宋体" w:eastAsia="宋体" w:cs="Times New Roman"/>
          <w:b/>
          <w:bCs w:val="0"/>
          <w:szCs w:val="21"/>
        </w:rPr>
        <w:t>）；收件人：</w:t>
      </w:r>
      <w:r>
        <w:rPr>
          <w:rFonts w:hint="eastAsia" w:ascii="宋体" w:hAnsi="宋体" w:eastAsia="宋体" w:cs="Times New Roman"/>
          <w:b/>
          <w:bCs w:val="0"/>
          <w:szCs w:val="21"/>
          <w:lang w:eastAsia="zh-CN"/>
        </w:rPr>
        <w:t>王宇涵</w:t>
      </w:r>
      <w:r>
        <w:rPr>
          <w:rFonts w:hint="eastAsia" w:ascii="宋体" w:hAnsi="宋体" w:eastAsia="宋体" w:cs="Times New Roman"/>
          <w:b/>
          <w:bCs w:val="0"/>
          <w:szCs w:val="21"/>
        </w:rPr>
        <w:t>；电</w:t>
      </w:r>
      <w:r>
        <w:rPr>
          <w:rFonts w:hint="eastAsia" w:ascii="宋体" w:hAnsi="宋体" w:eastAsia="宋体" w:cs="Times New Roman"/>
          <w:b/>
          <w:bCs w:val="0"/>
          <w:szCs w:val="21"/>
          <w:lang w:val="en-US" w:eastAsia="zh-CN"/>
        </w:rPr>
        <w:t>话：</w:t>
      </w:r>
      <w:r>
        <w:rPr>
          <w:rFonts w:hint="eastAsia" w:ascii="宋体" w:hAnsi="宋体" w:eastAsia="宋体" w:cs="Times New Roman"/>
          <w:b/>
          <w:bCs w:val="0"/>
          <w:szCs w:val="21"/>
          <w:lang w:eastAsia="zh-CN"/>
        </w:rPr>
        <w:t>0573-83626629/17757370605</w:t>
      </w:r>
      <w:r>
        <w:rPr>
          <w:rFonts w:hint="eastAsia" w:ascii="宋体" w:hAnsi="宋体" w:eastAsia="宋体" w:cs="Times New Roman"/>
          <w:b/>
          <w:bCs w:val="0"/>
          <w:szCs w:val="21"/>
        </w:rPr>
        <w:t>；快递寄出同时，项目被授权代表须以邮件方式将快递单号、项目名称、公司名称、被授权代表姓名及联系方式等内容（邮件格式为：</w:t>
      </w:r>
      <w:r>
        <w:rPr>
          <w:rFonts w:hint="eastAsia" w:ascii="宋体" w:hAnsi="宋体" w:eastAsia="宋体" w:cs="Times New Roman"/>
          <w:b/>
          <w:bCs w:val="0"/>
          <w:szCs w:val="21"/>
        </w:rPr>
        <w:fldChar w:fldCharType="begin"/>
      </w:r>
      <w:r>
        <w:rPr>
          <w:rFonts w:hint="eastAsia" w:ascii="宋体" w:hAnsi="宋体" w:eastAsia="宋体" w:cs="Times New Roman"/>
          <w:b/>
          <w:bCs w:val="0"/>
          <w:szCs w:val="21"/>
        </w:rPr>
        <w:instrText xml:space="preserve"> HYPERLINK "mailto:项目编号+快递单号+公司名称+被授权代表姓名及联系方式）发送至代理机构联系人邮箱(2670123384@qq.com)。如供应商选择快递费到付，代理采购机构将拒签。】；" </w:instrText>
      </w:r>
      <w:r>
        <w:rPr>
          <w:rFonts w:hint="eastAsia" w:ascii="宋体" w:hAnsi="宋体" w:eastAsia="宋体" w:cs="Times New Roman"/>
          <w:b/>
          <w:bCs w:val="0"/>
          <w:szCs w:val="21"/>
        </w:rPr>
        <w:fldChar w:fldCharType="separate"/>
      </w:r>
      <w:r>
        <w:rPr>
          <w:rFonts w:hint="eastAsia" w:ascii="宋体" w:hAnsi="宋体" w:eastAsia="宋体" w:cs="Times New Roman"/>
          <w:b/>
          <w:bCs w:val="0"/>
          <w:szCs w:val="21"/>
        </w:rPr>
        <w:t>项目编号+快递单号+公司名称+被授权代表姓名及联系方式）发送至代理机构联系人邮(</w:t>
      </w:r>
      <w:r>
        <w:rPr>
          <w:rFonts w:hint="eastAsia" w:ascii="宋体" w:hAnsi="宋体" w:eastAsia="宋体" w:cs="Times New Roman"/>
          <w:b/>
          <w:bCs w:val="0"/>
          <w:szCs w:val="21"/>
          <w:lang w:eastAsia="zh-CN"/>
        </w:rPr>
        <w:t>2670123384@qq.com</w:t>
      </w:r>
      <w:r>
        <w:rPr>
          <w:rFonts w:hint="eastAsia" w:ascii="宋体" w:hAnsi="宋体" w:eastAsia="宋体" w:cs="Times New Roman"/>
          <w:b/>
          <w:bCs w:val="0"/>
          <w:szCs w:val="21"/>
        </w:rPr>
        <w:t>)。如供应商选择快递费到付，代理采购机构将拒签。】</w:t>
      </w:r>
      <w:r>
        <w:rPr>
          <w:rFonts w:hint="eastAsia" w:ascii="宋体" w:hAnsi="宋体" w:eastAsia="宋体" w:cs="Times New Roman"/>
          <w:b/>
          <w:bCs w:val="0"/>
          <w:szCs w:val="21"/>
        </w:rPr>
        <w:fldChar w:fldCharType="end"/>
      </w:r>
    </w:p>
    <w:p>
      <w:pPr>
        <w:adjustRightInd w:val="0"/>
        <w:snapToGrid w:val="0"/>
        <w:spacing w:line="390" w:lineRule="exact"/>
        <w:ind w:firstLine="422" w:firstLineChars="200"/>
        <w:jc w:val="left"/>
        <w:rPr>
          <w:rFonts w:hint="eastAsia" w:ascii="宋体" w:hAnsi="宋体" w:eastAsia="宋体" w:cs="Times New Roman"/>
          <w:b/>
          <w:bCs w:val="0"/>
          <w:szCs w:val="21"/>
        </w:rPr>
      </w:pPr>
      <w:r>
        <w:rPr>
          <w:rFonts w:hint="eastAsia" w:ascii="宋体" w:hAnsi="宋体" w:eastAsia="宋体" w:cs="Times New Roman"/>
          <w:b/>
          <w:bCs w:val="0"/>
          <w:szCs w:val="21"/>
        </w:rPr>
        <w:t>电子备份磋商响应文件</w:t>
      </w:r>
      <w:r>
        <w:rPr>
          <w:rFonts w:hint="eastAsia" w:ascii="宋体" w:hAnsi="宋体" w:eastAsia="宋体" w:cs="Times New Roman"/>
          <w:b/>
          <w:bCs w:val="0"/>
          <w:szCs w:val="21"/>
          <w:lang w:eastAsia="zh-CN"/>
        </w:rPr>
        <w:t>（</w:t>
      </w:r>
      <w:r>
        <w:rPr>
          <w:rFonts w:hint="eastAsia" w:ascii="宋体" w:hAnsi="宋体" w:eastAsia="宋体" w:cs="Times New Roman"/>
          <w:b/>
          <w:bCs w:val="0"/>
          <w:szCs w:val="21"/>
        </w:rPr>
        <w:t>1份</w:t>
      </w:r>
      <w:r>
        <w:rPr>
          <w:rFonts w:hint="eastAsia" w:ascii="宋体" w:hAnsi="宋体" w:eastAsia="宋体" w:cs="Times New Roman"/>
          <w:b/>
          <w:bCs w:val="0"/>
          <w:szCs w:val="21"/>
          <w:lang w:eastAsia="zh-CN"/>
        </w:rPr>
        <w:t>）</w:t>
      </w:r>
      <w:r>
        <w:rPr>
          <w:rFonts w:hint="eastAsia" w:ascii="宋体" w:hAnsi="宋体" w:eastAsia="宋体" w:cs="Times New Roman"/>
          <w:b/>
          <w:bCs w:val="0"/>
          <w:szCs w:val="21"/>
        </w:rPr>
        <w:t>：投标截止时间前，供应商应将备份磋商响应文件递交至开标地点（邮寄前确保收件时效及收件人情况），以签收时间为准。以便电子加密磋商响应文件解密异常时应急使用。</w:t>
      </w:r>
    </w:p>
    <w:p>
      <w:pPr>
        <w:adjustRightInd w:val="0"/>
        <w:snapToGrid w:val="0"/>
        <w:spacing w:line="390" w:lineRule="exact"/>
        <w:ind w:firstLine="422" w:firstLineChars="200"/>
        <w:jc w:val="left"/>
        <w:rPr>
          <w:rFonts w:hint="eastAsia" w:ascii="宋体" w:hAnsi="宋体" w:eastAsia="宋体" w:cs="Times New Roman"/>
          <w:b/>
          <w:bCs w:val="0"/>
          <w:szCs w:val="21"/>
        </w:rPr>
      </w:pPr>
      <w:r>
        <w:rPr>
          <w:rFonts w:hint="eastAsia" w:ascii="宋体" w:hAnsi="宋体" w:eastAsia="宋体" w:cs="Times New Roman"/>
          <w:b/>
          <w:bCs w:val="0"/>
          <w:szCs w:val="21"/>
        </w:rPr>
        <w:t>纸质备份磋商响应文件：投标截止时间前，纸质备份磋商响应文件将以纸质文件的形式递交，数量为：正本各1份，副本各1份。纸质备份磋商响应文件由资信商务文件、技术文件（含深化设计方案文本）及磋商报价文件两部份组成，提供电子文档一份（光盘/u盘（深化设计方案文本单独提供一个电子U盘并注明为深化设计方案文本））。</w:t>
      </w:r>
      <w:r>
        <w:rPr>
          <w:rFonts w:hint="eastAsia" w:ascii="宋体" w:hAnsi="宋体" w:eastAsia="宋体" w:cs="Times New Roman"/>
          <w:b/>
          <w:bCs w:val="0"/>
          <w:szCs w:val="21"/>
          <w:lang w:eastAsia="zh-CN"/>
        </w:rPr>
        <w:t>（磋商响应文件</w:t>
      </w:r>
      <w:r>
        <w:rPr>
          <w:rFonts w:hint="eastAsia" w:ascii="宋体" w:hAnsi="宋体" w:eastAsia="宋体" w:cs="Times New Roman"/>
          <w:b/>
          <w:bCs w:val="0"/>
          <w:szCs w:val="21"/>
        </w:rPr>
        <w:t>应装订成册（深化设计方案文本可单独装订成册），</w:t>
      </w:r>
      <w:r>
        <w:rPr>
          <w:rFonts w:hint="eastAsia" w:ascii="宋体" w:hAnsi="宋体" w:eastAsia="宋体" w:cs="Times New Roman"/>
          <w:b/>
          <w:bCs w:val="0"/>
          <w:szCs w:val="21"/>
          <w:lang w:eastAsia="zh-CN"/>
        </w:rPr>
        <w:t>供应商</w:t>
      </w:r>
      <w:r>
        <w:rPr>
          <w:rFonts w:hint="eastAsia" w:ascii="宋体" w:hAnsi="宋体" w:eastAsia="宋体" w:cs="Times New Roman"/>
          <w:b/>
          <w:bCs w:val="0"/>
          <w:szCs w:val="21"/>
        </w:rPr>
        <w:t>可根据纸张数量及规格大小(同一</w:t>
      </w:r>
      <w:r>
        <w:rPr>
          <w:rFonts w:hint="eastAsia" w:ascii="宋体" w:hAnsi="宋体" w:eastAsia="宋体" w:cs="Times New Roman"/>
          <w:b/>
          <w:bCs w:val="0"/>
          <w:szCs w:val="21"/>
          <w:lang w:eastAsia="zh-CN"/>
        </w:rPr>
        <w:t>磋商响应文件</w:t>
      </w:r>
      <w:r>
        <w:rPr>
          <w:rFonts w:hint="eastAsia" w:ascii="宋体" w:hAnsi="宋体" w:eastAsia="宋体" w:cs="Times New Roman"/>
          <w:b/>
          <w:bCs w:val="0"/>
          <w:szCs w:val="21"/>
        </w:rPr>
        <w:t>可采用不同规格大小的纸张，但规格超出A3纸幅的折叠成A3纸幅装订)情况分册装订,</w:t>
      </w:r>
      <w:r>
        <w:rPr>
          <w:rFonts w:hint="eastAsia" w:ascii="宋体" w:hAnsi="宋体" w:eastAsia="宋体" w:cs="Times New Roman"/>
          <w:b/>
          <w:bCs w:val="0"/>
          <w:szCs w:val="21"/>
          <w:lang w:eastAsia="zh-CN"/>
        </w:rPr>
        <w:t>供应商</w:t>
      </w:r>
      <w:r>
        <w:rPr>
          <w:rFonts w:hint="eastAsia" w:ascii="宋体" w:hAnsi="宋体" w:eastAsia="宋体" w:cs="Times New Roman"/>
          <w:b/>
          <w:bCs w:val="0"/>
          <w:szCs w:val="21"/>
        </w:rPr>
        <w:t>若选择分册装订的,应在</w:t>
      </w:r>
      <w:r>
        <w:rPr>
          <w:rFonts w:hint="eastAsia" w:ascii="宋体" w:hAnsi="宋体" w:eastAsia="宋体" w:cs="Times New Roman"/>
          <w:b/>
          <w:bCs w:val="0"/>
          <w:szCs w:val="21"/>
          <w:lang w:eastAsia="zh-CN"/>
        </w:rPr>
        <w:t>磋商响应文件</w:t>
      </w:r>
      <w:r>
        <w:rPr>
          <w:rFonts w:hint="eastAsia" w:ascii="宋体" w:hAnsi="宋体" w:eastAsia="宋体" w:cs="Times New Roman"/>
          <w:b/>
          <w:bCs w:val="0"/>
          <w:szCs w:val="21"/>
        </w:rPr>
        <w:t>封面上标明第一(或第二或第三或...)共N册。</w:t>
      </w:r>
      <w:r>
        <w:rPr>
          <w:rFonts w:hint="eastAsia" w:ascii="宋体" w:hAnsi="宋体" w:eastAsia="宋体" w:cs="Times New Roman"/>
          <w:b/>
          <w:bCs w:val="0"/>
          <w:szCs w:val="21"/>
          <w:lang w:eastAsia="zh-CN"/>
        </w:rPr>
        <w:t>磋商响应文件</w:t>
      </w:r>
      <w:r>
        <w:rPr>
          <w:rFonts w:hint="eastAsia" w:ascii="宋体" w:hAnsi="宋体" w:eastAsia="宋体" w:cs="Times New Roman"/>
          <w:b/>
          <w:bCs w:val="0"/>
          <w:szCs w:val="21"/>
        </w:rPr>
        <w:t>不得使用活页夹等可随意拆换的方式装订。提供设计图纸可单独装订成册）分别单独密封，封后并在密封袋上注明投标项目名称、投标单位名称并加盖公章。</w:t>
      </w:r>
    </w:p>
    <w:p>
      <w:pPr>
        <w:adjustRightInd w:val="0"/>
        <w:snapToGrid w:val="0"/>
        <w:spacing w:line="390" w:lineRule="exact"/>
        <w:ind w:firstLine="420" w:firstLineChars="200"/>
        <w:jc w:val="left"/>
        <w:rPr>
          <w:rFonts w:hint="eastAsia" w:ascii="宋体" w:hAnsi="宋体"/>
          <w:bCs/>
          <w:szCs w:val="21"/>
        </w:rPr>
      </w:pPr>
      <w:r>
        <w:rPr>
          <w:rFonts w:hint="eastAsia" w:ascii="宋体" w:hAnsi="宋体"/>
          <w:bCs/>
          <w:szCs w:val="21"/>
        </w:rPr>
        <w:t>⑨响应文件的解密：投标供应商按照平台提示和采购文件的规定在半小时内完成在线解密。通过“政府采购云平台”上传递交的响应文件无法按时解密，投标供应商递交了备份响应文件的，以备份响应文件为依据，否则视为响应文件撤回。通过“政府采购云平台”上传递交的响应文件已按时解密的，备份响应文件自动失效。投标供应商仅提交备份响应文件，没有在电子交易平台传输递交响应文件的，投标无效；</w:t>
      </w:r>
    </w:p>
    <w:p>
      <w:pPr>
        <w:adjustRightInd w:val="0"/>
        <w:snapToGrid w:val="0"/>
        <w:spacing w:line="390" w:lineRule="exact"/>
        <w:ind w:firstLine="420" w:firstLineChars="200"/>
        <w:jc w:val="left"/>
        <w:rPr>
          <w:rFonts w:hint="eastAsia" w:ascii="宋体" w:hAnsi="宋体"/>
          <w:bCs/>
          <w:szCs w:val="21"/>
        </w:rPr>
      </w:pPr>
      <w:r>
        <w:rPr>
          <w:rFonts w:hint="eastAsia" w:ascii="宋体" w:hAnsi="宋体"/>
          <w:bCs/>
          <w:szCs w:val="21"/>
        </w:rPr>
        <w:t>⑩具体操作指南：详见政采云平台“服务中心-帮助文档-项目采购-操作流程-电子招投标-政府采购项目电子交易管理操作指南-供应商”（浙江省“项目采购电子交易系统/不见面开评标”学习专题：https://edu.zcygov.cn/luban/e-biding）。</w:t>
      </w:r>
    </w:p>
    <w:p>
      <w:pPr>
        <w:adjustRightInd w:val="0"/>
        <w:snapToGrid w:val="0"/>
        <w:spacing w:line="390" w:lineRule="exact"/>
        <w:ind w:firstLine="420" w:firstLineChars="200"/>
        <w:jc w:val="left"/>
        <w:rPr>
          <w:rFonts w:hint="eastAsia" w:ascii="宋体" w:hAnsi="宋体"/>
          <w:bCs/>
          <w:szCs w:val="21"/>
        </w:rPr>
      </w:pPr>
      <w:r>
        <w:rPr>
          <w:rFonts w:hint="eastAsia" w:ascii="宋体" w:hAnsi="宋体"/>
          <w:bCs/>
          <w:szCs w:val="21"/>
        </w:rPr>
        <w:t>5.惠企政策</w:t>
      </w:r>
    </w:p>
    <w:p>
      <w:pPr>
        <w:adjustRightInd w:val="0"/>
        <w:snapToGrid w:val="0"/>
        <w:spacing w:line="390" w:lineRule="exact"/>
        <w:ind w:firstLine="420" w:firstLineChars="200"/>
        <w:jc w:val="left"/>
        <w:rPr>
          <w:rFonts w:hint="eastAsia" w:ascii="宋体" w:hAnsi="宋体"/>
          <w:bCs/>
          <w:szCs w:val="21"/>
        </w:rPr>
      </w:pPr>
      <w:r>
        <w:rPr>
          <w:rFonts w:hint="eastAsia" w:ascii="宋体" w:hAnsi="宋体"/>
          <w:bCs/>
          <w:szCs w:val="21"/>
        </w:rPr>
        <w:t>5.1本采购项目，中标供应商与采购人签订的政府采购合同适用于嘉兴市政府采购贷款政策（简称“政采贷”），具体内容可参阅政府采购贷款流程：</w:t>
      </w:r>
    </w:p>
    <w:p>
      <w:pPr>
        <w:adjustRightInd w:val="0"/>
        <w:snapToGrid w:val="0"/>
        <w:spacing w:line="390" w:lineRule="exact"/>
        <w:ind w:firstLine="420" w:firstLineChars="200"/>
        <w:jc w:val="left"/>
        <w:rPr>
          <w:rFonts w:ascii="宋体" w:hAnsi="宋体"/>
          <w:bCs/>
          <w:szCs w:val="21"/>
        </w:rPr>
      </w:pPr>
      <w:r>
        <w:rPr>
          <w:rFonts w:ascii="宋体" w:hAnsi="宋体"/>
          <w:bCs/>
          <w:szCs w:val="21"/>
        </w:rPr>
        <w:t>http://jxszwsjb.jiaxing.gov.cn/zxfw/005001/005001004/20190315/76d484f7-8fac-497f-9359-4df81cc086da.html</w:t>
      </w:r>
    </w:p>
    <w:p>
      <w:pPr>
        <w:adjustRightInd w:val="0"/>
        <w:snapToGrid w:val="0"/>
        <w:spacing w:line="390" w:lineRule="exact"/>
        <w:ind w:firstLine="420" w:firstLineChars="200"/>
        <w:jc w:val="left"/>
        <w:rPr>
          <w:rFonts w:hint="eastAsia" w:ascii="宋体" w:hAnsi="宋体" w:cs="仿宋"/>
          <w:szCs w:val="21"/>
        </w:rPr>
      </w:pPr>
      <w:r>
        <w:rPr>
          <w:rFonts w:hint="eastAsia" w:ascii="宋体" w:hAnsi="宋体"/>
          <w:bCs/>
          <w:szCs w:val="21"/>
        </w:rPr>
        <w:t>5.2本采购项目，中标供应商与采购人签订的政府采购合同适用于浙江省政府采购履约保函政策，具体内容可登录政采云平台（https://www.zcygov.cn/），点击右侧咨询小采。</w:t>
      </w:r>
    </w:p>
    <w:p>
      <w:pPr>
        <w:pStyle w:val="49"/>
        <w:pageBreakBefore w:val="0"/>
        <w:widowControl/>
        <w:kinsoku/>
        <w:wordWrap/>
        <w:overflowPunct/>
        <w:topLinePunct w:val="0"/>
        <w:autoSpaceDE/>
        <w:autoSpaceDN/>
        <w:bidi w:val="0"/>
        <w:adjustRightInd/>
        <w:spacing w:before="204" w:beforeAutospacing="0" w:after="204" w:afterAutospacing="0" w:line="360" w:lineRule="auto"/>
        <w:jc w:val="both"/>
        <w:textAlignment w:val="auto"/>
        <w:rPr>
          <w:rFonts w:cs="宋体"/>
          <w:color w:val="auto"/>
          <w:sz w:val="21"/>
          <w:szCs w:val="21"/>
          <w:highlight w:val="none"/>
        </w:rPr>
      </w:pPr>
      <w:r>
        <w:rPr>
          <w:rStyle w:val="57"/>
          <w:rFonts w:hint="eastAsia" w:cs="宋体"/>
          <w:color w:val="auto"/>
          <w:sz w:val="21"/>
          <w:szCs w:val="21"/>
          <w:highlight w:val="none"/>
        </w:rPr>
        <w:t>七、对本次采购提出询问、质疑、投诉，请按以下方式联系</w:t>
      </w:r>
    </w:p>
    <w:p>
      <w:pPr>
        <w:adjustRightInd w:val="0"/>
        <w:snapToGrid w:val="0"/>
        <w:spacing w:line="390" w:lineRule="exact"/>
        <w:jc w:val="left"/>
        <w:rPr>
          <w:rFonts w:hint="eastAsia" w:ascii="宋体" w:hAnsi="宋体" w:eastAsia="宋体" w:cs="Times New Roman"/>
          <w:bCs/>
          <w:szCs w:val="21"/>
        </w:rPr>
      </w:pPr>
      <w:r>
        <w:rPr>
          <w:rFonts w:hint="eastAsia" w:ascii="宋体" w:hAnsi="宋体" w:eastAsia="宋体" w:cs="Times New Roman"/>
          <w:bCs/>
          <w:szCs w:val="21"/>
        </w:rPr>
        <w:t>1.采购人信息</w:t>
      </w:r>
    </w:p>
    <w:p>
      <w:pPr>
        <w:adjustRightInd w:val="0"/>
        <w:snapToGrid w:val="0"/>
        <w:spacing w:line="390" w:lineRule="exact"/>
        <w:ind w:firstLine="420" w:firstLineChars="200"/>
        <w:jc w:val="left"/>
        <w:rPr>
          <w:rFonts w:hint="eastAsia" w:ascii="宋体" w:hAnsi="宋体" w:eastAsia="宋体" w:cs="Times New Roman"/>
          <w:bCs/>
          <w:szCs w:val="21"/>
        </w:rPr>
      </w:pPr>
      <w:r>
        <w:rPr>
          <w:rFonts w:hint="eastAsia" w:ascii="宋体" w:hAnsi="宋体" w:eastAsia="宋体" w:cs="Times New Roman"/>
          <w:bCs/>
          <w:szCs w:val="21"/>
        </w:rPr>
        <w:t>名   称：</w:t>
      </w:r>
      <w:r>
        <w:rPr>
          <w:rFonts w:hint="eastAsia" w:ascii="宋体" w:hAnsi="宋体" w:eastAsia="宋体" w:cs="Times New Roman"/>
          <w:bCs/>
          <w:szCs w:val="21"/>
          <w:lang w:eastAsia="zh-CN"/>
        </w:rPr>
        <w:t>嘉兴市实验初级中学教育集团</w:t>
      </w:r>
      <w:r>
        <w:rPr>
          <w:rFonts w:hint="eastAsia" w:ascii="宋体" w:hAnsi="宋体" w:eastAsia="宋体" w:cs="Times New Roman"/>
          <w:bCs/>
          <w:szCs w:val="21"/>
        </w:rPr>
        <w:t xml:space="preserve">  </w:t>
      </w:r>
    </w:p>
    <w:p>
      <w:pPr>
        <w:adjustRightInd w:val="0"/>
        <w:snapToGrid w:val="0"/>
        <w:spacing w:line="390" w:lineRule="exact"/>
        <w:ind w:firstLine="420" w:firstLineChars="200"/>
        <w:jc w:val="left"/>
        <w:rPr>
          <w:rFonts w:hint="default" w:ascii="宋体" w:hAnsi="宋体" w:eastAsia="宋体" w:cs="Times New Roman"/>
          <w:bCs/>
          <w:szCs w:val="21"/>
          <w:lang w:val="en-US" w:eastAsia="zh-CN"/>
        </w:rPr>
      </w:pPr>
      <w:r>
        <w:rPr>
          <w:rFonts w:hint="eastAsia" w:ascii="宋体" w:hAnsi="宋体" w:eastAsia="宋体" w:cs="Times New Roman"/>
          <w:bCs/>
          <w:szCs w:val="21"/>
        </w:rPr>
        <w:t>地  址：嘉兴市南湖区</w:t>
      </w:r>
      <w:r>
        <w:rPr>
          <w:rFonts w:hint="eastAsia" w:ascii="宋体" w:hAnsi="宋体" w:eastAsia="宋体" w:cs="Times New Roman"/>
          <w:bCs/>
          <w:szCs w:val="21"/>
          <w:lang w:val="en-US" w:eastAsia="zh-CN"/>
        </w:rPr>
        <w:t>环城南路611号</w:t>
      </w:r>
    </w:p>
    <w:p>
      <w:pPr>
        <w:adjustRightInd w:val="0"/>
        <w:snapToGrid w:val="0"/>
        <w:spacing w:line="390" w:lineRule="exact"/>
        <w:ind w:firstLine="420" w:firstLineChars="200"/>
        <w:jc w:val="left"/>
        <w:rPr>
          <w:rFonts w:hint="eastAsia" w:ascii="宋体" w:hAnsi="宋体" w:eastAsia="宋体" w:cs="Times New Roman"/>
          <w:bCs/>
          <w:szCs w:val="21"/>
        </w:rPr>
      </w:pPr>
      <w:r>
        <w:rPr>
          <w:rFonts w:hint="eastAsia" w:ascii="宋体" w:hAnsi="宋体" w:eastAsia="宋体" w:cs="Times New Roman"/>
          <w:bCs/>
          <w:szCs w:val="21"/>
        </w:rPr>
        <w:t>传   真：  /</w:t>
      </w:r>
    </w:p>
    <w:p>
      <w:pPr>
        <w:adjustRightInd w:val="0"/>
        <w:snapToGrid w:val="0"/>
        <w:spacing w:line="390" w:lineRule="exact"/>
        <w:ind w:firstLine="420" w:firstLineChars="200"/>
        <w:jc w:val="left"/>
        <w:rPr>
          <w:rFonts w:hint="eastAsia" w:ascii="宋体" w:hAnsi="宋体" w:eastAsia="宋体" w:cs="Times New Roman"/>
          <w:bCs/>
          <w:szCs w:val="21"/>
        </w:rPr>
      </w:pPr>
      <w:r>
        <w:rPr>
          <w:rFonts w:hint="eastAsia" w:ascii="宋体" w:hAnsi="宋体" w:eastAsia="宋体" w:cs="Times New Roman"/>
          <w:bCs/>
          <w:szCs w:val="21"/>
        </w:rPr>
        <w:t>项目联系人（询问）：</w:t>
      </w:r>
      <w:r>
        <w:rPr>
          <w:rFonts w:hint="eastAsia" w:ascii="宋体" w:hAnsi="宋体" w:eastAsia="宋体" w:cs="Times New Roman"/>
          <w:bCs/>
          <w:szCs w:val="21"/>
          <w:lang w:val="en-US" w:eastAsia="zh-CN"/>
        </w:rPr>
        <w:t>周老师</w:t>
      </w:r>
      <w:r>
        <w:rPr>
          <w:rFonts w:hint="eastAsia" w:ascii="宋体" w:hAnsi="宋体" w:eastAsia="宋体" w:cs="Times New Roman"/>
          <w:bCs/>
          <w:szCs w:val="21"/>
        </w:rPr>
        <w:t xml:space="preserve">  </w:t>
      </w:r>
    </w:p>
    <w:p>
      <w:pPr>
        <w:adjustRightInd w:val="0"/>
        <w:snapToGrid w:val="0"/>
        <w:spacing w:line="390" w:lineRule="exact"/>
        <w:ind w:firstLine="420" w:firstLineChars="200"/>
        <w:jc w:val="left"/>
        <w:rPr>
          <w:rFonts w:hint="default" w:ascii="宋体" w:hAnsi="宋体" w:eastAsia="宋体" w:cs="Times New Roman"/>
          <w:bCs/>
          <w:szCs w:val="21"/>
          <w:lang w:val="en-US"/>
        </w:rPr>
      </w:pPr>
      <w:r>
        <w:rPr>
          <w:rFonts w:hint="eastAsia" w:ascii="宋体" w:hAnsi="宋体" w:eastAsia="宋体" w:cs="Times New Roman"/>
          <w:bCs/>
          <w:szCs w:val="21"/>
        </w:rPr>
        <w:t>项目联系方式（询问）：</w:t>
      </w:r>
      <w:r>
        <w:rPr>
          <w:rFonts w:hint="eastAsia" w:ascii="宋体" w:hAnsi="宋体" w:eastAsia="宋体" w:cs="Times New Roman"/>
          <w:bCs/>
          <w:szCs w:val="21"/>
          <w:lang w:val="en-US" w:eastAsia="zh-CN"/>
        </w:rPr>
        <w:t xml:space="preserve">0573-83387145 </w:t>
      </w:r>
    </w:p>
    <w:p>
      <w:pPr>
        <w:adjustRightInd w:val="0"/>
        <w:snapToGrid w:val="0"/>
        <w:spacing w:line="390" w:lineRule="exact"/>
        <w:ind w:firstLine="420" w:firstLineChars="200"/>
        <w:jc w:val="left"/>
        <w:rPr>
          <w:rFonts w:hint="eastAsia" w:ascii="宋体" w:hAnsi="宋体" w:eastAsia="宋体" w:cs="Times New Roman"/>
          <w:bCs/>
          <w:szCs w:val="21"/>
        </w:rPr>
      </w:pPr>
      <w:r>
        <w:rPr>
          <w:rFonts w:hint="eastAsia" w:ascii="宋体" w:hAnsi="宋体" w:eastAsia="宋体" w:cs="Times New Roman"/>
          <w:bCs/>
          <w:szCs w:val="21"/>
        </w:rPr>
        <w:t>质疑联系人：</w:t>
      </w:r>
      <w:r>
        <w:rPr>
          <w:rFonts w:hint="eastAsia" w:ascii="宋体" w:hAnsi="宋体" w:eastAsia="宋体" w:cs="Times New Roman"/>
          <w:bCs/>
          <w:szCs w:val="21"/>
          <w:lang w:val="en-US" w:eastAsia="zh-CN"/>
        </w:rPr>
        <w:t>周老师</w:t>
      </w:r>
      <w:r>
        <w:rPr>
          <w:rFonts w:hint="eastAsia" w:ascii="宋体" w:hAnsi="宋体" w:eastAsia="宋体" w:cs="Times New Roman"/>
          <w:bCs/>
          <w:szCs w:val="21"/>
        </w:rPr>
        <w:t xml:space="preserve"> </w:t>
      </w:r>
      <w:r>
        <w:rPr>
          <w:rFonts w:hint="eastAsia" w:ascii="宋体" w:hAnsi="宋体" w:eastAsia="宋体" w:cs="Times New Roman"/>
          <w:bCs/>
          <w:szCs w:val="21"/>
        </w:rPr>
        <w:t xml:space="preserve"> </w:t>
      </w:r>
    </w:p>
    <w:p>
      <w:pPr>
        <w:adjustRightInd w:val="0"/>
        <w:snapToGrid w:val="0"/>
        <w:spacing w:line="390" w:lineRule="exact"/>
        <w:ind w:firstLine="420" w:firstLineChars="200"/>
        <w:jc w:val="left"/>
        <w:rPr>
          <w:rFonts w:hint="eastAsia" w:ascii="宋体" w:hAnsi="宋体" w:eastAsia="宋体" w:cs="Times New Roman"/>
          <w:bCs/>
          <w:szCs w:val="21"/>
          <w:lang w:val="en-US" w:eastAsia="zh-CN"/>
        </w:rPr>
      </w:pPr>
      <w:r>
        <w:rPr>
          <w:rFonts w:hint="eastAsia" w:ascii="宋体" w:hAnsi="宋体" w:eastAsia="宋体" w:cs="Times New Roman"/>
          <w:bCs/>
          <w:szCs w:val="21"/>
        </w:rPr>
        <w:t>质疑联系方式：</w:t>
      </w:r>
      <w:r>
        <w:rPr>
          <w:rFonts w:hint="eastAsia" w:ascii="宋体" w:hAnsi="宋体" w:eastAsia="宋体" w:cs="Times New Roman"/>
          <w:bCs/>
          <w:szCs w:val="21"/>
          <w:lang w:val="en-US" w:eastAsia="zh-CN"/>
        </w:rPr>
        <w:t xml:space="preserve">0573-83387145 </w:t>
      </w:r>
    </w:p>
    <w:p>
      <w:pPr>
        <w:adjustRightInd w:val="0"/>
        <w:snapToGrid w:val="0"/>
        <w:spacing w:line="390" w:lineRule="exact"/>
        <w:jc w:val="left"/>
        <w:rPr>
          <w:rFonts w:hint="eastAsia" w:ascii="宋体" w:hAnsi="宋体" w:eastAsia="宋体" w:cs="Times New Roman"/>
          <w:bCs/>
          <w:szCs w:val="21"/>
        </w:rPr>
      </w:pPr>
      <w:r>
        <w:rPr>
          <w:rFonts w:hint="eastAsia" w:ascii="宋体" w:hAnsi="宋体" w:eastAsia="宋体" w:cs="Times New Roman"/>
          <w:bCs/>
          <w:szCs w:val="21"/>
        </w:rPr>
        <w:t>2.采购代理机构信息            </w:t>
      </w:r>
    </w:p>
    <w:p>
      <w:pPr>
        <w:adjustRightInd w:val="0"/>
        <w:snapToGrid w:val="0"/>
        <w:spacing w:line="390" w:lineRule="exact"/>
        <w:ind w:firstLine="420" w:firstLineChars="200"/>
        <w:jc w:val="left"/>
        <w:rPr>
          <w:rFonts w:hint="eastAsia" w:ascii="宋体" w:hAnsi="宋体" w:eastAsia="宋体" w:cs="Times New Roman"/>
          <w:bCs/>
          <w:szCs w:val="21"/>
        </w:rPr>
      </w:pPr>
      <w:r>
        <w:rPr>
          <w:rFonts w:hint="eastAsia" w:ascii="宋体" w:hAnsi="宋体" w:eastAsia="宋体" w:cs="Times New Roman"/>
          <w:bCs/>
          <w:szCs w:val="21"/>
        </w:rPr>
        <w:t>名   称：</w:t>
      </w:r>
      <w:r>
        <w:rPr>
          <w:rFonts w:hint="eastAsia" w:ascii="宋体" w:hAnsi="宋体" w:eastAsia="宋体" w:cs="Times New Roman"/>
          <w:bCs/>
          <w:szCs w:val="21"/>
          <w:lang w:eastAsia="zh-CN"/>
        </w:rPr>
        <w:t>浙江富力诚欣工程顾问有限公司</w:t>
      </w:r>
      <w:r>
        <w:rPr>
          <w:rFonts w:hint="eastAsia" w:ascii="宋体" w:hAnsi="宋体" w:eastAsia="宋体" w:cs="Times New Roman"/>
          <w:bCs/>
          <w:szCs w:val="21"/>
        </w:rPr>
        <w:t>             </w:t>
      </w:r>
    </w:p>
    <w:p>
      <w:pPr>
        <w:adjustRightInd w:val="0"/>
        <w:snapToGrid w:val="0"/>
        <w:spacing w:line="390" w:lineRule="exact"/>
        <w:ind w:firstLine="420" w:firstLineChars="200"/>
        <w:jc w:val="left"/>
        <w:rPr>
          <w:rFonts w:hint="eastAsia" w:ascii="宋体" w:hAnsi="宋体" w:eastAsia="宋体" w:cs="Times New Roman"/>
          <w:bCs/>
          <w:szCs w:val="21"/>
        </w:rPr>
      </w:pPr>
      <w:r>
        <w:rPr>
          <w:rFonts w:hint="eastAsia" w:ascii="宋体" w:hAnsi="宋体" w:eastAsia="宋体" w:cs="Times New Roman"/>
          <w:bCs/>
          <w:szCs w:val="21"/>
        </w:rPr>
        <w:t>地   址：</w:t>
      </w:r>
      <w:r>
        <w:rPr>
          <w:rFonts w:hint="eastAsia" w:ascii="宋体" w:hAnsi="宋体" w:eastAsia="宋体" w:cs="Times New Roman"/>
          <w:bCs/>
          <w:szCs w:val="21"/>
          <w:lang w:eastAsia="zh-CN"/>
        </w:rPr>
        <w:t>嘉兴市经济技术开发区姚家荡路42号长新农贸市场办公楼5楼</w:t>
      </w:r>
    </w:p>
    <w:p>
      <w:pPr>
        <w:adjustRightInd w:val="0"/>
        <w:snapToGrid w:val="0"/>
        <w:spacing w:line="390" w:lineRule="exact"/>
        <w:ind w:firstLine="420" w:firstLineChars="200"/>
        <w:jc w:val="left"/>
        <w:rPr>
          <w:rFonts w:hint="eastAsia" w:ascii="宋体" w:hAnsi="宋体" w:eastAsia="宋体" w:cs="Times New Roman"/>
          <w:bCs/>
          <w:szCs w:val="21"/>
        </w:rPr>
      </w:pPr>
      <w:r>
        <w:rPr>
          <w:rFonts w:hint="eastAsia" w:ascii="宋体" w:hAnsi="宋体" w:eastAsia="宋体" w:cs="Times New Roman"/>
          <w:bCs/>
          <w:szCs w:val="21"/>
        </w:rPr>
        <w:t>传   真： /            </w:t>
      </w:r>
    </w:p>
    <w:p>
      <w:pPr>
        <w:adjustRightInd w:val="0"/>
        <w:snapToGrid w:val="0"/>
        <w:spacing w:line="390" w:lineRule="exact"/>
        <w:ind w:firstLine="420" w:firstLineChars="200"/>
        <w:jc w:val="left"/>
        <w:rPr>
          <w:rFonts w:hint="eastAsia" w:ascii="宋体" w:hAnsi="宋体" w:eastAsia="宋体" w:cs="Times New Roman"/>
          <w:bCs/>
          <w:szCs w:val="21"/>
        </w:rPr>
      </w:pPr>
      <w:r>
        <w:rPr>
          <w:rFonts w:hint="eastAsia" w:ascii="宋体" w:hAnsi="宋体" w:eastAsia="宋体" w:cs="Times New Roman"/>
          <w:bCs/>
          <w:szCs w:val="21"/>
        </w:rPr>
        <w:t>项目联系人（询问）：</w:t>
      </w:r>
      <w:r>
        <w:rPr>
          <w:rFonts w:hint="eastAsia" w:ascii="宋体" w:hAnsi="宋体" w:eastAsia="宋体" w:cs="Times New Roman"/>
          <w:bCs/>
          <w:szCs w:val="21"/>
          <w:lang w:val="en-US" w:eastAsia="zh-CN"/>
        </w:rPr>
        <w:t>王宇涵</w:t>
      </w:r>
      <w:r>
        <w:rPr>
          <w:rFonts w:hint="eastAsia" w:ascii="宋体" w:hAnsi="宋体" w:eastAsia="宋体" w:cs="Times New Roman"/>
          <w:bCs/>
          <w:szCs w:val="21"/>
        </w:rPr>
        <w:t>              </w:t>
      </w:r>
    </w:p>
    <w:p>
      <w:pPr>
        <w:adjustRightInd w:val="0"/>
        <w:snapToGrid w:val="0"/>
        <w:spacing w:line="390" w:lineRule="exact"/>
        <w:ind w:firstLine="420" w:firstLineChars="200"/>
        <w:jc w:val="left"/>
        <w:rPr>
          <w:rFonts w:hint="eastAsia" w:ascii="宋体" w:hAnsi="宋体" w:eastAsia="宋体" w:cs="Times New Roman"/>
          <w:bCs/>
          <w:szCs w:val="21"/>
          <w:lang w:val="en-US" w:eastAsia="zh-CN"/>
        </w:rPr>
      </w:pPr>
      <w:r>
        <w:rPr>
          <w:rFonts w:hint="eastAsia" w:ascii="宋体" w:hAnsi="宋体" w:eastAsia="宋体" w:cs="Times New Roman"/>
          <w:bCs/>
          <w:szCs w:val="21"/>
        </w:rPr>
        <w:t>项目联系方式（询问）：</w:t>
      </w:r>
      <w:r>
        <w:rPr>
          <w:rFonts w:hint="eastAsia" w:ascii="宋体" w:hAnsi="宋体" w:eastAsia="宋体" w:cs="Times New Roman"/>
          <w:bCs/>
          <w:szCs w:val="21"/>
          <w:lang w:eastAsia="zh-CN"/>
        </w:rPr>
        <w:t>0573-</w:t>
      </w:r>
      <w:r>
        <w:rPr>
          <w:rFonts w:hint="eastAsia" w:ascii="宋体" w:hAnsi="宋体" w:eastAsia="宋体" w:cs="Times New Roman"/>
          <w:bCs/>
          <w:szCs w:val="21"/>
          <w:lang w:val="en-US" w:eastAsia="zh-CN"/>
        </w:rPr>
        <w:t>83626629/17757370605</w:t>
      </w:r>
    </w:p>
    <w:p>
      <w:pPr>
        <w:adjustRightInd w:val="0"/>
        <w:snapToGrid w:val="0"/>
        <w:spacing w:line="390" w:lineRule="exact"/>
        <w:ind w:firstLine="420" w:firstLineChars="200"/>
        <w:jc w:val="left"/>
        <w:rPr>
          <w:rFonts w:hint="eastAsia" w:ascii="宋体" w:hAnsi="宋体" w:eastAsia="宋体" w:cs="Times New Roman"/>
          <w:bCs/>
          <w:szCs w:val="21"/>
        </w:rPr>
      </w:pPr>
      <w:r>
        <w:rPr>
          <w:rFonts w:hint="eastAsia" w:ascii="宋体" w:hAnsi="宋体" w:eastAsia="宋体" w:cs="Times New Roman"/>
          <w:bCs/>
          <w:szCs w:val="21"/>
        </w:rPr>
        <w:t>质疑联系人：</w:t>
      </w:r>
      <w:r>
        <w:rPr>
          <w:rFonts w:hint="eastAsia" w:ascii="宋体" w:hAnsi="宋体" w:eastAsia="宋体" w:cs="Times New Roman"/>
          <w:bCs/>
          <w:szCs w:val="21"/>
          <w:lang w:val="en-US" w:eastAsia="zh-CN"/>
        </w:rPr>
        <w:t>孙</w:t>
      </w:r>
      <w:r>
        <w:rPr>
          <w:rFonts w:hint="eastAsia" w:ascii="宋体" w:hAnsi="宋体" w:eastAsia="宋体" w:cs="Times New Roman"/>
          <w:bCs/>
          <w:szCs w:val="21"/>
        </w:rPr>
        <w:t>女士             </w:t>
      </w:r>
    </w:p>
    <w:p>
      <w:pPr>
        <w:adjustRightInd w:val="0"/>
        <w:snapToGrid w:val="0"/>
        <w:spacing w:line="390" w:lineRule="exact"/>
        <w:ind w:firstLine="420" w:firstLineChars="200"/>
        <w:jc w:val="left"/>
        <w:rPr>
          <w:rFonts w:hint="eastAsia" w:ascii="宋体" w:hAnsi="宋体" w:eastAsia="宋体" w:cs="Times New Roman"/>
          <w:bCs/>
          <w:szCs w:val="21"/>
        </w:rPr>
      </w:pPr>
      <w:r>
        <w:rPr>
          <w:rFonts w:hint="eastAsia" w:ascii="宋体" w:hAnsi="宋体" w:eastAsia="宋体" w:cs="Times New Roman"/>
          <w:bCs/>
          <w:szCs w:val="21"/>
        </w:rPr>
        <w:t>质疑联系方式：</w:t>
      </w:r>
      <w:r>
        <w:rPr>
          <w:rFonts w:hint="eastAsia" w:ascii="宋体" w:hAnsi="宋体" w:eastAsia="宋体" w:cs="Times New Roman"/>
          <w:bCs/>
          <w:szCs w:val="21"/>
          <w:lang w:eastAsia="zh-CN"/>
        </w:rPr>
        <w:t>0573-</w:t>
      </w:r>
      <w:r>
        <w:rPr>
          <w:rFonts w:hint="eastAsia" w:ascii="宋体" w:hAnsi="宋体" w:eastAsia="宋体" w:cs="Times New Roman"/>
          <w:bCs/>
          <w:szCs w:val="21"/>
          <w:lang w:val="en-US" w:eastAsia="zh-CN"/>
        </w:rPr>
        <w:t>83626635</w:t>
      </w:r>
    </w:p>
    <w:p>
      <w:pPr>
        <w:adjustRightInd w:val="0"/>
        <w:snapToGrid w:val="0"/>
        <w:spacing w:line="390" w:lineRule="exact"/>
        <w:ind w:firstLine="420" w:firstLineChars="200"/>
        <w:jc w:val="left"/>
        <w:rPr>
          <w:rFonts w:hint="eastAsia" w:ascii="宋体" w:hAnsi="宋体"/>
          <w:bCs/>
          <w:szCs w:val="21"/>
        </w:rPr>
      </w:pPr>
      <w:r>
        <w:rPr>
          <w:rFonts w:hint="eastAsia" w:cs="宋体"/>
          <w:color w:val="auto"/>
          <w:sz w:val="21"/>
          <w:szCs w:val="21"/>
          <w:highlight w:val="none"/>
        </w:rPr>
        <w:t> </w:t>
      </w:r>
      <w:r>
        <w:rPr>
          <w:rFonts w:hint="eastAsia" w:ascii="宋体" w:hAnsi="宋体"/>
          <w:bCs/>
          <w:szCs w:val="21"/>
        </w:rPr>
        <w:t>若对项目采购电子交易系统操作有疑问，可登录政采云（https://www.zcygov.cn/），点击右侧咨询小采，获取采小蜜智能服务管家帮助，或拨打政采云服务热线</w:t>
      </w:r>
      <w:r>
        <w:rPr>
          <w:rFonts w:ascii="宋体" w:hAnsi="宋体"/>
          <w:bCs/>
          <w:szCs w:val="21"/>
        </w:rPr>
        <w:t>95763</w:t>
      </w:r>
      <w:r>
        <w:rPr>
          <w:rFonts w:hint="eastAsia" w:ascii="宋体" w:hAnsi="宋体"/>
          <w:bCs/>
          <w:szCs w:val="21"/>
        </w:rPr>
        <w:t>获取热线服务帮助。</w:t>
      </w:r>
    </w:p>
    <w:p>
      <w:pPr>
        <w:adjustRightInd w:val="0"/>
        <w:snapToGrid w:val="0"/>
        <w:spacing w:line="390" w:lineRule="exact"/>
        <w:ind w:firstLine="420" w:firstLineChars="200"/>
        <w:jc w:val="left"/>
        <w:rPr>
          <w:rFonts w:ascii="宋体" w:hAnsi="宋体"/>
          <w:bCs/>
          <w:szCs w:val="21"/>
        </w:rPr>
      </w:pPr>
      <w:r>
        <w:rPr>
          <w:rFonts w:hint="eastAsia" w:ascii="宋体" w:hAnsi="宋体"/>
          <w:bCs/>
          <w:szCs w:val="21"/>
        </w:rPr>
        <w:t>CA问题联系电话（人工）：汇信CA 400-888-4636；天谷CA 400-087-8198。</w:t>
      </w:r>
    </w:p>
    <w:p>
      <w:pPr>
        <w:pStyle w:val="49"/>
        <w:pageBreakBefore w:val="0"/>
        <w:widowControl/>
        <w:kinsoku/>
        <w:wordWrap/>
        <w:overflowPunct/>
        <w:topLinePunct w:val="0"/>
        <w:autoSpaceDE/>
        <w:autoSpaceDN/>
        <w:bidi w:val="0"/>
        <w:adjustRightInd/>
        <w:spacing w:before="60" w:beforeAutospacing="0" w:after="60" w:afterAutospacing="0" w:line="360" w:lineRule="auto"/>
        <w:textAlignment w:val="auto"/>
        <w:rPr>
          <w:rFonts w:cs="宋体"/>
          <w:color w:val="auto"/>
          <w:sz w:val="21"/>
          <w:szCs w:val="21"/>
          <w:highlight w:val="none"/>
        </w:rPr>
      </w:pPr>
    </w:p>
    <w:p>
      <w:pPr>
        <w:pageBreakBefore w:val="0"/>
        <w:widowControl/>
        <w:kinsoku/>
        <w:wordWrap/>
        <w:overflowPunct/>
        <w:topLinePunct w:val="0"/>
        <w:autoSpaceDE/>
        <w:autoSpaceDN/>
        <w:bidi w:val="0"/>
        <w:adjustRightInd/>
        <w:snapToGrid w:val="0"/>
        <w:spacing w:before="100" w:beforeAutospacing="1" w:after="100" w:afterAutospacing="1" w:line="360" w:lineRule="auto"/>
        <w:contextualSpacing/>
        <w:textAlignment w:val="auto"/>
        <w:rPr>
          <w:rFonts w:ascii="宋体" w:hAnsi="宋体" w:cs="宋体"/>
          <w:color w:val="auto"/>
          <w:sz w:val="21"/>
          <w:szCs w:val="21"/>
          <w:highlight w:val="none"/>
        </w:rPr>
      </w:pPr>
    </w:p>
    <w:p>
      <w:pPr>
        <w:pStyle w:val="2"/>
        <w:rPr>
          <w:rFonts w:ascii="宋体" w:hAnsi="宋体" w:cs="宋体"/>
          <w:color w:val="auto"/>
          <w:sz w:val="21"/>
          <w:szCs w:val="21"/>
          <w:highlight w:val="none"/>
        </w:rPr>
      </w:pPr>
    </w:p>
    <w:p>
      <w:pPr>
        <w:pStyle w:val="2"/>
        <w:rPr>
          <w:rFonts w:ascii="宋体" w:hAnsi="宋体" w:cs="宋体"/>
          <w:color w:val="auto"/>
          <w:sz w:val="21"/>
          <w:szCs w:val="21"/>
          <w:highlight w:val="none"/>
        </w:rPr>
      </w:pPr>
    </w:p>
    <w:p>
      <w:pPr>
        <w:pStyle w:val="2"/>
        <w:rPr>
          <w:rFonts w:ascii="宋体" w:hAnsi="宋体" w:cs="宋体"/>
          <w:color w:val="auto"/>
          <w:sz w:val="21"/>
          <w:szCs w:val="21"/>
          <w:highlight w:val="none"/>
        </w:rPr>
      </w:pPr>
    </w:p>
    <w:p>
      <w:pPr>
        <w:pStyle w:val="2"/>
        <w:rPr>
          <w:rFonts w:ascii="宋体" w:hAnsi="宋体" w:cs="宋体"/>
          <w:color w:val="auto"/>
          <w:sz w:val="21"/>
          <w:szCs w:val="21"/>
          <w:highlight w:val="none"/>
        </w:rPr>
      </w:pPr>
    </w:p>
    <w:p>
      <w:pPr>
        <w:pStyle w:val="2"/>
        <w:rPr>
          <w:rFonts w:ascii="宋体" w:hAnsi="宋体" w:cs="宋体"/>
          <w:color w:val="auto"/>
          <w:sz w:val="21"/>
          <w:szCs w:val="21"/>
          <w:highlight w:val="none"/>
        </w:rPr>
      </w:pPr>
    </w:p>
    <w:p>
      <w:pPr>
        <w:pStyle w:val="2"/>
        <w:rPr>
          <w:rFonts w:ascii="宋体" w:hAnsi="宋体" w:cs="宋体"/>
          <w:color w:val="auto"/>
          <w:sz w:val="21"/>
          <w:szCs w:val="21"/>
          <w:highlight w:val="none"/>
        </w:rPr>
      </w:pPr>
    </w:p>
    <w:p>
      <w:pPr>
        <w:pStyle w:val="2"/>
        <w:rPr>
          <w:rFonts w:ascii="宋体" w:hAnsi="宋体" w:cs="宋体"/>
          <w:color w:val="auto"/>
          <w:sz w:val="21"/>
          <w:szCs w:val="21"/>
          <w:highlight w:val="none"/>
        </w:rPr>
      </w:pPr>
    </w:p>
    <w:p>
      <w:pPr>
        <w:pStyle w:val="2"/>
        <w:rPr>
          <w:rFonts w:ascii="宋体" w:hAnsi="宋体" w:cs="宋体"/>
          <w:color w:val="auto"/>
          <w:sz w:val="21"/>
          <w:szCs w:val="21"/>
          <w:highlight w:val="none"/>
        </w:rPr>
      </w:pPr>
    </w:p>
    <w:p>
      <w:pPr>
        <w:pStyle w:val="2"/>
        <w:rPr>
          <w:rFonts w:ascii="宋体" w:hAnsi="宋体" w:cs="宋体"/>
          <w:color w:val="auto"/>
          <w:sz w:val="21"/>
          <w:szCs w:val="21"/>
          <w:highlight w:val="none"/>
        </w:rPr>
      </w:pPr>
    </w:p>
    <w:p>
      <w:pPr>
        <w:pStyle w:val="2"/>
        <w:rPr>
          <w:rFonts w:ascii="宋体" w:hAnsi="宋体" w:cs="宋体"/>
          <w:color w:val="auto"/>
          <w:sz w:val="21"/>
          <w:szCs w:val="21"/>
          <w:highlight w:val="none"/>
        </w:rPr>
      </w:pPr>
    </w:p>
    <w:p>
      <w:pPr>
        <w:pStyle w:val="2"/>
        <w:rPr>
          <w:rFonts w:ascii="宋体" w:hAnsi="宋体" w:cs="宋体"/>
          <w:color w:val="auto"/>
          <w:sz w:val="21"/>
          <w:szCs w:val="21"/>
          <w:highlight w:val="none"/>
        </w:rPr>
      </w:pPr>
    </w:p>
    <w:p>
      <w:pPr>
        <w:pStyle w:val="2"/>
        <w:rPr>
          <w:rFonts w:ascii="宋体" w:hAnsi="宋体" w:cs="宋体"/>
          <w:color w:val="auto"/>
          <w:sz w:val="21"/>
          <w:szCs w:val="21"/>
          <w:highlight w:val="none"/>
        </w:rPr>
      </w:pPr>
    </w:p>
    <w:p>
      <w:pPr>
        <w:pStyle w:val="2"/>
        <w:rPr>
          <w:rFonts w:ascii="宋体" w:hAnsi="宋体" w:cs="宋体"/>
          <w:color w:val="auto"/>
          <w:sz w:val="21"/>
          <w:szCs w:val="21"/>
          <w:highlight w:val="none"/>
        </w:rPr>
      </w:pPr>
    </w:p>
    <w:p>
      <w:pPr>
        <w:pStyle w:val="2"/>
        <w:rPr>
          <w:rFonts w:ascii="宋体" w:hAnsi="宋体" w:cs="宋体"/>
          <w:color w:val="auto"/>
          <w:sz w:val="21"/>
          <w:szCs w:val="21"/>
          <w:highlight w:val="none"/>
        </w:rPr>
      </w:pPr>
    </w:p>
    <w:p>
      <w:pPr>
        <w:pStyle w:val="3"/>
        <w:keepNext w:val="0"/>
        <w:keepLines w:val="0"/>
        <w:numPr>
          <w:ilvl w:val="0"/>
          <w:numId w:val="3"/>
        </w:numPr>
        <w:jc w:val="center"/>
        <w:rPr>
          <w:rFonts w:hAnsi="宋体"/>
          <w:bCs/>
          <w:color w:val="auto"/>
          <w:kern w:val="2"/>
          <w:sz w:val="21"/>
          <w:szCs w:val="21"/>
          <w:highlight w:val="none"/>
        </w:rPr>
      </w:pPr>
      <w:bookmarkStart w:id="15" w:name="_Toc5218"/>
      <w:bookmarkStart w:id="16" w:name="_Toc31529"/>
      <w:bookmarkStart w:id="17" w:name="_Toc528441152"/>
      <w:r>
        <w:rPr>
          <w:rFonts w:hint="eastAsia" w:hAnsi="宋体"/>
          <w:bCs/>
          <w:color w:val="auto"/>
          <w:kern w:val="2"/>
          <w:sz w:val="21"/>
          <w:szCs w:val="21"/>
          <w:highlight w:val="none"/>
        </w:rPr>
        <w:t xml:space="preserve">  </w:t>
      </w:r>
      <w:bookmarkStart w:id="18" w:name="_Toc9634"/>
      <w:r>
        <w:rPr>
          <w:rFonts w:hint="eastAsia" w:hAnsi="宋体"/>
          <w:bCs/>
          <w:color w:val="auto"/>
          <w:kern w:val="2"/>
          <w:sz w:val="21"/>
          <w:szCs w:val="21"/>
          <w:highlight w:val="none"/>
        </w:rPr>
        <w:t>磋商需求</w:t>
      </w:r>
      <w:bookmarkEnd w:id="18"/>
    </w:p>
    <w:p>
      <w:pPr>
        <w:pStyle w:val="29"/>
        <w:snapToGrid w:val="0"/>
        <w:spacing w:line="360" w:lineRule="auto"/>
        <w:ind w:firstLine="482" w:firstLineChars="200"/>
        <w:jc w:val="left"/>
        <w:rPr>
          <w:rFonts w:hAnsi="宋体"/>
          <w:b/>
          <w:bCs/>
          <w:color w:val="auto"/>
          <w:sz w:val="24"/>
          <w:szCs w:val="24"/>
          <w:highlight w:val="none"/>
        </w:rPr>
      </w:pPr>
      <w:r>
        <w:rPr>
          <w:rFonts w:hint="eastAsia" w:hAnsi="宋体"/>
          <w:b/>
          <w:bCs/>
          <w:color w:val="auto"/>
          <w:sz w:val="24"/>
          <w:szCs w:val="24"/>
          <w:highlight w:val="none"/>
        </w:rPr>
        <w:t>一、项目概况</w:t>
      </w:r>
    </w:p>
    <w:p>
      <w:pPr>
        <w:pStyle w:val="29"/>
        <w:snapToGrid w:val="0"/>
        <w:spacing w:line="360" w:lineRule="auto"/>
        <w:ind w:firstLine="420" w:firstLineChars="200"/>
        <w:jc w:val="left"/>
        <w:rPr>
          <w:rFonts w:hAnsi="宋体"/>
          <w:color w:val="auto"/>
          <w:szCs w:val="21"/>
          <w:highlight w:val="none"/>
        </w:rPr>
      </w:pPr>
      <w:r>
        <w:rPr>
          <w:rFonts w:hint="eastAsia" w:hAnsi="宋体"/>
          <w:color w:val="auto"/>
          <w:szCs w:val="21"/>
          <w:highlight w:val="none"/>
        </w:rPr>
        <w:t xml:space="preserve">  </w:t>
      </w:r>
      <w:r>
        <w:rPr>
          <w:rFonts w:hint="eastAsia" w:hAnsi="宋体"/>
          <w:color w:val="auto"/>
          <w:szCs w:val="21"/>
          <w:highlight w:val="none"/>
          <w:lang w:val="en-US" w:eastAsia="zh-CN"/>
        </w:rPr>
        <w:t>装修</w:t>
      </w:r>
      <w:r>
        <w:rPr>
          <w:rFonts w:hint="eastAsia" w:hAnsi="宋体"/>
          <w:color w:val="auto"/>
          <w:szCs w:val="21"/>
          <w:highlight w:val="none"/>
        </w:rPr>
        <w:t>面积为</w:t>
      </w:r>
      <w:r>
        <w:rPr>
          <w:rFonts w:hint="eastAsia" w:hAnsi="宋体"/>
          <w:color w:val="auto"/>
          <w:szCs w:val="21"/>
          <w:highlight w:val="none"/>
          <w:lang w:val="en-US" w:eastAsia="zh-CN"/>
        </w:rPr>
        <w:t>1429.68</w:t>
      </w:r>
      <w:r>
        <w:rPr>
          <w:rFonts w:hint="eastAsia" w:hAnsi="宋体"/>
          <w:color w:val="auto"/>
          <w:szCs w:val="21"/>
          <w:highlight w:val="none"/>
        </w:rPr>
        <w:t>m</w:t>
      </w:r>
      <w:r>
        <w:rPr>
          <w:rFonts w:hint="eastAsia" w:hAnsi="宋体"/>
          <w:color w:val="auto"/>
          <w:szCs w:val="21"/>
          <w:highlight w:val="none"/>
          <w:vertAlign w:val="superscript"/>
        </w:rPr>
        <w:t>2</w:t>
      </w:r>
      <w:r>
        <w:rPr>
          <w:rFonts w:hint="eastAsia" w:hAnsi="宋体"/>
          <w:color w:val="auto"/>
          <w:szCs w:val="21"/>
          <w:highlight w:val="none"/>
        </w:rPr>
        <w:t>，施工区域为</w:t>
      </w:r>
      <w:r>
        <w:rPr>
          <w:rFonts w:hint="eastAsia" w:hAnsi="宋体"/>
          <w:color w:val="auto"/>
          <w:szCs w:val="21"/>
          <w:highlight w:val="none"/>
          <w:lang w:eastAsia="zh-CN"/>
        </w:rPr>
        <w:t>艺术教室的楼层第二层的主席台、外走道、展示区;第三层装修及1~3层楼梯间。</w:t>
      </w:r>
    </w:p>
    <w:p>
      <w:pPr>
        <w:pStyle w:val="29"/>
        <w:snapToGrid w:val="0"/>
        <w:spacing w:line="360" w:lineRule="auto"/>
        <w:ind w:firstLine="482" w:firstLineChars="200"/>
        <w:jc w:val="left"/>
        <w:rPr>
          <w:rFonts w:hAnsi="宋体"/>
          <w:b/>
          <w:bCs/>
          <w:color w:val="auto"/>
          <w:sz w:val="24"/>
          <w:szCs w:val="24"/>
          <w:highlight w:val="none"/>
        </w:rPr>
      </w:pPr>
      <w:r>
        <w:rPr>
          <w:rFonts w:hint="eastAsia" w:hAnsi="宋体"/>
          <w:b/>
          <w:bCs/>
          <w:color w:val="auto"/>
          <w:sz w:val="24"/>
          <w:szCs w:val="24"/>
          <w:highlight w:val="none"/>
        </w:rPr>
        <w:t>二、招标内容及要求</w:t>
      </w:r>
    </w:p>
    <w:p>
      <w:pPr>
        <w:spacing w:line="360" w:lineRule="auto"/>
        <w:ind w:firstLine="462" w:firstLineChars="220"/>
        <w:rPr>
          <w:rFonts w:ascii="宋体" w:hAnsi="宋体"/>
          <w:color w:val="auto"/>
          <w:szCs w:val="21"/>
          <w:highlight w:val="none"/>
        </w:rPr>
      </w:pPr>
      <w:r>
        <w:rPr>
          <w:rFonts w:hint="eastAsia" w:ascii="宋体" w:hAnsi="宋体"/>
          <w:color w:val="auto"/>
          <w:szCs w:val="21"/>
          <w:highlight w:val="none"/>
        </w:rPr>
        <w:t>招标内容：</w:t>
      </w:r>
      <w:r>
        <w:rPr>
          <w:rFonts w:hint="eastAsia" w:ascii="宋体" w:hAnsi="宋体" w:cs="Arial"/>
          <w:color w:val="auto"/>
          <w:kern w:val="0"/>
          <w:szCs w:val="21"/>
          <w:highlight w:val="none"/>
          <w:lang w:eastAsia="zh-CN"/>
        </w:rPr>
        <w:t>嘉兴市实验初级中学教育集团艺术教室室内装修工程设计施工一体化项目</w:t>
      </w:r>
      <w:r>
        <w:rPr>
          <w:rFonts w:hint="eastAsia" w:ascii="宋体" w:hAnsi="宋体"/>
          <w:color w:val="auto"/>
          <w:szCs w:val="21"/>
          <w:highlight w:val="none"/>
        </w:rPr>
        <w:t>，完成招标项目深化方案设计、施工图设计，深化设计方案经采购人审核同意后，出具深化方案设计文件并最终出具有效的施工蓝图和预算清单，并通过工程所在地建设工程管理部门的评审及审查（施工图审查最终须出具合格的审图报告）（如需）；硬件设备设施供货、现场施工安装、从本工程建设范围内的设计直至工程竣工并投入使用及缺陷责任期的技术服务与缺陷修复、保修期的保修工作。</w:t>
      </w:r>
    </w:p>
    <w:p>
      <w:pPr>
        <w:pStyle w:val="29"/>
        <w:snapToGrid w:val="0"/>
        <w:spacing w:line="360" w:lineRule="auto"/>
        <w:ind w:firstLine="420" w:firstLineChars="200"/>
        <w:jc w:val="left"/>
        <w:rPr>
          <w:rFonts w:hAnsi="宋体"/>
          <w:color w:val="auto"/>
          <w:szCs w:val="21"/>
          <w:highlight w:val="none"/>
        </w:rPr>
      </w:pPr>
      <w:r>
        <w:rPr>
          <w:rFonts w:hint="eastAsia" w:hAnsi="宋体"/>
          <w:color w:val="auto"/>
          <w:szCs w:val="21"/>
          <w:highlight w:val="none"/>
        </w:rPr>
        <w:t xml:space="preserve"> </w:t>
      </w:r>
    </w:p>
    <w:p>
      <w:pPr>
        <w:pStyle w:val="29"/>
        <w:snapToGrid w:val="0"/>
        <w:spacing w:line="360" w:lineRule="auto"/>
        <w:ind w:firstLine="482" w:firstLineChars="200"/>
        <w:jc w:val="left"/>
        <w:rPr>
          <w:rFonts w:hAnsi="宋体"/>
          <w:b/>
          <w:bCs/>
          <w:color w:val="auto"/>
          <w:sz w:val="24"/>
          <w:szCs w:val="24"/>
          <w:highlight w:val="none"/>
        </w:rPr>
      </w:pPr>
      <w:r>
        <w:rPr>
          <w:rFonts w:hint="eastAsia" w:hAnsi="宋体"/>
          <w:b/>
          <w:bCs/>
          <w:color w:val="auto"/>
          <w:sz w:val="24"/>
          <w:szCs w:val="24"/>
          <w:highlight w:val="none"/>
        </w:rPr>
        <w:t>三、任务书</w:t>
      </w:r>
    </w:p>
    <w:p>
      <w:pPr>
        <w:pStyle w:val="49"/>
        <w:snapToGrid w:val="0"/>
        <w:spacing w:before="60" w:beforeAutospacing="0" w:after="60" w:afterAutospacing="0" w:line="360" w:lineRule="auto"/>
        <w:ind w:firstLine="422" w:firstLineChars="200"/>
        <w:contextualSpacing/>
        <w:rPr>
          <w:rFonts w:ascii="宋体" w:hAnsi="宋体" w:eastAsia="宋体"/>
          <w:b/>
          <w:color w:val="auto"/>
          <w:sz w:val="21"/>
          <w:szCs w:val="21"/>
          <w:highlight w:val="none"/>
        </w:rPr>
      </w:pPr>
      <w:r>
        <w:rPr>
          <w:rFonts w:hint="eastAsia" w:ascii="宋体" w:hAnsi="宋体" w:eastAsia="宋体"/>
          <w:b/>
          <w:color w:val="auto"/>
          <w:sz w:val="21"/>
          <w:szCs w:val="21"/>
          <w:highlight w:val="none"/>
        </w:rPr>
        <w:t>1、设计内容与要求：</w:t>
      </w:r>
    </w:p>
    <w:p>
      <w:pPr>
        <w:pStyle w:val="49"/>
        <w:snapToGrid w:val="0"/>
        <w:spacing w:before="60" w:beforeAutospacing="0" w:after="60" w:afterAutospacing="0" w:line="360" w:lineRule="auto"/>
        <w:ind w:firstLine="422" w:firstLineChars="200"/>
        <w:contextualSpacing/>
        <w:rPr>
          <w:rFonts w:ascii="宋体" w:hAnsi="宋体" w:eastAsia="宋体"/>
          <w:bCs/>
          <w:color w:val="auto"/>
          <w:sz w:val="21"/>
          <w:szCs w:val="21"/>
          <w:highlight w:val="none"/>
        </w:rPr>
      </w:pPr>
      <w:r>
        <w:rPr>
          <w:rFonts w:hint="eastAsia" w:ascii="宋体" w:hAnsi="宋体" w:eastAsia="宋体"/>
          <w:b/>
          <w:color w:val="auto"/>
          <w:sz w:val="21"/>
          <w:szCs w:val="21"/>
          <w:highlight w:val="none"/>
        </w:rPr>
        <w:t>设计范围：</w:t>
      </w:r>
      <w:r>
        <w:rPr>
          <w:rFonts w:hint="eastAsia" w:ascii="宋体" w:hAnsi="宋体" w:eastAsia="宋体"/>
          <w:bCs/>
          <w:color w:val="auto"/>
          <w:sz w:val="21"/>
          <w:szCs w:val="21"/>
          <w:highlight w:val="none"/>
        </w:rPr>
        <w:t xml:space="preserve"> </w:t>
      </w:r>
    </w:p>
    <w:p>
      <w:pPr>
        <w:pStyle w:val="49"/>
        <w:snapToGrid w:val="0"/>
        <w:spacing w:before="60" w:beforeAutospacing="0" w:after="60" w:afterAutospacing="0" w:line="360" w:lineRule="auto"/>
        <w:ind w:firstLine="420" w:firstLineChars="200"/>
        <w:contextualSpacing/>
        <w:rPr>
          <w:rFonts w:hint="eastAsia" w:ascii="宋体" w:hAnsi="宋体" w:eastAsia="宋体"/>
          <w:bCs/>
          <w:color w:val="auto"/>
          <w:sz w:val="21"/>
          <w:szCs w:val="21"/>
          <w:highlight w:val="none"/>
        </w:rPr>
      </w:pPr>
      <w:r>
        <w:rPr>
          <w:rFonts w:hint="eastAsia" w:ascii="宋体" w:hAnsi="宋体" w:eastAsia="宋体"/>
          <w:bCs/>
          <w:color w:val="auto"/>
          <w:sz w:val="21"/>
          <w:szCs w:val="21"/>
          <w:highlight w:val="none"/>
        </w:rPr>
        <w:t>本项目设计内容包括深化方案设计、优化、施工图设计、设计服务，直至工程竣工验收。具体包括本项目工程用地范围内的</w:t>
      </w:r>
      <w:r>
        <w:rPr>
          <w:rFonts w:hint="eastAsia" w:ascii="宋体" w:hAnsi="宋体" w:eastAsia="宋体"/>
          <w:bCs/>
          <w:color w:val="auto"/>
          <w:sz w:val="21"/>
          <w:szCs w:val="21"/>
          <w:highlight w:val="none"/>
          <w:lang w:val="en-US" w:eastAsia="zh-CN"/>
        </w:rPr>
        <w:t>工程</w:t>
      </w:r>
      <w:r>
        <w:rPr>
          <w:rFonts w:hint="eastAsia" w:ascii="宋体" w:hAnsi="宋体" w:eastAsia="宋体"/>
          <w:bCs/>
          <w:color w:val="auto"/>
          <w:sz w:val="21"/>
          <w:szCs w:val="21"/>
          <w:highlight w:val="none"/>
        </w:rPr>
        <w:t>开始至工程竣工并投入使用及缺陷责任期的技术服务与缺陷修复、保修期的保修工作。</w:t>
      </w:r>
    </w:p>
    <w:p>
      <w:pPr>
        <w:pStyle w:val="49"/>
        <w:snapToGrid w:val="0"/>
        <w:spacing w:before="60" w:beforeAutospacing="0" w:after="60" w:afterAutospacing="0" w:line="360" w:lineRule="auto"/>
        <w:ind w:firstLine="420" w:firstLineChars="200"/>
        <w:contextualSpacing/>
        <w:rPr>
          <w:rFonts w:ascii="宋体" w:hAnsi="宋体" w:eastAsia="宋体"/>
          <w:bCs/>
          <w:color w:val="auto"/>
          <w:sz w:val="21"/>
          <w:szCs w:val="21"/>
          <w:highlight w:val="none"/>
        </w:rPr>
      </w:pPr>
      <w:r>
        <w:rPr>
          <w:rFonts w:hint="eastAsia" w:ascii="宋体" w:hAnsi="宋体" w:eastAsia="宋体"/>
          <w:bCs/>
          <w:color w:val="auto"/>
          <w:sz w:val="21"/>
          <w:szCs w:val="21"/>
          <w:highlight w:val="none"/>
        </w:rPr>
        <w:t>设计要求</w:t>
      </w:r>
    </w:p>
    <w:p>
      <w:pPr>
        <w:pStyle w:val="49"/>
        <w:snapToGrid w:val="0"/>
        <w:spacing w:before="60" w:beforeAutospacing="0" w:after="60" w:afterAutospacing="0" w:line="360" w:lineRule="auto"/>
        <w:ind w:firstLine="422" w:firstLineChars="200"/>
        <w:contextualSpacing/>
        <w:rPr>
          <w:rFonts w:ascii="宋体" w:hAnsi="宋体" w:eastAsia="宋体"/>
          <w:b/>
          <w:color w:val="auto"/>
          <w:sz w:val="21"/>
          <w:szCs w:val="21"/>
          <w:highlight w:val="none"/>
        </w:rPr>
      </w:pPr>
      <w:r>
        <w:rPr>
          <w:rFonts w:hint="eastAsia" w:ascii="宋体" w:hAnsi="宋体" w:eastAsia="宋体"/>
          <w:b/>
          <w:color w:val="auto"/>
          <w:sz w:val="21"/>
          <w:szCs w:val="21"/>
          <w:highlight w:val="none"/>
        </w:rPr>
        <w:t>（一）</w:t>
      </w:r>
      <w:r>
        <w:rPr>
          <w:rFonts w:hint="eastAsia" w:ascii="宋体" w:hAnsi="宋体" w:eastAsia="宋体"/>
          <w:b/>
          <w:color w:val="auto"/>
          <w:sz w:val="21"/>
          <w:szCs w:val="21"/>
          <w:highlight w:val="none"/>
          <w:lang w:eastAsia="zh-CN"/>
        </w:rPr>
        <w:t>设计</w:t>
      </w:r>
      <w:r>
        <w:rPr>
          <w:rFonts w:hint="eastAsia" w:ascii="宋体" w:hAnsi="宋体" w:eastAsia="宋体"/>
          <w:b/>
          <w:color w:val="auto"/>
          <w:sz w:val="21"/>
          <w:szCs w:val="21"/>
          <w:highlight w:val="none"/>
        </w:rPr>
        <w:t>原则</w:t>
      </w:r>
    </w:p>
    <w:p>
      <w:pPr>
        <w:pStyle w:val="49"/>
        <w:snapToGrid w:val="0"/>
        <w:spacing w:before="60" w:beforeAutospacing="0" w:after="60" w:afterAutospacing="0" w:line="360" w:lineRule="auto"/>
        <w:ind w:firstLine="420" w:firstLineChars="200"/>
        <w:contextualSpacing/>
        <w:rPr>
          <w:rFonts w:ascii="宋体" w:hAnsi="宋体" w:eastAsia="宋体"/>
          <w:bCs/>
          <w:color w:val="auto"/>
          <w:sz w:val="21"/>
          <w:szCs w:val="21"/>
          <w:highlight w:val="none"/>
        </w:rPr>
      </w:pPr>
      <w:r>
        <w:rPr>
          <w:rFonts w:hint="eastAsia" w:ascii="宋体" w:hAnsi="宋体" w:eastAsia="宋体"/>
          <w:bCs/>
          <w:color w:val="auto"/>
          <w:sz w:val="21"/>
          <w:szCs w:val="21"/>
          <w:highlight w:val="none"/>
        </w:rPr>
        <w:t>1.总体策划注重体现</w:t>
      </w:r>
      <w:bookmarkStart w:id="19" w:name="_Hlk45623060"/>
      <w:r>
        <w:rPr>
          <w:rFonts w:hint="eastAsia" w:ascii="宋体" w:hAnsi="宋体" w:eastAsia="宋体"/>
          <w:bCs/>
          <w:color w:val="auto"/>
          <w:sz w:val="21"/>
          <w:szCs w:val="21"/>
          <w:highlight w:val="none"/>
        </w:rPr>
        <w:t>设施、空间、设计以学生教育为中心，鼓励学生积极发展自己的思维，在探索中领悟，在玩乐中健康成长，长善进智，博雅健美。在细节和色彩的设计环节中，把握重点知识，融合多种认知元素，互动式传播，荣活动空间，文化墙面，兼具趣味与科普教育的双重功能，寓教于乐。</w:t>
      </w:r>
      <w:bookmarkEnd w:id="19"/>
    </w:p>
    <w:p>
      <w:pPr>
        <w:pStyle w:val="49"/>
        <w:snapToGrid w:val="0"/>
        <w:spacing w:before="60" w:beforeAutospacing="0" w:after="60" w:afterAutospacing="0" w:line="360" w:lineRule="auto"/>
        <w:ind w:firstLine="420" w:firstLineChars="200"/>
        <w:contextualSpacing/>
        <w:rPr>
          <w:rFonts w:ascii="宋体" w:hAnsi="宋体" w:eastAsia="宋体"/>
          <w:bCs/>
          <w:color w:val="auto"/>
          <w:sz w:val="21"/>
          <w:szCs w:val="21"/>
          <w:highlight w:val="none"/>
        </w:rPr>
      </w:pPr>
      <w:r>
        <w:rPr>
          <w:rFonts w:hint="eastAsia" w:ascii="宋体" w:hAnsi="宋体" w:eastAsia="宋体"/>
          <w:bCs/>
          <w:color w:val="auto"/>
          <w:sz w:val="21"/>
          <w:szCs w:val="21"/>
          <w:highlight w:val="none"/>
        </w:rPr>
        <w:t>2.环境布局</w:t>
      </w:r>
      <w:r>
        <w:rPr>
          <w:rFonts w:hint="eastAsia" w:ascii="宋体" w:hAnsi="宋体" w:eastAsia="宋体"/>
          <w:bCs/>
          <w:color w:val="auto"/>
          <w:sz w:val="21"/>
          <w:szCs w:val="21"/>
          <w:highlight w:val="none"/>
          <w:lang w:eastAsia="zh-CN"/>
        </w:rPr>
        <w:t>：</w:t>
      </w:r>
      <w:r>
        <w:rPr>
          <w:rFonts w:hint="eastAsia" w:ascii="宋体" w:hAnsi="宋体" w:eastAsia="宋体"/>
          <w:bCs/>
          <w:color w:val="auto"/>
          <w:sz w:val="21"/>
          <w:szCs w:val="21"/>
          <w:highlight w:val="none"/>
        </w:rPr>
        <w:t>一个优秀的学校设计装修必须考虑到学生和教师在校园中的行走路线、通过合理的布局，创造出一个方便流畅、便于交流的学习环境。</w:t>
      </w:r>
    </w:p>
    <w:p>
      <w:pPr>
        <w:pStyle w:val="49"/>
        <w:snapToGrid w:val="0"/>
        <w:spacing w:before="60" w:beforeAutospacing="0" w:after="60" w:afterAutospacing="0" w:line="360" w:lineRule="auto"/>
        <w:ind w:firstLine="420" w:firstLineChars="200"/>
        <w:contextualSpacing/>
        <w:rPr>
          <w:rFonts w:ascii="宋体" w:hAnsi="宋体" w:eastAsia="宋体"/>
          <w:bCs/>
          <w:color w:val="auto"/>
          <w:sz w:val="21"/>
          <w:szCs w:val="21"/>
          <w:highlight w:val="none"/>
        </w:rPr>
      </w:pPr>
      <w:r>
        <w:rPr>
          <w:rFonts w:hint="eastAsia" w:ascii="宋体" w:hAnsi="宋体" w:eastAsia="宋体"/>
          <w:bCs/>
          <w:color w:val="auto"/>
          <w:sz w:val="21"/>
          <w:szCs w:val="21"/>
          <w:highlight w:val="none"/>
        </w:rPr>
        <w:t>3.色彩搭配</w:t>
      </w:r>
      <w:r>
        <w:rPr>
          <w:rFonts w:hint="eastAsia" w:ascii="宋体" w:hAnsi="宋体" w:eastAsia="宋体"/>
          <w:bCs/>
          <w:color w:val="auto"/>
          <w:sz w:val="21"/>
          <w:szCs w:val="21"/>
          <w:highlight w:val="none"/>
          <w:lang w:eastAsia="zh-CN"/>
        </w:rPr>
        <w:t>：</w:t>
      </w:r>
      <w:r>
        <w:rPr>
          <w:rFonts w:hint="eastAsia" w:ascii="宋体" w:hAnsi="宋体" w:eastAsia="宋体"/>
          <w:bCs/>
          <w:color w:val="auto"/>
          <w:sz w:val="21"/>
          <w:szCs w:val="21"/>
          <w:highlight w:val="none"/>
        </w:rPr>
        <w:t>色彩在学校装修中起到了非常重要的作用。采用鲜明明快的色彩，给整个学校注入了活力和朝气。明亮的颜色让学生焕发出无穷的创造力和活力，同时也提高了学习和工作的效率。</w:t>
      </w:r>
    </w:p>
    <w:p>
      <w:pPr>
        <w:pStyle w:val="49"/>
        <w:snapToGrid w:val="0"/>
        <w:spacing w:before="60" w:beforeAutospacing="0" w:after="60" w:afterAutospacing="0" w:line="360" w:lineRule="auto"/>
        <w:ind w:firstLine="420" w:firstLineChars="200"/>
        <w:contextualSpacing/>
        <w:rPr>
          <w:rFonts w:ascii="宋体" w:hAnsi="宋体" w:eastAsia="宋体"/>
          <w:bCs/>
          <w:color w:val="auto"/>
          <w:sz w:val="21"/>
          <w:szCs w:val="21"/>
          <w:highlight w:val="none"/>
        </w:rPr>
      </w:pPr>
      <w:r>
        <w:rPr>
          <w:rFonts w:hint="eastAsia" w:ascii="宋体" w:hAnsi="宋体" w:eastAsia="宋体"/>
          <w:bCs/>
          <w:color w:val="auto"/>
          <w:sz w:val="21"/>
          <w:szCs w:val="21"/>
          <w:highlight w:val="none"/>
        </w:rPr>
        <w:t>4.第三个要素是声音治理</w:t>
      </w:r>
      <w:r>
        <w:rPr>
          <w:rFonts w:hint="eastAsia" w:ascii="宋体" w:hAnsi="宋体" w:eastAsia="宋体"/>
          <w:bCs/>
          <w:color w:val="auto"/>
          <w:sz w:val="21"/>
          <w:szCs w:val="21"/>
          <w:highlight w:val="none"/>
          <w:lang w:eastAsia="zh-CN"/>
        </w:rPr>
        <w:t>：</w:t>
      </w:r>
      <w:r>
        <w:rPr>
          <w:rFonts w:hint="eastAsia" w:ascii="宋体" w:hAnsi="宋体" w:eastAsia="宋体"/>
          <w:bCs/>
          <w:color w:val="auto"/>
          <w:sz w:val="21"/>
          <w:szCs w:val="21"/>
          <w:highlight w:val="none"/>
        </w:rPr>
        <w:t>学校是一个多功能的场所，往往会有许多人同时活动，如果声音无法得到良好的治理，就会影响到正常的学习和工作。采用</w:t>
      </w:r>
      <w:r>
        <w:rPr>
          <w:rFonts w:hint="eastAsia" w:ascii="宋体" w:hAnsi="宋体" w:eastAsia="宋体"/>
          <w:bCs/>
          <w:color w:val="auto"/>
          <w:sz w:val="21"/>
          <w:szCs w:val="21"/>
          <w:highlight w:val="none"/>
          <w:lang w:eastAsia="zh-CN"/>
        </w:rPr>
        <w:t>隔音装饰</w:t>
      </w:r>
      <w:r>
        <w:rPr>
          <w:rFonts w:hint="eastAsia" w:ascii="宋体" w:hAnsi="宋体" w:eastAsia="宋体"/>
          <w:bCs/>
          <w:color w:val="auto"/>
          <w:sz w:val="21"/>
          <w:szCs w:val="21"/>
          <w:highlight w:val="none"/>
        </w:rPr>
        <w:t>材料，控制了噪音的传播，创造出一个安静、舒适的学习环境。</w:t>
      </w:r>
    </w:p>
    <w:p>
      <w:pPr>
        <w:pStyle w:val="21"/>
        <w:ind w:firstLine="422" w:firstLineChars="200"/>
        <w:jc w:val="left"/>
        <w:rPr>
          <w:rFonts w:ascii="宋体" w:hAnsi="宋体" w:eastAsia="宋体"/>
          <w:b/>
          <w:color w:val="auto"/>
          <w:kern w:val="0"/>
          <w:szCs w:val="21"/>
          <w:highlight w:val="none"/>
        </w:rPr>
      </w:pPr>
      <w:r>
        <w:rPr>
          <w:rFonts w:hint="eastAsia" w:ascii="宋体" w:hAnsi="宋体" w:eastAsia="宋体"/>
          <w:b/>
          <w:color w:val="auto"/>
          <w:kern w:val="0"/>
          <w:szCs w:val="21"/>
          <w:highlight w:val="none"/>
        </w:rPr>
        <w:t>（三）设计内容、设计规模</w:t>
      </w:r>
    </w:p>
    <w:p>
      <w:pPr>
        <w:pStyle w:val="49"/>
        <w:snapToGrid w:val="0"/>
        <w:spacing w:before="60" w:beforeAutospacing="0" w:after="60" w:afterAutospacing="0" w:line="360" w:lineRule="auto"/>
        <w:ind w:firstLine="420" w:firstLineChars="200"/>
        <w:contextualSpacing/>
        <w:rPr>
          <w:rFonts w:ascii="宋体" w:hAnsi="宋体" w:eastAsia="宋体"/>
          <w:bCs/>
          <w:color w:val="auto"/>
          <w:sz w:val="21"/>
          <w:szCs w:val="21"/>
          <w:highlight w:val="none"/>
        </w:rPr>
      </w:pPr>
      <w:r>
        <w:rPr>
          <w:rFonts w:hint="eastAsia" w:ascii="宋体" w:hAnsi="宋体" w:eastAsia="宋体"/>
          <w:bCs/>
          <w:color w:val="auto"/>
          <w:sz w:val="21"/>
          <w:szCs w:val="21"/>
          <w:highlight w:val="none"/>
        </w:rPr>
        <w:t>设计内容为所有形式内容包括内容策划及后续相关服务，</w:t>
      </w:r>
      <w:r>
        <w:rPr>
          <w:rFonts w:hint="eastAsia" w:ascii="宋体" w:hAnsi="宋体" w:eastAsia="宋体"/>
          <w:bCs/>
          <w:color w:val="auto"/>
          <w:sz w:val="21"/>
          <w:szCs w:val="21"/>
          <w:highlight w:val="none"/>
          <w:lang w:eastAsia="zh-CN"/>
        </w:rPr>
        <w:t>供应商</w:t>
      </w:r>
      <w:r>
        <w:rPr>
          <w:rFonts w:hint="eastAsia" w:ascii="宋体" w:hAnsi="宋体" w:eastAsia="宋体"/>
          <w:bCs/>
          <w:color w:val="auto"/>
          <w:sz w:val="21"/>
          <w:szCs w:val="21"/>
          <w:highlight w:val="none"/>
        </w:rPr>
        <w:t>设计内容包括但不限于以下内容,可对文案进行合理深化。</w:t>
      </w:r>
    </w:p>
    <w:p>
      <w:pPr>
        <w:pStyle w:val="21"/>
        <w:ind w:firstLine="422" w:firstLineChars="200"/>
        <w:jc w:val="left"/>
        <w:rPr>
          <w:rFonts w:ascii="宋体" w:hAnsi="宋体" w:eastAsia="宋体"/>
          <w:b/>
          <w:color w:val="auto"/>
          <w:kern w:val="0"/>
          <w:szCs w:val="21"/>
          <w:highlight w:val="none"/>
        </w:rPr>
      </w:pPr>
      <w:r>
        <w:rPr>
          <w:rFonts w:hint="eastAsia" w:ascii="宋体" w:hAnsi="宋体" w:eastAsia="宋体"/>
          <w:b/>
          <w:color w:val="auto"/>
          <w:kern w:val="0"/>
          <w:szCs w:val="21"/>
          <w:highlight w:val="none"/>
        </w:rPr>
        <w:t>（四）设计成果</w:t>
      </w:r>
    </w:p>
    <w:p>
      <w:pPr>
        <w:pStyle w:val="49"/>
        <w:snapToGrid w:val="0"/>
        <w:spacing w:before="60" w:beforeAutospacing="0" w:after="60" w:afterAutospacing="0" w:line="360" w:lineRule="auto"/>
        <w:ind w:firstLine="420" w:firstLineChars="200"/>
        <w:contextualSpacing/>
        <w:rPr>
          <w:rFonts w:ascii="宋体" w:hAnsi="宋体" w:eastAsia="宋体"/>
          <w:bCs/>
          <w:color w:val="auto"/>
          <w:sz w:val="21"/>
          <w:szCs w:val="21"/>
          <w:highlight w:val="none"/>
        </w:rPr>
      </w:pPr>
      <w:r>
        <w:rPr>
          <w:rFonts w:hint="eastAsia" w:ascii="宋体" w:hAnsi="宋体" w:eastAsia="宋体"/>
          <w:bCs/>
          <w:color w:val="auto"/>
          <w:sz w:val="21"/>
          <w:szCs w:val="21"/>
          <w:highlight w:val="none"/>
        </w:rPr>
        <w:t>1、设计图纸应充分表达设计理念，重点部位应加以说明，能明确表示设计意图，标注主要部位的设备和材料。</w:t>
      </w:r>
    </w:p>
    <w:p>
      <w:pPr>
        <w:pStyle w:val="49"/>
        <w:snapToGrid w:val="0"/>
        <w:spacing w:before="60" w:beforeAutospacing="0" w:after="60" w:afterAutospacing="0" w:line="360" w:lineRule="auto"/>
        <w:ind w:firstLine="420" w:firstLineChars="200"/>
        <w:contextualSpacing/>
        <w:rPr>
          <w:rFonts w:ascii="宋体" w:hAnsi="宋体" w:eastAsia="宋体"/>
          <w:bCs/>
          <w:color w:val="auto"/>
          <w:sz w:val="21"/>
          <w:szCs w:val="21"/>
          <w:highlight w:val="none"/>
        </w:rPr>
      </w:pPr>
      <w:r>
        <w:rPr>
          <w:rFonts w:hint="eastAsia" w:ascii="宋体" w:hAnsi="宋体" w:eastAsia="宋体"/>
          <w:bCs/>
          <w:color w:val="auto"/>
          <w:sz w:val="21"/>
          <w:szCs w:val="21"/>
          <w:highlight w:val="none"/>
        </w:rPr>
        <w:t>2、设计单位提供的设计应符合行业最新有关的规程、规范和技术规定要求，项目实施时相关部门要求必须进行施工图设计图审的，设计单位负责办理该事项并负责图审合格，采购人不再增加该项费用。</w:t>
      </w:r>
    </w:p>
    <w:p>
      <w:pPr>
        <w:pStyle w:val="49"/>
        <w:snapToGrid w:val="0"/>
        <w:spacing w:before="60" w:beforeAutospacing="0" w:after="60" w:afterAutospacing="0" w:line="360" w:lineRule="auto"/>
        <w:ind w:firstLine="420" w:firstLineChars="200"/>
        <w:contextualSpacing/>
        <w:rPr>
          <w:rFonts w:ascii="宋体" w:hAnsi="宋体" w:eastAsia="宋体"/>
          <w:bCs/>
          <w:color w:val="auto"/>
          <w:sz w:val="21"/>
          <w:szCs w:val="21"/>
          <w:highlight w:val="none"/>
        </w:rPr>
      </w:pPr>
      <w:r>
        <w:rPr>
          <w:rFonts w:hint="eastAsia" w:ascii="宋体" w:hAnsi="宋体" w:eastAsia="宋体"/>
          <w:bCs/>
          <w:color w:val="auto"/>
          <w:sz w:val="21"/>
          <w:szCs w:val="21"/>
          <w:highlight w:val="none"/>
        </w:rPr>
        <w:t>3.设计成果</w:t>
      </w:r>
    </w:p>
    <w:p>
      <w:pPr>
        <w:pStyle w:val="49"/>
        <w:snapToGrid w:val="0"/>
        <w:spacing w:before="60" w:beforeAutospacing="0" w:after="60" w:afterAutospacing="0" w:line="360" w:lineRule="auto"/>
        <w:ind w:firstLine="420" w:firstLineChars="200"/>
        <w:contextualSpacing/>
        <w:rPr>
          <w:rFonts w:ascii="宋体" w:hAnsi="宋体" w:eastAsia="宋体"/>
          <w:bCs/>
          <w:color w:val="auto"/>
          <w:sz w:val="21"/>
          <w:szCs w:val="21"/>
          <w:highlight w:val="none"/>
        </w:rPr>
      </w:pPr>
      <w:r>
        <w:rPr>
          <w:rFonts w:hint="eastAsia" w:ascii="宋体" w:hAnsi="宋体" w:eastAsia="宋体"/>
          <w:bCs/>
          <w:color w:val="auto"/>
          <w:sz w:val="21"/>
          <w:szCs w:val="21"/>
          <w:highlight w:val="none"/>
        </w:rPr>
        <w:t>（1）文字说明：布</w:t>
      </w:r>
      <w:r>
        <w:rPr>
          <w:rFonts w:hint="eastAsia" w:ascii="宋体" w:hAnsi="宋体" w:eastAsia="宋体"/>
          <w:bCs/>
          <w:color w:val="auto"/>
          <w:sz w:val="21"/>
          <w:szCs w:val="21"/>
          <w:highlight w:val="none"/>
          <w:lang w:val="en-US" w:eastAsia="zh-CN"/>
        </w:rPr>
        <w:t>局</w:t>
      </w:r>
      <w:r>
        <w:rPr>
          <w:rFonts w:hint="eastAsia" w:ascii="宋体" w:hAnsi="宋体" w:eastAsia="宋体"/>
          <w:bCs/>
          <w:color w:val="auto"/>
          <w:sz w:val="21"/>
          <w:szCs w:val="21"/>
          <w:highlight w:val="none"/>
        </w:rPr>
        <w:t>主题、空间设计、空间利用等。</w:t>
      </w:r>
    </w:p>
    <w:p>
      <w:pPr>
        <w:pStyle w:val="49"/>
        <w:snapToGrid w:val="0"/>
        <w:spacing w:before="60" w:beforeAutospacing="0" w:after="60" w:afterAutospacing="0" w:line="360" w:lineRule="auto"/>
        <w:ind w:firstLine="420" w:firstLineChars="200"/>
        <w:contextualSpacing/>
        <w:rPr>
          <w:rFonts w:ascii="宋体" w:hAnsi="宋体" w:eastAsia="宋体"/>
          <w:bCs/>
          <w:color w:val="auto"/>
          <w:sz w:val="21"/>
          <w:szCs w:val="21"/>
          <w:highlight w:val="none"/>
        </w:rPr>
      </w:pPr>
      <w:r>
        <w:rPr>
          <w:rFonts w:hint="eastAsia" w:ascii="宋体" w:hAnsi="宋体" w:eastAsia="宋体"/>
          <w:bCs/>
          <w:color w:val="auto"/>
          <w:sz w:val="21"/>
          <w:szCs w:val="21"/>
          <w:highlight w:val="none"/>
        </w:rPr>
        <w:t>（2）设计图册：总平面图、透视图、功能分区、局部效果图及相关分图。</w:t>
      </w:r>
    </w:p>
    <w:p>
      <w:pPr>
        <w:pStyle w:val="49"/>
        <w:snapToGrid w:val="0"/>
        <w:spacing w:before="60" w:beforeAutospacing="0" w:after="60" w:afterAutospacing="0" w:line="360" w:lineRule="auto"/>
        <w:ind w:firstLine="420" w:firstLineChars="200"/>
        <w:contextualSpacing/>
        <w:rPr>
          <w:rFonts w:ascii="宋体" w:hAnsi="宋体" w:eastAsia="宋体"/>
          <w:bCs/>
          <w:color w:val="auto"/>
          <w:sz w:val="21"/>
          <w:szCs w:val="21"/>
          <w:highlight w:val="none"/>
        </w:rPr>
      </w:pPr>
      <w:r>
        <w:rPr>
          <w:rFonts w:hint="eastAsia" w:ascii="宋体" w:hAnsi="宋体" w:eastAsia="宋体"/>
          <w:bCs/>
          <w:color w:val="auto"/>
          <w:sz w:val="21"/>
          <w:szCs w:val="21"/>
          <w:highlight w:val="none"/>
        </w:rPr>
        <w:t>（5）施工图绘制平面图、立面图以及其他能清晰反映思路和形式的相关样图。</w:t>
      </w:r>
    </w:p>
    <w:p>
      <w:pPr>
        <w:pStyle w:val="49"/>
        <w:snapToGrid w:val="0"/>
        <w:spacing w:before="60" w:beforeAutospacing="0" w:after="60" w:afterAutospacing="0" w:line="360" w:lineRule="auto"/>
        <w:ind w:firstLine="420" w:firstLineChars="200"/>
        <w:contextualSpacing/>
        <w:rPr>
          <w:rFonts w:ascii="宋体" w:hAnsi="宋体" w:eastAsia="宋体"/>
          <w:bCs/>
          <w:color w:val="auto"/>
          <w:sz w:val="21"/>
          <w:szCs w:val="21"/>
          <w:highlight w:val="none"/>
        </w:rPr>
      </w:pPr>
      <w:r>
        <w:rPr>
          <w:rFonts w:hint="eastAsia" w:ascii="宋体" w:hAnsi="宋体" w:eastAsia="宋体"/>
          <w:bCs/>
          <w:color w:val="auto"/>
          <w:sz w:val="21"/>
          <w:szCs w:val="21"/>
          <w:highlight w:val="none"/>
        </w:rPr>
        <w:t>（6）重要节点大样图（应真实反映材质、色彩及空间环境）。</w:t>
      </w:r>
    </w:p>
    <w:p>
      <w:pPr>
        <w:pStyle w:val="49"/>
        <w:snapToGrid w:val="0"/>
        <w:spacing w:before="60" w:beforeAutospacing="0" w:after="60" w:afterAutospacing="0" w:line="360" w:lineRule="auto"/>
        <w:ind w:firstLine="420" w:firstLineChars="200"/>
        <w:contextualSpacing/>
        <w:rPr>
          <w:rFonts w:ascii="宋体" w:hAnsi="宋体" w:eastAsia="宋体"/>
          <w:bCs/>
          <w:color w:val="auto"/>
          <w:sz w:val="21"/>
          <w:szCs w:val="21"/>
          <w:highlight w:val="none"/>
        </w:rPr>
      </w:pPr>
      <w:r>
        <w:rPr>
          <w:rFonts w:hint="eastAsia" w:ascii="宋体" w:hAnsi="宋体" w:eastAsia="宋体"/>
          <w:bCs/>
          <w:color w:val="auto"/>
          <w:sz w:val="21"/>
          <w:szCs w:val="21"/>
          <w:highlight w:val="none"/>
        </w:rPr>
        <w:t>（7）整个项目的展示、装饰材料。</w:t>
      </w:r>
    </w:p>
    <w:p>
      <w:pPr>
        <w:pStyle w:val="49"/>
        <w:snapToGrid w:val="0"/>
        <w:spacing w:before="60" w:beforeAutospacing="0" w:after="60" w:afterAutospacing="0" w:line="360" w:lineRule="auto"/>
        <w:ind w:firstLine="420" w:firstLineChars="200"/>
        <w:contextualSpacing/>
        <w:rPr>
          <w:rFonts w:ascii="宋体" w:hAnsi="宋体" w:eastAsia="宋体"/>
          <w:bCs/>
          <w:color w:val="auto"/>
          <w:sz w:val="21"/>
          <w:szCs w:val="21"/>
          <w:highlight w:val="none"/>
        </w:rPr>
      </w:pPr>
      <w:r>
        <w:rPr>
          <w:rFonts w:hint="eastAsia" w:ascii="宋体" w:hAnsi="宋体" w:eastAsia="宋体"/>
          <w:bCs/>
          <w:color w:val="auto"/>
          <w:sz w:val="21"/>
          <w:szCs w:val="21"/>
          <w:highlight w:val="none"/>
        </w:rPr>
        <w:t>4.设计单位可以根据自身设计特点，增加图册或其他表现手段，更为有效的表达布展思路和意图。</w:t>
      </w:r>
    </w:p>
    <w:p>
      <w:pPr>
        <w:pStyle w:val="49"/>
        <w:snapToGrid w:val="0"/>
        <w:spacing w:before="60" w:beforeAutospacing="0" w:after="60" w:afterAutospacing="0" w:line="360" w:lineRule="auto"/>
        <w:ind w:firstLine="420" w:firstLineChars="200"/>
        <w:contextualSpacing/>
        <w:rPr>
          <w:rFonts w:ascii="宋体" w:hAnsi="宋体" w:eastAsia="宋体"/>
          <w:bCs/>
          <w:color w:val="auto"/>
          <w:sz w:val="21"/>
          <w:szCs w:val="21"/>
          <w:highlight w:val="none"/>
        </w:rPr>
      </w:pPr>
      <w:r>
        <w:rPr>
          <w:rFonts w:hint="eastAsia" w:ascii="宋体" w:hAnsi="宋体" w:eastAsia="宋体"/>
          <w:bCs/>
          <w:color w:val="auto"/>
          <w:sz w:val="21"/>
          <w:szCs w:val="21"/>
          <w:highlight w:val="none"/>
        </w:rPr>
        <w:t>5.合同签订后中标人向采购人提供施工图纸8套，竣工图纸6套，含电子版，采购人要求的其他技术资料等。</w:t>
      </w:r>
    </w:p>
    <w:p>
      <w:pPr>
        <w:pStyle w:val="29"/>
        <w:snapToGrid w:val="0"/>
        <w:spacing w:line="360" w:lineRule="auto"/>
        <w:ind w:firstLine="482" w:firstLineChars="200"/>
        <w:jc w:val="left"/>
        <w:rPr>
          <w:rFonts w:hAnsi="宋体"/>
          <w:b/>
          <w:bCs/>
          <w:color w:val="auto"/>
          <w:sz w:val="24"/>
          <w:szCs w:val="24"/>
          <w:highlight w:val="none"/>
        </w:rPr>
      </w:pPr>
      <w:r>
        <w:rPr>
          <w:rFonts w:hint="eastAsia" w:hAnsi="宋体"/>
          <w:b/>
          <w:bCs/>
          <w:color w:val="auto"/>
          <w:sz w:val="24"/>
          <w:szCs w:val="24"/>
          <w:highlight w:val="none"/>
        </w:rPr>
        <w:t>三、施工要求</w:t>
      </w:r>
    </w:p>
    <w:p>
      <w:pPr>
        <w:pStyle w:val="49"/>
        <w:snapToGrid w:val="0"/>
        <w:spacing w:before="60" w:beforeAutospacing="0" w:after="60" w:afterAutospacing="0" w:line="360" w:lineRule="auto"/>
        <w:ind w:firstLine="420" w:firstLineChars="200"/>
        <w:contextualSpacing/>
        <w:rPr>
          <w:rFonts w:ascii="宋体" w:hAnsi="宋体" w:eastAsia="宋体"/>
          <w:bCs/>
          <w:color w:val="auto"/>
          <w:sz w:val="21"/>
          <w:szCs w:val="21"/>
          <w:highlight w:val="none"/>
        </w:rPr>
      </w:pPr>
      <w:r>
        <w:rPr>
          <w:rFonts w:hint="eastAsia" w:ascii="宋体" w:hAnsi="宋体" w:eastAsia="宋体"/>
          <w:bCs/>
          <w:color w:val="auto"/>
          <w:sz w:val="21"/>
          <w:szCs w:val="21"/>
          <w:highlight w:val="none"/>
        </w:rPr>
        <w:t>1、中标人应根据本项目基本需求和标准及招标人其他技术要求，保证完成一切需要完成的设计、制作、运输、安装、调试、质保等工作。</w:t>
      </w:r>
    </w:p>
    <w:p>
      <w:pPr>
        <w:pStyle w:val="49"/>
        <w:snapToGrid w:val="0"/>
        <w:spacing w:before="60" w:beforeAutospacing="0" w:after="60" w:afterAutospacing="0" w:line="360" w:lineRule="auto"/>
        <w:ind w:firstLine="420" w:firstLineChars="200"/>
        <w:contextualSpacing/>
        <w:rPr>
          <w:rFonts w:ascii="宋体" w:hAnsi="宋体" w:eastAsia="宋体"/>
          <w:bCs/>
          <w:color w:val="auto"/>
          <w:sz w:val="21"/>
          <w:szCs w:val="21"/>
          <w:highlight w:val="none"/>
        </w:rPr>
      </w:pPr>
      <w:r>
        <w:rPr>
          <w:rFonts w:hint="eastAsia" w:ascii="宋体" w:hAnsi="宋体" w:eastAsia="宋体"/>
          <w:bCs/>
          <w:color w:val="auto"/>
          <w:sz w:val="21"/>
          <w:szCs w:val="21"/>
          <w:highlight w:val="none"/>
        </w:rPr>
        <w:t>2、施工现场应采取封闭施工。本工程的常规的安全防护、文明施工按工程所在地现行有关规定执行。</w:t>
      </w:r>
    </w:p>
    <w:p>
      <w:pPr>
        <w:pStyle w:val="49"/>
        <w:snapToGrid w:val="0"/>
        <w:spacing w:before="60" w:beforeAutospacing="0" w:after="60" w:afterAutospacing="0" w:line="360" w:lineRule="auto"/>
        <w:ind w:firstLine="420" w:firstLineChars="200"/>
        <w:contextualSpacing/>
        <w:rPr>
          <w:rFonts w:ascii="宋体" w:hAnsi="宋体" w:eastAsia="宋体"/>
          <w:bCs/>
          <w:color w:val="auto"/>
          <w:sz w:val="21"/>
          <w:szCs w:val="21"/>
          <w:highlight w:val="none"/>
        </w:rPr>
      </w:pPr>
      <w:r>
        <w:rPr>
          <w:rFonts w:hint="eastAsia" w:ascii="宋体" w:hAnsi="宋体" w:eastAsia="宋体"/>
          <w:bCs/>
          <w:color w:val="auto"/>
          <w:sz w:val="21"/>
          <w:szCs w:val="21"/>
          <w:highlight w:val="none"/>
        </w:rPr>
        <w:t>4、中标人完成的场内制作需得到招标人的审核与批准。无论是否已征得招标人的同意和确认，中标人应对最终的质量和效果负责。</w:t>
      </w:r>
    </w:p>
    <w:p>
      <w:pPr>
        <w:pStyle w:val="49"/>
        <w:snapToGrid w:val="0"/>
        <w:spacing w:before="60" w:beforeAutospacing="0" w:after="60" w:afterAutospacing="0" w:line="360" w:lineRule="auto"/>
        <w:ind w:firstLine="420" w:firstLineChars="200"/>
        <w:contextualSpacing/>
        <w:rPr>
          <w:rFonts w:ascii="宋体" w:hAnsi="宋体" w:eastAsia="宋体"/>
          <w:bCs/>
          <w:color w:val="auto"/>
          <w:sz w:val="21"/>
          <w:szCs w:val="21"/>
          <w:highlight w:val="none"/>
        </w:rPr>
      </w:pPr>
      <w:r>
        <w:rPr>
          <w:rFonts w:hint="eastAsia" w:ascii="宋体" w:hAnsi="宋体" w:eastAsia="宋体"/>
          <w:bCs/>
          <w:color w:val="auto"/>
          <w:sz w:val="21"/>
          <w:szCs w:val="21"/>
          <w:highlight w:val="none"/>
        </w:rPr>
        <w:t>5、隐蔽工程经招标人验收合格后方可进入下道工序施工。</w:t>
      </w:r>
    </w:p>
    <w:p>
      <w:pPr>
        <w:pStyle w:val="49"/>
        <w:snapToGrid w:val="0"/>
        <w:spacing w:before="60" w:beforeAutospacing="0" w:after="60" w:afterAutospacing="0" w:line="360" w:lineRule="auto"/>
        <w:ind w:firstLine="420" w:firstLineChars="200"/>
        <w:contextualSpacing/>
        <w:rPr>
          <w:rFonts w:ascii="宋体" w:hAnsi="宋体" w:eastAsia="宋体"/>
          <w:bCs/>
          <w:color w:val="auto"/>
          <w:sz w:val="21"/>
          <w:szCs w:val="21"/>
          <w:highlight w:val="none"/>
        </w:rPr>
      </w:pPr>
      <w:r>
        <w:rPr>
          <w:rFonts w:hint="eastAsia" w:ascii="宋体" w:hAnsi="宋体" w:eastAsia="宋体"/>
          <w:bCs/>
          <w:color w:val="auto"/>
          <w:sz w:val="21"/>
          <w:szCs w:val="21"/>
          <w:highlight w:val="none"/>
        </w:rPr>
        <w:t>6、工程材料要求</w:t>
      </w:r>
    </w:p>
    <w:p>
      <w:pPr>
        <w:pStyle w:val="49"/>
        <w:snapToGrid w:val="0"/>
        <w:spacing w:before="60" w:beforeAutospacing="0" w:after="60" w:afterAutospacing="0" w:line="360" w:lineRule="auto"/>
        <w:ind w:firstLine="420" w:firstLineChars="200"/>
        <w:contextualSpacing/>
        <w:rPr>
          <w:rFonts w:ascii="宋体" w:hAnsi="宋体" w:eastAsia="宋体"/>
          <w:bCs/>
          <w:color w:val="auto"/>
          <w:sz w:val="21"/>
          <w:szCs w:val="21"/>
          <w:highlight w:val="none"/>
        </w:rPr>
      </w:pPr>
      <w:r>
        <w:rPr>
          <w:rFonts w:hint="eastAsia" w:ascii="宋体" w:hAnsi="宋体" w:eastAsia="宋体"/>
          <w:bCs/>
          <w:color w:val="auto"/>
          <w:sz w:val="21"/>
          <w:szCs w:val="21"/>
          <w:highlight w:val="none"/>
        </w:rPr>
        <w:t>（1）本次招标范围内的建筑材料均由中标人根据深化设计方案和国家有关规定的具体要求进行采购、运输、检验、保管。所有材料须有产品合格证和质量保证书，符合消防、节能和环保要求和国家规定的技术标准。</w:t>
      </w:r>
    </w:p>
    <w:p>
      <w:pPr>
        <w:pStyle w:val="49"/>
        <w:snapToGrid w:val="0"/>
        <w:spacing w:before="60" w:beforeAutospacing="0" w:after="60" w:afterAutospacing="0" w:line="360" w:lineRule="auto"/>
        <w:ind w:firstLine="420" w:firstLineChars="200"/>
        <w:contextualSpacing/>
        <w:rPr>
          <w:rFonts w:ascii="宋体" w:hAnsi="宋体" w:eastAsia="宋体"/>
          <w:bCs/>
          <w:color w:val="auto"/>
          <w:sz w:val="21"/>
          <w:szCs w:val="21"/>
          <w:highlight w:val="none"/>
        </w:rPr>
      </w:pPr>
      <w:r>
        <w:rPr>
          <w:rFonts w:hint="eastAsia" w:ascii="宋体" w:hAnsi="宋体" w:eastAsia="宋体"/>
          <w:bCs/>
          <w:color w:val="auto"/>
          <w:sz w:val="21"/>
          <w:szCs w:val="21"/>
          <w:highlight w:val="none"/>
        </w:rPr>
        <w:t>（2）本次招标项目的主要材料，中标人应在采购前向招标人送样或经招标人签证确认，未经签证招标人将不予支付。</w:t>
      </w:r>
      <w:r>
        <w:rPr>
          <w:rFonts w:hint="eastAsia" w:ascii="宋体" w:hAnsi="宋体" w:eastAsia="宋体" w:cs="Times New Roman"/>
          <w:bCs/>
          <w:color w:val="auto"/>
          <w:sz w:val="21"/>
          <w:szCs w:val="21"/>
          <w:highlight w:val="none"/>
        </w:rPr>
        <w:t>以采购人提供的品牌表进行采购，如采</w:t>
      </w:r>
      <w:r>
        <w:rPr>
          <w:rFonts w:hint="eastAsia" w:ascii="宋体" w:hAnsi="宋体" w:eastAsia="宋体"/>
          <w:bCs/>
          <w:color w:val="auto"/>
          <w:sz w:val="21"/>
          <w:szCs w:val="21"/>
          <w:highlight w:val="none"/>
        </w:rPr>
        <w:t>购材料、设备等不在本项目品牌表中的（根据投标时提供的品牌表提供，若未提供品牌表的则由招标人自行指定品牌），由供应商及采购人考察后确认。</w:t>
      </w:r>
    </w:p>
    <w:p>
      <w:pPr>
        <w:pStyle w:val="49"/>
        <w:snapToGrid w:val="0"/>
        <w:spacing w:before="60" w:beforeAutospacing="0" w:after="60" w:afterAutospacing="0" w:line="360" w:lineRule="auto"/>
        <w:ind w:firstLine="420" w:firstLineChars="200"/>
        <w:contextualSpacing/>
        <w:rPr>
          <w:rFonts w:ascii="宋体" w:hAnsi="宋体" w:eastAsia="宋体"/>
          <w:bCs/>
          <w:color w:val="auto"/>
          <w:sz w:val="21"/>
          <w:szCs w:val="21"/>
          <w:highlight w:val="none"/>
        </w:rPr>
      </w:pPr>
      <w:r>
        <w:rPr>
          <w:rFonts w:hint="eastAsia" w:ascii="宋体" w:hAnsi="宋体" w:eastAsia="宋体"/>
          <w:bCs/>
          <w:color w:val="auto"/>
          <w:sz w:val="21"/>
          <w:szCs w:val="21"/>
          <w:highlight w:val="none"/>
        </w:rPr>
        <w:t>（3）由中标人采购的设备，当中标人选定产品质量达不到设计要求（或效果要求）和预期质量目标时，招标人保留更换的权利，费用不增加。</w:t>
      </w:r>
    </w:p>
    <w:p>
      <w:pPr>
        <w:pStyle w:val="49"/>
        <w:snapToGrid w:val="0"/>
        <w:spacing w:before="60" w:beforeAutospacing="0" w:after="60" w:afterAutospacing="0" w:line="360" w:lineRule="auto"/>
        <w:ind w:firstLine="420" w:firstLineChars="200"/>
        <w:contextualSpacing/>
        <w:rPr>
          <w:rFonts w:ascii="宋体" w:hAnsi="宋体" w:eastAsia="宋体"/>
          <w:bCs/>
          <w:color w:val="auto"/>
          <w:sz w:val="21"/>
          <w:szCs w:val="21"/>
          <w:highlight w:val="none"/>
        </w:rPr>
      </w:pPr>
      <w:r>
        <w:rPr>
          <w:rFonts w:hint="eastAsia" w:ascii="宋体" w:hAnsi="宋体" w:eastAsia="宋体"/>
          <w:bCs/>
          <w:color w:val="auto"/>
          <w:sz w:val="21"/>
          <w:szCs w:val="21"/>
          <w:highlight w:val="none"/>
        </w:rPr>
        <w:t>（4）主要设备、材料选用必须经过招标人确认同意，否则招标人有权无条件要求更换，直至满意为止。在设计阶段，为保证项目的整体性和协调性，招标人有权对所有设备、材料进行调整。</w:t>
      </w:r>
    </w:p>
    <w:p>
      <w:pPr>
        <w:pStyle w:val="49"/>
        <w:snapToGrid w:val="0"/>
        <w:spacing w:before="60" w:beforeAutospacing="0" w:after="60" w:afterAutospacing="0" w:line="360" w:lineRule="auto"/>
        <w:ind w:firstLine="420" w:firstLineChars="200"/>
        <w:contextualSpacing/>
        <w:rPr>
          <w:rFonts w:ascii="宋体" w:hAnsi="宋体" w:eastAsia="宋体"/>
          <w:bCs/>
          <w:color w:val="auto"/>
          <w:sz w:val="21"/>
          <w:szCs w:val="21"/>
          <w:highlight w:val="none"/>
        </w:rPr>
      </w:pPr>
      <w:r>
        <w:rPr>
          <w:rFonts w:hint="eastAsia" w:ascii="宋体" w:hAnsi="宋体" w:eastAsia="宋体"/>
          <w:bCs/>
          <w:color w:val="auto"/>
          <w:sz w:val="21"/>
          <w:szCs w:val="21"/>
          <w:highlight w:val="none"/>
        </w:rPr>
        <w:t>7、本次招标范围内的工程设备均由中标人根据深化设计方案和国家有关规定的具体要求进行采购、运输、检验、保管。所有设备须有产品合格证和质量保证书，符合安全、节能和环保要求和国家规定的技术标准。</w:t>
      </w:r>
    </w:p>
    <w:p>
      <w:pPr>
        <w:pStyle w:val="49"/>
        <w:snapToGrid w:val="0"/>
        <w:spacing w:before="60" w:beforeAutospacing="0" w:after="60" w:afterAutospacing="0" w:line="360" w:lineRule="auto"/>
        <w:ind w:firstLine="420" w:firstLineChars="200"/>
        <w:contextualSpacing/>
        <w:rPr>
          <w:rFonts w:ascii="宋体" w:hAnsi="宋体" w:eastAsia="宋体"/>
          <w:bCs/>
          <w:color w:val="auto"/>
          <w:sz w:val="21"/>
          <w:szCs w:val="21"/>
          <w:highlight w:val="none"/>
        </w:rPr>
      </w:pPr>
      <w:r>
        <w:rPr>
          <w:rFonts w:hint="eastAsia" w:ascii="宋体" w:hAnsi="宋体" w:eastAsia="宋体"/>
          <w:bCs/>
          <w:color w:val="auto"/>
          <w:sz w:val="21"/>
          <w:szCs w:val="21"/>
          <w:highlight w:val="none"/>
        </w:rPr>
        <w:t>8、工程完工后需按国家、地方有关法律法规、规范性文件完成工程验收工作。</w:t>
      </w:r>
    </w:p>
    <w:p>
      <w:pPr>
        <w:pStyle w:val="29"/>
        <w:snapToGrid w:val="0"/>
        <w:spacing w:line="360" w:lineRule="auto"/>
        <w:ind w:firstLine="482" w:firstLineChars="200"/>
        <w:jc w:val="left"/>
        <w:rPr>
          <w:rFonts w:hAnsi="宋体"/>
          <w:b/>
          <w:bCs/>
          <w:color w:val="auto"/>
          <w:sz w:val="24"/>
          <w:szCs w:val="24"/>
          <w:highlight w:val="none"/>
        </w:rPr>
      </w:pPr>
      <w:r>
        <w:rPr>
          <w:rFonts w:hint="eastAsia" w:hAnsi="宋体"/>
          <w:b/>
          <w:bCs/>
          <w:color w:val="auto"/>
          <w:sz w:val="24"/>
          <w:szCs w:val="24"/>
          <w:highlight w:val="none"/>
        </w:rPr>
        <w:t>四、商务条款</w:t>
      </w:r>
    </w:p>
    <w:p>
      <w:pPr>
        <w:pStyle w:val="29"/>
        <w:snapToGrid w:val="0"/>
        <w:spacing w:line="360" w:lineRule="auto"/>
        <w:ind w:firstLine="420" w:firstLineChars="200"/>
        <w:jc w:val="left"/>
        <w:rPr>
          <w:rFonts w:hAnsi="宋体"/>
          <w:color w:val="auto"/>
          <w:szCs w:val="21"/>
          <w:highlight w:val="none"/>
        </w:rPr>
      </w:pPr>
      <w:r>
        <w:rPr>
          <w:rFonts w:hint="eastAsia" w:ascii="宋体" w:hAnsi="宋体" w:eastAsia="宋体"/>
          <w:bCs/>
          <w:color w:val="auto"/>
          <w:szCs w:val="21"/>
          <w:highlight w:val="none"/>
        </w:rPr>
        <w:t>1、</w:t>
      </w:r>
      <w:r>
        <w:rPr>
          <w:rFonts w:hint="eastAsia" w:hAnsi="宋体"/>
          <w:color w:val="auto"/>
          <w:szCs w:val="21"/>
          <w:highlight w:val="none"/>
        </w:rPr>
        <w:t>工期：</w:t>
      </w:r>
      <w:r>
        <w:rPr>
          <w:rFonts w:hint="eastAsia" w:cs="宋体"/>
          <w:color w:val="auto"/>
          <w:sz w:val="21"/>
          <w:szCs w:val="21"/>
          <w:highlight w:val="none"/>
        </w:rPr>
        <w:t>要求在合同签订后</w:t>
      </w:r>
      <w:r>
        <w:rPr>
          <w:rFonts w:hint="eastAsia" w:cs="宋体"/>
          <w:color w:val="auto"/>
          <w:sz w:val="21"/>
          <w:szCs w:val="21"/>
          <w:highlight w:val="none"/>
          <w:lang w:val="en-US" w:eastAsia="zh-CN"/>
        </w:rPr>
        <w:t>5</w:t>
      </w:r>
      <w:r>
        <w:rPr>
          <w:rFonts w:hint="eastAsia" w:cs="宋体"/>
          <w:color w:val="auto"/>
          <w:sz w:val="21"/>
          <w:szCs w:val="21"/>
          <w:highlight w:val="none"/>
        </w:rPr>
        <w:t>日历天内完成深化设计方案；方案定稿后</w:t>
      </w:r>
      <w:r>
        <w:rPr>
          <w:rFonts w:hint="eastAsia" w:cs="宋体"/>
          <w:color w:val="auto"/>
          <w:sz w:val="21"/>
          <w:szCs w:val="21"/>
          <w:highlight w:val="none"/>
          <w:lang w:val="en-US" w:eastAsia="zh-CN"/>
        </w:rPr>
        <w:t>5</w:t>
      </w:r>
      <w:r>
        <w:rPr>
          <w:rFonts w:hint="eastAsia" w:cs="宋体"/>
          <w:color w:val="auto"/>
          <w:sz w:val="21"/>
          <w:szCs w:val="21"/>
          <w:highlight w:val="none"/>
        </w:rPr>
        <w:t>日历天内完成施工图设计，</w:t>
      </w:r>
      <w:r>
        <w:rPr>
          <w:rFonts w:hint="eastAsia" w:cs="宋体"/>
          <w:color w:val="auto"/>
          <w:sz w:val="21"/>
          <w:szCs w:val="21"/>
          <w:highlight w:val="none"/>
          <w:lang w:val="en-US" w:eastAsia="zh-CN"/>
        </w:rPr>
        <w:t>2024年1月25日前完成所有工作</w:t>
      </w:r>
      <w:r>
        <w:rPr>
          <w:rFonts w:hint="eastAsia" w:hAnsi="宋体" w:cs="宋体"/>
          <w:color w:val="auto"/>
          <w:szCs w:val="21"/>
          <w:highlight w:val="none"/>
        </w:rPr>
        <w:t>。</w:t>
      </w:r>
    </w:p>
    <w:p>
      <w:pPr>
        <w:snapToGrid w:val="0"/>
        <w:spacing w:line="360" w:lineRule="auto"/>
        <w:ind w:firstLine="420" w:firstLineChars="200"/>
        <w:jc w:val="left"/>
        <w:rPr>
          <w:rFonts w:ascii="宋体" w:hAnsi="宋体" w:cs="微软雅黑"/>
          <w:color w:val="auto"/>
          <w:szCs w:val="21"/>
          <w:highlight w:val="none"/>
        </w:rPr>
      </w:pPr>
      <w:r>
        <w:rPr>
          <w:rFonts w:hint="eastAsia" w:ascii="宋体" w:hAnsi="宋体" w:eastAsia="宋体"/>
          <w:bCs/>
          <w:color w:val="auto"/>
          <w:szCs w:val="21"/>
          <w:highlight w:val="none"/>
        </w:rPr>
        <w:t>2、</w:t>
      </w:r>
      <w:r>
        <w:rPr>
          <w:rFonts w:hint="eastAsia" w:ascii="宋体" w:hAnsi="宋体" w:cs="微软雅黑"/>
          <w:color w:val="auto"/>
          <w:szCs w:val="21"/>
          <w:highlight w:val="none"/>
        </w:rPr>
        <w:t>要求质量标准：设计符合现行国家及浙江省的标准和技术规范；施工符合现行国家及浙江省验收标准的合格标准；交付符合发包人要求</w:t>
      </w:r>
    </w:p>
    <w:p>
      <w:pPr>
        <w:pStyle w:val="49"/>
        <w:snapToGrid w:val="0"/>
        <w:spacing w:before="60" w:beforeAutospacing="0" w:after="60" w:afterAutospacing="0" w:line="360" w:lineRule="auto"/>
        <w:ind w:firstLine="420" w:firstLineChars="200"/>
        <w:contextualSpacing/>
        <w:rPr>
          <w:rFonts w:hint="eastAsia" w:ascii="宋体" w:hAnsi="宋体" w:eastAsia="宋体" w:cs="微软雅黑"/>
          <w:bCs/>
          <w:color w:val="auto"/>
          <w:kern w:val="2"/>
          <w:sz w:val="21"/>
          <w:szCs w:val="21"/>
          <w:highlight w:val="none"/>
          <w:lang w:val="en-US" w:eastAsia="zh-CN"/>
        </w:rPr>
      </w:pPr>
      <w:r>
        <w:rPr>
          <w:rFonts w:hint="eastAsia" w:ascii="宋体" w:hAnsi="宋体" w:eastAsia="宋体" w:cs="微软雅黑"/>
          <w:bCs/>
          <w:color w:val="auto"/>
          <w:kern w:val="2"/>
          <w:sz w:val="21"/>
          <w:szCs w:val="21"/>
          <w:highlight w:val="none"/>
        </w:rPr>
        <w:t>3、付款方式：</w:t>
      </w:r>
      <w:r>
        <w:rPr>
          <w:rFonts w:hint="eastAsia" w:ascii="宋体" w:hAnsi="宋体" w:eastAsia="宋体" w:cs="微软雅黑"/>
          <w:bCs/>
          <w:color w:val="auto"/>
          <w:kern w:val="2"/>
          <w:sz w:val="21"/>
          <w:szCs w:val="21"/>
          <w:highlight w:val="none"/>
          <w:lang w:val="en-US" w:eastAsia="zh-CN"/>
        </w:rPr>
        <w:t>合同签订后15个工作日支付设计费部分的30%作为预付款，方案定稿完成施工图设计后15个工作日内支付设计费部分的40%，开始施工后15个工作日内支付建筑安装工程费部分的30%作为预付款，竣工验收合格后15个工作日内支付建筑安装工程费部分的40%，经审计后15个工作日支付至设计部分及建筑安装工程费部分审定价的100%。工程竣工结算时成交供应商向采购人一次性缴纳结算价的1.5%作为缺陷责任保修金（即质保金）。</w:t>
      </w:r>
    </w:p>
    <w:p>
      <w:pPr>
        <w:pStyle w:val="49"/>
        <w:snapToGrid w:val="0"/>
        <w:spacing w:before="60" w:beforeAutospacing="0" w:after="60" w:afterAutospacing="0" w:line="360" w:lineRule="auto"/>
        <w:ind w:firstLine="420" w:firstLineChars="200"/>
        <w:contextualSpacing/>
        <w:rPr>
          <w:rFonts w:hint="default" w:ascii="宋体" w:hAnsi="宋体" w:eastAsia="宋体" w:cs="微软雅黑"/>
          <w:bCs/>
          <w:color w:val="auto"/>
          <w:kern w:val="2"/>
          <w:sz w:val="21"/>
          <w:szCs w:val="21"/>
          <w:highlight w:val="none"/>
          <w:lang w:val="en-US" w:eastAsia="zh-CN"/>
        </w:rPr>
      </w:pPr>
      <w:r>
        <w:rPr>
          <w:rFonts w:hint="eastAsia" w:ascii="宋体" w:hAnsi="宋体" w:eastAsia="宋体" w:cs="微软雅黑"/>
          <w:bCs/>
          <w:color w:val="auto"/>
          <w:kern w:val="2"/>
          <w:sz w:val="21"/>
          <w:szCs w:val="21"/>
          <w:highlight w:val="none"/>
          <w:lang w:val="en-US" w:eastAsia="zh-CN"/>
        </w:rPr>
        <w:t>4、质保期：工程部分</w:t>
      </w:r>
      <w:r>
        <w:rPr>
          <w:rFonts w:hint="eastAsia" w:ascii="宋体" w:hAnsi="宋体" w:eastAsia="宋体"/>
          <w:bCs/>
          <w:color w:val="auto"/>
          <w:sz w:val="21"/>
          <w:szCs w:val="21"/>
          <w:highlight w:val="none"/>
        </w:rPr>
        <w:t>工程缺陷责任期</w:t>
      </w:r>
      <w:r>
        <w:rPr>
          <w:rFonts w:hint="eastAsia" w:ascii="宋体" w:hAnsi="宋体" w:eastAsia="宋体" w:cs="微软雅黑"/>
          <w:bCs/>
          <w:color w:val="auto"/>
          <w:kern w:val="2"/>
          <w:sz w:val="21"/>
          <w:szCs w:val="21"/>
          <w:highlight w:val="none"/>
          <w:lang w:val="en-US" w:eastAsia="zh-CN"/>
        </w:rPr>
        <w:t>不少于2年，设备质保按该设备原厂最长质保年限计算。</w:t>
      </w:r>
    </w:p>
    <w:p>
      <w:pPr>
        <w:pStyle w:val="49"/>
        <w:snapToGrid w:val="0"/>
        <w:spacing w:before="60" w:beforeAutospacing="0" w:after="60" w:afterAutospacing="0" w:line="360" w:lineRule="auto"/>
        <w:ind w:firstLine="420" w:firstLineChars="200"/>
        <w:contextualSpacing/>
        <w:rPr>
          <w:rFonts w:ascii="宋体" w:hAnsi="宋体" w:eastAsia="宋体"/>
          <w:bCs/>
          <w:color w:val="auto"/>
          <w:sz w:val="21"/>
          <w:szCs w:val="21"/>
          <w:highlight w:val="none"/>
        </w:rPr>
      </w:pPr>
      <w:r>
        <w:rPr>
          <w:rFonts w:hint="eastAsia" w:ascii="宋体" w:hAnsi="宋体" w:eastAsia="宋体"/>
          <w:bCs/>
          <w:color w:val="auto"/>
          <w:sz w:val="21"/>
          <w:szCs w:val="21"/>
          <w:highlight w:val="none"/>
          <w:lang w:val="en-US" w:eastAsia="zh-CN"/>
        </w:rPr>
        <w:t>5</w:t>
      </w:r>
      <w:r>
        <w:rPr>
          <w:rFonts w:hint="eastAsia" w:ascii="宋体" w:hAnsi="宋体" w:eastAsia="宋体"/>
          <w:bCs/>
          <w:color w:val="auto"/>
          <w:sz w:val="21"/>
          <w:szCs w:val="21"/>
          <w:highlight w:val="none"/>
        </w:rPr>
        <w:t>、施工图预算编制依据及</w:t>
      </w:r>
      <w:r>
        <w:rPr>
          <w:rFonts w:hint="eastAsia" w:ascii="宋体" w:hAnsi="宋体" w:eastAsia="宋体"/>
          <w:bCs/>
          <w:color w:val="auto"/>
          <w:sz w:val="21"/>
          <w:szCs w:val="21"/>
          <w:highlight w:val="none"/>
          <w:lang w:eastAsia="zh-CN"/>
        </w:rPr>
        <w:t>磋商响应报价</w:t>
      </w:r>
      <w:r>
        <w:rPr>
          <w:rFonts w:hint="eastAsia" w:ascii="宋体" w:hAnsi="宋体" w:eastAsia="宋体"/>
          <w:bCs/>
          <w:color w:val="auto"/>
          <w:sz w:val="21"/>
          <w:szCs w:val="21"/>
          <w:highlight w:val="none"/>
        </w:rPr>
        <w:t xml:space="preserve">要求：计价依据包括但不限于《浙江省建设工程计价规则》（2018 版）、《建设工程工程量清单计价规范》2013 版（GB50500-2013）及相关专业工程量计量规范；《浙江省房屋建筑与装饰工程预算定额》（2018版）；《浙江省通用安装工程预算定额》（2018 版）；《浙江省建设工程施工机械台班费用定额》（2018 版）；《浙江省建筑安装材料基期价格》（2018 版）。信息价按《嘉兴造价管理信息》、《浙江造价信息》，部分材料按市场价计取。 </w:t>
      </w:r>
    </w:p>
    <w:p>
      <w:pPr>
        <w:pStyle w:val="49"/>
        <w:snapToGrid w:val="0"/>
        <w:spacing w:before="60" w:beforeAutospacing="0" w:after="60" w:afterAutospacing="0" w:line="360" w:lineRule="auto"/>
        <w:ind w:firstLine="420" w:firstLineChars="200"/>
        <w:contextualSpacing/>
        <w:rPr>
          <w:rFonts w:ascii="宋体" w:hAnsi="宋体" w:eastAsia="宋体"/>
          <w:bCs/>
          <w:color w:val="auto"/>
          <w:sz w:val="21"/>
          <w:szCs w:val="21"/>
          <w:highlight w:val="none"/>
        </w:rPr>
      </w:pPr>
      <w:r>
        <w:rPr>
          <w:rFonts w:hint="eastAsia" w:ascii="宋体" w:hAnsi="宋体" w:eastAsia="宋体"/>
          <w:bCs/>
          <w:color w:val="auto"/>
          <w:sz w:val="21"/>
          <w:szCs w:val="21"/>
          <w:highlight w:val="none"/>
        </w:rPr>
        <w:t>安全文明施工基本费为必须计取的措施项目，本工程为市区工程，安全文明施工基本费的费率并不得低于《浙江省建设工程计价规则》（2018版）规定的一般计税费率的下限值。</w:t>
      </w:r>
    </w:p>
    <w:p>
      <w:pPr>
        <w:pStyle w:val="49"/>
        <w:snapToGrid w:val="0"/>
        <w:spacing w:before="60" w:beforeAutospacing="0" w:after="60" w:afterAutospacing="0" w:line="360" w:lineRule="auto"/>
        <w:ind w:firstLine="420" w:firstLineChars="200"/>
        <w:contextualSpacing/>
        <w:rPr>
          <w:rFonts w:ascii="宋体" w:hAnsi="宋体" w:eastAsia="宋体"/>
          <w:bCs/>
          <w:color w:val="auto"/>
          <w:sz w:val="21"/>
          <w:szCs w:val="21"/>
          <w:highlight w:val="none"/>
        </w:rPr>
      </w:pPr>
      <w:r>
        <w:rPr>
          <w:rFonts w:hint="eastAsia" w:ascii="宋体" w:hAnsi="宋体" w:eastAsia="宋体"/>
          <w:bCs/>
          <w:color w:val="auto"/>
          <w:sz w:val="21"/>
          <w:szCs w:val="21"/>
          <w:highlight w:val="none"/>
        </w:rPr>
        <w:t>规费根据嘉建办〔2019〕34号文件，投标单位报价时可根据自身项目缴纳规费的实际情况，自主确定其投标费率，但最低不得低于《浙江省建设工程计价规则》（2018版）规定的标准费率的30%。</w:t>
      </w:r>
    </w:p>
    <w:p>
      <w:pPr>
        <w:pStyle w:val="49"/>
        <w:snapToGrid w:val="0"/>
        <w:spacing w:before="60" w:beforeAutospacing="0" w:after="60" w:afterAutospacing="0" w:line="360" w:lineRule="auto"/>
        <w:ind w:firstLine="420" w:firstLineChars="200"/>
        <w:contextualSpacing/>
        <w:rPr>
          <w:rFonts w:ascii="宋体" w:hAnsi="宋体" w:eastAsia="宋体"/>
          <w:bCs/>
          <w:color w:val="auto"/>
          <w:sz w:val="21"/>
          <w:szCs w:val="21"/>
          <w:highlight w:val="none"/>
        </w:rPr>
      </w:pPr>
      <w:r>
        <w:rPr>
          <w:rFonts w:hint="eastAsia" w:ascii="宋体" w:hAnsi="宋体" w:eastAsia="宋体"/>
          <w:bCs/>
          <w:color w:val="auto"/>
          <w:sz w:val="21"/>
          <w:szCs w:val="21"/>
          <w:highlight w:val="none"/>
        </w:rPr>
        <w:t>税金属不可竞争费用，按《关于增值税调整后我省建设工程计价依据增值税及有关计价调整的通知》（浙建建发[2019]92号）文规定，按9%计取。</w:t>
      </w:r>
    </w:p>
    <w:p>
      <w:pPr>
        <w:pStyle w:val="49"/>
        <w:snapToGrid w:val="0"/>
        <w:spacing w:before="60" w:beforeAutospacing="0" w:after="60" w:afterAutospacing="0" w:line="360" w:lineRule="auto"/>
        <w:ind w:firstLine="420" w:firstLineChars="200"/>
        <w:contextualSpacing/>
        <w:rPr>
          <w:rFonts w:ascii="宋体" w:hAnsi="宋体" w:eastAsia="宋体"/>
          <w:bCs/>
          <w:color w:val="auto"/>
          <w:sz w:val="21"/>
          <w:szCs w:val="21"/>
          <w:highlight w:val="none"/>
        </w:rPr>
      </w:pPr>
      <w:r>
        <w:rPr>
          <w:rFonts w:hint="eastAsia" w:ascii="宋体" w:hAnsi="宋体" w:eastAsia="宋体"/>
          <w:bCs/>
          <w:color w:val="auto"/>
          <w:sz w:val="21"/>
          <w:szCs w:val="21"/>
          <w:highlight w:val="none"/>
        </w:rPr>
        <w:t>5、</w:t>
      </w:r>
      <w:r>
        <w:rPr>
          <w:rFonts w:hint="eastAsia" w:ascii="宋体" w:hAnsi="宋体" w:eastAsia="宋体"/>
          <w:bCs/>
          <w:color w:val="auto"/>
          <w:sz w:val="21"/>
          <w:szCs w:val="21"/>
          <w:highlight w:val="none"/>
          <w:lang w:eastAsia="zh-CN"/>
        </w:rPr>
        <w:t>供应商</w:t>
      </w:r>
      <w:r>
        <w:rPr>
          <w:rFonts w:hint="eastAsia" w:ascii="宋体" w:hAnsi="宋体" w:eastAsia="宋体"/>
          <w:bCs/>
          <w:color w:val="auto"/>
          <w:sz w:val="21"/>
          <w:szCs w:val="21"/>
          <w:highlight w:val="none"/>
        </w:rPr>
        <w:t>应根据投标须知、工程量清单、清单说明中工程做法、招标答疑、技术规范、合同条款及本省2018版计价依据等要求进行报价。</w:t>
      </w:r>
    </w:p>
    <w:p>
      <w:pPr>
        <w:pStyle w:val="49"/>
        <w:snapToGrid w:val="0"/>
        <w:spacing w:before="60" w:beforeAutospacing="0" w:after="60" w:afterAutospacing="0" w:line="360" w:lineRule="auto"/>
        <w:ind w:firstLine="420" w:firstLineChars="200"/>
        <w:contextualSpacing/>
        <w:rPr>
          <w:rFonts w:ascii="宋体" w:hAnsi="宋体" w:eastAsia="宋体"/>
          <w:bCs/>
          <w:color w:val="auto"/>
          <w:sz w:val="21"/>
          <w:szCs w:val="21"/>
          <w:highlight w:val="none"/>
        </w:rPr>
      </w:pPr>
      <w:r>
        <w:rPr>
          <w:rFonts w:hint="eastAsia" w:ascii="宋体" w:hAnsi="宋体" w:eastAsia="宋体"/>
          <w:bCs/>
          <w:color w:val="auto"/>
          <w:sz w:val="21"/>
          <w:szCs w:val="21"/>
          <w:highlight w:val="none"/>
          <w:lang w:val="en-US" w:eastAsia="zh-CN"/>
        </w:rPr>
        <w:t>6</w:t>
      </w:r>
      <w:r>
        <w:rPr>
          <w:rFonts w:hint="eastAsia" w:ascii="宋体" w:hAnsi="宋体" w:eastAsia="宋体"/>
          <w:bCs/>
          <w:color w:val="auto"/>
          <w:sz w:val="21"/>
          <w:szCs w:val="21"/>
          <w:highlight w:val="none"/>
        </w:rPr>
        <w:t>、后续服务：包括但不限于：提供项目交接、使用手册等，项目设备质保期、装饰装修工程缺陷责任期的相关服务。</w:t>
      </w:r>
    </w:p>
    <w:p>
      <w:pPr>
        <w:pStyle w:val="29"/>
        <w:tabs>
          <w:tab w:val="left" w:pos="630"/>
        </w:tabs>
        <w:spacing w:line="360" w:lineRule="auto"/>
        <w:ind w:right="42" w:rightChars="20" w:firstLine="420" w:firstLineChars="200"/>
        <w:jc w:val="left"/>
        <w:rPr>
          <w:rFonts w:ascii="宋体" w:hAnsi="宋体" w:eastAsia="宋体"/>
          <w:bCs/>
          <w:color w:val="auto"/>
          <w:szCs w:val="21"/>
          <w:highlight w:val="none"/>
        </w:rPr>
      </w:pPr>
      <w:r>
        <w:rPr>
          <w:rFonts w:hint="eastAsia" w:ascii="宋体" w:hAnsi="宋体" w:eastAsia="宋体"/>
          <w:bCs/>
          <w:color w:val="auto"/>
          <w:szCs w:val="21"/>
          <w:highlight w:val="none"/>
        </w:rPr>
        <w:t>附：</w:t>
      </w:r>
    </w:p>
    <w:p>
      <w:pPr>
        <w:pStyle w:val="29"/>
        <w:numPr>
          <w:ilvl w:val="0"/>
          <w:numId w:val="4"/>
        </w:numPr>
        <w:snapToGrid w:val="0"/>
        <w:spacing w:line="360" w:lineRule="auto"/>
        <w:ind w:firstLine="420" w:firstLineChars="200"/>
        <w:jc w:val="left"/>
        <w:rPr>
          <w:rFonts w:hint="eastAsia" w:hAnsi="宋体"/>
          <w:color w:val="auto"/>
          <w:szCs w:val="21"/>
          <w:highlight w:val="none"/>
          <w:lang w:val="en-US" w:eastAsia="zh-CN"/>
        </w:rPr>
      </w:pPr>
      <w:r>
        <w:rPr>
          <w:rFonts w:hint="eastAsia" w:hAnsi="宋体"/>
          <w:color w:val="auto"/>
          <w:szCs w:val="21"/>
          <w:highlight w:val="none"/>
          <w:lang w:val="en-US" w:eastAsia="zh-CN"/>
        </w:rPr>
        <w:t>原场地施工图</w:t>
      </w:r>
    </w:p>
    <w:p>
      <w:pPr>
        <w:ind w:firstLine="420" w:firstLineChars="200"/>
        <w:rPr>
          <w:rFonts w:hint="default"/>
          <w:lang w:val="en-US" w:eastAsia="zh-CN"/>
        </w:rPr>
      </w:pPr>
      <w:r>
        <w:rPr>
          <w:rFonts w:hint="eastAsia" w:hAnsi="宋体"/>
          <w:color w:val="auto"/>
          <w:szCs w:val="21"/>
          <w:highlight w:val="none"/>
          <w:lang w:val="en-US" w:eastAsia="zh-CN"/>
        </w:rPr>
        <w:t>2、清单</w:t>
      </w:r>
    </w:p>
    <w:p>
      <w:pPr>
        <w:spacing w:before="120" w:beforeLines="50" w:after="120" w:afterLines="50" w:line="360" w:lineRule="auto"/>
        <w:jc w:val="center"/>
        <w:outlineLvl w:val="1"/>
        <w:rPr>
          <w:rFonts w:hint="eastAsia" w:ascii="宋体" w:hAnsi="宋体"/>
          <w:b/>
          <w:bCs/>
          <w:color w:val="auto"/>
          <w:kern w:val="2"/>
          <w:szCs w:val="21"/>
          <w:highlight w:val="none"/>
        </w:rPr>
      </w:pPr>
    </w:p>
    <w:p>
      <w:pPr>
        <w:pStyle w:val="100"/>
        <w:rPr>
          <w:rFonts w:hint="eastAsia" w:ascii="宋体" w:hAnsi="宋体"/>
          <w:b w:val="0"/>
          <w:bCs w:val="0"/>
          <w:color w:val="auto"/>
          <w:kern w:val="2"/>
          <w:szCs w:val="21"/>
          <w:highlight w:val="none"/>
        </w:rPr>
      </w:pPr>
    </w:p>
    <w:p>
      <w:pPr>
        <w:pStyle w:val="20"/>
        <w:rPr>
          <w:rFonts w:hint="eastAsia" w:ascii="宋体" w:hAnsi="宋体"/>
          <w:b/>
          <w:bCs/>
          <w:color w:val="auto"/>
          <w:kern w:val="2"/>
          <w:szCs w:val="21"/>
          <w:highlight w:val="none"/>
        </w:rPr>
      </w:pPr>
    </w:p>
    <w:p>
      <w:pPr>
        <w:pStyle w:val="21"/>
        <w:rPr>
          <w:rFonts w:hint="eastAsia" w:ascii="宋体" w:hAnsi="宋体"/>
          <w:b/>
          <w:bCs/>
          <w:color w:val="auto"/>
          <w:kern w:val="2"/>
          <w:szCs w:val="21"/>
          <w:highlight w:val="none"/>
        </w:rPr>
      </w:pPr>
    </w:p>
    <w:p>
      <w:pPr>
        <w:rPr>
          <w:rFonts w:hint="eastAsia" w:ascii="宋体" w:hAnsi="宋体"/>
          <w:b/>
          <w:bCs/>
          <w:color w:val="auto"/>
          <w:kern w:val="2"/>
          <w:szCs w:val="21"/>
          <w:highlight w:val="none"/>
        </w:rPr>
      </w:pPr>
    </w:p>
    <w:p>
      <w:pPr>
        <w:spacing w:before="120" w:beforeLines="50" w:after="120" w:afterLines="50" w:line="360" w:lineRule="auto"/>
        <w:jc w:val="center"/>
        <w:outlineLvl w:val="1"/>
        <w:rPr>
          <w:rFonts w:hint="eastAsia" w:ascii="宋体" w:hAnsi="宋体"/>
          <w:b/>
          <w:bCs/>
          <w:color w:val="auto"/>
          <w:kern w:val="2"/>
          <w:szCs w:val="21"/>
          <w:highlight w:val="none"/>
        </w:rPr>
      </w:pPr>
    </w:p>
    <w:p>
      <w:pPr>
        <w:spacing w:before="120" w:beforeLines="50" w:after="120" w:afterLines="50" w:line="360" w:lineRule="auto"/>
        <w:jc w:val="center"/>
        <w:outlineLvl w:val="1"/>
        <w:rPr>
          <w:rFonts w:hint="eastAsia" w:ascii="宋体" w:hAnsi="宋体"/>
          <w:b/>
          <w:bCs/>
          <w:color w:val="auto"/>
          <w:kern w:val="2"/>
          <w:szCs w:val="21"/>
          <w:highlight w:val="none"/>
        </w:rPr>
      </w:pPr>
    </w:p>
    <w:p>
      <w:pPr>
        <w:pStyle w:val="4"/>
        <w:rPr>
          <w:rFonts w:hint="eastAsia" w:ascii="宋体" w:hAnsi="宋体"/>
          <w:b/>
          <w:bCs w:val="0"/>
          <w:color w:val="auto"/>
          <w:kern w:val="2"/>
          <w:szCs w:val="21"/>
          <w:highlight w:val="none"/>
        </w:rPr>
      </w:pPr>
    </w:p>
    <w:p>
      <w:pPr>
        <w:rPr>
          <w:rFonts w:hint="eastAsia" w:ascii="宋体" w:hAnsi="宋体"/>
          <w:b/>
          <w:bCs/>
          <w:color w:val="auto"/>
          <w:kern w:val="2"/>
          <w:szCs w:val="21"/>
          <w:highlight w:val="none"/>
        </w:rPr>
      </w:pPr>
    </w:p>
    <w:p>
      <w:pPr>
        <w:rPr>
          <w:rFonts w:hint="eastAsia" w:ascii="宋体" w:hAnsi="宋体"/>
          <w:b/>
          <w:bCs/>
          <w:color w:val="auto"/>
          <w:kern w:val="2"/>
          <w:szCs w:val="21"/>
          <w:highlight w:val="none"/>
        </w:rPr>
      </w:pPr>
    </w:p>
    <w:p>
      <w:pPr>
        <w:spacing w:before="120" w:beforeLines="50" w:after="120" w:afterLines="50" w:line="360" w:lineRule="auto"/>
        <w:jc w:val="center"/>
        <w:outlineLvl w:val="1"/>
        <w:rPr>
          <w:rFonts w:hint="eastAsia" w:ascii="宋体" w:hAnsi="宋体"/>
          <w:b/>
          <w:bCs/>
          <w:color w:val="auto"/>
          <w:kern w:val="2"/>
          <w:szCs w:val="21"/>
          <w:highlight w:val="none"/>
        </w:rPr>
      </w:pPr>
    </w:p>
    <w:p>
      <w:pPr>
        <w:pStyle w:val="2"/>
        <w:rPr>
          <w:rFonts w:hint="eastAsia" w:ascii="宋体" w:hAnsi="宋体"/>
          <w:b/>
          <w:bCs/>
          <w:color w:val="auto"/>
          <w:kern w:val="2"/>
          <w:szCs w:val="21"/>
          <w:highlight w:val="none"/>
        </w:rPr>
      </w:pPr>
    </w:p>
    <w:p>
      <w:pPr>
        <w:pStyle w:val="2"/>
        <w:rPr>
          <w:rFonts w:hint="eastAsia" w:ascii="宋体" w:hAnsi="宋体"/>
          <w:b/>
          <w:bCs/>
          <w:color w:val="auto"/>
          <w:kern w:val="2"/>
          <w:szCs w:val="21"/>
          <w:highlight w:val="none"/>
        </w:rPr>
      </w:pPr>
    </w:p>
    <w:p>
      <w:pPr>
        <w:pStyle w:val="2"/>
        <w:rPr>
          <w:rFonts w:hint="eastAsia" w:ascii="宋体" w:hAnsi="宋体"/>
          <w:b/>
          <w:bCs/>
          <w:color w:val="auto"/>
          <w:kern w:val="2"/>
          <w:szCs w:val="21"/>
          <w:highlight w:val="none"/>
        </w:rPr>
      </w:pPr>
    </w:p>
    <w:p>
      <w:pPr>
        <w:pStyle w:val="2"/>
        <w:rPr>
          <w:rFonts w:hint="eastAsia" w:ascii="宋体" w:hAnsi="宋体"/>
          <w:b/>
          <w:bCs/>
          <w:color w:val="auto"/>
          <w:kern w:val="2"/>
          <w:szCs w:val="21"/>
          <w:highlight w:val="none"/>
        </w:rPr>
      </w:pPr>
    </w:p>
    <w:p>
      <w:pPr>
        <w:pStyle w:val="2"/>
        <w:rPr>
          <w:rFonts w:hint="eastAsia" w:ascii="宋体" w:hAnsi="宋体"/>
          <w:b/>
          <w:bCs/>
          <w:color w:val="auto"/>
          <w:kern w:val="2"/>
          <w:szCs w:val="21"/>
          <w:highlight w:val="none"/>
        </w:rPr>
      </w:pPr>
    </w:p>
    <w:p>
      <w:pPr>
        <w:pStyle w:val="2"/>
        <w:rPr>
          <w:rFonts w:hint="eastAsia" w:ascii="宋体" w:hAnsi="宋体"/>
          <w:b/>
          <w:bCs/>
          <w:color w:val="auto"/>
          <w:kern w:val="2"/>
          <w:szCs w:val="21"/>
          <w:highlight w:val="none"/>
        </w:rPr>
      </w:pPr>
    </w:p>
    <w:p>
      <w:pPr>
        <w:pStyle w:val="2"/>
        <w:rPr>
          <w:rFonts w:hint="eastAsia" w:ascii="宋体" w:hAnsi="宋体"/>
          <w:b/>
          <w:bCs/>
          <w:color w:val="auto"/>
          <w:kern w:val="2"/>
          <w:szCs w:val="21"/>
          <w:highlight w:val="none"/>
        </w:rPr>
      </w:pPr>
    </w:p>
    <w:p>
      <w:pPr>
        <w:numPr>
          <w:ilvl w:val="0"/>
          <w:numId w:val="3"/>
        </w:numPr>
        <w:spacing w:before="120" w:beforeLines="50" w:after="120" w:afterLines="50" w:line="360" w:lineRule="auto"/>
        <w:ind w:left="0" w:leftChars="0" w:firstLine="0" w:firstLineChars="0"/>
        <w:jc w:val="center"/>
        <w:outlineLvl w:val="1"/>
        <w:rPr>
          <w:rFonts w:hint="eastAsia" w:ascii="宋体" w:hAnsi="宋体"/>
          <w:b/>
          <w:bCs/>
          <w:color w:val="auto"/>
          <w:kern w:val="2"/>
          <w:szCs w:val="21"/>
          <w:highlight w:val="none"/>
        </w:rPr>
      </w:pPr>
      <w:r>
        <w:rPr>
          <w:rFonts w:hint="eastAsia" w:ascii="宋体" w:hAnsi="宋体"/>
          <w:b/>
          <w:bCs/>
          <w:color w:val="auto"/>
          <w:kern w:val="2"/>
          <w:szCs w:val="21"/>
          <w:highlight w:val="none"/>
        </w:rPr>
        <w:t>供应商须知</w:t>
      </w:r>
    </w:p>
    <w:p>
      <w:pPr>
        <w:pStyle w:val="2"/>
        <w:numPr>
          <w:ilvl w:val="0"/>
          <w:numId w:val="0"/>
        </w:numPr>
        <w:ind w:leftChars="0"/>
        <w:rPr>
          <w:rFonts w:hint="eastAsia"/>
        </w:rPr>
      </w:pPr>
    </w:p>
    <w:p>
      <w:pPr>
        <w:spacing w:line="360" w:lineRule="auto"/>
        <w:ind w:firstLine="211" w:firstLineChars="100"/>
        <w:jc w:val="center"/>
        <w:rPr>
          <w:rFonts w:hint="eastAsia" w:ascii="宋体" w:hAnsi="宋体" w:eastAsia="宋体" w:cs="宋体"/>
          <w:b/>
          <w:bCs/>
          <w:sz w:val="21"/>
          <w:szCs w:val="21"/>
        </w:rPr>
      </w:pPr>
      <w:r>
        <w:rPr>
          <w:rFonts w:hint="eastAsia" w:ascii="宋体" w:hAnsi="宋体" w:eastAsia="宋体" w:cs="宋体"/>
          <w:b/>
          <w:bCs/>
          <w:sz w:val="21"/>
          <w:szCs w:val="21"/>
        </w:rPr>
        <w:t>电子交易注意事项</w:t>
      </w:r>
    </w:p>
    <w:p>
      <w:pPr>
        <w:spacing w:line="360" w:lineRule="auto"/>
        <w:ind w:firstLine="210" w:firstLineChars="100"/>
        <w:jc w:val="left"/>
        <w:rPr>
          <w:rFonts w:hint="eastAsia" w:ascii="宋体" w:hAnsi="宋体" w:eastAsia="宋体" w:cs="宋体"/>
          <w:sz w:val="21"/>
          <w:szCs w:val="21"/>
          <w:shd w:val="clear" w:color="auto" w:fill="FFFFFF"/>
        </w:rPr>
      </w:pPr>
      <w:r>
        <w:rPr>
          <w:rFonts w:hint="eastAsia" w:ascii="宋体" w:hAnsi="宋体" w:eastAsia="宋体" w:cs="宋体"/>
          <w:sz w:val="21"/>
          <w:szCs w:val="21"/>
          <w:shd w:val="clear" w:color="auto" w:fill="FFFFFF"/>
        </w:rPr>
        <w:t>　政府采购项目电子交易活动适用《浙江省政府采购项目电子交易管理暂行办法》，现将相关注意事项告知如下：</w:t>
      </w:r>
    </w:p>
    <w:p>
      <w:pPr>
        <w:spacing w:line="360" w:lineRule="auto"/>
        <w:ind w:firstLine="210" w:firstLineChars="100"/>
        <w:jc w:val="left"/>
        <w:rPr>
          <w:rFonts w:hint="eastAsia" w:ascii="宋体" w:hAnsi="宋体" w:eastAsia="宋体" w:cs="宋体"/>
          <w:sz w:val="21"/>
          <w:szCs w:val="21"/>
        </w:rPr>
      </w:pPr>
      <w:r>
        <w:rPr>
          <w:rFonts w:hint="eastAsia" w:ascii="宋体" w:hAnsi="宋体" w:eastAsia="宋体" w:cs="宋体"/>
          <w:sz w:val="21"/>
          <w:szCs w:val="21"/>
        </w:rPr>
        <w:t>　1、招标代理机构按照磋商文件规定的时间通过电子交易平台组织开标、开启响应文件，所有供应商均应当准时在线参加，直至评审结束。</w:t>
      </w:r>
    </w:p>
    <w:p>
      <w:pPr>
        <w:pStyle w:val="49"/>
        <w:spacing w:line="360" w:lineRule="auto"/>
        <w:ind w:firstLine="210" w:firstLineChars="100"/>
        <w:rPr>
          <w:rFonts w:hint="eastAsia" w:ascii="宋体" w:hAnsi="宋体" w:eastAsia="宋体" w:cs="宋体"/>
          <w:kern w:val="2"/>
          <w:sz w:val="21"/>
          <w:szCs w:val="21"/>
        </w:rPr>
      </w:pPr>
      <w:r>
        <w:rPr>
          <w:rFonts w:hint="eastAsia" w:ascii="宋体" w:hAnsi="宋体" w:eastAsia="宋体" w:cs="宋体"/>
          <w:kern w:val="2"/>
          <w:sz w:val="21"/>
          <w:szCs w:val="21"/>
        </w:rPr>
        <w:t>　2、响应文件未按时解密，供应商如提供备份响应文件的，以符合要求的备份响应文件作为依据，否则视为响应文件撤回。响应文件已按时解密的，备份响应文件自动失效。</w:t>
      </w:r>
    </w:p>
    <w:p>
      <w:pPr>
        <w:pStyle w:val="49"/>
        <w:spacing w:line="360" w:lineRule="auto"/>
        <w:ind w:firstLine="210" w:firstLineChars="100"/>
        <w:rPr>
          <w:rFonts w:hint="eastAsia" w:ascii="宋体" w:hAnsi="宋体" w:eastAsia="宋体" w:cs="宋体"/>
          <w:kern w:val="2"/>
          <w:sz w:val="21"/>
          <w:szCs w:val="21"/>
        </w:rPr>
      </w:pPr>
      <w:r>
        <w:rPr>
          <w:rFonts w:hint="eastAsia" w:ascii="宋体" w:hAnsi="宋体" w:eastAsia="宋体" w:cs="宋体"/>
          <w:kern w:val="2"/>
          <w:sz w:val="21"/>
          <w:szCs w:val="21"/>
        </w:rPr>
        <w:t>　3、采购过程中出现以下情形，导致电子交易平台无法正常运行，或者无法保证电子交易的公平、公正和安全时，招标代理机构可中止电子交易活动：</w:t>
      </w:r>
    </w:p>
    <w:p>
      <w:pPr>
        <w:pStyle w:val="49"/>
        <w:spacing w:line="360" w:lineRule="auto"/>
        <w:ind w:firstLine="645"/>
        <w:rPr>
          <w:rFonts w:hint="eastAsia" w:ascii="宋体" w:hAnsi="宋体" w:eastAsia="宋体" w:cs="宋体"/>
          <w:kern w:val="2"/>
          <w:sz w:val="21"/>
          <w:szCs w:val="21"/>
        </w:rPr>
      </w:pPr>
      <w:r>
        <w:rPr>
          <w:rFonts w:hint="eastAsia" w:ascii="宋体" w:hAnsi="宋体" w:eastAsia="宋体" w:cs="宋体"/>
          <w:kern w:val="2"/>
          <w:sz w:val="21"/>
          <w:szCs w:val="21"/>
        </w:rPr>
        <w:t>（一）电子交易平台发生故障而无法登录访问的； </w:t>
      </w:r>
    </w:p>
    <w:p>
      <w:pPr>
        <w:pStyle w:val="49"/>
        <w:spacing w:line="360" w:lineRule="auto"/>
        <w:ind w:firstLine="645"/>
        <w:rPr>
          <w:rFonts w:hint="eastAsia" w:ascii="宋体" w:hAnsi="宋体" w:eastAsia="宋体" w:cs="宋体"/>
          <w:kern w:val="2"/>
          <w:sz w:val="21"/>
          <w:szCs w:val="21"/>
        </w:rPr>
      </w:pPr>
      <w:r>
        <w:rPr>
          <w:rFonts w:hint="eastAsia" w:ascii="宋体" w:hAnsi="宋体" w:eastAsia="宋体" w:cs="宋体"/>
          <w:kern w:val="2"/>
          <w:sz w:val="21"/>
          <w:szCs w:val="21"/>
        </w:rPr>
        <w:t>（二）电子交易平台应用或数据库出现错误，不能进行正常操作的；</w:t>
      </w:r>
    </w:p>
    <w:p>
      <w:pPr>
        <w:pStyle w:val="49"/>
        <w:spacing w:line="360" w:lineRule="auto"/>
        <w:ind w:firstLine="645"/>
        <w:rPr>
          <w:rFonts w:hint="eastAsia" w:ascii="宋体" w:hAnsi="宋体" w:eastAsia="宋体" w:cs="宋体"/>
          <w:kern w:val="2"/>
          <w:sz w:val="21"/>
          <w:szCs w:val="21"/>
        </w:rPr>
      </w:pPr>
      <w:r>
        <w:rPr>
          <w:rFonts w:hint="eastAsia" w:ascii="宋体" w:hAnsi="宋体" w:eastAsia="宋体" w:cs="宋体"/>
          <w:kern w:val="2"/>
          <w:sz w:val="21"/>
          <w:szCs w:val="21"/>
        </w:rPr>
        <w:t>（三）电子交易平台发现严重安全漏洞，有潜在泄密危险的；</w:t>
      </w:r>
    </w:p>
    <w:p>
      <w:pPr>
        <w:pStyle w:val="49"/>
        <w:spacing w:line="360" w:lineRule="auto"/>
        <w:ind w:firstLine="645"/>
        <w:rPr>
          <w:rFonts w:hint="eastAsia" w:ascii="宋体" w:hAnsi="宋体" w:eastAsia="宋体" w:cs="宋体"/>
          <w:kern w:val="2"/>
          <w:sz w:val="21"/>
          <w:szCs w:val="21"/>
        </w:rPr>
      </w:pPr>
      <w:r>
        <w:rPr>
          <w:rFonts w:hint="eastAsia" w:ascii="宋体" w:hAnsi="宋体" w:eastAsia="宋体" w:cs="宋体"/>
          <w:kern w:val="2"/>
          <w:sz w:val="21"/>
          <w:szCs w:val="21"/>
        </w:rPr>
        <w:t>（四）病毒发作导致不能进行正常操作的； </w:t>
      </w:r>
    </w:p>
    <w:p>
      <w:pPr>
        <w:pStyle w:val="49"/>
        <w:spacing w:line="360" w:lineRule="auto"/>
        <w:ind w:firstLine="645"/>
        <w:rPr>
          <w:rFonts w:hint="eastAsia" w:ascii="宋体" w:hAnsi="宋体" w:eastAsia="宋体" w:cs="宋体"/>
          <w:kern w:val="2"/>
          <w:sz w:val="21"/>
          <w:szCs w:val="21"/>
        </w:rPr>
      </w:pPr>
      <w:r>
        <w:rPr>
          <w:rFonts w:hint="eastAsia" w:ascii="宋体" w:hAnsi="宋体" w:eastAsia="宋体" w:cs="宋体"/>
          <w:kern w:val="2"/>
          <w:sz w:val="21"/>
          <w:szCs w:val="21"/>
        </w:rPr>
        <w:t>（五）其他无法保证电子交易的公平、公正和安全的情况。</w:t>
      </w:r>
    </w:p>
    <w:p>
      <w:pPr>
        <w:pStyle w:val="49"/>
        <w:spacing w:line="360" w:lineRule="auto"/>
        <w:ind w:firstLine="480"/>
        <w:rPr>
          <w:rFonts w:hint="eastAsia" w:ascii="宋体" w:hAnsi="宋体" w:eastAsia="宋体" w:cs="宋体"/>
          <w:kern w:val="2"/>
          <w:sz w:val="21"/>
          <w:szCs w:val="21"/>
        </w:rPr>
      </w:pPr>
      <w:r>
        <w:rPr>
          <w:rFonts w:hint="eastAsia" w:ascii="宋体" w:hAnsi="宋体" w:eastAsia="宋体" w:cs="宋体"/>
          <w:kern w:val="2"/>
          <w:sz w:val="21"/>
          <w:szCs w:val="21"/>
        </w:rPr>
        <w:t>出现前款规定情形，不影响采购公平、公正性的，招标代理机构可以待上述情形消除后继续组织电子交易活动，也可以决定某些环节以纸质形式进行；影响或可能影响采购公平、公正性的，应当重新采购。</w:t>
      </w:r>
    </w:p>
    <w:p>
      <w:pPr>
        <w:pStyle w:val="49"/>
        <w:spacing w:after="120" w:line="360" w:lineRule="auto"/>
        <w:ind w:firstLine="480"/>
        <w:rPr>
          <w:rFonts w:hint="eastAsia" w:ascii="宋体" w:hAnsi="宋体" w:eastAsia="宋体" w:cs="宋体"/>
          <w:sz w:val="21"/>
          <w:szCs w:val="21"/>
          <w:shd w:val="clear" w:color="auto" w:fill="FFFFFF"/>
        </w:rPr>
      </w:pPr>
      <w:r>
        <w:rPr>
          <w:rFonts w:hint="eastAsia" w:ascii="宋体" w:hAnsi="宋体" w:eastAsia="宋体" w:cs="宋体"/>
          <w:sz w:val="21"/>
          <w:szCs w:val="21"/>
          <w:shd w:val="clear" w:color="auto" w:fill="FFFFFF"/>
        </w:rPr>
        <w:t>4、评审中需要供应商对磋商文件作出澄清、说明或者补正的，评审小组和供应商应当通过电子交易平台交换数据电文。供应商需在半小时内提交澄清说明或补正，供应商已经明确表示澄清说明或补正完毕的除外。</w:t>
      </w:r>
    </w:p>
    <w:p>
      <w:pPr>
        <w:spacing w:before="120" w:beforeLines="50" w:after="120" w:afterLines="50" w:line="360" w:lineRule="auto"/>
        <w:ind w:firstLine="4427" w:firstLineChars="2100"/>
        <w:outlineLvl w:val="1"/>
        <w:rPr>
          <w:rFonts w:hint="eastAsia" w:ascii="宋体" w:hAnsi="宋体"/>
          <w:b/>
          <w:bCs/>
          <w:color w:val="auto"/>
          <w:kern w:val="2"/>
          <w:szCs w:val="21"/>
          <w:highlight w:val="none"/>
        </w:rPr>
      </w:pPr>
    </w:p>
    <w:p>
      <w:pPr>
        <w:spacing w:before="120" w:beforeLines="50" w:after="120" w:afterLines="50" w:line="360" w:lineRule="auto"/>
        <w:ind w:firstLine="4427" w:firstLineChars="2100"/>
        <w:outlineLvl w:val="1"/>
        <w:rPr>
          <w:rFonts w:hint="eastAsia" w:ascii="宋体" w:hAnsi="宋体"/>
          <w:b/>
          <w:bCs/>
          <w:color w:val="auto"/>
          <w:kern w:val="2"/>
          <w:szCs w:val="21"/>
          <w:highlight w:val="none"/>
        </w:rPr>
      </w:pPr>
      <w:r>
        <w:rPr>
          <w:rFonts w:hint="eastAsia" w:ascii="宋体" w:hAnsi="宋体"/>
          <w:b/>
          <w:bCs/>
          <w:color w:val="auto"/>
          <w:kern w:val="2"/>
          <w:szCs w:val="21"/>
          <w:highlight w:val="none"/>
        </w:rPr>
        <w:t>前附表</w:t>
      </w:r>
    </w:p>
    <w:tbl>
      <w:tblPr>
        <w:tblStyle w:val="54"/>
        <w:tblW w:w="9288" w:type="dxa"/>
        <w:tblInd w:w="-102" w:type="dxa"/>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636"/>
        <w:gridCol w:w="8652"/>
      </w:tblGrid>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188" w:hRule="atLeast"/>
        </w:trPr>
        <w:tc>
          <w:tcPr>
            <w:tcW w:w="636" w:type="dxa"/>
            <w:tcBorders>
              <w:top w:val="single" w:color="auto" w:sz="4" w:space="0"/>
              <w:left w:val="single" w:color="auto" w:sz="4" w:space="0"/>
              <w:bottom w:val="single" w:color="auto" w:sz="4" w:space="0"/>
              <w:right w:val="single" w:color="auto" w:sz="4" w:space="0"/>
            </w:tcBorders>
            <w:noWrap w:val="0"/>
            <w:vAlign w:val="center"/>
          </w:tcPr>
          <w:p>
            <w:pPr>
              <w:snapToGrid w:val="0"/>
              <w:spacing w:line="360" w:lineRule="auto"/>
              <w:jc w:val="center"/>
              <w:rPr>
                <w:rFonts w:ascii="宋体" w:hAnsi="宋体" w:cs="微软雅黑"/>
                <w:color w:val="auto"/>
                <w:szCs w:val="21"/>
                <w:highlight w:val="none"/>
              </w:rPr>
            </w:pPr>
            <w:r>
              <w:rPr>
                <w:rFonts w:hint="eastAsia" w:ascii="宋体" w:hAnsi="宋体" w:cs="微软雅黑"/>
                <w:color w:val="auto"/>
                <w:szCs w:val="21"/>
                <w:highlight w:val="none"/>
              </w:rPr>
              <w:t>序号</w:t>
            </w:r>
          </w:p>
        </w:tc>
        <w:tc>
          <w:tcPr>
            <w:tcW w:w="8652" w:type="dxa"/>
            <w:tcBorders>
              <w:top w:val="single" w:color="auto" w:sz="4" w:space="0"/>
              <w:left w:val="single" w:color="auto" w:sz="4" w:space="0"/>
              <w:bottom w:val="single" w:color="auto" w:sz="4" w:space="0"/>
              <w:right w:val="single" w:color="auto" w:sz="4" w:space="0"/>
            </w:tcBorders>
            <w:noWrap w:val="0"/>
            <w:vAlign w:val="center"/>
          </w:tcPr>
          <w:p>
            <w:pPr>
              <w:snapToGrid w:val="0"/>
              <w:spacing w:line="360" w:lineRule="auto"/>
              <w:jc w:val="left"/>
              <w:rPr>
                <w:rFonts w:ascii="宋体" w:hAnsi="宋体" w:cs="微软雅黑"/>
                <w:color w:val="auto"/>
                <w:szCs w:val="21"/>
                <w:highlight w:val="none"/>
              </w:rPr>
            </w:pPr>
            <w:r>
              <w:rPr>
                <w:rFonts w:hint="eastAsia" w:ascii="宋体" w:hAnsi="宋体" w:cs="微软雅黑"/>
                <w:color w:val="auto"/>
                <w:szCs w:val="21"/>
                <w:highlight w:val="none"/>
              </w:rPr>
              <w:t>内容、要求</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137" w:hRule="atLeast"/>
        </w:trPr>
        <w:tc>
          <w:tcPr>
            <w:tcW w:w="636" w:type="dxa"/>
            <w:tcBorders>
              <w:top w:val="single" w:color="auto" w:sz="4" w:space="0"/>
              <w:left w:val="single" w:color="auto" w:sz="4" w:space="0"/>
              <w:bottom w:val="single" w:color="auto" w:sz="4" w:space="0"/>
              <w:right w:val="single" w:color="auto" w:sz="4" w:space="0"/>
            </w:tcBorders>
            <w:noWrap w:val="0"/>
            <w:vAlign w:val="center"/>
          </w:tcPr>
          <w:p>
            <w:pPr>
              <w:snapToGrid w:val="0"/>
              <w:spacing w:line="360" w:lineRule="auto"/>
              <w:jc w:val="center"/>
              <w:rPr>
                <w:rFonts w:ascii="宋体" w:hAnsi="宋体" w:cs="微软雅黑"/>
                <w:color w:val="auto"/>
                <w:szCs w:val="21"/>
                <w:highlight w:val="none"/>
              </w:rPr>
            </w:pPr>
            <w:r>
              <w:rPr>
                <w:rFonts w:hint="eastAsia" w:ascii="宋体" w:hAnsi="宋体" w:cs="微软雅黑"/>
                <w:color w:val="auto"/>
                <w:szCs w:val="21"/>
                <w:highlight w:val="none"/>
              </w:rPr>
              <w:t>1</w:t>
            </w:r>
          </w:p>
        </w:tc>
        <w:tc>
          <w:tcPr>
            <w:tcW w:w="8652" w:type="dxa"/>
            <w:tcBorders>
              <w:top w:val="single" w:color="auto" w:sz="4" w:space="0"/>
              <w:left w:val="single" w:color="auto" w:sz="4" w:space="0"/>
              <w:bottom w:val="single" w:color="auto" w:sz="4" w:space="0"/>
              <w:right w:val="single" w:color="auto" w:sz="4" w:space="0"/>
            </w:tcBorders>
            <w:noWrap w:val="0"/>
            <w:vAlign w:val="center"/>
          </w:tcPr>
          <w:p>
            <w:pPr>
              <w:snapToGrid w:val="0"/>
              <w:spacing w:line="360" w:lineRule="auto"/>
              <w:jc w:val="left"/>
              <w:rPr>
                <w:rFonts w:hint="eastAsia" w:ascii="宋体" w:hAnsi="宋体" w:eastAsia="宋体" w:cs="微软雅黑"/>
                <w:color w:val="auto"/>
                <w:szCs w:val="21"/>
                <w:highlight w:val="none"/>
                <w:lang w:eastAsia="zh-CN"/>
              </w:rPr>
            </w:pPr>
            <w:r>
              <w:rPr>
                <w:rFonts w:hint="eastAsia" w:ascii="宋体" w:hAnsi="宋体" w:cs="微软雅黑"/>
                <w:color w:val="auto"/>
                <w:szCs w:val="21"/>
                <w:highlight w:val="none"/>
              </w:rPr>
              <w:t>项目名称：</w:t>
            </w:r>
            <w:r>
              <w:rPr>
                <w:rFonts w:hint="eastAsia" w:ascii="宋体" w:hAnsi="宋体" w:cs="微软雅黑"/>
                <w:color w:val="auto"/>
                <w:szCs w:val="21"/>
                <w:highlight w:val="none"/>
                <w:lang w:eastAsia="zh-CN"/>
              </w:rPr>
              <w:t xml:space="preserve"> 嘉兴市实验初级中学教育集团艺术教室室内装修工程设计施工一体化项目</w:t>
            </w:r>
          </w:p>
          <w:p>
            <w:pPr>
              <w:snapToGrid w:val="0"/>
              <w:spacing w:line="360" w:lineRule="auto"/>
              <w:jc w:val="left"/>
              <w:rPr>
                <w:rFonts w:hint="eastAsia" w:ascii="宋体" w:hAnsi="宋体" w:eastAsia="宋体" w:cs="微软雅黑"/>
                <w:color w:val="auto"/>
                <w:szCs w:val="21"/>
                <w:highlight w:val="none"/>
                <w:lang w:eastAsia="zh-CN"/>
              </w:rPr>
            </w:pPr>
            <w:r>
              <w:rPr>
                <w:rFonts w:hint="eastAsia" w:ascii="宋体" w:hAnsi="宋体" w:cs="微软雅黑"/>
                <w:color w:val="auto"/>
                <w:szCs w:val="21"/>
                <w:highlight w:val="none"/>
              </w:rPr>
              <w:t>建设地点：</w:t>
            </w:r>
            <w:r>
              <w:rPr>
                <w:rFonts w:hint="eastAsia" w:ascii="宋体" w:hAnsi="宋体" w:cs="微软雅黑"/>
                <w:color w:val="auto"/>
                <w:szCs w:val="21"/>
                <w:highlight w:val="none"/>
                <w:lang w:eastAsia="zh-CN"/>
              </w:rPr>
              <w:t>嘉兴市实验初级中学教育集团</w:t>
            </w:r>
          </w:p>
          <w:p>
            <w:pPr>
              <w:snapToGrid w:val="0"/>
              <w:spacing w:line="360" w:lineRule="auto"/>
              <w:jc w:val="left"/>
              <w:rPr>
                <w:rFonts w:ascii="宋体" w:hAnsi="宋体" w:cs="微软雅黑"/>
                <w:color w:val="auto"/>
                <w:szCs w:val="21"/>
                <w:highlight w:val="none"/>
              </w:rPr>
            </w:pPr>
            <w:r>
              <w:rPr>
                <w:rFonts w:hint="eastAsia" w:ascii="宋体" w:hAnsi="宋体" w:cs="微软雅黑"/>
                <w:color w:val="auto"/>
                <w:szCs w:val="21"/>
                <w:highlight w:val="none"/>
              </w:rPr>
              <w:t>承包方式：包工包料</w:t>
            </w:r>
          </w:p>
          <w:p>
            <w:pPr>
              <w:snapToGrid w:val="0"/>
              <w:spacing w:line="360" w:lineRule="auto"/>
              <w:jc w:val="left"/>
              <w:rPr>
                <w:rFonts w:ascii="宋体" w:hAnsi="宋体" w:cs="微软雅黑"/>
                <w:color w:val="auto"/>
                <w:szCs w:val="21"/>
                <w:highlight w:val="none"/>
              </w:rPr>
            </w:pPr>
            <w:r>
              <w:rPr>
                <w:rFonts w:hint="eastAsia" w:ascii="宋体" w:hAnsi="宋体" w:cs="微软雅黑"/>
                <w:color w:val="auto"/>
                <w:szCs w:val="21"/>
                <w:highlight w:val="none"/>
              </w:rPr>
              <w:t>要求质量标准：设计符合现行国家及浙江省的标准和技术规范；施工符合现行国家及浙江省验收标准的合格标准；交付符合发包人要求</w:t>
            </w:r>
          </w:p>
          <w:p>
            <w:pPr>
              <w:snapToGrid w:val="0"/>
              <w:spacing w:line="360" w:lineRule="auto"/>
              <w:jc w:val="left"/>
              <w:rPr>
                <w:rFonts w:ascii="宋体" w:hAnsi="宋体" w:cs="微软雅黑"/>
                <w:color w:val="auto"/>
                <w:szCs w:val="21"/>
                <w:highlight w:val="none"/>
              </w:rPr>
            </w:pPr>
            <w:r>
              <w:rPr>
                <w:rFonts w:hint="eastAsia" w:ascii="宋体" w:hAnsi="宋体" w:cs="微软雅黑"/>
                <w:color w:val="auto"/>
                <w:szCs w:val="21"/>
                <w:highlight w:val="none"/>
              </w:rPr>
              <w:t>要求工期：</w:t>
            </w:r>
            <w:r>
              <w:rPr>
                <w:rFonts w:hint="eastAsia" w:cs="宋体"/>
                <w:color w:val="auto"/>
                <w:sz w:val="21"/>
                <w:szCs w:val="21"/>
                <w:highlight w:val="none"/>
              </w:rPr>
              <w:t>要求在合同签订后</w:t>
            </w:r>
            <w:r>
              <w:rPr>
                <w:rFonts w:hint="eastAsia" w:cs="宋体"/>
                <w:color w:val="auto"/>
                <w:sz w:val="21"/>
                <w:szCs w:val="21"/>
                <w:highlight w:val="none"/>
                <w:lang w:val="en-US" w:eastAsia="zh-CN"/>
              </w:rPr>
              <w:t>5</w:t>
            </w:r>
            <w:r>
              <w:rPr>
                <w:rFonts w:hint="eastAsia" w:cs="宋体"/>
                <w:color w:val="auto"/>
                <w:sz w:val="21"/>
                <w:szCs w:val="21"/>
                <w:highlight w:val="none"/>
              </w:rPr>
              <w:t>日历天内完成深化设计方案；方案定稿后</w:t>
            </w:r>
            <w:r>
              <w:rPr>
                <w:rFonts w:hint="eastAsia" w:cs="宋体"/>
                <w:color w:val="auto"/>
                <w:sz w:val="21"/>
                <w:szCs w:val="21"/>
                <w:highlight w:val="none"/>
                <w:lang w:val="en-US" w:eastAsia="zh-CN"/>
              </w:rPr>
              <w:t>5</w:t>
            </w:r>
            <w:r>
              <w:rPr>
                <w:rFonts w:hint="eastAsia" w:cs="宋体"/>
                <w:color w:val="auto"/>
                <w:sz w:val="21"/>
                <w:szCs w:val="21"/>
                <w:highlight w:val="none"/>
              </w:rPr>
              <w:t>日历天内完成施工图设计，</w:t>
            </w:r>
            <w:r>
              <w:rPr>
                <w:rFonts w:hint="eastAsia" w:cs="宋体"/>
                <w:color w:val="auto"/>
                <w:sz w:val="21"/>
                <w:szCs w:val="21"/>
                <w:highlight w:val="none"/>
                <w:lang w:val="en-US" w:eastAsia="zh-CN"/>
              </w:rPr>
              <w:t>2024年1月25日前完成所有工作</w:t>
            </w:r>
          </w:p>
          <w:p>
            <w:pPr>
              <w:snapToGrid w:val="0"/>
              <w:spacing w:line="360" w:lineRule="auto"/>
              <w:jc w:val="left"/>
              <w:rPr>
                <w:rFonts w:ascii="宋体" w:hAnsi="宋体" w:cs="微软雅黑"/>
                <w:color w:val="auto"/>
                <w:szCs w:val="21"/>
                <w:highlight w:val="none"/>
              </w:rPr>
            </w:pPr>
            <w:r>
              <w:rPr>
                <w:rFonts w:hint="eastAsia" w:ascii="宋体" w:hAnsi="宋体" w:cs="微软雅黑"/>
                <w:color w:val="auto"/>
                <w:szCs w:val="21"/>
                <w:highlight w:val="none"/>
              </w:rPr>
              <w:t xml:space="preserve">取费类别：自行判断  </w:t>
            </w:r>
          </w:p>
          <w:p>
            <w:pPr>
              <w:snapToGrid w:val="0"/>
              <w:spacing w:line="360" w:lineRule="auto"/>
              <w:jc w:val="left"/>
              <w:rPr>
                <w:rFonts w:hint="default" w:ascii="宋体" w:hAnsi="宋体" w:eastAsia="宋体" w:cs="微软雅黑"/>
                <w:color w:val="auto"/>
                <w:szCs w:val="21"/>
                <w:highlight w:val="none"/>
                <w:lang w:val="en-US" w:eastAsia="zh-CN"/>
              </w:rPr>
            </w:pPr>
            <w:r>
              <w:rPr>
                <w:rFonts w:hint="eastAsia" w:ascii="宋体" w:hAnsi="宋体" w:cs="微软雅黑"/>
                <w:color w:val="auto"/>
                <w:szCs w:val="21"/>
                <w:highlight w:val="none"/>
              </w:rPr>
              <w:t>建设地点：</w:t>
            </w:r>
            <w:r>
              <w:rPr>
                <w:rFonts w:hint="eastAsia" w:ascii="宋体" w:hAnsi="宋体" w:cs="微软雅黑"/>
                <w:color w:val="auto"/>
                <w:szCs w:val="21"/>
                <w:highlight w:val="none"/>
                <w:lang w:eastAsia="zh-CN"/>
              </w:rPr>
              <w:t>嘉兴市实验初级中学教育集团</w:t>
            </w:r>
            <w:r>
              <w:rPr>
                <w:rFonts w:hint="eastAsia" w:ascii="宋体" w:hAnsi="宋体" w:cs="微软雅黑"/>
                <w:color w:val="auto"/>
                <w:szCs w:val="21"/>
                <w:highlight w:val="none"/>
                <w:lang w:val="en-US" w:eastAsia="zh-CN"/>
              </w:rPr>
              <w:t>内</w:t>
            </w:r>
          </w:p>
          <w:p>
            <w:pPr>
              <w:snapToGrid w:val="0"/>
              <w:spacing w:line="360" w:lineRule="auto"/>
              <w:jc w:val="left"/>
              <w:rPr>
                <w:rFonts w:ascii="宋体" w:hAnsi="宋体" w:cs="微软雅黑"/>
                <w:color w:val="auto"/>
                <w:szCs w:val="21"/>
                <w:highlight w:val="none"/>
              </w:rPr>
            </w:pPr>
            <w:r>
              <w:rPr>
                <w:rFonts w:hint="eastAsia" w:ascii="宋体" w:hAnsi="宋体" w:cs="微软雅黑"/>
                <w:color w:val="auto"/>
                <w:szCs w:val="21"/>
                <w:highlight w:val="none"/>
              </w:rPr>
              <w:t>招标范围：本项目建设范围内的设计及工程施工</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11" w:hRule="atLeast"/>
        </w:trPr>
        <w:tc>
          <w:tcPr>
            <w:tcW w:w="636" w:type="dxa"/>
            <w:tcBorders>
              <w:top w:val="single" w:color="auto" w:sz="4" w:space="0"/>
              <w:left w:val="single" w:color="auto" w:sz="4" w:space="0"/>
              <w:bottom w:val="single" w:color="auto" w:sz="4" w:space="0"/>
              <w:right w:val="single" w:color="auto" w:sz="4" w:space="0"/>
            </w:tcBorders>
            <w:noWrap w:val="0"/>
            <w:vAlign w:val="center"/>
          </w:tcPr>
          <w:p>
            <w:pPr>
              <w:snapToGrid w:val="0"/>
              <w:spacing w:line="360" w:lineRule="auto"/>
              <w:jc w:val="center"/>
              <w:rPr>
                <w:rFonts w:ascii="宋体" w:hAnsi="宋体" w:cs="微软雅黑"/>
                <w:color w:val="auto"/>
                <w:szCs w:val="21"/>
                <w:highlight w:val="none"/>
              </w:rPr>
            </w:pPr>
            <w:r>
              <w:rPr>
                <w:rFonts w:hint="eastAsia" w:ascii="宋体" w:hAnsi="宋体" w:cs="微软雅黑"/>
                <w:color w:val="auto"/>
                <w:szCs w:val="21"/>
                <w:highlight w:val="none"/>
              </w:rPr>
              <w:t>2</w:t>
            </w:r>
          </w:p>
        </w:tc>
        <w:tc>
          <w:tcPr>
            <w:tcW w:w="8652" w:type="dxa"/>
            <w:tcBorders>
              <w:top w:val="single" w:color="auto" w:sz="4" w:space="0"/>
              <w:left w:val="single" w:color="auto" w:sz="4" w:space="0"/>
              <w:bottom w:val="single" w:color="auto" w:sz="4" w:space="0"/>
              <w:right w:val="single" w:color="auto" w:sz="4" w:space="0"/>
            </w:tcBorders>
            <w:noWrap w:val="0"/>
            <w:vAlign w:val="center"/>
          </w:tcPr>
          <w:p>
            <w:pPr>
              <w:snapToGrid w:val="0"/>
              <w:spacing w:line="360" w:lineRule="auto"/>
              <w:jc w:val="left"/>
              <w:rPr>
                <w:rFonts w:ascii="宋体" w:hAnsi="宋体" w:cs="微软雅黑"/>
                <w:color w:val="auto"/>
                <w:szCs w:val="21"/>
                <w:highlight w:val="none"/>
              </w:rPr>
            </w:pPr>
            <w:r>
              <w:rPr>
                <w:rFonts w:hint="eastAsia" w:ascii="宋体" w:hAnsi="宋体"/>
                <w:color w:val="auto"/>
                <w:szCs w:val="21"/>
                <w:highlight w:val="none"/>
              </w:rPr>
              <w:t>分包或转包：未经采购人同意不得分包，本项目不得转包。</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33" w:hRule="atLeast"/>
        </w:trPr>
        <w:tc>
          <w:tcPr>
            <w:tcW w:w="636" w:type="dxa"/>
            <w:tcBorders>
              <w:top w:val="single" w:color="auto" w:sz="4" w:space="0"/>
              <w:left w:val="single" w:color="auto" w:sz="4" w:space="0"/>
              <w:bottom w:val="single" w:color="auto" w:sz="4" w:space="0"/>
              <w:right w:val="single" w:color="auto" w:sz="4" w:space="0"/>
            </w:tcBorders>
            <w:noWrap w:val="0"/>
            <w:vAlign w:val="center"/>
          </w:tcPr>
          <w:p>
            <w:pPr>
              <w:snapToGrid w:val="0"/>
              <w:spacing w:line="360" w:lineRule="auto"/>
              <w:jc w:val="center"/>
              <w:rPr>
                <w:rFonts w:ascii="宋体" w:hAnsi="宋体" w:cs="微软雅黑"/>
                <w:color w:val="auto"/>
                <w:szCs w:val="21"/>
                <w:highlight w:val="none"/>
              </w:rPr>
            </w:pPr>
            <w:r>
              <w:rPr>
                <w:rFonts w:hint="eastAsia" w:ascii="宋体" w:hAnsi="宋体" w:cs="微软雅黑"/>
                <w:color w:val="auto"/>
                <w:szCs w:val="21"/>
                <w:highlight w:val="none"/>
              </w:rPr>
              <w:t>3</w:t>
            </w:r>
          </w:p>
        </w:tc>
        <w:tc>
          <w:tcPr>
            <w:tcW w:w="8652" w:type="dxa"/>
            <w:tcBorders>
              <w:top w:val="single" w:color="auto" w:sz="4" w:space="0"/>
              <w:left w:val="single" w:color="auto" w:sz="4" w:space="0"/>
              <w:bottom w:val="single" w:color="auto" w:sz="4" w:space="0"/>
              <w:right w:val="single" w:color="auto" w:sz="4" w:space="0"/>
            </w:tcBorders>
            <w:noWrap w:val="0"/>
            <w:vAlign w:val="center"/>
          </w:tcPr>
          <w:p>
            <w:pPr>
              <w:snapToGrid w:val="0"/>
              <w:spacing w:line="360" w:lineRule="auto"/>
              <w:jc w:val="left"/>
              <w:rPr>
                <w:rFonts w:ascii="宋体" w:hAnsi="宋体" w:cs="微软雅黑"/>
                <w:color w:val="auto"/>
                <w:szCs w:val="21"/>
                <w:highlight w:val="none"/>
              </w:rPr>
            </w:pPr>
            <w:r>
              <w:rPr>
                <w:rFonts w:hint="eastAsia" w:ascii="宋体" w:hAnsi="宋体" w:cs="微软雅黑"/>
                <w:color w:val="auto"/>
                <w:szCs w:val="21"/>
                <w:highlight w:val="none"/>
                <w:lang w:val="en-US" w:eastAsia="zh-CN"/>
              </w:rPr>
              <w:t>磋商</w:t>
            </w:r>
            <w:r>
              <w:rPr>
                <w:rFonts w:hint="eastAsia" w:ascii="宋体" w:hAnsi="宋体" w:cs="微软雅黑"/>
                <w:color w:val="auto"/>
                <w:szCs w:val="21"/>
                <w:highlight w:val="none"/>
              </w:rPr>
              <w:t>报价及费用：</w:t>
            </w:r>
          </w:p>
          <w:p>
            <w:pPr>
              <w:spacing w:line="360" w:lineRule="auto"/>
              <w:ind w:firstLine="420" w:firstLineChars="200"/>
              <w:rPr>
                <w:rFonts w:ascii="宋体" w:hAnsi="宋体"/>
                <w:color w:val="auto"/>
                <w:szCs w:val="21"/>
                <w:highlight w:val="none"/>
              </w:rPr>
            </w:pPr>
            <w:r>
              <w:rPr>
                <w:rFonts w:hint="eastAsia" w:ascii="宋体" w:hAnsi="宋体"/>
                <w:color w:val="auto"/>
                <w:szCs w:val="21"/>
                <w:highlight w:val="none"/>
              </w:rPr>
              <w:t>1、本项目投标应以人民币报价；</w:t>
            </w:r>
          </w:p>
          <w:p>
            <w:pPr>
              <w:spacing w:line="360" w:lineRule="auto"/>
              <w:ind w:firstLine="420" w:firstLineChars="200"/>
              <w:rPr>
                <w:rFonts w:ascii="宋体" w:hAnsi="宋体"/>
                <w:color w:val="auto"/>
                <w:szCs w:val="21"/>
                <w:highlight w:val="none"/>
              </w:rPr>
            </w:pPr>
            <w:r>
              <w:rPr>
                <w:rFonts w:hint="eastAsia" w:ascii="宋体" w:hAnsi="宋体"/>
                <w:color w:val="auto"/>
                <w:szCs w:val="21"/>
                <w:highlight w:val="none"/>
              </w:rPr>
              <w:t xml:space="preserve">2、不论投标结果如何，供应商均应自行承担所有与投标有关的全部费用；          </w:t>
            </w:r>
          </w:p>
          <w:p>
            <w:pPr>
              <w:spacing w:line="360" w:lineRule="auto"/>
              <w:ind w:firstLine="420" w:firstLineChars="200"/>
              <w:rPr>
                <w:rFonts w:ascii="宋体" w:hAnsi="宋体"/>
                <w:color w:val="auto"/>
                <w:szCs w:val="21"/>
                <w:highlight w:val="none"/>
              </w:rPr>
            </w:pPr>
            <w:r>
              <w:rPr>
                <w:rFonts w:hint="eastAsia" w:ascii="宋体" w:hAnsi="宋体"/>
                <w:color w:val="auto"/>
                <w:szCs w:val="21"/>
                <w:highlight w:val="none"/>
                <w:lang w:val="en-US" w:eastAsia="zh-CN"/>
              </w:rPr>
              <w:t>3</w:t>
            </w:r>
            <w:r>
              <w:rPr>
                <w:rFonts w:hint="eastAsia" w:ascii="宋体" w:hAnsi="宋体"/>
                <w:color w:val="auto"/>
                <w:szCs w:val="21"/>
                <w:highlight w:val="none"/>
              </w:rPr>
              <w:t>、本项目招标代理费由成交供应商支付，本项目招标代理费以中标价为基数按计价格(2002)1980号收费标准</w:t>
            </w:r>
            <w:r>
              <w:rPr>
                <w:rFonts w:hint="eastAsia" w:ascii="宋体" w:hAnsi="宋体"/>
                <w:color w:val="auto"/>
                <w:szCs w:val="21"/>
                <w:highlight w:val="none"/>
                <w:lang w:val="en-US" w:eastAsia="zh-CN"/>
              </w:rPr>
              <w:t>80</w:t>
            </w:r>
            <w:r>
              <w:rPr>
                <w:rFonts w:hint="eastAsia" w:ascii="宋体" w:hAnsi="宋体"/>
                <w:color w:val="auto"/>
                <w:szCs w:val="21"/>
                <w:highlight w:val="none"/>
              </w:rPr>
              <w:t>%计取</w:t>
            </w:r>
            <w:r>
              <w:rPr>
                <w:rFonts w:hint="eastAsia" w:ascii="宋体" w:hAnsi="宋体"/>
                <w:color w:val="auto"/>
                <w:szCs w:val="21"/>
                <w:highlight w:val="none"/>
                <w:lang w:eastAsia="zh-CN"/>
              </w:rPr>
              <w:t>，</w:t>
            </w:r>
            <w:r>
              <w:rPr>
                <w:rFonts w:hint="eastAsia" w:ascii="宋体" w:hAnsi="宋体"/>
                <w:color w:val="auto"/>
                <w:szCs w:val="21"/>
                <w:highlight w:val="none"/>
              </w:rPr>
              <w:t>成交供应商在领取成交通知书时一次性交纳给采购代理机构。</w:t>
            </w:r>
          </w:p>
          <w:p>
            <w:pPr>
              <w:spacing w:line="360" w:lineRule="auto"/>
              <w:ind w:firstLine="420" w:firstLineChars="200"/>
              <w:rPr>
                <w:rFonts w:ascii="宋体" w:hAnsi="宋体" w:cs="微软雅黑"/>
                <w:color w:val="auto"/>
                <w:szCs w:val="21"/>
                <w:highlight w:val="none"/>
              </w:rPr>
            </w:pPr>
            <w:r>
              <w:rPr>
                <w:rFonts w:hint="eastAsia" w:ascii="宋体" w:hAnsi="宋体"/>
                <w:color w:val="auto"/>
                <w:szCs w:val="21"/>
                <w:highlight w:val="none"/>
              </w:rPr>
              <w:t>▲</w:t>
            </w:r>
            <w:r>
              <w:rPr>
                <w:rFonts w:hint="eastAsia" w:ascii="宋体" w:hAnsi="宋体"/>
                <w:color w:val="auto"/>
                <w:szCs w:val="21"/>
                <w:highlight w:val="none"/>
                <w:lang w:eastAsia="zh-CN"/>
              </w:rPr>
              <w:t>磋商小组</w:t>
            </w:r>
            <w:r>
              <w:rPr>
                <w:rFonts w:hint="eastAsia" w:ascii="宋体" w:hAnsi="宋体"/>
                <w:color w:val="auto"/>
                <w:szCs w:val="21"/>
                <w:highlight w:val="none"/>
              </w:rPr>
              <w:t>认为其报价明显低于其他通过符合性审查</w:t>
            </w:r>
            <w:r>
              <w:rPr>
                <w:rFonts w:hint="eastAsia" w:ascii="宋体" w:hAnsi="宋体"/>
                <w:color w:val="auto"/>
                <w:szCs w:val="21"/>
                <w:highlight w:val="none"/>
                <w:lang w:eastAsia="zh-CN"/>
              </w:rPr>
              <w:t>供应商</w:t>
            </w:r>
            <w:r>
              <w:rPr>
                <w:rFonts w:hint="eastAsia" w:ascii="宋体" w:hAnsi="宋体"/>
                <w:color w:val="auto"/>
                <w:szCs w:val="21"/>
                <w:highlight w:val="none"/>
              </w:rPr>
              <w:t>的报价，且</w:t>
            </w:r>
            <w:r>
              <w:rPr>
                <w:rFonts w:hint="eastAsia" w:ascii="宋体" w:hAnsi="宋体"/>
                <w:color w:val="auto"/>
                <w:szCs w:val="21"/>
                <w:highlight w:val="none"/>
                <w:lang w:eastAsia="zh-CN"/>
              </w:rPr>
              <w:t>供应商</w:t>
            </w:r>
            <w:r>
              <w:rPr>
                <w:rFonts w:hint="eastAsia" w:ascii="宋体" w:hAnsi="宋体"/>
                <w:color w:val="auto"/>
                <w:szCs w:val="21"/>
                <w:highlight w:val="none"/>
              </w:rPr>
              <w:t>不能证明其报价合理性，有可能影响产品质量或者不能诚信履约的，其投标无效。</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274" w:hRule="atLeast"/>
        </w:trPr>
        <w:tc>
          <w:tcPr>
            <w:tcW w:w="636" w:type="dxa"/>
            <w:tcBorders>
              <w:top w:val="single" w:color="auto" w:sz="4" w:space="0"/>
              <w:left w:val="single" w:color="auto" w:sz="4" w:space="0"/>
              <w:bottom w:val="single" w:color="auto" w:sz="4" w:space="0"/>
              <w:right w:val="single" w:color="auto" w:sz="4" w:space="0"/>
            </w:tcBorders>
            <w:noWrap w:val="0"/>
            <w:vAlign w:val="center"/>
          </w:tcPr>
          <w:p>
            <w:pPr>
              <w:snapToGrid w:val="0"/>
              <w:spacing w:line="360" w:lineRule="auto"/>
              <w:rPr>
                <w:rFonts w:ascii="宋体" w:hAnsi="宋体" w:cs="微软雅黑"/>
                <w:color w:val="auto"/>
                <w:szCs w:val="21"/>
                <w:highlight w:val="none"/>
              </w:rPr>
            </w:pPr>
            <w:r>
              <w:rPr>
                <w:rFonts w:hint="eastAsia" w:ascii="宋体" w:hAnsi="宋体" w:cs="微软雅黑"/>
                <w:color w:val="auto"/>
                <w:szCs w:val="21"/>
                <w:highlight w:val="none"/>
              </w:rPr>
              <w:t>4</w:t>
            </w:r>
          </w:p>
        </w:tc>
        <w:tc>
          <w:tcPr>
            <w:tcW w:w="8652" w:type="dxa"/>
            <w:tcBorders>
              <w:top w:val="single" w:color="auto" w:sz="4" w:space="0"/>
              <w:left w:val="single" w:color="auto" w:sz="4" w:space="0"/>
              <w:bottom w:val="single" w:color="auto" w:sz="4" w:space="0"/>
              <w:right w:val="single" w:color="auto" w:sz="4" w:space="0"/>
            </w:tcBorders>
            <w:noWrap w:val="0"/>
            <w:vAlign w:val="center"/>
          </w:tcPr>
          <w:p>
            <w:pPr>
              <w:autoSpaceDE w:val="0"/>
              <w:autoSpaceDN w:val="0"/>
              <w:snapToGrid w:val="0"/>
              <w:spacing w:line="400" w:lineRule="exact"/>
              <w:textAlignment w:val="bottom"/>
              <w:rPr>
                <w:rFonts w:ascii="宋体" w:hAnsi="宋体" w:eastAsia="宋体"/>
                <w:color w:val="auto"/>
                <w:szCs w:val="21"/>
                <w:highlight w:val="none"/>
              </w:rPr>
            </w:pPr>
            <w:r>
              <w:rPr>
                <w:rFonts w:hint="eastAsia" w:ascii="宋体" w:hAnsi="宋体" w:eastAsia="宋体" w:cs="微软雅黑"/>
                <w:color w:val="auto"/>
                <w:szCs w:val="21"/>
                <w:highlight w:val="none"/>
              </w:rPr>
              <w:t>▲</w:t>
            </w:r>
            <w:r>
              <w:rPr>
                <w:rFonts w:hint="eastAsia" w:ascii="Times New Roman" w:hAnsi="Times New Roman" w:eastAsia="宋体" w:cs="Times New Roman"/>
                <w:b/>
                <w:bCs/>
                <w:color w:val="auto"/>
                <w:szCs w:val="21"/>
                <w:highlight w:val="none"/>
                <w:lang w:val="en-US" w:eastAsia="zh-CN"/>
              </w:rPr>
              <w:t>预算金额：200万</w:t>
            </w:r>
            <w:r>
              <w:rPr>
                <w:rFonts w:hint="eastAsia" w:ascii="Times New Roman" w:hAnsi="Times New Roman" w:eastAsia="宋体" w:cs="Times New Roman"/>
                <w:b/>
                <w:bCs/>
                <w:color w:val="auto"/>
                <w:szCs w:val="21"/>
                <w:highlight w:val="none"/>
              </w:rPr>
              <w:t>元。本项目最高投标限价为</w:t>
            </w:r>
            <w:r>
              <w:rPr>
                <w:rFonts w:hint="eastAsia" w:ascii="Times New Roman" w:hAnsi="Times New Roman" w:eastAsia="宋体" w:cs="Times New Roman"/>
                <w:b/>
                <w:bCs/>
                <w:color w:val="auto"/>
                <w:szCs w:val="21"/>
                <w:highlight w:val="none"/>
                <w:lang w:val="en-US" w:eastAsia="zh-CN"/>
              </w:rPr>
              <w:t>196.0926</w:t>
            </w:r>
            <w:r>
              <w:rPr>
                <w:rFonts w:hint="eastAsia" w:ascii="Times New Roman" w:hAnsi="Times New Roman" w:eastAsia="宋体" w:cs="Times New Roman"/>
                <w:b/>
                <w:bCs/>
                <w:color w:val="auto"/>
                <w:szCs w:val="21"/>
                <w:highlight w:val="none"/>
              </w:rPr>
              <w:t>万元，其中设计费最高投标限价为</w:t>
            </w:r>
            <w:r>
              <w:rPr>
                <w:rFonts w:hint="eastAsia" w:ascii="Times New Roman" w:hAnsi="Times New Roman" w:eastAsia="宋体" w:cs="Times New Roman"/>
                <w:b/>
                <w:bCs/>
                <w:color w:val="auto"/>
                <w:szCs w:val="21"/>
                <w:highlight w:val="none"/>
                <w:lang w:val="en-US" w:eastAsia="zh-CN"/>
              </w:rPr>
              <w:t>2.5%（即4.78万元，计费取费以建筑安装工程费磋商响应报价为基数计算）</w:t>
            </w:r>
            <w:r>
              <w:rPr>
                <w:rFonts w:hint="eastAsia" w:ascii="Times New Roman" w:hAnsi="Times New Roman" w:eastAsia="宋体" w:cs="Times New Roman"/>
                <w:b/>
                <w:bCs/>
                <w:color w:val="auto"/>
                <w:szCs w:val="21"/>
                <w:highlight w:val="none"/>
              </w:rPr>
              <w:t>，建筑安装工程费最高投标限价为</w:t>
            </w:r>
            <w:r>
              <w:rPr>
                <w:rFonts w:hint="eastAsia" w:ascii="Times New Roman" w:hAnsi="Times New Roman" w:eastAsia="宋体" w:cs="Times New Roman"/>
                <w:b/>
                <w:bCs/>
                <w:color w:val="auto"/>
                <w:szCs w:val="21"/>
                <w:highlight w:val="none"/>
                <w:lang w:val="en-US" w:eastAsia="zh-CN"/>
              </w:rPr>
              <w:t xml:space="preserve"> 191.3126</w:t>
            </w:r>
            <w:r>
              <w:rPr>
                <w:rFonts w:hint="eastAsia" w:ascii="Times New Roman" w:hAnsi="Times New Roman" w:eastAsia="宋体" w:cs="Times New Roman"/>
                <w:b/>
                <w:bCs/>
                <w:color w:val="auto"/>
                <w:szCs w:val="21"/>
                <w:highlight w:val="none"/>
              </w:rPr>
              <w:t>万元。</w:t>
            </w:r>
            <w:r>
              <w:rPr>
                <w:rFonts w:hint="eastAsia" w:ascii="Times New Roman" w:hAnsi="Times New Roman" w:eastAsia="宋体" w:cs="Times New Roman"/>
                <w:b/>
                <w:bCs/>
                <w:color w:val="auto"/>
                <w:szCs w:val="21"/>
                <w:highlight w:val="none"/>
                <w:lang w:eastAsia="zh-CN"/>
              </w:rPr>
              <w:t>供应商</w:t>
            </w:r>
            <w:r>
              <w:rPr>
                <w:rFonts w:hint="eastAsia" w:ascii="Times New Roman" w:hAnsi="Times New Roman" w:eastAsia="宋体" w:cs="Times New Roman"/>
                <w:b/>
                <w:bCs/>
                <w:color w:val="auto"/>
                <w:szCs w:val="21"/>
                <w:highlight w:val="none"/>
              </w:rPr>
              <w:t>的投标总报价、设计费报价、建筑安装工程费均不得超出相应的最高投标限价。各</w:t>
            </w:r>
            <w:r>
              <w:rPr>
                <w:rFonts w:hint="eastAsia" w:ascii="Times New Roman" w:hAnsi="Times New Roman" w:eastAsia="宋体" w:cs="Times New Roman"/>
                <w:b/>
                <w:bCs/>
                <w:color w:val="auto"/>
                <w:szCs w:val="21"/>
                <w:highlight w:val="none"/>
                <w:lang w:eastAsia="zh-CN"/>
              </w:rPr>
              <w:t>磋商响应报价</w:t>
            </w:r>
            <w:r>
              <w:rPr>
                <w:rFonts w:hint="eastAsia" w:ascii="Times New Roman" w:hAnsi="Times New Roman" w:eastAsia="宋体" w:cs="Times New Roman"/>
                <w:b/>
                <w:bCs/>
                <w:color w:val="auto"/>
                <w:szCs w:val="21"/>
                <w:highlight w:val="none"/>
              </w:rPr>
              <w:t>精确至元。</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199" w:hRule="atLeast"/>
        </w:trPr>
        <w:tc>
          <w:tcPr>
            <w:tcW w:w="636" w:type="dxa"/>
            <w:tcBorders>
              <w:top w:val="single" w:color="auto" w:sz="4" w:space="0"/>
              <w:left w:val="single" w:color="auto" w:sz="4" w:space="0"/>
              <w:bottom w:val="single" w:color="auto" w:sz="4" w:space="0"/>
              <w:right w:val="single" w:color="auto" w:sz="4" w:space="0"/>
            </w:tcBorders>
            <w:noWrap w:val="0"/>
            <w:vAlign w:val="center"/>
          </w:tcPr>
          <w:p>
            <w:pPr>
              <w:snapToGrid w:val="0"/>
              <w:spacing w:line="360" w:lineRule="auto"/>
              <w:rPr>
                <w:rFonts w:ascii="宋体" w:hAnsi="宋体" w:cs="微软雅黑"/>
                <w:color w:val="auto"/>
                <w:szCs w:val="21"/>
                <w:highlight w:val="none"/>
              </w:rPr>
            </w:pPr>
            <w:r>
              <w:rPr>
                <w:rFonts w:hint="eastAsia" w:ascii="宋体" w:hAnsi="宋体" w:cs="微软雅黑"/>
                <w:color w:val="auto"/>
                <w:szCs w:val="21"/>
                <w:highlight w:val="none"/>
              </w:rPr>
              <w:t>5</w:t>
            </w:r>
          </w:p>
        </w:tc>
        <w:tc>
          <w:tcPr>
            <w:tcW w:w="8652" w:type="dxa"/>
            <w:tcBorders>
              <w:top w:val="single" w:color="auto" w:sz="4" w:space="0"/>
              <w:left w:val="single" w:color="auto" w:sz="4" w:space="0"/>
              <w:bottom w:val="single" w:color="auto" w:sz="4" w:space="0"/>
              <w:right w:val="single" w:color="auto" w:sz="4" w:space="0"/>
            </w:tcBorders>
            <w:noWrap w:val="0"/>
            <w:vAlign w:val="center"/>
          </w:tcPr>
          <w:p>
            <w:pPr>
              <w:snapToGrid w:val="0"/>
              <w:spacing w:line="360" w:lineRule="auto"/>
              <w:rPr>
                <w:rFonts w:ascii="宋体" w:hAnsi="宋体" w:cs="微软雅黑"/>
                <w:color w:val="auto"/>
                <w:szCs w:val="21"/>
                <w:highlight w:val="none"/>
              </w:rPr>
            </w:pPr>
            <w:r>
              <w:rPr>
                <w:rFonts w:hint="eastAsia" w:ascii="宋体" w:hAnsi="宋体" w:cs="微软雅黑"/>
                <w:color w:val="auto"/>
                <w:szCs w:val="21"/>
                <w:highlight w:val="none"/>
                <w:lang w:val="en-US" w:eastAsia="zh-CN"/>
              </w:rPr>
              <w:t>磋商</w:t>
            </w:r>
            <w:r>
              <w:rPr>
                <w:rFonts w:hint="eastAsia" w:ascii="宋体" w:hAnsi="宋体" w:cs="微软雅黑"/>
                <w:color w:val="auto"/>
                <w:szCs w:val="21"/>
                <w:highlight w:val="none"/>
              </w:rPr>
              <w:t>保证金：无</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70" w:hRule="atLeast"/>
        </w:trPr>
        <w:tc>
          <w:tcPr>
            <w:tcW w:w="636" w:type="dxa"/>
            <w:tcBorders>
              <w:top w:val="single" w:color="auto" w:sz="4" w:space="0"/>
              <w:left w:val="single" w:color="auto" w:sz="4" w:space="0"/>
              <w:bottom w:val="single" w:color="auto" w:sz="4" w:space="0"/>
              <w:right w:val="single" w:color="auto" w:sz="4" w:space="0"/>
            </w:tcBorders>
            <w:noWrap w:val="0"/>
            <w:vAlign w:val="center"/>
          </w:tcPr>
          <w:p>
            <w:pPr>
              <w:snapToGrid w:val="0"/>
              <w:spacing w:line="360" w:lineRule="auto"/>
              <w:jc w:val="center"/>
              <w:rPr>
                <w:rFonts w:ascii="宋体" w:hAnsi="宋体" w:cs="微软雅黑"/>
                <w:color w:val="auto"/>
                <w:szCs w:val="21"/>
                <w:highlight w:val="none"/>
              </w:rPr>
            </w:pPr>
            <w:r>
              <w:rPr>
                <w:rFonts w:hint="eastAsia" w:ascii="宋体" w:hAnsi="宋体" w:cs="微软雅黑"/>
                <w:color w:val="auto"/>
                <w:szCs w:val="21"/>
                <w:highlight w:val="none"/>
              </w:rPr>
              <w:t>6</w:t>
            </w:r>
          </w:p>
        </w:tc>
        <w:tc>
          <w:tcPr>
            <w:tcW w:w="8652" w:type="dxa"/>
            <w:tcBorders>
              <w:top w:val="single" w:color="auto" w:sz="4" w:space="0"/>
              <w:left w:val="single" w:color="auto" w:sz="4" w:space="0"/>
              <w:bottom w:val="single" w:color="auto" w:sz="4" w:space="0"/>
              <w:right w:val="single" w:color="auto" w:sz="4" w:space="0"/>
            </w:tcBorders>
            <w:noWrap w:val="0"/>
            <w:vAlign w:val="center"/>
          </w:tcPr>
          <w:p>
            <w:pPr>
              <w:snapToGrid w:val="0"/>
              <w:spacing w:line="360" w:lineRule="auto"/>
              <w:jc w:val="left"/>
              <w:rPr>
                <w:rFonts w:hint="eastAsia" w:ascii="宋体" w:hAnsi="宋体" w:eastAsia="宋体" w:cs="微软雅黑"/>
                <w:color w:val="auto"/>
                <w:szCs w:val="21"/>
                <w:highlight w:val="none"/>
                <w:lang w:eastAsia="zh-CN"/>
              </w:rPr>
            </w:pPr>
            <w:r>
              <w:rPr>
                <w:rFonts w:hint="eastAsia" w:ascii="宋体" w:hAnsi="宋体" w:cs="微软雅黑"/>
                <w:color w:val="auto"/>
                <w:szCs w:val="21"/>
                <w:highlight w:val="none"/>
              </w:rPr>
              <w:t>现场踏勘：</w:t>
            </w:r>
            <w:r>
              <w:rPr>
                <w:rFonts w:hint="eastAsia" w:ascii="宋体" w:hAnsi="宋体"/>
                <w:color w:val="auto"/>
                <w:szCs w:val="21"/>
                <w:highlight w:val="none"/>
              </w:rPr>
              <w:t>招标人不统一组织现场勘踏和答疑会议，</w:t>
            </w:r>
            <w:r>
              <w:rPr>
                <w:rFonts w:hint="eastAsia" w:ascii="宋体" w:hAnsi="宋体"/>
                <w:color w:val="auto"/>
                <w:szCs w:val="21"/>
                <w:highlight w:val="none"/>
                <w:lang w:eastAsia="zh-CN"/>
              </w:rPr>
              <w:t>供应商</w:t>
            </w:r>
            <w:r>
              <w:rPr>
                <w:rFonts w:hint="eastAsia" w:ascii="宋体" w:hAnsi="宋体"/>
                <w:color w:val="auto"/>
                <w:szCs w:val="21"/>
                <w:highlight w:val="none"/>
              </w:rPr>
              <w:t>对招标项目内容仍有不明确或对现场要求勘踏的，请自行前往现场踏勘</w:t>
            </w:r>
            <w:r>
              <w:rPr>
                <w:rFonts w:hint="eastAsia" w:ascii="宋体" w:hAnsi="宋体"/>
                <w:color w:val="auto"/>
                <w:szCs w:val="21"/>
                <w:highlight w:val="none"/>
                <w:lang w:eastAsia="zh-CN"/>
              </w:rPr>
              <w:t>，（</w:t>
            </w:r>
            <w:r>
              <w:rPr>
                <w:rFonts w:hint="eastAsia" w:ascii="宋体" w:hAnsi="宋体"/>
                <w:color w:val="auto"/>
                <w:szCs w:val="21"/>
                <w:highlight w:val="none"/>
                <w:lang w:val="en-US" w:eastAsia="zh-CN"/>
              </w:rPr>
              <w:t>联系人：周老师，联系方式：13967384218</w:t>
            </w:r>
            <w:r>
              <w:rPr>
                <w:rFonts w:hint="eastAsia" w:ascii="宋体" w:hAnsi="宋体"/>
                <w:color w:val="auto"/>
                <w:szCs w:val="21"/>
                <w:highlight w:val="none"/>
                <w:lang w:eastAsia="zh-CN"/>
              </w:rPr>
              <w:t>）</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239" w:hRule="atLeast"/>
        </w:trPr>
        <w:tc>
          <w:tcPr>
            <w:tcW w:w="636" w:type="dxa"/>
            <w:tcBorders>
              <w:top w:val="single" w:color="auto" w:sz="4" w:space="0"/>
              <w:left w:val="single" w:color="auto" w:sz="4" w:space="0"/>
              <w:bottom w:val="single" w:color="auto" w:sz="4" w:space="0"/>
              <w:right w:val="single" w:color="auto" w:sz="4" w:space="0"/>
            </w:tcBorders>
            <w:noWrap w:val="0"/>
            <w:vAlign w:val="center"/>
          </w:tcPr>
          <w:p>
            <w:pPr>
              <w:snapToGrid w:val="0"/>
              <w:spacing w:line="360" w:lineRule="auto"/>
              <w:jc w:val="center"/>
              <w:rPr>
                <w:rFonts w:ascii="宋体" w:hAnsi="宋体" w:cs="微软雅黑"/>
                <w:color w:val="auto"/>
                <w:szCs w:val="21"/>
                <w:highlight w:val="none"/>
              </w:rPr>
            </w:pPr>
            <w:r>
              <w:rPr>
                <w:rFonts w:hint="eastAsia" w:ascii="宋体" w:hAnsi="宋体" w:cs="微软雅黑"/>
                <w:color w:val="auto"/>
                <w:szCs w:val="21"/>
                <w:highlight w:val="none"/>
              </w:rPr>
              <w:t>7</w:t>
            </w:r>
          </w:p>
        </w:tc>
        <w:tc>
          <w:tcPr>
            <w:tcW w:w="8652" w:type="dxa"/>
            <w:tcBorders>
              <w:top w:val="single" w:color="auto" w:sz="4" w:space="0"/>
              <w:left w:val="single" w:color="auto" w:sz="4" w:space="0"/>
              <w:bottom w:val="single" w:color="auto" w:sz="4" w:space="0"/>
              <w:right w:val="single" w:color="auto" w:sz="4" w:space="0"/>
            </w:tcBorders>
            <w:noWrap w:val="0"/>
            <w:vAlign w:val="center"/>
          </w:tcPr>
          <w:p>
            <w:pPr>
              <w:snapToGrid w:val="0"/>
              <w:spacing w:line="276" w:lineRule="auto"/>
              <w:rPr>
                <w:color w:val="auto"/>
                <w:highlight w:val="none"/>
                <w:u w:val="single"/>
              </w:rPr>
            </w:pPr>
            <w:r>
              <w:rPr>
                <w:rFonts w:hint="eastAsia" w:ascii="宋体" w:hAnsi="宋体"/>
                <w:szCs w:val="21"/>
              </w:rPr>
              <w:t>响应文件的编制：供应商应先安装“政采云电子交易客户端”，并按照本采购文件和“政府采购云平台”的要求，通过“政采云电子交易客户端”编制并加密响应文件。</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75" w:hRule="atLeast"/>
        </w:trPr>
        <w:tc>
          <w:tcPr>
            <w:tcW w:w="636" w:type="dxa"/>
            <w:tcBorders>
              <w:top w:val="single" w:color="auto" w:sz="4" w:space="0"/>
              <w:left w:val="single" w:color="auto" w:sz="4" w:space="0"/>
              <w:bottom w:val="single" w:color="auto" w:sz="4" w:space="0"/>
              <w:right w:val="single" w:color="auto" w:sz="4" w:space="0"/>
            </w:tcBorders>
            <w:noWrap w:val="0"/>
            <w:vAlign w:val="center"/>
          </w:tcPr>
          <w:p>
            <w:pPr>
              <w:snapToGrid w:val="0"/>
              <w:spacing w:line="360" w:lineRule="auto"/>
              <w:jc w:val="center"/>
              <w:rPr>
                <w:rFonts w:ascii="宋体" w:hAnsi="宋体" w:cs="微软雅黑"/>
                <w:color w:val="auto"/>
                <w:szCs w:val="21"/>
                <w:highlight w:val="none"/>
              </w:rPr>
            </w:pPr>
            <w:r>
              <w:rPr>
                <w:rFonts w:hint="eastAsia" w:ascii="宋体" w:hAnsi="宋体" w:cs="微软雅黑"/>
                <w:color w:val="auto"/>
                <w:szCs w:val="21"/>
                <w:highlight w:val="none"/>
              </w:rPr>
              <w:t>8</w:t>
            </w:r>
          </w:p>
        </w:tc>
        <w:tc>
          <w:tcPr>
            <w:tcW w:w="8652" w:type="dxa"/>
            <w:tcBorders>
              <w:top w:val="single" w:color="auto" w:sz="4" w:space="0"/>
              <w:left w:val="single" w:color="auto" w:sz="4" w:space="0"/>
              <w:bottom w:val="single" w:color="auto" w:sz="4" w:space="0"/>
              <w:right w:val="single" w:color="auto" w:sz="4" w:space="0"/>
            </w:tcBorders>
            <w:noWrap w:val="0"/>
            <w:vAlign w:val="center"/>
          </w:tcPr>
          <w:p>
            <w:pPr>
              <w:snapToGrid w:val="0"/>
              <w:spacing w:line="276" w:lineRule="auto"/>
              <w:rPr>
                <w:rFonts w:ascii="宋体" w:hAnsi="宋体" w:cs="微软雅黑"/>
                <w:color w:val="auto"/>
                <w:szCs w:val="21"/>
                <w:highlight w:val="none"/>
              </w:rPr>
            </w:pPr>
            <w:r>
              <w:rPr>
                <w:rFonts w:hint="eastAsia" w:ascii="宋体" w:hAnsi="宋体"/>
                <w:szCs w:val="21"/>
              </w:rPr>
              <w:t>磋商响应文件的签章：电子签章</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35" w:hRule="atLeast"/>
        </w:trPr>
        <w:tc>
          <w:tcPr>
            <w:tcW w:w="636" w:type="dxa"/>
            <w:tcBorders>
              <w:top w:val="single" w:color="auto" w:sz="4" w:space="0"/>
              <w:left w:val="single" w:color="auto" w:sz="4" w:space="0"/>
              <w:bottom w:val="single" w:color="auto" w:sz="4" w:space="0"/>
              <w:right w:val="single" w:color="auto" w:sz="4" w:space="0"/>
            </w:tcBorders>
            <w:noWrap w:val="0"/>
            <w:vAlign w:val="center"/>
          </w:tcPr>
          <w:p>
            <w:pPr>
              <w:snapToGrid w:val="0"/>
              <w:spacing w:line="360" w:lineRule="auto"/>
              <w:jc w:val="center"/>
              <w:rPr>
                <w:rFonts w:ascii="宋体" w:hAnsi="宋体" w:cs="微软雅黑"/>
                <w:color w:val="auto"/>
                <w:szCs w:val="21"/>
                <w:highlight w:val="none"/>
              </w:rPr>
            </w:pPr>
            <w:r>
              <w:rPr>
                <w:rFonts w:hint="eastAsia" w:ascii="宋体" w:hAnsi="宋体" w:cs="微软雅黑"/>
                <w:color w:val="auto"/>
                <w:szCs w:val="21"/>
                <w:highlight w:val="none"/>
              </w:rPr>
              <w:t>9</w:t>
            </w:r>
          </w:p>
        </w:tc>
        <w:tc>
          <w:tcPr>
            <w:tcW w:w="8652" w:type="dxa"/>
            <w:tcBorders>
              <w:top w:val="single" w:color="auto" w:sz="4" w:space="0"/>
              <w:left w:val="single" w:color="auto" w:sz="4" w:space="0"/>
              <w:bottom w:val="single" w:color="auto" w:sz="4" w:space="0"/>
              <w:right w:val="single" w:color="auto" w:sz="4" w:space="0"/>
            </w:tcBorders>
            <w:noWrap w:val="0"/>
            <w:vAlign w:val="center"/>
          </w:tcPr>
          <w:p>
            <w:pPr>
              <w:adjustRightInd w:val="0"/>
              <w:snapToGrid w:val="0"/>
              <w:spacing w:line="276" w:lineRule="auto"/>
              <w:rPr>
                <w:rFonts w:ascii="宋体" w:hAnsi="宋体"/>
                <w:szCs w:val="21"/>
              </w:rPr>
            </w:pPr>
            <w:r>
              <w:rPr>
                <w:rFonts w:hint="eastAsia" w:ascii="宋体" w:hAnsi="宋体"/>
                <w:b/>
                <w:szCs w:val="21"/>
              </w:rPr>
              <w:t>磋商响应文件组成：</w:t>
            </w:r>
            <w:r>
              <w:rPr>
                <w:rFonts w:hint="eastAsia" w:ascii="宋体" w:hAnsi="宋体"/>
                <w:szCs w:val="21"/>
              </w:rPr>
              <w:t>本项目实行电子投标。</w:t>
            </w:r>
          </w:p>
          <w:p>
            <w:pPr>
              <w:adjustRightInd w:val="0"/>
              <w:snapToGrid w:val="0"/>
              <w:spacing w:line="276" w:lineRule="auto"/>
              <w:rPr>
                <w:rFonts w:ascii="宋体" w:hAnsi="宋体"/>
                <w:szCs w:val="21"/>
              </w:rPr>
            </w:pPr>
            <w:r>
              <w:rPr>
                <w:rFonts w:hint="eastAsia" w:ascii="宋体" w:hAnsi="宋体"/>
                <w:szCs w:val="21"/>
              </w:rPr>
              <w:t>供应商应准备</w:t>
            </w:r>
            <w:r>
              <w:rPr>
                <w:rFonts w:hint="eastAsia" w:ascii="宋体" w:hAnsi="宋体"/>
                <w:szCs w:val="21"/>
                <w:lang w:val="en-US" w:eastAsia="zh-CN"/>
              </w:rPr>
              <w:t>三</w:t>
            </w:r>
            <w:r>
              <w:rPr>
                <w:rFonts w:hint="eastAsia" w:ascii="宋体" w:hAnsi="宋体"/>
                <w:szCs w:val="21"/>
              </w:rPr>
              <w:t>种形式的磋商响应文件：电子加密磋商响应文件、以介质存储的数据电文形式的备份磋商响应文件（</w:t>
            </w:r>
            <w:r>
              <w:rPr>
                <w:rFonts w:ascii="宋体" w:hAnsi="宋体"/>
                <w:szCs w:val="21"/>
              </w:rPr>
              <w:t>U</w:t>
            </w:r>
            <w:r>
              <w:rPr>
                <w:rFonts w:hint="eastAsia" w:ascii="宋体" w:hAnsi="宋体"/>
                <w:szCs w:val="21"/>
              </w:rPr>
              <w:t>盘形式）、纸质备份磋商响应文件。</w:t>
            </w:r>
          </w:p>
          <w:p>
            <w:pPr>
              <w:adjustRightInd w:val="0"/>
              <w:snapToGrid w:val="0"/>
              <w:spacing w:line="276" w:lineRule="auto"/>
              <w:rPr>
                <w:rFonts w:ascii="宋体" w:hAnsi="宋体"/>
                <w:szCs w:val="21"/>
              </w:rPr>
            </w:pPr>
            <w:r>
              <w:rPr>
                <w:rFonts w:hint="eastAsia" w:ascii="宋体" w:hAnsi="宋体"/>
                <w:szCs w:val="21"/>
              </w:rPr>
              <w:t>（</w:t>
            </w:r>
            <w:r>
              <w:rPr>
                <w:rFonts w:ascii="宋体" w:hAnsi="宋体"/>
                <w:szCs w:val="21"/>
              </w:rPr>
              <w:t>1</w:t>
            </w:r>
            <w:r>
              <w:rPr>
                <w:rFonts w:hint="eastAsia" w:ascii="宋体" w:hAnsi="宋体"/>
                <w:szCs w:val="21"/>
              </w:rPr>
              <w:t>）</w:t>
            </w:r>
            <w:r>
              <w:rPr>
                <w:rFonts w:ascii="宋体" w:hAnsi="宋体"/>
                <w:szCs w:val="21"/>
              </w:rPr>
              <w:t>“</w:t>
            </w:r>
            <w:r>
              <w:rPr>
                <w:rFonts w:hint="eastAsia" w:ascii="宋体" w:hAnsi="宋体"/>
                <w:szCs w:val="21"/>
              </w:rPr>
              <w:t>电子加密磋商响应文件</w:t>
            </w:r>
            <w:r>
              <w:rPr>
                <w:rFonts w:ascii="宋体" w:hAnsi="宋体"/>
                <w:szCs w:val="21"/>
              </w:rPr>
              <w:t>”</w:t>
            </w:r>
            <w:r>
              <w:rPr>
                <w:rFonts w:hint="eastAsia" w:ascii="宋体" w:hAnsi="宋体"/>
                <w:szCs w:val="21"/>
              </w:rPr>
              <w:t>是指通过</w:t>
            </w:r>
            <w:r>
              <w:rPr>
                <w:rFonts w:ascii="宋体" w:hAnsi="宋体"/>
                <w:szCs w:val="21"/>
              </w:rPr>
              <w:t>“</w:t>
            </w:r>
            <w:r>
              <w:rPr>
                <w:rFonts w:hint="eastAsia" w:ascii="宋体" w:hAnsi="宋体"/>
                <w:szCs w:val="21"/>
              </w:rPr>
              <w:t>政采云电子交易客户端</w:t>
            </w:r>
            <w:r>
              <w:rPr>
                <w:rFonts w:ascii="宋体" w:hAnsi="宋体"/>
                <w:szCs w:val="21"/>
              </w:rPr>
              <w:t>”</w:t>
            </w:r>
            <w:r>
              <w:rPr>
                <w:rFonts w:hint="eastAsia" w:ascii="宋体" w:hAnsi="宋体"/>
                <w:szCs w:val="21"/>
              </w:rPr>
              <w:t>完成磋商响应文件编制后生成并加密的数据电文形式的磋商响应文件。</w:t>
            </w:r>
          </w:p>
          <w:p>
            <w:pPr>
              <w:adjustRightInd w:val="0"/>
              <w:snapToGrid w:val="0"/>
              <w:spacing w:line="276" w:lineRule="auto"/>
              <w:rPr>
                <w:rFonts w:ascii="宋体" w:hAnsi="宋体"/>
                <w:szCs w:val="21"/>
              </w:rPr>
            </w:pPr>
            <w:r>
              <w:rPr>
                <w:rFonts w:hint="eastAsia" w:ascii="宋体" w:hAnsi="宋体"/>
                <w:szCs w:val="21"/>
              </w:rPr>
              <w:t>（</w:t>
            </w:r>
            <w:r>
              <w:rPr>
                <w:rFonts w:ascii="宋体" w:hAnsi="宋体"/>
                <w:szCs w:val="21"/>
              </w:rPr>
              <w:t>2</w:t>
            </w:r>
            <w:r>
              <w:rPr>
                <w:rFonts w:hint="eastAsia" w:ascii="宋体" w:hAnsi="宋体"/>
                <w:szCs w:val="21"/>
              </w:rPr>
              <w:t>）</w:t>
            </w:r>
            <w:r>
              <w:rPr>
                <w:rFonts w:ascii="宋体" w:hAnsi="宋体"/>
                <w:szCs w:val="21"/>
              </w:rPr>
              <w:t>“</w:t>
            </w:r>
            <w:r>
              <w:rPr>
                <w:rFonts w:hint="eastAsia" w:ascii="宋体" w:hAnsi="宋体"/>
                <w:szCs w:val="21"/>
              </w:rPr>
              <w:t>备份磋商响应文件</w:t>
            </w:r>
            <w:r>
              <w:rPr>
                <w:rFonts w:ascii="宋体" w:hAnsi="宋体"/>
                <w:szCs w:val="21"/>
              </w:rPr>
              <w:t>”</w:t>
            </w:r>
            <w:r>
              <w:rPr>
                <w:rFonts w:hint="eastAsia" w:ascii="宋体" w:hAnsi="宋体"/>
                <w:szCs w:val="21"/>
              </w:rPr>
              <w:t>是指与</w:t>
            </w:r>
            <w:r>
              <w:rPr>
                <w:rFonts w:ascii="宋体" w:hAnsi="宋体"/>
                <w:szCs w:val="21"/>
              </w:rPr>
              <w:t>“</w:t>
            </w:r>
            <w:r>
              <w:rPr>
                <w:rFonts w:hint="eastAsia" w:ascii="宋体" w:hAnsi="宋体"/>
                <w:szCs w:val="21"/>
              </w:rPr>
              <w:t>电子加密磋商响应文件</w:t>
            </w:r>
            <w:r>
              <w:rPr>
                <w:rFonts w:ascii="宋体" w:hAnsi="宋体"/>
                <w:szCs w:val="21"/>
              </w:rPr>
              <w:t>”</w:t>
            </w:r>
            <w:r>
              <w:rPr>
                <w:rFonts w:hint="eastAsia" w:ascii="宋体" w:hAnsi="宋体"/>
                <w:szCs w:val="21"/>
              </w:rPr>
              <w:t>同时生成的数据电文形式的电子文件（备份磋商响应文件，用于供应商电子加密磋商响应文件解密异常时应急使用），其他方式编制的备份磋商响应文件视为无效备份磋商响应文件。备份磋商响应文件以</w:t>
            </w:r>
            <w:r>
              <w:rPr>
                <w:rFonts w:ascii="宋体" w:hAnsi="宋体"/>
                <w:szCs w:val="21"/>
              </w:rPr>
              <w:t>U</w:t>
            </w:r>
            <w:r>
              <w:rPr>
                <w:rFonts w:hint="eastAsia" w:ascii="宋体" w:hAnsi="宋体"/>
                <w:szCs w:val="21"/>
              </w:rPr>
              <w:t>盘形式提供。</w:t>
            </w:r>
          </w:p>
          <w:p>
            <w:pPr>
              <w:adjustRightInd w:val="0"/>
              <w:snapToGrid w:val="0"/>
              <w:spacing w:line="276" w:lineRule="auto"/>
              <w:rPr>
                <w:rFonts w:hint="eastAsia" w:ascii="宋体" w:hAnsi="宋体"/>
                <w:szCs w:val="21"/>
              </w:rPr>
            </w:pPr>
            <w:r>
              <w:rPr>
                <w:rFonts w:hint="eastAsia" w:ascii="宋体" w:hAnsi="宋体"/>
                <w:szCs w:val="21"/>
              </w:rPr>
              <w:t>（</w:t>
            </w:r>
            <w:r>
              <w:rPr>
                <w:rFonts w:ascii="宋体" w:hAnsi="宋体"/>
                <w:szCs w:val="21"/>
              </w:rPr>
              <w:t>3</w:t>
            </w:r>
            <w:r>
              <w:rPr>
                <w:rFonts w:hint="eastAsia" w:ascii="宋体" w:hAnsi="宋体"/>
                <w:szCs w:val="21"/>
              </w:rPr>
              <w:t>）纸质备份磋商响应文件将以纸质文件的形式递交，数量为：正本各</w:t>
            </w:r>
            <w:r>
              <w:rPr>
                <w:rFonts w:ascii="宋体" w:hAnsi="宋体"/>
                <w:szCs w:val="21"/>
              </w:rPr>
              <w:t>1</w:t>
            </w:r>
            <w:r>
              <w:rPr>
                <w:rFonts w:hint="eastAsia" w:ascii="宋体" w:hAnsi="宋体"/>
                <w:szCs w:val="21"/>
              </w:rPr>
              <w:t>份；副本各1份。</w:t>
            </w:r>
          </w:p>
          <w:p>
            <w:pPr>
              <w:pStyle w:val="2"/>
            </w:pPr>
            <w:r>
              <w:rPr>
                <w:rFonts w:hint="eastAsia" w:ascii="宋体" w:hAnsi="宋体" w:eastAsia="宋体" w:cs="Times New Roman"/>
                <w:b/>
                <w:bCs w:val="0"/>
                <w:szCs w:val="21"/>
                <w:lang w:eastAsia="zh-CN"/>
              </w:rPr>
              <w:t>（</w:t>
            </w:r>
            <w:r>
              <w:rPr>
                <w:rFonts w:hint="eastAsia" w:ascii="宋体" w:hAnsi="宋体" w:eastAsia="宋体" w:cs="Times New Roman"/>
                <w:b/>
                <w:bCs w:val="0"/>
                <w:szCs w:val="21"/>
                <w:lang w:val="en-US" w:eastAsia="zh-CN"/>
              </w:rPr>
              <w:t>注：备份响应文件为必须提供，</w:t>
            </w:r>
            <w:r>
              <w:rPr>
                <w:rFonts w:hint="eastAsia" w:ascii="宋体" w:hAnsi="宋体"/>
                <w:b/>
                <w:bCs w:val="0"/>
                <w:szCs w:val="21"/>
                <w:lang w:val="en-US" w:eastAsia="zh-CN"/>
              </w:rPr>
              <w:t>电子及</w:t>
            </w:r>
            <w:r>
              <w:rPr>
                <w:rFonts w:hint="eastAsia" w:ascii="宋体" w:hAnsi="宋体" w:eastAsia="宋体" w:cs="Times New Roman"/>
                <w:b/>
                <w:bCs w:val="0"/>
                <w:szCs w:val="21"/>
                <w:lang w:val="en-US" w:eastAsia="zh-CN"/>
              </w:rPr>
              <w:t>纸质、图纸</w:t>
            </w:r>
            <w:r>
              <w:rPr>
                <w:rFonts w:hint="eastAsia" w:ascii="宋体" w:hAnsi="宋体" w:eastAsia="宋体" w:cs="Times New Roman"/>
                <w:b/>
                <w:bCs w:val="0"/>
                <w:szCs w:val="21"/>
              </w:rPr>
              <w:t>（含深化设计方案文本</w:t>
            </w:r>
            <w:r>
              <w:rPr>
                <w:rFonts w:hint="eastAsia" w:ascii="宋体" w:hAnsi="宋体" w:eastAsia="宋体" w:cs="Times New Roman"/>
                <w:b/>
                <w:bCs w:val="0"/>
                <w:szCs w:val="21"/>
                <w:lang w:eastAsia="zh-CN"/>
              </w:rPr>
              <w:t>））</w:t>
            </w:r>
          </w:p>
          <w:p>
            <w:pPr>
              <w:adjustRightInd w:val="0"/>
              <w:snapToGrid w:val="0"/>
              <w:spacing w:line="276" w:lineRule="auto"/>
              <w:rPr>
                <w:rFonts w:ascii="宋体" w:hAnsi="宋体"/>
                <w:b/>
                <w:szCs w:val="21"/>
              </w:rPr>
            </w:pPr>
            <w:r>
              <w:rPr>
                <w:rFonts w:hint="eastAsia" w:ascii="宋体" w:hAnsi="宋体"/>
                <w:b/>
                <w:szCs w:val="21"/>
              </w:rPr>
              <w:t>磋商响应文件的上传和递交：</w:t>
            </w:r>
          </w:p>
          <w:p>
            <w:pPr>
              <w:adjustRightInd w:val="0"/>
              <w:snapToGrid w:val="0"/>
              <w:spacing w:line="276" w:lineRule="auto"/>
              <w:rPr>
                <w:rFonts w:ascii="宋体" w:hAnsi="宋体"/>
                <w:szCs w:val="21"/>
              </w:rPr>
            </w:pPr>
            <w:r>
              <w:rPr>
                <w:rFonts w:hint="eastAsia" w:ascii="宋体" w:hAnsi="宋体"/>
                <w:szCs w:val="21"/>
              </w:rPr>
              <w:t>（</w:t>
            </w:r>
            <w:r>
              <w:rPr>
                <w:rFonts w:ascii="宋体" w:hAnsi="宋体"/>
                <w:szCs w:val="21"/>
              </w:rPr>
              <w:t>1</w:t>
            </w:r>
            <w:r>
              <w:rPr>
                <w:rFonts w:hint="eastAsia" w:ascii="宋体" w:hAnsi="宋体"/>
                <w:szCs w:val="21"/>
              </w:rPr>
              <w:t>）电子加密磋商响应文件：磋商响应文件制作完成并生成加密文件，在投标截止时间前，供应商需将加密的磋商响应文件上传至浙江政府采购网，到达开标时间后，进行解密。供应商未能在投标截止时间前成功上传电子加密磋商响应文件的投标无效。</w:t>
            </w:r>
          </w:p>
          <w:p>
            <w:pPr>
              <w:adjustRightInd w:val="0"/>
              <w:snapToGrid w:val="0"/>
              <w:spacing w:line="276" w:lineRule="auto"/>
              <w:rPr>
                <w:rFonts w:ascii="宋体" w:hAnsi="宋体"/>
                <w:szCs w:val="21"/>
              </w:rPr>
            </w:pPr>
            <w:r>
              <w:rPr>
                <w:rFonts w:hint="eastAsia" w:ascii="宋体" w:hAnsi="宋体"/>
                <w:szCs w:val="21"/>
              </w:rPr>
              <w:t>（</w:t>
            </w:r>
            <w:r>
              <w:rPr>
                <w:rFonts w:ascii="宋体" w:hAnsi="宋体"/>
                <w:szCs w:val="21"/>
              </w:rPr>
              <w:t>2</w:t>
            </w:r>
            <w:r>
              <w:rPr>
                <w:rFonts w:hint="eastAsia" w:ascii="宋体" w:hAnsi="宋体"/>
                <w:szCs w:val="21"/>
              </w:rPr>
              <w:t>）电子备份磋商响应文件：投标截止时间前，供应商应将备份磋商响应文件递交至开标地点（邮寄前确保收件时效及收件人情况），</w:t>
            </w:r>
            <w:r>
              <w:rPr>
                <w:rFonts w:hint="eastAsia" w:ascii="宋体" w:hAnsi="宋体" w:cs="宋体"/>
                <w:szCs w:val="21"/>
              </w:rPr>
              <w:t>以签收时间为准。快递寄出同时，项目被授权代表须以邮件方式将快递单号、项目名称、公司名称、被授权代表姓名及联系方式等内容（邮件格式为：项目编号</w:t>
            </w:r>
            <w:r>
              <w:rPr>
                <w:rFonts w:ascii="宋体" w:hAnsi="宋体" w:cs="宋体"/>
                <w:szCs w:val="21"/>
              </w:rPr>
              <w:t>+</w:t>
            </w:r>
            <w:r>
              <w:rPr>
                <w:rFonts w:hint="eastAsia" w:ascii="宋体" w:hAnsi="宋体" w:cs="宋体"/>
                <w:szCs w:val="21"/>
              </w:rPr>
              <w:t>快递单号</w:t>
            </w:r>
            <w:r>
              <w:rPr>
                <w:rFonts w:ascii="宋体" w:hAnsi="宋体" w:cs="宋体"/>
                <w:szCs w:val="21"/>
              </w:rPr>
              <w:t>+</w:t>
            </w:r>
            <w:r>
              <w:rPr>
                <w:rFonts w:hint="eastAsia" w:ascii="宋体" w:hAnsi="宋体" w:cs="宋体"/>
                <w:szCs w:val="21"/>
              </w:rPr>
              <w:t>公司名称</w:t>
            </w:r>
            <w:r>
              <w:rPr>
                <w:rFonts w:ascii="宋体" w:hAnsi="宋体" w:cs="宋体"/>
                <w:szCs w:val="21"/>
              </w:rPr>
              <w:t>+</w:t>
            </w:r>
            <w:r>
              <w:rPr>
                <w:rFonts w:hint="eastAsia" w:ascii="宋体" w:hAnsi="宋体" w:cs="宋体"/>
                <w:szCs w:val="21"/>
              </w:rPr>
              <w:t>被授权代表姓名及联系方式）发送至代理机构联系人邮箱（</w:t>
            </w:r>
            <w:r>
              <w:rPr>
                <w:rFonts w:hint="eastAsia" w:ascii="宋体" w:hAnsi="宋体"/>
                <w:szCs w:val="21"/>
                <w:lang w:eastAsia="zh-CN"/>
              </w:rPr>
              <w:t>2670123384@qq.com</w:t>
            </w:r>
            <w:r>
              <w:rPr>
                <w:rFonts w:hint="eastAsia" w:ascii="宋体" w:hAnsi="宋体" w:cs="宋体"/>
                <w:szCs w:val="21"/>
              </w:rPr>
              <w:t>），以便代理机构查收快递。如供应商选择快递费到付，代理机构将拒签。</w:t>
            </w:r>
            <w:r>
              <w:rPr>
                <w:rFonts w:hint="eastAsia" w:ascii="宋体" w:hAnsi="宋体"/>
                <w:szCs w:val="21"/>
              </w:rPr>
              <w:t>以便电子加密磋商响应文件解密异常时应急使用。</w:t>
            </w:r>
          </w:p>
          <w:p>
            <w:pPr>
              <w:snapToGrid w:val="0"/>
              <w:spacing w:line="276" w:lineRule="auto"/>
              <w:rPr>
                <w:rFonts w:ascii="宋体" w:hAnsi="宋体" w:cs="微软雅黑"/>
                <w:color w:val="auto"/>
                <w:szCs w:val="21"/>
                <w:highlight w:val="none"/>
              </w:rPr>
            </w:pPr>
            <w:r>
              <w:rPr>
                <w:rFonts w:hint="eastAsia" w:ascii="宋体" w:hAnsi="宋体"/>
                <w:szCs w:val="21"/>
              </w:rPr>
              <w:t>（</w:t>
            </w:r>
            <w:r>
              <w:rPr>
                <w:rFonts w:ascii="宋体" w:hAnsi="宋体"/>
                <w:szCs w:val="21"/>
              </w:rPr>
              <w:t>3</w:t>
            </w:r>
            <w:r>
              <w:rPr>
                <w:rFonts w:hint="eastAsia" w:ascii="宋体" w:hAnsi="宋体"/>
                <w:szCs w:val="21"/>
              </w:rPr>
              <w:t>）纸质备份磋商响应文件：投标截止时间前，纸质备份磋商响应文件将以纸质文件的形式递交，数量为：正本各</w:t>
            </w:r>
            <w:r>
              <w:rPr>
                <w:rFonts w:ascii="宋体" w:hAnsi="宋体"/>
                <w:szCs w:val="21"/>
              </w:rPr>
              <w:t>1</w:t>
            </w:r>
            <w:r>
              <w:rPr>
                <w:rFonts w:hint="eastAsia" w:ascii="宋体" w:hAnsi="宋体"/>
                <w:szCs w:val="21"/>
              </w:rPr>
              <w:t>份，副本各1份。纸质备份磋商响应文件由资信商务文件、技术文件</w:t>
            </w:r>
            <w:r>
              <w:rPr>
                <w:rFonts w:hint="eastAsia" w:ascii="宋体" w:hAnsi="宋体"/>
                <w:color w:val="auto"/>
                <w:szCs w:val="21"/>
                <w:highlight w:val="none"/>
              </w:rPr>
              <w:t>（含深化设计方案文本）</w:t>
            </w:r>
            <w:r>
              <w:rPr>
                <w:rFonts w:hint="eastAsia" w:ascii="宋体" w:hAnsi="宋体"/>
                <w:szCs w:val="21"/>
              </w:rPr>
              <w:t>及磋商报价文件两部份组成，</w:t>
            </w:r>
            <w:r>
              <w:rPr>
                <w:rFonts w:hint="eastAsia" w:ascii="宋体" w:hAnsi="宋体"/>
                <w:color w:val="auto"/>
                <w:szCs w:val="21"/>
                <w:highlight w:val="none"/>
              </w:rPr>
              <w:t>提供电子文档一份（光盘/u盘（深化设计方案文本单独提供一个电子U盘并注明为深化设计方案文本））。</w:t>
            </w:r>
            <w:r>
              <w:rPr>
                <w:rFonts w:hint="eastAsia" w:ascii="宋体" w:hAnsi="宋体"/>
                <w:color w:val="auto"/>
                <w:szCs w:val="21"/>
                <w:highlight w:val="none"/>
                <w:lang w:eastAsia="zh-CN"/>
              </w:rPr>
              <w:t>（磋商响应文件</w:t>
            </w:r>
            <w:r>
              <w:rPr>
                <w:rFonts w:hint="eastAsia" w:ascii="宋体" w:hAnsi="宋体"/>
                <w:color w:val="auto"/>
                <w:szCs w:val="21"/>
                <w:highlight w:val="none"/>
              </w:rPr>
              <w:t>应装订成册（深化设计方案文本可单独装订成册），</w:t>
            </w:r>
            <w:r>
              <w:rPr>
                <w:rFonts w:hint="eastAsia" w:ascii="宋体" w:hAnsi="宋体"/>
                <w:color w:val="auto"/>
                <w:szCs w:val="21"/>
                <w:highlight w:val="none"/>
                <w:lang w:eastAsia="zh-CN"/>
              </w:rPr>
              <w:t>供应商</w:t>
            </w:r>
            <w:r>
              <w:rPr>
                <w:rFonts w:hint="eastAsia" w:ascii="宋体" w:hAnsi="宋体"/>
                <w:color w:val="auto"/>
                <w:szCs w:val="21"/>
                <w:highlight w:val="none"/>
              </w:rPr>
              <w:t>可根据纸张数量及规格大小(同一</w:t>
            </w:r>
            <w:r>
              <w:rPr>
                <w:rFonts w:hint="eastAsia" w:ascii="宋体" w:hAnsi="宋体"/>
                <w:color w:val="auto"/>
                <w:szCs w:val="21"/>
                <w:highlight w:val="none"/>
                <w:lang w:eastAsia="zh-CN"/>
              </w:rPr>
              <w:t>磋商响应文件</w:t>
            </w:r>
            <w:r>
              <w:rPr>
                <w:rFonts w:hint="eastAsia" w:ascii="宋体" w:hAnsi="宋体"/>
                <w:color w:val="auto"/>
                <w:szCs w:val="21"/>
                <w:highlight w:val="none"/>
              </w:rPr>
              <w:t>可采用不同规格大小的纸张，但规格超出A3纸幅的折叠成A3纸幅装订)情况分册装订,</w:t>
            </w:r>
            <w:r>
              <w:rPr>
                <w:rFonts w:hint="eastAsia" w:ascii="宋体" w:hAnsi="宋体"/>
                <w:color w:val="auto"/>
                <w:szCs w:val="21"/>
                <w:highlight w:val="none"/>
                <w:lang w:eastAsia="zh-CN"/>
              </w:rPr>
              <w:t>供应商</w:t>
            </w:r>
            <w:r>
              <w:rPr>
                <w:rFonts w:hint="eastAsia" w:ascii="宋体" w:hAnsi="宋体"/>
                <w:color w:val="auto"/>
                <w:szCs w:val="21"/>
                <w:highlight w:val="none"/>
              </w:rPr>
              <w:t>若选择分册装订的,应在</w:t>
            </w:r>
            <w:r>
              <w:rPr>
                <w:rFonts w:hint="eastAsia" w:ascii="宋体" w:hAnsi="宋体"/>
                <w:color w:val="auto"/>
                <w:szCs w:val="21"/>
                <w:highlight w:val="none"/>
                <w:lang w:eastAsia="zh-CN"/>
              </w:rPr>
              <w:t>磋商响应文件</w:t>
            </w:r>
            <w:r>
              <w:rPr>
                <w:rFonts w:hint="eastAsia" w:ascii="宋体" w:hAnsi="宋体"/>
                <w:color w:val="auto"/>
                <w:szCs w:val="21"/>
                <w:highlight w:val="none"/>
              </w:rPr>
              <w:t>封面上标明第一(或第二或第三或...)共N册。</w:t>
            </w:r>
            <w:r>
              <w:rPr>
                <w:rFonts w:hint="eastAsia" w:ascii="宋体" w:hAnsi="宋体"/>
                <w:color w:val="auto"/>
                <w:szCs w:val="21"/>
                <w:highlight w:val="none"/>
                <w:lang w:eastAsia="zh-CN"/>
              </w:rPr>
              <w:t>磋商响应文件</w:t>
            </w:r>
            <w:r>
              <w:rPr>
                <w:rFonts w:hint="eastAsia" w:ascii="宋体" w:hAnsi="宋体"/>
                <w:color w:val="auto"/>
                <w:szCs w:val="21"/>
                <w:highlight w:val="none"/>
              </w:rPr>
              <w:t>不得使用活页夹等可随意拆换的方式装订。提供设计图纸可单独装订成册）</w:t>
            </w:r>
            <w:r>
              <w:rPr>
                <w:rFonts w:hint="eastAsia" w:ascii="宋体" w:hAnsi="宋体"/>
                <w:szCs w:val="21"/>
              </w:rPr>
              <w:t>分别单独密封，封后并在密封袋上注明投标项目名称、投标单位名称并加盖公章。</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35" w:hRule="atLeast"/>
        </w:trPr>
        <w:tc>
          <w:tcPr>
            <w:tcW w:w="636" w:type="dxa"/>
            <w:tcBorders>
              <w:top w:val="single" w:color="auto" w:sz="4" w:space="0"/>
              <w:left w:val="single" w:color="auto" w:sz="4" w:space="0"/>
              <w:bottom w:val="single" w:color="auto" w:sz="4" w:space="0"/>
              <w:right w:val="single" w:color="auto" w:sz="4" w:space="0"/>
            </w:tcBorders>
            <w:noWrap w:val="0"/>
            <w:vAlign w:val="center"/>
          </w:tcPr>
          <w:p>
            <w:pPr>
              <w:snapToGrid w:val="0"/>
              <w:spacing w:line="360" w:lineRule="auto"/>
              <w:jc w:val="center"/>
              <w:rPr>
                <w:rFonts w:ascii="宋体" w:hAnsi="宋体" w:cs="微软雅黑"/>
                <w:color w:val="auto"/>
                <w:szCs w:val="21"/>
                <w:highlight w:val="none"/>
              </w:rPr>
            </w:pPr>
            <w:r>
              <w:rPr>
                <w:rFonts w:hint="eastAsia" w:ascii="宋体" w:hAnsi="宋体" w:cs="微软雅黑"/>
                <w:color w:val="auto"/>
                <w:szCs w:val="21"/>
                <w:highlight w:val="none"/>
              </w:rPr>
              <w:t>10</w:t>
            </w:r>
          </w:p>
        </w:tc>
        <w:tc>
          <w:tcPr>
            <w:tcW w:w="8652" w:type="dxa"/>
            <w:tcBorders>
              <w:top w:val="single" w:color="auto" w:sz="4" w:space="0"/>
              <w:left w:val="single" w:color="auto" w:sz="4" w:space="0"/>
              <w:bottom w:val="single" w:color="auto" w:sz="4" w:space="0"/>
              <w:right w:val="single" w:color="auto" w:sz="4" w:space="0"/>
            </w:tcBorders>
            <w:noWrap w:val="0"/>
            <w:vAlign w:val="center"/>
          </w:tcPr>
          <w:p>
            <w:pPr>
              <w:snapToGrid w:val="0"/>
              <w:spacing w:line="276" w:lineRule="auto"/>
              <w:rPr>
                <w:rFonts w:ascii="宋体" w:hAnsi="宋体"/>
                <w:szCs w:val="21"/>
              </w:rPr>
            </w:pPr>
            <w:r>
              <w:rPr>
                <w:rFonts w:hint="eastAsia" w:ascii="宋体" w:hAnsi="宋体"/>
                <w:szCs w:val="21"/>
              </w:rPr>
              <w:t>电子加密响应文件的解密和异常情况处理：</w:t>
            </w:r>
          </w:p>
          <w:p>
            <w:pPr>
              <w:snapToGrid w:val="0"/>
              <w:spacing w:line="276" w:lineRule="auto"/>
              <w:rPr>
                <w:rFonts w:ascii="宋体" w:hAnsi="宋体"/>
                <w:szCs w:val="21"/>
              </w:rPr>
            </w:pPr>
            <w:r>
              <w:rPr>
                <w:rFonts w:hint="eastAsia" w:ascii="宋体" w:hAnsi="宋体"/>
                <w:szCs w:val="21"/>
              </w:rPr>
              <w:t>（1）开标后，采购组织机构将向各投标供应商发出“电子加密响应文件”的解密通知，各投标供应商代表应当在接到解密通知后30分钟内自行完成“电子加密响应文件”的在线解密。</w:t>
            </w:r>
          </w:p>
          <w:p>
            <w:pPr>
              <w:snapToGrid w:val="0"/>
              <w:spacing w:line="276" w:lineRule="auto"/>
              <w:rPr>
                <w:rFonts w:ascii="宋体" w:hAnsi="宋体"/>
                <w:szCs w:val="21"/>
              </w:rPr>
            </w:pPr>
            <w:r>
              <w:rPr>
                <w:rFonts w:hint="eastAsia" w:ascii="宋体" w:hAnsi="宋体"/>
                <w:szCs w:val="21"/>
              </w:rPr>
              <w:t>（2）通过“政府采购云平台”成功上传递交的“电子加密响应文件”无法按时解密，投标供应商如按规定递交了“备份响应文件”的，以“备份响应文件”为依据（由采购组织机构按“政府采购云平台”操作规范将“备份响应文件”上传至“政府采购云平台”，上传成功后，“电子加密响应文件”自动失效），否则视为响应文件撤回。</w:t>
            </w:r>
          </w:p>
          <w:p>
            <w:pPr>
              <w:adjustRightInd w:val="0"/>
              <w:snapToGrid w:val="0"/>
              <w:spacing w:line="276" w:lineRule="auto"/>
              <w:rPr>
                <w:rFonts w:ascii="宋体" w:hAnsi="宋体" w:cs="微软雅黑"/>
                <w:color w:val="auto"/>
                <w:szCs w:val="21"/>
                <w:highlight w:val="none"/>
              </w:rPr>
            </w:pPr>
            <w:r>
              <w:rPr>
                <w:rFonts w:hint="eastAsia" w:ascii="宋体" w:hAnsi="宋体"/>
                <w:szCs w:val="21"/>
              </w:rPr>
              <w:t>（3）投标截止时间前，投标供应商仅递交了“备份响应文件”而未将电子加密响应文件上传至“政府采购云平台”的，投标无效。</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35" w:hRule="atLeast"/>
        </w:trPr>
        <w:tc>
          <w:tcPr>
            <w:tcW w:w="636" w:type="dxa"/>
            <w:tcBorders>
              <w:top w:val="single" w:color="auto" w:sz="4" w:space="0"/>
              <w:left w:val="single" w:color="auto" w:sz="4" w:space="0"/>
              <w:bottom w:val="single" w:color="auto" w:sz="4" w:space="0"/>
              <w:right w:val="single" w:color="auto" w:sz="4" w:space="0"/>
            </w:tcBorders>
            <w:noWrap w:val="0"/>
            <w:vAlign w:val="center"/>
          </w:tcPr>
          <w:p>
            <w:pPr>
              <w:snapToGrid w:val="0"/>
              <w:spacing w:line="360" w:lineRule="auto"/>
              <w:jc w:val="center"/>
              <w:rPr>
                <w:rFonts w:ascii="宋体" w:hAnsi="宋体" w:cs="微软雅黑"/>
                <w:color w:val="auto"/>
                <w:szCs w:val="21"/>
                <w:highlight w:val="none"/>
              </w:rPr>
            </w:pPr>
            <w:r>
              <w:rPr>
                <w:rFonts w:hint="eastAsia" w:ascii="宋体" w:hAnsi="宋体" w:cs="微软雅黑"/>
                <w:color w:val="auto"/>
                <w:szCs w:val="21"/>
                <w:highlight w:val="none"/>
              </w:rPr>
              <w:t>11</w:t>
            </w:r>
          </w:p>
        </w:tc>
        <w:tc>
          <w:tcPr>
            <w:tcW w:w="8652" w:type="dxa"/>
            <w:tcBorders>
              <w:top w:val="single" w:color="auto" w:sz="4" w:space="0"/>
              <w:left w:val="single" w:color="auto" w:sz="4" w:space="0"/>
              <w:bottom w:val="single" w:color="auto" w:sz="4" w:space="0"/>
              <w:right w:val="single" w:color="auto" w:sz="4" w:space="0"/>
            </w:tcBorders>
            <w:noWrap w:val="0"/>
            <w:vAlign w:val="center"/>
          </w:tcPr>
          <w:p>
            <w:pPr>
              <w:snapToGrid w:val="0"/>
              <w:spacing w:line="276" w:lineRule="auto"/>
              <w:rPr>
                <w:rFonts w:ascii="宋体" w:hAnsi="宋体" w:cs="微软雅黑"/>
                <w:color w:val="auto"/>
                <w:szCs w:val="21"/>
                <w:highlight w:val="none"/>
              </w:rPr>
            </w:pPr>
            <w:r>
              <w:rPr>
                <w:rFonts w:hint="eastAsia" w:ascii="宋体" w:hAnsi="宋体"/>
                <w:b/>
                <w:szCs w:val="21"/>
              </w:rPr>
              <w:t>开标时间及地点：</w:t>
            </w:r>
            <w:r>
              <w:rPr>
                <w:rFonts w:hint="eastAsia" w:ascii="宋体" w:hAnsi="宋体"/>
                <w:szCs w:val="21"/>
              </w:rPr>
              <w:t>供应商应于</w:t>
            </w:r>
            <w:r>
              <w:rPr>
                <w:rFonts w:hint="eastAsia" w:ascii="宋体" w:hAnsi="宋体" w:cs="仿宋"/>
                <w:szCs w:val="21"/>
                <w:highlight w:val="none"/>
                <w:u w:val="single"/>
              </w:rPr>
              <w:t>2023年</w:t>
            </w:r>
            <w:r>
              <w:rPr>
                <w:rFonts w:hint="eastAsia" w:ascii="宋体" w:hAnsi="宋体" w:cs="仿宋"/>
                <w:szCs w:val="21"/>
                <w:highlight w:val="none"/>
                <w:u w:val="single"/>
                <w:lang w:val="en-US" w:eastAsia="zh-CN"/>
              </w:rPr>
              <w:t>11</w:t>
            </w:r>
            <w:r>
              <w:rPr>
                <w:rFonts w:hint="eastAsia" w:ascii="宋体" w:hAnsi="宋体" w:cs="仿宋"/>
                <w:szCs w:val="21"/>
                <w:highlight w:val="none"/>
                <w:u w:val="single"/>
              </w:rPr>
              <w:t>月</w:t>
            </w:r>
            <w:r>
              <w:rPr>
                <w:rFonts w:hint="eastAsia" w:ascii="宋体" w:hAnsi="宋体" w:cs="仿宋"/>
                <w:szCs w:val="21"/>
                <w:highlight w:val="none"/>
                <w:u w:val="single"/>
                <w:lang w:val="en-US" w:eastAsia="zh-CN"/>
              </w:rPr>
              <w:t xml:space="preserve"> 7 </w:t>
            </w:r>
            <w:r>
              <w:rPr>
                <w:rFonts w:hint="eastAsia" w:ascii="宋体" w:hAnsi="宋体" w:cs="仿宋"/>
                <w:szCs w:val="21"/>
                <w:highlight w:val="none"/>
                <w:u w:val="single"/>
              </w:rPr>
              <w:t>日上午</w:t>
            </w:r>
            <w:r>
              <w:rPr>
                <w:rFonts w:hint="eastAsia" w:ascii="宋体" w:hAnsi="宋体" w:cs="仿宋"/>
                <w:szCs w:val="21"/>
                <w:highlight w:val="none"/>
                <w:u w:val="single"/>
                <w:lang w:val="en-US" w:eastAsia="zh-CN"/>
              </w:rPr>
              <w:t>9</w:t>
            </w:r>
            <w:r>
              <w:rPr>
                <w:rFonts w:hint="eastAsia" w:ascii="宋体" w:hAnsi="宋体" w:cs="仿宋"/>
                <w:szCs w:val="21"/>
                <w:highlight w:val="none"/>
                <w:u w:val="single"/>
              </w:rPr>
              <w:t>：</w:t>
            </w:r>
            <w:r>
              <w:rPr>
                <w:rFonts w:hint="eastAsia" w:ascii="宋体" w:hAnsi="宋体" w:cs="仿宋"/>
                <w:szCs w:val="21"/>
                <w:highlight w:val="none"/>
                <w:u w:val="single"/>
                <w:lang w:val="en-US" w:eastAsia="zh-CN"/>
              </w:rPr>
              <w:t>3</w:t>
            </w:r>
            <w:r>
              <w:rPr>
                <w:rFonts w:hint="eastAsia" w:ascii="宋体" w:hAnsi="宋体" w:cs="仿宋"/>
                <w:szCs w:val="21"/>
                <w:highlight w:val="none"/>
                <w:u w:val="single"/>
              </w:rPr>
              <w:t>0</w:t>
            </w:r>
            <w:r>
              <w:rPr>
                <w:rFonts w:hint="eastAsia" w:ascii="宋体" w:hAnsi="宋体"/>
                <w:szCs w:val="21"/>
              </w:rPr>
              <w:t>在</w:t>
            </w:r>
            <w:r>
              <w:rPr>
                <w:rFonts w:hint="eastAsia" w:ascii="宋体" w:hAnsi="宋体"/>
                <w:szCs w:val="21"/>
                <w:lang w:eastAsia="zh-CN"/>
              </w:rPr>
              <w:t>浙江富力诚欣工程顾问有限公司</w:t>
            </w:r>
            <w:r>
              <w:rPr>
                <w:rFonts w:hint="eastAsia" w:ascii="宋体" w:hAnsi="宋体"/>
                <w:szCs w:val="21"/>
              </w:rPr>
              <w:t>开标室开标，</w:t>
            </w:r>
            <w:r>
              <w:rPr>
                <w:rFonts w:hint="eastAsia" w:ascii="宋体" w:hAnsi="宋体"/>
                <w:b/>
                <w:szCs w:val="21"/>
                <w:u w:val="double"/>
              </w:rPr>
              <w:t>供应商须准时在线参加，直至评审结束。</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308" w:hRule="atLeast"/>
        </w:trPr>
        <w:tc>
          <w:tcPr>
            <w:tcW w:w="636" w:type="dxa"/>
            <w:tcBorders>
              <w:top w:val="single" w:color="auto" w:sz="4" w:space="0"/>
              <w:left w:val="single" w:color="auto" w:sz="4" w:space="0"/>
              <w:bottom w:val="single" w:color="auto" w:sz="4" w:space="0"/>
              <w:right w:val="single" w:color="auto" w:sz="4" w:space="0"/>
            </w:tcBorders>
            <w:noWrap w:val="0"/>
            <w:vAlign w:val="center"/>
          </w:tcPr>
          <w:p>
            <w:pPr>
              <w:snapToGrid w:val="0"/>
              <w:spacing w:line="360" w:lineRule="auto"/>
              <w:jc w:val="center"/>
              <w:rPr>
                <w:rFonts w:ascii="宋体" w:hAnsi="宋体" w:cs="微软雅黑"/>
                <w:color w:val="auto"/>
                <w:szCs w:val="21"/>
                <w:highlight w:val="none"/>
              </w:rPr>
            </w:pPr>
            <w:r>
              <w:rPr>
                <w:rFonts w:hint="eastAsia" w:ascii="宋体" w:hAnsi="宋体" w:cs="微软雅黑"/>
                <w:color w:val="auto"/>
                <w:szCs w:val="21"/>
                <w:highlight w:val="none"/>
              </w:rPr>
              <w:t>13</w:t>
            </w:r>
          </w:p>
        </w:tc>
        <w:tc>
          <w:tcPr>
            <w:tcW w:w="8652" w:type="dxa"/>
            <w:tcBorders>
              <w:top w:val="single" w:color="auto" w:sz="4" w:space="0"/>
              <w:left w:val="single" w:color="auto" w:sz="4" w:space="0"/>
              <w:bottom w:val="single" w:color="auto" w:sz="4" w:space="0"/>
              <w:right w:val="single" w:color="auto" w:sz="4" w:space="0"/>
            </w:tcBorders>
            <w:noWrap w:val="0"/>
            <w:vAlign w:val="center"/>
          </w:tcPr>
          <w:p>
            <w:pPr>
              <w:autoSpaceDE w:val="0"/>
              <w:autoSpaceDN w:val="0"/>
              <w:snapToGrid w:val="0"/>
              <w:spacing w:line="360" w:lineRule="auto"/>
              <w:jc w:val="left"/>
              <w:textAlignment w:val="bottom"/>
              <w:rPr>
                <w:rFonts w:ascii="宋体" w:hAnsi="宋体" w:cs="微软雅黑"/>
                <w:color w:val="auto"/>
                <w:szCs w:val="21"/>
                <w:highlight w:val="none"/>
              </w:rPr>
            </w:pPr>
            <w:r>
              <w:rPr>
                <w:rFonts w:hint="eastAsia" w:ascii="宋体" w:hAnsi="宋体" w:cs="微软雅黑"/>
                <w:color w:val="auto"/>
                <w:szCs w:val="21"/>
                <w:highlight w:val="none"/>
              </w:rPr>
              <w:t>签订合同时间：中标通知书发出后30日内。</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71" w:hRule="atLeast"/>
        </w:trPr>
        <w:tc>
          <w:tcPr>
            <w:tcW w:w="636" w:type="dxa"/>
            <w:tcBorders>
              <w:top w:val="single" w:color="auto" w:sz="4" w:space="0"/>
              <w:left w:val="single" w:color="auto" w:sz="4" w:space="0"/>
              <w:bottom w:val="single" w:color="auto" w:sz="4" w:space="0"/>
              <w:right w:val="single" w:color="auto" w:sz="4" w:space="0"/>
            </w:tcBorders>
            <w:noWrap w:val="0"/>
            <w:vAlign w:val="center"/>
          </w:tcPr>
          <w:p>
            <w:pPr>
              <w:snapToGrid w:val="0"/>
              <w:spacing w:line="360" w:lineRule="auto"/>
              <w:jc w:val="center"/>
              <w:rPr>
                <w:rFonts w:ascii="宋体" w:hAnsi="宋体" w:cs="微软雅黑"/>
                <w:color w:val="auto"/>
                <w:szCs w:val="21"/>
                <w:highlight w:val="none"/>
              </w:rPr>
            </w:pPr>
            <w:r>
              <w:rPr>
                <w:rFonts w:hint="eastAsia" w:ascii="宋体" w:hAnsi="宋体" w:cs="微软雅黑"/>
                <w:color w:val="auto"/>
                <w:szCs w:val="21"/>
                <w:highlight w:val="none"/>
              </w:rPr>
              <w:t>14</w:t>
            </w:r>
          </w:p>
        </w:tc>
        <w:tc>
          <w:tcPr>
            <w:tcW w:w="8652" w:type="dxa"/>
            <w:tcBorders>
              <w:top w:val="single" w:color="auto" w:sz="4" w:space="0"/>
              <w:left w:val="single" w:color="auto" w:sz="4" w:space="0"/>
              <w:bottom w:val="single" w:color="auto" w:sz="4" w:space="0"/>
              <w:right w:val="single" w:color="auto" w:sz="4" w:space="0"/>
            </w:tcBorders>
            <w:noWrap w:val="0"/>
            <w:vAlign w:val="center"/>
          </w:tcPr>
          <w:p>
            <w:pPr>
              <w:autoSpaceDE w:val="0"/>
              <w:autoSpaceDN w:val="0"/>
              <w:snapToGrid w:val="0"/>
              <w:spacing w:line="360" w:lineRule="auto"/>
              <w:jc w:val="left"/>
              <w:textAlignment w:val="bottom"/>
              <w:rPr>
                <w:rFonts w:ascii="宋体" w:hAnsi="宋体" w:cs="微软雅黑"/>
                <w:color w:val="auto"/>
                <w:szCs w:val="21"/>
                <w:highlight w:val="none"/>
              </w:rPr>
            </w:pPr>
            <w:r>
              <w:rPr>
                <w:rFonts w:hint="eastAsia" w:ascii="宋体" w:hAnsi="宋体" w:eastAsia="宋体"/>
                <w:color w:val="auto"/>
                <w:szCs w:val="21"/>
                <w:highlight w:val="none"/>
              </w:rPr>
              <w:t>履约保证金的收取及退还：合同签订前7天缴纳合同金额的1%作为履约保证金，履约保证金的在合同履行完毕后退还。</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70" w:hRule="atLeast"/>
        </w:trPr>
        <w:tc>
          <w:tcPr>
            <w:tcW w:w="636" w:type="dxa"/>
            <w:tcBorders>
              <w:top w:val="single" w:color="auto" w:sz="4" w:space="0"/>
              <w:left w:val="single" w:color="auto" w:sz="4" w:space="0"/>
              <w:bottom w:val="single" w:color="auto" w:sz="4" w:space="0"/>
              <w:right w:val="single" w:color="auto" w:sz="4" w:space="0"/>
            </w:tcBorders>
            <w:noWrap w:val="0"/>
            <w:vAlign w:val="center"/>
          </w:tcPr>
          <w:p>
            <w:pPr>
              <w:snapToGrid w:val="0"/>
              <w:spacing w:line="360" w:lineRule="auto"/>
              <w:jc w:val="center"/>
              <w:rPr>
                <w:rFonts w:ascii="宋体" w:hAnsi="宋体" w:cs="微软雅黑"/>
                <w:color w:val="auto"/>
                <w:szCs w:val="21"/>
                <w:highlight w:val="none"/>
              </w:rPr>
            </w:pPr>
            <w:r>
              <w:rPr>
                <w:rFonts w:hint="eastAsia" w:ascii="宋体" w:hAnsi="宋体" w:cs="微软雅黑"/>
                <w:color w:val="auto"/>
                <w:szCs w:val="21"/>
                <w:highlight w:val="none"/>
              </w:rPr>
              <w:t>15</w:t>
            </w:r>
          </w:p>
        </w:tc>
        <w:tc>
          <w:tcPr>
            <w:tcW w:w="8652" w:type="dxa"/>
            <w:tcBorders>
              <w:top w:val="single" w:color="auto" w:sz="4" w:space="0"/>
              <w:left w:val="single" w:color="auto" w:sz="4" w:space="0"/>
              <w:bottom w:val="single" w:color="auto" w:sz="4" w:space="0"/>
              <w:right w:val="single" w:color="auto" w:sz="4" w:space="0"/>
            </w:tcBorders>
            <w:noWrap w:val="0"/>
            <w:vAlign w:val="center"/>
          </w:tcPr>
          <w:p>
            <w:pPr>
              <w:snapToGrid w:val="0"/>
              <w:spacing w:line="360" w:lineRule="auto"/>
              <w:jc w:val="left"/>
              <w:rPr>
                <w:rFonts w:ascii="宋体" w:hAnsi="宋体" w:cs="微软雅黑"/>
                <w:color w:val="auto"/>
                <w:szCs w:val="21"/>
                <w:highlight w:val="none"/>
              </w:rPr>
            </w:pPr>
            <w:r>
              <w:rPr>
                <w:rFonts w:hint="eastAsia" w:ascii="宋体" w:hAnsi="宋体" w:cs="微软雅黑"/>
                <w:color w:val="auto"/>
                <w:szCs w:val="21"/>
                <w:highlight w:val="none"/>
                <w:lang w:eastAsia="zh-CN"/>
              </w:rPr>
              <w:t>磋商响应文件</w:t>
            </w:r>
            <w:r>
              <w:rPr>
                <w:rFonts w:hint="eastAsia" w:ascii="宋体" w:hAnsi="宋体" w:cs="微软雅黑"/>
                <w:color w:val="auto"/>
                <w:szCs w:val="21"/>
                <w:highlight w:val="none"/>
              </w:rPr>
              <w:t>有效期：</w:t>
            </w:r>
            <w:r>
              <w:rPr>
                <w:rFonts w:hint="eastAsia" w:ascii="宋体" w:hAnsi="宋体" w:cs="微软雅黑"/>
                <w:color w:val="auto"/>
                <w:szCs w:val="21"/>
                <w:highlight w:val="none"/>
                <w:u w:val="single"/>
              </w:rPr>
              <w:t>60</w:t>
            </w:r>
            <w:r>
              <w:rPr>
                <w:rFonts w:hint="eastAsia" w:ascii="宋体" w:hAnsi="宋体" w:cs="微软雅黑"/>
                <w:color w:val="auto"/>
                <w:szCs w:val="21"/>
                <w:highlight w:val="none"/>
              </w:rPr>
              <w:t>天</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70" w:hRule="atLeast"/>
        </w:trPr>
        <w:tc>
          <w:tcPr>
            <w:tcW w:w="636" w:type="dxa"/>
            <w:tcBorders>
              <w:top w:val="single" w:color="auto" w:sz="4" w:space="0"/>
              <w:left w:val="single" w:color="auto" w:sz="4" w:space="0"/>
              <w:bottom w:val="single" w:color="auto" w:sz="4" w:space="0"/>
              <w:right w:val="single" w:color="auto" w:sz="4" w:space="0"/>
            </w:tcBorders>
            <w:noWrap w:val="0"/>
            <w:vAlign w:val="center"/>
          </w:tcPr>
          <w:p>
            <w:pPr>
              <w:snapToGrid w:val="0"/>
              <w:spacing w:line="360" w:lineRule="auto"/>
              <w:jc w:val="center"/>
              <w:rPr>
                <w:rFonts w:ascii="宋体" w:hAnsi="宋体" w:cs="微软雅黑"/>
                <w:color w:val="auto"/>
                <w:szCs w:val="21"/>
                <w:highlight w:val="none"/>
              </w:rPr>
            </w:pPr>
            <w:r>
              <w:rPr>
                <w:rFonts w:hint="eastAsia" w:ascii="宋体" w:hAnsi="宋体" w:cs="微软雅黑"/>
                <w:color w:val="auto"/>
                <w:szCs w:val="21"/>
                <w:highlight w:val="none"/>
              </w:rPr>
              <w:t>16</w:t>
            </w:r>
          </w:p>
        </w:tc>
        <w:tc>
          <w:tcPr>
            <w:tcW w:w="8652" w:type="dxa"/>
            <w:tcBorders>
              <w:top w:val="single" w:color="auto" w:sz="4" w:space="0"/>
              <w:left w:val="single" w:color="auto" w:sz="4" w:space="0"/>
              <w:bottom w:val="single" w:color="auto" w:sz="4" w:space="0"/>
              <w:right w:val="single" w:color="auto" w:sz="4" w:space="0"/>
            </w:tcBorders>
            <w:noWrap w:val="0"/>
            <w:vAlign w:val="center"/>
          </w:tcPr>
          <w:p>
            <w:pPr>
              <w:autoSpaceDE w:val="0"/>
              <w:autoSpaceDN w:val="0"/>
              <w:snapToGrid w:val="0"/>
              <w:spacing w:line="360" w:lineRule="auto"/>
              <w:jc w:val="left"/>
              <w:textAlignment w:val="bottom"/>
              <w:rPr>
                <w:rFonts w:cs="宋体"/>
                <w:color w:val="auto"/>
                <w:szCs w:val="21"/>
                <w:highlight w:val="none"/>
              </w:rPr>
            </w:pPr>
            <w:r>
              <w:rPr>
                <w:rFonts w:hint="eastAsia" w:cs="宋体"/>
                <w:color w:val="auto"/>
                <w:szCs w:val="21"/>
                <w:highlight w:val="none"/>
              </w:rPr>
              <w:t>（1）本项目专门面向中、小、微型企业或者监狱企业或者残疾人福利性单位，符合条件的企业不再享受价格评审优惠的扶持政策。</w:t>
            </w:r>
          </w:p>
          <w:p>
            <w:pPr>
              <w:widowControl/>
              <w:shd w:val="clear" w:color="auto" w:fill="FFFFFF"/>
              <w:spacing w:line="440" w:lineRule="exact"/>
              <w:ind w:firstLine="420" w:firstLineChars="200"/>
              <w:rPr>
                <w:rFonts w:hint="eastAsia" w:cs="宋体"/>
                <w:color w:val="auto"/>
                <w:szCs w:val="21"/>
                <w:highlight w:val="none"/>
              </w:rPr>
            </w:pPr>
            <w:r>
              <w:rPr>
                <w:rFonts w:hint="eastAsia" w:cs="宋体"/>
                <w:color w:val="auto"/>
                <w:szCs w:val="21"/>
                <w:highlight w:val="none"/>
              </w:rPr>
              <w:t>（2）</w:t>
            </w:r>
            <w:r>
              <w:rPr>
                <w:rFonts w:hint="eastAsia" w:cs="宋体"/>
                <w:color w:val="auto"/>
                <w:szCs w:val="21"/>
                <w:highlight w:val="none"/>
                <w:lang w:eastAsia="zh-CN"/>
              </w:rPr>
              <w:t>磋商响应文件</w:t>
            </w:r>
            <w:r>
              <w:rPr>
                <w:rFonts w:hint="eastAsia" w:cs="宋体"/>
                <w:color w:val="auto"/>
                <w:szCs w:val="21"/>
                <w:highlight w:val="none"/>
              </w:rPr>
              <w:t>中提供制造商出具的《政府 采购促进中小企业发展管理办法》【财库（2020） 46 号】规定的《中小企业声明函》，否则不予认可。 本次采购标的为工程，对应的中小企业划分标准所属行业是：</w:t>
            </w:r>
            <w:r>
              <w:rPr>
                <w:rFonts w:hint="eastAsia" w:cs="宋体"/>
                <w:b/>
                <w:bCs/>
                <w:color w:val="auto"/>
                <w:szCs w:val="21"/>
                <w:highlight w:val="none"/>
                <w:u w:val="single"/>
              </w:rPr>
              <w:t>建筑</w:t>
            </w:r>
            <w:r>
              <w:rPr>
                <w:rFonts w:hint="eastAsia" w:cs="宋体"/>
                <w:color w:val="auto"/>
                <w:szCs w:val="21"/>
                <w:highlight w:val="none"/>
              </w:rPr>
              <w:t xml:space="preserve">。 </w:t>
            </w:r>
            <w:r>
              <w:rPr>
                <w:rFonts w:hint="eastAsia" w:cs="宋体"/>
                <w:color w:val="auto"/>
                <w:szCs w:val="21"/>
                <w:highlight w:val="none"/>
                <w:lang w:val="en-US" w:eastAsia="zh-CN"/>
              </w:rPr>
              <w:t>以联合体形式参加政府采购活动，联合体各方均为中小企业的，联合体视同中小企业。</w:t>
            </w:r>
          </w:p>
          <w:p>
            <w:pPr>
              <w:widowControl/>
              <w:shd w:val="clear" w:color="auto" w:fill="FFFFFF"/>
              <w:spacing w:line="440" w:lineRule="exact"/>
              <w:ind w:firstLine="420" w:firstLineChars="200"/>
              <w:rPr>
                <w:rFonts w:hint="eastAsia" w:ascii="Times New Roman" w:hAnsi="Times New Roman" w:eastAsia="宋体" w:cs="宋体"/>
                <w:color w:val="auto"/>
                <w:szCs w:val="21"/>
                <w:highlight w:val="none"/>
              </w:rPr>
            </w:pPr>
            <w:r>
              <w:rPr>
                <w:rFonts w:hint="eastAsia" w:cs="宋体"/>
                <w:color w:val="auto"/>
                <w:szCs w:val="21"/>
                <w:highlight w:val="none"/>
              </w:rPr>
              <w:t>（3）残疾人福利性单位视同小型、微型企业，享受预留份额、评审中价格扣除等促进中小</w:t>
            </w:r>
            <w:r>
              <w:rPr>
                <w:rFonts w:hint="eastAsia" w:ascii="Times New Roman" w:hAnsi="Times New Roman" w:eastAsia="宋体" w:cs="宋体"/>
                <w:color w:val="auto"/>
                <w:szCs w:val="21"/>
                <w:highlight w:val="none"/>
              </w:rPr>
              <w:t xml:space="preserve">企业发展的政府采购政策。符合条件的残疾人福利性单位在参加政府采购活动时，应当提供本通知规定的 《残疾人福利性单位声明函》（见附件），并对声明的真实性负责。 </w:t>
            </w:r>
          </w:p>
          <w:p>
            <w:pPr>
              <w:widowControl/>
              <w:shd w:val="clear" w:color="auto" w:fill="FFFFFF"/>
              <w:spacing w:line="440" w:lineRule="exact"/>
              <w:ind w:firstLine="420" w:firstLineChars="200"/>
              <w:rPr>
                <w:rFonts w:ascii="宋体" w:hAnsi="宋体" w:cs="微软雅黑"/>
                <w:color w:val="auto"/>
                <w:szCs w:val="21"/>
                <w:highlight w:val="none"/>
              </w:rPr>
            </w:pPr>
            <w:r>
              <w:rPr>
                <w:rFonts w:hint="eastAsia" w:ascii="Times New Roman" w:hAnsi="Times New Roman" w:eastAsia="宋体" w:cs="宋体"/>
                <w:color w:val="auto"/>
                <w:szCs w:val="21"/>
                <w:highlight w:val="none"/>
              </w:rPr>
              <w:t>享受政府采购支持政策的残疾人福利性单位应当同时满足以下条件： （一）安置的残疾人占本单位在职职工人数的比例不低于25%（含 25%），并且安置的残疾人人数不少于10人（含10人）；（二）依法与安置的每位残疾人签订了一年以上（含一年）的劳动合同或服务协议； （三）为安置的每位残疾人按月足额缴纳了基本养老保险、基本医 疗保险、失业保险、工伤保险和生育保险等社会保险费；（四）通过银行等金融机构向安置的每位残疾人，按月支付了不低 于单位所在区县适用的经省级人民政府批准的月最低工资标准的 工资；（五）提供本单位制造的货物、承担的工程或者服务（以下简称产 品），或者提供其他残疾人福利性单位制造的货物（不包括使用非 残疾人福利性单位注册商标的货物）。前款所称残疾人是指法定劳动年龄内，持有《中华人民共和国残疾 人证》或者《中华人民共和国残疾军人证（ 1 至 8 级）》的自然人， 包括具有劳动条件和劳动意愿的精神残疾人。在职职工人数是指与残疾人福利性单位建立劳动关系并依法签订劳动合同或者服务协议的雇员人数。</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72" w:hRule="atLeast"/>
        </w:trPr>
        <w:tc>
          <w:tcPr>
            <w:tcW w:w="636" w:type="dxa"/>
            <w:tcBorders>
              <w:top w:val="single" w:color="auto" w:sz="4" w:space="0"/>
              <w:left w:val="single" w:color="auto" w:sz="4" w:space="0"/>
              <w:bottom w:val="single" w:color="auto" w:sz="4" w:space="0"/>
              <w:right w:val="single" w:color="auto" w:sz="4" w:space="0"/>
            </w:tcBorders>
            <w:noWrap w:val="0"/>
            <w:vAlign w:val="center"/>
          </w:tcPr>
          <w:p>
            <w:pPr>
              <w:snapToGrid w:val="0"/>
              <w:spacing w:line="360" w:lineRule="auto"/>
              <w:jc w:val="center"/>
              <w:rPr>
                <w:rFonts w:ascii="宋体" w:hAnsi="宋体" w:cs="微软雅黑"/>
                <w:color w:val="auto"/>
                <w:szCs w:val="21"/>
                <w:highlight w:val="none"/>
              </w:rPr>
            </w:pPr>
            <w:r>
              <w:rPr>
                <w:rFonts w:hint="eastAsia" w:ascii="宋体" w:hAnsi="宋体" w:cs="微软雅黑"/>
                <w:color w:val="auto"/>
                <w:szCs w:val="21"/>
                <w:highlight w:val="none"/>
              </w:rPr>
              <w:t>18</w:t>
            </w:r>
          </w:p>
        </w:tc>
        <w:tc>
          <w:tcPr>
            <w:tcW w:w="8652" w:type="dxa"/>
            <w:tcBorders>
              <w:top w:val="single" w:color="auto" w:sz="4" w:space="0"/>
              <w:left w:val="single" w:color="auto" w:sz="4" w:space="0"/>
              <w:bottom w:val="single" w:color="auto" w:sz="4" w:space="0"/>
              <w:right w:val="single" w:color="auto" w:sz="4" w:space="0"/>
            </w:tcBorders>
            <w:noWrap w:val="0"/>
            <w:vAlign w:val="center"/>
          </w:tcPr>
          <w:p>
            <w:pPr>
              <w:autoSpaceDE w:val="0"/>
              <w:autoSpaceDN w:val="0"/>
              <w:snapToGrid w:val="0"/>
              <w:spacing w:line="360" w:lineRule="auto"/>
              <w:jc w:val="left"/>
              <w:textAlignment w:val="bottom"/>
              <w:rPr>
                <w:rFonts w:cs="宋体"/>
                <w:color w:val="auto"/>
                <w:szCs w:val="21"/>
                <w:highlight w:val="none"/>
              </w:rPr>
            </w:pPr>
            <w:r>
              <w:rPr>
                <w:rFonts w:hint="eastAsia" w:ascii="Times New Roman" w:hAnsi="Times New Roman" w:eastAsia="宋体" w:cs="宋体"/>
                <w:color w:val="auto"/>
                <w:sz w:val="21"/>
                <w:szCs w:val="21"/>
                <w:highlight w:val="none"/>
                <w:lang w:val="en-US" w:eastAsia="zh-CN" w:bidi="ar-SA"/>
              </w:rPr>
              <w:t>评标结果公告：</w:t>
            </w:r>
            <w:r>
              <w:rPr>
                <w:rFonts w:hint="eastAsia" w:ascii="宋体" w:hAnsi="宋体"/>
                <w:szCs w:val="21"/>
              </w:rPr>
              <w:t>成交供应商确定后2个工作日内，成交结果公告于浙江政府采购网(http://www.zjzfcg.gov.cn/new/)。本项目结果公告期限为1个工作日，各参加政府采购活动的供应商认为该成交结果和采购过程等使自己的权益受到损害的，可以自结果公告期限届满之日（结果公告发布之日后第2个工作日）起7个工作日内，以书面形式向采购人或受其委托的招标代理机构提出质疑。质疑供应商对采购人、招标代理机构的答复不满意或者采购人、招标代理机构未在规定的时间内作出答复的，可以在答复期满后十五个工作日内向同级政府采购监督管理部门投诉。质疑函范本、投诉书范本请到浙江政府采购网下载专区下载。</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72" w:hRule="atLeast"/>
        </w:trPr>
        <w:tc>
          <w:tcPr>
            <w:tcW w:w="636" w:type="dxa"/>
            <w:tcBorders>
              <w:top w:val="single" w:color="auto" w:sz="4" w:space="0"/>
              <w:left w:val="single" w:color="auto" w:sz="4" w:space="0"/>
              <w:bottom w:val="single" w:color="auto" w:sz="4" w:space="0"/>
              <w:right w:val="single" w:color="auto" w:sz="4" w:space="0"/>
            </w:tcBorders>
            <w:noWrap w:val="0"/>
            <w:vAlign w:val="center"/>
          </w:tcPr>
          <w:p>
            <w:pPr>
              <w:snapToGrid w:val="0"/>
              <w:spacing w:line="360" w:lineRule="auto"/>
              <w:jc w:val="center"/>
              <w:rPr>
                <w:rFonts w:hint="eastAsia" w:ascii="宋体" w:hAnsi="宋体" w:cs="微软雅黑"/>
                <w:color w:val="auto"/>
                <w:szCs w:val="21"/>
                <w:highlight w:val="none"/>
              </w:rPr>
            </w:pPr>
            <w:r>
              <w:rPr>
                <w:rFonts w:hint="eastAsia" w:ascii="宋体" w:hAnsi="宋体" w:cs="微软雅黑"/>
                <w:color w:val="auto"/>
                <w:szCs w:val="21"/>
                <w:highlight w:val="none"/>
              </w:rPr>
              <w:t>19</w:t>
            </w:r>
          </w:p>
        </w:tc>
        <w:tc>
          <w:tcPr>
            <w:tcW w:w="8652" w:type="dxa"/>
            <w:tcBorders>
              <w:top w:val="single" w:color="auto" w:sz="4" w:space="0"/>
              <w:left w:val="single" w:color="auto" w:sz="4" w:space="0"/>
              <w:bottom w:val="single" w:color="auto" w:sz="4" w:space="0"/>
              <w:right w:val="single" w:color="auto" w:sz="4" w:space="0"/>
            </w:tcBorders>
            <w:noWrap w:val="0"/>
            <w:vAlign w:val="center"/>
          </w:tcPr>
          <w:p>
            <w:pPr>
              <w:autoSpaceDE w:val="0"/>
              <w:autoSpaceDN w:val="0"/>
              <w:snapToGrid w:val="0"/>
              <w:spacing w:line="360" w:lineRule="auto"/>
              <w:jc w:val="left"/>
              <w:textAlignment w:val="bottom"/>
              <w:rPr>
                <w:rFonts w:hint="eastAsia" w:ascii="Times New Roman" w:hAnsi="Times New Roman" w:eastAsia="宋体" w:cs="宋体"/>
                <w:color w:val="auto"/>
                <w:sz w:val="21"/>
                <w:szCs w:val="21"/>
                <w:highlight w:val="none"/>
                <w:lang w:val="en-US" w:eastAsia="zh-CN" w:bidi="ar-SA"/>
              </w:rPr>
            </w:pPr>
            <w:r>
              <w:rPr>
                <w:rFonts w:hint="eastAsia" w:ascii="Times New Roman" w:hAnsi="Times New Roman" w:eastAsia="宋体" w:cs="宋体"/>
                <w:color w:val="auto"/>
                <w:sz w:val="21"/>
                <w:szCs w:val="21"/>
                <w:highlight w:val="none"/>
                <w:lang w:val="en-US" w:eastAsia="zh-CN" w:bidi="ar-SA"/>
              </w:rPr>
              <w:t>成交公告及成交通知书：成</w:t>
            </w:r>
            <w:r>
              <w:rPr>
                <w:rFonts w:hint="eastAsia" w:ascii="宋体" w:hAnsi="宋体"/>
                <w:szCs w:val="21"/>
              </w:rPr>
              <w:t>交公告发布于上述媒体，成交公告期限为1个工作日。在公告中标结果的同时，代理机构向中标人发出中标通知书。</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72" w:hRule="atLeast"/>
        </w:trPr>
        <w:tc>
          <w:tcPr>
            <w:tcW w:w="636" w:type="dxa"/>
            <w:tcBorders>
              <w:top w:val="single" w:color="auto" w:sz="4" w:space="0"/>
              <w:left w:val="single" w:color="auto" w:sz="4" w:space="0"/>
              <w:bottom w:val="single" w:color="auto" w:sz="4" w:space="0"/>
              <w:right w:val="single" w:color="auto" w:sz="4" w:space="0"/>
            </w:tcBorders>
            <w:noWrap w:val="0"/>
            <w:vAlign w:val="center"/>
          </w:tcPr>
          <w:p>
            <w:pPr>
              <w:snapToGrid w:val="0"/>
              <w:spacing w:line="360" w:lineRule="auto"/>
              <w:jc w:val="center"/>
              <w:rPr>
                <w:rFonts w:hint="default" w:ascii="宋体" w:hAnsi="宋体" w:eastAsia="宋体" w:cs="微软雅黑"/>
                <w:color w:val="auto"/>
                <w:szCs w:val="21"/>
                <w:highlight w:val="none"/>
                <w:lang w:val="en-US" w:eastAsia="zh-CN"/>
              </w:rPr>
            </w:pPr>
            <w:r>
              <w:rPr>
                <w:rFonts w:hint="eastAsia" w:ascii="宋体" w:hAnsi="宋体" w:cs="微软雅黑"/>
                <w:color w:val="auto"/>
                <w:szCs w:val="21"/>
                <w:highlight w:val="none"/>
                <w:lang w:val="en-US" w:eastAsia="zh-CN"/>
              </w:rPr>
              <w:t>20</w:t>
            </w:r>
          </w:p>
        </w:tc>
        <w:tc>
          <w:tcPr>
            <w:tcW w:w="8652" w:type="dxa"/>
            <w:tcBorders>
              <w:top w:val="single" w:color="auto" w:sz="4" w:space="0"/>
              <w:left w:val="single" w:color="auto" w:sz="4" w:space="0"/>
              <w:bottom w:val="single" w:color="auto" w:sz="4" w:space="0"/>
              <w:right w:val="single" w:color="auto" w:sz="4" w:space="0"/>
            </w:tcBorders>
            <w:noWrap w:val="0"/>
            <w:vAlign w:val="center"/>
          </w:tcPr>
          <w:p>
            <w:pPr>
              <w:pStyle w:val="49"/>
              <w:spacing w:before="156" w:beforeLines="50" w:beforeAutospacing="0" w:after="156" w:afterLines="50" w:afterAutospacing="0" w:line="360" w:lineRule="exact"/>
              <w:rPr>
                <w:rFonts w:hint="eastAsia" w:ascii="Times New Roman" w:hAnsi="Times New Roman" w:eastAsia="宋体" w:cs="宋体"/>
                <w:color w:val="auto"/>
                <w:sz w:val="21"/>
                <w:szCs w:val="21"/>
                <w:highlight w:val="none"/>
                <w:lang w:val="en-US" w:eastAsia="zh-CN" w:bidi="ar-SA"/>
              </w:rPr>
            </w:pPr>
            <w:r>
              <w:rPr>
                <w:rFonts w:hint="eastAsia" w:ascii="Times New Roman" w:hAnsi="Times New Roman" w:eastAsia="宋体" w:cs="宋体"/>
                <w:color w:val="auto"/>
                <w:sz w:val="21"/>
                <w:szCs w:val="21"/>
                <w:highlight w:val="none"/>
                <w:lang w:val="en-US" w:eastAsia="zh-CN" w:bidi="ar-SA"/>
              </w:rPr>
              <w:t>联合体投标的，由联合体牵头人代表联合体所有成员负责本项目磋商响应文件的签字盖章（其中联合体协议书要求联合体各方签字盖章）、投标落款、投标授权委托、履约担保提供等相关工作。中标后工程总承包合同由招标人与联合体各方共同签订。</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72" w:hRule="atLeast"/>
        </w:trPr>
        <w:tc>
          <w:tcPr>
            <w:tcW w:w="636" w:type="dxa"/>
            <w:tcBorders>
              <w:top w:val="single" w:color="auto" w:sz="4" w:space="0"/>
              <w:left w:val="single" w:color="auto" w:sz="4" w:space="0"/>
              <w:bottom w:val="single" w:color="auto" w:sz="4" w:space="0"/>
              <w:right w:val="single" w:color="auto" w:sz="4" w:space="0"/>
            </w:tcBorders>
            <w:noWrap w:val="0"/>
            <w:vAlign w:val="center"/>
          </w:tcPr>
          <w:p>
            <w:pPr>
              <w:snapToGrid w:val="0"/>
              <w:spacing w:line="360" w:lineRule="auto"/>
              <w:jc w:val="center"/>
              <w:rPr>
                <w:rFonts w:hint="default" w:ascii="宋体" w:hAnsi="宋体" w:cs="微软雅黑"/>
                <w:color w:val="auto"/>
                <w:szCs w:val="21"/>
                <w:highlight w:val="none"/>
                <w:lang w:val="en-US" w:eastAsia="zh-CN"/>
              </w:rPr>
            </w:pPr>
            <w:r>
              <w:rPr>
                <w:rFonts w:hint="eastAsia" w:ascii="宋体" w:hAnsi="宋体" w:cs="微软雅黑"/>
                <w:color w:val="auto"/>
                <w:szCs w:val="21"/>
                <w:highlight w:val="none"/>
                <w:lang w:val="en-US" w:eastAsia="zh-CN"/>
              </w:rPr>
              <w:t>21</w:t>
            </w:r>
          </w:p>
        </w:tc>
        <w:tc>
          <w:tcPr>
            <w:tcW w:w="8652" w:type="dxa"/>
            <w:tcBorders>
              <w:top w:val="single" w:color="auto" w:sz="4" w:space="0"/>
              <w:left w:val="single" w:color="auto" w:sz="4" w:space="0"/>
              <w:bottom w:val="single" w:color="auto" w:sz="4" w:space="0"/>
              <w:right w:val="single" w:color="auto" w:sz="4" w:space="0"/>
            </w:tcBorders>
            <w:noWrap w:val="0"/>
            <w:vAlign w:val="center"/>
          </w:tcPr>
          <w:p>
            <w:pPr>
              <w:snapToGrid w:val="0"/>
              <w:spacing w:line="276" w:lineRule="auto"/>
              <w:rPr>
                <w:rFonts w:ascii="宋体" w:hAnsi="宋体"/>
                <w:szCs w:val="21"/>
              </w:rPr>
            </w:pPr>
            <w:r>
              <w:rPr>
                <w:rFonts w:hint="eastAsia" w:ascii="宋体" w:hAnsi="宋体" w:eastAsia="宋体" w:cs="Times New Roman"/>
                <w:szCs w:val="21"/>
              </w:rPr>
              <w:t>其他：（</w:t>
            </w:r>
            <w:r>
              <w:rPr>
                <w:rFonts w:hint="eastAsia" w:ascii="宋体" w:hAnsi="宋体"/>
                <w:szCs w:val="21"/>
              </w:rPr>
              <w:t>1）竞争性磋商文件中凡标注“▲”的条款均为实质性要求，不响应的磋商响应文件将作无效标处理。</w:t>
            </w:r>
          </w:p>
          <w:p>
            <w:pPr>
              <w:snapToGrid w:val="0"/>
              <w:spacing w:line="276" w:lineRule="auto"/>
              <w:rPr>
                <w:rFonts w:ascii="宋体" w:hAnsi="宋体"/>
                <w:szCs w:val="21"/>
              </w:rPr>
            </w:pPr>
            <w:r>
              <w:rPr>
                <w:rFonts w:hint="eastAsia" w:ascii="宋体" w:hAnsi="宋体"/>
                <w:szCs w:val="21"/>
              </w:rPr>
              <w:t>（2）供应商未上传电子加密磋商响应文件，其投标无效。</w:t>
            </w:r>
          </w:p>
          <w:p>
            <w:pPr>
              <w:snapToGrid w:val="0"/>
              <w:spacing w:line="276" w:lineRule="auto"/>
              <w:rPr>
                <w:rFonts w:ascii="宋体" w:hAnsi="宋体"/>
                <w:szCs w:val="21"/>
              </w:rPr>
            </w:pPr>
            <w:r>
              <w:rPr>
                <w:rFonts w:hint="eastAsia" w:ascii="宋体" w:hAnsi="宋体"/>
                <w:szCs w:val="21"/>
              </w:rPr>
              <w:t>（3）供应商应同时递交电子加密磋商响应文件、备份磋商响应文件、纸质备份磋商响应文件，如出现磋商响应文件不一致以电子加密磋商响应文件为准。</w:t>
            </w:r>
          </w:p>
          <w:p>
            <w:pPr>
              <w:snapToGrid w:val="0"/>
              <w:spacing w:line="276" w:lineRule="auto"/>
              <w:rPr>
                <w:rFonts w:ascii="宋体" w:hAnsi="宋体"/>
                <w:szCs w:val="21"/>
              </w:rPr>
            </w:pPr>
            <w:r>
              <w:rPr>
                <w:rFonts w:hint="eastAsia" w:ascii="宋体" w:hAnsi="宋体"/>
                <w:szCs w:val="21"/>
              </w:rPr>
              <w:t>（4）供应商上传了电子加密磋商响应文件，未提供备份磋商响应文件</w:t>
            </w:r>
            <w:r>
              <w:rPr>
                <w:rFonts w:hint="eastAsia" w:ascii="宋体" w:hAnsi="宋体"/>
                <w:szCs w:val="21"/>
                <w:lang w:val="en-US" w:eastAsia="zh-CN"/>
              </w:rPr>
              <w:t>和</w:t>
            </w:r>
            <w:r>
              <w:rPr>
                <w:rFonts w:hint="eastAsia" w:ascii="宋体" w:hAnsi="宋体"/>
                <w:szCs w:val="21"/>
              </w:rPr>
              <w:t>纸质备份磋商响应文件，解密出现问题后，由此导致对该供应商投标无法评审的，其后果由该供应商自行承担。</w:t>
            </w:r>
          </w:p>
          <w:p>
            <w:pPr>
              <w:snapToGrid w:val="0"/>
              <w:spacing w:line="276" w:lineRule="auto"/>
              <w:rPr>
                <w:rFonts w:ascii="宋体" w:hAnsi="宋体"/>
                <w:szCs w:val="21"/>
              </w:rPr>
            </w:pPr>
            <w:r>
              <w:rPr>
                <w:rFonts w:hint="eastAsia" w:ascii="宋体" w:hAnsi="宋体"/>
                <w:szCs w:val="21"/>
              </w:rPr>
              <w:t>（5）各供应商自行在浙江政府采购网下载或查阅竞争性磋商文件和相关更正公告等，不另行通知，如有遗漏采购人、采购代理机构概不负责。</w:t>
            </w:r>
          </w:p>
          <w:p>
            <w:pPr>
              <w:snapToGrid w:val="0"/>
              <w:spacing w:line="276" w:lineRule="auto"/>
              <w:rPr>
                <w:rFonts w:hint="eastAsia" w:ascii="宋体" w:hAnsi="宋体" w:eastAsia="宋体" w:cs="Times New Roman"/>
                <w:szCs w:val="21"/>
              </w:rPr>
            </w:pPr>
            <w:r>
              <w:rPr>
                <w:rFonts w:hint="eastAsia" w:ascii="宋体" w:hAnsi="宋体" w:eastAsia="宋体" w:cs="Times New Roman"/>
                <w:szCs w:val="21"/>
              </w:rPr>
              <w:t>（6）不同单位的磋商响应文件若由同一台电脑制作，后果由供应商自行承担。</w:t>
            </w:r>
          </w:p>
          <w:p>
            <w:pPr>
              <w:snapToGrid w:val="0"/>
              <w:spacing w:line="276" w:lineRule="auto"/>
              <w:rPr>
                <w:rFonts w:hint="eastAsia" w:ascii="Times New Roman" w:hAnsi="Times New Roman" w:eastAsia="宋体" w:cs="宋体"/>
                <w:color w:val="auto"/>
                <w:sz w:val="21"/>
                <w:szCs w:val="21"/>
                <w:highlight w:val="none"/>
                <w:lang w:val="en-US" w:eastAsia="zh-CN" w:bidi="ar-SA"/>
              </w:rPr>
            </w:pPr>
            <w:r>
              <w:rPr>
                <w:rFonts w:hint="eastAsia" w:ascii="宋体" w:hAnsi="宋体" w:eastAsia="宋体" w:cs="Times New Roman"/>
                <w:szCs w:val="21"/>
              </w:rPr>
              <w:t>（7）根据省财政厅相关规定采用竞争性磋商采购方式采购的政府购买服务项目，在采购过程中符合要求的供应商需要3家或3家以上参加磋商，提交最后报价的供应商可以为2家。</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72" w:hRule="atLeast"/>
        </w:trPr>
        <w:tc>
          <w:tcPr>
            <w:tcW w:w="636" w:type="dxa"/>
            <w:tcBorders>
              <w:top w:val="single" w:color="auto" w:sz="4" w:space="0"/>
              <w:left w:val="single" w:color="auto" w:sz="4" w:space="0"/>
              <w:bottom w:val="single" w:color="auto" w:sz="4" w:space="0"/>
              <w:right w:val="single" w:color="auto" w:sz="4" w:space="0"/>
            </w:tcBorders>
            <w:noWrap w:val="0"/>
            <w:vAlign w:val="center"/>
          </w:tcPr>
          <w:p>
            <w:pPr>
              <w:snapToGrid w:val="0"/>
              <w:spacing w:line="360" w:lineRule="auto"/>
              <w:jc w:val="center"/>
              <w:rPr>
                <w:rFonts w:hint="default" w:ascii="宋体" w:hAnsi="宋体" w:cs="微软雅黑"/>
                <w:color w:val="auto"/>
                <w:szCs w:val="21"/>
                <w:highlight w:val="none"/>
                <w:lang w:val="en-US" w:eastAsia="zh-CN"/>
              </w:rPr>
            </w:pPr>
            <w:r>
              <w:rPr>
                <w:rFonts w:hint="eastAsia" w:ascii="宋体" w:hAnsi="宋体" w:cs="微软雅黑"/>
                <w:color w:val="auto"/>
                <w:szCs w:val="21"/>
                <w:highlight w:val="none"/>
                <w:lang w:val="en-US" w:eastAsia="zh-CN"/>
              </w:rPr>
              <w:t>22</w:t>
            </w:r>
          </w:p>
        </w:tc>
        <w:tc>
          <w:tcPr>
            <w:tcW w:w="8652" w:type="dxa"/>
            <w:tcBorders>
              <w:top w:val="single" w:color="auto" w:sz="4" w:space="0"/>
              <w:left w:val="single" w:color="auto" w:sz="4" w:space="0"/>
              <w:bottom w:val="single" w:color="auto" w:sz="4" w:space="0"/>
              <w:right w:val="single" w:color="auto" w:sz="4" w:space="0"/>
            </w:tcBorders>
            <w:noWrap w:val="0"/>
            <w:vAlign w:val="center"/>
          </w:tcPr>
          <w:p>
            <w:pPr>
              <w:snapToGrid w:val="0"/>
              <w:spacing w:line="276" w:lineRule="auto"/>
              <w:rPr>
                <w:rFonts w:ascii="宋体" w:hAnsi="宋体"/>
                <w:szCs w:val="21"/>
              </w:rPr>
            </w:pPr>
            <w:r>
              <w:rPr>
                <w:rFonts w:hint="eastAsia" w:ascii="宋体" w:hAnsi="宋体"/>
                <w:szCs w:val="21"/>
              </w:rPr>
              <w:t>电子交易注意事项</w:t>
            </w:r>
          </w:p>
          <w:p>
            <w:pPr>
              <w:snapToGrid w:val="0"/>
              <w:spacing w:line="276" w:lineRule="auto"/>
              <w:rPr>
                <w:rFonts w:ascii="宋体" w:hAnsi="宋体"/>
                <w:szCs w:val="21"/>
              </w:rPr>
            </w:pPr>
            <w:r>
              <w:rPr>
                <w:rFonts w:hint="eastAsia" w:ascii="宋体" w:hAnsi="宋体"/>
                <w:szCs w:val="21"/>
              </w:rPr>
              <w:t>　政府采购项目电子交易活动适用《浙江省政府采购项目电子交易管理暂行办法》，现将相关注意事项告知如下：</w:t>
            </w:r>
          </w:p>
          <w:p>
            <w:pPr>
              <w:snapToGrid w:val="0"/>
              <w:spacing w:line="276" w:lineRule="auto"/>
              <w:rPr>
                <w:rFonts w:ascii="宋体" w:hAnsi="宋体"/>
                <w:szCs w:val="21"/>
              </w:rPr>
            </w:pPr>
            <w:r>
              <w:rPr>
                <w:rFonts w:hint="eastAsia" w:ascii="宋体" w:hAnsi="宋体"/>
                <w:szCs w:val="21"/>
              </w:rPr>
              <w:t>　</w:t>
            </w:r>
            <w:r>
              <w:rPr>
                <w:rFonts w:ascii="宋体" w:hAnsi="宋体"/>
                <w:szCs w:val="21"/>
              </w:rPr>
              <w:t>1.</w:t>
            </w:r>
            <w:r>
              <w:rPr>
                <w:rFonts w:hint="eastAsia" w:ascii="宋体" w:hAnsi="宋体"/>
                <w:szCs w:val="21"/>
              </w:rPr>
              <w:t>代理机构按照磋商文件规定的时间通过电子交易平台组织开标、开启响应文件，所有供应商均应当准时在线参加，直至评审结束。</w:t>
            </w:r>
          </w:p>
          <w:p>
            <w:pPr>
              <w:snapToGrid w:val="0"/>
              <w:spacing w:line="276" w:lineRule="auto"/>
              <w:rPr>
                <w:rFonts w:ascii="宋体" w:hAnsi="宋体"/>
                <w:szCs w:val="21"/>
              </w:rPr>
            </w:pPr>
            <w:r>
              <w:rPr>
                <w:rFonts w:hint="eastAsia" w:ascii="宋体" w:hAnsi="宋体"/>
                <w:szCs w:val="21"/>
              </w:rPr>
              <w:t>　</w:t>
            </w:r>
            <w:r>
              <w:rPr>
                <w:rFonts w:ascii="宋体" w:hAnsi="宋体"/>
                <w:szCs w:val="21"/>
              </w:rPr>
              <w:t>2.</w:t>
            </w:r>
            <w:r>
              <w:rPr>
                <w:rFonts w:hint="eastAsia" w:ascii="宋体" w:hAnsi="宋体"/>
                <w:szCs w:val="21"/>
              </w:rPr>
              <w:t>磋商响应文件未按时解密，供应商如提供备份响应文件的，以符合要求的备份响应文件作为依据，否则视为响应文件撤回。响应文件已按时解密的，备份响应文件自动失效。</w:t>
            </w:r>
          </w:p>
          <w:p>
            <w:pPr>
              <w:snapToGrid w:val="0"/>
              <w:spacing w:line="276" w:lineRule="auto"/>
              <w:rPr>
                <w:rFonts w:ascii="宋体" w:hAnsi="宋体"/>
                <w:szCs w:val="21"/>
              </w:rPr>
            </w:pPr>
            <w:r>
              <w:rPr>
                <w:rFonts w:hint="eastAsia" w:ascii="宋体" w:hAnsi="宋体"/>
                <w:szCs w:val="21"/>
              </w:rPr>
              <w:t>　</w:t>
            </w:r>
            <w:r>
              <w:rPr>
                <w:rFonts w:ascii="宋体" w:hAnsi="宋体"/>
                <w:szCs w:val="21"/>
              </w:rPr>
              <w:t>3.</w:t>
            </w:r>
            <w:r>
              <w:rPr>
                <w:rFonts w:hint="eastAsia" w:ascii="宋体" w:hAnsi="宋体"/>
                <w:szCs w:val="21"/>
              </w:rPr>
              <w:t>采购过程中出现以下情形，导致电子交易平台无法正常运行，或者无法保证电子交易的公平、公正和安全时，代理机构可中止电子交易活动：</w:t>
            </w:r>
          </w:p>
          <w:p>
            <w:pPr>
              <w:snapToGrid w:val="0"/>
              <w:spacing w:line="276" w:lineRule="auto"/>
              <w:rPr>
                <w:rFonts w:ascii="宋体" w:hAnsi="宋体"/>
                <w:szCs w:val="21"/>
              </w:rPr>
            </w:pPr>
            <w:r>
              <w:rPr>
                <w:rFonts w:hint="eastAsia" w:ascii="宋体" w:hAnsi="宋体"/>
                <w:szCs w:val="21"/>
              </w:rPr>
              <w:t>（一）电子交易平台发生故障而无法登录访问的；</w:t>
            </w:r>
            <w:r>
              <w:rPr>
                <w:rFonts w:ascii="宋体" w:hAnsi="宋体"/>
                <w:szCs w:val="21"/>
              </w:rPr>
              <w:t> </w:t>
            </w:r>
          </w:p>
          <w:p>
            <w:pPr>
              <w:snapToGrid w:val="0"/>
              <w:spacing w:line="276" w:lineRule="auto"/>
              <w:rPr>
                <w:rFonts w:ascii="宋体" w:hAnsi="宋体"/>
                <w:szCs w:val="21"/>
              </w:rPr>
            </w:pPr>
            <w:r>
              <w:rPr>
                <w:rFonts w:hint="eastAsia" w:ascii="宋体" w:hAnsi="宋体"/>
                <w:szCs w:val="21"/>
              </w:rPr>
              <w:t>（二）电子交易平台应用或数据库出现错误，不能进行正常操作的；</w:t>
            </w:r>
          </w:p>
          <w:p>
            <w:pPr>
              <w:snapToGrid w:val="0"/>
              <w:spacing w:line="276" w:lineRule="auto"/>
              <w:rPr>
                <w:rFonts w:ascii="宋体" w:hAnsi="宋体"/>
                <w:szCs w:val="21"/>
              </w:rPr>
            </w:pPr>
            <w:r>
              <w:rPr>
                <w:rFonts w:hint="eastAsia" w:ascii="宋体" w:hAnsi="宋体"/>
                <w:szCs w:val="21"/>
              </w:rPr>
              <w:t>（三）电子交易平台发现严重安全漏洞，有潜在泄密危险的；</w:t>
            </w:r>
          </w:p>
          <w:p>
            <w:pPr>
              <w:snapToGrid w:val="0"/>
              <w:spacing w:line="276" w:lineRule="auto"/>
              <w:rPr>
                <w:rFonts w:ascii="宋体" w:hAnsi="宋体"/>
                <w:szCs w:val="21"/>
              </w:rPr>
            </w:pPr>
            <w:r>
              <w:rPr>
                <w:rFonts w:hint="eastAsia" w:ascii="宋体" w:hAnsi="宋体"/>
                <w:szCs w:val="21"/>
              </w:rPr>
              <w:t>（四）病毒发作导致不能进行正常操作的；</w:t>
            </w:r>
            <w:r>
              <w:rPr>
                <w:rFonts w:ascii="宋体" w:hAnsi="宋体"/>
                <w:szCs w:val="21"/>
              </w:rPr>
              <w:t> </w:t>
            </w:r>
          </w:p>
          <w:p>
            <w:pPr>
              <w:snapToGrid w:val="0"/>
              <w:spacing w:line="276" w:lineRule="auto"/>
              <w:rPr>
                <w:rFonts w:ascii="宋体" w:hAnsi="宋体"/>
                <w:szCs w:val="21"/>
              </w:rPr>
            </w:pPr>
            <w:r>
              <w:rPr>
                <w:rFonts w:hint="eastAsia" w:ascii="宋体" w:hAnsi="宋体"/>
                <w:szCs w:val="21"/>
              </w:rPr>
              <w:t>（五）其他无法保证电子交易的公平、公正和安全的情况。</w:t>
            </w:r>
          </w:p>
          <w:p>
            <w:pPr>
              <w:snapToGrid w:val="0"/>
              <w:spacing w:line="276" w:lineRule="auto"/>
              <w:rPr>
                <w:rFonts w:ascii="宋体" w:hAnsi="宋体"/>
                <w:szCs w:val="21"/>
              </w:rPr>
            </w:pPr>
            <w:r>
              <w:rPr>
                <w:rFonts w:hint="eastAsia" w:ascii="宋体" w:hAnsi="宋体"/>
                <w:szCs w:val="21"/>
              </w:rPr>
              <w:t>出现前款规定情形，不影响采购公平、公正性的，代理机构可以待上述情形消除后继续组织电子交易活动，也可以决定某些环节以纸质形式进行；影响或可能影响采购公平、公正性的，应当重新采购。</w:t>
            </w:r>
          </w:p>
          <w:p>
            <w:pPr>
              <w:snapToGrid w:val="0"/>
              <w:spacing w:line="276" w:lineRule="auto"/>
              <w:rPr>
                <w:rFonts w:hint="eastAsia" w:ascii="宋体" w:hAnsi="宋体" w:eastAsia="宋体" w:cs="Times New Roman"/>
                <w:szCs w:val="21"/>
              </w:rPr>
            </w:pPr>
            <w:r>
              <w:rPr>
                <w:rFonts w:ascii="宋体" w:hAnsi="宋体"/>
                <w:szCs w:val="21"/>
              </w:rPr>
              <w:t>4</w:t>
            </w:r>
            <w:r>
              <w:rPr>
                <w:rFonts w:hint="eastAsia" w:ascii="宋体" w:hAnsi="宋体"/>
                <w:szCs w:val="21"/>
              </w:rPr>
              <w:t>、评审中需要供应商对响应文件作出澄清、说明或者补正的，评审小组和供应商应当通过电子交易平台交换数据电文。供应商需在半小时内提交澄清说明或补正，供应商已经明确表示澄清说明或补正完毕的除外。</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70" w:hRule="atLeast"/>
        </w:trPr>
        <w:tc>
          <w:tcPr>
            <w:tcW w:w="636" w:type="dxa"/>
            <w:tcBorders>
              <w:top w:val="single" w:color="auto" w:sz="4" w:space="0"/>
              <w:left w:val="single" w:color="auto" w:sz="4" w:space="0"/>
              <w:bottom w:val="single" w:color="auto" w:sz="4" w:space="0"/>
              <w:right w:val="single" w:color="auto" w:sz="4" w:space="0"/>
            </w:tcBorders>
            <w:noWrap w:val="0"/>
            <w:vAlign w:val="center"/>
          </w:tcPr>
          <w:p>
            <w:pPr>
              <w:snapToGrid w:val="0"/>
              <w:spacing w:line="360" w:lineRule="auto"/>
              <w:jc w:val="center"/>
              <w:rPr>
                <w:rFonts w:hint="default" w:ascii="宋体" w:hAnsi="宋体" w:eastAsia="宋体" w:cs="微软雅黑"/>
                <w:color w:val="auto"/>
                <w:szCs w:val="21"/>
                <w:highlight w:val="none"/>
                <w:lang w:val="en-US" w:eastAsia="zh-CN"/>
              </w:rPr>
            </w:pPr>
            <w:r>
              <w:rPr>
                <w:rFonts w:hint="eastAsia" w:ascii="宋体" w:hAnsi="宋体" w:eastAsia="宋体" w:cs="微软雅黑"/>
                <w:color w:val="auto"/>
                <w:szCs w:val="21"/>
                <w:highlight w:val="none"/>
                <w:lang w:val="en-US" w:eastAsia="zh-CN"/>
              </w:rPr>
              <w:t>23</w:t>
            </w:r>
          </w:p>
        </w:tc>
        <w:tc>
          <w:tcPr>
            <w:tcW w:w="8652" w:type="dxa"/>
            <w:tcBorders>
              <w:top w:val="single" w:color="auto" w:sz="4" w:space="0"/>
              <w:left w:val="single" w:color="auto" w:sz="4" w:space="0"/>
              <w:bottom w:val="single" w:color="auto" w:sz="4" w:space="0"/>
              <w:right w:val="single" w:color="auto" w:sz="4" w:space="0"/>
            </w:tcBorders>
            <w:noWrap w:val="0"/>
            <w:vAlign w:val="center"/>
          </w:tcPr>
          <w:p>
            <w:pPr>
              <w:autoSpaceDE w:val="0"/>
              <w:autoSpaceDN w:val="0"/>
              <w:snapToGrid w:val="0"/>
              <w:spacing w:line="360" w:lineRule="auto"/>
              <w:jc w:val="left"/>
              <w:textAlignment w:val="bottom"/>
              <w:rPr>
                <w:rFonts w:hint="eastAsia" w:ascii="Times New Roman" w:hAnsi="Times New Roman" w:eastAsia="宋体" w:cs="宋体"/>
                <w:color w:val="auto"/>
                <w:szCs w:val="21"/>
                <w:highlight w:val="none"/>
              </w:rPr>
            </w:pPr>
            <w:r>
              <w:rPr>
                <w:rFonts w:hint="eastAsia" w:ascii="Times New Roman" w:hAnsi="Times New Roman" w:eastAsia="宋体" w:cs="宋体"/>
                <w:color w:val="auto"/>
                <w:szCs w:val="21"/>
                <w:highlight w:val="none"/>
              </w:rPr>
              <w:t>解释：本招标文件的解释权属于采购</w:t>
            </w:r>
            <w:r>
              <w:rPr>
                <w:rFonts w:hint="eastAsia" w:ascii="Times New Roman" w:hAnsi="Times New Roman" w:eastAsia="宋体" w:cs="宋体"/>
                <w:color w:val="auto"/>
                <w:szCs w:val="21"/>
                <w:highlight w:val="none"/>
                <w:lang w:val="en-US" w:eastAsia="zh-CN"/>
              </w:rPr>
              <w:t>人</w:t>
            </w:r>
            <w:r>
              <w:rPr>
                <w:rFonts w:hint="eastAsia" w:ascii="Times New Roman" w:hAnsi="Times New Roman" w:eastAsia="宋体" w:cs="宋体"/>
                <w:color w:val="auto"/>
                <w:szCs w:val="21"/>
                <w:highlight w:val="none"/>
              </w:rPr>
              <w:t>。</w:t>
            </w:r>
          </w:p>
        </w:tc>
      </w:tr>
    </w:tbl>
    <w:p>
      <w:pPr>
        <w:pStyle w:val="100"/>
        <w:rPr>
          <w:rFonts w:hint="eastAsia"/>
          <w:color w:val="auto"/>
          <w:highlight w:val="none"/>
        </w:rPr>
      </w:pPr>
    </w:p>
    <w:p>
      <w:pPr>
        <w:pStyle w:val="29"/>
        <w:snapToGrid w:val="0"/>
        <w:spacing w:before="120" w:after="120" w:line="360" w:lineRule="auto"/>
        <w:jc w:val="center"/>
        <w:rPr>
          <w:rFonts w:hAnsi="宋体"/>
          <w:b/>
          <w:color w:val="auto"/>
          <w:szCs w:val="21"/>
          <w:highlight w:val="none"/>
        </w:rPr>
      </w:pPr>
    </w:p>
    <w:p>
      <w:pPr>
        <w:pStyle w:val="29"/>
        <w:snapToGrid w:val="0"/>
        <w:spacing w:before="120" w:after="120" w:line="360" w:lineRule="auto"/>
        <w:jc w:val="center"/>
        <w:rPr>
          <w:rFonts w:hAnsi="宋体"/>
          <w:b/>
          <w:color w:val="auto"/>
          <w:szCs w:val="21"/>
          <w:highlight w:val="none"/>
        </w:rPr>
      </w:pPr>
    </w:p>
    <w:p>
      <w:pPr>
        <w:pStyle w:val="29"/>
        <w:snapToGrid w:val="0"/>
        <w:spacing w:before="120" w:after="120" w:line="360" w:lineRule="auto"/>
        <w:jc w:val="center"/>
        <w:rPr>
          <w:rFonts w:hAnsi="宋体"/>
          <w:b/>
          <w:color w:val="auto"/>
          <w:szCs w:val="21"/>
          <w:highlight w:val="none"/>
        </w:rPr>
      </w:pPr>
    </w:p>
    <w:p>
      <w:pPr>
        <w:pStyle w:val="29"/>
        <w:snapToGrid w:val="0"/>
        <w:spacing w:before="120" w:after="120" w:line="360" w:lineRule="auto"/>
        <w:jc w:val="center"/>
        <w:rPr>
          <w:rFonts w:hAnsi="宋体"/>
          <w:b/>
          <w:color w:val="auto"/>
          <w:szCs w:val="21"/>
          <w:highlight w:val="none"/>
        </w:rPr>
      </w:pPr>
    </w:p>
    <w:p>
      <w:pPr>
        <w:pStyle w:val="29"/>
        <w:snapToGrid w:val="0"/>
        <w:spacing w:before="120" w:after="120" w:line="360" w:lineRule="auto"/>
        <w:jc w:val="center"/>
        <w:rPr>
          <w:rFonts w:hAnsi="宋体"/>
          <w:b/>
          <w:color w:val="auto"/>
          <w:szCs w:val="21"/>
          <w:highlight w:val="none"/>
        </w:rPr>
      </w:pPr>
    </w:p>
    <w:p>
      <w:pPr>
        <w:pStyle w:val="29"/>
        <w:snapToGrid w:val="0"/>
        <w:spacing w:before="120" w:after="120" w:line="360" w:lineRule="auto"/>
        <w:jc w:val="center"/>
        <w:rPr>
          <w:rFonts w:hAnsi="宋体"/>
          <w:b/>
          <w:color w:val="auto"/>
          <w:szCs w:val="21"/>
          <w:highlight w:val="none"/>
        </w:rPr>
      </w:pPr>
      <w:r>
        <w:rPr>
          <w:rFonts w:hAnsi="宋体"/>
          <w:b/>
          <w:color w:val="auto"/>
          <w:szCs w:val="21"/>
          <w:highlight w:val="none"/>
        </w:rPr>
        <w:t>一</w:t>
      </w:r>
      <w:r>
        <w:rPr>
          <w:rFonts w:hint="eastAsia" w:hAnsi="宋体"/>
          <w:b/>
          <w:color w:val="auto"/>
          <w:szCs w:val="21"/>
          <w:highlight w:val="none"/>
        </w:rPr>
        <w:t>、</w:t>
      </w:r>
      <w:r>
        <w:rPr>
          <w:rFonts w:hAnsi="宋体"/>
          <w:b/>
          <w:color w:val="auto"/>
          <w:szCs w:val="21"/>
          <w:highlight w:val="none"/>
        </w:rPr>
        <w:t>总则</w:t>
      </w:r>
    </w:p>
    <w:p>
      <w:pPr>
        <w:snapToGrid w:val="0"/>
        <w:spacing w:line="360" w:lineRule="auto"/>
        <w:rPr>
          <w:rFonts w:ascii="宋体" w:hAnsi="宋体"/>
          <w:b/>
          <w:color w:val="auto"/>
          <w:kern w:val="2"/>
          <w:szCs w:val="21"/>
          <w:highlight w:val="none"/>
        </w:rPr>
      </w:pPr>
      <w:bookmarkStart w:id="20" w:name="_Toc397670946"/>
      <w:bookmarkStart w:id="21" w:name="_Toc397670917"/>
      <w:r>
        <w:rPr>
          <w:rFonts w:hint="eastAsia" w:ascii="宋体" w:hAnsi="宋体"/>
          <w:b/>
          <w:color w:val="auto"/>
          <w:kern w:val="2"/>
          <w:szCs w:val="21"/>
          <w:highlight w:val="none"/>
        </w:rPr>
        <w:t>（一）</w:t>
      </w:r>
      <w:r>
        <w:rPr>
          <w:rFonts w:ascii="宋体" w:hAnsi="宋体"/>
          <w:b/>
          <w:color w:val="auto"/>
          <w:kern w:val="2"/>
          <w:szCs w:val="21"/>
          <w:highlight w:val="none"/>
        </w:rPr>
        <w:t>适用范围</w:t>
      </w:r>
      <w:bookmarkEnd w:id="20"/>
      <w:bookmarkEnd w:id="21"/>
    </w:p>
    <w:p>
      <w:pPr>
        <w:snapToGrid w:val="0"/>
        <w:spacing w:line="360" w:lineRule="auto"/>
        <w:ind w:firstLine="420" w:firstLineChars="200"/>
        <w:rPr>
          <w:rFonts w:ascii="宋体" w:hAnsi="宋体"/>
          <w:color w:val="auto"/>
          <w:kern w:val="2"/>
          <w:szCs w:val="21"/>
          <w:highlight w:val="none"/>
        </w:rPr>
      </w:pPr>
      <w:r>
        <w:rPr>
          <w:rFonts w:hint="eastAsia" w:ascii="宋体" w:hAnsi="宋体"/>
          <w:color w:val="auto"/>
          <w:kern w:val="2"/>
          <w:szCs w:val="21"/>
          <w:highlight w:val="none"/>
        </w:rPr>
        <w:t>本磋商文件仅适用于本项目的磋商、响应、评标、定标、验收、合同履约等行为。</w:t>
      </w:r>
    </w:p>
    <w:p>
      <w:pPr>
        <w:snapToGrid w:val="0"/>
        <w:spacing w:line="360" w:lineRule="auto"/>
        <w:rPr>
          <w:rFonts w:ascii="宋体" w:hAnsi="宋体"/>
          <w:b/>
          <w:color w:val="auto"/>
          <w:kern w:val="2"/>
          <w:szCs w:val="21"/>
          <w:highlight w:val="none"/>
        </w:rPr>
      </w:pPr>
      <w:bookmarkStart w:id="22" w:name="_Toc397670919"/>
      <w:bookmarkStart w:id="23" w:name="_Toc397670948"/>
      <w:r>
        <w:rPr>
          <w:rFonts w:hint="eastAsia" w:ascii="宋体" w:hAnsi="宋体"/>
          <w:b/>
          <w:color w:val="auto"/>
          <w:kern w:val="2"/>
          <w:szCs w:val="21"/>
          <w:highlight w:val="none"/>
        </w:rPr>
        <w:t>（二）定义</w:t>
      </w:r>
    </w:p>
    <w:p>
      <w:pPr>
        <w:snapToGrid w:val="0"/>
        <w:spacing w:line="360" w:lineRule="auto"/>
        <w:ind w:firstLine="420" w:firstLineChars="200"/>
        <w:rPr>
          <w:rFonts w:hint="eastAsia" w:ascii="宋体" w:hAnsi="宋体" w:eastAsia="宋体" w:cs="Times New Roman"/>
          <w:szCs w:val="21"/>
        </w:rPr>
      </w:pPr>
      <w:r>
        <w:rPr>
          <w:rFonts w:ascii="宋体" w:hAnsi="宋体"/>
          <w:color w:val="auto"/>
          <w:kern w:val="2"/>
          <w:szCs w:val="21"/>
          <w:highlight w:val="none"/>
        </w:rPr>
        <w:t>1</w:t>
      </w:r>
      <w:r>
        <w:rPr>
          <w:rFonts w:hint="eastAsia" w:ascii="宋体" w:hAnsi="宋体"/>
          <w:color w:val="auto"/>
          <w:kern w:val="2"/>
          <w:szCs w:val="21"/>
          <w:highlight w:val="none"/>
        </w:rPr>
        <w:t>.</w:t>
      </w:r>
      <w:r>
        <w:rPr>
          <w:rFonts w:hint="eastAsia" w:ascii="宋体" w:hAnsi="宋体" w:eastAsia="宋体" w:cs="Times New Roman"/>
          <w:szCs w:val="21"/>
        </w:rPr>
        <w:t>采购人系指组织本次磋商的</w:t>
      </w:r>
      <w:r>
        <w:rPr>
          <w:rFonts w:hint="eastAsia" w:ascii="宋体" w:hAnsi="宋体" w:eastAsia="宋体" w:cs="Times New Roman"/>
          <w:szCs w:val="21"/>
          <w:lang w:eastAsia="zh-CN"/>
        </w:rPr>
        <w:t>嘉兴市实验初级中学教育集团</w:t>
      </w:r>
      <w:r>
        <w:rPr>
          <w:rFonts w:hint="eastAsia" w:ascii="宋体" w:hAnsi="宋体" w:eastAsia="宋体" w:cs="Times New Roman"/>
          <w:szCs w:val="21"/>
        </w:rPr>
        <w:t>。</w:t>
      </w:r>
    </w:p>
    <w:p>
      <w:pPr>
        <w:snapToGrid w:val="0"/>
        <w:spacing w:line="360" w:lineRule="auto"/>
        <w:ind w:firstLine="420" w:firstLineChars="200"/>
        <w:rPr>
          <w:rFonts w:ascii="宋体" w:hAnsi="宋体"/>
          <w:color w:val="auto"/>
          <w:kern w:val="2"/>
          <w:szCs w:val="21"/>
          <w:highlight w:val="none"/>
        </w:rPr>
      </w:pPr>
      <w:r>
        <w:rPr>
          <w:rFonts w:ascii="宋体" w:hAnsi="宋体"/>
          <w:color w:val="auto"/>
          <w:kern w:val="2"/>
          <w:szCs w:val="21"/>
          <w:highlight w:val="none"/>
        </w:rPr>
        <w:t>2</w:t>
      </w:r>
      <w:r>
        <w:rPr>
          <w:rFonts w:hint="eastAsia" w:ascii="宋体" w:hAnsi="宋体"/>
          <w:color w:val="auto"/>
          <w:kern w:val="2"/>
          <w:szCs w:val="21"/>
          <w:highlight w:val="none"/>
        </w:rPr>
        <w:t>.</w:t>
      </w:r>
      <w:r>
        <w:rPr>
          <w:rFonts w:hint="eastAsia" w:ascii="宋体" w:hAnsi="宋体"/>
          <w:szCs w:val="21"/>
        </w:rPr>
        <w:t>“供应商” 系指向代理机构提交磋商文件的供应商。</w:t>
      </w:r>
    </w:p>
    <w:p>
      <w:pPr>
        <w:snapToGrid w:val="0"/>
        <w:spacing w:line="360" w:lineRule="auto"/>
        <w:ind w:firstLine="420" w:firstLineChars="200"/>
        <w:rPr>
          <w:rFonts w:ascii="宋体" w:hAnsi="宋体"/>
          <w:color w:val="auto"/>
          <w:kern w:val="2"/>
          <w:szCs w:val="21"/>
          <w:highlight w:val="none"/>
        </w:rPr>
      </w:pPr>
      <w:r>
        <w:rPr>
          <w:rFonts w:ascii="宋体" w:hAnsi="宋体"/>
          <w:color w:val="auto"/>
          <w:kern w:val="2"/>
          <w:szCs w:val="21"/>
          <w:highlight w:val="none"/>
        </w:rPr>
        <w:t>3</w:t>
      </w:r>
      <w:r>
        <w:rPr>
          <w:rFonts w:hint="eastAsia" w:ascii="宋体" w:hAnsi="宋体"/>
          <w:color w:val="auto"/>
          <w:kern w:val="2"/>
          <w:szCs w:val="21"/>
          <w:highlight w:val="none"/>
        </w:rPr>
        <w:t>.</w:t>
      </w:r>
      <w:r>
        <w:rPr>
          <w:rFonts w:ascii="宋体" w:hAnsi="宋体"/>
          <w:color w:val="auto"/>
          <w:kern w:val="2"/>
          <w:szCs w:val="21"/>
          <w:highlight w:val="none"/>
        </w:rPr>
        <w:t>“产品”系指供方按磋商文件规定，须向采购人提供的一切设备、保险、税金、备品备件、工具、手册及其它有关技术资料和材料。</w:t>
      </w:r>
    </w:p>
    <w:p>
      <w:pPr>
        <w:snapToGrid w:val="0"/>
        <w:spacing w:line="360" w:lineRule="auto"/>
        <w:ind w:firstLine="420" w:firstLineChars="200"/>
        <w:rPr>
          <w:rFonts w:ascii="宋体" w:hAnsi="宋体"/>
          <w:color w:val="auto"/>
          <w:kern w:val="2"/>
          <w:szCs w:val="21"/>
          <w:highlight w:val="none"/>
        </w:rPr>
      </w:pPr>
      <w:r>
        <w:rPr>
          <w:rFonts w:ascii="宋体" w:hAnsi="宋体"/>
          <w:color w:val="auto"/>
          <w:kern w:val="2"/>
          <w:szCs w:val="21"/>
          <w:highlight w:val="none"/>
        </w:rPr>
        <w:t>4</w:t>
      </w:r>
      <w:r>
        <w:rPr>
          <w:rFonts w:hint="eastAsia" w:ascii="宋体" w:hAnsi="宋体"/>
          <w:color w:val="auto"/>
          <w:kern w:val="2"/>
          <w:szCs w:val="21"/>
          <w:highlight w:val="none"/>
        </w:rPr>
        <w:t>.</w:t>
      </w:r>
      <w:r>
        <w:rPr>
          <w:rFonts w:ascii="宋体" w:hAnsi="宋体"/>
          <w:color w:val="auto"/>
          <w:kern w:val="2"/>
          <w:szCs w:val="21"/>
          <w:highlight w:val="none"/>
        </w:rPr>
        <w:t>“服务”系指</w:t>
      </w:r>
      <w:r>
        <w:rPr>
          <w:rFonts w:hint="eastAsia" w:ascii="宋体" w:hAnsi="宋体"/>
          <w:color w:val="auto"/>
          <w:kern w:val="2"/>
          <w:szCs w:val="21"/>
          <w:highlight w:val="none"/>
        </w:rPr>
        <w:t>磋商文件</w:t>
      </w:r>
      <w:r>
        <w:rPr>
          <w:rFonts w:ascii="宋体" w:hAnsi="宋体"/>
          <w:color w:val="auto"/>
          <w:kern w:val="2"/>
          <w:szCs w:val="21"/>
          <w:highlight w:val="none"/>
        </w:rPr>
        <w:t>规定供应商须承担的安装、调试、技术协助、校准、培训、技术指导以及其他类似的义务。</w:t>
      </w:r>
    </w:p>
    <w:p>
      <w:pPr>
        <w:snapToGrid w:val="0"/>
        <w:spacing w:line="360" w:lineRule="auto"/>
        <w:ind w:firstLine="420" w:firstLineChars="200"/>
        <w:rPr>
          <w:rFonts w:ascii="宋体" w:hAnsi="宋体"/>
          <w:color w:val="auto"/>
          <w:kern w:val="2"/>
          <w:szCs w:val="21"/>
          <w:highlight w:val="none"/>
        </w:rPr>
      </w:pPr>
      <w:r>
        <w:rPr>
          <w:rFonts w:ascii="宋体" w:hAnsi="宋体"/>
          <w:color w:val="auto"/>
          <w:kern w:val="2"/>
          <w:szCs w:val="21"/>
          <w:highlight w:val="none"/>
        </w:rPr>
        <w:t>5</w:t>
      </w:r>
      <w:r>
        <w:rPr>
          <w:rFonts w:hint="eastAsia" w:ascii="宋体" w:hAnsi="宋体"/>
          <w:color w:val="auto"/>
          <w:kern w:val="2"/>
          <w:szCs w:val="21"/>
          <w:highlight w:val="none"/>
        </w:rPr>
        <w:t>.</w:t>
      </w:r>
      <w:r>
        <w:rPr>
          <w:rFonts w:ascii="宋体" w:hAnsi="宋体"/>
          <w:color w:val="auto"/>
          <w:kern w:val="2"/>
          <w:szCs w:val="21"/>
          <w:highlight w:val="none"/>
        </w:rPr>
        <w:t>“项目”系指供应商按</w:t>
      </w:r>
      <w:r>
        <w:rPr>
          <w:rFonts w:hint="eastAsia" w:ascii="宋体" w:hAnsi="宋体"/>
          <w:color w:val="auto"/>
          <w:kern w:val="2"/>
          <w:szCs w:val="21"/>
          <w:highlight w:val="none"/>
        </w:rPr>
        <w:t>磋商文件</w:t>
      </w:r>
      <w:r>
        <w:rPr>
          <w:rFonts w:ascii="宋体" w:hAnsi="宋体"/>
          <w:color w:val="auto"/>
          <w:kern w:val="2"/>
          <w:szCs w:val="21"/>
          <w:highlight w:val="none"/>
        </w:rPr>
        <w:t>规定向采购人提供的产品和服务。</w:t>
      </w:r>
    </w:p>
    <w:p>
      <w:pPr>
        <w:snapToGrid w:val="0"/>
        <w:spacing w:line="360" w:lineRule="auto"/>
        <w:ind w:firstLine="420" w:firstLineChars="200"/>
        <w:rPr>
          <w:rFonts w:ascii="宋体" w:hAnsi="宋体"/>
          <w:color w:val="auto"/>
          <w:kern w:val="2"/>
          <w:szCs w:val="21"/>
          <w:highlight w:val="none"/>
        </w:rPr>
      </w:pPr>
      <w:r>
        <w:rPr>
          <w:rFonts w:ascii="宋体" w:hAnsi="宋体"/>
          <w:color w:val="auto"/>
          <w:kern w:val="2"/>
          <w:szCs w:val="21"/>
          <w:highlight w:val="none"/>
        </w:rPr>
        <w:t>6</w:t>
      </w:r>
      <w:r>
        <w:rPr>
          <w:rFonts w:hint="eastAsia" w:ascii="宋体" w:hAnsi="宋体"/>
          <w:color w:val="auto"/>
          <w:kern w:val="2"/>
          <w:szCs w:val="21"/>
          <w:highlight w:val="none"/>
        </w:rPr>
        <w:t>.</w:t>
      </w:r>
      <w:r>
        <w:rPr>
          <w:rFonts w:ascii="宋体" w:hAnsi="宋体"/>
          <w:color w:val="auto"/>
          <w:kern w:val="2"/>
          <w:szCs w:val="21"/>
          <w:highlight w:val="none"/>
        </w:rPr>
        <w:t>“书面形式”包括信函、传真、电报等。</w:t>
      </w:r>
    </w:p>
    <w:p>
      <w:pPr>
        <w:snapToGrid w:val="0"/>
        <w:spacing w:before="120" w:beforeLines="50" w:line="360" w:lineRule="auto"/>
        <w:ind w:firstLine="411" w:firstLineChars="196"/>
        <w:rPr>
          <w:rFonts w:hint="eastAsia" w:ascii="宋体" w:hAnsi="宋体"/>
          <w:color w:val="auto"/>
          <w:kern w:val="2"/>
          <w:szCs w:val="21"/>
          <w:highlight w:val="none"/>
        </w:rPr>
      </w:pPr>
      <w:r>
        <w:rPr>
          <w:rFonts w:ascii="宋体" w:hAnsi="宋体"/>
          <w:color w:val="auto"/>
          <w:kern w:val="2"/>
          <w:szCs w:val="21"/>
          <w:highlight w:val="none"/>
        </w:rPr>
        <w:t>7</w:t>
      </w:r>
      <w:r>
        <w:rPr>
          <w:rFonts w:hint="eastAsia" w:ascii="宋体" w:hAnsi="宋体"/>
          <w:color w:val="auto"/>
          <w:kern w:val="2"/>
          <w:szCs w:val="21"/>
          <w:highlight w:val="none"/>
        </w:rPr>
        <w:t>.</w:t>
      </w:r>
      <w:r>
        <w:rPr>
          <w:rFonts w:ascii="宋体" w:hAnsi="宋体"/>
          <w:color w:val="auto"/>
          <w:kern w:val="2"/>
          <w:szCs w:val="21"/>
          <w:highlight w:val="none"/>
        </w:rPr>
        <w:t>“▲”系指实质性要求条款</w:t>
      </w:r>
      <w:r>
        <w:rPr>
          <w:rFonts w:hint="eastAsia" w:ascii="宋体" w:hAnsi="宋体"/>
          <w:color w:val="auto"/>
          <w:kern w:val="2"/>
          <w:szCs w:val="21"/>
          <w:highlight w:val="none"/>
        </w:rPr>
        <w:t>，不满足</w:t>
      </w:r>
      <w:r>
        <w:rPr>
          <w:rFonts w:ascii="宋体" w:hAnsi="宋体"/>
          <w:color w:val="auto"/>
          <w:kern w:val="2"/>
          <w:szCs w:val="21"/>
          <w:highlight w:val="none"/>
        </w:rPr>
        <w:t>实质性</w:t>
      </w:r>
      <w:r>
        <w:rPr>
          <w:rFonts w:hint="eastAsia" w:ascii="宋体" w:hAnsi="宋体"/>
          <w:color w:val="auto"/>
          <w:kern w:val="2"/>
          <w:szCs w:val="21"/>
          <w:highlight w:val="none"/>
        </w:rPr>
        <w:t>要求条款的响应文件无效。</w:t>
      </w:r>
    </w:p>
    <w:p>
      <w:pPr>
        <w:snapToGrid w:val="0"/>
        <w:spacing w:before="120" w:beforeLines="50" w:line="360" w:lineRule="auto"/>
        <w:rPr>
          <w:rFonts w:ascii="宋体" w:hAnsi="宋体"/>
          <w:b/>
          <w:color w:val="auto"/>
          <w:kern w:val="2"/>
          <w:szCs w:val="21"/>
          <w:highlight w:val="none"/>
        </w:rPr>
      </w:pPr>
      <w:r>
        <w:rPr>
          <w:rFonts w:hint="eastAsia" w:ascii="宋体" w:hAnsi="宋体"/>
          <w:b/>
          <w:color w:val="auto"/>
          <w:kern w:val="2"/>
          <w:szCs w:val="21"/>
          <w:highlight w:val="none"/>
        </w:rPr>
        <w:t>（三）招标方式</w:t>
      </w:r>
      <w:bookmarkEnd w:id="22"/>
      <w:bookmarkEnd w:id="23"/>
    </w:p>
    <w:p>
      <w:pPr>
        <w:snapToGrid w:val="0"/>
        <w:spacing w:line="360" w:lineRule="auto"/>
        <w:ind w:firstLine="420" w:firstLineChars="200"/>
        <w:rPr>
          <w:rFonts w:ascii="宋体" w:hAnsi="宋体"/>
          <w:color w:val="auto"/>
          <w:kern w:val="2"/>
          <w:szCs w:val="21"/>
          <w:highlight w:val="none"/>
        </w:rPr>
      </w:pPr>
      <w:bookmarkStart w:id="24" w:name="_Toc397670920"/>
      <w:bookmarkStart w:id="25" w:name="_Toc397670949"/>
      <w:r>
        <w:rPr>
          <w:rFonts w:ascii="宋体" w:hAnsi="宋体"/>
          <w:color w:val="auto"/>
          <w:kern w:val="2"/>
          <w:szCs w:val="21"/>
          <w:highlight w:val="none"/>
        </w:rPr>
        <w:t>本次招标采用</w:t>
      </w:r>
      <w:r>
        <w:rPr>
          <w:rFonts w:hint="eastAsia" w:ascii="宋体" w:hAnsi="宋体"/>
          <w:color w:val="auto"/>
          <w:kern w:val="2"/>
          <w:szCs w:val="21"/>
          <w:highlight w:val="none"/>
        </w:rPr>
        <w:t>竞争性磋商</w:t>
      </w:r>
      <w:r>
        <w:rPr>
          <w:rFonts w:ascii="宋体" w:hAnsi="宋体"/>
          <w:color w:val="auto"/>
          <w:kern w:val="2"/>
          <w:szCs w:val="21"/>
          <w:highlight w:val="none"/>
        </w:rPr>
        <w:t>方式进行。</w:t>
      </w:r>
    </w:p>
    <w:bookmarkEnd w:id="24"/>
    <w:bookmarkEnd w:id="25"/>
    <w:p>
      <w:pPr>
        <w:snapToGrid w:val="0"/>
        <w:spacing w:before="120" w:beforeLines="50" w:line="360" w:lineRule="auto"/>
        <w:rPr>
          <w:rFonts w:ascii="宋体" w:hAnsi="宋体"/>
          <w:b/>
          <w:color w:val="auto"/>
          <w:kern w:val="2"/>
          <w:szCs w:val="21"/>
          <w:highlight w:val="none"/>
        </w:rPr>
      </w:pPr>
      <w:bookmarkStart w:id="26" w:name="_Toc397670950"/>
      <w:bookmarkStart w:id="27" w:name="_Toc397670921"/>
      <w:r>
        <w:rPr>
          <w:rFonts w:hint="eastAsia" w:ascii="宋体" w:hAnsi="宋体"/>
          <w:b/>
          <w:color w:val="auto"/>
          <w:kern w:val="2"/>
          <w:szCs w:val="21"/>
          <w:highlight w:val="none"/>
        </w:rPr>
        <w:t>（</w:t>
      </w:r>
      <w:r>
        <w:rPr>
          <w:rFonts w:hint="eastAsia" w:ascii="宋体" w:hAnsi="宋体"/>
          <w:b/>
          <w:color w:val="auto"/>
          <w:kern w:val="2"/>
          <w:szCs w:val="21"/>
          <w:highlight w:val="none"/>
          <w:lang w:val="en-US" w:eastAsia="zh-CN"/>
        </w:rPr>
        <w:t>四</w:t>
      </w:r>
      <w:r>
        <w:rPr>
          <w:rFonts w:hint="eastAsia" w:ascii="宋体" w:hAnsi="宋体"/>
          <w:b/>
          <w:color w:val="auto"/>
          <w:kern w:val="2"/>
          <w:szCs w:val="21"/>
          <w:highlight w:val="none"/>
        </w:rPr>
        <w:t>）投标费用</w:t>
      </w:r>
      <w:bookmarkEnd w:id="26"/>
      <w:bookmarkEnd w:id="27"/>
    </w:p>
    <w:p>
      <w:pPr>
        <w:snapToGrid w:val="0"/>
        <w:spacing w:line="360" w:lineRule="auto"/>
        <w:ind w:firstLine="420" w:firstLineChars="200"/>
        <w:rPr>
          <w:rFonts w:ascii="宋体" w:hAnsi="宋体"/>
          <w:color w:val="auto"/>
          <w:kern w:val="2"/>
          <w:szCs w:val="21"/>
          <w:highlight w:val="none"/>
        </w:rPr>
      </w:pPr>
      <w:r>
        <w:rPr>
          <w:rFonts w:hint="eastAsia" w:ascii="宋体" w:hAnsi="宋体"/>
          <w:color w:val="auto"/>
          <w:kern w:val="2"/>
          <w:szCs w:val="21"/>
          <w:highlight w:val="none"/>
        </w:rPr>
        <w:t>不论投标结果如何，供应商均应自行承担所有与投标有关的费用（磋商文件有相反规定除外）。</w:t>
      </w:r>
    </w:p>
    <w:p>
      <w:pPr>
        <w:snapToGrid w:val="0"/>
        <w:spacing w:before="120" w:beforeLines="50" w:line="360" w:lineRule="auto"/>
        <w:rPr>
          <w:rFonts w:ascii="宋体" w:hAnsi="宋体"/>
          <w:b/>
          <w:color w:val="auto"/>
          <w:kern w:val="2"/>
          <w:szCs w:val="21"/>
          <w:highlight w:val="none"/>
        </w:rPr>
      </w:pPr>
      <w:r>
        <w:rPr>
          <w:rFonts w:hint="eastAsia" w:ascii="宋体" w:hAnsi="宋体"/>
          <w:b/>
          <w:color w:val="auto"/>
          <w:kern w:val="2"/>
          <w:szCs w:val="21"/>
          <w:highlight w:val="none"/>
        </w:rPr>
        <w:t>（</w:t>
      </w:r>
      <w:r>
        <w:rPr>
          <w:rFonts w:hint="eastAsia" w:ascii="宋体" w:hAnsi="宋体"/>
          <w:b/>
          <w:color w:val="auto"/>
          <w:kern w:val="2"/>
          <w:szCs w:val="21"/>
          <w:highlight w:val="none"/>
          <w:lang w:val="en-US" w:eastAsia="zh-CN"/>
        </w:rPr>
        <w:t>五</w:t>
      </w:r>
      <w:r>
        <w:rPr>
          <w:rFonts w:hint="eastAsia" w:ascii="宋体" w:hAnsi="宋体"/>
          <w:b/>
          <w:color w:val="auto"/>
          <w:kern w:val="2"/>
          <w:szCs w:val="21"/>
          <w:highlight w:val="none"/>
        </w:rPr>
        <w:t>）联合体投标</w:t>
      </w:r>
    </w:p>
    <w:p>
      <w:pPr>
        <w:snapToGrid w:val="0"/>
        <w:spacing w:before="120" w:beforeLines="50" w:line="360" w:lineRule="auto"/>
        <w:ind w:firstLine="411" w:firstLineChars="196"/>
        <w:rPr>
          <w:rFonts w:hint="eastAsia" w:ascii="宋体" w:hAnsi="宋体"/>
          <w:color w:val="auto"/>
          <w:kern w:val="2"/>
          <w:szCs w:val="21"/>
          <w:highlight w:val="none"/>
        </w:rPr>
      </w:pPr>
      <w:r>
        <w:rPr>
          <w:rFonts w:hint="eastAsia" w:ascii="宋体" w:hAnsi="宋体"/>
          <w:color w:val="auto"/>
          <w:kern w:val="2"/>
          <w:szCs w:val="21"/>
          <w:highlight w:val="none"/>
        </w:rPr>
        <w:t>本项目接受联合体投标。</w:t>
      </w:r>
    </w:p>
    <w:p>
      <w:pPr>
        <w:snapToGrid w:val="0"/>
        <w:spacing w:before="120" w:beforeLines="50" w:line="360" w:lineRule="auto"/>
        <w:rPr>
          <w:rFonts w:ascii="宋体" w:hAnsi="宋体"/>
          <w:b/>
          <w:color w:val="auto"/>
          <w:kern w:val="2"/>
          <w:szCs w:val="21"/>
          <w:highlight w:val="none"/>
        </w:rPr>
      </w:pPr>
      <w:r>
        <w:rPr>
          <w:rFonts w:hint="eastAsia" w:ascii="宋体" w:hAnsi="宋体"/>
          <w:b/>
          <w:color w:val="auto"/>
          <w:kern w:val="2"/>
          <w:szCs w:val="21"/>
          <w:highlight w:val="none"/>
        </w:rPr>
        <w:t>（</w:t>
      </w:r>
      <w:r>
        <w:rPr>
          <w:rFonts w:hint="eastAsia" w:ascii="宋体" w:hAnsi="宋体"/>
          <w:b/>
          <w:color w:val="auto"/>
          <w:kern w:val="2"/>
          <w:szCs w:val="21"/>
          <w:highlight w:val="none"/>
          <w:lang w:val="en-US" w:eastAsia="zh-CN"/>
        </w:rPr>
        <w:t>六</w:t>
      </w:r>
      <w:r>
        <w:rPr>
          <w:rFonts w:hint="eastAsia" w:ascii="宋体" w:hAnsi="宋体"/>
          <w:b/>
          <w:color w:val="auto"/>
          <w:kern w:val="2"/>
          <w:szCs w:val="21"/>
          <w:highlight w:val="none"/>
        </w:rPr>
        <w:t>）转包与分包</w:t>
      </w:r>
    </w:p>
    <w:p>
      <w:pPr>
        <w:snapToGrid w:val="0"/>
        <w:spacing w:line="360" w:lineRule="auto"/>
        <w:ind w:firstLine="420" w:firstLineChars="200"/>
        <w:rPr>
          <w:rFonts w:hint="eastAsia" w:ascii="宋体" w:hAnsi="宋体"/>
          <w:color w:val="auto"/>
          <w:kern w:val="2"/>
          <w:szCs w:val="21"/>
          <w:highlight w:val="none"/>
        </w:rPr>
      </w:pPr>
      <w:r>
        <w:rPr>
          <w:rFonts w:ascii="宋体" w:hAnsi="宋体"/>
          <w:color w:val="auto"/>
          <w:kern w:val="2"/>
          <w:szCs w:val="21"/>
          <w:highlight w:val="none"/>
        </w:rPr>
        <w:t>1</w:t>
      </w:r>
      <w:r>
        <w:rPr>
          <w:rFonts w:hint="eastAsia" w:ascii="宋体" w:hAnsi="宋体"/>
          <w:color w:val="auto"/>
          <w:kern w:val="2"/>
          <w:szCs w:val="21"/>
          <w:highlight w:val="none"/>
        </w:rPr>
        <w:t>.</w:t>
      </w:r>
      <w:r>
        <w:rPr>
          <w:rFonts w:ascii="宋体" w:hAnsi="宋体"/>
          <w:color w:val="auto"/>
          <w:kern w:val="2"/>
          <w:szCs w:val="21"/>
          <w:highlight w:val="none"/>
        </w:rPr>
        <w:t>本项目不允许转包。</w:t>
      </w:r>
    </w:p>
    <w:p>
      <w:pPr>
        <w:snapToGrid w:val="0"/>
        <w:spacing w:line="360" w:lineRule="auto"/>
        <w:ind w:firstLine="420" w:firstLineChars="200"/>
        <w:rPr>
          <w:rFonts w:hint="eastAsia" w:ascii="宋体" w:hAnsi="宋体"/>
          <w:color w:val="auto"/>
          <w:kern w:val="2"/>
          <w:szCs w:val="21"/>
          <w:highlight w:val="none"/>
        </w:rPr>
      </w:pPr>
      <w:r>
        <w:rPr>
          <w:rFonts w:ascii="宋体" w:hAnsi="宋体"/>
          <w:color w:val="auto"/>
          <w:kern w:val="2"/>
          <w:szCs w:val="21"/>
          <w:highlight w:val="none"/>
        </w:rPr>
        <w:t>2</w:t>
      </w:r>
      <w:r>
        <w:rPr>
          <w:rFonts w:hint="eastAsia" w:ascii="宋体" w:hAnsi="宋体"/>
          <w:color w:val="auto"/>
          <w:kern w:val="2"/>
          <w:szCs w:val="21"/>
          <w:highlight w:val="none"/>
        </w:rPr>
        <w:t>.</w:t>
      </w:r>
      <w:r>
        <w:rPr>
          <w:rFonts w:ascii="宋体" w:hAnsi="宋体"/>
          <w:color w:val="auto"/>
          <w:kern w:val="2"/>
          <w:szCs w:val="21"/>
          <w:highlight w:val="none"/>
        </w:rPr>
        <w:t>本项目不可以分包</w:t>
      </w:r>
      <w:r>
        <w:rPr>
          <w:rFonts w:hint="eastAsia" w:ascii="宋体" w:hAnsi="宋体"/>
          <w:color w:val="auto"/>
          <w:kern w:val="2"/>
          <w:szCs w:val="21"/>
          <w:highlight w:val="none"/>
        </w:rPr>
        <w:t>。</w:t>
      </w:r>
    </w:p>
    <w:p>
      <w:pPr>
        <w:snapToGrid w:val="0"/>
        <w:spacing w:before="120" w:beforeLines="50" w:line="360" w:lineRule="auto"/>
        <w:rPr>
          <w:rFonts w:hint="eastAsia" w:ascii="宋体" w:hAnsi="宋体"/>
          <w:b/>
          <w:color w:val="auto"/>
          <w:kern w:val="2"/>
          <w:szCs w:val="21"/>
          <w:highlight w:val="none"/>
        </w:rPr>
      </w:pPr>
      <w:r>
        <w:rPr>
          <w:rFonts w:hint="eastAsia" w:ascii="宋体" w:hAnsi="宋体"/>
          <w:b/>
          <w:color w:val="auto"/>
          <w:kern w:val="2"/>
          <w:szCs w:val="21"/>
          <w:highlight w:val="none"/>
        </w:rPr>
        <w:t>（</w:t>
      </w:r>
      <w:r>
        <w:rPr>
          <w:rFonts w:hint="eastAsia" w:ascii="宋体" w:hAnsi="宋体"/>
          <w:b/>
          <w:color w:val="auto"/>
          <w:kern w:val="2"/>
          <w:szCs w:val="21"/>
          <w:highlight w:val="none"/>
          <w:lang w:val="en-US" w:eastAsia="zh-CN"/>
        </w:rPr>
        <w:t>七</w:t>
      </w:r>
      <w:r>
        <w:rPr>
          <w:rFonts w:hint="eastAsia" w:ascii="宋体" w:hAnsi="宋体"/>
          <w:b/>
          <w:color w:val="auto"/>
          <w:kern w:val="2"/>
          <w:szCs w:val="21"/>
          <w:highlight w:val="none"/>
        </w:rPr>
        <w:t>）是否允许采购进口产品</w:t>
      </w:r>
    </w:p>
    <w:p>
      <w:pPr>
        <w:snapToGrid w:val="0"/>
        <w:spacing w:before="120" w:beforeLines="50" w:line="360" w:lineRule="auto"/>
        <w:ind w:firstLine="411" w:firstLineChars="196"/>
        <w:outlineLvl w:val="1"/>
        <w:rPr>
          <w:rFonts w:ascii="宋体" w:hAnsi="宋体"/>
          <w:color w:val="auto"/>
          <w:kern w:val="2"/>
          <w:szCs w:val="21"/>
          <w:highlight w:val="none"/>
        </w:rPr>
      </w:pPr>
      <w:r>
        <w:rPr>
          <w:rFonts w:hint="eastAsia" w:ascii="宋体" w:hAnsi="宋体"/>
          <w:color w:val="auto"/>
          <w:kern w:val="2"/>
          <w:szCs w:val="21"/>
          <w:highlight w:val="none"/>
        </w:rPr>
        <w:t>不</w:t>
      </w:r>
      <w:r>
        <w:rPr>
          <w:rFonts w:ascii="宋体" w:hAnsi="宋体"/>
          <w:color w:val="auto"/>
          <w:kern w:val="2"/>
          <w:szCs w:val="21"/>
          <w:highlight w:val="none"/>
        </w:rPr>
        <w:t>允许</w:t>
      </w:r>
      <w:r>
        <w:rPr>
          <w:rFonts w:hint="eastAsia" w:ascii="宋体" w:hAnsi="宋体"/>
          <w:color w:val="auto"/>
          <w:kern w:val="2"/>
          <w:szCs w:val="21"/>
          <w:highlight w:val="none"/>
        </w:rPr>
        <w:t>采购进口产品。</w:t>
      </w:r>
    </w:p>
    <w:p>
      <w:pPr>
        <w:snapToGrid w:val="0"/>
        <w:spacing w:before="120" w:beforeLines="50" w:line="360" w:lineRule="auto"/>
        <w:outlineLvl w:val="1"/>
        <w:rPr>
          <w:rFonts w:hint="eastAsia" w:ascii="宋体" w:hAnsi="宋体"/>
          <w:color w:val="auto"/>
          <w:kern w:val="2"/>
          <w:szCs w:val="21"/>
          <w:highlight w:val="none"/>
        </w:rPr>
      </w:pPr>
      <w:bookmarkStart w:id="28" w:name="_Toc397670952"/>
      <w:bookmarkStart w:id="29" w:name="_Toc444500048"/>
      <w:bookmarkStart w:id="30" w:name="_Toc397670923"/>
      <w:bookmarkStart w:id="31" w:name="_Toc405792813"/>
      <w:r>
        <w:rPr>
          <w:rFonts w:ascii="宋体" w:hAnsi="宋体"/>
          <w:color w:val="auto"/>
          <w:kern w:val="2"/>
          <w:szCs w:val="21"/>
          <w:highlight w:val="none"/>
        </w:rPr>
        <w:t>▲</w:t>
      </w:r>
      <w:r>
        <w:rPr>
          <w:rFonts w:hint="eastAsia" w:ascii="宋体" w:hAnsi="宋体"/>
          <w:b/>
          <w:color w:val="auto"/>
          <w:kern w:val="2"/>
          <w:szCs w:val="21"/>
          <w:highlight w:val="none"/>
        </w:rPr>
        <w:t>（</w:t>
      </w:r>
      <w:r>
        <w:rPr>
          <w:rFonts w:hint="eastAsia" w:ascii="宋体" w:hAnsi="宋体"/>
          <w:b/>
          <w:color w:val="auto"/>
          <w:kern w:val="2"/>
          <w:szCs w:val="21"/>
          <w:highlight w:val="none"/>
          <w:lang w:val="en-US" w:eastAsia="zh-CN"/>
        </w:rPr>
        <w:t>八</w:t>
      </w:r>
      <w:r>
        <w:rPr>
          <w:rFonts w:hint="eastAsia" w:ascii="宋体" w:hAnsi="宋体"/>
          <w:b/>
          <w:color w:val="auto"/>
          <w:kern w:val="2"/>
          <w:szCs w:val="21"/>
          <w:highlight w:val="none"/>
        </w:rPr>
        <w:t>）特别说明：</w:t>
      </w:r>
    </w:p>
    <w:p>
      <w:pPr>
        <w:snapToGrid w:val="0"/>
        <w:spacing w:line="360" w:lineRule="auto"/>
        <w:ind w:firstLine="411" w:firstLineChars="196"/>
        <w:jc w:val="left"/>
        <w:outlineLvl w:val="1"/>
        <w:rPr>
          <w:rFonts w:hint="eastAsia" w:ascii="宋体" w:hAnsi="宋体"/>
        </w:rPr>
      </w:pPr>
      <w:r>
        <w:rPr>
          <w:rFonts w:hint="eastAsia" w:ascii="宋体" w:hAnsi="宋体"/>
          <w:lang w:val="en-US" w:eastAsia="zh-CN"/>
        </w:rPr>
        <w:t>8</w:t>
      </w:r>
      <w:r>
        <w:rPr>
          <w:rFonts w:hint="eastAsia" w:ascii="宋体" w:hAnsi="宋体"/>
        </w:rPr>
        <w:t>.1采用最低评标价法的采购项目，提供相同品牌产品的不同投标供应商参加同一合同项下投标的，以其中通过资格审查、符合性审查且报价最低的参加评标；报价相同的，由采购人或者采购人委托评标委员会按照采购文件规定的方式确定一个参加评标的投标供应商，采购文件未规定的采取随机抽取方式确定，其他投标无效。</w:t>
      </w:r>
    </w:p>
    <w:p>
      <w:pPr>
        <w:snapToGrid w:val="0"/>
        <w:spacing w:line="360" w:lineRule="auto"/>
        <w:ind w:firstLine="411" w:firstLineChars="196"/>
        <w:jc w:val="left"/>
        <w:outlineLvl w:val="1"/>
        <w:rPr>
          <w:rFonts w:hint="eastAsia" w:ascii="宋体" w:hAnsi="宋体"/>
        </w:rPr>
      </w:pPr>
      <w:r>
        <w:rPr>
          <w:rFonts w:hint="eastAsia" w:ascii="宋体" w:hAnsi="宋体"/>
        </w:rPr>
        <w:t>使用综合评分法的采购项目，提供相同品牌产品且通过资格审查、符合性审查的不同投标供应商参加同一合同项下投标的，按一家投标供应商计算，评审后得分最高的同品牌投标供应商获得中标供应商推荐资格；评审得分相同的，由采购人或者采购人委托评标委员会按照采购文件规定的方式确定一个投标供应商获得中标供应商推荐资格，采购文件未规定的采取随机抽取方式确定，其他同品牌投标供应商不作为中标候选人。</w:t>
      </w:r>
    </w:p>
    <w:p>
      <w:pPr>
        <w:snapToGrid w:val="0"/>
        <w:spacing w:line="360" w:lineRule="auto"/>
        <w:ind w:firstLine="411" w:firstLineChars="196"/>
        <w:jc w:val="left"/>
        <w:outlineLvl w:val="1"/>
        <w:rPr>
          <w:rFonts w:hint="eastAsia" w:ascii="宋体" w:hAnsi="宋体"/>
        </w:rPr>
      </w:pPr>
      <w:r>
        <w:rPr>
          <w:rFonts w:hint="eastAsia" w:ascii="宋体" w:hAnsi="宋体"/>
        </w:rPr>
        <w:t>非单一产品采购项目，采购人应当根据采购项目技术构成、产品价格比重等合理确定核心产品，并在采购文件中载明。多家投标供应商提供的核心产品品牌相同的，按前两款规定处理。</w:t>
      </w:r>
    </w:p>
    <w:p>
      <w:pPr>
        <w:snapToGrid w:val="0"/>
        <w:spacing w:line="360" w:lineRule="auto"/>
        <w:ind w:firstLine="411" w:firstLineChars="196"/>
        <w:jc w:val="left"/>
        <w:outlineLvl w:val="1"/>
        <w:rPr>
          <w:rFonts w:hint="eastAsia" w:ascii="宋体" w:hAnsi="宋体"/>
        </w:rPr>
      </w:pPr>
      <w:r>
        <w:rPr>
          <w:rFonts w:hint="eastAsia" w:ascii="宋体" w:hAnsi="宋体"/>
          <w:lang w:val="en-US" w:eastAsia="zh-CN"/>
        </w:rPr>
        <w:t>8</w:t>
      </w:r>
      <w:r>
        <w:rPr>
          <w:rFonts w:hint="eastAsia" w:ascii="宋体" w:hAnsi="宋体"/>
        </w:rPr>
        <w:t>.2供应商投标所使用的资格、信誉、荣誉、业绩与企业认证必须为本法人所拥有。供应商投标所使用的采购项目实施人员必须为本法人员工（或必须为本法人或控股公司正式员工）。</w:t>
      </w:r>
    </w:p>
    <w:p>
      <w:pPr>
        <w:snapToGrid w:val="0"/>
        <w:spacing w:line="360" w:lineRule="auto"/>
        <w:ind w:firstLine="411" w:firstLineChars="196"/>
        <w:jc w:val="left"/>
        <w:outlineLvl w:val="1"/>
        <w:rPr>
          <w:rFonts w:hint="eastAsia" w:ascii="宋体" w:hAnsi="宋体"/>
        </w:rPr>
      </w:pPr>
      <w:r>
        <w:rPr>
          <w:rFonts w:hint="eastAsia" w:ascii="宋体" w:hAnsi="宋体"/>
          <w:lang w:val="en-US" w:eastAsia="zh-CN"/>
        </w:rPr>
        <w:t>8</w:t>
      </w:r>
      <w:r>
        <w:rPr>
          <w:rFonts w:hint="eastAsia" w:ascii="宋体" w:hAnsi="宋体"/>
        </w:rPr>
        <w:t>.3供应商应仔细阅读采购文件的所有内容，按照采购文件的要求提交响应文件，并对所提供的全部资料的真实性承担法律责任。</w:t>
      </w:r>
    </w:p>
    <w:p>
      <w:pPr>
        <w:snapToGrid w:val="0"/>
        <w:spacing w:line="360" w:lineRule="auto"/>
        <w:ind w:firstLine="411" w:firstLineChars="196"/>
        <w:jc w:val="left"/>
        <w:outlineLvl w:val="1"/>
        <w:rPr>
          <w:rFonts w:hint="eastAsia" w:ascii="宋体" w:hAnsi="宋体"/>
        </w:rPr>
      </w:pPr>
      <w:r>
        <w:rPr>
          <w:rFonts w:hint="eastAsia" w:ascii="宋体" w:hAnsi="宋体"/>
          <w:lang w:val="en-US" w:eastAsia="zh-CN"/>
        </w:rPr>
        <w:t>8</w:t>
      </w:r>
      <w:r>
        <w:rPr>
          <w:rFonts w:hint="eastAsia" w:ascii="宋体" w:hAnsi="宋体"/>
        </w:rPr>
        <w:t>.4供应商在投标活动中提供任何虚假材料,其投标无效，并报监管部门查处；中标后发现的,中标供应商须依照《中华人民共和国消费者权益保护法》第49条之规定双倍赔偿采购人，且民事赔偿并不免除违法供应商的行政与刑事责任。</w:t>
      </w:r>
    </w:p>
    <w:p>
      <w:pPr>
        <w:pStyle w:val="29"/>
        <w:snapToGrid w:val="0"/>
        <w:spacing w:line="360" w:lineRule="auto"/>
        <w:outlineLvl w:val="1"/>
        <w:rPr>
          <w:rFonts w:hAnsi="宋体"/>
          <w:b/>
          <w:color w:val="auto"/>
          <w:szCs w:val="21"/>
          <w:highlight w:val="none"/>
        </w:rPr>
      </w:pPr>
      <w:r>
        <w:rPr>
          <w:rFonts w:hAnsi="宋体"/>
          <w:b/>
          <w:color w:val="auto"/>
          <w:szCs w:val="21"/>
          <w:highlight w:val="none"/>
        </w:rPr>
        <w:t>（</w:t>
      </w:r>
      <w:r>
        <w:rPr>
          <w:rFonts w:hint="eastAsia" w:hAnsi="宋体"/>
          <w:b/>
          <w:color w:val="auto"/>
          <w:szCs w:val="21"/>
          <w:highlight w:val="none"/>
          <w:lang w:val="en-US" w:eastAsia="zh-CN"/>
        </w:rPr>
        <w:t>九</w:t>
      </w:r>
      <w:r>
        <w:rPr>
          <w:rFonts w:hAnsi="宋体"/>
          <w:b/>
          <w:color w:val="auto"/>
          <w:szCs w:val="21"/>
          <w:highlight w:val="none"/>
        </w:rPr>
        <w:t>）质疑和投诉</w:t>
      </w:r>
    </w:p>
    <w:p>
      <w:pPr>
        <w:snapToGrid w:val="0"/>
        <w:spacing w:line="360" w:lineRule="auto"/>
        <w:ind w:firstLine="411" w:firstLineChars="196"/>
        <w:jc w:val="left"/>
        <w:outlineLvl w:val="1"/>
        <w:rPr>
          <w:rFonts w:hint="eastAsia" w:ascii="宋体" w:hAnsi="宋体"/>
        </w:rPr>
      </w:pPr>
      <w:r>
        <w:rPr>
          <w:rFonts w:hint="eastAsia" w:ascii="宋体" w:hAnsi="宋体"/>
          <w:lang w:val="en-US" w:eastAsia="zh-CN"/>
        </w:rPr>
        <w:t>9</w:t>
      </w:r>
      <w:r>
        <w:rPr>
          <w:rFonts w:hint="eastAsia" w:ascii="宋体" w:hAnsi="宋体"/>
        </w:rPr>
        <w:t>.1质疑和投诉应当满足《政府采购质疑和投诉办法》（中华人民共和国财政部令第94号）要求。</w:t>
      </w:r>
    </w:p>
    <w:p>
      <w:pPr>
        <w:snapToGrid w:val="0"/>
        <w:spacing w:line="360" w:lineRule="auto"/>
        <w:ind w:firstLine="411" w:firstLineChars="196"/>
        <w:jc w:val="left"/>
        <w:outlineLvl w:val="1"/>
        <w:rPr>
          <w:rFonts w:hint="eastAsia" w:ascii="宋体" w:hAnsi="宋体"/>
        </w:rPr>
      </w:pPr>
      <w:r>
        <w:rPr>
          <w:rFonts w:hint="eastAsia" w:ascii="宋体" w:hAnsi="宋体"/>
          <w:lang w:val="en-US" w:eastAsia="zh-CN"/>
        </w:rPr>
        <w:t>9</w:t>
      </w:r>
      <w:r>
        <w:rPr>
          <w:rFonts w:hint="eastAsia" w:ascii="宋体" w:hAnsi="宋体"/>
        </w:rPr>
        <w:t>.2采购文件质疑：供应商可在获取采购文件之日或者采购文件公告期限届满之日（公告期限届满后获取采购文件的，以公告期限届满之日为准）起7个工作日内发起；采购过程质疑：投标（响应）供应商可在投标（响应）截止时间后，采购结果公告发布时间起7个工作日内发起；采购结果质疑：投标（响应）供应商可在采购结果公告期限届满之日起7个工作日内发起。</w:t>
      </w:r>
    </w:p>
    <w:p>
      <w:pPr>
        <w:snapToGrid w:val="0"/>
        <w:spacing w:line="360" w:lineRule="auto"/>
        <w:ind w:firstLine="411" w:firstLineChars="196"/>
        <w:jc w:val="left"/>
        <w:outlineLvl w:val="1"/>
        <w:rPr>
          <w:rFonts w:hint="eastAsia" w:ascii="宋体" w:hAnsi="宋体"/>
        </w:rPr>
      </w:pPr>
      <w:r>
        <w:rPr>
          <w:rFonts w:hint="eastAsia" w:ascii="宋体" w:hAnsi="宋体"/>
          <w:lang w:val="en-US" w:eastAsia="zh-CN"/>
        </w:rPr>
        <w:t>9</w:t>
      </w:r>
      <w:r>
        <w:rPr>
          <w:rFonts w:hint="eastAsia" w:ascii="宋体" w:hAnsi="宋体"/>
        </w:rPr>
        <w:t>.3供应商须在法定质疑期内一次性提出针对同一采购程序环节的质疑。</w:t>
      </w:r>
    </w:p>
    <w:p>
      <w:pPr>
        <w:snapToGrid w:val="0"/>
        <w:spacing w:line="360" w:lineRule="auto"/>
        <w:ind w:firstLine="411" w:firstLineChars="196"/>
        <w:jc w:val="left"/>
        <w:outlineLvl w:val="1"/>
        <w:rPr>
          <w:rFonts w:hint="eastAsia" w:ascii="宋体" w:hAnsi="宋体"/>
        </w:rPr>
      </w:pPr>
      <w:r>
        <w:rPr>
          <w:rFonts w:hint="eastAsia" w:ascii="宋体" w:hAnsi="宋体"/>
          <w:lang w:val="en-US" w:eastAsia="zh-CN"/>
        </w:rPr>
        <w:t>9</w:t>
      </w:r>
      <w:r>
        <w:rPr>
          <w:rFonts w:hint="eastAsia" w:ascii="宋体" w:hAnsi="宋体"/>
        </w:rPr>
        <w:t>.4供应商须按上述规定，在政采云系统里提出质疑。询问路径为：政采云-项目采购-询问质疑投诉-询问列表；质疑路径为：政采云-项目采购-询问质疑投诉-质疑列表。质疑供应商对在线质疑答复不满意的，可在线提起投诉，投诉路径为：浙江政府服务网-政府采购投诉处理-在线办理。</w:t>
      </w:r>
    </w:p>
    <w:p>
      <w:pPr>
        <w:pStyle w:val="29"/>
        <w:snapToGrid w:val="0"/>
        <w:spacing w:before="120" w:after="120" w:line="360" w:lineRule="auto"/>
        <w:jc w:val="center"/>
        <w:rPr>
          <w:rFonts w:hAnsi="宋体"/>
          <w:b/>
          <w:color w:val="auto"/>
          <w:szCs w:val="21"/>
          <w:highlight w:val="none"/>
        </w:rPr>
      </w:pPr>
      <w:r>
        <w:rPr>
          <w:rFonts w:hAnsi="宋体"/>
          <w:b/>
          <w:color w:val="auto"/>
          <w:szCs w:val="21"/>
          <w:highlight w:val="none"/>
        </w:rPr>
        <w:t>二</w:t>
      </w:r>
      <w:r>
        <w:rPr>
          <w:rFonts w:hint="eastAsia" w:hAnsi="宋体"/>
          <w:b/>
          <w:color w:val="auto"/>
          <w:szCs w:val="21"/>
          <w:highlight w:val="none"/>
        </w:rPr>
        <w:t>、</w:t>
      </w:r>
      <w:r>
        <w:rPr>
          <w:rFonts w:hAnsi="宋体"/>
          <w:b/>
          <w:color w:val="auto"/>
          <w:szCs w:val="21"/>
          <w:highlight w:val="none"/>
        </w:rPr>
        <w:t>磋商文件</w:t>
      </w:r>
      <w:bookmarkEnd w:id="28"/>
      <w:bookmarkEnd w:id="29"/>
      <w:bookmarkEnd w:id="30"/>
      <w:bookmarkEnd w:id="31"/>
    </w:p>
    <w:p>
      <w:pPr>
        <w:snapToGrid w:val="0"/>
        <w:spacing w:line="360" w:lineRule="auto"/>
        <w:rPr>
          <w:rFonts w:ascii="宋体" w:hAnsi="宋体"/>
          <w:b/>
          <w:color w:val="auto"/>
          <w:kern w:val="2"/>
          <w:szCs w:val="21"/>
          <w:highlight w:val="none"/>
        </w:rPr>
      </w:pPr>
      <w:r>
        <w:rPr>
          <w:rFonts w:hint="eastAsia" w:ascii="宋体" w:hAnsi="宋体"/>
          <w:b/>
          <w:color w:val="auto"/>
          <w:kern w:val="2"/>
          <w:szCs w:val="21"/>
          <w:highlight w:val="none"/>
        </w:rPr>
        <w:t>（一）磋商文件的构成</w:t>
      </w:r>
    </w:p>
    <w:p>
      <w:pPr>
        <w:snapToGrid w:val="0"/>
        <w:spacing w:line="360" w:lineRule="auto"/>
        <w:ind w:firstLine="420" w:firstLineChars="200"/>
        <w:rPr>
          <w:rFonts w:ascii="宋体" w:hAnsi="宋体"/>
          <w:color w:val="auto"/>
          <w:kern w:val="2"/>
          <w:szCs w:val="21"/>
          <w:highlight w:val="none"/>
        </w:rPr>
      </w:pPr>
      <w:r>
        <w:rPr>
          <w:rFonts w:ascii="宋体" w:hAnsi="宋体"/>
          <w:color w:val="auto"/>
          <w:kern w:val="2"/>
          <w:szCs w:val="21"/>
          <w:highlight w:val="none"/>
        </w:rPr>
        <w:t>1</w:t>
      </w:r>
      <w:r>
        <w:rPr>
          <w:rFonts w:hint="eastAsia" w:ascii="宋体" w:hAnsi="宋体"/>
          <w:color w:val="auto"/>
          <w:kern w:val="2"/>
          <w:szCs w:val="21"/>
          <w:highlight w:val="none"/>
        </w:rPr>
        <w:t>.</w:t>
      </w:r>
      <w:r>
        <w:rPr>
          <w:rFonts w:ascii="宋体" w:hAnsi="宋体"/>
          <w:color w:val="auto"/>
          <w:kern w:val="2"/>
          <w:szCs w:val="21"/>
          <w:highlight w:val="none"/>
        </w:rPr>
        <w:t>磋商公告</w:t>
      </w:r>
    </w:p>
    <w:p>
      <w:pPr>
        <w:snapToGrid w:val="0"/>
        <w:spacing w:line="360" w:lineRule="auto"/>
        <w:ind w:firstLine="420" w:firstLineChars="200"/>
        <w:rPr>
          <w:rFonts w:hint="eastAsia" w:ascii="宋体" w:hAnsi="宋体"/>
          <w:color w:val="auto"/>
          <w:kern w:val="2"/>
          <w:szCs w:val="21"/>
          <w:highlight w:val="none"/>
        </w:rPr>
      </w:pPr>
      <w:r>
        <w:rPr>
          <w:rFonts w:ascii="宋体" w:hAnsi="宋体"/>
          <w:color w:val="auto"/>
          <w:kern w:val="2"/>
          <w:szCs w:val="21"/>
          <w:highlight w:val="none"/>
        </w:rPr>
        <w:t>2</w:t>
      </w:r>
      <w:r>
        <w:rPr>
          <w:rFonts w:hint="eastAsia" w:ascii="宋体" w:hAnsi="宋体"/>
          <w:color w:val="auto"/>
          <w:kern w:val="2"/>
          <w:szCs w:val="21"/>
          <w:highlight w:val="none"/>
        </w:rPr>
        <w:t>.</w:t>
      </w:r>
      <w:r>
        <w:rPr>
          <w:rFonts w:ascii="宋体" w:hAnsi="宋体"/>
          <w:color w:val="auto"/>
          <w:kern w:val="2"/>
          <w:szCs w:val="21"/>
          <w:highlight w:val="none"/>
        </w:rPr>
        <w:t>磋商</w:t>
      </w:r>
      <w:r>
        <w:rPr>
          <w:rFonts w:hint="eastAsia" w:ascii="宋体" w:hAnsi="宋体"/>
          <w:color w:val="auto"/>
          <w:kern w:val="2"/>
          <w:szCs w:val="21"/>
          <w:highlight w:val="none"/>
        </w:rPr>
        <w:t>项目要求</w:t>
      </w:r>
    </w:p>
    <w:p>
      <w:pPr>
        <w:snapToGrid w:val="0"/>
        <w:spacing w:line="360" w:lineRule="auto"/>
        <w:ind w:firstLine="420" w:firstLineChars="200"/>
        <w:rPr>
          <w:rFonts w:ascii="宋体" w:hAnsi="宋体"/>
          <w:color w:val="auto"/>
          <w:kern w:val="2"/>
          <w:szCs w:val="21"/>
          <w:highlight w:val="none"/>
        </w:rPr>
      </w:pPr>
      <w:r>
        <w:rPr>
          <w:rFonts w:ascii="宋体" w:hAnsi="宋体"/>
          <w:color w:val="auto"/>
          <w:kern w:val="2"/>
          <w:szCs w:val="21"/>
          <w:highlight w:val="none"/>
        </w:rPr>
        <w:t>3</w:t>
      </w:r>
      <w:r>
        <w:rPr>
          <w:rFonts w:hint="eastAsia" w:ascii="宋体" w:hAnsi="宋体"/>
          <w:color w:val="auto"/>
          <w:kern w:val="2"/>
          <w:szCs w:val="21"/>
          <w:highlight w:val="none"/>
        </w:rPr>
        <w:t>.供应商</w:t>
      </w:r>
      <w:r>
        <w:rPr>
          <w:rFonts w:ascii="宋体" w:hAnsi="宋体"/>
          <w:color w:val="auto"/>
          <w:kern w:val="2"/>
          <w:szCs w:val="21"/>
          <w:highlight w:val="none"/>
        </w:rPr>
        <w:t>须知</w:t>
      </w:r>
    </w:p>
    <w:p>
      <w:pPr>
        <w:snapToGrid w:val="0"/>
        <w:spacing w:line="360" w:lineRule="auto"/>
        <w:ind w:firstLine="420" w:firstLineChars="200"/>
        <w:rPr>
          <w:rFonts w:ascii="宋体" w:hAnsi="宋体"/>
          <w:color w:val="auto"/>
          <w:kern w:val="2"/>
          <w:szCs w:val="21"/>
          <w:highlight w:val="none"/>
        </w:rPr>
      </w:pPr>
      <w:r>
        <w:rPr>
          <w:rFonts w:ascii="宋体" w:hAnsi="宋体"/>
          <w:color w:val="auto"/>
          <w:kern w:val="2"/>
          <w:szCs w:val="21"/>
          <w:highlight w:val="none"/>
        </w:rPr>
        <w:t>4</w:t>
      </w:r>
      <w:r>
        <w:rPr>
          <w:rFonts w:hint="eastAsia" w:ascii="宋体" w:hAnsi="宋体"/>
          <w:color w:val="auto"/>
          <w:kern w:val="2"/>
          <w:szCs w:val="21"/>
          <w:highlight w:val="none"/>
        </w:rPr>
        <w:t>.</w:t>
      </w:r>
      <w:r>
        <w:rPr>
          <w:rFonts w:ascii="宋体" w:hAnsi="宋体"/>
          <w:color w:val="auto"/>
          <w:kern w:val="2"/>
          <w:szCs w:val="21"/>
          <w:highlight w:val="none"/>
        </w:rPr>
        <w:t>评标办法及标准</w:t>
      </w:r>
    </w:p>
    <w:p>
      <w:pPr>
        <w:snapToGrid w:val="0"/>
        <w:spacing w:line="360" w:lineRule="auto"/>
        <w:ind w:firstLine="420" w:firstLineChars="200"/>
        <w:rPr>
          <w:rFonts w:ascii="宋体" w:hAnsi="宋体"/>
          <w:color w:val="auto"/>
          <w:kern w:val="2"/>
          <w:szCs w:val="21"/>
          <w:highlight w:val="none"/>
        </w:rPr>
      </w:pPr>
      <w:r>
        <w:rPr>
          <w:rFonts w:ascii="宋体" w:hAnsi="宋体"/>
          <w:color w:val="auto"/>
          <w:kern w:val="2"/>
          <w:szCs w:val="21"/>
          <w:highlight w:val="none"/>
        </w:rPr>
        <w:t>5</w:t>
      </w:r>
      <w:r>
        <w:rPr>
          <w:rFonts w:hint="eastAsia" w:ascii="宋体" w:hAnsi="宋体"/>
          <w:color w:val="auto"/>
          <w:kern w:val="2"/>
          <w:szCs w:val="21"/>
          <w:highlight w:val="none"/>
        </w:rPr>
        <w:t>.</w:t>
      </w:r>
      <w:r>
        <w:rPr>
          <w:rFonts w:ascii="宋体" w:hAnsi="宋体"/>
          <w:color w:val="auto"/>
          <w:kern w:val="2"/>
          <w:szCs w:val="21"/>
          <w:highlight w:val="none"/>
        </w:rPr>
        <w:t>合同主要条款</w:t>
      </w:r>
    </w:p>
    <w:p>
      <w:pPr>
        <w:snapToGrid w:val="0"/>
        <w:spacing w:line="360" w:lineRule="auto"/>
        <w:ind w:firstLine="420" w:firstLineChars="200"/>
        <w:rPr>
          <w:rFonts w:hint="eastAsia" w:ascii="宋体" w:hAnsi="宋体"/>
          <w:color w:val="auto"/>
          <w:kern w:val="2"/>
          <w:szCs w:val="21"/>
          <w:highlight w:val="none"/>
        </w:rPr>
      </w:pPr>
      <w:r>
        <w:rPr>
          <w:rFonts w:ascii="宋体" w:hAnsi="宋体"/>
          <w:color w:val="auto"/>
          <w:kern w:val="2"/>
          <w:szCs w:val="21"/>
          <w:highlight w:val="none"/>
        </w:rPr>
        <w:t>6</w:t>
      </w:r>
      <w:r>
        <w:rPr>
          <w:rFonts w:hint="eastAsia" w:ascii="宋体" w:hAnsi="宋体"/>
          <w:color w:val="auto"/>
          <w:kern w:val="2"/>
          <w:szCs w:val="21"/>
          <w:highlight w:val="none"/>
        </w:rPr>
        <w:t>.响应文件</w:t>
      </w:r>
      <w:r>
        <w:rPr>
          <w:rFonts w:ascii="宋体" w:hAnsi="宋体"/>
          <w:color w:val="auto"/>
          <w:kern w:val="2"/>
          <w:szCs w:val="21"/>
          <w:highlight w:val="none"/>
        </w:rPr>
        <w:t>格式</w:t>
      </w:r>
    </w:p>
    <w:p>
      <w:pPr>
        <w:snapToGrid w:val="0"/>
        <w:spacing w:line="360" w:lineRule="auto"/>
        <w:ind w:firstLine="420" w:firstLineChars="200"/>
        <w:rPr>
          <w:rFonts w:hint="eastAsia" w:ascii="宋体" w:hAnsi="宋体"/>
          <w:color w:val="auto"/>
          <w:kern w:val="2"/>
          <w:szCs w:val="21"/>
          <w:highlight w:val="none"/>
        </w:rPr>
      </w:pPr>
      <w:r>
        <w:rPr>
          <w:rFonts w:hint="eastAsia" w:ascii="宋体" w:hAnsi="宋体"/>
          <w:color w:val="auto"/>
          <w:kern w:val="2"/>
          <w:szCs w:val="21"/>
          <w:highlight w:val="none"/>
        </w:rPr>
        <w:t>7.本项目</w:t>
      </w:r>
      <w:r>
        <w:rPr>
          <w:rFonts w:ascii="宋体" w:hAnsi="宋体"/>
          <w:color w:val="auto"/>
          <w:kern w:val="2"/>
          <w:szCs w:val="21"/>
          <w:highlight w:val="none"/>
        </w:rPr>
        <w:t>磋商文件</w:t>
      </w:r>
      <w:r>
        <w:rPr>
          <w:rFonts w:hint="eastAsia" w:ascii="宋体" w:hAnsi="宋体"/>
          <w:color w:val="auto"/>
          <w:kern w:val="2"/>
          <w:szCs w:val="21"/>
          <w:highlight w:val="none"/>
        </w:rPr>
        <w:t>的</w:t>
      </w:r>
      <w:r>
        <w:rPr>
          <w:rFonts w:ascii="宋体" w:hAnsi="宋体"/>
          <w:color w:val="auto"/>
          <w:kern w:val="2"/>
          <w:szCs w:val="21"/>
          <w:highlight w:val="none"/>
        </w:rPr>
        <w:t>澄清、答复、修改、补充的内容</w:t>
      </w:r>
    </w:p>
    <w:p>
      <w:pPr>
        <w:snapToGrid w:val="0"/>
        <w:spacing w:before="120" w:beforeLines="50" w:line="360" w:lineRule="auto"/>
        <w:rPr>
          <w:rFonts w:ascii="宋体" w:hAnsi="宋体"/>
          <w:b/>
          <w:color w:val="auto"/>
          <w:kern w:val="2"/>
          <w:szCs w:val="21"/>
          <w:highlight w:val="none"/>
        </w:rPr>
      </w:pPr>
      <w:r>
        <w:rPr>
          <w:rFonts w:hint="eastAsia" w:ascii="宋体" w:hAnsi="宋体"/>
          <w:b/>
          <w:color w:val="auto"/>
          <w:kern w:val="2"/>
          <w:szCs w:val="21"/>
          <w:highlight w:val="none"/>
        </w:rPr>
        <w:t>（二）供应商的风险</w:t>
      </w:r>
    </w:p>
    <w:p>
      <w:pPr>
        <w:snapToGrid w:val="0"/>
        <w:spacing w:line="360" w:lineRule="auto"/>
        <w:ind w:firstLine="420" w:firstLineChars="200"/>
        <w:rPr>
          <w:rFonts w:ascii="宋体" w:hAnsi="宋体"/>
          <w:color w:val="auto"/>
          <w:kern w:val="2"/>
          <w:szCs w:val="21"/>
          <w:highlight w:val="none"/>
        </w:rPr>
      </w:pPr>
      <w:r>
        <w:rPr>
          <w:rFonts w:hint="eastAsia" w:ascii="宋体" w:hAnsi="宋体"/>
          <w:color w:val="auto"/>
          <w:kern w:val="2"/>
          <w:szCs w:val="21"/>
          <w:highlight w:val="none"/>
        </w:rPr>
        <w:t>供应商没有按照磋商文件要求提供全部资料，或者供应商没有对磋商文件在各方面做出实质性响应是供应商的风险，并可能导致其投标为无效标。</w:t>
      </w:r>
    </w:p>
    <w:p>
      <w:pPr>
        <w:pStyle w:val="14"/>
        <w:numPr>
          <w:ilvl w:val="0"/>
          <w:numId w:val="0"/>
        </w:numPr>
        <w:tabs>
          <w:tab w:val="left" w:pos="720"/>
          <w:tab w:val="clear" w:pos="360"/>
        </w:tabs>
        <w:snapToGrid w:val="0"/>
        <w:spacing w:before="120" w:beforeLines="50" w:after="120" w:line="360" w:lineRule="auto"/>
        <w:rPr>
          <w:rFonts w:ascii="宋体" w:hAnsi="宋体"/>
          <w:b/>
          <w:color w:val="auto"/>
          <w:szCs w:val="21"/>
          <w:highlight w:val="none"/>
        </w:rPr>
      </w:pPr>
      <w:r>
        <w:rPr>
          <w:rFonts w:hint="eastAsia" w:ascii="宋体" w:hAnsi="宋体"/>
          <w:b/>
          <w:color w:val="auto"/>
          <w:szCs w:val="21"/>
          <w:highlight w:val="none"/>
        </w:rPr>
        <w:t>（三）磋商文件的澄清与修改</w:t>
      </w:r>
      <w:r>
        <w:rPr>
          <w:rFonts w:ascii="宋体" w:hAnsi="宋体"/>
          <w:b/>
          <w:color w:val="auto"/>
          <w:szCs w:val="21"/>
          <w:highlight w:val="none"/>
        </w:rPr>
        <w:t xml:space="preserve"> </w:t>
      </w:r>
    </w:p>
    <w:p>
      <w:pPr>
        <w:snapToGrid w:val="0"/>
        <w:spacing w:line="360" w:lineRule="auto"/>
        <w:ind w:firstLine="420" w:firstLineChars="200"/>
        <w:jc w:val="left"/>
        <w:rPr>
          <w:rFonts w:ascii="宋体" w:hAnsi="宋体"/>
          <w:szCs w:val="21"/>
        </w:rPr>
      </w:pPr>
      <w:bookmarkStart w:id="32" w:name="_Toc397670924"/>
      <w:bookmarkStart w:id="33" w:name="_Toc397670953"/>
      <w:r>
        <w:rPr>
          <w:rFonts w:hint="eastAsia" w:ascii="宋体" w:hAnsi="宋体"/>
          <w:szCs w:val="21"/>
        </w:rPr>
        <w:t>1</w:t>
      </w:r>
      <w:r>
        <w:rPr>
          <w:rFonts w:hint="eastAsia" w:ascii="宋体" w:hAnsi="宋体"/>
          <w:szCs w:val="21"/>
          <w:lang w:eastAsia="zh-CN"/>
        </w:rPr>
        <w:t>.</w:t>
      </w:r>
      <w:r>
        <w:rPr>
          <w:rFonts w:hint="eastAsia" w:ascii="宋体" w:hAnsi="宋体"/>
          <w:szCs w:val="21"/>
        </w:rPr>
        <w:t>供应商应认真阅读本磋商文件，发现其中有误或有要求不合理的，供应商必须在知道或者应当知道之日起七个工作日内以书面形式要求采购代理机构澄清，否则，由此产生的后果由供应商负责。</w:t>
      </w:r>
    </w:p>
    <w:p>
      <w:pPr>
        <w:snapToGrid w:val="0"/>
        <w:spacing w:line="360" w:lineRule="auto"/>
        <w:ind w:firstLine="420" w:firstLineChars="200"/>
        <w:jc w:val="left"/>
        <w:rPr>
          <w:rFonts w:ascii="宋体" w:hAnsi="宋体"/>
          <w:szCs w:val="21"/>
        </w:rPr>
      </w:pPr>
      <w:r>
        <w:rPr>
          <w:rFonts w:hint="eastAsia" w:ascii="宋体" w:hAnsi="宋体"/>
          <w:szCs w:val="21"/>
        </w:rPr>
        <w:t>2</w:t>
      </w:r>
      <w:r>
        <w:rPr>
          <w:rFonts w:hint="eastAsia" w:ascii="宋体" w:hAnsi="宋体"/>
          <w:szCs w:val="21"/>
          <w:lang w:val="en-US" w:eastAsia="zh-CN"/>
        </w:rPr>
        <w:t>.</w:t>
      </w:r>
      <w:r>
        <w:rPr>
          <w:rFonts w:hint="eastAsia" w:ascii="宋体" w:hAnsi="宋体"/>
          <w:szCs w:val="21"/>
        </w:rPr>
        <w:t>采购代理机构必须以书面形式答复所有购买磋商文件的供应商（注：答复中不包含问题的来源）要求澄清的问题，同时认定其他澄清方式为无效。</w:t>
      </w:r>
    </w:p>
    <w:p>
      <w:pPr>
        <w:snapToGrid w:val="0"/>
        <w:spacing w:line="360" w:lineRule="auto"/>
        <w:ind w:firstLine="420" w:firstLineChars="200"/>
        <w:jc w:val="left"/>
        <w:rPr>
          <w:rFonts w:ascii="宋体" w:hAnsi="宋体"/>
          <w:szCs w:val="21"/>
        </w:rPr>
      </w:pPr>
      <w:r>
        <w:rPr>
          <w:rFonts w:hint="eastAsia" w:ascii="宋体" w:hAnsi="宋体"/>
          <w:szCs w:val="21"/>
        </w:rPr>
        <w:t xml:space="preserve">3 </w:t>
      </w:r>
      <w:r>
        <w:rPr>
          <w:rFonts w:hint="eastAsia" w:ascii="宋体" w:hAnsi="宋体"/>
          <w:szCs w:val="21"/>
          <w:lang w:val="en-US" w:eastAsia="zh-CN"/>
        </w:rPr>
        <w:t>.</w:t>
      </w:r>
      <w:r>
        <w:rPr>
          <w:rFonts w:hint="eastAsia" w:ascii="宋体" w:hAnsi="宋体"/>
          <w:szCs w:val="21"/>
        </w:rPr>
        <w:t>采购代理机构对已发出的磋商文件进行必要澄清或者修改的，应当在财政部门指定的政府采购信息发布媒体上发布更正公告，并以书面形式通知所有磋商文件收受人。该澄清或者修改的内容为磋商文件的组成部分。</w:t>
      </w:r>
    </w:p>
    <w:p>
      <w:pPr>
        <w:snapToGrid w:val="0"/>
        <w:spacing w:line="360" w:lineRule="auto"/>
        <w:ind w:firstLine="420" w:firstLineChars="200"/>
        <w:jc w:val="left"/>
        <w:rPr>
          <w:rFonts w:ascii="宋体" w:hAnsi="宋体"/>
          <w:szCs w:val="21"/>
        </w:rPr>
      </w:pPr>
      <w:r>
        <w:rPr>
          <w:rFonts w:hint="eastAsia" w:ascii="宋体" w:hAnsi="宋体"/>
          <w:szCs w:val="21"/>
        </w:rPr>
        <w:t>4</w:t>
      </w:r>
      <w:r>
        <w:rPr>
          <w:rFonts w:hint="eastAsia" w:ascii="宋体" w:hAnsi="宋体"/>
          <w:szCs w:val="21"/>
          <w:lang w:val="en-US" w:eastAsia="zh-CN"/>
        </w:rPr>
        <w:t>.</w:t>
      </w:r>
      <w:r>
        <w:rPr>
          <w:rFonts w:hint="eastAsia" w:ascii="宋体" w:hAnsi="宋体"/>
          <w:szCs w:val="21"/>
        </w:rPr>
        <w:t>采购代理机构和采购单位可以视采购具体情况，延长提交磋商文件的截止时间和磋商时间，但至少应当在磋商文件要求提交磋商文件的截止时间五日前，将变更时间书面通知所有磋商文件收受人，并在财政部门指定的政府采购信息发布媒体上发布变更公告。</w:t>
      </w:r>
    </w:p>
    <w:p>
      <w:pPr>
        <w:pStyle w:val="29"/>
        <w:snapToGrid w:val="0"/>
        <w:spacing w:before="120" w:after="120" w:line="360" w:lineRule="auto"/>
        <w:jc w:val="left"/>
        <w:rPr>
          <w:rFonts w:hint="eastAsia" w:ascii="宋体" w:hAnsi="宋体"/>
          <w:szCs w:val="21"/>
        </w:rPr>
      </w:pPr>
      <w:r>
        <w:rPr>
          <w:rFonts w:hint="eastAsia" w:ascii="宋体" w:hAnsi="宋体"/>
          <w:szCs w:val="21"/>
          <w:lang w:val="en-US" w:eastAsia="zh-CN"/>
        </w:rPr>
        <w:t xml:space="preserve">  5.</w:t>
      </w:r>
      <w:r>
        <w:rPr>
          <w:rFonts w:hint="eastAsia" w:ascii="宋体" w:hAnsi="宋体"/>
          <w:szCs w:val="21"/>
        </w:rPr>
        <w:t>磋商文件的澄清或者修改都应该通过本代理机构以法定形式发布，采购人非通过本机构，不得擅自澄清或者修改磋商文件。</w:t>
      </w:r>
    </w:p>
    <w:p>
      <w:pPr>
        <w:pStyle w:val="29"/>
        <w:snapToGrid w:val="0"/>
        <w:spacing w:before="120" w:after="120" w:line="360" w:lineRule="auto"/>
        <w:jc w:val="center"/>
        <w:rPr>
          <w:rFonts w:hint="eastAsia" w:hAnsi="宋体"/>
          <w:b/>
          <w:color w:val="auto"/>
          <w:szCs w:val="21"/>
          <w:highlight w:val="none"/>
        </w:rPr>
      </w:pPr>
      <w:r>
        <w:rPr>
          <w:rFonts w:hint="eastAsia" w:hAnsi="宋体"/>
          <w:b/>
          <w:color w:val="auto"/>
          <w:szCs w:val="21"/>
          <w:highlight w:val="none"/>
        </w:rPr>
        <w:t>三、响应文件的编制</w:t>
      </w:r>
      <w:bookmarkEnd w:id="32"/>
      <w:bookmarkEnd w:id="33"/>
    </w:p>
    <w:p>
      <w:pPr>
        <w:snapToGrid w:val="0"/>
        <w:spacing w:line="360" w:lineRule="auto"/>
        <w:ind w:firstLine="422" w:firstLineChars="200"/>
        <w:jc w:val="left"/>
        <w:rPr>
          <w:rFonts w:ascii="宋体" w:hAnsi="宋体"/>
          <w:b/>
          <w:szCs w:val="21"/>
        </w:rPr>
      </w:pPr>
      <w:r>
        <w:rPr>
          <w:rFonts w:hint="eastAsia" w:ascii="宋体" w:hAnsi="宋体"/>
          <w:b/>
          <w:szCs w:val="21"/>
        </w:rPr>
        <w:t>本项目所涉响应文件格式请详见第六章，</w:t>
      </w:r>
      <w:r>
        <w:rPr>
          <w:rFonts w:hint="eastAsia" w:ascii="宋体" w:hAnsi="宋体"/>
          <w:b/>
          <w:szCs w:val="21"/>
          <w:u w:val="double"/>
        </w:rPr>
        <w:t>未给出的格式请自拟</w:t>
      </w:r>
      <w:r>
        <w:rPr>
          <w:rFonts w:hint="eastAsia" w:ascii="宋体" w:hAnsi="宋体"/>
          <w:b/>
          <w:szCs w:val="21"/>
        </w:rPr>
        <w:t>。资信商务及技术文件中不得出现报价，否则响应文件将被视为无效。</w:t>
      </w:r>
    </w:p>
    <w:p>
      <w:pPr>
        <w:snapToGrid w:val="0"/>
        <w:spacing w:line="360" w:lineRule="auto"/>
        <w:ind w:firstLine="420" w:firstLineChars="200"/>
        <w:jc w:val="left"/>
        <w:rPr>
          <w:rFonts w:ascii="宋体" w:hAnsi="宋体"/>
          <w:szCs w:val="21"/>
        </w:rPr>
      </w:pPr>
      <w:r>
        <w:rPr>
          <w:rFonts w:hint="eastAsia" w:ascii="宋体" w:hAnsi="宋体"/>
          <w:szCs w:val="21"/>
        </w:rPr>
        <w:t>注：电子响应文件按政采云平台供应商电子招投标操作指南及本磋商文件规定的格式和顺序编制电子响应文件并进行关联定。建议根据磋商文件合格供应商的资格要求、响应文件的编制及评分标准等内容一一关联。</w:t>
      </w:r>
    </w:p>
    <w:p>
      <w:pPr>
        <w:snapToGrid w:val="0"/>
        <w:spacing w:line="360" w:lineRule="auto"/>
        <w:ind w:firstLine="420" w:firstLineChars="200"/>
        <w:jc w:val="left"/>
        <w:rPr>
          <w:rFonts w:ascii="宋体" w:hAnsi="宋体"/>
          <w:szCs w:val="21"/>
        </w:rPr>
      </w:pPr>
      <w:r>
        <w:rPr>
          <w:rFonts w:hint="eastAsia" w:ascii="宋体" w:hAnsi="宋体"/>
          <w:szCs w:val="21"/>
        </w:rPr>
        <w:t>路径：浙江省“项目采购电子交易系统/不见面开评审”学习专题-操作指南-供应商</w:t>
      </w:r>
    </w:p>
    <w:p>
      <w:pPr>
        <w:snapToGrid w:val="0"/>
        <w:spacing w:line="360" w:lineRule="auto"/>
        <w:ind w:firstLine="420" w:firstLineChars="200"/>
        <w:jc w:val="left"/>
        <w:rPr>
          <w:rFonts w:ascii="宋体" w:hAnsi="宋体"/>
          <w:szCs w:val="21"/>
        </w:rPr>
      </w:pPr>
      <w:r>
        <w:rPr>
          <w:rFonts w:hint="eastAsia" w:ascii="宋体" w:hAnsi="宋体"/>
          <w:szCs w:val="21"/>
        </w:rPr>
        <w:t>网址：https://edu.zcygov.cn/luban/e-biding</w:t>
      </w:r>
    </w:p>
    <w:p>
      <w:pPr>
        <w:pStyle w:val="29"/>
        <w:snapToGrid w:val="0"/>
        <w:spacing w:before="120" w:after="120" w:line="360" w:lineRule="auto"/>
        <w:ind w:firstLine="413" w:firstLineChars="196"/>
        <w:outlineLvl w:val="1"/>
        <w:rPr>
          <w:rFonts w:hint="eastAsia" w:hAnsi="宋体"/>
          <w:b/>
          <w:color w:val="auto"/>
          <w:szCs w:val="21"/>
          <w:highlight w:val="none"/>
        </w:rPr>
      </w:pPr>
      <w:r>
        <w:rPr>
          <w:rFonts w:hint="eastAsia" w:hAnsi="宋体"/>
          <w:b/>
          <w:color w:val="auto"/>
          <w:szCs w:val="21"/>
          <w:highlight w:val="none"/>
        </w:rPr>
        <w:t>（一）总体要求：</w:t>
      </w:r>
    </w:p>
    <w:p>
      <w:pPr>
        <w:spacing w:line="360" w:lineRule="auto"/>
        <w:ind w:firstLine="420" w:firstLineChars="200"/>
        <w:rPr>
          <w:rFonts w:ascii="宋体" w:hAnsi="宋体"/>
          <w:color w:val="auto"/>
          <w:kern w:val="2"/>
          <w:szCs w:val="21"/>
          <w:highlight w:val="none"/>
        </w:rPr>
      </w:pPr>
      <w:r>
        <w:rPr>
          <w:rFonts w:hint="eastAsia" w:ascii="宋体" w:hAnsi="宋体"/>
          <w:color w:val="auto"/>
          <w:kern w:val="2"/>
          <w:szCs w:val="21"/>
          <w:highlight w:val="none"/>
        </w:rPr>
        <w:t>1.供应商</w:t>
      </w:r>
      <w:r>
        <w:rPr>
          <w:rFonts w:ascii="宋体" w:hAnsi="宋体"/>
          <w:color w:val="auto"/>
          <w:kern w:val="2"/>
          <w:szCs w:val="21"/>
          <w:highlight w:val="none"/>
        </w:rPr>
        <w:t>应仔细阅读</w:t>
      </w:r>
      <w:r>
        <w:rPr>
          <w:rFonts w:hint="eastAsia" w:ascii="宋体" w:hAnsi="宋体"/>
          <w:color w:val="auto"/>
          <w:kern w:val="2"/>
          <w:szCs w:val="21"/>
          <w:highlight w:val="none"/>
        </w:rPr>
        <w:t>磋商文件</w:t>
      </w:r>
      <w:r>
        <w:rPr>
          <w:rFonts w:ascii="宋体" w:hAnsi="宋体"/>
          <w:color w:val="auto"/>
          <w:kern w:val="2"/>
          <w:szCs w:val="21"/>
          <w:highlight w:val="none"/>
        </w:rPr>
        <w:t>的所有内容，按本文件的要求提供</w:t>
      </w:r>
      <w:r>
        <w:rPr>
          <w:rFonts w:hint="eastAsia" w:ascii="宋体" w:hAnsi="宋体"/>
          <w:color w:val="auto"/>
          <w:kern w:val="2"/>
          <w:szCs w:val="21"/>
          <w:highlight w:val="none"/>
        </w:rPr>
        <w:t>响应文件</w:t>
      </w:r>
      <w:r>
        <w:rPr>
          <w:rFonts w:ascii="宋体" w:hAnsi="宋体"/>
          <w:color w:val="auto"/>
          <w:kern w:val="2"/>
          <w:szCs w:val="21"/>
          <w:highlight w:val="none"/>
        </w:rPr>
        <w:t>，并保证所提供的全部资料的真实性，以使其</w:t>
      </w:r>
      <w:r>
        <w:rPr>
          <w:rFonts w:hint="eastAsia" w:ascii="宋体" w:hAnsi="宋体"/>
          <w:color w:val="auto"/>
          <w:kern w:val="2"/>
          <w:szCs w:val="21"/>
          <w:highlight w:val="none"/>
        </w:rPr>
        <w:t>响应文件</w:t>
      </w:r>
      <w:r>
        <w:rPr>
          <w:rFonts w:ascii="宋体" w:hAnsi="宋体"/>
          <w:color w:val="auto"/>
          <w:kern w:val="2"/>
          <w:szCs w:val="21"/>
          <w:highlight w:val="none"/>
        </w:rPr>
        <w:t>对</w:t>
      </w:r>
      <w:r>
        <w:rPr>
          <w:rFonts w:hint="eastAsia" w:ascii="宋体" w:hAnsi="宋体"/>
          <w:color w:val="auto"/>
          <w:kern w:val="2"/>
          <w:szCs w:val="21"/>
          <w:highlight w:val="none"/>
        </w:rPr>
        <w:t>磋商文件</w:t>
      </w:r>
      <w:r>
        <w:rPr>
          <w:rFonts w:ascii="宋体" w:hAnsi="宋体"/>
          <w:color w:val="auto"/>
          <w:kern w:val="2"/>
          <w:szCs w:val="21"/>
          <w:highlight w:val="none"/>
        </w:rPr>
        <w:t>作出实质性响应，否则，</w:t>
      </w:r>
      <w:r>
        <w:rPr>
          <w:rFonts w:hint="eastAsia" w:ascii="宋体" w:hAnsi="宋体"/>
          <w:color w:val="auto"/>
          <w:kern w:val="2"/>
          <w:szCs w:val="21"/>
          <w:highlight w:val="none"/>
        </w:rPr>
        <w:t>响应文件</w:t>
      </w:r>
      <w:r>
        <w:rPr>
          <w:rFonts w:ascii="宋体" w:hAnsi="宋体"/>
          <w:color w:val="auto"/>
          <w:kern w:val="2"/>
          <w:szCs w:val="21"/>
          <w:highlight w:val="none"/>
        </w:rPr>
        <w:t>可能视为无效</w:t>
      </w:r>
      <w:r>
        <w:rPr>
          <w:rFonts w:hint="eastAsia" w:ascii="宋体" w:hAnsi="宋体"/>
          <w:color w:val="auto"/>
          <w:kern w:val="2"/>
          <w:szCs w:val="21"/>
          <w:highlight w:val="none"/>
        </w:rPr>
        <w:t>响应文件</w:t>
      </w:r>
      <w:r>
        <w:rPr>
          <w:rFonts w:ascii="宋体" w:hAnsi="宋体"/>
          <w:color w:val="auto"/>
          <w:kern w:val="2"/>
          <w:szCs w:val="21"/>
          <w:highlight w:val="none"/>
        </w:rPr>
        <w:t xml:space="preserve">。 </w:t>
      </w:r>
    </w:p>
    <w:p>
      <w:pPr>
        <w:spacing w:line="360" w:lineRule="auto"/>
        <w:ind w:firstLine="420" w:firstLineChars="200"/>
        <w:rPr>
          <w:rFonts w:hint="eastAsia" w:ascii="宋体" w:hAnsi="宋体"/>
          <w:color w:val="auto"/>
          <w:kern w:val="2"/>
          <w:szCs w:val="21"/>
          <w:highlight w:val="none"/>
        </w:rPr>
      </w:pPr>
      <w:r>
        <w:rPr>
          <w:rFonts w:hint="eastAsia" w:ascii="宋体" w:hAnsi="宋体"/>
          <w:color w:val="auto"/>
          <w:kern w:val="2"/>
          <w:szCs w:val="21"/>
          <w:highlight w:val="none"/>
        </w:rPr>
        <w:t>2.响应文件及供应商与采购有关的来往通知，函件和文件均应使用中文。</w:t>
      </w:r>
    </w:p>
    <w:p>
      <w:pPr>
        <w:spacing w:line="360" w:lineRule="auto"/>
        <w:ind w:firstLine="420" w:firstLineChars="200"/>
        <w:rPr>
          <w:rFonts w:hint="eastAsia" w:ascii="宋体" w:hAnsi="宋体"/>
          <w:color w:val="auto"/>
          <w:kern w:val="2"/>
          <w:szCs w:val="21"/>
          <w:highlight w:val="none"/>
        </w:rPr>
      </w:pPr>
      <w:r>
        <w:rPr>
          <w:rFonts w:hint="eastAsia" w:ascii="宋体" w:hAnsi="宋体"/>
          <w:color w:val="auto"/>
          <w:kern w:val="2"/>
          <w:szCs w:val="21"/>
          <w:highlight w:val="none"/>
        </w:rPr>
        <w:t>3.供应商应按本文件中提供的文件格式、内容和要求制作响应文件。</w:t>
      </w:r>
    </w:p>
    <w:p>
      <w:pPr>
        <w:snapToGrid w:val="0"/>
        <w:spacing w:line="360" w:lineRule="auto"/>
        <w:outlineLvl w:val="0"/>
        <w:rPr>
          <w:rFonts w:hint="eastAsia" w:ascii="宋体" w:hAnsi="宋体"/>
          <w:b/>
          <w:color w:val="auto"/>
          <w:szCs w:val="21"/>
          <w:highlight w:val="none"/>
        </w:rPr>
      </w:pPr>
      <w:bookmarkStart w:id="34" w:name="_Toc406402988"/>
      <w:bookmarkStart w:id="35" w:name="_Toc406402944"/>
      <w:r>
        <w:rPr>
          <w:rFonts w:hint="eastAsia" w:ascii="宋体" w:hAnsi="宋体"/>
          <w:b/>
          <w:color w:val="auto"/>
          <w:kern w:val="2"/>
          <w:szCs w:val="21"/>
          <w:highlight w:val="none"/>
        </w:rPr>
        <w:t>（二）</w:t>
      </w:r>
      <w:bookmarkEnd w:id="34"/>
      <w:bookmarkEnd w:id="35"/>
      <w:bookmarkStart w:id="36" w:name="_Toc515530069"/>
      <w:bookmarkStart w:id="37" w:name="_Toc177870546"/>
      <w:bookmarkStart w:id="38" w:name="_Toc177824943"/>
      <w:bookmarkStart w:id="39" w:name="_Toc437979780"/>
      <w:bookmarkStart w:id="40" w:name="_Toc448487539"/>
      <w:bookmarkStart w:id="41" w:name="_Toc500317740"/>
      <w:bookmarkStart w:id="42" w:name="_Toc177824876"/>
      <w:bookmarkStart w:id="43" w:name="_Toc192313111"/>
      <w:bookmarkStart w:id="44" w:name="_Toc177825124"/>
      <w:r>
        <w:rPr>
          <w:rFonts w:hint="eastAsia" w:ascii="宋体" w:hAnsi="宋体"/>
          <w:b/>
          <w:color w:val="auto"/>
          <w:szCs w:val="21"/>
          <w:highlight w:val="none"/>
        </w:rPr>
        <w:t>1. 磋商响应文件的组成</w:t>
      </w:r>
      <w:bookmarkEnd w:id="36"/>
      <w:bookmarkEnd w:id="37"/>
      <w:bookmarkEnd w:id="38"/>
      <w:bookmarkEnd w:id="39"/>
      <w:bookmarkEnd w:id="40"/>
      <w:bookmarkEnd w:id="41"/>
      <w:bookmarkEnd w:id="42"/>
      <w:bookmarkEnd w:id="43"/>
      <w:bookmarkEnd w:id="44"/>
    </w:p>
    <w:p>
      <w:pPr>
        <w:spacing w:line="360" w:lineRule="auto"/>
        <w:ind w:firstLine="420" w:firstLineChars="200"/>
        <w:rPr>
          <w:rFonts w:hint="eastAsia" w:ascii="宋体" w:hAnsi="宋体"/>
          <w:color w:val="auto"/>
          <w:szCs w:val="21"/>
          <w:highlight w:val="none"/>
        </w:rPr>
      </w:pPr>
      <w:r>
        <w:rPr>
          <w:rFonts w:hint="eastAsia" w:ascii="宋体" w:hAnsi="宋体" w:cs="宋体"/>
          <w:color w:val="auto"/>
          <w:szCs w:val="21"/>
          <w:highlight w:val="none"/>
          <w:lang w:eastAsia="zh-CN"/>
        </w:rPr>
        <w:t>磋商响应文件</w:t>
      </w:r>
      <w:r>
        <w:rPr>
          <w:rFonts w:hint="eastAsia" w:ascii="宋体" w:hAnsi="宋体" w:cs="宋体"/>
          <w:color w:val="auto"/>
          <w:szCs w:val="21"/>
          <w:highlight w:val="none"/>
        </w:rPr>
        <w:t>由资信商务及技术文件</w:t>
      </w:r>
      <w:r>
        <w:rPr>
          <w:rFonts w:hint="eastAsia" w:ascii="宋体" w:hAnsi="宋体"/>
          <w:color w:val="auto"/>
          <w:szCs w:val="21"/>
          <w:highlight w:val="none"/>
        </w:rPr>
        <w:t>（含深化设计方案文本）</w:t>
      </w:r>
      <w:r>
        <w:rPr>
          <w:rFonts w:hint="eastAsia" w:ascii="宋体" w:hAnsi="宋体" w:cs="宋体"/>
          <w:color w:val="auto"/>
          <w:szCs w:val="21"/>
          <w:highlight w:val="none"/>
        </w:rPr>
        <w:t>，</w:t>
      </w:r>
      <w:r>
        <w:rPr>
          <w:rFonts w:hint="eastAsia" w:ascii="宋体" w:hAnsi="宋体" w:cs="宋体"/>
          <w:color w:val="auto"/>
          <w:szCs w:val="21"/>
          <w:highlight w:val="none"/>
          <w:lang w:eastAsia="zh-CN"/>
        </w:rPr>
        <w:t>磋商响应报价</w:t>
      </w:r>
      <w:r>
        <w:rPr>
          <w:rFonts w:hint="eastAsia" w:ascii="宋体" w:hAnsi="宋体" w:cs="宋体"/>
          <w:color w:val="auto"/>
          <w:szCs w:val="21"/>
          <w:highlight w:val="none"/>
        </w:rPr>
        <w:t>文件二部份组成</w:t>
      </w:r>
      <w:r>
        <w:rPr>
          <w:rFonts w:hint="eastAsia" w:ascii="宋体" w:hAnsi="宋体"/>
          <w:color w:val="auto"/>
          <w:szCs w:val="21"/>
          <w:highlight w:val="none"/>
        </w:rPr>
        <w:t>。</w:t>
      </w:r>
    </w:p>
    <w:p>
      <w:pPr>
        <w:snapToGrid w:val="0"/>
        <w:spacing w:line="360" w:lineRule="auto"/>
        <w:ind w:firstLine="632" w:firstLineChars="300"/>
        <w:rPr>
          <w:rFonts w:hint="eastAsia" w:ascii="宋体" w:hAnsi="宋体"/>
          <w:b/>
          <w:color w:val="auto"/>
          <w:szCs w:val="21"/>
          <w:highlight w:val="none"/>
        </w:rPr>
      </w:pPr>
      <w:r>
        <w:rPr>
          <w:rFonts w:hint="eastAsia" w:ascii="宋体" w:hAnsi="宋体"/>
          <w:b/>
          <w:color w:val="auto"/>
          <w:szCs w:val="21"/>
          <w:highlight w:val="none"/>
        </w:rPr>
        <w:t>1.1资格及资信技术文件：</w:t>
      </w:r>
    </w:p>
    <w:p>
      <w:pPr>
        <w:numPr>
          <w:ilvl w:val="2"/>
          <w:numId w:val="5"/>
        </w:numPr>
        <w:snapToGrid w:val="0"/>
        <w:spacing w:line="360" w:lineRule="auto"/>
        <w:ind w:right="42" w:rightChars="20" w:firstLine="420" w:firstLineChars="200"/>
        <w:jc w:val="left"/>
        <w:rPr>
          <w:rFonts w:hint="eastAsia" w:ascii="宋体" w:hAnsi="宋体" w:eastAsia="宋体"/>
          <w:color w:val="auto"/>
          <w:szCs w:val="21"/>
          <w:highlight w:val="none"/>
        </w:rPr>
      </w:pPr>
      <w:r>
        <w:rPr>
          <w:rFonts w:hint="eastAsia" w:ascii="宋体" w:hAnsi="宋体" w:eastAsia="宋体"/>
          <w:color w:val="000000"/>
          <w:szCs w:val="21"/>
          <w:highlight w:val="none"/>
          <w:lang w:val="en-US" w:eastAsia="zh-CN"/>
        </w:rPr>
        <w:t>投标人资格声明</w:t>
      </w:r>
      <w:r>
        <w:rPr>
          <w:rFonts w:hint="eastAsia" w:ascii="宋体" w:hAnsi="宋体" w:eastAsia="宋体"/>
          <w:color w:val="000000"/>
          <w:szCs w:val="21"/>
          <w:highlight w:val="none"/>
        </w:rPr>
        <w:t>函</w:t>
      </w:r>
      <w:r>
        <w:rPr>
          <w:rFonts w:hint="eastAsia" w:ascii="宋体" w:hAnsi="宋体" w:eastAsia="宋体"/>
          <w:color w:val="auto"/>
          <w:szCs w:val="21"/>
          <w:highlight w:val="none"/>
        </w:rPr>
        <w:t>：提供具有独立承担民事责任的能力、具有良好的商业信誉和健全的财务会计制度、具有履行合同所必需的设备和专业技术能力、有依法缴纳税收和社会保障资金的良好记录、参加政府采购活动前三年，在经营活动中没有重大违法记录、自招标公告发布之日起至投标截止日内任意时间的“信用中国”网站（www.creditchina.gov.cn）（未被信用中国网站</w:t>
      </w:r>
      <w:r>
        <w:rPr>
          <w:rFonts w:hint="eastAsia"/>
          <w:color w:val="auto"/>
          <w:highlight w:val="none"/>
        </w:rPr>
        <w:fldChar w:fldCharType="begin"/>
      </w:r>
      <w:r>
        <w:rPr>
          <w:color w:val="auto"/>
          <w:highlight w:val="none"/>
        </w:rPr>
        <w:instrText xml:space="preserve"> HYPERLINK \t "_blank" </w:instrText>
      </w:r>
      <w:r>
        <w:rPr>
          <w:rFonts w:hint="eastAsia"/>
          <w:color w:val="auto"/>
          <w:highlight w:val="none"/>
        </w:rPr>
        <w:fldChar w:fldCharType="separate"/>
      </w:r>
      <w:r>
        <w:rPr>
          <w:rFonts w:hint="eastAsia" w:ascii="宋体" w:hAnsi="宋体" w:eastAsia="宋体"/>
          <w:color w:val="auto"/>
          <w:highlight w:val="none"/>
        </w:rPr>
        <w:t>列入失信被执行人、重大税收违法案件当事人名单</w:t>
      </w:r>
      <w:r>
        <w:rPr>
          <w:rFonts w:hint="eastAsia" w:ascii="宋体" w:hAnsi="宋体" w:eastAsia="宋体"/>
          <w:color w:val="auto"/>
          <w:highlight w:val="none"/>
        </w:rPr>
        <w:fldChar w:fldCharType="end"/>
      </w:r>
      <w:r>
        <w:rPr>
          <w:rFonts w:ascii="宋体" w:hAnsi="宋体" w:eastAsia="宋体"/>
          <w:color w:val="auto"/>
          <w:szCs w:val="21"/>
          <w:highlight w:val="none"/>
        </w:rPr>
        <w:t>的）</w:t>
      </w:r>
      <w:r>
        <w:rPr>
          <w:rFonts w:hint="eastAsia" w:ascii="宋体" w:hAnsi="宋体" w:eastAsia="宋体"/>
          <w:color w:val="auto"/>
          <w:szCs w:val="21"/>
          <w:highlight w:val="none"/>
        </w:rPr>
        <w:t>、中国政府采购网（www.ccgp.gov.cn）（未被中国政府采购网</w:t>
      </w:r>
      <w:r>
        <w:rPr>
          <w:color w:val="auto"/>
          <w:highlight w:val="none"/>
        </w:rPr>
        <w:fldChar w:fldCharType="begin"/>
      </w:r>
      <w:r>
        <w:rPr>
          <w:color w:val="auto"/>
          <w:highlight w:val="none"/>
        </w:rPr>
        <w:instrText xml:space="preserve"> HYPERLINK \t "_blank" </w:instrText>
      </w:r>
      <w:r>
        <w:rPr>
          <w:color w:val="auto"/>
          <w:highlight w:val="none"/>
        </w:rPr>
        <w:fldChar w:fldCharType="separate"/>
      </w:r>
      <w:r>
        <w:rPr>
          <w:rFonts w:hint="eastAsia" w:ascii="宋体" w:hAnsi="宋体" w:eastAsia="宋体"/>
          <w:color w:val="auto"/>
          <w:highlight w:val="none"/>
        </w:rPr>
        <w:t>列入政府采购严重违法失信行为记录名单</w:t>
      </w:r>
      <w:r>
        <w:rPr>
          <w:rFonts w:hint="eastAsia" w:ascii="宋体" w:hAnsi="宋体" w:eastAsia="宋体"/>
          <w:color w:val="auto"/>
          <w:highlight w:val="none"/>
        </w:rPr>
        <w:fldChar w:fldCharType="end"/>
      </w:r>
      <w:r>
        <w:rPr>
          <w:rFonts w:ascii="宋体" w:hAnsi="宋体" w:eastAsia="宋体"/>
          <w:color w:val="auto"/>
          <w:szCs w:val="21"/>
          <w:highlight w:val="none"/>
        </w:rPr>
        <w:t>的</w:t>
      </w:r>
      <w:r>
        <w:rPr>
          <w:rFonts w:hint="eastAsia" w:ascii="宋体" w:hAnsi="宋体" w:eastAsia="宋体"/>
          <w:color w:val="auto"/>
          <w:szCs w:val="21"/>
          <w:highlight w:val="none"/>
        </w:rPr>
        <w:t>）也没有因违反《浙江省政府采购</w:t>
      </w:r>
      <w:r>
        <w:rPr>
          <w:rFonts w:hint="eastAsia" w:ascii="宋体" w:hAnsi="宋体" w:eastAsia="宋体"/>
          <w:color w:val="auto"/>
          <w:szCs w:val="21"/>
          <w:highlight w:val="none"/>
          <w:lang w:eastAsia="zh-CN"/>
        </w:rPr>
        <w:t>供应商</w:t>
      </w:r>
      <w:r>
        <w:rPr>
          <w:rFonts w:hint="eastAsia" w:ascii="宋体" w:hAnsi="宋体" w:eastAsia="宋体"/>
          <w:color w:val="auto"/>
          <w:szCs w:val="21"/>
          <w:highlight w:val="none"/>
        </w:rPr>
        <w:t>注册及诚信管理暂行办法》被列入“黑名单”，正在处罚有效期</w:t>
      </w:r>
      <w:r>
        <w:rPr>
          <w:rFonts w:hint="eastAsia" w:ascii="宋体" w:hAnsi="宋体" w:eastAsia="宋体"/>
          <w:color w:val="auto"/>
          <w:szCs w:val="21"/>
          <w:highlight w:val="none"/>
          <w:lang w:eastAsia="zh-CN"/>
        </w:rPr>
        <w:t>；</w:t>
      </w:r>
      <w:r>
        <w:rPr>
          <w:rFonts w:hint="eastAsia" w:ascii="宋体" w:hAnsi="宋体" w:eastAsia="宋体"/>
          <w:color w:val="auto"/>
          <w:szCs w:val="21"/>
          <w:highlight w:val="none"/>
        </w:rPr>
        <w:t>（详见格式）</w:t>
      </w:r>
    </w:p>
    <w:p>
      <w:pPr>
        <w:numPr>
          <w:ilvl w:val="2"/>
          <w:numId w:val="5"/>
        </w:numPr>
        <w:snapToGrid w:val="0"/>
        <w:spacing w:line="360" w:lineRule="auto"/>
        <w:ind w:right="42" w:rightChars="20" w:firstLine="420" w:firstLineChars="200"/>
        <w:jc w:val="left"/>
        <w:rPr>
          <w:rFonts w:ascii="宋体" w:hAnsi="宋体"/>
          <w:color w:val="auto"/>
          <w:szCs w:val="21"/>
          <w:highlight w:val="none"/>
        </w:rPr>
      </w:pPr>
      <w:r>
        <w:rPr>
          <w:rFonts w:hint="eastAsia" w:ascii="宋体" w:hAnsi="宋体"/>
          <w:color w:val="auto"/>
          <w:szCs w:val="21"/>
          <w:highlight w:val="none"/>
        </w:rPr>
        <w:t>中小企业声明函、残疾人福利性单位声明函及其他符合政策性条件的承诺函。</w:t>
      </w:r>
    </w:p>
    <w:p>
      <w:pPr>
        <w:snapToGrid w:val="0"/>
        <w:spacing w:line="360" w:lineRule="auto"/>
        <w:ind w:firstLine="420" w:firstLineChars="200"/>
        <w:jc w:val="left"/>
        <w:rPr>
          <w:rFonts w:ascii="宋体" w:hAnsi="宋体"/>
          <w:color w:val="auto"/>
          <w:szCs w:val="21"/>
          <w:highlight w:val="none"/>
        </w:rPr>
      </w:pPr>
      <w:r>
        <w:rPr>
          <w:rFonts w:hint="eastAsia" w:ascii="宋体" w:hAnsi="宋体"/>
          <w:color w:val="auto"/>
          <w:szCs w:val="21"/>
          <w:highlight w:val="none"/>
        </w:rPr>
        <w:t>1.1.</w:t>
      </w:r>
      <w:r>
        <w:rPr>
          <w:rFonts w:hint="eastAsia" w:ascii="宋体" w:hAnsi="宋体"/>
          <w:color w:val="auto"/>
          <w:szCs w:val="21"/>
          <w:highlight w:val="none"/>
          <w:lang w:val="en-US" w:eastAsia="zh-CN"/>
        </w:rPr>
        <w:t>3</w:t>
      </w:r>
      <w:r>
        <w:rPr>
          <w:rFonts w:hint="eastAsia" w:ascii="宋体" w:hAnsi="宋体"/>
          <w:color w:val="auto"/>
          <w:szCs w:val="21"/>
          <w:highlight w:val="none"/>
        </w:rPr>
        <w:t>、法定代表人授权委托书；</w:t>
      </w:r>
    </w:p>
    <w:p>
      <w:pPr>
        <w:snapToGrid w:val="0"/>
        <w:spacing w:line="360" w:lineRule="auto"/>
        <w:ind w:firstLine="420" w:firstLineChars="200"/>
        <w:jc w:val="left"/>
        <w:rPr>
          <w:rFonts w:ascii="宋体" w:hAnsi="宋体"/>
          <w:color w:val="auto"/>
          <w:szCs w:val="21"/>
          <w:highlight w:val="none"/>
        </w:rPr>
      </w:pPr>
      <w:r>
        <w:rPr>
          <w:rFonts w:hint="eastAsia" w:ascii="宋体" w:hAnsi="宋体"/>
          <w:color w:val="auto"/>
          <w:szCs w:val="21"/>
          <w:highlight w:val="none"/>
        </w:rPr>
        <w:t>1.1.</w:t>
      </w:r>
      <w:r>
        <w:rPr>
          <w:rFonts w:hint="eastAsia" w:ascii="宋体" w:hAnsi="宋体"/>
          <w:color w:val="auto"/>
          <w:szCs w:val="21"/>
          <w:highlight w:val="none"/>
          <w:lang w:val="en-US" w:eastAsia="zh-CN"/>
        </w:rPr>
        <w:t>4</w:t>
      </w:r>
      <w:r>
        <w:rPr>
          <w:rFonts w:hint="eastAsia" w:ascii="宋体" w:hAnsi="宋体"/>
          <w:color w:val="auto"/>
          <w:szCs w:val="21"/>
          <w:highlight w:val="none"/>
        </w:rPr>
        <w:t>、符合特定资格条件的（企业资质证书、省外企业需提供省外企业进浙承接业务备案证明、人员证书等）的有关证明材料（复印件加盖</w:t>
      </w:r>
      <w:r>
        <w:rPr>
          <w:rFonts w:hint="eastAsia" w:ascii="宋体" w:hAnsi="宋体"/>
          <w:color w:val="auto"/>
          <w:szCs w:val="21"/>
          <w:highlight w:val="none"/>
          <w:lang w:eastAsia="zh-CN"/>
        </w:rPr>
        <w:t>供应商</w:t>
      </w:r>
      <w:r>
        <w:rPr>
          <w:rFonts w:hint="eastAsia" w:ascii="宋体" w:hAnsi="宋体"/>
          <w:color w:val="auto"/>
          <w:szCs w:val="21"/>
          <w:highlight w:val="none"/>
        </w:rPr>
        <w:t>公章，联合体协议书需为原件（如有））</w:t>
      </w:r>
    </w:p>
    <w:p>
      <w:pPr>
        <w:pStyle w:val="2"/>
        <w:rPr>
          <w:color w:val="auto"/>
          <w:highlight w:val="none"/>
        </w:rPr>
      </w:pPr>
      <w:r>
        <w:rPr>
          <w:rFonts w:hint="eastAsia"/>
          <w:color w:val="auto"/>
          <w:highlight w:val="none"/>
        </w:rPr>
        <w:t xml:space="preserve">    1.1.</w:t>
      </w:r>
      <w:r>
        <w:rPr>
          <w:rFonts w:hint="eastAsia"/>
          <w:color w:val="auto"/>
          <w:highlight w:val="none"/>
          <w:lang w:val="en-US" w:eastAsia="zh-CN"/>
        </w:rPr>
        <w:t>5</w:t>
      </w:r>
      <w:r>
        <w:rPr>
          <w:rFonts w:hint="eastAsia"/>
          <w:color w:val="auto"/>
          <w:highlight w:val="none"/>
        </w:rPr>
        <w:t>联合体协议书（如有）</w:t>
      </w:r>
    </w:p>
    <w:p>
      <w:pPr>
        <w:spacing w:line="360" w:lineRule="auto"/>
        <w:ind w:firstLine="422" w:firstLineChars="200"/>
        <w:jc w:val="left"/>
        <w:rPr>
          <w:rFonts w:ascii="宋体" w:hAnsi="宋体"/>
          <w:color w:val="auto"/>
          <w:szCs w:val="21"/>
          <w:highlight w:val="none"/>
        </w:rPr>
      </w:pPr>
      <w:bookmarkStart w:id="45" w:name="_Toc14065"/>
      <w:r>
        <w:rPr>
          <w:rFonts w:hint="eastAsia" w:ascii="宋体" w:hAnsi="宋体"/>
          <w:b/>
          <w:color w:val="auto"/>
          <w:szCs w:val="21"/>
          <w:highlight w:val="none"/>
        </w:rPr>
        <w:t>1.2、商务技术文件</w:t>
      </w:r>
    </w:p>
    <w:p>
      <w:pPr>
        <w:snapToGrid w:val="0"/>
        <w:spacing w:line="360" w:lineRule="auto"/>
        <w:ind w:firstLine="420" w:firstLineChars="200"/>
        <w:jc w:val="left"/>
        <w:rPr>
          <w:rFonts w:ascii="宋体" w:hAnsi="宋体"/>
          <w:color w:val="auto"/>
          <w:szCs w:val="21"/>
          <w:highlight w:val="none"/>
        </w:rPr>
      </w:pPr>
      <w:r>
        <w:rPr>
          <w:rFonts w:hint="eastAsia" w:ascii="宋体" w:hAnsi="宋体"/>
          <w:color w:val="auto"/>
          <w:szCs w:val="21"/>
          <w:highlight w:val="none"/>
        </w:rPr>
        <w:t>1.2.1、投标声明书（</w:t>
      </w:r>
      <w:r>
        <w:rPr>
          <w:rFonts w:hint="eastAsia" w:ascii="宋体"/>
          <w:color w:val="auto"/>
          <w:highlight w:val="none"/>
          <w:lang w:eastAsia="zh-CN"/>
        </w:rPr>
        <w:t>供应商</w:t>
      </w:r>
      <w:r>
        <w:rPr>
          <w:rFonts w:ascii="宋体"/>
          <w:color w:val="auto"/>
          <w:highlight w:val="none"/>
        </w:rPr>
        <w:t>基本情况表</w:t>
      </w:r>
      <w:r>
        <w:rPr>
          <w:rFonts w:hint="eastAsia" w:ascii="宋体" w:hAnsi="宋体"/>
          <w:color w:val="auto"/>
          <w:szCs w:val="21"/>
          <w:highlight w:val="none"/>
        </w:rPr>
        <w:t>）；</w:t>
      </w:r>
    </w:p>
    <w:p>
      <w:pPr>
        <w:snapToGrid w:val="0"/>
        <w:spacing w:line="360" w:lineRule="auto"/>
        <w:ind w:firstLine="420" w:firstLineChars="200"/>
        <w:jc w:val="left"/>
        <w:rPr>
          <w:rFonts w:ascii="宋体" w:hAnsi="宋体"/>
          <w:color w:val="auto"/>
          <w:szCs w:val="21"/>
          <w:highlight w:val="none"/>
        </w:rPr>
      </w:pPr>
      <w:r>
        <w:rPr>
          <w:rFonts w:hint="eastAsia" w:ascii="宋体" w:hAnsi="宋体"/>
          <w:color w:val="auto"/>
          <w:szCs w:val="21"/>
          <w:highlight w:val="none"/>
        </w:rPr>
        <w:t>1.2</w:t>
      </w:r>
      <w:r>
        <w:rPr>
          <w:rFonts w:ascii="宋体" w:hAnsi="宋体"/>
          <w:color w:val="auto"/>
          <w:szCs w:val="21"/>
          <w:highlight w:val="none"/>
        </w:rPr>
        <w:t>.</w:t>
      </w:r>
      <w:r>
        <w:rPr>
          <w:rFonts w:hint="eastAsia" w:ascii="宋体" w:hAnsi="宋体"/>
          <w:color w:val="auto"/>
          <w:szCs w:val="21"/>
          <w:highlight w:val="none"/>
        </w:rPr>
        <w:t>2、类似案例成功的业绩</w:t>
      </w:r>
      <w:r>
        <w:rPr>
          <w:rFonts w:hint="eastAsia" w:ascii="宋体" w:hAnsi="宋体"/>
          <w:b/>
          <w:color w:val="auto"/>
          <w:szCs w:val="21"/>
          <w:highlight w:val="none"/>
        </w:rPr>
        <w:t>（合同复印件并加盖</w:t>
      </w:r>
      <w:r>
        <w:rPr>
          <w:rFonts w:hint="eastAsia" w:ascii="宋体" w:hAnsi="宋体"/>
          <w:b/>
          <w:color w:val="auto"/>
          <w:szCs w:val="21"/>
          <w:highlight w:val="none"/>
          <w:lang w:eastAsia="zh-CN"/>
        </w:rPr>
        <w:t>供应商</w:t>
      </w:r>
      <w:r>
        <w:rPr>
          <w:rFonts w:hint="eastAsia" w:ascii="宋体" w:hAnsi="宋体"/>
          <w:b/>
          <w:color w:val="auto"/>
          <w:szCs w:val="21"/>
          <w:highlight w:val="none"/>
        </w:rPr>
        <w:t>公章）</w:t>
      </w:r>
      <w:r>
        <w:rPr>
          <w:rFonts w:hint="eastAsia" w:ascii="宋体" w:hAnsi="宋体"/>
          <w:color w:val="auto"/>
          <w:szCs w:val="21"/>
          <w:highlight w:val="none"/>
        </w:rPr>
        <w:t>；</w:t>
      </w:r>
    </w:p>
    <w:p>
      <w:pPr>
        <w:snapToGrid w:val="0"/>
        <w:spacing w:line="360" w:lineRule="auto"/>
        <w:ind w:firstLine="420" w:firstLineChars="200"/>
        <w:jc w:val="left"/>
        <w:rPr>
          <w:rFonts w:ascii="宋体" w:hAnsi="宋体"/>
          <w:color w:val="auto"/>
          <w:szCs w:val="21"/>
          <w:highlight w:val="none"/>
        </w:rPr>
      </w:pPr>
      <w:r>
        <w:rPr>
          <w:rFonts w:hint="eastAsia" w:ascii="宋体" w:hAnsi="宋体"/>
          <w:color w:val="auto"/>
          <w:szCs w:val="21"/>
          <w:highlight w:val="none"/>
        </w:rPr>
        <w:t>1.2</w:t>
      </w:r>
      <w:r>
        <w:rPr>
          <w:rFonts w:ascii="宋体" w:hAnsi="宋体"/>
          <w:color w:val="auto"/>
          <w:szCs w:val="21"/>
          <w:highlight w:val="none"/>
        </w:rPr>
        <w:t>.</w:t>
      </w:r>
      <w:r>
        <w:rPr>
          <w:rFonts w:hint="eastAsia" w:ascii="宋体" w:hAnsi="宋体"/>
          <w:color w:val="auto"/>
          <w:szCs w:val="21"/>
          <w:highlight w:val="none"/>
        </w:rPr>
        <w:t>3、与本项目实施相关的</w:t>
      </w:r>
      <w:r>
        <w:rPr>
          <w:rFonts w:hint="eastAsia" w:ascii="宋体" w:hAnsi="宋体"/>
          <w:color w:val="auto"/>
          <w:szCs w:val="21"/>
          <w:highlight w:val="none"/>
          <w:lang w:eastAsia="zh-CN"/>
        </w:rPr>
        <w:t>供应商</w:t>
      </w:r>
      <w:r>
        <w:rPr>
          <w:rFonts w:hint="eastAsia" w:ascii="宋体" w:hAnsi="宋体"/>
          <w:color w:val="auto"/>
          <w:szCs w:val="21"/>
          <w:highlight w:val="none"/>
        </w:rPr>
        <w:t>各类资质证书、认证证书、许可证相关证明材料相关证明材料等</w:t>
      </w:r>
      <w:r>
        <w:rPr>
          <w:rFonts w:hint="eastAsia" w:ascii="宋体" w:hAnsi="宋体"/>
          <w:b/>
          <w:bCs/>
          <w:color w:val="auto"/>
          <w:szCs w:val="21"/>
          <w:highlight w:val="none"/>
        </w:rPr>
        <w:t>（</w:t>
      </w:r>
      <w:r>
        <w:rPr>
          <w:rFonts w:hint="eastAsia" w:ascii="宋体" w:hAnsi="宋体"/>
          <w:b/>
          <w:color w:val="auto"/>
          <w:szCs w:val="21"/>
          <w:highlight w:val="none"/>
        </w:rPr>
        <w:t>提供复印件并加盖</w:t>
      </w:r>
      <w:r>
        <w:rPr>
          <w:rFonts w:hint="eastAsia" w:ascii="宋体" w:hAnsi="宋体"/>
          <w:b/>
          <w:color w:val="auto"/>
          <w:szCs w:val="21"/>
          <w:highlight w:val="none"/>
          <w:lang w:eastAsia="zh-CN"/>
        </w:rPr>
        <w:t>供应商</w:t>
      </w:r>
      <w:r>
        <w:rPr>
          <w:rFonts w:hint="eastAsia" w:ascii="宋体" w:hAnsi="宋体"/>
          <w:b/>
          <w:color w:val="auto"/>
          <w:szCs w:val="21"/>
          <w:highlight w:val="none"/>
        </w:rPr>
        <w:t>公章）（如有）</w:t>
      </w:r>
      <w:r>
        <w:rPr>
          <w:rFonts w:hint="eastAsia" w:ascii="宋体" w:hAnsi="宋体"/>
          <w:color w:val="auto"/>
          <w:szCs w:val="21"/>
          <w:highlight w:val="none"/>
        </w:rPr>
        <w:t xml:space="preserve">；   </w:t>
      </w:r>
    </w:p>
    <w:p>
      <w:pPr>
        <w:snapToGrid w:val="0"/>
        <w:spacing w:line="360" w:lineRule="auto"/>
        <w:ind w:firstLine="420" w:firstLineChars="200"/>
        <w:jc w:val="left"/>
        <w:rPr>
          <w:rFonts w:ascii="宋体" w:hAnsi="宋体"/>
          <w:color w:val="auto"/>
          <w:szCs w:val="21"/>
          <w:highlight w:val="none"/>
        </w:rPr>
      </w:pPr>
      <w:r>
        <w:rPr>
          <w:rFonts w:hint="eastAsia" w:ascii="宋体" w:hAnsi="宋体"/>
          <w:color w:val="auto"/>
          <w:szCs w:val="21"/>
          <w:highlight w:val="none"/>
        </w:rPr>
        <w:t>1.2.4、</w:t>
      </w:r>
      <w:r>
        <w:rPr>
          <w:rFonts w:hint="eastAsia" w:ascii="宋体" w:hAnsi="宋体"/>
          <w:color w:val="auto"/>
          <w:szCs w:val="21"/>
          <w:highlight w:val="none"/>
          <w:lang w:eastAsia="zh-CN"/>
        </w:rPr>
        <w:t>供应商</w:t>
      </w:r>
      <w:r>
        <w:rPr>
          <w:rFonts w:hint="eastAsia" w:ascii="宋体" w:hAnsi="宋体"/>
          <w:color w:val="auto"/>
          <w:szCs w:val="21"/>
          <w:highlight w:val="none"/>
        </w:rPr>
        <w:t>情况介绍；</w:t>
      </w:r>
    </w:p>
    <w:p>
      <w:pPr>
        <w:snapToGrid w:val="0"/>
        <w:spacing w:line="360" w:lineRule="auto"/>
        <w:ind w:firstLine="420" w:firstLineChars="200"/>
        <w:jc w:val="left"/>
        <w:rPr>
          <w:rFonts w:ascii="宋体" w:hAnsi="宋体"/>
          <w:color w:val="auto"/>
          <w:szCs w:val="21"/>
          <w:highlight w:val="none"/>
        </w:rPr>
      </w:pPr>
      <w:r>
        <w:rPr>
          <w:rFonts w:hint="eastAsia" w:ascii="宋体" w:hAnsi="宋体"/>
          <w:color w:val="auto"/>
          <w:szCs w:val="21"/>
          <w:highlight w:val="none"/>
        </w:rPr>
        <w:t>1.2.5、商务、技术响应表；</w:t>
      </w:r>
    </w:p>
    <w:p>
      <w:pPr>
        <w:snapToGrid w:val="0"/>
        <w:spacing w:line="360" w:lineRule="auto"/>
        <w:ind w:firstLine="420" w:firstLineChars="200"/>
        <w:jc w:val="left"/>
        <w:rPr>
          <w:rFonts w:ascii="宋体" w:hAnsi="宋体"/>
          <w:color w:val="auto"/>
          <w:highlight w:val="none"/>
        </w:rPr>
      </w:pPr>
      <w:r>
        <w:rPr>
          <w:rFonts w:hint="eastAsia" w:ascii="宋体" w:hAnsi="宋体"/>
          <w:color w:val="auto"/>
          <w:szCs w:val="21"/>
          <w:highlight w:val="none"/>
        </w:rPr>
        <w:t>1.2.6、</w:t>
      </w:r>
      <w:r>
        <w:rPr>
          <w:rFonts w:ascii="宋体" w:hAnsi="宋体"/>
          <w:color w:val="auto"/>
          <w:szCs w:val="21"/>
          <w:highlight w:val="none"/>
        </w:rPr>
        <w:t>项目实施人员</w:t>
      </w:r>
      <w:r>
        <w:rPr>
          <w:rFonts w:hint="eastAsia" w:ascii="宋体" w:hAnsi="宋体"/>
          <w:color w:val="auto"/>
          <w:szCs w:val="21"/>
          <w:highlight w:val="none"/>
        </w:rPr>
        <w:t>（包含设计人员、施工项目管理班子配备）（格式见附件）</w:t>
      </w:r>
    </w:p>
    <w:p>
      <w:pPr>
        <w:snapToGrid w:val="0"/>
        <w:spacing w:line="360" w:lineRule="auto"/>
        <w:ind w:firstLine="420" w:firstLineChars="200"/>
        <w:jc w:val="left"/>
        <w:rPr>
          <w:rFonts w:ascii="宋体" w:hAnsi="宋体"/>
          <w:color w:val="auto"/>
          <w:szCs w:val="21"/>
          <w:highlight w:val="none"/>
        </w:rPr>
      </w:pPr>
      <w:r>
        <w:rPr>
          <w:rFonts w:hint="eastAsia" w:ascii="宋体" w:hAnsi="宋体"/>
          <w:color w:val="auto"/>
          <w:szCs w:val="21"/>
          <w:highlight w:val="none"/>
        </w:rPr>
        <w:t>1.2.7、对招标项目的理解；（格式自拟）</w:t>
      </w:r>
    </w:p>
    <w:p>
      <w:pPr>
        <w:snapToGrid w:val="0"/>
        <w:spacing w:line="360" w:lineRule="auto"/>
        <w:ind w:firstLine="420" w:firstLineChars="200"/>
        <w:jc w:val="left"/>
        <w:rPr>
          <w:rFonts w:ascii="宋体" w:hAnsi="宋体"/>
          <w:color w:val="auto"/>
          <w:szCs w:val="21"/>
          <w:highlight w:val="none"/>
        </w:rPr>
      </w:pPr>
      <w:r>
        <w:rPr>
          <w:rFonts w:hint="eastAsia" w:ascii="宋体" w:hAnsi="宋体"/>
          <w:color w:val="auto"/>
          <w:szCs w:val="21"/>
          <w:highlight w:val="none"/>
        </w:rPr>
        <w:t>1.2.8、工作的实施方案；（设计思路、施工方案（</w:t>
      </w:r>
      <w:r>
        <w:rPr>
          <w:rFonts w:hint="eastAsia"/>
          <w:color w:val="auto"/>
          <w:highlight w:val="none"/>
        </w:rPr>
        <w:t>主要分部分项施工方法及技术措施</w:t>
      </w:r>
      <w:r>
        <w:rPr>
          <w:rFonts w:hint="eastAsia" w:ascii="宋体" w:hAnsi="宋体"/>
          <w:color w:val="auto"/>
          <w:szCs w:val="21"/>
          <w:highlight w:val="none"/>
        </w:rPr>
        <w:t>）</w:t>
      </w:r>
      <w:r>
        <w:rPr>
          <w:rFonts w:hint="eastAsia"/>
          <w:color w:val="auto"/>
          <w:highlight w:val="none"/>
        </w:rPr>
        <w:t>、施工部署及现场组织管理机构、施工总进度计划及工期保证措施、拟投入设备品牌</w:t>
      </w:r>
      <w:r>
        <w:rPr>
          <w:rFonts w:hint="eastAsia"/>
          <w:color w:val="auto"/>
          <w:highlight w:val="none"/>
          <w:lang w:val="en-US" w:eastAsia="zh-CN"/>
        </w:rPr>
        <w:t>型号</w:t>
      </w:r>
      <w:r>
        <w:rPr>
          <w:rFonts w:hint="eastAsia"/>
          <w:color w:val="auto"/>
          <w:highlight w:val="none"/>
        </w:rPr>
        <w:t>等，</w:t>
      </w:r>
      <w:r>
        <w:rPr>
          <w:rFonts w:hint="eastAsia" w:ascii="宋体" w:hAnsi="宋体"/>
          <w:color w:val="auto"/>
          <w:szCs w:val="21"/>
          <w:highlight w:val="none"/>
        </w:rPr>
        <w:t>格式自拟）</w:t>
      </w:r>
    </w:p>
    <w:p>
      <w:pPr>
        <w:snapToGrid w:val="0"/>
        <w:spacing w:line="360" w:lineRule="auto"/>
        <w:ind w:firstLine="420" w:firstLineChars="200"/>
        <w:jc w:val="left"/>
        <w:rPr>
          <w:rFonts w:ascii="宋体" w:hAnsi="宋体"/>
          <w:color w:val="auto"/>
          <w:szCs w:val="21"/>
          <w:highlight w:val="none"/>
        </w:rPr>
      </w:pPr>
      <w:r>
        <w:rPr>
          <w:rFonts w:hint="eastAsia" w:ascii="宋体" w:hAnsi="宋体"/>
          <w:color w:val="auto"/>
          <w:szCs w:val="21"/>
          <w:highlight w:val="none"/>
        </w:rPr>
        <w:t>1.2.9、确保深化设计方案实施的质量保障措施；（格式自拟）</w:t>
      </w:r>
    </w:p>
    <w:p>
      <w:pPr>
        <w:snapToGrid w:val="0"/>
        <w:spacing w:line="360" w:lineRule="auto"/>
        <w:ind w:firstLine="420" w:firstLineChars="200"/>
        <w:jc w:val="left"/>
        <w:rPr>
          <w:rFonts w:ascii="宋体" w:hAnsi="宋体"/>
          <w:color w:val="auto"/>
          <w:szCs w:val="21"/>
          <w:highlight w:val="none"/>
        </w:rPr>
      </w:pPr>
      <w:r>
        <w:rPr>
          <w:rFonts w:hint="eastAsia" w:ascii="宋体" w:hAnsi="宋体"/>
          <w:color w:val="auto"/>
          <w:szCs w:val="21"/>
          <w:highlight w:val="none"/>
        </w:rPr>
        <w:t>1.2.10、</w:t>
      </w:r>
      <w:r>
        <w:rPr>
          <w:rFonts w:hint="eastAsia" w:ascii="宋体" w:hAnsi="宋体"/>
          <w:color w:val="auto"/>
          <w:szCs w:val="21"/>
          <w:highlight w:val="none"/>
          <w:lang w:eastAsia="zh-CN"/>
        </w:rPr>
        <w:t>供应商</w:t>
      </w:r>
      <w:r>
        <w:rPr>
          <w:rFonts w:ascii="宋体" w:hAnsi="宋体"/>
          <w:color w:val="auto"/>
          <w:szCs w:val="21"/>
          <w:highlight w:val="none"/>
        </w:rPr>
        <w:t>承诺给予招标人的各种优惠条件，包括售后服务等方面的优惠；</w:t>
      </w:r>
      <w:r>
        <w:rPr>
          <w:rFonts w:hint="eastAsia" w:ascii="宋体" w:hAnsi="宋体"/>
          <w:color w:val="auto"/>
          <w:szCs w:val="21"/>
          <w:highlight w:val="none"/>
        </w:rPr>
        <w:t>（格式自拟）</w:t>
      </w:r>
    </w:p>
    <w:p>
      <w:pPr>
        <w:snapToGrid w:val="0"/>
        <w:spacing w:line="360" w:lineRule="auto"/>
        <w:ind w:firstLine="420" w:firstLineChars="200"/>
        <w:jc w:val="left"/>
        <w:rPr>
          <w:rFonts w:ascii="宋体" w:hAnsi="宋体"/>
          <w:color w:val="auto"/>
          <w:szCs w:val="21"/>
          <w:highlight w:val="none"/>
        </w:rPr>
      </w:pPr>
      <w:r>
        <w:rPr>
          <w:rFonts w:hint="eastAsia" w:ascii="宋体" w:hAnsi="宋体"/>
          <w:color w:val="auto"/>
          <w:szCs w:val="21"/>
          <w:highlight w:val="none"/>
        </w:rPr>
        <w:t>1.2.11、</w:t>
      </w:r>
      <w:r>
        <w:rPr>
          <w:rFonts w:hint="eastAsia" w:ascii="宋体" w:hAnsi="宋体"/>
          <w:color w:val="auto"/>
          <w:szCs w:val="21"/>
          <w:highlight w:val="none"/>
          <w:lang w:eastAsia="zh-CN"/>
        </w:rPr>
        <w:t>供应商</w:t>
      </w:r>
      <w:r>
        <w:rPr>
          <w:rFonts w:hint="eastAsia" w:ascii="宋体" w:hAnsi="宋体"/>
          <w:color w:val="auto"/>
          <w:szCs w:val="21"/>
          <w:highlight w:val="none"/>
        </w:rPr>
        <w:t>截止投标时间前三年内的奖惩情况说明，格式自拟.</w:t>
      </w:r>
    </w:p>
    <w:p>
      <w:pPr>
        <w:snapToGrid w:val="0"/>
        <w:spacing w:line="360" w:lineRule="auto"/>
        <w:ind w:firstLine="420" w:firstLineChars="200"/>
        <w:jc w:val="left"/>
        <w:rPr>
          <w:rFonts w:ascii="宋体" w:hAnsi="宋体"/>
          <w:color w:val="auto"/>
          <w:szCs w:val="21"/>
          <w:highlight w:val="none"/>
        </w:rPr>
      </w:pPr>
      <w:r>
        <w:rPr>
          <w:rFonts w:hint="eastAsia" w:ascii="宋体" w:hAnsi="宋体"/>
          <w:color w:val="auto"/>
          <w:szCs w:val="21"/>
          <w:highlight w:val="none"/>
        </w:rPr>
        <w:t>1.2.12、投标单位对本项目的合理化建议和改进措施；</w:t>
      </w:r>
    </w:p>
    <w:p>
      <w:pPr>
        <w:snapToGrid w:val="0"/>
        <w:spacing w:line="360" w:lineRule="auto"/>
        <w:ind w:firstLine="420" w:firstLineChars="200"/>
        <w:jc w:val="left"/>
        <w:rPr>
          <w:rFonts w:ascii="宋体" w:hAnsi="宋体"/>
          <w:b/>
          <w:bCs/>
          <w:color w:val="auto"/>
          <w:szCs w:val="21"/>
          <w:highlight w:val="none"/>
          <w:shd w:val="pct10" w:color="auto" w:fill="FFFFFF"/>
        </w:rPr>
      </w:pPr>
      <w:r>
        <w:rPr>
          <w:rFonts w:hint="eastAsia" w:ascii="宋体" w:hAnsi="宋体"/>
          <w:color w:val="auto"/>
          <w:szCs w:val="21"/>
          <w:highlight w:val="none"/>
        </w:rPr>
        <w:t>1.2.13、</w:t>
      </w:r>
      <w:r>
        <w:rPr>
          <w:rFonts w:hint="eastAsia" w:ascii="宋体" w:hAnsi="宋体"/>
          <w:b/>
          <w:bCs/>
          <w:color w:val="auto"/>
          <w:szCs w:val="21"/>
          <w:highlight w:val="none"/>
          <w:shd w:val="pct10" w:color="auto" w:fill="FFFFFF"/>
        </w:rPr>
        <w:t>未尽事宜请各</w:t>
      </w:r>
      <w:r>
        <w:rPr>
          <w:rFonts w:hint="eastAsia" w:ascii="宋体" w:hAnsi="宋体"/>
          <w:b/>
          <w:bCs/>
          <w:color w:val="auto"/>
          <w:szCs w:val="21"/>
          <w:highlight w:val="none"/>
          <w:shd w:val="pct10" w:color="auto" w:fill="FFFFFF"/>
          <w:lang w:eastAsia="zh-CN"/>
        </w:rPr>
        <w:t>供应商</w:t>
      </w:r>
      <w:r>
        <w:rPr>
          <w:rFonts w:hint="eastAsia" w:ascii="宋体" w:hAnsi="宋体"/>
          <w:b/>
          <w:bCs/>
          <w:color w:val="auto"/>
          <w:szCs w:val="21"/>
          <w:highlight w:val="none"/>
          <w:shd w:val="pct10" w:color="auto" w:fill="FFFFFF"/>
        </w:rPr>
        <w:t>按评分细则制作。</w:t>
      </w:r>
    </w:p>
    <w:p>
      <w:pPr>
        <w:snapToGrid w:val="0"/>
        <w:spacing w:line="360" w:lineRule="auto"/>
        <w:ind w:firstLine="420" w:firstLineChars="200"/>
        <w:jc w:val="left"/>
        <w:rPr>
          <w:color w:val="auto"/>
          <w:highlight w:val="none"/>
        </w:rPr>
      </w:pPr>
      <w:r>
        <w:rPr>
          <w:rFonts w:hint="eastAsia"/>
          <w:color w:val="auto"/>
          <w:highlight w:val="none"/>
        </w:rPr>
        <w:t>1.3深化设计方案文本</w:t>
      </w:r>
    </w:p>
    <w:p>
      <w:pPr>
        <w:snapToGrid w:val="0"/>
        <w:spacing w:line="360" w:lineRule="auto"/>
        <w:ind w:firstLine="420" w:firstLineChars="200"/>
        <w:jc w:val="left"/>
        <w:rPr>
          <w:color w:val="auto"/>
          <w:highlight w:val="none"/>
        </w:rPr>
      </w:pPr>
      <w:r>
        <w:rPr>
          <w:rFonts w:hint="eastAsia"/>
          <w:color w:val="auto"/>
          <w:highlight w:val="none"/>
        </w:rPr>
        <w:t>（1）图纸（含效果图）以标准A3文本形式提供，（图纸可按比例缩小）</w:t>
      </w:r>
      <w:r>
        <w:rPr>
          <w:rFonts w:hint="eastAsia"/>
          <w:color w:val="auto"/>
          <w:highlight w:val="none"/>
          <w:lang w:eastAsia="zh-CN"/>
        </w:rPr>
        <w:t>、</w:t>
      </w:r>
      <w:r>
        <w:rPr>
          <w:rFonts w:hint="eastAsia"/>
          <w:color w:val="auto"/>
          <w:highlight w:val="none"/>
          <w:lang w:val="en-US" w:eastAsia="zh-CN"/>
        </w:rPr>
        <w:t>电子文本一份</w:t>
      </w:r>
      <w:r>
        <w:rPr>
          <w:rFonts w:hint="eastAsia"/>
          <w:color w:val="auto"/>
          <w:highlight w:val="none"/>
        </w:rPr>
        <w:t>。</w:t>
      </w:r>
    </w:p>
    <w:p>
      <w:pPr>
        <w:snapToGrid w:val="0"/>
        <w:spacing w:line="360" w:lineRule="auto"/>
        <w:ind w:firstLine="420" w:firstLineChars="200"/>
        <w:jc w:val="left"/>
        <w:rPr>
          <w:color w:val="auto"/>
          <w:highlight w:val="none"/>
        </w:rPr>
      </w:pPr>
      <w:r>
        <w:rPr>
          <w:rFonts w:hint="eastAsia"/>
          <w:color w:val="auto"/>
          <w:highlight w:val="none"/>
        </w:rPr>
        <w:t>（2）</w:t>
      </w:r>
      <w:r>
        <w:rPr>
          <w:rFonts w:hint="eastAsia"/>
          <w:b/>
          <w:bCs/>
          <w:color w:val="auto"/>
          <w:highlight w:val="none"/>
        </w:rPr>
        <w:t>如有</w:t>
      </w:r>
      <w:r>
        <w:rPr>
          <w:rFonts w:hint="eastAsia"/>
          <w:color w:val="auto"/>
          <w:highlight w:val="none"/>
        </w:rPr>
        <w:t>说明深化设计方案的多媒体、幻灯片、或全方位表达建筑空间的演示动画等资料方案介绍可以U盘形式提供（U盘需单独提供不得与</w:t>
      </w:r>
      <w:r>
        <w:rPr>
          <w:rFonts w:hint="eastAsia"/>
          <w:color w:val="auto"/>
          <w:highlight w:val="none"/>
          <w:lang w:eastAsia="zh-CN"/>
        </w:rPr>
        <w:t>磋商响应文件</w:t>
      </w:r>
      <w:r>
        <w:rPr>
          <w:rFonts w:hint="eastAsia"/>
          <w:color w:val="auto"/>
          <w:highlight w:val="none"/>
        </w:rPr>
        <w:t>电子版共用一个U盘</w:t>
      </w:r>
      <w:r>
        <w:rPr>
          <w:rFonts w:hint="eastAsia"/>
          <w:color w:val="auto"/>
          <w:highlight w:val="none"/>
          <w:lang w:eastAsia="zh-CN"/>
        </w:rPr>
        <w:t>，</w:t>
      </w:r>
      <w:r>
        <w:rPr>
          <w:rFonts w:hint="eastAsia"/>
          <w:color w:val="auto"/>
          <w:highlight w:val="none"/>
          <w:lang w:val="en-US" w:eastAsia="zh-CN"/>
        </w:rPr>
        <w:t>并在U盘上明显标注为演示U盘（可与设计方案文本共用一个U盘）</w:t>
      </w:r>
      <w:r>
        <w:rPr>
          <w:rFonts w:hint="eastAsia"/>
          <w:color w:val="auto"/>
          <w:highlight w:val="none"/>
        </w:rPr>
        <w:t>），播放时间不超过10分钟。</w:t>
      </w:r>
    </w:p>
    <w:p>
      <w:pPr>
        <w:spacing w:line="360" w:lineRule="auto"/>
        <w:ind w:firstLine="422" w:firstLineChars="200"/>
        <w:jc w:val="left"/>
        <w:rPr>
          <w:rFonts w:ascii="宋体" w:hAnsi="宋体"/>
          <w:b/>
          <w:color w:val="auto"/>
          <w:szCs w:val="21"/>
          <w:highlight w:val="none"/>
        </w:rPr>
      </w:pPr>
      <w:r>
        <w:rPr>
          <w:rFonts w:hint="eastAsia" w:ascii="宋体" w:hAnsi="宋体"/>
          <w:b/>
          <w:color w:val="auto"/>
          <w:szCs w:val="21"/>
          <w:highlight w:val="none"/>
        </w:rPr>
        <w:t>2、</w:t>
      </w:r>
      <w:r>
        <w:rPr>
          <w:rFonts w:hint="eastAsia" w:ascii="宋体" w:hAnsi="宋体"/>
          <w:b/>
          <w:color w:val="auto"/>
          <w:szCs w:val="21"/>
          <w:highlight w:val="none"/>
          <w:lang w:eastAsia="zh-CN"/>
        </w:rPr>
        <w:t>磋商响应报价</w:t>
      </w:r>
      <w:r>
        <w:rPr>
          <w:rFonts w:hint="eastAsia" w:ascii="宋体" w:hAnsi="宋体"/>
          <w:b/>
          <w:color w:val="auto"/>
          <w:szCs w:val="21"/>
          <w:highlight w:val="none"/>
        </w:rPr>
        <w:t>文件：</w:t>
      </w:r>
    </w:p>
    <w:p>
      <w:pPr>
        <w:snapToGrid w:val="0"/>
        <w:spacing w:line="360" w:lineRule="auto"/>
        <w:ind w:firstLine="420" w:firstLineChars="200"/>
        <w:jc w:val="left"/>
        <w:rPr>
          <w:rFonts w:ascii="宋体" w:hAnsi="宋体"/>
          <w:color w:val="auto"/>
          <w:szCs w:val="21"/>
          <w:highlight w:val="none"/>
        </w:rPr>
      </w:pPr>
      <w:r>
        <w:rPr>
          <w:rFonts w:hint="eastAsia" w:ascii="宋体" w:hAnsi="宋体"/>
          <w:color w:val="auto"/>
          <w:szCs w:val="21"/>
          <w:highlight w:val="none"/>
        </w:rPr>
        <w:t xml:space="preserve">2.1、投标函； </w:t>
      </w:r>
    </w:p>
    <w:p>
      <w:pPr>
        <w:snapToGrid w:val="0"/>
        <w:spacing w:line="360" w:lineRule="auto"/>
        <w:ind w:firstLine="420" w:firstLineChars="200"/>
        <w:jc w:val="left"/>
        <w:rPr>
          <w:rFonts w:ascii="宋体" w:hAnsi="宋体"/>
          <w:color w:val="auto"/>
          <w:szCs w:val="21"/>
          <w:highlight w:val="none"/>
        </w:rPr>
      </w:pPr>
      <w:r>
        <w:rPr>
          <w:rFonts w:hint="eastAsia" w:ascii="宋体" w:hAnsi="宋体"/>
          <w:color w:val="auto"/>
          <w:szCs w:val="21"/>
          <w:highlight w:val="none"/>
        </w:rPr>
        <w:t>2.2、开标一览表；</w:t>
      </w:r>
    </w:p>
    <w:p>
      <w:pPr>
        <w:snapToGrid w:val="0"/>
        <w:spacing w:line="360" w:lineRule="auto"/>
        <w:ind w:firstLine="420" w:firstLineChars="200"/>
        <w:jc w:val="left"/>
        <w:rPr>
          <w:rFonts w:ascii="宋体" w:hAnsi="宋体"/>
          <w:color w:val="auto"/>
          <w:szCs w:val="21"/>
          <w:highlight w:val="none"/>
        </w:rPr>
      </w:pPr>
      <w:r>
        <w:rPr>
          <w:rFonts w:hint="eastAsia" w:ascii="宋体" w:hAnsi="宋体"/>
          <w:color w:val="auto"/>
          <w:szCs w:val="21"/>
          <w:highlight w:val="none"/>
        </w:rPr>
        <w:t>2.3、</w:t>
      </w:r>
      <w:r>
        <w:rPr>
          <w:rFonts w:hint="eastAsia" w:ascii="宋体" w:hAnsi="宋体"/>
          <w:color w:val="auto"/>
          <w:szCs w:val="21"/>
          <w:highlight w:val="none"/>
          <w:lang w:eastAsia="zh-CN"/>
        </w:rPr>
        <w:t>供应商</w:t>
      </w:r>
      <w:r>
        <w:rPr>
          <w:rFonts w:hint="eastAsia" w:ascii="宋体" w:hAnsi="宋体"/>
          <w:color w:val="auto"/>
          <w:szCs w:val="21"/>
          <w:highlight w:val="none"/>
        </w:rPr>
        <w:t>针对报价需要说明的其他文件和说明。</w:t>
      </w:r>
    </w:p>
    <w:p>
      <w:pPr>
        <w:snapToGrid w:val="0"/>
        <w:spacing w:line="360" w:lineRule="auto"/>
        <w:ind w:firstLine="422" w:firstLineChars="200"/>
        <w:contextualSpacing/>
        <w:jc w:val="left"/>
        <w:outlineLvl w:val="1"/>
        <w:rPr>
          <w:rFonts w:ascii="宋体" w:hAnsi="宋体"/>
          <w:b/>
          <w:bCs/>
          <w:color w:val="auto"/>
          <w:szCs w:val="21"/>
          <w:highlight w:val="none"/>
          <w:u w:val="single"/>
        </w:rPr>
      </w:pPr>
      <w:bookmarkStart w:id="46" w:name="_Toc8745"/>
      <w:bookmarkStart w:id="47" w:name="_Toc493511656"/>
      <w:bookmarkStart w:id="48" w:name="_Toc50012865"/>
      <w:r>
        <w:rPr>
          <w:rFonts w:hint="eastAsia" w:ascii="宋体" w:hAnsi="宋体"/>
          <w:b/>
          <w:bCs/>
          <w:color w:val="auto"/>
          <w:szCs w:val="21"/>
          <w:highlight w:val="none"/>
          <w:u w:val="single"/>
        </w:rPr>
        <w:t>▲</w:t>
      </w:r>
      <w:r>
        <w:rPr>
          <w:rFonts w:ascii="宋体" w:hAnsi="宋体"/>
          <w:b/>
          <w:bCs/>
          <w:color w:val="auto"/>
          <w:szCs w:val="21"/>
          <w:highlight w:val="none"/>
          <w:u w:val="single"/>
        </w:rPr>
        <w:t>注：法定代表人授权委托书、投标声明书、投标函、开标一览表必须由法定代表人</w:t>
      </w:r>
      <w:r>
        <w:rPr>
          <w:rFonts w:hint="eastAsia" w:ascii="宋体" w:hAnsi="宋体"/>
          <w:b/>
          <w:bCs/>
          <w:color w:val="auto"/>
          <w:szCs w:val="21"/>
          <w:highlight w:val="none"/>
          <w:u w:val="single"/>
        </w:rPr>
        <w:t>或负责人或授权代表</w:t>
      </w:r>
      <w:r>
        <w:rPr>
          <w:rFonts w:ascii="宋体" w:hAnsi="宋体"/>
          <w:b/>
          <w:bCs/>
          <w:color w:val="auto"/>
          <w:szCs w:val="21"/>
          <w:highlight w:val="none"/>
          <w:u w:val="single"/>
        </w:rPr>
        <w:t>签名并加盖单位公章。</w:t>
      </w:r>
      <w:bookmarkEnd w:id="46"/>
      <w:bookmarkEnd w:id="47"/>
      <w:bookmarkEnd w:id="48"/>
      <w:r>
        <w:rPr>
          <w:rFonts w:hint="eastAsia" w:ascii="宋体" w:hAnsi="宋体"/>
          <w:b/>
          <w:bCs/>
          <w:color w:val="auto"/>
          <w:szCs w:val="21"/>
          <w:highlight w:val="none"/>
          <w:u w:val="single"/>
        </w:rPr>
        <w:t>如为联合体投标的，除联合体协议外由联合体牵头人按格式要求签字、盖章即可。</w:t>
      </w:r>
    </w:p>
    <w:p>
      <w:pPr>
        <w:snapToGrid w:val="0"/>
        <w:spacing w:line="360" w:lineRule="auto"/>
        <w:contextualSpacing/>
        <w:rPr>
          <w:rFonts w:hint="eastAsia" w:ascii="宋体" w:hAnsi="宋体"/>
          <w:b/>
          <w:color w:val="auto"/>
          <w:szCs w:val="21"/>
          <w:highlight w:val="none"/>
        </w:rPr>
      </w:pPr>
      <w:r>
        <w:rPr>
          <w:rFonts w:hint="eastAsia" w:ascii="宋体" w:hAnsi="宋体"/>
          <w:b/>
          <w:color w:val="auto"/>
          <w:szCs w:val="21"/>
          <w:highlight w:val="none"/>
        </w:rPr>
        <w:t>2.磋商响应文件的语言及计量</w:t>
      </w:r>
    </w:p>
    <w:p>
      <w:pPr>
        <w:snapToGrid w:val="0"/>
        <w:spacing w:line="360" w:lineRule="auto"/>
        <w:rPr>
          <w:rFonts w:hint="eastAsia" w:ascii="宋体" w:hAnsi="宋体"/>
          <w:color w:val="auto"/>
          <w:szCs w:val="21"/>
          <w:highlight w:val="none"/>
        </w:rPr>
      </w:pPr>
      <w:r>
        <w:rPr>
          <w:rFonts w:hint="eastAsia" w:ascii="宋体" w:hAnsi="宋体"/>
          <w:color w:val="auto"/>
          <w:szCs w:val="21"/>
          <w:highlight w:val="none"/>
        </w:rPr>
        <w:t>1.1磋商响应文件以及磋商方与代理机构就有关磋商事宜的所有来往函电，均应以中文书写。</w:t>
      </w:r>
    </w:p>
    <w:p>
      <w:pPr>
        <w:snapToGrid w:val="0"/>
        <w:spacing w:line="360" w:lineRule="auto"/>
        <w:rPr>
          <w:rFonts w:hint="eastAsia" w:ascii="宋体" w:hAnsi="宋体"/>
          <w:color w:val="auto"/>
          <w:szCs w:val="21"/>
          <w:highlight w:val="none"/>
        </w:rPr>
      </w:pPr>
      <w:r>
        <w:rPr>
          <w:rFonts w:hint="eastAsia" w:ascii="宋体" w:hAnsi="宋体"/>
          <w:color w:val="auto"/>
          <w:szCs w:val="21"/>
          <w:highlight w:val="none"/>
        </w:rPr>
        <w:t>1.2▲磋商计量单位，除磋商文件中有特殊要求外，应采用中华人民共和国法定计量单位，货币单位：人民币元。</w:t>
      </w:r>
    </w:p>
    <w:p>
      <w:pPr>
        <w:spacing w:line="360" w:lineRule="auto"/>
        <w:rPr>
          <w:rFonts w:hint="eastAsia" w:ascii="宋体" w:hAnsi="宋体"/>
          <w:b/>
          <w:color w:val="auto"/>
          <w:szCs w:val="21"/>
          <w:highlight w:val="none"/>
        </w:rPr>
      </w:pPr>
      <w:bookmarkStart w:id="49" w:name="_Toc448487541"/>
      <w:bookmarkStart w:id="50" w:name="_Toc487802037"/>
      <w:bookmarkStart w:id="51" w:name="_Toc177825126"/>
      <w:bookmarkStart w:id="52" w:name="_Toc487802106"/>
      <w:bookmarkStart w:id="53" w:name="_Toc437979782"/>
      <w:bookmarkStart w:id="54" w:name="_Toc177870548"/>
      <w:bookmarkStart w:id="55" w:name="_Toc177824945"/>
      <w:bookmarkStart w:id="56" w:name="_Toc192313113"/>
      <w:bookmarkStart w:id="57" w:name="_Toc177824878"/>
      <w:bookmarkStart w:id="58" w:name="_Toc487793392"/>
      <w:r>
        <w:rPr>
          <w:rFonts w:hint="eastAsia" w:ascii="宋体" w:hAnsi="宋体"/>
          <w:b/>
          <w:color w:val="auto"/>
          <w:szCs w:val="21"/>
          <w:highlight w:val="none"/>
        </w:rPr>
        <w:t>3. 磋商响应报价</w:t>
      </w:r>
      <w:bookmarkEnd w:id="49"/>
      <w:bookmarkEnd w:id="50"/>
      <w:bookmarkEnd w:id="51"/>
      <w:bookmarkEnd w:id="52"/>
      <w:bookmarkEnd w:id="53"/>
      <w:bookmarkEnd w:id="54"/>
      <w:bookmarkEnd w:id="55"/>
      <w:bookmarkEnd w:id="56"/>
      <w:bookmarkEnd w:id="57"/>
      <w:bookmarkEnd w:id="58"/>
    </w:p>
    <w:p>
      <w:pPr>
        <w:pStyle w:val="29"/>
        <w:spacing w:line="360" w:lineRule="auto"/>
        <w:jc w:val="left"/>
        <w:rPr>
          <w:rFonts w:hint="eastAsia" w:hAnsi="宋体"/>
          <w:color w:val="auto"/>
          <w:szCs w:val="21"/>
          <w:highlight w:val="none"/>
        </w:rPr>
      </w:pPr>
      <w:r>
        <w:rPr>
          <w:rFonts w:hint="eastAsia" w:hAnsi="宋体"/>
          <w:color w:val="auto"/>
          <w:szCs w:val="21"/>
          <w:highlight w:val="none"/>
        </w:rPr>
        <w:t>3.1磋商响应报价应按磋商文件中相关附表格式填写。</w:t>
      </w:r>
    </w:p>
    <w:p>
      <w:pPr>
        <w:pStyle w:val="29"/>
        <w:spacing w:line="360" w:lineRule="auto"/>
        <w:jc w:val="left"/>
        <w:rPr>
          <w:rFonts w:hint="eastAsia" w:hAnsi="宋体"/>
          <w:color w:val="auto"/>
          <w:szCs w:val="21"/>
          <w:highlight w:val="none"/>
        </w:rPr>
      </w:pPr>
      <w:r>
        <w:rPr>
          <w:rFonts w:hint="eastAsia" w:hAnsi="宋体"/>
          <w:color w:val="auto"/>
          <w:szCs w:val="21"/>
          <w:highlight w:val="none"/>
        </w:rPr>
        <w:t>3.2▲报价应包括为完成本项目所需要所有</w:t>
      </w:r>
      <w:r>
        <w:rPr>
          <w:rFonts w:hint="eastAsia" w:hAnsi="宋体"/>
          <w:color w:val="auto"/>
          <w:szCs w:val="21"/>
          <w:highlight w:val="none"/>
          <w:lang w:val="en-US" w:eastAsia="zh-CN"/>
        </w:rPr>
        <w:t>项目</w:t>
      </w:r>
      <w:r>
        <w:rPr>
          <w:rFonts w:hint="eastAsia" w:hAnsi="宋体"/>
          <w:color w:val="auto"/>
          <w:szCs w:val="21"/>
          <w:highlight w:val="none"/>
        </w:rPr>
        <w:t>费用、投标费用及为完成本项目直至可以正常运行的等所有费用、税金、利润、及政策性文件规定等各项应有费用。</w:t>
      </w:r>
    </w:p>
    <w:p>
      <w:pPr>
        <w:tabs>
          <w:tab w:val="left" w:pos="525"/>
        </w:tabs>
        <w:spacing w:line="360" w:lineRule="auto"/>
        <w:rPr>
          <w:rFonts w:hint="eastAsia" w:ascii="宋体" w:hAnsi="宋体"/>
          <w:color w:val="auto"/>
          <w:szCs w:val="21"/>
          <w:highlight w:val="none"/>
        </w:rPr>
      </w:pPr>
      <w:r>
        <w:rPr>
          <w:rFonts w:hint="eastAsia" w:ascii="宋体" w:hAnsi="宋体"/>
          <w:color w:val="auto"/>
          <w:szCs w:val="21"/>
          <w:highlight w:val="none"/>
        </w:rPr>
        <w:t>3.3▲磋商响应报价只允许有一个报价，有选择的报价将不予接受。</w:t>
      </w:r>
    </w:p>
    <w:p>
      <w:pPr>
        <w:pStyle w:val="29"/>
        <w:spacing w:line="360" w:lineRule="auto"/>
        <w:jc w:val="left"/>
        <w:rPr>
          <w:rFonts w:hint="eastAsia" w:hAnsi="宋体" w:eastAsia="宋体" w:cs="Times New Roman"/>
          <w:color w:val="auto"/>
          <w:szCs w:val="21"/>
          <w:highlight w:val="none"/>
        </w:rPr>
      </w:pPr>
      <w:r>
        <w:rPr>
          <w:rFonts w:hint="eastAsia" w:hAnsi="宋体" w:eastAsia="宋体" w:cs="Times New Roman"/>
          <w:color w:val="auto"/>
          <w:szCs w:val="21"/>
          <w:highlight w:val="none"/>
          <w:lang w:val="en-US" w:eastAsia="zh-CN"/>
        </w:rPr>
        <w:t>3.4</w:t>
      </w:r>
      <w:r>
        <w:rPr>
          <w:rFonts w:hint="eastAsia" w:hAnsi="宋体" w:eastAsia="宋体" w:cs="Times New Roman"/>
          <w:color w:val="auto"/>
          <w:szCs w:val="21"/>
          <w:highlight w:val="none"/>
          <w:lang w:eastAsia="zh-CN"/>
        </w:rPr>
        <w:t>磋商响应文件</w:t>
      </w:r>
      <w:r>
        <w:rPr>
          <w:rFonts w:hint="eastAsia" w:hAnsi="宋体" w:eastAsia="宋体" w:cs="Times New Roman"/>
          <w:color w:val="auto"/>
          <w:szCs w:val="21"/>
          <w:highlight w:val="none"/>
        </w:rPr>
        <w:t>只允许有一个报价，有选择的或有条件的报价将不予接受。</w:t>
      </w:r>
    </w:p>
    <w:p>
      <w:pPr>
        <w:pStyle w:val="29"/>
        <w:spacing w:line="360" w:lineRule="auto"/>
        <w:jc w:val="left"/>
        <w:rPr>
          <w:rFonts w:hint="eastAsia" w:hAnsi="宋体" w:eastAsia="宋体" w:cs="Times New Roman"/>
          <w:color w:val="auto"/>
          <w:szCs w:val="21"/>
          <w:highlight w:val="none"/>
        </w:rPr>
      </w:pPr>
      <w:r>
        <w:rPr>
          <w:rFonts w:hint="eastAsia" w:hAnsi="宋体" w:eastAsia="宋体" w:cs="Times New Roman"/>
          <w:color w:val="auto"/>
          <w:szCs w:val="21"/>
          <w:highlight w:val="none"/>
          <w:lang w:val="en-US" w:eastAsia="zh-CN"/>
        </w:rPr>
        <w:t>3.5</w:t>
      </w:r>
      <w:r>
        <w:rPr>
          <w:rFonts w:hint="eastAsia" w:hAnsi="宋体" w:eastAsia="宋体" w:cs="Times New Roman"/>
          <w:color w:val="auto"/>
          <w:szCs w:val="21"/>
          <w:highlight w:val="none"/>
        </w:rPr>
        <w:t>.</w:t>
      </w:r>
      <w:r>
        <w:rPr>
          <w:rFonts w:hint="eastAsia" w:hAnsi="宋体" w:eastAsia="宋体" w:cs="Times New Roman"/>
          <w:color w:val="auto"/>
          <w:szCs w:val="21"/>
          <w:highlight w:val="none"/>
          <w:lang w:val="en-US" w:eastAsia="zh-CN"/>
        </w:rPr>
        <w:t>磋商</w:t>
      </w:r>
      <w:r>
        <w:rPr>
          <w:rFonts w:hint="eastAsia" w:hAnsi="宋体" w:eastAsia="宋体" w:cs="Times New Roman"/>
          <w:color w:val="auto"/>
          <w:szCs w:val="21"/>
          <w:highlight w:val="none"/>
          <w:lang w:eastAsia="zh-CN"/>
        </w:rPr>
        <w:t>响应报价</w:t>
      </w:r>
      <w:r>
        <w:rPr>
          <w:rFonts w:hint="eastAsia" w:hAnsi="宋体" w:eastAsia="宋体" w:cs="Times New Roman"/>
          <w:color w:val="auto"/>
          <w:szCs w:val="21"/>
          <w:highlight w:val="none"/>
        </w:rPr>
        <w:t>应是招标文件所确定的招标范围内全部工作内容的价格表现。其应包括施工设备、劳务、管理、材料、安装、维护、利润、税金及政策性文件规定等各项应有费用。</w:t>
      </w:r>
    </w:p>
    <w:p>
      <w:pPr>
        <w:pStyle w:val="29"/>
        <w:spacing w:line="360" w:lineRule="auto"/>
        <w:jc w:val="left"/>
        <w:rPr>
          <w:rFonts w:hint="eastAsia" w:hAnsi="宋体" w:eastAsia="宋体" w:cs="Times New Roman"/>
          <w:color w:val="auto"/>
          <w:szCs w:val="21"/>
          <w:highlight w:val="none"/>
        </w:rPr>
      </w:pPr>
      <w:r>
        <w:rPr>
          <w:rFonts w:hint="eastAsia" w:hAnsi="宋体" w:eastAsia="宋体" w:cs="Times New Roman"/>
          <w:color w:val="auto"/>
          <w:szCs w:val="21"/>
          <w:highlight w:val="none"/>
          <w:lang w:eastAsia="zh-CN"/>
        </w:rPr>
        <w:t>供应商</w:t>
      </w:r>
      <w:r>
        <w:rPr>
          <w:rFonts w:hint="eastAsia" w:hAnsi="宋体" w:eastAsia="宋体" w:cs="Times New Roman"/>
          <w:color w:val="auto"/>
          <w:szCs w:val="21"/>
          <w:highlight w:val="none"/>
        </w:rPr>
        <w:t>在工程量清单报价中所列的单价，以及</w:t>
      </w:r>
      <w:r>
        <w:rPr>
          <w:rFonts w:hint="eastAsia" w:hAnsi="宋体" w:eastAsia="宋体" w:cs="Times New Roman"/>
          <w:color w:val="auto"/>
          <w:szCs w:val="21"/>
          <w:highlight w:val="none"/>
          <w:lang w:eastAsia="zh-CN"/>
        </w:rPr>
        <w:t>磋商响应报价</w:t>
      </w:r>
      <w:r>
        <w:rPr>
          <w:rFonts w:hint="eastAsia" w:hAnsi="宋体" w:eastAsia="宋体" w:cs="Times New Roman"/>
          <w:color w:val="auto"/>
          <w:szCs w:val="21"/>
          <w:highlight w:val="none"/>
        </w:rPr>
        <w:t>汇总表中的价格均包括完成该工程项目的直接费、间接费、政策性文件规定费用、达到技术规范所需用费用、风险费、税金等所有费用{包括劳务、材料、机械、质检（自检及监理工程师按抽检频率、认为需要的抽检所需的一切检查及建管部门规定的工程结构实体质量抽样检测）、缺陷修复、管理费、利润、保险费、清理费和缺陷维护等费用，以及合同明示或暗示的所有责任、义务和一切风险}。</w:t>
      </w:r>
    </w:p>
    <w:p>
      <w:pPr>
        <w:pStyle w:val="29"/>
        <w:spacing w:line="360" w:lineRule="auto"/>
        <w:jc w:val="left"/>
        <w:rPr>
          <w:rFonts w:hint="eastAsia" w:hAnsi="宋体" w:eastAsia="宋体" w:cs="Times New Roman"/>
          <w:color w:val="auto"/>
          <w:szCs w:val="21"/>
          <w:highlight w:val="none"/>
        </w:rPr>
      </w:pPr>
      <w:r>
        <w:rPr>
          <w:rFonts w:hint="eastAsia" w:hAnsi="宋体" w:eastAsia="宋体" w:cs="Times New Roman"/>
          <w:color w:val="auto"/>
          <w:szCs w:val="21"/>
          <w:highlight w:val="none"/>
        </w:rPr>
        <w:t>工程量清单中只描述了分项工程计量范围内完成本分项工程应有的主要工作内容（当清单说明或描述与清单说明中工程做法有不一致时，以清单说明或描述为准；清单未说明或未描述时，以清单说明中工程做法为准），但</w:t>
      </w:r>
      <w:r>
        <w:rPr>
          <w:rFonts w:hint="eastAsia" w:hAnsi="宋体" w:eastAsia="宋体" w:cs="Times New Roman"/>
          <w:color w:val="auto"/>
          <w:szCs w:val="21"/>
          <w:highlight w:val="none"/>
          <w:lang w:eastAsia="zh-CN"/>
        </w:rPr>
        <w:t>供应商</w:t>
      </w:r>
      <w:r>
        <w:rPr>
          <w:rFonts w:hint="eastAsia" w:hAnsi="宋体" w:eastAsia="宋体" w:cs="Times New Roman"/>
          <w:color w:val="auto"/>
          <w:szCs w:val="21"/>
          <w:highlight w:val="none"/>
        </w:rPr>
        <w:t>填报的综合单价应是包含了分项工程计量范围内的所有工作内容的价格，无论工程量清单或清单说明中工程做法有无明确列项或表示，只要是为完成该分项工程所需要做的工作和为了满足该分项工程的完整性所需要做的工作，均视为该分项工程所包含的内容。</w:t>
      </w:r>
      <w:r>
        <w:rPr>
          <w:rFonts w:hint="eastAsia" w:hAnsi="宋体" w:eastAsia="宋体" w:cs="Times New Roman"/>
          <w:color w:val="auto"/>
          <w:szCs w:val="21"/>
          <w:highlight w:val="none"/>
          <w:lang w:eastAsia="zh-CN"/>
        </w:rPr>
        <w:t>供应商</w:t>
      </w:r>
      <w:r>
        <w:rPr>
          <w:rFonts w:hint="eastAsia" w:hAnsi="宋体" w:eastAsia="宋体" w:cs="Times New Roman"/>
          <w:color w:val="auto"/>
          <w:szCs w:val="21"/>
          <w:highlight w:val="none"/>
        </w:rPr>
        <w:t>在填写工程量清单的每一项的综合单价和合价时应结合投标须知及构成招标文件的施工合同、技术规范、清单说明中工程做法和现场勘查情况进行报价。</w:t>
      </w:r>
    </w:p>
    <w:p>
      <w:pPr>
        <w:pStyle w:val="29"/>
        <w:spacing w:line="360" w:lineRule="auto"/>
        <w:jc w:val="left"/>
        <w:rPr>
          <w:rFonts w:hint="eastAsia" w:hAnsi="宋体" w:eastAsia="宋体" w:cs="Times New Roman"/>
          <w:color w:val="auto"/>
          <w:szCs w:val="21"/>
          <w:highlight w:val="none"/>
        </w:rPr>
      </w:pPr>
      <w:r>
        <w:rPr>
          <w:rFonts w:hint="eastAsia" w:hAnsi="宋体" w:eastAsia="宋体" w:cs="Times New Roman"/>
          <w:color w:val="auto"/>
          <w:szCs w:val="21"/>
          <w:highlight w:val="none"/>
          <w:lang w:val="en-US" w:eastAsia="zh-CN"/>
        </w:rPr>
        <w:t>3.6</w:t>
      </w:r>
      <w:r>
        <w:rPr>
          <w:rFonts w:hint="eastAsia" w:hAnsi="宋体" w:eastAsia="宋体" w:cs="Times New Roman"/>
          <w:color w:val="auto"/>
          <w:szCs w:val="21"/>
          <w:highlight w:val="none"/>
        </w:rPr>
        <w:t>计价依据包括但不限于《浙江省建设工程计价规则》（2018 版）、《建设工程工程量清单计价规范》2013 版（GB50500-2013）及相关专业工程量计量规范；《浙江省房屋建筑与装饰工程预算定额》（2018版）；《浙江省通用安装工程预算定额》（2018 版）；《浙江省建设工程施工机械台班费用定额》（2018 版）；《浙江省建筑安装材料基期价格》（2018 版）。信息价按《嘉兴造价管理信息》、《浙江造价信息》，部分材料按市场价计取。 安全文明施工基本费为必须计取的措施项目，本工程为市区工程，安全文明施工基本费的费率并不得低于《浙江省建设工程计价规则》（2018版）规定的一般计税费率的下限值。</w:t>
      </w:r>
    </w:p>
    <w:p>
      <w:pPr>
        <w:pStyle w:val="29"/>
        <w:spacing w:line="360" w:lineRule="auto"/>
        <w:ind w:firstLine="420" w:firstLineChars="200"/>
        <w:jc w:val="left"/>
        <w:rPr>
          <w:rFonts w:hint="eastAsia" w:hAnsi="宋体" w:eastAsia="宋体" w:cs="Times New Roman"/>
          <w:color w:val="auto"/>
          <w:szCs w:val="21"/>
          <w:highlight w:val="none"/>
        </w:rPr>
      </w:pPr>
      <w:r>
        <w:rPr>
          <w:rFonts w:hint="eastAsia" w:hAnsi="宋体" w:eastAsia="宋体" w:cs="Times New Roman"/>
          <w:color w:val="auto"/>
          <w:szCs w:val="21"/>
          <w:highlight w:val="none"/>
        </w:rPr>
        <w:t>规费根据嘉建办〔2019〕34号文件，投标单位报价时可根据自身项目缴纳规费的实际情况，自主确定其投标费率，但最低不得低于《浙江省建设工程计价规则》（2018版）规定的标准费率的30%。</w:t>
      </w:r>
    </w:p>
    <w:p>
      <w:pPr>
        <w:pStyle w:val="29"/>
        <w:spacing w:line="360" w:lineRule="auto"/>
        <w:ind w:firstLine="420" w:firstLineChars="200"/>
        <w:jc w:val="left"/>
        <w:rPr>
          <w:rFonts w:hint="eastAsia" w:hAnsi="宋体" w:eastAsia="宋体" w:cs="Times New Roman"/>
          <w:color w:val="auto"/>
          <w:szCs w:val="21"/>
          <w:highlight w:val="none"/>
        </w:rPr>
      </w:pPr>
      <w:r>
        <w:rPr>
          <w:rFonts w:hint="eastAsia" w:hAnsi="宋体" w:eastAsia="宋体" w:cs="Times New Roman"/>
          <w:color w:val="auto"/>
          <w:szCs w:val="21"/>
          <w:highlight w:val="none"/>
        </w:rPr>
        <w:t>税金属不可竞争费用，按《关于增值税调整后我省建设工程计价依据增值税及有关计价调整的通知》（浙建建发[2019]92号）文规定，按9%计取。</w:t>
      </w:r>
    </w:p>
    <w:p>
      <w:pPr>
        <w:pStyle w:val="29"/>
        <w:spacing w:line="360" w:lineRule="auto"/>
        <w:jc w:val="left"/>
        <w:rPr>
          <w:rFonts w:hint="eastAsia" w:hAnsi="宋体" w:eastAsia="宋体" w:cs="Times New Roman"/>
          <w:color w:val="auto"/>
          <w:szCs w:val="21"/>
          <w:highlight w:val="none"/>
        </w:rPr>
      </w:pPr>
      <w:r>
        <w:rPr>
          <w:rFonts w:hint="eastAsia" w:hAnsi="宋体" w:eastAsia="宋体" w:cs="Times New Roman"/>
          <w:color w:val="auto"/>
          <w:szCs w:val="21"/>
          <w:highlight w:val="none"/>
          <w:lang w:val="en-US" w:eastAsia="zh-CN"/>
        </w:rPr>
        <w:t>3.7</w:t>
      </w:r>
      <w:r>
        <w:rPr>
          <w:rFonts w:hint="eastAsia" w:hAnsi="宋体" w:eastAsia="宋体" w:cs="Times New Roman"/>
          <w:color w:val="auto"/>
          <w:szCs w:val="21"/>
          <w:highlight w:val="none"/>
          <w:lang w:eastAsia="zh-CN"/>
        </w:rPr>
        <w:t>供应商</w:t>
      </w:r>
      <w:r>
        <w:rPr>
          <w:rFonts w:hint="eastAsia" w:hAnsi="宋体" w:eastAsia="宋体" w:cs="Times New Roman"/>
          <w:color w:val="auto"/>
          <w:szCs w:val="21"/>
          <w:highlight w:val="none"/>
        </w:rPr>
        <w:t>应根据投标须知、工程量清单、清单说明中工程做法、招标答疑、技术规范、合同条款及本省2018版计价依据等要求进行报价。</w:t>
      </w:r>
    </w:p>
    <w:p>
      <w:pPr>
        <w:pStyle w:val="14"/>
        <w:numPr>
          <w:ilvl w:val="0"/>
          <w:numId w:val="0"/>
        </w:numPr>
        <w:tabs>
          <w:tab w:val="left" w:pos="454"/>
          <w:tab w:val="clear" w:pos="360"/>
        </w:tabs>
        <w:spacing w:line="360" w:lineRule="auto"/>
        <w:rPr>
          <w:rFonts w:hint="eastAsia" w:ascii="宋体" w:hAnsi="宋体"/>
          <w:b/>
          <w:color w:val="auto"/>
          <w:szCs w:val="21"/>
          <w:highlight w:val="none"/>
        </w:rPr>
      </w:pPr>
      <w:r>
        <w:rPr>
          <w:rFonts w:hint="eastAsia" w:ascii="宋体" w:hAnsi="宋体"/>
          <w:b/>
          <w:color w:val="auto"/>
          <w:szCs w:val="21"/>
          <w:highlight w:val="none"/>
        </w:rPr>
        <w:t>4. 磋商响应文件的有效期</w:t>
      </w:r>
    </w:p>
    <w:p>
      <w:pPr>
        <w:pStyle w:val="14"/>
        <w:numPr>
          <w:ilvl w:val="0"/>
          <w:numId w:val="0"/>
        </w:numPr>
        <w:tabs>
          <w:tab w:val="left" w:pos="454"/>
          <w:tab w:val="clear" w:pos="360"/>
        </w:tabs>
        <w:spacing w:line="360" w:lineRule="auto"/>
        <w:rPr>
          <w:rFonts w:hint="eastAsia" w:ascii="宋体" w:hAnsi="宋体"/>
          <w:color w:val="auto"/>
          <w:szCs w:val="21"/>
          <w:highlight w:val="none"/>
        </w:rPr>
      </w:pPr>
      <w:r>
        <w:rPr>
          <w:rFonts w:hint="eastAsia" w:ascii="宋体" w:hAnsi="宋体"/>
          <w:color w:val="auto"/>
          <w:szCs w:val="21"/>
          <w:highlight w:val="none"/>
        </w:rPr>
        <w:t>4.1▲自磋商响应截止日起 60天磋商响应文件应保持有效。如采购人认为必要可延长，但至总计最长不超过90 天。有效期短于这个规定期限的磋商响应文件将被拒绝。</w:t>
      </w:r>
    </w:p>
    <w:p>
      <w:pPr>
        <w:pStyle w:val="14"/>
        <w:numPr>
          <w:ilvl w:val="0"/>
          <w:numId w:val="0"/>
        </w:numPr>
        <w:tabs>
          <w:tab w:val="left" w:pos="454"/>
          <w:tab w:val="clear" w:pos="360"/>
        </w:tabs>
        <w:spacing w:line="360" w:lineRule="auto"/>
        <w:rPr>
          <w:rFonts w:hint="eastAsia" w:ascii="宋体" w:hAnsi="宋体"/>
          <w:color w:val="auto"/>
          <w:szCs w:val="21"/>
          <w:highlight w:val="none"/>
        </w:rPr>
      </w:pPr>
      <w:r>
        <w:rPr>
          <w:rFonts w:hint="eastAsia" w:ascii="宋体" w:hAnsi="宋体"/>
          <w:color w:val="auto"/>
          <w:szCs w:val="21"/>
          <w:highlight w:val="none"/>
        </w:rPr>
        <w:t>4.2在特殊情况下，磋商人可与供应商协商延长磋商响应文件的有效期，这种要求和答复均以书面形式进行。</w:t>
      </w:r>
    </w:p>
    <w:p>
      <w:pPr>
        <w:snapToGrid w:val="0"/>
        <w:spacing w:line="360" w:lineRule="auto"/>
        <w:rPr>
          <w:rFonts w:hint="eastAsia" w:ascii="宋体" w:hAnsi="宋体"/>
          <w:color w:val="auto"/>
          <w:szCs w:val="21"/>
          <w:highlight w:val="none"/>
        </w:rPr>
      </w:pPr>
      <w:bookmarkStart w:id="59" w:name="_Toc437979783"/>
      <w:bookmarkStart w:id="60" w:name="_Toc448487542"/>
      <w:bookmarkStart w:id="61" w:name="_Toc177824879"/>
      <w:bookmarkStart w:id="62" w:name="_Toc177825127"/>
      <w:bookmarkStart w:id="63" w:name="_Toc177824946"/>
      <w:bookmarkStart w:id="64" w:name="_Toc177870549"/>
      <w:bookmarkStart w:id="65" w:name="_Toc487793393"/>
      <w:bookmarkStart w:id="66" w:name="_Toc192313114"/>
      <w:bookmarkStart w:id="67" w:name="_Toc487802107"/>
      <w:bookmarkStart w:id="68" w:name="_Toc487802038"/>
      <w:r>
        <w:rPr>
          <w:rFonts w:hint="eastAsia" w:ascii="宋体" w:hAnsi="宋体"/>
          <w:color w:val="auto"/>
          <w:szCs w:val="21"/>
          <w:highlight w:val="none"/>
        </w:rPr>
        <w:t>4.3供应商可拒绝接受延期要求而不会导致保证金被没收。同意延长有效期的供应商不能修改磋商文件。</w:t>
      </w:r>
      <w:bookmarkEnd w:id="59"/>
      <w:bookmarkEnd w:id="60"/>
      <w:bookmarkEnd w:id="61"/>
      <w:bookmarkEnd w:id="62"/>
      <w:bookmarkEnd w:id="63"/>
      <w:bookmarkEnd w:id="64"/>
      <w:bookmarkEnd w:id="65"/>
      <w:bookmarkEnd w:id="66"/>
      <w:bookmarkEnd w:id="67"/>
      <w:bookmarkEnd w:id="68"/>
      <w:r>
        <w:rPr>
          <w:rFonts w:hint="eastAsia" w:ascii="宋体" w:hAnsi="宋体"/>
          <w:color w:val="auto"/>
          <w:szCs w:val="21"/>
          <w:highlight w:val="none"/>
        </w:rPr>
        <w:t xml:space="preserve"> </w:t>
      </w:r>
    </w:p>
    <w:p>
      <w:pPr>
        <w:snapToGrid w:val="0"/>
        <w:spacing w:line="360" w:lineRule="auto"/>
        <w:rPr>
          <w:rFonts w:hint="eastAsia" w:ascii="宋体" w:hAnsi="宋体"/>
          <w:b/>
          <w:color w:val="auto"/>
          <w:szCs w:val="21"/>
          <w:highlight w:val="none"/>
        </w:rPr>
      </w:pPr>
      <w:bookmarkStart w:id="69" w:name="_Toc437979784"/>
      <w:bookmarkStart w:id="70" w:name="_Toc177825128"/>
      <w:bookmarkStart w:id="71" w:name="_Toc448487543"/>
      <w:bookmarkStart w:id="72" w:name="_Toc177870550"/>
      <w:bookmarkStart w:id="73" w:name="_Toc177824880"/>
      <w:bookmarkStart w:id="74" w:name="_Toc192313115"/>
      <w:bookmarkStart w:id="75" w:name="_Toc177824947"/>
      <w:bookmarkStart w:id="76" w:name="_Toc487802039"/>
      <w:bookmarkStart w:id="77" w:name="_Toc487802108"/>
      <w:bookmarkStart w:id="78" w:name="_Toc487793394"/>
      <w:r>
        <w:rPr>
          <w:rFonts w:hint="eastAsia" w:ascii="宋体" w:hAnsi="宋体"/>
          <w:b/>
          <w:color w:val="auto"/>
          <w:szCs w:val="21"/>
          <w:highlight w:val="none"/>
        </w:rPr>
        <w:t>5.</w:t>
      </w:r>
      <w:bookmarkEnd w:id="69"/>
      <w:bookmarkEnd w:id="70"/>
      <w:bookmarkEnd w:id="71"/>
      <w:bookmarkEnd w:id="72"/>
      <w:bookmarkEnd w:id="73"/>
      <w:bookmarkEnd w:id="74"/>
      <w:bookmarkEnd w:id="75"/>
      <w:r>
        <w:rPr>
          <w:rFonts w:hint="eastAsia" w:ascii="宋体" w:hAnsi="宋体"/>
          <w:b/>
          <w:color w:val="auto"/>
          <w:szCs w:val="21"/>
          <w:highlight w:val="none"/>
        </w:rPr>
        <w:t xml:space="preserve"> 下列情况，磋商供应商将由代理机构上报行政主管部门，接受行政主管部门的处罚：</w:t>
      </w:r>
      <w:bookmarkEnd w:id="76"/>
      <w:bookmarkEnd w:id="77"/>
      <w:bookmarkEnd w:id="78"/>
    </w:p>
    <w:p>
      <w:pPr>
        <w:spacing w:line="360" w:lineRule="auto"/>
        <w:rPr>
          <w:rFonts w:hint="eastAsia" w:ascii="宋体" w:hAnsi="宋体"/>
          <w:color w:val="auto"/>
          <w:szCs w:val="21"/>
          <w:highlight w:val="none"/>
        </w:rPr>
      </w:pPr>
      <w:r>
        <w:rPr>
          <w:rFonts w:hint="eastAsia" w:ascii="宋体" w:hAnsi="宋体"/>
          <w:color w:val="auto"/>
          <w:szCs w:val="21"/>
          <w:highlight w:val="none"/>
        </w:rPr>
        <w:t>5.1 供应商在磋商响应文件有效期内撤回磋商响应文件的；</w:t>
      </w:r>
    </w:p>
    <w:p>
      <w:pPr>
        <w:spacing w:line="360" w:lineRule="auto"/>
        <w:rPr>
          <w:rFonts w:hint="eastAsia" w:ascii="宋体" w:hAnsi="宋体"/>
          <w:color w:val="auto"/>
          <w:szCs w:val="21"/>
          <w:highlight w:val="none"/>
        </w:rPr>
      </w:pPr>
      <w:r>
        <w:rPr>
          <w:rFonts w:hint="eastAsia" w:ascii="宋体" w:hAnsi="宋体"/>
          <w:color w:val="auto"/>
          <w:szCs w:val="21"/>
          <w:highlight w:val="none"/>
        </w:rPr>
        <w:t>5.2中标供应商未按规定的时间、地点与采购人签订合同的；</w:t>
      </w:r>
    </w:p>
    <w:p>
      <w:pPr>
        <w:spacing w:line="360" w:lineRule="auto"/>
        <w:rPr>
          <w:rFonts w:hint="eastAsia" w:ascii="宋体" w:hAnsi="宋体"/>
          <w:color w:val="auto"/>
          <w:szCs w:val="21"/>
          <w:highlight w:val="none"/>
        </w:rPr>
      </w:pPr>
      <w:r>
        <w:rPr>
          <w:rFonts w:hint="eastAsia" w:ascii="宋体" w:hAnsi="宋体"/>
          <w:color w:val="auto"/>
          <w:szCs w:val="21"/>
          <w:highlight w:val="none"/>
        </w:rPr>
        <w:t>5.3供应商在磋商过程中弄虚作假，提供虚假材料；</w:t>
      </w:r>
    </w:p>
    <w:p>
      <w:pPr>
        <w:spacing w:line="360" w:lineRule="auto"/>
        <w:rPr>
          <w:rFonts w:hint="eastAsia" w:ascii="宋体" w:hAnsi="宋体"/>
          <w:color w:val="auto"/>
          <w:szCs w:val="21"/>
          <w:highlight w:val="none"/>
        </w:rPr>
      </w:pPr>
      <w:r>
        <w:rPr>
          <w:rFonts w:hint="eastAsia" w:ascii="宋体" w:hAnsi="宋体"/>
          <w:color w:val="auto"/>
          <w:szCs w:val="21"/>
          <w:highlight w:val="none"/>
        </w:rPr>
        <w:t>5.4其他严重扰乱竞争性磋商程序的；</w:t>
      </w:r>
    </w:p>
    <w:p>
      <w:pPr>
        <w:spacing w:line="360" w:lineRule="auto"/>
        <w:rPr>
          <w:rFonts w:hint="eastAsia" w:ascii="宋体" w:hAnsi="宋体"/>
          <w:b/>
          <w:color w:val="auto"/>
          <w:szCs w:val="21"/>
          <w:highlight w:val="none"/>
        </w:rPr>
      </w:pPr>
      <w:bookmarkStart w:id="79" w:name="_Toc192313117"/>
      <w:bookmarkStart w:id="80" w:name="_Toc487802040"/>
      <w:bookmarkStart w:id="81" w:name="_Toc487802109"/>
      <w:bookmarkStart w:id="82" w:name="_Toc177870552"/>
      <w:bookmarkStart w:id="83" w:name="_Toc437979785"/>
      <w:bookmarkStart w:id="84" w:name="_Toc448487544"/>
      <w:bookmarkStart w:id="85" w:name="_Toc487793395"/>
      <w:r>
        <w:rPr>
          <w:rFonts w:hint="eastAsia" w:ascii="宋体" w:hAnsi="宋体"/>
          <w:b/>
          <w:color w:val="auto"/>
          <w:szCs w:val="21"/>
          <w:highlight w:val="none"/>
          <w:lang w:val="en-US" w:eastAsia="zh-CN"/>
        </w:rPr>
        <w:t>6</w:t>
      </w:r>
      <w:r>
        <w:rPr>
          <w:rFonts w:hint="eastAsia" w:ascii="宋体" w:hAnsi="宋体"/>
          <w:b/>
          <w:color w:val="auto"/>
          <w:szCs w:val="21"/>
          <w:highlight w:val="none"/>
        </w:rPr>
        <w:t>．无效响应文件条款：</w:t>
      </w:r>
      <w:bookmarkEnd w:id="79"/>
      <w:bookmarkEnd w:id="80"/>
      <w:bookmarkEnd w:id="81"/>
      <w:bookmarkEnd w:id="82"/>
      <w:bookmarkEnd w:id="83"/>
      <w:bookmarkEnd w:id="84"/>
      <w:bookmarkEnd w:id="85"/>
    </w:p>
    <w:p>
      <w:pPr>
        <w:spacing w:line="360" w:lineRule="auto"/>
        <w:rPr>
          <w:rFonts w:ascii="宋体" w:hAnsi="宋体"/>
          <w:color w:val="auto"/>
          <w:szCs w:val="21"/>
          <w:highlight w:val="none"/>
        </w:rPr>
      </w:pPr>
      <w:r>
        <w:rPr>
          <w:rFonts w:hint="eastAsia" w:ascii="宋体" w:hAnsi="宋体"/>
          <w:color w:val="auto"/>
          <w:szCs w:val="21"/>
          <w:highlight w:val="none"/>
        </w:rPr>
        <w:t>存在下列情况之一的,其磋商将响应文件被作无效文件处理:</w:t>
      </w:r>
    </w:p>
    <w:p>
      <w:pPr>
        <w:pStyle w:val="29"/>
        <w:spacing w:line="360" w:lineRule="auto"/>
        <w:rPr>
          <w:rFonts w:hint="eastAsia" w:hAnsi="宋体"/>
          <w:color w:val="auto"/>
          <w:szCs w:val="21"/>
          <w:highlight w:val="none"/>
        </w:rPr>
      </w:pPr>
      <w:r>
        <w:rPr>
          <w:rFonts w:hint="eastAsia" w:hAnsi="宋体"/>
          <w:color w:val="auto"/>
          <w:szCs w:val="21"/>
          <w:highlight w:val="none"/>
          <w:lang w:val="en-US" w:eastAsia="zh-CN"/>
        </w:rPr>
        <w:t>6</w:t>
      </w:r>
      <w:r>
        <w:rPr>
          <w:rFonts w:hint="eastAsia" w:hAnsi="宋体"/>
          <w:color w:val="auto"/>
          <w:szCs w:val="21"/>
          <w:highlight w:val="none"/>
        </w:rPr>
        <w:t>.</w:t>
      </w:r>
      <w:r>
        <w:rPr>
          <w:rFonts w:hAnsi="宋体"/>
          <w:color w:val="auto"/>
          <w:szCs w:val="21"/>
          <w:highlight w:val="none"/>
        </w:rPr>
        <w:t>1</w:t>
      </w:r>
      <w:r>
        <w:rPr>
          <w:rFonts w:hint="eastAsia" w:hAnsi="宋体"/>
          <w:color w:val="auto"/>
          <w:szCs w:val="21"/>
          <w:highlight w:val="none"/>
        </w:rPr>
        <w:t>超过截止时间</w:t>
      </w:r>
      <w:r>
        <w:rPr>
          <w:rFonts w:hint="eastAsia" w:hAnsi="宋体"/>
          <w:color w:val="auto"/>
          <w:szCs w:val="21"/>
          <w:highlight w:val="none"/>
          <w:lang w:val="en-US" w:eastAsia="zh-CN"/>
        </w:rPr>
        <w:t>上传投标文件</w:t>
      </w:r>
      <w:r>
        <w:rPr>
          <w:rFonts w:hint="eastAsia" w:hAnsi="宋体"/>
          <w:color w:val="auto"/>
          <w:szCs w:val="21"/>
          <w:highlight w:val="none"/>
        </w:rPr>
        <w:t>的</w:t>
      </w:r>
    </w:p>
    <w:p>
      <w:pPr>
        <w:pStyle w:val="29"/>
        <w:spacing w:line="360" w:lineRule="auto"/>
        <w:rPr>
          <w:rFonts w:hint="eastAsia" w:hAnsi="宋体"/>
          <w:color w:val="auto"/>
          <w:szCs w:val="21"/>
          <w:highlight w:val="none"/>
        </w:rPr>
      </w:pPr>
      <w:r>
        <w:rPr>
          <w:rFonts w:hint="eastAsia" w:hAnsi="宋体"/>
          <w:color w:val="auto"/>
          <w:szCs w:val="21"/>
          <w:highlight w:val="none"/>
          <w:lang w:val="en-US" w:eastAsia="zh-CN"/>
        </w:rPr>
        <w:t>6</w:t>
      </w:r>
      <w:r>
        <w:rPr>
          <w:rFonts w:hint="eastAsia" w:hAnsi="宋体"/>
          <w:color w:val="auto"/>
          <w:szCs w:val="21"/>
          <w:highlight w:val="none"/>
        </w:rPr>
        <w:t>.</w:t>
      </w:r>
      <w:r>
        <w:rPr>
          <w:rFonts w:hAnsi="宋体"/>
          <w:color w:val="auto"/>
          <w:szCs w:val="21"/>
          <w:highlight w:val="none"/>
        </w:rPr>
        <w:t>2</w:t>
      </w:r>
      <w:r>
        <w:rPr>
          <w:rFonts w:hint="eastAsia" w:hAnsi="宋体"/>
          <w:color w:val="auto"/>
          <w:szCs w:val="21"/>
          <w:highlight w:val="none"/>
        </w:rPr>
        <w:t>未按规定签章的；</w:t>
      </w:r>
    </w:p>
    <w:p>
      <w:pPr>
        <w:spacing w:line="360" w:lineRule="auto"/>
        <w:rPr>
          <w:rFonts w:ascii="宋体" w:hAnsi="宋体"/>
          <w:color w:val="auto"/>
          <w:szCs w:val="21"/>
          <w:highlight w:val="none"/>
        </w:rPr>
      </w:pPr>
      <w:r>
        <w:rPr>
          <w:rFonts w:hint="eastAsia" w:ascii="宋体" w:hAnsi="宋体"/>
          <w:color w:val="auto"/>
          <w:szCs w:val="21"/>
          <w:highlight w:val="none"/>
          <w:lang w:val="en-US" w:eastAsia="zh-CN"/>
        </w:rPr>
        <w:t>6</w:t>
      </w:r>
      <w:r>
        <w:rPr>
          <w:rFonts w:hint="eastAsia" w:ascii="宋体" w:hAnsi="宋体"/>
          <w:color w:val="auto"/>
          <w:szCs w:val="21"/>
          <w:highlight w:val="none"/>
        </w:rPr>
        <w:t>.</w:t>
      </w:r>
      <w:r>
        <w:rPr>
          <w:rFonts w:ascii="宋体" w:hAnsi="宋体"/>
          <w:color w:val="auto"/>
          <w:szCs w:val="21"/>
          <w:highlight w:val="none"/>
        </w:rPr>
        <w:t>3</w:t>
      </w:r>
      <w:r>
        <w:rPr>
          <w:rFonts w:hint="eastAsia" w:ascii="宋体" w:hAnsi="宋体"/>
          <w:color w:val="auto"/>
          <w:szCs w:val="21"/>
          <w:highlight w:val="none"/>
        </w:rPr>
        <w:t>超出经营范围参加磋商的;</w:t>
      </w:r>
    </w:p>
    <w:p>
      <w:pPr>
        <w:spacing w:line="360" w:lineRule="auto"/>
        <w:rPr>
          <w:rFonts w:ascii="宋体" w:hAnsi="宋体"/>
          <w:color w:val="auto"/>
          <w:szCs w:val="21"/>
          <w:highlight w:val="none"/>
        </w:rPr>
      </w:pPr>
      <w:r>
        <w:rPr>
          <w:rFonts w:hint="eastAsia" w:ascii="宋体" w:hAnsi="宋体"/>
          <w:color w:val="auto"/>
          <w:szCs w:val="21"/>
          <w:highlight w:val="none"/>
          <w:lang w:val="en-US" w:eastAsia="zh-CN"/>
        </w:rPr>
        <w:t>6</w:t>
      </w:r>
      <w:r>
        <w:rPr>
          <w:rFonts w:hint="eastAsia" w:ascii="宋体" w:hAnsi="宋体"/>
          <w:color w:val="auto"/>
          <w:szCs w:val="21"/>
          <w:highlight w:val="none"/>
        </w:rPr>
        <w:t>.</w:t>
      </w:r>
      <w:r>
        <w:rPr>
          <w:rFonts w:ascii="宋体" w:hAnsi="宋体"/>
          <w:color w:val="auto"/>
          <w:szCs w:val="21"/>
          <w:highlight w:val="none"/>
        </w:rPr>
        <w:t>4</w:t>
      </w:r>
      <w:r>
        <w:rPr>
          <w:rFonts w:hint="eastAsia" w:ascii="宋体" w:hAnsi="宋体"/>
          <w:color w:val="auto"/>
          <w:szCs w:val="21"/>
          <w:highlight w:val="none"/>
        </w:rPr>
        <w:t>资格证明文件不全的;</w:t>
      </w:r>
    </w:p>
    <w:p>
      <w:pPr>
        <w:spacing w:line="360" w:lineRule="auto"/>
        <w:rPr>
          <w:rFonts w:hint="eastAsia" w:ascii="宋体" w:hAnsi="宋体"/>
          <w:color w:val="auto"/>
          <w:szCs w:val="21"/>
          <w:highlight w:val="none"/>
        </w:rPr>
      </w:pPr>
      <w:r>
        <w:rPr>
          <w:rFonts w:hint="eastAsia" w:ascii="宋体" w:hAnsi="宋体"/>
          <w:color w:val="auto"/>
          <w:szCs w:val="21"/>
          <w:highlight w:val="none"/>
          <w:lang w:val="en-US" w:eastAsia="zh-CN"/>
        </w:rPr>
        <w:t>6</w:t>
      </w:r>
      <w:r>
        <w:rPr>
          <w:rFonts w:hint="eastAsia" w:ascii="宋体" w:hAnsi="宋体"/>
          <w:color w:val="auto"/>
          <w:szCs w:val="21"/>
          <w:highlight w:val="none"/>
        </w:rPr>
        <w:t>.</w:t>
      </w:r>
      <w:r>
        <w:rPr>
          <w:rFonts w:ascii="宋体" w:hAnsi="宋体"/>
          <w:color w:val="auto"/>
          <w:szCs w:val="21"/>
          <w:highlight w:val="none"/>
        </w:rPr>
        <w:t>5</w:t>
      </w:r>
      <w:r>
        <w:rPr>
          <w:rFonts w:hint="eastAsia" w:ascii="宋体" w:hAnsi="宋体"/>
          <w:color w:val="auto"/>
          <w:szCs w:val="21"/>
          <w:highlight w:val="none"/>
        </w:rPr>
        <w:t>磋商响应文件无法定代表人签字,或无法定代表人有效授权委托书的; 或磋商代表人未能出具身份证明或与法定代表人授权委托人身份不符的；</w:t>
      </w:r>
    </w:p>
    <w:p>
      <w:pPr>
        <w:spacing w:line="360" w:lineRule="auto"/>
        <w:rPr>
          <w:rFonts w:hint="eastAsia" w:ascii="宋体" w:hAnsi="宋体"/>
          <w:snapToGrid w:val="0"/>
          <w:color w:val="auto"/>
          <w:szCs w:val="21"/>
          <w:highlight w:val="none"/>
        </w:rPr>
      </w:pPr>
      <w:r>
        <w:rPr>
          <w:rFonts w:hint="eastAsia" w:ascii="宋体" w:hAnsi="宋体"/>
          <w:color w:val="auto"/>
          <w:szCs w:val="21"/>
          <w:highlight w:val="none"/>
          <w:lang w:val="en-US" w:eastAsia="zh-CN"/>
        </w:rPr>
        <w:t>6</w:t>
      </w:r>
      <w:r>
        <w:rPr>
          <w:rFonts w:hint="eastAsia" w:ascii="宋体" w:hAnsi="宋体"/>
          <w:color w:val="auto"/>
          <w:szCs w:val="21"/>
          <w:highlight w:val="none"/>
        </w:rPr>
        <w:t>.</w:t>
      </w:r>
      <w:r>
        <w:rPr>
          <w:rFonts w:ascii="宋体" w:hAnsi="宋体"/>
          <w:color w:val="auto"/>
          <w:szCs w:val="21"/>
          <w:highlight w:val="none"/>
        </w:rPr>
        <w:t>6</w:t>
      </w:r>
      <w:r>
        <w:rPr>
          <w:rFonts w:hint="eastAsia" w:ascii="宋体" w:hAnsi="宋体"/>
          <w:snapToGrid w:val="0"/>
          <w:color w:val="auto"/>
          <w:szCs w:val="21"/>
          <w:highlight w:val="none"/>
        </w:rPr>
        <w:t>明显不符合技术规格、技术标准的要求；</w:t>
      </w:r>
    </w:p>
    <w:p>
      <w:pPr>
        <w:spacing w:line="360" w:lineRule="auto"/>
        <w:rPr>
          <w:rFonts w:hint="eastAsia" w:ascii="宋体" w:hAnsi="宋体"/>
          <w:color w:val="auto"/>
          <w:szCs w:val="21"/>
          <w:highlight w:val="none"/>
        </w:rPr>
      </w:pPr>
      <w:r>
        <w:rPr>
          <w:rFonts w:hint="eastAsia" w:ascii="宋体" w:hAnsi="宋体"/>
          <w:snapToGrid w:val="0"/>
          <w:color w:val="auto"/>
          <w:szCs w:val="21"/>
          <w:highlight w:val="none"/>
          <w:lang w:val="en-US" w:eastAsia="zh-CN"/>
        </w:rPr>
        <w:t>6</w:t>
      </w:r>
      <w:r>
        <w:rPr>
          <w:rFonts w:hint="eastAsia" w:ascii="宋体" w:hAnsi="宋体"/>
          <w:snapToGrid w:val="0"/>
          <w:color w:val="auto"/>
          <w:szCs w:val="21"/>
          <w:highlight w:val="none"/>
        </w:rPr>
        <w:t>.</w:t>
      </w:r>
      <w:r>
        <w:rPr>
          <w:rFonts w:ascii="宋体" w:hAnsi="宋体"/>
          <w:snapToGrid w:val="0"/>
          <w:color w:val="auto"/>
          <w:szCs w:val="21"/>
          <w:highlight w:val="none"/>
        </w:rPr>
        <w:t>7</w:t>
      </w:r>
      <w:r>
        <w:rPr>
          <w:rFonts w:hint="eastAsia" w:ascii="宋体" w:hAnsi="宋体"/>
          <w:snapToGrid w:val="0"/>
          <w:color w:val="auto"/>
          <w:szCs w:val="21"/>
          <w:highlight w:val="none"/>
        </w:rPr>
        <w:t>最后一轮</w:t>
      </w:r>
      <w:r>
        <w:rPr>
          <w:rFonts w:hint="eastAsia" w:ascii="宋体" w:hAnsi="宋体"/>
          <w:color w:val="auto"/>
          <w:szCs w:val="21"/>
          <w:highlight w:val="none"/>
        </w:rPr>
        <w:t xml:space="preserve">报价超出采购项目预算范围的; </w:t>
      </w:r>
    </w:p>
    <w:p>
      <w:pPr>
        <w:spacing w:line="360" w:lineRule="auto"/>
        <w:rPr>
          <w:rFonts w:hint="eastAsia" w:ascii="宋体" w:hAnsi="宋体"/>
          <w:color w:val="auto"/>
          <w:szCs w:val="21"/>
          <w:highlight w:val="none"/>
        </w:rPr>
      </w:pPr>
      <w:r>
        <w:rPr>
          <w:rFonts w:hint="eastAsia" w:ascii="宋体" w:hAnsi="宋体"/>
          <w:color w:val="auto"/>
          <w:szCs w:val="21"/>
          <w:highlight w:val="none"/>
          <w:lang w:val="en-US" w:eastAsia="zh-CN"/>
        </w:rPr>
        <w:t>6</w:t>
      </w:r>
      <w:r>
        <w:rPr>
          <w:rFonts w:hint="eastAsia" w:ascii="宋体" w:hAnsi="宋体"/>
          <w:color w:val="auto"/>
          <w:szCs w:val="21"/>
          <w:highlight w:val="none"/>
        </w:rPr>
        <w:t>.</w:t>
      </w:r>
      <w:r>
        <w:rPr>
          <w:rFonts w:ascii="宋体" w:hAnsi="宋体"/>
          <w:color w:val="auto"/>
          <w:szCs w:val="21"/>
          <w:highlight w:val="none"/>
        </w:rPr>
        <w:t>8</w:t>
      </w:r>
      <w:r>
        <w:rPr>
          <w:rFonts w:hint="eastAsia" w:ascii="宋体" w:hAnsi="宋体"/>
          <w:color w:val="auto"/>
          <w:szCs w:val="21"/>
          <w:highlight w:val="none"/>
        </w:rPr>
        <w:t>磋商供应商提出采购方不能接受之条件的；</w:t>
      </w:r>
    </w:p>
    <w:p>
      <w:pPr>
        <w:pStyle w:val="22"/>
        <w:adjustRightInd w:val="0"/>
        <w:snapToGrid w:val="0"/>
        <w:spacing w:line="360" w:lineRule="auto"/>
        <w:ind w:left="0" w:leftChars="0"/>
        <w:rPr>
          <w:rFonts w:hint="eastAsia" w:hAnsi="宋体"/>
          <w:snapToGrid w:val="0"/>
          <w:color w:val="auto"/>
          <w:szCs w:val="21"/>
          <w:highlight w:val="none"/>
        </w:rPr>
      </w:pPr>
      <w:r>
        <w:rPr>
          <w:rFonts w:hint="eastAsia" w:hAnsi="宋体"/>
          <w:snapToGrid w:val="0"/>
          <w:color w:val="auto"/>
          <w:szCs w:val="21"/>
          <w:highlight w:val="none"/>
          <w:lang w:val="en-US" w:eastAsia="zh-CN"/>
        </w:rPr>
        <w:t>6</w:t>
      </w:r>
      <w:r>
        <w:rPr>
          <w:rFonts w:hint="eastAsia" w:hAnsi="宋体"/>
          <w:snapToGrid w:val="0"/>
          <w:color w:val="auto"/>
          <w:szCs w:val="21"/>
          <w:highlight w:val="none"/>
        </w:rPr>
        <w:t>.</w:t>
      </w:r>
      <w:r>
        <w:rPr>
          <w:rFonts w:hAnsi="宋体"/>
          <w:snapToGrid w:val="0"/>
          <w:color w:val="auto"/>
          <w:szCs w:val="21"/>
          <w:highlight w:val="none"/>
        </w:rPr>
        <w:t>9</w:t>
      </w:r>
      <w:r>
        <w:rPr>
          <w:rFonts w:hint="eastAsia" w:hAnsi="宋体"/>
          <w:snapToGrid w:val="0"/>
          <w:color w:val="auto"/>
          <w:szCs w:val="21"/>
          <w:highlight w:val="none"/>
        </w:rPr>
        <w:t xml:space="preserve"> 两份磋商</w:t>
      </w:r>
      <w:r>
        <w:rPr>
          <w:rFonts w:hint="eastAsia" w:hAnsi="宋体"/>
          <w:color w:val="auto"/>
          <w:szCs w:val="21"/>
          <w:highlight w:val="none"/>
        </w:rPr>
        <w:t>响应</w:t>
      </w:r>
      <w:r>
        <w:rPr>
          <w:rFonts w:hint="eastAsia" w:hAnsi="宋体"/>
          <w:snapToGrid w:val="0"/>
          <w:color w:val="auto"/>
          <w:szCs w:val="21"/>
          <w:highlight w:val="none"/>
        </w:rPr>
        <w:t>文件存在以下情况之一:两处或两处以上差错相同; 两处或两处以上技术文件文字表述相同连续二十行及以上的；</w:t>
      </w:r>
      <w:bookmarkStart w:id="86" w:name="_Toc107820050"/>
      <w:bookmarkStart w:id="87" w:name="_Toc170792769"/>
    </w:p>
    <w:p>
      <w:pPr>
        <w:pStyle w:val="22"/>
        <w:adjustRightInd w:val="0"/>
        <w:snapToGrid w:val="0"/>
        <w:spacing w:line="360" w:lineRule="auto"/>
        <w:ind w:left="0" w:leftChars="0"/>
        <w:rPr>
          <w:rFonts w:hint="eastAsia" w:hAnsi="宋体"/>
          <w:color w:val="auto"/>
          <w:szCs w:val="21"/>
          <w:highlight w:val="none"/>
        </w:rPr>
      </w:pPr>
      <w:r>
        <w:rPr>
          <w:rFonts w:hint="eastAsia" w:hAnsi="宋体"/>
          <w:snapToGrid w:val="0"/>
          <w:color w:val="auto"/>
          <w:szCs w:val="21"/>
          <w:highlight w:val="none"/>
          <w:lang w:val="en-US" w:eastAsia="zh-CN"/>
        </w:rPr>
        <w:t>6</w:t>
      </w:r>
      <w:r>
        <w:rPr>
          <w:rFonts w:hint="eastAsia" w:hAnsi="宋体"/>
          <w:snapToGrid w:val="0"/>
          <w:color w:val="auto"/>
          <w:szCs w:val="21"/>
          <w:highlight w:val="none"/>
        </w:rPr>
        <w:t>.1</w:t>
      </w:r>
      <w:r>
        <w:rPr>
          <w:rFonts w:hAnsi="宋体"/>
          <w:snapToGrid w:val="0"/>
          <w:color w:val="auto"/>
          <w:szCs w:val="21"/>
          <w:highlight w:val="none"/>
        </w:rPr>
        <w:t>0</w:t>
      </w:r>
      <w:r>
        <w:rPr>
          <w:rFonts w:hint="eastAsia" w:hAnsi="宋体"/>
          <w:snapToGrid w:val="0"/>
          <w:color w:val="auto"/>
          <w:szCs w:val="21"/>
          <w:highlight w:val="none"/>
        </w:rPr>
        <w:t>存在带</w:t>
      </w:r>
      <w:r>
        <w:rPr>
          <w:rFonts w:hint="eastAsia" w:hAnsi="宋体"/>
          <w:color w:val="auto"/>
          <w:szCs w:val="21"/>
          <w:highlight w:val="none"/>
        </w:rPr>
        <w:t>“▲”条款的负偏离的；</w:t>
      </w:r>
    </w:p>
    <w:p>
      <w:pPr>
        <w:pStyle w:val="22"/>
        <w:adjustRightInd w:val="0"/>
        <w:snapToGrid w:val="0"/>
        <w:spacing w:line="360" w:lineRule="auto"/>
        <w:ind w:left="0" w:leftChars="0"/>
        <w:rPr>
          <w:rFonts w:hint="eastAsia" w:hAnsi="宋体"/>
          <w:color w:val="auto"/>
          <w:szCs w:val="21"/>
          <w:highlight w:val="none"/>
        </w:rPr>
      </w:pPr>
      <w:r>
        <w:rPr>
          <w:rFonts w:hint="eastAsia" w:hAnsi="宋体"/>
          <w:color w:val="auto"/>
          <w:szCs w:val="21"/>
          <w:highlight w:val="none"/>
          <w:lang w:val="en-US" w:eastAsia="zh-CN"/>
        </w:rPr>
        <w:t>6</w:t>
      </w:r>
      <w:r>
        <w:rPr>
          <w:rFonts w:hint="eastAsia" w:hAnsi="宋体"/>
          <w:color w:val="auto"/>
          <w:szCs w:val="21"/>
          <w:highlight w:val="none"/>
        </w:rPr>
        <w:t>.1</w:t>
      </w:r>
      <w:r>
        <w:rPr>
          <w:rFonts w:hAnsi="宋体"/>
          <w:color w:val="auto"/>
          <w:szCs w:val="21"/>
          <w:highlight w:val="none"/>
        </w:rPr>
        <w:t>1</w:t>
      </w:r>
      <w:r>
        <w:rPr>
          <w:rFonts w:hint="eastAsia" w:hAnsi="宋体"/>
          <w:color w:val="auto"/>
          <w:szCs w:val="21"/>
          <w:highlight w:val="none"/>
        </w:rPr>
        <w:t>本磋商文件其他部分已规定为无效响应文件的情形;</w:t>
      </w:r>
    </w:p>
    <w:p>
      <w:pPr>
        <w:pStyle w:val="29"/>
        <w:spacing w:line="360" w:lineRule="auto"/>
        <w:rPr>
          <w:rFonts w:hint="eastAsia" w:hAnsi="宋体"/>
          <w:color w:val="auto"/>
          <w:szCs w:val="21"/>
          <w:highlight w:val="none"/>
        </w:rPr>
      </w:pPr>
      <w:r>
        <w:rPr>
          <w:rFonts w:hint="eastAsia" w:hAnsi="宋体"/>
          <w:color w:val="auto"/>
          <w:szCs w:val="21"/>
          <w:highlight w:val="none"/>
          <w:lang w:val="en-US" w:eastAsia="zh-CN"/>
        </w:rPr>
        <w:t>6</w:t>
      </w:r>
      <w:r>
        <w:rPr>
          <w:rFonts w:hint="eastAsia" w:hAnsi="宋体"/>
          <w:color w:val="auto"/>
          <w:szCs w:val="21"/>
          <w:highlight w:val="none"/>
        </w:rPr>
        <w:t>.1</w:t>
      </w:r>
      <w:r>
        <w:rPr>
          <w:rFonts w:hAnsi="宋体"/>
          <w:color w:val="auto"/>
          <w:szCs w:val="21"/>
          <w:highlight w:val="none"/>
        </w:rPr>
        <w:t>2</w:t>
      </w:r>
      <w:r>
        <w:rPr>
          <w:rFonts w:hint="eastAsia" w:hAnsi="宋体"/>
          <w:color w:val="auto"/>
          <w:szCs w:val="21"/>
          <w:highlight w:val="none"/>
        </w:rPr>
        <w:t>评审专家认定的其他必须按无效响应文件处理的。</w:t>
      </w:r>
    </w:p>
    <w:p>
      <w:pPr>
        <w:pStyle w:val="4"/>
        <w:jc w:val="center"/>
        <w:rPr>
          <w:rFonts w:hint="eastAsia" w:ascii="宋体" w:hAnsi="宋体"/>
          <w:color w:val="auto"/>
          <w:sz w:val="21"/>
          <w:szCs w:val="21"/>
          <w:highlight w:val="none"/>
        </w:rPr>
      </w:pPr>
      <w:bookmarkStart w:id="88" w:name="_Toc192313118"/>
      <w:bookmarkStart w:id="89" w:name="_Toc515530070"/>
      <w:r>
        <w:rPr>
          <w:rFonts w:hint="eastAsia" w:ascii="宋体" w:hAnsi="宋体"/>
          <w:color w:val="auto"/>
          <w:sz w:val="21"/>
          <w:szCs w:val="21"/>
          <w:highlight w:val="none"/>
        </w:rPr>
        <w:t>四</w:t>
      </w:r>
      <w:bookmarkEnd w:id="86"/>
      <w:bookmarkEnd w:id="87"/>
      <w:bookmarkEnd w:id="88"/>
      <w:r>
        <w:rPr>
          <w:rFonts w:hint="eastAsia" w:ascii="宋体" w:hAnsi="宋体"/>
          <w:color w:val="auto"/>
          <w:sz w:val="21"/>
          <w:szCs w:val="21"/>
          <w:highlight w:val="none"/>
        </w:rPr>
        <w:t xml:space="preserve">    磋商前的准备</w:t>
      </w:r>
      <w:bookmarkEnd w:id="89"/>
    </w:p>
    <w:p>
      <w:pPr>
        <w:spacing w:line="360" w:lineRule="auto"/>
        <w:ind w:firstLine="420" w:firstLineChars="200"/>
        <w:jc w:val="left"/>
        <w:rPr>
          <w:rFonts w:hint="eastAsia" w:ascii="宋体" w:hAnsi="宋体"/>
          <w:szCs w:val="21"/>
        </w:rPr>
      </w:pPr>
      <w:bookmarkStart w:id="90" w:name="_Toc192313119"/>
      <w:bookmarkStart w:id="91" w:name="_Toc515530071"/>
      <w:r>
        <w:rPr>
          <w:rFonts w:ascii="宋体" w:hAnsi="宋体"/>
          <w:szCs w:val="21"/>
        </w:rPr>
        <w:t>1</w:t>
      </w:r>
      <w:r>
        <w:rPr>
          <w:rFonts w:hint="eastAsia" w:ascii="宋体" w:hAnsi="宋体"/>
          <w:szCs w:val="21"/>
        </w:rPr>
        <w:t>、本项目实行电子磋商，</w:t>
      </w:r>
      <w:r>
        <w:rPr>
          <w:rFonts w:hint="eastAsia" w:ascii="宋体" w:hAnsi="宋体"/>
          <w:b/>
          <w:szCs w:val="21"/>
          <w:u w:val="single"/>
        </w:rPr>
        <w:t>供应商须准时在线参加，直至评审结束</w:t>
      </w:r>
      <w:r>
        <w:rPr>
          <w:rFonts w:hint="eastAsia" w:ascii="宋体" w:hAnsi="宋体"/>
          <w:szCs w:val="21"/>
        </w:rPr>
        <w:t>。</w:t>
      </w:r>
    </w:p>
    <w:p>
      <w:pPr>
        <w:spacing w:line="360" w:lineRule="auto"/>
        <w:ind w:firstLine="420" w:firstLineChars="200"/>
        <w:jc w:val="left"/>
        <w:rPr>
          <w:rFonts w:ascii="宋体" w:hAnsi="宋体"/>
          <w:szCs w:val="21"/>
        </w:rPr>
      </w:pPr>
      <w:r>
        <w:rPr>
          <w:rFonts w:ascii="宋体" w:hAnsi="宋体"/>
          <w:szCs w:val="21"/>
        </w:rPr>
        <w:t>2</w:t>
      </w:r>
      <w:r>
        <w:rPr>
          <w:rFonts w:hint="eastAsia" w:ascii="宋体" w:hAnsi="宋体"/>
          <w:szCs w:val="21"/>
        </w:rPr>
        <w:t>、电子开评标及评审程序</w:t>
      </w:r>
    </w:p>
    <w:p>
      <w:pPr>
        <w:spacing w:line="360" w:lineRule="auto"/>
        <w:ind w:firstLine="420" w:firstLineChars="200"/>
        <w:jc w:val="left"/>
        <w:rPr>
          <w:rFonts w:hint="eastAsia" w:ascii="宋体" w:hAnsi="宋体" w:eastAsia="宋体" w:cs="Times New Roman"/>
          <w:szCs w:val="21"/>
        </w:rPr>
      </w:pPr>
      <w:r>
        <w:rPr>
          <w:rFonts w:ascii="宋体" w:hAnsi="宋体"/>
          <w:szCs w:val="21"/>
        </w:rPr>
        <w:t>2.1</w:t>
      </w:r>
      <w:r>
        <w:rPr>
          <w:rFonts w:hint="eastAsia" w:ascii="宋体" w:hAnsi="宋体"/>
          <w:szCs w:val="21"/>
        </w:rPr>
        <w:t>投标截止时间后的半小时内，由各供应商自行对电子响应文件进行解密（请各供应</w:t>
      </w:r>
      <w:r>
        <w:rPr>
          <w:rFonts w:hint="eastAsia" w:ascii="宋体" w:hAnsi="宋体" w:eastAsia="宋体" w:cs="Times New Roman"/>
          <w:szCs w:val="21"/>
        </w:rPr>
        <w:t>商务必在规定时间内完成电子响应文件的解密工作。</w:t>
      </w:r>
    </w:p>
    <w:p>
      <w:pPr>
        <w:spacing w:line="360" w:lineRule="auto"/>
        <w:ind w:firstLine="420" w:firstLineChars="200"/>
        <w:jc w:val="left"/>
        <w:rPr>
          <w:rFonts w:hint="eastAsia" w:ascii="宋体" w:hAnsi="宋体" w:eastAsia="宋体" w:cs="Times New Roman"/>
          <w:szCs w:val="21"/>
        </w:rPr>
      </w:pPr>
      <w:r>
        <w:rPr>
          <w:rFonts w:hint="eastAsia" w:ascii="宋体" w:hAnsi="宋体" w:eastAsia="宋体" w:cs="Times New Roman"/>
          <w:szCs w:val="21"/>
        </w:rPr>
        <w:t>2.2采购人或代理机构对供应商的资格审查文件进行审查；评标委员会对供应商的资信商务及技术响应文件进行评审。</w:t>
      </w:r>
    </w:p>
    <w:p>
      <w:pPr>
        <w:spacing w:line="360" w:lineRule="auto"/>
        <w:ind w:firstLine="420" w:firstLineChars="200"/>
        <w:jc w:val="left"/>
        <w:rPr>
          <w:rFonts w:hint="eastAsia" w:ascii="宋体" w:hAnsi="宋体" w:eastAsia="宋体" w:cs="Times New Roman"/>
          <w:szCs w:val="21"/>
        </w:rPr>
      </w:pPr>
      <w:r>
        <w:rPr>
          <w:rFonts w:hint="eastAsia" w:ascii="宋体" w:hAnsi="宋体" w:eastAsia="宋体" w:cs="Times New Roman"/>
          <w:szCs w:val="21"/>
        </w:rPr>
        <w:t>2.3评标委员会对报价文件进行评审。</w:t>
      </w:r>
    </w:p>
    <w:p>
      <w:pPr>
        <w:spacing w:line="360" w:lineRule="auto"/>
        <w:ind w:firstLine="420" w:firstLineChars="200"/>
        <w:jc w:val="left"/>
        <w:rPr>
          <w:rFonts w:hint="eastAsia" w:ascii="宋体" w:hAnsi="宋体" w:eastAsia="宋体" w:cs="Times New Roman"/>
          <w:szCs w:val="21"/>
        </w:rPr>
      </w:pPr>
      <w:r>
        <w:rPr>
          <w:rFonts w:hint="eastAsia" w:ascii="宋体" w:hAnsi="宋体" w:eastAsia="宋体" w:cs="Times New Roman"/>
          <w:szCs w:val="21"/>
        </w:rPr>
        <w:t>2.4评标委员会撰写评审报告，推荐中标候选人。</w:t>
      </w:r>
    </w:p>
    <w:p>
      <w:pPr>
        <w:pStyle w:val="4"/>
        <w:spacing w:before="0" w:after="0"/>
        <w:jc w:val="center"/>
        <w:rPr>
          <w:rFonts w:hint="eastAsia" w:ascii="宋体" w:hAnsi="宋体"/>
          <w:b/>
          <w:bCs w:val="0"/>
          <w:color w:val="auto"/>
          <w:sz w:val="21"/>
          <w:szCs w:val="21"/>
          <w:highlight w:val="none"/>
        </w:rPr>
      </w:pPr>
    </w:p>
    <w:p>
      <w:pPr>
        <w:pStyle w:val="4"/>
        <w:spacing w:before="0" w:after="0"/>
        <w:jc w:val="center"/>
        <w:rPr>
          <w:rFonts w:hint="eastAsia" w:ascii="宋体" w:hAnsi="宋体"/>
          <w:b/>
          <w:bCs w:val="0"/>
          <w:color w:val="auto"/>
          <w:sz w:val="21"/>
          <w:szCs w:val="21"/>
          <w:highlight w:val="none"/>
        </w:rPr>
      </w:pPr>
      <w:r>
        <w:rPr>
          <w:rFonts w:hint="eastAsia" w:ascii="宋体" w:hAnsi="宋体"/>
          <w:b/>
          <w:bCs w:val="0"/>
          <w:color w:val="auto"/>
          <w:sz w:val="21"/>
          <w:szCs w:val="21"/>
          <w:highlight w:val="none"/>
        </w:rPr>
        <w:t>五</w:t>
      </w:r>
      <w:bookmarkEnd w:id="90"/>
      <w:r>
        <w:rPr>
          <w:rFonts w:hint="eastAsia" w:ascii="宋体" w:hAnsi="宋体"/>
          <w:b/>
          <w:bCs w:val="0"/>
          <w:color w:val="auto"/>
          <w:sz w:val="21"/>
          <w:szCs w:val="21"/>
          <w:highlight w:val="none"/>
        </w:rPr>
        <w:t xml:space="preserve">    磋商程序</w:t>
      </w:r>
      <w:bookmarkEnd w:id="91"/>
    </w:p>
    <w:p>
      <w:pPr>
        <w:rPr>
          <w:rFonts w:hint="eastAsia" w:ascii="宋体" w:hAnsi="宋体" w:cs="宋体-18030"/>
          <w:color w:val="auto"/>
          <w:szCs w:val="21"/>
          <w:highlight w:val="none"/>
        </w:rPr>
      </w:pPr>
      <w:bookmarkStart w:id="92" w:name="_Toc487802043"/>
      <w:bookmarkStart w:id="93" w:name="_Toc487802112"/>
      <w:bookmarkStart w:id="94" w:name="_Toc487793398"/>
      <w:bookmarkStart w:id="95" w:name="_Toc192313120"/>
      <w:r>
        <w:rPr>
          <w:rFonts w:hint="eastAsia" w:ascii="宋体" w:hAnsi="宋体" w:cs="宋体-18030"/>
          <w:color w:val="auto"/>
          <w:szCs w:val="21"/>
          <w:highlight w:val="none"/>
        </w:rPr>
        <w:t>1．磋商流程</w:t>
      </w:r>
      <w:bookmarkEnd w:id="92"/>
      <w:bookmarkEnd w:id="93"/>
      <w:bookmarkEnd w:id="94"/>
    </w:p>
    <w:p>
      <w:pPr>
        <w:spacing w:line="360" w:lineRule="auto"/>
        <w:rPr>
          <w:rFonts w:hint="eastAsia" w:ascii="宋体" w:hAnsi="宋体" w:cs="宋体-18030"/>
          <w:color w:val="auto"/>
          <w:szCs w:val="21"/>
          <w:highlight w:val="none"/>
        </w:rPr>
      </w:pPr>
      <w:bookmarkStart w:id="96" w:name="_Toc487802113"/>
      <w:bookmarkStart w:id="97" w:name="_Toc448487547"/>
      <w:bookmarkStart w:id="98" w:name="_Toc487802044"/>
      <w:bookmarkStart w:id="99" w:name="_Toc437979788"/>
      <w:bookmarkStart w:id="100" w:name="_Toc332724041"/>
      <w:bookmarkStart w:id="101" w:name="_Toc487793399"/>
      <w:r>
        <w:rPr>
          <w:rFonts w:hint="eastAsia" w:ascii="宋体" w:hAnsi="宋体" w:cs="宋体-18030"/>
          <w:color w:val="auto"/>
          <w:szCs w:val="21"/>
          <w:highlight w:val="none"/>
        </w:rPr>
        <w:t>1.1根据采购项目的特点，由采购人代表1名和专家库中随机抽取2名，共3人组成磋商小组。</w:t>
      </w:r>
    </w:p>
    <w:p>
      <w:pPr>
        <w:spacing w:line="360" w:lineRule="auto"/>
        <w:rPr>
          <w:rFonts w:hint="eastAsia" w:ascii="宋体" w:hAnsi="宋体" w:cs="宋体-18030"/>
          <w:color w:val="auto"/>
          <w:szCs w:val="21"/>
          <w:highlight w:val="none"/>
        </w:rPr>
      </w:pPr>
      <w:r>
        <w:rPr>
          <w:rFonts w:hint="eastAsia" w:ascii="宋体" w:hAnsi="宋体" w:cs="宋体-18030"/>
          <w:color w:val="auto"/>
          <w:szCs w:val="21"/>
          <w:highlight w:val="none"/>
        </w:rPr>
        <w:t>1.2磋商小组讨论、通过磋商工作流程和磋商要点。</w:t>
      </w:r>
    </w:p>
    <w:p>
      <w:pPr>
        <w:spacing w:line="360" w:lineRule="auto"/>
        <w:rPr>
          <w:rFonts w:hint="eastAsia" w:ascii="宋体" w:hAnsi="宋体" w:cs="宋体-18030"/>
          <w:color w:val="auto"/>
          <w:szCs w:val="21"/>
          <w:highlight w:val="none"/>
        </w:rPr>
      </w:pPr>
      <w:r>
        <w:rPr>
          <w:rFonts w:hint="eastAsia" w:ascii="宋体" w:hAnsi="宋体" w:cs="宋体-18030"/>
          <w:color w:val="auto"/>
          <w:szCs w:val="21"/>
          <w:highlight w:val="none"/>
        </w:rPr>
        <w:t>1.3主持人宣布磋商的有关事项；</w:t>
      </w:r>
    </w:p>
    <w:p>
      <w:pPr>
        <w:spacing w:line="360" w:lineRule="auto"/>
        <w:rPr>
          <w:rFonts w:ascii="宋体" w:hAnsi="宋体" w:cs="宋体-18030"/>
          <w:color w:val="auto"/>
          <w:szCs w:val="21"/>
          <w:highlight w:val="none"/>
        </w:rPr>
      </w:pPr>
      <w:r>
        <w:rPr>
          <w:rFonts w:hint="eastAsia" w:ascii="宋体" w:hAnsi="宋体" w:cs="宋体-18030"/>
          <w:color w:val="auto"/>
          <w:szCs w:val="21"/>
          <w:highlight w:val="none"/>
        </w:rPr>
        <w:t>1.</w:t>
      </w:r>
      <w:r>
        <w:rPr>
          <w:rFonts w:hint="eastAsia" w:ascii="宋体" w:hAnsi="宋体" w:cs="宋体-18030"/>
          <w:color w:val="auto"/>
          <w:szCs w:val="21"/>
          <w:highlight w:val="none"/>
          <w:lang w:val="en-US" w:eastAsia="zh-CN"/>
        </w:rPr>
        <w:t>4</w:t>
      </w:r>
      <w:r>
        <w:rPr>
          <w:rFonts w:hint="eastAsia" w:ascii="宋体" w:hAnsi="宋体"/>
          <w:color w:val="auto"/>
          <w:szCs w:val="21"/>
          <w:highlight w:val="none"/>
        </w:rPr>
        <w:t>磋商小组对磋商供应商的资格</w:t>
      </w:r>
      <w:r>
        <w:rPr>
          <w:rFonts w:ascii="宋体" w:hAnsi="宋体"/>
          <w:color w:val="auto"/>
          <w:szCs w:val="21"/>
          <w:highlight w:val="none"/>
        </w:rPr>
        <w:t>和磋商响应文件的完整性、合法性等进行审查</w:t>
      </w:r>
      <w:r>
        <w:rPr>
          <w:rFonts w:hint="eastAsia" w:ascii="宋体" w:hAnsi="宋体" w:cs="宋体-18030"/>
          <w:color w:val="auto"/>
          <w:szCs w:val="21"/>
          <w:highlight w:val="none"/>
        </w:rPr>
        <w:t>，审查结束后，由主持人公布无效磋商响应方名单、磋商响应无效的原因、废标情况；</w:t>
      </w:r>
    </w:p>
    <w:p>
      <w:pPr>
        <w:spacing w:line="360" w:lineRule="auto"/>
        <w:rPr>
          <w:rFonts w:ascii="宋体" w:hAnsi="宋体"/>
          <w:color w:val="auto"/>
          <w:szCs w:val="21"/>
          <w:highlight w:val="none"/>
        </w:rPr>
      </w:pPr>
      <w:r>
        <w:rPr>
          <w:rFonts w:hint="eastAsia" w:ascii="宋体" w:hAnsi="宋体" w:cs="宋体-18030"/>
          <w:color w:val="auto"/>
          <w:szCs w:val="21"/>
          <w:highlight w:val="none"/>
        </w:rPr>
        <w:t>1</w:t>
      </w:r>
      <w:r>
        <w:rPr>
          <w:rFonts w:ascii="宋体" w:hAnsi="宋体" w:cs="宋体-18030"/>
          <w:color w:val="auto"/>
          <w:szCs w:val="21"/>
          <w:highlight w:val="none"/>
        </w:rPr>
        <w:t>.</w:t>
      </w:r>
      <w:r>
        <w:rPr>
          <w:rFonts w:hint="eastAsia" w:ascii="宋体" w:hAnsi="宋体" w:cs="宋体-18030"/>
          <w:color w:val="auto"/>
          <w:szCs w:val="21"/>
          <w:highlight w:val="none"/>
          <w:lang w:val="en-US" w:eastAsia="zh-CN"/>
        </w:rPr>
        <w:t>5</w:t>
      </w:r>
      <w:r>
        <w:rPr>
          <w:rFonts w:ascii="宋体" w:hAnsi="宋体"/>
          <w:color w:val="auto"/>
          <w:szCs w:val="21"/>
          <w:highlight w:val="none"/>
        </w:rPr>
        <w:t>实质审查与比较</w:t>
      </w:r>
    </w:p>
    <w:p>
      <w:pPr>
        <w:spacing w:line="360" w:lineRule="auto"/>
        <w:rPr>
          <w:rFonts w:hint="eastAsia" w:ascii="宋体" w:hAnsi="宋体"/>
          <w:color w:val="auto"/>
          <w:szCs w:val="21"/>
          <w:highlight w:val="none"/>
        </w:rPr>
      </w:pPr>
      <w:r>
        <w:rPr>
          <w:rFonts w:ascii="宋体" w:hAnsi="宋体"/>
          <w:color w:val="auto"/>
          <w:szCs w:val="21"/>
          <w:highlight w:val="none"/>
        </w:rPr>
        <w:t>1.</w:t>
      </w:r>
      <w:r>
        <w:rPr>
          <w:rFonts w:hint="eastAsia" w:ascii="宋体" w:hAnsi="宋体"/>
          <w:color w:val="auto"/>
          <w:szCs w:val="21"/>
          <w:highlight w:val="none"/>
          <w:lang w:val="en-US" w:eastAsia="zh-CN"/>
        </w:rPr>
        <w:t>5</w:t>
      </w:r>
      <w:r>
        <w:rPr>
          <w:rFonts w:ascii="宋体" w:hAnsi="宋体"/>
          <w:color w:val="auto"/>
          <w:szCs w:val="21"/>
          <w:highlight w:val="none"/>
        </w:rPr>
        <w:t>.</w:t>
      </w:r>
      <w:r>
        <w:rPr>
          <w:rFonts w:hint="eastAsia" w:ascii="宋体" w:hAnsi="宋体"/>
          <w:color w:val="auto"/>
          <w:szCs w:val="21"/>
          <w:highlight w:val="none"/>
        </w:rPr>
        <w:t>1</w:t>
      </w:r>
      <w:r>
        <w:rPr>
          <w:rFonts w:ascii="宋体" w:hAnsi="宋体"/>
          <w:color w:val="auto"/>
          <w:szCs w:val="21"/>
          <w:highlight w:val="none"/>
        </w:rPr>
        <w:t>磋商小组审查磋商响应文件的实质性内容是否符合竞争性磋商文件的实质性要求。</w:t>
      </w:r>
    </w:p>
    <w:p>
      <w:pPr>
        <w:spacing w:line="360" w:lineRule="auto"/>
        <w:rPr>
          <w:rFonts w:ascii="宋体" w:hAnsi="宋体"/>
          <w:color w:val="auto"/>
          <w:szCs w:val="21"/>
          <w:highlight w:val="none"/>
        </w:rPr>
      </w:pPr>
      <w:r>
        <w:rPr>
          <w:rFonts w:hint="eastAsia" w:ascii="宋体" w:hAnsi="宋体" w:cs="宋体-18030"/>
          <w:color w:val="auto"/>
          <w:szCs w:val="21"/>
          <w:highlight w:val="none"/>
        </w:rPr>
        <w:t>1.</w:t>
      </w:r>
      <w:r>
        <w:rPr>
          <w:rFonts w:hint="eastAsia" w:ascii="宋体" w:hAnsi="宋体" w:cs="宋体-18030"/>
          <w:color w:val="auto"/>
          <w:szCs w:val="21"/>
          <w:highlight w:val="none"/>
          <w:lang w:val="en-US" w:eastAsia="zh-CN"/>
        </w:rPr>
        <w:t>6</w:t>
      </w:r>
      <w:r>
        <w:rPr>
          <w:rFonts w:hint="eastAsia" w:ascii="宋体" w:hAnsi="宋体" w:cs="宋体-18030"/>
          <w:color w:val="auto"/>
          <w:szCs w:val="21"/>
          <w:highlight w:val="none"/>
        </w:rPr>
        <w:t>磋商小组按</w:t>
      </w:r>
      <w:r>
        <w:rPr>
          <w:rFonts w:hint="eastAsia" w:ascii="宋体" w:hAnsi="宋体" w:cs="宋体-18030"/>
          <w:color w:val="auto"/>
          <w:szCs w:val="21"/>
          <w:highlight w:val="none"/>
          <w:lang w:val="en-US" w:eastAsia="zh-CN"/>
        </w:rPr>
        <w:t>递交顺序</w:t>
      </w:r>
      <w:r>
        <w:rPr>
          <w:rFonts w:hint="eastAsia" w:ascii="宋体" w:hAnsi="宋体" w:cs="宋体-18030"/>
          <w:color w:val="auto"/>
          <w:szCs w:val="21"/>
          <w:highlight w:val="none"/>
        </w:rPr>
        <w:t>与各磋商响应方就公司情况、项目需求、价格、付款方式等要素分别进行磋商。逐家磋商一次为一个轮次，磋商轮次共计二轮。</w:t>
      </w:r>
    </w:p>
    <w:p>
      <w:pPr>
        <w:spacing w:line="360" w:lineRule="auto"/>
        <w:rPr>
          <w:rFonts w:hint="eastAsia" w:ascii="宋体" w:hAnsi="宋体"/>
          <w:color w:val="auto"/>
          <w:szCs w:val="21"/>
          <w:highlight w:val="none"/>
        </w:rPr>
      </w:pPr>
      <w:r>
        <w:rPr>
          <w:rFonts w:hint="eastAsia" w:ascii="宋体" w:hAnsi="宋体" w:cs="宋体-18030"/>
          <w:color w:val="auto"/>
          <w:szCs w:val="21"/>
          <w:highlight w:val="none"/>
        </w:rPr>
        <w:t>1.</w:t>
      </w:r>
      <w:r>
        <w:rPr>
          <w:rFonts w:hint="eastAsia" w:ascii="宋体" w:hAnsi="宋体" w:cs="宋体-18030"/>
          <w:color w:val="auto"/>
          <w:szCs w:val="21"/>
          <w:highlight w:val="none"/>
          <w:lang w:val="en-US" w:eastAsia="zh-CN"/>
        </w:rPr>
        <w:t>7</w:t>
      </w:r>
      <w:r>
        <w:rPr>
          <w:rFonts w:hint="eastAsia" w:ascii="宋体" w:hAnsi="宋体" w:cs="宋体-18030"/>
          <w:color w:val="auto"/>
          <w:szCs w:val="21"/>
          <w:highlight w:val="none"/>
        </w:rPr>
        <w:t>磋商结束后，要求各磋商响应方在规定时间内进行最终报价。在规定时间内没有提交最终报价的磋商供应商，其磋商响应文件视为无效。</w:t>
      </w:r>
    </w:p>
    <w:p>
      <w:pPr>
        <w:spacing w:line="360" w:lineRule="auto"/>
        <w:rPr>
          <w:rFonts w:hint="eastAsia" w:ascii="宋体" w:hAnsi="宋体" w:cs="宋体-18030"/>
          <w:color w:val="auto"/>
          <w:szCs w:val="21"/>
          <w:highlight w:val="none"/>
        </w:rPr>
      </w:pPr>
      <w:r>
        <w:rPr>
          <w:rFonts w:hint="eastAsia" w:ascii="宋体" w:hAnsi="宋体" w:cs="宋体-18030"/>
          <w:color w:val="auto"/>
          <w:szCs w:val="21"/>
          <w:highlight w:val="none"/>
        </w:rPr>
        <w:t>1.</w:t>
      </w:r>
      <w:r>
        <w:rPr>
          <w:rFonts w:hint="eastAsia" w:ascii="宋体" w:hAnsi="宋体" w:cs="宋体-18030"/>
          <w:color w:val="auto"/>
          <w:szCs w:val="21"/>
          <w:highlight w:val="none"/>
          <w:lang w:val="en-US" w:eastAsia="zh-CN"/>
        </w:rPr>
        <w:t>8</w:t>
      </w:r>
      <w:r>
        <w:rPr>
          <w:rFonts w:hint="eastAsia" w:ascii="宋体" w:hAnsi="宋体" w:cs="宋体-18030"/>
          <w:color w:val="auto"/>
          <w:szCs w:val="21"/>
          <w:highlight w:val="none"/>
        </w:rPr>
        <w:t>在各磋商响应方最终报价过程中，同时磋商小组根据评审方法对各磋商响应方的资信及商务、技术情况进行评审打分。工作人员按照磋商小组独立评定结果进行算术平均值计算。</w:t>
      </w:r>
    </w:p>
    <w:p>
      <w:pPr>
        <w:spacing w:line="360" w:lineRule="auto"/>
        <w:rPr>
          <w:rFonts w:hint="eastAsia" w:ascii="宋体" w:hAnsi="宋体" w:cs="宋体-18030"/>
          <w:color w:val="auto"/>
          <w:szCs w:val="21"/>
          <w:highlight w:val="none"/>
        </w:rPr>
      </w:pPr>
      <w:r>
        <w:rPr>
          <w:rFonts w:hint="eastAsia" w:ascii="宋体" w:hAnsi="宋体" w:cs="宋体-18030"/>
          <w:color w:val="auto"/>
          <w:szCs w:val="21"/>
          <w:highlight w:val="none"/>
        </w:rPr>
        <w:t>1.</w:t>
      </w:r>
      <w:r>
        <w:rPr>
          <w:rFonts w:hint="eastAsia" w:ascii="宋体" w:hAnsi="宋体" w:cs="宋体-18030"/>
          <w:color w:val="auto"/>
          <w:szCs w:val="21"/>
          <w:highlight w:val="none"/>
          <w:lang w:val="en-US" w:eastAsia="zh-CN"/>
        </w:rPr>
        <w:t>9</w:t>
      </w:r>
      <w:r>
        <w:rPr>
          <w:rFonts w:hint="eastAsia" w:ascii="宋体" w:hAnsi="宋体" w:cs="宋体-18030"/>
          <w:color w:val="auto"/>
          <w:szCs w:val="21"/>
          <w:highlight w:val="none"/>
        </w:rPr>
        <w:t>主持人宣布磋商最终报价（价格标）评审的有关事项。</w:t>
      </w:r>
    </w:p>
    <w:bookmarkEnd w:id="95"/>
    <w:bookmarkEnd w:id="96"/>
    <w:bookmarkEnd w:id="97"/>
    <w:bookmarkEnd w:id="98"/>
    <w:bookmarkEnd w:id="99"/>
    <w:bookmarkEnd w:id="100"/>
    <w:bookmarkEnd w:id="101"/>
    <w:p>
      <w:pPr>
        <w:snapToGrid w:val="0"/>
        <w:spacing w:line="360" w:lineRule="auto"/>
        <w:rPr>
          <w:rFonts w:ascii="宋体" w:hAnsi="宋体"/>
          <w:kern w:val="0"/>
          <w:szCs w:val="21"/>
        </w:rPr>
      </w:pPr>
      <w:bookmarkStart w:id="102" w:name="_Toc482715959"/>
      <w:r>
        <w:rPr>
          <w:rFonts w:hint="eastAsia" w:ascii="宋体" w:hAnsi="宋体"/>
          <w:kern w:val="0"/>
          <w:szCs w:val="21"/>
          <w:lang w:val="en-US" w:eastAsia="zh-CN"/>
        </w:rPr>
        <w:t>2.0代理</w:t>
      </w:r>
      <w:r>
        <w:rPr>
          <w:rFonts w:hint="eastAsia" w:ascii="宋体" w:hAnsi="宋体"/>
          <w:kern w:val="0"/>
          <w:szCs w:val="21"/>
        </w:rPr>
        <w:t>人员经系统查验最后报价的情况，按规定进入价格标评审的磋商最后报价。</w:t>
      </w:r>
    </w:p>
    <w:p>
      <w:pPr>
        <w:snapToGrid w:val="0"/>
        <w:spacing w:line="360" w:lineRule="auto"/>
        <w:rPr>
          <w:rFonts w:ascii="宋体" w:hAnsi="宋体"/>
          <w:kern w:val="0"/>
          <w:szCs w:val="21"/>
        </w:rPr>
      </w:pPr>
      <w:r>
        <w:rPr>
          <w:rFonts w:hint="eastAsia" w:ascii="宋体" w:hAnsi="宋体"/>
          <w:kern w:val="0"/>
          <w:szCs w:val="21"/>
          <w:lang w:val="en-US" w:eastAsia="zh-CN"/>
        </w:rPr>
        <w:t>2.1</w:t>
      </w:r>
      <w:r>
        <w:rPr>
          <w:rFonts w:hint="eastAsia" w:ascii="宋体" w:hAnsi="宋体"/>
          <w:kern w:val="0"/>
          <w:szCs w:val="21"/>
        </w:rPr>
        <w:t>、磋商小组对最后报价的合理性进行审核，决定是否结束磋商。若报价合理，磋商小组则根据第四章评审方法计算出总得分并按照排序由高到低的原则推荐候选供应商；</w:t>
      </w:r>
    </w:p>
    <w:p>
      <w:pPr>
        <w:snapToGrid w:val="0"/>
        <w:spacing w:line="360" w:lineRule="auto"/>
        <w:rPr>
          <w:rFonts w:ascii="宋体" w:hAnsi="宋体"/>
          <w:kern w:val="0"/>
          <w:szCs w:val="21"/>
        </w:rPr>
      </w:pPr>
      <w:r>
        <w:rPr>
          <w:rFonts w:hint="eastAsia" w:ascii="宋体" w:hAnsi="宋体"/>
          <w:kern w:val="0"/>
          <w:szCs w:val="21"/>
          <w:lang w:val="en-US" w:eastAsia="zh-CN"/>
        </w:rPr>
        <w:t>2.2</w:t>
      </w:r>
      <w:r>
        <w:rPr>
          <w:rFonts w:hint="eastAsia" w:ascii="宋体" w:hAnsi="宋体"/>
          <w:kern w:val="0"/>
          <w:szCs w:val="21"/>
        </w:rPr>
        <w:t>、磋商结束后，主持人公布有效供应商的总得分结果和推荐排名。</w:t>
      </w:r>
    </w:p>
    <w:p>
      <w:pPr>
        <w:snapToGrid w:val="0"/>
        <w:spacing w:line="360" w:lineRule="auto"/>
        <w:rPr>
          <w:rFonts w:ascii="宋体" w:hAnsi="宋体"/>
          <w:kern w:val="0"/>
          <w:szCs w:val="21"/>
        </w:rPr>
      </w:pPr>
      <w:r>
        <w:rPr>
          <w:rFonts w:hint="eastAsia" w:ascii="宋体" w:hAnsi="宋体"/>
          <w:kern w:val="0"/>
          <w:szCs w:val="21"/>
          <w:lang w:val="en-US" w:eastAsia="zh-CN"/>
        </w:rPr>
        <w:t>2.3</w:t>
      </w:r>
      <w:r>
        <w:rPr>
          <w:rFonts w:hint="eastAsia" w:ascii="宋体" w:hAnsi="宋体"/>
          <w:kern w:val="0"/>
          <w:szCs w:val="21"/>
        </w:rPr>
        <w:t>、磋商原则：磋商小组必须公平、公正、客观，不带任何倾向性和启发性；不得向外界透露任何与磋商有关的内容；任何单位和个人不得干扰、影响磋商的正常进行；磋商小组及有关工作人员不得私下与响应方接触。</w:t>
      </w:r>
    </w:p>
    <w:p>
      <w:pPr>
        <w:pStyle w:val="51"/>
        <w:spacing w:before="0" w:after="0" w:line="360" w:lineRule="auto"/>
        <w:outlineLvl w:val="1"/>
        <w:rPr>
          <w:rFonts w:hint="eastAsia"/>
          <w:color w:val="auto"/>
          <w:sz w:val="21"/>
          <w:szCs w:val="21"/>
          <w:highlight w:val="none"/>
        </w:rPr>
      </w:pPr>
    </w:p>
    <w:p>
      <w:pPr>
        <w:pStyle w:val="51"/>
        <w:spacing w:before="0" w:after="0" w:line="360" w:lineRule="auto"/>
        <w:outlineLvl w:val="1"/>
        <w:rPr>
          <w:rFonts w:hint="eastAsia"/>
          <w:color w:val="auto"/>
          <w:sz w:val="21"/>
          <w:szCs w:val="21"/>
          <w:highlight w:val="none"/>
        </w:rPr>
      </w:pPr>
      <w:bookmarkStart w:id="103" w:name="_Toc515530074"/>
      <w:r>
        <w:rPr>
          <w:rFonts w:hint="eastAsia"/>
          <w:color w:val="auto"/>
          <w:sz w:val="21"/>
          <w:szCs w:val="21"/>
          <w:highlight w:val="none"/>
        </w:rPr>
        <w:t>六    磋商结果的确定</w:t>
      </w:r>
      <w:bookmarkEnd w:id="102"/>
      <w:bookmarkEnd w:id="103"/>
    </w:p>
    <w:p>
      <w:pPr>
        <w:spacing w:line="360" w:lineRule="auto"/>
        <w:rPr>
          <w:rFonts w:hint="eastAsia" w:ascii="宋体" w:hAnsi="宋体"/>
          <w:b/>
          <w:color w:val="auto"/>
          <w:szCs w:val="21"/>
          <w:highlight w:val="none"/>
        </w:rPr>
      </w:pPr>
      <w:r>
        <w:rPr>
          <w:rFonts w:hint="eastAsia" w:ascii="宋体" w:hAnsi="宋体"/>
          <w:b/>
          <w:color w:val="auto"/>
          <w:szCs w:val="21"/>
          <w:highlight w:val="none"/>
        </w:rPr>
        <w:t>1、磋商结果确定</w:t>
      </w:r>
    </w:p>
    <w:p>
      <w:pPr>
        <w:spacing w:line="360" w:lineRule="auto"/>
        <w:rPr>
          <w:rFonts w:hint="eastAsia" w:ascii="宋体" w:hAnsi="宋体"/>
          <w:color w:val="auto"/>
          <w:szCs w:val="21"/>
          <w:highlight w:val="none"/>
        </w:rPr>
      </w:pPr>
      <w:r>
        <w:rPr>
          <w:rFonts w:hint="eastAsia" w:ascii="宋体" w:hAnsi="宋体"/>
          <w:color w:val="auto"/>
          <w:szCs w:val="21"/>
          <w:highlight w:val="none"/>
        </w:rPr>
        <w:t>1.1、采购单位事先授权磋商小组直接确定成交供应商，磋商小组可直接确定成交供应商。</w:t>
      </w:r>
    </w:p>
    <w:p>
      <w:pPr>
        <w:spacing w:line="360" w:lineRule="auto"/>
        <w:rPr>
          <w:rFonts w:hint="eastAsia" w:ascii="宋体" w:hAnsi="宋体"/>
          <w:color w:val="auto"/>
          <w:szCs w:val="21"/>
          <w:highlight w:val="none"/>
        </w:rPr>
      </w:pPr>
      <w:r>
        <w:rPr>
          <w:rFonts w:hint="eastAsia" w:ascii="宋体" w:hAnsi="宋体"/>
          <w:color w:val="auto"/>
          <w:szCs w:val="21"/>
          <w:highlight w:val="none"/>
        </w:rPr>
        <w:t>1.2、没有事先授权的，采购代理机构在磋商结束后2个工作日内将磋商结果交采购人确认。采购人应在收到后5个工作日内对磋商结果进行确认。</w:t>
      </w:r>
    </w:p>
    <w:p>
      <w:pPr>
        <w:snapToGrid w:val="0"/>
        <w:spacing w:line="360" w:lineRule="auto"/>
        <w:rPr>
          <w:rFonts w:hint="eastAsia" w:ascii="宋体" w:hAnsi="宋体"/>
          <w:b/>
          <w:color w:val="auto"/>
          <w:szCs w:val="21"/>
          <w:highlight w:val="none"/>
        </w:rPr>
      </w:pPr>
      <w:r>
        <w:rPr>
          <w:rFonts w:hint="eastAsia" w:ascii="宋体" w:hAnsi="宋体"/>
          <w:b/>
          <w:color w:val="auto"/>
          <w:szCs w:val="21"/>
          <w:highlight w:val="none"/>
        </w:rPr>
        <w:t>2、在公告中标结果的同时，代理机构向成交供应商发出中标通知书。</w:t>
      </w:r>
    </w:p>
    <w:p>
      <w:pPr>
        <w:spacing w:line="360" w:lineRule="auto"/>
        <w:rPr>
          <w:rFonts w:hint="eastAsia" w:ascii="宋体" w:hAnsi="宋体"/>
          <w:b/>
          <w:color w:val="auto"/>
          <w:szCs w:val="21"/>
          <w:highlight w:val="none"/>
        </w:rPr>
      </w:pPr>
    </w:p>
    <w:p>
      <w:pPr>
        <w:pStyle w:val="51"/>
        <w:spacing w:before="0" w:after="0" w:line="360" w:lineRule="auto"/>
        <w:outlineLvl w:val="1"/>
        <w:rPr>
          <w:rFonts w:hint="eastAsia"/>
          <w:color w:val="auto"/>
          <w:sz w:val="21"/>
          <w:szCs w:val="21"/>
          <w:highlight w:val="none"/>
        </w:rPr>
      </w:pPr>
      <w:bookmarkStart w:id="104" w:name="_Toc515530075"/>
      <w:bookmarkStart w:id="105" w:name="_Toc482715960"/>
      <w:r>
        <w:rPr>
          <w:rFonts w:hint="eastAsia"/>
          <w:color w:val="auto"/>
          <w:sz w:val="21"/>
          <w:szCs w:val="21"/>
          <w:highlight w:val="none"/>
        </w:rPr>
        <w:t>七    合同授予</w:t>
      </w:r>
      <w:bookmarkEnd w:id="104"/>
      <w:bookmarkEnd w:id="105"/>
    </w:p>
    <w:p>
      <w:pPr>
        <w:spacing w:line="360" w:lineRule="auto"/>
        <w:rPr>
          <w:rFonts w:hint="eastAsia" w:ascii="宋体" w:hAnsi="宋体"/>
          <w:b/>
          <w:color w:val="auto"/>
          <w:szCs w:val="21"/>
          <w:highlight w:val="none"/>
        </w:rPr>
      </w:pPr>
      <w:r>
        <w:rPr>
          <w:rFonts w:hint="eastAsia" w:ascii="宋体" w:hAnsi="宋体"/>
          <w:b/>
          <w:color w:val="auto"/>
          <w:szCs w:val="21"/>
          <w:highlight w:val="none"/>
        </w:rPr>
        <w:t>1、签订合同</w:t>
      </w:r>
    </w:p>
    <w:p>
      <w:pPr>
        <w:spacing w:line="360" w:lineRule="auto"/>
        <w:rPr>
          <w:rFonts w:hint="eastAsia" w:ascii="宋体" w:hAnsi="宋体"/>
          <w:color w:val="auto"/>
          <w:szCs w:val="21"/>
          <w:highlight w:val="none"/>
        </w:rPr>
      </w:pPr>
      <w:r>
        <w:rPr>
          <w:rFonts w:hint="eastAsia" w:ascii="宋体" w:hAnsi="宋体"/>
          <w:color w:val="auto"/>
          <w:szCs w:val="21"/>
          <w:highlight w:val="none"/>
        </w:rPr>
        <w:t>1</w:t>
      </w:r>
      <w:r>
        <w:rPr>
          <w:rFonts w:ascii="宋体" w:hAnsi="宋体"/>
          <w:color w:val="auto"/>
          <w:szCs w:val="21"/>
          <w:highlight w:val="none"/>
        </w:rPr>
        <w:t>.1</w:t>
      </w:r>
      <w:r>
        <w:rPr>
          <w:rFonts w:hint="eastAsia" w:ascii="宋体" w:hAnsi="宋体"/>
          <w:color w:val="auto"/>
          <w:szCs w:val="21"/>
          <w:highlight w:val="none"/>
        </w:rPr>
        <w:t>、成交供应商自接到成交通知书后</w:t>
      </w:r>
      <w:r>
        <w:rPr>
          <w:rFonts w:ascii="宋体" w:hAnsi="宋体"/>
          <w:color w:val="auto"/>
          <w:szCs w:val="21"/>
          <w:highlight w:val="none"/>
        </w:rPr>
        <w:t>30</w:t>
      </w:r>
      <w:r>
        <w:rPr>
          <w:rFonts w:hint="eastAsia" w:ascii="宋体" w:hAnsi="宋体"/>
          <w:color w:val="auto"/>
          <w:szCs w:val="21"/>
          <w:highlight w:val="none"/>
        </w:rPr>
        <w:t>天内与采购人签订合同。同时采购代理机构对合同内容进行审查，如发现与采购结果和磋商承诺内容不一致的，应予以纠正。</w:t>
      </w:r>
    </w:p>
    <w:p>
      <w:pPr>
        <w:spacing w:line="360" w:lineRule="auto"/>
        <w:rPr>
          <w:rFonts w:ascii="宋体" w:hAnsi="宋体"/>
          <w:color w:val="auto"/>
          <w:szCs w:val="21"/>
          <w:highlight w:val="none"/>
        </w:rPr>
      </w:pPr>
      <w:r>
        <w:rPr>
          <w:rFonts w:hint="eastAsia" w:ascii="宋体" w:hAnsi="宋体"/>
          <w:color w:val="auto"/>
          <w:szCs w:val="21"/>
          <w:highlight w:val="none"/>
        </w:rPr>
        <w:t>1</w:t>
      </w:r>
      <w:r>
        <w:rPr>
          <w:rFonts w:ascii="宋体" w:hAnsi="宋体"/>
          <w:color w:val="auto"/>
          <w:szCs w:val="21"/>
          <w:highlight w:val="none"/>
        </w:rPr>
        <w:t>.</w:t>
      </w:r>
      <w:r>
        <w:rPr>
          <w:rFonts w:hint="eastAsia" w:ascii="宋体" w:hAnsi="宋体"/>
          <w:color w:val="auto"/>
          <w:szCs w:val="21"/>
          <w:highlight w:val="none"/>
        </w:rPr>
        <w:t>2、成交供应商拖延、拒签合同的,将被取消成交供应商资格。</w:t>
      </w:r>
    </w:p>
    <w:p>
      <w:pPr>
        <w:snapToGrid w:val="0"/>
        <w:spacing w:line="420" w:lineRule="exact"/>
        <w:rPr>
          <w:rFonts w:hint="eastAsia" w:ascii="宋体" w:hAnsi="宋体" w:cs="宋体"/>
          <w:b/>
          <w:bCs/>
          <w:color w:val="auto"/>
          <w:szCs w:val="21"/>
          <w:highlight w:val="none"/>
        </w:rPr>
      </w:pPr>
      <w:r>
        <w:rPr>
          <w:rFonts w:hint="eastAsia" w:ascii="宋体" w:hAnsi="宋体"/>
          <w:b/>
          <w:color w:val="auto"/>
          <w:szCs w:val="21"/>
          <w:highlight w:val="none"/>
        </w:rPr>
        <w:t>2、</w:t>
      </w:r>
      <w:r>
        <w:rPr>
          <w:rFonts w:hint="eastAsia" w:ascii="宋体" w:hAnsi="宋体" w:cs="宋体"/>
          <w:b/>
          <w:bCs/>
          <w:color w:val="auto"/>
          <w:szCs w:val="21"/>
          <w:highlight w:val="none"/>
        </w:rPr>
        <w:t>履约保证金及质量保证金（如有，详见前附表要求）</w:t>
      </w:r>
    </w:p>
    <w:p>
      <w:pPr>
        <w:snapToGrid w:val="0"/>
        <w:spacing w:line="420" w:lineRule="exact"/>
        <w:rPr>
          <w:rFonts w:hint="eastAsia" w:ascii="宋体" w:hAnsi="宋体" w:cs="宋体"/>
          <w:color w:val="auto"/>
          <w:szCs w:val="21"/>
          <w:highlight w:val="none"/>
        </w:rPr>
      </w:pPr>
      <w:r>
        <w:rPr>
          <w:rFonts w:ascii="宋体" w:hAnsi="宋体" w:cs="宋体"/>
          <w:color w:val="auto"/>
          <w:szCs w:val="21"/>
          <w:highlight w:val="none"/>
        </w:rPr>
        <w:t>2.1</w:t>
      </w:r>
      <w:r>
        <w:rPr>
          <w:rFonts w:hint="eastAsia" w:ascii="宋体" w:hAnsi="宋体" w:cs="宋体"/>
          <w:color w:val="auto"/>
          <w:szCs w:val="21"/>
          <w:highlight w:val="none"/>
        </w:rPr>
        <w:t>签订合同前，中标人应根据招标文件确定的履约保证金的金额，向采购人交纳履约保证金。</w:t>
      </w:r>
    </w:p>
    <w:p>
      <w:pPr>
        <w:snapToGrid w:val="0"/>
        <w:spacing w:line="420" w:lineRule="exact"/>
        <w:rPr>
          <w:rFonts w:hint="eastAsia" w:ascii="宋体" w:hAnsi="宋体" w:cs="宋体"/>
          <w:color w:val="auto"/>
          <w:szCs w:val="21"/>
          <w:highlight w:val="none"/>
        </w:rPr>
      </w:pPr>
      <w:r>
        <w:rPr>
          <w:rFonts w:hint="eastAsia" w:ascii="宋体" w:hAnsi="宋体" w:cs="宋体"/>
          <w:color w:val="auto"/>
          <w:szCs w:val="21"/>
          <w:highlight w:val="none"/>
        </w:rPr>
        <w:t>2</w:t>
      </w:r>
      <w:r>
        <w:rPr>
          <w:rFonts w:ascii="宋体" w:hAnsi="宋体" w:cs="宋体"/>
          <w:color w:val="auto"/>
          <w:szCs w:val="21"/>
          <w:highlight w:val="none"/>
        </w:rPr>
        <w:t>.2</w:t>
      </w:r>
      <w:r>
        <w:rPr>
          <w:rFonts w:hint="eastAsia" w:ascii="宋体" w:hAnsi="宋体" w:cs="宋体"/>
          <w:color w:val="auto"/>
          <w:szCs w:val="21"/>
          <w:highlight w:val="none"/>
        </w:rPr>
        <w:t>签订合同后，如中标人不按双方合同约定履约，则没收其全部履约保证金，履约保证金不足以赔偿损失的，按实际损失赔偿。</w:t>
      </w:r>
    </w:p>
    <w:p>
      <w:pPr>
        <w:spacing w:line="360" w:lineRule="auto"/>
        <w:rPr>
          <w:rFonts w:hint="eastAsia" w:ascii="宋体" w:hAnsi="宋体"/>
          <w:b/>
          <w:color w:val="auto"/>
          <w:szCs w:val="21"/>
          <w:highlight w:val="none"/>
        </w:rPr>
      </w:pPr>
      <w:r>
        <w:rPr>
          <w:rFonts w:hint="eastAsia" w:hAnsi="宋体" w:cs="宋体"/>
          <w:b/>
          <w:bCs/>
          <w:color w:val="auto"/>
          <w:szCs w:val="21"/>
          <w:highlight w:val="none"/>
        </w:rPr>
        <w:t>3.履约保证金在中标人按合同约定服务期满后无相关问题后该款无息退还。</w:t>
      </w:r>
    </w:p>
    <w:p>
      <w:pPr>
        <w:pStyle w:val="4"/>
        <w:keepNext w:val="0"/>
        <w:keepLines w:val="0"/>
        <w:spacing w:line="360" w:lineRule="auto"/>
        <w:contextualSpacing/>
        <w:jc w:val="center"/>
        <w:rPr>
          <w:rFonts w:hint="eastAsia" w:ascii="宋体" w:hAnsi="宋体"/>
          <w:b/>
          <w:bCs w:val="0"/>
          <w:color w:val="auto"/>
          <w:kern w:val="2"/>
          <w:sz w:val="21"/>
          <w:szCs w:val="21"/>
          <w:highlight w:val="none"/>
        </w:rPr>
      </w:pPr>
    </w:p>
    <w:p>
      <w:pPr>
        <w:pStyle w:val="3"/>
        <w:jc w:val="center"/>
        <w:rPr>
          <w:rFonts w:hint="eastAsia" w:hAnsi="宋体"/>
          <w:bCs/>
          <w:color w:val="auto"/>
          <w:kern w:val="2"/>
          <w:sz w:val="21"/>
          <w:szCs w:val="21"/>
          <w:highlight w:val="none"/>
        </w:rPr>
      </w:pPr>
    </w:p>
    <w:p>
      <w:pPr>
        <w:pStyle w:val="3"/>
        <w:jc w:val="center"/>
        <w:rPr>
          <w:rFonts w:hint="eastAsia" w:hAnsi="宋体"/>
          <w:bCs/>
          <w:color w:val="auto"/>
          <w:kern w:val="2"/>
          <w:sz w:val="21"/>
          <w:szCs w:val="21"/>
          <w:highlight w:val="none"/>
        </w:rPr>
      </w:pPr>
    </w:p>
    <w:p>
      <w:pPr>
        <w:rPr>
          <w:rFonts w:hint="eastAsia" w:hAnsi="宋体"/>
          <w:bCs/>
          <w:color w:val="auto"/>
          <w:kern w:val="2"/>
          <w:sz w:val="21"/>
          <w:szCs w:val="21"/>
          <w:highlight w:val="none"/>
        </w:rPr>
      </w:pPr>
    </w:p>
    <w:p>
      <w:pPr>
        <w:pStyle w:val="2"/>
        <w:rPr>
          <w:rFonts w:hint="eastAsia"/>
        </w:rPr>
      </w:pPr>
    </w:p>
    <w:p>
      <w:pPr>
        <w:rPr>
          <w:rFonts w:hint="eastAsia"/>
        </w:rPr>
      </w:pPr>
    </w:p>
    <w:p>
      <w:pPr>
        <w:pStyle w:val="3"/>
        <w:jc w:val="center"/>
        <w:rPr>
          <w:rFonts w:hint="eastAsia" w:hAnsi="宋体"/>
          <w:bCs/>
          <w:color w:val="auto"/>
          <w:kern w:val="2"/>
          <w:sz w:val="21"/>
          <w:szCs w:val="21"/>
          <w:highlight w:val="none"/>
        </w:rPr>
      </w:pPr>
      <w:r>
        <w:rPr>
          <w:rFonts w:hint="eastAsia" w:hAnsi="宋体"/>
          <w:bCs/>
          <w:color w:val="auto"/>
          <w:kern w:val="2"/>
          <w:sz w:val="21"/>
          <w:szCs w:val="21"/>
          <w:highlight w:val="none"/>
        </w:rPr>
        <w:t>第四章  评标办法</w:t>
      </w:r>
      <w:bookmarkEnd w:id="45"/>
    </w:p>
    <w:p>
      <w:pPr>
        <w:snapToGrid w:val="0"/>
        <w:spacing w:line="360" w:lineRule="auto"/>
        <w:ind w:firstLine="417" w:firstLineChars="199"/>
        <w:rPr>
          <w:rFonts w:hint="eastAsia" w:ascii="宋体" w:hAnsi="宋体"/>
          <w:color w:val="auto"/>
          <w:kern w:val="2"/>
          <w:szCs w:val="21"/>
          <w:highlight w:val="none"/>
        </w:rPr>
      </w:pPr>
      <w:r>
        <w:rPr>
          <w:rFonts w:hint="eastAsia" w:ascii="宋体" w:hAnsi="宋体"/>
          <w:color w:val="auto"/>
          <w:kern w:val="2"/>
          <w:szCs w:val="21"/>
          <w:highlight w:val="none"/>
        </w:rPr>
        <w:t>根据《中华人民共和国政府采购法》等有关法律法规的规定，结合本项目的实际，按照公正、公平、科学、择优的原则选择成交单位，制定本办法。</w:t>
      </w:r>
    </w:p>
    <w:p>
      <w:pPr>
        <w:snapToGrid w:val="0"/>
        <w:spacing w:line="360" w:lineRule="auto"/>
        <w:rPr>
          <w:rFonts w:hint="eastAsia" w:ascii="宋体" w:hAnsi="宋体"/>
          <w:b/>
          <w:color w:val="auto"/>
          <w:kern w:val="2"/>
          <w:szCs w:val="21"/>
          <w:highlight w:val="none"/>
        </w:rPr>
      </w:pPr>
      <w:r>
        <w:rPr>
          <w:rFonts w:hint="eastAsia" w:ascii="宋体" w:hAnsi="宋体"/>
          <w:b/>
          <w:color w:val="auto"/>
          <w:kern w:val="2"/>
          <w:szCs w:val="21"/>
          <w:highlight w:val="none"/>
        </w:rPr>
        <w:t>一、总则</w:t>
      </w:r>
    </w:p>
    <w:p>
      <w:pPr>
        <w:keepNext w:val="0"/>
        <w:keepLines w:val="0"/>
        <w:pageBreakBefore w:val="0"/>
        <w:widowControl/>
        <w:kinsoku/>
        <w:wordWrap/>
        <w:overflowPunct/>
        <w:topLinePunct w:val="0"/>
        <w:autoSpaceDE/>
        <w:autoSpaceDN/>
        <w:bidi w:val="0"/>
        <w:spacing w:line="360" w:lineRule="auto"/>
        <w:ind w:firstLine="420" w:firstLineChars="200"/>
        <w:textAlignment w:val="auto"/>
        <w:rPr>
          <w:rFonts w:hint="eastAsia" w:ascii="宋体" w:hAnsi="宋体" w:eastAsia="宋体" w:cs="Times New Roman"/>
          <w:color w:val="auto"/>
          <w:kern w:val="2"/>
          <w:szCs w:val="21"/>
          <w:highlight w:val="none"/>
        </w:rPr>
      </w:pPr>
      <w:r>
        <w:rPr>
          <w:rFonts w:hint="eastAsia" w:ascii="宋体" w:hAnsi="宋体"/>
          <w:color w:val="auto"/>
          <w:kern w:val="2"/>
          <w:szCs w:val="21"/>
          <w:highlight w:val="none"/>
        </w:rPr>
        <w:t>本次评标采用综合评分法。总分100分。合格供应商的评标得分为各项目汇总得分，成交候选资格按评标得分由高到低顺序排列，得分相同的，按磋商报价由低到高顺序排列；得</w:t>
      </w:r>
      <w:r>
        <w:rPr>
          <w:rFonts w:hint="eastAsia" w:ascii="宋体" w:hAnsi="宋体" w:eastAsia="宋体" w:cs="Times New Roman"/>
          <w:color w:val="auto"/>
          <w:kern w:val="2"/>
          <w:szCs w:val="21"/>
          <w:highlight w:val="none"/>
        </w:rPr>
        <w:t>分且磋商报价相同的，按资信商务得分由高到低顺序排列。评分过程中采用四舍五入法，并保留小数2位。成交人拒绝与采购人签订合同的，采购人可以按照评审报告推荐的成交候选人名单顺序，确定下一候选人为成交人，也可以重新开展政府采购活动。</w:t>
      </w:r>
    </w:p>
    <w:p>
      <w:pPr>
        <w:keepNext w:val="0"/>
        <w:keepLines w:val="0"/>
        <w:pageBreakBefore w:val="0"/>
        <w:widowControl/>
        <w:kinsoku/>
        <w:wordWrap/>
        <w:overflowPunct/>
        <w:topLinePunct w:val="0"/>
        <w:autoSpaceDE/>
        <w:autoSpaceDN/>
        <w:bidi w:val="0"/>
        <w:spacing w:line="360" w:lineRule="auto"/>
        <w:ind w:firstLine="420" w:firstLineChars="200"/>
        <w:textAlignment w:val="auto"/>
        <w:rPr>
          <w:rFonts w:hint="eastAsia" w:ascii="宋体" w:hAnsi="宋体" w:eastAsia="宋体" w:cs="Times New Roman"/>
          <w:color w:val="auto"/>
          <w:kern w:val="2"/>
          <w:szCs w:val="21"/>
          <w:highlight w:val="none"/>
        </w:rPr>
      </w:pPr>
      <w:r>
        <w:rPr>
          <w:rFonts w:hint="eastAsia" w:ascii="宋体" w:hAnsi="宋体" w:eastAsia="宋体" w:cs="Times New Roman"/>
          <w:color w:val="auto"/>
          <w:kern w:val="2"/>
          <w:szCs w:val="21"/>
          <w:highlight w:val="none"/>
        </w:rPr>
        <w:t>供应商评标综合得分=价格分+技术分+商务资信及其他分</w:t>
      </w:r>
    </w:p>
    <w:p>
      <w:pPr>
        <w:pStyle w:val="22"/>
        <w:keepNext w:val="0"/>
        <w:keepLines w:val="0"/>
        <w:pageBreakBefore w:val="0"/>
        <w:widowControl/>
        <w:numPr>
          <w:ilvl w:val="0"/>
          <w:numId w:val="6"/>
        </w:numPr>
        <w:kinsoku/>
        <w:wordWrap/>
        <w:overflowPunct/>
        <w:topLinePunct w:val="0"/>
        <w:autoSpaceDE/>
        <w:autoSpaceDN/>
        <w:bidi w:val="0"/>
        <w:snapToGrid w:val="0"/>
        <w:spacing w:before="120" w:beforeLines="50" w:afterLines="50" w:line="360" w:lineRule="auto"/>
        <w:ind w:left="0" w:leftChars="0" w:firstLine="0" w:firstLineChars="0"/>
        <w:textAlignment w:val="auto"/>
        <w:outlineLvl w:val="2"/>
        <w:rPr>
          <w:rFonts w:hint="eastAsia" w:ascii="宋体" w:hAnsi="宋体"/>
          <w:b/>
          <w:color w:val="auto"/>
          <w:kern w:val="2"/>
          <w:szCs w:val="21"/>
          <w:highlight w:val="none"/>
        </w:rPr>
      </w:pPr>
      <w:r>
        <w:rPr>
          <w:rFonts w:hint="eastAsia" w:ascii="宋体" w:hAnsi="宋体"/>
          <w:b/>
          <w:color w:val="auto"/>
          <w:kern w:val="2"/>
          <w:szCs w:val="21"/>
          <w:highlight w:val="none"/>
        </w:rPr>
        <w:t>评标内容及标准</w:t>
      </w:r>
    </w:p>
    <w:p>
      <w:pPr>
        <w:pStyle w:val="22"/>
        <w:keepNext w:val="0"/>
        <w:keepLines w:val="0"/>
        <w:pageBreakBefore w:val="0"/>
        <w:widowControl/>
        <w:numPr>
          <w:ilvl w:val="0"/>
          <w:numId w:val="0"/>
        </w:numPr>
        <w:kinsoku/>
        <w:wordWrap/>
        <w:overflowPunct/>
        <w:topLinePunct w:val="0"/>
        <w:autoSpaceDE/>
        <w:autoSpaceDN/>
        <w:bidi w:val="0"/>
        <w:snapToGrid w:val="0"/>
        <w:spacing w:before="120" w:beforeLines="50" w:afterLines="50" w:line="360" w:lineRule="auto"/>
        <w:ind w:leftChars="0" w:firstLine="422" w:firstLineChars="200"/>
        <w:textAlignment w:val="auto"/>
        <w:outlineLvl w:val="2"/>
        <w:rPr>
          <w:rFonts w:hint="eastAsia" w:ascii="宋体" w:hAnsi="宋体"/>
          <w:b/>
          <w:color w:val="auto"/>
          <w:kern w:val="2"/>
          <w:szCs w:val="21"/>
          <w:highlight w:val="none"/>
        </w:rPr>
      </w:pPr>
      <w:r>
        <w:rPr>
          <w:rFonts w:hint="eastAsia" w:ascii="宋体" w:hAnsi="宋体"/>
          <w:b/>
          <w:color w:val="auto"/>
          <w:kern w:val="2"/>
          <w:szCs w:val="21"/>
          <w:highlight w:val="none"/>
        </w:rPr>
        <w:t>（一）价格分：（</w:t>
      </w:r>
      <w:r>
        <w:rPr>
          <w:rFonts w:hint="eastAsia" w:ascii="宋体" w:hAnsi="宋体"/>
          <w:b/>
          <w:color w:val="auto"/>
          <w:kern w:val="2"/>
          <w:szCs w:val="21"/>
          <w:highlight w:val="none"/>
          <w:lang w:val="en-US" w:eastAsia="zh-CN"/>
        </w:rPr>
        <w:t>3</w:t>
      </w:r>
      <w:r>
        <w:rPr>
          <w:rFonts w:hint="eastAsia" w:ascii="宋体" w:hAnsi="宋体"/>
          <w:b/>
          <w:color w:val="auto"/>
          <w:kern w:val="2"/>
          <w:szCs w:val="21"/>
          <w:highlight w:val="none"/>
        </w:rPr>
        <w:t>0分）</w:t>
      </w:r>
    </w:p>
    <w:p>
      <w:pPr>
        <w:pStyle w:val="29"/>
        <w:tabs>
          <w:tab w:val="left" w:pos="630"/>
        </w:tabs>
        <w:spacing w:line="360" w:lineRule="auto"/>
        <w:ind w:right="42" w:rightChars="20" w:firstLine="420" w:firstLineChars="200"/>
        <w:jc w:val="left"/>
        <w:rPr>
          <w:rFonts w:hAnsi="宋体" w:cs="宋体"/>
          <w:color w:val="auto"/>
          <w:highlight w:val="none"/>
          <w:lang w:val="zh-CN"/>
        </w:rPr>
      </w:pPr>
      <w:r>
        <w:rPr>
          <w:rFonts w:hint="eastAsia" w:ascii="宋体" w:hAnsi="宋体" w:eastAsia="宋体"/>
          <w:bCs/>
          <w:color w:val="auto"/>
          <w:szCs w:val="21"/>
          <w:highlight w:val="none"/>
        </w:rPr>
        <w:t>1、价格分采用低价优先法计算，即满足招标文件要求且投标价格最低的投标报价为评标基准价</w:t>
      </w:r>
      <w:r>
        <w:rPr>
          <w:rFonts w:hint="eastAsia" w:hAnsi="宋体" w:cs="宋体"/>
          <w:color w:val="auto"/>
          <w:highlight w:val="none"/>
          <w:lang w:val="zh-CN"/>
        </w:rPr>
        <w:t>，其价格分为满分。其他的报价分统一按下列公式计算：</w:t>
      </w:r>
    </w:p>
    <w:p>
      <w:pPr>
        <w:pStyle w:val="29"/>
        <w:tabs>
          <w:tab w:val="left" w:pos="630"/>
        </w:tabs>
        <w:spacing w:line="360" w:lineRule="auto"/>
        <w:ind w:right="42" w:rightChars="20" w:firstLine="420" w:firstLineChars="200"/>
        <w:jc w:val="left"/>
        <w:rPr>
          <w:rFonts w:ascii="宋体" w:hAnsi="宋体" w:eastAsia="宋体"/>
          <w:color w:val="auto"/>
          <w:szCs w:val="21"/>
          <w:highlight w:val="none"/>
        </w:rPr>
      </w:pPr>
      <w:r>
        <w:rPr>
          <w:rFonts w:hint="eastAsia" w:hAnsi="宋体" w:cs="宋体"/>
          <w:color w:val="auto"/>
          <w:highlight w:val="none"/>
          <w:lang w:val="zh-CN"/>
        </w:rPr>
        <w:t>投标报价得分=(评标基准价／投标报价)×价格权值（</w:t>
      </w:r>
      <w:r>
        <w:rPr>
          <w:rFonts w:hint="eastAsia" w:hAnsi="宋体" w:cs="宋体"/>
          <w:color w:val="auto"/>
          <w:highlight w:val="none"/>
          <w:lang w:val="en-US" w:eastAsia="zh-CN"/>
        </w:rPr>
        <w:t>3</w:t>
      </w:r>
      <w:r>
        <w:rPr>
          <w:rFonts w:hint="eastAsia" w:hAnsi="宋体" w:cs="宋体"/>
          <w:color w:val="auto"/>
          <w:highlight w:val="none"/>
        </w:rPr>
        <w:t>0</w:t>
      </w:r>
      <w:r>
        <w:rPr>
          <w:rFonts w:hint="eastAsia" w:hAnsi="宋体" w:cs="宋体"/>
          <w:color w:val="auto"/>
          <w:highlight w:val="none"/>
          <w:lang w:val="zh-CN"/>
        </w:rPr>
        <w:t>%）×100。</w:t>
      </w:r>
    </w:p>
    <w:p>
      <w:pPr>
        <w:pStyle w:val="29"/>
        <w:tabs>
          <w:tab w:val="left" w:pos="630"/>
        </w:tabs>
        <w:spacing w:line="360" w:lineRule="auto"/>
        <w:ind w:right="42" w:rightChars="20" w:firstLine="420" w:firstLineChars="200"/>
        <w:jc w:val="left"/>
        <w:rPr>
          <w:rFonts w:ascii="宋体" w:hAnsi="宋体" w:eastAsia="宋体"/>
          <w:color w:val="auto"/>
          <w:szCs w:val="21"/>
          <w:highlight w:val="none"/>
        </w:rPr>
      </w:pPr>
      <w:r>
        <w:rPr>
          <w:rFonts w:hint="eastAsia" w:ascii="宋体" w:hAnsi="宋体" w:eastAsia="宋体"/>
          <w:color w:val="auto"/>
          <w:szCs w:val="21"/>
          <w:highlight w:val="none"/>
        </w:rPr>
        <w:t>2、</w:t>
      </w:r>
      <w:r>
        <w:rPr>
          <w:rFonts w:hint="eastAsia" w:ascii="宋体" w:hAnsi="宋体" w:eastAsia="宋体"/>
          <w:color w:val="auto"/>
          <w:szCs w:val="21"/>
          <w:highlight w:val="none"/>
          <w:lang w:eastAsia="zh-CN"/>
        </w:rPr>
        <w:t>供应商</w:t>
      </w:r>
      <w:r>
        <w:rPr>
          <w:rFonts w:hint="eastAsia" w:ascii="宋体" w:hAnsi="宋体" w:eastAsia="宋体"/>
          <w:color w:val="auto"/>
          <w:szCs w:val="21"/>
          <w:highlight w:val="none"/>
        </w:rPr>
        <w:t>的投标报价超过采购人设定的最高限价（总价），将作为无效标。</w:t>
      </w:r>
    </w:p>
    <w:p>
      <w:pPr>
        <w:pStyle w:val="29"/>
        <w:tabs>
          <w:tab w:val="left" w:pos="630"/>
        </w:tabs>
        <w:spacing w:line="360" w:lineRule="auto"/>
        <w:ind w:right="42" w:rightChars="20" w:firstLine="420" w:firstLineChars="200"/>
        <w:jc w:val="left"/>
        <w:rPr>
          <w:rFonts w:ascii="宋体" w:hAnsi="宋体" w:eastAsia="宋体"/>
          <w:bCs/>
          <w:color w:val="auto"/>
          <w:szCs w:val="21"/>
          <w:highlight w:val="none"/>
        </w:rPr>
      </w:pPr>
      <w:r>
        <w:rPr>
          <w:rFonts w:hint="eastAsia" w:ascii="宋体" w:hAnsi="宋体" w:eastAsia="宋体"/>
          <w:color w:val="auto"/>
          <w:szCs w:val="21"/>
          <w:highlight w:val="none"/>
        </w:rPr>
        <w:t>3、评标委员会认为</w:t>
      </w:r>
      <w:r>
        <w:rPr>
          <w:rFonts w:hint="eastAsia" w:ascii="宋体" w:hAnsi="宋体" w:eastAsia="宋体"/>
          <w:color w:val="auto"/>
          <w:szCs w:val="21"/>
          <w:highlight w:val="none"/>
          <w:lang w:eastAsia="zh-CN"/>
        </w:rPr>
        <w:t>供应商</w:t>
      </w:r>
      <w:r>
        <w:rPr>
          <w:rFonts w:hint="eastAsia" w:ascii="宋体" w:hAnsi="宋体" w:eastAsia="宋体"/>
          <w:color w:val="auto"/>
          <w:szCs w:val="21"/>
          <w:highlight w:val="none"/>
        </w:rPr>
        <w:t>的报价明显低于其他通过符合性审查</w:t>
      </w:r>
      <w:r>
        <w:rPr>
          <w:rFonts w:hint="eastAsia" w:ascii="宋体" w:hAnsi="宋体" w:eastAsia="宋体"/>
          <w:color w:val="auto"/>
          <w:szCs w:val="21"/>
          <w:highlight w:val="none"/>
          <w:lang w:eastAsia="zh-CN"/>
        </w:rPr>
        <w:t>供应商</w:t>
      </w:r>
      <w:r>
        <w:rPr>
          <w:rFonts w:hint="eastAsia" w:ascii="宋体" w:hAnsi="宋体" w:eastAsia="宋体"/>
          <w:color w:val="auto"/>
          <w:szCs w:val="21"/>
          <w:highlight w:val="none"/>
        </w:rPr>
        <w:t>的报价，有可能影响质量或者不能诚信履约的，应当要求其在评标现场合理的时间内提供书面说明，必要时提交相关证明材料;</w:t>
      </w:r>
      <w:r>
        <w:rPr>
          <w:rFonts w:hint="eastAsia" w:ascii="宋体" w:hAnsi="宋体" w:eastAsia="宋体"/>
          <w:color w:val="auto"/>
          <w:szCs w:val="21"/>
          <w:highlight w:val="none"/>
          <w:lang w:eastAsia="zh-CN"/>
        </w:rPr>
        <w:t>供应商</w:t>
      </w:r>
      <w:r>
        <w:rPr>
          <w:rFonts w:hint="eastAsia" w:ascii="宋体" w:hAnsi="宋体" w:eastAsia="宋体"/>
          <w:color w:val="auto"/>
          <w:szCs w:val="21"/>
          <w:highlight w:val="none"/>
        </w:rPr>
        <w:t>不能证明</w:t>
      </w:r>
      <w:r>
        <w:rPr>
          <w:rFonts w:hint="eastAsia" w:ascii="宋体" w:hAnsi="宋体" w:eastAsia="宋体"/>
          <w:bCs/>
          <w:color w:val="auto"/>
          <w:szCs w:val="21"/>
          <w:highlight w:val="none"/>
        </w:rPr>
        <w:t>其报价合理性的，评标委员会应当将其作为无效投标处理。</w:t>
      </w:r>
    </w:p>
    <w:p>
      <w:pPr>
        <w:pStyle w:val="29"/>
        <w:tabs>
          <w:tab w:val="left" w:pos="630"/>
        </w:tabs>
        <w:spacing w:line="360" w:lineRule="auto"/>
        <w:ind w:right="42" w:rightChars="20" w:firstLine="420" w:firstLineChars="200"/>
        <w:jc w:val="left"/>
        <w:rPr>
          <w:rFonts w:ascii="宋体" w:hAnsi="宋体" w:eastAsia="宋体"/>
          <w:color w:val="auto"/>
          <w:szCs w:val="21"/>
          <w:highlight w:val="none"/>
        </w:rPr>
      </w:pPr>
      <w:r>
        <w:rPr>
          <w:rFonts w:hint="eastAsia" w:ascii="宋体" w:hAnsi="宋体" w:eastAsia="宋体"/>
          <w:color w:val="auto"/>
          <w:szCs w:val="21"/>
          <w:highlight w:val="none"/>
        </w:rPr>
        <w:t>4、扶持政策说明：</w:t>
      </w:r>
    </w:p>
    <w:p>
      <w:pPr>
        <w:pStyle w:val="29"/>
        <w:tabs>
          <w:tab w:val="left" w:pos="630"/>
        </w:tabs>
        <w:spacing w:line="360" w:lineRule="auto"/>
        <w:ind w:right="42" w:rightChars="20" w:firstLine="420" w:firstLineChars="200"/>
        <w:jc w:val="left"/>
        <w:rPr>
          <w:rFonts w:ascii="宋体" w:hAnsi="宋体" w:eastAsia="宋体"/>
          <w:color w:val="auto"/>
          <w:szCs w:val="21"/>
          <w:highlight w:val="none"/>
        </w:rPr>
      </w:pPr>
      <w:r>
        <w:rPr>
          <w:rFonts w:hint="eastAsia" w:ascii="宋体" w:hAnsi="宋体" w:eastAsia="宋体"/>
          <w:color w:val="auto"/>
          <w:szCs w:val="21"/>
          <w:highlight w:val="none"/>
        </w:rPr>
        <w:t>（1）本次采购为专门面向中小企业预留采购份额的采购项目。</w:t>
      </w:r>
    </w:p>
    <w:p>
      <w:pPr>
        <w:pStyle w:val="29"/>
        <w:tabs>
          <w:tab w:val="left" w:pos="630"/>
        </w:tabs>
        <w:spacing w:line="360" w:lineRule="auto"/>
        <w:ind w:right="42" w:rightChars="20" w:firstLine="420" w:firstLineChars="200"/>
        <w:jc w:val="left"/>
        <w:rPr>
          <w:rFonts w:ascii="宋体" w:hAnsi="宋体" w:eastAsia="宋体"/>
          <w:color w:val="auto"/>
          <w:szCs w:val="21"/>
          <w:highlight w:val="none"/>
        </w:rPr>
      </w:pPr>
      <w:r>
        <w:rPr>
          <w:rFonts w:hint="eastAsia" w:ascii="宋体" w:hAnsi="宋体" w:eastAsia="宋体"/>
          <w:color w:val="auto"/>
          <w:szCs w:val="21"/>
          <w:highlight w:val="none"/>
        </w:rPr>
        <w:t>（2）本项目对应的中小企业划分标准所属行业：建筑业。</w:t>
      </w:r>
    </w:p>
    <w:p>
      <w:pPr>
        <w:pStyle w:val="29"/>
        <w:tabs>
          <w:tab w:val="left" w:pos="630"/>
        </w:tabs>
        <w:spacing w:line="360" w:lineRule="auto"/>
        <w:ind w:right="42" w:rightChars="20" w:firstLine="420" w:firstLineChars="200"/>
        <w:jc w:val="left"/>
        <w:rPr>
          <w:rFonts w:ascii="宋体" w:hAnsi="宋体" w:eastAsia="宋体"/>
          <w:color w:val="auto"/>
          <w:szCs w:val="21"/>
          <w:highlight w:val="none"/>
        </w:rPr>
      </w:pPr>
      <w:r>
        <w:rPr>
          <w:rFonts w:hint="eastAsia" w:ascii="宋体" w:hAnsi="宋体" w:eastAsia="宋体"/>
          <w:color w:val="auto"/>
          <w:szCs w:val="21"/>
          <w:highlight w:val="none"/>
        </w:rPr>
        <w:t>（3）本采购文件所称中小企业，是指在中华人民共和国境内依法设立，依据国务院批准的中小企业划分标准确定的中型企业、小型企业和微型企业，但与大企业的负责人为同一人，或者与大企业存在直接控股、管理关系的除外。</w:t>
      </w:r>
    </w:p>
    <w:p>
      <w:pPr>
        <w:pStyle w:val="29"/>
        <w:tabs>
          <w:tab w:val="left" w:pos="630"/>
        </w:tabs>
        <w:spacing w:line="360" w:lineRule="auto"/>
        <w:ind w:right="42" w:rightChars="20" w:firstLine="420" w:firstLineChars="200"/>
        <w:jc w:val="left"/>
        <w:rPr>
          <w:rFonts w:ascii="宋体" w:hAnsi="宋体" w:eastAsia="宋体"/>
          <w:color w:val="auto"/>
          <w:szCs w:val="21"/>
          <w:highlight w:val="none"/>
        </w:rPr>
      </w:pPr>
      <w:r>
        <w:rPr>
          <w:rFonts w:hint="eastAsia" w:ascii="宋体" w:hAnsi="宋体" w:eastAsia="宋体"/>
          <w:color w:val="auto"/>
          <w:szCs w:val="21"/>
          <w:highlight w:val="none"/>
        </w:rPr>
        <w:t>（4）监狱企业和残疾人福利性单位视同小型、微型企业，按《财政部司法部关于政府采购支持监狱企业发展有关问题的通知》(财库〔2014〕68 号)、《财政部  民政部  中国残疾人联合会关于促进残疾人就业政府采购政策的通知》（财库〔2017〕141 号）的规定执行。</w:t>
      </w:r>
    </w:p>
    <w:p>
      <w:pPr>
        <w:pStyle w:val="29"/>
        <w:tabs>
          <w:tab w:val="left" w:pos="630"/>
        </w:tabs>
        <w:spacing w:line="360" w:lineRule="auto"/>
        <w:ind w:right="42" w:rightChars="20" w:firstLine="422" w:firstLineChars="200"/>
        <w:jc w:val="left"/>
        <w:rPr>
          <w:rFonts w:ascii="宋体" w:hAnsi="宋体" w:eastAsia="宋体"/>
          <w:b/>
          <w:color w:val="auto"/>
          <w:szCs w:val="21"/>
          <w:highlight w:val="none"/>
        </w:rPr>
      </w:pPr>
      <w:r>
        <w:rPr>
          <w:rFonts w:hint="eastAsia" w:ascii="宋体" w:hAnsi="宋体" w:eastAsia="宋体"/>
          <w:b/>
          <w:color w:val="auto"/>
          <w:szCs w:val="21"/>
          <w:highlight w:val="none"/>
        </w:rPr>
        <w:t>注：中标、成交供应商为残疾人福利性单位的，采购人或者其委托的采购代理机构应当随中标、成交结果同时公告其《残疾人福利性单位声明函》，接受社会监督。供应商提供的《残疾人福利性单位声明函》与事实不符的，依照《政府采购法》第七十七条第一款的规定追究法律责任。</w:t>
      </w:r>
    </w:p>
    <w:p>
      <w:pPr>
        <w:pStyle w:val="22"/>
        <w:snapToGrid w:val="0"/>
        <w:spacing w:before="120" w:beforeLines="50" w:afterLines="50" w:line="360" w:lineRule="auto"/>
        <w:ind w:left="0" w:leftChars="0"/>
        <w:outlineLvl w:val="2"/>
        <w:rPr>
          <w:rFonts w:hint="eastAsia" w:ascii="宋体" w:hAnsi="宋体"/>
          <w:b/>
          <w:color w:val="auto"/>
          <w:kern w:val="2"/>
          <w:szCs w:val="21"/>
          <w:highlight w:val="none"/>
        </w:rPr>
      </w:pPr>
      <w:r>
        <w:rPr>
          <w:rFonts w:hint="eastAsia" w:ascii="宋体" w:hAnsi="宋体"/>
          <w:b/>
          <w:color w:val="auto"/>
          <w:kern w:val="2"/>
          <w:szCs w:val="21"/>
          <w:highlight w:val="none"/>
        </w:rPr>
        <w:t>（二）资信商务技术分（</w:t>
      </w:r>
      <w:r>
        <w:rPr>
          <w:rFonts w:hint="eastAsia" w:ascii="宋体" w:hAnsi="宋体"/>
          <w:b/>
          <w:color w:val="auto"/>
          <w:kern w:val="2"/>
          <w:szCs w:val="21"/>
          <w:highlight w:val="none"/>
          <w:lang w:val="en-US" w:eastAsia="zh-CN"/>
        </w:rPr>
        <w:t>7</w:t>
      </w:r>
      <w:r>
        <w:rPr>
          <w:rFonts w:hint="eastAsia" w:ascii="宋体" w:hAnsi="宋体"/>
          <w:b/>
          <w:color w:val="auto"/>
          <w:kern w:val="2"/>
          <w:szCs w:val="21"/>
          <w:highlight w:val="none"/>
        </w:rPr>
        <w:t>0分）</w:t>
      </w:r>
    </w:p>
    <w:tbl>
      <w:tblPr>
        <w:tblStyle w:val="55"/>
        <w:tblW w:w="8528"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62"/>
        <w:gridCol w:w="1714"/>
        <w:gridCol w:w="5416"/>
        <w:gridCol w:w="736"/>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62" w:type="dxa"/>
            <w:noWrap w:val="0"/>
            <w:vAlign w:val="top"/>
          </w:tcPr>
          <w:p>
            <w:pPr>
              <w:pStyle w:val="2"/>
              <w:spacing w:line="360" w:lineRule="auto"/>
              <w:rPr>
                <w:color w:val="auto"/>
                <w:highlight w:val="none"/>
              </w:rPr>
            </w:pPr>
            <w:r>
              <w:rPr>
                <w:rFonts w:hint="eastAsia"/>
                <w:color w:val="auto"/>
                <w:highlight w:val="none"/>
              </w:rPr>
              <w:t>序号</w:t>
            </w:r>
          </w:p>
        </w:tc>
        <w:tc>
          <w:tcPr>
            <w:tcW w:w="1714" w:type="dxa"/>
            <w:noWrap w:val="0"/>
            <w:vAlign w:val="top"/>
          </w:tcPr>
          <w:p>
            <w:pPr>
              <w:pStyle w:val="2"/>
              <w:spacing w:line="360" w:lineRule="auto"/>
              <w:rPr>
                <w:color w:val="auto"/>
                <w:highlight w:val="none"/>
              </w:rPr>
            </w:pPr>
            <w:r>
              <w:rPr>
                <w:rFonts w:hint="eastAsia"/>
                <w:color w:val="auto"/>
                <w:highlight w:val="none"/>
              </w:rPr>
              <w:t>评审项目</w:t>
            </w:r>
          </w:p>
        </w:tc>
        <w:tc>
          <w:tcPr>
            <w:tcW w:w="5416" w:type="dxa"/>
            <w:noWrap w:val="0"/>
            <w:vAlign w:val="top"/>
          </w:tcPr>
          <w:p>
            <w:pPr>
              <w:pStyle w:val="2"/>
              <w:spacing w:line="360" w:lineRule="auto"/>
              <w:rPr>
                <w:color w:val="auto"/>
                <w:highlight w:val="none"/>
              </w:rPr>
            </w:pPr>
            <w:r>
              <w:rPr>
                <w:rFonts w:hint="eastAsia"/>
                <w:color w:val="auto"/>
                <w:highlight w:val="none"/>
              </w:rPr>
              <w:t>评分内容</w:t>
            </w:r>
          </w:p>
        </w:tc>
        <w:tc>
          <w:tcPr>
            <w:tcW w:w="736" w:type="dxa"/>
            <w:noWrap w:val="0"/>
            <w:vAlign w:val="top"/>
          </w:tcPr>
          <w:p>
            <w:pPr>
              <w:pStyle w:val="2"/>
              <w:spacing w:line="360" w:lineRule="auto"/>
              <w:rPr>
                <w:color w:val="auto"/>
                <w:highlight w:val="none"/>
              </w:rPr>
            </w:pPr>
            <w:r>
              <w:rPr>
                <w:rFonts w:hint="eastAsia"/>
                <w:color w:val="auto"/>
                <w:highlight w:val="none"/>
              </w:rPr>
              <w:t>分值</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62" w:type="dxa"/>
            <w:noWrap w:val="0"/>
            <w:vAlign w:val="center"/>
          </w:tcPr>
          <w:p>
            <w:pPr>
              <w:pStyle w:val="2"/>
              <w:spacing w:line="360" w:lineRule="auto"/>
              <w:jc w:val="center"/>
              <w:rPr>
                <w:color w:val="auto"/>
                <w:highlight w:val="none"/>
              </w:rPr>
            </w:pPr>
            <w:r>
              <w:rPr>
                <w:rFonts w:hint="eastAsia"/>
                <w:color w:val="auto"/>
                <w:highlight w:val="none"/>
              </w:rPr>
              <w:t>1</w:t>
            </w:r>
          </w:p>
        </w:tc>
        <w:tc>
          <w:tcPr>
            <w:tcW w:w="1714" w:type="dxa"/>
            <w:vMerge w:val="restart"/>
            <w:noWrap w:val="0"/>
            <w:vAlign w:val="center"/>
          </w:tcPr>
          <w:p>
            <w:pPr>
              <w:pStyle w:val="2"/>
              <w:spacing w:line="360" w:lineRule="auto"/>
              <w:jc w:val="center"/>
              <w:rPr>
                <w:color w:val="auto"/>
                <w:highlight w:val="none"/>
              </w:rPr>
            </w:pPr>
            <w:r>
              <w:rPr>
                <w:rFonts w:hint="eastAsia"/>
                <w:color w:val="auto"/>
                <w:highlight w:val="none"/>
              </w:rPr>
              <w:t>资信分（9分）</w:t>
            </w:r>
          </w:p>
        </w:tc>
        <w:tc>
          <w:tcPr>
            <w:tcW w:w="5416" w:type="dxa"/>
            <w:noWrap w:val="0"/>
            <w:vAlign w:val="top"/>
          </w:tcPr>
          <w:p>
            <w:pPr>
              <w:pStyle w:val="2"/>
              <w:spacing w:line="360" w:lineRule="auto"/>
              <w:rPr>
                <w:color w:val="auto"/>
                <w:highlight w:val="none"/>
              </w:rPr>
            </w:pPr>
            <w:r>
              <w:rPr>
                <w:rFonts w:hint="eastAsia"/>
                <w:color w:val="auto"/>
                <w:highlight w:val="none"/>
              </w:rPr>
              <w:t>20</w:t>
            </w:r>
            <w:r>
              <w:rPr>
                <w:rFonts w:hint="eastAsia"/>
                <w:color w:val="auto"/>
                <w:highlight w:val="none"/>
                <w:lang w:val="en-US" w:eastAsia="zh-CN"/>
              </w:rPr>
              <w:t>20</w:t>
            </w:r>
            <w:r>
              <w:rPr>
                <w:rFonts w:hint="eastAsia"/>
                <w:color w:val="auto"/>
                <w:highlight w:val="none"/>
              </w:rPr>
              <w:t>年</w:t>
            </w:r>
            <w:r>
              <w:rPr>
                <w:rFonts w:hint="eastAsia"/>
                <w:color w:val="auto"/>
                <w:highlight w:val="none"/>
                <w:lang w:val="en-US" w:eastAsia="zh-CN"/>
              </w:rPr>
              <w:t>10</w:t>
            </w:r>
            <w:r>
              <w:rPr>
                <w:rFonts w:hint="eastAsia"/>
                <w:color w:val="auto"/>
                <w:highlight w:val="none"/>
              </w:rPr>
              <w:t>月1日以来</w:t>
            </w:r>
            <w:r>
              <w:rPr>
                <w:rFonts w:hint="eastAsia"/>
                <w:color w:val="auto"/>
                <w:highlight w:val="none"/>
                <w:lang w:eastAsia="zh-CN"/>
              </w:rPr>
              <w:t>供应商</w:t>
            </w:r>
            <w:r>
              <w:rPr>
                <w:rFonts w:hint="eastAsia"/>
                <w:color w:val="auto"/>
                <w:highlight w:val="none"/>
              </w:rPr>
              <w:t>承接过类似项目的1个得1分最多得3分。</w:t>
            </w:r>
            <w:r>
              <w:rPr>
                <w:rFonts w:hint="eastAsia"/>
                <w:b/>
                <w:bCs/>
                <w:color w:val="auto"/>
                <w:highlight w:val="none"/>
              </w:rPr>
              <w:t>（</w:t>
            </w:r>
            <w:r>
              <w:rPr>
                <w:rFonts w:hint="eastAsia" w:ascii="宋体" w:hAnsi="宋体" w:eastAsia="宋体"/>
                <w:b/>
                <w:bCs/>
                <w:color w:val="auto"/>
                <w:szCs w:val="21"/>
                <w:highlight w:val="none"/>
              </w:rPr>
              <w:t>是</w:t>
            </w:r>
            <w:r>
              <w:rPr>
                <w:rFonts w:hint="eastAsia" w:ascii="宋体" w:hAnsi="宋体" w:eastAsia="宋体"/>
                <w:b/>
                <w:color w:val="auto"/>
                <w:szCs w:val="21"/>
                <w:highlight w:val="none"/>
              </w:rPr>
              <w:t>否属于有效的类似项目业绩由评委根据供应商提供的业绩合同业务内容、技术特点等方面与本项目的类似程度进行认定，投标文件中提供合同复印件并加盖</w:t>
            </w:r>
            <w:r>
              <w:rPr>
                <w:rFonts w:hint="eastAsia" w:ascii="宋体" w:hAnsi="宋体" w:eastAsia="宋体"/>
                <w:b/>
                <w:color w:val="auto"/>
                <w:szCs w:val="21"/>
                <w:highlight w:val="none"/>
                <w:lang w:eastAsia="zh-CN"/>
              </w:rPr>
              <w:t>供应商</w:t>
            </w:r>
            <w:r>
              <w:rPr>
                <w:rFonts w:hint="eastAsia" w:ascii="宋体" w:hAnsi="宋体" w:eastAsia="宋体"/>
                <w:b/>
                <w:color w:val="auto"/>
                <w:szCs w:val="21"/>
                <w:highlight w:val="none"/>
              </w:rPr>
              <w:t>公章，若合同中无法反应业务内容、技术特点的则提供业主证明资料（业主证明资料需加盖业主公章））</w:t>
            </w:r>
          </w:p>
        </w:tc>
        <w:tc>
          <w:tcPr>
            <w:tcW w:w="736" w:type="dxa"/>
            <w:noWrap w:val="0"/>
            <w:vAlign w:val="center"/>
          </w:tcPr>
          <w:p>
            <w:pPr>
              <w:pStyle w:val="2"/>
              <w:spacing w:line="360" w:lineRule="auto"/>
              <w:jc w:val="center"/>
              <w:rPr>
                <w:color w:val="auto"/>
                <w:highlight w:val="none"/>
              </w:rPr>
            </w:pPr>
            <w:r>
              <w:rPr>
                <w:rFonts w:hint="eastAsia"/>
                <w:color w:val="auto"/>
                <w:highlight w:val="none"/>
              </w:rPr>
              <w:t>0-3</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62" w:type="dxa"/>
            <w:noWrap w:val="0"/>
            <w:vAlign w:val="center"/>
          </w:tcPr>
          <w:p>
            <w:pPr>
              <w:pStyle w:val="2"/>
              <w:spacing w:line="360" w:lineRule="auto"/>
              <w:jc w:val="center"/>
              <w:rPr>
                <w:color w:val="auto"/>
                <w:highlight w:val="none"/>
              </w:rPr>
            </w:pPr>
            <w:r>
              <w:rPr>
                <w:rFonts w:hint="eastAsia"/>
                <w:color w:val="auto"/>
                <w:highlight w:val="none"/>
              </w:rPr>
              <w:t>2</w:t>
            </w:r>
          </w:p>
        </w:tc>
        <w:tc>
          <w:tcPr>
            <w:tcW w:w="1714" w:type="dxa"/>
            <w:vMerge w:val="continue"/>
            <w:noWrap w:val="0"/>
            <w:vAlign w:val="center"/>
          </w:tcPr>
          <w:p>
            <w:pPr>
              <w:pStyle w:val="2"/>
              <w:spacing w:line="360" w:lineRule="auto"/>
              <w:jc w:val="center"/>
              <w:rPr>
                <w:color w:val="auto"/>
                <w:highlight w:val="none"/>
              </w:rPr>
            </w:pPr>
          </w:p>
        </w:tc>
        <w:tc>
          <w:tcPr>
            <w:tcW w:w="5416" w:type="dxa"/>
            <w:noWrap w:val="0"/>
            <w:vAlign w:val="top"/>
          </w:tcPr>
          <w:p>
            <w:pPr>
              <w:pStyle w:val="2"/>
              <w:spacing w:line="360" w:lineRule="auto"/>
              <w:rPr>
                <w:color w:val="auto"/>
                <w:highlight w:val="none"/>
              </w:rPr>
            </w:pPr>
            <w:r>
              <w:rPr>
                <w:rFonts w:hint="eastAsia"/>
                <w:color w:val="auto"/>
                <w:highlight w:val="none"/>
                <w:lang w:val="en-US" w:eastAsia="zh-CN"/>
              </w:rPr>
              <w:t>拟派项目总负责人或设计负责人2020</w:t>
            </w:r>
            <w:r>
              <w:rPr>
                <w:rFonts w:hint="eastAsia"/>
                <w:color w:val="auto"/>
                <w:highlight w:val="none"/>
              </w:rPr>
              <w:t>年1</w:t>
            </w:r>
            <w:r>
              <w:rPr>
                <w:rFonts w:hint="eastAsia"/>
                <w:color w:val="auto"/>
                <w:highlight w:val="none"/>
                <w:lang w:val="en-US" w:eastAsia="zh-CN"/>
              </w:rPr>
              <w:t>0</w:t>
            </w:r>
            <w:r>
              <w:rPr>
                <w:rFonts w:hint="eastAsia"/>
                <w:color w:val="auto"/>
                <w:highlight w:val="none"/>
              </w:rPr>
              <w:t>月1日以来</w:t>
            </w:r>
            <w:r>
              <w:rPr>
                <w:rFonts w:hint="eastAsia"/>
                <w:color w:val="auto"/>
                <w:highlight w:val="none"/>
                <w:lang w:eastAsia="zh-CN"/>
              </w:rPr>
              <w:t>（</w:t>
            </w:r>
            <w:r>
              <w:rPr>
                <w:rFonts w:hint="eastAsia"/>
                <w:color w:val="auto"/>
                <w:highlight w:val="none"/>
                <w:lang w:val="en-US" w:eastAsia="zh-CN"/>
              </w:rPr>
              <w:t>以项目负责人身份</w:t>
            </w:r>
            <w:r>
              <w:rPr>
                <w:rFonts w:hint="eastAsia"/>
                <w:color w:val="auto"/>
                <w:highlight w:val="none"/>
                <w:lang w:eastAsia="zh-CN"/>
              </w:rPr>
              <w:t>）</w:t>
            </w:r>
            <w:r>
              <w:rPr>
                <w:rFonts w:hint="eastAsia"/>
                <w:color w:val="auto"/>
                <w:highlight w:val="none"/>
              </w:rPr>
              <w:t>承接过类似项目的1个得1分最多得3分。</w:t>
            </w:r>
            <w:r>
              <w:rPr>
                <w:rFonts w:hint="eastAsia"/>
                <w:b/>
                <w:bCs/>
                <w:color w:val="auto"/>
                <w:highlight w:val="none"/>
              </w:rPr>
              <w:t>（</w:t>
            </w:r>
            <w:r>
              <w:rPr>
                <w:rFonts w:hint="eastAsia" w:ascii="宋体" w:hAnsi="宋体" w:eastAsia="宋体"/>
                <w:b/>
                <w:bCs/>
                <w:color w:val="auto"/>
                <w:szCs w:val="21"/>
                <w:highlight w:val="none"/>
              </w:rPr>
              <w:t>是</w:t>
            </w:r>
            <w:r>
              <w:rPr>
                <w:rFonts w:hint="eastAsia" w:ascii="宋体" w:hAnsi="宋体" w:eastAsia="宋体"/>
                <w:b/>
                <w:color w:val="auto"/>
                <w:szCs w:val="21"/>
                <w:highlight w:val="none"/>
              </w:rPr>
              <w:t>否属于有效的类似项目业绩由评委根据供应商提供的业绩合同业务内容、技术特点等方面与本项目的类似程度进行认定，投标文件中提供合同复印件并加盖</w:t>
            </w:r>
            <w:r>
              <w:rPr>
                <w:rFonts w:hint="eastAsia" w:ascii="宋体" w:hAnsi="宋体" w:eastAsia="宋体"/>
                <w:b/>
                <w:color w:val="auto"/>
                <w:szCs w:val="21"/>
                <w:highlight w:val="none"/>
                <w:lang w:eastAsia="zh-CN"/>
              </w:rPr>
              <w:t>供应商</w:t>
            </w:r>
            <w:r>
              <w:rPr>
                <w:rFonts w:hint="eastAsia" w:ascii="宋体" w:hAnsi="宋体" w:eastAsia="宋体"/>
                <w:b/>
                <w:color w:val="auto"/>
                <w:szCs w:val="21"/>
                <w:highlight w:val="none"/>
              </w:rPr>
              <w:t>公章，若合同中无法反应业务内容、技术特点</w:t>
            </w:r>
            <w:r>
              <w:rPr>
                <w:rFonts w:hint="eastAsia" w:ascii="宋体" w:hAnsi="宋体" w:eastAsia="宋体"/>
                <w:b/>
                <w:color w:val="auto"/>
                <w:szCs w:val="21"/>
                <w:highlight w:val="none"/>
                <w:lang w:eastAsia="zh-CN"/>
              </w:rPr>
              <w:t>、</w:t>
            </w:r>
            <w:r>
              <w:rPr>
                <w:rFonts w:hint="eastAsia" w:ascii="宋体" w:hAnsi="宋体" w:eastAsia="宋体"/>
                <w:b/>
                <w:color w:val="auto"/>
                <w:szCs w:val="21"/>
                <w:highlight w:val="none"/>
                <w:lang w:val="en-US" w:eastAsia="zh-CN"/>
              </w:rPr>
              <w:t>人员姓名</w:t>
            </w:r>
            <w:r>
              <w:rPr>
                <w:rFonts w:hint="eastAsia" w:ascii="宋体" w:hAnsi="宋体" w:eastAsia="宋体"/>
                <w:b/>
                <w:color w:val="auto"/>
                <w:szCs w:val="21"/>
                <w:highlight w:val="none"/>
              </w:rPr>
              <w:t>的则提供业主证明资料（业主证明资料需加盖业主公章））</w:t>
            </w:r>
          </w:p>
        </w:tc>
        <w:tc>
          <w:tcPr>
            <w:tcW w:w="736" w:type="dxa"/>
            <w:noWrap w:val="0"/>
            <w:vAlign w:val="center"/>
          </w:tcPr>
          <w:p>
            <w:pPr>
              <w:pStyle w:val="2"/>
              <w:spacing w:line="360" w:lineRule="auto"/>
              <w:jc w:val="center"/>
              <w:rPr>
                <w:color w:val="auto"/>
                <w:highlight w:val="none"/>
              </w:rPr>
            </w:pPr>
            <w:r>
              <w:rPr>
                <w:rFonts w:hint="eastAsia"/>
                <w:color w:val="auto"/>
                <w:highlight w:val="none"/>
              </w:rPr>
              <w:t>0-3</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62" w:type="dxa"/>
            <w:noWrap w:val="0"/>
            <w:vAlign w:val="center"/>
          </w:tcPr>
          <w:p>
            <w:pPr>
              <w:pStyle w:val="2"/>
              <w:spacing w:line="360" w:lineRule="auto"/>
              <w:jc w:val="center"/>
              <w:rPr>
                <w:color w:val="auto"/>
                <w:highlight w:val="none"/>
              </w:rPr>
            </w:pPr>
            <w:r>
              <w:rPr>
                <w:rFonts w:hint="eastAsia"/>
                <w:color w:val="auto"/>
                <w:highlight w:val="none"/>
              </w:rPr>
              <w:t>3</w:t>
            </w:r>
          </w:p>
        </w:tc>
        <w:tc>
          <w:tcPr>
            <w:tcW w:w="1714" w:type="dxa"/>
            <w:vMerge w:val="continue"/>
            <w:noWrap w:val="0"/>
            <w:vAlign w:val="center"/>
          </w:tcPr>
          <w:p>
            <w:pPr>
              <w:pStyle w:val="2"/>
              <w:spacing w:line="360" w:lineRule="auto"/>
              <w:jc w:val="center"/>
              <w:rPr>
                <w:color w:val="auto"/>
                <w:highlight w:val="none"/>
              </w:rPr>
            </w:pPr>
          </w:p>
        </w:tc>
        <w:tc>
          <w:tcPr>
            <w:tcW w:w="5416" w:type="dxa"/>
            <w:noWrap w:val="0"/>
            <w:vAlign w:val="top"/>
          </w:tcPr>
          <w:p>
            <w:pPr>
              <w:pStyle w:val="2"/>
              <w:spacing w:line="360" w:lineRule="auto"/>
              <w:rPr>
                <w:color w:val="auto"/>
                <w:highlight w:val="none"/>
              </w:rPr>
            </w:pPr>
            <w:r>
              <w:rPr>
                <w:rFonts w:hint="eastAsia"/>
                <w:color w:val="auto"/>
                <w:highlight w:val="none"/>
              </w:rPr>
              <w:t>项目班子中配备</w:t>
            </w:r>
            <w:r>
              <w:rPr>
                <w:rFonts w:hint="eastAsia" w:ascii="宋体" w:hAnsi="宋体" w:cs="宋体"/>
                <w:color w:val="auto"/>
                <w:szCs w:val="21"/>
                <w:highlight w:val="none"/>
              </w:rPr>
              <w:t>（预算员、施工员、材料员、质检员、安全员、资料员），每一个得0.5分，人员不重复计分，最多得3分</w:t>
            </w:r>
            <w:r>
              <w:rPr>
                <w:rFonts w:hint="eastAsia"/>
                <w:color w:val="auto"/>
                <w:highlight w:val="none"/>
              </w:rPr>
              <w:t>。</w:t>
            </w:r>
            <w:r>
              <w:rPr>
                <w:rFonts w:hint="eastAsia"/>
                <w:b/>
                <w:bCs/>
                <w:color w:val="auto"/>
                <w:highlight w:val="none"/>
              </w:rPr>
              <w:t>（投标文件中提供证书复印件并加盖</w:t>
            </w:r>
            <w:r>
              <w:rPr>
                <w:rFonts w:hint="eastAsia"/>
                <w:b/>
                <w:bCs/>
                <w:color w:val="auto"/>
                <w:highlight w:val="none"/>
                <w:lang w:eastAsia="zh-CN"/>
              </w:rPr>
              <w:t>供应商</w:t>
            </w:r>
            <w:r>
              <w:rPr>
                <w:rFonts w:hint="eastAsia"/>
                <w:b/>
                <w:bCs/>
                <w:color w:val="auto"/>
                <w:highlight w:val="none"/>
              </w:rPr>
              <w:t>公章）</w:t>
            </w:r>
          </w:p>
        </w:tc>
        <w:tc>
          <w:tcPr>
            <w:tcW w:w="736" w:type="dxa"/>
            <w:noWrap w:val="0"/>
            <w:vAlign w:val="center"/>
          </w:tcPr>
          <w:p>
            <w:pPr>
              <w:pStyle w:val="2"/>
              <w:spacing w:line="360" w:lineRule="auto"/>
              <w:jc w:val="center"/>
              <w:rPr>
                <w:color w:val="auto"/>
                <w:highlight w:val="none"/>
              </w:rPr>
            </w:pPr>
            <w:r>
              <w:rPr>
                <w:rFonts w:hint="eastAsia"/>
                <w:color w:val="auto"/>
                <w:highlight w:val="none"/>
              </w:rPr>
              <w:t>0-3</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62" w:type="dxa"/>
            <w:noWrap w:val="0"/>
            <w:vAlign w:val="center"/>
          </w:tcPr>
          <w:p>
            <w:pPr>
              <w:pStyle w:val="2"/>
              <w:spacing w:line="360" w:lineRule="auto"/>
              <w:jc w:val="center"/>
              <w:rPr>
                <w:color w:val="auto"/>
                <w:highlight w:val="none"/>
              </w:rPr>
            </w:pPr>
            <w:r>
              <w:rPr>
                <w:rFonts w:hint="eastAsia"/>
                <w:color w:val="auto"/>
                <w:highlight w:val="none"/>
              </w:rPr>
              <w:t>4</w:t>
            </w:r>
          </w:p>
        </w:tc>
        <w:tc>
          <w:tcPr>
            <w:tcW w:w="1714" w:type="dxa"/>
            <w:vMerge w:val="restart"/>
            <w:noWrap w:val="0"/>
            <w:vAlign w:val="center"/>
          </w:tcPr>
          <w:p>
            <w:pPr>
              <w:pStyle w:val="2"/>
              <w:spacing w:line="360" w:lineRule="auto"/>
              <w:jc w:val="center"/>
              <w:rPr>
                <w:color w:val="auto"/>
                <w:highlight w:val="none"/>
              </w:rPr>
            </w:pPr>
            <w:r>
              <w:rPr>
                <w:rFonts w:hint="eastAsia"/>
                <w:color w:val="auto"/>
                <w:highlight w:val="none"/>
              </w:rPr>
              <w:t>深化设计方案 （31分）</w:t>
            </w:r>
          </w:p>
        </w:tc>
        <w:tc>
          <w:tcPr>
            <w:tcW w:w="5416" w:type="dxa"/>
            <w:noWrap w:val="0"/>
            <w:vAlign w:val="center"/>
          </w:tcPr>
          <w:p>
            <w:pPr>
              <w:autoSpaceDE w:val="0"/>
              <w:autoSpaceDN w:val="0"/>
              <w:spacing w:line="340" w:lineRule="exact"/>
              <w:ind w:right="96"/>
              <w:rPr>
                <w:color w:val="auto"/>
                <w:highlight w:val="none"/>
              </w:rPr>
            </w:pPr>
            <w:r>
              <w:rPr>
                <w:rFonts w:hint="eastAsia" w:ascii="宋体" w:hAnsi="宋体"/>
                <w:bCs/>
                <w:color w:val="auto"/>
                <w:highlight w:val="none"/>
              </w:rPr>
              <w:t>设计理念：</w:t>
            </w:r>
            <w:r>
              <w:rPr>
                <w:rFonts w:hint="eastAsia" w:ascii="宋体" w:hAnsi="宋体"/>
                <w:bCs/>
                <w:color w:val="auto"/>
                <w:highlight w:val="none"/>
                <w:lang w:eastAsia="zh-CN"/>
              </w:rPr>
              <w:t>供应商</w:t>
            </w:r>
            <w:r>
              <w:rPr>
                <w:rFonts w:hint="eastAsia" w:ascii="宋体" w:hAnsi="宋体"/>
                <w:bCs/>
                <w:color w:val="auto"/>
                <w:highlight w:val="none"/>
              </w:rPr>
              <w:t xml:space="preserve">设计思路清晰、理念可行、合理情况。   0-4分  </w:t>
            </w:r>
          </w:p>
        </w:tc>
        <w:tc>
          <w:tcPr>
            <w:tcW w:w="736" w:type="dxa"/>
            <w:noWrap w:val="0"/>
            <w:vAlign w:val="center"/>
          </w:tcPr>
          <w:p>
            <w:pPr>
              <w:pStyle w:val="2"/>
              <w:spacing w:line="360" w:lineRule="auto"/>
              <w:jc w:val="center"/>
              <w:rPr>
                <w:color w:val="auto"/>
                <w:highlight w:val="none"/>
              </w:rPr>
            </w:pPr>
            <w:r>
              <w:rPr>
                <w:rFonts w:hint="eastAsia"/>
                <w:color w:val="auto"/>
                <w:highlight w:val="none"/>
              </w:rPr>
              <w:t>0-4</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62" w:type="dxa"/>
            <w:noWrap w:val="0"/>
            <w:vAlign w:val="center"/>
          </w:tcPr>
          <w:p>
            <w:pPr>
              <w:pStyle w:val="2"/>
              <w:spacing w:line="360" w:lineRule="auto"/>
              <w:jc w:val="center"/>
              <w:rPr>
                <w:color w:val="auto"/>
                <w:highlight w:val="none"/>
              </w:rPr>
            </w:pPr>
            <w:r>
              <w:rPr>
                <w:rFonts w:hint="eastAsia"/>
                <w:color w:val="auto"/>
                <w:highlight w:val="none"/>
              </w:rPr>
              <w:t>5</w:t>
            </w:r>
          </w:p>
        </w:tc>
        <w:tc>
          <w:tcPr>
            <w:tcW w:w="1714" w:type="dxa"/>
            <w:vMerge w:val="continue"/>
            <w:noWrap w:val="0"/>
            <w:vAlign w:val="top"/>
          </w:tcPr>
          <w:p>
            <w:pPr>
              <w:pStyle w:val="2"/>
              <w:spacing w:line="360" w:lineRule="auto"/>
              <w:rPr>
                <w:color w:val="auto"/>
                <w:highlight w:val="none"/>
              </w:rPr>
            </w:pPr>
          </w:p>
        </w:tc>
        <w:tc>
          <w:tcPr>
            <w:tcW w:w="5416" w:type="dxa"/>
            <w:noWrap w:val="0"/>
            <w:vAlign w:val="center"/>
          </w:tcPr>
          <w:p>
            <w:pPr>
              <w:autoSpaceDE w:val="0"/>
              <w:autoSpaceDN w:val="0"/>
              <w:spacing w:line="340" w:lineRule="exact"/>
              <w:ind w:right="96"/>
              <w:rPr>
                <w:rFonts w:ascii="宋体" w:hAnsi="宋体" w:eastAsia="宋体" w:cs="宋体"/>
                <w:color w:val="auto"/>
                <w:kern w:val="0"/>
                <w:szCs w:val="21"/>
                <w:highlight w:val="none"/>
              </w:rPr>
            </w:pPr>
            <w:r>
              <w:rPr>
                <w:rFonts w:hint="eastAsia" w:ascii="宋体" w:hAnsi="宋体"/>
                <w:bCs/>
                <w:color w:val="auto"/>
                <w:highlight w:val="none"/>
              </w:rPr>
              <w:t xml:space="preserve">设计深度：深度满足采购需求，各重要节点明确。   0-4分  </w:t>
            </w:r>
          </w:p>
        </w:tc>
        <w:tc>
          <w:tcPr>
            <w:tcW w:w="736" w:type="dxa"/>
            <w:noWrap w:val="0"/>
            <w:vAlign w:val="center"/>
          </w:tcPr>
          <w:p>
            <w:pPr>
              <w:spacing w:line="360" w:lineRule="auto"/>
              <w:jc w:val="center"/>
              <w:rPr>
                <w:color w:val="auto"/>
                <w:highlight w:val="none"/>
              </w:rPr>
            </w:pPr>
            <w:r>
              <w:rPr>
                <w:rFonts w:hint="eastAsia"/>
                <w:color w:val="auto"/>
                <w:highlight w:val="none"/>
              </w:rPr>
              <w:t>0-4</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62" w:type="dxa"/>
            <w:noWrap w:val="0"/>
            <w:vAlign w:val="center"/>
          </w:tcPr>
          <w:p>
            <w:pPr>
              <w:pStyle w:val="2"/>
              <w:spacing w:line="360" w:lineRule="auto"/>
              <w:jc w:val="center"/>
              <w:rPr>
                <w:color w:val="auto"/>
                <w:highlight w:val="none"/>
              </w:rPr>
            </w:pPr>
            <w:r>
              <w:rPr>
                <w:rFonts w:hint="eastAsia"/>
                <w:color w:val="auto"/>
                <w:highlight w:val="none"/>
              </w:rPr>
              <w:t>6</w:t>
            </w:r>
          </w:p>
        </w:tc>
        <w:tc>
          <w:tcPr>
            <w:tcW w:w="1714" w:type="dxa"/>
            <w:vMerge w:val="continue"/>
            <w:noWrap w:val="0"/>
            <w:vAlign w:val="top"/>
          </w:tcPr>
          <w:p>
            <w:pPr>
              <w:pStyle w:val="2"/>
              <w:spacing w:line="360" w:lineRule="auto"/>
              <w:rPr>
                <w:color w:val="auto"/>
                <w:highlight w:val="none"/>
              </w:rPr>
            </w:pPr>
          </w:p>
        </w:tc>
        <w:tc>
          <w:tcPr>
            <w:tcW w:w="5416" w:type="dxa"/>
            <w:noWrap w:val="0"/>
            <w:vAlign w:val="center"/>
          </w:tcPr>
          <w:p>
            <w:pPr>
              <w:autoSpaceDE w:val="0"/>
              <w:autoSpaceDN w:val="0"/>
              <w:spacing w:line="340" w:lineRule="exact"/>
              <w:ind w:right="96"/>
              <w:rPr>
                <w:rFonts w:ascii="宋体" w:hAnsi="宋体"/>
                <w:bCs/>
                <w:color w:val="auto"/>
                <w:highlight w:val="none"/>
              </w:rPr>
            </w:pPr>
            <w:r>
              <w:rPr>
                <w:rFonts w:hint="eastAsia" w:ascii="宋体" w:hAnsi="宋体"/>
                <w:bCs/>
                <w:color w:val="auto"/>
                <w:highlight w:val="none"/>
              </w:rPr>
              <w:t>平面布置合理性：功能分区合理，各层之间、公共部位过渡自然，主线明晰，突出主题。0-4分</w:t>
            </w:r>
          </w:p>
        </w:tc>
        <w:tc>
          <w:tcPr>
            <w:tcW w:w="736" w:type="dxa"/>
            <w:noWrap w:val="0"/>
            <w:vAlign w:val="center"/>
          </w:tcPr>
          <w:p>
            <w:pPr>
              <w:spacing w:line="360" w:lineRule="auto"/>
              <w:jc w:val="center"/>
              <w:rPr>
                <w:color w:val="auto"/>
                <w:highlight w:val="none"/>
              </w:rPr>
            </w:pPr>
            <w:r>
              <w:rPr>
                <w:rFonts w:hint="eastAsia"/>
                <w:color w:val="auto"/>
                <w:highlight w:val="none"/>
              </w:rPr>
              <w:t>0-4</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91" w:hRule="atLeast"/>
        </w:trPr>
        <w:tc>
          <w:tcPr>
            <w:tcW w:w="662" w:type="dxa"/>
            <w:noWrap w:val="0"/>
            <w:vAlign w:val="center"/>
          </w:tcPr>
          <w:p>
            <w:pPr>
              <w:pStyle w:val="2"/>
              <w:spacing w:line="360" w:lineRule="auto"/>
              <w:jc w:val="center"/>
              <w:rPr>
                <w:color w:val="auto"/>
                <w:highlight w:val="none"/>
              </w:rPr>
            </w:pPr>
            <w:r>
              <w:rPr>
                <w:rFonts w:hint="eastAsia"/>
                <w:color w:val="auto"/>
                <w:highlight w:val="none"/>
              </w:rPr>
              <w:t>7</w:t>
            </w:r>
          </w:p>
        </w:tc>
        <w:tc>
          <w:tcPr>
            <w:tcW w:w="1714" w:type="dxa"/>
            <w:vMerge w:val="continue"/>
            <w:noWrap w:val="0"/>
            <w:vAlign w:val="top"/>
          </w:tcPr>
          <w:p>
            <w:pPr>
              <w:pStyle w:val="2"/>
              <w:spacing w:line="360" w:lineRule="auto"/>
              <w:rPr>
                <w:color w:val="auto"/>
                <w:highlight w:val="none"/>
              </w:rPr>
            </w:pPr>
          </w:p>
        </w:tc>
        <w:tc>
          <w:tcPr>
            <w:tcW w:w="5416" w:type="dxa"/>
            <w:noWrap w:val="0"/>
            <w:vAlign w:val="center"/>
          </w:tcPr>
          <w:p>
            <w:pPr>
              <w:autoSpaceDE w:val="0"/>
              <w:autoSpaceDN w:val="0"/>
              <w:spacing w:line="340" w:lineRule="exact"/>
              <w:ind w:right="96"/>
              <w:rPr>
                <w:rFonts w:ascii="宋体" w:hAnsi="宋体"/>
                <w:bCs/>
                <w:color w:val="auto"/>
                <w:highlight w:val="none"/>
              </w:rPr>
            </w:pPr>
            <w:r>
              <w:rPr>
                <w:rFonts w:hint="eastAsia" w:ascii="宋体" w:hAnsi="宋体"/>
                <w:bCs/>
                <w:color w:val="auto"/>
                <w:highlight w:val="none"/>
                <w:lang w:val="en-US" w:eastAsia="zh-CN"/>
              </w:rPr>
              <w:t>色彩搭配</w:t>
            </w:r>
            <w:r>
              <w:rPr>
                <w:rFonts w:hint="eastAsia" w:ascii="宋体" w:hAnsi="宋体"/>
                <w:bCs/>
                <w:color w:val="auto"/>
                <w:highlight w:val="none"/>
              </w:rPr>
              <w:t>：对</w:t>
            </w:r>
            <w:r>
              <w:rPr>
                <w:rFonts w:hint="eastAsia" w:ascii="宋体" w:hAnsi="宋体"/>
                <w:bCs/>
                <w:color w:val="auto"/>
                <w:highlight w:val="none"/>
                <w:lang w:val="en-US" w:eastAsia="zh-CN"/>
              </w:rPr>
              <w:t>艺术教室</w:t>
            </w:r>
            <w:r>
              <w:rPr>
                <w:rFonts w:hint="eastAsia" w:ascii="宋体" w:hAnsi="宋体"/>
                <w:bCs/>
                <w:color w:val="auto"/>
                <w:highlight w:val="none"/>
              </w:rPr>
              <w:t>特色及内涵理解深入，挖掘与展示完整、准确，艺术效果好，创新意识强。0-4分</w:t>
            </w:r>
          </w:p>
        </w:tc>
        <w:tc>
          <w:tcPr>
            <w:tcW w:w="736" w:type="dxa"/>
            <w:noWrap w:val="0"/>
            <w:vAlign w:val="center"/>
          </w:tcPr>
          <w:p>
            <w:pPr>
              <w:spacing w:line="360" w:lineRule="auto"/>
              <w:jc w:val="center"/>
              <w:rPr>
                <w:color w:val="auto"/>
                <w:highlight w:val="none"/>
              </w:rPr>
            </w:pPr>
            <w:r>
              <w:rPr>
                <w:rFonts w:hint="eastAsia"/>
                <w:color w:val="auto"/>
                <w:highlight w:val="none"/>
              </w:rPr>
              <w:t>0-4</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62" w:type="dxa"/>
            <w:noWrap w:val="0"/>
            <w:vAlign w:val="center"/>
          </w:tcPr>
          <w:p>
            <w:pPr>
              <w:pStyle w:val="2"/>
              <w:spacing w:line="360" w:lineRule="auto"/>
              <w:jc w:val="center"/>
              <w:rPr>
                <w:color w:val="auto"/>
                <w:highlight w:val="none"/>
              </w:rPr>
            </w:pPr>
            <w:r>
              <w:rPr>
                <w:rFonts w:hint="eastAsia"/>
                <w:color w:val="auto"/>
                <w:highlight w:val="none"/>
              </w:rPr>
              <w:t>8</w:t>
            </w:r>
          </w:p>
        </w:tc>
        <w:tc>
          <w:tcPr>
            <w:tcW w:w="1714" w:type="dxa"/>
            <w:vMerge w:val="continue"/>
            <w:noWrap w:val="0"/>
            <w:vAlign w:val="top"/>
          </w:tcPr>
          <w:p>
            <w:pPr>
              <w:pStyle w:val="2"/>
              <w:spacing w:line="360" w:lineRule="auto"/>
              <w:rPr>
                <w:color w:val="auto"/>
                <w:highlight w:val="none"/>
              </w:rPr>
            </w:pPr>
          </w:p>
        </w:tc>
        <w:tc>
          <w:tcPr>
            <w:tcW w:w="5416" w:type="dxa"/>
            <w:noWrap w:val="0"/>
            <w:vAlign w:val="center"/>
          </w:tcPr>
          <w:p>
            <w:pPr>
              <w:autoSpaceDE w:val="0"/>
              <w:autoSpaceDN w:val="0"/>
              <w:spacing w:line="340" w:lineRule="exact"/>
              <w:ind w:right="96"/>
              <w:rPr>
                <w:rFonts w:ascii="宋体" w:hAnsi="宋体" w:eastAsia="宋体" w:cs="宋体"/>
                <w:color w:val="auto"/>
                <w:kern w:val="0"/>
                <w:szCs w:val="21"/>
                <w:highlight w:val="none"/>
              </w:rPr>
            </w:pPr>
            <w:r>
              <w:rPr>
                <w:rFonts w:hint="eastAsia" w:ascii="宋体" w:hAnsi="宋体" w:eastAsia="宋体"/>
                <w:bCs/>
                <w:color w:val="auto"/>
                <w:highlight w:val="none"/>
                <w:lang w:val="en-US" w:eastAsia="zh-CN"/>
              </w:rPr>
              <w:t>对采光、通风、环保、噪声隔绝等技术可行性和合理性</w:t>
            </w:r>
            <w:r>
              <w:rPr>
                <w:rFonts w:hint="eastAsia" w:ascii="宋体" w:hAnsi="宋体" w:eastAsia="宋体" w:cs="宋体"/>
                <w:color w:val="auto"/>
                <w:kern w:val="0"/>
                <w:szCs w:val="21"/>
                <w:highlight w:val="none"/>
              </w:rPr>
              <w:t>。</w:t>
            </w:r>
            <w:r>
              <w:rPr>
                <w:rFonts w:hint="eastAsia" w:ascii="宋体" w:hAnsi="宋体"/>
                <w:bCs/>
                <w:color w:val="auto"/>
                <w:highlight w:val="none"/>
              </w:rPr>
              <w:t xml:space="preserve">   0-5分  </w:t>
            </w:r>
          </w:p>
        </w:tc>
        <w:tc>
          <w:tcPr>
            <w:tcW w:w="736" w:type="dxa"/>
            <w:noWrap w:val="0"/>
            <w:vAlign w:val="center"/>
          </w:tcPr>
          <w:p>
            <w:pPr>
              <w:spacing w:line="360" w:lineRule="auto"/>
              <w:jc w:val="center"/>
              <w:rPr>
                <w:color w:val="auto"/>
                <w:highlight w:val="none"/>
              </w:rPr>
            </w:pPr>
            <w:r>
              <w:rPr>
                <w:rFonts w:hint="eastAsia"/>
                <w:color w:val="auto"/>
                <w:highlight w:val="none"/>
              </w:rPr>
              <w:t>0-5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62" w:type="dxa"/>
            <w:noWrap w:val="0"/>
            <w:vAlign w:val="center"/>
          </w:tcPr>
          <w:p>
            <w:pPr>
              <w:pStyle w:val="2"/>
              <w:spacing w:line="360" w:lineRule="auto"/>
              <w:jc w:val="center"/>
              <w:rPr>
                <w:color w:val="auto"/>
                <w:highlight w:val="none"/>
              </w:rPr>
            </w:pPr>
            <w:r>
              <w:rPr>
                <w:rFonts w:hint="eastAsia"/>
                <w:color w:val="auto"/>
                <w:highlight w:val="none"/>
              </w:rPr>
              <w:t>9</w:t>
            </w:r>
          </w:p>
        </w:tc>
        <w:tc>
          <w:tcPr>
            <w:tcW w:w="1714" w:type="dxa"/>
            <w:vMerge w:val="continue"/>
            <w:noWrap w:val="0"/>
            <w:vAlign w:val="top"/>
          </w:tcPr>
          <w:p>
            <w:pPr>
              <w:pStyle w:val="2"/>
              <w:spacing w:line="360" w:lineRule="auto"/>
              <w:rPr>
                <w:color w:val="auto"/>
                <w:highlight w:val="none"/>
              </w:rPr>
            </w:pPr>
          </w:p>
        </w:tc>
        <w:tc>
          <w:tcPr>
            <w:tcW w:w="5416" w:type="dxa"/>
            <w:noWrap w:val="0"/>
            <w:vAlign w:val="top"/>
          </w:tcPr>
          <w:p>
            <w:pPr>
              <w:pStyle w:val="2"/>
              <w:spacing w:line="360" w:lineRule="auto"/>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rPr>
              <w:t>深化设计方案文本：</w:t>
            </w:r>
          </w:p>
          <w:p>
            <w:pPr>
              <w:pStyle w:val="2"/>
              <w:spacing w:line="360" w:lineRule="auto"/>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rPr>
              <w:t>（1）深化设计方案文本图纸完成、内容详见情况。 0-3分</w:t>
            </w:r>
          </w:p>
          <w:p>
            <w:pPr>
              <w:pStyle w:val="2"/>
              <w:spacing w:line="360" w:lineRule="auto"/>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rPr>
              <w:t>（2）深化设计方案文本效果图展示情况。 0-3分</w:t>
            </w:r>
          </w:p>
        </w:tc>
        <w:tc>
          <w:tcPr>
            <w:tcW w:w="736" w:type="dxa"/>
            <w:noWrap w:val="0"/>
            <w:vAlign w:val="center"/>
          </w:tcPr>
          <w:p>
            <w:pPr>
              <w:spacing w:line="360" w:lineRule="auto"/>
              <w:jc w:val="center"/>
              <w:rPr>
                <w:color w:val="auto"/>
                <w:highlight w:val="none"/>
              </w:rPr>
            </w:pPr>
            <w:r>
              <w:rPr>
                <w:rFonts w:hint="eastAsia"/>
                <w:color w:val="auto"/>
                <w:highlight w:val="none"/>
              </w:rPr>
              <w:t>0-6</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62" w:type="dxa"/>
            <w:noWrap w:val="0"/>
            <w:vAlign w:val="center"/>
          </w:tcPr>
          <w:p>
            <w:pPr>
              <w:pStyle w:val="2"/>
              <w:spacing w:line="360" w:lineRule="auto"/>
              <w:jc w:val="center"/>
              <w:rPr>
                <w:color w:val="auto"/>
                <w:highlight w:val="none"/>
              </w:rPr>
            </w:pPr>
            <w:r>
              <w:rPr>
                <w:rFonts w:hint="eastAsia"/>
                <w:color w:val="auto"/>
                <w:highlight w:val="none"/>
              </w:rPr>
              <w:t>10</w:t>
            </w:r>
          </w:p>
        </w:tc>
        <w:tc>
          <w:tcPr>
            <w:tcW w:w="1714" w:type="dxa"/>
            <w:vMerge w:val="continue"/>
            <w:noWrap w:val="0"/>
            <w:vAlign w:val="top"/>
          </w:tcPr>
          <w:p>
            <w:pPr>
              <w:pStyle w:val="2"/>
              <w:spacing w:line="360" w:lineRule="auto"/>
              <w:rPr>
                <w:color w:val="auto"/>
                <w:highlight w:val="none"/>
              </w:rPr>
            </w:pPr>
          </w:p>
        </w:tc>
        <w:tc>
          <w:tcPr>
            <w:tcW w:w="5416" w:type="dxa"/>
            <w:noWrap w:val="0"/>
            <w:vAlign w:val="top"/>
          </w:tcPr>
          <w:p>
            <w:pPr>
              <w:pStyle w:val="2"/>
              <w:spacing w:line="360" w:lineRule="auto"/>
              <w:rPr>
                <w:rFonts w:ascii="宋体" w:hAnsi="宋体" w:cs="宋体"/>
                <w:color w:val="auto"/>
                <w:kern w:val="0"/>
                <w:szCs w:val="21"/>
                <w:highlight w:val="none"/>
              </w:rPr>
            </w:pPr>
            <w:r>
              <w:rPr>
                <w:rFonts w:hint="eastAsia" w:ascii="宋体" w:hAnsi="宋体" w:eastAsia="宋体" w:cs="宋体"/>
                <w:color w:val="auto"/>
                <w:kern w:val="0"/>
                <w:szCs w:val="21"/>
                <w:highlight w:val="none"/>
              </w:rPr>
              <w:t>新技术运用：多样性、科学性、合理性。 0-4分</w:t>
            </w:r>
          </w:p>
        </w:tc>
        <w:tc>
          <w:tcPr>
            <w:tcW w:w="736" w:type="dxa"/>
            <w:noWrap w:val="0"/>
            <w:vAlign w:val="center"/>
          </w:tcPr>
          <w:p>
            <w:pPr>
              <w:spacing w:line="360" w:lineRule="auto"/>
              <w:jc w:val="center"/>
              <w:rPr>
                <w:color w:val="auto"/>
                <w:highlight w:val="none"/>
              </w:rPr>
            </w:pPr>
            <w:r>
              <w:rPr>
                <w:rFonts w:hint="eastAsia"/>
                <w:color w:val="auto"/>
                <w:highlight w:val="none"/>
              </w:rPr>
              <w:t>0-4</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62" w:type="dxa"/>
            <w:noWrap w:val="0"/>
            <w:vAlign w:val="center"/>
          </w:tcPr>
          <w:p>
            <w:pPr>
              <w:pStyle w:val="2"/>
              <w:spacing w:line="360" w:lineRule="auto"/>
              <w:jc w:val="center"/>
              <w:rPr>
                <w:color w:val="auto"/>
                <w:highlight w:val="none"/>
              </w:rPr>
            </w:pPr>
            <w:r>
              <w:rPr>
                <w:rFonts w:hint="eastAsia"/>
                <w:color w:val="auto"/>
                <w:highlight w:val="none"/>
              </w:rPr>
              <w:t>11</w:t>
            </w:r>
          </w:p>
        </w:tc>
        <w:tc>
          <w:tcPr>
            <w:tcW w:w="1714" w:type="dxa"/>
            <w:vMerge w:val="restart"/>
            <w:noWrap w:val="0"/>
            <w:vAlign w:val="center"/>
          </w:tcPr>
          <w:p>
            <w:pPr>
              <w:pStyle w:val="2"/>
              <w:spacing w:line="360" w:lineRule="auto"/>
              <w:jc w:val="center"/>
              <w:rPr>
                <w:rFonts w:ascii="宋体" w:hAnsi="宋体" w:eastAsia="宋体"/>
                <w:color w:val="auto"/>
                <w:szCs w:val="21"/>
                <w:highlight w:val="none"/>
              </w:rPr>
            </w:pPr>
            <w:r>
              <w:rPr>
                <w:rFonts w:hint="eastAsia" w:ascii="宋体" w:hAnsi="宋体" w:eastAsia="宋体"/>
                <w:color w:val="auto"/>
                <w:szCs w:val="21"/>
                <w:highlight w:val="none"/>
              </w:rPr>
              <w:t>施工方案（21分）</w:t>
            </w:r>
          </w:p>
        </w:tc>
        <w:tc>
          <w:tcPr>
            <w:tcW w:w="5416" w:type="dxa"/>
            <w:noWrap w:val="0"/>
            <w:vAlign w:val="top"/>
          </w:tcPr>
          <w:p>
            <w:pPr>
              <w:pStyle w:val="2"/>
              <w:spacing w:line="360" w:lineRule="auto"/>
              <w:rPr>
                <w:rFonts w:ascii="宋体" w:hAnsi="宋体"/>
                <w:color w:val="auto"/>
                <w:szCs w:val="21"/>
                <w:highlight w:val="none"/>
              </w:rPr>
            </w:pPr>
            <w:r>
              <w:rPr>
                <w:rFonts w:hint="eastAsia" w:ascii="宋体" w:hAnsi="宋体" w:eastAsia="宋体" w:cs="宋体"/>
                <w:color w:val="auto"/>
                <w:kern w:val="0"/>
                <w:szCs w:val="21"/>
                <w:highlight w:val="none"/>
              </w:rPr>
              <w:t>施工方案：</w:t>
            </w:r>
            <w:r>
              <w:rPr>
                <w:rFonts w:hint="eastAsia" w:ascii="宋体" w:cs="宋体"/>
                <w:color w:val="auto"/>
                <w:szCs w:val="21"/>
                <w:highlight w:val="none"/>
                <w:lang w:val="zh-CN"/>
              </w:rPr>
              <w:t>主要分部分项施工方法及技术措施、施工部署及现场组织管理机构</w:t>
            </w:r>
            <w:r>
              <w:rPr>
                <w:rFonts w:hint="eastAsia" w:ascii="宋体" w:cs="宋体"/>
                <w:color w:val="auto"/>
                <w:szCs w:val="21"/>
                <w:highlight w:val="none"/>
              </w:rPr>
              <w:t>合理、有效</w:t>
            </w:r>
            <w:r>
              <w:rPr>
                <w:rFonts w:hint="eastAsia" w:ascii="宋体" w:hAnsi="宋体" w:eastAsia="宋体" w:cs="宋体"/>
                <w:color w:val="auto"/>
                <w:kern w:val="0"/>
                <w:szCs w:val="21"/>
                <w:highlight w:val="none"/>
              </w:rPr>
              <w:t>情况。  0-4分</w:t>
            </w:r>
          </w:p>
        </w:tc>
        <w:tc>
          <w:tcPr>
            <w:tcW w:w="736" w:type="dxa"/>
            <w:noWrap w:val="0"/>
            <w:vAlign w:val="center"/>
          </w:tcPr>
          <w:p>
            <w:pPr>
              <w:pStyle w:val="2"/>
              <w:spacing w:line="360" w:lineRule="auto"/>
              <w:jc w:val="center"/>
              <w:rPr>
                <w:rFonts w:ascii="宋体" w:hAnsi="宋体" w:eastAsia="宋体"/>
                <w:color w:val="auto"/>
                <w:szCs w:val="21"/>
                <w:highlight w:val="none"/>
              </w:rPr>
            </w:pPr>
            <w:r>
              <w:rPr>
                <w:rFonts w:hint="eastAsia"/>
                <w:color w:val="auto"/>
                <w:highlight w:val="none"/>
              </w:rPr>
              <w:t>0-4</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62" w:type="dxa"/>
            <w:noWrap w:val="0"/>
            <w:vAlign w:val="center"/>
          </w:tcPr>
          <w:p>
            <w:pPr>
              <w:pStyle w:val="2"/>
              <w:spacing w:line="360" w:lineRule="auto"/>
              <w:jc w:val="center"/>
              <w:rPr>
                <w:color w:val="auto"/>
                <w:highlight w:val="none"/>
              </w:rPr>
            </w:pPr>
            <w:r>
              <w:rPr>
                <w:rFonts w:hint="eastAsia"/>
                <w:color w:val="auto"/>
                <w:highlight w:val="none"/>
              </w:rPr>
              <w:t>12</w:t>
            </w:r>
          </w:p>
        </w:tc>
        <w:tc>
          <w:tcPr>
            <w:tcW w:w="1714" w:type="dxa"/>
            <w:vMerge w:val="continue"/>
            <w:noWrap w:val="0"/>
            <w:vAlign w:val="center"/>
          </w:tcPr>
          <w:p>
            <w:pPr>
              <w:pStyle w:val="2"/>
              <w:spacing w:line="360" w:lineRule="auto"/>
              <w:jc w:val="center"/>
              <w:rPr>
                <w:rFonts w:ascii="宋体" w:hAnsi="宋体" w:eastAsia="宋体"/>
                <w:color w:val="auto"/>
                <w:szCs w:val="21"/>
                <w:highlight w:val="none"/>
              </w:rPr>
            </w:pPr>
          </w:p>
        </w:tc>
        <w:tc>
          <w:tcPr>
            <w:tcW w:w="5416" w:type="dxa"/>
            <w:noWrap w:val="0"/>
            <w:vAlign w:val="top"/>
          </w:tcPr>
          <w:p>
            <w:pPr>
              <w:pStyle w:val="2"/>
              <w:spacing w:line="360" w:lineRule="auto"/>
              <w:rPr>
                <w:rFonts w:ascii="宋体" w:hAnsi="宋体"/>
                <w:color w:val="auto"/>
                <w:szCs w:val="21"/>
                <w:highlight w:val="none"/>
              </w:rPr>
            </w:pPr>
            <w:r>
              <w:rPr>
                <w:rFonts w:hint="eastAsia" w:ascii="宋体" w:cs="宋体"/>
                <w:color w:val="auto"/>
                <w:szCs w:val="21"/>
                <w:highlight w:val="none"/>
                <w:lang w:val="zh-CN"/>
              </w:rPr>
              <w:t>施工总进度计划及工期保证措施：</w:t>
            </w:r>
            <w:r>
              <w:rPr>
                <w:rFonts w:hint="eastAsia" w:ascii="宋体" w:cs="宋体"/>
                <w:color w:val="auto"/>
                <w:szCs w:val="21"/>
                <w:highlight w:val="none"/>
              </w:rPr>
              <w:t>各施工时间节点明确，具有可控性等情况</w:t>
            </w:r>
            <w:r>
              <w:rPr>
                <w:rFonts w:hint="eastAsia" w:ascii="宋体" w:hAnsi="宋体" w:eastAsia="宋体" w:cs="宋体"/>
                <w:color w:val="auto"/>
                <w:kern w:val="0"/>
                <w:szCs w:val="21"/>
                <w:highlight w:val="none"/>
              </w:rPr>
              <w:t>。  0-4分</w:t>
            </w:r>
          </w:p>
        </w:tc>
        <w:tc>
          <w:tcPr>
            <w:tcW w:w="736" w:type="dxa"/>
            <w:noWrap w:val="0"/>
            <w:vAlign w:val="center"/>
          </w:tcPr>
          <w:p>
            <w:pPr>
              <w:pStyle w:val="2"/>
              <w:spacing w:line="360" w:lineRule="auto"/>
              <w:jc w:val="center"/>
              <w:rPr>
                <w:rFonts w:ascii="宋体" w:hAnsi="宋体" w:eastAsia="宋体"/>
                <w:color w:val="auto"/>
                <w:szCs w:val="21"/>
                <w:highlight w:val="none"/>
              </w:rPr>
            </w:pPr>
            <w:r>
              <w:rPr>
                <w:rFonts w:hint="eastAsia"/>
                <w:color w:val="auto"/>
                <w:highlight w:val="none"/>
              </w:rPr>
              <w:t>0-4</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62" w:type="dxa"/>
            <w:noWrap w:val="0"/>
            <w:vAlign w:val="center"/>
          </w:tcPr>
          <w:p>
            <w:pPr>
              <w:pStyle w:val="2"/>
              <w:spacing w:line="360" w:lineRule="auto"/>
              <w:jc w:val="center"/>
              <w:rPr>
                <w:color w:val="auto"/>
                <w:highlight w:val="none"/>
              </w:rPr>
            </w:pPr>
            <w:r>
              <w:rPr>
                <w:rFonts w:hint="eastAsia"/>
                <w:color w:val="auto"/>
                <w:highlight w:val="none"/>
              </w:rPr>
              <w:t>13</w:t>
            </w:r>
          </w:p>
        </w:tc>
        <w:tc>
          <w:tcPr>
            <w:tcW w:w="1714" w:type="dxa"/>
            <w:vMerge w:val="continue"/>
            <w:noWrap w:val="0"/>
            <w:vAlign w:val="center"/>
          </w:tcPr>
          <w:p>
            <w:pPr>
              <w:pStyle w:val="2"/>
              <w:spacing w:line="360" w:lineRule="auto"/>
              <w:jc w:val="center"/>
              <w:rPr>
                <w:rFonts w:ascii="宋体" w:hAnsi="宋体" w:eastAsia="宋体"/>
                <w:color w:val="auto"/>
                <w:szCs w:val="21"/>
                <w:highlight w:val="none"/>
              </w:rPr>
            </w:pPr>
          </w:p>
        </w:tc>
        <w:tc>
          <w:tcPr>
            <w:tcW w:w="5416" w:type="dxa"/>
            <w:noWrap w:val="0"/>
            <w:vAlign w:val="top"/>
          </w:tcPr>
          <w:p>
            <w:pPr>
              <w:pStyle w:val="2"/>
              <w:spacing w:line="360" w:lineRule="auto"/>
              <w:rPr>
                <w:rFonts w:ascii="宋体" w:hAnsi="宋体"/>
                <w:color w:val="auto"/>
                <w:szCs w:val="21"/>
                <w:highlight w:val="none"/>
              </w:rPr>
            </w:pPr>
            <w:r>
              <w:rPr>
                <w:rFonts w:hint="eastAsia" w:ascii="宋体" w:cs="宋体"/>
                <w:color w:val="auto"/>
                <w:szCs w:val="21"/>
                <w:highlight w:val="none"/>
                <w:lang w:val="zh-CN"/>
              </w:rPr>
              <w:t>质量保证体系及安全管理措施：</w:t>
            </w:r>
            <w:r>
              <w:rPr>
                <w:rFonts w:hint="eastAsia" w:ascii="宋体" w:cs="宋体"/>
                <w:color w:val="auto"/>
                <w:szCs w:val="21"/>
                <w:highlight w:val="none"/>
              </w:rPr>
              <w:t>施工期间工程质量各环节控制措施到位，施工安全管理措施全面情况。  0-5分</w:t>
            </w:r>
          </w:p>
        </w:tc>
        <w:tc>
          <w:tcPr>
            <w:tcW w:w="736" w:type="dxa"/>
            <w:noWrap w:val="0"/>
            <w:vAlign w:val="center"/>
          </w:tcPr>
          <w:p>
            <w:pPr>
              <w:pStyle w:val="2"/>
              <w:spacing w:line="360" w:lineRule="auto"/>
              <w:jc w:val="center"/>
              <w:rPr>
                <w:rFonts w:ascii="宋体" w:hAnsi="宋体" w:eastAsia="宋体"/>
                <w:color w:val="auto"/>
                <w:szCs w:val="21"/>
                <w:highlight w:val="none"/>
              </w:rPr>
            </w:pPr>
            <w:r>
              <w:rPr>
                <w:rFonts w:hint="eastAsia"/>
                <w:color w:val="auto"/>
                <w:highlight w:val="none"/>
              </w:rPr>
              <w:t>0-5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62" w:type="dxa"/>
            <w:noWrap w:val="0"/>
            <w:vAlign w:val="center"/>
          </w:tcPr>
          <w:p>
            <w:pPr>
              <w:pStyle w:val="2"/>
              <w:spacing w:line="360" w:lineRule="auto"/>
              <w:jc w:val="center"/>
              <w:rPr>
                <w:color w:val="auto"/>
                <w:highlight w:val="none"/>
              </w:rPr>
            </w:pPr>
            <w:r>
              <w:rPr>
                <w:rFonts w:hint="eastAsia"/>
                <w:color w:val="auto"/>
                <w:highlight w:val="none"/>
              </w:rPr>
              <w:t>14</w:t>
            </w:r>
          </w:p>
        </w:tc>
        <w:tc>
          <w:tcPr>
            <w:tcW w:w="1714" w:type="dxa"/>
            <w:vMerge w:val="continue"/>
            <w:noWrap w:val="0"/>
            <w:vAlign w:val="center"/>
          </w:tcPr>
          <w:p>
            <w:pPr>
              <w:pStyle w:val="2"/>
              <w:spacing w:line="360" w:lineRule="auto"/>
              <w:jc w:val="center"/>
              <w:rPr>
                <w:rFonts w:ascii="宋体" w:hAnsi="宋体" w:eastAsia="宋体"/>
                <w:color w:val="auto"/>
                <w:szCs w:val="21"/>
                <w:highlight w:val="none"/>
              </w:rPr>
            </w:pPr>
          </w:p>
        </w:tc>
        <w:tc>
          <w:tcPr>
            <w:tcW w:w="5416" w:type="dxa"/>
            <w:noWrap w:val="0"/>
            <w:vAlign w:val="top"/>
          </w:tcPr>
          <w:p>
            <w:pPr>
              <w:pStyle w:val="2"/>
              <w:spacing w:line="360" w:lineRule="auto"/>
              <w:rPr>
                <w:rFonts w:ascii="宋体" w:cs="宋体"/>
                <w:color w:val="auto"/>
                <w:szCs w:val="21"/>
                <w:highlight w:val="none"/>
              </w:rPr>
            </w:pPr>
            <w:r>
              <w:rPr>
                <w:rFonts w:hint="eastAsia" w:ascii="宋体" w:cs="宋体"/>
                <w:color w:val="auto"/>
                <w:szCs w:val="21"/>
                <w:highlight w:val="none"/>
              </w:rPr>
              <w:t>拟投入设备：拟投入本项目的施工机械、设备先进、经济、合理情况。  0-4分</w:t>
            </w:r>
          </w:p>
        </w:tc>
        <w:tc>
          <w:tcPr>
            <w:tcW w:w="736" w:type="dxa"/>
            <w:noWrap w:val="0"/>
            <w:vAlign w:val="center"/>
          </w:tcPr>
          <w:p>
            <w:pPr>
              <w:pStyle w:val="2"/>
              <w:spacing w:line="360" w:lineRule="auto"/>
              <w:jc w:val="center"/>
              <w:rPr>
                <w:color w:val="auto"/>
                <w:highlight w:val="none"/>
              </w:rPr>
            </w:pPr>
            <w:r>
              <w:rPr>
                <w:rFonts w:hint="eastAsia"/>
                <w:color w:val="auto"/>
                <w:highlight w:val="none"/>
              </w:rPr>
              <w:t>0-4</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62" w:type="dxa"/>
            <w:noWrap w:val="0"/>
            <w:vAlign w:val="center"/>
          </w:tcPr>
          <w:p>
            <w:pPr>
              <w:pStyle w:val="2"/>
              <w:spacing w:line="360" w:lineRule="auto"/>
              <w:jc w:val="center"/>
              <w:rPr>
                <w:color w:val="auto"/>
                <w:highlight w:val="none"/>
              </w:rPr>
            </w:pPr>
            <w:r>
              <w:rPr>
                <w:rFonts w:hint="eastAsia"/>
                <w:color w:val="auto"/>
                <w:highlight w:val="none"/>
              </w:rPr>
              <w:t>15</w:t>
            </w:r>
          </w:p>
        </w:tc>
        <w:tc>
          <w:tcPr>
            <w:tcW w:w="1714" w:type="dxa"/>
            <w:vMerge w:val="continue"/>
            <w:noWrap w:val="0"/>
            <w:vAlign w:val="center"/>
          </w:tcPr>
          <w:p>
            <w:pPr>
              <w:pStyle w:val="2"/>
              <w:spacing w:line="360" w:lineRule="auto"/>
              <w:jc w:val="center"/>
              <w:rPr>
                <w:rFonts w:ascii="宋体" w:hAnsi="宋体" w:eastAsia="宋体"/>
                <w:color w:val="auto"/>
                <w:szCs w:val="21"/>
                <w:highlight w:val="none"/>
              </w:rPr>
            </w:pPr>
          </w:p>
        </w:tc>
        <w:tc>
          <w:tcPr>
            <w:tcW w:w="5416" w:type="dxa"/>
            <w:noWrap w:val="0"/>
            <w:vAlign w:val="top"/>
          </w:tcPr>
          <w:p>
            <w:pPr>
              <w:pStyle w:val="2"/>
              <w:spacing w:line="360" w:lineRule="auto"/>
              <w:rPr>
                <w:rFonts w:ascii="宋体" w:hAnsi="宋体" w:cs="宋体"/>
                <w:color w:val="auto"/>
                <w:kern w:val="0"/>
                <w:szCs w:val="21"/>
                <w:highlight w:val="none"/>
              </w:rPr>
            </w:pPr>
            <w:r>
              <w:rPr>
                <w:rFonts w:hint="eastAsia" w:ascii="宋体" w:cs="宋体"/>
                <w:color w:val="auto"/>
                <w:szCs w:val="21"/>
                <w:highlight w:val="none"/>
              </w:rPr>
              <w:t>项目管理班子配备：根据工程的特点，施工专业人员的配置方案全面性，各施工工种人员搭配合理、经验是否丰富、满足本项目需求情况。  0-4分</w:t>
            </w:r>
          </w:p>
        </w:tc>
        <w:tc>
          <w:tcPr>
            <w:tcW w:w="736" w:type="dxa"/>
            <w:noWrap w:val="0"/>
            <w:vAlign w:val="center"/>
          </w:tcPr>
          <w:p>
            <w:pPr>
              <w:pStyle w:val="2"/>
              <w:spacing w:line="360" w:lineRule="auto"/>
              <w:jc w:val="center"/>
              <w:rPr>
                <w:color w:val="auto"/>
                <w:highlight w:val="none"/>
              </w:rPr>
            </w:pPr>
            <w:r>
              <w:rPr>
                <w:rFonts w:hint="eastAsia"/>
                <w:color w:val="auto"/>
                <w:highlight w:val="none"/>
              </w:rPr>
              <w:t>0-4</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62" w:type="dxa"/>
            <w:noWrap w:val="0"/>
            <w:vAlign w:val="center"/>
          </w:tcPr>
          <w:p>
            <w:pPr>
              <w:pStyle w:val="2"/>
              <w:spacing w:line="360" w:lineRule="auto"/>
              <w:jc w:val="center"/>
              <w:rPr>
                <w:color w:val="auto"/>
                <w:highlight w:val="none"/>
              </w:rPr>
            </w:pPr>
            <w:r>
              <w:rPr>
                <w:rFonts w:hint="eastAsia"/>
                <w:color w:val="auto"/>
                <w:highlight w:val="none"/>
              </w:rPr>
              <w:t>16</w:t>
            </w:r>
          </w:p>
        </w:tc>
        <w:tc>
          <w:tcPr>
            <w:tcW w:w="1714" w:type="dxa"/>
            <w:vMerge w:val="restart"/>
            <w:noWrap w:val="0"/>
            <w:vAlign w:val="center"/>
          </w:tcPr>
          <w:p>
            <w:pPr>
              <w:pStyle w:val="2"/>
              <w:spacing w:line="360" w:lineRule="auto"/>
              <w:jc w:val="center"/>
              <w:rPr>
                <w:rFonts w:ascii="宋体" w:hAnsi="宋体" w:eastAsia="宋体"/>
                <w:color w:val="auto"/>
                <w:szCs w:val="21"/>
                <w:highlight w:val="none"/>
              </w:rPr>
            </w:pPr>
            <w:r>
              <w:rPr>
                <w:rFonts w:hint="eastAsia" w:ascii="宋体" w:hAnsi="宋体" w:eastAsia="宋体"/>
                <w:color w:val="auto"/>
                <w:szCs w:val="21"/>
                <w:highlight w:val="none"/>
              </w:rPr>
              <w:t>其他（</w:t>
            </w:r>
            <w:r>
              <w:rPr>
                <w:rFonts w:hint="eastAsia" w:ascii="宋体" w:hAnsi="宋体" w:eastAsia="宋体"/>
                <w:color w:val="auto"/>
                <w:szCs w:val="21"/>
                <w:highlight w:val="none"/>
                <w:lang w:val="en-US" w:eastAsia="zh-CN"/>
              </w:rPr>
              <w:t>9</w:t>
            </w:r>
            <w:r>
              <w:rPr>
                <w:rFonts w:hint="eastAsia" w:ascii="宋体" w:hAnsi="宋体" w:eastAsia="宋体"/>
                <w:color w:val="auto"/>
                <w:szCs w:val="21"/>
                <w:highlight w:val="none"/>
              </w:rPr>
              <w:t>分）</w:t>
            </w:r>
          </w:p>
        </w:tc>
        <w:tc>
          <w:tcPr>
            <w:tcW w:w="5416" w:type="dxa"/>
            <w:noWrap w:val="0"/>
            <w:vAlign w:val="top"/>
          </w:tcPr>
          <w:p>
            <w:pPr>
              <w:pStyle w:val="2"/>
              <w:spacing w:line="360" w:lineRule="auto"/>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rPr>
              <w:t>针对本项目的培训方案，包含</w:t>
            </w:r>
            <w:r>
              <w:rPr>
                <w:rFonts w:hint="eastAsia" w:ascii="宋体" w:hAnsi="宋体" w:eastAsia="宋体"/>
                <w:bCs/>
                <w:color w:val="auto"/>
                <w:szCs w:val="21"/>
                <w:highlight w:val="none"/>
              </w:rPr>
              <w:t>项目交接、使用手册等，项目设备质保期、装饰装修工程缺陷责任期的相关服务方案，合理、有效、经济、全面情况。 0-6分</w:t>
            </w:r>
          </w:p>
        </w:tc>
        <w:tc>
          <w:tcPr>
            <w:tcW w:w="736" w:type="dxa"/>
            <w:noWrap w:val="0"/>
            <w:vAlign w:val="center"/>
          </w:tcPr>
          <w:p>
            <w:pPr>
              <w:pStyle w:val="2"/>
              <w:spacing w:line="360" w:lineRule="auto"/>
              <w:jc w:val="center"/>
              <w:rPr>
                <w:color w:val="auto"/>
                <w:highlight w:val="none"/>
              </w:rPr>
            </w:pPr>
            <w:r>
              <w:rPr>
                <w:rFonts w:hint="eastAsia"/>
                <w:color w:val="auto"/>
                <w:highlight w:val="none"/>
              </w:rPr>
              <w:t>0-6</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62" w:type="dxa"/>
            <w:noWrap w:val="0"/>
            <w:vAlign w:val="center"/>
          </w:tcPr>
          <w:p>
            <w:pPr>
              <w:pStyle w:val="2"/>
              <w:spacing w:line="360" w:lineRule="auto"/>
              <w:jc w:val="center"/>
              <w:rPr>
                <w:color w:val="auto"/>
                <w:highlight w:val="none"/>
              </w:rPr>
            </w:pPr>
            <w:r>
              <w:rPr>
                <w:rFonts w:hint="eastAsia"/>
                <w:color w:val="auto"/>
                <w:highlight w:val="none"/>
              </w:rPr>
              <w:t>17</w:t>
            </w:r>
          </w:p>
        </w:tc>
        <w:tc>
          <w:tcPr>
            <w:tcW w:w="1714" w:type="dxa"/>
            <w:vMerge w:val="continue"/>
            <w:noWrap w:val="0"/>
            <w:vAlign w:val="center"/>
          </w:tcPr>
          <w:p>
            <w:pPr>
              <w:pStyle w:val="2"/>
              <w:spacing w:line="360" w:lineRule="auto"/>
              <w:jc w:val="center"/>
              <w:rPr>
                <w:rFonts w:ascii="宋体" w:hAnsi="宋体" w:eastAsia="宋体"/>
                <w:color w:val="auto"/>
                <w:szCs w:val="21"/>
                <w:highlight w:val="none"/>
              </w:rPr>
            </w:pPr>
          </w:p>
        </w:tc>
        <w:tc>
          <w:tcPr>
            <w:tcW w:w="5416" w:type="dxa"/>
            <w:noWrap w:val="0"/>
            <w:vAlign w:val="top"/>
          </w:tcPr>
          <w:p>
            <w:pPr>
              <w:pStyle w:val="2"/>
              <w:spacing w:line="360" w:lineRule="auto"/>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rPr>
              <w:t>针对本项目的合理化建议及优惠措施（不得涉及报价），1条被采纳的得1分，最多得3分。</w:t>
            </w:r>
          </w:p>
        </w:tc>
        <w:tc>
          <w:tcPr>
            <w:tcW w:w="736" w:type="dxa"/>
            <w:noWrap w:val="0"/>
            <w:vAlign w:val="center"/>
          </w:tcPr>
          <w:p>
            <w:pPr>
              <w:pStyle w:val="2"/>
              <w:spacing w:line="360" w:lineRule="auto"/>
              <w:jc w:val="center"/>
              <w:rPr>
                <w:rFonts w:hint="default" w:eastAsia="宋体"/>
                <w:color w:val="auto"/>
                <w:highlight w:val="none"/>
                <w:lang w:val="en-US" w:eastAsia="zh-CN"/>
              </w:rPr>
            </w:pPr>
            <w:r>
              <w:rPr>
                <w:rFonts w:hint="eastAsia"/>
                <w:color w:val="auto"/>
                <w:highlight w:val="none"/>
                <w:lang w:val="en-US" w:eastAsia="zh-CN"/>
              </w:rPr>
              <w:t>0-3</w:t>
            </w:r>
          </w:p>
        </w:tc>
      </w:tr>
    </w:tbl>
    <w:p>
      <w:pPr>
        <w:pStyle w:val="22"/>
        <w:snapToGrid w:val="0"/>
        <w:spacing w:before="120" w:beforeLines="50" w:afterLines="50" w:line="360" w:lineRule="auto"/>
        <w:ind w:left="0" w:leftChars="0"/>
        <w:jc w:val="center"/>
        <w:outlineLvl w:val="2"/>
        <w:rPr>
          <w:rFonts w:ascii="宋体" w:hAnsi="宋体"/>
          <w:b/>
          <w:bCs/>
          <w:color w:val="auto"/>
          <w:kern w:val="2"/>
          <w:sz w:val="24"/>
          <w:szCs w:val="24"/>
          <w:highlight w:val="none"/>
        </w:rPr>
      </w:pPr>
      <w:r>
        <w:rPr>
          <w:rFonts w:hint="eastAsia" w:ascii="宋体" w:hAnsi="宋体"/>
          <w:color w:val="auto"/>
          <w:kern w:val="2"/>
          <w:szCs w:val="21"/>
          <w:highlight w:val="none"/>
        </w:rPr>
        <w:t>注：根据磋商小组的平均分作为对应供应商最终得分。</w:t>
      </w:r>
      <w:r>
        <w:rPr>
          <w:rFonts w:ascii="宋体" w:hAnsi="宋体"/>
          <w:color w:val="auto"/>
          <w:kern w:val="2"/>
          <w:szCs w:val="21"/>
          <w:highlight w:val="none"/>
        </w:rPr>
        <w:br w:type="page"/>
      </w:r>
      <w:bookmarkEnd w:id="15"/>
      <w:bookmarkEnd w:id="16"/>
      <w:bookmarkEnd w:id="17"/>
      <w:bookmarkStart w:id="106" w:name="_Toc32558"/>
      <w:bookmarkStart w:id="107" w:name="_Toc6150"/>
      <w:bookmarkStart w:id="108" w:name="_Toc528441161"/>
      <w:bookmarkStart w:id="109" w:name="_Toc26924"/>
      <w:bookmarkStart w:id="110" w:name="_Toc306200953"/>
      <w:r>
        <w:rPr>
          <w:rFonts w:hint="eastAsia" w:ascii="宋体" w:hAnsi="宋体"/>
          <w:b/>
          <w:bCs/>
          <w:color w:val="auto"/>
          <w:kern w:val="2"/>
          <w:sz w:val="24"/>
          <w:szCs w:val="24"/>
          <w:highlight w:val="none"/>
        </w:rPr>
        <w:t>第五章  合同条款</w:t>
      </w:r>
      <w:bookmarkEnd w:id="106"/>
      <w:bookmarkEnd w:id="107"/>
      <w:bookmarkEnd w:id="108"/>
      <w:bookmarkEnd w:id="109"/>
      <w:bookmarkEnd w:id="110"/>
    </w:p>
    <w:p>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400" w:lineRule="exact"/>
        <w:ind w:firstLine="420" w:firstLineChars="200"/>
        <w:jc w:val="left"/>
        <w:rPr>
          <w:rFonts w:hint="eastAsia" w:ascii="宋体" w:hAnsi="宋体" w:cs="宋体"/>
          <w:color w:val="auto"/>
          <w:kern w:val="0"/>
          <w:szCs w:val="21"/>
          <w:highlight w:val="none"/>
          <w:lang w:val="en-US" w:eastAsia="zh-CN"/>
        </w:rPr>
      </w:pPr>
      <w:bookmarkStart w:id="111" w:name="_Toc4554"/>
      <w:bookmarkStart w:id="112" w:name="_Toc528441162"/>
      <w:r>
        <w:rPr>
          <w:rFonts w:hint="eastAsia" w:ascii="宋体" w:hAnsi="宋体" w:cs="宋体"/>
          <w:color w:val="auto"/>
          <w:kern w:val="0"/>
          <w:szCs w:val="21"/>
          <w:highlight w:val="none"/>
        </w:rPr>
        <w:t>项目编号：</w:t>
      </w:r>
      <w:r>
        <w:rPr>
          <w:rFonts w:hint="eastAsia" w:ascii="宋体" w:hAnsi="宋体" w:cs="宋体"/>
          <w:color w:val="auto"/>
          <w:kern w:val="0"/>
          <w:szCs w:val="21"/>
          <w:highlight w:val="none"/>
          <w:lang w:eastAsia="zh-CN"/>
        </w:rPr>
        <w:t>FLCX-2023-</w:t>
      </w:r>
      <w:r>
        <w:rPr>
          <w:rFonts w:hint="eastAsia" w:ascii="宋体" w:hAnsi="宋体" w:cs="宋体"/>
          <w:color w:val="auto"/>
          <w:kern w:val="0"/>
          <w:szCs w:val="21"/>
          <w:highlight w:val="none"/>
          <w:lang w:val="en-US" w:eastAsia="zh-CN"/>
        </w:rPr>
        <w:t>45</w:t>
      </w:r>
    </w:p>
    <w:p>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400" w:lineRule="exact"/>
        <w:ind w:firstLine="420" w:firstLineChars="200"/>
        <w:jc w:val="left"/>
        <w:rPr>
          <w:rFonts w:hint="eastAsia" w:ascii="宋体" w:hAnsi="宋体" w:eastAsia="宋体" w:cs="宋体"/>
          <w:color w:val="auto"/>
          <w:kern w:val="0"/>
          <w:szCs w:val="21"/>
          <w:highlight w:val="none"/>
          <w:lang w:eastAsia="zh-CN"/>
        </w:rPr>
      </w:pPr>
      <w:r>
        <w:rPr>
          <w:rFonts w:hint="eastAsia" w:ascii="宋体" w:hAnsi="宋体" w:cs="宋体"/>
          <w:color w:val="auto"/>
          <w:kern w:val="0"/>
          <w:szCs w:val="21"/>
          <w:highlight w:val="none"/>
        </w:rPr>
        <w:t>采购人（以下称甲方）：</w:t>
      </w:r>
      <w:r>
        <w:rPr>
          <w:rFonts w:hint="eastAsia" w:ascii="宋体" w:hAnsi="宋体" w:cs="宋体"/>
          <w:color w:val="auto"/>
          <w:kern w:val="0"/>
          <w:szCs w:val="21"/>
          <w:highlight w:val="none"/>
          <w:lang w:eastAsia="zh-CN"/>
        </w:rPr>
        <w:t>嘉兴市实验初级中学教育集团</w:t>
      </w:r>
    </w:p>
    <w:p>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400" w:lineRule="exact"/>
        <w:ind w:firstLine="420" w:firstLineChars="200"/>
        <w:jc w:val="left"/>
        <w:rPr>
          <w:rFonts w:ascii="宋体" w:hAnsi="宋体" w:cs="宋体"/>
          <w:color w:val="auto"/>
          <w:kern w:val="0"/>
          <w:szCs w:val="21"/>
          <w:highlight w:val="none"/>
        </w:rPr>
      </w:pPr>
      <w:r>
        <w:rPr>
          <w:rFonts w:hint="eastAsia" w:ascii="宋体" w:hAnsi="宋体" w:cs="宋体"/>
          <w:color w:val="auto"/>
          <w:kern w:val="0"/>
          <w:szCs w:val="21"/>
          <w:highlight w:val="none"/>
        </w:rPr>
        <w:t>供应商（以下称乙方）：</w:t>
      </w:r>
    </w:p>
    <w:p>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400" w:lineRule="exact"/>
        <w:ind w:firstLine="420" w:firstLineChars="200"/>
        <w:jc w:val="left"/>
        <w:rPr>
          <w:rFonts w:ascii="宋体" w:hAnsi="宋体" w:cs="宋体"/>
          <w:color w:val="auto"/>
          <w:kern w:val="0"/>
          <w:szCs w:val="21"/>
          <w:highlight w:val="none"/>
        </w:rPr>
      </w:pPr>
      <w:r>
        <w:rPr>
          <w:rFonts w:hint="eastAsia" w:ascii="宋体" w:hAnsi="宋体" w:cs="宋体"/>
          <w:color w:val="auto"/>
          <w:kern w:val="0"/>
          <w:szCs w:val="21"/>
          <w:highlight w:val="none"/>
        </w:rPr>
        <w:t>预算金额：   万元</w:t>
      </w:r>
    </w:p>
    <w:p>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400" w:lineRule="exact"/>
        <w:ind w:firstLine="420" w:firstLineChars="200"/>
        <w:jc w:val="left"/>
        <w:rPr>
          <w:rFonts w:ascii="宋体" w:hAnsi="宋体" w:cs="宋体"/>
          <w:color w:val="auto"/>
          <w:kern w:val="0"/>
          <w:szCs w:val="21"/>
          <w:highlight w:val="none"/>
        </w:rPr>
      </w:pPr>
      <w:r>
        <w:rPr>
          <w:rFonts w:hint="eastAsia" w:ascii="宋体" w:hAnsi="宋体" w:cs="宋体"/>
          <w:color w:val="auto"/>
          <w:kern w:val="0"/>
          <w:szCs w:val="21"/>
          <w:highlight w:val="none"/>
        </w:rPr>
        <w:t>采购代理机构：</w:t>
      </w:r>
    </w:p>
    <w:p>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440" w:lineRule="exact"/>
        <w:ind w:firstLine="420" w:firstLineChars="200"/>
        <w:jc w:val="left"/>
        <w:rPr>
          <w:rFonts w:hint="default" w:ascii="宋体" w:hAnsi="宋体" w:eastAsia="宋体" w:cs="宋体"/>
          <w:color w:val="auto"/>
          <w:kern w:val="0"/>
          <w:szCs w:val="21"/>
          <w:highlight w:val="none"/>
          <w:lang w:val="en-US" w:eastAsia="zh-CN"/>
        </w:rPr>
      </w:pPr>
      <w:r>
        <w:rPr>
          <w:rFonts w:hint="eastAsia" w:ascii="宋体" w:hAnsi="宋体" w:cs="宋体"/>
          <w:color w:val="auto"/>
          <w:kern w:val="0"/>
          <w:szCs w:val="21"/>
          <w:highlight w:val="none"/>
        </w:rPr>
        <w:t>采购方式：</w:t>
      </w:r>
      <w:r>
        <w:rPr>
          <w:rFonts w:hint="eastAsia" w:ascii="宋体" w:hAnsi="宋体" w:cs="宋体"/>
          <w:color w:val="auto"/>
          <w:kern w:val="0"/>
          <w:szCs w:val="21"/>
          <w:highlight w:val="none"/>
          <w:lang w:val="en-US" w:eastAsia="zh-CN"/>
        </w:rPr>
        <w:t>竞争性磋商</w:t>
      </w:r>
    </w:p>
    <w:p>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440" w:lineRule="exact"/>
        <w:ind w:firstLine="420" w:firstLineChars="200"/>
        <w:jc w:val="left"/>
        <w:rPr>
          <w:rFonts w:ascii="宋体" w:hAnsi="宋体" w:cs="宋体"/>
          <w:color w:val="auto"/>
          <w:kern w:val="0"/>
          <w:szCs w:val="21"/>
          <w:highlight w:val="none"/>
        </w:rPr>
      </w:pPr>
      <w:r>
        <w:rPr>
          <w:rFonts w:hint="eastAsia" w:ascii="宋体" w:hAnsi="宋体" w:cs="宋体"/>
          <w:color w:val="auto"/>
          <w:kern w:val="0"/>
          <w:szCs w:val="21"/>
          <w:highlight w:val="none"/>
        </w:rPr>
        <w:t>根据《中华人民共和国政府采购法》、《中华人民共和国民法典》等法律法规的规定，甲乙双方按照</w:t>
      </w:r>
      <w:r>
        <w:rPr>
          <w:rFonts w:hint="eastAsia" w:ascii="宋体" w:hAnsi="宋体" w:cs="宋体"/>
          <w:color w:val="auto"/>
          <w:kern w:val="0"/>
          <w:szCs w:val="21"/>
          <w:highlight w:val="none"/>
          <w:u w:val="single"/>
          <w:lang w:eastAsia="zh-CN"/>
        </w:rPr>
        <w:t xml:space="preserve"> 嘉兴市实验初级中学教育集团艺术教室室内装修工程设计施工一体化项目</w:t>
      </w:r>
      <w:r>
        <w:rPr>
          <w:rFonts w:hint="eastAsia" w:ascii="宋体" w:hAnsi="宋体" w:cs="宋体"/>
          <w:color w:val="auto"/>
          <w:kern w:val="0"/>
          <w:szCs w:val="21"/>
          <w:highlight w:val="none"/>
        </w:rPr>
        <w:t>结果签订本合同。</w:t>
      </w:r>
    </w:p>
    <w:p>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440" w:lineRule="exact"/>
        <w:ind w:firstLine="422" w:firstLineChars="200"/>
        <w:jc w:val="left"/>
        <w:rPr>
          <w:rFonts w:ascii="宋体" w:hAnsi="宋体" w:cs="宋体"/>
          <w:b/>
          <w:color w:val="auto"/>
          <w:kern w:val="0"/>
          <w:szCs w:val="21"/>
          <w:highlight w:val="none"/>
        </w:rPr>
      </w:pPr>
      <w:r>
        <w:rPr>
          <w:rFonts w:hint="eastAsia" w:ascii="宋体" w:hAnsi="宋体" w:cs="宋体"/>
          <w:b/>
          <w:color w:val="auto"/>
          <w:kern w:val="0"/>
          <w:szCs w:val="21"/>
          <w:highlight w:val="none"/>
        </w:rPr>
        <w:t>第一条 合同组成</w:t>
      </w:r>
    </w:p>
    <w:p>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440" w:lineRule="exact"/>
        <w:ind w:firstLine="420" w:firstLineChars="200"/>
        <w:jc w:val="left"/>
        <w:rPr>
          <w:rFonts w:ascii="宋体" w:hAnsi="宋体" w:cs="宋体"/>
          <w:color w:val="auto"/>
          <w:kern w:val="0"/>
          <w:szCs w:val="21"/>
          <w:highlight w:val="none"/>
        </w:rPr>
      </w:pPr>
      <w:r>
        <w:rPr>
          <w:rFonts w:hint="eastAsia" w:ascii="宋体" w:hAnsi="宋体" w:cs="宋体"/>
          <w:color w:val="auto"/>
          <w:kern w:val="0"/>
          <w:szCs w:val="21"/>
          <w:highlight w:val="none"/>
        </w:rPr>
        <w:t>本次政府采购活动的相关文件为本合同的组成部分，这些文件包括但不限于：</w:t>
      </w:r>
    </w:p>
    <w:p>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440" w:lineRule="exact"/>
        <w:ind w:firstLine="420" w:firstLineChars="200"/>
        <w:jc w:val="left"/>
        <w:rPr>
          <w:rFonts w:ascii="宋体" w:hAnsi="宋体" w:cs="宋体"/>
          <w:color w:val="auto"/>
          <w:kern w:val="0"/>
          <w:szCs w:val="21"/>
          <w:highlight w:val="none"/>
        </w:rPr>
      </w:pPr>
      <w:r>
        <w:rPr>
          <w:rFonts w:hint="eastAsia" w:ascii="宋体" w:hAnsi="宋体" w:cs="宋体"/>
          <w:color w:val="auto"/>
          <w:kern w:val="0"/>
          <w:szCs w:val="21"/>
          <w:highlight w:val="none"/>
        </w:rPr>
        <w:t>（1）本合同文本；</w:t>
      </w:r>
    </w:p>
    <w:p>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440" w:lineRule="exact"/>
        <w:ind w:firstLine="420" w:firstLineChars="200"/>
        <w:jc w:val="left"/>
        <w:rPr>
          <w:rFonts w:ascii="宋体" w:hAnsi="宋体" w:cs="宋体"/>
          <w:color w:val="auto"/>
          <w:kern w:val="0"/>
          <w:szCs w:val="21"/>
          <w:highlight w:val="none"/>
        </w:rPr>
      </w:pPr>
      <w:r>
        <w:rPr>
          <w:rFonts w:hint="eastAsia" w:ascii="宋体" w:hAnsi="宋体" w:cs="宋体"/>
          <w:color w:val="auto"/>
          <w:kern w:val="0"/>
          <w:szCs w:val="21"/>
          <w:highlight w:val="none"/>
        </w:rPr>
        <w:t>（2）采购文件与采购响应文件；</w:t>
      </w:r>
    </w:p>
    <w:p>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440" w:lineRule="exact"/>
        <w:ind w:firstLine="420" w:firstLineChars="200"/>
        <w:jc w:val="left"/>
        <w:rPr>
          <w:rFonts w:ascii="宋体" w:hAnsi="宋体" w:cs="宋体"/>
          <w:color w:val="auto"/>
          <w:kern w:val="0"/>
          <w:szCs w:val="21"/>
          <w:highlight w:val="none"/>
        </w:rPr>
      </w:pPr>
      <w:r>
        <w:rPr>
          <w:rFonts w:hint="eastAsia" w:ascii="宋体" w:hAnsi="宋体" w:cs="宋体"/>
          <w:color w:val="auto"/>
          <w:kern w:val="0"/>
          <w:szCs w:val="21"/>
          <w:highlight w:val="none"/>
        </w:rPr>
        <w:t>（3）中标或成交通知书；</w:t>
      </w:r>
    </w:p>
    <w:p>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440" w:lineRule="exact"/>
        <w:ind w:firstLine="420" w:firstLineChars="200"/>
        <w:jc w:val="left"/>
        <w:rPr>
          <w:rFonts w:ascii="宋体" w:hAnsi="宋体" w:cs="宋体"/>
          <w:color w:val="auto"/>
          <w:kern w:val="0"/>
          <w:szCs w:val="21"/>
          <w:highlight w:val="none"/>
        </w:rPr>
      </w:pPr>
      <w:r>
        <w:rPr>
          <w:rFonts w:hint="eastAsia" w:ascii="宋体" w:hAnsi="宋体" w:cs="宋体"/>
          <w:color w:val="auto"/>
          <w:kern w:val="0"/>
          <w:szCs w:val="21"/>
          <w:highlight w:val="none"/>
        </w:rPr>
        <w:t>组成本合同的所有文件必须为书面形式。</w:t>
      </w:r>
    </w:p>
    <w:p>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440" w:lineRule="exact"/>
        <w:ind w:firstLine="422" w:firstLineChars="200"/>
        <w:jc w:val="left"/>
        <w:rPr>
          <w:rFonts w:ascii="宋体" w:hAnsi="宋体" w:cs="宋体"/>
          <w:b/>
          <w:color w:val="auto"/>
          <w:kern w:val="0"/>
          <w:szCs w:val="21"/>
          <w:highlight w:val="none"/>
        </w:rPr>
      </w:pPr>
      <w:r>
        <w:rPr>
          <w:rFonts w:hint="eastAsia" w:ascii="宋体" w:hAnsi="宋体" w:cs="宋体"/>
          <w:b/>
          <w:color w:val="auto"/>
          <w:kern w:val="0"/>
          <w:szCs w:val="21"/>
          <w:highlight w:val="none"/>
        </w:rPr>
        <w:t>第二条 合同标的与相关属性</w:t>
      </w:r>
    </w:p>
    <w:p>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440" w:lineRule="exact"/>
        <w:ind w:firstLine="420" w:firstLineChars="200"/>
        <w:jc w:val="left"/>
        <w:rPr>
          <w:rFonts w:ascii="宋体" w:hAnsi="宋体" w:cs="宋体"/>
          <w:color w:val="auto"/>
          <w:szCs w:val="21"/>
          <w:highlight w:val="none"/>
          <w:u w:val="single"/>
        </w:rPr>
      </w:pPr>
      <w:r>
        <w:rPr>
          <w:rFonts w:hint="eastAsia" w:ascii="宋体" w:hAnsi="宋体" w:cs="宋体"/>
          <w:color w:val="auto"/>
          <w:kern w:val="0"/>
          <w:szCs w:val="21"/>
          <w:highlight w:val="none"/>
        </w:rPr>
        <w:t>1、本次采购的是</w:t>
      </w:r>
      <w:r>
        <w:rPr>
          <w:rFonts w:hint="eastAsia" w:ascii="宋体" w:hAnsi="宋体" w:cs="宋体"/>
          <w:color w:val="auto"/>
          <w:szCs w:val="18"/>
          <w:highlight w:val="none"/>
          <w:u w:val="single"/>
        </w:rPr>
        <w:t xml:space="preserve">                                    </w:t>
      </w:r>
    </w:p>
    <w:p>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440" w:lineRule="exact"/>
        <w:ind w:firstLine="420" w:firstLineChars="200"/>
        <w:jc w:val="left"/>
        <w:rPr>
          <w:rFonts w:ascii="宋体" w:hAnsi="宋体" w:cs="宋体"/>
          <w:color w:val="auto"/>
          <w:kern w:val="0"/>
          <w:szCs w:val="21"/>
          <w:highlight w:val="none"/>
        </w:rPr>
      </w:pPr>
      <w:r>
        <w:rPr>
          <w:rFonts w:hint="eastAsia" w:ascii="宋体" w:hAnsi="宋体" w:cs="宋体"/>
          <w:color w:val="auto"/>
          <w:kern w:val="0"/>
          <w:szCs w:val="21"/>
          <w:highlight w:val="none"/>
        </w:rPr>
        <w:t>2、乙方是否属于小微企业：□是  □否</w:t>
      </w:r>
    </w:p>
    <w:p>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440" w:lineRule="exact"/>
        <w:ind w:firstLine="422" w:firstLineChars="200"/>
        <w:jc w:val="left"/>
        <w:rPr>
          <w:rFonts w:ascii="宋体" w:hAnsi="宋体" w:cs="宋体"/>
          <w:b/>
          <w:color w:val="auto"/>
          <w:kern w:val="0"/>
          <w:szCs w:val="21"/>
          <w:highlight w:val="none"/>
        </w:rPr>
      </w:pPr>
      <w:r>
        <w:rPr>
          <w:rFonts w:hint="eastAsia" w:ascii="宋体" w:hAnsi="宋体" w:cs="宋体"/>
          <w:b/>
          <w:color w:val="auto"/>
          <w:kern w:val="0"/>
          <w:szCs w:val="21"/>
          <w:highlight w:val="none"/>
        </w:rPr>
        <w:t>第三条 合同价款</w:t>
      </w:r>
    </w:p>
    <w:p>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440" w:lineRule="exact"/>
        <w:ind w:firstLine="420" w:firstLineChars="200"/>
        <w:jc w:val="left"/>
        <w:rPr>
          <w:rFonts w:ascii="宋体" w:hAnsi="宋体" w:cs="宋体"/>
          <w:color w:val="auto"/>
          <w:kern w:val="0"/>
          <w:szCs w:val="21"/>
          <w:highlight w:val="none"/>
        </w:rPr>
      </w:pPr>
      <w:r>
        <w:rPr>
          <w:rFonts w:hint="eastAsia" w:ascii="宋体" w:hAnsi="宋体" w:cs="宋体"/>
          <w:color w:val="auto"/>
          <w:kern w:val="0"/>
          <w:szCs w:val="21"/>
          <w:highlight w:val="none"/>
        </w:rPr>
        <w:t>1、本合同项下包含的</w:t>
      </w:r>
      <w:r>
        <w:rPr>
          <w:rFonts w:hint="eastAsia" w:ascii="宋体" w:hAnsi="宋体" w:cs="宋体"/>
          <w:color w:val="auto"/>
          <w:kern w:val="0"/>
          <w:szCs w:val="21"/>
          <w:highlight w:val="none"/>
          <w:lang w:val="en-US" w:eastAsia="zh-CN"/>
        </w:rPr>
        <w:t>设计及工程</w:t>
      </w:r>
      <w:r>
        <w:rPr>
          <w:rFonts w:hint="eastAsia" w:ascii="宋体" w:hAnsi="宋体" w:cs="宋体"/>
          <w:color w:val="auto"/>
          <w:kern w:val="0"/>
          <w:szCs w:val="21"/>
          <w:highlight w:val="none"/>
        </w:rPr>
        <w:t>价格清单如下表：</w:t>
      </w:r>
    </w:p>
    <w:p>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440" w:lineRule="exact"/>
        <w:ind w:firstLine="420" w:firstLineChars="200"/>
        <w:jc w:val="left"/>
        <w:rPr>
          <w:rFonts w:hint="eastAsia" w:ascii="宋体" w:hAnsi="宋体" w:eastAsia="宋体" w:cs="宋体"/>
          <w:b/>
          <w:bCs/>
          <w:color w:val="auto"/>
          <w:kern w:val="0"/>
          <w:szCs w:val="21"/>
          <w:highlight w:val="none"/>
          <w:u w:val="single"/>
          <w:lang w:eastAsia="zh-CN"/>
        </w:rPr>
      </w:pPr>
      <w:r>
        <w:rPr>
          <w:rFonts w:hint="eastAsia" w:ascii="宋体" w:hAnsi="宋体" w:cs="宋体"/>
          <w:color w:val="auto"/>
          <w:kern w:val="0"/>
          <w:szCs w:val="21"/>
          <w:highlight w:val="none"/>
        </w:rPr>
        <w:t xml:space="preserve">本合同总价为人民币 </w:t>
      </w:r>
      <w:r>
        <w:rPr>
          <w:rFonts w:hint="eastAsia" w:ascii="宋体" w:hAnsi="宋体" w:cs="宋体"/>
          <w:color w:val="auto"/>
          <w:kern w:val="0"/>
          <w:szCs w:val="21"/>
          <w:highlight w:val="none"/>
          <w:u w:val="single"/>
        </w:rPr>
        <w:t xml:space="preserve">    </w:t>
      </w:r>
      <w:r>
        <w:rPr>
          <w:rFonts w:hint="eastAsia" w:ascii="宋体" w:hAnsi="宋体" w:cs="宋体"/>
          <w:b/>
          <w:bCs/>
          <w:color w:val="auto"/>
          <w:kern w:val="0"/>
          <w:szCs w:val="21"/>
          <w:highlight w:val="none"/>
          <w:u w:val="single"/>
        </w:rPr>
        <w:t xml:space="preserve">    </w:t>
      </w:r>
      <w:r>
        <w:rPr>
          <w:rFonts w:hint="eastAsia" w:ascii="宋体" w:hAnsi="宋体" w:cs="宋体"/>
          <w:color w:val="auto"/>
          <w:kern w:val="0"/>
          <w:szCs w:val="21"/>
          <w:highlight w:val="none"/>
          <w:u w:val="single"/>
        </w:rPr>
        <w:t xml:space="preserve">   </w:t>
      </w:r>
      <w:r>
        <w:rPr>
          <w:rFonts w:hint="eastAsia" w:ascii="宋体" w:hAnsi="宋体" w:cs="宋体"/>
          <w:color w:val="auto"/>
          <w:kern w:val="0"/>
          <w:szCs w:val="21"/>
          <w:highlight w:val="none"/>
        </w:rPr>
        <w:t xml:space="preserve"> 元（大写：</w:t>
      </w:r>
      <w:r>
        <w:rPr>
          <w:rFonts w:hint="eastAsia" w:ascii="宋体" w:hAnsi="宋体" w:cs="宋体"/>
          <w:color w:val="auto"/>
          <w:kern w:val="0"/>
          <w:szCs w:val="21"/>
          <w:highlight w:val="none"/>
          <w:u w:val="single"/>
        </w:rPr>
        <w:t xml:space="preserve">                </w:t>
      </w:r>
      <w:r>
        <w:rPr>
          <w:rFonts w:hint="eastAsia" w:ascii="宋体" w:hAnsi="宋体" w:cs="宋体"/>
          <w:color w:val="auto"/>
          <w:kern w:val="0"/>
          <w:szCs w:val="21"/>
          <w:highlight w:val="none"/>
        </w:rPr>
        <w:t xml:space="preserve"> 元整）。</w:t>
      </w:r>
      <w:r>
        <w:rPr>
          <w:rFonts w:hint="eastAsia" w:ascii="宋体" w:hAnsi="宋体" w:eastAsia="宋体" w:cs="宋体"/>
          <w:b/>
          <w:bCs/>
          <w:color w:val="auto"/>
          <w:kern w:val="0"/>
          <w:szCs w:val="21"/>
          <w:highlight w:val="none"/>
          <w:u w:val="single"/>
          <w:lang w:eastAsia="zh-CN"/>
        </w:rPr>
        <w:t>（</w:t>
      </w:r>
      <w:r>
        <w:rPr>
          <w:rFonts w:hint="eastAsia" w:ascii="宋体" w:hAnsi="宋体" w:eastAsia="宋体" w:cs="宋体"/>
          <w:b/>
          <w:bCs/>
          <w:color w:val="auto"/>
          <w:kern w:val="0"/>
          <w:szCs w:val="21"/>
          <w:highlight w:val="none"/>
          <w:u w:val="single"/>
        </w:rPr>
        <w:t>其中设计费为</w:t>
      </w:r>
      <w:r>
        <w:rPr>
          <w:rFonts w:hint="eastAsia" w:ascii="宋体" w:hAnsi="宋体" w:eastAsia="宋体" w:cs="宋体"/>
          <w:b/>
          <w:bCs/>
          <w:color w:val="auto"/>
          <w:kern w:val="0"/>
          <w:szCs w:val="21"/>
          <w:highlight w:val="none"/>
          <w:u w:val="single"/>
          <w:lang w:val="en-US" w:eastAsia="zh-CN"/>
        </w:rPr>
        <w:t xml:space="preserve">     %（即       万元，计费取费以建筑安装工程费磋商响应报价为基数计算）</w:t>
      </w:r>
      <w:r>
        <w:rPr>
          <w:rFonts w:hint="eastAsia" w:ascii="宋体" w:hAnsi="宋体" w:eastAsia="宋体" w:cs="宋体"/>
          <w:b/>
          <w:bCs/>
          <w:color w:val="auto"/>
          <w:kern w:val="0"/>
          <w:szCs w:val="21"/>
          <w:highlight w:val="none"/>
          <w:u w:val="single"/>
        </w:rPr>
        <w:t>，建筑安装工程费最高投标限价为</w:t>
      </w:r>
      <w:r>
        <w:rPr>
          <w:rFonts w:hint="eastAsia" w:ascii="宋体" w:hAnsi="宋体" w:eastAsia="宋体" w:cs="宋体"/>
          <w:b/>
          <w:bCs/>
          <w:color w:val="auto"/>
          <w:kern w:val="0"/>
          <w:szCs w:val="21"/>
          <w:highlight w:val="none"/>
          <w:u w:val="single"/>
          <w:lang w:val="en-US" w:eastAsia="zh-CN"/>
        </w:rPr>
        <w:t xml:space="preserve">       </w:t>
      </w:r>
      <w:r>
        <w:rPr>
          <w:rFonts w:hint="eastAsia" w:ascii="宋体" w:hAnsi="宋体" w:eastAsia="宋体" w:cs="宋体"/>
          <w:b/>
          <w:bCs/>
          <w:color w:val="auto"/>
          <w:kern w:val="0"/>
          <w:szCs w:val="21"/>
          <w:highlight w:val="none"/>
          <w:u w:val="single"/>
        </w:rPr>
        <w:t>万元。</w:t>
      </w:r>
      <w:r>
        <w:rPr>
          <w:rFonts w:hint="eastAsia" w:ascii="宋体" w:hAnsi="宋体" w:eastAsia="宋体" w:cs="宋体"/>
          <w:b/>
          <w:bCs/>
          <w:color w:val="auto"/>
          <w:kern w:val="0"/>
          <w:szCs w:val="21"/>
          <w:highlight w:val="none"/>
          <w:u w:val="single"/>
          <w:lang w:eastAsia="zh-CN"/>
        </w:rPr>
        <w:t>）</w:t>
      </w:r>
    </w:p>
    <w:p>
      <w:pPr>
        <w:pStyle w:val="29"/>
        <w:spacing w:line="360" w:lineRule="auto"/>
        <w:jc w:val="left"/>
        <w:rPr>
          <w:rFonts w:hint="eastAsia" w:ascii="宋体" w:hAnsi="宋体" w:eastAsia="宋体" w:cs="Times New Roman"/>
          <w:b/>
          <w:color w:val="auto"/>
          <w:szCs w:val="21"/>
          <w:highlight w:val="none"/>
        </w:rPr>
      </w:pPr>
      <w:r>
        <w:rPr>
          <w:rFonts w:hint="eastAsia" w:ascii="宋体" w:hAnsi="宋体" w:eastAsia="宋体" w:cs="Times New Roman"/>
          <w:b/>
          <w:color w:val="auto"/>
          <w:szCs w:val="21"/>
          <w:highlight w:val="none"/>
        </w:rPr>
        <w:t>2、本合同总价必须包括招标文件所确定的招标范围内全部工作内容的价格表现。其应包括施工设备、劳务、管理、材料、安装、维护、利润、税金及政策性文件规定等各项应有费用。</w:t>
      </w:r>
    </w:p>
    <w:p>
      <w:pPr>
        <w:widowControl/>
        <w:spacing w:line="440" w:lineRule="exact"/>
        <w:ind w:firstLine="420" w:firstLineChars="200"/>
        <w:jc w:val="left"/>
        <w:rPr>
          <w:rFonts w:ascii="宋体" w:hAnsi="宋体" w:cs="宋体"/>
          <w:color w:val="auto"/>
          <w:kern w:val="0"/>
          <w:szCs w:val="21"/>
          <w:highlight w:val="none"/>
        </w:rPr>
      </w:pPr>
      <w:r>
        <w:rPr>
          <w:rFonts w:hint="eastAsia" w:ascii="宋体" w:hAnsi="宋体" w:cs="宋体"/>
          <w:color w:val="auto"/>
          <w:kern w:val="0"/>
          <w:szCs w:val="21"/>
          <w:highlight w:val="none"/>
        </w:rPr>
        <w:t>3、本合同付款方式为：</w:t>
      </w:r>
    </w:p>
    <w:p>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440" w:lineRule="exact"/>
        <w:ind w:firstLine="420" w:firstLineChars="200"/>
        <w:jc w:val="left"/>
        <w:rPr>
          <w:rFonts w:ascii="宋体" w:hAnsi="宋体" w:cs="宋体"/>
          <w:color w:val="auto"/>
          <w:szCs w:val="21"/>
          <w:highlight w:val="none"/>
        </w:rPr>
      </w:pPr>
      <w:r>
        <w:rPr>
          <w:rFonts w:hint="eastAsia" w:ascii="宋体" w:hAnsi="宋体" w:eastAsia="宋体" w:cs="微软雅黑"/>
          <w:bCs/>
          <w:color w:val="auto"/>
          <w:szCs w:val="21"/>
          <w:highlight w:val="none"/>
        </w:rPr>
        <w:t>合同签订后15个工作日支付设计费部分的</w:t>
      </w:r>
      <w:r>
        <w:rPr>
          <w:rFonts w:hint="eastAsia" w:ascii="宋体" w:hAnsi="宋体" w:eastAsia="宋体" w:cs="微软雅黑"/>
          <w:bCs/>
          <w:color w:val="auto"/>
          <w:szCs w:val="21"/>
          <w:highlight w:val="none"/>
          <w:lang w:val="en-US" w:eastAsia="zh-CN"/>
        </w:rPr>
        <w:t>3</w:t>
      </w:r>
      <w:r>
        <w:rPr>
          <w:rFonts w:hint="eastAsia" w:ascii="宋体" w:hAnsi="宋体" w:eastAsia="宋体" w:cs="微软雅黑"/>
          <w:bCs/>
          <w:color w:val="auto"/>
          <w:szCs w:val="21"/>
          <w:highlight w:val="none"/>
        </w:rPr>
        <w:t>0%作为预付款，方案定稿完成施工图设计后</w:t>
      </w:r>
      <w:r>
        <w:rPr>
          <w:rFonts w:hint="eastAsia" w:ascii="宋体" w:hAnsi="宋体" w:eastAsia="宋体" w:cs="微软雅黑"/>
          <w:bCs/>
          <w:color w:val="auto"/>
          <w:szCs w:val="21"/>
          <w:highlight w:val="none"/>
          <w:lang w:val="en-US" w:eastAsia="zh-CN"/>
        </w:rPr>
        <w:t>15个工作日内</w:t>
      </w:r>
      <w:r>
        <w:rPr>
          <w:rFonts w:hint="eastAsia" w:ascii="宋体" w:hAnsi="宋体" w:eastAsia="宋体" w:cs="微软雅黑"/>
          <w:bCs/>
          <w:color w:val="auto"/>
          <w:szCs w:val="21"/>
          <w:highlight w:val="none"/>
        </w:rPr>
        <w:t>支付设计费部分的40%，开始施工后</w:t>
      </w:r>
      <w:r>
        <w:rPr>
          <w:rFonts w:hint="eastAsia" w:ascii="宋体" w:hAnsi="宋体" w:eastAsia="宋体" w:cs="微软雅黑"/>
          <w:bCs/>
          <w:color w:val="auto"/>
          <w:szCs w:val="21"/>
          <w:highlight w:val="none"/>
          <w:lang w:val="en-US" w:eastAsia="zh-CN"/>
        </w:rPr>
        <w:t>15个工作日内</w:t>
      </w:r>
      <w:r>
        <w:rPr>
          <w:rFonts w:hint="eastAsia" w:ascii="宋体" w:hAnsi="宋体" w:eastAsia="宋体" w:cs="微软雅黑"/>
          <w:bCs/>
          <w:color w:val="auto"/>
          <w:szCs w:val="21"/>
          <w:highlight w:val="none"/>
        </w:rPr>
        <w:t>支付建筑安装工程费部分的</w:t>
      </w:r>
      <w:r>
        <w:rPr>
          <w:rFonts w:hint="eastAsia" w:ascii="宋体" w:hAnsi="宋体" w:eastAsia="宋体" w:cs="微软雅黑"/>
          <w:bCs/>
          <w:color w:val="auto"/>
          <w:szCs w:val="21"/>
          <w:highlight w:val="none"/>
          <w:lang w:val="en-US" w:eastAsia="zh-CN"/>
        </w:rPr>
        <w:t>3</w:t>
      </w:r>
      <w:r>
        <w:rPr>
          <w:rFonts w:hint="eastAsia" w:ascii="宋体" w:hAnsi="宋体" w:eastAsia="宋体" w:cs="微软雅黑"/>
          <w:bCs/>
          <w:color w:val="auto"/>
          <w:szCs w:val="21"/>
          <w:highlight w:val="none"/>
        </w:rPr>
        <w:t>0%作为预付款，竣工验收合格后</w:t>
      </w:r>
      <w:r>
        <w:rPr>
          <w:rFonts w:hint="eastAsia" w:ascii="宋体" w:hAnsi="宋体" w:eastAsia="宋体" w:cs="微软雅黑"/>
          <w:bCs/>
          <w:color w:val="auto"/>
          <w:szCs w:val="21"/>
          <w:highlight w:val="none"/>
          <w:lang w:val="en-US" w:eastAsia="zh-CN"/>
        </w:rPr>
        <w:t>15个工作日内支付</w:t>
      </w:r>
      <w:r>
        <w:rPr>
          <w:rFonts w:hint="eastAsia" w:ascii="宋体" w:hAnsi="宋体" w:eastAsia="宋体" w:cs="微软雅黑"/>
          <w:bCs/>
          <w:color w:val="auto"/>
          <w:szCs w:val="21"/>
          <w:highlight w:val="none"/>
        </w:rPr>
        <w:t>建筑安装工程费部分的40%，经审计后15个工作日支付</w:t>
      </w:r>
      <w:r>
        <w:rPr>
          <w:rFonts w:hint="eastAsia" w:ascii="宋体" w:hAnsi="宋体" w:eastAsia="宋体" w:cs="微软雅黑"/>
          <w:bCs/>
          <w:color w:val="auto"/>
          <w:szCs w:val="21"/>
          <w:highlight w:val="none"/>
          <w:lang w:val="en-US" w:eastAsia="zh-CN"/>
        </w:rPr>
        <w:t>至设计部分及建筑安装工程费部分审定价的100%</w:t>
      </w:r>
      <w:r>
        <w:rPr>
          <w:rFonts w:hint="eastAsia" w:ascii="宋体" w:hAnsi="宋体" w:eastAsia="宋体" w:cs="微软雅黑"/>
          <w:bCs/>
          <w:color w:val="auto"/>
          <w:szCs w:val="21"/>
          <w:highlight w:val="none"/>
        </w:rPr>
        <w:t>。</w:t>
      </w:r>
      <w:r>
        <w:rPr>
          <w:rFonts w:hint="eastAsia" w:ascii="宋体" w:hAnsi="宋体" w:cs="宋体"/>
          <w:color w:val="auto"/>
          <w:szCs w:val="21"/>
          <w:highlight w:val="none"/>
        </w:rPr>
        <w:t>每次甲方付款前，乙方应提供相应金额的增值税专用发票，否则甲方有权暂不付款且不构成违约。</w:t>
      </w:r>
    </w:p>
    <w:p>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440" w:lineRule="exact"/>
        <w:ind w:firstLine="422" w:firstLineChars="200"/>
        <w:jc w:val="left"/>
        <w:rPr>
          <w:rFonts w:ascii="宋体" w:hAnsi="宋体" w:cs="宋体"/>
          <w:b/>
          <w:color w:val="auto"/>
          <w:kern w:val="0"/>
          <w:szCs w:val="21"/>
          <w:highlight w:val="none"/>
        </w:rPr>
      </w:pPr>
      <w:r>
        <w:rPr>
          <w:rFonts w:hint="eastAsia" w:ascii="宋体" w:hAnsi="宋体" w:cs="宋体"/>
          <w:b/>
          <w:color w:val="auto"/>
          <w:kern w:val="0"/>
          <w:szCs w:val="21"/>
          <w:highlight w:val="none"/>
        </w:rPr>
        <w:t>第四条 履约保证金</w:t>
      </w:r>
    </w:p>
    <w:p>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440" w:lineRule="exact"/>
        <w:ind w:firstLine="420" w:firstLineChars="200"/>
        <w:jc w:val="left"/>
        <w:rPr>
          <w:rFonts w:ascii="宋体" w:hAnsi="宋体" w:cs="宋体"/>
          <w:color w:val="auto"/>
          <w:kern w:val="0"/>
          <w:szCs w:val="21"/>
          <w:highlight w:val="none"/>
        </w:rPr>
      </w:pPr>
      <w:r>
        <w:rPr>
          <w:rFonts w:hint="eastAsia" w:ascii="宋体" w:hAnsi="宋体" w:eastAsia="宋体"/>
          <w:color w:val="auto"/>
          <w:szCs w:val="21"/>
          <w:highlight w:val="none"/>
        </w:rPr>
        <w:t>合同签订前7天缴纳合同金额的1%作为履约保证金</w:t>
      </w:r>
      <w:r>
        <w:rPr>
          <w:rFonts w:hint="eastAsia" w:ascii="宋体" w:hAnsi="宋体" w:cs="宋体"/>
          <w:color w:val="auto"/>
          <w:kern w:val="0"/>
          <w:szCs w:val="21"/>
          <w:highlight w:val="none"/>
        </w:rPr>
        <w:t>，履约保证金的在合同履行完毕后退还。</w:t>
      </w:r>
    </w:p>
    <w:p>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440" w:lineRule="exact"/>
        <w:ind w:firstLine="422" w:firstLineChars="200"/>
        <w:jc w:val="left"/>
        <w:rPr>
          <w:rFonts w:ascii="宋体" w:hAnsi="宋体" w:cs="宋体"/>
          <w:b/>
          <w:color w:val="auto"/>
          <w:kern w:val="0"/>
          <w:szCs w:val="21"/>
          <w:highlight w:val="none"/>
        </w:rPr>
      </w:pPr>
      <w:r>
        <w:rPr>
          <w:rFonts w:hint="eastAsia" w:ascii="宋体" w:hAnsi="宋体" w:cs="宋体"/>
          <w:b/>
          <w:color w:val="auto"/>
          <w:kern w:val="0"/>
          <w:szCs w:val="21"/>
          <w:highlight w:val="none"/>
        </w:rPr>
        <w:t>第五条 合同的变更和终止</w:t>
      </w:r>
    </w:p>
    <w:p>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440" w:lineRule="exact"/>
        <w:ind w:firstLine="420" w:firstLineChars="200"/>
        <w:jc w:val="left"/>
        <w:rPr>
          <w:rFonts w:ascii="宋体" w:hAnsi="宋体" w:cs="宋体"/>
          <w:color w:val="auto"/>
          <w:kern w:val="0"/>
          <w:szCs w:val="21"/>
          <w:highlight w:val="none"/>
        </w:rPr>
      </w:pPr>
      <w:r>
        <w:rPr>
          <w:rFonts w:hint="eastAsia" w:ascii="宋体" w:hAnsi="宋体" w:cs="宋体"/>
          <w:color w:val="auto"/>
          <w:kern w:val="0"/>
          <w:szCs w:val="21"/>
          <w:highlight w:val="none"/>
        </w:rPr>
        <w:t>除《政府采购法》第49条、第50条第二款规定的情形外，本合同一经签订，甲乙双方不得擅自终止合同或对合同实质性条款进行变更。确有特殊情况的，须经同级财政部门备案同意。</w:t>
      </w:r>
    </w:p>
    <w:p>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440" w:lineRule="exact"/>
        <w:ind w:firstLine="422" w:firstLineChars="200"/>
        <w:jc w:val="left"/>
        <w:rPr>
          <w:rFonts w:ascii="宋体" w:hAnsi="宋体" w:cs="宋体"/>
          <w:b/>
          <w:color w:val="auto"/>
          <w:kern w:val="0"/>
          <w:szCs w:val="21"/>
          <w:highlight w:val="none"/>
        </w:rPr>
      </w:pPr>
      <w:r>
        <w:rPr>
          <w:rFonts w:hint="eastAsia" w:ascii="宋体" w:hAnsi="宋体" w:cs="宋体"/>
          <w:b/>
          <w:color w:val="auto"/>
          <w:kern w:val="0"/>
          <w:szCs w:val="21"/>
          <w:highlight w:val="none"/>
        </w:rPr>
        <w:t>第六条 合同的转让与分包</w:t>
      </w:r>
    </w:p>
    <w:p>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440" w:lineRule="exact"/>
        <w:ind w:firstLine="420" w:firstLineChars="200"/>
        <w:jc w:val="left"/>
        <w:rPr>
          <w:rFonts w:ascii="宋体" w:hAnsi="宋体" w:cs="宋体"/>
          <w:color w:val="auto"/>
          <w:kern w:val="0"/>
          <w:szCs w:val="21"/>
          <w:highlight w:val="none"/>
        </w:rPr>
      </w:pPr>
      <w:r>
        <w:rPr>
          <w:rFonts w:hint="eastAsia" w:ascii="宋体" w:hAnsi="宋体" w:cs="宋体"/>
          <w:color w:val="auto"/>
          <w:kern w:val="0"/>
          <w:szCs w:val="21"/>
          <w:highlight w:val="none"/>
        </w:rPr>
        <w:t>乙方不得擅自部分或全部转让其应履行的合同义务。乙方分包的，应经过甲方书面同意。</w:t>
      </w:r>
    </w:p>
    <w:p>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440" w:lineRule="exact"/>
        <w:ind w:firstLine="422" w:firstLineChars="200"/>
        <w:jc w:val="left"/>
        <w:rPr>
          <w:rFonts w:ascii="宋体" w:hAnsi="宋体" w:cs="宋体"/>
          <w:b/>
          <w:color w:val="auto"/>
          <w:kern w:val="0"/>
          <w:szCs w:val="21"/>
          <w:highlight w:val="none"/>
        </w:rPr>
      </w:pPr>
      <w:r>
        <w:rPr>
          <w:rFonts w:hint="eastAsia" w:ascii="宋体" w:hAnsi="宋体" w:cs="宋体"/>
          <w:b/>
          <w:color w:val="auto"/>
          <w:kern w:val="0"/>
          <w:szCs w:val="21"/>
          <w:highlight w:val="none"/>
        </w:rPr>
        <w:t>第七条 争议的解决</w:t>
      </w:r>
    </w:p>
    <w:p>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440" w:lineRule="exact"/>
        <w:ind w:firstLine="420" w:firstLineChars="200"/>
        <w:jc w:val="left"/>
        <w:rPr>
          <w:rFonts w:ascii="宋体" w:hAnsi="宋体" w:cs="宋体"/>
          <w:color w:val="auto"/>
          <w:kern w:val="0"/>
          <w:szCs w:val="21"/>
          <w:highlight w:val="none"/>
        </w:rPr>
      </w:pPr>
      <w:bookmarkStart w:id="113" w:name="OLE_LINK3"/>
      <w:r>
        <w:rPr>
          <w:rFonts w:hint="eastAsia" w:ascii="宋体" w:hAnsi="宋体" w:cs="宋体"/>
          <w:color w:val="auto"/>
          <w:kern w:val="0"/>
          <w:szCs w:val="21"/>
          <w:highlight w:val="none"/>
        </w:rPr>
        <w:t>1、因履行本合同引起的或与本合同有关的争议，甲、乙双方应首先通过友好协商解决，如果协商不能解决争议，则采取以下第</w:t>
      </w:r>
      <w:r>
        <w:rPr>
          <w:rFonts w:hint="eastAsia" w:ascii="宋体" w:hAnsi="宋体" w:cs="宋体"/>
          <w:color w:val="auto"/>
          <w:kern w:val="0"/>
          <w:szCs w:val="21"/>
          <w:highlight w:val="none"/>
          <w:u w:val="single"/>
        </w:rPr>
        <w:t xml:space="preserve">  （1）  </w:t>
      </w:r>
      <w:r>
        <w:rPr>
          <w:rFonts w:hint="eastAsia" w:ascii="宋体" w:hAnsi="宋体" w:cs="宋体"/>
          <w:color w:val="auto"/>
          <w:kern w:val="0"/>
          <w:szCs w:val="21"/>
          <w:highlight w:val="none"/>
        </w:rPr>
        <w:t>种方式解决争议：</w:t>
      </w:r>
    </w:p>
    <w:p>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440" w:lineRule="exact"/>
        <w:ind w:firstLine="420" w:firstLineChars="200"/>
        <w:jc w:val="left"/>
        <w:rPr>
          <w:rFonts w:ascii="宋体" w:hAnsi="宋体" w:cs="宋体"/>
          <w:color w:val="auto"/>
          <w:kern w:val="0"/>
          <w:szCs w:val="21"/>
          <w:highlight w:val="none"/>
        </w:rPr>
      </w:pPr>
      <w:r>
        <w:rPr>
          <w:rFonts w:hint="eastAsia" w:ascii="宋体" w:hAnsi="宋体" w:cs="宋体"/>
          <w:color w:val="auto"/>
          <w:kern w:val="0"/>
          <w:szCs w:val="21"/>
          <w:highlight w:val="none"/>
        </w:rPr>
        <w:t>（1）向甲方所在地有管辖权的人民法院提起诉讼；</w:t>
      </w:r>
    </w:p>
    <w:p>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440" w:lineRule="exact"/>
        <w:ind w:firstLine="420" w:firstLineChars="200"/>
        <w:jc w:val="left"/>
        <w:rPr>
          <w:rFonts w:ascii="宋体" w:hAnsi="宋体" w:cs="宋体"/>
          <w:color w:val="auto"/>
          <w:kern w:val="0"/>
          <w:szCs w:val="21"/>
          <w:highlight w:val="none"/>
        </w:rPr>
      </w:pPr>
      <w:r>
        <w:rPr>
          <w:rFonts w:hint="eastAsia" w:ascii="宋体" w:hAnsi="宋体" w:cs="宋体"/>
          <w:color w:val="auto"/>
          <w:kern w:val="0"/>
          <w:szCs w:val="21"/>
          <w:highlight w:val="none"/>
        </w:rPr>
        <w:t>（2）向</w:t>
      </w:r>
      <w:r>
        <w:rPr>
          <w:rFonts w:hint="eastAsia" w:ascii="宋体" w:hAnsi="宋体" w:cs="宋体"/>
          <w:color w:val="auto"/>
          <w:kern w:val="0"/>
          <w:szCs w:val="21"/>
          <w:highlight w:val="none"/>
          <w:u w:val="single"/>
        </w:rPr>
        <w:t xml:space="preserve">  嘉兴 </w:t>
      </w:r>
      <w:r>
        <w:rPr>
          <w:rFonts w:hint="eastAsia" w:ascii="宋体" w:hAnsi="宋体" w:cs="宋体"/>
          <w:color w:val="auto"/>
          <w:kern w:val="0"/>
          <w:szCs w:val="21"/>
          <w:highlight w:val="none"/>
        </w:rPr>
        <w:t>仲裁委员申请仲裁。</w:t>
      </w:r>
    </w:p>
    <w:bookmarkEnd w:id="113"/>
    <w:p>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440" w:lineRule="exact"/>
        <w:ind w:firstLine="422" w:firstLineChars="200"/>
        <w:jc w:val="left"/>
        <w:rPr>
          <w:rFonts w:ascii="宋体" w:hAnsi="宋体" w:cs="宋体"/>
          <w:b/>
          <w:color w:val="auto"/>
          <w:kern w:val="0"/>
          <w:szCs w:val="21"/>
          <w:highlight w:val="none"/>
        </w:rPr>
      </w:pPr>
      <w:r>
        <w:rPr>
          <w:rFonts w:hint="eastAsia" w:ascii="宋体" w:hAnsi="宋体" w:cs="宋体"/>
          <w:b/>
          <w:color w:val="auto"/>
          <w:kern w:val="0"/>
          <w:szCs w:val="21"/>
          <w:highlight w:val="none"/>
        </w:rPr>
        <w:t>第八条 合同备案及其他</w:t>
      </w:r>
    </w:p>
    <w:p>
      <w:pPr>
        <w:widowControl/>
        <w:spacing w:line="440" w:lineRule="exact"/>
        <w:ind w:firstLine="420" w:firstLineChars="200"/>
        <w:jc w:val="left"/>
        <w:rPr>
          <w:rFonts w:ascii="宋体" w:hAnsi="宋体" w:cs="宋体"/>
          <w:b/>
          <w:bCs/>
          <w:color w:val="auto"/>
          <w:kern w:val="0"/>
          <w:sz w:val="30"/>
          <w:szCs w:val="30"/>
          <w:highlight w:val="none"/>
        </w:rPr>
      </w:pPr>
      <w:r>
        <w:rPr>
          <w:rFonts w:hint="eastAsia" w:ascii="宋体" w:hAnsi="宋体" w:cs="宋体"/>
          <w:color w:val="auto"/>
          <w:kern w:val="0"/>
          <w:szCs w:val="21"/>
          <w:highlight w:val="none"/>
        </w:rPr>
        <w:t>本合同一式</w:t>
      </w:r>
      <w:r>
        <w:rPr>
          <w:rFonts w:hint="eastAsia" w:ascii="宋体" w:hAnsi="宋体" w:cs="宋体"/>
          <w:color w:val="auto"/>
          <w:kern w:val="0"/>
          <w:szCs w:val="21"/>
          <w:highlight w:val="none"/>
          <w:u w:val="single"/>
        </w:rPr>
        <w:t xml:space="preserve"> 五 </w:t>
      </w:r>
      <w:r>
        <w:rPr>
          <w:rFonts w:hint="eastAsia" w:ascii="宋体" w:hAnsi="宋体" w:cs="宋体"/>
          <w:color w:val="auto"/>
          <w:kern w:val="0"/>
          <w:szCs w:val="21"/>
          <w:highlight w:val="none"/>
        </w:rPr>
        <w:t>份，甲乙双方各执</w:t>
      </w:r>
      <w:r>
        <w:rPr>
          <w:rFonts w:hint="eastAsia" w:ascii="宋体" w:hAnsi="宋体" w:cs="宋体"/>
          <w:color w:val="auto"/>
          <w:kern w:val="0"/>
          <w:szCs w:val="21"/>
          <w:highlight w:val="none"/>
          <w:u w:val="single"/>
        </w:rPr>
        <w:t xml:space="preserve"> 二 </w:t>
      </w:r>
      <w:r>
        <w:rPr>
          <w:rFonts w:hint="eastAsia" w:ascii="宋体" w:hAnsi="宋体" w:cs="宋体"/>
          <w:color w:val="auto"/>
          <w:kern w:val="0"/>
          <w:szCs w:val="21"/>
          <w:highlight w:val="none"/>
        </w:rPr>
        <w:t>份，</w:t>
      </w:r>
      <w:r>
        <w:rPr>
          <w:rFonts w:hint="eastAsia" w:ascii="宋体" w:hAnsi="宋体" w:cs="宋体"/>
          <w:color w:val="auto"/>
          <w:kern w:val="0"/>
          <w:szCs w:val="21"/>
          <w:highlight w:val="none"/>
          <w:u w:val="single"/>
        </w:rPr>
        <w:t xml:space="preserve"> 一 </w:t>
      </w:r>
      <w:r>
        <w:rPr>
          <w:rFonts w:hint="eastAsia" w:ascii="宋体" w:hAnsi="宋体" w:cs="宋体"/>
          <w:color w:val="auto"/>
          <w:kern w:val="0"/>
          <w:szCs w:val="21"/>
          <w:highlight w:val="none"/>
        </w:rPr>
        <w:t>份留采购代理单位存档备查。</w:t>
      </w:r>
    </w:p>
    <w:p>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440" w:lineRule="exact"/>
        <w:ind w:firstLine="562" w:firstLineChars="200"/>
        <w:jc w:val="center"/>
        <w:rPr>
          <w:rFonts w:hint="eastAsia" w:ascii="宋体" w:hAnsi="宋体" w:cs="宋体"/>
          <w:b/>
          <w:bCs/>
          <w:color w:val="auto"/>
          <w:kern w:val="0"/>
          <w:sz w:val="28"/>
          <w:szCs w:val="28"/>
          <w:highlight w:val="none"/>
        </w:rPr>
      </w:pPr>
    </w:p>
    <w:p>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440" w:lineRule="exact"/>
        <w:ind w:firstLine="562" w:firstLineChars="200"/>
        <w:jc w:val="center"/>
        <w:rPr>
          <w:rFonts w:ascii="宋体" w:hAnsi="宋体" w:cs="宋体"/>
          <w:b/>
          <w:bCs/>
          <w:color w:val="auto"/>
          <w:kern w:val="0"/>
          <w:sz w:val="28"/>
          <w:szCs w:val="28"/>
          <w:highlight w:val="none"/>
        </w:rPr>
      </w:pPr>
      <w:r>
        <w:rPr>
          <w:rFonts w:hint="eastAsia" w:ascii="宋体" w:hAnsi="宋体" w:cs="宋体"/>
          <w:b/>
          <w:bCs/>
          <w:color w:val="auto"/>
          <w:kern w:val="0"/>
          <w:sz w:val="28"/>
          <w:szCs w:val="28"/>
          <w:highlight w:val="none"/>
        </w:rPr>
        <w:t>二、专用条款部分</w:t>
      </w:r>
    </w:p>
    <w:p>
      <w:pPr>
        <w:numPr>
          <w:ilvl w:val="0"/>
          <w:numId w:val="7"/>
        </w:numPr>
        <w:jc w:val="center"/>
        <w:rPr>
          <w:rFonts w:ascii="宋体" w:hAnsi="宋体"/>
          <w:b/>
          <w:bCs/>
          <w:color w:val="auto"/>
          <w:sz w:val="32"/>
          <w:szCs w:val="32"/>
          <w:highlight w:val="none"/>
        </w:rPr>
      </w:pPr>
      <w:r>
        <w:rPr>
          <w:rFonts w:ascii="宋体" w:hAnsi="宋体"/>
          <w:b/>
          <w:bCs/>
          <w:color w:val="auto"/>
          <w:sz w:val="32"/>
          <w:szCs w:val="32"/>
          <w:highlight w:val="none"/>
        </w:rPr>
        <w:t xml:space="preserve"> 合同协议书</w:t>
      </w:r>
    </w:p>
    <w:p>
      <w:pPr>
        <w:rPr>
          <w:rFonts w:ascii="宋体" w:hAnsi="宋体"/>
          <w:b/>
          <w:bCs/>
          <w:color w:val="auto"/>
          <w:sz w:val="32"/>
          <w:szCs w:val="32"/>
          <w:highlight w:val="none"/>
        </w:rPr>
      </w:pPr>
    </w:p>
    <w:p>
      <w:pPr>
        <w:spacing w:line="360" w:lineRule="auto"/>
        <w:rPr>
          <w:rFonts w:ascii="宋体" w:hAnsi="宋体"/>
          <w:b/>
          <w:color w:val="auto"/>
          <w:szCs w:val="21"/>
          <w:highlight w:val="none"/>
          <w:u w:val="single"/>
        </w:rPr>
      </w:pPr>
      <w:r>
        <w:rPr>
          <w:rFonts w:ascii="宋体" w:hAnsi="宋体"/>
          <w:b/>
          <w:color w:val="auto"/>
          <w:szCs w:val="21"/>
          <w:highlight w:val="none"/>
        </w:rPr>
        <w:t>发包人（全称）：</w:t>
      </w:r>
      <w:r>
        <w:rPr>
          <w:rFonts w:ascii="宋体" w:hAnsi="宋体"/>
          <w:b/>
          <w:color w:val="auto"/>
          <w:szCs w:val="21"/>
          <w:highlight w:val="none"/>
          <w:u w:val="single"/>
        </w:rPr>
        <w:t xml:space="preserve">                      </w:t>
      </w:r>
    </w:p>
    <w:p>
      <w:pPr>
        <w:spacing w:line="360" w:lineRule="auto"/>
        <w:rPr>
          <w:rFonts w:ascii="宋体" w:hAnsi="宋体"/>
          <w:b/>
          <w:color w:val="auto"/>
          <w:szCs w:val="21"/>
          <w:highlight w:val="none"/>
          <w:u w:val="single"/>
        </w:rPr>
      </w:pPr>
      <w:r>
        <w:rPr>
          <w:rFonts w:ascii="宋体" w:hAnsi="宋体"/>
          <w:b/>
          <w:color w:val="auto"/>
          <w:szCs w:val="21"/>
          <w:highlight w:val="none"/>
        </w:rPr>
        <w:t>承包人（全称）：</w:t>
      </w:r>
      <w:r>
        <w:rPr>
          <w:rFonts w:ascii="宋体" w:hAnsi="宋体"/>
          <w:b/>
          <w:color w:val="auto"/>
          <w:szCs w:val="21"/>
          <w:highlight w:val="none"/>
          <w:u w:val="single"/>
        </w:rPr>
        <w:t>                    </w:t>
      </w:r>
    </w:p>
    <w:p>
      <w:pPr>
        <w:spacing w:line="360" w:lineRule="auto"/>
        <w:ind w:firstLine="420" w:firstLineChars="200"/>
        <w:jc w:val="left"/>
        <w:rPr>
          <w:rFonts w:ascii="宋体" w:hAnsi="宋体"/>
          <w:color w:val="auto"/>
          <w:szCs w:val="21"/>
          <w:highlight w:val="none"/>
        </w:rPr>
      </w:pPr>
      <w:r>
        <w:rPr>
          <w:rFonts w:ascii="宋体" w:hAnsi="宋体"/>
          <w:color w:val="auto"/>
          <w:szCs w:val="21"/>
          <w:highlight w:val="none"/>
        </w:rPr>
        <w:t>根据《中华人民共和国</w:t>
      </w:r>
      <w:r>
        <w:rPr>
          <w:rFonts w:hint="eastAsia" w:ascii="宋体" w:hAnsi="宋体"/>
          <w:color w:val="auto"/>
          <w:szCs w:val="21"/>
          <w:highlight w:val="none"/>
          <w:lang w:val="en-US" w:eastAsia="zh-CN"/>
        </w:rPr>
        <w:t>民法典</w:t>
      </w:r>
      <w:r>
        <w:rPr>
          <w:rFonts w:ascii="宋体" w:hAnsi="宋体"/>
          <w:color w:val="auto"/>
          <w:szCs w:val="21"/>
          <w:highlight w:val="none"/>
        </w:rPr>
        <w:t>》、《中华人民共和国建筑法》</w:t>
      </w:r>
      <w:r>
        <w:rPr>
          <w:rFonts w:hint="eastAsia" w:ascii="宋体" w:hAnsi="宋体"/>
          <w:color w:val="auto"/>
          <w:szCs w:val="21"/>
          <w:highlight w:val="none"/>
        </w:rPr>
        <w:t>、</w:t>
      </w:r>
      <w:r>
        <w:rPr>
          <w:rFonts w:ascii="宋体" w:hAnsi="宋体"/>
          <w:color w:val="auto"/>
          <w:szCs w:val="21"/>
          <w:highlight w:val="none"/>
        </w:rPr>
        <w:t>中华人民共和国</w:t>
      </w:r>
      <w:r>
        <w:rPr>
          <w:rFonts w:hint="eastAsia" w:ascii="宋体" w:hAnsi="宋体"/>
          <w:color w:val="auto"/>
          <w:szCs w:val="21"/>
          <w:highlight w:val="none"/>
        </w:rPr>
        <w:t>招标投标</w:t>
      </w:r>
      <w:r>
        <w:rPr>
          <w:rFonts w:ascii="宋体" w:hAnsi="宋体"/>
          <w:color w:val="auto"/>
          <w:szCs w:val="21"/>
          <w:highlight w:val="none"/>
        </w:rPr>
        <w:t>法》及有关法律规定</w:t>
      </w:r>
      <w:r>
        <w:rPr>
          <w:rFonts w:hint="eastAsia" w:ascii="宋体" w:hAnsi="宋体"/>
          <w:color w:val="auto"/>
          <w:szCs w:val="21"/>
          <w:highlight w:val="none"/>
        </w:rPr>
        <w:t>、行政法规</w:t>
      </w:r>
      <w:r>
        <w:rPr>
          <w:rFonts w:ascii="宋体" w:hAnsi="宋体"/>
          <w:color w:val="auto"/>
          <w:szCs w:val="21"/>
          <w:highlight w:val="none"/>
        </w:rPr>
        <w:t>，遵循平等、自愿、公平和诚实信用的原则，</w:t>
      </w:r>
      <w:r>
        <w:rPr>
          <w:rFonts w:hint="eastAsia" w:ascii="宋体" w:hAnsi="宋体"/>
          <w:color w:val="auto"/>
          <w:szCs w:val="21"/>
          <w:highlight w:val="none"/>
        </w:rPr>
        <w:t>合同</w:t>
      </w:r>
      <w:r>
        <w:rPr>
          <w:rFonts w:ascii="宋体" w:hAnsi="宋体"/>
          <w:color w:val="auto"/>
          <w:szCs w:val="21"/>
          <w:highlight w:val="none"/>
        </w:rPr>
        <w:t>双方就</w:t>
      </w:r>
      <w:r>
        <w:rPr>
          <w:rFonts w:hint="eastAsia" w:ascii="宋体" w:hAnsi="宋体"/>
          <w:color w:val="auto"/>
          <w:szCs w:val="21"/>
          <w:highlight w:val="none"/>
        </w:rPr>
        <w:t xml:space="preserve"> </w:t>
      </w:r>
      <w:r>
        <w:rPr>
          <w:rFonts w:ascii="宋体" w:hAnsi="宋体"/>
          <w:color w:val="auto"/>
          <w:szCs w:val="21"/>
          <w:highlight w:val="none"/>
          <w:u w:val="single"/>
        </w:rPr>
        <w:t xml:space="preserve">                       </w:t>
      </w:r>
      <w:r>
        <w:rPr>
          <w:rFonts w:hint="eastAsia" w:ascii="宋体" w:hAnsi="宋体"/>
          <w:color w:val="auto"/>
          <w:szCs w:val="21"/>
          <w:highlight w:val="none"/>
          <w:u w:val="single"/>
        </w:rPr>
        <w:t xml:space="preserve">          </w:t>
      </w:r>
      <w:r>
        <w:rPr>
          <w:rFonts w:hint="eastAsia" w:ascii="宋体" w:hAnsi="宋体" w:cs="宋体"/>
          <w:color w:val="auto"/>
          <w:kern w:val="0"/>
          <w:szCs w:val="21"/>
          <w:highlight w:val="none"/>
          <w:u w:val="single"/>
          <w:lang w:eastAsia="zh-CN"/>
        </w:rPr>
        <w:t xml:space="preserve"> 嘉兴市实验初级中学教育集团艺术教室室内装修工程设计施工一体化</w:t>
      </w:r>
      <w:r>
        <w:rPr>
          <w:rFonts w:hint="eastAsia" w:ascii="宋体" w:hAnsi="宋体"/>
          <w:color w:val="auto"/>
          <w:szCs w:val="21"/>
          <w:highlight w:val="none"/>
          <w:u w:val="single"/>
        </w:rPr>
        <w:t>项目</w:t>
      </w:r>
      <w:r>
        <w:rPr>
          <w:rFonts w:hint="eastAsia" w:ascii="宋体" w:hAnsi="宋体"/>
          <w:color w:val="auto"/>
          <w:szCs w:val="21"/>
          <w:highlight w:val="none"/>
        </w:rPr>
        <w:t>事宜经协商</w:t>
      </w:r>
      <w:r>
        <w:rPr>
          <w:rFonts w:ascii="宋体" w:hAnsi="宋体"/>
          <w:color w:val="auto"/>
          <w:szCs w:val="21"/>
          <w:highlight w:val="none"/>
        </w:rPr>
        <w:t>一致，</w:t>
      </w:r>
      <w:r>
        <w:rPr>
          <w:rFonts w:hint="eastAsia" w:ascii="宋体" w:hAnsi="宋体"/>
          <w:color w:val="auto"/>
          <w:szCs w:val="21"/>
          <w:highlight w:val="none"/>
        </w:rPr>
        <w:t>订立本</w:t>
      </w:r>
      <w:r>
        <w:rPr>
          <w:rFonts w:hint="eastAsia" w:ascii="宋体" w:hAnsi="宋体"/>
          <w:color w:val="auto"/>
          <w:szCs w:val="21"/>
          <w:highlight w:val="none"/>
          <w:lang w:val="en-US" w:eastAsia="zh-CN"/>
        </w:rPr>
        <w:t>合同</w:t>
      </w:r>
      <w:r>
        <w:rPr>
          <w:rFonts w:hint="eastAsia" w:ascii="宋体" w:hAnsi="宋体"/>
          <w:color w:val="auto"/>
          <w:szCs w:val="21"/>
          <w:highlight w:val="none"/>
        </w:rPr>
        <w:t>。</w:t>
      </w:r>
    </w:p>
    <w:p>
      <w:pPr>
        <w:tabs>
          <w:tab w:val="left" w:pos="426"/>
        </w:tabs>
        <w:spacing w:line="360" w:lineRule="auto"/>
        <w:rPr>
          <w:rFonts w:ascii="宋体" w:hAnsi="宋体"/>
          <w:color w:val="auto"/>
          <w:szCs w:val="21"/>
          <w:highlight w:val="none"/>
        </w:rPr>
      </w:pPr>
      <w:r>
        <w:rPr>
          <w:rFonts w:ascii="宋体" w:hAnsi="宋体"/>
          <w:color w:val="auto"/>
          <w:szCs w:val="21"/>
          <w:highlight w:val="none"/>
        </w:rPr>
        <w:t xml:space="preserve">    一、工程概况</w:t>
      </w:r>
    </w:p>
    <w:p>
      <w:pPr>
        <w:spacing w:line="360" w:lineRule="auto"/>
        <w:ind w:firstLine="411" w:firstLineChars="196"/>
        <w:rPr>
          <w:rFonts w:ascii="宋体" w:hAnsi="宋体"/>
          <w:color w:val="auto"/>
          <w:szCs w:val="21"/>
          <w:highlight w:val="none"/>
          <w:u w:val="single"/>
        </w:rPr>
      </w:pPr>
      <w:r>
        <w:rPr>
          <w:rFonts w:ascii="宋体" w:hAnsi="宋体"/>
          <w:bCs/>
          <w:color w:val="auto"/>
          <w:szCs w:val="21"/>
          <w:highlight w:val="none"/>
        </w:rPr>
        <w:t>工程名称</w:t>
      </w:r>
      <w:r>
        <w:rPr>
          <w:rFonts w:ascii="宋体" w:hAnsi="宋体"/>
          <w:color w:val="auto"/>
          <w:szCs w:val="21"/>
          <w:highlight w:val="none"/>
        </w:rPr>
        <w:t>：</w:t>
      </w:r>
      <w:r>
        <w:rPr>
          <w:rFonts w:ascii="宋体" w:hAnsi="宋体"/>
          <w:color w:val="auto"/>
          <w:szCs w:val="21"/>
          <w:highlight w:val="none"/>
          <w:u w:val="single"/>
        </w:rPr>
        <w:t>      </w:t>
      </w:r>
      <w:r>
        <w:rPr>
          <w:rFonts w:hint="eastAsia" w:ascii="宋体" w:hAnsi="宋体"/>
          <w:color w:val="auto"/>
          <w:szCs w:val="21"/>
          <w:highlight w:val="none"/>
          <w:u w:val="single"/>
        </w:rPr>
        <w:t xml:space="preserve">                </w:t>
      </w:r>
      <w:r>
        <w:rPr>
          <w:rFonts w:ascii="宋体" w:hAnsi="宋体"/>
          <w:color w:val="auto"/>
          <w:szCs w:val="21"/>
          <w:highlight w:val="none"/>
          <w:u w:val="single"/>
        </w:rPr>
        <w:t xml:space="preserve"> </w:t>
      </w:r>
      <w:r>
        <w:rPr>
          <w:rFonts w:ascii="宋体" w:hAnsi="宋体"/>
          <w:color w:val="auto"/>
          <w:szCs w:val="21"/>
          <w:highlight w:val="none"/>
        </w:rPr>
        <w:t>。</w:t>
      </w:r>
    </w:p>
    <w:p>
      <w:pPr>
        <w:spacing w:line="360" w:lineRule="auto"/>
        <w:ind w:firstLine="411" w:firstLineChars="196"/>
        <w:rPr>
          <w:rFonts w:ascii="宋体" w:hAnsi="宋体"/>
          <w:color w:val="auto"/>
          <w:szCs w:val="21"/>
          <w:highlight w:val="none"/>
        </w:rPr>
      </w:pPr>
      <w:r>
        <w:rPr>
          <w:rFonts w:hint="eastAsia" w:ascii="宋体" w:hAnsi="宋体"/>
          <w:bCs/>
          <w:color w:val="auto"/>
          <w:szCs w:val="21"/>
          <w:highlight w:val="none"/>
        </w:rPr>
        <w:t>工程批准文号</w:t>
      </w:r>
      <w:r>
        <w:rPr>
          <w:rFonts w:ascii="宋体" w:hAnsi="宋体"/>
          <w:bCs/>
          <w:color w:val="auto"/>
          <w:szCs w:val="21"/>
          <w:highlight w:val="none"/>
        </w:rPr>
        <w:t>：</w:t>
      </w:r>
      <w:r>
        <w:rPr>
          <w:rFonts w:ascii="宋体" w:hAnsi="宋体"/>
          <w:color w:val="auto"/>
          <w:szCs w:val="21"/>
          <w:highlight w:val="none"/>
          <w:u w:val="single"/>
        </w:rPr>
        <w:t xml:space="preserve">       </w:t>
      </w:r>
      <w:r>
        <w:rPr>
          <w:rFonts w:ascii="宋体" w:hAnsi="宋体"/>
          <w:color w:val="auto"/>
          <w:szCs w:val="21"/>
          <w:highlight w:val="none"/>
        </w:rPr>
        <w:t>。</w:t>
      </w:r>
    </w:p>
    <w:p>
      <w:pPr>
        <w:spacing w:line="360" w:lineRule="auto"/>
        <w:ind w:firstLine="411" w:firstLineChars="196"/>
        <w:rPr>
          <w:rFonts w:ascii="宋体" w:hAnsi="宋体"/>
          <w:bCs/>
          <w:color w:val="auto"/>
          <w:szCs w:val="21"/>
          <w:highlight w:val="none"/>
        </w:rPr>
      </w:pPr>
      <w:r>
        <w:rPr>
          <w:rFonts w:ascii="宋体" w:hAnsi="宋体"/>
          <w:bCs/>
          <w:color w:val="auto"/>
          <w:szCs w:val="21"/>
          <w:highlight w:val="none"/>
        </w:rPr>
        <w:t>工程</w:t>
      </w:r>
      <w:r>
        <w:rPr>
          <w:rFonts w:hint="eastAsia" w:ascii="宋体" w:hAnsi="宋体"/>
          <w:bCs/>
          <w:color w:val="auto"/>
          <w:szCs w:val="21"/>
          <w:highlight w:val="none"/>
        </w:rPr>
        <w:t>内容及规模</w:t>
      </w:r>
      <w:r>
        <w:rPr>
          <w:rFonts w:ascii="宋体" w:hAnsi="宋体"/>
          <w:bCs/>
          <w:color w:val="auto"/>
          <w:szCs w:val="21"/>
          <w:highlight w:val="none"/>
        </w:rPr>
        <w:t>：</w:t>
      </w:r>
      <w:r>
        <w:rPr>
          <w:rFonts w:ascii="宋体" w:hAnsi="宋体"/>
          <w:color w:val="auto"/>
          <w:szCs w:val="21"/>
          <w:highlight w:val="none"/>
          <w:u w:val="single"/>
        </w:rPr>
        <w:t xml:space="preserve">      </w:t>
      </w:r>
      <w:r>
        <w:rPr>
          <w:rFonts w:hint="eastAsia" w:ascii="宋体" w:hAnsi="宋体"/>
          <w:color w:val="auto"/>
          <w:szCs w:val="21"/>
          <w:highlight w:val="none"/>
          <w:u w:val="single"/>
        </w:rPr>
        <w:t xml:space="preserve">           </w:t>
      </w:r>
      <w:r>
        <w:rPr>
          <w:rFonts w:ascii="宋体" w:hAnsi="宋体"/>
          <w:color w:val="auto"/>
          <w:szCs w:val="21"/>
          <w:highlight w:val="none"/>
          <w:u w:val="single"/>
        </w:rPr>
        <w:t xml:space="preserve"> </w:t>
      </w:r>
      <w:r>
        <w:rPr>
          <w:rFonts w:ascii="宋体" w:hAnsi="宋体"/>
          <w:color w:val="auto"/>
          <w:szCs w:val="21"/>
          <w:highlight w:val="none"/>
        </w:rPr>
        <w:t>。</w:t>
      </w:r>
    </w:p>
    <w:p>
      <w:pPr>
        <w:spacing w:line="360" w:lineRule="auto"/>
        <w:ind w:firstLine="411" w:firstLineChars="196"/>
        <w:rPr>
          <w:rFonts w:ascii="宋体" w:hAnsi="宋体"/>
          <w:bCs/>
          <w:color w:val="auto"/>
          <w:szCs w:val="21"/>
          <w:highlight w:val="none"/>
        </w:rPr>
      </w:pPr>
      <w:r>
        <w:rPr>
          <w:rFonts w:ascii="宋体" w:hAnsi="宋体"/>
          <w:bCs/>
          <w:color w:val="auto"/>
          <w:szCs w:val="21"/>
          <w:highlight w:val="none"/>
        </w:rPr>
        <w:t>工程</w:t>
      </w:r>
      <w:r>
        <w:rPr>
          <w:rFonts w:hint="eastAsia" w:ascii="宋体" w:hAnsi="宋体"/>
          <w:bCs/>
          <w:color w:val="auto"/>
          <w:szCs w:val="21"/>
          <w:highlight w:val="none"/>
        </w:rPr>
        <w:t>所在地</w:t>
      </w:r>
      <w:r>
        <w:rPr>
          <w:rFonts w:ascii="宋体" w:hAnsi="宋体"/>
          <w:bCs/>
          <w:color w:val="auto"/>
          <w:szCs w:val="21"/>
          <w:highlight w:val="none"/>
        </w:rPr>
        <w:t>：</w:t>
      </w:r>
      <w:r>
        <w:rPr>
          <w:rFonts w:ascii="宋体" w:hAnsi="宋体"/>
          <w:color w:val="auto"/>
          <w:szCs w:val="21"/>
          <w:highlight w:val="none"/>
          <w:u w:val="single"/>
        </w:rPr>
        <w:t>　</w:t>
      </w:r>
      <w:r>
        <w:rPr>
          <w:rFonts w:hint="eastAsia" w:ascii="宋体" w:hAnsi="宋体"/>
          <w:color w:val="auto"/>
          <w:szCs w:val="21"/>
          <w:highlight w:val="none"/>
          <w:u w:val="single"/>
        </w:rPr>
        <w:t xml:space="preserve">         </w:t>
      </w:r>
      <w:r>
        <w:rPr>
          <w:rFonts w:ascii="宋体" w:hAnsi="宋体"/>
          <w:color w:val="auto"/>
          <w:szCs w:val="21"/>
          <w:highlight w:val="none"/>
          <w:u w:val="single"/>
        </w:rPr>
        <w:t xml:space="preserve"> </w:t>
      </w:r>
      <w:r>
        <w:rPr>
          <w:rFonts w:ascii="宋体" w:hAnsi="宋体"/>
          <w:color w:val="auto"/>
          <w:szCs w:val="21"/>
          <w:highlight w:val="none"/>
        </w:rPr>
        <w:t>。</w:t>
      </w:r>
    </w:p>
    <w:p>
      <w:pPr>
        <w:spacing w:line="360" w:lineRule="auto"/>
        <w:ind w:firstLine="411" w:firstLineChars="196"/>
        <w:rPr>
          <w:rFonts w:ascii="宋体" w:hAnsi="宋体"/>
          <w:bCs/>
          <w:color w:val="auto"/>
          <w:szCs w:val="21"/>
          <w:highlight w:val="none"/>
        </w:rPr>
      </w:pPr>
      <w:r>
        <w:rPr>
          <w:rFonts w:ascii="宋体" w:hAnsi="宋体"/>
          <w:bCs/>
          <w:color w:val="auto"/>
          <w:szCs w:val="21"/>
          <w:highlight w:val="none"/>
        </w:rPr>
        <w:t>工程承包范围：</w:t>
      </w:r>
      <w:r>
        <w:rPr>
          <w:rFonts w:ascii="宋体" w:hAnsi="宋体"/>
          <w:color w:val="auto"/>
          <w:szCs w:val="21"/>
          <w:highlight w:val="none"/>
          <w:u w:val="single"/>
        </w:rPr>
        <w:t>　 </w:t>
      </w:r>
      <w:r>
        <w:rPr>
          <w:rFonts w:hint="eastAsia" w:ascii="宋体" w:hAnsi="宋体"/>
          <w:color w:val="auto"/>
          <w:szCs w:val="21"/>
          <w:highlight w:val="none"/>
          <w:u w:val="single"/>
        </w:rPr>
        <w:t xml:space="preserve">                 </w:t>
      </w:r>
      <w:r>
        <w:rPr>
          <w:rFonts w:ascii="宋体" w:hAnsi="宋体"/>
          <w:color w:val="auto"/>
          <w:szCs w:val="21"/>
          <w:highlight w:val="none"/>
          <w:u w:val="single"/>
        </w:rPr>
        <w:t></w:t>
      </w:r>
      <w:r>
        <w:rPr>
          <w:rFonts w:ascii="宋体" w:hAnsi="宋体"/>
          <w:color w:val="auto"/>
          <w:szCs w:val="21"/>
          <w:highlight w:val="none"/>
        </w:rPr>
        <w:t>。</w:t>
      </w:r>
    </w:p>
    <w:p>
      <w:pPr>
        <w:numPr>
          <w:ilvl w:val="0"/>
          <w:numId w:val="8"/>
        </w:numPr>
        <w:spacing w:line="360" w:lineRule="auto"/>
        <w:rPr>
          <w:rFonts w:hint="eastAsia" w:ascii="宋体" w:hAnsi="宋体"/>
          <w:color w:val="auto"/>
          <w:szCs w:val="21"/>
          <w:highlight w:val="none"/>
        </w:rPr>
      </w:pPr>
      <w:r>
        <w:rPr>
          <w:rFonts w:hint="eastAsia" w:ascii="宋体" w:hAnsi="宋体"/>
          <w:color w:val="auto"/>
          <w:szCs w:val="21"/>
          <w:highlight w:val="none"/>
        </w:rPr>
        <w:t>工程主要生产技术（或建筑设计方案）来源</w:t>
      </w:r>
    </w:p>
    <w:p>
      <w:pPr>
        <w:spacing w:line="360" w:lineRule="auto"/>
        <w:ind w:left="315"/>
        <w:rPr>
          <w:rFonts w:ascii="宋体" w:hAnsi="宋体"/>
          <w:color w:val="auto"/>
          <w:szCs w:val="21"/>
          <w:highlight w:val="none"/>
          <w:u w:val="single"/>
        </w:rPr>
      </w:pPr>
      <w:r>
        <w:rPr>
          <w:rFonts w:hint="eastAsia" w:ascii="宋体" w:hAnsi="宋体"/>
          <w:color w:val="auto"/>
          <w:szCs w:val="21"/>
          <w:highlight w:val="none"/>
          <w:u w:val="single"/>
        </w:rPr>
        <w:t xml:space="preserve">                                                                    </w:t>
      </w:r>
    </w:p>
    <w:p>
      <w:pPr>
        <w:spacing w:line="360" w:lineRule="auto"/>
        <w:ind w:firstLine="210" w:firstLineChars="100"/>
        <w:rPr>
          <w:rFonts w:ascii="宋体" w:hAnsi="宋体"/>
          <w:color w:val="auto"/>
          <w:szCs w:val="21"/>
          <w:highlight w:val="none"/>
        </w:rPr>
      </w:pPr>
      <w:r>
        <w:rPr>
          <w:rFonts w:ascii="宋体" w:hAnsi="宋体"/>
          <w:color w:val="auto"/>
          <w:szCs w:val="21"/>
          <w:highlight w:val="none"/>
        </w:rPr>
        <w:t xml:space="preserve"> </w:t>
      </w:r>
      <w:r>
        <w:rPr>
          <w:rFonts w:hint="eastAsia" w:ascii="宋体" w:hAnsi="宋体"/>
          <w:color w:val="auto"/>
          <w:szCs w:val="21"/>
          <w:highlight w:val="none"/>
        </w:rPr>
        <w:t>三</w:t>
      </w:r>
      <w:r>
        <w:rPr>
          <w:rFonts w:ascii="宋体" w:hAnsi="宋体"/>
          <w:color w:val="auto"/>
          <w:szCs w:val="21"/>
          <w:highlight w:val="none"/>
        </w:rPr>
        <w:t>、合</w:t>
      </w:r>
      <w:r>
        <w:rPr>
          <w:rFonts w:hint="eastAsia" w:ascii="宋体" w:hAnsi="宋体"/>
          <w:color w:val="auto"/>
          <w:szCs w:val="21"/>
          <w:highlight w:val="none"/>
        </w:rPr>
        <w:t>主要日期</w:t>
      </w:r>
    </w:p>
    <w:p>
      <w:pPr>
        <w:spacing w:line="360" w:lineRule="auto"/>
        <w:ind w:firstLine="411" w:firstLineChars="196"/>
        <w:rPr>
          <w:rFonts w:ascii="宋体" w:hAnsi="宋体"/>
          <w:bCs/>
          <w:color w:val="auto"/>
          <w:szCs w:val="21"/>
          <w:highlight w:val="none"/>
        </w:rPr>
      </w:pPr>
      <w:r>
        <w:rPr>
          <w:rFonts w:hint="eastAsia" w:ascii="宋体" w:hAnsi="宋体"/>
          <w:bCs/>
          <w:color w:val="auto"/>
          <w:szCs w:val="21"/>
          <w:highlight w:val="none"/>
        </w:rPr>
        <w:t>设计开工日期</w:t>
      </w:r>
      <w:r>
        <w:rPr>
          <w:rFonts w:ascii="宋体" w:hAnsi="宋体"/>
          <w:bCs/>
          <w:color w:val="auto"/>
          <w:szCs w:val="21"/>
          <w:highlight w:val="none"/>
        </w:rPr>
        <w:t>：</w:t>
      </w:r>
      <w:r>
        <w:rPr>
          <w:rFonts w:ascii="宋体" w:hAnsi="宋体"/>
          <w:color w:val="auto"/>
          <w:szCs w:val="21"/>
          <w:highlight w:val="none"/>
          <w:u w:val="single"/>
        </w:rPr>
        <w:t xml:space="preserve">      </w:t>
      </w:r>
      <w:r>
        <w:rPr>
          <w:rFonts w:hint="eastAsia" w:ascii="宋体" w:hAnsi="宋体"/>
          <w:color w:val="auto"/>
          <w:szCs w:val="21"/>
          <w:highlight w:val="none"/>
          <w:u w:val="single"/>
        </w:rPr>
        <w:t xml:space="preserve">            </w:t>
      </w:r>
      <w:r>
        <w:rPr>
          <w:rFonts w:ascii="宋体" w:hAnsi="宋体"/>
          <w:color w:val="auto"/>
          <w:szCs w:val="21"/>
          <w:highlight w:val="none"/>
          <w:u w:val="single"/>
        </w:rPr>
        <w:t xml:space="preserve"> </w:t>
      </w:r>
      <w:r>
        <w:rPr>
          <w:rFonts w:ascii="宋体" w:hAnsi="宋体"/>
          <w:color w:val="auto"/>
          <w:szCs w:val="21"/>
          <w:highlight w:val="none"/>
        </w:rPr>
        <w:t>。</w:t>
      </w:r>
    </w:p>
    <w:p>
      <w:pPr>
        <w:spacing w:line="360" w:lineRule="auto"/>
        <w:ind w:firstLine="411" w:firstLineChars="196"/>
        <w:rPr>
          <w:rFonts w:ascii="宋体" w:hAnsi="宋体"/>
          <w:bCs/>
          <w:color w:val="auto"/>
          <w:szCs w:val="21"/>
          <w:highlight w:val="none"/>
        </w:rPr>
      </w:pPr>
      <w:r>
        <w:rPr>
          <w:rFonts w:hint="eastAsia" w:ascii="宋体" w:hAnsi="宋体"/>
          <w:bCs/>
          <w:color w:val="auto"/>
          <w:szCs w:val="21"/>
          <w:highlight w:val="none"/>
        </w:rPr>
        <w:t>施工开工日期</w:t>
      </w:r>
      <w:r>
        <w:rPr>
          <w:rFonts w:ascii="宋体" w:hAnsi="宋体"/>
          <w:bCs/>
          <w:color w:val="auto"/>
          <w:szCs w:val="21"/>
          <w:highlight w:val="none"/>
        </w:rPr>
        <w:t>：</w:t>
      </w:r>
      <w:r>
        <w:rPr>
          <w:rFonts w:ascii="宋体" w:hAnsi="宋体"/>
          <w:color w:val="auto"/>
          <w:szCs w:val="21"/>
          <w:highlight w:val="none"/>
          <w:u w:val="single"/>
        </w:rPr>
        <w:t>　</w:t>
      </w:r>
      <w:r>
        <w:rPr>
          <w:rFonts w:hint="eastAsia" w:ascii="宋体" w:hAnsi="宋体"/>
          <w:color w:val="auto"/>
          <w:szCs w:val="21"/>
          <w:highlight w:val="none"/>
          <w:u w:val="single"/>
        </w:rPr>
        <w:t xml:space="preserve">                 </w:t>
      </w:r>
      <w:r>
        <w:rPr>
          <w:rFonts w:ascii="宋体" w:hAnsi="宋体"/>
          <w:color w:val="auto"/>
          <w:szCs w:val="21"/>
          <w:highlight w:val="none"/>
          <w:u w:val="single"/>
        </w:rPr>
        <w:t xml:space="preserve"> </w:t>
      </w:r>
      <w:r>
        <w:rPr>
          <w:rFonts w:ascii="宋体" w:hAnsi="宋体"/>
          <w:color w:val="auto"/>
          <w:szCs w:val="21"/>
          <w:highlight w:val="none"/>
        </w:rPr>
        <w:t>。</w:t>
      </w:r>
    </w:p>
    <w:p>
      <w:pPr>
        <w:spacing w:line="360" w:lineRule="auto"/>
        <w:ind w:firstLine="411" w:firstLineChars="196"/>
        <w:rPr>
          <w:rFonts w:ascii="宋体" w:hAnsi="宋体"/>
          <w:bCs/>
          <w:color w:val="auto"/>
          <w:szCs w:val="21"/>
          <w:highlight w:val="none"/>
        </w:rPr>
      </w:pPr>
      <w:r>
        <w:rPr>
          <w:rFonts w:hint="eastAsia" w:ascii="宋体" w:hAnsi="宋体"/>
          <w:bCs/>
          <w:color w:val="auto"/>
          <w:szCs w:val="21"/>
          <w:highlight w:val="none"/>
        </w:rPr>
        <w:t>工程竣工日期</w:t>
      </w:r>
      <w:r>
        <w:rPr>
          <w:rFonts w:ascii="宋体" w:hAnsi="宋体"/>
          <w:bCs/>
          <w:color w:val="auto"/>
          <w:szCs w:val="21"/>
          <w:highlight w:val="none"/>
        </w:rPr>
        <w:t>：</w:t>
      </w:r>
      <w:r>
        <w:rPr>
          <w:rFonts w:ascii="宋体" w:hAnsi="宋体"/>
          <w:color w:val="auto"/>
          <w:szCs w:val="21"/>
          <w:highlight w:val="none"/>
          <w:u w:val="single"/>
        </w:rPr>
        <w:t>　 </w:t>
      </w:r>
      <w:r>
        <w:rPr>
          <w:rFonts w:hint="eastAsia" w:ascii="宋体" w:hAnsi="宋体"/>
          <w:color w:val="auto"/>
          <w:szCs w:val="21"/>
          <w:highlight w:val="none"/>
          <w:u w:val="single"/>
        </w:rPr>
        <w:t xml:space="preserve">                 </w:t>
      </w:r>
      <w:r>
        <w:rPr>
          <w:rFonts w:ascii="宋体" w:hAnsi="宋体"/>
          <w:color w:val="auto"/>
          <w:szCs w:val="21"/>
          <w:highlight w:val="none"/>
          <w:u w:val="single"/>
        </w:rPr>
        <w:t></w:t>
      </w:r>
      <w:r>
        <w:rPr>
          <w:rFonts w:ascii="宋体" w:hAnsi="宋体"/>
          <w:color w:val="auto"/>
          <w:szCs w:val="21"/>
          <w:highlight w:val="none"/>
        </w:rPr>
        <w:t>。</w:t>
      </w:r>
    </w:p>
    <w:p>
      <w:pPr>
        <w:spacing w:line="360" w:lineRule="auto"/>
        <w:rPr>
          <w:rFonts w:ascii="宋体" w:hAnsi="宋体"/>
          <w:color w:val="auto"/>
          <w:szCs w:val="21"/>
          <w:highlight w:val="none"/>
        </w:rPr>
      </w:pPr>
      <w:r>
        <w:rPr>
          <w:rFonts w:ascii="宋体" w:hAnsi="宋体"/>
          <w:color w:val="auto"/>
          <w:szCs w:val="21"/>
          <w:highlight w:val="none"/>
        </w:rPr>
        <w:t xml:space="preserve">    </w:t>
      </w:r>
      <w:r>
        <w:rPr>
          <w:rFonts w:hint="eastAsia" w:ascii="宋体" w:hAnsi="宋体"/>
          <w:color w:val="auto"/>
          <w:szCs w:val="21"/>
          <w:highlight w:val="none"/>
        </w:rPr>
        <w:t>四</w:t>
      </w:r>
      <w:r>
        <w:rPr>
          <w:rFonts w:ascii="宋体" w:hAnsi="宋体"/>
          <w:color w:val="auto"/>
          <w:szCs w:val="21"/>
          <w:highlight w:val="none"/>
        </w:rPr>
        <w:t>、</w:t>
      </w:r>
      <w:r>
        <w:rPr>
          <w:rFonts w:hint="eastAsia" w:ascii="宋体" w:hAnsi="宋体"/>
          <w:color w:val="auto"/>
          <w:szCs w:val="21"/>
          <w:highlight w:val="none"/>
        </w:rPr>
        <w:t>工程</w:t>
      </w:r>
      <w:r>
        <w:rPr>
          <w:rFonts w:ascii="宋体" w:hAnsi="宋体"/>
          <w:color w:val="auto"/>
          <w:szCs w:val="21"/>
          <w:highlight w:val="none"/>
        </w:rPr>
        <w:t>质量标准</w:t>
      </w:r>
    </w:p>
    <w:p>
      <w:pPr>
        <w:spacing w:line="360" w:lineRule="auto"/>
        <w:ind w:firstLine="411" w:firstLineChars="196"/>
        <w:rPr>
          <w:rFonts w:ascii="宋体" w:hAnsi="宋体"/>
          <w:bCs/>
          <w:color w:val="auto"/>
          <w:szCs w:val="21"/>
          <w:highlight w:val="none"/>
        </w:rPr>
      </w:pPr>
      <w:r>
        <w:rPr>
          <w:rFonts w:hint="eastAsia" w:ascii="宋体" w:hAnsi="宋体"/>
          <w:bCs/>
          <w:color w:val="auto"/>
          <w:szCs w:val="21"/>
          <w:highlight w:val="none"/>
        </w:rPr>
        <w:t>工程设计质量标准</w:t>
      </w:r>
      <w:r>
        <w:rPr>
          <w:rFonts w:ascii="宋体" w:hAnsi="宋体"/>
          <w:bCs/>
          <w:color w:val="auto"/>
          <w:szCs w:val="21"/>
          <w:highlight w:val="none"/>
        </w:rPr>
        <w:t>：</w:t>
      </w:r>
      <w:r>
        <w:rPr>
          <w:rFonts w:ascii="宋体" w:hAnsi="宋体"/>
          <w:color w:val="auto"/>
          <w:szCs w:val="21"/>
          <w:highlight w:val="none"/>
          <w:u w:val="single"/>
        </w:rPr>
        <w:t>　</w:t>
      </w:r>
      <w:r>
        <w:rPr>
          <w:rFonts w:hint="eastAsia" w:ascii="宋体" w:hAnsi="宋体"/>
          <w:color w:val="auto"/>
          <w:szCs w:val="21"/>
          <w:highlight w:val="none"/>
          <w:u w:val="single"/>
        </w:rPr>
        <w:t xml:space="preserve">                 </w:t>
      </w:r>
      <w:r>
        <w:rPr>
          <w:rFonts w:ascii="宋体" w:hAnsi="宋体"/>
          <w:color w:val="auto"/>
          <w:szCs w:val="21"/>
          <w:highlight w:val="none"/>
          <w:u w:val="single"/>
        </w:rPr>
        <w:t xml:space="preserve"> </w:t>
      </w:r>
      <w:r>
        <w:rPr>
          <w:rFonts w:ascii="宋体" w:hAnsi="宋体"/>
          <w:color w:val="auto"/>
          <w:szCs w:val="21"/>
          <w:highlight w:val="none"/>
        </w:rPr>
        <w:t>。</w:t>
      </w:r>
    </w:p>
    <w:p>
      <w:pPr>
        <w:spacing w:line="360" w:lineRule="auto"/>
        <w:ind w:firstLine="411" w:firstLineChars="196"/>
        <w:rPr>
          <w:rFonts w:ascii="宋体" w:hAnsi="宋体"/>
          <w:bCs/>
          <w:color w:val="auto"/>
          <w:szCs w:val="21"/>
          <w:highlight w:val="none"/>
        </w:rPr>
      </w:pPr>
      <w:r>
        <w:rPr>
          <w:rFonts w:hint="eastAsia" w:ascii="宋体" w:hAnsi="宋体"/>
          <w:bCs/>
          <w:color w:val="auto"/>
          <w:szCs w:val="21"/>
          <w:highlight w:val="none"/>
        </w:rPr>
        <w:t>工程施工质量标准</w:t>
      </w:r>
      <w:r>
        <w:rPr>
          <w:rFonts w:ascii="宋体" w:hAnsi="宋体"/>
          <w:bCs/>
          <w:color w:val="auto"/>
          <w:szCs w:val="21"/>
          <w:highlight w:val="none"/>
        </w:rPr>
        <w:t>：</w:t>
      </w:r>
      <w:r>
        <w:rPr>
          <w:rFonts w:ascii="宋体" w:hAnsi="宋体"/>
          <w:color w:val="auto"/>
          <w:szCs w:val="21"/>
          <w:highlight w:val="none"/>
          <w:u w:val="single"/>
        </w:rPr>
        <w:t>　 </w:t>
      </w:r>
      <w:r>
        <w:rPr>
          <w:rFonts w:hint="eastAsia" w:ascii="宋体" w:hAnsi="宋体"/>
          <w:color w:val="auto"/>
          <w:szCs w:val="21"/>
          <w:highlight w:val="none"/>
          <w:u w:val="single"/>
        </w:rPr>
        <w:t xml:space="preserve">                 </w:t>
      </w:r>
      <w:r>
        <w:rPr>
          <w:rFonts w:ascii="宋体" w:hAnsi="宋体"/>
          <w:color w:val="auto"/>
          <w:szCs w:val="21"/>
          <w:highlight w:val="none"/>
          <w:u w:val="single"/>
        </w:rPr>
        <w:t></w:t>
      </w:r>
      <w:r>
        <w:rPr>
          <w:rFonts w:ascii="宋体" w:hAnsi="宋体"/>
          <w:color w:val="auto"/>
          <w:szCs w:val="21"/>
          <w:highlight w:val="none"/>
        </w:rPr>
        <w:t>。</w:t>
      </w:r>
    </w:p>
    <w:p>
      <w:pPr>
        <w:spacing w:line="360" w:lineRule="auto"/>
        <w:rPr>
          <w:rFonts w:ascii="宋体" w:hAnsi="宋体"/>
          <w:color w:val="auto"/>
          <w:szCs w:val="21"/>
          <w:highlight w:val="none"/>
        </w:rPr>
      </w:pPr>
      <w:r>
        <w:rPr>
          <w:rFonts w:ascii="宋体" w:hAnsi="宋体"/>
          <w:color w:val="auto"/>
          <w:szCs w:val="21"/>
          <w:highlight w:val="none"/>
        </w:rPr>
        <w:t xml:space="preserve">    </w:t>
      </w:r>
      <w:r>
        <w:rPr>
          <w:rFonts w:hint="eastAsia" w:ascii="宋体" w:hAnsi="宋体"/>
          <w:color w:val="auto"/>
          <w:szCs w:val="21"/>
          <w:highlight w:val="none"/>
        </w:rPr>
        <w:t>五</w:t>
      </w:r>
      <w:r>
        <w:rPr>
          <w:rFonts w:ascii="宋体" w:hAnsi="宋体"/>
          <w:color w:val="auto"/>
          <w:szCs w:val="21"/>
          <w:highlight w:val="none"/>
        </w:rPr>
        <w:t>、</w:t>
      </w:r>
      <w:r>
        <w:rPr>
          <w:rFonts w:hint="eastAsia" w:ascii="宋体" w:hAnsi="宋体"/>
          <w:color w:val="auto"/>
          <w:szCs w:val="21"/>
          <w:highlight w:val="none"/>
        </w:rPr>
        <w:t>合同价格和付款货币</w:t>
      </w:r>
      <w:r>
        <w:rPr>
          <w:rFonts w:ascii="宋体" w:hAnsi="宋体"/>
          <w:color w:val="auto"/>
          <w:szCs w:val="21"/>
          <w:highlight w:val="none"/>
        </w:rPr>
        <w:tab/>
      </w:r>
    </w:p>
    <w:p>
      <w:pPr>
        <w:spacing w:line="360" w:lineRule="auto"/>
        <w:ind w:firstLine="420" w:firstLineChars="200"/>
        <w:rPr>
          <w:rFonts w:ascii="宋体" w:hAnsi="宋体"/>
          <w:color w:val="auto"/>
          <w:szCs w:val="21"/>
          <w:highlight w:val="none"/>
        </w:rPr>
      </w:pPr>
      <w:r>
        <w:rPr>
          <w:rFonts w:ascii="宋体" w:hAnsi="宋体"/>
          <w:color w:val="auto"/>
          <w:szCs w:val="21"/>
          <w:highlight w:val="none"/>
        </w:rPr>
        <w:t>合同</w:t>
      </w:r>
      <w:r>
        <w:rPr>
          <w:rFonts w:hint="eastAsia" w:ascii="宋体" w:hAnsi="宋体"/>
          <w:color w:val="auto"/>
          <w:szCs w:val="21"/>
          <w:highlight w:val="none"/>
        </w:rPr>
        <w:t>价格为</w:t>
      </w:r>
      <w:r>
        <w:rPr>
          <w:rFonts w:ascii="宋体" w:hAnsi="宋体"/>
          <w:color w:val="auto"/>
          <w:szCs w:val="21"/>
          <w:highlight w:val="none"/>
        </w:rPr>
        <w:t>人民币（大写）</w:t>
      </w:r>
      <w:r>
        <w:rPr>
          <w:rFonts w:ascii="宋体" w:hAnsi="宋体"/>
          <w:color w:val="auto"/>
          <w:szCs w:val="21"/>
          <w:highlight w:val="none"/>
          <w:u w:val="single"/>
        </w:rPr>
        <w:t xml:space="preserve">          </w:t>
      </w:r>
      <w:r>
        <w:rPr>
          <w:rFonts w:hint="eastAsia" w:ascii="宋体" w:hAnsi="宋体"/>
          <w:color w:val="auto"/>
          <w:szCs w:val="21"/>
          <w:highlight w:val="none"/>
          <w:u w:val="single"/>
        </w:rPr>
        <w:t xml:space="preserve">      </w:t>
      </w:r>
      <w:r>
        <w:rPr>
          <w:rFonts w:ascii="宋体" w:hAnsi="宋体"/>
          <w:color w:val="auto"/>
          <w:szCs w:val="21"/>
          <w:highlight w:val="none"/>
          <w:u w:val="single"/>
        </w:rPr>
        <w:t xml:space="preserve">     </w:t>
      </w:r>
      <w:r>
        <w:rPr>
          <w:rFonts w:hint="eastAsia" w:ascii="宋体" w:hAnsi="宋体"/>
          <w:color w:val="auto"/>
          <w:szCs w:val="21"/>
          <w:highlight w:val="none"/>
        </w:rPr>
        <w:t>元</w:t>
      </w:r>
      <w:r>
        <w:rPr>
          <w:rFonts w:ascii="宋体" w:hAnsi="宋体"/>
          <w:color w:val="auto"/>
          <w:szCs w:val="21"/>
          <w:highlight w:val="none"/>
        </w:rPr>
        <w:t>(</w:t>
      </w:r>
      <w:r>
        <w:rPr>
          <w:rFonts w:hint="eastAsia" w:ascii="宋体" w:hAnsi="宋体"/>
          <w:color w:val="auto"/>
          <w:szCs w:val="21"/>
          <w:highlight w:val="none"/>
        </w:rPr>
        <w:t>小写金额：</w:t>
      </w:r>
      <w:r>
        <w:rPr>
          <w:rFonts w:ascii="宋体" w:hAnsi="宋体"/>
          <w:color w:val="auto"/>
          <w:szCs w:val="21"/>
          <w:highlight w:val="none"/>
          <w:u w:val="single"/>
        </w:rPr>
        <w:t xml:space="preserve">  </w:t>
      </w:r>
      <w:r>
        <w:rPr>
          <w:rFonts w:hint="eastAsia" w:ascii="宋体" w:hAnsi="宋体"/>
          <w:color w:val="auto"/>
          <w:szCs w:val="21"/>
          <w:highlight w:val="none"/>
          <w:u w:val="single"/>
        </w:rPr>
        <w:t xml:space="preserve">    </w:t>
      </w:r>
      <w:r>
        <w:rPr>
          <w:rFonts w:ascii="宋体" w:hAnsi="宋体"/>
          <w:color w:val="auto"/>
          <w:szCs w:val="21"/>
          <w:highlight w:val="none"/>
          <w:u w:val="single"/>
        </w:rPr>
        <w:t xml:space="preserve"> </w:t>
      </w:r>
      <w:r>
        <w:rPr>
          <w:rFonts w:ascii="宋体" w:hAnsi="宋体"/>
          <w:color w:val="auto"/>
          <w:szCs w:val="21"/>
          <w:highlight w:val="none"/>
        </w:rPr>
        <w:t>元)；</w:t>
      </w:r>
    </w:p>
    <w:p>
      <w:pPr>
        <w:spacing w:line="360" w:lineRule="auto"/>
        <w:rPr>
          <w:rFonts w:ascii="宋体" w:hAnsi="宋体"/>
          <w:color w:val="auto"/>
          <w:szCs w:val="21"/>
          <w:highlight w:val="none"/>
        </w:rPr>
      </w:pPr>
      <w:r>
        <w:rPr>
          <w:rFonts w:ascii="宋体" w:hAnsi="宋体"/>
          <w:color w:val="auto"/>
          <w:szCs w:val="21"/>
          <w:highlight w:val="none"/>
        </w:rPr>
        <w:t xml:space="preserve">    </w:t>
      </w:r>
      <w:r>
        <w:rPr>
          <w:rFonts w:hint="eastAsia" w:ascii="宋体" w:hAnsi="宋体"/>
          <w:color w:val="auto"/>
          <w:szCs w:val="21"/>
          <w:highlight w:val="none"/>
        </w:rPr>
        <w:t>六</w:t>
      </w:r>
      <w:r>
        <w:rPr>
          <w:rFonts w:ascii="宋体" w:hAnsi="宋体"/>
          <w:color w:val="auto"/>
          <w:szCs w:val="21"/>
          <w:highlight w:val="none"/>
        </w:rPr>
        <w:t>、</w:t>
      </w:r>
      <w:r>
        <w:rPr>
          <w:rFonts w:hint="eastAsia" w:ascii="宋体" w:hAnsi="宋体"/>
          <w:color w:val="auto"/>
          <w:szCs w:val="21"/>
          <w:highlight w:val="none"/>
        </w:rPr>
        <w:t>定义与解释</w:t>
      </w:r>
    </w:p>
    <w:p>
      <w:pPr>
        <w:spacing w:line="360" w:lineRule="auto"/>
        <w:rPr>
          <w:rFonts w:hint="eastAsia" w:ascii="宋体" w:hAnsi="宋体"/>
          <w:color w:val="auto"/>
          <w:szCs w:val="21"/>
          <w:highlight w:val="none"/>
        </w:rPr>
      </w:pPr>
      <w:r>
        <w:rPr>
          <w:rFonts w:hint="eastAsia" w:ascii="宋体" w:hAnsi="宋体"/>
          <w:color w:val="auto"/>
          <w:szCs w:val="21"/>
          <w:highlight w:val="none"/>
        </w:rPr>
        <w:t>本协议书中有关词语的含义与通用条款中赋予的定义与解释相同。</w:t>
      </w:r>
    </w:p>
    <w:p>
      <w:pPr>
        <w:spacing w:line="360" w:lineRule="auto"/>
        <w:rPr>
          <w:rFonts w:hint="eastAsia" w:ascii="宋体" w:hAnsi="宋体"/>
          <w:color w:val="auto"/>
          <w:szCs w:val="21"/>
          <w:highlight w:val="none"/>
        </w:rPr>
      </w:pPr>
      <w:r>
        <w:rPr>
          <w:rFonts w:ascii="宋体" w:hAnsi="宋体"/>
          <w:color w:val="auto"/>
          <w:szCs w:val="21"/>
          <w:highlight w:val="none"/>
        </w:rPr>
        <w:t xml:space="preserve">   </w:t>
      </w:r>
      <w:r>
        <w:rPr>
          <w:rFonts w:hint="eastAsia" w:ascii="宋体" w:hAnsi="宋体"/>
          <w:color w:val="auto"/>
          <w:szCs w:val="21"/>
          <w:highlight w:val="none"/>
        </w:rPr>
        <w:t>七</w:t>
      </w:r>
      <w:r>
        <w:rPr>
          <w:rFonts w:ascii="宋体" w:hAnsi="宋体"/>
          <w:color w:val="auto"/>
          <w:szCs w:val="21"/>
          <w:highlight w:val="none"/>
        </w:rPr>
        <w:t>、合同</w:t>
      </w:r>
      <w:r>
        <w:rPr>
          <w:rFonts w:hint="eastAsia" w:ascii="宋体" w:hAnsi="宋体"/>
          <w:color w:val="auto"/>
          <w:szCs w:val="21"/>
          <w:highlight w:val="none"/>
        </w:rPr>
        <w:t>生效</w:t>
      </w:r>
    </w:p>
    <w:p>
      <w:pPr>
        <w:spacing w:line="360" w:lineRule="auto"/>
        <w:ind w:firstLine="420" w:firstLineChars="200"/>
        <w:rPr>
          <w:rFonts w:ascii="宋体" w:hAnsi="宋体"/>
          <w:bCs/>
          <w:color w:val="auto"/>
          <w:szCs w:val="21"/>
          <w:highlight w:val="none"/>
        </w:rPr>
      </w:pPr>
      <w:r>
        <w:rPr>
          <w:rFonts w:ascii="宋体" w:hAnsi="宋体"/>
          <w:bCs/>
          <w:color w:val="auto"/>
          <w:szCs w:val="21"/>
          <w:highlight w:val="none"/>
        </w:rPr>
        <w:t>本合同</w:t>
      </w:r>
      <w:r>
        <w:rPr>
          <w:rFonts w:hint="eastAsia" w:ascii="宋体" w:hAnsi="宋体"/>
          <w:bCs/>
          <w:color w:val="auto"/>
          <w:szCs w:val="21"/>
          <w:highlight w:val="none"/>
        </w:rPr>
        <w:t>在以下条件全部满足之后生效：</w:t>
      </w:r>
      <w:r>
        <w:rPr>
          <w:rFonts w:ascii="宋体" w:hAnsi="宋体"/>
          <w:bCs/>
          <w:color w:val="auto"/>
          <w:szCs w:val="21"/>
          <w:highlight w:val="none"/>
          <w:u w:val="single"/>
        </w:rPr>
        <w:t xml:space="preserve">                                  </w:t>
      </w:r>
    </w:p>
    <w:p>
      <w:pPr>
        <w:spacing w:line="360" w:lineRule="auto"/>
        <w:ind w:firstLine="420" w:firstLineChars="200"/>
        <w:rPr>
          <w:rFonts w:ascii="宋体" w:hAnsi="宋体"/>
          <w:bCs/>
          <w:color w:val="auto"/>
          <w:szCs w:val="21"/>
          <w:highlight w:val="none"/>
        </w:rPr>
      </w:pPr>
      <w:r>
        <w:rPr>
          <w:rFonts w:ascii="宋体" w:hAnsi="宋体"/>
          <w:color w:val="auto"/>
          <w:szCs w:val="21"/>
          <w:highlight w:val="none"/>
        </w:rPr>
        <w:t xml:space="preserve">   </w:t>
      </w:r>
    </w:p>
    <w:p>
      <w:pPr>
        <w:spacing w:line="360" w:lineRule="auto"/>
        <w:rPr>
          <w:rFonts w:ascii="宋体" w:hAnsi="宋体"/>
          <w:color w:val="auto"/>
          <w:szCs w:val="21"/>
          <w:highlight w:val="none"/>
        </w:rPr>
      </w:pPr>
    </w:p>
    <w:p>
      <w:pPr>
        <w:spacing w:line="360" w:lineRule="auto"/>
        <w:ind w:left="902" w:leftChars="135" w:hanging="619" w:hangingChars="295"/>
        <w:rPr>
          <w:rFonts w:ascii="宋体" w:hAnsi="宋体"/>
          <w:color w:val="auto"/>
          <w:szCs w:val="21"/>
          <w:highlight w:val="none"/>
        </w:rPr>
      </w:pPr>
      <w:r>
        <w:rPr>
          <w:rFonts w:ascii="宋体" w:hAnsi="宋体"/>
          <w:color w:val="auto"/>
          <w:szCs w:val="21"/>
          <w:highlight w:val="none"/>
        </w:rPr>
        <w:t xml:space="preserve">发包人： </w:t>
      </w:r>
      <w:r>
        <w:rPr>
          <w:rFonts w:hint="eastAsia" w:ascii="宋体" w:hAnsi="宋体"/>
          <w:color w:val="auto"/>
          <w:szCs w:val="21"/>
          <w:highlight w:val="none"/>
        </w:rPr>
        <w:t xml:space="preserve">                       </w:t>
      </w:r>
      <w:r>
        <w:rPr>
          <w:rFonts w:ascii="宋体" w:hAnsi="宋体"/>
          <w:color w:val="auto"/>
          <w:szCs w:val="21"/>
          <w:highlight w:val="none"/>
        </w:rPr>
        <w:t xml:space="preserve">承包人： </w:t>
      </w:r>
    </w:p>
    <w:p>
      <w:pPr>
        <w:spacing w:line="360" w:lineRule="auto"/>
        <w:ind w:left="902" w:leftChars="135" w:hanging="619" w:hangingChars="295"/>
        <w:rPr>
          <w:rFonts w:ascii="宋体" w:hAnsi="宋体"/>
          <w:color w:val="auto"/>
          <w:szCs w:val="21"/>
          <w:highlight w:val="none"/>
          <w:u w:val="single"/>
        </w:rPr>
      </w:pPr>
      <w:r>
        <w:rPr>
          <w:rFonts w:ascii="宋体" w:hAnsi="宋体"/>
          <w:color w:val="auto"/>
          <w:szCs w:val="21"/>
          <w:highlight w:val="none"/>
        </w:rPr>
        <w:t xml:space="preserve"> (公章</w:t>
      </w:r>
      <w:r>
        <w:rPr>
          <w:rFonts w:hint="eastAsia" w:ascii="宋体" w:hAnsi="宋体"/>
          <w:color w:val="auto"/>
          <w:szCs w:val="21"/>
          <w:highlight w:val="none"/>
        </w:rPr>
        <w:t>或合同专用章</w:t>
      </w:r>
      <w:r>
        <w:rPr>
          <w:rFonts w:ascii="宋体" w:hAnsi="宋体"/>
          <w:color w:val="auto"/>
          <w:szCs w:val="21"/>
          <w:highlight w:val="none"/>
        </w:rPr>
        <w:t>)             (公章</w:t>
      </w:r>
      <w:r>
        <w:rPr>
          <w:rFonts w:hint="eastAsia" w:ascii="宋体" w:hAnsi="宋体"/>
          <w:color w:val="auto"/>
          <w:szCs w:val="21"/>
          <w:highlight w:val="none"/>
        </w:rPr>
        <w:t>或合同专用章</w:t>
      </w:r>
      <w:r>
        <w:rPr>
          <w:rFonts w:ascii="宋体" w:hAnsi="宋体"/>
          <w:color w:val="auto"/>
          <w:szCs w:val="21"/>
          <w:highlight w:val="none"/>
        </w:rPr>
        <w:t xml:space="preserve">)                                 </w:t>
      </w:r>
    </w:p>
    <w:p>
      <w:pPr>
        <w:spacing w:line="360" w:lineRule="auto"/>
        <w:ind w:left="902" w:leftChars="135" w:hanging="619" w:hangingChars="295"/>
        <w:rPr>
          <w:rFonts w:ascii="宋体" w:hAnsi="宋体"/>
          <w:color w:val="auto"/>
          <w:szCs w:val="21"/>
          <w:highlight w:val="none"/>
        </w:rPr>
      </w:pPr>
      <w:r>
        <w:rPr>
          <w:rFonts w:ascii="宋体" w:hAnsi="宋体"/>
          <w:color w:val="auto"/>
          <w:szCs w:val="21"/>
          <w:highlight w:val="none"/>
        </w:rPr>
        <w:t>法定代表人或其</w:t>
      </w:r>
      <w:r>
        <w:rPr>
          <w:rFonts w:hint="eastAsia" w:ascii="宋体" w:hAnsi="宋体"/>
          <w:color w:val="auto"/>
          <w:szCs w:val="21"/>
          <w:highlight w:val="none"/>
        </w:rPr>
        <w:t>授权代表</w:t>
      </w:r>
      <w:r>
        <w:rPr>
          <w:rFonts w:ascii="宋体" w:hAnsi="宋体"/>
          <w:color w:val="auto"/>
          <w:szCs w:val="21"/>
          <w:highlight w:val="none"/>
        </w:rPr>
        <w:t xml:space="preserve">： </w:t>
      </w:r>
      <w:r>
        <w:rPr>
          <w:rFonts w:hint="eastAsia" w:ascii="宋体" w:hAnsi="宋体"/>
          <w:color w:val="auto"/>
          <w:szCs w:val="21"/>
          <w:highlight w:val="none"/>
        </w:rPr>
        <w:t xml:space="preserve">       </w:t>
      </w:r>
      <w:r>
        <w:rPr>
          <w:rFonts w:ascii="宋体" w:hAnsi="宋体"/>
          <w:color w:val="auto"/>
          <w:szCs w:val="21"/>
          <w:highlight w:val="none"/>
        </w:rPr>
        <w:t xml:space="preserve"> 法定代表人或其</w:t>
      </w:r>
      <w:r>
        <w:rPr>
          <w:rFonts w:hint="eastAsia" w:ascii="宋体" w:hAnsi="宋体"/>
          <w:color w:val="auto"/>
          <w:szCs w:val="21"/>
          <w:highlight w:val="none"/>
        </w:rPr>
        <w:t>授权代表</w:t>
      </w:r>
      <w:r>
        <w:rPr>
          <w:rFonts w:ascii="宋体" w:hAnsi="宋体"/>
          <w:color w:val="auto"/>
          <w:szCs w:val="21"/>
          <w:highlight w:val="none"/>
        </w:rPr>
        <w:t>：</w:t>
      </w:r>
    </w:p>
    <w:p>
      <w:pPr>
        <w:spacing w:line="360" w:lineRule="auto"/>
        <w:ind w:left="902" w:leftChars="135" w:hanging="619" w:hangingChars="295"/>
        <w:rPr>
          <w:rFonts w:ascii="宋体" w:hAnsi="宋体"/>
          <w:color w:val="auto"/>
          <w:szCs w:val="21"/>
          <w:highlight w:val="none"/>
        </w:rPr>
      </w:pPr>
      <w:r>
        <w:rPr>
          <w:rFonts w:ascii="宋体" w:hAnsi="宋体"/>
          <w:color w:val="auto"/>
          <w:szCs w:val="21"/>
          <w:highlight w:val="none"/>
        </w:rPr>
        <w:t xml:space="preserve">（签字）                  </w:t>
      </w:r>
      <w:r>
        <w:rPr>
          <w:rFonts w:hint="eastAsia" w:ascii="宋体" w:hAnsi="宋体"/>
          <w:color w:val="auto"/>
          <w:szCs w:val="21"/>
          <w:highlight w:val="none"/>
        </w:rPr>
        <w:t xml:space="preserve">     </w:t>
      </w:r>
      <w:r>
        <w:rPr>
          <w:rFonts w:ascii="宋体" w:hAnsi="宋体"/>
          <w:color w:val="auto"/>
          <w:szCs w:val="21"/>
          <w:highlight w:val="none"/>
        </w:rPr>
        <w:t xml:space="preserve">  （签字）</w:t>
      </w:r>
    </w:p>
    <w:p>
      <w:pPr>
        <w:spacing w:line="360" w:lineRule="auto"/>
        <w:ind w:left="902" w:leftChars="135" w:hanging="619" w:hangingChars="295"/>
        <w:rPr>
          <w:rFonts w:ascii="宋体" w:hAnsi="宋体"/>
          <w:color w:val="auto"/>
          <w:szCs w:val="21"/>
          <w:highlight w:val="none"/>
          <w:u w:val="single"/>
        </w:rPr>
      </w:pPr>
    </w:p>
    <w:p>
      <w:pPr>
        <w:tabs>
          <w:tab w:val="left" w:pos="4410"/>
        </w:tabs>
        <w:spacing w:line="360" w:lineRule="auto"/>
        <w:ind w:left="902" w:leftChars="135" w:hanging="619" w:hangingChars="295"/>
        <w:rPr>
          <w:rFonts w:ascii="宋体" w:hAnsi="宋体"/>
          <w:color w:val="auto"/>
          <w:szCs w:val="21"/>
          <w:highlight w:val="none"/>
        </w:rPr>
      </w:pPr>
      <w:r>
        <w:rPr>
          <w:rFonts w:hint="eastAsia" w:ascii="宋体" w:hAnsi="宋体"/>
          <w:color w:val="auto"/>
          <w:szCs w:val="21"/>
          <w:highlight w:val="none"/>
        </w:rPr>
        <w:t>工商注册住所</w:t>
      </w:r>
      <w:r>
        <w:rPr>
          <w:rFonts w:ascii="宋体" w:hAnsi="宋体"/>
          <w:color w:val="auto"/>
          <w:szCs w:val="21"/>
          <w:highlight w:val="none"/>
        </w:rPr>
        <w:t>：</w:t>
      </w:r>
      <w:r>
        <w:rPr>
          <w:rFonts w:ascii="宋体" w:hAnsi="宋体"/>
          <w:color w:val="auto"/>
          <w:szCs w:val="21"/>
          <w:highlight w:val="none"/>
          <w:u w:val="single"/>
        </w:rPr>
        <w:t xml:space="preserve">       </w:t>
      </w:r>
      <w:r>
        <w:rPr>
          <w:rFonts w:ascii="宋体" w:hAnsi="宋体"/>
          <w:color w:val="auto"/>
          <w:szCs w:val="21"/>
          <w:highlight w:val="none"/>
        </w:rPr>
        <w:t xml:space="preserve">  </w:t>
      </w:r>
      <w:r>
        <w:rPr>
          <w:rFonts w:hint="eastAsia" w:ascii="宋体" w:hAnsi="宋体"/>
          <w:color w:val="auto"/>
          <w:szCs w:val="21"/>
          <w:highlight w:val="none"/>
        </w:rPr>
        <w:t>工商注册住所</w:t>
      </w:r>
      <w:r>
        <w:rPr>
          <w:rFonts w:ascii="宋体" w:hAnsi="宋体"/>
          <w:color w:val="auto"/>
          <w:szCs w:val="21"/>
          <w:highlight w:val="none"/>
        </w:rPr>
        <w:t>：</w:t>
      </w:r>
      <w:r>
        <w:rPr>
          <w:rFonts w:ascii="宋体" w:hAnsi="宋体"/>
          <w:color w:val="auto"/>
          <w:szCs w:val="21"/>
          <w:highlight w:val="none"/>
          <w:u w:val="single"/>
        </w:rPr>
        <w:t xml:space="preserve">         </w:t>
      </w:r>
      <w:r>
        <w:rPr>
          <w:rFonts w:ascii="宋体" w:hAnsi="宋体"/>
          <w:color w:val="auto"/>
          <w:szCs w:val="21"/>
          <w:highlight w:val="none"/>
        </w:rPr>
        <w:t xml:space="preserve"> </w:t>
      </w:r>
    </w:p>
    <w:p>
      <w:pPr>
        <w:tabs>
          <w:tab w:val="left" w:pos="4410"/>
        </w:tabs>
        <w:spacing w:line="360" w:lineRule="auto"/>
        <w:ind w:left="902" w:leftChars="135" w:hanging="619" w:hangingChars="295"/>
        <w:rPr>
          <w:rFonts w:ascii="宋体" w:hAnsi="宋体"/>
          <w:color w:val="auto"/>
          <w:szCs w:val="21"/>
          <w:highlight w:val="none"/>
        </w:rPr>
      </w:pPr>
      <w:r>
        <w:rPr>
          <w:rFonts w:hint="eastAsia" w:ascii="宋体" w:hAnsi="宋体"/>
          <w:color w:val="auto"/>
          <w:szCs w:val="21"/>
          <w:highlight w:val="none"/>
        </w:rPr>
        <w:t>企业</w:t>
      </w:r>
      <w:r>
        <w:rPr>
          <w:rFonts w:ascii="宋体" w:hAnsi="宋体"/>
          <w:color w:val="auto"/>
          <w:szCs w:val="21"/>
          <w:highlight w:val="none"/>
        </w:rPr>
        <w:t>组织机构代码：</w:t>
      </w:r>
      <w:r>
        <w:rPr>
          <w:rFonts w:ascii="宋体" w:hAnsi="宋体"/>
          <w:color w:val="auto"/>
          <w:szCs w:val="21"/>
          <w:highlight w:val="none"/>
          <w:u w:val="single"/>
        </w:rPr>
        <w:t xml:space="preserve">    </w:t>
      </w:r>
      <w:r>
        <w:rPr>
          <w:rFonts w:ascii="宋体" w:hAnsi="宋体"/>
          <w:color w:val="auto"/>
          <w:szCs w:val="21"/>
          <w:highlight w:val="none"/>
        </w:rPr>
        <w:t xml:space="preserve"> </w:t>
      </w:r>
      <w:r>
        <w:rPr>
          <w:rFonts w:hint="eastAsia" w:ascii="宋体" w:hAnsi="宋体"/>
          <w:color w:val="auto"/>
          <w:szCs w:val="21"/>
          <w:highlight w:val="none"/>
        </w:rPr>
        <w:t>企业</w:t>
      </w:r>
      <w:r>
        <w:rPr>
          <w:rFonts w:ascii="宋体" w:hAnsi="宋体"/>
          <w:color w:val="auto"/>
          <w:szCs w:val="21"/>
          <w:highlight w:val="none"/>
        </w:rPr>
        <w:t>组织机构代码：</w:t>
      </w:r>
      <w:r>
        <w:rPr>
          <w:rFonts w:ascii="宋体" w:hAnsi="宋体"/>
          <w:color w:val="auto"/>
          <w:szCs w:val="21"/>
          <w:highlight w:val="none"/>
          <w:u w:val="single"/>
        </w:rPr>
        <w:t xml:space="preserve">         </w:t>
      </w:r>
      <w:r>
        <w:rPr>
          <w:rFonts w:ascii="宋体" w:hAnsi="宋体"/>
          <w:color w:val="auto"/>
          <w:szCs w:val="21"/>
          <w:highlight w:val="none"/>
        </w:rPr>
        <w:t xml:space="preserve"> </w:t>
      </w:r>
    </w:p>
    <w:p>
      <w:pPr>
        <w:spacing w:line="360" w:lineRule="auto"/>
        <w:ind w:left="902" w:leftChars="135" w:hanging="619" w:hangingChars="295"/>
        <w:rPr>
          <w:rFonts w:ascii="宋体" w:hAnsi="宋体"/>
          <w:color w:val="auto"/>
          <w:szCs w:val="21"/>
          <w:highlight w:val="none"/>
        </w:rPr>
      </w:pPr>
      <w:r>
        <w:rPr>
          <w:rFonts w:ascii="宋体" w:hAnsi="宋体"/>
          <w:color w:val="auto"/>
          <w:szCs w:val="21"/>
          <w:highlight w:val="none"/>
        </w:rPr>
        <w:t>邮政编码：</w:t>
      </w:r>
      <w:r>
        <w:rPr>
          <w:rFonts w:ascii="宋体" w:hAnsi="宋体"/>
          <w:color w:val="auto"/>
          <w:szCs w:val="21"/>
          <w:highlight w:val="none"/>
          <w:u w:val="single"/>
        </w:rPr>
        <w:t xml:space="preserve">      </w:t>
      </w:r>
      <w:r>
        <w:rPr>
          <w:rFonts w:ascii="宋体" w:hAnsi="宋体"/>
          <w:color w:val="auto"/>
          <w:szCs w:val="21"/>
          <w:highlight w:val="none"/>
        </w:rPr>
        <w:t xml:space="preserve">  邮政编码：</w:t>
      </w:r>
      <w:r>
        <w:rPr>
          <w:rFonts w:ascii="宋体" w:hAnsi="宋体"/>
          <w:color w:val="auto"/>
          <w:szCs w:val="21"/>
          <w:highlight w:val="none"/>
          <w:u w:val="single"/>
        </w:rPr>
        <w:t xml:space="preserve">   </w:t>
      </w:r>
    </w:p>
    <w:p>
      <w:pPr>
        <w:spacing w:line="360" w:lineRule="auto"/>
        <w:ind w:left="902" w:leftChars="135" w:hanging="619" w:hangingChars="295"/>
        <w:rPr>
          <w:rFonts w:ascii="宋体" w:hAnsi="宋体"/>
          <w:color w:val="auto"/>
          <w:szCs w:val="21"/>
          <w:highlight w:val="none"/>
        </w:rPr>
      </w:pPr>
      <w:r>
        <w:rPr>
          <w:rFonts w:ascii="宋体" w:hAnsi="宋体"/>
          <w:color w:val="auto"/>
          <w:szCs w:val="21"/>
          <w:highlight w:val="none"/>
        </w:rPr>
        <w:t>法定代表人：</w:t>
      </w:r>
      <w:r>
        <w:rPr>
          <w:rFonts w:ascii="宋体" w:hAnsi="宋体"/>
          <w:color w:val="auto"/>
          <w:szCs w:val="21"/>
          <w:highlight w:val="none"/>
          <w:u w:val="single"/>
        </w:rPr>
        <w:t xml:space="preserve">        </w:t>
      </w:r>
      <w:r>
        <w:rPr>
          <w:rFonts w:hint="eastAsia" w:ascii="宋体" w:hAnsi="宋体"/>
          <w:color w:val="auto"/>
          <w:szCs w:val="21"/>
          <w:highlight w:val="none"/>
          <w:u w:val="single"/>
        </w:rPr>
        <w:t xml:space="preserve">    </w:t>
      </w:r>
      <w:r>
        <w:rPr>
          <w:rFonts w:ascii="宋体" w:hAnsi="宋体"/>
          <w:color w:val="auto"/>
          <w:szCs w:val="21"/>
          <w:highlight w:val="none"/>
          <w:u w:val="single"/>
        </w:rPr>
        <w:t xml:space="preserve">  </w:t>
      </w:r>
      <w:r>
        <w:rPr>
          <w:rFonts w:ascii="宋体" w:hAnsi="宋体"/>
          <w:color w:val="auto"/>
          <w:szCs w:val="21"/>
          <w:highlight w:val="none"/>
        </w:rPr>
        <w:t xml:space="preserve">  法定代表人：</w:t>
      </w:r>
      <w:r>
        <w:rPr>
          <w:rFonts w:ascii="宋体" w:hAnsi="宋体"/>
          <w:color w:val="auto"/>
          <w:szCs w:val="21"/>
          <w:highlight w:val="none"/>
          <w:u w:val="single"/>
        </w:rPr>
        <w:t xml:space="preserve">            </w:t>
      </w:r>
    </w:p>
    <w:p>
      <w:pPr>
        <w:spacing w:line="360" w:lineRule="auto"/>
        <w:ind w:left="902" w:leftChars="135" w:hanging="619" w:hangingChars="295"/>
        <w:rPr>
          <w:rFonts w:ascii="宋体" w:hAnsi="宋体"/>
          <w:color w:val="auto"/>
          <w:szCs w:val="21"/>
          <w:highlight w:val="none"/>
        </w:rPr>
      </w:pPr>
      <w:r>
        <w:rPr>
          <w:rFonts w:hint="eastAsia" w:ascii="宋体" w:hAnsi="宋体"/>
          <w:color w:val="auto"/>
          <w:szCs w:val="21"/>
          <w:highlight w:val="none"/>
        </w:rPr>
        <w:t>授权代表</w:t>
      </w:r>
      <w:r>
        <w:rPr>
          <w:rFonts w:ascii="宋体" w:hAnsi="宋体"/>
          <w:color w:val="auto"/>
          <w:szCs w:val="21"/>
          <w:highlight w:val="none"/>
        </w:rPr>
        <w:t>：</w:t>
      </w:r>
      <w:r>
        <w:rPr>
          <w:rFonts w:ascii="宋体" w:hAnsi="宋体"/>
          <w:color w:val="auto"/>
          <w:szCs w:val="21"/>
          <w:highlight w:val="none"/>
          <w:u w:val="single"/>
        </w:rPr>
        <w:t xml:space="preserve">       </w:t>
      </w:r>
      <w:r>
        <w:rPr>
          <w:rFonts w:hint="eastAsia" w:ascii="宋体" w:hAnsi="宋体"/>
          <w:color w:val="auto"/>
          <w:szCs w:val="21"/>
          <w:highlight w:val="none"/>
          <w:u w:val="single"/>
        </w:rPr>
        <w:t xml:space="preserve">   </w:t>
      </w:r>
      <w:r>
        <w:rPr>
          <w:rFonts w:ascii="宋体" w:hAnsi="宋体"/>
          <w:color w:val="auto"/>
          <w:szCs w:val="21"/>
          <w:highlight w:val="none"/>
          <w:u w:val="single"/>
        </w:rPr>
        <w:t xml:space="preserve">    </w:t>
      </w:r>
      <w:r>
        <w:rPr>
          <w:rFonts w:ascii="宋体" w:hAnsi="宋体"/>
          <w:color w:val="auto"/>
          <w:szCs w:val="21"/>
          <w:highlight w:val="none"/>
        </w:rPr>
        <w:t xml:space="preserve">  </w:t>
      </w:r>
      <w:r>
        <w:rPr>
          <w:rFonts w:hint="eastAsia" w:ascii="宋体" w:hAnsi="宋体"/>
          <w:color w:val="auto"/>
          <w:szCs w:val="21"/>
          <w:highlight w:val="none"/>
        </w:rPr>
        <w:t>授权代表</w:t>
      </w:r>
      <w:r>
        <w:rPr>
          <w:rFonts w:ascii="宋体" w:hAnsi="宋体"/>
          <w:color w:val="auto"/>
          <w:szCs w:val="21"/>
          <w:highlight w:val="none"/>
        </w:rPr>
        <w:t>：</w:t>
      </w:r>
      <w:r>
        <w:rPr>
          <w:rFonts w:ascii="宋体" w:hAnsi="宋体"/>
          <w:color w:val="auto"/>
          <w:szCs w:val="21"/>
          <w:highlight w:val="none"/>
          <w:u w:val="single"/>
        </w:rPr>
        <w:t xml:space="preserve">             </w:t>
      </w:r>
    </w:p>
    <w:p>
      <w:pPr>
        <w:spacing w:line="360" w:lineRule="auto"/>
        <w:ind w:left="902" w:leftChars="135" w:hanging="619" w:hangingChars="295"/>
        <w:rPr>
          <w:rFonts w:ascii="宋体" w:hAnsi="宋体"/>
          <w:color w:val="auto"/>
          <w:szCs w:val="21"/>
          <w:highlight w:val="none"/>
        </w:rPr>
      </w:pPr>
      <w:r>
        <w:rPr>
          <w:rFonts w:ascii="宋体" w:hAnsi="宋体"/>
          <w:color w:val="auto"/>
          <w:szCs w:val="21"/>
          <w:highlight w:val="none"/>
        </w:rPr>
        <w:t>电  话：</w:t>
      </w:r>
      <w:r>
        <w:rPr>
          <w:rFonts w:ascii="宋体" w:hAnsi="宋体"/>
          <w:color w:val="auto"/>
          <w:szCs w:val="21"/>
          <w:highlight w:val="none"/>
          <w:u w:val="single"/>
        </w:rPr>
        <w:t xml:space="preserve">   </w:t>
      </w:r>
      <w:r>
        <w:rPr>
          <w:rFonts w:ascii="宋体" w:hAnsi="宋体"/>
          <w:color w:val="auto"/>
          <w:szCs w:val="21"/>
          <w:highlight w:val="none"/>
        </w:rPr>
        <w:t xml:space="preserve">  电  话：</w:t>
      </w:r>
      <w:r>
        <w:rPr>
          <w:rFonts w:ascii="宋体" w:hAnsi="宋体"/>
          <w:color w:val="auto"/>
          <w:szCs w:val="21"/>
          <w:highlight w:val="none"/>
          <w:u w:val="single"/>
        </w:rPr>
        <w:t xml:space="preserve">     </w:t>
      </w:r>
    </w:p>
    <w:p>
      <w:pPr>
        <w:spacing w:line="360" w:lineRule="auto"/>
        <w:ind w:left="902" w:leftChars="135" w:hanging="619" w:hangingChars="295"/>
        <w:rPr>
          <w:rFonts w:ascii="宋体" w:hAnsi="宋体"/>
          <w:color w:val="auto"/>
          <w:szCs w:val="21"/>
          <w:highlight w:val="none"/>
        </w:rPr>
      </w:pPr>
      <w:r>
        <w:rPr>
          <w:rFonts w:ascii="宋体" w:hAnsi="宋体"/>
          <w:color w:val="auto"/>
          <w:szCs w:val="21"/>
          <w:highlight w:val="none"/>
        </w:rPr>
        <w:t>传  真：</w:t>
      </w:r>
      <w:r>
        <w:rPr>
          <w:rFonts w:ascii="宋体" w:hAnsi="宋体"/>
          <w:color w:val="auto"/>
          <w:szCs w:val="21"/>
          <w:highlight w:val="none"/>
          <w:u w:val="single"/>
        </w:rPr>
        <w:t xml:space="preserve">   </w:t>
      </w:r>
      <w:r>
        <w:rPr>
          <w:rFonts w:ascii="宋体" w:hAnsi="宋体"/>
          <w:color w:val="auto"/>
          <w:szCs w:val="21"/>
          <w:highlight w:val="none"/>
        </w:rPr>
        <w:t xml:space="preserve">  传  真：</w:t>
      </w:r>
      <w:r>
        <w:rPr>
          <w:rFonts w:ascii="宋体" w:hAnsi="宋体"/>
          <w:color w:val="auto"/>
          <w:szCs w:val="21"/>
          <w:highlight w:val="none"/>
          <w:u w:val="single"/>
        </w:rPr>
        <w:t xml:space="preserve">     </w:t>
      </w:r>
    </w:p>
    <w:p>
      <w:pPr>
        <w:spacing w:line="360" w:lineRule="auto"/>
        <w:ind w:left="902" w:leftChars="135" w:hanging="619" w:hangingChars="295"/>
        <w:rPr>
          <w:rFonts w:ascii="宋体" w:hAnsi="宋体"/>
          <w:color w:val="auto"/>
          <w:szCs w:val="21"/>
          <w:highlight w:val="none"/>
        </w:rPr>
      </w:pPr>
      <w:r>
        <w:rPr>
          <w:rFonts w:ascii="宋体" w:hAnsi="宋体"/>
          <w:color w:val="auto"/>
          <w:szCs w:val="21"/>
          <w:highlight w:val="none"/>
        </w:rPr>
        <w:t>电子信箱：</w:t>
      </w:r>
      <w:r>
        <w:rPr>
          <w:rFonts w:ascii="宋体" w:hAnsi="宋体"/>
          <w:color w:val="auto"/>
          <w:szCs w:val="21"/>
          <w:highlight w:val="none"/>
          <w:u w:val="single"/>
        </w:rPr>
        <w:t xml:space="preserve">                 </w:t>
      </w:r>
      <w:r>
        <w:rPr>
          <w:rFonts w:ascii="宋体" w:hAnsi="宋体"/>
          <w:color w:val="auto"/>
          <w:szCs w:val="21"/>
          <w:highlight w:val="none"/>
        </w:rPr>
        <w:t xml:space="preserve">  电子信箱：</w:t>
      </w:r>
      <w:r>
        <w:rPr>
          <w:rFonts w:ascii="宋体" w:hAnsi="宋体"/>
          <w:color w:val="auto"/>
          <w:szCs w:val="21"/>
          <w:highlight w:val="none"/>
          <w:u w:val="single"/>
        </w:rPr>
        <w:t xml:space="preserve">   </w:t>
      </w:r>
    </w:p>
    <w:p>
      <w:pPr>
        <w:spacing w:line="360" w:lineRule="auto"/>
        <w:ind w:left="902" w:leftChars="135" w:hanging="619" w:hangingChars="295"/>
        <w:rPr>
          <w:rFonts w:ascii="宋体" w:hAnsi="宋体"/>
          <w:color w:val="auto"/>
          <w:szCs w:val="21"/>
          <w:highlight w:val="none"/>
        </w:rPr>
      </w:pPr>
      <w:r>
        <w:rPr>
          <w:rFonts w:ascii="宋体" w:hAnsi="宋体"/>
          <w:color w:val="auto"/>
          <w:szCs w:val="21"/>
          <w:highlight w:val="none"/>
        </w:rPr>
        <w:t>开户银行：</w:t>
      </w:r>
      <w:r>
        <w:rPr>
          <w:rFonts w:ascii="宋体" w:hAnsi="宋体"/>
          <w:color w:val="auto"/>
          <w:szCs w:val="21"/>
          <w:highlight w:val="none"/>
          <w:u w:val="single"/>
        </w:rPr>
        <w:t xml:space="preserve">   </w:t>
      </w:r>
      <w:r>
        <w:rPr>
          <w:rFonts w:ascii="宋体" w:hAnsi="宋体"/>
          <w:color w:val="auto"/>
          <w:szCs w:val="21"/>
          <w:highlight w:val="none"/>
        </w:rPr>
        <w:t xml:space="preserve">  开户银行：</w:t>
      </w:r>
      <w:r>
        <w:rPr>
          <w:rFonts w:ascii="宋体" w:hAnsi="宋体"/>
          <w:color w:val="auto"/>
          <w:szCs w:val="21"/>
          <w:highlight w:val="none"/>
          <w:u w:val="single"/>
        </w:rPr>
        <w:t xml:space="preserve">   </w:t>
      </w:r>
    </w:p>
    <w:p>
      <w:pPr>
        <w:spacing w:line="360" w:lineRule="auto"/>
        <w:ind w:left="902" w:leftChars="135" w:hanging="619" w:hangingChars="295"/>
        <w:rPr>
          <w:rFonts w:ascii="宋体" w:hAnsi="宋体"/>
          <w:color w:val="auto"/>
          <w:szCs w:val="21"/>
          <w:highlight w:val="none"/>
          <w:u w:val="single"/>
        </w:rPr>
      </w:pPr>
      <w:r>
        <w:rPr>
          <w:rFonts w:ascii="宋体" w:hAnsi="宋体"/>
          <w:color w:val="auto"/>
          <w:szCs w:val="21"/>
          <w:highlight w:val="none"/>
        </w:rPr>
        <w:t>账  号：</w:t>
      </w:r>
      <w:r>
        <w:rPr>
          <w:rFonts w:ascii="宋体" w:hAnsi="宋体"/>
          <w:color w:val="auto"/>
          <w:szCs w:val="21"/>
          <w:highlight w:val="none"/>
          <w:u w:val="single"/>
        </w:rPr>
        <w:t xml:space="preserve">       </w:t>
      </w:r>
      <w:r>
        <w:rPr>
          <w:rFonts w:ascii="宋体" w:hAnsi="宋体"/>
          <w:color w:val="auto"/>
          <w:szCs w:val="21"/>
          <w:highlight w:val="none"/>
        </w:rPr>
        <w:t xml:space="preserve">   账  号：</w:t>
      </w:r>
      <w:r>
        <w:rPr>
          <w:rFonts w:ascii="宋体" w:hAnsi="宋体"/>
          <w:color w:val="auto"/>
          <w:szCs w:val="21"/>
          <w:highlight w:val="none"/>
          <w:u w:val="single"/>
        </w:rPr>
        <w:t xml:space="preserve">     </w:t>
      </w:r>
    </w:p>
    <w:p>
      <w:pPr>
        <w:rPr>
          <w:rFonts w:hint="eastAsia"/>
          <w:bCs/>
          <w:color w:val="auto"/>
          <w:szCs w:val="21"/>
          <w:highlight w:val="none"/>
        </w:rPr>
      </w:pPr>
      <w:bookmarkStart w:id="114" w:name="_Toc17836"/>
      <w:bookmarkStart w:id="115" w:name="_Toc7190"/>
      <w:bookmarkStart w:id="116" w:name="_Toc15186"/>
    </w:p>
    <w:p>
      <w:pPr>
        <w:rPr>
          <w:rFonts w:hint="eastAsia"/>
          <w:bCs/>
          <w:color w:val="auto"/>
          <w:szCs w:val="21"/>
          <w:highlight w:val="none"/>
        </w:rPr>
      </w:pPr>
    </w:p>
    <w:p>
      <w:pPr>
        <w:rPr>
          <w:rFonts w:hint="eastAsia"/>
          <w:color w:val="auto"/>
          <w:highlight w:val="none"/>
        </w:rPr>
      </w:pPr>
      <w:r>
        <w:rPr>
          <w:rFonts w:hint="eastAsia"/>
          <w:bCs/>
          <w:color w:val="auto"/>
          <w:szCs w:val="21"/>
          <w:highlight w:val="none"/>
        </w:rPr>
        <w:t>合同订立时间：</w:t>
      </w:r>
      <w:r>
        <w:rPr>
          <w:rFonts w:hint="eastAsia"/>
          <w:color w:val="auto"/>
          <w:highlight w:val="none"/>
          <w:u w:val="single"/>
        </w:rPr>
        <w:t xml:space="preserve">     </w:t>
      </w:r>
      <w:r>
        <w:rPr>
          <w:rFonts w:hint="eastAsia"/>
          <w:bCs/>
          <w:color w:val="auto"/>
          <w:szCs w:val="21"/>
          <w:highlight w:val="none"/>
        </w:rPr>
        <w:t>年</w:t>
      </w:r>
      <w:r>
        <w:rPr>
          <w:rFonts w:hint="eastAsia"/>
          <w:color w:val="auto"/>
          <w:highlight w:val="none"/>
          <w:u w:val="single"/>
        </w:rPr>
        <w:t xml:space="preserve">   </w:t>
      </w:r>
      <w:r>
        <w:rPr>
          <w:rFonts w:hint="eastAsia"/>
          <w:bCs/>
          <w:color w:val="auto"/>
          <w:szCs w:val="21"/>
          <w:highlight w:val="none"/>
        </w:rPr>
        <w:t>月</w:t>
      </w:r>
      <w:r>
        <w:rPr>
          <w:rFonts w:hint="eastAsia"/>
          <w:color w:val="auto"/>
          <w:highlight w:val="none"/>
          <w:u w:val="single"/>
        </w:rPr>
        <w:t xml:space="preserve">   </w:t>
      </w:r>
      <w:r>
        <w:rPr>
          <w:rFonts w:hint="eastAsia"/>
          <w:bCs/>
          <w:color w:val="auto"/>
          <w:szCs w:val="21"/>
          <w:highlight w:val="none"/>
        </w:rPr>
        <w:t>日</w:t>
      </w:r>
      <w:bookmarkEnd w:id="114"/>
      <w:bookmarkEnd w:id="115"/>
      <w:bookmarkEnd w:id="116"/>
    </w:p>
    <w:p>
      <w:pPr>
        <w:rPr>
          <w:rFonts w:hint="eastAsia" w:ascii="宋体" w:hAnsi="宋体"/>
          <w:color w:val="auto"/>
          <w:szCs w:val="21"/>
          <w:highlight w:val="none"/>
        </w:rPr>
      </w:pPr>
    </w:p>
    <w:p>
      <w:pPr>
        <w:rPr>
          <w:rFonts w:hint="eastAsia" w:ascii="宋体" w:hAnsi="宋体"/>
          <w:color w:val="auto"/>
          <w:szCs w:val="21"/>
          <w:highlight w:val="none"/>
        </w:rPr>
      </w:pPr>
    </w:p>
    <w:p>
      <w:pPr>
        <w:rPr>
          <w:color w:val="auto"/>
          <w:highlight w:val="none"/>
          <w:u w:val="single"/>
        </w:rPr>
      </w:pPr>
      <w:r>
        <w:rPr>
          <w:rFonts w:hint="eastAsia" w:ascii="宋体" w:hAnsi="宋体"/>
          <w:color w:val="auto"/>
          <w:szCs w:val="21"/>
          <w:highlight w:val="none"/>
        </w:rPr>
        <w:t>合同订立地点：</w:t>
      </w:r>
      <w:r>
        <w:rPr>
          <w:rFonts w:hint="eastAsia" w:ascii="宋体" w:hAnsi="宋体"/>
          <w:color w:val="auto"/>
          <w:highlight w:val="none"/>
          <w:u w:val="single"/>
        </w:rPr>
        <w:t xml:space="preserve">                            </w:t>
      </w:r>
    </w:p>
    <w:p>
      <w:pPr>
        <w:rPr>
          <w:rFonts w:ascii="宋体" w:hAnsi="宋体"/>
          <w:color w:val="auto"/>
          <w:highlight w:val="none"/>
        </w:rPr>
      </w:pPr>
    </w:p>
    <w:p>
      <w:pPr>
        <w:rPr>
          <w:rFonts w:ascii="宋体" w:hAnsi="宋体"/>
          <w:color w:val="auto"/>
          <w:highlight w:val="none"/>
        </w:rPr>
      </w:pPr>
    </w:p>
    <w:p>
      <w:pPr>
        <w:rPr>
          <w:rFonts w:ascii="宋体" w:hAnsi="宋体"/>
          <w:color w:val="auto"/>
          <w:highlight w:val="none"/>
        </w:rPr>
      </w:pPr>
    </w:p>
    <w:p>
      <w:pPr>
        <w:rPr>
          <w:rFonts w:ascii="宋体" w:hAnsi="宋体"/>
          <w:color w:val="auto"/>
          <w:highlight w:val="none"/>
        </w:rPr>
      </w:pPr>
    </w:p>
    <w:p>
      <w:pPr>
        <w:jc w:val="center"/>
        <w:rPr>
          <w:rFonts w:ascii="宋体" w:hAnsi="宋体"/>
          <w:b/>
          <w:color w:val="auto"/>
          <w:sz w:val="44"/>
          <w:szCs w:val="44"/>
          <w:highlight w:val="none"/>
        </w:rPr>
      </w:pPr>
      <w:r>
        <w:rPr>
          <w:rFonts w:ascii="宋体" w:hAnsi="宋体"/>
          <w:b/>
          <w:color w:val="auto"/>
          <w:sz w:val="36"/>
          <w:szCs w:val="36"/>
          <w:highlight w:val="none"/>
        </w:rPr>
        <w:br w:type="page"/>
      </w:r>
      <w:r>
        <w:rPr>
          <w:rFonts w:ascii="宋体" w:hAnsi="宋体"/>
          <w:b/>
          <w:bCs/>
          <w:color w:val="auto"/>
          <w:sz w:val="32"/>
          <w:szCs w:val="32"/>
          <w:highlight w:val="none"/>
        </w:rPr>
        <w:t>第二部分  通用条款</w:t>
      </w:r>
    </w:p>
    <w:p>
      <w:pPr>
        <w:spacing w:before="156" w:beforeLines="50" w:after="156" w:afterLines="50" w:line="300" w:lineRule="auto"/>
        <w:ind w:firstLine="422" w:firstLineChars="200"/>
        <w:rPr>
          <w:rFonts w:ascii="宋体" w:hAnsi="宋体"/>
          <w:color w:val="auto"/>
          <w:szCs w:val="21"/>
          <w:highlight w:val="none"/>
        </w:rPr>
      </w:pPr>
      <w:r>
        <w:rPr>
          <w:rFonts w:ascii="宋体" w:hAnsi="宋体"/>
          <w:b/>
          <w:color w:val="auto"/>
          <w:szCs w:val="21"/>
          <w:highlight w:val="none"/>
        </w:rPr>
        <w:t>第1条  一般规定</w:t>
      </w:r>
    </w:p>
    <w:p>
      <w:pPr>
        <w:spacing w:before="156" w:beforeLines="50" w:after="156" w:afterLines="50" w:line="300" w:lineRule="auto"/>
        <w:ind w:firstLine="422" w:firstLineChars="200"/>
        <w:rPr>
          <w:rFonts w:ascii="宋体" w:hAnsi="宋体"/>
          <w:b/>
          <w:color w:val="auto"/>
          <w:szCs w:val="21"/>
          <w:highlight w:val="none"/>
        </w:rPr>
      </w:pPr>
      <w:r>
        <w:rPr>
          <w:rFonts w:ascii="宋体" w:hAnsi="宋体"/>
          <w:b/>
          <w:color w:val="auto"/>
          <w:szCs w:val="21"/>
          <w:highlight w:val="none"/>
        </w:rPr>
        <w:t>1.1  定义与解释</w:t>
      </w:r>
    </w:p>
    <w:p>
      <w:pPr>
        <w:spacing w:line="300" w:lineRule="auto"/>
        <w:ind w:firstLine="420" w:firstLineChars="200"/>
        <w:rPr>
          <w:rFonts w:ascii="宋体" w:hAnsi="宋体"/>
          <w:color w:val="auto"/>
          <w:szCs w:val="21"/>
          <w:highlight w:val="none"/>
        </w:rPr>
      </w:pPr>
      <w:r>
        <w:rPr>
          <w:rFonts w:ascii="宋体" w:hAnsi="宋体"/>
          <w:color w:val="auto"/>
          <w:szCs w:val="21"/>
          <w:highlight w:val="none"/>
        </w:rPr>
        <w:t>1.1.1  合同，指由第1.2.1项所述的各项文件所构成的整体。</w:t>
      </w:r>
    </w:p>
    <w:p>
      <w:pPr>
        <w:spacing w:line="300" w:lineRule="auto"/>
        <w:ind w:firstLine="420" w:firstLineChars="200"/>
        <w:rPr>
          <w:rFonts w:ascii="宋体" w:hAnsi="宋体"/>
          <w:color w:val="auto"/>
          <w:szCs w:val="21"/>
          <w:highlight w:val="none"/>
        </w:rPr>
      </w:pPr>
      <w:r>
        <w:rPr>
          <w:rFonts w:ascii="宋体" w:hAnsi="宋体"/>
          <w:color w:val="auto"/>
          <w:szCs w:val="21"/>
          <w:highlight w:val="none"/>
        </w:rPr>
        <w:t>1.1.2  通用条款，指合同当事人在履行工程总承包合同过程中所遵守的一般性条款，由本文件第1条至第20条组成。</w:t>
      </w:r>
    </w:p>
    <w:p>
      <w:pPr>
        <w:spacing w:line="300" w:lineRule="auto"/>
        <w:ind w:firstLine="420" w:firstLineChars="200"/>
        <w:rPr>
          <w:rFonts w:ascii="宋体" w:hAnsi="宋体"/>
          <w:color w:val="auto"/>
          <w:szCs w:val="21"/>
          <w:highlight w:val="none"/>
        </w:rPr>
      </w:pPr>
      <w:r>
        <w:rPr>
          <w:rFonts w:ascii="宋体" w:hAnsi="宋体"/>
          <w:color w:val="auto"/>
          <w:szCs w:val="21"/>
          <w:highlight w:val="none"/>
        </w:rPr>
        <w:t>1.1.3  专用条款，指合同当事人根据工程总承包项目的具体情况，对通用条款进行细化、完善、补充、修改或另行约定，并同意共同遵守的条款。</w:t>
      </w:r>
    </w:p>
    <w:p>
      <w:pPr>
        <w:spacing w:line="300" w:lineRule="auto"/>
        <w:ind w:firstLine="420" w:firstLineChars="200"/>
        <w:rPr>
          <w:rFonts w:ascii="宋体" w:hAnsi="宋体"/>
          <w:color w:val="auto"/>
          <w:szCs w:val="21"/>
          <w:highlight w:val="none"/>
        </w:rPr>
      </w:pPr>
      <w:r>
        <w:rPr>
          <w:rFonts w:ascii="宋体" w:hAnsi="宋体"/>
          <w:color w:val="auto"/>
          <w:szCs w:val="21"/>
          <w:highlight w:val="none"/>
        </w:rPr>
        <w:t>1.1.4  工程总承包，指承包人受发包人委托，按照合同约定对工程建设项目的设计、采购、施工（含竣工试验）、试运行等阶段实行全过程或若干阶段的工程承包。</w:t>
      </w:r>
    </w:p>
    <w:p>
      <w:pPr>
        <w:spacing w:line="300" w:lineRule="auto"/>
        <w:ind w:firstLine="420" w:firstLineChars="200"/>
        <w:rPr>
          <w:rFonts w:ascii="宋体" w:hAnsi="宋体"/>
          <w:color w:val="auto"/>
          <w:szCs w:val="21"/>
          <w:highlight w:val="none"/>
        </w:rPr>
      </w:pPr>
      <w:r>
        <w:rPr>
          <w:rFonts w:ascii="宋体" w:hAnsi="宋体"/>
          <w:color w:val="auto"/>
          <w:szCs w:val="21"/>
          <w:highlight w:val="none"/>
        </w:rPr>
        <w:t>1.1.5  发包人，指在合同协议书中约定的，具有项目发包主体资格和支付工程价款能力的当事人或取得该当事人资格的合法继承人。</w:t>
      </w:r>
    </w:p>
    <w:p>
      <w:pPr>
        <w:spacing w:line="300" w:lineRule="auto"/>
        <w:ind w:firstLine="420" w:firstLineChars="200"/>
        <w:rPr>
          <w:rFonts w:ascii="宋体" w:hAnsi="宋体"/>
          <w:color w:val="auto"/>
          <w:szCs w:val="21"/>
          <w:highlight w:val="none"/>
        </w:rPr>
      </w:pPr>
      <w:r>
        <w:rPr>
          <w:rFonts w:ascii="宋体" w:hAnsi="宋体"/>
          <w:color w:val="auto"/>
          <w:szCs w:val="21"/>
          <w:highlight w:val="none"/>
        </w:rPr>
        <w:t>1.1.6  承包人，指在合同协议书中约定的，被发包人接受的具有工程总承包主体资格的当事人，包括其合法继承人。</w:t>
      </w:r>
    </w:p>
    <w:p>
      <w:pPr>
        <w:spacing w:line="300" w:lineRule="auto"/>
        <w:ind w:firstLine="420" w:firstLineChars="200"/>
        <w:rPr>
          <w:rFonts w:ascii="宋体" w:hAnsi="宋体"/>
          <w:color w:val="auto"/>
          <w:szCs w:val="21"/>
          <w:highlight w:val="none"/>
        </w:rPr>
      </w:pPr>
      <w:r>
        <w:rPr>
          <w:rFonts w:ascii="宋体" w:hAnsi="宋体"/>
          <w:color w:val="auto"/>
          <w:szCs w:val="21"/>
          <w:highlight w:val="none"/>
        </w:rPr>
        <w:t>1.1.7  联合体，指经发包人同意由两个法人或者其它组织组成的，作为工程承包人的临时机构，联合体各方向发包人承担连带责任。联合体各方应指定其中一方作为牵头人。</w:t>
      </w:r>
    </w:p>
    <w:p>
      <w:pPr>
        <w:spacing w:line="300" w:lineRule="auto"/>
        <w:ind w:firstLine="420" w:firstLineChars="200"/>
        <w:rPr>
          <w:rFonts w:ascii="宋体" w:hAnsi="宋体"/>
          <w:color w:val="auto"/>
          <w:szCs w:val="21"/>
          <w:highlight w:val="none"/>
        </w:rPr>
      </w:pPr>
      <w:r>
        <w:rPr>
          <w:rFonts w:ascii="宋体" w:hAnsi="宋体"/>
          <w:color w:val="auto"/>
          <w:szCs w:val="21"/>
          <w:highlight w:val="none"/>
        </w:rPr>
        <w:t>1.1.8  分包人，指接受承包人根据合同约定对外分包的部分工程或服务的，具有相应资格的法人或其它组织。</w:t>
      </w:r>
    </w:p>
    <w:p>
      <w:pPr>
        <w:spacing w:line="300" w:lineRule="auto"/>
        <w:ind w:firstLine="420" w:firstLineChars="200"/>
        <w:rPr>
          <w:rFonts w:ascii="宋体" w:hAnsi="宋体"/>
          <w:color w:val="auto"/>
          <w:szCs w:val="21"/>
          <w:highlight w:val="none"/>
        </w:rPr>
      </w:pPr>
      <w:r>
        <w:rPr>
          <w:rFonts w:ascii="宋体" w:hAnsi="宋体"/>
          <w:color w:val="auto"/>
          <w:szCs w:val="21"/>
          <w:highlight w:val="none"/>
        </w:rPr>
        <w:t>1.1.9  发包人代表，指发包人指定的履行本合同的代表。</w:t>
      </w:r>
    </w:p>
    <w:p>
      <w:pPr>
        <w:spacing w:line="300" w:lineRule="auto"/>
        <w:ind w:firstLine="420" w:firstLineChars="200"/>
        <w:rPr>
          <w:rFonts w:ascii="宋体" w:hAnsi="宋体"/>
          <w:color w:val="auto"/>
          <w:szCs w:val="21"/>
          <w:highlight w:val="none"/>
        </w:rPr>
      </w:pPr>
      <w:r>
        <w:rPr>
          <w:rFonts w:ascii="宋体" w:hAnsi="宋体"/>
          <w:color w:val="auto"/>
          <w:szCs w:val="21"/>
          <w:highlight w:val="none"/>
        </w:rPr>
        <w:t>1.1.10  监理人，指发包人委托的具有相应资质的工程监理单位。</w:t>
      </w:r>
    </w:p>
    <w:p>
      <w:pPr>
        <w:spacing w:line="300" w:lineRule="auto"/>
        <w:ind w:firstLine="420" w:firstLineChars="200"/>
        <w:rPr>
          <w:rFonts w:ascii="宋体" w:hAnsi="宋体"/>
          <w:color w:val="auto"/>
          <w:szCs w:val="21"/>
          <w:highlight w:val="none"/>
        </w:rPr>
      </w:pPr>
      <w:r>
        <w:rPr>
          <w:rFonts w:ascii="宋体" w:hAnsi="宋体"/>
          <w:color w:val="auto"/>
          <w:szCs w:val="21"/>
          <w:highlight w:val="none"/>
        </w:rPr>
        <w:t>1.1.11  工程总监，指由监理人授权、负责履行监理合同的总监理工程师。</w:t>
      </w:r>
    </w:p>
    <w:p>
      <w:pPr>
        <w:spacing w:line="300" w:lineRule="auto"/>
        <w:ind w:firstLine="420" w:firstLineChars="200"/>
        <w:rPr>
          <w:rFonts w:ascii="宋体" w:hAnsi="宋体"/>
          <w:color w:val="auto"/>
          <w:szCs w:val="21"/>
          <w:highlight w:val="none"/>
        </w:rPr>
      </w:pPr>
      <w:r>
        <w:rPr>
          <w:rFonts w:ascii="宋体" w:hAnsi="宋体"/>
          <w:color w:val="auto"/>
          <w:szCs w:val="21"/>
          <w:highlight w:val="none"/>
        </w:rPr>
        <w:t>1.1.12  项目经理，指承包人按照合同约定任命的负责履行合同的代表。</w:t>
      </w:r>
    </w:p>
    <w:p>
      <w:pPr>
        <w:spacing w:line="300" w:lineRule="auto"/>
        <w:ind w:firstLine="420" w:firstLineChars="200"/>
        <w:rPr>
          <w:rFonts w:ascii="宋体" w:hAnsi="宋体"/>
          <w:color w:val="auto"/>
          <w:szCs w:val="21"/>
          <w:highlight w:val="none"/>
        </w:rPr>
      </w:pPr>
      <w:r>
        <w:rPr>
          <w:rFonts w:ascii="宋体" w:hAnsi="宋体"/>
          <w:color w:val="auto"/>
          <w:szCs w:val="21"/>
          <w:highlight w:val="none"/>
        </w:rPr>
        <w:t>1.1.13  工程，指永久性工程和（或）临时性工程。</w:t>
      </w:r>
    </w:p>
    <w:p>
      <w:pPr>
        <w:spacing w:line="300" w:lineRule="auto"/>
        <w:ind w:firstLine="420" w:firstLineChars="200"/>
        <w:rPr>
          <w:rFonts w:ascii="宋体" w:hAnsi="宋体"/>
          <w:color w:val="auto"/>
          <w:szCs w:val="21"/>
          <w:highlight w:val="none"/>
        </w:rPr>
      </w:pPr>
      <w:r>
        <w:rPr>
          <w:rFonts w:ascii="宋体" w:hAnsi="宋体"/>
          <w:color w:val="auto"/>
          <w:szCs w:val="21"/>
          <w:highlight w:val="none"/>
        </w:rPr>
        <w:t>1.1.14  永久性工程，指承包人根据合同约定，进行设计、施工、竣工试验、竣工后试验和试运行考核并交付发包人进行生产操作或使用的工程。</w:t>
      </w:r>
    </w:p>
    <w:p>
      <w:pPr>
        <w:spacing w:line="300" w:lineRule="auto"/>
        <w:ind w:firstLine="420" w:firstLineChars="200"/>
        <w:rPr>
          <w:rFonts w:ascii="宋体" w:hAnsi="宋体"/>
          <w:color w:val="auto"/>
          <w:szCs w:val="21"/>
          <w:highlight w:val="none"/>
        </w:rPr>
      </w:pPr>
      <w:r>
        <w:rPr>
          <w:rFonts w:ascii="宋体" w:hAnsi="宋体"/>
          <w:color w:val="auto"/>
          <w:szCs w:val="21"/>
          <w:highlight w:val="none"/>
        </w:rPr>
        <w:t xml:space="preserve">1.1.15  单项工程，指专用条件中列明的具有某项独立功能的工程单元，是永久性工程的组成部分。 </w:t>
      </w:r>
    </w:p>
    <w:p>
      <w:pPr>
        <w:spacing w:line="300" w:lineRule="auto"/>
        <w:ind w:firstLine="420" w:firstLineChars="200"/>
        <w:rPr>
          <w:rFonts w:ascii="宋体" w:hAnsi="宋体"/>
          <w:color w:val="auto"/>
          <w:szCs w:val="21"/>
          <w:highlight w:val="none"/>
        </w:rPr>
      </w:pPr>
      <w:r>
        <w:rPr>
          <w:rFonts w:ascii="宋体" w:hAnsi="宋体"/>
          <w:color w:val="auto"/>
          <w:szCs w:val="21"/>
          <w:highlight w:val="none"/>
        </w:rPr>
        <w:t>1.1.16  临时性工程，指为实施、完成永久性工程及修补任何质量缺陷，在现场所需搭建的临时建筑物、构筑物，以及不构成永久性工程实体的其它临时设施。</w:t>
      </w:r>
    </w:p>
    <w:p>
      <w:pPr>
        <w:spacing w:line="300" w:lineRule="auto"/>
        <w:ind w:firstLine="420" w:firstLineChars="200"/>
        <w:rPr>
          <w:rFonts w:ascii="宋体" w:hAnsi="宋体"/>
          <w:color w:val="auto"/>
          <w:szCs w:val="21"/>
          <w:highlight w:val="none"/>
        </w:rPr>
      </w:pPr>
      <w:r>
        <w:rPr>
          <w:rFonts w:ascii="宋体" w:hAnsi="宋体"/>
          <w:color w:val="auto"/>
          <w:szCs w:val="21"/>
          <w:highlight w:val="none"/>
        </w:rPr>
        <w:t>1.1.17  现场或场地，指合同约定的由发包人提供的用于承包人现场办公，工程物资、机具设施存放和工程实施的任何地点。</w:t>
      </w:r>
    </w:p>
    <w:p>
      <w:pPr>
        <w:spacing w:line="300" w:lineRule="auto"/>
        <w:ind w:firstLine="420" w:firstLineChars="200"/>
        <w:rPr>
          <w:rFonts w:ascii="宋体" w:hAnsi="宋体"/>
          <w:color w:val="auto"/>
          <w:szCs w:val="21"/>
          <w:highlight w:val="none"/>
        </w:rPr>
      </w:pPr>
      <w:r>
        <w:rPr>
          <w:rFonts w:ascii="宋体" w:hAnsi="宋体"/>
          <w:color w:val="auto"/>
          <w:szCs w:val="21"/>
          <w:highlight w:val="none"/>
        </w:rPr>
        <w:t>1.1.18  项目基础资料，指发包人提供给承包人的经有关部门对项目批准或核准的文件、报告（如选厂报告、资源报告等）、资料（如气象、水文、地质等）、协议（如原料、燃料、水、电、气、运输等）和有关数据等，以及设计所需的其它基础资料。</w:t>
      </w:r>
    </w:p>
    <w:p>
      <w:pPr>
        <w:spacing w:line="300" w:lineRule="auto"/>
        <w:ind w:firstLine="420" w:firstLineChars="200"/>
        <w:rPr>
          <w:rFonts w:ascii="宋体" w:hAnsi="宋体"/>
          <w:color w:val="auto"/>
          <w:szCs w:val="21"/>
          <w:highlight w:val="none"/>
        </w:rPr>
      </w:pPr>
      <w:r>
        <w:rPr>
          <w:rFonts w:ascii="宋体" w:hAnsi="宋体"/>
          <w:color w:val="auto"/>
          <w:szCs w:val="21"/>
          <w:highlight w:val="none"/>
        </w:rPr>
        <w:t>1.1.19  现场障碍资料，指发包人需向承包人提供的进行工程设计、现场施工所需的地上和地下已有的建筑物、构筑物、线缆、管道、受保护的古建筑、古树木等坐标方位、数据和其它相关资料。</w:t>
      </w:r>
    </w:p>
    <w:p>
      <w:pPr>
        <w:spacing w:line="300" w:lineRule="auto"/>
        <w:ind w:firstLine="420" w:firstLineChars="200"/>
        <w:rPr>
          <w:rFonts w:ascii="宋体" w:hAnsi="宋体"/>
          <w:color w:val="auto"/>
          <w:szCs w:val="21"/>
          <w:highlight w:val="none"/>
        </w:rPr>
      </w:pPr>
      <w:r>
        <w:rPr>
          <w:rFonts w:ascii="宋体" w:hAnsi="宋体"/>
          <w:color w:val="auto"/>
          <w:szCs w:val="21"/>
          <w:highlight w:val="none"/>
        </w:rPr>
        <w:t>1.1.20  设计阶段，指规划设计、总体设计、初步设计、技术设计和施工图设计等阶段。设计阶段的组成，视项目情况而定。</w:t>
      </w:r>
    </w:p>
    <w:p>
      <w:pPr>
        <w:spacing w:line="300" w:lineRule="auto"/>
        <w:ind w:firstLine="420" w:firstLineChars="200"/>
        <w:rPr>
          <w:rFonts w:ascii="宋体" w:hAnsi="宋体"/>
          <w:color w:val="auto"/>
          <w:szCs w:val="21"/>
          <w:highlight w:val="none"/>
        </w:rPr>
      </w:pPr>
      <w:r>
        <w:rPr>
          <w:rFonts w:ascii="宋体" w:hAnsi="宋体"/>
          <w:color w:val="auto"/>
          <w:szCs w:val="21"/>
          <w:highlight w:val="none"/>
        </w:rPr>
        <w:t>1.1.21  工程物资，指设计文件规定的将构成永久性工程实体的设备、材料和部件，以及进行竣工试验和竣工后试验所需的材料等。</w:t>
      </w:r>
    </w:p>
    <w:p>
      <w:pPr>
        <w:spacing w:line="300" w:lineRule="auto"/>
        <w:ind w:firstLine="420" w:firstLineChars="200"/>
        <w:rPr>
          <w:rFonts w:ascii="宋体" w:hAnsi="宋体"/>
          <w:color w:val="auto"/>
          <w:szCs w:val="21"/>
          <w:highlight w:val="none"/>
        </w:rPr>
      </w:pPr>
      <w:r>
        <w:rPr>
          <w:rFonts w:ascii="宋体" w:hAnsi="宋体"/>
          <w:color w:val="auto"/>
          <w:szCs w:val="21"/>
          <w:highlight w:val="none"/>
        </w:rPr>
        <w:t>1.1.22  施工，指承包人把设计文件转化为永久性工程的过程，包括土建、安装和竣工试验等作业。</w:t>
      </w:r>
    </w:p>
    <w:p>
      <w:pPr>
        <w:spacing w:line="300" w:lineRule="auto"/>
        <w:ind w:firstLine="420" w:firstLineChars="200"/>
        <w:rPr>
          <w:rFonts w:ascii="宋体" w:hAnsi="宋体"/>
          <w:color w:val="auto"/>
          <w:szCs w:val="21"/>
          <w:highlight w:val="none"/>
        </w:rPr>
      </w:pPr>
      <w:r>
        <w:rPr>
          <w:rFonts w:ascii="宋体" w:hAnsi="宋体"/>
          <w:color w:val="auto"/>
          <w:szCs w:val="21"/>
          <w:highlight w:val="none"/>
        </w:rPr>
        <w:t>1.1.23  竣工试验，指工程和（或）单项工程被发包人接收前，应由承包人负责进行的机械、设备、部件、线缆和管道能性能试验。</w:t>
      </w:r>
    </w:p>
    <w:p>
      <w:pPr>
        <w:spacing w:line="300" w:lineRule="auto"/>
        <w:ind w:firstLine="420" w:firstLineChars="200"/>
        <w:rPr>
          <w:rFonts w:ascii="宋体" w:hAnsi="宋体"/>
          <w:color w:val="auto"/>
          <w:szCs w:val="21"/>
          <w:highlight w:val="none"/>
        </w:rPr>
      </w:pPr>
      <w:r>
        <w:rPr>
          <w:rFonts w:ascii="宋体" w:hAnsi="宋体"/>
          <w:color w:val="auto"/>
          <w:szCs w:val="21"/>
          <w:highlight w:val="none"/>
        </w:rPr>
        <w:t>1.1.24  变更，指在不改变工程功能和规模的情况下，发包人书面通知或书面批准的，对工程所作的任何更改。</w:t>
      </w:r>
    </w:p>
    <w:p>
      <w:pPr>
        <w:spacing w:line="300" w:lineRule="auto"/>
        <w:ind w:firstLine="420" w:firstLineChars="200"/>
        <w:rPr>
          <w:rFonts w:ascii="宋体" w:hAnsi="宋体"/>
          <w:color w:val="auto"/>
          <w:szCs w:val="21"/>
          <w:highlight w:val="none"/>
        </w:rPr>
      </w:pPr>
      <w:r>
        <w:rPr>
          <w:rFonts w:ascii="宋体" w:hAnsi="宋体"/>
          <w:color w:val="auto"/>
          <w:szCs w:val="21"/>
          <w:highlight w:val="none"/>
        </w:rPr>
        <w:t>1.1.25  施工竣工，指工程已按合同约定和设计要求完成土建、安装，并通过竣工试验。</w:t>
      </w:r>
    </w:p>
    <w:p>
      <w:pPr>
        <w:spacing w:line="300" w:lineRule="auto"/>
        <w:ind w:firstLine="420" w:firstLineChars="200"/>
        <w:rPr>
          <w:rFonts w:ascii="宋体" w:hAnsi="宋体"/>
          <w:color w:val="auto"/>
          <w:szCs w:val="21"/>
          <w:highlight w:val="none"/>
        </w:rPr>
      </w:pPr>
      <w:r>
        <w:rPr>
          <w:rFonts w:ascii="宋体" w:hAnsi="宋体"/>
          <w:color w:val="auto"/>
          <w:szCs w:val="21"/>
          <w:highlight w:val="none"/>
        </w:rPr>
        <w:t>1.1.26  工程接收，指工程和（或）单项工程通过竣工试验后，为使发包人的操作人员、使用人员进入岗位进行竣工后试验、试运行准备，由承包人与发包人进行工程交接，并由发包人颁发接收证书的过程。</w:t>
      </w:r>
    </w:p>
    <w:p>
      <w:pPr>
        <w:spacing w:line="300" w:lineRule="auto"/>
        <w:ind w:firstLine="420" w:firstLineChars="200"/>
        <w:rPr>
          <w:rFonts w:ascii="宋体" w:hAnsi="宋体"/>
          <w:color w:val="auto"/>
          <w:szCs w:val="21"/>
          <w:highlight w:val="none"/>
        </w:rPr>
      </w:pPr>
      <w:r>
        <w:rPr>
          <w:rFonts w:ascii="宋体" w:hAnsi="宋体"/>
          <w:color w:val="auto"/>
          <w:szCs w:val="21"/>
          <w:highlight w:val="none"/>
        </w:rPr>
        <w:t>1.1.27  竣工后试验，指工程被发包人接收后，按合同约定由发包人自行或在发包人组织领导下由承包人指导进行的工程的生产和（或）使用功能试验。</w:t>
      </w:r>
    </w:p>
    <w:p>
      <w:pPr>
        <w:spacing w:line="300" w:lineRule="auto"/>
        <w:ind w:firstLine="420" w:firstLineChars="200"/>
        <w:rPr>
          <w:rFonts w:ascii="宋体" w:hAnsi="宋体"/>
          <w:color w:val="auto"/>
          <w:szCs w:val="21"/>
          <w:highlight w:val="none"/>
        </w:rPr>
      </w:pPr>
      <w:r>
        <w:rPr>
          <w:rFonts w:ascii="宋体" w:hAnsi="宋体"/>
          <w:color w:val="auto"/>
          <w:szCs w:val="21"/>
          <w:highlight w:val="none"/>
        </w:rPr>
        <w:t>1.1.28  试运行考核，指根据合同约定，在工程完成竣工试验后，由发包人自行或在发包人的组织领导下由承包人指导下进行的包括合同目标考核验收在内的全部试验。</w:t>
      </w:r>
    </w:p>
    <w:p>
      <w:pPr>
        <w:spacing w:line="300" w:lineRule="auto"/>
        <w:ind w:firstLine="420" w:firstLineChars="200"/>
        <w:rPr>
          <w:rFonts w:ascii="宋体" w:hAnsi="宋体"/>
          <w:color w:val="auto"/>
          <w:szCs w:val="21"/>
          <w:highlight w:val="none"/>
        </w:rPr>
      </w:pPr>
      <w:r>
        <w:rPr>
          <w:rFonts w:ascii="宋体" w:hAnsi="宋体"/>
          <w:color w:val="auto"/>
          <w:szCs w:val="21"/>
          <w:highlight w:val="none"/>
        </w:rPr>
        <w:t>1.1.29  考核验收证书，指试运行考核的全部试验完成并通过验收后，由发包人签发的验收证书。</w:t>
      </w:r>
    </w:p>
    <w:p>
      <w:pPr>
        <w:spacing w:line="300" w:lineRule="auto"/>
        <w:ind w:firstLine="420" w:firstLineChars="200"/>
        <w:rPr>
          <w:rFonts w:ascii="宋体" w:hAnsi="宋体"/>
          <w:color w:val="auto"/>
          <w:szCs w:val="21"/>
          <w:highlight w:val="none"/>
        </w:rPr>
      </w:pPr>
      <w:r>
        <w:rPr>
          <w:rFonts w:ascii="宋体" w:hAnsi="宋体"/>
          <w:color w:val="auto"/>
          <w:szCs w:val="21"/>
          <w:highlight w:val="none"/>
        </w:rPr>
        <w:t>1.1.30  工程竣工验收，指承包人接到考核验收证书、完成扫尾工程和缺陷修复，并按合同约定提交竣工验收报告、竣工资料、竣工结算资料，由发包人组织的工程结算与验收。</w:t>
      </w:r>
    </w:p>
    <w:p>
      <w:pPr>
        <w:spacing w:line="300" w:lineRule="auto"/>
        <w:ind w:firstLine="420" w:firstLineChars="200"/>
        <w:rPr>
          <w:rFonts w:ascii="宋体" w:hAnsi="宋体"/>
          <w:color w:val="auto"/>
          <w:szCs w:val="21"/>
          <w:highlight w:val="none"/>
        </w:rPr>
      </w:pPr>
      <w:r>
        <w:rPr>
          <w:rFonts w:ascii="宋体" w:hAnsi="宋体"/>
          <w:color w:val="auto"/>
          <w:szCs w:val="21"/>
          <w:highlight w:val="none"/>
        </w:rPr>
        <w:t>1.1.31  合同期限，指从合同生效之日起，至双方在合同下的义务履行完毕之日止的期间。</w:t>
      </w:r>
    </w:p>
    <w:p>
      <w:pPr>
        <w:spacing w:line="300" w:lineRule="auto"/>
        <w:ind w:firstLine="420" w:firstLineChars="200"/>
        <w:rPr>
          <w:rFonts w:ascii="宋体" w:hAnsi="宋体"/>
          <w:color w:val="auto"/>
          <w:szCs w:val="21"/>
          <w:highlight w:val="none"/>
        </w:rPr>
      </w:pPr>
      <w:r>
        <w:rPr>
          <w:rFonts w:ascii="宋体" w:hAnsi="宋体"/>
          <w:color w:val="auto"/>
          <w:szCs w:val="21"/>
          <w:highlight w:val="none"/>
        </w:rPr>
        <w:t>1.1.32  基准日期，指递交投标文件截止日期之前30日的日期。</w:t>
      </w:r>
    </w:p>
    <w:p>
      <w:pPr>
        <w:spacing w:line="300" w:lineRule="auto"/>
        <w:ind w:firstLine="420" w:firstLineChars="200"/>
        <w:rPr>
          <w:rFonts w:ascii="宋体" w:hAnsi="宋体"/>
          <w:color w:val="auto"/>
          <w:szCs w:val="21"/>
          <w:highlight w:val="none"/>
        </w:rPr>
      </w:pPr>
      <w:r>
        <w:rPr>
          <w:rFonts w:ascii="宋体" w:hAnsi="宋体"/>
          <w:color w:val="auto"/>
          <w:szCs w:val="21"/>
          <w:highlight w:val="none"/>
        </w:rPr>
        <w:t>1.1.33  项目进度计划，指自合同生效之日起，按合同约定的工程全部实施阶段（包括设计、采购、施工、竣工试验、工程接收、竣工后试验至试运行考核等阶段）或若干实施阶段的时间计划安排。</w:t>
      </w:r>
    </w:p>
    <w:p>
      <w:pPr>
        <w:spacing w:line="300" w:lineRule="auto"/>
        <w:ind w:firstLine="420" w:firstLineChars="200"/>
        <w:rPr>
          <w:rFonts w:ascii="宋体" w:hAnsi="宋体"/>
          <w:color w:val="auto"/>
          <w:szCs w:val="21"/>
          <w:highlight w:val="none"/>
        </w:rPr>
      </w:pPr>
      <w:r>
        <w:rPr>
          <w:rFonts w:ascii="宋体" w:hAnsi="宋体"/>
          <w:color w:val="auto"/>
          <w:szCs w:val="21"/>
          <w:highlight w:val="none"/>
        </w:rPr>
        <w:t>1.1.34  施工开工日期，指合同协议书中约定的，承包人开始现场施工的绝对日期或相对日期。</w:t>
      </w:r>
    </w:p>
    <w:p>
      <w:pPr>
        <w:spacing w:line="300" w:lineRule="auto"/>
        <w:ind w:firstLine="420" w:firstLineChars="200"/>
        <w:rPr>
          <w:rFonts w:ascii="宋体" w:hAnsi="宋体"/>
          <w:color w:val="auto"/>
          <w:szCs w:val="21"/>
          <w:highlight w:val="none"/>
        </w:rPr>
      </w:pPr>
      <w:r>
        <w:rPr>
          <w:rFonts w:ascii="宋体" w:hAnsi="宋体"/>
          <w:color w:val="auto"/>
          <w:szCs w:val="21"/>
          <w:highlight w:val="none"/>
        </w:rPr>
        <w:t>1.1.35  竣工日期，指合同协议书中约定的，由承包人完成工程施工（含竣工试验）的绝对日期或相对日期，包括按合同约定的任何延长日期。</w:t>
      </w:r>
    </w:p>
    <w:p>
      <w:pPr>
        <w:spacing w:line="300" w:lineRule="auto"/>
        <w:ind w:firstLine="420" w:firstLineChars="200"/>
        <w:rPr>
          <w:rFonts w:ascii="宋体" w:hAnsi="宋体"/>
          <w:color w:val="auto"/>
          <w:szCs w:val="21"/>
          <w:highlight w:val="none"/>
        </w:rPr>
      </w:pPr>
      <w:r>
        <w:rPr>
          <w:rFonts w:ascii="宋体" w:hAnsi="宋体"/>
          <w:color w:val="auto"/>
          <w:szCs w:val="21"/>
          <w:highlight w:val="none"/>
        </w:rPr>
        <w:t>1.1.36  绝对日期，指以公历年、月、日所表明的具体期限。</w:t>
      </w:r>
    </w:p>
    <w:p>
      <w:pPr>
        <w:spacing w:line="300" w:lineRule="auto"/>
        <w:ind w:firstLine="420" w:firstLineChars="200"/>
        <w:rPr>
          <w:rFonts w:ascii="宋体" w:hAnsi="宋体"/>
          <w:color w:val="auto"/>
          <w:szCs w:val="21"/>
          <w:highlight w:val="none"/>
        </w:rPr>
      </w:pPr>
      <w:r>
        <w:rPr>
          <w:rFonts w:ascii="宋体" w:hAnsi="宋体"/>
          <w:color w:val="auto"/>
          <w:szCs w:val="21"/>
          <w:highlight w:val="none"/>
        </w:rPr>
        <w:t>1.1.37  相对日期，指以公历天数表明的具体期限。</w:t>
      </w:r>
    </w:p>
    <w:p>
      <w:pPr>
        <w:spacing w:line="300" w:lineRule="auto"/>
        <w:ind w:firstLine="420" w:firstLineChars="200"/>
        <w:rPr>
          <w:rFonts w:ascii="宋体" w:hAnsi="宋体"/>
          <w:color w:val="auto"/>
          <w:szCs w:val="21"/>
          <w:highlight w:val="none"/>
        </w:rPr>
      </w:pPr>
      <w:r>
        <w:rPr>
          <w:rFonts w:ascii="宋体" w:hAnsi="宋体"/>
          <w:color w:val="auto"/>
          <w:szCs w:val="21"/>
          <w:highlight w:val="none"/>
        </w:rPr>
        <w:t>1.1.38  关键路径，指项目进度计划中直接影响到竣工日期的时间计划线路。该关键路径由合同双方在讨论项目进度计划时商定。</w:t>
      </w:r>
    </w:p>
    <w:p>
      <w:pPr>
        <w:spacing w:line="300" w:lineRule="auto"/>
        <w:ind w:firstLine="420" w:firstLineChars="200"/>
        <w:rPr>
          <w:rFonts w:ascii="宋体" w:hAnsi="宋体"/>
          <w:color w:val="auto"/>
          <w:szCs w:val="21"/>
          <w:highlight w:val="none"/>
        </w:rPr>
      </w:pPr>
      <w:r>
        <w:rPr>
          <w:rFonts w:ascii="宋体" w:hAnsi="宋体"/>
          <w:color w:val="auto"/>
          <w:szCs w:val="21"/>
          <w:highlight w:val="none"/>
        </w:rPr>
        <w:t>1.1.39  日、月、年，指公历的日、月、年。本合同中所使用的任何期间的起点均指相应事件发生之日的下一日。如果任何时间的起算是以某一期间届满为条件，则起算点为该期间届满之日的下一日。任何期间的到期日均为该期间届满之日的当日。</w:t>
      </w:r>
    </w:p>
    <w:p>
      <w:pPr>
        <w:spacing w:line="300" w:lineRule="auto"/>
        <w:ind w:firstLine="420" w:firstLineChars="200"/>
        <w:rPr>
          <w:rFonts w:ascii="宋体" w:hAnsi="宋体"/>
          <w:color w:val="auto"/>
          <w:szCs w:val="21"/>
          <w:highlight w:val="none"/>
        </w:rPr>
      </w:pPr>
      <w:r>
        <w:rPr>
          <w:rFonts w:ascii="宋体" w:hAnsi="宋体"/>
          <w:color w:val="auto"/>
          <w:szCs w:val="21"/>
          <w:highlight w:val="none"/>
        </w:rPr>
        <w:t>1.1.40  工作日，指除中国法定节假日之外的其它公历日。</w:t>
      </w:r>
    </w:p>
    <w:p>
      <w:pPr>
        <w:spacing w:line="300" w:lineRule="auto"/>
        <w:ind w:firstLine="420" w:firstLineChars="200"/>
        <w:rPr>
          <w:rFonts w:ascii="宋体" w:hAnsi="宋体"/>
          <w:color w:val="auto"/>
          <w:szCs w:val="21"/>
          <w:highlight w:val="none"/>
        </w:rPr>
      </w:pPr>
      <w:r>
        <w:rPr>
          <w:rFonts w:ascii="宋体" w:hAnsi="宋体"/>
          <w:color w:val="auto"/>
          <w:szCs w:val="21"/>
          <w:highlight w:val="none"/>
        </w:rPr>
        <w:t>1.1.41  合同价格，指合同协议书中约定的、承包人进行设计、采购、施工、竣工试验、竣工后试验、试运行考核和服务等工作的价款。</w:t>
      </w:r>
    </w:p>
    <w:p>
      <w:pPr>
        <w:spacing w:line="300" w:lineRule="auto"/>
        <w:ind w:firstLine="420" w:firstLineChars="200"/>
        <w:rPr>
          <w:rFonts w:ascii="宋体" w:hAnsi="宋体"/>
          <w:color w:val="auto"/>
          <w:szCs w:val="21"/>
          <w:highlight w:val="none"/>
        </w:rPr>
      </w:pPr>
      <w:r>
        <w:rPr>
          <w:rFonts w:ascii="宋体" w:hAnsi="宋体"/>
          <w:color w:val="auto"/>
          <w:szCs w:val="21"/>
          <w:highlight w:val="none"/>
        </w:rPr>
        <w:t>1.1.42  合同价格调整，指依据法律及合同约定需要增减的费用而对合同价格进行的相应调整。</w:t>
      </w:r>
    </w:p>
    <w:p>
      <w:pPr>
        <w:spacing w:line="300" w:lineRule="auto"/>
        <w:ind w:firstLine="420" w:firstLineChars="200"/>
        <w:rPr>
          <w:rFonts w:ascii="宋体" w:hAnsi="宋体"/>
          <w:color w:val="auto"/>
          <w:szCs w:val="21"/>
          <w:highlight w:val="none"/>
        </w:rPr>
      </w:pPr>
      <w:r>
        <w:rPr>
          <w:rFonts w:ascii="宋体" w:hAnsi="宋体"/>
          <w:color w:val="auto"/>
          <w:szCs w:val="21"/>
          <w:highlight w:val="none"/>
        </w:rPr>
        <w:t xml:space="preserve">1.1.43  合同总价，指根据合同约定，经调整后的合同结算价格。     </w:t>
      </w:r>
    </w:p>
    <w:p>
      <w:pPr>
        <w:spacing w:line="300" w:lineRule="auto"/>
        <w:ind w:firstLine="420" w:firstLineChars="200"/>
        <w:rPr>
          <w:rFonts w:ascii="宋体" w:hAnsi="宋体"/>
          <w:color w:val="auto"/>
          <w:szCs w:val="21"/>
          <w:highlight w:val="none"/>
        </w:rPr>
      </w:pPr>
      <w:r>
        <w:rPr>
          <w:rFonts w:ascii="宋体" w:hAnsi="宋体"/>
          <w:color w:val="auto"/>
          <w:szCs w:val="21"/>
          <w:highlight w:val="none"/>
        </w:rPr>
        <w:t>1.1.44  预付款，是指根据合同约定，由发包人预先支付给承包人的款项。</w:t>
      </w:r>
    </w:p>
    <w:p>
      <w:pPr>
        <w:spacing w:line="300" w:lineRule="auto"/>
        <w:ind w:firstLine="420" w:firstLineChars="200"/>
        <w:rPr>
          <w:rFonts w:ascii="宋体" w:hAnsi="宋体"/>
          <w:color w:val="auto"/>
          <w:szCs w:val="21"/>
          <w:highlight w:val="none"/>
        </w:rPr>
      </w:pPr>
      <w:r>
        <w:rPr>
          <w:rFonts w:ascii="宋体" w:hAnsi="宋体"/>
          <w:color w:val="auto"/>
          <w:szCs w:val="21"/>
          <w:highlight w:val="none"/>
        </w:rPr>
        <w:t>1.1.45  工程进度款，指发包人根据合同约定的支付内容、支付条件，分期向承包人支付的设计、采购、施工和竣工试验的进度款，及竣工后试验和试运行考核的服务费以及工程总承包管理费等款项。</w:t>
      </w:r>
    </w:p>
    <w:p>
      <w:pPr>
        <w:spacing w:line="300" w:lineRule="auto"/>
        <w:ind w:firstLine="420" w:firstLineChars="200"/>
        <w:rPr>
          <w:rFonts w:ascii="宋体" w:hAnsi="宋体"/>
          <w:color w:val="auto"/>
          <w:szCs w:val="21"/>
          <w:highlight w:val="none"/>
        </w:rPr>
      </w:pPr>
      <w:r>
        <w:rPr>
          <w:rFonts w:ascii="宋体" w:hAnsi="宋体"/>
          <w:color w:val="auto"/>
          <w:szCs w:val="21"/>
          <w:highlight w:val="none"/>
        </w:rPr>
        <w:t>1.1.46  工程质量保修责任书，指依据有关质量保修的法律规定，发包人与承包人就工程质量保修相关事宜所签订的协议。</w:t>
      </w:r>
    </w:p>
    <w:p>
      <w:pPr>
        <w:spacing w:line="300" w:lineRule="auto"/>
        <w:ind w:firstLine="420" w:firstLineChars="200"/>
        <w:rPr>
          <w:rFonts w:ascii="宋体" w:hAnsi="宋体"/>
          <w:color w:val="auto"/>
          <w:szCs w:val="21"/>
          <w:highlight w:val="none"/>
        </w:rPr>
      </w:pPr>
      <w:r>
        <w:rPr>
          <w:rFonts w:ascii="宋体" w:hAnsi="宋体"/>
          <w:color w:val="auto"/>
          <w:szCs w:val="21"/>
          <w:highlight w:val="none"/>
        </w:rPr>
        <w:t>1.1.47  缺陷责任保修金，指按合同约定发包人从工程进度款中暂时扣除的，作为承包人在施工过程及缺陷责任期内履行缺陷责任担保的金额。</w:t>
      </w:r>
    </w:p>
    <w:p>
      <w:pPr>
        <w:spacing w:line="300" w:lineRule="auto"/>
        <w:ind w:firstLine="420" w:firstLineChars="200"/>
        <w:rPr>
          <w:rFonts w:ascii="宋体" w:hAnsi="宋体"/>
          <w:color w:val="auto"/>
          <w:szCs w:val="21"/>
          <w:highlight w:val="none"/>
        </w:rPr>
      </w:pPr>
      <w:r>
        <w:rPr>
          <w:rFonts w:ascii="宋体" w:hAnsi="宋体"/>
          <w:color w:val="auto"/>
          <w:szCs w:val="21"/>
          <w:highlight w:val="none"/>
        </w:rPr>
        <w:t>1.1.48  缺陷责任期，指承包人按合同约定承担缺陷保修责任的期间，一般应为12个月。因缺陷责任的延长，最长不超过24个月。具体期限在专用条款约定。</w:t>
      </w:r>
    </w:p>
    <w:p>
      <w:pPr>
        <w:spacing w:line="300" w:lineRule="auto"/>
        <w:ind w:firstLine="420" w:firstLineChars="200"/>
        <w:rPr>
          <w:rFonts w:ascii="宋体" w:hAnsi="宋体"/>
          <w:color w:val="auto"/>
          <w:szCs w:val="21"/>
          <w:highlight w:val="none"/>
        </w:rPr>
      </w:pPr>
      <w:r>
        <w:rPr>
          <w:rFonts w:ascii="宋体" w:hAnsi="宋体"/>
          <w:color w:val="auto"/>
          <w:szCs w:val="21"/>
          <w:highlight w:val="none"/>
        </w:rPr>
        <w:t>1.1.49  书面形式，指合同书、信件和数据电文等可以有形地表现所载内容的形式。数据电文包括：电传、传真、电子数据交换和电子邮件。</w:t>
      </w:r>
    </w:p>
    <w:p>
      <w:pPr>
        <w:spacing w:line="300" w:lineRule="auto"/>
        <w:ind w:firstLine="420" w:firstLineChars="200"/>
        <w:rPr>
          <w:rFonts w:ascii="宋体" w:hAnsi="宋体"/>
          <w:color w:val="auto"/>
          <w:szCs w:val="21"/>
          <w:highlight w:val="none"/>
        </w:rPr>
      </w:pPr>
      <w:r>
        <w:rPr>
          <w:rFonts w:ascii="宋体" w:hAnsi="宋体"/>
          <w:color w:val="auto"/>
          <w:szCs w:val="21"/>
          <w:highlight w:val="none"/>
        </w:rPr>
        <w:t>1.1.50  违约责任，指合同一方不履行合同义务或履行合同义务不符合合同约定所须承担的责任。</w:t>
      </w:r>
    </w:p>
    <w:p>
      <w:pPr>
        <w:spacing w:line="300" w:lineRule="auto"/>
        <w:ind w:firstLine="420" w:firstLineChars="200"/>
        <w:rPr>
          <w:rFonts w:ascii="宋体" w:hAnsi="宋体"/>
          <w:color w:val="auto"/>
          <w:szCs w:val="21"/>
          <w:highlight w:val="none"/>
        </w:rPr>
      </w:pPr>
      <w:r>
        <w:rPr>
          <w:rFonts w:ascii="宋体" w:hAnsi="宋体"/>
          <w:color w:val="auto"/>
          <w:szCs w:val="21"/>
          <w:highlight w:val="none"/>
        </w:rPr>
        <w:t>1.1.51  不可抗力，指不能预见、不能避免并不能克服的客观情况，具体情形由双方在专用条款中约定。</w:t>
      </w:r>
    </w:p>
    <w:p>
      <w:pPr>
        <w:spacing w:line="300" w:lineRule="auto"/>
        <w:ind w:firstLine="420" w:firstLineChars="200"/>
        <w:rPr>
          <w:rFonts w:ascii="宋体" w:hAnsi="宋体"/>
          <w:color w:val="auto"/>
          <w:szCs w:val="21"/>
          <w:highlight w:val="none"/>
        </w:rPr>
      </w:pPr>
      <w:r>
        <w:rPr>
          <w:rFonts w:ascii="宋体" w:hAnsi="宋体"/>
          <w:color w:val="auto"/>
          <w:szCs w:val="21"/>
          <w:highlight w:val="none"/>
        </w:rPr>
        <w:t>1.1.52  根据本合同工程的特点，需补充约定的其它定义。在专用条款中约定。</w:t>
      </w:r>
    </w:p>
    <w:p>
      <w:pPr>
        <w:spacing w:before="156" w:beforeLines="50" w:after="156" w:afterLines="50" w:line="300" w:lineRule="auto"/>
        <w:ind w:firstLine="422" w:firstLineChars="200"/>
        <w:rPr>
          <w:rFonts w:ascii="宋体" w:hAnsi="宋体"/>
          <w:b/>
          <w:color w:val="auto"/>
          <w:szCs w:val="21"/>
          <w:highlight w:val="none"/>
        </w:rPr>
      </w:pPr>
      <w:r>
        <w:rPr>
          <w:rFonts w:ascii="宋体" w:hAnsi="宋体"/>
          <w:b/>
          <w:color w:val="auto"/>
          <w:szCs w:val="21"/>
          <w:highlight w:val="none"/>
        </w:rPr>
        <w:t>1.2  合同文件</w:t>
      </w:r>
    </w:p>
    <w:p>
      <w:pPr>
        <w:spacing w:line="300" w:lineRule="auto"/>
        <w:ind w:firstLine="420" w:firstLineChars="200"/>
        <w:rPr>
          <w:rFonts w:ascii="宋体" w:hAnsi="宋体"/>
          <w:color w:val="auto"/>
          <w:szCs w:val="21"/>
          <w:highlight w:val="none"/>
        </w:rPr>
      </w:pPr>
      <w:r>
        <w:rPr>
          <w:rFonts w:ascii="宋体" w:hAnsi="宋体"/>
          <w:color w:val="auto"/>
          <w:szCs w:val="21"/>
          <w:highlight w:val="none"/>
        </w:rPr>
        <w:t>1.2.1 合同文件的组成。合同文件相互解释，互为说明。除专用条款另有约定外，组成本合同的文件及优先解释顺序如下：</w:t>
      </w:r>
    </w:p>
    <w:p>
      <w:pPr>
        <w:spacing w:line="300" w:lineRule="auto"/>
        <w:ind w:firstLine="840" w:firstLineChars="400"/>
        <w:rPr>
          <w:rFonts w:hint="eastAsia" w:ascii="宋体" w:hAnsi="宋体"/>
          <w:color w:val="auto"/>
          <w:szCs w:val="21"/>
          <w:highlight w:val="none"/>
        </w:rPr>
      </w:pPr>
      <w:r>
        <w:rPr>
          <w:rFonts w:ascii="宋体" w:hAnsi="宋体"/>
          <w:color w:val="auto"/>
          <w:szCs w:val="21"/>
          <w:highlight w:val="none"/>
        </w:rPr>
        <w:t>（1）本合同协议书</w:t>
      </w:r>
    </w:p>
    <w:p>
      <w:pPr>
        <w:spacing w:line="300" w:lineRule="auto"/>
        <w:ind w:firstLine="420" w:firstLineChars="200"/>
        <w:rPr>
          <w:rFonts w:hint="eastAsia" w:ascii="宋体" w:hAnsi="宋体"/>
          <w:color w:val="auto"/>
          <w:szCs w:val="21"/>
          <w:highlight w:val="none"/>
        </w:rPr>
      </w:pPr>
      <w:r>
        <w:rPr>
          <w:rFonts w:ascii="宋体" w:hAnsi="宋体"/>
          <w:color w:val="auto"/>
          <w:szCs w:val="21"/>
          <w:highlight w:val="none"/>
        </w:rPr>
        <w:t>　　（2）本合同专用条款</w:t>
      </w:r>
    </w:p>
    <w:p>
      <w:pPr>
        <w:spacing w:line="300" w:lineRule="auto"/>
        <w:ind w:firstLine="420" w:firstLineChars="200"/>
        <w:rPr>
          <w:rFonts w:hint="eastAsia" w:ascii="宋体" w:hAnsi="宋体"/>
          <w:color w:val="auto"/>
          <w:szCs w:val="21"/>
          <w:highlight w:val="none"/>
        </w:rPr>
      </w:pPr>
      <w:r>
        <w:rPr>
          <w:rFonts w:ascii="宋体" w:hAnsi="宋体"/>
          <w:color w:val="auto"/>
          <w:szCs w:val="21"/>
          <w:highlight w:val="none"/>
        </w:rPr>
        <w:t>　　（3）中标通知书</w:t>
      </w:r>
    </w:p>
    <w:p>
      <w:pPr>
        <w:spacing w:line="300" w:lineRule="auto"/>
        <w:ind w:firstLine="420" w:firstLineChars="200"/>
        <w:rPr>
          <w:rFonts w:hint="eastAsia" w:ascii="宋体" w:hAnsi="宋体"/>
          <w:color w:val="auto"/>
          <w:szCs w:val="21"/>
          <w:highlight w:val="none"/>
        </w:rPr>
      </w:pPr>
      <w:r>
        <w:rPr>
          <w:rFonts w:ascii="宋体" w:hAnsi="宋体"/>
          <w:color w:val="auto"/>
          <w:szCs w:val="21"/>
          <w:highlight w:val="none"/>
        </w:rPr>
        <w:t>　　（4）招投标文件及其附件</w:t>
      </w:r>
    </w:p>
    <w:p>
      <w:pPr>
        <w:spacing w:line="300" w:lineRule="auto"/>
        <w:ind w:firstLine="420" w:firstLineChars="200"/>
        <w:rPr>
          <w:rFonts w:hint="eastAsia" w:ascii="宋体" w:hAnsi="宋体"/>
          <w:color w:val="auto"/>
          <w:szCs w:val="21"/>
          <w:highlight w:val="none"/>
        </w:rPr>
      </w:pPr>
      <w:r>
        <w:rPr>
          <w:rFonts w:ascii="宋体" w:hAnsi="宋体"/>
          <w:color w:val="auto"/>
          <w:szCs w:val="21"/>
          <w:highlight w:val="none"/>
        </w:rPr>
        <w:t>　　（5）本合同通用条款</w:t>
      </w:r>
    </w:p>
    <w:p>
      <w:pPr>
        <w:spacing w:line="300" w:lineRule="auto"/>
        <w:ind w:firstLine="420" w:firstLineChars="200"/>
        <w:rPr>
          <w:rFonts w:hint="eastAsia" w:ascii="宋体" w:hAnsi="宋体"/>
          <w:color w:val="auto"/>
          <w:szCs w:val="21"/>
          <w:highlight w:val="none"/>
        </w:rPr>
      </w:pPr>
      <w:r>
        <w:rPr>
          <w:rFonts w:ascii="宋体" w:hAnsi="宋体"/>
          <w:color w:val="auto"/>
          <w:szCs w:val="21"/>
          <w:highlight w:val="none"/>
        </w:rPr>
        <w:t>　　（6）合同附件</w:t>
      </w:r>
    </w:p>
    <w:p>
      <w:pPr>
        <w:spacing w:line="300" w:lineRule="auto"/>
        <w:ind w:firstLine="420" w:firstLineChars="200"/>
        <w:rPr>
          <w:rFonts w:hint="eastAsia" w:ascii="宋体" w:hAnsi="宋体"/>
          <w:color w:val="auto"/>
          <w:szCs w:val="21"/>
          <w:highlight w:val="none"/>
        </w:rPr>
      </w:pPr>
      <w:r>
        <w:rPr>
          <w:rFonts w:ascii="宋体" w:hAnsi="宋体"/>
          <w:color w:val="auto"/>
          <w:szCs w:val="21"/>
          <w:highlight w:val="none"/>
        </w:rPr>
        <w:t>　　（7）标准、规范及有关技术文件</w:t>
      </w:r>
    </w:p>
    <w:p>
      <w:pPr>
        <w:spacing w:line="300" w:lineRule="auto"/>
        <w:ind w:firstLine="420" w:firstLineChars="200"/>
        <w:rPr>
          <w:rFonts w:hint="eastAsia" w:ascii="宋体" w:hAnsi="宋体"/>
          <w:color w:val="auto"/>
          <w:szCs w:val="21"/>
          <w:highlight w:val="none"/>
        </w:rPr>
      </w:pPr>
      <w:r>
        <w:rPr>
          <w:rFonts w:ascii="宋体" w:hAnsi="宋体"/>
          <w:color w:val="auto"/>
          <w:szCs w:val="21"/>
          <w:highlight w:val="none"/>
        </w:rPr>
        <w:t>　　（8）设计文件、资料和图纸</w:t>
      </w:r>
    </w:p>
    <w:p>
      <w:pPr>
        <w:spacing w:line="300" w:lineRule="auto"/>
        <w:ind w:firstLine="420" w:firstLineChars="200"/>
        <w:rPr>
          <w:rFonts w:ascii="宋体" w:hAnsi="宋体"/>
          <w:color w:val="auto"/>
          <w:szCs w:val="21"/>
          <w:highlight w:val="none"/>
        </w:rPr>
      </w:pPr>
      <w:r>
        <w:rPr>
          <w:rFonts w:ascii="宋体" w:hAnsi="宋体"/>
          <w:color w:val="auto"/>
          <w:szCs w:val="21"/>
          <w:highlight w:val="none"/>
        </w:rPr>
        <w:t>　　（9）双方约定构成合同组成部分的其它文件</w:t>
      </w:r>
    </w:p>
    <w:p>
      <w:pPr>
        <w:spacing w:line="300" w:lineRule="auto"/>
        <w:ind w:firstLine="420" w:firstLineChars="200"/>
        <w:rPr>
          <w:rFonts w:ascii="宋体" w:hAnsi="宋体"/>
          <w:color w:val="auto"/>
          <w:szCs w:val="21"/>
          <w:highlight w:val="none"/>
        </w:rPr>
      </w:pPr>
      <w:r>
        <w:rPr>
          <w:rFonts w:ascii="宋体" w:hAnsi="宋体"/>
          <w:color w:val="auto"/>
          <w:szCs w:val="21"/>
          <w:highlight w:val="none"/>
        </w:rPr>
        <w:t>双方在履行合同过程中形成的双方授权代表签署的会议纪要、备忘录、补充文件、变更和洽商等书面形式的文件构成本合同的组成部分。</w:t>
      </w:r>
    </w:p>
    <w:p>
      <w:pPr>
        <w:spacing w:line="300" w:lineRule="auto"/>
        <w:ind w:firstLine="420" w:firstLineChars="200"/>
        <w:rPr>
          <w:rFonts w:ascii="宋体" w:hAnsi="宋体"/>
          <w:color w:val="auto"/>
          <w:szCs w:val="21"/>
          <w:highlight w:val="none"/>
        </w:rPr>
      </w:pPr>
      <w:r>
        <w:rPr>
          <w:rFonts w:ascii="宋体" w:hAnsi="宋体"/>
          <w:color w:val="auto"/>
          <w:szCs w:val="21"/>
          <w:highlight w:val="none"/>
        </w:rPr>
        <w:t>1.2.2 当合同文件的条款内容含糊不清或不相一致，并且不能依据合同约定的解释顺序阐述清楚时，在不影响工程正常进行的情况下，由当事人协商解决，当事人经协商未能达成一致，根据16.3款关于争议和裁决的约定解决。</w:t>
      </w:r>
    </w:p>
    <w:p>
      <w:pPr>
        <w:spacing w:line="300" w:lineRule="auto"/>
        <w:ind w:firstLine="420" w:firstLineChars="200"/>
        <w:rPr>
          <w:rFonts w:ascii="宋体" w:hAnsi="宋体"/>
          <w:color w:val="auto"/>
          <w:szCs w:val="21"/>
          <w:highlight w:val="none"/>
        </w:rPr>
      </w:pPr>
      <w:r>
        <w:rPr>
          <w:rFonts w:ascii="宋体" w:hAnsi="宋体"/>
          <w:color w:val="auto"/>
          <w:szCs w:val="21"/>
          <w:highlight w:val="none"/>
        </w:rPr>
        <w:t>1.2.3 合同中的条款标题仅为阅读方便，不作为对合同条款进行解释的依据。</w:t>
      </w:r>
    </w:p>
    <w:p>
      <w:pPr>
        <w:spacing w:before="156" w:beforeLines="50" w:after="156" w:afterLines="50" w:line="300" w:lineRule="auto"/>
        <w:ind w:firstLine="422" w:firstLineChars="200"/>
        <w:rPr>
          <w:rFonts w:ascii="宋体" w:hAnsi="宋体"/>
          <w:b/>
          <w:color w:val="auto"/>
          <w:szCs w:val="21"/>
          <w:highlight w:val="none"/>
        </w:rPr>
      </w:pPr>
      <w:r>
        <w:rPr>
          <w:rFonts w:ascii="宋体" w:hAnsi="宋体"/>
          <w:b/>
          <w:color w:val="auto"/>
          <w:szCs w:val="21"/>
          <w:highlight w:val="none"/>
        </w:rPr>
        <w:t>1.3  语言文字</w:t>
      </w:r>
    </w:p>
    <w:p>
      <w:pPr>
        <w:spacing w:line="300" w:lineRule="auto"/>
        <w:ind w:firstLine="420" w:firstLineChars="200"/>
        <w:rPr>
          <w:rFonts w:ascii="宋体" w:hAnsi="宋体"/>
          <w:color w:val="auto"/>
          <w:szCs w:val="21"/>
          <w:highlight w:val="none"/>
        </w:rPr>
      </w:pPr>
      <w:r>
        <w:rPr>
          <w:rFonts w:ascii="宋体" w:hAnsi="宋体"/>
          <w:color w:val="auto"/>
          <w:szCs w:val="21"/>
          <w:highlight w:val="none"/>
        </w:rPr>
        <w:t>合同文件以中国的汉语简体语言文字编写、解释和说明。合同当事人在专用条款约定使用两种及以上语言时，汉语为优先解释和说明本合同的主导语言。</w:t>
      </w:r>
    </w:p>
    <w:p>
      <w:pPr>
        <w:spacing w:line="300" w:lineRule="auto"/>
        <w:ind w:firstLine="420" w:firstLineChars="200"/>
        <w:rPr>
          <w:rFonts w:ascii="宋体" w:hAnsi="宋体"/>
          <w:color w:val="auto"/>
          <w:szCs w:val="21"/>
          <w:highlight w:val="none"/>
        </w:rPr>
      </w:pPr>
      <w:r>
        <w:rPr>
          <w:rFonts w:ascii="宋体" w:hAnsi="宋体"/>
          <w:color w:val="auto"/>
          <w:szCs w:val="21"/>
          <w:highlight w:val="none"/>
        </w:rPr>
        <w:t>在少数民族地区，当事人可以约定使用少数民族语言编写、解释和说明本合同文件。</w:t>
      </w:r>
    </w:p>
    <w:p>
      <w:pPr>
        <w:spacing w:before="156" w:beforeLines="50" w:after="156" w:afterLines="50" w:line="300" w:lineRule="auto"/>
        <w:ind w:firstLine="422" w:firstLineChars="200"/>
        <w:rPr>
          <w:rFonts w:ascii="宋体" w:hAnsi="宋体"/>
          <w:b/>
          <w:color w:val="auto"/>
          <w:szCs w:val="21"/>
          <w:highlight w:val="none"/>
        </w:rPr>
      </w:pPr>
      <w:r>
        <w:rPr>
          <w:rFonts w:ascii="宋体" w:hAnsi="宋体"/>
          <w:b/>
          <w:color w:val="auto"/>
          <w:szCs w:val="21"/>
          <w:highlight w:val="none"/>
        </w:rPr>
        <w:t>1.4  适用法律</w:t>
      </w:r>
    </w:p>
    <w:p>
      <w:pPr>
        <w:spacing w:line="300" w:lineRule="auto"/>
        <w:ind w:firstLine="420" w:firstLineChars="200"/>
        <w:rPr>
          <w:rFonts w:ascii="宋体" w:hAnsi="宋体"/>
          <w:color w:val="auto"/>
          <w:szCs w:val="21"/>
          <w:highlight w:val="none"/>
        </w:rPr>
      </w:pPr>
      <w:r>
        <w:rPr>
          <w:rFonts w:ascii="宋体" w:hAnsi="宋体"/>
          <w:color w:val="auto"/>
          <w:szCs w:val="21"/>
          <w:highlight w:val="none"/>
        </w:rPr>
        <w:t>本合同遵循中华人民共和国法律，指中华人民共和国法律、行政法规、部门规章以及工程所在地的地方法规、自治条例、单行条例和地方政府规章。需要明示的国家和地方的具体适用法律的名称在专用条款中约定。</w:t>
      </w:r>
    </w:p>
    <w:p>
      <w:pPr>
        <w:spacing w:line="300" w:lineRule="auto"/>
        <w:ind w:firstLine="420" w:firstLineChars="200"/>
        <w:rPr>
          <w:rFonts w:ascii="宋体" w:hAnsi="宋体"/>
          <w:color w:val="auto"/>
          <w:szCs w:val="21"/>
          <w:highlight w:val="none"/>
        </w:rPr>
      </w:pPr>
      <w:r>
        <w:rPr>
          <w:rFonts w:ascii="宋体" w:hAnsi="宋体"/>
          <w:color w:val="auto"/>
          <w:szCs w:val="21"/>
          <w:highlight w:val="none"/>
        </w:rPr>
        <w:t>在基准日期之后，因法律变化导致承包人的费用增加的，发包人应合理增加合同价格；如果因法律变化导致关键路径工期延误的，应合理延长工期。</w:t>
      </w:r>
    </w:p>
    <w:p>
      <w:pPr>
        <w:spacing w:before="156" w:beforeLines="50" w:after="156" w:afterLines="50" w:line="300" w:lineRule="auto"/>
        <w:ind w:firstLine="422" w:firstLineChars="200"/>
        <w:rPr>
          <w:rFonts w:ascii="宋体" w:hAnsi="宋体"/>
          <w:b/>
          <w:color w:val="auto"/>
          <w:szCs w:val="21"/>
          <w:highlight w:val="none"/>
        </w:rPr>
      </w:pPr>
      <w:r>
        <w:rPr>
          <w:rFonts w:ascii="宋体" w:hAnsi="宋体"/>
          <w:b/>
          <w:color w:val="auto"/>
          <w:szCs w:val="21"/>
          <w:highlight w:val="none"/>
        </w:rPr>
        <w:t>1.5  标准、规范</w:t>
      </w:r>
    </w:p>
    <w:p>
      <w:pPr>
        <w:spacing w:line="300" w:lineRule="auto"/>
        <w:ind w:firstLine="420" w:firstLineChars="200"/>
        <w:rPr>
          <w:rFonts w:ascii="宋体" w:hAnsi="宋体"/>
          <w:color w:val="auto"/>
          <w:szCs w:val="21"/>
          <w:highlight w:val="none"/>
        </w:rPr>
      </w:pPr>
      <w:r>
        <w:rPr>
          <w:rFonts w:ascii="宋体" w:hAnsi="宋体"/>
          <w:color w:val="auto"/>
          <w:szCs w:val="21"/>
          <w:highlight w:val="none"/>
        </w:rPr>
        <w:t>1.5.1  适用于本工程的国家标准规范、和（或）行业标准规范、和（或）工程所在地方的标准规范、和（或）企业标准规范的名称（或编号），在专用条款中约定。</w:t>
      </w:r>
    </w:p>
    <w:p>
      <w:pPr>
        <w:spacing w:line="300" w:lineRule="auto"/>
        <w:ind w:firstLine="420" w:firstLineChars="200"/>
        <w:rPr>
          <w:rFonts w:ascii="宋体" w:hAnsi="宋体"/>
          <w:color w:val="auto"/>
          <w:szCs w:val="21"/>
          <w:highlight w:val="none"/>
        </w:rPr>
      </w:pPr>
      <w:r>
        <w:rPr>
          <w:rFonts w:ascii="宋体" w:hAnsi="宋体"/>
          <w:color w:val="auto"/>
          <w:szCs w:val="21"/>
          <w:highlight w:val="none"/>
        </w:rPr>
        <w:t>1.5.2  发包人使用国外标准、规范的，负责提供原文版本和中文译本，并在专用条款中约定提供的标准、规范的名称、份数和时间。</w:t>
      </w:r>
    </w:p>
    <w:p>
      <w:pPr>
        <w:spacing w:line="300" w:lineRule="auto"/>
        <w:ind w:firstLine="420" w:firstLineChars="200"/>
        <w:rPr>
          <w:rFonts w:ascii="宋体" w:hAnsi="宋体"/>
          <w:color w:val="auto"/>
          <w:szCs w:val="21"/>
          <w:highlight w:val="none"/>
        </w:rPr>
      </w:pPr>
      <w:r>
        <w:rPr>
          <w:rFonts w:ascii="宋体" w:hAnsi="宋体"/>
          <w:color w:val="auto"/>
          <w:szCs w:val="21"/>
          <w:highlight w:val="none"/>
        </w:rPr>
        <w:t>1.5.3  没有相应成文规定的标准、规范时，由发包人在专用条款中约定的时间向承包人列明技术要求，承包人按约定的时间和技术要求提出实施方法，经发包人认可后执行。承包人需要对实施方法进行研发试验的，或须对施工人员进行特殊培训的，除合同价格已包含此项费用外，双方应另行签订协议作为本合同附件，其费用由发包人承担。</w:t>
      </w:r>
    </w:p>
    <w:p>
      <w:pPr>
        <w:spacing w:line="300" w:lineRule="auto"/>
        <w:ind w:firstLine="420" w:firstLineChars="200"/>
        <w:rPr>
          <w:rFonts w:ascii="宋体" w:hAnsi="宋体"/>
          <w:color w:val="auto"/>
          <w:szCs w:val="21"/>
          <w:highlight w:val="none"/>
        </w:rPr>
      </w:pPr>
      <w:r>
        <w:rPr>
          <w:rFonts w:ascii="宋体" w:hAnsi="宋体"/>
          <w:color w:val="auto"/>
          <w:szCs w:val="21"/>
          <w:highlight w:val="none"/>
        </w:rPr>
        <w:t>1.5.4在基准日期之后，因国家颁布新的强制性规范、标准导致承包人的费用增加的，发包人应合理增加合同价格；导致关键路径工期延误的，发包人应合理延长工期。</w:t>
      </w:r>
    </w:p>
    <w:p>
      <w:pPr>
        <w:spacing w:before="156" w:beforeLines="50" w:after="156" w:afterLines="50" w:line="300" w:lineRule="auto"/>
        <w:ind w:firstLine="422" w:firstLineChars="200"/>
        <w:rPr>
          <w:rFonts w:ascii="宋体" w:hAnsi="宋体"/>
          <w:b/>
          <w:color w:val="auto"/>
          <w:szCs w:val="21"/>
          <w:highlight w:val="none"/>
        </w:rPr>
      </w:pPr>
      <w:r>
        <w:rPr>
          <w:rFonts w:ascii="宋体" w:hAnsi="宋体"/>
          <w:b/>
          <w:color w:val="auto"/>
          <w:szCs w:val="21"/>
          <w:highlight w:val="none"/>
        </w:rPr>
        <w:t>1.6  保密事项</w:t>
      </w:r>
    </w:p>
    <w:p>
      <w:pPr>
        <w:spacing w:before="156" w:beforeLines="50" w:after="156" w:afterLines="50" w:line="300" w:lineRule="auto"/>
        <w:ind w:firstLine="420" w:firstLineChars="200"/>
        <w:rPr>
          <w:rFonts w:ascii="宋体" w:hAnsi="宋体"/>
          <w:color w:val="auto"/>
          <w:szCs w:val="21"/>
          <w:highlight w:val="none"/>
        </w:rPr>
      </w:pPr>
      <w:r>
        <w:rPr>
          <w:rFonts w:ascii="宋体" w:hAnsi="宋体"/>
          <w:color w:val="auto"/>
          <w:szCs w:val="21"/>
          <w:highlight w:val="none"/>
        </w:rPr>
        <w:t>当事人一方对在订立和履行合同过程中知悉的另一方的商业秘密、技术秘密，以及任何一方明确要求保密的其它信息，负有保密责任，未经同意，不得对外泄露或用于本合同以外的目的。一方泄露或者在本合同以外使用该商业秘密、技术秘密等保密信息给另一方造成损失的，应承担损害赔偿责任。当事人为履行合同所需要的信息，另一方应予以提供。当事人认为必要时，可签订保密协议，作为合同附件。</w:t>
      </w:r>
    </w:p>
    <w:p>
      <w:pPr>
        <w:spacing w:before="156" w:beforeLines="50" w:after="156" w:afterLines="50" w:line="300" w:lineRule="auto"/>
        <w:ind w:firstLine="413" w:firstLineChars="196"/>
        <w:rPr>
          <w:rFonts w:ascii="宋体" w:hAnsi="宋体"/>
          <w:b/>
          <w:color w:val="auto"/>
          <w:szCs w:val="21"/>
          <w:highlight w:val="none"/>
        </w:rPr>
      </w:pPr>
      <w:r>
        <w:rPr>
          <w:rFonts w:ascii="宋体" w:hAnsi="宋体"/>
          <w:b/>
          <w:color w:val="auto"/>
          <w:szCs w:val="21"/>
          <w:highlight w:val="none"/>
        </w:rPr>
        <w:t>第2条 发包人</w:t>
      </w:r>
    </w:p>
    <w:p>
      <w:pPr>
        <w:spacing w:before="156" w:beforeLines="50" w:after="156" w:afterLines="50" w:line="300" w:lineRule="auto"/>
        <w:ind w:firstLine="422" w:firstLineChars="200"/>
        <w:rPr>
          <w:rFonts w:ascii="宋体" w:hAnsi="宋体"/>
          <w:b/>
          <w:color w:val="auto"/>
          <w:szCs w:val="21"/>
          <w:highlight w:val="none"/>
        </w:rPr>
      </w:pPr>
      <w:r>
        <w:rPr>
          <w:rFonts w:ascii="宋体" w:hAnsi="宋体"/>
          <w:b/>
          <w:color w:val="auto"/>
          <w:szCs w:val="21"/>
          <w:highlight w:val="none"/>
        </w:rPr>
        <w:t>2.1  发包人的主要权利和义务</w:t>
      </w:r>
    </w:p>
    <w:p>
      <w:pPr>
        <w:spacing w:line="300" w:lineRule="auto"/>
        <w:ind w:firstLine="420" w:firstLineChars="200"/>
        <w:rPr>
          <w:rFonts w:ascii="宋体" w:hAnsi="宋体"/>
          <w:color w:val="auto"/>
          <w:szCs w:val="21"/>
          <w:highlight w:val="none"/>
        </w:rPr>
      </w:pPr>
      <w:r>
        <w:rPr>
          <w:rFonts w:ascii="宋体" w:hAnsi="宋体"/>
          <w:color w:val="auto"/>
          <w:szCs w:val="21"/>
          <w:highlight w:val="none"/>
        </w:rPr>
        <w:t>2.1.1  负责办理项目的审批、核准或备案手续，取得项目用地的使用权，完成拆迁补偿工作，使项目具备法律规定的及合同约定的开工条件，并提供立项文件。</w:t>
      </w:r>
    </w:p>
    <w:p>
      <w:pPr>
        <w:spacing w:line="300" w:lineRule="auto"/>
        <w:ind w:firstLine="420" w:firstLineChars="200"/>
        <w:rPr>
          <w:rFonts w:ascii="宋体" w:hAnsi="宋体"/>
          <w:color w:val="auto"/>
          <w:szCs w:val="21"/>
          <w:highlight w:val="none"/>
        </w:rPr>
      </w:pPr>
      <w:r>
        <w:rPr>
          <w:rFonts w:ascii="宋体" w:hAnsi="宋体"/>
          <w:color w:val="auto"/>
          <w:szCs w:val="21"/>
          <w:highlight w:val="none"/>
        </w:rPr>
        <w:t>2.1.2  履行合同中约定的合同价格调整、付款、竣工结算义务。</w:t>
      </w:r>
    </w:p>
    <w:p>
      <w:pPr>
        <w:spacing w:line="300" w:lineRule="auto"/>
        <w:ind w:firstLine="420" w:firstLineChars="200"/>
        <w:rPr>
          <w:rFonts w:ascii="宋体" w:hAnsi="宋体"/>
          <w:color w:val="auto"/>
          <w:szCs w:val="21"/>
          <w:highlight w:val="none"/>
        </w:rPr>
      </w:pPr>
      <w:r>
        <w:rPr>
          <w:rFonts w:ascii="宋体" w:hAnsi="宋体"/>
          <w:color w:val="auto"/>
          <w:szCs w:val="21"/>
          <w:highlight w:val="none"/>
        </w:rPr>
        <w:t>2.1.3  有权按照合同约定和适用法律关于安全、质量、环境保护和职业健康等强制性标准、规范的规定，对承包人的设计、采购、施工、竣工试验等实施工作提议、修改和变更，但不得违反国家强制性标准、规范的规定。</w:t>
      </w:r>
    </w:p>
    <w:p>
      <w:pPr>
        <w:spacing w:line="300" w:lineRule="auto"/>
        <w:ind w:firstLine="420" w:firstLineChars="200"/>
        <w:rPr>
          <w:rFonts w:ascii="宋体" w:hAnsi="宋体"/>
          <w:color w:val="auto"/>
          <w:szCs w:val="21"/>
          <w:highlight w:val="none"/>
        </w:rPr>
      </w:pPr>
      <w:r>
        <w:rPr>
          <w:rFonts w:ascii="宋体" w:hAnsi="宋体"/>
          <w:color w:val="auto"/>
          <w:szCs w:val="21"/>
          <w:highlight w:val="none"/>
        </w:rPr>
        <w:t>2.1.4  有权根据合同约定，对因承包人原因给发包人带来的任何损失和损害，提出赔偿。</w:t>
      </w:r>
    </w:p>
    <w:p>
      <w:pPr>
        <w:spacing w:line="300" w:lineRule="auto"/>
        <w:ind w:firstLine="420" w:firstLineChars="200"/>
        <w:rPr>
          <w:rFonts w:ascii="宋体" w:hAnsi="宋体"/>
          <w:color w:val="auto"/>
          <w:szCs w:val="21"/>
          <w:highlight w:val="none"/>
        </w:rPr>
      </w:pPr>
      <w:r>
        <w:rPr>
          <w:rFonts w:ascii="宋体" w:hAnsi="宋体"/>
          <w:color w:val="auto"/>
          <w:szCs w:val="21"/>
          <w:highlight w:val="none"/>
        </w:rPr>
        <w:t>2.1.5  发包人认为必要时，有权以书面形式发出暂停通知。其中，因发包人原因造成的暂停，给承包人造成的费用增加由发包人承担，造成关键路径延误的，竣工日期相应顺延。</w:t>
      </w:r>
    </w:p>
    <w:p>
      <w:pPr>
        <w:spacing w:before="156" w:beforeLines="50" w:after="156" w:afterLines="50" w:line="300" w:lineRule="auto"/>
        <w:ind w:firstLine="422" w:firstLineChars="200"/>
        <w:rPr>
          <w:rFonts w:ascii="宋体" w:hAnsi="宋体"/>
          <w:b/>
          <w:color w:val="auto"/>
          <w:szCs w:val="21"/>
          <w:highlight w:val="none"/>
        </w:rPr>
      </w:pPr>
      <w:r>
        <w:rPr>
          <w:rFonts w:ascii="宋体" w:hAnsi="宋体"/>
          <w:b/>
          <w:color w:val="auto"/>
          <w:szCs w:val="21"/>
          <w:highlight w:val="none"/>
        </w:rPr>
        <w:t>2.2  发包人代表</w:t>
      </w:r>
    </w:p>
    <w:p>
      <w:pPr>
        <w:spacing w:line="300" w:lineRule="auto"/>
        <w:ind w:firstLine="420" w:firstLineChars="200"/>
        <w:rPr>
          <w:rFonts w:ascii="宋体" w:hAnsi="宋体"/>
          <w:color w:val="auto"/>
          <w:szCs w:val="21"/>
          <w:highlight w:val="none"/>
        </w:rPr>
      </w:pPr>
      <w:r>
        <w:rPr>
          <w:rFonts w:ascii="宋体" w:hAnsi="宋体"/>
          <w:color w:val="auto"/>
          <w:szCs w:val="21"/>
          <w:highlight w:val="none"/>
        </w:rPr>
        <w:t>发包人委派代表，行使发包人委托的权利，履行发包人的义务，但发包人代表无权修改合同。发包人代表依据本合同井在其授权范回内履行其职责 。发包人代表根据合同约定的范围和事项，向承包人发出的书面通知，由其本人签字后送交项目经理。发包人代表的姓名、职务和职责在专用条款约定。发包人决定替换其代表时，应将新任代表的姓名、职务、职权和任命时间在其到任的15日前，以书面形式通知承包人。</w:t>
      </w:r>
    </w:p>
    <w:p>
      <w:pPr>
        <w:spacing w:before="156" w:beforeLines="50" w:after="156" w:afterLines="50" w:line="300" w:lineRule="auto"/>
        <w:ind w:firstLine="422" w:firstLineChars="200"/>
        <w:rPr>
          <w:rFonts w:ascii="宋体" w:hAnsi="宋体"/>
          <w:b/>
          <w:color w:val="auto"/>
          <w:szCs w:val="21"/>
          <w:highlight w:val="none"/>
        </w:rPr>
      </w:pPr>
      <w:r>
        <w:rPr>
          <w:rFonts w:ascii="宋体" w:hAnsi="宋体"/>
          <w:b/>
          <w:color w:val="auto"/>
          <w:szCs w:val="21"/>
          <w:highlight w:val="none"/>
        </w:rPr>
        <w:t>2.3  监理人</w:t>
      </w:r>
    </w:p>
    <w:p>
      <w:pPr>
        <w:spacing w:line="300" w:lineRule="auto"/>
        <w:ind w:firstLine="420" w:firstLineChars="200"/>
        <w:rPr>
          <w:rFonts w:ascii="宋体" w:hAnsi="宋体"/>
          <w:color w:val="auto"/>
          <w:szCs w:val="21"/>
          <w:highlight w:val="none"/>
        </w:rPr>
      </w:pPr>
      <w:r>
        <w:rPr>
          <w:rFonts w:ascii="宋体" w:hAnsi="宋体"/>
          <w:color w:val="auto"/>
          <w:szCs w:val="21"/>
          <w:highlight w:val="none"/>
        </w:rPr>
        <w:t>2.3.1  发包人对工程实行监理的，监理人的名称、工程总监、监理范围、内容和权限在专用条款中写明。</w:t>
      </w:r>
    </w:p>
    <w:p>
      <w:pPr>
        <w:spacing w:line="300" w:lineRule="auto"/>
        <w:ind w:firstLine="420" w:firstLineChars="200"/>
        <w:rPr>
          <w:rFonts w:ascii="宋体" w:hAnsi="宋体"/>
          <w:color w:val="auto"/>
          <w:szCs w:val="21"/>
          <w:highlight w:val="none"/>
        </w:rPr>
      </w:pPr>
      <w:r>
        <w:rPr>
          <w:rFonts w:ascii="宋体" w:hAnsi="宋体"/>
          <w:color w:val="auto"/>
          <w:szCs w:val="21"/>
          <w:highlight w:val="none"/>
        </w:rPr>
        <w:t>监理人按发包人委托监理的范围、内容、职权利权限，代表发包人对承包人实施监督。监理人向承包人发出的通知，以书面形式由工程总监签字后送交承包人实施，并抄送发包人。</w:t>
      </w:r>
    </w:p>
    <w:p>
      <w:pPr>
        <w:spacing w:line="300" w:lineRule="auto"/>
        <w:ind w:firstLine="420" w:firstLineChars="200"/>
        <w:rPr>
          <w:rFonts w:ascii="宋体" w:hAnsi="宋体"/>
          <w:color w:val="auto"/>
          <w:szCs w:val="21"/>
          <w:highlight w:val="none"/>
        </w:rPr>
      </w:pPr>
      <w:r>
        <w:rPr>
          <w:rFonts w:ascii="宋体" w:hAnsi="宋体"/>
          <w:color w:val="auto"/>
          <w:szCs w:val="21"/>
          <w:highlight w:val="none"/>
        </w:rPr>
        <w:t>2.3.2  工程总监的职权与发包人代表的职权相重叠或不明确时，由发包人予以协调和明确，并以书面形式通知承包人。</w:t>
      </w:r>
    </w:p>
    <w:p>
      <w:pPr>
        <w:spacing w:line="300" w:lineRule="auto"/>
        <w:ind w:firstLine="420" w:firstLineChars="200"/>
        <w:rPr>
          <w:rFonts w:ascii="宋体" w:hAnsi="宋体"/>
          <w:color w:val="auto"/>
          <w:szCs w:val="21"/>
          <w:highlight w:val="none"/>
        </w:rPr>
      </w:pPr>
      <w:r>
        <w:rPr>
          <w:rFonts w:ascii="宋体" w:hAnsi="宋体"/>
          <w:color w:val="auto"/>
          <w:szCs w:val="21"/>
          <w:highlight w:val="none"/>
        </w:rPr>
        <w:t>2.3.3  除专用条款另有约定外，工程总监无权改变本合同当事人的任何权利和义务。</w:t>
      </w:r>
    </w:p>
    <w:p>
      <w:pPr>
        <w:spacing w:line="300" w:lineRule="auto"/>
        <w:ind w:firstLine="420" w:firstLineChars="200"/>
        <w:rPr>
          <w:rFonts w:ascii="宋体" w:hAnsi="宋体"/>
          <w:color w:val="auto"/>
          <w:szCs w:val="21"/>
          <w:highlight w:val="none"/>
        </w:rPr>
      </w:pPr>
      <w:r>
        <w:rPr>
          <w:rFonts w:ascii="宋体" w:hAnsi="宋体"/>
          <w:color w:val="auto"/>
          <w:szCs w:val="21"/>
          <w:highlight w:val="none"/>
        </w:rPr>
        <w:t>2.3.4  发包人更换工程总监时，应提前 5日以书面形式通知承包人，并在通知中写明替换者的姓名、职务、职权、权限和任命时间。</w:t>
      </w:r>
    </w:p>
    <w:p>
      <w:pPr>
        <w:spacing w:before="156" w:beforeLines="50" w:after="156" w:afterLines="50" w:line="300" w:lineRule="auto"/>
        <w:ind w:firstLine="316" w:firstLineChars="150"/>
        <w:rPr>
          <w:rFonts w:ascii="宋体" w:hAnsi="宋体"/>
          <w:b/>
          <w:color w:val="auto"/>
          <w:szCs w:val="21"/>
          <w:highlight w:val="none"/>
        </w:rPr>
      </w:pPr>
      <w:r>
        <w:rPr>
          <w:rFonts w:ascii="宋体" w:hAnsi="宋体"/>
          <w:b/>
          <w:color w:val="auto"/>
          <w:szCs w:val="21"/>
          <w:highlight w:val="none"/>
        </w:rPr>
        <w:t xml:space="preserve">2.4  安全保证 </w:t>
      </w:r>
    </w:p>
    <w:p>
      <w:pPr>
        <w:spacing w:line="300" w:lineRule="auto"/>
        <w:ind w:firstLine="420" w:firstLineChars="200"/>
        <w:rPr>
          <w:rFonts w:ascii="宋体" w:hAnsi="宋体"/>
          <w:color w:val="auto"/>
          <w:szCs w:val="21"/>
          <w:highlight w:val="none"/>
        </w:rPr>
      </w:pPr>
      <w:r>
        <w:rPr>
          <w:rFonts w:ascii="宋体" w:hAnsi="宋体"/>
          <w:color w:val="auto"/>
          <w:szCs w:val="21"/>
          <w:highlight w:val="none"/>
        </w:rPr>
        <w:t>2.4.1  除专用条款另有约定外，发包人应负责协调处理施工现场周围的地下、地上已有设施和邻近建筑物、构筑物、古树名本、文物及坟墓等的安全保护工作，维护现场周围的正常秩序，并承担相关费用。</w:t>
      </w:r>
    </w:p>
    <w:p>
      <w:pPr>
        <w:spacing w:line="300" w:lineRule="auto"/>
        <w:ind w:firstLine="420" w:firstLineChars="200"/>
        <w:rPr>
          <w:rFonts w:ascii="宋体" w:hAnsi="宋体"/>
          <w:color w:val="auto"/>
          <w:szCs w:val="21"/>
          <w:highlight w:val="none"/>
        </w:rPr>
      </w:pPr>
      <w:r>
        <w:rPr>
          <w:rFonts w:ascii="宋体" w:hAnsi="宋体"/>
          <w:color w:val="auto"/>
          <w:szCs w:val="21"/>
          <w:highlight w:val="none"/>
        </w:rPr>
        <w:t>2.4.2  除专用条款另有约定外，发包人应负货对工程现场临近发包人正在使用、运行、或由发包人用于生产的建筑物、构筑物、生产装置、设施、设备等，设置隔离设施，竖立禁止入内、禁止动火的明显标志，判以书面形式通知承包人须遵守的安全规定和位置范围。因发包人的原因给承包人造成的损失和伤害，由发包人负责 。</w:t>
      </w:r>
    </w:p>
    <w:p>
      <w:pPr>
        <w:spacing w:line="300" w:lineRule="auto"/>
        <w:ind w:firstLine="420" w:firstLineChars="200"/>
        <w:rPr>
          <w:rFonts w:ascii="宋体" w:hAnsi="宋体"/>
          <w:color w:val="auto"/>
          <w:szCs w:val="21"/>
          <w:highlight w:val="none"/>
        </w:rPr>
      </w:pPr>
      <w:r>
        <w:rPr>
          <w:rFonts w:ascii="宋体" w:hAnsi="宋体"/>
          <w:color w:val="auto"/>
          <w:szCs w:val="21"/>
          <w:highlight w:val="none"/>
        </w:rPr>
        <w:t>2.4.3  本合同未作约定，而在工程主体结构或工程主要装置完成后，发包人要求进行涉及建筑主体及承重结构变动、或涉及重大工艺变化的装修工程时，双方可另行签订委托合同，作为本合同附件。</w:t>
      </w:r>
    </w:p>
    <w:p>
      <w:pPr>
        <w:spacing w:line="300" w:lineRule="auto"/>
        <w:ind w:firstLine="420" w:firstLineChars="200"/>
        <w:rPr>
          <w:rFonts w:ascii="宋体" w:hAnsi="宋体"/>
          <w:color w:val="auto"/>
          <w:szCs w:val="21"/>
          <w:highlight w:val="none"/>
        </w:rPr>
      </w:pPr>
      <w:r>
        <w:rPr>
          <w:rFonts w:ascii="宋体" w:hAnsi="宋体"/>
          <w:color w:val="auto"/>
          <w:szCs w:val="21"/>
          <w:highlight w:val="none"/>
        </w:rPr>
        <w:t>发包人自行决定此类装修或发包人与第三方签订委托合同，由发包人或发包人另行委托的第三方提出设计方案及施工的，由此造成的损失、损害由发包人负责.</w:t>
      </w:r>
    </w:p>
    <w:p>
      <w:pPr>
        <w:spacing w:line="300" w:lineRule="auto"/>
        <w:ind w:firstLine="420" w:firstLineChars="200"/>
        <w:rPr>
          <w:rFonts w:ascii="宋体" w:hAnsi="宋体"/>
          <w:color w:val="auto"/>
          <w:szCs w:val="21"/>
          <w:highlight w:val="none"/>
        </w:rPr>
      </w:pPr>
      <w:r>
        <w:rPr>
          <w:rFonts w:ascii="宋体" w:hAnsi="宋体"/>
          <w:color w:val="auto"/>
          <w:szCs w:val="21"/>
          <w:highlight w:val="none"/>
        </w:rPr>
        <w:t>2.4.4  发包人负责对其代表、雇员、监理人及其委托的其它人员进行安全教育，并遵守承包人工程现场的安全规定。承包人应在工程现场以标牌明示相关安全规定，或将安全规定发送给发包人。因发包人的代表、雇员、监理人及其委托的其它人员未能遵守承包人工程现场的安全规定所发生的人身伤害、安全事故，由发包人负责。</w:t>
      </w:r>
    </w:p>
    <w:p>
      <w:pPr>
        <w:spacing w:line="300" w:lineRule="auto"/>
        <w:ind w:firstLine="420" w:firstLineChars="200"/>
        <w:rPr>
          <w:rFonts w:ascii="宋体" w:hAnsi="宋体"/>
          <w:color w:val="auto"/>
          <w:szCs w:val="21"/>
          <w:highlight w:val="none"/>
        </w:rPr>
      </w:pPr>
      <w:r>
        <w:rPr>
          <w:rFonts w:ascii="宋体" w:hAnsi="宋体"/>
          <w:color w:val="auto"/>
          <w:szCs w:val="21"/>
          <w:highlight w:val="none"/>
        </w:rPr>
        <w:t>2.4.5  发包人、发包人代表、雇员、监理人及其委托的其它人员应遵守7.8款健康、安全和环境保护的相关约定。</w:t>
      </w:r>
    </w:p>
    <w:p>
      <w:pPr>
        <w:spacing w:before="156" w:beforeLines="50" w:after="156" w:afterLines="50" w:line="300" w:lineRule="auto"/>
        <w:ind w:firstLine="422" w:firstLineChars="200"/>
        <w:rPr>
          <w:rFonts w:ascii="宋体" w:hAnsi="宋体"/>
          <w:b/>
          <w:color w:val="auto"/>
          <w:szCs w:val="21"/>
          <w:highlight w:val="none"/>
        </w:rPr>
      </w:pPr>
      <w:r>
        <w:rPr>
          <w:rFonts w:ascii="宋体" w:hAnsi="宋体"/>
          <w:b/>
          <w:color w:val="auto"/>
          <w:szCs w:val="21"/>
          <w:highlight w:val="none"/>
        </w:rPr>
        <w:t>2.5  保安责任</w:t>
      </w:r>
    </w:p>
    <w:p>
      <w:pPr>
        <w:spacing w:line="300" w:lineRule="auto"/>
        <w:ind w:firstLine="420" w:firstLineChars="200"/>
        <w:rPr>
          <w:rFonts w:ascii="宋体" w:hAnsi="宋体"/>
          <w:color w:val="auto"/>
          <w:szCs w:val="21"/>
          <w:highlight w:val="none"/>
        </w:rPr>
      </w:pPr>
      <w:r>
        <w:rPr>
          <w:rFonts w:ascii="宋体" w:hAnsi="宋体"/>
          <w:color w:val="auto"/>
          <w:szCs w:val="21"/>
          <w:highlight w:val="none"/>
        </w:rPr>
        <w:t>2.5.1  现场保安工作的责任主体由专用条款约定。承担现场保安工作的方负责与当地有关治安部门的联系、沟通和协调，并承担所发生的相关费用。</w:t>
      </w:r>
    </w:p>
    <w:p>
      <w:pPr>
        <w:spacing w:line="300" w:lineRule="auto"/>
        <w:ind w:firstLine="420" w:firstLineChars="200"/>
        <w:rPr>
          <w:rFonts w:ascii="宋体" w:hAnsi="宋体"/>
          <w:color w:val="auto"/>
          <w:szCs w:val="21"/>
          <w:highlight w:val="none"/>
        </w:rPr>
      </w:pPr>
      <w:r>
        <w:rPr>
          <w:rFonts w:ascii="宋体" w:hAnsi="宋体"/>
          <w:color w:val="auto"/>
          <w:szCs w:val="21"/>
          <w:highlight w:val="none"/>
        </w:rPr>
        <w:t>2.5.2  发包人与承包人商定工程实施阶段及区域的保安责任划分，并编制各自的相关保安制度、责任制度和报告制度，作为合同附件。</w:t>
      </w:r>
    </w:p>
    <w:p>
      <w:pPr>
        <w:spacing w:line="300" w:lineRule="auto"/>
        <w:ind w:firstLine="420" w:firstLineChars="200"/>
        <w:rPr>
          <w:rFonts w:ascii="宋体" w:hAnsi="宋体"/>
          <w:color w:val="auto"/>
          <w:szCs w:val="21"/>
          <w:highlight w:val="none"/>
        </w:rPr>
      </w:pPr>
      <w:r>
        <w:rPr>
          <w:rFonts w:ascii="宋体" w:hAnsi="宋体"/>
          <w:color w:val="auto"/>
          <w:szCs w:val="21"/>
          <w:highlight w:val="none"/>
        </w:rPr>
        <w:t>2.5.3  发包人按合同约定占用的区域、接收的单项工程和工程，由发包人承担相关保安工作，及因此产生的费用、损害和责任。</w:t>
      </w:r>
    </w:p>
    <w:p>
      <w:pPr>
        <w:spacing w:before="156" w:beforeLines="50" w:after="156" w:afterLines="50" w:line="300" w:lineRule="auto"/>
        <w:ind w:firstLine="422" w:firstLineChars="200"/>
        <w:rPr>
          <w:rFonts w:ascii="宋体" w:hAnsi="宋体"/>
          <w:b/>
          <w:color w:val="auto"/>
          <w:szCs w:val="21"/>
          <w:highlight w:val="none"/>
        </w:rPr>
      </w:pPr>
      <w:r>
        <w:rPr>
          <w:rFonts w:ascii="宋体" w:hAnsi="宋体"/>
          <w:b/>
          <w:color w:val="auto"/>
          <w:szCs w:val="21"/>
          <w:highlight w:val="none"/>
        </w:rPr>
        <w:t>第3条  承包人</w:t>
      </w:r>
    </w:p>
    <w:p>
      <w:pPr>
        <w:spacing w:before="156" w:beforeLines="50" w:after="156" w:afterLines="50" w:line="300" w:lineRule="auto"/>
        <w:ind w:firstLine="422" w:firstLineChars="200"/>
        <w:rPr>
          <w:rFonts w:ascii="宋体" w:hAnsi="宋体"/>
          <w:b/>
          <w:color w:val="auto"/>
          <w:szCs w:val="21"/>
          <w:highlight w:val="none"/>
        </w:rPr>
      </w:pPr>
      <w:r>
        <w:rPr>
          <w:rFonts w:ascii="宋体" w:hAnsi="宋体"/>
          <w:b/>
          <w:color w:val="auto"/>
          <w:szCs w:val="21"/>
          <w:highlight w:val="none"/>
        </w:rPr>
        <w:t>3.1  承包人的主要权利和义务</w:t>
      </w:r>
    </w:p>
    <w:p>
      <w:pPr>
        <w:spacing w:line="300" w:lineRule="auto"/>
        <w:ind w:firstLine="420" w:firstLineChars="200"/>
        <w:rPr>
          <w:rFonts w:ascii="宋体" w:hAnsi="宋体"/>
          <w:color w:val="auto"/>
          <w:szCs w:val="21"/>
          <w:highlight w:val="none"/>
        </w:rPr>
      </w:pPr>
      <w:r>
        <w:rPr>
          <w:rFonts w:ascii="宋体" w:hAnsi="宋体"/>
          <w:color w:val="auto"/>
          <w:szCs w:val="21"/>
          <w:highlight w:val="none"/>
        </w:rPr>
        <w:t>3.1.1  承包人应按照合同约定的标准、规范、工程的功能、规模、考核目标和竣工日期，完成设计、采购、施工、竣工试验和（或）指导竣工后试验等工作，不得违反国家强制性标准、规范的规定。</w:t>
      </w:r>
    </w:p>
    <w:p>
      <w:pPr>
        <w:spacing w:line="300" w:lineRule="auto"/>
        <w:ind w:firstLine="420" w:firstLineChars="200"/>
        <w:rPr>
          <w:rFonts w:ascii="宋体" w:hAnsi="宋体"/>
          <w:color w:val="auto"/>
          <w:szCs w:val="21"/>
          <w:highlight w:val="none"/>
        </w:rPr>
      </w:pPr>
      <w:r>
        <w:rPr>
          <w:rFonts w:ascii="宋体" w:hAnsi="宋体"/>
          <w:color w:val="auto"/>
          <w:szCs w:val="21"/>
          <w:highlight w:val="none"/>
        </w:rPr>
        <w:t>本工程的具体承包范围，应依据合同协议书第一项“工程概况”中有关“工程承包范围”的约定。</w:t>
      </w:r>
    </w:p>
    <w:p>
      <w:pPr>
        <w:spacing w:line="300" w:lineRule="auto"/>
        <w:ind w:firstLine="420" w:firstLineChars="200"/>
        <w:rPr>
          <w:rFonts w:ascii="宋体" w:hAnsi="宋体"/>
          <w:color w:val="auto"/>
          <w:szCs w:val="21"/>
          <w:highlight w:val="none"/>
        </w:rPr>
      </w:pPr>
      <w:r>
        <w:rPr>
          <w:rFonts w:ascii="宋体" w:hAnsi="宋体"/>
          <w:color w:val="auto"/>
          <w:szCs w:val="21"/>
          <w:highlight w:val="none"/>
        </w:rPr>
        <w:t>3.1.2  承包人应按合同约定，自费修复因承包人原因引起的设计、文件、设备、材料、部件、施工中存在的缺陷、或在竣工试验和竣工后试验中发现的缺陷。</w:t>
      </w:r>
    </w:p>
    <w:p>
      <w:pPr>
        <w:spacing w:line="300" w:lineRule="auto"/>
        <w:ind w:firstLine="420" w:firstLineChars="200"/>
        <w:rPr>
          <w:rFonts w:ascii="宋体" w:hAnsi="宋体"/>
          <w:color w:val="auto"/>
          <w:szCs w:val="21"/>
          <w:highlight w:val="none"/>
        </w:rPr>
      </w:pPr>
      <w:r>
        <w:rPr>
          <w:rFonts w:ascii="宋体" w:hAnsi="宋体"/>
          <w:color w:val="auto"/>
          <w:szCs w:val="21"/>
          <w:highlight w:val="none"/>
        </w:rPr>
        <w:t xml:space="preserve">3.1.3  承包人应按合同约定和发包人的要求，提交相关报表。报表的类别、名称、内容、报告期、提交时间和份数，在专用条款中约定。 </w:t>
      </w:r>
    </w:p>
    <w:p>
      <w:pPr>
        <w:spacing w:line="300" w:lineRule="auto"/>
        <w:ind w:firstLine="420" w:firstLineChars="200"/>
        <w:rPr>
          <w:rFonts w:ascii="宋体" w:hAnsi="宋体"/>
          <w:color w:val="auto"/>
          <w:szCs w:val="21"/>
          <w:highlight w:val="none"/>
        </w:rPr>
      </w:pPr>
      <w:r>
        <w:rPr>
          <w:rFonts w:ascii="宋体" w:hAnsi="宋体"/>
          <w:color w:val="auto"/>
          <w:szCs w:val="21"/>
          <w:highlight w:val="none"/>
        </w:rPr>
        <w:t>3.1.4  承包人有权根据4.6.4款承包人的复工要求、14.9款付款时间延误和17条不可抗力的约定，以书面形式向发包人发出暂停迫知。除此之外，凡因承包人原因的暂停，造成承包人的费用增加由其自负，造成关键路径延误的应自费赶上。</w:t>
      </w:r>
    </w:p>
    <w:p>
      <w:pPr>
        <w:spacing w:line="300" w:lineRule="auto"/>
        <w:ind w:firstLine="420" w:firstLineChars="200"/>
        <w:rPr>
          <w:rFonts w:ascii="宋体" w:hAnsi="宋体"/>
          <w:color w:val="auto"/>
          <w:szCs w:val="21"/>
          <w:highlight w:val="none"/>
        </w:rPr>
      </w:pPr>
      <w:r>
        <w:rPr>
          <w:rFonts w:ascii="宋体" w:hAnsi="宋体"/>
          <w:color w:val="auto"/>
          <w:szCs w:val="21"/>
          <w:highlight w:val="none"/>
        </w:rPr>
        <w:t>3.1.5  对因发包人原因给承包人带来任何损失、损失或造成工程关键路径延误的，承包人有权要求赔偿和（或）延长竣工日期。</w:t>
      </w:r>
    </w:p>
    <w:p>
      <w:pPr>
        <w:spacing w:before="156" w:beforeLines="50" w:after="156" w:afterLines="50" w:line="300" w:lineRule="auto"/>
        <w:ind w:firstLine="422" w:firstLineChars="200"/>
        <w:rPr>
          <w:rFonts w:ascii="宋体" w:hAnsi="宋体"/>
          <w:b/>
          <w:color w:val="auto"/>
          <w:szCs w:val="21"/>
          <w:highlight w:val="none"/>
        </w:rPr>
      </w:pPr>
      <w:r>
        <w:rPr>
          <w:rFonts w:ascii="宋体" w:hAnsi="宋体"/>
          <w:b/>
          <w:color w:val="auto"/>
          <w:szCs w:val="21"/>
          <w:highlight w:val="none"/>
        </w:rPr>
        <w:t>3.2  项目经理</w:t>
      </w:r>
    </w:p>
    <w:p>
      <w:pPr>
        <w:spacing w:line="300" w:lineRule="auto"/>
        <w:ind w:firstLine="420" w:firstLineChars="200"/>
        <w:rPr>
          <w:rFonts w:ascii="宋体" w:hAnsi="宋体"/>
          <w:color w:val="auto"/>
          <w:szCs w:val="21"/>
          <w:highlight w:val="none"/>
        </w:rPr>
      </w:pPr>
      <w:r>
        <w:rPr>
          <w:rFonts w:ascii="宋体" w:hAnsi="宋体"/>
          <w:color w:val="auto"/>
          <w:szCs w:val="21"/>
          <w:highlight w:val="none"/>
        </w:rPr>
        <w:t>3.2.1  项目经理，应是当事人双方所确认的人选。项目经理经授权并代表承包人负责履行本合同。项目经理的姓名、职责和权限在专用条款中约定。</w:t>
      </w:r>
    </w:p>
    <w:p>
      <w:pPr>
        <w:spacing w:line="300" w:lineRule="auto"/>
        <w:ind w:firstLine="420" w:firstLineChars="200"/>
        <w:rPr>
          <w:rFonts w:ascii="宋体" w:hAnsi="宋体"/>
          <w:color w:val="auto"/>
          <w:szCs w:val="21"/>
          <w:highlight w:val="none"/>
        </w:rPr>
      </w:pPr>
      <w:r>
        <w:rPr>
          <w:rFonts w:ascii="宋体" w:hAnsi="宋体"/>
          <w:color w:val="auto"/>
          <w:szCs w:val="21"/>
          <w:highlight w:val="none"/>
        </w:rPr>
        <w:t>项目经理应是承包人的员工，承包人应在合同生效后10日内向发包人提交项目经理与承包人之间的劳动合同，以及承包人为项目经理缴纳社会保险的有效证明，承包人不提交上述文件的，项目经理无权履行职责，由此影响工程进度或发生其它问题的，由承包人承担责任。</w:t>
      </w:r>
    </w:p>
    <w:p>
      <w:pPr>
        <w:spacing w:line="300" w:lineRule="auto"/>
        <w:ind w:firstLine="420" w:firstLineChars="200"/>
        <w:rPr>
          <w:rFonts w:ascii="宋体" w:hAnsi="宋体"/>
          <w:color w:val="auto"/>
          <w:szCs w:val="21"/>
          <w:highlight w:val="none"/>
        </w:rPr>
      </w:pPr>
      <w:r>
        <w:rPr>
          <w:rFonts w:ascii="宋体" w:hAnsi="宋体"/>
          <w:color w:val="auto"/>
          <w:szCs w:val="21"/>
          <w:highlight w:val="none"/>
        </w:rPr>
        <w:t>项目经理应常驻项目现场，且每月在现场时间不得少于专用条款约定的天数。项目经理不得同时担任其它项目的项目经理。项目经理确需离开项目现场时应事先取得发包人同意，并指定一名有经验的人员临时代行其职责。</w:t>
      </w:r>
    </w:p>
    <w:p>
      <w:pPr>
        <w:spacing w:line="300" w:lineRule="auto"/>
        <w:ind w:firstLine="420" w:firstLineChars="200"/>
        <w:rPr>
          <w:rFonts w:ascii="宋体" w:hAnsi="宋体"/>
          <w:color w:val="auto"/>
          <w:szCs w:val="21"/>
          <w:highlight w:val="none"/>
        </w:rPr>
      </w:pPr>
      <w:r>
        <w:rPr>
          <w:rFonts w:ascii="宋体" w:hAnsi="宋体"/>
          <w:color w:val="auto"/>
          <w:szCs w:val="21"/>
          <w:highlight w:val="none"/>
        </w:rPr>
        <w:t>承包人违反上述约定的，按照专用条款的约定，承担违约责任。</w:t>
      </w:r>
    </w:p>
    <w:p>
      <w:pPr>
        <w:spacing w:line="300" w:lineRule="auto"/>
        <w:ind w:firstLine="420" w:firstLineChars="200"/>
        <w:rPr>
          <w:rFonts w:ascii="宋体" w:hAnsi="宋体"/>
          <w:color w:val="auto"/>
          <w:szCs w:val="21"/>
          <w:highlight w:val="none"/>
        </w:rPr>
      </w:pPr>
      <w:r>
        <w:rPr>
          <w:rFonts w:ascii="宋体" w:hAnsi="宋体"/>
          <w:color w:val="auto"/>
          <w:szCs w:val="21"/>
          <w:highlight w:val="none"/>
        </w:rPr>
        <w:t>3.2.2  项目经理按合同约定的项目进度计划，并按发包人代表和（或)工程总监依据合同发出的指令组织项目实施。在紧急情况下，且无法与发包人代表和（或)工程总监取得联系时，项目经理有权采取必要的措施保证人身、工程和财产的安全，但须在事后48小时内向发包人代表和（或)工程总监送交书面报告。</w:t>
      </w:r>
    </w:p>
    <w:p>
      <w:pPr>
        <w:spacing w:line="300" w:lineRule="auto"/>
        <w:ind w:firstLine="420" w:firstLineChars="200"/>
        <w:rPr>
          <w:rFonts w:ascii="宋体" w:hAnsi="宋体"/>
          <w:color w:val="auto"/>
          <w:szCs w:val="21"/>
          <w:highlight w:val="none"/>
        </w:rPr>
      </w:pPr>
      <w:r>
        <w:rPr>
          <w:rFonts w:ascii="宋体" w:hAnsi="宋体"/>
          <w:color w:val="auto"/>
          <w:szCs w:val="21"/>
          <w:highlight w:val="none"/>
        </w:rPr>
        <w:t>3.2.3  承包人部更换项目经理时，提前 15日以书面形式通知发包人，并征得发包人的同意，继任的项目经理须继续履行第3.2.1款约定的职责和权限。未经发包人同意，承包人不得擅自更换项目经理。承包人擅自更换项目经理的，按专用条款的约定，承担违约责任。</w:t>
      </w:r>
    </w:p>
    <w:p>
      <w:pPr>
        <w:spacing w:line="300" w:lineRule="auto"/>
        <w:ind w:firstLine="420" w:firstLineChars="200"/>
        <w:rPr>
          <w:rFonts w:ascii="宋体" w:hAnsi="宋体"/>
          <w:color w:val="auto"/>
          <w:szCs w:val="21"/>
          <w:highlight w:val="none"/>
        </w:rPr>
      </w:pPr>
      <w:r>
        <w:rPr>
          <w:rFonts w:ascii="宋体" w:hAnsi="宋体"/>
          <w:color w:val="auto"/>
          <w:szCs w:val="21"/>
          <w:highlight w:val="none"/>
        </w:rPr>
        <w:t>3.2.4  发包人有权以书而形式通知更换其认为不称职的项目经理，应说明更换因由，承包人应在接到更换通知后15日内向发包人提出书面的改进报告。发包人收到改进报告后仍以书面形式通知更换的，承包人应在接到第二次更换通知后的30日内进行更换，并将新任命的项目经理的姓名、简历以书面形式通知发包人。新任项目经理继续履行第3.2.1款约定的职责和权限 。</w:t>
      </w:r>
    </w:p>
    <w:p>
      <w:pPr>
        <w:spacing w:before="156" w:beforeLines="50" w:after="156" w:afterLines="50" w:line="300" w:lineRule="auto"/>
        <w:ind w:firstLine="422" w:firstLineChars="200"/>
        <w:rPr>
          <w:rFonts w:ascii="宋体" w:hAnsi="宋体"/>
          <w:b/>
          <w:color w:val="auto"/>
          <w:szCs w:val="21"/>
          <w:highlight w:val="none"/>
        </w:rPr>
      </w:pPr>
      <w:r>
        <w:rPr>
          <w:rFonts w:ascii="宋体" w:hAnsi="宋体"/>
          <w:b/>
          <w:color w:val="auto"/>
          <w:szCs w:val="21"/>
          <w:highlight w:val="none"/>
        </w:rPr>
        <w:t>3.3  工程质量保证</w:t>
      </w:r>
    </w:p>
    <w:p>
      <w:pPr>
        <w:spacing w:line="300" w:lineRule="auto"/>
        <w:ind w:firstLine="420" w:firstLineChars="200"/>
        <w:rPr>
          <w:rFonts w:ascii="宋体" w:hAnsi="宋体"/>
          <w:color w:val="auto"/>
          <w:szCs w:val="21"/>
          <w:highlight w:val="none"/>
        </w:rPr>
      </w:pPr>
      <w:r>
        <w:rPr>
          <w:rFonts w:ascii="宋体" w:hAnsi="宋体"/>
          <w:color w:val="auto"/>
          <w:szCs w:val="21"/>
          <w:highlight w:val="none"/>
        </w:rPr>
        <w:t>承包人应按合同约定的质量标准规范，确保设计、采购、加工制造、施工、竣工试验等各项工作的质量，建立有效的质量保证体系，并按照国家有关规定，通过质量保修责任书的形式约定保修范固、保修期限和保修责任。</w:t>
      </w:r>
    </w:p>
    <w:p>
      <w:pPr>
        <w:spacing w:before="156" w:beforeLines="50" w:after="156" w:afterLines="50" w:line="300" w:lineRule="auto"/>
        <w:ind w:firstLine="422" w:firstLineChars="200"/>
        <w:rPr>
          <w:rFonts w:ascii="宋体" w:hAnsi="宋体"/>
          <w:b/>
          <w:color w:val="auto"/>
          <w:szCs w:val="21"/>
          <w:highlight w:val="none"/>
        </w:rPr>
      </w:pPr>
      <w:r>
        <w:rPr>
          <w:rFonts w:ascii="宋体" w:hAnsi="宋体"/>
          <w:b/>
          <w:color w:val="auto"/>
          <w:szCs w:val="21"/>
          <w:highlight w:val="none"/>
        </w:rPr>
        <w:t>3.4  安全保证</w:t>
      </w:r>
    </w:p>
    <w:p>
      <w:pPr>
        <w:spacing w:line="300" w:lineRule="auto"/>
        <w:ind w:firstLine="420" w:firstLineChars="200"/>
        <w:rPr>
          <w:rFonts w:ascii="宋体" w:hAnsi="宋体"/>
          <w:color w:val="auto"/>
          <w:szCs w:val="21"/>
          <w:highlight w:val="none"/>
        </w:rPr>
      </w:pPr>
      <w:r>
        <w:rPr>
          <w:rFonts w:ascii="宋体" w:hAnsi="宋体"/>
          <w:color w:val="auto"/>
          <w:szCs w:val="21"/>
          <w:highlight w:val="none"/>
        </w:rPr>
        <w:t>3.4.1  工程安全性能</w:t>
      </w:r>
    </w:p>
    <w:p>
      <w:pPr>
        <w:spacing w:line="300" w:lineRule="auto"/>
        <w:ind w:firstLine="420" w:firstLineChars="200"/>
        <w:rPr>
          <w:rFonts w:hint="eastAsia" w:ascii="宋体" w:hAnsi="宋体"/>
          <w:color w:val="auto"/>
          <w:szCs w:val="21"/>
          <w:highlight w:val="none"/>
        </w:rPr>
      </w:pPr>
      <w:r>
        <w:rPr>
          <w:rFonts w:ascii="宋体" w:hAnsi="宋体"/>
          <w:color w:val="auto"/>
          <w:szCs w:val="21"/>
          <w:highlight w:val="none"/>
        </w:rPr>
        <w:t>承包人应按照合同约定和国家有关安全生</w:t>
      </w:r>
      <w:r>
        <w:rPr>
          <w:rFonts w:hint="eastAsia" w:ascii="宋体" w:hAnsi="宋体"/>
          <w:color w:val="auto"/>
          <w:szCs w:val="21"/>
          <w:highlight w:val="none"/>
        </w:rPr>
        <w:t>产</w:t>
      </w:r>
      <w:r>
        <w:rPr>
          <w:rFonts w:ascii="宋体" w:hAnsi="宋体"/>
          <w:color w:val="auto"/>
          <w:szCs w:val="21"/>
          <w:highlight w:val="none"/>
        </w:rPr>
        <w:t>的法律规定， 进行设计、采购、施工、竣工试验，保证工程的安全性能</w:t>
      </w:r>
      <w:r>
        <w:rPr>
          <w:rFonts w:hint="eastAsia" w:ascii="宋体" w:hAnsi="宋体"/>
          <w:color w:val="auto"/>
          <w:szCs w:val="21"/>
          <w:highlight w:val="none"/>
        </w:rPr>
        <w:t>。</w:t>
      </w:r>
    </w:p>
    <w:p>
      <w:pPr>
        <w:spacing w:line="300" w:lineRule="auto"/>
        <w:ind w:firstLine="420" w:firstLineChars="200"/>
        <w:rPr>
          <w:rFonts w:ascii="宋体" w:hAnsi="宋体"/>
          <w:color w:val="auto"/>
          <w:szCs w:val="21"/>
          <w:highlight w:val="none"/>
        </w:rPr>
      </w:pPr>
      <w:r>
        <w:rPr>
          <w:rFonts w:ascii="宋体" w:hAnsi="宋体"/>
          <w:color w:val="auto"/>
          <w:szCs w:val="21"/>
          <w:highlight w:val="none"/>
        </w:rPr>
        <w:t>3.4.2  安全施工</w:t>
      </w:r>
    </w:p>
    <w:p>
      <w:pPr>
        <w:spacing w:line="300" w:lineRule="auto"/>
        <w:ind w:firstLine="420" w:firstLineChars="200"/>
        <w:rPr>
          <w:rFonts w:ascii="宋体" w:hAnsi="宋体"/>
          <w:color w:val="auto"/>
          <w:szCs w:val="21"/>
          <w:highlight w:val="none"/>
        </w:rPr>
      </w:pPr>
      <w:r>
        <w:rPr>
          <w:rFonts w:ascii="宋体" w:hAnsi="宋体"/>
          <w:color w:val="auto"/>
          <w:szCs w:val="21"/>
          <w:highlight w:val="none"/>
        </w:rPr>
        <w:t>承包人应遵守7.8款职业健康、安全和环境保护的约定。</w:t>
      </w:r>
    </w:p>
    <w:p>
      <w:pPr>
        <w:spacing w:line="300" w:lineRule="auto"/>
        <w:ind w:firstLine="420" w:firstLineChars="200"/>
        <w:rPr>
          <w:rFonts w:ascii="宋体" w:hAnsi="宋体"/>
          <w:color w:val="auto"/>
          <w:szCs w:val="21"/>
          <w:highlight w:val="none"/>
        </w:rPr>
      </w:pPr>
      <w:r>
        <w:rPr>
          <w:rFonts w:ascii="宋体" w:hAnsi="宋体"/>
          <w:color w:val="auto"/>
          <w:szCs w:val="21"/>
          <w:highlight w:val="none"/>
        </w:rPr>
        <w:t>3.4.3  因承包人未遵守发包人按2.4.2 款通知的安全规定和位置范围限定所造成的损失和伤害，由承包人负责。</w:t>
      </w:r>
    </w:p>
    <w:p>
      <w:pPr>
        <w:spacing w:line="300" w:lineRule="auto"/>
        <w:ind w:firstLine="420" w:firstLineChars="200"/>
        <w:rPr>
          <w:rFonts w:ascii="宋体" w:hAnsi="宋体"/>
          <w:color w:val="auto"/>
          <w:szCs w:val="21"/>
          <w:highlight w:val="none"/>
        </w:rPr>
      </w:pPr>
      <w:r>
        <w:rPr>
          <w:rFonts w:ascii="宋体" w:hAnsi="宋体"/>
          <w:color w:val="auto"/>
          <w:szCs w:val="21"/>
          <w:highlight w:val="none"/>
        </w:rPr>
        <w:t>3.4.4  承包人全面负责其施工场地的安全管理， 保障所有进入施工场地的人员的安全。因承包人原因所发生的人身伤害、安全事故， 由承包人负责。</w:t>
      </w:r>
    </w:p>
    <w:p>
      <w:pPr>
        <w:spacing w:before="156" w:beforeLines="50" w:after="156" w:afterLines="50" w:line="300" w:lineRule="auto"/>
        <w:ind w:firstLine="422" w:firstLineChars="200"/>
        <w:rPr>
          <w:rFonts w:ascii="宋体" w:hAnsi="宋体"/>
          <w:b/>
          <w:color w:val="auto"/>
          <w:szCs w:val="21"/>
          <w:highlight w:val="none"/>
        </w:rPr>
      </w:pPr>
      <w:r>
        <w:rPr>
          <w:rFonts w:ascii="宋体" w:hAnsi="宋体"/>
          <w:b/>
          <w:color w:val="auto"/>
          <w:szCs w:val="21"/>
          <w:highlight w:val="none"/>
        </w:rPr>
        <w:t>3.5  职业健康和环境保护保证</w:t>
      </w:r>
    </w:p>
    <w:p>
      <w:pPr>
        <w:spacing w:line="300" w:lineRule="auto"/>
        <w:ind w:firstLine="420" w:firstLineChars="200"/>
        <w:rPr>
          <w:rFonts w:ascii="宋体" w:hAnsi="宋体"/>
          <w:color w:val="auto"/>
          <w:szCs w:val="21"/>
          <w:highlight w:val="none"/>
        </w:rPr>
      </w:pPr>
      <w:r>
        <w:rPr>
          <w:rFonts w:ascii="宋体" w:hAnsi="宋体"/>
          <w:color w:val="auto"/>
          <w:szCs w:val="21"/>
          <w:highlight w:val="none"/>
        </w:rPr>
        <w:t>3.5.1  工程设计</w:t>
      </w:r>
    </w:p>
    <w:p>
      <w:pPr>
        <w:spacing w:line="300" w:lineRule="auto"/>
        <w:ind w:firstLine="420" w:firstLineChars="200"/>
        <w:rPr>
          <w:rFonts w:ascii="宋体" w:hAnsi="宋体"/>
          <w:color w:val="auto"/>
          <w:szCs w:val="21"/>
          <w:highlight w:val="none"/>
        </w:rPr>
      </w:pPr>
      <w:r>
        <w:rPr>
          <w:rFonts w:ascii="宋体" w:hAnsi="宋体"/>
          <w:color w:val="auto"/>
          <w:szCs w:val="21"/>
          <w:highlight w:val="none"/>
        </w:rPr>
        <w:t>承包人应按照合同约定，并遵照《建设工程勘察设计管理条例》、《建设工程环境保护条例》及其它相关法律规定进行工程的环境保护设计及职业健康防护设计，保证工程符合环统保护和职业健康相关法律和标准规定。</w:t>
      </w:r>
    </w:p>
    <w:p>
      <w:pPr>
        <w:spacing w:line="300" w:lineRule="auto"/>
        <w:ind w:firstLine="420" w:firstLineChars="200"/>
        <w:rPr>
          <w:rFonts w:ascii="宋体" w:hAnsi="宋体"/>
          <w:color w:val="auto"/>
          <w:szCs w:val="21"/>
          <w:highlight w:val="none"/>
        </w:rPr>
      </w:pPr>
      <w:r>
        <w:rPr>
          <w:rFonts w:ascii="宋体" w:hAnsi="宋体"/>
          <w:color w:val="auto"/>
          <w:szCs w:val="21"/>
          <w:highlight w:val="none"/>
        </w:rPr>
        <w:t>3.5.2  职业健康和环境保护</w:t>
      </w:r>
    </w:p>
    <w:p>
      <w:pPr>
        <w:spacing w:line="300" w:lineRule="auto"/>
        <w:ind w:firstLine="420" w:firstLineChars="200"/>
        <w:rPr>
          <w:rFonts w:ascii="宋体" w:hAnsi="宋体"/>
          <w:color w:val="auto"/>
          <w:szCs w:val="21"/>
          <w:highlight w:val="none"/>
        </w:rPr>
      </w:pPr>
      <w:r>
        <w:rPr>
          <w:rFonts w:ascii="宋体" w:hAnsi="宋体"/>
          <w:color w:val="auto"/>
          <w:szCs w:val="21"/>
          <w:highlight w:val="none"/>
        </w:rPr>
        <w:t>承包人应遵守7.8款职业健康、安全和环境保护的约定。</w:t>
      </w:r>
    </w:p>
    <w:p>
      <w:pPr>
        <w:spacing w:before="156" w:beforeLines="50" w:after="156" w:afterLines="50" w:line="300" w:lineRule="auto"/>
        <w:ind w:firstLine="422" w:firstLineChars="200"/>
        <w:rPr>
          <w:rFonts w:ascii="宋体" w:hAnsi="宋体"/>
          <w:b/>
          <w:color w:val="auto"/>
          <w:szCs w:val="21"/>
          <w:highlight w:val="none"/>
        </w:rPr>
      </w:pPr>
      <w:r>
        <w:rPr>
          <w:rFonts w:ascii="宋体" w:hAnsi="宋体"/>
          <w:b/>
          <w:color w:val="auto"/>
          <w:szCs w:val="21"/>
          <w:highlight w:val="none"/>
        </w:rPr>
        <w:t>3.6  进度保证</w:t>
      </w:r>
    </w:p>
    <w:p>
      <w:pPr>
        <w:spacing w:before="156" w:beforeLines="50" w:after="156" w:afterLines="50" w:line="300" w:lineRule="auto"/>
        <w:ind w:firstLine="420" w:firstLineChars="200"/>
        <w:rPr>
          <w:rFonts w:ascii="宋体" w:hAnsi="宋体"/>
          <w:color w:val="auto"/>
          <w:szCs w:val="21"/>
          <w:highlight w:val="none"/>
        </w:rPr>
      </w:pPr>
      <w:r>
        <w:rPr>
          <w:rFonts w:ascii="宋体" w:hAnsi="宋体"/>
          <w:color w:val="auto"/>
          <w:szCs w:val="21"/>
          <w:highlight w:val="none"/>
        </w:rPr>
        <w:t>承包人按4.1款约定的项目进度计划，合理有序地组织设计、采购、施工、竣工试验所需要的各类资源，以及派出有经验的竣工后试验的指导人员，采用有效的实施方法和组织措施，保证项目进度计划的实现。</w:t>
      </w:r>
    </w:p>
    <w:p>
      <w:pPr>
        <w:spacing w:before="156" w:beforeLines="50" w:after="156" w:afterLines="50" w:line="300" w:lineRule="auto"/>
        <w:ind w:firstLine="422" w:firstLineChars="200"/>
        <w:rPr>
          <w:rFonts w:ascii="宋体" w:hAnsi="宋体"/>
          <w:b/>
          <w:color w:val="auto"/>
          <w:szCs w:val="21"/>
          <w:highlight w:val="none"/>
        </w:rPr>
      </w:pPr>
      <w:r>
        <w:rPr>
          <w:rFonts w:ascii="宋体" w:hAnsi="宋体"/>
          <w:b/>
          <w:color w:val="auto"/>
          <w:szCs w:val="21"/>
          <w:highlight w:val="none"/>
        </w:rPr>
        <w:t>3.7  现场保安</w:t>
      </w:r>
    </w:p>
    <w:p>
      <w:pPr>
        <w:spacing w:before="156" w:beforeLines="50" w:after="156" w:afterLines="50" w:line="300" w:lineRule="auto"/>
        <w:ind w:firstLine="420" w:firstLineChars="200"/>
        <w:rPr>
          <w:rFonts w:ascii="宋体" w:hAnsi="宋体"/>
          <w:color w:val="auto"/>
          <w:szCs w:val="21"/>
          <w:highlight w:val="none"/>
        </w:rPr>
      </w:pPr>
      <w:r>
        <w:rPr>
          <w:rFonts w:ascii="宋体" w:hAnsi="宋体"/>
          <w:color w:val="auto"/>
          <w:szCs w:val="21"/>
          <w:highlight w:val="none"/>
        </w:rPr>
        <w:t>承包人承担其进入现场、施工开工至发包人接收单项工程和（或）工程之前的现场保安责任（含承包人的预制加工场地、办公及生活营区）。并负责编制相关的保安制度、责任制度和报告制度，提交给发包人。</w:t>
      </w:r>
    </w:p>
    <w:p>
      <w:pPr>
        <w:spacing w:before="156" w:beforeLines="50" w:after="156" w:afterLines="50" w:line="300" w:lineRule="auto"/>
        <w:ind w:firstLine="422" w:firstLineChars="200"/>
        <w:rPr>
          <w:rFonts w:ascii="宋体" w:hAnsi="宋体"/>
          <w:b/>
          <w:color w:val="auto"/>
          <w:szCs w:val="21"/>
          <w:highlight w:val="none"/>
        </w:rPr>
      </w:pPr>
      <w:r>
        <w:rPr>
          <w:rFonts w:ascii="宋体" w:hAnsi="宋体"/>
          <w:b/>
          <w:color w:val="auto"/>
          <w:szCs w:val="21"/>
          <w:highlight w:val="none"/>
        </w:rPr>
        <w:t>3.8  分包</w:t>
      </w:r>
    </w:p>
    <w:p>
      <w:pPr>
        <w:tabs>
          <w:tab w:val="left" w:pos="6789"/>
        </w:tabs>
        <w:spacing w:line="300" w:lineRule="auto"/>
        <w:ind w:firstLine="420" w:firstLineChars="200"/>
        <w:rPr>
          <w:rFonts w:ascii="宋体" w:hAnsi="宋体"/>
          <w:color w:val="auto"/>
          <w:szCs w:val="21"/>
          <w:highlight w:val="none"/>
        </w:rPr>
      </w:pPr>
      <w:r>
        <w:rPr>
          <w:rFonts w:ascii="宋体" w:hAnsi="宋体"/>
          <w:color w:val="auto"/>
          <w:szCs w:val="21"/>
          <w:highlight w:val="none"/>
        </w:rPr>
        <w:t>3.8.1  分包约定</w:t>
      </w:r>
      <w:r>
        <w:rPr>
          <w:rFonts w:ascii="宋体" w:hAnsi="宋体"/>
          <w:color w:val="auto"/>
          <w:szCs w:val="21"/>
          <w:highlight w:val="none"/>
        </w:rPr>
        <w:tab/>
      </w:r>
    </w:p>
    <w:p>
      <w:pPr>
        <w:spacing w:line="300" w:lineRule="auto"/>
        <w:ind w:firstLine="420" w:firstLineChars="200"/>
        <w:rPr>
          <w:rFonts w:ascii="宋体" w:hAnsi="宋体"/>
          <w:color w:val="auto"/>
          <w:szCs w:val="21"/>
          <w:highlight w:val="none"/>
        </w:rPr>
      </w:pPr>
      <w:r>
        <w:rPr>
          <w:rFonts w:ascii="宋体" w:hAnsi="宋体"/>
          <w:color w:val="auto"/>
          <w:szCs w:val="21"/>
          <w:highlight w:val="none"/>
        </w:rPr>
        <w:t>承包人只能对专用条款约定列出的工作事项（含设计、采购、施工、劳务服务、竣工试验等）进行分包。</w:t>
      </w:r>
    </w:p>
    <w:p>
      <w:pPr>
        <w:spacing w:line="300" w:lineRule="auto"/>
        <w:ind w:firstLine="420" w:firstLineChars="200"/>
        <w:rPr>
          <w:rFonts w:ascii="宋体" w:hAnsi="宋体"/>
          <w:color w:val="auto"/>
          <w:szCs w:val="21"/>
          <w:highlight w:val="none"/>
        </w:rPr>
      </w:pPr>
      <w:r>
        <w:rPr>
          <w:rFonts w:ascii="宋体" w:hAnsi="宋体"/>
          <w:color w:val="auto"/>
          <w:szCs w:val="21"/>
          <w:highlight w:val="none"/>
        </w:rPr>
        <w:t>专用条款未列出的分包事项，承包人可在工程实施阶段分批分期就分包事项向发包人提交申请， 发包人在接到分包事项申请后的15日内，予以批准或提出意见。发包人未能在15日批准亦未提出意见的，承包人有权在提交该分包事项后的第1 6 日开始， 将提出的拟分包事项对外分包.</w:t>
      </w:r>
    </w:p>
    <w:p>
      <w:pPr>
        <w:spacing w:line="300" w:lineRule="auto"/>
        <w:ind w:firstLine="420" w:firstLineChars="200"/>
        <w:rPr>
          <w:rFonts w:ascii="宋体" w:hAnsi="宋体"/>
          <w:color w:val="auto"/>
          <w:szCs w:val="21"/>
          <w:highlight w:val="none"/>
        </w:rPr>
      </w:pPr>
      <w:r>
        <w:rPr>
          <w:rFonts w:ascii="宋体" w:hAnsi="宋体"/>
          <w:color w:val="auto"/>
          <w:szCs w:val="21"/>
          <w:highlight w:val="none"/>
        </w:rPr>
        <w:t>3.8.2  分包人资质</w:t>
      </w:r>
    </w:p>
    <w:p>
      <w:pPr>
        <w:spacing w:line="300" w:lineRule="auto"/>
        <w:ind w:firstLine="420" w:firstLineChars="200"/>
        <w:rPr>
          <w:rFonts w:ascii="宋体" w:hAnsi="宋体"/>
          <w:color w:val="auto"/>
          <w:szCs w:val="21"/>
          <w:highlight w:val="none"/>
        </w:rPr>
      </w:pPr>
      <w:r>
        <w:rPr>
          <w:rFonts w:ascii="宋体" w:hAnsi="宋体"/>
          <w:color w:val="auto"/>
          <w:szCs w:val="21"/>
          <w:highlight w:val="none"/>
        </w:rPr>
        <w:t>分包人应符合国家法律规定的企业资质等级，否则不能作为分包人。承包人有义务对分包人的资质进行审查。</w:t>
      </w:r>
    </w:p>
    <w:p>
      <w:pPr>
        <w:spacing w:line="300" w:lineRule="auto"/>
        <w:ind w:firstLine="420" w:firstLineChars="200"/>
        <w:rPr>
          <w:rFonts w:ascii="宋体" w:hAnsi="宋体"/>
          <w:color w:val="auto"/>
          <w:szCs w:val="21"/>
          <w:highlight w:val="none"/>
        </w:rPr>
      </w:pPr>
      <w:r>
        <w:rPr>
          <w:rFonts w:ascii="宋体" w:hAnsi="宋体"/>
          <w:color w:val="auto"/>
          <w:szCs w:val="21"/>
          <w:highlight w:val="none"/>
        </w:rPr>
        <w:t>3.8.3  承包人不得将承包的工程对外转包，也不得得以肢解方式将承包的全部工程对外分包。</w:t>
      </w:r>
    </w:p>
    <w:p>
      <w:pPr>
        <w:spacing w:line="300" w:lineRule="auto"/>
        <w:ind w:firstLine="420" w:firstLineChars="200"/>
        <w:rPr>
          <w:rFonts w:ascii="宋体" w:hAnsi="宋体"/>
          <w:color w:val="auto"/>
          <w:szCs w:val="21"/>
          <w:highlight w:val="none"/>
        </w:rPr>
      </w:pPr>
      <w:r>
        <w:rPr>
          <w:rFonts w:ascii="宋体" w:hAnsi="宋体"/>
          <w:color w:val="auto"/>
          <w:szCs w:val="21"/>
          <w:highlight w:val="none"/>
        </w:rPr>
        <w:t>3.8.4  设计、施工和工程物资等分包人，应严格执行国家有关分包事项的管理规定。</w:t>
      </w:r>
    </w:p>
    <w:p>
      <w:pPr>
        <w:spacing w:line="300" w:lineRule="auto"/>
        <w:ind w:firstLine="420" w:firstLineChars="200"/>
        <w:rPr>
          <w:rFonts w:ascii="宋体" w:hAnsi="宋体"/>
          <w:color w:val="auto"/>
          <w:szCs w:val="21"/>
          <w:highlight w:val="none"/>
        </w:rPr>
      </w:pPr>
      <w:r>
        <w:rPr>
          <w:rFonts w:ascii="宋体" w:hAnsi="宋体"/>
          <w:color w:val="auto"/>
          <w:szCs w:val="21"/>
          <w:highlight w:val="none"/>
        </w:rPr>
        <w:t>3.8.5  对分包人的付款</w:t>
      </w:r>
    </w:p>
    <w:p>
      <w:pPr>
        <w:spacing w:line="300" w:lineRule="auto"/>
        <w:ind w:firstLine="420" w:firstLineChars="200"/>
        <w:rPr>
          <w:rFonts w:ascii="宋体" w:hAnsi="宋体"/>
          <w:color w:val="auto"/>
          <w:szCs w:val="21"/>
          <w:highlight w:val="none"/>
        </w:rPr>
      </w:pPr>
      <w:r>
        <w:rPr>
          <w:rFonts w:ascii="宋体" w:hAnsi="宋体"/>
          <w:color w:val="auto"/>
          <w:szCs w:val="21"/>
          <w:highlight w:val="none"/>
        </w:rPr>
        <w:t>承包人应按分包合同约定，按时向分包人支付合同价款。除非专用条款另有约定外，未经承包人同意，发包人不得以任何形式向分包人支付任何款项。</w:t>
      </w:r>
    </w:p>
    <w:p>
      <w:pPr>
        <w:spacing w:line="300" w:lineRule="auto"/>
        <w:ind w:firstLine="420" w:firstLineChars="200"/>
        <w:rPr>
          <w:rFonts w:ascii="宋体" w:hAnsi="宋体"/>
          <w:color w:val="auto"/>
          <w:szCs w:val="21"/>
          <w:highlight w:val="none"/>
        </w:rPr>
      </w:pPr>
      <w:r>
        <w:rPr>
          <w:rFonts w:ascii="宋体" w:hAnsi="宋体"/>
          <w:color w:val="auto"/>
          <w:szCs w:val="21"/>
          <w:highlight w:val="none"/>
        </w:rPr>
        <w:t>3.8.6  承包人对分包人负责</w:t>
      </w:r>
    </w:p>
    <w:p>
      <w:pPr>
        <w:spacing w:line="300" w:lineRule="auto"/>
        <w:ind w:firstLine="420" w:firstLineChars="200"/>
        <w:rPr>
          <w:rFonts w:ascii="宋体" w:hAnsi="宋体"/>
          <w:color w:val="auto"/>
          <w:szCs w:val="21"/>
          <w:highlight w:val="none"/>
        </w:rPr>
      </w:pPr>
      <w:r>
        <w:rPr>
          <w:rFonts w:ascii="宋体" w:hAnsi="宋体"/>
          <w:color w:val="auto"/>
          <w:szCs w:val="21"/>
          <w:highlight w:val="none"/>
        </w:rPr>
        <w:t>承包人对分包人的行为向发包人负责，承包人和分包人就分包工作向发包人承担连带责任。</w:t>
      </w:r>
    </w:p>
    <w:p>
      <w:pPr>
        <w:spacing w:before="156" w:beforeLines="50" w:after="156" w:afterLines="50" w:line="300" w:lineRule="auto"/>
        <w:ind w:firstLine="422" w:firstLineChars="200"/>
        <w:rPr>
          <w:rFonts w:ascii="宋体" w:hAnsi="宋体"/>
          <w:b/>
          <w:color w:val="auto"/>
          <w:szCs w:val="21"/>
          <w:highlight w:val="none"/>
        </w:rPr>
      </w:pPr>
      <w:r>
        <w:rPr>
          <w:rFonts w:ascii="宋体" w:hAnsi="宋体"/>
          <w:b/>
          <w:color w:val="auto"/>
          <w:szCs w:val="21"/>
          <w:highlight w:val="none"/>
        </w:rPr>
        <w:t>第4条  进度计划、延误和暂停</w:t>
      </w:r>
    </w:p>
    <w:p>
      <w:pPr>
        <w:spacing w:before="156" w:beforeLines="50" w:after="156" w:afterLines="50" w:line="300" w:lineRule="auto"/>
        <w:ind w:firstLine="422" w:firstLineChars="200"/>
        <w:rPr>
          <w:rFonts w:ascii="宋体" w:hAnsi="宋体"/>
          <w:b/>
          <w:color w:val="auto"/>
          <w:szCs w:val="21"/>
          <w:highlight w:val="none"/>
        </w:rPr>
      </w:pPr>
      <w:r>
        <w:rPr>
          <w:rFonts w:ascii="宋体" w:hAnsi="宋体"/>
          <w:b/>
          <w:color w:val="auto"/>
          <w:szCs w:val="21"/>
          <w:highlight w:val="none"/>
        </w:rPr>
        <w:t>4.1  项目进度计划</w:t>
      </w:r>
    </w:p>
    <w:p>
      <w:pPr>
        <w:spacing w:line="300" w:lineRule="auto"/>
        <w:ind w:firstLine="420" w:firstLineChars="200"/>
        <w:rPr>
          <w:rFonts w:ascii="宋体" w:hAnsi="宋体"/>
          <w:color w:val="auto"/>
          <w:szCs w:val="21"/>
          <w:highlight w:val="none"/>
        </w:rPr>
      </w:pPr>
      <w:r>
        <w:rPr>
          <w:rFonts w:ascii="宋体" w:hAnsi="宋体"/>
          <w:color w:val="auto"/>
          <w:szCs w:val="21"/>
          <w:highlight w:val="none"/>
        </w:rPr>
        <w:t>4.1.1  项目进度计划</w:t>
      </w:r>
    </w:p>
    <w:p>
      <w:pPr>
        <w:spacing w:line="300" w:lineRule="auto"/>
        <w:ind w:firstLine="420" w:firstLineChars="200"/>
        <w:rPr>
          <w:rFonts w:ascii="宋体" w:hAnsi="宋体"/>
          <w:color w:val="auto"/>
          <w:szCs w:val="21"/>
          <w:highlight w:val="none"/>
        </w:rPr>
      </w:pPr>
      <w:r>
        <w:rPr>
          <w:rFonts w:ascii="宋体" w:hAnsi="宋体"/>
          <w:color w:val="auto"/>
          <w:szCs w:val="21"/>
          <w:highlight w:val="none"/>
        </w:rPr>
        <w:t>承包人负责编制项目进度计划，项目进度计划中的施工期限(含竣工试验)，应符合合同协议书的约定。关键路径及关键路径变化的确定原则、承包人提交项目进度计划的份数和时间， 在专用条款约定。</w:t>
      </w:r>
    </w:p>
    <w:p>
      <w:pPr>
        <w:spacing w:line="300" w:lineRule="auto"/>
        <w:ind w:firstLine="420" w:firstLineChars="200"/>
        <w:rPr>
          <w:rFonts w:ascii="宋体" w:hAnsi="宋体"/>
          <w:color w:val="auto"/>
          <w:szCs w:val="21"/>
          <w:highlight w:val="none"/>
        </w:rPr>
      </w:pPr>
      <w:r>
        <w:rPr>
          <w:rFonts w:ascii="宋体" w:hAnsi="宋体"/>
          <w:color w:val="auto"/>
          <w:szCs w:val="21"/>
          <w:highlight w:val="none"/>
        </w:rPr>
        <w:t>项目进度计划经发包人批准后实施， 但发包人的批准并不能减轻或免除承包人的合同责任。</w:t>
      </w:r>
    </w:p>
    <w:p>
      <w:pPr>
        <w:spacing w:line="300" w:lineRule="auto"/>
        <w:ind w:firstLine="420" w:firstLineChars="200"/>
        <w:rPr>
          <w:rFonts w:ascii="宋体" w:hAnsi="宋体"/>
          <w:color w:val="auto"/>
          <w:szCs w:val="21"/>
          <w:highlight w:val="none"/>
        </w:rPr>
      </w:pPr>
      <w:r>
        <w:rPr>
          <w:rFonts w:ascii="宋体" w:hAnsi="宋体"/>
          <w:color w:val="auto"/>
          <w:szCs w:val="21"/>
          <w:highlight w:val="none"/>
        </w:rPr>
        <w:t>4.1.2  自费赶上项目进度计划</w:t>
      </w:r>
    </w:p>
    <w:p>
      <w:pPr>
        <w:spacing w:line="300" w:lineRule="auto"/>
        <w:ind w:firstLine="420" w:firstLineChars="200"/>
        <w:rPr>
          <w:rFonts w:ascii="宋体" w:hAnsi="宋体"/>
          <w:color w:val="auto"/>
          <w:szCs w:val="21"/>
          <w:highlight w:val="none"/>
        </w:rPr>
      </w:pPr>
      <w:r>
        <w:rPr>
          <w:rFonts w:ascii="宋体" w:hAnsi="宋体"/>
          <w:color w:val="auto"/>
          <w:szCs w:val="21"/>
          <w:highlight w:val="none"/>
        </w:rPr>
        <w:t>承包人原因使工程实际进度明显落后于项目进度计划时，承包人有义务、发包人也有权利要求承包人自费采取措施，赶上项目进度计划。</w:t>
      </w:r>
    </w:p>
    <w:p>
      <w:pPr>
        <w:spacing w:line="300" w:lineRule="auto"/>
        <w:ind w:firstLine="420" w:firstLineChars="200"/>
        <w:rPr>
          <w:rFonts w:ascii="宋体" w:hAnsi="宋体"/>
          <w:color w:val="auto"/>
          <w:szCs w:val="21"/>
          <w:highlight w:val="none"/>
        </w:rPr>
      </w:pPr>
      <w:r>
        <w:rPr>
          <w:rFonts w:ascii="宋体" w:hAnsi="宋体"/>
          <w:color w:val="auto"/>
          <w:szCs w:val="21"/>
          <w:highlight w:val="none"/>
        </w:rPr>
        <w:t>4.1.3  项目进度计划的调整</w:t>
      </w:r>
    </w:p>
    <w:p>
      <w:pPr>
        <w:spacing w:line="300" w:lineRule="auto"/>
        <w:ind w:firstLine="420" w:firstLineChars="200"/>
        <w:rPr>
          <w:rFonts w:ascii="宋体" w:hAnsi="宋体"/>
          <w:color w:val="auto"/>
          <w:szCs w:val="21"/>
          <w:highlight w:val="none"/>
        </w:rPr>
      </w:pPr>
      <w:r>
        <w:rPr>
          <w:rFonts w:ascii="宋体" w:hAnsi="宋体"/>
          <w:color w:val="auto"/>
          <w:szCs w:val="21"/>
          <w:highlight w:val="none"/>
        </w:rPr>
        <w:t>出现下列情况，竣工日期相应顺延，并对项目进度计划进行调整：</w:t>
      </w:r>
    </w:p>
    <w:p>
      <w:pPr>
        <w:spacing w:line="300" w:lineRule="auto"/>
        <w:ind w:firstLine="420" w:firstLineChars="200"/>
        <w:rPr>
          <w:rFonts w:ascii="宋体" w:hAnsi="宋体"/>
          <w:color w:val="auto"/>
          <w:szCs w:val="21"/>
          <w:highlight w:val="none"/>
        </w:rPr>
      </w:pPr>
      <w:r>
        <w:rPr>
          <w:rFonts w:ascii="宋体" w:hAnsi="宋体"/>
          <w:color w:val="auto"/>
          <w:szCs w:val="21"/>
          <w:highlight w:val="none"/>
        </w:rPr>
        <w:t>（1）发包人根据5.2.1款提供的项目基础资料和现场障碍资料不真实、不准确、不齐全、不及时，或未能按14.3.1款约定的预付款金额和14.3.2款约定的付款时间付款，导致4.3.2款约定的设计开工日期延误，或4.4.2款约定的采购开始日期延误，或造成施工开工日期延误的。</w:t>
      </w:r>
    </w:p>
    <w:p>
      <w:pPr>
        <w:spacing w:line="300" w:lineRule="auto"/>
        <w:ind w:firstLine="420" w:firstLineChars="200"/>
        <w:rPr>
          <w:rFonts w:ascii="宋体" w:hAnsi="宋体"/>
          <w:color w:val="auto"/>
          <w:szCs w:val="21"/>
          <w:highlight w:val="none"/>
        </w:rPr>
      </w:pPr>
      <w:r>
        <w:rPr>
          <w:rFonts w:ascii="宋体" w:hAnsi="宋体"/>
          <w:color w:val="auto"/>
          <w:szCs w:val="21"/>
          <w:highlight w:val="none"/>
        </w:rPr>
        <w:t>（2）根据4.2.4款第2项的约定，因发包人原因，导致某个设计阶段审核会议时间的延误。</w:t>
      </w:r>
    </w:p>
    <w:p>
      <w:pPr>
        <w:spacing w:line="300" w:lineRule="auto"/>
        <w:ind w:firstLine="420" w:firstLineChars="200"/>
        <w:rPr>
          <w:rFonts w:ascii="宋体" w:hAnsi="宋体"/>
          <w:color w:val="auto"/>
          <w:szCs w:val="21"/>
          <w:highlight w:val="none"/>
        </w:rPr>
      </w:pPr>
      <w:r>
        <w:rPr>
          <w:rFonts w:ascii="宋体" w:hAnsi="宋体"/>
          <w:color w:val="auto"/>
          <w:szCs w:val="21"/>
          <w:highlight w:val="none"/>
        </w:rPr>
        <w:t>（3）根据4.2.4款第3项的约定，相关设计审查部门批准时间较合同约定的时间延长的。</w:t>
      </w:r>
    </w:p>
    <w:p>
      <w:pPr>
        <w:spacing w:line="300" w:lineRule="auto"/>
        <w:ind w:firstLine="420" w:firstLineChars="200"/>
        <w:rPr>
          <w:rFonts w:ascii="宋体" w:hAnsi="宋体"/>
          <w:color w:val="auto"/>
          <w:szCs w:val="21"/>
          <w:highlight w:val="none"/>
        </w:rPr>
      </w:pPr>
      <w:r>
        <w:rPr>
          <w:rFonts w:ascii="宋体" w:hAnsi="宋体"/>
          <w:color w:val="auto"/>
          <w:szCs w:val="21"/>
          <w:highlight w:val="none"/>
        </w:rPr>
        <w:t>（4）根据合同约定的其它延长竣工日期的情况。</w:t>
      </w:r>
    </w:p>
    <w:p>
      <w:pPr>
        <w:spacing w:line="300" w:lineRule="auto"/>
        <w:ind w:firstLine="420" w:firstLineChars="200"/>
        <w:rPr>
          <w:rFonts w:ascii="宋体" w:hAnsi="宋体"/>
          <w:color w:val="auto"/>
          <w:szCs w:val="21"/>
          <w:highlight w:val="none"/>
        </w:rPr>
      </w:pPr>
      <w:r>
        <w:rPr>
          <w:rFonts w:ascii="宋体" w:hAnsi="宋体"/>
          <w:color w:val="auto"/>
          <w:szCs w:val="21"/>
          <w:highlight w:val="none"/>
        </w:rPr>
        <w:t>4.1.4  发包人的赶工要求</w:t>
      </w:r>
    </w:p>
    <w:p>
      <w:pPr>
        <w:spacing w:line="300" w:lineRule="auto"/>
        <w:ind w:firstLine="420" w:firstLineChars="200"/>
        <w:rPr>
          <w:rFonts w:ascii="宋体" w:hAnsi="宋体"/>
          <w:color w:val="auto"/>
          <w:szCs w:val="21"/>
          <w:highlight w:val="none"/>
        </w:rPr>
      </w:pPr>
      <w:r>
        <w:rPr>
          <w:rFonts w:ascii="宋体" w:hAnsi="宋体"/>
          <w:color w:val="auto"/>
          <w:szCs w:val="21"/>
          <w:highlight w:val="none"/>
        </w:rPr>
        <w:t>合同实施过程中发包人书面提出加快设计、采购、施工、竣工试验的赶工要求，被承包人接受时，承包人应提交赶工方案，采取赶工措施。因赶工引起的费用增加，按13.2.4 款的变更约定执行。</w:t>
      </w:r>
    </w:p>
    <w:p>
      <w:pPr>
        <w:spacing w:before="156" w:beforeLines="50" w:after="156" w:afterLines="50" w:line="300" w:lineRule="auto"/>
        <w:ind w:firstLine="422" w:firstLineChars="200"/>
        <w:rPr>
          <w:rFonts w:ascii="宋体" w:hAnsi="宋体"/>
          <w:b/>
          <w:color w:val="auto"/>
          <w:szCs w:val="21"/>
          <w:highlight w:val="none"/>
        </w:rPr>
      </w:pPr>
      <w:r>
        <w:rPr>
          <w:rFonts w:ascii="宋体" w:hAnsi="宋体"/>
          <w:b/>
          <w:color w:val="auto"/>
          <w:szCs w:val="21"/>
          <w:highlight w:val="none"/>
        </w:rPr>
        <w:t>4.2  设计进度计划</w:t>
      </w:r>
    </w:p>
    <w:p>
      <w:pPr>
        <w:spacing w:line="300" w:lineRule="auto"/>
        <w:ind w:firstLine="420" w:firstLineChars="200"/>
        <w:rPr>
          <w:rFonts w:ascii="宋体" w:hAnsi="宋体"/>
          <w:color w:val="auto"/>
          <w:szCs w:val="21"/>
          <w:highlight w:val="none"/>
        </w:rPr>
      </w:pPr>
      <w:r>
        <w:rPr>
          <w:rFonts w:ascii="宋体" w:hAnsi="宋体"/>
          <w:color w:val="auto"/>
          <w:szCs w:val="21"/>
          <w:highlight w:val="none"/>
        </w:rPr>
        <w:t>4.2.1  设计进度计划</w:t>
      </w:r>
    </w:p>
    <w:p>
      <w:pPr>
        <w:spacing w:line="300" w:lineRule="auto"/>
        <w:ind w:firstLine="420" w:firstLineChars="200"/>
        <w:rPr>
          <w:rFonts w:ascii="宋体" w:hAnsi="宋体"/>
          <w:color w:val="auto"/>
          <w:szCs w:val="21"/>
          <w:highlight w:val="none"/>
        </w:rPr>
      </w:pPr>
      <w:r>
        <w:rPr>
          <w:rFonts w:ascii="宋体" w:hAnsi="宋体"/>
          <w:color w:val="auto"/>
          <w:szCs w:val="21"/>
          <w:highlight w:val="none"/>
        </w:rPr>
        <w:t>承包人根据批准的项目进度计划和5.3.1款约定的设计审查阶段及发包人组织的设计阶段审查会议的时间安排，编制设计进度计划。设计进度计划经发包人认可后执行。发包人的认可并不能解除承包人的合同责任。</w:t>
      </w:r>
    </w:p>
    <w:p>
      <w:pPr>
        <w:spacing w:line="300" w:lineRule="auto"/>
        <w:ind w:firstLine="420" w:firstLineChars="200"/>
        <w:rPr>
          <w:rFonts w:ascii="宋体" w:hAnsi="宋体"/>
          <w:color w:val="auto"/>
          <w:szCs w:val="21"/>
          <w:highlight w:val="none"/>
        </w:rPr>
      </w:pPr>
      <w:r>
        <w:rPr>
          <w:rFonts w:ascii="宋体" w:hAnsi="宋体"/>
          <w:color w:val="auto"/>
          <w:szCs w:val="21"/>
          <w:highlight w:val="none"/>
        </w:rPr>
        <w:t>4.2.2  设计开工日期</w:t>
      </w:r>
    </w:p>
    <w:p>
      <w:pPr>
        <w:spacing w:line="300" w:lineRule="auto"/>
        <w:ind w:firstLine="420" w:firstLineChars="200"/>
        <w:rPr>
          <w:rFonts w:ascii="宋体" w:hAnsi="宋体"/>
          <w:color w:val="auto"/>
          <w:szCs w:val="21"/>
          <w:highlight w:val="none"/>
        </w:rPr>
      </w:pPr>
      <w:r>
        <w:rPr>
          <w:rFonts w:ascii="宋体" w:hAnsi="宋体"/>
          <w:color w:val="auto"/>
          <w:szCs w:val="21"/>
          <w:highlight w:val="none"/>
        </w:rPr>
        <w:t>承包人收到发包人按5.2.1款提供的项目基础资料、现场障碍资料，及14.3.2款的预付款收到后的第5日，作为设计开工日期。</w:t>
      </w:r>
    </w:p>
    <w:p>
      <w:pPr>
        <w:spacing w:line="300" w:lineRule="auto"/>
        <w:ind w:firstLine="420" w:firstLineChars="200"/>
        <w:rPr>
          <w:rFonts w:ascii="宋体" w:hAnsi="宋体"/>
          <w:color w:val="auto"/>
          <w:szCs w:val="21"/>
          <w:highlight w:val="none"/>
        </w:rPr>
      </w:pPr>
      <w:r>
        <w:rPr>
          <w:rFonts w:ascii="宋体" w:hAnsi="宋体"/>
          <w:color w:val="auto"/>
          <w:szCs w:val="21"/>
          <w:highlight w:val="none"/>
        </w:rPr>
        <w:t>4.2.3  设计开工日期延误</w:t>
      </w:r>
    </w:p>
    <w:p>
      <w:pPr>
        <w:spacing w:line="300" w:lineRule="auto"/>
        <w:ind w:firstLine="420" w:firstLineChars="200"/>
        <w:rPr>
          <w:rFonts w:ascii="宋体" w:hAnsi="宋体"/>
          <w:color w:val="auto"/>
          <w:szCs w:val="21"/>
          <w:highlight w:val="none"/>
        </w:rPr>
      </w:pPr>
      <w:r>
        <w:rPr>
          <w:rFonts w:ascii="宋体" w:hAnsi="宋体"/>
          <w:color w:val="auto"/>
          <w:szCs w:val="21"/>
          <w:highlight w:val="none"/>
        </w:rPr>
        <w:t>因发包人未能按5.2.1款的约定提供设计基础资料、现场障碍资料等相关资料、或未按14.3.1款和14.3.2款约定的预付款金额和支付时间支付预付款，造成设计开工日期延误的，设计开工日朗和工程竣工日期相应顺延；因承包人原因造成设计开工日期延误的，按4.1.2 款的约定，自费赶上。因发包人原因给承包人造成经济损失的，应支付相应费用。</w:t>
      </w:r>
    </w:p>
    <w:p>
      <w:pPr>
        <w:spacing w:line="300" w:lineRule="auto"/>
        <w:ind w:firstLine="420" w:firstLineChars="200"/>
        <w:rPr>
          <w:rFonts w:ascii="宋体" w:hAnsi="宋体"/>
          <w:color w:val="auto"/>
          <w:szCs w:val="21"/>
          <w:highlight w:val="none"/>
        </w:rPr>
      </w:pPr>
      <w:r>
        <w:rPr>
          <w:rFonts w:ascii="宋体" w:hAnsi="宋体"/>
          <w:color w:val="auto"/>
          <w:szCs w:val="21"/>
          <w:highlight w:val="none"/>
        </w:rPr>
        <w:t>4.2.4  设计阶段审查日期的延误</w:t>
      </w:r>
    </w:p>
    <w:p>
      <w:pPr>
        <w:spacing w:line="300" w:lineRule="auto"/>
        <w:ind w:firstLine="420" w:firstLineChars="200"/>
        <w:rPr>
          <w:rFonts w:ascii="宋体" w:hAnsi="宋体"/>
          <w:color w:val="auto"/>
          <w:szCs w:val="21"/>
          <w:highlight w:val="none"/>
        </w:rPr>
      </w:pPr>
      <w:r>
        <w:rPr>
          <w:rFonts w:ascii="宋体" w:hAnsi="宋体"/>
          <w:color w:val="auto"/>
          <w:szCs w:val="21"/>
          <w:highlight w:val="none"/>
        </w:rPr>
        <w:t>（1） 因承包人原因，未能按照合同约定的设计审查阶段及其审查会议的时间安排提交相关阶段的设计文件、或提交的相关设计文件不符合相关审核阶段的设计深度要求时，造成设计审查会议延误的，由承包人依据4. 1. 2 款的约定， 自费采取措施赶上；造成关键路径延误，或给发包人造成损失（审核会议准备费用）的，由承包人承担。</w:t>
      </w:r>
    </w:p>
    <w:p>
      <w:pPr>
        <w:spacing w:line="300" w:lineRule="auto"/>
        <w:ind w:firstLine="420" w:firstLineChars="200"/>
        <w:rPr>
          <w:rFonts w:ascii="宋体" w:hAnsi="宋体"/>
          <w:color w:val="auto"/>
          <w:szCs w:val="21"/>
          <w:highlight w:val="none"/>
        </w:rPr>
      </w:pPr>
      <w:r>
        <w:rPr>
          <w:rFonts w:ascii="宋体" w:hAnsi="宋体"/>
          <w:color w:val="auto"/>
          <w:szCs w:val="21"/>
          <w:highlight w:val="none"/>
        </w:rPr>
        <w:t>（2） 因发包人原因，未能按照合同约定的设计阶段审查会议的时间安排，造成某个设计阶段审查会议延误的，竣工日期相应顺延。因此给承包人带来的窝工损失， 由发包人承担。</w:t>
      </w:r>
    </w:p>
    <w:p>
      <w:pPr>
        <w:spacing w:line="300" w:lineRule="auto"/>
        <w:ind w:firstLine="420" w:firstLineChars="200"/>
        <w:rPr>
          <w:rFonts w:ascii="宋体" w:hAnsi="宋体"/>
          <w:color w:val="auto"/>
          <w:szCs w:val="21"/>
          <w:highlight w:val="none"/>
        </w:rPr>
      </w:pPr>
      <w:r>
        <w:rPr>
          <w:rFonts w:ascii="宋体" w:hAnsi="宋体"/>
          <w:color w:val="auto"/>
          <w:szCs w:val="21"/>
          <w:highlight w:val="none"/>
        </w:rPr>
        <w:t>（3） 政府相关设计审查部门批准时间较合同约定时间延长的，竣工日期相应顺延。因此给双方带来的费用增加，由双方各自承担。</w:t>
      </w:r>
    </w:p>
    <w:p>
      <w:pPr>
        <w:spacing w:before="156" w:beforeLines="50" w:after="156" w:afterLines="50" w:line="300" w:lineRule="auto"/>
        <w:ind w:firstLine="422" w:firstLineChars="200"/>
        <w:rPr>
          <w:rFonts w:ascii="宋体" w:hAnsi="宋体"/>
          <w:b/>
          <w:color w:val="auto"/>
          <w:szCs w:val="21"/>
          <w:highlight w:val="none"/>
        </w:rPr>
      </w:pPr>
      <w:r>
        <w:rPr>
          <w:rFonts w:ascii="宋体" w:hAnsi="宋体"/>
          <w:b/>
          <w:color w:val="auto"/>
          <w:szCs w:val="21"/>
          <w:highlight w:val="none"/>
        </w:rPr>
        <w:t>4.3  采购进度计划</w:t>
      </w:r>
    </w:p>
    <w:p>
      <w:pPr>
        <w:spacing w:line="300" w:lineRule="auto"/>
        <w:ind w:firstLine="420" w:firstLineChars="200"/>
        <w:rPr>
          <w:rFonts w:ascii="宋体" w:hAnsi="宋体"/>
          <w:color w:val="auto"/>
          <w:szCs w:val="21"/>
          <w:highlight w:val="none"/>
        </w:rPr>
      </w:pPr>
      <w:r>
        <w:rPr>
          <w:rFonts w:ascii="宋体" w:hAnsi="宋体"/>
          <w:color w:val="auto"/>
          <w:szCs w:val="21"/>
          <w:highlight w:val="none"/>
        </w:rPr>
        <w:t>4.3.1  采购进度计划</w:t>
      </w:r>
    </w:p>
    <w:p>
      <w:pPr>
        <w:spacing w:line="300" w:lineRule="auto"/>
        <w:ind w:firstLine="420" w:firstLineChars="200"/>
        <w:rPr>
          <w:rFonts w:ascii="宋体" w:hAnsi="宋体"/>
          <w:color w:val="auto"/>
          <w:szCs w:val="21"/>
          <w:highlight w:val="none"/>
        </w:rPr>
      </w:pPr>
      <w:r>
        <w:rPr>
          <w:rFonts w:ascii="宋体" w:hAnsi="宋体"/>
          <w:color w:val="auto"/>
          <w:szCs w:val="21"/>
          <w:highlight w:val="none"/>
        </w:rPr>
        <w:t>承包人的采购进度计划符合项目进度计划的时间安排，并与设计、施工、和（或）竣工试验及竣工后试验的进度计划相衔接。采购进度计划的提交份数和日期，在专用条款约定。</w:t>
      </w:r>
    </w:p>
    <w:p>
      <w:pPr>
        <w:spacing w:line="300" w:lineRule="auto"/>
        <w:ind w:firstLine="420" w:firstLineChars="200"/>
        <w:rPr>
          <w:rFonts w:ascii="宋体" w:hAnsi="宋体"/>
          <w:color w:val="auto"/>
          <w:szCs w:val="21"/>
          <w:highlight w:val="none"/>
        </w:rPr>
      </w:pPr>
      <w:r>
        <w:rPr>
          <w:rFonts w:ascii="宋体" w:hAnsi="宋体"/>
          <w:color w:val="auto"/>
          <w:szCs w:val="21"/>
          <w:highlight w:val="none"/>
        </w:rPr>
        <w:t>4.3.2  采购开始日期</w:t>
      </w:r>
    </w:p>
    <w:p>
      <w:pPr>
        <w:spacing w:line="300" w:lineRule="auto"/>
        <w:ind w:firstLine="420" w:firstLineChars="200"/>
        <w:rPr>
          <w:rFonts w:ascii="宋体" w:hAnsi="宋体"/>
          <w:color w:val="auto"/>
          <w:szCs w:val="21"/>
          <w:highlight w:val="none"/>
        </w:rPr>
      </w:pPr>
      <w:r>
        <w:rPr>
          <w:rFonts w:ascii="宋体" w:hAnsi="宋体"/>
          <w:color w:val="auto"/>
          <w:szCs w:val="21"/>
          <w:highlight w:val="none"/>
        </w:rPr>
        <w:t>采购开始日期在专用条款约定。</w:t>
      </w:r>
    </w:p>
    <w:p>
      <w:pPr>
        <w:spacing w:line="300" w:lineRule="auto"/>
        <w:ind w:firstLine="420" w:firstLineChars="200"/>
        <w:rPr>
          <w:rFonts w:ascii="宋体" w:hAnsi="宋体"/>
          <w:color w:val="auto"/>
          <w:szCs w:val="21"/>
          <w:highlight w:val="none"/>
        </w:rPr>
      </w:pPr>
      <w:r>
        <w:rPr>
          <w:rFonts w:ascii="宋体" w:hAnsi="宋体"/>
          <w:color w:val="auto"/>
          <w:szCs w:val="21"/>
          <w:highlight w:val="none"/>
        </w:rPr>
        <w:t>4.3.3  采购进度延误</w:t>
      </w:r>
    </w:p>
    <w:p>
      <w:pPr>
        <w:spacing w:line="300" w:lineRule="auto"/>
        <w:ind w:firstLine="420" w:firstLineChars="200"/>
        <w:rPr>
          <w:rFonts w:ascii="宋体" w:hAnsi="宋体"/>
          <w:color w:val="auto"/>
          <w:szCs w:val="21"/>
          <w:highlight w:val="none"/>
        </w:rPr>
      </w:pPr>
      <w:r>
        <w:rPr>
          <w:rFonts w:ascii="宋体" w:hAnsi="宋体"/>
          <w:color w:val="auto"/>
          <w:szCs w:val="21"/>
          <w:highlight w:val="none"/>
        </w:rPr>
        <w:t>因承包人的原因导致采购延误，造成的停工、窝工损失和竣工日期延误，由承包人负责。因发包人原因导致采购延误，给承包人造成的停工、窝工损失，由发包人承担，若造成关键路径延误的，竣工日期相应顺延。</w:t>
      </w:r>
    </w:p>
    <w:p>
      <w:pPr>
        <w:spacing w:before="156" w:beforeLines="50" w:after="156" w:afterLines="50" w:line="300" w:lineRule="auto"/>
        <w:ind w:firstLine="422" w:firstLineChars="200"/>
        <w:rPr>
          <w:rFonts w:ascii="宋体" w:hAnsi="宋体"/>
          <w:b/>
          <w:color w:val="auto"/>
          <w:szCs w:val="21"/>
          <w:highlight w:val="none"/>
        </w:rPr>
      </w:pPr>
      <w:r>
        <w:rPr>
          <w:rFonts w:ascii="宋体" w:hAnsi="宋体"/>
          <w:b/>
          <w:color w:val="auto"/>
          <w:szCs w:val="21"/>
          <w:highlight w:val="none"/>
        </w:rPr>
        <w:t>4.4  施工进度计划</w:t>
      </w:r>
    </w:p>
    <w:p>
      <w:pPr>
        <w:spacing w:line="300" w:lineRule="auto"/>
        <w:ind w:firstLine="420" w:firstLineChars="200"/>
        <w:rPr>
          <w:rFonts w:ascii="宋体" w:hAnsi="宋体"/>
          <w:color w:val="auto"/>
          <w:szCs w:val="21"/>
          <w:highlight w:val="none"/>
        </w:rPr>
      </w:pPr>
      <w:r>
        <w:rPr>
          <w:rFonts w:ascii="宋体" w:hAnsi="宋体"/>
          <w:color w:val="auto"/>
          <w:szCs w:val="21"/>
          <w:highlight w:val="none"/>
        </w:rPr>
        <w:t>4.4.1  施工进度计划</w:t>
      </w:r>
    </w:p>
    <w:p>
      <w:pPr>
        <w:spacing w:line="300" w:lineRule="auto"/>
        <w:ind w:firstLine="420" w:firstLineChars="200"/>
        <w:rPr>
          <w:rFonts w:ascii="宋体" w:hAnsi="宋体"/>
          <w:color w:val="auto"/>
          <w:szCs w:val="21"/>
          <w:highlight w:val="none"/>
        </w:rPr>
      </w:pPr>
      <w:r>
        <w:rPr>
          <w:rFonts w:ascii="宋体" w:hAnsi="宋体"/>
          <w:color w:val="auto"/>
          <w:szCs w:val="21"/>
          <w:highlight w:val="none"/>
        </w:rPr>
        <w:t>承包人应在现场施工开工15 日前向发包人提交份包括施工进度计划在内的总体施工组织设计。施工进度计划的开竣工时间，应符合合同协议书对施工开工和工程竣工日期的约定，并与项目进度计划的安排协调一致。发包人需承包人提交关键单项工程和（或）关键分部分项工程施工进度计划的，在专用条款中约定提交的份数和时间。</w:t>
      </w:r>
    </w:p>
    <w:p>
      <w:pPr>
        <w:spacing w:line="300" w:lineRule="auto"/>
        <w:ind w:firstLine="420" w:firstLineChars="200"/>
        <w:rPr>
          <w:rFonts w:ascii="宋体" w:hAnsi="宋体"/>
          <w:color w:val="auto"/>
          <w:szCs w:val="21"/>
          <w:highlight w:val="none"/>
        </w:rPr>
      </w:pPr>
      <w:r>
        <w:rPr>
          <w:rFonts w:ascii="宋体" w:hAnsi="宋体"/>
          <w:color w:val="auto"/>
          <w:szCs w:val="21"/>
          <w:highlight w:val="none"/>
        </w:rPr>
        <w:t>4.4.2  施工开工日期延误</w:t>
      </w:r>
    </w:p>
    <w:p>
      <w:pPr>
        <w:spacing w:line="300" w:lineRule="auto"/>
        <w:ind w:firstLine="420" w:firstLineChars="200"/>
        <w:rPr>
          <w:rFonts w:ascii="宋体" w:hAnsi="宋体"/>
          <w:color w:val="auto"/>
          <w:szCs w:val="21"/>
          <w:highlight w:val="none"/>
        </w:rPr>
      </w:pPr>
      <w:r>
        <w:rPr>
          <w:rFonts w:ascii="宋体" w:hAnsi="宋体"/>
          <w:color w:val="auto"/>
          <w:szCs w:val="21"/>
          <w:highlight w:val="none"/>
        </w:rPr>
        <w:t>施工开工日期延误的，根据下列约定确定延长竣工日期：</w:t>
      </w:r>
    </w:p>
    <w:p>
      <w:pPr>
        <w:spacing w:line="300" w:lineRule="auto"/>
        <w:ind w:firstLine="420" w:firstLineChars="200"/>
        <w:rPr>
          <w:rFonts w:ascii="宋体" w:hAnsi="宋体"/>
          <w:color w:val="auto"/>
          <w:szCs w:val="21"/>
          <w:highlight w:val="none"/>
        </w:rPr>
      </w:pPr>
      <w:r>
        <w:rPr>
          <w:rFonts w:ascii="宋体" w:hAnsi="宋体"/>
          <w:color w:val="auto"/>
          <w:szCs w:val="21"/>
          <w:highlight w:val="none"/>
        </w:rPr>
        <w:t>（1）因发包人原因造成承包人不能按时开工的，开竣工日期相应顺延。给承包人造成经济损失的应支付相应费用。</w:t>
      </w:r>
    </w:p>
    <w:p>
      <w:pPr>
        <w:spacing w:line="300" w:lineRule="auto"/>
        <w:ind w:firstLine="420" w:firstLineChars="200"/>
        <w:rPr>
          <w:rFonts w:ascii="宋体" w:hAnsi="宋体"/>
          <w:color w:val="auto"/>
          <w:szCs w:val="21"/>
          <w:highlight w:val="none"/>
        </w:rPr>
      </w:pPr>
      <w:r>
        <w:rPr>
          <w:rFonts w:ascii="宋体" w:hAnsi="宋体"/>
          <w:color w:val="auto"/>
          <w:szCs w:val="21"/>
          <w:highlight w:val="none"/>
        </w:rPr>
        <w:t>（2） 因承包人原因不能按时开工的，需说明正当理由，自费采取措施及早开工，竣工日期不予延长。</w:t>
      </w:r>
    </w:p>
    <w:p>
      <w:pPr>
        <w:spacing w:line="300" w:lineRule="auto"/>
        <w:ind w:firstLine="420" w:firstLineChars="200"/>
        <w:rPr>
          <w:rFonts w:ascii="宋体" w:hAnsi="宋体"/>
          <w:color w:val="auto"/>
          <w:szCs w:val="21"/>
          <w:highlight w:val="none"/>
        </w:rPr>
      </w:pPr>
      <w:r>
        <w:rPr>
          <w:rFonts w:ascii="宋体" w:hAnsi="宋体"/>
          <w:color w:val="auto"/>
          <w:szCs w:val="21"/>
          <w:highlight w:val="none"/>
        </w:rPr>
        <w:t>（3） 因不可抗力造成施工开工日期延误的，竣工日期相应顺延。</w:t>
      </w:r>
    </w:p>
    <w:p>
      <w:pPr>
        <w:spacing w:line="300" w:lineRule="auto"/>
        <w:ind w:firstLine="420" w:firstLineChars="200"/>
        <w:rPr>
          <w:rFonts w:ascii="宋体" w:hAnsi="宋体"/>
          <w:color w:val="auto"/>
          <w:szCs w:val="21"/>
          <w:highlight w:val="none"/>
        </w:rPr>
      </w:pPr>
      <w:r>
        <w:rPr>
          <w:rFonts w:ascii="宋体" w:hAnsi="宋体"/>
          <w:color w:val="auto"/>
          <w:szCs w:val="21"/>
          <w:highlight w:val="none"/>
        </w:rPr>
        <w:t>4.4.3  竣工日期</w:t>
      </w:r>
    </w:p>
    <w:p>
      <w:pPr>
        <w:spacing w:line="300" w:lineRule="auto"/>
        <w:ind w:firstLine="420" w:firstLineChars="200"/>
        <w:rPr>
          <w:rFonts w:ascii="宋体" w:hAnsi="宋体"/>
          <w:color w:val="auto"/>
          <w:szCs w:val="21"/>
          <w:highlight w:val="none"/>
        </w:rPr>
      </w:pPr>
      <w:r>
        <w:rPr>
          <w:rFonts w:ascii="宋体" w:hAnsi="宋体"/>
          <w:color w:val="auto"/>
          <w:szCs w:val="21"/>
          <w:highlight w:val="none"/>
        </w:rPr>
        <w:t>（1）承包项目的</w:t>
      </w:r>
      <w:r>
        <w:rPr>
          <w:rFonts w:hint="eastAsia" w:ascii="宋体" w:hAnsi="宋体"/>
          <w:color w:val="auto"/>
          <w:szCs w:val="21"/>
          <w:highlight w:val="none"/>
        </w:rPr>
        <w:t>试验</w:t>
      </w:r>
      <w:r>
        <w:rPr>
          <w:rFonts w:ascii="宋体" w:hAnsi="宋体"/>
          <w:color w:val="auto"/>
          <w:szCs w:val="21"/>
          <w:highlight w:val="none"/>
        </w:rPr>
        <w:t>阶段含竣工试验阶段时，按以下方式确定计划竣工日期和实际竣工日期：</w:t>
      </w:r>
    </w:p>
    <w:p>
      <w:pPr>
        <w:spacing w:line="300" w:lineRule="auto"/>
        <w:ind w:firstLine="867" w:firstLineChars="413"/>
        <w:rPr>
          <w:rFonts w:ascii="宋体" w:hAnsi="宋体"/>
          <w:color w:val="auto"/>
          <w:szCs w:val="21"/>
          <w:highlight w:val="none"/>
        </w:rPr>
      </w:pPr>
      <w:r>
        <w:rPr>
          <w:rFonts w:ascii="宋体" w:hAnsi="宋体"/>
          <w:color w:val="auto"/>
          <w:szCs w:val="21"/>
          <w:highlight w:val="none"/>
        </w:rPr>
        <w:t>1）根据专用条款（9.1款工程接收）约定单项工程竣工日期，为单项工程的计划竣工日期；工程中最后一个单项工程的计划竣工日期，为工程的计划竣工日期；</w:t>
      </w:r>
    </w:p>
    <w:p>
      <w:pPr>
        <w:spacing w:line="300" w:lineRule="auto"/>
        <w:ind w:firstLine="867" w:firstLineChars="413"/>
        <w:rPr>
          <w:rFonts w:ascii="宋体" w:hAnsi="宋体"/>
          <w:color w:val="auto"/>
          <w:szCs w:val="21"/>
          <w:highlight w:val="none"/>
        </w:rPr>
      </w:pPr>
      <w:r>
        <w:rPr>
          <w:rFonts w:ascii="宋体" w:hAnsi="宋体"/>
          <w:color w:val="auto"/>
          <w:szCs w:val="21"/>
          <w:highlight w:val="none"/>
        </w:rPr>
        <w:t>2）单项工程中最后一项竣工试验通过的日期，为该单项工程的实际竣工日期；</w:t>
      </w:r>
    </w:p>
    <w:p>
      <w:pPr>
        <w:spacing w:line="300" w:lineRule="auto"/>
        <w:ind w:firstLine="867" w:firstLineChars="413"/>
        <w:rPr>
          <w:rFonts w:ascii="宋体" w:hAnsi="宋体"/>
          <w:color w:val="auto"/>
          <w:szCs w:val="21"/>
          <w:highlight w:val="none"/>
        </w:rPr>
      </w:pPr>
      <w:r>
        <w:rPr>
          <w:rFonts w:ascii="宋体" w:hAnsi="宋体"/>
          <w:color w:val="auto"/>
          <w:szCs w:val="21"/>
          <w:highlight w:val="none"/>
        </w:rPr>
        <w:t>3）工程中最后一个单项工程通过竣工试验的日期，为工程的实际竣工日期。</w:t>
      </w:r>
    </w:p>
    <w:p>
      <w:pPr>
        <w:spacing w:line="300" w:lineRule="auto"/>
        <w:ind w:firstLine="420" w:firstLineChars="200"/>
        <w:rPr>
          <w:rFonts w:ascii="宋体" w:hAnsi="宋体"/>
          <w:color w:val="auto"/>
          <w:szCs w:val="21"/>
          <w:highlight w:val="none"/>
        </w:rPr>
      </w:pPr>
      <w:r>
        <w:rPr>
          <w:rFonts w:ascii="宋体" w:hAnsi="宋体"/>
          <w:color w:val="auto"/>
          <w:szCs w:val="21"/>
          <w:highlight w:val="none"/>
        </w:rPr>
        <w:t>（2）承包项目的实施阶段不含竣工试验阶段时，按以下方式确定计划竣工日期和实际竣工日期：</w:t>
      </w:r>
    </w:p>
    <w:p>
      <w:pPr>
        <w:spacing w:line="300" w:lineRule="auto"/>
        <w:ind w:firstLine="743" w:firstLineChars="354"/>
        <w:rPr>
          <w:rFonts w:ascii="宋体" w:hAnsi="宋体"/>
          <w:color w:val="auto"/>
          <w:szCs w:val="21"/>
          <w:highlight w:val="none"/>
        </w:rPr>
      </w:pPr>
      <w:r>
        <w:rPr>
          <w:rFonts w:ascii="宋体" w:hAnsi="宋体"/>
          <w:color w:val="auto"/>
          <w:szCs w:val="21"/>
          <w:highlight w:val="none"/>
        </w:rPr>
        <w:t>1）根据专用条款（9.1款工程接收）中所约定的单项工程竣工日期，为单项工程的计划竣工日期；工程中最后一个单项工程的计划竣工日期，为工程的计划竣工日期；</w:t>
      </w:r>
    </w:p>
    <w:p>
      <w:pPr>
        <w:spacing w:line="300" w:lineRule="auto"/>
        <w:ind w:firstLine="867" w:firstLineChars="413"/>
        <w:rPr>
          <w:rFonts w:ascii="宋体" w:hAnsi="宋体"/>
          <w:color w:val="auto"/>
          <w:szCs w:val="21"/>
          <w:highlight w:val="none"/>
        </w:rPr>
      </w:pPr>
      <w:r>
        <w:rPr>
          <w:rFonts w:ascii="宋体" w:hAnsi="宋体"/>
          <w:color w:val="auto"/>
          <w:szCs w:val="21"/>
          <w:highlight w:val="none"/>
        </w:rPr>
        <w:t>2）承包人按合同约定，完成施工图纸规定的单项工程中的全部施工作业，并符合约定的质量标准的日期，为单项工程的实际竣工日期；</w:t>
      </w:r>
    </w:p>
    <w:p>
      <w:pPr>
        <w:spacing w:line="300" w:lineRule="auto"/>
        <w:ind w:firstLine="867" w:firstLineChars="413"/>
        <w:rPr>
          <w:rFonts w:ascii="宋体" w:hAnsi="宋体"/>
          <w:color w:val="auto"/>
          <w:szCs w:val="21"/>
          <w:highlight w:val="none"/>
        </w:rPr>
      </w:pPr>
      <w:r>
        <w:rPr>
          <w:rFonts w:ascii="宋体" w:hAnsi="宋体"/>
          <w:color w:val="auto"/>
          <w:szCs w:val="21"/>
          <w:highlight w:val="none"/>
        </w:rPr>
        <w:t>3）承包人按合同约定，完成施工图纸规定的工程中最后一个单项工程的全部施工作业，且符合合同约定的质量标准的日期，为工程的实际竣工日期。</w:t>
      </w:r>
    </w:p>
    <w:p>
      <w:pPr>
        <w:spacing w:line="300" w:lineRule="auto"/>
        <w:ind w:firstLine="420" w:firstLineChars="200"/>
        <w:rPr>
          <w:rFonts w:ascii="宋体" w:hAnsi="宋体"/>
          <w:color w:val="auto"/>
          <w:szCs w:val="21"/>
          <w:highlight w:val="none"/>
        </w:rPr>
      </w:pPr>
      <w:r>
        <w:rPr>
          <w:rFonts w:ascii="宋体" w:hAnsi="宋体"/>
          <w:color w:val="auto"/>
          <w:szCs w:val="21"/>
          <w:highlight w:val="none"/>
        </w:rPr>
        <w:t>（3）承包人为竣工试验、或竣工后试验预留的施工部位、或发包人要求预留的施工部位、不影响发包人实质操作使用的零星扫尾工程和缺陷修复，不影响竣工日期的确定。</w:t>
      </w:r>
    </w:p>
    <w:p>
      <w:pPr>
        <w:spacing w:before="156" w:beforeLines="50" w:after="156" w:afterLines="50" w:line="300" w:lineRule="auto"/>
        <w:ind w:firstLine="422" w:firstLineChars="200"/>
        <w:rPr>
          <w:rFonts w:ascii="宋体" w:hAnsi="宋体"/>
          <w:b/>
          <w:color w:val="auto"/>
          <w:szCs w:val="21"/>
          <w:highlight w:val="none"/>
        </w:rPr>
      </w:pPr>
      <w:r>
        <w:rPr>
          <w:rFonts w:ascii="宋体" w:hAnsi="宋体"/>
          <w:b/>
          <w:color w:val="auto"/>
          <w:szCs w:val="21"/>
          <w:highlight w:val="none"/>
        </w:rPr>
        <w:t>4.5  误期赔偿</w:t>
      </w:r>
    </w:p>
    <w:p>
      <w:pPr>
        <w:spacing w:before="156" w:beforeLines="50" w:after="156" w:afterLines="50" w:line="300" w:lineRule="auto"/>
        <w:ind w:firstLine="420" w:firstLineChars="200"/>
        <w:rPr>
          <w:rFonts w:ascii="宋体" w:hAnsi="宋体"/>
          <w:color w:val="auto"/>
          <w:szCs w:val="21"/>
          <w:highlight w:val="none"/>
        </w:rPr>
      </w:pPr>
      <w:r>
        <w:rPr>
          <w:rFonts w:ascii="宋体" w:hAnsi="宋体"/>
          <w:color w:val="auto"/>
          <w:szCs w:val="21"/>
          <w:highlight w:val="none"/>
        </w:rPr>
        <w:t>因承包人原因，造成工程竣工日期延误的，由承包人承担误期误害赔偿责任。每日延误的赔偿金额，及累计的最高赔偿金额在专用条款中约定。发包人有权从工程进度款、竣工结算款或约定提交的履约保函中扣除赔偿金额。</w:t>
      </w:r>
    </w:p>
    <w:p>
      <w:pPr>
        <w:spacing w:before="156" w:beforeLines="50" w:after="156" w:afterLines="50" w:line="300" w:lineRule="auto"/>
        <w:ind w:firstLine="422" w:firstLineChars="200"/>
        <w:rPr>
          <w:rFonts w:ascii="宋体" w:hAnsi="宋体"/>
          <w:b/>
          <w:color w:val="auto"/>
          <w:szCs w:val="21"/>
          <w:highlight w:val="none"/>
        </w:rPr>
      </w:pPr>
      <w:r>
        <w:rPr>
          <w:rFonts w:ascii="宋体" w:hAnsi="宋体"/>
          <w:b/>
          <w:color w:val="auto"/>
          <w:szCs w:val="21"/>
          <w:highlight w:val="none"/>
        </w:rPr>
        <w:t>4.6  暂停</w:t>
      </w:r>
    </w:p>
    <w:p>
      <w:pPr>
        <w:spacing w:after="156" w:afterLines="50" w:line="300" w:lineRule="auto"/>
        <w:ind w:firstLine="420" w:firstLineChars="200"/>
        <w:rPr>
          <w:rFonts w:ascii="宋体" w:hAnsi="宋体"/>
          <w:color w:val="auto"/>
          <w:szCs w:val="21"/>
          <w:highlight w:val="none"/>
        </w:rPr>
      </w:pPr>
      <w:r>
        <w:rPr>
          <w:rFonts w:ascii="宋体" w:hAnsi="宋体"/>
          <w:color w:val="auto"/>
          <w:szCs w:val="21"/>
          <w:highlight w:val="none"/>
        </w:rPr>
        <w:t>4.6.1  因发包人原因的暂停</w:t>
      </w:r>
    </w:p>
    <w:p>
      <w:pPr>
        <w:spacing w:line="300" w:lineRule="auto"/>
        <w:ind w:firstLine="420" w:firstLineChars="200"/>
        <w:rPr>
          <w:rFonts w:ascii="宋体" w:hAnsi="宋体"/>
          <w:color w:val="auto"/>
          <w:szCs w:val="21"/>
          <w:highlight w:val="none"/>
        </w:rPr>
      </w:pPr>
      <w:r>
        <w:rPr>
          <w:rFonts w:ascii="宋体" w:hAnsi="宋体"/>
          <w:color w:val="auto"/>
          <w:szCs w:val="21"/>
          <w:highlight w:val="none"/>
        </w:rPr>
        <w:t>因发包人原因通知的暂停，应列明暂停的日期及预计暂停的期限。双方应遵守2.1.5款和3.1.4款的相关约定。</w:t>
      </w:r>
    </w:p>
    <w:p>
      <w:pPr>
        <w:spacing w:line="300" w:lineRule="auto"/>
        <w:ind w:firstLine="420" w:firstLineChars="200"/>
        <w:rPr>
          <w:rFonts w:ascii="宋体" w:hAnsi="宋体"/>
          <w:color w:val="auto"/>
          <w:szCs w:val="21"/>
          <w:highlight w:val="none"/>
        </w:rPr>
      </w:pPr>
      <w:r>
        <w:rPr>
          <w:rFonts w:ascii="宋体" w:hAnsi="宋体"/>
          <w:color w:val="auto"/>
          <w:szCs w:val="21"/>
          <w:highlight w:val="none"/>
        </w:rPr>
        <w:t>4.6.2  因不可抗力造成的暂停</w:t>
      </w:r>
    </w:p>
    <w:p>
      <w:pPr>
        <w:spacing w:line="300" w:lineRule="auto"/>
        <w:ind w:firstLine="420" w:firstLineChars="200"/>
        <w:jc w:val="left"/>
        <w:rPr>
          <w:rFonts w:ascii="宋体" w:hAnsi="宋体"/>
          <w:color w:val="auto"/>
          <w:szCs w:val="21"/>
          <w:highlight w:val="none"/>
        </w:rPr>
      </w:pPr>
      <w:r>
        <w:rPr>
          <w:rFonts w:ascii="宋体" w:hAnsi="宋体"/>
          <w:color w:val="auto"/>
          <w:szCs w:val="21"/>
          <w:highlight w:val="none"/>
        </w:rPr>
        <w:t>因不可抗力造成工程暂停时，双方根据17.1款不可抗力发生时的义务和17.2款不可抗力的后果的条款的约定， 安排各自的工作。</w:t>
      </w:r>
    </w:p>
    <w:p>
      <w:pPr>
        <w:spacing w:line="300" w:lineRule="auto"/>
        <w:ind w:firstLine="420" w:firstLineChars="200"/>
        <w:rPr>
          <w:rFonts w:ascii="宋体" w:hAnsi="宋体"/>
          <w:color w:val="auto"/>
          <w:szCs w:val="21"/>
          <w:highlight w:val="none"/>
        </w:rPr>
      </w:pPr>
      <w:r>
        <w:rPr>
          <w:rFonts w:ascii="宋体" w:hAnsi="宋体"/>
          <w:color w:val="auto"/>
          <w:szCs w:val="21"/>
          <w:highlight w:val="none"/>
        </w:rPr>
        <w:t>4.6.3  暂停时承包人的工作</w:t>
      </w:r>
    </w:p>
    <w:p>
      <w:pPr>
        <w:spacing w:line="300" w:lineRule="auto"/>
        <w:ind w:firstLine="420" w:firstLineChars="200"/>
        <w:rPr>
          <w:rFonts w:ascii="宋体" w:hAnsi="宋体"/>
          <w:color w:val="auto"/>
          <w:szCs w:val="21"/>
          <w:highlight w:val="none"/>
        </w:rPr>
      </w:pPr>
      <w:r>
        <w:rPr>
          <w:rFonts w:ascii="宋体" w:hAnsi="宋体"/>
          <w:color w:val="auto"/>
          <w:szCs w:val="21"/>
          <w:highlight w:val="none"/>
        </w:rPr>
        <w:t>当发生4.6.1款发包人的暂停和4.6.2款因不可抗力约定的暂停时，承包人应立即停止现场的实施工作。并根据合同约定负责在暂停期间，对工程、工程物资及承包人文件等进行照管和保护。因承包人未能尽到照管、保护的责任，造成损坏、丢失等，使发包人的费用增加，和（或）竣工日期延误的，由承包人负责。</w:t>
      </w:r>
    </w:p>
    <w:p>
      <w:pPr>
        <w:spacing w:line="300" w:lineRule="auto"/>
        <w:ind w:firstLine="420" w:firstLineChars="200"/>
        <w:rPr>
          <w:rFonts w:ascii="宋体" w:hAnsi="宋体"/>
          <w:color w:val="auto"/>
          <w:szCs w:val="21"/>
          <w:highlight w:val="none"/>
        </w:rPr>
      </w:pPr>
      <w:r>
        <w:rPr>
          <w:rFonts w:ascii="宋体" w:hAnsi="宋体"/>
          <w:color w:val="auto"/>
          <w:szCs w:val="21"/>
          <w:highlight w:val="none"/>
        </w:rPr>
        <w:t>4.6.4  承包人的复工要求</w:t>
      </w:r>
    </w:p>
    <w:p>
      <w:pPr>
        <w:spacing w:line="300" w:lineRule="auto"/>
        <w:ind w:firstLine="420" w:firstLineChars="200"/>
        <w:rPr>
          <w:rFonts w:ascii="宋体" w:hAnsi="宋体"/>
          <w:color w:val="auto"/>
          <w:szCs w:val="21"/>
          <w:highlight w:val="none"/>
        </w:rPr>
      </w:pPr>
      <w:r>
        <w:rPr>
          <w:rFonts w:ascii="宋体" w:hAnsi="宋体"/>
          <w:color w:val="auto"/>
          <w:szCs w:val="21"/>
          <w:highlight w:val="none"/>
        </w:rPr>
        <w:t>根据发包人通知暂停的，承包人有权在暂停45日后向发包人发出要求复工的通知。不能复工时，承包人有权根据13.2.5款调减部分工程的约定，以变更方式调减受暂停影响的部分工程。</w:t>
      </w:r>
    </w:p>
    <w:p>
      <w:pPr>
        <w:spacing w:line="300" w:lineRule="auto"/>
        <w:ind w:firstLine="420" w:firstLineChars="200"/>
        <w:rPr>
          <w:rFonts w:ascii="宋体" w:hAnsi="宋体"/>
          <w:color w:val="auto"/>
          <w:szCs w:val="21"/>
          <w:highlight w:val="none"/>
        </w:rPr>
      </w:pPr>
      <w:r>
        <w:rPr>
          <w:rFonts w:ascii="宋体" w:hAnsi="宋体"/>
          <w:color w:val="auto"/>
          <w:szCs w:val="21"/>
          <w:highlight w:val="none"/>
        </w:rPr>
        <w:t>发包人的暂停超过45日且暂停影响到整个工程，或发包人的暂停超过180日，或因不可抗力的暂停致使合同无法履行，承包人有权根据18.2款由承包人解除合同的约定，发出解除合同的通知。</w:t>
      </w:r>
    </w:p>
    <w:p>
      <w:pPr>
        <w:spacing w:line="300" w:lineRule="auto"/>
        <w:ind w:firstLine="420" w:firstLineChars="200"/>
        <w:rPr>
          <w:rFonts w:ascii="宋体" w:hAnsi="宋体"/>
          <w:color w:val="auto"/>
          <w:szCs w:val="21"/>
          <w:highlight w:val="none"/>
        </w:rPr>
      </w:pPr>
      <w:r>
        <w:rPr>
          <w:rFonts w:ascii="宋体" w:hAnsi="宋体"/>
          <w:color w:val="auto"/>
          <w:szCs w:val="21"/>
          <w:highlight w:val="none"/>
        </w:rPr>
        <w:t>4.6.5  发包人的复工</w:t>
      </w:r>
    </w:p>
    <w:p>
      <w:pPr>
        <w:spacing w:line="300" w:lineRule="auto"/>
        <w:ind w:firstLine="420" w:firstLineChars="200"/>
        <w:rPr>
          <w:rFonts w:ascii="宋体" w:hAnsi="宋体"/>
          <w:color w:val="auto"/>
          <w:szCs w:val="21"/>
          <w:highlight w:val="none"/>
        </w:rPr>
      </w:pPr>
      <w:r>
        <w:rPr>
          <w:rFonts w:ascii="宋体" w:hAnsi="宋体"/>
          <w:color w:val="auto"/>
          <w:szCs w:val="21"/>
          <w:highlight w:val="none"/>
        </w:rPr>
        <w:t>发包人发出复工通知后，有权组织承包人对受暂停影响的工程、工程物资进行检查，承包人应将检查结果及需要恢复、修复的内容和估算通知发包人，经发包人确认后，所发生的恢复、修复价款由发包人承担。因恢复、修复造成工程关键路径延误的，竣工日期相应延长。</w:t>
      </w:r>
    </w:p>
    <w:p>
      <w:pPr>
        <w:spacing w:line="300" w:lineRule="auto"/>
        <w:ind w:firstLine="420" w:firstLineChars="200"/>
        <w:rPr>
          <w:rFonts w:ascii="宋体" w:hAnsi="宋体"/>
          <w:color w:val="auto"/>
          <w:szCs w:val="21"/>
          <w:highlight w:val="none"/>
        </w:rPr>
      </w:pPr>
      <w:r>
        <w:rPr>
          <w:rFonts w:ascii="宋体" w:hAnsi="宋体"/>
          <w:color w:val="auto"/>
          <w:szCs w:val="21"/>
          <w:highlight w:val="none"/>
        </w:rPr>
        <w:t>4.6.6  因承包人原因的暂停</w:t>
      </w:r>
    </w:p>
    <w:p>
      <w:pPr>
        <w:spacing w:line="300" w:lineRule="auto"/>
        <w:ind w:firstLine="420" w:firstLineChars="200"/>
        <w:rPr>
          <w:rFonts w:ascii="宋体" w:hAnsi="宋体"/>
          <w:color w:val="auto"/>
          <w:szCs w:val="21"/>
          <w:highlight w:val="none"/>
        </w:rPr>
      </w:pPr>
      <w:r>
        <w:rPr>
          <w:rFonts w:ascii="宋体" w:hAnsi="宋体"/>
          <w:color w:val="auto"/>
          <w:szCs w:val="21"/>
          <w:highlight w:val="none"/>
        </w:rPr>
        <w:t>因承包人原因所造成部分工程或工程的暂停，所发生的损失、损害及竣工日期延误，由承包人负责。</w:t>
      </w:r>
    </w:p>
    <w:p>
      <w:pPr>
        <w:spacing w:line="300" w:lineRule="auto"/>
        <w:ind w:firstLine="420" w:firstLineChars="200"/>
        <w:rPr>
          <w:rFonts w:ascii="宋体" w:hAnsi="宋体"/>
          <w:color w:val="auto"/>
          <w:szCs w:val="21"/>
          <w:highlight w:val="none"/>
        </w:rPr>
      </w:pPr>
      <w:r>
        <w:rPr>
          <w:rFonts w:ascii="宋体" w:hAnsi="宋体"/>
          <w:color w:val="auto"/>
          <w:szCs w:val="21"/>
          <w:highlight w:val="none"/>
        </w:rPr>
        <w:t>4.6.7  工程暂停时的付款</w:t>
      </w:r>
    </w:p>
    <w:p>
      <w:pPr>
        <w:spacing w:line="300" w:lineRule="auto"/>
        <w:ind w:firstLine="420" w:firstLineChars="200"/>
        <w:rPr>
          <w:rFonts w:ascii="宋体" w:hAnsi="宋体"/>
          <w:color w:val="auto"/>
          <w:szCs w:val="21"/>
          <w:highlight w:val="none"/>
        </w:rPr>
      </w:pPr>
      <w:r>
        <w:rPr>
          <w:rFonts w:ascii="宋体" w:hAnsi="宋体"/>
          <w:color w:val="auto"/>
          <w:szCs w:val="21"/>
          <w:highlight w:val="none"/>
        </w:rPr>
        <w:t>因发包人原因暂停的复工后，未影响到整个工程实施时，双方应依据2.1.5款的约定商定因该暂停给承包人所增加的合理费用，承包人应将其款项纳入当期的付款申请，由发包人审查支付。</w:t>
      </w:r>
    </w:p>
    <w:p>
      <w:pPr>
        <w:spacing w:line="300" w:lineRule="auto"/>
        <w:ind w:firstLine="420" w:firstLineChars="200"/>
        <w:rPr>
          <w:rFonts w:ascii="宋体" w:hAnsi="宋体"/>
          <w:color w:val="auto"/>
          <w:szCs w:val="21"/>
          <w:highlight w:val="none"/>
        </w:rPr>
      </w:pPr>
      <w:r>
        <w:rPr>
          <w:rFonts w:ascii="宋体" w:hAnsi="宋体"/>
          <w:color w:val="auto"/>
          <w:szCs w:val="21"/>
          <w:highlight w:val="none"/>
        </w:rPr>
        <w:t>因发包人原因暂停的复工后，影响到部分工程实施时，且承包人根据4.6.4款要求调减部分工程并经发包人批准，发包人应从合同价格中调减该部分款项，双方还应依据2.1.5款的约定商定承包人因该暂停所增加的合理费用，承包人应将其增减的款项纳入当期付款申请，由发包人审查支付。</w:t>
      </w:r>
    </w:p>
    <w:p>
      <w:pPr>
        <w:spacing w:line="300" w:lineRule="auto"/>
        <w:ind w:firstLine="420" w:firstLineChars="200"/>
        <w:rPr>
          <w:rFonts w:ascii="宋体" w:hAnsi="宋体"/>
          <w:color w:val="auto"/>
          <w:szCs w:val="21"/>
          <w:highlight w:val="none"/>
        </w:rPr>
      </w:pPr>
      <w:r>
        <w:rPr>
          <w:rFonts w:ascii="宋体" w:hAnsi="宋体"/>
          <w:color w:val="auto"/>
          <w:szCs w:val="21"/>
          <w:highlight w:val="none"/>
        </w:rPr>
        <w:t>因发包人原因的暂停，致使合同无法履行时，且承包人根据4.6.4款第二段的约定发出解除合同的通知后，双方应根据18.2款由承包人解除合同的相关约定，办理结算和付款。</w:t>
      </w:r>
    </w:p>
    <w:p>
      <w:pPr>
        <w:spacing w:before="156" w:beforeLines="50" w:after="156" w:afterLines="50" w:line="300" w:lineRule="auto"/>
        <w:ind w:firstLine="413" w:firstLineChars="196"/>
        <w:rPr>
          <w:rFonts w:ascii="宋体" w:hAnsi="宋体"/>
          <w:b/>
          <w:color w:val="auto"/>
          <w:szCs w:val="21"/>
          <w:highlight w:val="none"/>
        </w:rPr>
      </w:pPr>
      <w:r>
        <w:rPr>
          <w:rFonts w:ascii="宋体" w:hAnsi="宋体"/>
          <w:b/>
          <w:color w:val="auto"/>
          <w:szCs w:val="21"/>
          <w:highlight w:val="none"/>
        </w:rPr>
        <w:t>第5条 技术与设计</w:t>
      </w:r>
    </w:p>
    <w:p>
      <w:pPr>
        <w:spacing w:after="156" w:afterLines="50" w:line="300" w:lineRule="auto"/>
        <w:ind w:firstLine="413" w:firstLineChars="196"/>
        <w:rPr>
          <w:rFonts w:ascii="宋体" w:hAnsi="宋体"/>
          <w:b/>
          <w:color w:val="auto"/>
          <w:szCs w:val="21"/>
          <w:highlight w:val="none"/>
        </w:rPr>
      </w:pPr>
      <w:r>
        <w:rPr>
          <w:rFonts w:ascii="宋体" w:hAnsi="宋体"/>
          <w:b/>
          <w:color w:val="auto"/>
          <w:szCs w:val="21"/>
          <w:highlight w:val="none"/>
        </w:rPr>
        <w:t>5.1  生产工艺技术、建筑设计方案</w:t>
      </w:r>
    </w:p>
    <w:p>
      <w:pPr>
        <w:spacing w:line="300" w:lineRule="auto"/>
        <w:ind w:firstLine="420" w:firstLineChars="200"/>
        <w:rPr>
          <w:rFonts w:ascii="宋体" w:hAnsi="宋体"/>
          <w:color w:val="auto"/>
          <w:szCs w:val="21"/>
          <w:highlight w:val="none"/>
        </w:rPr>
      </w:pPr>
      <w:r>
        <w:rPr>
          <w:rFonts w:ascii="宋体" w:hAnsi="宋体"/>
          <w:color w:val="auto"/>
          <w:szCs w:val="21"/>
          <w:highlight w:val="none"/>
        </w:rPr>
        <w:t>5.1.1  承包人提供的工艺技术和（或）建筑设计方案</w:t>
      </w:r>
    </w:p>
    <w:p>
      <w:pPr>
        <w:spacing w:line="300" w:lineRule="auto"/>
        <w:ind w:firstLine="420" w:firstLineChars="200"/>
        <w:rPr>
          <w:rFonts w:ascii="宋体" w:hAnsi="宋体"/>
          <w:color w:val="auto"/>
          <w:szCs w:val="21"/>
          <w:highlight w:val="none"/>
        </w:rPr>
      </w:pPr>
      <w:r>
        <w:rPr>
          <w:rFonts w:ascii="宋体" w:hAnsi="宋体"/>
          <w:color w:val="auto"/>
          <w:szCs w:val="21"/>
          <w:highlight w:val="none"/>
        </w:rPr>
        <w:t>承包人负责提供生产工艺技术（含专利技术、专有技术、工艺包）和（或）建筑设计方案（含总体布局、功能分区、建筑造型和主体结构等）时，应对所提供的工艺流程、工艺技术数据、工艺条件、软件、分析手册、操作指导书、设备制造指导书和其它资料要求，和（或）总体布局、功能分区、建筑造型及其结构设计等负责。</w:t>
      </w:r>
    </w:p>
    <w:p>
      <w:pPr>
        <w:spacing w:line="300" w:lineRule="auto"/>
        <w:ind w:firstLine="420" w:firstLineChars="200"/>
        <w:rPr>
          <w:rFonts w:ascii="宋体" w:hAnsi="宋体"/>
          <w:color w:val="auto"/>
          <w:szCs w:val="21"/>
          <w:highlight w:val="none"/>
        </w:rPr>
      </w:pPr>
      <w:r>
        <w:rPr>
          <w:rFonts w:ascii="宋体" w:hAnsi="宋体"/>
          <w:color w:val="auto"/>
          <w:szCs w:val="21"/>
          <w:highlight w:val="none"/>
        </w:rPr>
        <w:t>承包人应对专用条款约定的试运行考核保证值、和（或）使用功能保证的说明负责。该试运行考核保证值、和（或）使用功能保证的说明，作为发包人根据10.3.3款进行试运行考核的评价依据。</w:t>
      </w:r>
    </w:p>
    <w:p>
      <w:pPr>
        <w:spacing w:line="300" w:lineRule="auto"/>
        <w:ind w:firstLine="420" w:firstLineChars="200"/>
        <w:rPr>
          <w:rFonts w:ascii="宋体" w:hAnsi="宋体"/>
          <w:color w:val="auto"/>
          <w:szCs w:val="21"/>
          <w:highlight w:val="none"/>
        </w:rPr>
      </w:pPr>
      <w:r>
        <w:rPr>
          <w:rFonts w:ascii="宋体" w:hAnsi="宋体"/>
          <w:color w:val="auto"/>
          <w:szCs w:val="21"/>
          <w:highlight w:val="none"/>
        </w:rPr>
        <w:t>5.1.2  发包人提供的工艺技术和（或）建筑设计方案</w:t>
      </w:r>
    </w:p>
    <w:p>
      <w:pPr>
        <w:spacing w:line="300" w:lineRule="auto"/>
        <w:ind w:firstLine="420" w:firstLineChars="200"/>
        <w:rPr>
          <w:rFonts w:ascii="宋体" w:hAnsi="宋体"/>
          <w:color w:val="auto"/>
          <w:szCs w:val="21"/>
          <w:highlight w:val="none"/>
        </w:rPr>
      </w:pPr>
      <w:r>
        <w:rPr>
          <w:rFonts w:ascii="宋体" w:hAnsi="宋体"/>
          <w:color w:val="auto"/>
          <w:szCs w:val="21"/>
          <w:highlight w:val="none"/>
        </w:rPr>
        <w:t>发包人负责提供的生产工艺技术（含专利技术、专有技术、工艺包）和（或）建筑设计方案（含总体布局、功能分区、建筑造型和主体结构，或发包人委托第三方设计单位提供的建筑设计方案）时，应对所提供的工艺流程、工艺技术数据、工艺条件、软件、分析手册、操作指导书、设备制造指导书和其它承包人的文件资料、发包人的要求，和（或）总体布局、功能分区、建筑造型和主体结构等，或第三方设计单位提供的建筑设计方案负责。</w:t>
      </w:r>
    </w:p>
    <w:p>
      <w:pPr>
        <w:spacing w:line="300" w:lineRule="auto"/>
        <w:ind w:firstLine="420" w:firstLineChars="200"/>
        <w:rPr>
          <w:rFonts w:ascii="宋体" w:hAnsi="宋体"/>
          <w:color w:val="auto"/>
          <w:szCs w:val="21"/>
          <w:highlight w:val="none"/>
        </w:rPr>
      </w:pPr>
      <w:r>
        <w:rPr>
          <w:rFonts w:ascii="宋体" w:hAnsi="宋体"/>
          <w:color w:val="auto"/>
          <w:szCs w:val="21"/>
          <w:highlight w:val="none"/>
        </w:rPr>
        <w:t>发包人有义务指导、审查由承包人根据发包人提供的上述资料所进行的生产工艺设计和（或）建筑设计，并予以确认。工程和（或）单项工程试运行考核的各项保证值、或使用功能保证说明及双方各自应承担的考核责任，在专用条款中约定，并作为发包人根据10.3.3款进行试运行考核和考核责任的评价依据。</w:t>
      </w:r>
    </w:p>
    <w:p>
      <w:pPr>
        <w:spacing w:before="156" w:beforeLines="50" w:after="156" w:afterLines="50" w:line="300" w:lineRule="auto"/>
        <w:ind w:firstLine="413" w:firstLineChars="196"/>
        <w:rPr>
          <w:rFonts w:ascii="宋体" w:hAnsi="宋体"/>
          <w:b/>
          <w:color w:val="auto"/>
          <w:szCs w:val="21"/>
          <w:highlight w:val="none"/>
        </w:rPr>
      </w:pPr>
      <w:r>
        <w:rPr>
          <w:rFonts w:ascii="宋体" w:hAnsi="宋体"/>
          <w:b/>
          <w:color w:val="auto"/>
          <w:szCs w:val="21"/>
          <w:highlight w:val="none"/>
        </w:rPr>
        <w:t>5.2  设计</w:t>
      </w:r>
    </w:p>
    <w:p>
      <w:pPr>
        <w:spacing w:line="300" w:lineRule="auto"/>
        <w:ind w:firstLine="420" w:firstLineChars="200"/>
        <w:rPr>
          <w:rFonts w:ascii="宋体" w:hAnsi="宋体"/>
          <w:color w:val="auto"/>
          <w:szCs w:val="21"/>
          <w:highlight w:val="none"/>
        </w:rPr>
      </w:pPr>
      <w:r>
        <w:rPr>
          <w:rFonts w:ascii="宋体" w:hAnsi="宋体"/>
          <w:color w:val="auto"/>
          <w:szCs w:val="21"/>
          <w:highlight w:val="none"/>
        </w:rPr>
        <w:t>5.2.1  发包人的义务</w:t>
      </w:r>
    </w:p>
    <w:p>
      <w:pPr>
        <w:spacing w:line="300" w:lineRule="auto"/>
        <w:ind w:firstLine="420" w:firstLineChars="200"/>
        <w:rPr>
          <w:rFonts w:ascii="宋体" w:hAnsi="宋体"/>
          <w:color w:val="auto"/>
          <w:szCs w:val="21"/>
          <w:highlight w:val="none"/>
        </w:rPr>
      </w:pPr>
      <w:r>
        <w:rPr>
          <w:rFonts w:ascii="宋体" w:hAnsi="宋体"/>
          <w:color w:val="auto"/>
          <w:szCs w:val="21"/>
          <w:highlight w:val="none"/>
        </w:rPr>
        <w:t>（1）提供项目基础资料。发包人应按合同约定、法律或行业规定，向承包人提供设计需要的项目基础资料，并对其真实性、准确性、齐全性和及时性负责。上述项目基础资料不真实、不准确或不齐全时，发包人有义务按约定的时间向承包人提供进一步补充资料。提供项目基础资料的类别、内容、份数和时间在专用条款中约定。其中，工程场地的基准坐标资料(包括基准控制点、基准控制标高和基准坐标控制线) ，发包人应按约定的时间，有义务配合承包人在现场的实测复验。承包人因纠正坐标资料中的错误，造成费用增加和（或）工期延误，由发包人负责其相关费用增加，竣工日期给予合理延长。</w:t>
      </w:r>
    </w:p>
    <w:p>
      <w:pPr>
        <w:spacing w:line="300" w:lineRule="auto"/>
        <w:ind w:firstLine="420" w:firstLineChars="200"/>
        <w:rPr>
          <w:rFonts w:ascii="宋体" w:hAnsi="宋体"/>
          <w:color w:val="auto"/>
          <w:szCs w:val="21"/>
          <w:highlight w:val="none"/>
        </w:rPr>
      </w:pPr>
      <w:r>
        <w:rPr>
          <w:rFonts w:ascii="宋体" w:hAnsi="宋体"/>
          <w:color w:val="auto"/>
          <w:szCs w:val="21"/>
          <w:highlight w:val="none"/>
        </w:rPr>
        <w:t>发包人提供的项目基础资料中有专利商提供的技术或工艺包，或是第三方设计单位提供的建筑造型等，发包人应组织专利商或第三方设计单位与承包人进行数据、条件和资料的交换、协调和交接。</w:t>
      </w:r>
    </w:p>
    <w:p>
      <w:pPr>
        <w:spacing w:line="300" w:lineRule="auto"/>
        <w:ind w:firstLine="420" w:firstLineChars="200"/>
        <w:rPr>
          <w:rFonts w:ascii="宋体" w:hAnsi="宋体"/>
          <w:color w:val="auto"/>
          <w:szCs w:val="21"/>
          <w:highlight w:val="none"/>
        </w:rPr>
      </w:pPr>
      <w:r>
        <w:rPr>
          <w:rFonts w:ascii="宋体" w:hAnsi="宋体"/>
          <w:color w:val="auto"/>
          <w:szCs w:val="21"/>
          <w:highlight w:val="none"/>
        </w:rPr>
        <w:t>发包人未能按约定时间提供项目基础资料及其补充资料、或提供的资料不真实、不准确、不齐全、或发包人计划变更，造成承包人设计停工、返工或修改的，发包人应按承包人额外增加的设计工作量赔偿其损失。造成工程关键路径延误的，竣工日期相应顺延。</w:t>
      </w:r>
    </w:p>
    <w:p>
      <w:pPr>
        <w:spacing w:line="300" w:lineRule="auto"/>
        <w:ind w:firstLine="420" w:firstLineChars="200"/>
        <w:rPr>
          <w:rFonts w:ascii="宋体" w:hAnsi="宋体"/>
          <w:color w:val="auto"/>
          <w:szCs w:val="21"/>
          <w:highlight w:val="none"/>
        </w:rPr>
      </w:pPr>
      <w:r>
        <w:rPr>
          <w:rFonts w:ascii="宋体" w:hAnsi="宋体"/>
          <w:color w:val="auto"/>
          <w:szCs w:val="21"/>
          <w:highlight w:val="none"/>
        </w:rPr>
        <w:t>（2） 提供现场障碍资料。除专用条款另有约定外，发包人应按合同约定和适用法律规定，在设计开始前，提供与设计、施工有关的地上、地下已有的建筑物、构筑物等现场障碍资料，并对其真实性、准确性、齐全性和及时性负责。因提供的资料不真实、不准确、不齐全、不及时，造承包人的设计停工、返工和修改的，发包人应按承包人额外增加的设计工作量赔偿其损失。造成工程关键路径延误的，竣工日期相应顺延。提供项目障碍资料的类别、内容、份数和时间安排，在专用条款中约定。</w:t>
      </w:r>
    </w:p>
    <w:p>
      <w:pPr>
        <w:spacing w:line="300" w:lineRule="auto"/>
        <w:ind w:firstLine="420" w:firstLineChars="200"/>
        <w:rPr>
          <w:rFonts w:ascii="宋体" w:hAnsi="宋体"/>
          <w:color w:val="auto"/>
          <w:szCs w:val="21"/>
          <w:highlight w:val="none"/>
        </w:rPr>
      </w:pPr>
      <w:r>
        <w:rPr>
          <w:rFonts w:ascii="宋体" w:hAnsi="宋体"/>
          <w:color w:val="auto"/>
          <w:szCs w:val="21"/>
          <w:highlight w:val="none"/>
        </w:rPr>
        <w:t>（3） 承包人无法核实发包人所提供的项目基础资料中的数据、条件和资料的，发包人有义务给予进一步确认。</w:t>
      </w:r>
    </w:p>
    <w:p>
      <w:pPr>
        <w:spacing w:line="300" w:lineRule="auto"/>
        <w:ind w:firstLine="420" w:firstLineChars="200"/>
        <w:rPr>
          <w:rFonts w:ascii="宋体" w:hAnsi="宋体"/>
          <w:color w:val="auto"/>
          <w:szCs w:val="21"/>
          <w:highlight w:val="none"/>
        </w:rPr>
      </w:pPr>
      <w:r>
        <w:rPr>
          <w:rFonts w:ascii="宋体" w:hAnsi="宋体"/>
          <w:color w:val="auto"/>
          <w:szCs w:val="21"/>
          <w:highlight w:val="none"/>
        </w:rPr>
        <w:t>5.2.2  承包人的义务</w:t>
      </w:r>
    </w:p>
    <w:p>
      <w:pPr>
        <w:spacing w:line="300" w:lineRule="auto"/>
        <w:ind w:firstLine="420" w:firstLineChars="200"/>
        <w:rPr>
          <w:rFonts w:ascii="宋体" w:hAnsi="宋体"/>
          <w:color w:val="auto"/>
          <w:szCs w:val="21"/>
          <w:highlight w:val="none"/>
        </w:rPr>
      </w:pPr>
      <w:r>
        <w:rPr>
          <w:rFonts w:ascii="宋体" w:hAnsi="宋体"/>
          <w:color w:val="auto"/>
          <w:szCs w:val="21"/>
          <w:highlight w:val="none"/>
        </w:rPr>
        <w:t>（1）承包人与发包人（及其专利商、第三方设计单位）应以书面形式交接发包人按5.2.1款第（1）项提供与设计有关的项目基础资料、第（2）项提供的与设计有关的现场障碍资料。对这些资料中的短缺、遗漏、错误、疑问，承包人应在收到发包人提供的上述资料后15日内向发包人提出进一步的要求。因承包人未能在上述时间内提出要求而发生的损失由承包人自行承担；由此造成工程关键路径延误的，竣工日期不予顺延。其中，对工程场地的基准坐标资料（包括基准控制点、基准控制标高和基准坐标控制线），承包人有义务约定实测复验的时间并纠正其错误（如果有），因承包人对此项工作的延误，导致的费用增加和关键路线延误，由承包人承担。</w:t>
      </w:r>
    </w:p>
    <w:p>
      <w:pPr>
        <w:spacing w:line="300" w:lineRule="auto"/>
        <w:ind w:firstLine="420" w:firstLineChars="200"/>
        <w:rPr>
          <w:rFonts w:ascii="宋体" w:hAnsi="宋体"/>
          <w:color w:val="auto"/>
          <w:szCs w:val="21"/>
          <w:highlight w:val="none"/>
        </w:rPr>
      </w:pPr>
      <w:r>
        <w:rPr>
          <w:rFonts w:ascii="宋体" w:hAnsi="宋体"/>
          <w:color w:val="auto"/>
          <w:szCs w:val="21"/>
          <w:highlight w:val="none"/>
        </w:rPr>
        <w:t>（2）承包人有义务按照发包人提供的项目基础资料、现场障碍资料和国家有关部门、行业工程建设标准规范规定的设计深度开展工程设计，并对其设计的工艺技术和（或）建筑功能，及工程的安全、环境保护、职业健康的标准，设备材料的质量、工程质量和完成时间负责。因承包人设计的原因，造成的费用增加、竣工日期延误，由承包人承担。</w:t>
      </w:r>
    </w:p>
    <w:p>
      <w:pPr>
        <w:spacing w:line="300" w:lineRule="auto"/>
        <w:ind w:firstLine="420" w:firstLineChars="200"/>
        <w:rPr>
          <w:rFonts w:ascii="宋体" w:hAnsi="宋体"/>
          <w:color w:val="auto"/>
          <w:szCs w:val="21"/>
          <w:highlight w:val="none"/>
        </w:rPr>
      </w:pPr>
      <w:r>
        <w:rPr>
          <w:rFonts w:ascii="宋体" w:hAnsi="宋体"/>
          <w:color w:val="auto"/>
          <w:szCs w:val="21"/>
          <w:highlight w:val="none"/>
        </w:rPr>
        <w:t>5.2.3  遵守标准、规范</w:t>
      </w:r>
    </w:p>
    <w:p>
      <w:pPr>
        <w:spacing w:line="300" w:lineRule="auto"/>
        <w:ind w:firstLine="420" w:firstLineChars="200"/>
        <w:rPr>
          <w:rFonts w:ascii="宋体" w:hAnsi="宋体"/>
          <w:color w:val="auto"/>
          <w:szCs w:val="21"/>
          <w:highlight w:val="none"/>
        </w:rPr>
      </w:pPr>
      <w:r>
        <w:rPr>
          <w:rFonts w:ascii="宋体" w:hAnsi="宋体"/>
          <w:color w:val="auto"/>
          <w:szCs w:val="21"/>
          <w:highlight w:val="none"/>
        </w:rPr>
        <w:t>（1）1.5款约定的标准、规范，适用于发包人按单项工程接收和（或）整个工程接收。</w:t>
      </w:r>
    </w:p>
    <w:p>
      <w:pPr>
        <w:spacing w:line="300" w:lineRule="auto"/>
        <w:ind w:firstLine="420" w:firstLineChars="200"/>
        <w:rPr>
          <w:rFonts w:ascii="宋体" w:hAnsi="宋体"/>
          <w:color w:val="auto"/>
          <w:szCs w:val="21"/>
          <w:highlight w:val="none"/>
        </w:rPr>
      </w:pPr>
      <w:r>
        <w:rPr>
          <w:rFonts w:ascii="宋体" w:hAnsi="宋体"/>
          <w:color w:val="auto"/>
          <w:szCs w:val="21"/>
          <w:highlight w:val="none"/>
        </w:rPr>
        <w:t>（2）在合同实施过程中国家颁布了新的标准或规范时，承包人应向发包人提交有关新标准、新规范的建议书。对其中的强制性标准、规范，承包人应严格遵守，发包人作为变更处理；对于非强制性的标准、规范，发包人可决定采用或不采用，决定采用时，作为变更处理。</w:t>
      </w:r>
    </w:p>
    <w:p>
      <w:pPr>
        <w:spacing w:line="300" w:lineRule="auto"/>
        <w:ind w:firstLine="420" w:firstLineChars="200"/>
        <w:rPr>
          <w:rFonts w:ascii="宋体" w:hAnsi="宋体"/>
          <w:color w:val="auto"/>
          <w:szCs w:val="21"/>
          <w:highlight w:val="none"/>
        </w:rPr>
      </w:pPr>
      <w:r>
        <w:rPr>
          <w:rFonts w:ascii="宋体" w:hAnsi="宋体"/>
          <w:color w:val="auto"/>
          <w:szCs w:val="21"/>
          <w:highlight w:val="none"/>
        </w:rPr>
        <w:t>（3）依据适用法律和合同约定的标准、规范所完成的设计图纸、设计文件中的技术数据和技术条件，是工程物资采购质量、施工质量及竣工试验质量的依据。</w:t>
      </w:r>
    </w:p>
    <w:p>
      <w:pPr>
        <w:spacing w:line="300" w:lineRule="auto"/>
        <w:ind w:firstLine="420" w:firstLineChars="200"/>
        <w:rPr>
          <w:rFonts w:ascii="宋体" w:hAnsi="宋体"/>
          <w:color w:val="auto"/>
          <w:szCs w:val="21"/>
          <w:highlight w:val="none"/>
        </w:rPr>
      </w:pPr>
      <w:r>
        <w:rPr>
          <w:rFonts w:ascii="宋体" w:hAnsi="宋体"/>
          <w:color w:val="auto"/>
          <w:szCs w:val="21"/>
          <w:highlight w:val="none"/>
        </w:rPr>
        <w:t>5.2.4  操作维修手册</w:t>
      </w:r>
    </w:p>
    <w:p>
      <w:pPr>
        <w:spacing w:line="300" w:lineRule="auto"/>
        <w:ind w:firstLine="420" w:firstLineChars="200"/>
        <w:rPr>
          <w:rFonts w:ascii="宋体" w:hAnsi="宋体"/>
          <w:color w:val="auto"/>
          <w:szCs w:val="21"/>
          <w:highlight w:val="none"/>
        </w:rPr>
      </w:pPr>
      <w:r>
        <w:rPr>
          <w:rFonts w:ascii="宋体" w:hAnsi="宋体"/>
          <w:color w:val="auto"/>
          <w:szCs w:val="21"/>
          <w:highlight w:val="none"/>
        </w:rPr>
        <w:t>由承包人指导竣工后试验和试运行考核试验，并编制操作维修手册的，发包人应按5.2.1款第（1）项第二段的约定，责令其专利商或发包人的其它承包人向承包人提供其操作指南及分析手册，并对其资料的真实性、准确性、齐全性和及时性负责，专用条款另有约定时除外。发包人提交操作指南、分析手册，及承包人提交操作维修手册的份数、提交期限，在专用条款中约定。</w:t>
      </w:r>
    </w:p>
    <w:p>
      <w:pPr>
        <w:spacing w:line="300" w:lineRule="auto"/>
        <w:ind w:firstLine="420" w:firstLineChars="200"/>
        <w:rPr>
          <w:rFonts w:ascii="宋体" w:hAnsi="宋体"/>
          <w:color w:val="auto"/>
          <w:szCs w:val="21"/>
          <w:highlight w:val="none"/>
        </w:rPr>
      </w:pPr>
      <w:r>
        <w:rPr>
          <w:rFonts w:ascii="宋体" w:hAnsi="宋体"/>
          <w:color w:val="auto"/>
          <w:szCs w:val="21"/>
          <w:highlight w:val="none"/>
        </w:rPr>
        <w:t>5.2.5  设计文件的份数和提交时间</w:t>
      </w:r>
    </w:p>
    <w:p>
      <w:pPr>
        <w:spacing w:line="300" w:lineRule="auto"/>
        <w:ind w:firstLine="420" w:firstLineChars="200"/>
        <w:rPr>
          <w:rFonts w:ascii="宋体" w:hAnsi="宋体"/>
          <w:color w:val="auto"/>
          <w:szCs w:val="21"/>
          <w:highlight w:val="none"/>
        </w:rPr>
      </w:pPr>
      <w:r>
        <w:rPr>
          <w:rFonts w:ascii="宋体" w:hAnsi="宋体"/>
          <w:color w:val="auto"/>
          <w:szCs w:val="21"/>
          <w:highlight w:val="none"/>
        </w:rPr>
        <w:t>相关设计阶段的设计文件、资料和图纸的提交份数和时间在专用条款中约定。</w:t>
      </w:r>
    </w:p>
    <w:p>
      <w:pPr>
        <w:spacing w:line="300" w:lineRule="auto"/>
        <w:ind w:firstLine="420" w:firstLineChars="200"/>
        <w:rPr>
          <w:rFonts w:ascii="宋体" w:hAnsi="宋体"/>
          <w:color w:val="auto"/>
          <w:szCs w:val="21"/>
          <w:highlight w:val="none"/>
        </w:rPr>
      </w:pPr>
      <w:r>
        <w:rPr>
          <w:rFonts w:ascii="宋体" w:hAnsi="宋体"/>
          <w:color w:val="auto"/>
          <w:szCs w:val="21"/>
          <w:highlight w:val="none"/>
        </w:rPr>
        <w:t>5.3.6  设计缺陷的自费修复，自费赶上</w:t>
      </w:r>
    </w:p>
    <w:p>
      <w:pPr>
        <w:spacing w:line="300" w:lineRule="auto"/>
        <w:ind w:firstLine="420" w:firstLineChars="200"/>
        <w:rPr>
          <w:rFonts w:ascii="宋体" w:hAnsi="宋体"/>
          <w:color w:val="auto"/>
          <w:szCs w:val="21"/>
          <w:highlight w:val="none"/>
        </w:rPr>
      </w:pPr>
      <w:r>
        <w:rPr>
          <w:rFonts w:ascii="宋体" w:hAnsi="宋体"/>
          <w:color w:val="auto"/>
          <w:szCs w:val="21"/>
          <w:highlight w:val="none"/>
        </w:rPr>
        <w:t>因承包人原因，造成设计文件存在遗漏、错误、缺陷和不足的，承包人应自费修复、弥补、纠正和完善。造成设计进度延误时，应自费采取措施赶上。</w:t>
      </w:r>
    </w:p>
    <w:p>
      <w:pPr>
        <w:spacing w:before="156" w:beforeLines="50" w:after="156" w:afterLines="50" w:line="300" w:lineRule="auto"/>
        <w:ind w:firstLine="422" w:firstLineChars="200"/>
        <w:rPr>
          <w:rFonts w:ascii="宋体" w:hAnsi="宋体"/>
          <w:b/>
          <w:color w:val="auto"/>
          <w:szCs w:val="21"/>
          <w:highlight w:val="none"/>
        </w:rPr>
      </w:pPr>
      <w:r>
        <w:rPr>
          <w:rFonts w:ascii="宋体" w:hAnsi="宋体"/>
          <w:b/>
          <w:color w:val="auto"/>
          <w:szCs w:val="21"/>
          <w:highlight w:val="none"/>
        </w:rPr>
        <w:t>5.3  设计阶段审查</w:t>
      </w:r>
    </w:p>
    <w:p>
      <w:pPr>
        <w:spacing w:line="300" w:lineRule="auto"/>
        <w:ind w:firstLine="420" w:firstLineChars="200"/>
        <w:rPr>
          <w:rFonts w:ascii="宋体" w:hAnsi="宋体"/>
          <w:color w:val="auto"/>
          <w:szCs w:val="21"/>
          <w:highlight w:val="none"/>
        </w:rPr>
      </w:pPr>
      <w:r>
        <w:rPr>
          <w:rFonts w:ascii="宋体" w:hAnsi="宋体"/>
          <w:color w:val="auto"/>
          <w:szCs w:val="21"/>
          <w:highlight w:val="none"/>
        </w:rPr>
        <w:t>5.3.1  本工程的设计阶段、设计阶段审查会议的组织和时间安排，在专用条款约定。发包人负责组织设计阶段审查会议，并承担会议费用及发包人的上级单位、政府有关部门参加审查会议的费用。</w:t>
      </w:r>
    </w:p>
    <w:p>
      <w:pPr>
        <w:spacing w:line="300" w:lineRule="auto"/>
        <w:ind w:firstLine="420" w:firstLineChars="200"/>
        <w:rPr>
          <w:rFonts w:ascii="宋体" w:hAnsi="宋体"/>
          <w:color w:val="auto"/>
          <w:szCs w:val="21"/>
          <w:highlight w:val="none"/>
        </w:rPr>
      </w:pPr>
      <w:r>
        <w:rPr>
          <w:rFonts w:ascii="宋体" w:hAnsi="宋体"/>
          <w:color w:val="auto"/>
          <w:szCs w:val="21"/>
          <w:highlight w:val="none"/>
        </w:rPr>
        <w:t>5.3.2  承包人应根据5.3.1款的约定，向发包人提交相关设计审查阶段的设计文件，设计文件应符合国家有关部门、行业工程建设标准规范对相关设计阶段的设计文件、图纸和资料的深度规定。承包人有义务自费参加发包人组织的设计审查会议、向审查者介绍、解答、解释其设计文件，并自费提供审查过程中需提供的补充资料。</w:t>
      </w:r>
    </w:p>
    <w:p>
      <w:pPr>
        <w:spacing w:line="300" w:lineRule="auto"/>
        <w:ind w:firstLine="420" w:firstLineChars="200"/>
        <w:rPr>
          <w:rFonts w:ascii="宋体" w:hAnsi="宋体"/>
          <w:color w:val="auto"/>
          <w:szCs w:val="21"/>
          <w:highlight w:val="none"/>
        </w:rPr>
      </w:pPr>
      <w:r>
        <w:rPr>
          <w:rFonts w:ascii="宋体" w:hAnsi="宋体"/>
          <w:color w:val="auto"/>
          <w:szCs w:val="21"/>
          <w:highlight w:val="none"/>
        </w:rPr>
        <w:t>5.3.3  发包人有义务向承包人提供设计审查会议的批准文件和纪要。承包人有义务按相关设计审查阶段批准的文件和纪要，并依据合同约定及相关设计规定，对相关设计进行修改、补充和完善。</w:t>
      </w:r>
    </w:p>
    <w:p>
      <w:pPr>
        <w:spacing w:line="300" w:lineRule="auto"/>
        <w:ind w:firstLine="420" w:firstLineChars="200"/>
        <w:rPr>
          <w:rFonts w:ascii="宋体" w:hAnsi="宋体"/>
          <w:color w:val="auto"/>
          <w:szCs w:val="21"/>
          <w:highlight w:val="none"/>
        </w:rPr>
      </w:pPr>
      <w:r>
        <w:rPr>
          <w:rFonts w:ascii="宋体" w:hAnsi="宋体"/>
          <w:color w:val="auto"/>
          <w:szCs w:val="21"/>
          <w:highlight w:val="none"/>
        </w:rPr>
        <w:t>5.3.4  因承包人原因，未能按5.2.5款约定的时间，向发包人提交相关设计审查阶段的完整设计文件、图纸和资料，致使相关设计审查阶段的会议无法进行或无法按期进行，造成的竣工日期延误、窝工损失，及发包人增加的组织会议费用，由承包人承担。</w:t>
      </w:r>
    </w:p>
    <w:p>
      <w:pPr>
        <w:spacing w:line="300" w:lineRule="auto"/>
        <w:ind w:firstLine="420" w:firstLineChars="200"/>
        <w:rPr>
          <w:rFonts w:ascii="宋体" w:hAnsi="宋体"/>
          <w:color w:val="auto"/>
          <w:szCs w:val="21"/>
          <w:highlight w:val="none"/>
        </w:rPr>
      </w:pPr>
      <w:r>
        <w:rPr>
          <w:rFonts w:ascii="宋体" w:hAnsi="宋体"/>
          <w:color w:val="auto"/>
          <w:szCs w:val="21"/>
          <w:highlight w:val="none"/>
        </w:rPr>
        <w:t>5.3.5  发包人有权在5.3.1款约定的各设计审查阶段之前，对相关设计阶段的设计文件、图纸和资料提出建议、进行预审和确认，发包人的任何建议、预审和确认，并不能减轻或免除承包人的合同责任和义务。</w:t>
      </w:r>
    </w:p>
    <w:p>
      <w:pPr>
        <w:spacing w:before="156" w:beforeLines="50" w:after="156" w:afterLines="50" w:line="300" w:lineRule="auto"/>
        <w:ind w:firstLine="422" w:firstLineChars="200"/>
        <w:rPr>
          <w:rFonts w:ascii="宋体" w:hAnsi="宋体"/>
          <w:b/>
          <w:color w:val="auto"/>
          <w:szCs w:val="21"/>
          <w:highlight w:val="none"/>
        </w:rPr>
      </w:pPr>
      <w:r>
        <w:rPr>
          <w:rFonts w:ascii="宋体" w:hAnsi="宋体"/>
          <w:b/>
          <w:color w:val="auto"/>
          <w:szCs w:val="21"/>
          <w:highlight w:val="none"/>
        </w:rPr>
        <w:t>5.4  操作维修人员的培训</w:t>
      </w:r>
    </w:p>
    <w:p>
      <w:pPr>
        <w:spacing w:before="156" w:beforeLines="50" w:after="156" w:afterLines="50" w:line="300" w:lineRule="auto"/>
        <w:ind w:firstLine="420" w:firstLineChars="200"/>
        <w:rPr>
          <w:rFonts w:ascii="宋体" w:hAnsi="宋体"/>
          <w:color w:val="auto"/>
          <w:szCs w:val="21"/>
          <w:highlight w:val="none"/>
        </w:rPr>
      </w:pPr>
      <w:r>
        <w:rPr>
          <w:rFonts w:ascii="宋体" w:hAnsi="宋体"/>
          <w:color w:val="auto"/>
          <w:szCs w:val="21"/>
          <w:highlight w:val="none"/>
        </w:rPr>
        <w:t>发包人委托承包人对发包人的操作维修人员进行培训的，另行签订培训委托合同，作为本合同的附件。</w:t>
      </w:r>
    </w:p>
    <w:p>
      <w:pPr>
        <w:spacing w:before="156" w:beforeLines="50" w:after="156" w:afterLines="50" w:line="300" w:lineRule="auto"/>
        <w:ind w:firstLine="422" w:firstLineChars="200"/>
        <w:rPr>
          <w:rFonts w:ascii="宋体" w:hAnsi="宋体"/>
          <w:b/>
          <w:color w:val="auto"/>
          <w:szCs w:val="21"/>
          <w:highlight w:val="none"/>
        </w:rPr>
      </w:pPr>
      <w:r>
        <w:rPr>
          <w:rFonts w:ascii="宋体" w:hAnsi="宋体"/>
          <w:b/>
          <w:color w:val="auto"/>
          <w:szCs w:val="21"/>
          <w:highlight w:val="none"/>
        </w:rPr>
        <w:t>5.5  知识产权</w:t>
      </w:r>
    </w:p>
    <w:p>
      <w:pPr>
        <w:spacing w:before="156" w:beforeLines="50" w:after="156" w:afterLines="50" w:line="300" w:lineRule="auto"/>
        <w:ind w:firstLine="420" w:firstLineChars="200"/>
        <w:rPr>
          <w:rFonts w:ascii="宋体" w:hAnsi="宋体"/>
          <w:color w:val="auto"/>
          <w:szCs w:val="21"/>
          <w:highlight w:val="none"/>
        </w:rPr>
      </w:pPr>
      <w:r>
        <w:rPr>
          <w:rFonts w:ascii="宋体" w:hAnsi="宋体"/>
          <w:color w:val="auto"/>
          <w:szCs w:val="21"/>
          <w:highlight w:val="none"/>
        </w:rPr>
        <w:t>双方可就本合同涉及的合同一方、或合同双方（含一方或双方相关的专利商、第三方设计单位或设计人)的技术专利、建筑设计方案、专有技术、设计文件著作权等知识产权，签订知识产权及保密协议，作为本合同的组成部分。</w:t>
      </w:r>
    </w:p>
    <w:p>
      <w:pPr>
        <w:spacing w:before="156" w:beforeLines="50" w:after="156" w:afterLines="50" w:line="300" w:lineRule="auto"/>
        <w:ind w:firstLine="422" w:firstLineChars="200"/>
        <w:rPr>
          <w:rFonts w:ascii="宋体" w:hAnsi="宋体"/>
          <w:b/>
          <w:color w:val="auto"/>
          <w:szCs w:val="21"/>
          <w:highlight w:val="none"/>
        </w:rPr>
      </w:pPr>
      <w:r>
        <w:rPr>
          <w:rFonts w:ascii="宋体" w:hAnsi="宋体"/>
          <w:b/>
          <w:color w:val="auto"/>
          <w:szCs w:val="21"/>
          <w:highlight w:val="none"/>
        </w:rPr>
        <w:t>第6条  工程物资</w:t>
      </w:r>
    </w:p>
    <w:p>
      <w:pPr>
        <w:spacing w:before="156" w:beforeLines="50" w:after="156" w:afterLines="50" w:line="300" w:lineRule="auto"/>
        <w:ind w:firstLine="422" w:firstLineChars="200"/>
        <w:rPr>
          <w:rFonts w:ascii="宋体" w:hAnsi="宋体"/>
          <w:b/>
          <w:color w:val="auto"/>
          <w:szCs w:val="21"/>
          <w:highlight w:val="none"/>
        </w:rPr>
      </w:pPr>
      <w:r>
        <w:rPr>
          <w:rFonts w:ascii="宋体" w:hAnsi="宋体"/>
          <w:b/>
          <w:color w:val="auto"/>
          <w:szCs w:val="21"/>
          <w:highlight w:val="none"/>
        </w:rPr>
        <w:t>6.1  工程物资的提供</w:t>
      </w:r>
    </w:p>
    <w:p>
      <w:pPr>
        <w:spacing w:line="300" w:lineRule="auto"/>
        <w:ind w:firstLine="420" w:firstLineChars="200"/>
        <w:rPr>
          <w:rFonts w:ascii="宋体" w:hAnsi="宋体"/>
          <w:color w:val="auto"/>
          <w:szCs w:val="21"/>
          <w:highlight w:val="none"/>
        </w:rPr>
      </w:pPr>
      <w:r>
        <w:rPr>
          <w:rFonts w:ascii="宋体" w:hAnsi="宋体"/>
          <w:color w:val="auto"/>
          <w:szCs w:val="21"/>
          <w:highlight w:val="none"/>
        </w:rPr>
        <w:t>6.1.1  发包人提供的工程物资</w:t>
      </w:r>
    </w:p>
    <w:p>
      <w:pPr>
        <w:spacing w:line="300" w:lineRule="auto"/>
        <w:ind w:firstLine="420" w:firstLineChars="200"/>
        <w:rPr>
          <w:rFonts w:ascii="宋体" w:hAnsi="宋体"/>
          <w:color w:val="auto"/>
          <w:szCs w:val="21"/>
          <w:highlight w:val="none"/>
        </w:rPr>
      </w:pPr>
      <w:r>
        <w:rPr>
          <w:rFonts w:ascii="宋体" w:hAnsi="宋体"/>
          <w:color w:val="auto"/>
          <w:szCs w:val="21"/>
          <w:highlight w:val="none"/>
        </w:rPr>
        <w:t>（1）发包人依据5.2.3款第（3）项设计文件规定的技术参数、技术条件、性能要求、使用要求和数量，负责组织工程物资（包括其备品备件、专用工具及厂商提交的技术文件）的采购，负责运抵现场，并对其需用量、质量检查结果和性能负责。</w:t>
      </w:r>
    </w:p>
    <w:p>
      <w:pPr>
        <w:spacing w:line="300" w:lineRule="auto"/>
        <w:ind w:firstLine="420" w:firstLineChars="200"/>
        <w:rPr>
          <w:rFonts w:ascii="宋体" w:hAnsi="宋体"/>
          <w:color w:val="auto"/>
          <w:szCs w:val="21"/>
          <w:highlight w:val="none"/>
        </w:rPr>
      </w:pPr>
      <w:r>
        <w:rPr>
          <w:rFonts w:ascii="宋体" w:hAnsi="宋体"/>
          <w:color w:val="auto"/>
          <w:szCs w:val="21"/>
          <w:highlight w:val="none"/>
        </w:rPr>
        <w:t>由发包人负责提供的工程物资的类别、数量，在专用条款中列出。</w:t>
      </w:r>
    </w:p>
    <w:p>
      <w:pPr>
        <w:spacing w:line="300" w:lineRule="auto"/>
        <w:ind w:firstLine="420" w:firstLineChars="200"/>
        <w:rPr>
          <w:rFonts w:ascii="宋体" w:hAnsi="宋体"/>
          <w:color w:val="auto"/>
          <w:szCs w:val="21"/>
          <w:highlight w:val="none"/>
        </w:rPr>
      </w:pPr>
      <w:r>
        <w:rPr>
          <w:rFonts w:ascii="宋体" w:hAnsi="宋体"/>
          <w:color w:val="auto"/>
          <w:szCs w:val="21"/>
          <w:highlight w:val="none"/>
        </w:rPr>
        <w:t>（2）因发包人采购提供的工程物资（包括建筑构件等）不符合国家强制性标准、规范的规定，存在质量缺陷、延误抵达现场，给承包人造成窝工、停工、或导致关键路径延误的，按13条变更和合同价调整的约定执行。</w:t>
      </w:r>
    </w:p>
    <w:p>
      <w:pPr>
        <w:spacing w:line="300" w:lineRule="auto"/>
        <w:ind w:firstLine="420" w:firstLineChars="200"/>
        <w:rPr>
          <w:rFonts w:ascii="宋体" w:hAnsi="宋体"/>
          <w:color w:val="auto"/>
          <w:szCs w:val="21"/>
          <w:highlight w:val="none"/>
        </w:rPr>
      </w:pPr>
      <w:r>
        <w:rPr>
          <w:rFonts w:ascii="宋体" w:hAnsi="宋体"/>
          <w:color w:val="auto"/>
          <w:szCs w:val="21"/>
          <w:highlight w:val="none"/>
        </w:rPr>
        <w:t>在履行合同过程中，由于国家新颁布的强制性标准、规范，造成发包人负责提供的工程物资（包括建筑构件等）不符合新颁布的强制性标准时，由发包人</w:t>
      </w:r>
      <w:r>
        <w:rPr>
          <w:rFonts w:hint="eastAsia" w:ascii="宋体" w:hAnsi="宋体"/>
          <w:color w:val="auto"/>
          <w:szCs w:val="21"/>
          <w:highlight w:val="none"/>
        </w:rPr>
        <w:t>负资</w:t>
      </w:r>
      <w:r>
        <w:rPr>
          <w:rFonts w:ascii="宋体" w:hAnsi="宋体"/>
          <w:color w:val="auto"/>
          <w:szCs w:val="21"/>
          <w:highlight w:val="none"/>
        </w:rPr>
        <w:t>修复或重新订货。如委托承包人修复，作为变更处理。</w:t>
      </w:r>
    </w:p>
    <w:p>
      <w:pPr>
        <w:spacing w:line="300" w:lineRule="auto"/>
        <w:ind w:firstLine="420" w:firstLineChars="200"/>
        <w:rPr>
          <w:rFonts w:ascii="宋体" w:hAnsi="宋体"/>
          <w:color w:val="auto"/>
          <w:szCs w:val="21"/>
          <w:highlight w:val="none"/>
        </w:rPr>
      </w:pPr>
      <w:r>
        <w:rPr>
          <w:rFonts w:ascii="宋体" w:hAnsi="宋体"/>
          <w:color w:val="auto"/>
          <w:szCs w:val="21"/>
          <w:highlight w:val="none"/>
        </w:rPr>
        <w:t>（3）发包人请承包人参加境外采购工作时，所发生的费用由发包人承担。</w:t>
      </w:r>
    </w:p>
    <w:p>
      <w:pPr>
        <w:spacing w:line="300" w:lineRule="auto"/>
        <w:ind w:firstLine="420" w:firstLineChars="200"/>
        <w:rPr>
          <w:rFonts w:ascii="宋体" w:hAnsi="宋体"/>
          <w:color w:val="auto"/>
          <w:szCs w:val="21"/>
          <w:highlight w:val="none"/>
        </w:rPr>
      </w:pPr>
      <w:r>
        <w:rPr>
          <w:rFonts w:ascii="宋体" w:hAnsi="宋体"/>
          <w:color w:val="auto"/>
          <w:szCs w:val="21"/>
          <w:highlight w:val="none"/>
        </w:rPr>
        <w:t>6.1.2  承包人提供的工程物资</w:t>
      </w:r>
    </w:p>
    <w:p>
      <w:pPr>
        <w:spacing w:line="300" w:lineRule="auto"/>
        <w:ind w:firstLine="420" w:firstLineChars="200"/>
        <w:rPr>
          <w:rFonts w:ascii="宋体" w:hAnsi="宋体"/>
          <w:color w:val="auto"/>
          <w:szCs w:val="21"/>
          <w:highlight w:val="none"/>
        </w:rPr>
      </w:pPr>
      <w:r>
        <w:rPr>
          <w:rFonts w:ascii="宋体" w:hAnsi="宋体"/>
          <w:color w:val="auto"/>
          <w:szCs w:val="21"/>
          <w:highlight w:val="none"/>
        </w:rPr>
        <w:t>（1）承包人应依据5.2.3款第（3）项设计文件规定的技术参数、技术条件、性能要求、使用要求和数量，负责组织工程物资采购（包括备品备件、专用工具及厂商提供的技术文件），负责运抵现场，并对其需用量、质量检查结果和性能负责。</w:t>
      </w:r>
    </w:p>
    <w:p>
      <w:pPr>
        <w:spacing w:line="300" w:lineRule="auto"/>
        <w:ind w:firstLine="420" w:firstLineChars="200"/>
        <w:rPr>
          <w:rFonts w:ascii="宋体" w:hAnsi="宋体"/>
          <w:color w:val="auto"/>
          <w:szCs w:val="21"/>
          <w:highlight w:val="none"/>
        </w:rPr>
      </w:pPr>
      <w:r>
        <w:rPr>
          <w:rFonts w:ascii="宋体" w:hAnsi="宋体"/>
          <w:color w:val="auto"/>
          <w:szCs w:val="21"/>
          <w:highlight w:val="none"/>
        </w:rPr>
        <w:t>由承包人负责提供的工程物资的类别、数量，在专用条款中列出。</w:t>
      </w:r>
    </w:p>
    <w:p>
      <w:pPr>
        <w:spacing w:line="300" w:lineRule="auto"/>
        <w:ind w:firstLine="420" w:firstLineChars="200"/>
        <w:rPr>
          <w:rFonts w:ascii="宋体" w:hAnsi="宋体"/>
          <w:color w:val="auto"/>
          <w:szCs w:val="21"/>
          <w:highlight w:val="none"/>
        </w:rPr>
      </w:pPr>
      <w:r>
        <w:rPr>
          <w:rFonts w:ascii="宋体" w:hAnsi="宋体"/>
          <w:color w:val="auto"/>
          <w:szCs w:val="21"/>
          <w:highlight w:val="none"/>
        </w:rPr>
        <w:t>（2）因承包人提供的工程物资（包括建筑构件等）不符合国家强制性标准、规范的规定或合同约定的标准、规范，所造成的质量缺陷，由承包人自费修复，竣工日期不予延长。</w:t>
      </w:r>
    </w:p>
    <w:p>
      <w:pPr>
        <w:spacing w:line="300" w:lineRule="auto"/>
        <w:ind w:firstLine="420" w:firstLineChars="200"/>
        <w:rPr>
          <w:rFonts w:ascii="宋体" w:hAnsi="宋体"/>
          <w:color w:val="auto"/>
          <w:szCs w:val="21"/>
          <w:highlight w:val="none"/>
        </w:rPr>
      </w:pPr>
      <w:r>
        <w:rPr>
          <w:rFonts w:ascii="宋体" w:hAnsi="宋体"/>
          <w:color w:val="auto"/>
          <w:szCs w:val="21"/>
          <w:highlight w:val="none"/>
        </w:rPr>
        <w:t>在履行合同过程中，由于国家新颁布的强制性标准、规范，造成承包人负责提供的工程物资（包括建筑构件等），虽符合合同约定的标准，但不符合新颁布的强制性标准时，由承包人负责修复或重新订货，并作为变更处理。</w:t>
      </w:r>
    </w:p>
    <w:p>
      <w:pPr>
        <w:spacing w:line="300" w:lineRule="auto"/>
        <w:ind w:firstLine="420" w:firstLineChars="200"/>
        <w:rPr>
          <w:rFonts w:ascii="宋体" w:hAnsi="宋体"/>
          <w:color w:val="auto"/>
          <w:szCs w:val="21"/>
          <w:highlight w:val="none"/>
        </w:rPr>
      </w:pPr>
      <w:r>
        <w:rPr>
          <w:rFonts w:ascii="宋体" w:hAnsi="宋体"/>
          <w:color w:val="auto"/>
          <w:szCs w:val="21"/>
          <w:highlight w:val="none"/>
        </w:rPr>
        <w:t>（3）由承包人提供的竣工后试验的生产性材料，在专用条款中列出类别和（或）清单。</w:t>
      </w:r>
    </w:p>
    <w:p>
      <w:pPr>
        <w:spacing w:line="300" w:lineRule="auto"/>
        <w:ind w:firstLine="420" w:firstLineChars="200"/>
        <w:rPr>
          <w:rFonts w:ascii="宋体" w:hAnsi="宋体"/>
          <w:color w:val="auto"/>
          <w:szCs w:val="21"/>
          <w:highlight w:val="none"/>
        </w:rPr>
      </w:pPr>
      <w:r>
        <w:rPr>
          <w:rFonts w:ascii="宋体" w:hAnsi="宋体"/>
          <w:color w:val="auto"/>
          <w:szCs w:val="21"/>
          <w:highlight w:val="none"/>
        </w:rPr>
        <w:t>6.1.3  承包人对供应商的选择</w:t>
      </w:r>
    </w:p>
    <w:p>
      <w:pPr>
        <w:spacing w:line="300" w:lineRule="auto"/>
        <w:ind w:firstLine="420" w:firstLineChars="200"/>
        <w:rPr>
          <w:rFonts w:ascii="宋体" w:hAnsi="宋体"/>
          <w:color w:val="auto"/>
          <w:szCs w:val="21"/>
          <w:highlight w:val="none"/>
        </w:rPr>
      </w:pPr>
      <w:r>
        <w:rPr>
          <w:rFonts w:ascii="宋体" w:hAnsi="宋体"/>
          <w:color w:val="auto"/>
          <w:szCs w:val="21"/>
          <w:highlight w:val="none"/>
        </w:rPr>
        <w:t>承包人应通过招标等竞争性方式选择相关工程物资的供货商或制造厂。对于依法必须进行招标的工程建设项目，应按国家相关规定进行招标。</w:t>
      </w:r>
    </w:p>
    <w:p>
      <w:pPr>
        <w:spacing w:line="300" w:lineRule="auto"/>
        <w:ind w:firstLine="420" w:firstLineChars="200"/>
        <w:rPr>
          <w:rFonts w:ascii="宋体" w:hAnsi="宋体"/>
          <w:color w:val="auto"/>
          <w:szCs w:val="21"/>
          <w:highlight w:val="none"/>
        </w:rPr>
      </w:pPr>
      <w:r>
        <w:rPr>
          <w:rFonts w:ascii="宋体" w:hAnsi="宋体"/>
          <w:color w:val="auto"/>
          <w:szCs w:val="21"/>
          <w:highlight w:val="none"/>
        </w:rPr>
        <w:t>承包人不得在设计文件中或以口头暗示方式指定供应商和制造厂，只有唯一厂家的除外。发包人不得以任何方式指定供应商和制造厂。</w:t>
      </w:r>
    </w:p>
    <w:p>
      <w:pPr>
        <w:spacing w:line="300" w:lineRule="auto"/>
        <w:ind w:firstLine="420" w:firstLineChars="200"/>
        <w:rPr>
          <w:rFonts w:ascii="宋体" w:hAnsi="宋体"/>
          <w:color w:val="auto"/>
          <w:szCs w:val="21"/>
          <w:highlight w:val="none"/>
        </w:rPr>
      </w:pPr>
      <w:r>
        <w:rPr>
          <w:rFonts w:ascii="宋体" w:hAnsi="宋体"/>
          <w:color w:val="auto"/>
          <w:szCs w:val="21"/>
          <w:highlight w:val="none"/>
        </w:rPr>
        <w:t>6.1.4  工程物资所有权</w:t>
      </w:r>
    </w:p>
    <w:p>
      <w:pPr>
        <w:spacing w:line="300" w:lineRule="auto"/>
        <w:ind w:firstLine="420" w:firstLineChars="200"/>
        <w:rPr>
          <w:rFonts w:ascii="宋体" w:hAnsi="宋体"/>
          <w:color w:val="auto"/>
          <w:szCs w:val="21"/>
          <w:highlight w:val="none"/>
        </w:rPr>
      </w:pPr>
      <w:r>
        <w:rPr>
          <w:rFonts w:ascii="宋体" w:hAnsi="宋体"/>
          <w:color w:val="auto"/>
          <w:szCs w:val="21"/>
          <w:highlight w:val="none"/>
        </w:rPr>
        <w:t>承包人根据6.1.2款约定提供的工程物资，在运抵现场的交货地点并支付了采购进度款，其所有权转为发包人所有。在发包人接收工程前，承包人有义务对工程物资进行保管、维护和保养，未经发包人批准不得运出现场。</w:t>
      </w:r>
    </w:p>
    <w:p>
      <w:pPr>
        <w:spacing w:before="156" w:beforeLines="50" w:after="156" w:afterLines="50" w:line="300" w:lineRule="auto"/>
        <w:ind w:firstLine="422" w:firstLineChars="200"/>
        <w:rPr>
          <w:rFonts w:ascii="宋体" w:hAnsi="宋体"/>
          <w:b/>
          <w:color w:val="auto"/>
          <w:szCs w:val="21"/>
          <w:highlight w:val="none"/>
        </w:rPr>
      </w:pPr>
      <w:r>
        <w:rPr>
          <w:rFonts w:ascii="宋体" w:hAnsi="宋体"/>
          <w:b/>
          <w:color w:val="auto"/>
          <w:szCs w:val="21"/>
          <w:highlight w:val="none"/>
        </w:rPr>
        <w:t>6.2  检验</w:t>
      </w:r>
    </w:p>
    <w:p>
      <w:pPr>
        <w:spacing w:line="300" w:lineRule="auto"/>
        <w:ind w:firstLine="420" w:firstLineChars="200"/>
        <w:rPr>
          <w:rFonts w:ascii="宋体" w:hAnsi="宋体"/>
          <w:color w:val="auto"/>
          <w:szCs w:val="21"/>
          <w:highlight w:val="none"/>
        </w:rPr>
      </w:pPr>
      <w:r>
        <w:rPr>
          <w:rFonts w:ascii="宋体" w:hAnsi="宋体"/>
          <w:color w:val="auto"/>
          <w:szCs w:val="21"/>
          <w:highlight w:val="none"/>
        </w:rPr>
        <w:t>6.2.1  工厂检验与报告</w:t>
      </w:r>
    </w:p>
    <w:p>
      <w:pPr>
        <w:spacing w:line="300" w:lineRule="auto"/>
        <w:ind w:firstLine="420" w:firstLineChars="200"/>
        <w:rPr>
          <w:rFonts w:ascii="宋体" w:hAnsi="宋体"/>
          <w:color w:val="auto"/>
          <w:szCs w:val="21"/>
          <w:highlight w:val="none"/>
        </w:rPr>
      </w:pPr>
      <w:r>
        <w:rPr>
          <w:rFonts w:ascii="宋体" w:hAnsi="宋体"/>
          <w:color w:val="auto"/>
          <w:szCs w:val="21"/>
          <w:highlight w:val="none"/>
        </w:rPr>
        <w:t>（1）承包人遵守相关法律规定，负责6.1.2款约定的永久性工程设备、材料、部件和备品备件，及竣工后试验物资的强制性检查、检验、监测和试验，并向发包人提供相关报告。报告内容、报告期和提交份数，在专用条款中约定。</w:t>
      </w:r>
    </w:p>
    <w:p>
      <w:pPr>
        <w:spacing w:line="300" w:lineRule="auto"/>
        <w:ind w:firstLine="420" w:firstLineChars="200"/>
        <w:rPr>
          <w:rFonts w:ascii="宋体" w:hAnsi="宋体"/>
          <w:color w:val="auto"/>
          <w:szCs w:val="21"/>
          <w:highlight w:val="none"/>
        </w:rPr>
      </w:pPr>
      <w:r>
        <w:rPr>
          <w:rFonts w:ascii="宋体" w:hAnsi="宋体"/>
          <w:color w:val="auto"/>
          <w:szCs w:val="21"/>
          <w:highlight w:val="none"/>
        </w:rPr>
        <w:t>（2）承包人邀请发包人参检时，在进行相关加工制造阶段的检查、检验、监测和试验之前，以书面形式通知发包人参检的内容、地点和时间。发包人在接到邀请后的5日内，以书面形式通知承包人参检或不参检。</w:t>
      </w:r>
    </w:p>
    <w:p>
      <w:pPr>
        <w:spacing w:line="300" w:lineRule="auto"/>
        <w:ind w:firstLine="420" w:firstLineChars="200"/>
        <w:rPr>
          <w:rFonts w:ascii="宋体" w:hAnsi="宋体"/>
          <w:color w:val="auto"/>
          <w:szCs w:val="21"/>
          <w:highlight w:val="none"/>
        </w:rPr>
      </w:pPr>
      <w:r>
        <w:rPr>
          <w:rFonts w:ascii="宋体" w:hAnsi="宋体"/>
          <w:color w:val="auto"/>
          <w:szCs w:val="21"/>
          <w:highlight w:val="none"/>
        </w:rPr>
        <w:t>（3）发包人承担其参检人员在参检期间的工资、补贴、差旅费和住宿费等，承包人负责办理进入相关厂家的许可，并提供方便。</w:t>
      </w:r>
    </w:p>
    <w:p>
      <w:pPr>
        <w:spacing w:line="300" w:lineRule="auto"/>
        <w:ind w:firstLine="420" w:firstLineChars="200"/>
        <w:rPr>
          <w:rFonts w:ascii="宋体" w:hAnsi="宋体"/>
          <w:color w:val="auto"/>
          <w:szCs w:val="21"/>
          <w:highlight w:val="none"/>
        </w:rPr>
      </w:pPr>
      <w:r>
        <w:rPr>
          <w:rFonts w:ascii="宋体" w:hAnsi="宋体"/>
          <w:color w:val="auto"/>
          <w:szCs w:val="21"/>
          <w:highlight w:val="none"/>
        </w:rPr>
        <w:t>（4）发包人委托有资格、有经验的第三方代表发包人自费参检的，应在接到承包人邀请函后5日内，以书面形式通知承包人，并写明受托单位及受托人员的名称、姓名及授予的职权。</w:t>
      </w:r>
    </w:p>
    <w:p>
      <w:pPr>
        <w:spacing w:line="300" w:lineRule="auto"/>
        <w:ind w:firstLine="420" w:firstLineChars="200"/>
        <w:rPr>
          <w:rFonts w:ascii="宋体" w:hAnsi="宋体"/>
          <w:color w:val="auto"/>
          <w:szCs w:val="21"/>
          <w:highlight w:val="none"/>
        </w:rPr>
      </w:pPr>
      <w:r>
        <w:rPr>
          <w:rFonts w:ascii="宋体" w:hAnsi="宋体"/>
          <w:color w:val="auto"/>
          <w:szCs w:val="21"/>
          <w:highlight w:val="none"/>
        </w:rPr>
        <w:t>（5）发包人及其委托人的参检，并不能解除承包人对其采购的工程物资的质量责任。</w:t>
      </w:r>
    </w:p>
    <w:p>
      <w:pPr>
        <w:spacing w:line="300" w:lineRule="auto"/>
        <w:ind w:firstLine="420" w:firstLineChars="200"/>
        <w:rPr>
          <w:rFonts w:ascii="宋体" w:hAnsi="宋体"/>
          <w:color w:val="auto"/>
          <w:szCs w:val="21"/>
          <w:highlight w:val="none"/>
        </w:rPr>
      </w:pPr>
      <w:r>
        <w:rPr>
          <w:rFonts w:ascii="宋体" w:hAnsi="宋体"/>
          <w:color w:val="auto"/>
          <w:szCs w:val="21"/>
          <w:highlight w:val="none"/>
        </w:rPr>
        <w:t>6.2.2  覆盖和包装的后果</w:t>
      </w:r>
    </w:p>
    <w:p>
      <w:pPr>
        <w:spacing w:line="300" w:lineRule="auto"/>
        <w:ind w:firstLine="420" w:firstLineChars="200"/>
        <w:rPr>
          <w:rFonts w:ascii="宋体" w:hAnsi="宋体"/>
          <w:color w:val="auto"/>
          <w:szCs w:val="21"/>
          <w:highlight w:val="none"/>
        </w:rPr>
      </w:pPr>
      <w:r>
        <w:rPr>
          <w:rFonts w:ascii="宋体" w:hAnsi="宋体"/>
          <w:color w:val="auto"/>
          <w:szCs w:val="21"/>
          <w:highlight w:val="none"/>
        </w:rPr>
        <w:t>发包人已在6.2.1款约定的日期内以书面形式通知承包人参检，并依据约定日期提前或按时到达指定地点，但加工制造的工程物资未经发包人现场检验已经被覆盖、包装或已运抵启运地点时，发包人有权责令承包人将其运回原地、拆除覆盖、包装，重新进行检查或检验或检测或试验及复原，承包人应承担因此发生的费用。造成工程关键路径延误的，竣工日期不予延长。</w:t>
      </w:r>
    </w:p>
    <w:p>
      <w:pPr>
        <w:spacing w:line="300" w:lineRule="auto"/>
        <w:ind w:firstLine="420" w:firstLineChars="200"/>
        <w:rPr>
          <w:rFonts w:ascii="宋体" w:hAnsi="宋体"/>
          <w:color w:val="auto"/>
          <w:szCs w:val="21"/>
          <w:highlight w:val="none"/>
        </w:rPr>
      </w:pPr>
      <w:r>
        <w:rPr>
          <w:rFonts w:ascii="宋体" w:hAnsi="宋体"/>
          <w:color w:val="auto"/>
          <w:szCs w:val="21"/>
          <w:highlight w:val="none"/>
        </w:rPr>
        <w:t>6.2.3  未能按时参检</w:t>
      </w:r>
    </w:p>
    <w:p>
      <w:pPr>
        <w:spacing w:line="300" w:lineRule="auto"/>
        <w:ind w:firstLine="420" w:firstLineChars="200"/>
        <w:rPr>
          <w:rFonts w:ascii="宋体" w:hAnsi="宋体"/>
          <w:color w:val="auto"/>
          <w:szCs w:val="21"/>
          <w:highlight w:val="none"/>
        </w:rPr>
      </w:pPr>
      <w:r>
        <w:rPr>
          <w:rFonts w:ascii="宋体" w:hAnsi="宋体"/>
          <w:color w:val="auto"/>
          <w:szCs w:val="21"/>
          <w:highlight w:val="none"/>
        </w:rPr>
        <w:t>发包人未能按6.2.1款的约定时间参检，承包人可自行组织检查、检验、检测和试验，质检结果视为是真实的。发包人有权在此后，以变更指令通知承包人重新检查、检验、检测和试验，或增加试验细节或改变试验地点。工程物资经质检合格的，所发生的费用由发包人承担，造成工程关键路径延误的，竣工日期相应顺延；工程物资经质检不合格时，所发生的费用由承包人承担，竣工日期不予延长。</w:t>
      </w:r>
    </w:p>
    <w:p>
      <w:pPr>
        <w:spacing w:line="300" w:lineRule="auto"/>
        <w:ind w:firstLine="420" w:firstLineChars="200"/>
        <w:rPr>
          <w:rFonts w:ascii="宋体" w:hAnsi="宋体"/>
          <w:color w:val="auto"/>
          <w:szCs w:val="21"/>
          <w:highlight w:val="none"/>
        </w:rPr>
      </w:pPr>
      <w:r>
        <w:rPr>
          <w:rFonts w:ascii="宋体" w:hAnsi="宋体"/>
          <w:color w:val="auto"/>
          <w:szCs w:val="21"/>
          <w:highlight w:val="none"/>
        </w:rPr>
        <w:t>6.2.4  现场清点与检查</w:t>
      </w:r>
    </w:p>
    <w:p>
      <w:pPr>
        <w:spacing w:line="300" w:lineRule="auto"/>
        <w:ind w:firstLine="420" w:firstLineChars="200"/>
        <w:rPr>
          <w:rFonts w:ascii="宋体" w:hAnsi="宋体"/>
          <w:color w:val="auto"/>
          <w:szCs w:val="21"/>
          <w:highlight w:val="none"/>
        </w:rPr>
      </w:pPr>
      <w:r>
        <w:rPr>
          <w:rFonts w:ascii="宋体" w:hAnsi="宋体"/>
          <w:color w:val="auto"/>
          <w:szCs w:val="21"/>
          <w:highlight w:val="none"/>
        </w:rPr>
        <w:t>（1）发包人应在其根据6.1.1款约定负责提供的工程物资运抵现场前5日通知承包人。发包人（或包括为发包人提供工程物资的供应商）与承包人（或包括其分包人）按每批货物的提货单据清点箱件数量及进行外观检查，并根据装箱单清点箱内数量、出厂合格证、图纸、文件资料等，并进行外观检查。经检查清点后双方人员签署交接清单。</w:t>
      </w:r>
    </w:p>
    <w:p>
      <w:pPr>
        <w:spacing w:line="300" w:lineRule="auto"/>
        <w:ind w:firstLine="420" w:firstLineChars="200"/>
        <w:rPr>
          <w:rFonts w:ascii="宋体" w:hAnsi="宋体"/>
          <w:color w:val="auto"/>
          <w:szCs w:val="21"/>
          <w:highlight w:val="none"/>
        </w:rPr>
      </w:pPr>
      <w:r>
        <w:rPr>
          <w:rFonts w:ascii="宋体" w:hAnsi="宋体"/>
          <w:color w:val="auto"/>
          <w:szCs w:val="21"/>
          <w:highlight w:val="none"/>
        </w:rPr>
        <w:t>经现场检查清点发现箱件短缺，箱件内的物资数量、图纸、资料短缺，或有外观缺陷的，发包人应负责补齐或自费修复，工程物资在缺陷未能修复之前不得用于工程。当发包人委托承包人修复缺陷时，另行签订追加合同。因上述情况造成工程关键路径延误的，竣工日期相应顺延。</w:t>
      </w:r>
    </w:p>
    <w:p>
      <w:pPr>
        <w:spacing w:line="300" w:lineRule="auto"/>
        <w:ind w:firstLine="420" w:firstLineChars="200"/>
        <w:rPr>
          <w:rFonts w:ascii="宋体" w:hAnsi="宋体"/>
          <w:color w:val="auto"/>
          <w:szCs w:val="21"/>
          <w:highlight w:val="none"/>
        </w:rPr>
      </w:pPr>
      <w:r>
        <w:rPr>
          <w:rFonts w:ascii="宋体" w:hAnsi="宋体"/>
          <w:color w:val="auto"/>
          <w:szCs w:val="21"/>
          <w:highlight w:val="none"/>
        </w:rPr>
        <w:t>（2）承包人应在其根据6.1.2款约定负责提供的工程物资运抵现场前5日通知发包人。承包人（或包括为承包人提供工程物资的供应商、或分包人）与发包人（包括代表、或其监理人）按每批货物的提货单据清点箱件数量及进行外观检查，并根据装箱单清点箱内数量、出场合格证、图纸、文件资料等，并进行外观检查。经检查清点后，双方人员签署开箱检验证明。</w:t>
      </w:r>
    </w:p>
    <w:p>
      <w:pPr>
        <w:spacing w:line="300" w:lineRule="auto"/>
        <w:ind w:firstLine="420" w:firstLineChars="200"/>
        <w:rPr>
          <w:rFonts w:ascii="宋体" w:hAnsi="宋体"/>
          <w:color w:val="auto"/>
          <w:szCs w:val="21"/>
          <w:highlight w:val="none"/>
        </w:rPr>
      </w:pPr>
      <w:r>
        <w:rPr>
          <w:rFonts w:ascii="宋体" w:hAnsi="宋体"/>
          <w:color w:val="auto"/>
          <w:szCs w:val="21"/>
          <w:highlight w:val="none"/>
        </w:rPr>
        <w:t>经现场检查清点发现箱件短缺，箱件内的数量、图纸、资料短缺，或有外观缺陷的，承包人应负责补齐或自费修复，工程物资在缺陷未能修复之前不得用于工程。因此造成的费用增加、竣工日期延误，由承包人负责。</w:t>
      </w:r>
    </w:p>
    <w:p>
      <w:pPr>
        <w:spacing w:line="300" w:lineRule="auto"/>
        <w:ind w:firstLine="420" w:firstLineChars="200"/>
        <w:rPr>
          <w:rFonts w:ascii="宋体" w:hAnsi="宋体"/>
          <w:color w:val="auto"/>
          <w:szCs w:val="21"/>
          <w:highlight w:val="none"/>
        </w:rPr>
      </w:pPr>
      <w:r>
        <w:rPr>
          <w:rFonts w:ascii="宋体" w:hAnsi="宋体"/>
          <w:color w:val="auto"/>
          <w:szCs w:val="21"/>
          <w:highlight w:val="none"/>
        </w:rPr>
        <w:t>6.2.5  质量监督部门及消防、环保等部门的参检</w:t>
      </w:r>
    </w:p>
    <w:p>
      <w:pPr>
        <w:spacing w:line="300" w:lineRule="auto"/>
        <w:ind w:firstLine="420" w:firstLineChars="200"/>
        <w:rPr>
          <w:rFonts w:ascii="宋体" w:hAnsi="宋体"/>
          <w:color w:val="auto"/>
          <w:szCs w:val="21"/>
          <w:highlight w:val="none"/>
        </w:rPr>
      </w:pPr>
      <w:r>
        <w:rPr>
          <w:rFonts w:ascii="宋体" w:hAnsi="宋体"/>
          <w:color w:val="auto"/>
          <w:szCs w:val="21"/>
          <w:highlight w:val="none"/>
        </w:rPr>
        <w:t>发包人、承包人随时接受质量监督部门、消防部门、环保部门、行业等专业检查人员对制造、安装及试验过程的现场检查，其费用由发包人承担。承包人为此提供方便。造成工程关键路径延误的，竣工日期相应顺延。</w:t>
      </w:r>
    </w:p>
    <w:p>
      <w:pPr>
        <w:spacing w:line="300" w:lineRule="auto"/>
        <w:ind w:firstLine="420" w:firstLineChars="200"/>
        <w:rPr>
          <w:rFonts w:ascii="宋体" w:hAnsi="宋体"/>
          <w:color w:val="auto"/>
          <w:szCs w:val="21"/>
          <w:highlight w:val="none"/>
        </w:rPr>
      </w:pPr>
      <w:r>
        <w:rPr>
          <w:rFonts w:ascii="宋体" w:hAnsi="宋体"/>
          <w:color w:val="auto"/>
          <w:szCs w:val="21"/>
          <w:highlight w:val="none"/>
        </w:rPr>
        <w:t>因上述部门在参检中提出的修改、更换等意见所增加的相关费用，应根据6.1.1款或6.1.2款约定的提供工程物资的责任方来承担；因此造成工程关键路径延误的，责任方为承包人时，竣工日期不予延长；责任方为发包人时，竣工日期相应顺延。</w:t>
      </w:r>
    </w:p>
    <w:p>
      <w:pPr>
        <w:spacing w:before="156" w:beforeLines="50" w:after="156" w:afterLines="50" w:line="300" w:lineRule="auto"/>
        <w:ind w:firstLine="422" w:firstLineChars="200"/>
        <w:rPr>
          <w:rFonts w:ascii="宋体" w:hAnsi="宋体"/>
          <w:b/>
          <w:color w:val="auto"/>
          <w:szCs w:val="21"/>
          <w:highlight w:val="none"/>
        </w:rPr>
      </w:pPr>
      <w:r>
        <w:rPr>
          <w:rFonts w:ascii="宋体" w:hAnsi="宋体"/>
          <w:b/>
          <w:color w:val="auto"/>
          <w:szCs w:val="21"/>
          <w:highlight w:val="none"/>
        </w:rPr>
        <w:t>6.3  进口工程物资的采购、报关、清关和商检</w:t>
      </w:r>
    </w:p>
    <w:p>
      <w:pPr>
        <w:spacing w:line="300" w:lineRule="auto"/>
        <w:ind w:firstLine="420" w:firstLineChars="200"/>
        <w:rPr>
          <w:rFonts w:ascii="宋体" w:hAnsi="宋体"/>
          <w:color w:val="auto"/>
          <w:szCs w:val="21"/>
          <w:highlight w:val="none"/>
        </w:rPr>
      </w:pPr>
      <w:r>
        <w:rPr>
          <w:rFonts w:ascii="宋体" w:hAnsi="宋体"/>
          <w:color w:val="auto"/>
          <w:szCs w:val="21"/>
          <w:highlight w:val="none"/>
        </w:rPr>
        <w:t>6.3.1  工程物资的进口采购责任方，及采购方式，在专用条款中约定。采购责任方负责报关、清关和商检，另一方有义务协助。</w:t>
      </w:r>
    </w:p>
    <w:p>
      <w:pPr>
        <w:spacing w:line="300" w:lineRule="auto"/>
        <w:ind w:firstLine="420" w:firstLineChars="200"/>
        <w:rPr>
          <w:rFonts w:ascii="宋体" w:hAnsi="宋体"/>
          <w:color w:val="auto"/>
          <w:szCs w:val="21"/>
          <w:highlight w:val="none"/>
        </w:rPr>
      </w:pPr>
      <w:r>
        <w:rPr>
          <w:rFonts w:ascii="宋体" w:hAnsi="宋体"/>
          <w:color w:val="auto"/>
          <w:szCs w:val="21"/>
          <w:highlight w:val="none"/>
        </w:rPr>
        <w:t>6.3.2  因工程物资报关、清关和商检的延误，造成工程关键路径延误时，承包人负责进口采购的， 竣工日期不予延长，增加的费用由承包人承担；发包人负责进口采购的，竣工日期给予相应延长，承包人由此增加的费用由发包人承担。</w:t>
      </w:r>
    </w:p>
    <w:p>
      <w:pPr>
        <w:spacing w:before="156" w:beforeLines="50" w:after="156" w:afterLines="50" w:line="300" w:lineRule="auto"/>
        <w:ind w:firstLine="422" w:firstLineChars="200"/>
        <w:rPr>
          <w:rFonts w:ascii="宋体" w:hAnsi="宋体"/>
          <w:b/>
          <w:color w:val="auto"/>
          <w:szCs w:val="21"/>
          <w:highlight w:val="none"/>
        </w:rPr>
      </w:pPr>
      <w:r>
        <w:rPr>
          <w:rFonts w:ascii="宋体" w:hAnsi="宋体"/>
          <w:b/>
          <w:color w:val="auto"/>
          <w:szCs w:val="21"/>
          <w:highlight w:val="none"/>
        </w:rPr>
        <w:t>6.4  运输与超限物资运输</w:t>
      </w:r>
    </w:p>
    <w:p>
      <w:pPr>
        <w:spacing w:before="156" w:beforeLines="50" w:after="156" w:afterLines="50" w:line="300" w:lineRule="auto"/>
        <w:ind w:firstLine="420" w:firstLineChars="200"/>
        <w:rPr>
          <w:rFonts w:ascii="宋体" w:hAnsi="宋体"/>
          <w:color w:val="auto"/>
          <w:szCs w:val="21"/>
          <w:highlight w:val="none"/>
        </w:rPr>
      </w:pPr>
      <w:r>
        <w:rPr>
          <w:rFonts w:ascii="宋体" w:hAnsi="宋体"/>
          <w:color w:val="auto"/>
          <w:szCs w:val="21"/>
          <w:highlight w:val="none"/>
        </w:rPr>
        <w:t>承包人负责采购的超限工程物资（超重、超长、超宽、超高）的运输，由承包人负责，该超限物资的运输费用及其运输途中的特殊措施、拆迁、赔偿等全部费用，包含在合同价格内。运输过程中的费用增加，由承包人承担。造成工程关键路径延误时，竣工日期不予延长。专用条款另有约定除外。</w:t>
      </w:r>
    </w:p>
    <w:p>
      <w:pPr>
        <w:spacing w:before="156" w:beforeLines="50" w:after="156" w:afterLines="50" w:line="300" w:lineRule="auto"/>
        <w:ind w:firstLine="422" w:firstLineChars="200"/>
        <w:rPr>
          <w:rFonts w:ascii="宋体" w:hAnsi="宋体"/>
          <w:b/>
          <w:color w:val="auto"/>
          <w:szCs w:val="21"/>
          <w:highlight w:val="none"/>
        </w:rPr>
      </w:pPr>
      <w:r>
        <w:rPr>
          <w:rFonts w:ascii="宋体" w:hAnsi="宋体"/>
          <w:b/>
          <w:color w:val="auto"/>
          <w:szCs w:val="21"/>
          <w:highlight w:val="none"/>
        </w:rPr>
        <w:t>6.5  重新订货及后果</w:t>
      </w:r>
    </w:p>
    <w:p>
      <w:pPr>
        <w:spacing w:line="300" w:lineRule="auto"/>
        <w:ind w:firstLine="420" w:firstLineChars="200"/>
        <w:rPr>
          <w:rFonts w:ascii="宋体" w:hAnsi="宋体"/>
          <w:color w:val="auto"/>
          <w:szCs w:val="21"/>
          <w:highlight w:val="none"/>
        </w:rPr>
      </w:pPr>
      <w:r>
        <w:rPr>
          <w:rFonts w:ascii="宋体" w:hAnsi="宋体"/>
          <w:color w:val="auto"/>
          <w:szCs w:val="21"/>
          <w:highlight w:val="none"/>
        </w:rPr>
        <w:t>6.5.1  依据6.1.1款及6.3.1款的约定，由发包人负责提供的工程物资存在缺陷时，经发包人组织修复仍不合格的，由发包人负责重新订货并运抵现场。因此造成承包人停工、窝工的，由发包人承担所发生的实际费用；导致关键路径延误时，竣工日期相应顺延。</w:t>
      </w:r>
    </w:p>
    <w:p>
      <w:pPr>
        <w:spacing w:line="300" w:lineRule="auto"/>
        <w:ind w:firstLine="420" w:firstLineChars="200"/>
        <w:rPr>
          <w:rFonts w:ascii="宋体" w:hAnsi="宋体"/>
          <w:color w:val="auto"/>
          <w:szCs w:val="21"/>
          <w:highlight w:val="none"/>
        </w:rPr>
      </w:pPr>
      <w:r>
        <w:rPr>
          <w:rFonts w:ascii="宋体" w:hAnsi="宋体"/>
          <w:color w:val="auto"/>
          <w:szCs w:val="21"/>
          <w:highlight w:val="none"/>
        </w:rPr>
        <w:t>6.5.2  依据6.1.2款及6.3.1款的约定，由承包人负责提供的永久性工程设备、材料和部件存在缺陷时，经承包人修复仍不合格的，由承包人负责重新订货并运抵现场。因此造成的费用增加、竣工日期延误，由承包人负责。</w:t>
      </w:r>
    </w:p>
    <w:p>
      <w:pPr>
        <w:spacing w:before="156" w:beforeLines="50" w:after="156" w:afterLines="50" w:line="300" w:lineRule="auto"/>
        <w:ind w:firstLine="422" w:firstLineChars="200"/>
        <w:rPr>
          <w:rFonts w:ascii="宋体" w:hAnsi="宋体"/>
          <w:b/>
          <w:color w:val="auto"/>
          <w:szCs w:val="21"/>
          <w:highlight w:val="none"/>
        </w:rPr>
      </w:pPr>
      <w:r>
        <w:rPr>
          <w:rFonts w:ascii="宋体" w:hAnsi="宋体"/>
          <w:b/>
          <w:color w:val="auto"/>
          <w:szCs w:val="21"/>
          <w:highlight w:val="none"/>
        </w:rPr>
        <w:t>6.6  工程物资保管与剩余</w:t>
      </w:r>
    </w:p>
    <w:p>
      <w:pPr>
        <w:spacing w:line="300" w:lineRule="auto"/>
        <w:ind w:firstLine="420" w:firstLineChars="200"/>
        <w:rPr>
          <w:rFonts w:ascii="宋体" w:hAnsi="宋体"/>
          <w:color w:val="auto"/>
          <w:szCs w:val="21"/>
          <w:highlight w:val="none"/>
        </w:rPr>
      </w:pPr>
      <w:r>
        <w:rPr>
          <w:rFonts w:ascii="宋体" w:hAnsi="宋体"/>
          <w:color w:val="auto"/>
          <w:szCs w:val="21"/>
          <w:highlight w:val="none"/>
        </w:rPr>
        <w:t>6.6.1  工程物资保管</w:t>
      </w:r>
    </w:p>
    <w:p>
      <w:pPr>
        <w:spacing w:line="300" w:lineRule="auto"/>
        <w:ind w:firstLine="420" w:firstLineChars="200"/>
        <w:rPr>
          <w:rFonts w:ascii="宋体" w:hAnsi="宋体"/>
          <w:color w:val="auto"/>
          <w:szCs w:val="21"/>
          <w:highlight w:val="none"/>
        </w:rPr>
      </w:pPr>
      <w:r>
        <w:rPr>
          <w:rFonts w:ascii="宋体" w:hAnsi="宋体"/>
          <w:color w:val="auto"/>
          <w:szCs w:val="21"/>
          <w:highlight w:val="none"/>
        </w:rPr>
        <w:t>根据6.1.1款由发包人负责提供的工程物资、6.1.2款由承包人负责提供的工程物资的约定并委托承包人保管的，工程物资的类别和数量在专用条款中约定。</w:t>
      </w:r>
    </w:p>
    <w:p>
      <w:pPr>
        <w:spacing w:line="300" w:lineRule="auto"/>
        <w:ind w:firstLine="420" w:firstLineChars="200"/>
        <w:rPr>
          <w:rFonts w:ascii="宋体" w:hAnsi="宋体"/>
          <w:color w:val="auto"/>
          <w:szCs w:val="21"/>
          <w:highlight w:val="none"/>
        </w:rPr>
      </w:pPr>
      <w:r>
        <w:rPr>
          <w:rFonts w:ascii="宋体" w:hAnsi="宋体"/>
          <w:color w:val="auto"/>
          <w:szCs w:val="21"/>
          <w:highlight w:val="none"/>
        </w:rPr>
        <w:t>承包人应按说明书的相关规定对工程物资进行保管、维护、保养，防止变形、变质、污染和对人身造成伤害。承包人提交保管维护方案的时间在专用条款中约定，保管维护方案应包括：工程物资分类和保管、保养、保安、领用制度，以及库房、特殊保管库房、堆场、道路、照明、消防、设施、器具等规划。保管所需的一切费用，包含在合同价格内。由发包人提供的库房、堆场、设施和设备，在专用条款中约定。</w:t>
      </w:r>
    </w:p>
    <w:p>
      <w:pPr>
        <w:spacing w:line="300" w:lineRule="auto"/>
        <w:ind w:firstLine="420" w:firstLineChars="200"/>
        <w:rPr>
          <w:rFonts w:ascii="宋体" w:hAnsi="宋体"/>
          <w:color w:val="auto"/>
          <w:szCs w:val="21"/>
          <w:highlight w:val="none"/>
        </w:rPr>
      </w:pPr>
      <w:r>
        <w:rPr>
          <w:rFonts w:ascii="宋体" w:hAnsi="宋体"/>
          <w:color w:val="auto"/>
          <w:szCs w:val="21"/>
          <w:highlight w:val="none"/>
        </w:rPr>
        <w:t>6.6.2  剩余工程物资的移交</w:t>
      </w:r>
    </w:p>
    <w:p>
      <w:pPr>
        <w:spacing w:line="300" w:lineRule="auto"/>
        <w:ind w:firstLine="420" w:firstLineChars="200"/>
        <w:rPr>
          <w:rFonts w:ascii="宋体" w:hAnsi="宋体"/>
          <w:color w:val="auto"/>
          <w:szCs w:val="21"/>
          <w:highlight w:val="none"/>
        </w:rPr>
      </w:pPr>
      <w:r>
        <w:rPr>
          <w:rFonts w:ascii="宋体" w:hAnsi="宋体"/>
          <w:color w:val="auto"/>
          <w:szCs w:val="21"/>
          <w:highlight w:val="none"/>
        </w:rPr>
        <w:t>承包人保管的工程物资（含承包人负责采购提供的工程物资并受到了采购进度款，及发包人委托保管的工程物资），在竣工试验完成后，剩余部分由承包人无偿移交给发包人，专用条款另有约定时除外。</w:t>
      </w:r>
    </w:p>
    <w:p>
      <w:pPr>
        <w:spacing w:before="156" w:beforeLines="50" w:after="156" w:afterLines="50" w:line="300" w:lineRule="auto"/>
        <w:ind w:firstLine="422" w:firstLineChars="200"/>
        <w:rPr>
          <w:rFonts w:ascii="宋体" w:hAnsi="宋体"/>
          <w:b/>
          <w:color w:val="auto"/>
          <w:szCs w:val="21"/>
          <w:highlight w:val="none"/>
        </w:rPr>
      </w:pPr>
      <w:r>
        <w:rPr>
          <w:rFonts w:ascii="宋体" w:hAnsi="宋体"/>
          <w:b/>
          <w:color w:val="auto"/>
          <w:szCs w:val="21"/>
          <w:highlight w:val="none"/>
        </w:rPr>
        <w:t>第7条  施工</w:t>
      </w:r>
    </w:p>
    <w:p>
      <w:pPr>
        <w:spacing w:before="156" w:beforeLines="50" w:after="156" w:afterLines="50" w:line="300" w:lineRule="auto"/>
        <w:ind w:firstLine="422" w:firstLineChars="200"/>
        <w:rPr>
          <w:rFonts w:ascii="宋体" w:hAnsi="宋体"/>
          <w:b/>
          <w:color w:val="auto"/>
          <w:szCs w:val="21"/>
          <w:highlight w:val="none"/>
        </w:rPr>
      </w:pPr>
      <w:r>
        <w:rPr>
          <w:rFonts w:ascii="宋体" w:hAnsi="宋体"/>
          <w:b/>
          <w:color w:val="auto"/>
          <w:szCs w:val="21"/>
          <w:highlight w:val="none"/>
        </w:rPr>
        <w:t>7.1  发包人的义务</w:t>
      </w:r>
    </w:p>
    <w:p>
      <w:pPr>
        <w:spacing w:line="300" w:lineRule="auto"/>
        <w:ind w:firstLine="420" w:firstLineChars="200"/>
        <w:rPr>
          <w:rFonts w:ascii="宋体" w:hAnsi="宋体"/>
          <w:color w:val="auto"/>
          <w:szCs w:val="21"/>
          <w:highlight w:val="none"/>
        </w:rPr>
      </w:pPr>
      <w:r>
        <w:rPr>
          <w:rFonts w:ascii="宋体" w:hAnsi="宋体"/>
          <w:color w:val="auto"/>
          <w:szCs w:val="21"/>
          <w:highlight w:val="none"/>
        </w:rPr>
        <w:t>7.1.1  基准坐标资料</w:t>
      </w:r>
    </w:p>
    <w:p>
      <w:pPr>
        <w:spacing w:line="300" w:lineRule="auto"/>
        <w:ind w:firstLine="420" w:firstLineChars="200"/>
        <w:rPr>
          <w:rFonts w:ascii="宋体" w:hAnsi="宋体"/>
          <w:color w:val="auto"/>
          <w:szCs w:val="21"/>
          <w:highlight w:val="none"/>
        </w:rPr>
      </w:pPr>
      <w:r>
        <w:rPr>
          <w:rFonts w:ascii="宋体" w:hAnsi="宋体"/>
          <w:color w:val="auto"/>
          <w:szCs w:val="21"/>
          <w:highlight w:val="none"/>
        </w:rPr>
        <w:t>承包人因放线需请发包人与相关单位联系的事项，发包人有义务协助。</w:t>
      </w:r>
    </w:p>
    <w:p>
      <w:pPr>
        <w:spacing w:line="300" w:lineRule="auto"/>
        <w:ind w:firstLine="420" w:firstLineChars="200"/>
        <w:rPr>
          <w:rFonts w:ascii="宋体" w:hAnsi="宋体"/>
          <w:color w:val="auto"/>
          <w:szCs w:val="21"/>
          <w:highlight w:val="none"/>
        </w:rPr>
      </w:pPr>
      <w:r>
        <w:rPr>
          <w:rFonts w:ascii="宋体" w:hAnsi="宋体"/>
          <w:color w:val="auto"/>
          <w:szCs w:val="21"/>
          <w:highlight w:val="none"/>
        </w:rPr>
        <w:t>7.1.2  审查总体施工组织设计</w:t>
      </w:r>
    </w:p>
    <w:p>
      <w:pPr>
        <w:spacing w:line="300" w:lineRule="auto"/>
        <w:ind w:firstLine="420" w:firstLineChars="200"/>
        <w:rPr>
          <w:rFonts w:ascii="宋体" w:hAnsi="宋体"/>
          <w:color w:val="auto"/>
          <w:szCs w:val="21"/>
          <w:highlight w:val="none"/>
        </w:rPr>
      </w:pPr>
      <w:r>
        <w:rPr>
          <w:rFonts w:ascii="宋体" w:hAnsi="宋体"/>
          <w:color w:val="auto"/>
          <w:szCs w:val="21"/>
          <w:highlight w:val="none"/>
        </w:rPr>
        <w:t>发包人有权对承包人根据7.2.2款约定提交的总体施工组织设计进行审查，并在接到总体施工组织设计后20日内提出建议和要求。发包人的建议和要求，并不能减轻或免除承包人的任何合同责任。发包人未能在20日内提出任何建议和要求的，承包人有权按提交的总体施工组织设计实施。</w:t>
      </w:r>
    </w:p>
    <w:p>
      <w:pPr>
        <w:spacing w:line="300" w:lineRule="auto"/>
        <w:ind w:firstLine="420" w:firstLineChars="200"/>
        <w:rPr>
          <w:rFonts w:ascii="宋体" w:hAnsi="宋体"/>
          <w:color w:val="auto"/>
          <w:szCs w:val="21"/>
          <w:highlight w:val="none"/>
        </w:rPr>
      </w:pPr>
      <w:r>
        <w:rPr>
          <w:rFonts w:ascii="宋体" w:hAnsi="宋体"/>
          <w:color w:val="auto"/>
          <w:szCs w:val="21"/>
          <w:highlight w:val="none"/>
        </w:rPr>
        <w:t>7.1.3  进场条件和进场日期</w:t>
      </w:r>
    </w:p>
    <w:p>
      <w:pPr>
        <w:spacing w:line="300" w:lineRule="auto"/>
        <w:ind w:firstLine="420" w:firstLineChars="200"/>
        <w:rPr>
          <w:rFonts w:ascii="宋体" w:hAnsi="宋体"/>
          <w:color w:val="auto"/>
          <w:szCs w:val="21"/>
          <w:highlight w:val="none"/>
        </w:rPr>
      </w:pPr>
      <w:r>
        <w:rPr>
          <w:rFonts w:ascii="宋体" w:hAnsi="宋体"/>
          <w:color w:val="auto"/>
          <w:szCs w:val="21"/>
          <w:highlight w:val="none"/>
        </w:rPr>
        <w:t>除专用条款另有约定外，发包人应根据批准的初步设计和7.2.3款约定由承包人提交的临时占地资料，与承包人约定进场条件，确定进场日期。发包人应提供施工场地、完成进场道路、用地许可、拆迁及补偿等工作，保证承包人能够按时进入现场开始准备工作。进场条件和进场日期在专用条款约定。</w:t>
      </w:r>
    </w:p>
    <w:p>
      <w:pPr>
        <w:spacing w:line="300" w:lineRule="auto"/>
        <w:ind w:firstLine="420" w:firstLineChars="200"/>
        <w:rPr>
          <w:rFonts w:ascii="宋体" w:hAnsi="宋体"/>
          <w:color w:val="auto"/>
          <w:szCs w:val="21"/>
          <w:highlight w:val="none"/>
        </w:rPr>
      </w:pPr>
      <w:r>
        <w:rPr>
          <w:rFonts w:ascii="宋体" w:hAnsi="宋体"/>
          <w:color w:val="auto"/>
          <w:szCs w:val="21"/>
          <w:highlight w:val="none"/>
        </w:rPr>
        <w:t>因发包人原因造成承包人的进场时间延误，竣工日期相应顺延。发包人承担承包人因此发生的相关窝工费用。</w:t>
      </w:r>
    </w:p>
    <w:p>
      <w:pPr>
        <w:spacing w:line="300" w:lineRule="auto"/>
        <w:ind w:firstLine="420" w:firstLineChars="200"/>
        <w:rPr>
          <w:rFonts w:ascii="宋体" w:hAnsi="宋体"/>
          <w:color w:val="auto"/>
          <w:szCs w:val="21"/>
          <w:highlight w:val="none"/>
        </w:rPr>
      </w:pPr>
      <w:r>
        <w:rPr>
          <w:rFonts w:ascii="宋体" w:hAnsi="宋体"/>
          <w:color w:val="auto"/>
          <w:szCs w:val="21"/>
          <w:highlight w:val="none"/>
        </w:rPr>
        <w:t>7.1.4  提供临时用水、用电等和节点铺设</w:t>
      </w:r>
    </w:p>
    <w:p>
      <w:pPr>
        <w:spacing w:line="300" w:lineRule="auto"/>
        <w:ind w:firstLine="420" w:firstLineChars="200"/>
        <w:rPr>
          <w:rFonts w:ascii="宋体" w:hAnsi="宋体"/>
          <w:color w:val="auto"/>
          <w:szCs w:val="21"/>
          <w:highlight w:val="none"/>
        </w:rPr>
      </w:pPr>
      <w:r>
        <w:rPr>
          <w:rFonts w:ascii="宋体" w:hAnsi="宋体"/>
          <w:color w:val="auto"/>
          <w:szCs w:val="21"/>
          <w:highlight w:val="none"/>
        </w:rPr>
        <w:t>除专用条款另有约定外，发包人应按7.2.4款的约定，在承包人进场前将施工临时用水、用电等接至约定的节点位置，并保证其需要。上述临时使用的水、电等的类别、取费单价在专用条款中约定，发包人按实际计量结果收费。发包人无法提供的水、电等在专用条款中约定，相关费用由承包人纳入报价并承担相关责任。</w:t>
      </w:r>
    </w:p>
    <w:p>
      <w:pPr>
        <w:spacing w:line="300" w:lineRule="auto"/>
        <w:ind w:firstLine="420" w:firstLineChars="200"/>
        <w:rPr>
          <w:rFonts w:ascii="宋体" w:hAnsi="宋体"/>
          <w:color w:val="auto"/>
          <w:szCs w:val="21"/>
          <w:highlight w:val="none"/>
        </w:rPr>
      </w:pPr>
      <w:r>
        <w:rPr>
          <w:rFonts w:ascii="宋体" w:hAnsi="宋体"/>
          <w:color w:val="auto"/>
          <w:szCs w:val="21"/>
          <w:highlight w:val="none"/>
        </w:rPr>
        <w:t>发包人未能按约定的类别和时间完成节点铺设，使开工时间延误，竣工日期相应顺延。未能按约定的品质、数量和时间提供水、电等，给承包人造成的损失由发包人承担，导致工程关键路径延误的，竣工日期相应顺延。</w:t>
      </w:r>
    </w:p>
    <w:p>
      <w:pPr>
        <w:spacing w:line="300" w:lineRule="auto"/>
        <w:ind w:firstLine="420" w:firstLineChars="200"/>
        <w:rPr>
          <w:rFonts w:ascii="宋体" w:hAnsi="宋体"/>
          <w:color w:val="auto"/>
          <w:szCs w:val="21"/>
          <w:highlight w:val="none"/>
        </w:rPr>
      </w:pPr>
      <w:r>
        <w:rPr>
          <w:rFonts w:ascii="宋体" w:hAnsi="宋体"/>
          <w:color w:val="auto"/>
          <w:szCs w:val="21"/>
          <w:highlight w:val="none"/>
        </w:rPr>
        <w:t>7.1.5  办理开工等批准手续</w:t>
      </w:r>
    </w:p>
    <w:p>
      <w:pPr>
        <w:spacing w:line="300" w:lineRule="auto"/>
        <w:ind w:firstLine="420" w:firstLineChars="200"/>
        <w:rPr>
          <w:rFonts w:ascii="宋体" w:hAnsi="宋体"/>
          <w:color w:val="auto"/>
          <w:szCs w:val="21"/>
          <w:highlight w:val="none"/>
        </w:rPr>
      </w:pPr>
      <w:r>
        <w:rPr>
          <w:rFonts w:ascii="宋体" w:hAnsi="宋体"/>
          <w:color w:val="auto"/>
          <w:szCs w:val="21"/>
          <w:highlight w:val="none"/>
        </w:rPr>
        <w:t>发包人在开工日期前，办妥须要由发包人办理的开工批准或施工许可证、工程质量监督手续及其它所需的许可、证件和批文等。</w:t>
      </w:r>
    </w:p>
    <w:p>
      <w:pPr>
        <w:spacing w:line="300" w:lineRule="auto"/>
        <w:ind w:firstLine="420" w:firstLineChars="200"/>
        <w:rPr>
          <w:rFonts w:ascii="宋体" w:hAnsi="宋体"/>
          <w:color w:val="auto"/>
          <w:szCs w:val="21"/>
          <w:highlight w:val="none"/>
        </w:rPr>
      </w:pPr>
      <w:r>
        <w:rPr>
          <w:rFonts w:ascii="宋体" w:hAnsi="宋体"/>
          <w:color w:val="auto"/>
          <w:szCs w:val="21"/>
          <w:highlight w:val="none"/>
        </w:rPr>
        <w:t>7.1.6  施工过程中须由发包人办理的批准</w:t>
      </w:r>
    </w:p>
    <w:p>
      <w:pPr>
        <w:spacing w:line="300" w:lineRule="auto"/>
        <w:ind w:firstLine="420" w:firstLineChars="200"/>
        <w:rPr>
          <w:rFonts w:ascii="宋体" w:hAnsi="宋体"/>
          <w:color w:val="auto"/>
          <w:szCs w:val="21"/>
          <w:highlight w:val="none"/>
        </w:rPr>
      </w:pPr>
      <w:r>
        <w:rPr>
          <w:rFonts w:ascii="宋体" w:hAnsi="宋体"/>
          <w:color w:val="auto"/>
          <w:szCs w:val="21"/>
          <w:highlight w:val="none"/>
        </w:rPr>
        <w:t>承包人在施工过程中根据7.2.6款的约定，通知须由发包人办理的各项批准手续，由发包人申请办理。</w:t>
      </w:r>
    </w:p>
    <w:p>
      <w:pPr>
        <w:spacing w:line="300" w:lineRule="auto"/>
        <w:ind w:firstLine="420" w:firstLineChars="200"/>
        <w:rPr>
          <w:rFonts w:ascii="宋体" w:hAnsi="宋体"/>
          <w:color w:val="auto"/>
          <w:szCs w:val="21"/>
          <w:highlight w:val="none"/>
        </w:rPr>
      </w:pPr>
      <w:r>
        <w:rPr>
          <w:rFonts w:ascii="宋体" w:hAnsi="宋体"/>
          <w:color w:val="auto"/>
          <w:szCs w:val="21"/>
          <w:highlight w:val="none"/>
        </w:rPr>
        <w:t>因发包人未能按时办妥上述批准手续，给承包人造成的窝工损失，由发包人承担。导致工程关键路径延误的，竣工日期相相应顺延。</w:t>
      </w:r>
    </w:p>
    <w:p>
      <w:pPr>
        <w:spacing w:line="300" w:lineRule="auto"/>
        <w:ind w:firstLine="420" w:firstLineChars="200"/>
        <w:rPr>
          <w:rFonts w:ascii="宋体" w:hAnsi="宋体"/>
          <w:color w:val="auto"/>
          <w:szCs w:val="21"/>
          <w:highlight w:val="none"/>
        </w:rPr>
      </w:pPr>
      <w:r>
        <w:rPr>
          <w:rFonts w:ascii="宋体" w:hAnsi="宋体"/>
          <w:color w:val="auto"/>
          <w:szCs w:val="21"/>
          <w:highlight w:val="none"/>
        </w:rPr>
        <w:t>7.1.7  提供施工障碍资料</w:t>
      </w:r>
    </w:p>
    <w:p>
      <w:pPr>
        <w:spacing w:line="300" w:lineRule="auto"/>
        <w:ind w:firstLine="420" w:firstLineChars="200"/>
        <w:rPr>
          <w:rFonts w:ascii="宋体" w:hAnsi="宋体"/>
          <w:color w:val="auto"/>
          <w:szCs w:val="21"/>
          <w:highlight w:val="none"/>
        </w:rPr>
      </w:pPr>
      <w:r>
        <w:rPr>
          <w:rFonts w:ascii="宋体" w:hAnsi="宋体"/>
          <w:color w:val="auto"/>
          <w:szCs w:val="21"/>
          <w:highlight w:val="none"/>
        </w:rPr>
        <w:t>发包人按合同约定的内容和时间提供与施工场地相关的地下和地上的建筑物、构筑物和其它设施的坐标位置。发包人根据5.2.1款第（1）项、第（2）项的约定，已经提供的可不再提供。承包人对发包人在合同约定时间之后提供的障碍资料，可依据13.2.3款施工变更的约定提交变更申请，对于承包人的合理请求发包人应予以批准。因发包人未能提供上述施工障碍资料或提供的资料不真实、不准确、不齐全，给承包人造成损失或损害的，由发包人承担赔偿责任。导致工程关键路径延误的，竣工日期相应顺延。</w:t>
      </w:r>
    </w:p>
    <w:p>
      <w:pPr>
        <w:spacing w:line="300" w:lineRule="auto"/>
        <w:ind w:firstLine="420" w:firstLineChars="200"/>
        <w:rPr>
          <w:rFonts w:ascii="宋体" w:hAnsi="宋体"/>
          <w:color w:val="auto"/>
          <w:szCs w:val="21"/>
          <w:highlight w:val="none"/>
        </w:rPr>
      </w:pPr>
      <w:r>
        <w:rPr>
          <w:rFonts w:ascii="宋体" w:hAnsi="宋体"/>
          <w:color w:val="auto"/>
          <w:szCs w:val="21"/>
          <w:highlight w:val="none"/>
        </w:rPr>
        <w:t>7.1.8  承包人新发现的施工障碍</w:t>
      </w:r>
    </w:p>
    <w:p>
      <w:pPr>
        <w:spacing w:line="300" w:lineRule="auto"/>
        <w:ind w:firstLine="420" w:firstLineChars="200"/>
        <w:rPr>
          <w:rFonts w:ascii="宋体" w:hAnsi="宋体"/>
          <w:color w:val="auto"/>
          <w:szCs w:val="21"/>
          <w:highlight w:val="none"/>
        </w:rPr>
      </w:pPr>
      <w:r>
        <w:rPr>
          <w:rFonts w:ascii="宋体" w:hAnsi="宋体"/>
          <w:color w:val="auto"/>
          <w:szCs w:val="21"/>
          <w:highlight w:val="none"/>
        </w:rPr>
        <w:t>发包人根据承包人按照7.2.8款的约定发出的通知，与有关单位进行联系、协调、处理施工场地周围及临近的影响工程实施的建筑物、构筑物、文物建筑、古树、名木、地下管线、线缆、设施以及地下文物、化石和坟墓等的保护工作，并承担相关费用。</w:t>
      </w:r>
    </w:p>
    <w:p>
      <w:pPr>
        <w:spacing w:line="300" w:lineRule="auto"/>
        <w:ind w:firstLine="420" w:firstLineChars="200"/>
        <w:rPr>
          <w:rFonts w:ascii="宋体" w:hAnsi="宋体"/>
          <w:color w:val="auto"/>
          <w:szCs w:val="21"/>
          <w:highlight w:val="none"/>
        </w:rPr>
      </w:pPr>
      <w:r>
        <w:rPr>
          <w:rFonts w:ascii="宋体" w:hAnsi="宋体"/>
          <w:color w:val="auto"/>
          <w:szCs w:val="21"/>
          <w:highlight w:val="none"/>
        </w:rPr>
        <w:t>对于新发现的施工障碍，承包人可依据13.2.3款施工变更范围第（3）项的约定提交变更申请，对于承包人的合理请求发包人应予以批准。施工障碍导致工程关键路径延误的，竣工日期相应顺延。</w:t>
      </w:r>
    </w:p>
    <w:p>
      <w:pPr>
        <w:spacing w:line="300" w:lineRule="auto"/>
        <w:ind w:firstLine="420" w:firstLineChars="200"/>
        <w:rPr>
          <w:rFonts w:ascii="宋体" w:hAnsi="宋体"/>
          <w:color w:val="auto"/>
          <w:szCs w:val="21"/>
          <w:highlight w:val="none"/>
        </w:rPr>
      </w:pPr>
      <w:r>
        <w:rPr>
          <w:rFonts w:ascii="宋体" w:hAnsi="宋体"/>
          <w:color w:val="auto"/>
          <w:szCs w:val="21"/>
          <w:highlight w:val="none"/>
        </w:rPr>
        <w:t>7.1.9  职业健康、安全、环境保护管理计划确认</w:t>
      </w:r>
    </w:p>
    <w:p>
      <w:pPr>
        <w:spacing w:line="300" w:lineRule="auto"/>
        <w:ind w:firstLine="420" w:firstLineChars="200"/>
        <w:rPr>
          <w:rFonts w:ascii="宋体" w:hAnsi="宋体"/>
          <w:color w:val="auto"/>
          <w:szCs w:val="21"/>
          <w:highlight w:val="none"/>
        </w:rPr>
      </w:pPr>
      <w:r>
        <w:rPr>
          <w:rFonts w:ascii="宋体" w:hAnsi="宋体"/>
          <w:color w:val="auto"/>
          <w:szCs w:val="21"/>
          <w:highlight w:val="none"/>
        </w:rPr>
        <w:t>发包人在收到承包人根据7.8款约定提交的“职业健康、安全、环境保护”管理计划后20日内对之进行确认。发包人有权检查其实施情况并对检查中发现的问题提出整改建议，承包人应按照发包人合理建议自费整改。</w:t>
      </w:r>
    </w:p>
    <w:p>
      <w:pPr>
        <w:spacing w:line="300" w:lineRule="auto"/>
        <w:ind w:firstLine="420" w:firstLineChars="200"/>
        <w:rPr>
          <w:rFonts w:ascii="宋体" w:hAnsi="宋体"/>
          <w:color w:val="auto"/>
          <w:szCs w:val="21"/>
          <w:highlight w:val="none"/>
        </w:rPr>
      </w:pPr>
      <w:r>
        <w:rPr>
          <w:rFonts w:ascii="宋体" w:hAnsi="宋体"/>
          <w:color w:val="auto"/>
          <w:szCs w:val="21"/>
          <w:highlight w:val="none"/>
        </w:rPr>
        <w:t>7.1.10  其它义务</w:t>
      </w:r>
    </w:p>
    <w:p>
      <w:pPr>
        <w:spacing w:line="300" w:lineRule="auto"/>
        <w:ind w:firstLine="420" w:firstLineChars="200"/>
        <w:rPr>
          <w:rFonts w:ascii="宋体" w:hAnsi="宋体"/>
          <w:color w:val="auto"/>
          <w:szCs w:val="21"/>
          <w:highlight w:val="none"/>
        </w:rPr>
      </w:pPr>
      <w:r>
        <w:rPr>
          <w:rFonts w:ascii="宋体" w:hAnsi="宋体"/>
          <w:color w:val="auto"/>
          <w:szCs w:val="21"/>
          <w:highlight w:val="none"/>
        </w:rPr>
        <w:t>发包人应履行专用条款中约定的由发包人履行的其它义务。</w:t>
      </w:r>
    </w:p>
    <w:p>
      <w:pPr>
        <w:spacing w:before="156" w:beforeLines="50" w:after="156" w:afterLines="50" w:line="300" w:lineRule="auto"/>
        <w:ind w:firstLine="422" w:firstLineChars="200"/>
        <w:rPr>
          <w:rFonts w:ascii="宋体" w:hAnsi="宋体"/>
          <w:b/>
          <w:color w:val="auto"/>
          <w:szCs w:val="21"/>
          <w:highlight w:val="none"/>
        </w:rPr>
      </w:pPr>
      <w:r>
        <w:rPr>
          <w:rFonts w:ascii="宋体" w:hAnsi="宋体"/>
          <w:b/>
          <w:color w:val="auto"/>
          <w:szCs w:val="21"/>
          <w:highlight w:val="none"/>
        </w:rPr>
        <w:t>7.2  承包人的义务</w:t>
      </w:r>
    </w:p>
    <w:p>
      <w:pPr>
        <w:spacing w:line="300" w:lineRule="auto"/>
        <w:ind w:firstLine="420" w:firstLineChars="200"/>
        <w:rPr>
          <w:rFonts w:ascii="宋体" w:hAnsi="宋体"/>
          <w:color w:val="auto"/>
          <w:szCs w:val="21"/>
          <w:highlight w:val="none"/>
        </w:rPr>
      </w:pPr>
      <w:r>
        <w:rPr>
          <w:rFonts w:ascii="宋体" w:hAnsi="宋体"/>
          <w:color w:val="auto"/>
          <w:szCs w:val="21"/>
          <w:highlight w:val="none"/>
        </w:rPr>
        <w:t>7.2.1  放线。</w:t>
      </w:r>
    </w:p>
    <w:p>
      <w:pPr>
        <w:spacing w:line="300" w:lineRule="auto"/>
        <w:ind w:firstLine="420" w:firstLineChars="200"/>
        <w:rPr>
          <w:rFonts w:ascii="宋体" w:hAnsi="宋体"/>
          <w:color w:val="auto"/>
          <w:szCs w:val="21"/>
          <w:highlight w:val="none"/>
        </w:rPr>
      </w:pPr>
      <w:r>
        <w:rPr>
          <w:rFonts w:ascii="宋体" w:hAnsi="宋体"/>
          <w:color w:val="auto"/>
          <w:szCs w:val="21"/>
          <w:highlight w:val="none"/>
        </w:rPr>
        <w:t>承包人负责对工程、单项工程、施工部位放线，并对放线的准确性负责。</w:t>
      </w:r>
    </w:p>
    <w:p>
      <w:pPr>
        <w:spacing w:line="300" w:lineRule="auto"/>
        <w:ind w:firstLine="420" w:firstLineChars="200"/>
        <w:rPr>
          <w:rFonts w:ascii="宋体" w:hAnsi="宋体"/>
          <w:color w:val="auto"/>
          <w:szCs w:val="21"/>
          <w:highlight w:val="none"/>
        </w:rPr>
      </w:pPr>
      <w:r>
        <w:rPr>
          <w:rFonts w:ascii="宋体" w:hAnsi="宋体"/>
          <w:color w:val="auto"/>
          <w:szCs w:val="21"/>
          <w:highlight w:val="none"/>
        </w:rPr>
        <w:t>7.2.2  施工组织设计。</w:t>
      </w:r>
    </w:p>
    <w:p>
      <w:pPr>
        <w:spacing w:line="300" w:lineRule="auto"/>
        <w:ind w:firstLine="420" w:firstLineChars="200"/>
        <w:rPr>
          <w:rFonts w:ascii="宋体" w:hAnsi="宋体"/>
          <w:color w:val="auto"/>
          <w:szCs w:val="21"/>
          <w:highlight w:val="none"/>
        </w:rPr>
      </w:pPr>
      <w:r>
        <w:rPr>
          <w:rFonts w:ascii="宋体" w:hAnsi="宋体"/>
          <w:color w:val="auto"/>
          <w:szCs w:val="21"/>
          <w:highlight w:val="none"/>
        </w:rPr>
        <w:t>承包人应在施工开工15日前或双方约定的其它时间内，向发包人提交总体施工组织设计。随着施工进展向发包人提交主要单项工程和主要分部分项工程的施工组织设计。对发包人提出的合理建议和要求，承包人应自费修改完善。</w:t>
      </w:r>
    </w:p>
    <w:p>
      <w:pPr>
        <w:spacing w:line="300" w:lineRule="auto"/>
        <w:ind w:firstLine="420" w:firstLineChars="200"/>
        <w:rPr>
          <w:rFonts w:ascii="宋体" w:hAnsi="宋体"/>
          <w:color w:val="auto"/>
          <w:szCs w:val="21"/>
          <w:highlight w:val="none"/>
        </w:rPr>
      </w:pPr>
      <w:r>
        <w:rPr>
          <w:rFonts w:ascii="宋体" w:hAnsi="宋体"/>
          <w:color w:val="auto"/>
          <w:szCs w:val="21"/>
          <w:highlight w:val="none"/>
        </w:rPr>
        <w:t>总体施工组织设计提交的份数和时间，及需提交施工组织设计的主要单项工程和主要分部分项工程的名称、份数和时间，在专用条款中约定。</w:t>
      </w:r>
    </w:p>
    <w:p>
      <w:pPr>
        <w:spacing w:line="300" w:lineRule="auto"/>
        <w:ind w:firstLine="420" w:firstLineChars="200"/>
        <w:rPr>
          <w:rFonts w:ascii="宋体" w:hAnsi="宋体"/>
          <w:color w:val="auto"/>
          <w:szCs w:val="21"/>
          <w:highlight w:val="none"/>
        </w:rPr>
      </w:pPr>
      <w:r>
        <w:rPr>
          <w:rFonts w:ascii="宋体" w:hAnsi="宋体"/>
          <w:color w:val="auto"/>
          <w:szCs w:val="21"/>
          <w:highlight w:val="none"/>
        </w:rPr>
        <w:t>7.2.3  提交临时占地资料</w:t>
      </w:r>
    </w:p>
    <w:p>
      <w:pPr>
        <w:spacing w:line="300" w:lineRule="auto"/>
        <w:ind w:firstLine="420" w:firstLineChars="200"/>
        <w:rPr>
          <w:rFonts w:ascii="宋体" w:hAnsi="宋体"/>
          <w:color w:val="auto"/>
          <w:szCs w:val="21"/>
          <w:highlight w:val="none"/>
        </w:rPr>
      </w:pPr>
      <w:r>
        <w:rPr>
          <w:rFonts w:ascii="宋体" w:hAnsi="宋体"/>
          <w:color w:val="auto"/>
          <w:szCs w:val="21"/>
          <w:highlight w:val="none"/>
        </w:rPr>
        <w:t>承包人应按专用条款约定的时间向发包人提交以下临时占用资料：</w:t>
      </w:r>
    </w:p>
    <w:p>
      <w:pPr>
        <w:spacing w:line="300" w:lineRule="auto"/>
        <w:ind w:firstLine="420" w:firstLineChars="200"/>
        <w:rPr>
          <w:rFonts w:ascii="宋体" w:hAnsi="宋体"/>
          <w:color w:val="auto"/>
          <w:szCs w:val="21"/>
          <w:highlight w:val="none"/>
        </w:rPr>
      </w:pPr>
      <w:r>
        <w:rPr>
          <w:rFonts w:ascii="宋体" w:hAnsi="宋体"/>
          <w:color w:val="auto"/>
          <w:szCs w:val="21"/>
          <w:highlight w:val="none"/>
        </w:rPr>
        <w:t>（1）根据6.6.1款保管工程物资所需的库房、堆场、道路用地的坐标位置、面积、占用时间、用途说明，并须单列需要由发包人租地的坐标位置、面积、占用时间和用途说明；</w:t>
      </w:r>
    </w:p>
    <w:p>
      <w:pPr>
        <w:spacing w:line="300" w:lineRule="auto"/>
        <w:ind w:firstLine="420" w:firstLineChars="200"/>
        <w:rPr>
          <w:rFonts w:ascii="宋体" w:hAnsi="宋体"/>
          <w:color w:val="auto"/>
          <w:szCs w:val="21"/>
          <w:highlight w:val="none"/>
        </w:rPr>
      </w:pPr>
      <w:r>
        <w:rPr>
          <w:rFonts w:ascii="宋体" w:hAnsi="宋体"/>
          <w:color w:val="auto"/>
          <w:szCs w:val="21"/>
          <w:highlight w:val="none"/>
        </w:rPr>
        <w:t>（2）施工用地的坐标位置、面积、占用时间、用途说明，并须单列要求发包人租地的坐标位置、面积、占用时间和用途说明；</w:t>
      </w:r>
    </w:p>
    <w:p>
      <w:pPr>
        <w:spacing w:line="300" w:lineRule="auto"/>
        <w:ind w:firstLine="420" w:firstLineChars="200"/>
        <w:rPr>
          <w:rFonts w:ascii="宋体" w:hAnsi="宋体"/>
          <w:color w:val="auto"/>
          <w:szCs w:val="21"/>
          <w:highlight w:val="none"/>
        </w:rPr>
      </w:pPr>
      <w:r>
        <w:rPr>
          <w:rFonts w:ascii="宋体" w:hAnsi="宋体"/>
          <w:color w:val="auto"/>
          <w:szCs w:val="21"/>
          <w:highlight w:val="none"/>
        </w:rPr>
        <w:t>（3）进入施工现场道路的入口坐标位置，并须指明要求发包人铺设与城乡公共道路相连接的道路走向、长度、路宽、等级、桥涵承重、转弯半径和时间要求。</w:t>
      </w:r>
    </w:p>
    <w:p>
      <w:pPr>
        <w:spacing w:line="300" w:lineRule="auto"/>
        <w:ind w:firstLine="420" w:firstLineChars="200"/>
        <w:rPr>
          <w:rFonts w:ascii="宋体" w:hAnsi="宋体"/>
          <w:color w:val="auto"/>
          <w:szCs w:val="21"/>
          <w:highlight w:val="none"/>
        </w:rPr>
      </w:pPr>
      <w:r>
        <w:rPr>
          <w:rFonts w:ascii="宋体" w:hAnsi="宋体"/>
          <w:color w:val="auto"/>
          <w:szCs w:val="21"/>
          <w:highlight w:val="none"/>
        </w:rPr>
        <w:t>因承包人未能按时提交上述资料，导致7.1.3款约定的进场日期延误的，由此增加的费用和（或）竣工日期延误，由承包人负责。</w:t>
      </w:r>
    </w:p>
    <w:p>
      <w:pPr>
        <w:spacing w:line="300" w:lineRule="auto"/>
        <w:ind w:firstLine="420" w:firstLineChars="200"/>
        <w:rPr>
          <w:rFonts w:ascii="宋体" w:hAnsi="宋体"/>
          <w:color w:val="auto"/>
          <w:szCs w:val="21"/>
          <w:highlight w:val="none"/>
        </w:rPr>
      </w:pPr>
      <w:r>
        <w:rPr>
          <w:rFonts w:ascii="宋体" w:hAnsi="宋体"/>
          <w:color w:val="auto"/>
          <w:szCs w:val="21"/>
          <w:highlight w:val="none"/>
        </w:rPr>
        <w:t>7.2.4  临时用水、用电等</w:t>
      </w:r>
    </w:p>
    <w:p>
      <w:pPr>
        <w:spacing w:line="300" w:lineRule="auto"/>
        <w:ind w:firstLine="420" w:firstLineChars="200"/>
        <w:rPr>
          <w:rFonts w:ascii="宋体" w:hAnsi="宋体"/>
          <w:color w:val="auto"/>
          <w:szCs w:val="21"/>
          <w:highlight w:val="none"/>
        </w:rPr>
      </w:pPr>
      <w:r>
        <w:rPr>
          <w:rFonts w:ascii="宋体" w:hAnsi="宋体"/>
          <w:color w:val="auto"/>
          <w:szCs w:val="21"/>
          <w:highlight w:val="none"/>
        </w:rPr>
        <w:t>承包人应在施工开工日期30日前或双方约定的其它时间，按本专用条款中约定的发包人能够提供的临时用水、用电等类别，向发包人提交施工（含工程物资保管）所需的临时用水、用电等的品质、正常用量、高峰用量、使用时间和节点位置等资料。承包人自费负责计量仪器的购买、安装和维护，并依据7.1.4款专用条款中约定的单价向发包人交费，双方另有约定时除外。</w:t>
      </w:r>
    </w:p>
    <w:p>
      <w:pPr>
        <w:spacing w:line="300" w:lineRule="auto"/>
        <w:ind w:firstLine="420" w:firstLineChars="200"/>
        <w:rPr>
          <w:rFonts w:ascii="宋体" w:hAnsi="宋体"/>
          <w:color w:val="auto"/>
          <w:szCs w:val="21"/>
          <w:highlight w:val="none"/>
        </w:rPr>
      </w:pPr>
      <w:r>
        <w:rPr>
          <w:rFonts w:ascii="宋体" w:hAnsi="宋体"/>
          <w:color w:val="auto"/>
          <w:szCs w:val="21"/>
          <w:highlight w:val="none"/>
        </w:rPr>
        <w:t>因承包人未能按合约约定提交上述资料，造成发包人费用增加和竣工日期延误时，由承包人负责。</w:t>
      </w:r>
    </w:p>
    <w:p>
      <w:pPr>
        <w:spacing w:line="300" w:lineRule="auto"/>
        <w:ind w:firstLine="420" w:firstLineChars="200"/>
        <w:rPr>
          <w:rFonts w:ascii="宋体" w:hAnsi="宋体"/>
          <w:color w:val="auto"/>
          <w:szCs w:val="21"/>
          <w:highlight w:val="none"/>
        </w:rPr>
      </w:pPr>
      <w:r>
        <w:rPr>
          <w:rFonts w:ascii="宋体" w:hAnsi="宋体"/>
          <w:color w:val="auto"/>
          <w:szCs w:val="21"/>
          <w:highlight w:val="none"/>
        </w:rPr>
        <w:t>7.2.5  协助发包人办理开工等批准手续</w:t>
      </w:r>
    </w:p>
    <w:p>
      <w:pPr>
        <w:spacing w:line="300" w:lineRule="auto"/>
        <w:ind w:firstLine="420" w:firstLineChars="200"/>
        <w:rPr>
          <w:rFonts w:ascii="宋体" w:hAnsi="宋体"/>
          <w:color w:val="auto"/>
          <w:szCs w:val="21"/>
          <w:highlight w:val="none"/>
        </w:rPr>
      </w:pPr>
      <w:r>
        <w:rPr>
          <w:rFonts w:ascii="宋体" w:hAnsi="宋体"/>
          <w:color w:val="auto"/>
          <w:szCs w:val="21"/>
          <w:highlight w:val="none"/>
        </w:rPr>
        <w:t>承包人应在工程开工20日前，通知发包人向有关部门办理须由发包人办理的开工批准或施工许可证、工程质量监督手续及其它许可、证件、批件等。发包人需要时，承包人有义务提供协助。发包人委托承包人代办并被承包人接受时，双方可另行签订协议，作为本合同的附件。</w:t>
      </w:r>
    </w:p>
    <w:p>
      <w:pPr>
        <w:spacing w:line="300" w:lineRule="auto"/>
        <w:ind w:firstLine="420" w:firstLineChars="200"/>
        <w:rPr>
          <w:rFonts w:ascii="宋体" w:hAnsi="宋体"/>
          <w:color w:val="auto"/>
          <w:szCs w:val="21"/>
          <w:highlight w:val="none"/>
        </w:rPr>
      </w:pPr>
      <w:r>
        <w:rPr>
          <w:rFonts w:ascii="宋体" w:hAnsi="宋体"/>
          <w:color w:val="auto"/>
          <w:szCs w:val="21"/>
          <w:highlight w:val="none"/>
        </w:rPr>
        <w:t>7.2.6  施工过程中需通知办理的批准</w:t>
      </w:r>
    </w:p>
    <w:p>
      <w:pPr>
        <w:spacing w:line="300" w:lineRule="auto"/>
        <w:ind w:firstLine="420" w:firstLineChars="200"/>
        <w:rPr>
          <w:rFonts w:ascii="宋体" w:hAnsi="宋体"/>
          <w:color w:val="auto"/>
          <w:szCs w:val="21"/>
          <w:highlight w:val="none"/>
        </w:rPr>
      </w:pPr>
      <w:r>
        <w:rPr>
          <w:rFonts w:ascii="宋体" w:hAnsi="宋体"/>
          <w:color w:val="auto"/>
          <w:szCs w:val="21"/>
          <w:highlight w:val="none"/>
        </w:rPr>
        <w:t>承包人在施工过程中因增加场外临时用地，临时要求停水、停电、中断道路交通，爆破作业，或可能损坏道路、管线、电力、邮电、通讯等公共设施的，应提前10日通知发包人办理相关申请批准手续。并按发包人的要求，提供需要承包人提供的相关文件、资料、证件等。</w:t>
      </w:r>
    </w:p>
    <w:p>
      <w:pPr>
        <w:spacing w:line="300" w:lineRule="auto"/>
        <w:ind w:firstLine="420" w:firstLineChars="200"/>
        <w:rPr>
          <w:rFonts w:ascii="宋体" w:hAnsi="宋体"/>
          <w:color w:val="auto"/>
          <w:szCs w:val="21"/>
          <w:highlight w:val="none"/>
        </w:rPr>
      </w:pPr>
      <w:r>
        <w:rPr>
          <w:rFonts w:ascii="宋体" w:hAnsi="宋体"/>
          <w:color w:val="auto"/>
          <w:szCs w:val="21"/>
          <w:highlight w:val="none"/>
        </w:rPr>
        <w:t>因承包人未能在10日前通知发包人或未能按时提供由发包人办理申请所需的承包人的相关文件、资料和证件等，造成承包人窝工、停工和竣工日期延误的，由承包人负责。</w:t>
      </w:r>
    </w:p>
    <w:p>
      <w:pPr>
        <w:spacing w:line="300" w:lineRule="auto"/>
        <w:ind w:firstLine="420" w:firstLineChars="200"/>
        <w:rPr>
          <w:rFonts w:ascii="宋体" w:hAnsi="宋体"/>
          <w:color w:val="auto"/>
          <w:szCs w:val="21"/>
          <w:highlight w:val="none"/>
        </w:rPr>
      </w:pPr>
      <w:r>
        <w:rPr>
          <w:rFonts w:ascii="宋体" w:hAnsi="宋体"/>
          <w:color w:val="auto"/>
          <w:szCs w:val="21"/>
          <w:highlight w:val="none"/>
        </w:rPr>
        <w:t>7.2.7  提供施工障碍资料</w:t>
      </w:r>
    </w:p>
    <w:p>
      <w:pPr>
        <w:spacing w:line="300" w:lineRule="auto"/>
        <w:ind w:firstLine="420" w:firstLineChars="200"/>
        <w:rPr>
          <w:rFonts w:ascii="宋体" w:hAnsi="宋体"/>
          <w:color w:val="auto"/>
          <w:szCs w:val="21"/>
          <w:highlight w:val="none"/>
        </w:rPr>
      </w:pPr>
      <w:r>
        <w:rPr>
          <w:rFonts w:ascii="宋体" w:hAnsi="宋体"/>
          <w:color w:val="auto"/>
          <w:szCs w:val="21"/>
          <w:highlight w:val="none"/>
        </w:rPr>
        <w:t>承包人应按合同约定，在每项地下或地上施工部位开工20日前，向发包人提交施工场地的具体范围及其坐标位置，发包人须对上述范围内提供相关的地下和地下的建筑物、构筑物和其它设施的坐标位置（不包括发包人根据5.2.1款第（1）项、第（2）项中已提供的现场障碍资料）。发包人在合同约定时间之后提出的现场障碍资料，按照13.2.3款的施工变更的约定办理。</w:t>
      </w:r>
    </w:p>
    <w:p>
      <w:pPr>
        <w:spacing w:line="300" w:lineRule="auto"/>
        <w:ind w:firstLine="420" w:firstLineChars="200"/>
        <w:rPr>
          <w:rFonts w:ascii="宋体" w:hAnsi="宋体"/>
          <w:color w:val="auto"/>
          <w:szCs w:val="21"/>
          <w:highlight w:val="none"/>
        </w:rPr>
      </w:pPr>
      <w:r>
        <w:rPr>
          <w:rFonts w:ascii="宋体" w:hAnsi="宋体"/>
          <w:color w:val="auto"/>
          <w:szCs w:val="21"/>
          <w:highlight w:val="none"/>
        </w:rPr>
        <w:t>发包人已提供上述相关资料，因承包人未能履行保护义务，造成的损失、损害和责任，由承包人负责。因此造成工程关键路径延误的，承包人按4.1.2款的约定，自费赶上。</w:t>
      </w:r>
    </w:p>
    <w:p>
      <w:pPr>
        <w:spacing w:line="300" w:lineRule="auto"/>
        <w:ind w:firstLine="420" w:firstLineChars="200"/>
        <w:rPr>
          <w:rFonts w:ascii="宋体" w:hAnsi="宋体"/>
          <w:color w:val="auto"/>
          <w:szCs w:val="21"/>
          <w:highlight w:val="none"/>
        </w:rPr>
      </w:pPr>
      <w:r>
        <w:rPr>
          <w:rFonts w:ascii="宋体" w:hAnsi="宋体"/>
          <w:color w:val="auto"/>
          <w:szCs w:val="21"/>
          <w:highlight w:val="none"/>
        </w:rPr>
        <w:t>7.2.8  新发现的施工障碍</w:t>
      </w:r>
    </w:p>
    <w:p>
      <w:pPr>
        <w:spacing w:line="300" w:lineRule="auto"/>
        <w:ind w:firstLine="420" w:firstLineChars="200"/>
        <w:rPr>
          <w:rFonts w:ascii="宋体" w:hAnsi="宋体"/>
          <w:color w:val="auto"/>
          <w:szCs w:val="21"/>
          <w:highlight w:val="none"/>
        </w:rPr>
      </w:pPr>
      <w:r>
        <w:rPr>
          <w:rFonts w:ascii="宋体" w:hAnsi="宋体"/>
          <w:color w:val="auto"/>
          <w:szCs w:val="21"/>
          <w:highlight w:val="none"/>
        </w:rPr>
        <w:t>承包人对在施工过程中新发现的场地周围及临近影响施工的建筑物、构筑物、文物建筑、古树、名木，以及地下管线、线缆、构筑物、文物、化石和坟墓等，立即采取保护措施，并及时通知发包人。新发现的施工障碍，按照13.2.3款的施工变更约定办理。</w:t>
      </w:r>
    </w:p>
    <w:p>
      <w:pPr>
        <w:spacing w:line="300" w:lineRule="auto"/>
        <w:ind w:firstLine="420" w:firstLineChars="200"/>
        <w:rPr>
          <w:rFonts w:ascii="宋体" w:hAnsi="宋体"/>
          <w:color w:val="auto"/>
          <w:szCs w:val="21"/>
          <w:highlight w:val="none"/>
        </w:rPr>
      </w:pPr>
      <w:r>
        <w:rPr>
          <w:rFonts w:ascii="宋体" w:hAnsi="宋体"/>
          <w:color w:val="auto"/>
          <w:szCs w:val="21"/>
          <w:highlight w:val="none"/>
        </w:rPr>
        <w:t>7.2.9  施工资源</w:t>
      </w:r>
    </w:p>
    <w:p>
      <w:pPr>
        <w:spacing w:line="300" w:lineRule="auto"/>
        <w:ind w:firstLine="420" w:firstLineChars="200"/>
        <w:rPr>
          <w:rFonts w:ascii="宋体" w:hAnsi="宋体"/>
          <w:color w:val="auto"/>
          <w:szCs w:val="21"/>
          <w:highlight w:val="none"/>
        </w:rPr>
      </w:pPr>
      <w:r>
        <w:rPr>
          <w:rFonts w:ascii="宋体" w:hAnsi="宋体"/>
          <w:color w:val="auto"/>
          <w:szCs w:val="21"/>
          <w:highlight w:val="none"/>
        </w:rPr>
        <w:t>承包人应保证其人力、机具、设备、设施、措施材料、消耗材料、周转材料及其它施工资源，满足实施工程的需求。</w:t>
      </w:r>
    </w:p>
    <w:p>
      <w:pPr>
        <w:spacing w:line="300" w:lineRule="auto"/>
        <w:ind w:firstLine="420" w:firstLineChars="200"/>
        <w:rPr>
          <w:rFonts w:ascii="宋体" w:hAnsi="宋体"/>
          <w:color w:val="auto"/>
          <w:szCs w:val="21"/>
          <w:highlight w:val="none"/>
        </w:rPr>
      </w:pPr>
      <w:r>
        <w:rPr>
          <w:rFonts w:ascii="宋体" w:hAnsi="宋体"/>
          <w:color w:val="auto"/>
          <w:szCs w:val="21"/>
          <w:highlight w:val="none"/>
        </w:rPr>
        <w:t>7.2.10  设计文件的说明和解释</w:t>
      </w:r>
    </w:p>
    <w:p>
      <w:pPr>
        <w:spacing w:line="300" w:lineRule="auto"/>
        <w:ind w:firstLine="420" w:firstLineChars="200"/>
        <w:rPr>
          <w:rFonts w:ascii="宋体" w:hAnsi="宋体"/>
          <w:color w:val="auto"/>
          <w:szCs w:val="21"/>
          <w:highlight w:val="none"/>
        </w:rPr>
      </w:pPr>
      <w:r>
        <w:rPr>
          <w:rFonts w:ascii="宋体" w:hAnsi="宋体"/>
          <w:color w:val="auto"/>
          <w:szCs w:val="21"/>
          <w:highlight w:val="none"/>
        </w:rPr>
        <w:t>承包人应在施工开工前向施工分包人和监理人说明设计文件的意圈，解释设计文件，及时解决施工过程中出现的有关问题。</w:t>
      </w:r>
    </w:p>
    <w:p>
      <w:pPr>
        <w:spacing w:line="300" w:lineRule="auto"/>
        <w:ind w:firstLine="420" w:firstLineChars="200"/>
        <w:rPr>
          <w:rFonts w:ascii="宋体" w:hAnsi="宋体"/>
          <w:color w:val="auto"/>
          <w:szCs w:val="21"/>
          <w:highlight w:val="none"/>
        </w:rPr>
      </w:pPr>
      <w:r>
        <w:rPr>
          <w:rFonts w:ascii="宋体" w:hAnsi="宋体"/>
          <w:color w:val="auto"/>
          <w:szCs w:val="21"/>
          <w:highlight w:val="none"/>
        </w:rPr>
        <w:t>7.2.11  工程的保护与维护</w:t>
      </w:r>
    </w:p>
    <w:p>
      <w:pPr>
        <w:spacing w:line="300" w:lineRule="auto"/>
        <w:ind w:firstLine="420" w:firstLineChars="200"/>
        <w:rPr>
          <w:rFonts w:ascii="宋体" w:hAnsi="宋体"/>
          <w:color w:val="auto"/>
          <w:szCs w:val="21"/>
          <w:highlight w:val="none"/>
        </w:rPr>
      </w:pPr>
      <w:r>
        <w:rPr>
          <w:rFonts w:ascii="宋体" w:hAnsi="宋体"/>
          <w:color w:val="auto"/>
          <w:szCs w:val="21"/>
          <w:highlight w:val="none"/>
        </w:rPr>
        <w:t>承包人应在开工之日起至发包人接收工程或单项工程之日止，负责工程或单项工程的照管、保护、维护和保安责任，保证工程或单项工程除不可抗力外，不受到任何损失、损害。</w:t>
      </w:r>
    </w:p>
    <w:p>
      <w:pPr>
        <w:spacing w:line="300" w:lineRule="auto"/>
        <w:ind w:firstLine="420" w:firstLineChars="200"/>
        <w:rPr>
          <w:rFonts w:ascii="宋体" w:hAnsi="宋体"/>
          <w:color w:val="auto"/>
          <w:szCs w:val="21"/>
          <w:highlight w:val="none"/>
        </w:rPr>
      </w:pPr>
      <w:r>
        <w:rPr>
          <w:rFonts w:ascii="宋体" w:hAnsi="宋体"/>
          <w:color w:val="auto"/>
          <w:szCs w:val="21"/>
          <w:highlight w:val="none"/>
        </w:rPr>
        <w:t>7.2.12  清理现场</w:t>
      </w:r>
    </w:p>
    <w:p>
      <w:pPr>
        <w:spacing w:line="300" w:lineRule="auto"/>
        <w:ind w:firstLine="420" w:firstLineChars="200"/>
        <w:rPr>
          <w:rFonts w:ascii="宋体" w:hAnsi="宋体"/>
          <w:color w:val="auto"/>
          <w:szCs w:val="21"/>
          <w:highlight w:val="none"/>
        </w:rPr>
      </w:pPr>
      <w:r>
        <w:rPr>
          <w:rFonts w:ascii="宋体" w:hAnsi="宋体"/>
          <w:color w:val="auto"/>
          <w:szCs w:val="21"/>
          <w:highlight w:val="none"/>
        </w:rPr>
        <w:t>承包人负责在施工过程中及完工后对现场进行清理、分类堆放，将残余物、废弃物、垃圾等运往发包人、或当地有关部门指定的地点。消理现场的费用在专</w:t>
      </w:r>
    </w:p>
    <w:p>
      <w:pPr>
        <w:spacing w:line="300" w:lineRule="auto"/>
        <w:rPr>
          <w:rFonts w:ascii="宋体" w:hAnsi="宋体"/>
          <w:color w:val="auto"/>
          <w:szCs w:val="21"/>
          <w:highlight w:val="none"/>
        </w:rPr>
      </w:pPr>
      <w:r>
        <w:rPr>
          <w:rFonts w:ascii="宋体" w:hAnsi="宋体"/>
          <w:color w:val="auto"/>
          <w:szCs w:val="21"/>
          <w:highlight w:val="none"/>
        </w:rPr>
        <w:t>用条款中写明。承包人应将不再使用的机具、设备、设施和临时工程等撤离现场，或运到发包人指定的场地。</w:t>
      </w:r>
    </w:p>
    <w:p>
      <w:pPr>
        <w:spacing w:line="300" w:lineRule="auto"/>
        <w:ind w:firstLine="420" w:firstLineChars="200"/>
        <w:rPr>
          <w:rFonts w:ascii="宋体" w:hAnsi="宋体"/>
          <w:color w:val="auto"/>
          <w:szCs w:val="21"/>
          <w:highlight w:val="none"/>
        </w:rPr>
      </w:pPr>
      <w:r>
        <w:rPr>
          <w:rFonts w:ascii="宋体" w:hAnsi="宋体"/>
          <w:color w:val="auto"/>
          <w:szCs w:val="21"/>
          <w:highlight w:val="none"/>
        </w:rPr>
        <w:t>7.2.13  其它义务</w:t>
      </w:r>
    </w:p>
    <w:p>
      <w:pPr>
        <w:spacing w:line="300" w:lineRule="auto"/>
        <w:ind w:firstLine="420" w:firstLineChars="200"/>
        <w:rPr>
          <w:rFonts w:ascii="宋体" w:hAnsi="宋体"/>
          <w:color w:val="auto"/>
          <w:szCs w:val="21"/>
          <w:highlight w:val="none"/>
        </w:rPr>
      </w:pPr>
      <w:r>
        <w:rPr>
          <w:rFonts w:ascii="宋体" w:hAnsi="宋体"/>
          <w:color w:val="auto"/>
          <w:szCs w:val="21"/>
          <w:highlight w:val="none"/>
        </w:rPr>
        <w:t>承包人应履行专用条款中约定的应由承包人履行的其它相关义务。</w:t>
      </w:r>
    </w:p>
    <w:p>
      <w:pPr>
        <w:spacing w:before="156" w:beforeLines="50" w:after="156" w:afterLines="50" w:line="300" w:lineRule="auto"/>
        <w:ind w:firstLine="413" w:firstLineChars="196"/>
        <w:rPr>
          <w:rFonts w:ascii="宋体" w:hAnsi="宋体"/>
          <w:b/>
          <w:color w:val="auto"/>
          <w:szCs w:val="21"/>
          <w:highlight w:val="none"/>
        </w:rPr>
      </w:pPr>
      <w:r>
        <w:rPr>
          <w:rFonts w:ascii="宋体" w:hAnsi="宋体"/>
          <w:b/>
          <w:color w:val="auto"/>
          <w:szCs w:val="21"/>
          <w:highlight w:val="none"/>
        </w:rPr>
        <w:t>7.3  施工技术方法</w:t>
      </w:r>
    </w:p>
    <w:p>
      <w:pPr>
        <w:spacing w:line="300" w:lineRule="auto"/>
        <w:ind w:firstLine="420" w:firstLineChars="200"/>
        <w:rPr>
          <w:rFonts w:ascii="宋体" w:hAnsi="宋体"/>
          <w:color w:val="auto"/>
          <w:szCs w:val="21"/>
          <w:highlight w:val="none"/>
        </w:rPr>
      </w:pPr>
      <w:r>
        <w:rPr>
          <w:rFonts w:ascii="宋体" w:hAnsi="宋体"/>
          <w:color w:val="auto"/>
          <w:szCs w:val="21"/>
          <w:highlight w:val="none"/>
        </w:rPr>
        <w:t>承包人的施工技术方法符合有关操作规程、安全规程及质量标准。</w:t>
      </w:r>
    </w:p>
    <w:p>
      <w:pPr>
        <w:spacing w:line="300" w:lineRule="auto"/>
        <w:ind w:firstLine="420" w:firstLineChars="200"/>
        <w:rPr>
          <w:rFonts w:ascii="宋体" w:hAnsi="宋体"/>
          <w:color w:val="auto"/>
          <w:szCs w:val="21"/>
          <w:highlight w:val="none"/>
        </w:rPr>
      </w:pPr>
      <w:r>
        <w:rPr>
          <w:rFonts w:ascii="宋体" w:hAnsi="宋体"/>
          <w:color w:val="auto"/>
          <w:szCs w:val="21"/>
          <w:highlight w:val="none"/>
        </w:rPr>
        <w:t>发包人应在收到承包人提交的该方法后的5日内予以确认或提出建议，发包人的任何此类确认和建议，并不能减轻或免除承包人的合同责任。</w:t>
      </w:r>
    </w:p>
    <w:p>
      <w:pPr>
        <w:spacing w:before="156" w:beforeLines="50" w:after="156" w:afterLines="50" w:line="300" w:lineRule="auto"/>
        <w:ind w:firstLine="422" w:firstLineChars="200"/>
        <w:rPr>
          <w:rFonts w:ascii="宋体" w:hAnsi="宋体"/>
          <w:b/>
          <w:color w:val="auto"/>
          <w:szCs w:val="21"/>
          <w:highlight w:val="none"/>
        </w:rPr>
      </w:pPr>
      <w:r>
        <w:rPr>
          <w:rFonts w:ascii="宋体" w:hAnsi="宋体"/>
          <w:b/>
          <w:color w:val="auto"/>
          <w:szCs w:val="21"/>
          <w:highlight w:val="none"/>
        </w:rPr>
        <w:t>7.4  人力和机具资源</w:t>
      </w:r>
    </w:p>
    <w:p>
      <w:pPr>
        <w:spacing w:line="300" w:lineRule="auto"/>
        <w:ind w:firstLine="420" w:firstLineChars="200"/>
        <w:rPr>
          <w:rFonts w:ascii="宋体" w:hAnsi="宋体"/>
          <w:color w:val="auto"/>
          <w:szCs w:val="21"/>
          <w:highlight w:val="none"/>
        </w:rPr>
      </w:pPr>
      <w:r>
        <w:rPr>
          <w:rFonts w:ascii="宋体" w:hAnsi="宋体"/>
          <w:color w:val="auto"/>
          <w:szCs w:val="21"/>
          <w:highlight w:val="none"/>
        </w:rPr>
        <w:t>7.4.1  承包人应按专用条款约定的格式、内容、份数和提交时间，向发包人提交施工人力资源计划一览表。施工人力资源计划应符合施工进度计划的需要；并按专用条款约定的报表格式、内容、份数和报告期，向发包人提供实际进场的人力资源信息。</w:t>
      </w:r>
    </w:p>
    <w:p>
      <w:pPr>
        <w:spacing w:line="300" w:lineRule="auto"/>
        <w:ind w:firstLine="420" w:firstLineChars="200"/>
        <w:rPr>
          <w:rFonts w:ascii="宋体" w:hAnsi="宋体"/>
          <w:color w:val="auto"/>
          <w:szCs w:val="21"/>
          <w:highlight w:val="none"/>
        </w:rPr>
      </w:pPr>
      <w:r>
        <w:rPr>
          <w:rFonts w:ascii="宋体" w:hAnsi="宋体"/>
          <w:color w:val="auto"/>
          <w:szCs w:val="21"/>
          <w:highlight w:val="none"/>
        </w:rPr>
        <w:t>承包人未能按施工人力资源计划一览表投入足够工种和人力，导致实际施工进度明显落后于施工进度计划时，发包人有权通知承包人按计划一览表列出的工种和人数，在合理时间内调派人员进入现场，并自费赶上进度。否则，发包人有权责令承包人将某些单项工程、分部分项工程的施工另行分包，因此发生的费用及延误的时间由承包人承担。</w:t>
      </w:r>
    </w:p>
    <w:p>
      <w:pPr>
        <w:spacing w:line="300" w:lineRule="auto"/>
        <w:ind w:firstLine="420" w:firstLineChars="200"/>
        <w:rPr>
          <w:rFonts w:ascii="宋体" w:hAnsi="宋体"/>
          <w:color w:val="auto"/>
          <w:szCs w:val="21"/>
          <w:highlight w:val="none"/>
        </w:rPr>
      </w:pPr>
      <w:r>
        <w:rPr>
          <w:rFonts w:ascii="宋体" w:hAnsi="宋体"/>
          <w:color w:val="auto"/>
          <w:szCs w:val="21"/>
          <w:highlight w:val="none"/>
        </w:rPr>
        <w:t>7.4.2  承包人应按专用条款约定的格式、内容、份数和提交时间，向发包人提交主要施工机具资源计划一览表。施工机具资源计划符合施工进度计划的需要。并按专用条款约定的报表格式、内容、份数和报告期，向发包人提供实际进场的主要施工机具信息。</w:t>
      </w:r>
    </w:p>
    <w:p>
      <w:pPr>
        <w:spacing w:line="300" w:lineRule="auto"/>
        <w:ind w:firstLine="420" w:firstLineChars="200"/>
        <w:rPr>
          <w:rFonts w:ascii="宋体" w:hAnsi="宋体"/>
          <w:color w:val="auto"/>
          <w:szCs w:val="21"/>
          <w:highlight w:val="none"/>
        </w:rPr>
      </w:pPr>
      <w:r>
        <w:rPr>
          <w:rFonts w:ascii="宋体" w:hAnsi="宋体"/>
          <w:color w:val="auto"/>
          <w:szCs w:val="21"/>
          <w:highlight w:val="none"/>
        </w:rPr>
        <w:t>承包人未能按施工机具资源计划一览表投入足够的机具，导致实际施工进度落后于施工进度计划时，发包人有权通知承包人按该一览表列出的机具数量，在合理时间内调派机具进入现场。否则，发包人有权向承包人提供相关机具，因此所发生的费用及延误的时间由承包人承担。</w:t>
      </w:r>
    </w:p>
    <w:p>
      <w:pPr>
        <w:spacing w:before="156" w:beforeLines="50" w:after="156" w:afterLines="50" w:line="300" w:lineRule="auto"/>
        <w:ind w:firstLine="413" w:firstLineChars="196"/>
        <w:rPr>
          <w:rFonts w:ascii="宋体" w:hAnsi="宋体"/>
          <w:b/>
          <w:color w:val="auto"/>
          <w:szCs w:val="21"/>
          <w:highlight w:val="none"/>
        </w:rPr>
      </w:pPr>
      <w:r>
        <w:rPr>
          <w:rFonts w:ascii="宋体" w:hAnsi="宋体"/>
          <w:b/>
          <w:color w:val="auto"/>
          <w:szCs w:val="21"/>
          <w:highlight w:val="none"/>
        </w:rPr>
        <w:t>7.5  质量与检验</w:t>
      </w:r>
    </w:p>
    <w:p>
      <w:pPr>
        <w:spacing w:line="300" w:lineRule="auto"/>
        <w:ind w:firstLine="420" w:firstLineChars="200"/>
        <w:rPr>
          <w:rFonts w:ascii="宋体" w:hAnsi="宋体"/>
          <w:color w:val="auto"/>
          <w:szCs w:val="21"/>
          <w:highlight w:val="none"/>
        </w:rPr>
      </w:pPr>
      <w:r>
        <w:rPr>
          <w:rFonts w:ascii="宋体" w:hAnsi="宋体"/>
          <w:color w:val="auto"/>
          <w:szCs w:val="21"/>
          <w:highlight w:val="none"/>
        </w:rPr>
        <w:t>7.5.1  质量与检验</w:t>
      </w:r>
    </w:p>
    <w:p>
      <w:pPr>
        <w:spacing w:line="300" w:lineRule="auto"/>
        <w:ind w:firstLine="420" w:firstLineChars="200"/>
        <w:rPr>
          <w:rFonts w:ascii="宋体" w:hAnsi="宋体"/>
          <w:color w:val="auto"/>
          <w:szCs w:val="21"/>
          <w:highlight w:val="none"/>
        </w:rPr>
      </w:pPr>
      <w:r>
        <w:rPr>
          <w:rFonts w:ascii="宋体" w:hAnsi="宋体"/>
          <w:color w:val="auto"/>
          <w:szCs w:val="21"/>
          <w:highlight w:val="none"/>
        </w:rPr>
        <w:t>（1）承包人及其分包人随时接受发包人、监理人所进行的安全、质量的监督和检查。承包人应为此类监督、检查提供方便。</w:t>
      </w:r>
    </w:p>
    <w:p>
      <w:pPr>
        <w:spacing w:line="300" w:lineRule="auto"/>
        <w:ind w:firstLine="420" w:firstLineChars="200"/>
        <w:rPr>
          <w:rFonts w:ascii="宋体" w:hAnsi="宋体"/>
          <w:color w:val="auto"/>
          <w:szCs w:val="21"/>
          <w:highlight w:val="none"/>
        </w:rPr>
      </w:pPr>
      <w:r>
        <w:rPr>
          <w:rFonts w:ascii="宋体" w:hAnsi="宋体"/>
          <w:color w:val="auto"/>
          <w:szCs w:val="21"/>
          <w:highlight w:val="none"/>
        </w:rPr>
        <w:t>（2）发包人委托第三方对施工质量进行检查、检验、检测和试验时，应以书面形式通知承包人。第三方的验收结果视为发包人的验收结果。</w:t>
      </w:r>
    </w:p>
    <w:p>
      <w:pPr>
        <w:spacing w:line="300" w:lineRule="auto"/>
        <w:ind w:firstLine="420" w:firstLineChars="200"/>
        <w:rPr>
          <w:rFonts w:ascii="宋体" w:hAnsi="宋体"/>
          <w:color w:val="auto"/>
          <w:szCs w:val="21"/>
          <w:highlight w:val="none"/>
        </w:rPr>
      </w:pPr>
      <w:r>
        <w:rPr>
          <w:rFonts w:ascii="宋体" w:hAnsi="宋体"/>
          <w:color w:val="auto"/>
          <w:szCs w:val="21"/>
          <w:highlight w:val="none"/>
        </w:rPr>
        <w:t>（3）承包人应遵守施工质量管理的有关规定，负有对其操作人员进行培训、考核、图纸交底、技术交底、操作规程交底、安全程序交底和质量标准交底，及消除事故隐患的责任。</w:t>
      </w:r>
    </w:p>
    <w:p>
      <w:pPr>
        <w:spacing w:line="300" w:lineRule="auto"/>
        <w:ind w:firstLine="420" w:firstLineChars="200"/>
        <w:rPr>
          <w:rFonts w:ascii="宋体" w:hAnsi="宋体"/>
          <w:color w:val="auto"/>
          <w:szCs w:val="21"/>
          <w:highlight w:val="none"/>
        </w:rPr>
      </w:pPr>
      <w:r>
        <w:rPr>
          <w:rFonts w:ascii="宋体" w:hAnsi="宋体"/>
          <w:color w:val="auto"/>
          <w:szCs w:val="21"/>
          <w:highlight w:val="none"/>
        </w:rPr>
        <w:t>（4） 承包人应按照设计文件、施工标准和合同约定，负责编写施工试验和检测方案，对工程物资（包括建筑构配件）进行检查、检验、检测和试验，不合格的不得使用。并有义务自费修复和（或）更换不合格的工程物资、因此造成竣工日期延误的，由承包人负责；发包人提供的工程物资经承包人检查、检验、检测和试验不合格的，发包人应自费修复和（或）更换，因此造成关键路径延误的，竣工日期相应顺延。承包人因此增加的费用，由发包人承担。</w:t>
      </w:r>
    </w:p>
    <w:p>
      <w:pPr>
        <w:spacing w:line="300" w:lineRule="auto"/>
        <w:ind w:firstLine="420" w:firstLineChars="200"/>
        <w:rPr>
          <w:rFonts w:ascii="宋体" w:hAnsi="宋体"/>
          <w:color w:val="auto"/>
          <w:szCs w:val="21"/>
          <w:highlight w:val="none"/>
        </w:rPr>
      </w:pPr>
      <w:r>
        <w:rPr>
          <w:rFonts w:ascii="宋体" w:hAnsi="宋体"/>
          <w:color w:val="auto"/>
          <w:szCs w:val="21"/>
          <w:highlight w:val="none"/>
        </w:rPr>
        <w:t>（5） 承包人的施工应符合合同约定的质量标准。施工质量评定以合同中约定的质量检验评定标准为依据。对不符合质量标准的施工部位，承包人应自费修复、返工、更换等。因此造成竣工日期延误的，由承包人负责。</w:t>
      </w:r>
    </w:p>
    <w:p>
      <w:pPr>
        <w:spacing w:line="300" w:lineRule="auto"/>
        <w:ind w:firstLine="420" w:firstLineChars="200"/>
        <w:rPr>
          <w:rFonts w:ascii="宋体" w:hAnsi="宋体"/>
          <w:color w:val="auto"/>
          <w:szCs w:val="21"/>
          <w:highlight w:val="none"/>
        </w:rPr>
      </w:pPr>
      <w:r>
        <w:rPr>
          <w:rFonts w:ascii="宋体" w:hAnsi="宋体"/>
          <w:color w:val="auto"/>
          <w:szCs w:val="21"/>
          <w:highlight w:val="none"/>
        </w:rPr>
        <w:t>7.5.2  质检部位与参检方。质检部位分为：发包人、监理人与承包人三方参检的部位；监理人与承包人两方参检的部位；第三方和（或）承包人一方参检的部位。对施工质量进行检查的部位、检查标准及验收的表格格式在专用条款中约定。</w:t>
      </w:r>
    </w:p>
    <w:p>
      <w:pPr>
        <w:spacing w:line="300" w:lineRule="auto"/>
        <w:ind w:firstLine="420" w:firstLineChars="200"/>
        <w:rPr>
          <w:rFonts w:ascii="宋体" w:hAnsi="宋体"/>
          <w:color w:val="auto"/>
          <w:szCs w:val="21"/>
          <w:highlight w:val="none"/>
        </w:rPr>
      </w:pPr>
      <w:r>
        <w:rPr>
          <w:rFonts w:ascii="宋体" w:hAnsi="宋体"/>
          <w:color w:val="auto"/>
          <w:szCs w:val="21"/>
          <w:highlight w:val="none"/>
        </w:rPr>
        <w:t>承包人应将按上述约定，经其一方检查合格的部位报发包人或监理人备案。发包人和工程总监有权随时对备案的部位进行抽查或全面检查。</w:t>
      </w:r>
    </w:p>
    <w:p>
      <w:pPr>
        <w:spacing w:line="300" w:lineRule="auto"/>
        <w:ind w:firstLine="420" w:firstLineChars="200"/>
        <w:rPr>
          <w:rFonts w:ascii="宋体" w:hAnsi="宋体"/>
          <w:color w:val="auto"/>
          <w:szCs w:val="21"/>
          <w:highlight w:val="none"/>
        </w:rPr>
      </w:pPr>
      <w:r>
        <w:rPr>
          <w:rFonts w:ascii="宋体" w:hAnsi="宋体"/>
          <w:color w:val="auto"/>
          <w:szCs w:val="21"/>
          <w:highlight w:val="none"/>
        </w:rPr>
        <w:t>7.5.3  通知参检方的参检。承包人自行检查、检验、检测和试验合格的，按7.5.2款专用条款约定的质检部位和参检方，通知相关参检单位在24小时内参加检查。参检方未能按时参加的，承包人应将自检合格的结果于其后的24小时内送交发包人和（或）监理人签字，24小时后未能签字，视为质检结果已被发包人认可。此后3日内，承包人可发出视为发包人和（或）览理人已确认该质检结果的通知。</w:t>
      </w:r>
    </w:p>
    <w:p>
      <w:pPr>
        <w:spacing w:line="300" w:lineRule="auto"/>
        <w:ind w:firstLine="420" w:firstLineChars="200"/>
        <w:rPr>
          <w:rFonts w:ascii="宋体" w:hAnsi="宋体"/>
          <w:color w:val="auto"/>
          <w:szCs w:val="21"/>
          <w:highlight w:val="none"/>
        </w:rPr>
      </w:pPr>
      <w:r>
        <w:rPr>
          <w:rFonts w:ascii="宋体" w:hAnsi="宋体"/>
          <w:color w:val="auto"/>
          <w:szCs w:val="21"/>
          <w:highlight w:val="none"/>
        </w:rPr>
        <w:t>7.5.4  质量检查的权利。发包人及其授权的监理人或第三方，在不妨碍承包人正常作业的情况下，具有对任何施工区域进行质量监督、检查、检验、检测和试验的权利。承包人应为此类质量检查活动提供便利。经质检发现因承包人原因引起的质量缺陷时，发包人有权下达修复、暂停、拆除、返工、重新施工、更换等指令。由此增加的费用由承包人承担，竣工日期不予延民。</w:t>
      </w:r>
    </w:p>
    <w:p>
      <w:pPr>
        <w:spacing w:line="300" w:lineRule="auto"/>
        <w:ind w:firstLine="420" w:firstLineChars="200"/>
        <w:rPr>
          <w:rFonts w:ascii="宋体" w:hAnsi="宋体"/>
          <w:color w:val="auto"/>
          <w:szCs w:val="21"/>
          <w:highlight w:val="none"/>
        </w:rPr>
      </w:pPr>
      <w:r>
        <w:rPr>
          <w:rFonts w:ascii="宋体" w:hAnsi="宋体"/>
          <w:color w:val="auto"/>
          <w:szCs w:val="21"/>
          <w:highlight w:val="none"/>
        </w:rPr>
        <w:t>7.5.5  重新进行质量检查。按7.5.3款的约定，经质量检查合格的工程部位，发包人有权在不影响工程正常施工的条件下，重新进行质量检查。检查、检验、检测、试验结果不合格时，因此发生的费用由承包人承担，造成工程关键路径延误的，竣工日期不予延长；检查、检验、检测、试验的结果合格时，承包人增加的费用由发包人承担，工程关键路径延误的，竣工日期相应顺延。</w:t>
      </w:r>
    </w:p>
    <w:p>
      <w:pPr>
        <w:spacing w:line="300" w:lineRule="auto"/>
        <w:ind w:firstLine="420" w:firstLineChars="200"/>
        <w:rPr>
          <w:rFonts w:ascii="宋体" w:hAnsi="宋体"/>
          <w:color w:val="auto"/>
          <w:szCs w:val="21"/>
          <w:highlight w:val="none"/>
        </w:rPr>
      </w:pPr>
      <w:r>
        <w:rPr>
          <w:rFonts w:ascii="宋体" w:hAnsi="宋体"/>
          <w:color w:val="auto"/>
          <w:szCs w:val="21"/>
          <w:highlight w:val="none"/>
        </w:rPr>
        <w:t>7.5.6  因发包人代表和（或）监理人的指令失误，或其它非承包人原因发生的追加施工费用，由发包人承担。造成工程关键路径延误，竣工日期相应顺延。</w:t>
      </w:r>
    </w:p>
    <w:p>
      <w:pPr>
        <w:spacing w:before="156" w:beforeLines="50" w:after="156" w:afterLines="50" w:line="300" w:lineRule="auto"/>
        <w:ind w:firstLine="413" w:firstLineChars="196"/>
        <w:rPr>
          <w:rFonts w:ascii="宋体" w:hAnsi="宋体"/>
          <w:b/>
          <w:color w:val="auto"/>
          <w:szCs w:val="21"/>
          <w:highlight w:val="none"/>
        </w:rPr>
      </w:pPr>
      <w:r>
        <w:rPr>
          <w:rFonts w:ascii="宋体" w:hAnsi="宋体"/>
          <w:b/>
          <w:color w:val="auto"/>
          <w:szCs w:val="21"/>
          <w:highlight w:val="none"/>
        </w:rPr>
        <w:t>7.6  隐蔽工程和中间验收</w:t>
      </w:r>
    </w:p>
    <w:p>
      <w:pPr>
        <w:spacing w:line="300" w:lineRule="auto"/>
        <w:ind w:firstLine="420" w:firstLineChars="200"/>
        <w:rPr>
          <w:rFonts w:ascii="宋体" w:hAnsi="宋体"/>
          <w:color w:val="auto"/>
          <w:szCs w:val="21"/>
          <w:highlight w:val="none"/>
        </w:rPr>
      </w:pPr>
      <w:r>
        <w:rPr>
          <w:rFonts w:ascii="宋体" w:hAnsi="宋体"/>
          <w:color w:val="auto"/>
          <w:szCs w:val="21"/>
          <w:highlight w:val="none"/>
        </w:rPr>
        <w:t>7.6.1  隐蔽工程和中间验收。需要质检的隐蔽工程和中间验收部位的分类、部位、质检内容、质检标准、质检表格和参检方在专用条款中约定。</w:t>
      </w:r>
    </w:p>
    <w:p>
      <w:pPr>
        <w:spacing w:line="300" w:lineRule="auto"/>
        <w:ind w:firstLine="420" w:firstLineChars="200"/>
        <w:rPr>
          <w:rFonts w:ascii="宋体" w:hAnsi="宋体"/>
          <w:color w:val="auto"/>
          <w:szCs w:val="21"/>
          <w:highlight w:val="none"/>
        </w:rPr>
      </w:pPr>
      <w:r>
        <w:rPr>
          <w:rFonts w:ascii="宋体" w:hAnsi="宋体"/>
          <w:color w:val="auto"/>
          <w:szCs w:val="21"/>
          <w:highlight w:val="none"/>
        </w:rPr>
        <w:t>7.6.2  验收通知和验收。承包人对自检合格的隐蔽工程或中间验收部位，应在隐蔽工程或中间验收前的48小时以书面形式通知发包人和（或）监理人验收。通知应包括隐蔽和中间验收的内容、验收时间和地点。验收合格，双方在验收记录上签字后，方可覆盖、进行紧后作业，编制并提交隐蔽工程竣工资料以及发包人或监理人要求提供的相关资料。</w:t>
      </w:r>
    </w:p>
    <w:p>
      <w:pPr>
        <w:spacing w:line="300" w:lineRule="auto"/>
        <w:ind w:firstLine="420" w:firstLineChars="200"/>
        <w:rPr>
          <w:rFonts w:ascii="宋体" w:hAnsi="宋体"/>
          <w:color w:val="auto"/>
          <w:szCs w:val="21"/>
          <w:highlight w:val="none"/>
        </w:rPr>
      </w:pPr>
      <w:r>
        <w:rPr>
          <w:rFonts w:ascii="宋体" w:hAnsi="宋体"/>
          <w:color w:val="auto"/>
          <w:szCs w:val="21"/>
          <w:highlight w:val="none"/>
        </w:rPr>
        <w:t>发包人和（或）监理人在验收合格24小时后不在验收记录上签字的，视为发包人和（或）监理人已经认可验收记录，承包人可隐蔽或进行紧后作业。经发包人和（或）监理人验收不合格的，承包人需在发包人和（或）监理人限定的时间内修正，重新通知发包人和（或）监理人验收。</w:t>
      </w:r>
    </w:p>
    <w:p>
      <w:pPr>
        <w:spacing w:line="300" w:lineRule="auto"/>
        <w:ind w:firstLine="420" w:firstLineChars="200"/>
        <w:rPr>
          <w:rFonts w:ascii="宋体" w:hAnsi="宋体"/>
          <w:color w:val="auto"/>
          <w:szCs w:val="21"/>
          <w:highlight w:val="none"/>
        </w:rPr>
      </w:pPr>
      <w:r>
        <w:rPr>
          <w:rFonts w:ascii="宋体" w:hAnsi="宋体"/>
          <w:color w:val="auto"/>
          <w:szCs w:val="21"/>
          <w:highlight w:val="none"/>
        </w:rPr>
        <w:t>7.6.3  未能按时参加验收。发包人和（或）监理人不能按时参加隐蔽工程或中间验收部位验收的，应在收到验收通知24小时内以书面形式向承包人提出延期要求，延期不能超过48小时。发包人未能按以上时间提出延期验收，又未能参加验收的，承包人可自行组织验收，其验收记录视为已被发包人、监理人认可。</w:t>
      </w:r>
    </w:p>
    <w:p>
      <w:pPr>
        <w:spacing w:line="300" w:lineRule="auto"/>
        <w:ind w:firstLine="420" w:firstLineChars="200"/>
        <w:rPr>
          <w:rFonts w:ascii="宋体" w:hAnsi="宋体"/>
          <w:color w:val="auto"/>
          <w:szCs w:val="21"/>
          <w:highlight w:val="none"/>
        </w:rPr>
      </w:pPr>
      <w:r>
        <w:rPr>
          <w:rFonts w:ascii="宋体" w:hAnsi="宋体"/>
          <w:color w:val="auto"/>
          <w:szCs w:val="21"/>
          <w:highlight w:val="none"/>
        </w:rPr>
        <w:t>因应发包人和（或）监理人要求所进行延期验收造成关键路径延误的，竣工日期相应顺延：给承包人造成的停工、窝工损失，由发包人承担。</w:t>
      </w:r>
    </w:p>
    <w:p>
      <w:pPr>
        <w:spacing w:line="300" w:lineRule="auto"/>
        <w:ind w:firstLine="420" w:firstLineChars="200"/>
        <w:rPr>
          <w:rFonts w:ascii="宋体" w:hAnsi="宋体"/>
          <w:color w:val="auto"/>
          <w:szCs w:val="21"/>
          <w:highlight w:val="none"/>
        </w:rPr>
      </w:pPr>
      <w:r>
        <w:rPr>
          <w:rFonts w:ascii="宋体" w:hAnsi="宋体"/>
          <w:color w:val="auto"/>
          <w:szCs w:val="21"/>
          <w:highlight w:val="none"/>
        </w:rPr>
        <w:t>7.6.4  再检验。发包人和（或）监理人在任何时间内，均有权要求对已经验收的隐蔽工程重新检验，承包人应按要求拆除覆盖、剥离或开孔，并在检验后重新覆盖或修复。隐蔽工程经重新检验不合格时，由此发生的费用由承包人承担，竣工日期不予延长；经检验合格时，承包人因此增加的费用由发包人承担、工程关键路径的延误，竣工日期相应顺延。</w:t>
      </w:r>
    </w:p>
    <w:p>
      <w:pPr>
        <w:spacing w:before="156" w:beforeLines="50" w:after="156" w:afterLines="50" w:line="300" w:lineRule="auto"/>
        <w:ind w:firstLine="422" w:firstLineChars="200"/>
        <w:rPr>
          <w:rFonts w:ascii="宋体" w:hAnsi="宋体"/>
          <w:b/>
          <w:color w:val="auto"/>
          <w:szCs w:val="21"/>
          <w:highlight w:val="none"/>
        </w:rPr>
      </w:pPr>
      <w:r>
        <w:rPr>
          <w:rFonts w:ascii="宋体" w:hAnsi="宋体"/>
          <w:b/>
          <w:color w:val="auto"/>
          <w:szCs w:val="21"/>
          <w:highlight w:val="none"/>
        </w:rPr>
        <w:t>7.7  对施工质量结果的争议</w:t>
      </w:r>
    </w:p>
    <w:p>
      <w:pPr>
        <w:spacing w:line="300" w:lineRule="auto"/>
        <w:ind w:firstLine="420" w:firstLineChars="200"/>
        <w:rPr>
          <w:rFonts w:ascii="宋体" w:hAnsi="宋体"/>
          <w:color w:val="auto"/>
          <w:szCs w:val="21"/>
          <w:highlight w:val="none"/>
        </w:rPr>
      </w:pPr>
      <w:r>
        <w:rPr>
          <w:rFonts w:ascii="宋体" w:hAnsi="宋体"/>
          <w:color w:val="auto"/>
          <w:szCs w:val="21"/>
          <w:highlight w:val="none"/>
        </w:rPr>
        <w:t>7.7.1  双方对施工质量结果有争议时，应首先协商解决。经协商未达成一致意见的，委托双方一致同意的具有相应资格的工程质量检测机构进行检测。</w:t>
      </w:r>
    </w:p>
    <w:p>
      <w:pPr>
        <w:spacing w:line="300" w:lineRule="auto"/>
        <w:ind w:firstLine="420" w:firstLineChars="200"/>
        <w:rPr>
          <w:rFonts w:ascii="宋体" w:hAnsi="宋体"/>
          <w:color w:val="auto"/>
          <w:szCs w:val="21"/>
          <w:highlight w:val="none"/>
        </w:rPr>
      </w:pPr>
      <w:r>
        <w:rPr>
          <w:rFonts w:ascii="宋体" w:hAnsi="宋体"/>
          <w:color w:val="auto"/>
          <w:szCs w:val="21"/>
          <w:highlight w:val="none"/>
        </w:rPr>
        <w:t>根据检测机构的鉴定结果，责任方为承包人时，因此造成的费用增加或竣工日期延误，由承包人负责；责任方为发包人时，因此造成的费用增加由发包人承担，工程关键路径因争议受到延误的，竣工日期相应顺延。</w:t>
      </w:r>
    </w:p>
    <w:p>
      <w:pPr>
        <w:spacing w:line="300" w:lineRule="auto"/>
        <w:ind w:firstLine="420" w:firstLineChars="200"/>
        <w:rPr>
          <w:rFonts w:ascii="宋体" w:hAnsi="宋体"/>
          <w:color w:val="auto"/>
          <w:szCs w:val="21"/>
          <w:highlight w:val="none"/>
        </w:rPr>
      </w:pPr>
      <w:r>
        <w:rPr>
          <w:rFonts w:ascii="宋体" w:hAnsi="宋体"/>
          <w:color w:val="auto"/>
          <w:szCs w:val="21"/>
          <w:highlight w:val="none"/>
        </w:rPr>
        <w:t>7.7.2  根据检测机构的鉴定结果，合同双方均有责任时，根据各方的责任大小，协商分担发生的费用；因此造成工程关键路径延误时，商定对竣工日期的延长时间。双方对分担的费用、竣工日期延长不能达成一致时，按16.3款争议和裁决的约定程序解决。</w:t>
      </w:r>
    </w:p>
    <w:p>
      <w:pPr>
        <w:spacing w:before="156" w:beforeLines="50" w:after="156" w:afterLines="50" w:line="300" w:lineRule="auto"/>
        <w:ind w:firstLine="413" w:firstLineChars="196"/>
        <w:rPr>
          <w:rFonts w:ascii="宋体" w:hAnsi="宋体"/>
          <w:b/>
          <w:color w:val="auto"/>
          <w:szCs w:val="21"/>
          <w:highlight w:val="none"/>
        </w:rPr>
      </w:pPr>
      <w:r>
        <w:rPr>
          <w:rFonts w:ascii="宋体" w:hAnsi="宋体"/>
          <w:b/>
          <w:color w:val="auto"/>
          <w:szCs w:val="21"/>
          <w:highlight w:val="none"/>
        </w:rPr>
        <w:t>7.8  职业健康、安全、环境保护</w:t>
      </w:r>
    </w:p>
    <w:p>
      <w:pPr>
        <w:spacing w:line="300" w:lineRule="auto"/>
        <w:ind w:firstLine="420" w:firstLineChars="200"/>
        <w:rPr>
          <w:rFonts w:ascii="宋体" w:hAnsi="宋体"/>
          <w:color w:val="auto"/>
          <w:szCs w:val="21"/>
          <w:highlight w:val="none"/>
        </w:rPr>
      </w:pPr>
      <w:r>
        <w:rPr>
          <w:rFonts w:ascii="宋体" w:hAnsi="宋体"/>
          <w:color w:val="auto"/>
          <w:szCs w:val="21"/>
          <w:highlight w:val="none"/>
        </w:rPr>
        <w:t>7.8.1  职业健康、安全、环境保护管理</w:t>
      </w:r>
    </w:p>
    <w:p>
      <w:pPr>
        <w:spacing w:line="300" w:lineRule="auto"/>
        <w:ind w:firstLine="420" w:firstLineChars="200"/>
        <w:rPr>
          <w:rFonts w:ascii="宋体" w:hAnsi="宋体"/>
          <w:color w:val="auto"/>
          <w:szCs w:val="21"/>
          <w:highlight w:val="none"/>
        </w:rPr>
      </w:pPr>
      <w:r>
        <w:rPr>
          <w:rFonts w:ascii="宋体" w:hAnsi="宋体"/>
          <w:color w:val="auto"/>
          <w:szCs w:val="21"/>
          <w:highlight w:val="none"/>
        </w:rPr>
        <w:t>（1）遵守有关健康、安全、环境保护的各项法律规定，是双方的义务。</w:t>
      </w:r>
    </w:p>
    <w:p>
      <w:pPr>
        <w:spacing w:line="300" w:lineRule="auto"/>
        <w:ind w:firstLine="420" w:firstLineChars="200"/>
        <w:rPr>
          <w:rFonts w:ascii="宋体" w:hAnsi="宋体"/>
          <w:color w:val="auto"/>
          <w:szCs w:val="21"/>
          <w:highlight w:val="none"/>
        </w:rPr>
      </w:pPr>
      <w:r>
        <w:rPr>
          <w:rFonts w:ascii="宋体" w:hAnsi="宋体"/>
          <w:color w:val="auto"/>
          <w:szCs w:val="21"/>
          <w:highlight w:val="none"/>
        </w:rPr>
        <w:t>（2）职业健康、安全、环境保护管理实施计划。承包人应在现场开工前或约定的其它时间内，将职业健康、安全、环境保护管理实施计划提交给发包人。该计划的管理、实施费用包括在合同价格中。发包人应在收到该计划后15日内提出建议，并于以确认。承包人应根据发包人的建议自费修正.职业健康、安全、环境保护管理实施计划的提交份数和提交时间，在专用条款中约定。</w:t>
      </w:r>
    </w:p>
    <w:p>
      <w:pPr>
        <w:spacing w:line="300" w:lineRule="auto"/>
        <w:ind w:firstLine="420" w:firstLineChars="200"/>
        <w:rPr>
          <w:rFonts w:ascii="宋体" w:hAnsi="宋体"/>
          <w:color w:val="auto"/>
          <w:szCs w:val="21"/>
          <w:highlight w:val="none"/>
        </w:rPr>
      </w:pPr>
      <w:r>
        <w:rPr>
          <w:rFonts w:ascii="宋体" w:hAnsi="宋体"/>
          <w:color w:val="auto"/>
          <w:szCs w:val="21"/>
          <w:highlight w:val="none"/>
        </w:rPr>
        <w:t>（3）在承包人实施职业健康、安全、环境保护管理实施计划的过程中，发包人需要在该计划之外采取特殊措施的，按13条变更和合同价格调整的约定，作为变更处理。</w:t>
      </w:r>
    </w:p>
    <w:p>
      <w:pPr>
        <w:spacing w:line="300" w:lineRule="auto"/>
        <w:ind w:firstLine="420" w:firstLineChars="200"/>
        <w:rPr>
          <w:rFonts w:ascii="宋体" w:hAnsi="宋体"/>
          <w:color w:val="auto"/>
          <w:szCs w:val="21"/>
          <w:highlight w:val="none"/>
        </w:rPr>
      </w:pPr>
      <w:r>
        <w:rPr>
          <w:rFonts w:ascii="宋体" w:hAnsi="宋体"/>
          <w:color w:val="auto"/>
          <w:szCs w:val="21"/>
          <w:highlight w:val="none"/>
        </w:rPr>
        <w:t>（4）承包人应确保其在现场的所有雇员及其分包人的雇员都经过了足够的培训并具有经验，能够胜任职业健康、安全、环境保护管理工作。</w:t>
      </w:r>
    </w:p>
    <w:p>
      <w:pPr>
        <w:spacing w:line="300" w:lineRule="auto"/>
        <w:ind w:firstLine="420" w:firstLineChars="200"/>
        <w:rPr>
          <w:rFonts w:ascii="宋体" w:hAnsi="宋体"/>
          <w:color w:val="auto"/>
          <w:szCs w:val="21"/>
          <w:highlight w:val="none"/>
        </w:rPr>
      </w:pPr>
      <w:r>
        <w:rPr>
          <w:rFonts w:ascii="宋体" w:hAnsi="宋体"/>
          <w:color w:val="auto"/>
          <w:szCs w:val="21"/>
          <w:highlight w:val="none"/>
        </w:rPr>
        <w:t>（5）承包人应遵守所有与实施本工程和使用施工设备相关的现场职业健康、安全和环境保护的法律规定，并按规定各自办理相关手续。</w:t>
      </w:r>
    </w:p>
    <w:p>
      <w:pPr>
        <w:spacing w:line="300" w:lineRule="auto"/>
        <w:ind w:firstLine="420" w:firstLineChars="200"/>
        <w:rPr>
          <w:rFonts w:ascii="宋体" w:hAnsi="宋体"/>
          <w:color w:val="auto"/>
          <w:szCs w:val="21"/>
          <w:highlight w:val="none"/>
        </w:rPr>
      </w:pPr>
      <w:r>
        <w:rPr>
          <w:rFonts w:ascii="宋体" w:hAnsi="宋体"/>
          <w:color w:val="auto"/>
          <w:szCs w:val="21"/>
          <w:highlight w:val="none"/>
        </w:rPr>
        <w:t>（6）承包人应为现场开工部分的工程建立职业健康保障条件、搭设安全设施并采取环保措施等，为发包人办理施工许可证提供条件。因承包人原因导致施工许可的批准推迟，造成费用增加或工程关键路径延误时，由承包人负责。</w:t>
      </w:r>
    </w:p>
    <w:p>
      <w:pPr>
        <w:spacing w:line="300" w:lineRule="auto"/>
        <w:ind w:firstLine="420" w:firstLineChars="200"/>
        <w:rPr>
          <w:rFonts w:ascii="宋体" w:hAnsi="宋体"/>
          <w:color w:val="auto"/>
          <w:szCs w:val="21"/>
          <w:highlight w:val="none"/>
        </w:rPr>
      </w:pPr>
      <w:r>
        <w:rPr>
          <w:rFonts w:ascii="宋体" w:hAnsi="宋体"/>
          <w:color w:val="auto"/>
          <w:szCs w:val="21"/>
          <w:highlight w:val="none"/>
        </w:rPr>
        <w:t>（7）承包人应配备专职工程师或管理人员，负责管理、监督、指导职工职业健康、安全保护和环境保护工作。承包人应对其分包人的行为负责。</w:t>
      </w:r>
    </w:p>
    <w:p>
      <w:pPr>
        <w:spacing w:line="300" w:lineRule="auto"/>
        <w:ind w:firstLine="420" w:firstLineChars="200"/>
        <w:rPr>
          <w:rFonts w:ascii="宋体" w:hAnsi="宋体"/>
          <w:color w:val="auto"/>
          <w:szCs w:val="21"/>
          <w:highlight w:val="none"/>
        </w:rPr>
      </w:pPr>
      <w:r>
        <w:rPr>
          <w:rFonts w:ascii="宋体" w:hAnsi="宋体"/>
          <w:color w:val="auto"/>
          <w:szCs w:val="21"/>
          <w:highlight w:val="none"/>
        </w:rPr>
        <w:t>（8）承包人应随时接受政府有关行政部门、行业机构、发包人、监理人的职业健康、安全、环境保护检查人员的监督和检查，并为此提供方便。</w:t>
      </w:r>
    </w:p>
    <w:p>
      <w:pPr>
        <w:spacing w:line="300" w:lineRule="auto"/>
        <w:ind w:firstLine="411" w:firstLineChars="196"/>
        <w:rPr>
          <w:rFonts w:ascii="宋体" w:hAnsi="宋体"/>
          <w:color w:val="auto"/>
          <w:szCs w:val="21"/>
          <w:highlight w:val="none"/>
        </w:rPr>
      </w:pPr>
      <w:r>
        <w:rPr>
          <w:rFonts w:ascii="宋体" w:hAnsi="宋体"/>
          <w:color w:val="auto"/>
          <w:szCs w:val="21"/>
          <w:highlight w:val="none"/>
        </w:rPr>
        <w:t>7.8.2  现场职业健康管理</w:t>
      </w:r>
    </w:p>
    <w:p>
      <w:pPr>
        <w:spacing w:line="300" w:lineRule="auto"/>
        <w:ind w:firstLine="420" w:firstLineChars="200"/>
        <w:rPr>
          <w:rFonts w:ascii="宋体" w:hAnsi="宋体"/>
          <w:color w:val="auto"/>
          <w:szCs w:val="21"/>
          <w:highlight w:val="none"/>
        </w:rPr>
      </w:pPr>
      <w:r>
        <w:rPr>
          <w:rFonts w:ascii="宋体" w:hAnsi="宋体"/>
          <w:color w:val="auto"/>
          <w:szCs w:val="21"/>
          <w:highlight w:val="none"/>
        </w:rPr>
        <w:t xml:space="preserve">（1）承包人应遵守适用的职业健康的法律和合同约定（包括对雇用、职业健康、安全、福利等方面的规定），负责现场实施过程中其人员的职业健康和保护。 </w:t>
      </w:r>
    </w:p>
    <w:p>
      <w:pPr>
        <w:spacing w:line="300" w:lineRule="auto"/>
        <w:ind w:firstLine="420" w:firstLineChars="200"/>
        <w:rPr>
          <w:rFonts w:ascii="宋体" w:hAnsi="宋体"/>
          <w:color w:val="auto"/>
          <w:szCs w:val="21"/>
          <w:highlight w:val="none"/>
        </w:rPr>
      </w:pPr>
      <w:r>
        <w:rPr>
          <w:rFonts w:ascii="宋体" w:hAnsi="宋体"/>
          <w:color w:val="auto"/>
          <w:szCs w:val="21"/>
          <w:highlight w:val="none"/>
        </w:rPr>
        <w:t xml:space="preserve">（2）承包人应遵守适用的劳动法规，保护其雇员的合法休假权等合法权益，并为其现场人员提供劳动保护用品、防护器具、防暑降温用品、必要的现场食宿条件和安全生产设施。 </w:t>
      </w:r>
    </w:p>
    <w:p>
      <w:pPr>
        <w:spacing w:line="300" w:lineRule="auto"/>
        <w:ind w:firstLine="420" w:firstLineChars="200"/>
        <w:rPr>
          <w:rFonts w:ascii="宋体" w:hAnsi="宋体"/>
          <w:color w:val="auto"/>
          <w:szCs w:val="21"/>
          <w:highlight w:val="none"/>
        </w:rPr>
      </w:pPr>
      <w:r>
        <w:rPr>
          <w:rFonts w:ascii="宋体" w:hAnsi="宋体"/>
          <w:color w:val="auto"/>
          <w:szCs w:val="21"/>
          <w:highlight w:val="none"/>
        </w:rPr>
        <w:t>（3）承包人应对其施工人员进行相关作业的职业健康知识培训、危险及危害因素交底、安全操作规程交底、采取有效措施，按有关规定提供防止人身伤害的保护用具。</w:t>
      </w:r>
    </w:p>
    <w:p>
      <w:pPr>
        <w:spacing w:line="300" w:lineRule="auto"/>
        <w:ind w:firstLine="420" w:firstLineChars="200"/>
        <w:rPr>
          <w:rFonts w:ascii="宋体" w:hAnsi="宋体"/>
          <w:color w:val="auto"/>
          <w:szCs w:val="21"/>
          <w:highlight w:val="none"/>
        </w:rPr>
      </w:pPr>
      <w:r>
        <w:rPr>
          <w:rFonts w:ascii="宋体" w:hAnsi="宋体"/>
          <w:color w:val="auto"/>
          <w:szCs w:val="21"/>
          <w:highlight w:val="none"/>
        </w:rPr>
        <w:t>（4）承包人应在有毒有害作业区域设置警示标志和说明。发包人及其委托人员未经承包人允许、未配备相关保护器具，进入该作业区域所造成的伤害，由发包人承担责任和费用。</w:t>
      </w:r>
    </w:p>
    <w:p>
      <w:pPr>
        <w:spacing w:line="300" w:lineRule="auto"/>
        <w:ind w:firstLine="420" w:firstLineChars="200"/>
        <w:rPr>
          <w:rFonts w:ascii="宋体" w:hAnsi="宋体"/>
          <w:color w:val="auto"/>
          <w:szCs w:val="21"/>
          <w:highlight w:val="none"/>
        </w:rPr>
      </w:pPr>
      <w:r>
        <w:rPr>
          <w:rFonts w:ascii="宋体" w:hAnsi="宋体"/>
          <w:color w:val="auto"/>
          <w:szCs w:val="21"/>
          <w:highlight w:val="none"/>
        </w:rPr>
        <w:t>（5）承包人应对有毒有害岗位进行防治检查，对不合格的防护设施、器具、搭设等及时整改，消除危害职业健康的隐患。</w:t>
      </w:r>
    </w:p>
    <w:p>
      <w:pPr>
        <w:spacing w:line="300" w:lineRule="auto"/>
        <w:ind w:firstLine="420" w:firstLineChars="200"/>
        <w:rPr>
          <w:rFonts w:ascii="宋体" w:hAnsi="宋体"/>
          <w:color w:val="auto"/>
          <w:szCs w:val="21"/>
          <w:highlight w:val="none"/>
        </w:rPr>
      </w:pPr>
      <w:r>
        <w:rPr>
          <w:rFonts w:ascii="宋体" w:hAnsi="宋体"/>
          <w:color w:val="auto"/>
          <w:szCs w:val="21"/>
          <w:highlight w:val="none"/>
        </w:rPr>
        <w:t>（6）承包人应采取卫生防疫措施，配备医务人员、急救设施，保持食堂的饮食卫生，保持住地及其周围的环境卫生，维护施工人员的健康。</w:t>
      </w:r>
    </w:p>
    <w:p>
      <w:pPr>
        <w:spacing w:line="300" w:lineRule="auto"/>
        <w:ind w:firstLine="411" w:firstLineChars="196"/>
        <w:rPr>
          <w:rFonts w:ascii="宋体" w:hAnsi="宋体"/>
          <w:color w:val="auto"/>
          <w:szCs w:val="21"/>
          <w:highlight w:val="none"/>
        </w:rPr>
      </w:pPr>
      <w:r>
        <w:rPr>
          <w:rFonts w:ascii="宋体" w:hAnsi="宋体"/>
          <w:color w:val="auto"/>
          <w:szCs w:val="21"/>
          <w:highlight w:val="none"/>
        </w:rPr>
        <w:t>7.8.3  现场安全管理</w:t>
      </w:r>
    </w:p>
    <w:p>
      <w:pPr>
        <w:spacing w:line="300" w:lineRule="auto"/>
        <w:ind w:firstLine="420" w:firstLineChars="200"/>
        <w:rPr>
          <w:rFonts w:ascii="宋体" w:hAnsi="宋体"/>
          <w:color w:val="auto"/>
          <w:szCs w:val="21"/>
          <w:highlight w:val="none"/>
        </w:rPr>
      </w:pPr>
      <w:r>
        <w:rPr>
          <w:rFonts w:ascii="宋体" w:hAnsi="宋体"/>
          <w:color w:val="auto"/>
          <w:szCs w:val="21"/>
          <w:highlight w:val="none"/>
        </w:rPr>
        <w:t>（1）发包人、监理人应对其在现场的人员进行安全教育，提供必要的个人安全用品，并对他们所造成的安全事故负责。发包人、监理人不得强令承包人违反安全施工、安全操作及竣工试验和（或）竣工后试验的有关安全规定。因发包人、监理人及其现场工作人员的原因，导致的人身伤害和财产损失，由发包人承担相关责任及所发生的费用。工程关键路径延误时，竣工日期给予顺延。</w:t>
      </w:r>
    </w:p>
    <w:p>
      <w:pPr>
        <w:spacing w:line="300" w:lineRule="auto"/>
        <w:rPr>
          <w:rFonts w:ascii="宋体" w:hAnsi="宋体"/>
          <w:color w:val="auto"/>
          <w:szCs w:val="21"/>
          <w:highlight w:val="none"/>
        </w:rPr>
      </w:pPr>
      <w:r>
        <w:rPr>
          <w:rFonts w:ascii="宋体" w:hAnsi="宋体"/>
          <w:color w:val="auto"/>
          <w:szCs w:val="21"/>
          <w:highlight w:val="none"/>
        </w:rPr>
        <w:t xml:space="preserve">     因承包人原因，违反安全施工、安全操作、竣工试验和（或）竣工后试验的有关安全规定，导致的人身伤害和财产损失，工程关键路径延误时，由承包人承担。</w:t>
      </w:r>
    </w:p>
    <w:p>
      <w:pPr>
        <w:spacing w:line="300" w:lineRule="auto"/>
        <w:ind w:firstLine="420" w:firstLineChars="200"/>
        <w:rPr>
          <w:rFonts w:ascii="宋体" w:hAnsi="宋体"/>
          <w:color w:val="auto"/>
          <w:szCs w:val="21"/>
          <w:highlight w:val="none"/>
        </w:rPr>
      </w:pPr>
      <w:r>
        <w:rPr>
          <w:rFonts w:ascii="宋体" w:hAnsi="宋体"/>
          <w:color w:val="auto"/>
          <w:szCs w:val="21"/>
          <w:highlight w:val="none"/>
        </w:rPr>
        <w:t>（2）双方人员应遵守有关禁止通行的须知，包括禁止进入工作场地以及临近工作场地的特定区域。未能遵守此约定，造成伤害、损坏和损失的，由未能遵守此项约定的一方负责。</w:t>
      </w:r>
    </w:p>
    <w:p>
      <w:pPr>
        <w:spacing w:line="300" w:lineRule="auto"/>
        <w:ind w:firstLine="420" w:firstLineChars="200"/>
        <w:rPr>
          <w:rFonts w:ascii="宋体" w:hAnsi="宋体"/>
          <w:color w:val="auto"/>
          <w:szCs w:val="21"/>
          <w:highlight w:val="none"/>
        </w:rPr>
      </w:pPr>
      <w:r>
        <w:rPr>
          <w:rFonts w:ascii="宋体" w:hAnsi="宋体"/>
          <w:color w:val="auto"/>
          <w:szCs w:val="21"/>
          <w:highlight w:val="none"/>
        </w:rPr>
        <w:t>（3） 承包人应按合同约定负责现场的安全工作，包括其分包人的现场。对有条件的现场实行封闭管理。应根据工程特点，在施工组织设计文件中制定相应的安全技术措施，并对专业性较强的工程部分编制专项安全施工组织设计，包括维护安全、防范危险和预防火灾等措施。</w:t>
      </w:r>
    </w:p>
    <w:p>
      <w:pPr>
        <w:spacing w:line="300" w:lineRule="auto"/>
        <w:ind w:firstLine="420" w:firstLineChars="200"/>
        <w:rPr>
          <w:rFonts w:ascii="宋体" w:hAnsi="宋体"/>
          <w:color w:val="auto"/>
          <w:szCs w:val="21"/>
          <w:highlight w:val="none"/>
        </w:rPr>
      </w:pPr>
      <w:r>
        <w:rPr>
          <w:rFonts w:ascii="宋体" w:hAnsi="宋体"/>
          <w:color w:val="auto"/>
          <w:szCs w:val="21"/>
          <w:highlight w:val="none"/>
        </w:rPr>
        <w:t>（4）承包人（包括承包人的分包人、供应商及其运输单位）应对其现场内及进出现场途中的道路、桥梁、地下设施等，采取防范措施使其免遭损坏，专用条款另有约定除外。因未按约定采取防范措施所造成的损坏和（或）竣工日期延误，由承包人负责。</w:t>
      </w:r>
    </w:p>
    <w:p>
      <w:pPr>
        <w:spacing w:line="300" w:lineRule="auto"/>
        <w:ind w:firstLine="420" w:firstLineChars="200"/>
        <w:rPr>
          <w:rFonts w:ascii="宋体" w:hAnsi="宋体"/>
          <w:color w:val="auto"/>
          <w:szCs w:val="21"/>
          <w:highlight w:val="none"/>
        </w:rPr>
      </w:pPr>
      <w:r>
        <w:rPr>
          <w:rFonts w:ascii="宋体" w:hAnsi="宋体"/>
          <w:color w:val="auto"/>
          <w:szCs w:val="21"/>
          <w:highlight w:val="none"/>
        </w:rPr>
        <w:t>（5）承包人应对其施工人员进行安全操作培训，安全操作规程交底，采取安全防护措施，设置安全警示标志和说明，进行安全检查，消除事故隐患。</w:t>
      </w:r>
    </w:p>
    <w:p>
      <w:pPr>
        <w:spacing w:line="300" w:lineRule="auto"/>
        <w:ind w:firstLine="420" w:firstLineChars="200"/>
        <w:rPr>
          <w:rFonts w:ascii="宋体" w:hAnsi="宋体"/>
          <w:color w:val="auto"/>
          <w:szCs w:val="21"/>
          <w:highlight w:val="none"/>
        </w:rPr>
      </w:pPr>
      <w:r>
        <w:rPr>
          <w:rFonts w:ascii="宋体" w:hAnsi="宋体"/>
          <w:color w:val="auto"/>
          <w:szCs w:val="21"/>
          <w:highlight w:val="none"/>
        </w:rPr>
        <w:t>（6）承包人在动力设备、输电线路、地下管道、密封防震车间、高温高压、易燃易爆区域和地段，以及临街交通要道附近作业时，应对施工现场及毗邻的建筑物、构筑物和特殊作业环境可能造成的损害采取安全防护措施。施工开始前承包人须向发包人和（或）监理人提交安全防护措施方案，经认可后实施。发包人和（或）监理人的认可，并不能减轻或免除承包人的责任。</w:t>
      </w:r>
    </w:p>
    <w:p>
      <w:pPr>
        <w:spacing w:line="300" w:lineRule="auto"/>
        <w:ind w:firstLine="420" w:firstLineChars="200"/>
        <w:rPr>
          <w:rFonts w:ascii="宋体" w:hAnsi="宋体"/>
          <w:color w:val="auto"/>
          <w:szCs w:val="21"/>
          <w:highlight w:val="none"/>
        </w:rPr>
      </w:pPr>
      <w:r>
        <w:rPr>
          <w:rFonts w:ascii="宋体" w:hAnsi="宋体"/>
          <w:color w:val="auto"/>
          <w:szCs w:val="21"/>
          <w:highlight w:val="none"/>
        </w:rPr>
        <w:t>（7）承包人实施爆破、放射性、带电、毒害性及使用易燃易爆、毒害性、腐蚀性物品作业（含运输、储存、保管）时，应在施工前10日以书面形式通知发包人和（或）监理人，并提交相应的安全防护措施方案，经认可后实施。发包人和（或）监理人的认可， 并不能减轻或免除承包人的责任。</w:t>
      </w:r>
    </w:p>
    <w:p>
      <w:pPr>
        <w:spacing w:line="300" w:lineRule="auto"/>
        <w:ind w:firstLine="420" w:firstLineChars="200"/>
        <w:rPr>
          <w:rFonts w:ascii="宋体" w:hAnsi="宋体"/>
          <w:color w:val="auto"/>
          <w:szCs w:val="21"/>
          <w:highlight w:val="none"/>
        </w:rPr>
      </w:pPr>
      <w:r>
        <w:rPr>
          <w:rFonts w:ascii="宋体" w:hAnsi="宋体"/>
          <w:color w:val="auto"/>
          <w:szCs w:val="21"/>
          <w:highlight w:val="none"/>
        </w:rPr>
        <w:t>（8）安全防护检查。承包人应在作业开始前，通知发包人代表和（或）监理人对其提交的安全措施方案，及现场安全设施搭设、安全通道、安全器具和消防器具配置、对周围环境安全可能带来的隐患等进行检查，并根据发包人和（或）监理人提出的整改建议自费整改。发包人和（或）监理人的检查、建议，并不能减轻或免除承包人的合同责任。</w:t>
      </w:r>
    </w:p>
    <w:p>
      <w:pPr>
        <w:spacing w:line="300" w:lineRule="auto"/>
        <w:ind w:firstLine="420" w:firstLineChars="200"/>
        <w:rPr>
          <w:rFonts w:ascii="宋体" w:hAnsi="宋体"/>
          <w:color w:val="auto"/>
          <w:szCs w:val="21"/>
          <w:highlight w:val="none"/>
        </w:rPr>
      </w:pPr>
      <w:r>
        <w:rPr>
          <w:rFonts w:ascii="宋体" w:hAnsi="宋体"/>
          <w:color w:val="auto"/>
          <w:szCs w:val="21"/>
          <w:highlight w:val="none"/>
        </w:rPr>
        <w:t>7.8.4  现场的环境保护管理</w:t>
      </w:r>
    </w:p>
    <w:p>
      <w:pPr>
        <w:spacing w:line="300" w:lineRule="auto"/>
        <w:ind w:firstLine="420" w:firstLineChars="200"/>
        <w:rPr>
          <w:rFonts w:ascii="宋体" w:hAnsi="宋体"/>
          <w:color w:val="auto"/>
          <w:szCs w:val="21"/>
          <w:highlight w:val="none"/>
        </w:rPr>
      </w:pPr>
      <w:r>
        <w:rPr>
          <w:rFonts w:ascii="宋体" w:hAnsi="宋体"/>
          <w:color w:val="auto"/>
          <w:szCs w:val="21"/>
          <w:highlight w:val="none"/>
        </w:rPr>
        <w:t>（1）承包人负责在现场施工过程中保护现场周围的建筑物、构筑物、文物建筑、古树、名木，及地下管线、线缆、构筑物、文物、化石和坟墓等进行保护。因承包人未能通知发包人，并在未能得到发包人进一步指示的情况下，所造成的损害、损失、赔偿等费用增加，和（或）竣工日期延误，由承包人负责。</w:t>
      </w:r>
    </w:p>
    <w:p>
      <w:pPr>
        <w:spacing w:line="300" w:lineRule="auto"/>
        <w:ind w:firstLine="420" w:firstLineChars="200"/>
        <w:rPr>
          <w:rFonts w:ascii="宋体" w:hAnsi="宋体"/>
          <w:color w:val="auto"/>
          <w:szCs w:val="21"/>
          <w:highlight w:val="none"/>
        </w:rPr>
      </w:pPr>
      <w:r>
        <w:rPr>
          <w:rFonts w:ascii="宋体" w:hAnsi="宋体"/>
          <w:color w:val="auto"/>
          <w:szCs w:val="21"/>
          <w:highlight w:val="none"/>
        </w:rPr>
        <w:t>（2）承包人应采取措施，并负责控制和（或）处理现场的粉尘、废气、废水、固体废物和噪声对环境的污染和危害。因此发生的伤害、赔偿、罚款等费用增加，和（或）竣工日期延误，由承包人负责。</w:t>
      </w:r>
    </w:p>
    <w:p>
      <w:pPr>
        <w:spacing w:line="300" w:lineRule="auto"/>
        <w:ind w:firstLine="420" w:firstLineChars="200"/>
        <w:rPr>
          <w:rFonts w:ascii="宋体" w:hAnsi="宋体"/>
          <w:color w:val="auto"/>
          <w:szCs w:val="21"/>
          <w:highlight w:val="none"/>
        </w:rPr>
      </w:pPr>
      <w:r>
        <w:rPr>
          <w:rFonts w:ascii="宋体" w:hAnsi="宋体"/>
          <w:color w:val="auto"/>
          <w:szCs w:val="21"/>
          <w:highlight w:val="none"/>
        </w:rPr>
        <w:t>（3）承包人及时或定期将施工现场残留、废弃的垃圾运到发包人或当地有关行政部门指定的地点，防止对周围环境的污染及对作业的影响。因违反上述约定导致当地行政部门的罚款、赔偿等增加的费用，由承包人承担。</w:t>
      </w:r>
    </w:p>
    <w:p>
      <w:pPr>
        <w:spacing w:line="300" w:lineRule="auto"/>
        <w:ind w:firstLine="420" w:firstLineChars="200"/>
        <w:rPr>
          <w:rFonts w:ascii="宋体" w:hAnsi="宋体"/>
          <w:color w:val="auto"/>
          <w:szCs w:val="21"/>
          <w:highlight w:val="none"/>
        </w:rPr>
      </w:pPr>
      <w:r>
        <w:rPr>
          <w:rFonts w:ascii="宋体" w:hAnsi="宋体"/>
          <w:color w:val="auto"/>
          <w:szCs w:val="21"/>
          <w:highlight w:val="none"/>
        </w:rPr>
        <w:t>7.8.5  事故处理</w:t>
      </w:r>
    </w:p>
    <w:p>
      <w:pPr>
        <w:spacing w:line="300" w:lineRule="auto"/>
        <w:ind w:firstLine="420" w:firstLineChars="200"/>
        <w:rPr>
          <w:rFonts w:ascii="宋体" w:hAnsi="宋体"/>
          <w:color w:val="auto"/>
          <w:szCs w:val="21"/>
          <w:highlight w:val="none"/>
        </w:rPr>
      </w:pPr>
      <w:r>
        <w:rPr>
          <w:rFonts w:ascii="宋体" w:hAnsi="宋体"/>
          <w:color w:val="auto"/>
          <w:szCs w:val="21"/>
          <w:highlight w:val="none"/>
        </w:rPr>
        <w:t>（1） 承包人（包括其分包人）的人员，在现场作业过程中发生死亡、伤害事件时，承包人应立即采取救护措施，并立即报告发包人和（或）救援单位，发包人有义务为此项抢救提供必要条件。承包人应维护好现场并采取防止事故蔓延的相应措施。</w:t>
      </w:r>
    </w:p>
    <w:p>
      <w:pPr>
        <w:spacing w:line="300" w:lineRule="auto"/>
        <w:ind w:firstLine="420" w:firstLineChars="200"/>
        <w:rPr>
          <w:rFonts w:ascii="宋体" w:hAnsi="宋体"/>
          <w:color w:val="auto"/>
          <w:szCs w:val="21"/>
          <w:highlight w:val="none"/>
        </w:rPr>
      </w:pPr>
      <w:r>
        <w:rPr>
          <w:rFonts w:ascii="宋体" w:hAnsi="宋体"/>
          <w:color w:val="auto"/>
          <w:szCs w:val="21"/>
          <w:highlight w:val="none"/>
        </w:rPr>
        <w:t>（2） 对重大伤亡、重大财产、环境损害及其它安全事故，承包人应按有关规定立即上报有关部门，并立即通知发包人代表和监理人。同时，按政府有关部门的要求处理。</w:t>
      </w:r>
    </w:p>
    <w:p>
      <w:pPr>
        <w:spacing w:line="300" w:lineRule="auto"/>
        <w:ind w:firstLine="420" w:firstLineChars="200"/>
        <w:rPr>
          <w:rFonts w:ascii="宋体" w:hAnsi="宋体"/>
          <w:color w:val="auto"/>
          <w:szCs w:val="21"/>
          <w:highlight w:val="none"/>
        </w:rPr>
      </w:pPr>
      <w:r>
        <w:rPr>
          <w:rFonts w:ascii="宋体" w:hAnsi="宋体"/>
          <w:color w:val="auto"/>
          <w:szCs w:val="21"/>
          <w:highlight w:val="none"/>
        </w:rPr>
        <w:t>（3） 合同双方对事故责任有争议时，依据16.3款争议和裁决的约定程序解决。</w:t>
      </w:r>
    </w:p>
    <w:p>
      <w:pPr>
        <w:spacing w:line="300" w:lineRule="auto"/>
        <w:ind w:firstLine="420" w:firstLineChars="200"/>
        <w:rPr>
          <w:rFonts w:ascii="宋体" w:hAnsi="宋体"/>
          <w:color w:val="auto"/>
          <w:szCs w:val="21"/>
          <w:highlight w:val="none"/>
        </w:rPr>
      </w:pPr>
      <w:r>
        <w:rPr>
          <w:rFonts w:ascii="宋体" w:hAnsi="宋体"/>
          <w:color w:val="auto"/>
          <w:szCs w:val="21"/>
          <w:highlight w:val="none"/>
        </w:rPr>
        <w:t>（4） 因承包人的原因致使建筑工程在合理使用期限、设备保证期内造成人身和财产损害的，由承包人承担损害赔偿责任。</w:t>
      </w:r>
    </w:p>
    <w:p>
      <w:pPr>
        <w:spacing w:line="300" w:lineRule="auto"/>
        <w:ind w:firstLine="420" w:firstLineChars="200"/>
        <w:rPr>
          <w:rFonts w:ascii="宋体" w:hAnsi="宋体"/>
          <w:color w:val="auto"/>
          <w:szCs w:val="21"/>
          <w:highlight w:val="none"/>
        </w:rPr>
      </w:pPr>
      <w:r>
        <w:rPr>
          <w:rFonts w:ascii="宋体" w:hAnsi="宋体"/>
          <w:color w:val="auto"/>
          <w:szCs w:val="21"/>
          <w:highlight w:val="none"/>
        </w:rPr>
        <w:t>（5）因承包人原因发生员工食物中毒及职业健康事件的，承包人应承担相关责任。</w:t>
      </w:r>
    </w:p>
    <w:p>
      <w:pPr>
        <w:spacing w:before="156" w:beforeLines="50" w:after="156" w:afterLines="50" w:line="300" w:lineRule="auto"/>
        <w:ind w:firstLine="422" w:firstLineChars="200"/>
        <w:rPr>
          <w:rFonts w:ascii="宋体" w:hAnsi="宋体"/>
          <w:b/>
          <w:color w:val="auto"/>
          <w:szCs w:val="21"/>
          <w:highlight w:val="none"/>
        </w:rPr>
      </w:pPr>
      <w:r>
        <w:rPr>
          <w:rFonts w:ascii="宋体" w:hAnsi="宋体"/>
          <w:b/>
          <w:color w:val="auto"/>
          <w:szCs w:val="21"/>
          <w:highlight w:val="none"/>
        </w:rPr>
        <w:t>第8条  竣工试验</w:t>
      </w:r>
    </w:p>
    <w:p>
      <w:pPr>
        <w:spacing w:before="156" w:beforeLines="50" w:after="156" w:afterLines="50" w:line="300" w:lineRule="auto"/>
        <w:ind w:firstLine="420" w:firstLineChars="200"/>
        <w:rPr>
          <w:rFonts w:ascii="宋体" w:hAnsi="宋体"/>
          <w:color w:val="auto"/>
          <w:szCs w:val="21"/>
          <w:highlight w:val="none"/>
        </w:rPr>
      </w:pPr>
      <w:r>
        <w:rPr>
          <w:rFonts w:ascii="宋体" w:hAnsi="宋体"/>
          <w:color w:val="auto"/>
          <w:szCs w:val="21"/>
          <w:highlight w:val="none"/>
        </w:rPr>
        <w:t>本合同工程包含竣工试验，遵守本条约定。</w:t>
      </w:r>
    </w:p>
    <w:p>
      <w:pPr>
        <w:spacing w:before="156" w:beforeLines="50" w:after="156" w:afterLines="50" w:line="300" w:lineRule="auto"/>
        <w:ind w:firstLine="422" w:firstLineChars="200"/>
        <w:rPr>
          <w:rFonts w:ascii="宋体" w:hAnsi="宋体"/>
          <w:b/>
          <w:color w:val="auto"/>
          <w:szCs w:val="21"/>
          <w:highlight w:val="none"/>
        </w:rPr>
      </w:pPr>
      <w:r>
        <w:rPr>
          <w:rFonts w:ascii="宋体" w:hAnsi="宋体"/>
          <w:b/>
          <w:color w:val="auto"/>
          <w:szCs w:val="21"/>
          <w:highlight w:val="none"/>
        </w:rPr>
        <w:t>8.1  竣工试验的义务</w:t>
      </w:r>
    </w:p>
    <w:p>
      <w:pPr>
        <w:spacing w:line="300" w:lineRule="auto"/>
        <w:ind w:firstLine="420" w:firstLineChars="200"/>
        <w:rPr>
          <w:rFonts w:ascii="宋体" w:hAnsi="宋体"/>
          <w:color w:val="auto"/>
          <w:szCs w:val="21"/>
          <w:highlight w:val="none"/>
        </w:rPr>
      </w:pPr>
      <w:r>
        <w:rPr>
          <w:rFonts w:ascii="宋体" w:hAnsi="宋体"/>
          <w:color w:val="auto"/>
          <w:szCs w:val="21"/>
          <w:highlight w:val="none"/>
        </w:rPr>
        <w:t>8.1.1  承包人的义务</w:t>
      </w:r>
    </w:p>
    <w:p>
      <w:pPr>
        <w:spacing w:line="300" w:lineRule="auto"/>
        <w:ind w:firstLine="420" w:firstLineChars="200"/>
        <w:rPr>
          <w:rFonts w:ascii="宋体" w:hAnsi="宋体"/>
          <w:color w:val="auto"/>
          <w:szCs w:val="21"/>
          <w:highlight w:val="none"/>
        </w:rPr>
      </w:pPr>
      <w:r>
        <w:rPr>
          <w:rFonts w:ascii="宋体" w:hAnsi="宋体"/>
          <w:color w:val="auto"/>
          <w:szCs w:val="21"/>
          <w:highlight w:val="none"/>
        </w:rPr>
        <w:t>（1）承包人应在单项工程和（或）工程的竣工试验开始前，完成相应单项工程和（或）工程的施工作业（不包括：为竣工试验、竣工后试验必须预留的施工部位、不影响竣工试验的缺陷修复和零星扫尾工程）；并在竣工试验开始前，按合同约定需完成对施工作业部位的检查、检验、检测和试验。</w:t>
      </w:r>
    </w:p>
    <w:p>
      <w:pPr>
        <w:spacing w:line="300" w:lineRule="auto"/>
        <w:ind w:firstLine="420" w:firstLineChars="200"/>
        <w:rPr>
          <w:rFonts w:ascii="宋体" w:hAnsi="宋体"/>
          <w:color w:val="auto"/>
          <w:szCs w:val="21"/>
          <w:highlight w:val="none"/>
        </w:rPr>
      </w:pPr>
      <w:r>
        <w:rPr>
          <w:rFonts w:ascii="宋体" w:hAnsi="宋体"/>
          <w:color w:val="auto"/>
          <w:szCs w:val="21"/>
          <w:highlight w:val="none"/>
        </w:rPr>
        <w:t>（2）承包人应在竣工试验开始前，根据7.6款隐蔽工程和中间验收部位的约定，向发包人提交相关的质检资料及其竣工资料。</w:t>
      </w:r>
    </w:p>
    <w:p>
      <w:pPr>
        <w:spacing w:line="300" w:lineRule="auto"/>
        <w:ind w:firstLine="420" w:firstLineChars="200"/>
        <w:rPr>
          <w:rFonts w:ascii="宋体" w:hAnsi="宋体"/>
          <w:color w:val="auto"/>
          <w:szCs w:val="21"/>
          <w:highlight w:val="none"/>
        </w:rPr>
      </w:pPr>
      <w:r>
        <w:rPr>
          <w:rFonts w:ascii="宋体" w:hAnsi="宋体"/>
          <w:color w:val="auto"/>
          <w:szCs w:val="21"/>
          <w:highlight w:val="none"/>
        </w:rPr>
        <w:t>（3）根据第10条竣工后试验的约定，由承包人指导发包人进行竣工后试验的，承包人须完成5.4款约定的操作维修人员培训，并在竣工试验前提交5.2.4款约定的操作维修手册。</w:t>
      </w:r>
    </w:p>
    <w:p>
      <w:pPr>
        <w:spacing w:line="300" w:lineRule="auto"/>
        <w:ind w:firstLine="420" w:firstLineChars="200"/>
        <w:rPr>
          <w:rFonts w:ascii="宋体" w:hAnsi="宋体"/>
          <w:color w:val="auto"/>
          <w:szCs w:val="21"/>
          <w:highlight w:val="none"/>
        </w:rPr>
      </w:pPr>
      <w:r>
        <w:rPr>
          <w:rFonts w:ascii="宋体" w:hAnsi="宋体"/>
          <w:color w:val="auto"/>
          <w:szCs w:val="21"/>
          <w:highlight w:val="none"/>
        </w:rPr>
        <w:t>（4）承包人应在达到竣工试验条件20日前，将竣工试验方案提交给发包人。发包人应在10日内对方案提出建议和意见，承包人应根据发包人提出的合理建议和意见，自费对竣工试验方案进行修正。竣工试验方案经发包人确认后，作为合同附件，由承包人负责实施。发包人的确认并不能减轻或免除承包人的合同责任。竣工试验方案应包括以下内容：</w:t>
      </w:r>
    </w:p>
    <w:p>
      <w:pPr>
        <w:spacing w:line="300" w:lineRule="auto"/>
        <w:ind w:firstLine="743" w:firstLineChars="354"/>
        <w:rPr>
          <w:rFonts w:ascii="宋体" w:hAnsi="宋体"/>
          <w:color w:val="auto"/>
          <w:szCs w:val="21"/>
          <w:highlight w:val="none"/>
        </w:rPr>
      </w:pPr>
      <w:r>
        <w:rPr>
          <w:rFonts w:ascii="宋体" w:hAnsi="宋体"/>
          <w:color w:val="auto"/>
          <w:szCs w:val="21"/>
          <w:highlight w:val="none"/>
        </w:rPr>
        <w:t>1） 竣工试验方案编制的依据和原则；</w:t>
      </w:r>
    </w:p>
    <w:p>
      <w:pPr>
        <w:spacing w:line="300" w:lineRule="auto"/>
        <w:ind w:firstLine="743" w:firstLineChars="354"/>
        <w:rPr>
          <w:rFonts w:ascii="宋体" w:hAnsi="宋体"/>
          <w:color w:val="auto"/>
          <w:szCs w:val="21"/>
          <w:highlight w:val="none"/>
        </w:rPr>
      </w:pPr>
      <w:r>
        <w:rPr>
          <w:rFonts w:ascii="宋体" w:hAnsi="宋体"/>
          <w:color w:val="auto"/>
          <w:szCs w:val="21"/>
          <w:highlight w:val="none"/>
        </w:rPr>
        <w:t>2） 组织机构设置、责任分工；</w:t>
      </w:r>
    </w:p>
    <w:p>
      <w:pPr>
        <w:spacing w:line="300" w:lineRule="auto"/>
        <w:ind w:firstLine="743" w:firstLineChars="354"/>
        <w:rPr>
          <w:rFonts w:ascii="宋体" w:hAnsi="宋体"/>
          <w:color w:val="auto"/>
          <w:szCs w:val="21"/>
          <w:highlight w:val="none"/>
        </w:rPr>
      </w:pPr>
      <w:r>
        <w:rPr>
          <w:rFonts w:ascii="宋体" w:hAnsi="宋体"/>
          <w:color w:val="auto"/>
          <w:szCs w:val="21"/>
          <w:highlight w:val="none"/>
        </w:rPr>
        <w:t>3） 单项工程竣工试验的试验程序、试验条件；</w:t>
      </w:r>
    </w:p>
    <w:p>
      <w:pPr>
        <w:spacing w:line="300" w:lineRule="auto"/>
        <w:ind w:firstLine="743" w:firstLineChars="354"/>
        <w:rPr>
          <w:rFonts w:ascii="宋体" w:hAnsi="宋体"/>
          <w:color w:val="auto"/>
          <w:szCs w:val="21"/>
          <w:highlight w:val="none"/>
        </w:rPr>
      </w:pPr>
      <w:r>
        <w:rPr>
          <w:rFonts w:ascii="宋体" w:hAnsi="宋体"/>
          <w:color w:val="auto"/>
          <w:szCs w:val="21"/>
          <w:highlight w:val="none"/>
        </w:rPr>
        <w:t>4） 单件、单体、联动试验的试验程序、试验条件；</w:t>
      </w:r>
    </w:p>
    <w:p>
      <w:pPr>
        <w:spacing w:line="300" w:lineRule="auto"/>
        <w:ind w:firstLine="743" w:firstLineChars="354"/>
        <w:rPr>
          <w:rFonts w:ascii="宋体" w:hAnsi="宋体"/>
          <w:color w:val="auto"/>
          <w:szCs w:val="21"/>
          <w:highlight w:val="none"/>
        </w:rPr>
      </w:pPr>
      <w:r>
        <w:rPr>
          <w:rFonts w:ascii="宋体" w:hAnsi="宋体"/>
          <w:color w:val="auto"/>
          <w:szCs w:val="21"/>
          <w:highlight w:val="none"/>
        </w:rPr>
        <w:t xml:space="preserve">5） 竣工试验的设备、材料和部件的类别、性能标准、试验及验收格式； </w:t>
      </w:r>
    </w:p>
    <w:p>
      <w:pPr>
        <w:spacing w:line="300" w:lineRule="auto"/>
        <w:ind w:firstLine="743" w:firstLineChars="354"/>
        <w:rPr>
          <w:rFonts w:ascii="宋体" w:hAnsi="宋体"/>
          <w:color w:val="auto"/>
          <w:szCs w:val="21"/>
          <w:highlight w:val="none"/>
        </w:rPr>
      </w:pPr>
      <w:r>
        <w:rPr>
          <w:rFonts w:ascii="宋体" w:hAnsi="宋体"/>
          <w:color w:val="auto"/>
          <w:szCs w:val="21"/>
          <w:highlight w:val="none"/>
        </w:rPr>
        <w:t>6） 水、电、动力等条件的品质和用量要求；</w:t>
      </w:r>
    </w:p>
    <w:p>
      <w:pPr>
        <w:spacing w:line="300" w:lineRule="auto"/>
        <w:ind w:firstLine="743" w:firstLineChars="354"/>
        <w:rPr>
          <w:rFonts w:ascii="宋体" w:hAnsi="宋体"/>
          <w:color w:val="auto"/>
          <w:szCs w:val="21"/>
          <w:highlight w:val="none"/>
        </w:rPr>
      </w:pPr>
      <w:r>
        <w:rPr>
          <w:rFonts w:ascii="宋体" w:hAnsi="宋体"/>
          <w:color w:val="auto"/>
          <w:szCs w:val="21"/>
          <w:highlight w:val="none"/>
        </w:rPr>
        <w:t>7） 安全程序、安全措施及防护设施；</w:t>
      </w:r>
    </w:p>
    <w:p>
      <w:pPr>
        <w:spacing w:line="300" w:lineRule="auto"/>
        <w:ind w:firstLine="743" w:firstLineChars="354"/>
        <w:rPr>
          <w:rFonts w:ascii="宋体" w:hAnsi="宋体"/>
          <w:color w:val="auto"/>
          <w:szCs w:val="21"/>
          <w:highlight w:val="none"/>
        </w:rPr>
      </w:pPr>
      <w:r>
        <w:rPr>
          <w:rFonts w:ascii="宋体" w:hAnsi="宋体"/>
          <w:color w:val="auto"/>
          <w:szCs w:val="21"/>
          <w:highlight w:val="none"/>
        </w:rPr>
        <w:t>8） 竣工试验的进度计划、措施方案、人力及机具计划安排；</w:t>
      </w:r>
    </w:p>
    <w:p>
      <w:pPr>
        <w:spacing w:line="300" w:lineRule="auto"/>
        <w:ind w:firstLine="743" w:firstLineChars="354"/>
        <w:rPr>
          <w:rFonts w:ascii="宋体" w:hAnsi="宋体"/>
          <w:color w:val="auto"/>
          <w:szCs w:val="21"/>
          <w:highlight w:val="none"/>
        </w:rPr>
      </w:pPr>
      <w:r>
        <w:rPr>
          <w:rFonts w:ascii="宋体" w:hAnsi="宋体"/>
          <w:color w:val="auto"/>
          <w:szCs w:val="21"/>
          <w:highlight w:val="none"/>
        </w:rPr>
        <w:t>9） 其它。</w:t>
      </w:r>
    </w:p>
    <w:p>
      <w:pPr>
        <w:spacing w:line="300" w:lineRule="auto"/>
        <w:ind w:firstLine="420" w:firstLineChars="200"/>
        <w:rPr>
          <w:rFonts w:ascii="宋体" w:hAnsi="宋体"/>
          <w:color w:val="auto"/>
          <w:szCs w:val="21"/>
          <w:highlight w:val="none"/>
        </w:rPr>
      </w:pPr>
      <w:r>
        <w:rPr>
          <w:rFonts w:ascii="宋体" w:hAnsi="宋体"/>
          <w:color w:val="auto"/>
          <w:szCs w:val="21"/>
          <w:highlight w:val="none"/>
        </w:rPr>
        <w:t>竣工试验方案提交的份数和提交时间，在专用条款中约定。</w:t>
      </w:r>
    </w:p>
    <w:p>
      <w:pPr>
        <w:spacing w:line="300" w:lineRule="auto"/>
        <w:ind w:firstLine="420" w:firstLineChars="200"/>
        <w:rPr>
          <w:rFonts w:ascii="宋体" w:hAnsi="宋体"/>
          <w:color w:val="auto"/>
          <w:szCs w:val="21"/>
          <w:highlight w:val="none"/>
        </w:rPr>
      </w:pPr>
      <w:r>
        <w:rPr>
          <w:rFonts w:ascii="宋体" w:hAnsi="宋体"/>
          <w:color w:val="auto"/>
          <w:szCs w:val="21"/>
          <w:highlight w:val="none"/>
        </w:rPr>
        <w:t>（5）承包人的竣工试验包括根据6.1.2款约定的由承包人提供的工程物资的竣工试验，及根据8.1.2款第（3）项发包人委托给承包人进行工程物资的竣工试验。</w:t>
      </w:r>
    </w:p>
    <w:p>
      <w:pPr>
        <w:spacing w:line="300" w:lineRule="auto"/>
        <w:ind w:firstLine="420" w:firstLineChars="200"/>
        <w:rPr>
          <w:rFonts w:ascii="宋体" w:hAnsi="宋体"/>
          <w:color w:val="auto"/>
          <w:szCs w:val="21"/>
          <w:highlight w:val="none"/>
        </w:rPr>
      </w:pPr>
      <w:r>
        <w:rPr>
          <w:rFonts w:ascii="宋体" w:hAnsi="宋体"/>
          <w:color w:val="auto"/>
          <w:szCs w:val="21"/>
          <w:highlight w:val="none"/>
        </w:rPr>
        <w:t xml:space="preserve">（6） 承包人按照试验条件、试验程序，及5.2.3款第（3）项约定的标准、规范和数据，完成竣工试验。                          </w:t>
      </w:r>
    </w:p>
    <w:p>
      <w:pPr>
        <w:spacing w:line="300" w:lineRule="auto"/>
        <w:ind w:firstLine="420" w:firstLineChars="200"/>
        <w:rPr>
          <w:rFonts w:ascii="宋体" w:hAnsi="宋体"/>
          <w:color w:val="auto"/>
          <w:szCs w:val="21"/>
          <w:highlight w:val="none"/>
        </w:rPr>
      </w:pPr>
      <w:r>
        <w:rPr>
          <w:rFonts w:ascii="宋体" w:hAnsi="宋体"/>
          <w:color w:val="auto"/>
          <w:szCs w:val="21"/>
          <w:highlight w:val="none"/>
        </w:rPr>
        <w:t>8.1.2  发包人的义务</w:t>
      </w:r>
    </w:p>
    <w:p>
      <w:pPr>
        <w:spacing w:line="300" w:lineRule="auto"/>
        <w:ind w:firstLine="420" w:firstLineChars="200"/>
        <w:rPr>
          <w:rFonts w:ascii="宋体" w:hAnsi="宋体"/>
          <w:color w:val="auto"/>
          <w:szCs w:val="21"/>
          <w:highlight w:val="none"/>
        </w:rPr>
      </w:pPr>
      <w:r>
        <w:rPr>
          <w:rFonts w:ascii="宋体" w:hAnsi="宋体"/>
          <w:color w:val="auto"/>
          <w:szCs w:val="21"/>
          <w:highlight w:val="none"/>
        </w:rPr>
        <w:t>（1）发包人应按经发包人确认后的竣工试验方案，提供电力、水、动力及由发包人提供的消耗材料等。提供的电力、水、动力及相关消耗材料等须满足竣工试验对其品质、用量及时间的要求。</w:t>
      </w:r>
    </w:p>
    <w:p>
      <w:pPr>
        <w:spacing w:line="300" w:lineRule="auto"/>
        <w:ind w:firstLine="420" w:firstLineChars="200"/>
        <w:rPr>
          <w:rFonts w:ascii="宋体" w:hAnsi="宋体"/>
          <w:color w:val="auto"/>
          <w:szCs w:val="21"/>
          <w:highlight w:val="none"/>
        </w:rPr>
      </w:pPr>
      <w:r>
        <w:rPr>
          <w:rFonts w:ascii="宋体" w:hAnsi="宋体"/>
          <w:color w:val="auto"/>
          <w:szCs w:val="21"/>
          <w:highlight w:val="none"/>
        </w:rPr>
        <w:t>（2）当合同约定应由承包人提供的竣工试验的消耗材料和备品备件用完或不足时，发包人有义务提供其库存的竣工试验所需的相关消耗材料和备品备件。其中：因承包人原因造成损坏的或承包人提供不足的，发包人有权从合同价格中扣除相应款项；因合理耗损或发包人原因造成的，发包人应免费提供。</w:t>
      </w:r>
    </w:p>
    <w:p>
      <w:pPr>
        <w:spacing w:line="300" w:lineRule="auto"/>
        <w:ind w:firstLine="420" w:firstLineChars="200"/>
        <w:rPr>
          <w:rFonts w:ascii="宋体" w:hAnsi="宋体"/>
          <w:color w:val="auto"/>
          <w:szCs w:val="21"/>
          <w:highlight w:val="none"/>
        </w:rPr>
      </w:pPr>
      <w:r>
        <w:rPr>
          <w:rFonts w:ascii="宋体" w:hAnsi="宋体"/>
          <w:color w:val="auto"/>
          <w:szCs w:val="21"/>
          <w:highlight w:val="none"/>
        </w:rPr>
        <w:t>（3）发包人委托承包人对根据6.1.1款约定由发包人提供的工程物资进行竣工试验的服务费，已包含在合同价格中。发包人在合同实施过程中委托承包人进行竣工试验的，依据13条变更和合同价格调整的约定，作为变更处理。</w:t>
      </w:r>
    </w:p>
    <w:p>
      <w:pPr>
        <w:spacing w:line="300" w:lineRule="auto"/>
        <w:ind w:firstLine="420" w:firstLineChars="200"/>
        <w:rPr>
          <w:rFonts w:ascii="宋体" w:hAnsi="宋体"/>
          <w:color w:val="auto"/>
          <w:szCs w:val="21"/>
          <w:highlight w:val="none"/>
        </w:rPr>
      </w:pPr>
      <w:r>
        <w:rPr>
          <w:rFonts w:ascii="宋体" w:hAnsi="宋体"/>
          <w:color w:val="auto"/>
          <w:szCs w:val="21"/>
          <w:highlight w:val="none"/>
        </w:rPr>
        <w:t>（4）承包人应按发包人提供的试验条件、试验程序对发包人根据本款第（3）项委托给承包人工程物资进行竣工试验，其试验结果须符合5.2.3款第（3）项约定的标准、规范和数据，发包人对该部分的试验结果负责。</w:t>
      </w:r>
    </w:p>
    <w:p>
      <w:pPr>
        <w:spacing w:line="300" w:lineRule="auto"/>
        <w:ind w:firstLine="420" w:firstLineChars="200"/>
        <w:rPr>
          <w:rFonts w:ascii="宋体" w:hAnsi="宋体"/>
          <w:color w:val="auto"/>
          <w:szCs w:val="21"/>
          <w:highlight w:val="none"/>
        </w:rPr>
      </w:pPr>
      <w:r>
        <w:rPr>
          <w:rFonts w:ascii="宋体" w:hAnsi="宋体"/>
          <w:color w:val="auto"/>
          <w:szCs w:val="21"/>
          <w:highlight w:val="none"/>
        </w:rPr>
        <w:t>8.1.3  竣工试验领导机构。竣工试验领导机构负责竣工试验的领导、组织和协调。承包人提供竣工试验所需的人力、机具并负责完成试验。发包人负责组织、协调、提供竣工试验方案中约定的相关条件及竣工试验的验收。</w:t>
      </w:r>
    </w:p>
    <w:p>
      <w:pPr>
        <w:spacing w:before="156" w:beforeLines="50" w:after="156" w:afterLines="50" w:line="300" w:lineRule="auto"/>
        <w:ind w:firstLine="413" w:firstLineChars="196"/>
        <w:rPr>
          <w:rFonts w:ascii="宋体" w:hAnsi="宋体"/>
          <w:b/>
          <w:color w:val="auto"/>
          <w:szCs w:val="21"/>
          <w:highlight w:val="none"/>
        </w:rPr>
      </w:pPr>
      <w:r>
        <w:rPr>
          <w:rFonts w:ascii="宋体" w:hAnsi="宋体"/>
          <w:b/>
          <w:color w:val="auto"/>
          <w:szCs w:val="21"/>
          <w:highlight w:val="none"/>
        </w:rPr>
        <w:t>8.2  竣工试验的检验和验收</w:t>
      </w:r>
    </w:p>
    <w:p>
      <w:pPr>
        <w:spacing w:line="300" w:lineRule="auto"/>
        <w:ind w:firstLine="420" w:firstLineChars="200"/>
        <w:rPr>
          <w:rFonts w:ascii="宋体" w:hAnsi="宋体"/>
          <w:color w:val="auto"/>
          <w:szCs w:val="21"/>
          <w:highlight w:val="none"/>
        </w:rPr>
      </w:pPr>
      <w:r>
        <w:rPr>
          <w:rFonts w:ascii="宋体" w:hAnsi="宋体"/>
          <w:color w:val="auto"/>
          <w:szCs w:val="21"/>
          <w:highlight w:val="none"/>
        </w:rPr>
        <w:t>8.2.1  承包人应根据5.2.3款第（3）项约定的标准、规范、数据，及8.1.1款第（4）项竣工试验方案的第5）子项的约定进行检验和验收。</w:t>
      </w:r>
    </w:p>
    <w:p>
      <w:pPr>
        <w:spacing w:line="300" w:lineRule="auto"/>
        <w:ind w:firstLine="420" w:firstLineChars="200"/>
        <w:rPr>
          <w:rFonts w:ascii="宋体" w:hAnsi="宋体"/>
          <w:color w:val="auto"/>
          <w:szCs w:val="21"/>
          <w:highlight w:val="none"/>
        </w:rPr>
      </w:pPr>
      <w:r>
        <w:rPr>
          <w:rFonts w:ascii="宋体" w:hAnsi="宋体"/>
          <w:color w:val="auto"/>
          <w:szCs w:val="21"/>
          <w:highlight w:val="none"/>
        </w:rPr>
        <w:t>8.2.2  承包人应在竣工试验开始前，依据8.1.1款的约定，对各方提供的试验条件进行检查落实，条件满足的，双方人员应签字确认。因发包人提供的竣工试验条件的延误，给承包人带来窝工损失，由发包人负责。导致竣工试验进度延误的，竣工日期相应顺延；因承包人原因未能按时落实竣工试验条件 ，使竣工试验进度延误时，承包人应按4.1.2款的约定自费赶上。</w:t>
      </w:r>
    </w:p>
    <w:p>
      <w:pPr>
        <w:spacing w:line="300" w:lineRule="auto"/>
        <w:ind w:firstLine="420" w:firstLineChars="200"/>
        <w:rPr>
          <w:rFonts w:ascii="宋体" w:hAnsi="宋体"/>
          <w:color w:val="auto"/>
          <w:szCs w:val="21"/>
          <w:highlight w:val="none"/>
        </w:rPr>
      </w:pPr>
      <w:r>
        <w:rPr>
          <w:rFonts w:ascii="宋体" w:hAnsi="宋体"/>
          <w:color w:val="auto"/>
          <w:szCs w:val="21"/>
          <w:highlight w:val="none"/>
        </w:rPr>
        <w:t>8.2.3  承包人应在某项竣工试验开始36小时前，向发包人和（或）监理人发出通知，通知应包括试验的项目、内容、地点和验收时间。发包人和（或）监理人应在接到通知后的24小时内，以书面形式作出回复，试验合格后，双方应在试验记录及验收表格上签字。</w:t>
      </w:r>
    </w:p>
    <w:p>
      <w:pPr>
        <w:spacing w:line="300" w:lineRule="auto"/>
        <w:ind w:firstLine="420" w:firstLineChars="200"/>
        <w:rPr>
          <w:rFonts w:ascii="宋体" w:hAnsi="宋体"/>
          <w:color w:val="auto"/>
          <w:szCs w:val="21"/>
          <w:highlight w:val="none"/>
        </w:rPr>
      </w:pPr>
      <w:r>
        <w:rPr>
          <w:rFonts w:ascii="宋体" w:hAnsi="宋体"/>
          <w:color w:val="auto"/>
          <w:szCs w:val="21"/>
          <w:highlight w:val="none"/>
        </w:rPr>
        <w:t>发包人和（或）监理人在验收合格的24小时后，不在试验记录和验收表格上签字，视为发包人和（或）监理人已经认可此项验收，承包人可进行隐蔽和（或）紧后作业。</w:t>
      </w:r>
    </w:p>
    <w:p>
      <w:pPr>
        <w:spacing w:line="300" w:lineRule="auto"/>
        <w:ind w:firstLine="420" w:firstLineChars="200"/>
        <w:rPr>
          <w:rFonts w:ascii="宋体" w:hAnsi="宋体"/>
          <w:color w:val="auto"/>
          <w:szCs w:val="21"/>
          <w:highlight w:val="none"/>
        </w:rPr>
      </w:pPr>
      <w:r>
        <w:rPr>
          <w:rFonts w:ascii="宋体" w:hAnsi="宋体"/>
          <w:color w:val="auto"/>
          <w:szCs w:val="21"/>
          <w:highlight w:val="none"/>
        </w:rPr>
        <w:t>验收不合格的，承包人应在发包人和（或）监理人指定的时间内修正，并通知发包人和（或）监理人重新验收。</w:t>
      </w:r>
    </w:p>
    <w:p>
      <w:pPr>
        <w:spacing w:line="300" w:lineRule="auto"/>
        <w:ind w:firstLine="420" w:firstLineChars="200"/>
        <w:rPr>
          <w:rFonts w:ascii="宋体" w:hAnsi="宋体"/>
          <w:color w:val="auto"/>
          <w:szCs w:val="21"/>
          <w:highlight w:val="none"/>
        </w:rPr>
      </w:pPr>
      <w:r>
        <w:rPr>
          <w:rFonts w:ascii="宋体" w:hAnsi="宋体"/>
          <w:color w:val="auto"/>
          <w:szCs w:val="21"/>
          <w:highlight w:val="none"/>
        </w:rPr>
        <w:t>8.2.4  发包人和（或）监理人不能按时参加试验和验收时，应在接到通知后的24小时内以书面形式向承包人提出延期要求，延期不能超过24小时。未能按以上时间提出延期试验，又未能参加试验和验收的，承包人可按通知的试验项目内容自行组织试验，试验结果视为经发包人和（或）监理人认可。</w:t>
      </w:r>
    </w:p>
    <w:p>
      <w:pPr>
        <w:spacing w:line="300" w:lineRule="auto"/>
        <w:ind w:firstLine="420" w:firstLineChars="200"/>
        <w:rPr>
          <w:rFonts w:ascii="宋体" w:hAnsi="宋体"/>
          <w:color w:val="auto"/>
          <w:szCs w:val="21"/>
          <w:highlight w:val="none"/>
        </w:rPr>
      </w:pPr>
      <w:r>
        <w:rPr>
          <w:rFonts w:ascii="宋体" w:hAnsi="宋体"/>
          <w:color w:val="auto"/>
          <w:szCs w:val="21"/>
          <w:highlight w:val="none"/>
        </w:rPr>
        <w:t>8.2.5  不论发包人和（或）监理人是否参加竣工试验和验收，发包人均有权责令重新试验。如因承包人的原因重新试验不合格，承包人应承担由此所增加的费用，造成竣工试验进度延误时，竣工日期不予延长；如重新试验合格，承包人增加的费用，和（或）竣工日期的延长，按照13条变更和合同价格调整的约定，作为变更处理。</w:t>
      </w:r>
    </w:p>
    <w:p>
      <w:pPr>
        <w:spacing w:line="300" w:lineRule="auto"/>
        <w:ind w:firstLine="420" w:firstLineChars="200"/>
        <w:rPr>
          <w:rFonts w:ascii="宋体" w:hAnsi="宋体"/>
          <w:color w:val="auto"/>
          <w:szCs w:val="21"/>
          <w:highlight w:val="none"/>
        </w:rPr>
      </w:pPr>
      <w:r>
        <w:rPr>
          <w:rFonts w:ascii="宋体" w:hAnsi="宋体"/>
          <w:color w:val="auto"/>
          <w:szCs w:val="21"/>
          <w:highlight w:val="none"/>
        </w:rPr>
        <w:t>8.2.6  竣工试验验收日期的约定</w:t>
      </w:r>
    </w:p>
    <w:p>
      <w:pPr>
        <w:spacing w:line="300" w:lineRule="auto"/>
        <w:ind w:firstLine="420" w:firstLineChars="200"/>
        <w:rPr>
          <w:rFonts w:ascii="宋体" w:hAnsi="宋体"/>
          <w:color w:val="auto"/>
          <w:szCs w:val="21"/>
          <w:highlight w:val="none"/>
        </w:rPr>
      </w:pPr>
      <w:r>
        <w:rPr>
          <w:rFonts w:ascii="宋体" w:hAnsi="宋体"/>
          <w:color w:val="auto"/>
          <w:szCs w:val="21"/>
          <w:highlight w:val="none"/>
        </w:rPr>
        <w:t>（1） 某项竣工试验的验收日期和时间：按该项竣工试验通过的日期和时间，作为该项竣工试验验收的日期和时间；</w:t>
      </w:r>
    </w:p>
    <w:p>
      <w:pPr>
        <w:spacing w:line="300" w:lineRule="auto"/>
        <w:ind w:firstLine="420" w:firstLineChars="200"/>
        <w:rPr>
          <w:rFonts w:ascii="宋体" w:hAnsi="宋体"/>
          <w:color w:val="auto"/>
          <w:szCs w:val="21"/>
          <w:highlight w:val="none"/>
        </w:rPr>
      </w:pPr>
      <w:r>
        <w:rPr>
          <w:rFonts w:ascii="宋体" w:hAnsi="宋体"/>
          <w:color w:val="auto"/>
          <w:szCs w:val="21"/>
          <w:highlight w:val="none"/>
        </w:rPr>
        <w:t>（2） 单项工程竣工试验的验收日期和时间：按其中最后一项竣工试验通过的日期和时间，作为该单项工程竣工试验验收的日期和时间；</w:t>
      </w:r>
    </w:p>
    <w:p>
      <w:pPr>
        <w:spacing w:line="300" w:lineRule="auto"/>
        <w:ind w:firstLine="420" w:firstLineChars="200"/>
        <w:rPr>
          <w:rFonts w:ascii="宋体" w:hAnsi="宋体"/>
          <w:color w:val="auto"/>
          <w:szCs w:val="21"/>
          <w:highlight w:val="none"/>
        </w:rPr>
      </w:pPr>
      <w:r>
        <w:rPr>
          <w:rFonts w:ascii="宋体" w:hAnsi="宋体"/>
          <w:color w:val="auto"/>
          <w:szCs w:val="21"/>
          <w:highlight w:val="none"/>
        </w:rPr>
        <w:t>（3） 工程的竣工试验日期和时间。按最后一个单项工程通过竣工试验的日期和时间，作为整个工程竣工试验验收的日期和时间。</w:t>
      </w:r>
    </w:p>
    <w:p>
      <w:pPr>
        <w:spacing w:before="156" w:beforeLines="50" w:after="156" w:afterLines="50" w:line="300" w:lineRule="auto"/>
        <w:ind w:firstLine="413" w:firstLineChars="196"/>
        <w:rPr>
          <w:rFonts w:ascii="宋体" w:hAnsi="宋体"/>
          <w:b/>
          <w:color w:val="auto"/>
          <w:szCs w:val="21"/>
          <w:highlight w:val="none"/>
        </w:rPr>
      </w:pPr>
      <w:r>
        <w:rPr>
          <w:rFonts w:ascii="宋体" w:hAnsi="宋体"/>
          <w:b/>
          <w:color w:val="auto"/>
          <w:szCs w:val="21"/>
          <w:highlight w:val="none"/>
        </w:rPr>
        <w:t>8.3  竣工试验的安全和检查</w:t>
      </w:r>
    </w:p>
    <w:p>
      <w:pPr>
        <w:spacing w:line="300" w:lineRule="auto"/>
        <w:ind w:firstLine="420" w:firstLineChars="200"/>
        <w:rPr>
          <w:rFonts w:ascii="宋体" w:hAnsi="宋体"/>
          <w:color w:val="auto"/>
          <w:szCs w:val="21"/>
          <w:highlight w:val="none"/>
        </w:rPr>
      </w:pPr>
      <w:r>
        <w:rPr>
          <w:rFonts w:ascii="宋体" w:hAnsi="宋体"/>
          <w:color w:val="auto"/>
          <w:szCs w:val="21"/>
          <w:highlight w:val="none"/>
        </w:rPr>
        <w:t>8.3.1  承包人应按7.8款职业健康、安全和环境保护的约定，并结合竣工试验的通电、通水、通气、试压、试漏、吹扫、转动等特点，对触电危险、易燃易爆、高温高压、压力试验、机械设备运转等制定竣工试验的安全程序、安全制度、防火措施、事故报告制度及事故处理方案在内的安全操作方案，并将该方案提交给发包人确认，承包人应按照发包人提出的合理建议、意见和要求，自费对方案修正，并经发包人确认后实施。发包人的确认并不能减轻或免除承包人的合同责任。承包人为竣工试验提供安全防护措施和防护用品的费用已包含在合同价格中。</w:t>
      </w:r>
    </w:p>
    <w:p>
      <w:pPr>
        <w:spacing w:line="300" w:lineRule="auto"/>
        <w:ind w:firstLine="420" w:firstLineChars="200"/>
        <w:rPr>
          <w:rFonts w:ascii="宋体" w:hAnsi="宋体"/>
          <w:color w:val="auto"/>
          <w:szCs w:val="21"/>
          <w:highlight w:val="none"/>
        </w:rPr>
      </w:pPr>
      <w:r>
        <w:rPr>
          <w:rFonts w:ascii="宋体" w:hAnsi="宋体"/>
          <w:color w:val="auto"/>
          <w:szCs w:val="21"/>
          <w:highlight w:val="none"/>
        </w:rPr>
        <w:t>8.3.2  承包人应对其人员进行竣工试验的安全培训，并对竣工试验的安全操作程序、场地环境、操作制度、应急处理措施等进行交底。</w:t>
      </w:r>
    </w:p>
    <w:p>
      <w:pPr>
        <w:spacing w:line="300" w:lineRule="auto"/>
        <w:ind w:firstLine="420" w:firstLineChars="200"/>
        <w:rPr>
          <w:rFonts w:ascii="宋体" w:hAnsi="宋体"/>
          <w:color w:val="auto"/>
          <w:szCs w:val="21"/>
          <w:highlight w:val="none"/>
        </w:rPr>
      </w:pPr>
      <w:r>
        <w:rPr>
          <w:rFonts w:ascii="宋体" w:hAnsi="宋体"/>
          <w:color w:val="auto"/>
          <w:szCs w:val="21"/>
          <w:highlight w:val="none"/>
        </w:rPr>
        <w:t>8.3.3  发包人和（或）监理人有义务按照经确认的竣工试验安全方案中的安全规程、安全制度、安全措施等，对其管理人员和操作维修人员进行竣工试验的安全教育，自费提供参加监督、检查人员的防护设施。</w:t>
      </w:r>
    </w:p>
    <w:p>
      <w:pPr>
        <w:spacing w:line="300" w:lineRule="auto"/>
        <w:ind w:firstLine="420" w:firstLineChars="200"/>
        <w:rPr>
          <w:rFonts w:ascii="宋体" w:hAnsi="宋体"/>
          <w:color w:val="auto"/>
          <w:szCs w:val="21"/>
          <w:highlight w:val="none"/>
        </w:rPr>
      </w:pPr>
      <w:r>
        <w:rPr>
          <w:rFonts w:ascii="宋体" w:hAnsi="宋体"/>
          <w:color w:val="auto"/>
          <w:szCs w:val="21"/>
          <w:highlight w:val="none"/>
        </w:rPr>
        <w:t>8.3.4   发包人和（或）监理人有权监督、检查承包人在竣工试验安全方案中列出的工作及落实情况，有权提出安全整改及发出整顿指令。承包人有义务按照指令进行整改、整顿，所增加的费用由承包人承担。因此造成工程竣工试验进度计划延误时，承包人应遵照4.1.2款的约定自费赶上。</w:t>
      </w:r>
    </w:p>
    <w:p>
      <w:pPr>
        <w:spacing w:line="300" w:lineRule="auto"/>
        <w:ind w:firstLine="420" w:firstLineChars="200"/>
        <w:rPr>
          <w:rFonts w:ascii="宋体" w:hAnsi="宋体"/>
          <w:color w:val="auto"/>
          <w:szCs w:val="21"/>
          <w:highlight w:val="none"/>
        </w:rPr>
      </w:pPr>
      <w:r>
        <w:rPr>
          <w:rFonts w:ascii="宋体" w:hAnsi="宋体"/>
          <w:color w:val="auto"/>
          <w:szCs w:val="21"/>
          <w:highlight w:val="none"/>
        </w:rPr>
        <w:t>8.3.5  按8.1.3款竣工试验领导机构的决定，双方密切配合开展竣工试验的组织、协调和实施工作，防止人身伤害和事故发生。</w:t>
      </w:r>
    </w:p>
    <w:p>
      <w:pPr>
        <w:spacing w:line="300" w:lineRule="auto"/>
        <w:ind w:firstLine="420" w:firstLineChars="200"/>
        <w:rPr>
          <w:rFonts w:ascii="宋体" w:hAnsi="宋体"/>
          <w:color w:val="auto"/>
          <w:szCs w:val="21"/>
          <w:highlight w:val="none"/>
        </w:rPr>
      </w:pPr>
      <w:r>
        <w:rPr>
          <w:rFonts w:ascii="宋体" w:hAnsi="宋体"/>
          <w:color w:val="auto"/>
          <w:szCs w:val="21"/>
          <w:highlight w:val="none"/>
        </w:rPr>
        <w:t>因发包人的原因造成的事故，由发包人承担相应责任、费用和赔偿。造成工程竣工试验进度计划延误时，竣工日期相应顺延。</w:t>
      </w:r>
    </w:p>
    <w:p>
      <w:pPr>
        <w:spacing w:line="300" w:lineRule="auto"/>
        <w:ind w:firstLine="420" w:firstLineChars="200"/>
        <w:rPr>
          <w:rFonts w:ascii="宋体" w:hAnsi="宋体"/>
          <w:color w:val="auto"/>
          <w:szCs w:val="21"/>
          <w:highlight w:val="none"/>
        </w:rPr>
      </w:pPr>
      <w:r>
        <w:rPr>
          <w:rFonts w:ascii="宋体" w:hAnsi="宋体"/>
          <w:color w:val="auto"/>
          <w:szCs w:val="21"/>
          <w:highlight w:val="none"/>
        </w:rPr>
        <w:t>因承包人的原因造成的事故，由承包人承担相应责任、费用和赔偿。造成工程竣工试验进度计划延误时，承包人应按4.1.2款的约定自费赶上。</w:t>
      </w:r>
    </w:p>
    <w:p>
      <w:pPr>
        <w:spacing w:before="156" w:beforeLines="50" w:after="156" w:afterLines="50" w:line="300" w:lineRule="auto"/>
        <w:ind w:firstLine="422" w:firstLineChars="200"/>
        <w:rPr>
          <w:rFonts w:ascii="宋体" w:hAnsi="宋体"/>
          <w:b/>
          <w:color w:val="auto"/>
          <w:szCs w:val="21"/>
          <w:highlight w:val="none"/>
        </w:rPr>
      </w:pPr>
      <w:r>
        <w:rPr>
          <w:rFonts w:ascii="宋体" w:hAnsi="宋体"/>
          <w:b/>
          <w:color w:val="auto"/>
          <w:szCs w:val="21"/>
          <w:highlight w:val="none"/>
        </w:rPr>
        <w:t>8.4  延误的竣工试验</w:t>
      </w:r>
    </w:p>
    <w:p>
      <w:pPr>
        <w:spacing w:line="300" w:lineRule="auto"/>
        <w:ind w:firstLine="420" w:firstLineChars="200"/>
        <w:rPr>
          <w:rFonts w:ascii="宋体" w:hAnsi="宋体"/>
          <w:color w:val="auto"/>
          <w:szCs w:val="21"/>
          <w:highlight w:val="none"/>
        </w:rPr>
      </w:pPr>
      <w:r>
        <w:rPr>
          <w:rFonts w:ascii="宋体" w:hAnsi="宋体"/>
          <w:color w:val="auto"/>
          <w:szCs w:val="21"/>
          <w:highlight w:val="none"/>
        </w:rPr>
        <w:t>8.4.1  因承包人的原因使某项、某单项工程落后于竣工试验进度计划的，承包人按4.1.2款的约定自费采取措施，赶上竣工试验进度计划。</w:t>
      </w:r>
    </w:p>
    <w:p>
      <w:pPr>
        <w:spacing w:line="300" w:lineRule="auto"/>
        <w:ind w:firstLine="420" w:firstLineChars="200"/>
        <w:rPr>
          <w:rFonts w:ascii="宋体" w:hAnsi="宋体"/>
          <w:color w:val="auto"/>
          <w:szCs w:val="21"/>
          <w:highlight w:val="none"/>
        </w:rPr>
      </w:pPr>
      <w:r>
        <w:rPr>
          <w:rFonts w:ascii="宋体" w:hAnsi="宋体"/>
          <w:color w:val="auto"/>
          <w:szCs w:val="21"/>
          <w:highlight w:val="none"/>
        </w:rPr>
        <w:t>8.4.2  因承包人的原因造成竣工试验延误，致使合同约定的工程竣工日期延误时，承包人应根据4.5款误期损害赔偿的约定，承包误期赔偿责任。</w:t>
      </w:r>
    </w:p>
    <w:p>
      <w:pPr>
        <w:spacing w:line="300" w:lineRule="auto"/>
        <w:ind w:firstLine="420" w:firstLineChars="200"/>
        <w:rPr>
          <w:rFonts w:ascii="宋体" w:hAnsi="宋体"/>
          <w:color w:val="auto"/>
          <w:szCs w:val="21"/>
          <w:highlight w:val="none"/>
        </w:rPr>
      </w:pPr>
      <w:r>
        <w:rPr>
          <w:rFonts w:ascii="宋体" w:hAnsi="宋体"/>
          <w:color w:val="auto"/>
          <w:szCs w:val="21"/>
          <w:highlight w:val="none"/>
        </w:rPr>
        <w:t>8.4.3  承包人无正当理由，未能按竣工试验领导机构决定的竣工试验进度计划进行某项竣工试验，且在收到试验领导机构发出的通知后的10日内仍未进行该项竣工试验时，造成竣工日期延误时，由承包人承担误期赔偿责任。且发包人有权自行组织该项竣工试验，由此产生的费用由承包人承担。</w:t>
      </w:r>
    </w:p>
    <w:p>
      <w:pPr>
        <w:spacing w:line="300" w:lineRule="auto"/>
        <w:ind w:firstLine="420" w:firstLineChars="200"/>
        <w:rPr>
          <w:rFonts w:ascii="宋体" w:hAnsi="宋体"/>
          <w:color w:val="auto"/>
          <w:szCs w:val="21"/>
          <w:highlight w:val="none"/>
        </w:rPr>
      </w:pPr>
      <w:r>
        <w:rPr>
          <w:rFonts w:ascii="宋体" w:hAnsi="宋体"/>
          <w:color w:val="auto"/>
          <w:szCs w:val="21"/>
          <w:highlight w:val="none"/>
        </w:rPr>
        <w:t>8.4.4  发包人未能根据8.1.2款的约定履行其义务，导致承包人竣工试验延误，发包人应承担承包人因此发生的合理费用，竣工试验进度计划延误时，竣工日期相应顺延。</w:t>
      </w:r>
    </w:p>
    <w:p>
      <w:pPr>
        <w:spacing w:before="156" w:beforeLines="50" w:after="156" w:afterLines="50" w:line="300" w:lineRule="auto"/>
        <w:ind w:firstLine="413" w:firstLineChars="196"/>
        <w:rPr>
          <w:rFonts w:ascii="宋体" w:hAnsi="宋体"/>
          <w:b/>
          <w:color w:val="auto"/>
          <w:szCs w:val="21"/>
          <w:highlight w:val="none"/>
        </w:rPr>
      </w:pPr>
      <w:r>
        <w:rPr>
          <w:rFonts w:ascii="宋体" w:hAnsi="宋体"/>
          <w:b/>
          <w:color w:val="auto"/>
          <w:szCs w:val="21"/>
          <w:highlight w:val="none"/>
        </w:rPr>
        <w:t>8.5  重新试验和验收</w:t>
      </w:r>
    </w:p>
    <w:p>
      <w:pPr>
        <w:spacing w:line="300" w:lineRule="auto"/>
        <w:ind w:firstLine="420" w:firstLineChars="200"/>
        <w:rPr>
          <w:rFonts w:ascii="宋体" w:hAnsi="宋体"/>
          <w:color w:val="auto"/>
          <w:szCs w:val="21"/>
          <w:highlight w:val="none"/>
        </w:rPr>
      </w:pPr>
      <w:r>
        <w:rPr>
          <w:rFonts w:ascii="宋体" w:hAnsi="宋体"/>
          <w:color w:val="auto"/>
          <w:szCs w:val="21"/>
          <w:highlight w:val="none"/>
        </w:rPr>
        <w:t>8.5.1  承包人未能通过相关的竣工试验，可依据8.1.1款第（6）项的约定重新进行此项试验，并按8.2款的约定进行检验和验收。</w:t>
      </w:r>
    </w:p>
    <w:p>
      <w:pPr>
        <w:spacing w:line="300" w:lineRule="auto"/>
        <w:ind w:firstLine="420" w:firstLineChars="200"/>
        <w:rPr>
          <w:rFonts w:ascii="宋体" w:hAnsi="宋体"/>
          <w:color w:val="auto"/>
          <w:szCs w:val="21"/>
          <w:highlight w:val="none"/>
        </w:rPr>
      </w:pPr>
      <w:r>
        <w:rPr>
          <w:rFonts w:ascii="宋体" w:hAnsi="宋体"/>
          <w:color w:val="auto"/>
          <w:szCs w:val="21"/>
          <w:highlight w:val="none"/>
        </w:rPr>
        <w:t>8.5.2  不论发包人和（或）监理人是否参加竣工试验和验收，承包人未能通过的竣工试验，发包人均有权通知承包人再次按8.1.1款第（6）项的约定进行此项竣工试验，并按8.2款的约定进行检验和验收。</w:t>
      </w:r>
    </w:p>
    <w:p>
      <w:pPr>
        <w:spacing w:before="156" w:beforeLines="50" w:after="156" w:afterLines="50" w:line="300" w:lineRule="auto"/>
        <w:ind w:firstLine="422" w:firstLineChars="200"/>
        <w:rPr>
          <w:rFonts w:ascii="宋体" w:hAnsi="宋体"/>
          <w:b/>
          <w:color w:val="auto"/>
          <w:szCs w:val="21"/>
          <w:highlight w:val="none"/>
        </w:rPr>
      </w:pPr>
      <w:r>
        <w:rPr>
          <w:rFonts w:ascii="宋体" w:hAnsi="宋体"/>
          <w:b/>
          <w:color w:val="auto"/>
          <w:szCs w:val="21"/>
          <w:highlight w:val="none"/>
        </w:rPr>
        <w:t>8.6  未能通过竣工试验</w:t>
      </w:r>
    </w:p>
    <w:p>
      <w:pPr>
        <w:spacing w:line="300" w:lineRule="auto"/>
        <w:ind w:firstLine="420" w:firstLineChars="200"/>
        <w:rPr>
          <w:rFonts w:ascii="宋体" w:hAnsi="宋体"/>
          <w:color w:val="auto"/>
          <w:szCs w:val="21"/>
          <w:highlight w:val="none"/>
        </w:rPr>
      </w:pPr>
      <w:r>
        <w:rPr>
          <w:rFonts w:ascii="宋体" w:hAnsi="宋体"/>
          <w:color w:val="auto"/>
          <w:szCs w:val="21"/>
          <w:highlight w:val="none"/>
        </w:rPr>
        <w:t>8.6.1 因发包人的下述原因导致竣工试验未能通过的，承包人进行竣工试验的费用由发包人承担，使竣工试验进度计划延误时，竣工日期相应延长：</w:t>
      </w:r>
    </w:p>
    <w:p>
      <w:pPr>
        <w:spacing w:line="300" w:lineRule="auto"/>
        <w:ind w:firstLine="420" w:firstLineChars="200"/>
        <w:rPr>
          <w:rFonts w:ascii="宋体" w:hAnsi="宋体"/>
          <w:color w:val="auto"/>
          <w:szCs w:val="21"/>
          <w:highlight w:val="none"/>
        </w:rPr>
      </w:pPr>
      <w:r>
        <w:rPr>
          <w:rFonts w:ascii="宋体" w:hAnsi="宋体"/>
          <w:color w:val="auto"/>
          <w:szCs w:val="21"/>
          <w:highlight w:val="none"/>
        </w:rPr>
        <w:t>（1） 发包人未能按确认的竣工试验方案中的技术参数、时间及数量提供电力、动力、水等试验条件，导致竣工试验未能通过；</w:t>
      </w:r>
    </w:p>
    <w:p>
      <w:pPr>
        <w:spacing w:line="300" w:lineRule="auto"/>
        <w:ind w:firstLine="420" w:firstLineChars="200"/>
        <w:rPr>
          <w:rFonts w:ascii="宋体" w:hAnsi="宋体"/>
          <w:color w:val="auto"/>
          <w:szCs w:val="21"/>
          <w:highlight w:val="none"/>
        </w:rPr>
      </w:pPr>
      <w:r>
        <w:rPr>
          <w:rFonts w:ascii="宋体" w:hAnsi="宋体"/>
          <w:color w:val="auto"/>
          <w:szCs w:val="21"/>
          <w:highlight w:val="none"/>
        </w:rPr>
        <w:t>（2） 发包人指令承包人按发包人的竣工试验条件、试验程序和试验方法进行试验和竣工试验，导致该项竣工试验未能通过；</w:t>
      </w:r>
    </w:p>
    <w:p>
      <w:pPr>
        <w:spacing w:line="300" w:lineRule="auto"/>
        <w:ind w:firstLine="420" w:firstLineChars="200"/>
        <w:rPr>
          <w:rFonts w:ascii="宋体" w:hAnsi="宋体"/>
          <w:color w:val="auto"/>
          <w:szCs w:val="21"/>
          <w:highlight w:val="none"/>
        </w:rPr>
      </w:pPr>
      <w:r>
        <w:rPr>
          <w:rFonts w:ascii="宋体" w:hAnsi="宋体"/>
          <w:color w:val="auto"/>
          <w:szCs w:val="21"/>
          <w:highlight w:val="none"/>
        </w:rPr>
        <w:t>（3） 发包人对承包人竣工试验的干扰，导致竣工试验未能通过；</w:t>
      </w:r>
    </w:p>
    <w:p>
      <w:pPr>
        <w:spacing w:line="300" w:lineRule="auto"/>
        <w:ind w:firstLine="420" w:firstLineChars="200"/>
        <w:rPr>
          <w:rFonts w:ascii="宋体" w:hAnsi="宋体"/>
          <w:color w:val="auto"/>
          <w:szCs w:val="21"/>
          <w:highlight w:val="none"/>
        </w:rPr>
      </w:pPr>
      <w:r>
        <w:rPr>
          <w:rFonts w:ascii="宋体" w:hAnsi="宋体"/>
          <w:color w:val="auto"/>
          <w:szCs w:val="21"/>
          <w:highlight w:val="none"/>
        </w:rPr>
        <w:t>（4） 因发包人的其它原因，导致竣工试验未能通过。</w:t>
      </w:r>
    </w:p>
    <w:p>
      <w:pPr>
        <w:spacing w:line="300" w:lineRule="auto"/>
        <w:ind w:firstLine="420" w:firstLineChars="200"/>
        <w:rPr>
          <w:rFonts w:ascii="宋体" w:hAnsi="宋体"/>
          <w:color w:val="auto"/>
          <w:szCs w:val="21"/>
          <w:highlight w:val="none"/>
        </w:rPr>
      </w:pPr>
      <w:r>
        <w:rPr>
          <w:rFonts w:ascii="宋体" w:hAnsi="宋体"/>
          <w:color w:val="auto"/>
          <w:szCs w:val="21"/>
          <w:highlight w:val="none"/>
        </w:rPr>
        <w:t>8.6.2 因承包人原因未能通过竣工试验，该项竣工试验允许再进行，但再进行最多为两次，两次试验后仍不符合验收条件的，相关费用、竣工日期及相关事项，下述约定处理：</w:t>
      </w:r>
    </w:p>
    <w:p>
      <w:pPr>
        <w:spacing w:line="300" w:lineRule="auto"/>
        <w:ind w:firstLine="420" w:firstLineChars="200"/>
        <w:rPr>
          <w:rFonts w:ascii="宋体" w:hAnsi="宋体"/>
          <w:color w:val="auto"/>
          <w:szCs w:val="21"/>
          <w:highlight w:val="none"/>
        </w:rPr>
      </w:pPr>
      <w:r>
        <w:rPr>
          <w:rFonts w:ascii="宋体" w:hAnsi="宋体"/>
          <w:color w:val="auto"/>
          <w:szCs w:val="21"/>
          <w:highlight w:val="none"/>
        </w:rPr>
        <w:t>（1）该项竣工试验未能通过，对该项操作或使用不存在实质影响，承包人自费修复。无法修复时，发包人有权扣减该部分的相应付款，视为通过；</w:t>
      </w:r>
    </w:p>
    <w:p>
      <w:pPr>
        <w:spacing w:line="300" w:lineRule="auto"/>
        <w:ind w:firstLine="420" w:firstLineChars="200"/>
        <w:rPr>
          <w:rFonts w:ascii="宋体" w:hAnsi="宋体"/>
          <w:color w:val="auto"/>
          <w:szCs w:val="21"/>
          <w:highlight w:val="none"/>
        </w:rPr>
      </w:pPr>
      <w:r>
        <w:rPr>
          <w:rFonts w:ascii="宋体" w:hAnsi="宋体"/>
          <w:color w:val="auto"/>
          <w:szCs w:val="21"/>
          <w:highlight w:val="none"/>
        </w:rPr>
        <w:t>（2） 该项竣工试验未能通过，对该单项工程未产生实质性操作和使用影响，发包人可相应扣减该单项工程的合同价款，可视为通过；若使竣工日期延误的，承包人承担误期损害赔偿责任。</w:t>
      </w:r>
    </w:p>
    <w:p>
      <w:pPr>
        <w:spacing w:line="300" w:lineRule="auto"/>
        <w:ind w:firstLine="420" w:firstLineChars="200"/>
        <w:rPr>
          <w:rFonts w:ascii="宋体" w:hAnsi="宋体"/>
          <w:color w:val="auto"/>
          <w:szCs w:val="21"/>
          <w:highlight w:val="none"/>
        </w:rPr>
      </w:pPr>
      <w:r>
        <w:rPr>
          <w:rFonts w:ascii="宋体" w:hAnsi="宋体"/>
          <w:color w:val="auto"/>
          <w:szCs w:val="21"/>
          <w:highlight w:val="none"/>
        </w:rPr>
        <w:t>（3）该项竣工试验未能通过，对操作或使用有实质性影响，发包人有权指令承包人更换相关部分，并进行竣工试验。发包人因此增加的费用，由承包人承担。使竣工日期延误时，承包人承担误期损害赔偿责任。</w:t>
      </w:r>
    </w:p>
    <w:p>
      <w:pPr>
        <w:spacing w:line="300" w:lineRule="auto"/>
        <w:ind w:firstLine="420" w:firstLineChars="200"/>
        <w:rPr>
          <w:rFonts w:ascii="宋体" w:hAnsi="宋体"/>
          <w:color w:val="auto"/>
          <w:szCs w:val="21"/>
          <w:highlight w:val="none"/>
        </w:rPr>
      </w:pPr>
      <w:r>
        <w:rPr>
          <w:rFonts w:ascii="宋体" w:hAnsi="宋体"/>
          <w:color w:val="auto"/>
          <w:szCs w:val="21"/>
          <w:highlight w:val="none"/>
        </w:rPr>
        <w:t>（4） 未能通过竣工试验，使单项工程的任何主要部分丧失了生产、使用功能时，发包人有权指令承包人更换相关部分，承包人自行承担因此增加的费用；竣工日期延误，并应承担误期损害赔偿责任。发包人因此增加费用的，由承包人负责赔偿。</w:t>
      </w:r>
    </w:p>
    <w:p>
      <w:pPr>
        <w:spacing w:line="300" w:lineRule="auto"/>
        <w:ind w:firstLine="420" w:firstLineChars="200"/>
        <w:rPr>
          <w:rFonts w:ascii="宋体" w:hAnsi="宋体"/>
          <w:color w:val="auto"/>
          <w:szCs w:val="21"/>
          <w:highlight w:val="none"/>
        </w:rPr>
      </w:pPr>
      <w:r>
        <w:rPr>
          <w:rFonts w:ascii="宋体" w:hAnsi="宋体"/>
          <w:color w:val="auto"/>
          <w:szCs w:val="21"/>
          <w:highlight w:val="none"/>
        </w:rPr>
        <w:t xml:space="preserve">（5） 未能通过的工试验，使整个工程丧失了生产和（或）使用功能时，发包人有权指令承包人重新设计、重置相关部分，承包人承担因此增加的费用（包括发包人的费用）；竣工日期延误的，并应承担误期损害赔偿责任。发包人有权根据16.2.1款发包人的索赔约定，向承包人提出索赔，或根据18.1.2款第（7）项的约定，解除合同。 </w:t>
      </w:r>
    </w:p>
    <w:p>
      <w:pPr>
        <w:spacing w:before="156" w:beforeLines="50" w:after="156" w:afterLines="50" w:line="300" w:lineRule="auto"/>
        <w:ind w:firstLine="413" w:firstLineChars="196"/>
        <w:rPr>
          <w:rFonts w:ascii="宋体" w:hAnsi="宋体"/>
          <w:b/>
          <w:color w:val="auto"/>
          <w:szCs w:val="21"/>
          <w:highlight w:val="none"/>
        </w:rPr>
      </w:pPr>
      <w:r>
        <w:rPr>
          <w:rFonts w:ascii="宋体" w:hAnsi="宋体"/>
          <w:b/>
          <w:color w:val="auto"/>
          <w:szCs w:val="21"/>
          <w:highlight w:val="none"/>
        </w:rPr>
        <w:t>8.7  竣工试验结果的争议</w:t>
      </w:r>
    </w:p>
    <w:p>
      <w:pPr>
        <w:spacing w:line="300" w:lineRule="auto"/>
        <w:ind w:firstLine="420" w:firstLineChars="200"/>
        <w:rPr>
          <w:rFonts w:ascii="宋体" w:hAnsi="宋体"/>
          <w:color w:val="auto"/>
          <w:szCs w:val="21"/>
          <w:highlight w:val="none"/>
        </w:rPr>
      </w:pPr>
      <w:r>
        <w:rPr>
          <w:rFonts w:ascii="宋体" w:hAnsi="宋体"/>
          <w:color w:val="auto"/>
          <w:szCs w:val="21"/>
          <w:highlight w:val="none"/>
        </w:rPr>
        <w:t>8.7.1  协商解决。双方对竣工试验结果有争议的，应首先通过协商解决。</w:t>
      </w:r>
    </w:p>
    <w:p>
      <w:pPr>
        <w:spacing w:line="300" w:lineRule="auto"/>
        <w:ind w:firstLine="420" w:firstLineChars="200"/>
        <w:rPr>
          <w:rFonts w:ascii="宋体" w:hAnsi="宋体"/>
          <w:color w:val="auto"/>
          <w:szCs w:val="21"/>
          <w:highlight w:val="none"/>
        </w:rPr>
      </w:pPr>
      <w:r>
        <w:rPr>
          <w:rFonts w:ascii="宋体" w:hAnsi="宋体"/>
          <w:color w:val="auto"/>
          <w:szCs w:val="21"/>
          <w:highlight w:val="none"/>
        </w:rPr>
        <w:t>8.7.2  委托鉴定机构。双方经协商，对竣工试验结果仍有争议的，共同委托一个具有相应资格的检测机构进行鉴定。经检测鉴定后，按下述约定处理：</w:t>
      </w:r>
    </w:p>
    <w:p>
      <w:pPr>
        <w:spacing w:line="300" w:lineRule="auto"/>
        <w:ind w:firstLine="420" w:firstLineChars="200"/>
        <w:rPr>
          <w:rFonts w:ascii="宋体" w:hAnsi="宋体"/>
          <w:color w:val="auto"/>
          <w:szCs w:val="21"/>
          <w:highlight w:val="none"/>
        </w:rPr>
      </w:pPr>
      <w:r>
        <w:rPr>
          <w:rFonts w:ascii="宋体" w:hAnsi="宋体"/>
          <w:color w:val="auto"/>
          <w:szCs w:val="21"/>
          <w:highlight w:val="none"/>
        </w:rPr>
        <w:t>（1）责任方为承包人时，所需的鉴定费用及因此造成发包人增加的合理费用由承包人承担，竣工日期不予延长；</w:t>
      </w:r>
    </w:p>
    <w:p>
      <w:pPr>
        <w:spacing w:line="300" w:lineRule="auto"/>
        <w:ind w:firstLine="420" w:firstLineChars="200"/>
        <w:rPr>
          <w:rFonts w:ascii="宋体" w:hAnsi="宋体"/>
          <w:color w:val="auto"/>
          <w:szCs w:val="21"/>
          <w:highlight w:val="none"/>
        </w:rPr>
      </w:pPr>
      <w:r>
        <w:rPr>
          <w:rFonts w:ascii="宋体" w:hAnsi="宋体"/>
          <w:color w:val="auto"/>
          <w:szCs w:val="21"/>
          <w:highlight w:val="none"/>
        </w:rPr>
        <w:t>（2）责任方为发包人时，所需的鉴定费用及因此造成承包人增加的合理费用由发包人承担，竣工日期相应顺延。</w:t>
      </w:r>
    </w:p>
    <w:p>
      <w:pPr>
        <w:spacing w:line="300" w:lineRule="auto"/>
        <w:ind w:firstLine="420" w:firstLineChars="200"/>
        <w:rPr>
          <w:rFonts w:ascii="宋体" w:hAnsi="宋体"/>
          <w:color w:val="auto"/>
          <w:szCs w:val="21"/>
          <w:highlight w:val="none"/>
        </w:rPr>
      </w:pPr>
      <w:r>
        <w:rPr>
          <w:rFonts w:ascii="宋体" w:hAnsi="宋体"/>
          <w:color w:val="auto"/>
          <w:szCs w:val="21"/>
          <w:highlight w:val="none"/>
        </w:rPr>
        <w:t>（3）双方均有责任时，根据责任大小协商分担费用，并按竣工试验计划的延误情况协商竣工日期延长。</w:t>
      </w:r>
    </w:p>
    <w:p>
      <w:pPr>
        <w:spacing w:line="300" w:lineRule="auto"/>
        <w:ind w:firstLine="420" w:firstLineChars="200"/>
        <w:rPr>
          <w:rFonts w:ascii="宋体" w:hAnsi="宋体"/>
          <w:color w:val="auto"/>
          <w:szCs w:val="21"/>
          <w:highlight w:val="none"/>
        </w:rPr>
      </w:pPr>
      <w:r>
        <w:rPr>
          <w:rFonts w:ascii="宋体" w:hAnsi="宋体"/>
          <w:color w:val="auto"/>
          <w:szCs w:val="21"/>
          <w:highlight w:val="none"/>
        </w:rPr>
        <w:t>8.7.3  当双方对检测机构的鉴定结果有争议，依据16.3款争议和裁决的约定解决。</w:t>
      </w:r>
    </w:p>
    <w:p>
      <w:pPr>
        <w:spacing w:before="156" w:beforeLines="50" w:after="156" w:afterLines="50" w:line="300" w:lineRule="auto"/>
        <w:ind w:firstLine="413" w:firstLineChars="196"/>
        <w:rPr>
          <w:rFonts w:ascii="宋体" w:hAnsi="宋体"/>
          <w:b/>
          <w:color w:val="auto"/>
          <w:szCs w:val="21"/>
          <w:highlight w:val="none"/>
        </w:rPr>
      </w:pPr>
      <w:r>
        <w:rPr>
          <w:rFonts w:ascii="宋体" w:hAnsi="宋体"/>
          <w:b/>
          <w:color w:val="auto"/>
          <w:szCs w:val="21"/>
          <w:highlight w:val="none"/>
        </w:rPr>
        <w:t>第9条  工程接收</w:t>
      </w:r>
    </w:p>
    <w:p>
      <w:pPr>
        <w:spacing w:before="156" w:beforeLines="50" w:after="156" w:afterLines="50" w:line="300" w:lineRule="auto"/>
        <w:ind w:firstLine="422" w:firstLineChars="200"/>
        <w:rPr>
          <w:rFonts w:ascii="宋体" w:hAnsi="宋体"/>
          <w:b/>
          <w:color w:val="auto"/>
          <w:szCs w:val="21"/>
          <w:highlight w:val="none"/>
        </w:rPr>
      </w:pPr>
      <w:r>
        <w:rPr>
          <w:rFonts w:ascii="宋体" w:hAnsi="宋体"/>
          <w:b/>
          <w:color w:val="auto"/>
          <w:szCs w:val="21"/>
          <w:highlight w:val="none"/>
        </w:rPr>
        <w:t>9.1  工程接收</w:t>
      </w:r>
    </w:p>
    <w:p>
      <w:pPr>
        <w:spacing w:line="300" w:lineRule="auto"/>
        <w:ind w:firstLine="420" w:firstLineChars="200"/>
        <w:rPr>
          <w:rFonts w:ascii="宋体" w:hAnsi="宋体"/>
          <w:color w:val="auto"/>
          <w:szCs w:val="21"/>
          <w:highlight w:val="none"/>
        </w:rPr>
      </w:pPr>
      <w:r>
        <w:rPr>
          <w:rFonts w:ascii="宋体" w:hAnsi="宋体"/>
          <w:color w:val="auto"/>
          <w:szCs w:val="21"/>
          <w:highlight w:val="none"/>
        </w:rPr>
        <w:t>9.1.1  按单项工程和（或）按工程接收。根据工程项目的具体情况和特点，在专用条款约定按单项工程和（或）按工程进行接收。</w:t>
      </w:r>
    </w:p>
    <w:p>
      <w:pPr>
        <w:spacing w:line="300" w:lineRule="auto"/>
        <w:ind w:firstLine="420" w:firstLineChars="200"/>
        <w:rPr>
          <w:rFonts w:ascii="宋体" w:hAnsi="宋体"/>
          <w:color w:val="auto"/>
          <w:szCs w:val="21"/>
          <w:highlight w:val="none"/>
        </w:rPr>
      </w:pPr>
      <w:r>
        <w:rPr>
          <w:rFonts w:ascii="宋体" w:hAnsi="宋体"/>
          <w:color w:val="auto"/>
          <w:szCs w:val="21"/>
          <w:highlight w:val="none"/>
        </w:rPr>
        <w:t>（1）根据第10条竣工后试验的约定，由承包人负责指导发包人进行单项工程和（或）工程竣工后试验，并承担试运行考核责任的。在专用条款中约定接收单项工程的先后顺序及时间安排，或接收工程的时间安排。</w:t>
      </w:r>
    </w:p>
    <w:p>
      <w:pPr>
        <w:spacing w:line="300" w:lineRule="auto"/>
        <w:ind w:firstLine="420" w:firstLineChars="200"/>
        <w:rPr>
          <w:rFonts w:ascii="宋体" w:hAnsi="宋体"/>
          <w:color w:val="auto"/>
          <w:szCs w:val="21"/>
          <w:highlight w:val="none"/>
        </w:rPr>
      </w:pPr>
      <w:r>
        <w:rPr>
          <w:rFonts w:ascii="宋体" w:hAnsi="宋体"/>
          <w:color w:val="auto"/>
          <w:szCs w:val="21"/>
          <w:highlight w:val="none"/>
        </w:rPr>
        <w:t>由发包人负责单项工程和（或）工程竣工后试验及其试运行考核责任的，在专用条款中约定接收工程的日期或接收单项工程的先后顺序及时间安排。</w:t>
      </w:r>
    </w:p>
    <w:p>
      <w:pPr>
        <w:spacing w:line="300" w:lineRule="auto"/>
        <w:ind w:firstLine="420" w:firstLineChars="200"/>
        <w:rPr>
          <w:rFonts w:ascii="宋体" w:hAnsi="宋体"/>
          <w:color w:val="auto"/>
          <w:szCs w:val="21"/>
          <w:highlight w:val="none"/>
        </w:rPr>
      </w:pPr>
      <w:r>
        <w:rPr>
          <w:rFonts w:ascii="宋体" w:hAnsi="宋体"/>
          <w:color w:val="auto"/>
          <w:szCs w:val="21"/>
          <w:highlight w:val="none"/>
        </w:rPr>
        <w:t>（2） 对不存在竣工试验或竣工后试验的单项工程和（或）工程，承包人完成扫尾工程和缺陷修复，并符合合同约定的验收标准的，按合同约定办理工程接收和竣工验收。</w:t>
      </w:r>
    </w:p>
    <w:p>
      <w:pPr>
        <w:spacing w:line="300" w:lineRule="auto"/>
        <w:ind w:firstLine="420" w:firstLineChars="200"/>
        <w:rPr>
          <w:rFonts w:ascii="宋体" w:hAnsi="宋体"/>
          <w:color w:val="auto"/>
          <w:szCs w:val="21"/>
          <w:highlight w:val="none"/>
        </w:rPr>
      </w:pPr>
      <w:r>
        <w:rPr>
          <w:rFonts w:ascii="宋体" w:hAnsi="宋体"/>
          <w:color w:val="auto"/>
          <w:szCs w:val="21"/>
          <w:highlight w:val="none"/>
        </w:rPr>
        <w:t>9.1.2  接收工程时承包人提交的资料。除按8.1.1款（1）至（3）项约定已经提交的资料外，需提交竣工试验完成的验收资料的类别、内容、份数和提交时间，在专用条款中约定。</w:t>
      </w:r>
    </w:p>
    <w:p>
      <w:pPr>
        <w:spacing w:before="156" w:beforeLines="50" w:after="156" w:afterLines="50" w:line="300" w:lineRule="auto"/>
        <w:ind w:firstLine="413" w:firstLineChars="196"/>
        <w:rPr>
          <w:rFonts w:ascii="宋体" w:hAnsi="宋体"/>
          <w:b/>
          <w:color w:val="auto"/>
          <w:szCs w:val="21"/>
          <w:highlight w:val="none"/>
        </w:rPr>
      </w:pPr>
      <w:r>
        <w:rPr>
          <w:rFonts w:ascii="宋体" w:hAnsi="宋体"/>
          <w:b/>
          <w:color w:val="auto"/>
          <w:szCs w:val="21"/>
          <w:highlight w:val="none"/>
        </w:rPr>
        <w:t>9.2  接收证书</w:t>
      </w:r>
    </w:p>
    <w:p>
      <w:pPr>
        <w:spacing w:line="300" w:lineRule="auto"/>
        <w:ind w:firstLine="420" w:firstLineChars="200"/>
        <w:rPr>
          <w:rFonts w:ascii="宋体" w:hAnsi="宋体"/>
          <w:color w:val="auto"/>
          <w:szCs w:val="21"/>
          <w:highlight w:val="none"/>
        </w:rPr>
      </w:pPr>
      <w:r>
        <w:rPr>
          <w:rFonts w:ascii="宋体" w:hAnsi="宋体"/>
          <w:color w:val="auto"/>
          <w:szCs w:val="21"/>
          <w:highlight w:val="none"/>
        </w:rPr>
        <w:t>9.2.1  承包人应在工程和（或）单项工程具备接收条件后的10日内，向发包人提交接收证书申请，发包人应在接到申请后的10日内组织接收，并签发工程和（或）单项工程接收证书。</w:t>
      </w:r>
    </w:p>
    <w:p>
      <w:pPr>
        <w:spacing w:line="300" w:lineRule="auto"/>
        <w:ind w:firstLine="420" w:firstLineChars="200"/>
        <w:rPr>
          <w:rFonts w:ascii="宋体" w:hAnsi="宋体"/>
          <w:color w:val="auto"/>
          <w:szCs w:val="21"/>
          <w:highlight w:val="none"/>
        </w:rPr>
      </w:pPr>
      <w:r>
        <w:rPr>
          <w:rFonts w:ascii="宋体" w:hAnsi="宋体"/>
          <w:color w:val="auto"/>
          <w:szCs w:val="21"/>
          <w:highlight w:val="none"/>
        </w:rPr>
        <w:t>单项工程的接收以8.2.6款第（2）项约定的日期，作为接收日期。</w:t>
      </w:r>
    </w:p>
    <w:p>
      <w:pPr>
        <w:spacing w:line="300" w:lineRule="auto"/>
        <w:ind w:firstLine="420" w:firstLineChars="200"/>
        <w:rPr>
          <w:rFonts w:ascii="宋体" w:hAnsi="宋体"/>
          <w:color w:val="auto"/>
          <w:szCs w:val="21"/>
          <w:highlight w:val="none"/>
        </w:rPr>
      </w:pPr>
      <w:r>
        <w:rPr>
          <w:rFonts w:ascii="宋体" w:hAnsi="宋体"/>
          <w:color w:val="auto"/>
          <w:szCs w:val="21"/>
          <w:highlight w:val="none"/>
        </w:rPr>
        <w:t>工程的接收以8.2.6款第（3）项约定的日期，作为接收日期。</w:t>
      </w:r>
    </w:p>
    <w:p>
      <w:pPr>
        <w:spacing w:line="300" w:lineRule="auto"/>
        <w:ind w:firstLine="420" w:firstLineChars="200"/>
        <w:rPr>
          <w:rFonts w:ascii="宋体" w:hAnsi="宋体"/>
          <w:color w:val="auto"/>
          <w:szCs w:val="21"/>
          <w:highlight w:val="none"/>
        </w:rPr>
      </w:pPr>
      <w:r>
        <w:rPr>
          <w:rFonts w:ascii="宋体" w:hAnsi="宋体"/>
          <w:color w:val="auto"/>
          <w:szCs w:val="21"/>
          <w:highlight w:val="none"/>
        </w:rPr>
        <w:t>9.2.2  扫尾工程和缺陷修复。对工程或（和）单项工程的操作、使用没有实质影响的扫尾工程和缺陷修复，不能作为发包人不接收工程的理由。经发包人与承包人协商确定的承包人完成该扫尾工程和缺陷修复的合理时间，作为接收证书的附件。</w:t>
      </w:r>
    </w:p>
    <w:p>
      <w:pPr>
        <w:spacing w:before="156" w:beforeLines="50" w:after="156" w:afterLines="50" w:line="300" w:lineRule="auto"/>
        <w:ind w:firstLine="422" w:firstLineChars="200"/>
        <w:rPr>
          <w:rFonts w:ascii="宋体" w:hAnsi="宋体"/>
          <w:b/>
          <w:color w:val="auto"/>
          <w:szCs w:val="21"/>
          <w:highlight w:val="none"/>
        </w:rPr>
      </w:pPr>
      <w:r>
        <w:rPr>
          <w:rFonts w:ascii="宋体" w:hAnsi="宋体"/>
          <w:b/>
          <w:color w:val="auto"/>
          <w:szCs w:val="21"/>
          <w:highlight w:val="none"/>
        </w:rPr>
        <w:t>9.3  接收工程的责任</w:t>
      </w:r>
    </w:p>
    <w:p>
      <w:pPr>
        <w:spacing w:line="300" w:lineRule="auto"/>
        <w:ind w:firstLine="420" w:firstLineChars="200"/>
        <w:rPr>
          <w:rFonts w:ascii="宋体" w:hAnsi="宋体"/>
          <w:color w:val="auto"/>
          <w:szCs w:val="21"/>
          <w:highlight w:val="none"/>
        </w:rPr>
      </w:pPr>
      <w:r>
        <w:rPr>
          <w:rFonts w:ascii="宋体" w:hAnsi="宋体"/>
          <w:color w:val="auto"/>
          <w:szCs w:val="21"/>
          <w:highlight w:val="none"/>
        </w:rPr>
        <w:t>9.3.1  保安责任。自单项工程和（或）工程接收之日起，发包人承担其保安责任。</w:t>
      </w:r>
    </w:p>
    <w:p>
      <w:pPr>
        <w:spacing w:line="300" w:lineRule="auto"/>
        <w:ind w:firstLine="420" w:firstLineChars="200"/>
        <w:rPr>
          <w:rFonts w:ascii="宋体" w:hAnsi="宋体"/>
          <w:color w:val="auto"/>
          <w:szCs w:val="21"/>
          <w:highlight w:val="none"/>
        </w:rPr>
      </w:pPr>
      <w:r>
        <w:rPr>
          <w:rFonts w:ascii="宋体" w:hAnsi="宋体"/>
          <w:color w:val="auto"/>
          <w:szCs w:val="21"/>
          <w:highlight w:val="none"/>
        </w:rPr>
        <w:t>9.3.2  照管责任。自单项工程和（或）工程接收之日起，发包人承担其照管责任。发包人负责单项工程和（或）工程的维护、保养、维修，但不包括需由承包人完成的缺陷修复和零星扫尾的工程部位及其区域。</w:t>
      </w:r>
    </w:p>
    <w:p>
      <w:pPr>
        <w:spacing w:line="300" w:lineRule="auto"/>
        <w:ind w:firstLine="420" w:firstLineChars="200"/>
        <w:rPr>
          <w:rFonts w:ascii="宋体" w:hAnsi="宋体"/>
          <w:color w:val="auto"/>
          <w:szCs w:val="21"/>
          <w:highlight w:val="none"/>
        </w:rPr>
      </w:pPr>
      <w:r>
        <w:rPr>
          <w:rFonts w:ascii="宋体" w:hAnsi="宋体"/>
          <w:color w:val="auto"/>
          <w:szCs w:val="21"/>
          <w:highlight w:val="none"/>
        </w:rPr>
        <w:t>9.3.3  投保责任。如合同约定施工期间工程的应投保方是承包人时，承包人应负责对工程进行投保并将保险期限保持到9.2.1款约定的发包人接收工程的日期。该日期之后由发包人负责对工程投保。</w:t>
      </w:r>
    </w:p>
    <w:p>
      <w:pPr>
        <w:spacing w:before="156" w:beforeLines="50" w:after="156" w:afterLines="50" w:line="300" w:lineRule="auto"/>
        <w:ind w:firstLine="422" w:firstLineChars="200"/>
        <w:rPr>
          <w:rFonts w:ascii="宋体" w:hAnsi="宋体"/>
          <w:b/>
          <w:color w:val="auto"/>
          <w:szCs w:val="21"/>
          <w:highlight w:val="none"/>
        </w:rPr>
      </w:pPr>
      <w:r>
        <w:rPr>
          <w:rFonts w:ascii="宋体" w:hAnsi="宋体"/>
          <w:b/>
          <w:color w:val="auto"/>
          <w:szCs w:val="21"/>
          <w:highlight w:val="none"/>
        </w:rPr>
        <w:t>9.4  未能接收工程</w:t>
      </w:r>
    </w:p>
    <w:p>
      <w:pPr>
        <w:spacing w:line="300" w:lineRule="auto"/>
        <w:ind w:firstLine="420" w:firstLineChars="200"/>
        <w:rPr>
          <w:rFonts w:ascii="宋体" w:hAnsi="宋体"/>
          <w:color w:val="auto"/>
          <w:szCs w:val="21"/>
          <w:highlight w:val="none"/>
        </w:rPr>
      </w:pPr>
      <w:r>
        <w:rPr>
          <w:rFonts w:ascii="宋体" w:hAnsi="宋体"/>
          <w:color w:val="auto"/>
          <w:szCs w:val="21"/>
          <w:highlight w:val="none"/>
        </w:rPr>
        <w:t>9.4.1  不接收工程。如发包人收到承包人送交的单项工程和（或）工程接收证书申请后的15日内不组织接收，视为单项工程、和（或）工程的接收证书申请已被发包人认可。从第16日起，发包人应根据9.3款的约定承担相关责任。</w:t>
      </w:r>
    </w:p>
    <w:p>
      <w:pPr>
        <w:spacing w:line="300" w:lineRule="auto"/>
        <w:ind w:firstLine="420" w:firstLineChars="200"/>
        <w:rPr>
          <w:rFonts w:ascii="宋体" w:hAnsi="宋体"/>
          <w:color w:val="auto"/>
          <w:szCs w:val="21"/>
          <w:highlight w:val="none"/>
        </w:rPr>
      </w:pPr>
      <w:r>
        <w:rPr>
          <w:rFonts w:ascii="宋体" w:hAnsi="宋体"/>
          <w:color w:val="auto"/>
          <w:szCs w:val="21"/>
          <w:highlight w:val="none"/>
        </w:rPr>
        <w:t>9.4.2  未按约定接收工程。承包人未按约定提交单项工程和（或）工程接收证书申请的、或未符合单项工程或工程接收条件的，发包人有权拒绝接收单项工程和（或）工程。</w:t>
      </w:r>
    </w:p>
    <w:p>
      <w:pPr>
        <w:spacing w:line="300" w:lineRule="auto"/>
        <w:ind w:firstLine="420" w:firstLineChars="200"/>
        <w:rPr>
          <w:rFonts w:ascii="宋体" w:hAnsi="宋体"/>
          <w:color w:val="auto"/>
          <w:szCs w:val="21"/>
          <w:highlight w:val="none"/>
        </w:rPr>
      </w:pPr>
      <w:r>
        <w:rPr>
          <w:rFonts w:ascii="宋体" w:hAnsi="宋体"/>
          <w:color w:val="auto"/>
          <w:szCs w:val="21"/>
          <w:highlight w:val="none"/>
        </w:rPr>
        <w:t>发包人未能遵守本款约定，使用或强令接收不符合接受条件的单项工程和（或）工程的，将承担9.3款接收工程约定的相关责任，以及已被使用或强令接收的单项工程和（或）工程后进行操作、使用等所造成的损失、损坏、损害和（或）赔偿责任。</w:t>
      </w:r>
    </w:p>
    <w:p>
      <w:pPr>
        <w:spacing w:before="156" w:beforeLines="50" w:after="156" w:afterLines="50" w:line="300" w:lineRule="auto"/>
        <w:ind w:firstLine="413" w:firstLineChars="196"/>
        <w:rPr>
          <w:rFonts w:ascii="宋体" w:hAnsi="宋体"/>
          <w:b/>
          <w:color w:val="auto"/>
          <w:szCs w:val="21"/>
          <w:highlight w:val="none"/>
        </w:rPr>
      </w:pPr>
      <w:r>
        <w:rPr>
          <w:rFonts w:ascii="宋体" w:hAnsi="宋体"/>
          <w:b/>
          <w:color w:val="auto"/>
          <w:szCs w:val="21"/>
          <w:highlight w:val="none"/>
        </w:rPr>
        <w:t>第10条  竣工后试验</w:t>
      </w:r>
    </w:p>
    <w:p>
      <w:pPr>
        <w:spacing w:line="300" w:lineRule="auto"/>
        <w:ind w:firstLine="420" w:firstLineChars="200"/>
        <w:rPr>
          <w:rFonts w:ascii="宋体" w:hAnsi="宋体"/>
          <w:color w:val="auto"/>
          <w:szCs w:val="21"/>
          <w:highlight w:val="none"/>
        </w:rPr>
      </w:pPr>
      <w:r>
        <w:rPr>
          <w:rFonts w:ascii="宋体" w:hAnsi="宋体"/>
          <w:color w:val="auto"/>
          <w:szCs w:val="21"/>
          <w:highlight w:val="none"/>
        </w:rPr>
        <w:t>本合同工程包含竣工后试验的，遵守本条约定。</w:t>
      </w:r>
    </w:p>
    <w:p>
      <w:pPr>
        <w:spacing w:before="156" w:beforeLines="50" w:after="156" w:afterLines="50" w:line="300" w:lineRule="auto"/>
        <w:ind w:firstLine="420" w:firstLineChars="200"/>
        <w:rPr>
          <w:rFonts w:ascii="宋体" w:hAnsi="宋体"/>
          <w:color w:val="auto"/>
          <w:szCs w:val="21"/>
          <w:highlight w:val="none"/>
        </w:rPr>
      </w:pPr>
      <w:r>
        <w:rPr>
          <w:rFonts w:ascii="宋体" w:hAnsi="宋体"/>
          <w:color w:val="auto"/>
          <w:szCs w:val="21"/>
          <w:highlight w:val="none"/>
        </w:rPr>
        <w:t>10.1  权力与义务</w:t>
      </w:r>
    </w:p>
    <w:p>
      <w:pPr>
        <w:spacing w:line="300" w:lineRule="auto"/>
        <w:ind w:firstLine="420" w:firstLineChars="200"/>
        <w:rPr>
          <w:rFonts w:ascii="宋体" w:hAnsi="宋体"/>
          <w:color w:val="auto"/>
          <w:szCs w:val="21"/>
          <w:highlight w:val="none"/>
        </w:rPr>
      </w:pPr>
      <w:r>
        <w:rPr>
          <w:rFonts w:ascii="宋体" w:hAnsi="宋体"/>
          <w:color w:val="auto"/>
          <w:szCs w:val="21"/>
          <w:highlight w:val="none"/>
        </w:rPr>
        <w:t>10.1.1  发包人的权利与义务</w:t>
      </w:r>
    </w:p>
    <w:p>
      <w:pPr>
        <w:spacing w:line="300" w:lineRule="auto"/>
        <w:ind w:firstLine="420" w:firstLineChars="200"/>
        <w:rPr>
          <w:rFonts w:ascii="宋体" w:hAnsi="宋体"/>
          <w:color w:val="auto"/>
          <w:szCs w:val="21"/>
          <w:highlight w:val="none"/>
        </w:rPr>
      </w:pPr>
      <w:r>
        <w:rPr>
          <w:rFonts w:ascii="宋体" w:hAnsi="宋体"/>
          <w:color w:val="auto"/>
          <w:szCs w:val="21"/>
          <w:highlight w:val="none"/>
        </w:rPr>
        <w:t>（1）发包人有权对第10.1.2款第（2）项约定的由承包人协助发包人编制的竣工后试验方案进行审查并批准，发包人的批准并不能减轻或免除承包人的合同责任。</w:t>
      </w:r>
    </w:p>
    <w:p>
      <w:pPr>
        <w:spacing w:line="300" w:lineRule="auto"/>
        <w:ind w:firstLine="420" w:firstLineChars="200"/>
        <w:rPr>
          <w:rFonts w:ascii="宋体" w:hAnsi="宋体"/>
          <w:color w:val="auto"/>
          <w:szCs w:val="21"/>
          <w:highlight w:val="none"/>
        </w:rPr>
      </w:pPr>
      <w:r>
        <w:rPr>
          <w:rFonts w:ascii="宋体" w:hAnsi="宋体"/>
          <w:color w:val="auto"/>
          <w:szCs w:val="21"/>
          <w:highlight w:val="none"/>
        </w:rPr>
        <w:t>（2）竣工后试验联合协调领导机构由发包人组建，在发包人的组织领导下，由承包人</w:t>
      </w:r>
      <w:r>
        <w:rPr>
          <w:rFonts w:hint="eastAsia" w:ascii="宋体" w:hAnsi="宋体"/>
          <w:color w:val="auto"/>
          <w:szCs w:val="21"/>
          <w:highlight w:val="none"/>
        </w:rPr>
        <w:t>指导</w:t>
      </w:r>
      <w:r>
        <w:rPr>
          <w:rFonts w:ascii="宋体" w:hAnsi="宋体"/>
          <w:color w:val="auto"/>
          <w:szCs w:val="21"/>
          <w:highlight w:val="none"/>
        </w:rPr>
        <w:t>，依据批准的竣工后试验方案进行分工、组织完成竣工后试验的各项准备工作、进行竣工后试验和试运行考核。联合协调领导机构的设置方案及其分工职责等作为本合同的组成部分。</w:t>
      </w:r>
    </w:p>
    <w:p>
      <w:pPr>
        <w:spacing w:line="300" w:lineRule="auto"/>
        <w:ind w:firstLine="420" w:firstLineChars="200"/>
        <w:rPr>
          <w:rFonts w:ascii="宋体" w:hAnsi="宋体"/>
          <w:color w:val="auto"/>
          <w:szCs w:val="21"/>
          <w:highlight w:val="none"/>
        </w:rPr>
      </w:pPr>
      <w:r>
        <w:rPr>
          <w:rFonts w:ascii="宋体" w:hAnsi="宋体"/>
          <w:color w:val="auto"/>
          <w:szCs w:val="21"/>
          <w:highlight w:val="none"/>
        </w:rPr>
        <w:t>（3）发包人对承包人根据10.1.2款第（4）项提出的建议，有权向承包人发出不接受或接受的通知。</w:t>
      </w:r>
    </w:p>
    <w:p>
      <w:pPr>
        <w:spacing w:line="300" w:lineRule="auto"/>
        <w:ind w:firstLine="420" w:firstLineChars="200"/>
        <w:rPr>
          <w:rFonts w:ascii="宋体" w:hAnsi="宋体"/>
          <w:color w:val="auto"/>
          <w:szCs w:val="21"/>
          <w:highlight w:val="none"/>
        </w:rPr>
      </w:pPr>
      <w:r>
        <w:rPr>
          <w:rFonts w:ascii="宋体" w:hAnsi="宋体"/>
          <w:color w:val="auto"/>
          <w:szCs w:val="21"/>
          <w:highlight w:val="none"/>
        </w:rPr>
        <w:t>发包人未能接受承包人的上述建议，承包人有义务扔按本款第（2）项的组织安排执行。承包人因执行发包人的此项安排而发生事故、人身伤害和工程损害时，由发包人承担其责任。</w:t>
      </w:r>
    </w:p>
    <w:p>
      <w:pPr>
        <w:spacing w:line="300" w:lineRule="auto"/>
        <w:ind w:firstLine="420" w:firstLineChars="200"/>
        <w:rPr>
          <w:rFonts w:ascii="宋体" w:hAnsi="宋体"/>
          <w:color w:val="auto"/>
          <w:szCs w:val="21"/>
          <w:highlight w:val="none"/>
        </w:rPr>
      </w:pPr>
      <w:r>
        <w:rPr>
          <w:rFonts w:ascii="宋体" w:hAnsi="宋体"/>
          <w:color w:val="auto"/>
          <w:szCs w:val="21"/>
          <w:highlight w:val="none"/>
        </w:rPr>
        <w:t>（4）发包人在竣工后试验阶段向承包人发出的组织安排、指令和通知，应以书面形式送达承包人的项目经理，由项目经理在回执上签署收到日期、时间和签名。</w:t>
      </w:r>
    </w:p>
    <w:p>
      <w:pPr>
        <w:spacing w:line="300" w:lineRule="auto"/>
        <w:ind w:firstLine="420" w:firstLineChars="200"/>
        <w:rPr>
          <w:rFonts w:ascii="宋体" w:hAnsi="宋体"/>
          <w:color w:val="auto"/>
          <w:szCs w:val="21"/>
          <w:highlight w:val="none"/>
        </w:rPr>
      </w:pPr>
      <w:r>
        <w:rPr>
          <w:rFonts w:ascii="宋体" w:hAnsi="宋体"/>
          <w:color w:val="auto"/>
          <w:szCs w:val="21"/>
          <w:highlight w:val="none"/>
        </w:rPr>
        <w:t>（5）发包人有权在紧急情况下，以口头、或书面形式向承包人发出紧急指令，承包人应立即执行。如承包人未能按发包人的指令执行，因此造成的事故责任、人身伤害和工程损害，由承包人承担。发包人应在发出口头指令后12小时内，将该口头指令再以书面送达承包人的项目经理。</w:t>
      </w:r>
    </w:p>
    <w:p>
      <w:pPr>
        <w:spacing w:line="300" w:lineRule="auto"/>
        <w:ind w:firstLine="420" w:firstLineChars="200"/>
        <w:rPr>
          <w:rFonts w:ascii="宋体" w:hAnsi="宋体"/>
          <w:color w:val="auto"/>
          <w:szCs w:val="21"/>
          <w:highlight w:val="none"/>
        </w:rPr>
      </w:pPr>
      <w:r>
        <w:rPr>
          <w:rFonts w:ascii="宋体" w:hAnsi="宋体"/>
          <w:color w:val="auto"/>
          <w:szCs w:val="21"/>
          <w:highlight w:val="none"/>
        </w:rPr>
        <w:t>（6）发包人在竣工后试验阶段的其它义务和工作，在专用条款中约定。</w:t>
      </w:r>
    </w:p>
    <w:p>
      <w:pPr>
        <w:spacing w:line="300" w:lineRule="auto"/>
        <w:ind w:firstLine="420" w:firstLineChars="200"/>
        <w:rPr>
          <w:rFonts w:ascii="宋体" w:hAnsi="宋体"/>
          <w:color w:val="auto"/>
          <w:szCs w:val="21"/>
          <w:highlight w:val="none"/>
        </w:rPr>
      </w:pPr>
      <w:r>
        <w:rPr>
          <w:rFonts w:ascii="宋体" w:hAnsi="宋体"/>
          <w:color w:val="auto"/>
          <w:szCs w:val="21"/>
          <w:highlight w:val="none"/>
        </w:rPr>
        <w:t>10.1.2  承包人的责任和义务</w:t>
      </w:r>
    </w:p>
    <w:p>
      <w:pPr>
        <w:spacing w:line="300" w:lineRule="auto"/>
        <w:ind w:firstLine="420" w:firstLineChars="200"/>
        <w:rPr>
          <w:rFonts w:ascii="宋体" w:hAnsi="宋体"/>
          <w:color w:val="auto"/>
          <w:szCs w:val="21"/>
          <w:highlight w:val="none"/>
        </w:rPr>
      </w:pPr>
      <w:r>
        <w:rPr>
          <w:rFonts w:ascii="宋体" w:hAnsi="宋体"/>
          <w:color w:val="auto"/>
          <w:szCs w:val="21"/>
          <w:highlight w:val="none"/>
        </w:rPr>
        <w:t>（1） 承包人在发包人组建的竣工后试验联合协调领导机构的统一安排下，派出具有相应资格和经验的人员指导竣工后试验。承包人派出的开车经理或指导人员在竣工后试验期间开现场，必须事先得到发包人批准。</w:t>
      </w:r>
    </w:p>
    <w:p>
      <w:pPr>
        <w:spacing w:line="300" w:lineRule="auto"/>
        <w:ind w:firstLine="420" w:firstLineChars="200"/>
        <w:rPr>
          <w:rFonts w:ascii="宋体" w:hAnsi="宋体"/>
          <w:color w:val="auto"/>
          <w:szCs w:val="21"/>
          <w:highlight w:val="none"/>
        </w:rPr>
      </w:pPr>
      <w:r>
        <w:rPr>
          <w:rFonts w:ascii="宋体" w:hAnsi="宋体"/>
          <w:color w:val="auto"/>
          <w:szCs w:val="21"/>
          <w:highlight w:val="none"/>
        </w:rPr>
        <w:t>（2） 承包人应根据合同约定和工程竣工后试验的特点，协助发包人编制竣工后试验方案，并在竣工试验开始前编制完成。竣工后试验方案应包括：工程、单项工程及其相关部位的操作试验程序、资源条件、试验条件、操作规程、安全规程、事故处理程序及进度计划等。竣工后试验方案经发包人审查批准后实施。竣工后试验方案的份数和时间在专用条款约定。</w:t>
      </w:r>
    </w:p>
    <w:p>
      <w:pPr>
        <w:spacing w:line="300" w:lineRule="auto"/>
        <w:ind w:firstLine="420" w:firstLineChars="200"/>
        <w:rPr>
          <w:rFonts w:ascii="宋体" w:hAnsi="宋体"/>
          <w:color w:val="auto"/>
          <w:szCs w:val="21"/>
          <w:highlight w:val="none"/>
        </w:rPr>
      </w:pPr>
      <w:r>
        <w:rPr>
          <w:rFonts w:ascii="宋体" w:hAnsi="宋体"/>
          <w:color w:val="auto"/>
          <w:szCs w:val="21"/>
          <w:highlight w:val="none"/>
        </w:rPr>
        <w:t>（3） 因承包人未能执行发包人的安排、指令和通知，而发生的事故、人身伤害和工程损害，由发包人承担其责任。</w:t>
      </w:r>
    </w:p>
    <w:p>
      <w:pPr>
        <w:spacing w:line="300" w:lineRule="auto"/>
        <w:ind w:firstLine="420" w:firstLineChars="200"/>
        <w:rPr>
          <w:rFonts w:ascii="宋体" w:hAnsi="宋体"/>
          <w:color w:val="auto"/>
          <w:szCs w:val="21"/>
          <w:highlight w:val="none"/>
        </w:rPr>
      </w:pPr>
      <w:r>
        <w:rPr>
          <w:rFonts w:ascii="宋体" w:hAnsi="宋体"/>
          <w:color w:val="auto"/>
          <w:szCs w:val="21"/>
          <w:highlight w:val="none"/>
        </w:rPr>
        <w:t>（4）承包人有义务对发包人的组织安排、指令和通知提出建议，并说明因由。</w:t>
      </w:r>
    </w:p>
    <w:p>
      <w:pPr>
        <w:spacing w:line="300" w:lineRule="auto"/>
        <w:ind w:firstLine="420" w:firstLineChars="200"/>
        <w:rPr>
          <w:rFonts w:ascii="宋体" w:hAnsi="宋体"/>
          <w:color w:val="auto"/>
          <w:szCs w:val="21"/>
          <w:highlight w:val="none"/>
        </w:rPr>
      </w:pPr>
      <w:r>
        <w:rPr>
          <w:rFonts w:ascii="宋体" w:hAnsi="宋体"/>
          <w:color w:val="auto"/>
          <w:szCs w:val="21"/>
          <w:highlight w:val="none"/>
        </w:rPr>
        <w:t>（5）在紧急情况下，发包人以口头指令承包人进行的操作、工作及作业，承包人应立即执行。承包人应对此项指令做好记录，并做好实施的记录。发包人应在12小时内，将上述口头指令再以书面形式送达承包人。</w:t>
      </w:r>
    </w:p>
    <w:p>
      <w:pPr>
        <w:spacing w:line="300" w:lineRule="auto"/>
        <w:ind w:firstLine="420" w:firstLineChars="200"/>
        <w:rPr>
          <w:rFonts w:ascii="宋体" w:hAnsi="宋体"/>
          <w:color w:val="auto"/>
          <w:szCs w:val="21"/>
          <w:highlight w:val="none"/>
        </w:rPr>
      </w:pPr>
      <w:r>
        <w:rPr>
          <w:rFonts w:ascii="宋体" w:hAnsi="宋体"/>
          <w:color w:val="auto"/>
          <w:szCs w:val="21"/>
          <w:highlight w:val="none"/>
        </w:rPr>
        <w:t>发包人未能在12小时内将此项口头指令以书面形式送达承包人时，承包人及其项目经理有权在接到口头指令后的24小时内，以书面形式将该口头指令交发包人，发包人须在回执上签字确认，并签署接到的日期和时间。当发包人未能在24小时内在回执上签字确认，视为已被发包人确认。</w:t>
      </w:r>
    </w:p>
    <w:p>
      <w:pPr>
        <w:spacing w:line="300" w:lineRule="auto"/>
        <w:ind w:firstLine="420" w:firstLineChars="200"/>
        <w:rPr>
          <w:rFonts w:ascii="宋体" w:hAnsi="宋体"/>
          <w:color w:val="auto"/>
          <w:szCs w:val="21"/>
          <w:highlight w:val="none"/>
        </w:rPr>
      </w:pPr>
      <w:r>
        <w:rPr>
          <w:rFonts w:ascii="宋体" w:hAnsi="宋体"/>
          <w:color w:val="auto"/>
          <w:szCs w:val="21"/>
          <w:highlight w:val="none"/>
        </w:rPr>
        <w:t>承包人因执行发包人的口头指令而发生事故责任、人身伤害、工程损害和费用增加时，由发包人承担。但承包人错误执行上述口头指令而发生事故责任、人身伤害、工程损害和费用增加时，由承包人负责。</w:t>
      </w:r>
    </w:p>
    <w:p>
      <w:pPr>
        <w:spacing w:line="300" w:lineRule="auto"/>
        <w:ind w:firstLine="420" w:firstLineChars="200"/>
        <w:rPr>
          <w:rFonts w:ascii="宋体" w:hAnsi="宋体"/>
          <w:color w:val="auto"/>
          <w:szCs w:val="21"/>
          <w:highlight w:val="none"/>
        </w:rPr>
      </w:pPr>
      <w:r>
        <w:rPr>
          <w:rFonts w:ascii="宋体" w:hAnsi="宋体"/>
          <w:color w:val="auto"/>
          <w:szCs w:val="21"/>
          <w:highlight w:val="none"/>
        </w:rPr>
        <w:t>（6） 操作维修手册的缺陷责任。因承包人负责编制的操作维修手册存在缺陷所造成的事故责任、人身伤害和工程损害，由承包人承担；因发包人（包括其专利商）提供的操作指南存在缺陷，造成承包人操作手册的缺陷，因此发生事故责任、人身伤害、工程损害和承包人的费用增加时，由发包人负责。</w:t>
      </w:r>
    </w:p>
    <w:p>
      <w:pPr>
        <w:spacing w:line="300" w:lineRule="auto"/>
        <w:ind w:firstLine="420" w:firstLineChars="200"/>
        <w:rPr>
          <w:rFonts w:ascii="宋体" w:hAnsi="宋体"/>
          <w:color w:val="auto"/>
          <w:szCs w:val="21"/>
          <w:highlight w:val="none"/>
        </w:rPr>
      </w:pPr>
      <w:r>
        <w:rPr>
          <w:rFonts w:ascii="宋体" w:hAnsi="宋体"/>
          <w:color w:val="auto"/>
          <w:szCs w:val="21"/>
          <w:highlight w:val="none"/>
        </w:rPr>
        <w:t>（7） 承包人根据合同约定和（或）行业规定，在竣工后试验阶段的其它义务和工作，在专用条款中约定。</w:t>
      </w:r>
    </w:p>
    <w:p>
      <w:pPr>
        <w:spacing w:before="156" w:beforeLines="50" w:after="156" w:afterLines="50" w:line="300" w:lineRule="auto"/>
        <w:ind w:firstLine="422" w:firstLineChars="200"/>
        <w:rPr>
          <w:rFonts w:ascii="宋体" w:hAnsi="宋体"/>
          <w:b/>
          <w:color w:val="auto"/>
          <w:szCs w:val="21"/>
          <w:highlight w:val="none"/>
        </w:rPr>
      </w:pPr>
      <w:r>
        <w:rPr>
          <w:rFonts w:ascii="宋体" w:hAnsi="宋体"/>
          <w:b/>
          <w:color w:val="auto"/>
          <w:szCs w:val="21"/>
          <w:highlight w:val="none"/>
        </w:rPr>
        <w:t>10.2  竣工后试验程序</w:t>
      </w:r>
    </w:p>
    <w:p>
      <w:pPr>
        <w:spacing w:line="300" w:lineRule="auto"/>
        <w:ind w:firstLine="420" w:firstLineChars="200"/>
        <w:rPr>
          <w:rFonts w:ascii="宋体" w:hAnsi="宋体"/>
          <w:color w:val="auto"/>
          <w:szCs w:val="21"/>
          <w:highlight w:val="none"/>
        </w:rPr>
      </w:pPr>
      <w:r>
        <w:rPr>
          <w:rFonts w:ascii="宋体" w:hAnsi="宋体"/>
          <w:color w:val="auto"/>
          <w:szCs w:val="21"/>
          <w:highlight w:val="none"/>
        </w:rPr>
        <w:t>10.2.1  发包人应根据联合协调领导机构批准的竣工后试验方案，提供全部电力、水、燃料、动力、原材料、辅助材料、消耗材料以及其它试验条件，并组织安排其管理人员、操作维修人员和其它各项准备工作。</w:t>
      </w:r>
    </w:p>
    <w:p>
      <w:pPr>
        <w:spacing w:line="300" w:lineRule="auto"/>
        <w:ind w:firstLine="420" w:firstLineChars="200"/>
        <w:rPr>
          <w:rFonts w:ascii="宋体" w:hAnsi="宋体"/>
          <w:color w:val="auto"/>
          <w:szCs w:val="21"/>
          <w:highlight w:val="none"/>
        </w:rPr>
      </w:pPr>
      <w:r>
        <w:rPr>
          <w:rFonts w:ascii="宋体" w:hAnsi="宋体"/>
          <w:color w:val="auto"/>
          <w:szCs w:val="21"/>
          <w:highlight w:val="none"/>
        </w:rPr>
        <w:t>10.2.2  承包人应根据经批准的竣工后试验方案，提供竣工后试验所需要的其它临时辅助设备、设施、工具和器具，及应由承包人完成的其它准备工作。</w:t>
      </w:r>
    </w:p>
    <w:p>
      <w:pPr>
        <w:spacing w:line="300" w:lineRule="auto"/>
        <w:ind w:firstLine="420" w:firstLineChars="200"/>
        <w:rPr>
          <w:rFonts w:ascii="宋体" w:hAnsi="宋体"/>
          <w:color w:val="auto"/>
          <w:szCs w:val="21"/>
          <w:highlight w:val="none"/>
        </w:rPr>
      </w:pPr>
      <w:r>
        <w:rPr>
          <w:rFonts w:ascii="宋体" w:hAnsi="宋体"/>
          <w:color w:val="auto"/>
          <w:szCs w:val="21"/>
          <w:highlight w:val="none"/>
        </w:rPr>
        <w:t>10.2.3  发包人应根据批准的竣工后试验方案，按照单项工程内的任何部分、单项工程、单项工程之间、或（和）工程的竣工后试验程序和试验条件，组织竣工后试验。</w:t>
      </w:r>
    </w:p>
    <w:p>
      <w:pPr>
        <w:spacing w:line="300" w:lineRule="auto"/>
        <w:ind w:firstLine="420" w:firstLineChars="200"/>
        <w:rPr>
          <w:rFonts w:ascii="宋体" w:hAnsi="宋体"/>
          <w:color w:val="auto"/>
          <w:szCs w:val="21"/>
          <w:highlight w:val="none"/>
        </w:rPr>
      </w:pPr>
      <w:r>
        <w:rPr>
          <w:rFonts w:ascii="宋体" w:hAnsi="宋体"/>
          <w:color w:val="auto"/>
          <w:szCs w:val="21"/>
          <w:highlight w:val="none"/>
        </w:rPr>
        <w:t>10.2.4  联合协调领导机构组织全面检查并落实工程、单项工程及工程的任何部分竣工后试验所需要的资源条件、试验条件、安全设施条件、消防设施条件、紧急事故处理设施条件和（或）相关措施，保证记录仪器、专用记录表格的齐全和数量的充分。</w:t>
      </w:r>
    </w:p>
    <w:p>
      <w:pPr>
        <w:spacing w:line="300" w:lineRule="auto"/>
        <w:ind w:firstLine="420" w:firstLineChars="200"/>
        <w:rPr>
          <w:rFonts w:ascii="宋体" w:hAnsi="宋体"/>
          <w:color w:val="auto"/>
          <w:szCs w:val="21"/>
          <w:highlight w:val="none"/>
        </w:rPr>
      </w:pPr>
      <w:r>
        <w:rPr>
          <w:rFonts w:ascii="宋体" w:hAnsi="宋体"/>
          <w:color w:val="auto"/>
          <w:szCs w:val="21"/>
          <w:highlight w:val="none"/>
        </w:rPr>
        <w:t>10.2.5  竣工后试验日期的通知。发包人应在接收单项工程或（和）接收工程日期后的15日内通知承包人开始竣工后试验的日期。专用条款另有约定时除外。</w:t>
      </w:r>
    </w:p>
    <w:p>
      <w:pPr>
        <w:spacing w:line="300" w:lineRule="auto"/>
        <w:ind w:firstLine="420" w:firstLineChars="200"/>
        <w:rPr>
          <w:rFonts w:ascii="宋体" w:hAnsi="宋体"/>
          <w:color w:val="auto"/>
          <w:szCs w:val="21"/>
          <w:highlight w:val="none"/>
        </w:rPr>
      </w:pPr>
      <w:r>
        <w:rPr>
          <w:rFonts w:ascii="宋体" w:hAnsi="宋体"/>
          <w:color w:val="auto"/>
          <w:szCs w:val="21"/>
          <w:highlight w:val="none"/>
        </w:rPr>
        <w:t>因发包人原因未能在接收单项工程和（或）工程的20日内，或在专用条款中约定的日期内进行竣工后试验，发包人应自第21日开始或自专用条款中约定的开始日期后的第二日开始，承担承包人由此发生的相关窝工费用，包括人工费、临时辅助设备、设施的闲置费、管理费及其合理利润。</w:t>
      </w:r>
    </w:p>
    <w:p>
      <w:pPr>
        <w:spacing w:before="156" w:beforeLines="50" w:after="156" w:afterLines="50" w:line="300" w:lineRule="auto"/>
        <w:ind w:firstLine="422" w:firstLineChars="200"/>
        <w:rPr>
          <w:rFonts w:ascii="宋体" w:hAnsi="宋体"/>
          <w:b/>
          <w:color w:val="auto"/>
          <w:szCs w:val="21"/>
          <w:highlight w:val="none"/>
        </w:rPr>
      </w:pPr>
      <w:r>
        <w:rPr>
          <w:rFonts w:ascii="宋体" w:hAnsi="宋体"/>
          <w:b/>
          <w:color w:val="auto"/>
          <w:szCs w:val="21"/>
          <w:highlight w:val="none"/>
        </w:rPr>
        <w:t>10.3  竣工后试验及试运行考核</w:t>
      </w:r>
    </w:p>
    <w:p>
      <w:pPr>
        <w:spacing w:line="300" w:lineRule="auto"/>
        <w:ind w:firstLine="420" w:firstLineChars="200"/>
        <w:rPr>
          <w:rFonts w:ascii="宋体" w:hAnsi="宋体"/>
          <w:color w:val="auto"/>
          <w:szCs w:val="21"/>
          <w:highlight w:val="none"/>
        </w:rPr>
      </w:pPr>
      <w:r>
        <w:rPr>
          <w:rFonts w:ascii="宋体" w:hAnsi="宋体"/>
          <w:color w:val="auto"/>
          <w:szCs w:val="21"/>
          <w:highlight w:val="none"/>
        </w:rPr>
        <w:t>10.3.1  按照批准的竣工后试验方案的试验程序、试验条件、操作程序进行试验，达到合同约定的工程和（或）单项工程的生产功能和（或）使用功能。</w:t>
      </w:r>
    </w:p>
    <w:p>
      <w:pPr>
        <w:spacing w:line="300" w:lineRule="auto"/>
        <w:ind w:firstLine="420" w:firstLineChars="200"/>
        <w:rPr>
          <w:rFonts w:ascii="宋体" w:hAnsi="宋体"/>
          <w:color w:val="auto"/>
          <w:szCs w:val="21"/>
          <w:highlight w:val="none"/>
        </w:rPr>
      </w:pPr>
      <w:r>
        <w:rPr>
          <w:rFonts w:ascii="宋体" w:hAnsi="宋体"/>
          <w:color w:val="auto"/>
          <w:szCs w:val="21"/>
          <w:highlight w:val="none"/>
        </w:rPr>
        <w:t>10.3.2  发包人的操作人员和承包人的指导人员，在竣工后试验过程中的同一个岗位上的试验条件记录、试验记录及表格上，应如实填写数据、条件、情况、时间、姓名及约定的其它内容。</w:t>
      </w:r>
    </w:p>
    <w:p>
      <w:pPr>
        <w:spacing w:line="300" w:lineRule="auto"/>
        <w:ind w:firstLine="420" w:firstLineChars="200"/>
        <w:rPr>
          <w:rFonts w:ascii="宋体" w:hAnsi="宋体"/>
          <w:color w:val="auto"/>
          <w:szCs w:val="21"/>
          <w:highlight w:val="none"/>
        </w:rPr>
      </w:pPr>
      <w:r>
        <w:rPr>
          <w:rFonts w:ascii="宋体" w:hAnsi="宋体"/>
          <w:color w:val="auto"/>
          <w:szCs w:val="21"/>
          <w:highlight w:val="none"/>
        </w:rPr>
        <w:t>10.3.3  试运行考核</w:t>
      </w:r>
    </w:p>
    <w:p>
      <w:pPr>
        <w:spacing w:line="300" w:lineRule="auto"/>
        <w:ind w:firstLine="420" w:firstLineChars="200"/>
        <w:rPr>
          <w:rFonts w:ascii="宋体" w:hAnsi="宋体"/>
          <w:color w:val="auto"/>
          <w:szCs w:val="21"/>
          <w:highlight w:val="none"/>
        </w:rPr>
      </w:pPr>
      <w:r>
        <w:rPr>
          <w:rFonts w:ascii="宋体" w:hAnsi="宋体"/>
          <w:color w:val="auto"/>
          <w:szCs w:val="21"/>
          <w:highlight w:val="none"/>
        </w:rPr>
        <w:t>（1）根据5.1.1款约定，由承包人提供生产工艺技术和（或）建筑设计方案的，承包人应保证工程在试运行考核周期内，达到5.1.1款专用条款中约定的考核保证值和（或）使用功能。</w:t>
      </w:r>
    </w:p>
    <w:p>
      <w:pPr>
        <w:spacing w:line="300" w:lineRule="auto"/>
        <w:ind w:firstLine="420" w:firstLineChars="200"/>
        <w:rPr>
          <w:rFonts w:ascii="宋体" w:hAnsi="宋体"/>
          <w:color w:val="auto"/>
          <w:szCs w:val="21"/>
          <w:highlight w:val="none"/>
        </w:rPr>
      </w:pPr>
      <w:r>
        <w:rPr>
          <w:rFonts w:ascii="宋体" w:hAnsi="宋体"/>
          <w:color w:val="auto"/>
          <w:szCs w:val="21"/>
          <w:highlight w:val="none"/>
        </w:rPr>
        <w:t>（2）根据5.1.2款约定，由发包人提供生产工艺技术和（或）建筑设计方案的，承包人应保证在试运行考核周期内达到5.1.2款专用条款中约定的，应由承包人承担的工程相关部分的考核保证值和（或）使用功能。</w:t>
      </w:r>
    </w:p>
    <w:p>
      <w:pPr>
        <w:spacing w:line="300" w:lineRule="auto"/>
        <w:ind w:firstLine="420" w:firstLineChars="200"/>
        <w:rPr>
          <w:rFonts w:ascii="宋体" w:hAnsi="宋体"/>
          <w:color w:val="auto"/>
          <w:szCs w:val="21"/>
          <w:highlight w:val="none"/>
        </w:rPr>
      </w:pPr>
      <w:r>
        <w:rPr>
          <w:rFonts w:ascii="宋体" w:hAnsi="宋体"/>
          <w:color w:val="auto"/>
          <w:szCs w:val="21"/>
          <w:highlight w:val="none"/>
        </w:rPr>
        <w:t>（3）试运行考核的时间周期由双方根据相关行业对试运行考核周期的规定，在专用条款中约定。</w:t>
      </w:r>
    </w:p>
    <w:p>
      <w:pPr>
        <w:spacing w:line="300" w:lineRule="auto"/>
        <w:ind w:firstLine="420" w:firstLineChars="200"/>
        <w:rPr>
          <w:rFonts w:ascii="宋体" w:hAnsi="宋体"/>
          <w:color w:val="auto"/>
          <w:szCs w:val="21"/>
          <w:highlight w:val="none"/>
        </w:rPr>
      </w:pPr>
      <w:r>
        <w:rPr>
          <w:rFonts w:ascii="宋体" w:hAnsi="宋体"/>
          <w:color w:val="auto"/>
          <w:szCs w:val="21"/>
          <w:highlight w:val="none"/>
        </w:rPr>
        <w:t>（4）试运行考核通过后或使用功能通过后，双方应共同整理竣工后试验及其试运行考核结果，并编写评价报告。报告一式两份，经合同双方签字或盖章后各持一份，作为本合同组成部分。发包人并应根据10.7款的约定颁发考核验收证书。</w:t>
      </w:r>
    </w:p>
    <w:p>
      <w:pPr>
        <w:spacing w:line="300" w:lineRule="auto"/>
        <w:ind w:firstLine="420" w:firstLineChars="200"/>
        <w:rPr>
          <w:rFonts w:ascii="宋体" w:hAnsi="宋体"/>
          <w:color w:val="auto"/>
          <w:szCs w:val="21"/>
          <w:highlight w:val="none"/>
        </w:rPr>
      </w:pPr>
      <w:r>
        <w:rPr>
          <w:rFonts w:ascii="宋体" w:hAnsi="宋体"/>
          <w:color w:val="auto"/>
          <w:szCs w:val="21"/>
          <w:highlight w:val="none"/>
        </w:rPr>
        <w:t>10.3.4  产品和（或）服务收益的所有权。单项工程和（或）工程竣工后试验及试运行考核期间的任何产品收益和（或）服务收益，均属发包人所有。</w:t>
      </w:r>
    </w:p>
    <w:p>
      <w:pPr>
        <w:spacing w:before="156" w:beforeLines="50" w:after="156" w:afterLines="50" w:line="300" w:lineRule="auto"/>
        <w:ind w:firstLine="422" w:firstLineChars="200"/>
        <w:rPr>
          <w:rFonts w:ascii="宋体" w:hAnsi="宋体"/>
          <w:b/>
          <w:color w:val="auto"/>
          <w:szCs w:val="21"/>
          <w:highlight w:val="none"/>
        </w:rPr>
      </w:pPr>
      <w:r>
        <w:rPr>
          <w:rFonts w:ascii="宋体" w:hAnsi="宋体"/>
          <w:b/>
          <w:color w:val="auto"/>
          <w:szCs w:val="21"/>
          <w:highlight w:val="none"/>
        </w:rPr>
        <w:t>10.4  竣工后试验的延误</w:t>
      </w:r>
    </w:p>
    <w:p>
      <w:pPr>
        <w:spacing w:line="300" w:lineRule="auto"/>
        <w:ind w:firstLine="420" w:firstLineChars="200"/>
        <w:rPr>
          <w:rFonts w:ascii="宋体" w:hAnsi="宋体"/>
          <w:color w:val="auto"/>
          <w:szCs w:val="21"/>
          <w:highlight w:val="none"/>
        </w:rPr>
      </w:pPr>
      <w:r>
        <w:rPr>
          <w:rFonts w:ascii="宋体" w:hAnsi="宋体"/>
          <w:color w:val="auto"/>
          <w:szCs w:val="21"/>
          <w:highlight w:val="none"/>
        </w:rPr>
        <w:t>10.4.1  根据10.2.5款竣工后试验日期通知的约定，非因承包人原因，发包人未能在发出竣工后试验通知后的90日内开始竣工后试验的，工程和（或）单项工程视为通过了竣工后试验和试运行考核。除非专用条款另有规定。</w:t>
      </w:r>
    </w:p>
    <w:p>
      <w:pPr>
        <w:spacing w:line="300" w:lineRule="auto"/>
        <w:ind w:firstLine="420" w:firstLineChars="200"/>
        <w:rPr>
          <w:rFonts w:ascii="宋体" w:hAnsi="宋体"/>
          <w:color w:val="auto"/>
          <w:szCs w:val="21"/>
          <w:highlight w:val="none"/>
        </w:rPr>
      </w:pPr>
      <w:r>
        <w:rPr>
          <w:rFonts w:ascii="宋体" w:hAnsi="宋体"/>
          <w:color w:val="auto"/>
          <w:szCs w:val="21"/>
          <w:highlight w:val="none"/>
        </w:rPr>
        <w:t>10.4.2  因承包人的原因造成竣工后试验延误时，承包人应采取措施，尽快组织，配合发包人开始并通过竣工后试验。当延误造成发包人的费用增加时，发包人有权根据16.2.1款的约定向承包人提出索赔。</w:t>
      </w:r>
    </w:p>
    <w:p>
      <w:pPr>
        <w:spacing w:line="300" w:lineRule="auto"/>
        <w:ind w:firstLine="420" w:firstLineChars="200"/>
        <w:rPr>
          <w:rFonts w:ascii="宋体" w:hAnsi="宋体"/>
          <w:color w:val="auto"/>
          <w:szCs w:val="21"/>
          <w:highlight w:val="none"/>
        </w:rPr>
      </w:pPr>
      <w:r>
        <w:rPr>
          <w:rFonts w:ascii="宋体" w:hAnsi="宋体"/>
          <w:color w:val="auto"/>
          <w:szCs w:val="21"/>
          <w:highlight w:val="none"/>
        </w:rPr>
        <w:t>10.4.3  按10.3.3款第（3）项试运行考核时间周期的约定，在试运行考核期间，因发包人原因导致考核中断或停止，且中断或停止的累计天数超过第10.3.3款第（3）项专用条款中约定的试运行考核周期时，试运行考核应在中断或停止后的60日内重新开始，超过此期限视为单项工程和（或）工程已通过了试运行考核。</w:t>
      </w:r>
    </w:p>
    <w:p>
      <w:pPr>
        <w:spacing w:before="156" w:beforeLines="50" w:after="156" w:afterLines="50" w:line="300" w:lineRule="auto"/>
        <w:ind w:firstLine="422" w:firstLineChars="200"/>
        <w:rPr>
          <w:rFonts w:ascii="宋体" w:hAnsi="宋体"/>
          <w:b/>
          <w:color w:val="auto"/>
          <w:szCs w:val="21"/>
          <w:highlight w:val="none"/>
        </w:rPr>
      </w:pPr>
      <w:r>
        <w:rPr>
          <w:rFonts w:ascii="宋体" w:hAnsi="宋体"/>
          <w:b/>
          <w:color w:val="auto"/>
          <w:szCs w:val="21"/>
          <w:highlight w:val="none"/>
        </w:rPr>
        <w:t>10.5  重新进行竣工后试验</w:t>
      </w:r>
    </w:p>
    <w:p>
      <w:pPr>
        <w:spacing w:line="300" w:lineRule="auto"/>
        <w:ind w:firstLine="420" w:firstLineChars="200"/>
        <w:rPr>
          <w:rFonts w:ascii="宋体" w:hAnsi="宋体"/>
          <w:color w:val="auto"/>
          <w:szCs w:val="21"/>
          <w:highlight w:val="none"/>
        </w:rPr>
      </w:pPr>
      <w:r>
        <w:rPr>
          <w:rFonts w:ascii="宋体" w:hAnsi="宋体"/>
          <w:color w:val="auto"/>
          <w:szCs w:val="21"/>
          <w:highlight w:val="none"/>
        </w:rPr>
        <w:t>10.5.1  根据5.1.1款或5.1.2款及其专用条款中的约定，因承包人原因导致工程、单项工程或工程的任何部分未能通过竣工后试验，承包人应自费修补其缺陷，由发包人依据第10.2.3款约定的试验程序、试验条件，重新组织进行此项试验。</w:t>
      </w:r>
    </w:p>
    <w:p>
      <w:pPr>
        <w:spacing w:line="300" w:lineRule="auto"/>
        <w:ind w:firstLine="420" w:firstLineChars="200"/>
        <w:rPr>
          <w:rFonts w:ascii="宋体" w:hAnsi="宋体"/>
          <w:color w:val="auto"/>
          <w:szCs w:val="21"/>
          <w:highlight w:val="none"/>
        </w:rPr>
      </w:pPr>
      <w:r>
        <w:rPr>
          <w:rFonts w:ascii="宋体" w:hAnsi="宋体"/>
          <w:color w:val="auto"/>
          <w:szCs w:val="21"/>
          <w:highlight w:val="none"/>
        </w:rPr>
        <w:t>10.5.2  承包人根据10.5.1款重新进行试验，仍未能通过该项试验时，承包人应自费继续修补缺陷，并在发包人的组织领导下，按10.2.3款约定的试验程序、试验条件，再次进行此项试验。</w:t>
      </w:r>
    </w:p>
    <w:p>
      <w:pPr>
        <w:spacing w:line="300" w:lineRule="auto"/>
        <w:ind w:firstLine="420" w:firstLineChars="200"/>
        <w:rPr>
          <w:rFonts w:ascii="宋体" w:hAnsi="宋体"/>
          <w:color w:val="auto"/>
          <w:szCs w:val="21"/>
          <w:highlight w:val="none"/>
        </w:rPr>
      </w:pPr>
      <w:r>
        <w:rPr>
          <w:rFonts w:ascii="宋体" w:hAnsi="宋体"/>
          <w:color w:val="auto"/>
          <w:szCs w:val="21"/>
          <w:highlight w:val="none"/>
        </w:rPr>
        <w:t>10.5.3  因承包人原因，重新进行竣工后试验，给发包人增加了额外费用时，发包人有权根据16.2.1款的约定向承包人提出索赔。</w:t>
      </w:r>
    </w:p>
    <w:p>
      <w:pPr>
        <w:spacing w:before="156" w:beforeLines="50" w:after="156" w:afterLines="50" w:line="300" w:lineRule="auto"/>
        <w:ind w:firstLine="422" w:firstLineChars="200"/>
        <w:rPr>
          <w:rFonts w:ascii="宋体" w:hAnsi="宋体"/>
          <w:b/>
          <w:color w:val="auto"/>
          <w:szCs w:val="21"/>
          <w:highlight w:val="none"/>
        </w:rPr>
      </w:pPr>
      <w:r>
        <w:rPr>
          <w:rFonts w:ascii="宋体" w:hAnsi="宋体"/>
          <w:b/>
          <w:color w:val="auto"/>
          <w:szCs w:val="21"/>
          <w:highlight w:val="none"/>
        </w:rPr>
        <w:t>10.6  未能通过考核</w:t>
      </w:r>
    </w:p>
    <w:p>
      <w:pPr>
        <w:spacing w:line="300" w:lineRule="auto"/>
        <w:ind w:firstLine="420" w:firstLineChars="200"/>
        <w:rPr>
          <w:rFonts w:ascii="宋体" w:hAnsi="宋体"/>
          <w:color w:val="auto"/>
          <w:szCs w:val="21"/>
          <w:highlight w:val="none"/>
        </w:rPr>
      </w:pPr>
      <w:r>
        <w:rPr>
          <w:rFonts w:ascii="宋体" w:hAnsi="宋体"/>
          <w:color w:val="auto"/>
          <w:szCs w:val="21"/>
          <w:highlight w:val="none"/>
        </w:rPr>
        <w:t xml:space="preserve">因承包人原因使工程和（或）单项工程未能通过考核，但尚具有生产功能、使用功能时，按以下约定处理： </w:t>
      </w:r>
    </w:p>
    <w:p>
      <w:pPr>
        <w:spacing w:line="300" w:lineRule="auto"/>
        <w:ind w:firstLine="420" w:firstLineChars="200"/>
        <w:rPr>
          <w:rFonts w:ascii="宋体" w:hAnsi="宋体"/>
          <w:color w:val="auto"/>
          <w:szCs w:val="21"/>
          <w:highlight w:val="none"/>
        </w:rPr>
      </w:pPr>
      <w:r>
        <w:rPr>
          <w:rFonts w:ascii="宋体" w:hAnsi="宋体"/>
          <w:color w:val="auto"/>
          <w:szCs w:val="21"/>
          <w:highlight w:val="none"/>
        </w:rPr>
        <w:t>（1）未能通过试运行考核的赔偿</w:t>
      </w:r>
    </w:p>
    <w:p>
      <w:pPr>
        <w:spacing w:line="300" w:lineRule="auto"/>
        <w:ind w:firstLine="735" w:firstLineChars="350"/>
        <w:rPr>
          <w:rFonts w:ascii="宋体" w:hAnsi="宋体"/>
          <w:color w:val="auto"/>
          <w:szCs w:val="21"/>
          <w:highlight w:val="none"/>
        </w:rPr>
      </w:pPr>
      <w:r>
        <w:rPr>
          <w:rFonts w:ascii="宋体" w:hAnsi="宋体"/>
          <w:color w:val="auto"/>
          <w:szCs w:val="21"/>
          <w:highlight w:val="none"/>
        </w:rPr>
        <w:t>1）承包人提供的生产工艺技术或建筑设计方案未能通过试运行考核</w:t>
      </w:r>
    </w:p>
    <w:p>
      <w:pPr>
        <w:spacing w:line="300" w:lineRule="auto"/>
        <w:ind w:firstLine="420" w:firstLineChars="200"/>
        <w:rPr>
          <w:rFonts w:ascii="宋体" w:hAnsi="宋体"/>
          <w:color w:val="auto"/>
          <w:szCs w:val="21"/>
          <w:highlight w:val="none"/>
        </w:rPr>
      </w:pPr>
      <w:r>
        <w:rPr>
          <w:rFonts w:ascii="宋体" w:hAnsi="宋体"/>
          <w:color w:val="auto"/>
          <w:szCs w:val="21"/>
          <w:highlight w:val="none"/>
        </w:rPr>
        <w:t>承包人提供的生产工艺技术和（或）建筑设计方案未能通过试运行考核时，承包人在根据5.1.1款专用条款约定的工程和（或）单项工程试运行考核保证值和（或）使用功能保证的说明书，并按照在本项专用条款中约定的未能通过试运行考核的赔偿金额、或赔偿计算公式计算的金额，向发包人支付相应赔偿金额后，视为承包人通过了试运行考核。</w:t>
      </w:r>
    </w:p>
    <w:p>
      <w:pPr>
        <w:spacing w:line="300" w:lineRule="auto"/>
        <w:ind w:firstLine="735" w:firstLineChars="350"/>
        <w:rPr>
          <w:rFonts w:ascii="宋体" w:hAnsi="宋体"/>
          <w:color w:val="auto"/>
          <w:szCs w:val="21"/>
          <w:highlight w:val="none"/>
        </w:rPr>
      </w:pPr>
      <w:r>
        <w:rPr>
          <w:rFonts w:ascii="宋体" w:hAnsi="宋体"/>
          <w:color w:val="auto"/>
          <w:szCs w:val="21"/>
          <w:highlight w:val="none"/>
        </w:rPr>
        <w:t>2）发包人提供的生产工艺技术或建筑设计方案未能通过试运行考核</w:t>
      </w:r>
    </w:p>
    <w:p>
      <w:pPr>
        <w:spacing w:line="300" w:lineRule="auto"/>
        <w:ind w:firstLine="420" w:firstLineChars="200"/>
        <w:rPr>
          <w:rFonts w:ascii="宋体" w:hAnsi="宋体"/>
          <w:color w:val="auto"/>
          <w:szCs w:val="21"/>
          <w:highlight w:val="none"/>
        </w:rPr>
      </w:pPr>
      <w:r>
        <w:rPr>
          <w:rFonts w:ascii="宋体" w:hAnsi="宋体"/>
          <w:color w:val="auto"/>
          <w:szCs w:val="21"/>
          <w:highlight w:val="none"/>
        </w:rPr>
        <w:t>发包人提供的生产工艺技术和（或）建筑设计方案未能通过试运行考核时，承包人根据5.1.2款专用条款约定的工程和（或）单项工程试运行考核中应由承包人承担的相关责任，并按照在本项专用条款对相关责任约定的赔偿金额、或赔偿公式计算的金额，向发包人支付相应赔偿金额后，视为承包人通过了试运行考核。</w:t>
      </w:r>
    </w:p>
    <w:p>
      <w:pPr>
        <w:spacing w:line="300" w:lineRule="auto"/>
        <w:ind w:firstLine="420" w:firstLineChars="200"/>
        <w:rPr>
          <w:rFonts w:ascii="宋体" w:hAnsi="宋体"/>
          <w:color w:val="auto"/>
          <w:szCs w:val="21"/>
          <w:highlight w:val="none"/>
        </w:rPr>
      </w:pPr>
      <w:r>
        <w:rPr>
          <w:rFonts w:ascii="宋体" w:hAnsi="宋体"/>
          <w:color w:val="auto"/>
          <w:szCs w:val="21"/>
          <w:highlight w:val="none"/>
        </w:rPr>
        <w:t>（2）承包人对未能通过试运行考核的工程和（或）单项工程，若提出自费调查、调整和修正并被发包人接受时，双方商定相应的调查、修正和试验期限，发包人应为此提供方便。在通过该项考核之前，发包人可暂不按10.6款第（1）项约定提出赔偿。</w:t>
      </w:r>
    </w:p>
    <w:p>
      <w:pPr>
        <w:spacing w:line="300" w:lineRule="auto"/>
        <w:ind w:firstLine="420" w:firstLineChars="200"/>
        <w:rPr>
          <w:rFonts w:ascii="宋体" w:hAnsi="宋体"/>
          <w:color w:val="auto"/>
          <w:szCs w:val="21"/>
          <w:highlight w:val="none"/>
        </w:rPr>
      </w:pPr>
      <w:r>
        <w:rPr>
          <w:rFonts w:ascii="宋体" w:hAnsi="宋体"/>
          <w:color w:val="auto"/>
          <w:szCs w:val="21"/>
          <w:highlight w:val="none"/>
        </w:rPr>
        <w:t>（3）发包人接受了本款第（2）项约定，但在商定的期限内发包人未能给承包人提供方便，致使承包人无法在约定期限内进行调查、调整和修正的，视为该项试运行考核已被通过。</w:t>
      </w:r>
    </w:p>
    <w:p>
      <w:pPr>
        <w:spacing w:before="156" w:beforeLines="50" w:after="156" w:afterLines="50" w:line="300" w:lineRule="auto"/>
        <w:ind w:firstLine="422" w:firstLineChars="200"/>
        <w:rPr>
          <w:rFonts w:ascii="宋体" w:hAnsi="宋体"/>
          <w:b/>
          <w:color w:val="auto"/>
          <w:szCs w:val="21"/>
          <w:highlight w:val="none"/>
        </w:rPr>
      </w:pPr>
      <w:r>
        <w:rPr>
          <w:rFonts w:ascii="宋体" w:hAnsi="宋体"/>
          <w:b/>
          <w:color w:val="auto"/>
          <w:szCs w:val="21"/>
          <w:highlight w:val="none"/>
        </w:rPr>
        <w:t>10.7  竣工后试验及考核验收证书</w:t>
      </w:r>
    </w:p>
    <w:p>
      <w:pPr>
        <w:spacing w:line="300" w:lineRule="auto"/>
        <w:ind w:firstLine="420" w:firstLineChars="200"/>
        <w:rPr>
          <w:rFonts w:ascii="宋体" w:hAnsi="宋体"/>
          <w:color w:val="auto"/>
          <w:szCs w:val="21"/>
          <w:highlight w:val="none"/>
        </w:rPr>
      </w:pPr>
      <w:r>
        <w:rPr>
          <w:rFonts w:ascii="宋体" w:hAnsi="宋体"/>
          <w:color w:val="auto"/>
          <w:szCs w:val="21"/>
          <w:highlight w:val="none"/>
        </w:rPr>
        <w:t>10.7.1  在专用条款中约定按工程和（或）按单项工程颁发竣工后试验及考核验收证书。</w:t>
      </w:r>
    </w:p>
    <w:p>
      <w:pPr>
        <w:spacing w:line="300" w:lineRule="auto"/>
        <w:ind w:firstLine="420" w:firstLineChars="200"/>
        <w:rPr>
          <w:rFonts w:ascii="宋体" w:hAnsi="宋体"/>
          <w:color w:val="auto"/>
          <w:szCs w:val="21"/>
          <w:highlight w:val="none"/>
        </w:rPr>
      </w:pPr>
      <w:r>
        <w:rPr>
          <w:rFonts w:ascii="宋体" w:hAnsi="宋体"/>
          <w:color w:val="auto"/>
          <w:szCs w:val="21"/>
          <w:highlight w:val="none"/>
        </w:rPr>
        <w:t>10.7.2  发包人根据10.3款、10.4款、10.5.1款、10.5.2款及10.6款的约定对通过或视为通过竣工后试验和（或）试运行考核的，应按10.7.1款颁发竣工后试验及考核验收证书。该证书中写明的试运行考核通过的日期和时间，为实际完成考核或视为通过试运行考核的日期和时间。</w:t>
      </w:r>
    </w:p>
    <w:p>
      <w:pPr>
        <w:spacing w:before="156" w:beforeLines="50" w:after="156" w:afterLines="50" w:line="300" w:lineRule="auto"/>
        <w:ind w:firstLine="422" w:firstLineChars="200"/>
        <w:rPr>
          <w:rFonts w:ascii="宋体" w:hAnsi="宋体"/>
          <w:b/>
          <w:color w:val="auto"/>
          <w:szCs w:val="21"/>
          <w:highlight w:val="none"/>
        </w:rPr>
      </w:pPr>
      <w:r>
        <w:rPr>
          <w:rFonts w:ascii="宋体" w:hAnsi="宋体"/>
          <w:b/>
          <w:color w:val="auto"/>
          <w:szCs w:val="21"/>
          <w:highlight w:val="none"/>
        </w:rPr>
        <w:t>10.8  丧失了生产价值和使用价值</w:t>
      </w:r>
    </w:p>
    <w:p>
      <w:pPr>
        <w:spacing w:line="300" w:lineRule="auto"/>
        <w:ind w:firstLine="420" w:firstLineChars="200"/>
        <w:rPr>
          <w:rFonts w:ascii="宋体" w:hAnsi="宋体"/>
          <w:color w:val="auto"/>
          <w:szCs w:val="21"/>
          <w:highlight w:val="none"/>
        </w:rPr>
      </w:pPr>
      <w:r>
        <w:rPr>
          <w:rFonts w:ascii="宋体" w:hAnsi="宋体"/>
          <w:color w:val="auto"/>
          <w:szCs w:val="21"/>
          <w:highlight w:val="none"/>
        </w:rPr>
        <w:t>因承包人的原因，工程和（或）单项工程未能通过竣工后试验，并使整个工程丧失了生产价值或使用价值时，发包人有权提出未能履约的索赔，并扣罚已提交的履约保函。但发包人不得将本合同以外的连带合同损失包括在未履约索赔之中。</w:t>
      </w:r>
    </w:p>
    <w:p>
      <w:pPr>
        <w:spacing w:line="300" w:lineRule="auto"/>
        <w:ind w:firstLine="420" w:firstLineChars="200"/>
        <w:rPr>
          <w:rFonts w:ascii="宋体" w:hAnsi="宋体"/>
          <w:color w:val="auto"/>
          <w:szCs w:val="21"/>
          <w:highlight w:val="none"/>
        </w:rPr>
      </w:pPr>
      <w:r>
        <w:rPr>
          <w:rFonts w:ascii="宋体" w:hAnsi="宋体"/>
          <w:color w:val="auto"/>
          <w:szCs w:val="21"/>
          <w:highlight w:val="none"/>
        </w:rPr>
        <w:t>连带合同损失指市场销售合同损失、市场预计盈利、生产流动资金贷款利息、竣工后试验及试运行考核周期以外所签订的原材料、辅助材料、电力、水、燃料等供应合同损失，以及运输合同等损失，适用法律另有规定除外。</w:t>
      </w:r>
    </w:p>
    <w:p>
      <w:pPr>
        <w:spacing w:before="156" w:beforeLines="50" w:after="156" w:afterLines="50" w:line="300" w:lineRule="auto"/>
        <w:ind w:firstLine="413" w:firstLineChars="196"/>
        <w:rPr>
          <w:rFonts w:ascii="宋体" w:hAnsi="宋体"/>
          <w:b/>
          <w:color w:val="auto"/>
          <w:szCs w:val="21"/>
          <w:highlight w:val="none"/>
        </w:rPr>
      </w:pPr>
      <w:r>
        <w:rPr>
          <w:rFonts w:ascii="宋体" w:hAnsi="宋体"/>
          <w:b/>
          <w:color w:val="auto"/>
          <w:szCs w:val="21"/>
          <w:highlight w:val="none"/>
        </w:rPr>
        <w:t>第11条 质量保修责任</w:t>
      </w:r>
    </w:p>
    <w:p>
      <w:pPr>
        <w:spacing w:before="156" w:beforeLines="50" w:after="156" w:afterLines="50" w:line="300" w:lineRule="auto"/>
        <w:ind w:firstLine="422" w:firstLineChars="200"/>
        <w:rPr>
          <w:rFonts w:ascii="宋体" w:hAnsi="宋体"/>
          <w:b/>
          <w:color w:val="auto"/>
          <w:szCs w:val="21"/>
          <w:highlight w:val="none"/>
        </w:rPr>
      </w:pPr>
      <w:r>
        <w:rPr>
          <w:rFonts w:ascii="宋体" w:hAnsi="宋体"/>
          <w:b/>
          <w:color w:val="auto"/>
          <w:szCs w:val="21"/>
          <w:highlight w:val="none"/>
        </w:rPr>
        <w:t>11.1  质量保修责任书</w:t>
      </w:r>
    </w:p>
    <w:p>
      <w:pPr>
        <w:spacing w:line="300" w:lineRule="auto"/>
        <w:ind w:firstLine="420" w:firstLineChars="200"/>
        <w:rPr>
          <w:rFonts w:ascii="宋体" w:hAnsi="宋体"/>
          <w:color w:val="auto"/>
          <w:szCs w:val="21"/>
          <w:highlight w:val="none"/>
        </w:rPr>
      </w:pPr>
      <w:r>
        <w:rPr>
          <w:rFonts w:ascii="宋体" w:hAnsi="宋体"/>
          <w:color w:val="auto"/>
          <w:szCs w:val="21"/>
          <w:highlight w:val="none"/>
        </w:rPr>
        <w:t>11.1.1  质量保修责任书。</w:t>
      </w:r>
    </w:p>
    <w:p>
      <w:pPr>
        <w:spacing w:line="300" w:lineRule="auto"/>
        <w:ind w:firstLine="420" w:firstLineChars="200"/>
        <w:rPr>
          <w:rFonts w:ascii="宋体" w:hAnsi="宋体"/>
          <w:color w:val="auto"/>
          <w:szCs w:val="21"/>
          <w:highlight w:val="none"/>
        </w:rPr>
      </w:pPr>
      <w:r>
        <w:rPr>
          <w:rFonts w:ascii="宋体" w:hAnsi="宋体"/>
          <w:color w:val="auto"/>
          <w:szCs w:val="21"/>
          <w:highlight w:val="none"/>
        </w:rPr>
        <w:t>按照相关法律规定签订质量保修责任书是竣工验收的条件之一。双方应按法律规定的保修内容、范围、期限和责任，签订质量保修责任书，作为本合同附件。9.2.1款接收证书中写明的单项工程和（或）工程的接收日期，或单项工程和（或）工程视为被接收的日期，是承包人保修责任开始的日期，也是缺陷责任期的开始日期。</w:t>
      </w:r>
    </w:p>
    <w:p>
      <w:pPr>
        <w:spacing w:line="300" w:lineRule="auto"/>
        <w:ind w:firstLine="420" w:firstLineChars="200"/>
        <w:rPr>
          <w:rFonts w:ascii="宋体" w:hAnsi="宋体"/>
          <w:color w:val="auto"/>
          <w:szCs w:val="21"/>
          <w:highlight w:val="none"/>
        </w:rPr>
      </w:pPr>
      <w:r>
        <w:rPr>
          <w:rFonts w:ascii="宋体" w:hAnsi="宋体"/>
          <w:color w:val="auto"/>
          <w:szCs w:val="21"/>
          <w:highlight w:val="none"/>
        </w:rPr>
        <w:t>11.1.2  未能提交质量保修责任书</w:t>
      </w:r>
    </w:p>
    <w:p>
      <w:pPr>
        <w:spacing w:line="300" w:lineRule="auto"/>
        <w:ind w:firstLine="420" w:firstLineChars="200"/>
        <w:rPr>
          <w:rFonts w:ascii="宋体" w:hAnsi="宋体"/>
          <w:color w:val="auto"/>
          <w:szCs w:val="21"/>
          <w:highlight w:val="none"/>
        </w:rPr>
      </w:pPr>
      <w:r>
        <w:rPr>
          <w:rFonts w:ascii="宋体" w:hAnsi="宋体"/>
          <w:color w:val="auto"/>
          <w:szCs w:val="21"/>
          <w:highlight w:val="none"/>
        </w:rPr>
        <w:t>承包人未能提交质量保修责任书、无正当理由不与发包人签订质量保修责任书，发包人可不与承包人办理竣工结算，不承担尚未支付的竣工结算款项的相应利息，即使合同已约定延期支付利息。</w:t>
      </w:r>
    </w:p>
    <w:p>
      <w:pPr>
        <w:spacing w:line="300" w:lineRule="auto"/>
        <w:ind w:firstLine="420" w:firstLineChars="200"/>
        <w:rPr>
          <w:rFonts w:ascii="宋体" w:hAnsi="宋体"/>
          <w:color w:val="auto"/>
          <w:szCs w:val="21"/>
          <w:highlight w:val="none"/>
        </w:rPr>
      </w:pPr>
      <w:r>
        <w:rPr>
          <w:rFonts w:ascii="宋体" w:hAnsi="宋体"/>
          <w:color w:val="auto"/>
          <w:szCs w:val="21"/>
          <w:highlight w:val="none"/>
        </w:rPr>
        <w:t>如承包人提交了质量保修责任书，提请与发包人签订该责任书并在合同中约定了延期付款利息，但因发包人原因未能及时签署质量保修责任书，发包人应从接到该责任书的第11日起承担竣工结算款项延期支付的利息。</w:t>
      </w:r>
    </w:p>
    <w:p>
      <w:pPr>
        <w:spacing w:before="156" w:beforeLines="50" w:after="156" w:afterLines="50" w:line="300" w:lineRule="auto"/>
        <w:ind w:firstLine="422" w:firstLineChars="200"/>
        <w:rPr>
          <w:rFonts w:ascii="宋体" w:hAnsi="宋体"/>
          <w:b/>
          <w:color w:val="auto"/>
          <w:szCs w:val="21"/>
          <w:highlight w:val="none"/>
        </w:rPr>
      </w:pPr>
      <w:r>
        <w:rPr>
          <w:rFonts w:ascii="宋体" w:hAnsi="宋体"/>
          <w:b/>
          <w:color w:val="auto"/>
          <w:szCs w:val="21"/>
          <w:highlight w:val="none"/>
        </w:rPr>
        <w:t>11.2  缺陷责任保修金</w:t>
      </w:r>
    </w:p>
    <w:p>
      <w:pPr>
        <w:spacing w:line="300" w:lineRule="auto"/>
        <w:ind w:firstLine="420" w:firstLineChars="200"/>
        <w:rPr>
          <w:rFonts w:ascii="宋体" w:hAnsi="宋体"/>
          <w:color w:val="auto"/>
          <w:szCs w:val="21"/>
          <w:highlight w:val="none"/>
        </w:rPr>
      </w:pPr>
      <w:r>
        <w:rPr>
          <w:rFonts w:ascii="宋体" w:hAnsi="宋体"/>
          <w:color w:val="auto"/>
          <w:szCs w:val="21"/>
          <w:highlight w:val="none"/>
        </w:rPr>
        <w:t>11.2.1  缺陷责任保修金金额</w:t>
      </w:r>
    </w:p>
    <w:p>
      <w:pPr>
        <w:spacing w:line="300" w:lineRule="auto"/>
        <w:ind w:firstLine="420" w:firstLineChars="200"/>
        <w:rPr>
          <w:rFonts w:ascii="宋体" w:hAnsi="宋体"/>
          <w:color w:val="auto"/>
          <w:szCs w:val="21"/>
          <w:highlight w:val="none"/>
        </w:rPr>
      </w:pPr>
      <w:r>
        <w:rPr>
          <w:rFonts w:ascii="宋体" w:hAnsi="宋体"/>
          <w:color w:val="auto"/>
          <w:szCs w:val="21"/>
          <w:highlight w:val="none"/>
        </w:rPr>
        <w:t>缺陷责任保修金的金额，在专用条款中的约定。</w:t>
      </w:r>
    </w:p>
    <w:p>
      <w:pPr>
        <w:spacing w:line="300" w:lineRule="auto"/>
        <w:ind w:firstLine="420" w:firstLineChars="200"/>
        <w:rPr>
          <w:rFonts w:ascii="宋体" w:hAnsi="宋体"/>
          <w:color w:val="auto"/>
          <w:szCs w:val="21"/>
          <w:highlight w:val="none"/>
        </w:rPr>
      </w:pPr>
      <w:r>
        <w:rPr>
          <w:rFonts w:ascii="宋体" w:hAnsi="宋体"/>
          <w:color w:val="auto"/>
          <w:szCs w:val="21"/>
          <w:highlight w:val="none"/>
        </w:rPr>
        <w:t>11.2.2  缺陷责任保修金的暂扣</w:t>
      </w:r>
    </w:p>
    <w:p>
      <w:pPr>
        <w:spacing w:line="300" w:lineRule="auto"/>
        <w:ind w:firstLine="420" w:firstLineChars="200"/>
        <w:rPr>
          <w:rFonts w:ascii="宋体" w:hAnsi="宋体"/>
          <w:color w:val="auto"/>
          <w:szCs w:val="21"/>
          <w:highlight w:val="none"/>
        </w:rPr>
      </w:pPr>
      <w:r>
        <w:rPr>
          <w:rFonts w:ascii="宋体" w:hAnsi="宋体"/>
          <w:color w:val="auto"/>
          <w:szCs w:val="21"/>
          <w:highlight w:val="none"/>
        </w:rPr>
        <w:t>缺陷责任保修金的暂扣方式，在专用条款中约定。</w:t>
      </w:r>
    </w:p>
    <w:p>
      <w:pPr>
        <w:spacing w:line="300" w:lineRule="auto"/>
        <w:ind w:firstLine="420" w:firstLineChars="200"/>
        <w:rPr>
          <w:rFonts w:ascii="宋体" w:hAnsi="宋体"/>
          <w:color w:val="auto"/>
          <w:szCs w:val="21"/>
          <w:highlight w:val="none"/>
        </w:rPr>
      </w:pPr>
      <w:r>
        <w:rPr>
          <w:rFonts w:ascii="宋体" w:hAnsi="宋体"/>
          <w:color w:val="auto"/>
          <w:szCs w:val="21"/>
          <w:highlight w:val="none"/>
        </w:rPr>
        <w:t>11.2.3  缺陷责任保修金的支付。</w:t>
      </w:r>
    </w:p>
    <w:p>
      <w:pPr>
        <w:spacing w:line="300" w:lineRule="auto"/>
        <w:ind w:firstLine="420" w:firstLineChars="200"/>
        <w:rPr>
          <w:rFonts w:ascii="宋体" w:hAnsi="宋体"/>
          <w:color w:val="auto"/>
          <w:szCs w:val="21"/>
          <w:highlight w:val="none"/>
        </w:rPr>
      </w:pPr>
      <w:r>
        <w:rPr>
          <w:rFonts w:ascii="宋体" w:hAnsi="宋体"/>
          <w:color w:val="auto"/>
          <w:szCs w:val="21"/>
          <w:highlight w:val="none"/>
        </w:rPr>
        <w:t>发包人应依据第14.5.2款缺陷责任保修金支付的约定，支付被暂扣的缺陷责任保修金。</w:t>
      </w:r>
    </w:p>
    <w:p>
      <w:pPr>
        <w:spacing w:before="156" w:beforeLines="50" w:after="156" w:afterLines="50" w:line="300" w:lineRule="auto"/>
        <w:ind w:firstLine="413" w:firstLineChars="196"/>
        <w:rPr>
          <w:rFonts w:ascii="宋体" w:hAnsi="宋体"/>
          <w:b/>
          <w:color w:val="auto"/>
          <w:szCs w:val="21"/>
          <w:highlight w:val="none"/>
        </w:rPr>
      </w:pPr>
      <w:r>
        <w:rPr>
          <w:rFonts w:ascii="宋体" w:hAnsi="宋体"/>
          <w:b/>
          <w:color w:val="auto"/>
          <w:szCs w:val="21"/>
          <w:highlight w:val="none"/>
        </w:rPr>
        <w:t>第12条  工程竣工验收</w:t>
      </w:r>
    </w:p>
    <w:p>
      <w:pPr>
        <w:spacing w:before="156" w:beforeLines="50" w:after="156" w:afterLines="50" w:line="300" w:lineRule="auto"/>
        <w:ind w:firstLine="422" w:firstLineChars="200"/>
        <w:rPr>
          <w:rFonts w:ascii="宋体" w:hAnsi="宋体"/>
          <w:b/>
          <w:color w:val="auto"/>
          <w:szCs w:val="21"/>
          <w:highlight w:val="none"/>
        </w:rPr>
      </w:pPr>
      <w:r>
        <w:rPr>
          <w:rFonts w:ascii="宋体" w:hAnsi="宋体"/>
          <w:b/>
          <w:color w:val="auto"/>
          <w:szCs w:val="21"/>
          <w:highlight w:val="none"/>
        </w:rPr>
        <w:t>12.1  竣工验收报告及完整的竣工资料</w:t>
      </w:r>
    </w:p>
    <w:p>
      <w:pPr>
        <w:spacing w:line="300" w:lineRule="auto"/>
        <w:ind w:firstLine="420" w:firstLineChars="200"/>
        <w:rPr>
          <w:rFonts w:ascii="宋体" w:hAnsi="宋体"/>
          <w:color w:val="auto"/>
          <w:szCs w:val="21"/>
          <w:highlight w:val="none"/>
        </w:rPr>
      </w:pPr>
      <w:r>
        <w:rPr>
          <w:rFonts w:ascii="宋体" w:hAnsi="宋体"/>
          <w:color w:val="auto"/>
          <w:szCs w:val="21"/>
          <w:highlight w:val="none"/>
        </w:rPr>
        <w:t>12.1.1  工程符合9.1款工程接收的相关约定，和（或）发包人已按10.7款的约定颁发了竣工后试验及考核验收证书，且承包人完成了9.2.2款约定的扫尾工程和缺陷修复，经发包人或监理人验收后，承包人应依据8.1.1款（1）、（2）、（3）项、8.2款竣工试验的检验与验收、10.3.3款第（4）项竣工后试验及其试运行考核结果等资料，向发包人提交竣工验收报告和完整的工程竣工资料。竣工验收报告和完整的竣工资料的格式、内容和份数在专用条款约定。</w:t>
      </w:r>
    </w:p>
    <w:p>
      <w:pPr>
        <w:spacing w:line="300" w:lineRule="auto"/>
        <w:ind w:firstLine="420" w:firstLineChars="200"/>
        <w:rPr>
          <w:rFonts w:ascii="宋体" w:hAnsi="宋体"/>
          <w:color w:val="auto"/>
          <w:szCs w:val="21"/>
          <w:highlight w:val="none"/>
        </w:rPr>
      </w:pPr>
      <w:r>
        <w:rPr>
          <w:rFonts w:ascii="宋体" w:hAnsi="宋体"/>
          <w:color w:val="auto"/>
          <w:szCs w:val="21"/>
          <w:highlight w:val="none"/>
        </w:rPr>
        <w:t>12.1.2  发包人应在接到竣工验收报告和完整的竣工资料后25日内提出修改意见或予以确认，承包人应按照发包人的意见自费对竣工验收报告和竣工资料进行修改。25日内发包人未提出修改意见，视为竣工资料和竣工验收报告已被确认。</w:t>
      </w:r>
    </w:p>
    <w:p>
      <w:pPr>
        <w:spacing w:line="300" w:lineRule="auto"/>
        <w:ind w:firstLine="420" w:firstLineChars="200"/>
        <w:rPr>
          <w:rFonts w:ascii="宋体" w:hAnsi="宋体"/>
          <w:color w:val="auto"/>
          <w:szCs w:val="21"/>
          <w:highlight w:val="none"/>
        </w:rPr>
      </w:pPr>
      <w:r>
        <w:rPr>
          <w:rFonts w:ascii="宋体" w:hAnsi="宋体"/>
          <w:color w:val="auto"/>
          <w:szCs w:val="21"/>
          <w:highlight w:val="none"/>
        </w:rPr>
        <w:t>12.1.3  分期建设、分期投产或分期使用的工程，按12.1.1款及12.1.2款的约定办理。</w:t>
      </w:r>
    </w:p>
    <w:p>
      <w:pPr>
        <w:spacing w:before="156" w:beforeLines="50" w:after="156" w:afterLines="50" w:line="300" w:lineRule="auto"/>
        <w:ind w:firstLine="422" w:firstLineChars="200"/>
        <w:rPr>
          <w:rFonts w:ascii="宋体" w:hAnsi="宋体"/>
          <w:b/>
          <w:color w:val="auto"/>
          <w:szCs w:val="21"/>
          <w:highlight w:val="none"/>
        </w:rPr>
      </w:pPr>
      <w:r>
        <w:rPr>
          <w:rFonts w:ascii="宋体" w:hAnsi="宋体"/>
          <w:b/>
          <w:color w:val="auto"/>
          <w:szCs w:val="21"/>
          <w:highlight w:val="none"/>
        </w:rPr>
        <w:t>12.2  竣工验收</w:t>
      </w:r>
    </w:p>
    <w:p>
      <w:pPr>
        <w:spacing w:line="300" w:lineRule="auto"/>
        <w:ind w:firstLine="420" w:firstLineChars="200"/>
        <w:rPr>
          <w:rFonts w:ascii="宋体" w:hAnsi="宋体"/>
          <w:color w:val="auto"/>
          <w:szCs w:val="21"/>
          <w:highlight w:val="none"/>
        </w:rPr>
      </w:pPr>
      <w:r>
        <w:rPr>
          <w:rFonts w:ascii="宋体" w:hAnsi="宋体"/>
          <w:color w:val="auto"/>
          <w:szCs w:val="21"/>
          <w:highlight w:val="none"/>
        </w:rPr>
        <w:t>12.2.1  组织竣工验收</w:t>
      </w:r>
    </w:p>
    <w:p>
      <w:pPr>
        <w:spacing w:line="300" w:lineRule="auto"/>
        <w:ind w:firstLine="420" w:firstLineChars="200"/>
        <w:rPr>
          <w:rFonts w:ascii="宋体" w:hAnsi="宋体"/>
          <w:color w:val="auto"/>
          <w:szCs w:val="21"/>
          <w:highlight w:val="none"/>
        </w:rPr>
      </w:pPr>
      <w:r>
        <w:rPr>
          <w:rFonts w:ascii="宋体" w:hAnsi="宋体"/>
          <w:color w:val="auto"/>
          <w:szCs w:val="21"/>
          <w:highlight w:val="none"/>
        </w:rPr>
        <w:t>发包人应在接到竣工验收报告和完整的竣工资料，并根据12.1.2款的约定被确认后的30日内，组织竣工验收。</w:t>
      </w:r>
    </w:p>
    <w:p>
      <w:pPr>
        <w:spacing w:line="300" w:lineRule="auto"/>
        <w:ind w:firstLine="420" w:firstLineChars="200"/>
        <w:rPr>
          <w:rFonts w:ascii="宋体" w:hAnsi="宋体"/>
          <w:color w:val="auto"/>
          <w:szCs w:val="21"/>
          <w:highlight w:val="none"/>
        </w:rPr>
      </w:pPr>
      <w:r>
        <w:rPr>
          <w:rFonts w:ascii="宋体" w:hAnsi="宋体"/>
          <w:color w:val="auto"/>
          <w:szCs w:val="21"/>
          <w:highlight w:val="none"/>
        </w:rPr>
        <w:t>12.2.2  延后组织的竣工验收</w:t>
      </w:r>
    </w:p>
    <w:p>
      <w:pPr>
        <w:spacing w:line="300" w:lineRule="auto"/>
        <w:ind w:firstLine="420" w:firstLineChars="200"/>
        <w:rPr>
          <w:rFonts w:ascii="宋体" w:hAnsi="宋体"/>
          <w:color w:val="auto"/>
          <w:szCs w:val="21"/>
          <w:highlight w:val="none"/>
        </w:rPr>
      </w:pPr>
      <w:r>
        <w:rPr>
          <w:rFonts w:ascii="宋体" w:hAnsi="宋体"/>
          <w:color w:val="auto"/>
          <w:szCs w:val="21"/>
          <w:highlight w:val="none"/>
        </w:rPr>
        <w:t>发包人未能根据12.2.1款的约定，在30日内组织竣工验收时，按照14.12.1至14.12.3款的约定，结清竣工结算的款项。</w:t>
      </w:r>
    </w:p>
    <w:p>
      <w:pPr>
        <w:spacing w:line="300" w:lineRule="auto"/>
        <w:ind w:firstLine="420" w:firstLineChars="200"/>
        <w:rPr>
          <w:rFonts w:ascii="宋体" w:hAnsi="宋体"/>
          <w:color w:val="auto"/>
          <w:szCs w:val="21"/>
          <w:highlight w:val="none"/>
        </w:rPr>
      </w:pPr>
      <w:r>
        <w:rPr>
          <w:rFonts w:ascii="宋体" w:hAnsi="宋体"/>
          <w:color w:val="auto"/>
          <w:szCs w:val="21"/>
          <w:highlight w:val="none"/>
        </w:rPr>
        <w:t>在12.2.1款约定的时间之后，发包人进行竣工验收时，承包人有义务参加。发包人在验收后的25日内，对承包人的竣工验收报告或竣工资料提出的进一步修改意见，承包人应按照发包人的意见自费修改。</w:t>
      </w:r>
    </w:p>
    <w:p>
      <w:pPr>
        <w:spacing w:line="300" w:lineRule="auto"/>
        <w:ind w:firstLine="420" w:firstLineChars="200"/>
        <w:rPr>
          <w:rFonts w:ascii="宋体" w:hAnsi="宋体"/>
          <w:color w:val="auto"/>
          <w:szCs w:val="21"/>
          <w:highlight w:val="none"/>
        </w:rPr>
      </w:pPr>
      <w:r>
        <w:rPr>
          <w:rFonts w:ascii="宋体" w:hAnsi="宋体"/>
          <w:color w:val="auto"/>
          <w:szCs w:val="21"/>
          <w:highlight w:val="none"/>
        </w:rPr>
        <w:t>12.2.3  分期竣工验收</w:t>
      </w:r>
    </w:p>
    <w:p>
      <w:pPr>
        <w:spacing w:line="300" w:lineRule="auto"/>
        <w:ind w:firstLine="420" w:firstLineChars="200"/>
        <w:rPr>
          <w:rFonts w:ascii="宋体" w:hAnsi="宋体"/>
          <w:color w:val="auto"/>
          <w:szCs w:val="21"/>
          <w:highlight w:val="none"/>
        </w:rPr>
      </w:pPr>
      <w:r>
        <w:rPr>
          <w:rFonts w:ascii="宋体" w:hAnsi="宋体"/>
          <w:color w:val="auto"/>
          <w:szCs w:val="21"/>
          <w:highlight w:val="none"/>
        </w:rPr>
        <w:t>分期建设、分期投产或分期使用的合同工程的竣工验收，按12.1.3款、12.2.1款的约定，分期组织竣工验收。</w:t>
      </w:r>
    </w:p>
    <w:p>
      <w:pPr>
        <w:spacing w:before="156" w:beforeLines="50" w:after="156" w:afterLines="50" w:line="300" w:lineRule="auto"/>
        <w:ind w:firstLine="413" w:firstLineChars="196"/>
        <w:rPr>
          <w:rFonts w:ascii="宋体" w:hAnsi="宋体"/>
          <w:b/>
          <w:color w:val="auto"/>
          <w:szCs w:val="21"/>
          <w:highlight w:val="none"/>
        </w:rPr>
      </w:pPr>
      <w:r>
        <w:rPr>
          <w:rFonts w:ascii="宋体" w:hAnsi="宋体"/>
          <w:b/>
          <w:color w:val="auto"/>
          <w:szCs w:val="21"/>
          <w:highlight w:val="none"/>
        </w:rPr>
        <w:t>第13条  变更和合同价格调整</w:t>
      </w:r>
    </w:p>
    <w:p>
      <w:pPr>
        <w:spacing w:before="156" w:beforeLines="50" w:after="156" w:afterLines="50" w:line="300" w:lineRule="auto"/>
        <w:ind w:firstLine="422" w:firstLineChars="200"/>
        <w:rPr>
          <w:rFonts w:ascii="宋体" w:hAnsi="宋体"/>
          <w:b/>
          <w:color w:val="auto"/>
          <w:szCs w:val="21"/>
          <w:highlight w:val="none"/>
        </w:rPr>
      </w:pPr>
      <w:r>
        <w:rPr>
          <w:rFonts w:ascii="宋体" w:hAnsi="宋体"/>
          <w:b/>
          <w:color w:val="auto"/>
          <w:szCs w:val="21"/>
          <w:highlight w:val="none"/>
        </w:rPr>
        <w:t>13.1  变更权</w:t>
      </w:r>
    </w:p>
    <w:p>
      <w:pPr>
        <w:spacing w:line="300" w:lineRule="auto"/>
        <w:ind w:firstLine="420" w:firstLineChars="200"/>
        <w:rPr>
          <w:rFonts w:ascii="宋体" w:hAnsi="宋体"/>
          <w:color w:val="auto"/>
          <w:szCs w:val="21"/>
          <w:highlight w:val="none"/>
        </w:rPr>
      </w:pPr>
      <w:r>
        <w:rPr>
          <w:rFonts w:ascii="宋体" w:hAnsi="宋体"/>
          <w:color w:val="auto"/>
          <w:szCs w:val="21"/>
          <w:highlight w:val="none"/>
        </w:rPr>
        <w:t>13.1.1  变更权</w:t>
      </w:r>
    </w:p>
    <w:p>
      <w:pPr>
        <w:spacing w:line="300" w:lineRule="auto"/>
        <w:ind w:firstLine="420" w:firstLineChars="200"/>
        <w:rPr>
          <w:rFonts w:ascii="宋体" w:hAnsi="宋体"/>
          <w:color w:val="auto"/>
          <w:szCs w:val="21"/>
          <w:highlight w:val="none"/>
        </w:rPr>
      </w:pPr>
      <w:r>
        <w:rPr>
          <w:rFonts w:ascii="宋体" w:hAnsi="宋体"/>
          <w:color w:val="auto"/>
          <w:szCs w:val="21"/>
          <w:highlight w:val="none"/>
        </w:rPr>
        <w:t>发包人拥有批准变更的权限。自合同生效后至工程竣工验收前的任何时间内，发包人有权依据监理人的建议、承包人的建议，及13.2款约定的变更范围，下达变更指令。变更指令以书面形式发出。</w:t>
      </w:r>
    </w:p>
    <w:p>
      <w:pPr>
        <w:spacing w:line="300" w:lineRule="auto"/>
        <w:ind w:firstLine="420" w:firstLineChars="200"/>
        <w:rPr>
          <w:rFonts w:ascii="宋体" w:hAnsi="宋体"/>
          <w:color w:val="auto"/>
          <w:szCs w:val="21"/>
          <w:highlight w:val="none"/>
        </w:rPr>
      </w:pPr>
      <w:r>
        <w:rPr>
          <w:rFonts w:ascii="宋体" w:hAnsi="宋体"/>
          <w:color w:val="auto"/>
          <w:szCs w:val="21"/>
          <w:highlight w:val="none"/>
        </w:rPr>
        <w:t>13.1.2  变更</w:t>
      </w:r>
    </w:p>
    <w:p>
      <w:pPr>
        <w:spacing w:line="300" w:lineRule="auto"/>
        <w:ind w:firstLine="420" w:firstLineChars="200"/>
        <w:rPr>
          <w:rFonts w:ascii="宋体" w:hAnsi="宋体"/>
          <w:color w:val="auto"/>
          <w:szCs w:val="21"/>
          <w:highlight w:val="none"/>
        </w:rPr>
      </w:pPr>
      <w:r>
        <w:rPr>
          <w:rFonts w:ascii="宋体" w:hAnsi="宋体"/>
          <w:color w:val="auto"/>
          <w:szCs w:val="21"/>
          <w:highlight w:val="none"/>
        </w:rPr>
        <w:t>由发包人批准并发出的书面变更指令，属于变更。包括发包人直接下达的变更指令、或经发包人批准的由监理人下达的变更指令。</w:t>
      </w:r>
    </w:p>
    <w:p>
      <w:pPr>
        <w:spacing w:line="300" w:lineRule="auto"/>
        <w:ind w:firstLine="420" w:firstLineChars="200"/>
        <w:rPr>
          <w:rFonts w:ascii="宋体" w:hAnsi="宋体"/>
          <w:color w:val="auto"/>
          <w:szCs w:val="21"/>
          <w:highlight w:val="none"/>
        </w:rPr>
      </w:pPr>
      <w:r>
        <w:rPr>
          <w:rFonts w:ascii="宋体" w:hAnsi="宋体"/>
          <w:color w:val="auto"/>
          <w:szCs w:val="21"/>
          <w:highlight w:val="none"/>
        </w:rPr>
        <w:t>承包人对自身的设计、采购、施工、竣工试验、竣工后试验存在的缺陷，应自费修正、调整和完善，不属于变更。</w:t>
      </w:r>
    </w:p>
    <w:p>
      <w:pPr>
        <w:spacing w:line="300" w:lineRule="auto"/>
        <w:ind w:firstLine="420" w:firstLineChars="200"/>
        <w:rPr>
          <w:rFonts w:ascii="宋体" w:hAnsi="宋体"/>
          <w:color w:val="auto"/>
          <w:szCs w:val="21"/>
          <w:highlight w:val="none"/>
        </w:rPr>
      </w:pPr>
      <w:r>
        <w:rPr>
          <w:rFonts w:ascii="宋体" w:hAnsi="宋体"/>
          <w:color w:val="auto"/>
          <w:szCs w:val="21"/>
          <w:highlight w:val="none"/>
        </w:rPr>
        <w:t>13.1.3  变更建议权</w:t>
      </w:r>
    </w:p>
    <w:p>
      <w:pPr>
        <w:spacing w:line="300" w:lineRule="auto"/>
        <w:ind w:firstLine="420" w:firstLineChars="200"/>
        <w:rPr>
          <w:rFonts w:ascii="宋体" w:hAnsi="宋体"/>
          <w:color w:val="auto"/>
          <w:szCs w:val="21"/>
          <w:highlight w:val="none"/>
        </w:rPr>
      </w:pPr>
      <w:r>
        <w:rPr>
          <w:rFonts w:ascii="宋体" w:hAnsi="宋体"/>
          <w:color w:val="auto"/>
          <w:szCs w:val="21"/>
          <w:highlight w:val="none"/>
        </w:rPr>
        <w:t>承包人有义务随时向发包人提交书面变更建议，包括缩短工期，降低发包人的工程、施工、维护、营运的费用，提高竣工工程的效率或价值，给发包人带来的长远利益和其它利益。发包人接到此类建议后，应发出不采纳、采纳或补充进一步资料的书面通知。</w:t>
      </w:r>
    </w:p>
    <w:p>
      <w:pPr>
        <w:spacing w:before="156" w:beforeLines="50" w:after="156" w:afterLines="50" w:line="300" w:lineRule="auto"/>
        <w:ind w:firstLine="422" w:firstLineChars="200"/>
        <w:rPr>
          <w:rFonts w:ascii="宋体" w:hAnsi="宋体"/>
          <w:b/>
          <w:color w:val="auto"/>
          <w:szCs w:val="21"/>
          <w:highlight w:val="none"/>
        </w:rPr>
      </w:pPr>
      <w:r>
        <w:rPr>
          <w:rFonts w:ascii="宋体" w:hAnsi="宋体"/>
          <w:b/>
          <w:color w:val="auto"/>
          <w:szCs w:val="21"/>
          <w:highlight w:val="none"/>
        </w:rPr>
        <w:t>13.2  变更范围</w:t>
      </w:r>
    </w:p>
    <w:p>
      <w:pPr>
        <w:spacing w:line="300" w:lineRule="auto"/>
        <w:ind w:firstLine="420" w:firstLineChars="200"/>
        <w:rPr>
          <w:rFonts w:ascii="宋体" w:hAnsi="宋体"/>
          <w:color w:val="auto"/>
          <w:szCs w:val="21"/>
          <w:highlight w:val="none"/>
        </w:rPr>
      </w:pPr>
      <w:r>
        <w:rPr>
          <w:rFonts w:ascii="宋体" w:hAnsi="宋体"/>
          <w:color w:val="auto"/>
          <w:szCs w:val="21"/>
          <w:highlight w:val="none"/>
        </w:rPr>
        <w:t>13.2.1  设计变更范围</w:t>
      </w:r>
    </w:p>
    <w:p>
      <w:pPr>
        <w:spacing w:line="300" w:lineRule="auto"/>
        <w:ind w:firstLine="420" w:firstLineChars="200"/>
        <w:rPr>
          <w:rFonts w:ascii="宋体" w:hAnsi="宋体"/>
          <w:color w:val="auto"/>
          <w:szCs w:val="21"/>
          <w:highlight w:val="none"/>
        </w:rPr>
      </w:pPr>
      <w:r>
        <w:rPr>
          <w:rFonts w:ascii="宋体" w:hAnsi="宋体"/>
          <w:color w:val="auto"/>
          <w:szCs w:val="21"/>
          <w:highlight w:val="none"/>
        </w:rPr>
        <w:t>（1） 对生产工艺流程的调整，但未扩大或缩小初步设计批准的生产路线和规模、或未扩大或缩小合同约定的生产路线和规模；</w:t>
      </w:r>
    </w:p>
    <w:p>
      <w:pPr>
        <w:spacing w:line="300" w:lineRule="auto"/>
        <w:ind w:firstLine="420" w:firstLineChars="200"/>
        <w:rPr>
          <w:rFonts w:ascii="宋体" w:hAnsi="宋体"/>
          <w:color w:val="auto"/>
          <w:szCs w:val="21"/>
          <w:highlight w:val="none"/>
        </w:rPr>
      </w:pPr>
      <w:r>
        <w:rPr>
          <w:rFonts w:ascii="宋体" w:hAnsi="宋体"/>
          <w:color w:val="auto"/>
          <w:szCs w:val="21"/>
          <w:highlight w:val="none"/>
        </w:rPr>
        <w:t>（2） 对平面布置、竖面布置、局部使用功能的调整，但未扩大初步设计批准的建筑规模，未改变初步设计批准的使用功能；或未扩大合同约定的建筑规模，未改变合同约定的使用功能；</w:t>
      </w:r>
    </w:p>
    <w:p>
      <w:pPr>
        <w:spacing w:line="300" w:lineRule="auto"/>
        <w:ind w:firstLine="420" w:firstLineChars="200"/>
        <w:rPr>
          <w:rFonts w:ascii="宋体" w:hAnsi="宋体"/>
          <w:color w:val="auto"/>
          <w:szCs w:val="21"/>
          <w:highlight w:val="none"/>
        </w:rPr>
      </w:pPr>
      <w:r>
        <w:rPr>
          <w:rFonts w:ascii="宋体" w:hAnsi="宋体"/>
          <w:color w:val="auto"/>
          <w:szCs w:val="21"/>
          <w:highlight w:val="none"/>
        </w:rPr>
        <w:t>（3） 对配套工程系统的工艺调整、使用功能调整；</w:t>
      </w:r>
    </w:p>
    <w:p>
      <w:pPr>
        <w:spacing w:line="300" w:lineRule="auto"/>
        <w:ind w:firstLine="420" w:firstLineChars="200"/>
        <w:rPr>
          <w:rFonts w:ascii="宋体" w:hAnsi="宋体"/>
          <w:color w:val="auto"/>
          <w:szCs w:val="21"/>
          <w:highlight w:val="none"/>
        </w:rPr>
      </w:pPr>
      <w:r>
        <w:rPr>
          <w:rFonts w:ascii="宋体" w:hAnsi="宋体"/>
          <w:color w:val="auto"/>
          <w:szCs w:val="21"/>
          <w:highlight w:val="none"/>
        </w:rPr>
        <w:t>（4） 对区域内基准控制点、基准标高和基准线的调整；</w:t>
      </w:r>
    </w:p>
    <w:p>
      <w:pPr>
        <w:spacing w:line="300" w:lineRule="auto"/>
        <w:ind w:firstLine="420" w:firstLineChars="200"/>
        <w:rPr>
          <w:rFonts w:ascii="宋体" w:hAnsi="宋体"/>
          <w:color w:val="auto"/>
          <w:szCs w:val="21"/>
          <w:highlight w:val="none"/>
        </w:rPr>
      </w:pPr>
      <w:r>
        <w:rPr>
          <w:rFonts w:ascii="宋体" w:hAnsi="宋体"/>
          <w:color w:val="auto"/>
          <w:szCs w:val="21"/>
          <w:highlight w:val="none"/>
        </w:rPr>
        <w:t>（5） 对设备、材料、部件的性能、规格和数量的调整；</w:t>
      </w:r>
    </w:p>
    <w:p>
      <w:pPr>
        <w:spacing w:line="300" w:lineRule="auto"/>
        <w:ind w:firstLine="420" w:firstLineChars="200"/>
        <w:rPr>
          <w:rFonts w:ascii="宋体" w:hAnsi="宋体"/>
          <w:color w:val="auto"/>
          <w:szCs w:val="21"/>
          <w:highlight w:val="none"/>
        </w:rPr>
      </w:pPr>
      <w:r>
        <w:rPr>
          <w:rFonts w:ascii="宋体" w:hAnsi="宋体"/>
          <w:color w:val="auto"/>
          <w:szCs w:val="21"/>
          <w:highlight w:val="none"/>
        </w:rPr>
        <w:t>（6） 因执行基准日期之后新颁布的法律、标准、规范引起的变更；</w:t>
      </w:r>
    </w:p>
    <w:p>
      <w:pPr>
        <w:spacing w:line="300" w:lineRule="auto"/>
        <w:ind w:firstLine="420" w:firstLineChars="200"/>
        <w:rPr>
          <w:rFonts w:ascii="宋体" w:hAnsi="宋体"/>
          <w:color w:val="auto"/>
          <w:szCs w:val="21"/>
          <w:highlight w:val="none"/>
        </w:rPr>
      </w:pPr>
      <w:r>
        <w:rPr>
          <w:rFonts w:ascii="宋体" w:hAnsi="宋体"/>
          <w:color w:val="auto"/>
          <w:szCs w:val="21"/>
          <w:highlight w:val="none"/>
        </w:rPr>
        <w:t>（7） 其它超出合同约定的设计事项；</w:t>
      </w:r>
    </w:p>
    <w:p>
      <w:pPr>
        <w:spacing w:line="300" w:lineRule="auto"/>
        <w:ind w:firstLine="420" w:firstLineChars="200"/>
        <w:rPr>
          <w:rFonts w:ascii="宋体" w:hAnsi="宋体"/>
          <w:color w:val="auto"/>
          <w:szCs w:val="21"/>
          <w:highlight w:val="none"/>
        </w:rPr>
      </w:pPr>
      <w:r>
        <w:rPr>
          <w:rFonts w:ascii="宋体" w:hAnsi="宋体"/>
          <w:color w:val="auto"/>
          <w:szCs w:val="21"/>
          <w:highlight w:val="none"/>
        </w:rPr>
        <w:t>（8） 上述变更所需的附加工作。</w:t>
      </w:r>
    </w:p>
    <w:p>
      <w:pPr>
        <w:spacing w:line="300" w:lineRule="auto"/>
        <w:ind w:firstLine="420" w:firstLineChars="200"/>
        <w:rPr>
          <w:rFonts w:ascii="宋体" w:hAnsi="宋体"/>
          <w:color w:val="auto"/>
          <w:szCs w:val="21"/>
          <w:highlight w:val="none"/>
        </w:rPr>
      </w:pPr>
      <w:r>
        <w:rPr>
          <w:rFonts w:ascii="宋体" w:hAnsi="宋体"/>
          <w:color w:val="auto"/>
          <w:szCs w:val="21"/>
          <w:highlight w:val="none"/>
        </w:rPr>
        <w:t>13.2.2  采购变更范围</w:t>
      </w:r>
    </w:p>
    <w:p>
      <w:pPr>
        <w:spacing w:line="300" w:lineRule="auto"/>
        <w:ind w:firstLine="420" w:firstLineChars="200"/>
        <w:rPr>
          <w:rFonts w:ascii="宋体" w:hAnsi="宋体"/>
          <w:color w:val="auto"/>
          <w:szCs w:val="21"/>
          <w:highlight w:val="none"/>
        </w:rPr>
      </w:pPr>
      <w:r>
        <w:rPr>
          <w:rFonts w:ascii="宋体" w:hAnsi="宋体"/>
          <w:color w:val="auto"/>
          <w:szCs w:val="21"/>
          <w:highlight w:val="none"/>
        </w:rPr>
        <w:t>（1）承包人已按发包人批准的名单，与相关供货商签订采购合同或已开始加工制造、供货、运输等，发包人通知承包人选择该名单中的另一家供货商；</w:t>
      </w:r>
    </w:p>
    <w:p>
      <w:pPr>
        <w:spacing w:line="300" w:lineRule="auto"/>
        <w:ind w:firstLine="420" w:firstLineChars="200"/>
        <w:rPr>
          <w:rFonts w:ascii="宋体" w:hAnsi="宋体"/>
          <w:color w:val="auto"/>
          <w:szCs w:val="21"/>
          <w:highlight w:val="none"/>
        </w:rPr>
      </w:pPr>
      <w:r>
        <w:rPr>
          <w:rFonts w:ascii="宋体" w:hAnsi="宋体"/>
          <w:color w:val="auto"/>
          <w:szCs w:val="21"/>
          <w:highlight w:val="none"/>
        </w:rPr>
        <w:t xml:space="preserve">（2）因执行基准日期之后新颁布的法律、标准、规范引起的变更； </w:t>
      </w:r>
    </w:p>
    <w:p>
      <w:pPr>
        <w:spacing w:line="300" w:lineRule="auto"/>
        <w:ind w:firstLine="420" w:firstLineChars="200"/>
        <w:rPr>
          <w:rFonts w:ascii="宋体" w:hAnsi="宋体"/>
          <w:color w:val="auto"/>
          <w:szCs w:val="21"/>
          <w:highlight w:val="none"/>
        </w:rPr>
      </w:pPr>
      <w:r>
        <w:rPr>
          <w:rFonts w:ascii="宋体" w:hAnsi="宋体"/>
          <w:color w:val="auto"/>
          <w:szCs w:val="21"/>
          <w:highlight w:val="none"/>
        </w:rPr>
        <w:t>（3）发包人要求改变检查、检验、检测、试验的地点和增加的附加试验；</w:t>
      </w:r>
    </w:p>
    <w:p>
      <w:pPr>
        <w:spacing w:line="300" w:lineRule="auto"/>
        <w:ind w:firstLine="420" w:firstLineChars="200"/>
        <w:rPr>
          <w:rFonts w:ascii="宋体" w:hAnsi="宋体"/>
          <w:color w:val="auto"/>
          <w:szCs w:val="21"/>
          <w:highlight w:val="none"/>
        </w:rPr>
      </w:pPr>
      <w:r>
        <w:rPr>
          <w:rFonts w:ascii="宋体" w:hAnsi="宋体"/>
          <w:color w:val="auto"/>
          <w:szCs w:val="21"/>
          <w:highlight w:val="none"/>
        </w:rPr>
        <w:t>（4）发包人要求增减合同中约定的备品备件、专用工具、竣工后试验物资的采购数量；</w:t>
      </w:r>
    </w:p>
    <w:p>
      <w:pPr>
        <w:spacing w:line="300" w:lineRule="auto"/>
        <w:ind w:firstLine="420" w:firstLineChars="200"/>
        <w:rPr>
          <w:rFonts w:ascii="宋体" w:hAnsi="宋体"/>
          <w:color w:val="auto"/>
          <w:szCs w:val="21"/>
          <w:highlight w:val="none"/>
        </w:rPr>
      </w:pPr>
      <w:r>
        <w:rPr>
          <w:rFonts w:ascii="宋体" w:hAnsi="宋体"/>
          <w:color w:val="auto"/>
          <w:szCs w:val="21"/>
          <w:highlight w:val="none"/>
        </w:rPr>
        <w:t>（5）上述变更所需的附加工作。</w:t>
      </w:r>
    </w:p>
    <w:p>
      <w:pPr>
        <w:spacing w:line="300" w:lineRule="auto"/>
        <w:ind w:firstLine="420" w:firstLineChars="200"/>
        <w:rPr>
          <w:rFonts w:ascii="宋体" w:hAnsi="宋体"/>
          <w:color w:val="auto"/>
          <w:szCs w:val="21"/>
          <w:highlight w:val="none"/>
        </w:rPr>
      </w:pPr>
      <w:r>
        <w:rPr>
          <w:rFonts w:ascii="宋体" w:hAnsi="宋体"/>
          <w:color w:val="auto"/>
          <w:szCs w:val="21"/>
          <w:highlight w:val="none"/>
        </w:rPr>
        <w:t>13.2.3  施工变更范围</w:t>
      </w:r>
    </w:p>
    <w:p>
      <w:pPr>
        <w:spacing w:line="300" w:lineRule="auto"/>
        <w:ind w:firstLine="420" w:firstLineChars="200"/>
        <w:rPr>
          <w:rFonts w:ascii="宋体" w:hAnsi="宋体"/>
          <w:color w:val="auto"/>
          <w:szCs w:val="21"/>
          <w:highlight w:val="none"/>
        </w:rPr>
      </w:pPr>
      <w:r>
        <w:rPr>
          <w:rFonts w:ascii="宋体" w:hAnsi="宋体"/>
          <w:color w:val="auto"/>
          <w:szCs w:val="21"/>
          <w:highlight w:val="none"/>
        </w:rPr>
        <w:t>（1）根据13.2.1款的设计变更，造成施工方法改变、设备、材料、部件、人工和工程量的增减；</w:t>
      </w:r>
    </w:p>
    <w:p>
      <w:pPr>
        <w:spacing w:line="300" w:lineRule="auto"/>
        <w:ind w:firstLine="420" w:firstLineChars="200"/>
        <w:rPr>
          <w:rFonts w:ascii="宋体" w:hAnsi="宋体"/>
          <w:color w:val="auto"/>
          <w:szCs w:val="21"/>
          <w:highlight w:val="none"/>
        </w:rPr>
      </w:pPr>
      <w:r>
        <w:rPr>
          <w:rFonts w:ascii="宋体" w:hAnsi="宋体"/>
          <w:color w:val="auto"/>
          <w:szCs w:val="21"/>
          <w:highlight w:val="none"/>
        </w:rPr>
        <w:t>（2）发包人要求增加的附加试验、改变试验地点；</w:t>
      </w:r>
    </w:p>
    <w:p>
      <w:pPr>
        <w:spacing w:line="300" w:lineRule="auto"/>
        <w:ind w:firstLine="420" w:firstLineChars="200"/>
        <w:rPr>
          <w:rFonts w:ascii="宋体" w:hAnsi="宋体"/>
          <w:color w:val="auto"/>
          <w:szCs w:val="21"/>
          <w:highlight w:val="none"/>
        </w:rPr>
      </w:pPr>
      <w:r>
        <w:rPr>
          <w:rFonts w:ascii="宋体" w:hAnsi="宋体"/>
          <w:color w:val="auto"/>
          <w:szCs w:val="21"/>
          <w:highlight w:val="none"/>
        </w:rPr>
        <w:t>（3）根据5.2.1款第（1）项、第（2）项之外，新增加的施工障碍处理；</w:t>
      </w:r>
    </w:p>
    <w:p>
      <w:pPr>
        <w:spacing w:line="300" w:lineRule="auto"/>
        <w:ind w:firstLine="420" w:firstLineChars="200"/>
        <w:rPr>
          <w:rFonts w:ascii="宋体" w:hAnsi="宋体"/>
          <w:color w:val="auto"/>
          <w:szCs w:val="21"/>
          <w:highlight w:val="none"/>
        </w:rPr>
      </w:pPr>
      <w:r>
        <w:rPr>
          <w:rFonts w:ascii="宋体" w:hAnsi="宋体"/>
          <w:color w:val="auto"/>
          <w:szCs w:val="21"/>
          <w:highlight w:val="none"/>
        </w:rPr>
        <w:t>（4）发包人对竣工试验经验收或视为验收合格的项目，通知重新进行竣工试验；</w:t>
      </w:r>
    </w:p>
    <w:p>
      <w:pPr>
        <w:spacing w:line="300" w:lineRule="auto"/>
        <w:ind w:firstLine="420" w:firstLineChars="200"/>
        <w:rPr>
          <w:rFonts w:ascii="宋体" w:hAnsi="宋体"/>
          <w:color w:val="auto"/>
          <w:szCs w:val="21"/>
          <w:highlight w:val="none"/>
        </w:rPr>
      </w:pPr>
      <w:r>
        <w:rPr>
          <w:rFonts w:ascii="宋体" w:hAnsi="宋体"/>
          <w:color w:val="auto"/>
          <w:szCs w:val="21"/>
          <w:highlight w:val="none"/>
        </w:rPr>
        <w:t>（5）因执行基准日期之后新颁布的法律、标准、规范引起的变更。</w:t>
      </w:r>
    </w:p>
    <w:p>
      <w:pPr>
        <w:spacing w:line="300" w:lineRule="auto"/>
        <w:ind w:firstLine="420" w:firstLineChars="200"/>
        <w:rPr>
          <w:rFonts w:ascii="宋体" w:hAnsi="宋体"/>
          <w:color w:val="auto"/>
          <w:szCs w:val="21"/>
          <w:highlight w:val="none"/>
        </w:rPr>
      </w:pPr>
      <w:r>
        <w:rPr>
          <w:rFonts w:ascii="宋体" w:hAnsi="宋体"/>
          <w:color w:val="auto"/>
          <w:szCs w:val="21"/>
          <w:highlight w:val="none"/>
        </w:rPr>
        <w:t>（6）现场其他签证；</w:t>
      </w:r>
    </w:p>
    <w:p>
      <w:pPr>
        <w:spacing w:line="300" w:lineRule="auto"/>
        <w:ind w:firstLine="420" w:firstLineChars="200"/>
        <w:rPr>
          <w:rFonts w:ascii="宋体" w:hAnsi="宋体"/>
          <w:color w:val="auto"/>
          <w:szCs w:val="21"/>
          <w:highlight w:val="none"/>
        </w:rPr>
      </w:pPr>
      <w:r>
        <w:rPr>
          <w:rFonts w:ascii="宋体" w:hAnsi="宋体"/>
          <w:color w:val="auto"/>
          <w:szCs w:val="21"/>
          <w:highlight w:val="none"/>
        </w:rPr>
        <w:t>（7）上述变更所需的附加工作。</w:t>
      </w:r>
    </w:p>
    <w:p>
      <w:pPr>
        <w:spacing w:line="300" w:lineRule="auto"/>
        <w:ind w:firstLine="420" w:firstLineChars="200"/>
        <w:rPr>
          <w:rFonts w:ascii="宋体" w:hAnsi="宋体"/>
          <w:color w:val="auto"/>
          <w:szCs w:val="21"/>
          <w:highlight w:val="none"/>
        </w:rPr>
      </w:pPr>
      <w:r>
        <w:rPr>
          <w:rFonts w:ascii="宋体" w:hAnsi="宋体"/>
          <w:color w:val="auto"/>
          <w:szCs w:val="21"/>
          <w:highlight w:val="none"/>
        </w:rPr>
        <w:t>13.2.4  发包人的赶工指令。承包人接受了发包人的书面指示，以发包人认为必要的方式加快设计、施工或其它任何部分的进度时，承包人为实施该赶工指令需对项目进度计划进行调整，并对所增加的措施和资源提出估算，经发包人批准后，作为变更处理。当发包人未能批准此项变更，承包人有权按合同约定的相关阶段的进度计划执行。</w:t>
      </w:r>
    </w:p>
    <w:p>
      <w:pPr>
        <w:spacing w:line="300" w:lineRule="auto"/>
        <w:ind w:firstLine="420" w:firstLineChars="200"/>
        <w:rPr>
          <w:rFonts w:ascii="宋体" w:hAnsi="宋体"/>
          <w:color w:val="auto"/>
          <w:szCs w:val="21"/>
          <w:highlight w:val="none"/>
        </w:rPr>
      </w:pPr>
      <w:r>
        <w:rPr>
          <w:rFonts w:ascii="宋体" w:hAnsi="宋体"/>
          <w:color w:val="auto"/>
          <w:szCs w:val="21"/>
          <w:highlight w:val="none"/>
        </w:rPr>
        <w:t>因承包人原因，实际进度明显落后于上述批准的项目进度计划时，承包人应按4.1.2款的约定，自费赶上；竣工日期延误时，按4.5款的约定承担误期赔偿责任。</w:t>
      </w:r>
    </w:p>
    <w:p>
      <w:pPr>
        <w:spacing w:line="300" w:lineRule="auto"/>
        <w:ind w:firstLine="420" w:firstLineChars="200"/>
        <w:rPr>
          <w:rFonts w:ascii="宋体" w:hAnsi="宋体"/>
          <w:color w:val="auto"/>
          <w:szCs w:val="21"/>
          <w:highlight w:val="none"/>
        </w:rPr>
      </w:pPr>
      <w:r>
        <w:rPr>
          <w:rFonts w:ascii="宋体" w:hAnsi="宋体"/>
          <w:color w:val="auto"/>
          <w:szCs w:val="21"/>
          <w:highlight w:val="none"/>
        </w:rPr>
        <w:t>13.2.5  调减部分工程。发包人的暂停超过45日，承包人请求复工时仍不能复工，或因不可抗力持续而无法继续施工的，双方可按合同约定以变更方式调减受暂停影响的部分工程。</w:t>
      </w:r>
    </w:p>
    <w:p>
      <w:pPr>
        <w:spacing w:line="300" w:lineRule="auto"/>
        <w:ind w:firstLine="420" w:firstLineChars="200"/>
        <w:rPr>
          <w:rFonts w:ascii="宋体" w:hAnsi="宋体"/>
          <w:color w:val="auto"/>
          <w:szCs w:val="21"/>
          <w:highlight w:val="none"/>
        </w:rPr>
      </w:pPr>
      <w:r>
        <w:rPr>
          <w:rFonts w:ascii="宋体" w:hAnsi="宋体"/>
          <w:color w:val="auto"/>
          <w:szCs w:val="21"/>
          <w:highlight w:val="none"/>
        </w:rPr>
        <w:t>13.2.6  其它变更。根据工程的具体特点，在专用条款中约定。</w:t>
      </w:r>
    </w:p>
    <w:p>
      <w:pPr>
        <w:spacing w:before="156" w:beforeLines="50" w:after="156" w:afterLines="50" w:line="300" w:lineRule="auto"/>
        <w:ind w:firstLine="422" w:firstLineChars="200"/>
        <w:rPr>
          <w:rFonts w:ascii="宋体" w:hAnsi="宋体"/>
          <w:b/>
          <w:color w:val="auto"/>
          <w:szCs w:val="21"/>
          <w:highlight w:val="none"/>
        </w:rPr>
      </w:pPr>
      <w:r>
        <w:rPr>
          <w:rFonts w:ascii="宋体" w:hAnsi="宋体"/>
          <w:b/>
          <w:color w:val="auto"/>
          <w:szCs w:val="21"/>
          <w:highlight w:val="none"/>
        </w:rPr>
        <w:t>13.3  变更程序</w:t>
      </w:r>
    </w:p>
    <w:p>
      <w:pPr>
        <w:spacing w:line="300" w:lineRule="auto"/>
        <w:ind w:firstLine="420" w:firstLineChars="200"/>
        <w:rPr>
          <w:rFonts w:ascii="宋体" w:hAnsi="宋体"/>
          <w:color w:val="auto"/>
          <w:szCs w:val="21"/>
          <w:highlight w:val="none"/>
        </w:rPr>
      </w:pPr>
      <w:r>
        <w:rPr>
          <w:rFonts w:ascii="宋体" w:hAnsi="宋体"/>
          <w:color w:val="auto"/>
          <w:szCs w:val="21"/>
          <w:highlight w:val="none"/>
        </w:rPr>
        <w:t xml:space="preserve">13.3.1  变更通知。发包人的变更应事先以书面形式通知承包人。 </w:t>
      </w:r>
    </w:p>
    <w:p>
      <w:pPr>
        <w:spacing w:line="300" w:lineRule="auto"/>
        <w:ind w:firstLine="420" w:firstLineChars="200"/>
        <w:rPr>
          <w:rFonts w:ascii="宋体" w:hAnsi="宋体"/>
          <w:color w:val="auto"/>
          <w:szCs w:val="21"/>
          <w:highlight w:val="none"/>
        </w:rPr>
      </w:pPr>
      <w:r>
        <w:rPr>
          <w:rFonts w:ascii="宋体" w:hAnsi="宋体"/>
          <w:color w:val="auto"/>
          <w:szCs w:val="21"/>
          <w:highlight w:val="none"/>
        </w:rPr>
        <w:t>13.3.2 变更通知的建议报告。承包人接到发包人的变更通知后，有义务在10日内向发包人提交书面建议报告，</w:t>
      </w:r>
    </w:p>
    <w:p>
      <w:pPr>
        <w:spacing w:line="300" w:lineRule="auto"/>
        <w:ind w:firstLine="420" w:firstLineChars="200"/>
        <w:rPr>
          <w:rFonts w:ascii="宋体" w:hAnsi="宋体"/>
          <w:color w:val="auto"/>
          <w:szCs w:val="21"/>
          <w:highlight w:val="none"/>
        </w:rPr>
      </w:pPr>
      <w:r>
        <w:rPr>
          <w:rFonts w:ascii="宋体" w:hAnsi="宋体"/>
          <w:color w:val="auto"/>
          <w:szCs w:val="21"/>
          <w:highlight w:val="none"/>
        </w:rPr>
        <w:t>（1）如承包人接受发包人变更通知中的变更时，建议报告中应包括：支持此项变更的理由、实施此项变更的工作内容、设备、材料、人力、机具、周转材料、消耗材料等资源消耗，以及相关管理费用和合理利润的估算。相关管理费用和合理利润的百分比，应在专用条款约定。此项变更引起竣工日期延长时，应在报告中说明理由，并提交与此变更相关的进度计划。</w:t>
      </w:r>
    </w:p>
    <w:p>
      <w:pPr>
        <w:spacing w:line="300" w:lineRule="auto"/>
        <w:ind w:firstLine="420" w:firstLineChars="200"/>
        <w:rPr>
          <w:rFonts w:ascii="宋体" w:hAnsi="宋体"/>
          <w:color w:val="auto"/>
          <w:szCs w:val="21"/>
          <w:highlight w:val="none"/>
        </w:rPr>
      </w:pPr>
      <w:r>
        <w:rPr>
          <w:rFonts w:ascii="宋体" w:hAnsi="宋体"/>
          <w:color w:val="auto"/>
          <w:szCs w:val="21"/>
          <w:highlight w:val="none"/>
        </w:rPr>
        <w:t>承包人未提交增加费用的估算及竣工日期延长，视为该项变更不涉及合同价格调整和竣工日期延长，发包人不再承担此项变更的任何费用及竣工日期延长的责任。</w:t>
      </w:r>
    </w:p>
    <w:p>
      <w:pPr>
        <w:spacing w:line="300" w:lineRule="auto"/>
        <w:ind w:firstLine="420" w:firstLineChars="200"/>
        <w:rPr>
          <w:rFonts w:ascii="宋体" w:hAnsi="宋体"/>
          <w:color w:val="auto"/>
          <w:szCs w:val="21"/>
          <w:highlight w:val="none"/>
        </w:rPr>
      </w:pPr>
      <w:r>
        <w:rPr>
          <w:rFonts w:ascii="宋体" w:hAnsi="宋体"/>
          <w:color w:val="auto"/>
          <w:szCs w:val="21"/>
          <w:highlight w:val="none"/>
        </w:rPr>
        <w:t>（2）如承包人不接受发包人变更通知中的变更时，建议报告中应包括不支持此项变更的理由，理由包括：</w:t>
      </w:r>
    </w:p>
    <w:p>
      <w:pPr>
        <w:spacing w:line="300" w:lineRule="auto"/>
        <w:ind w:firstLine="743" w:firstLineChars="354"/>
        <w:rPr>
          <w:rFonts w:ascii="宋体" w:hAnsi="宋体"/>
          <w:color w:val="auto"/>
          <w:szCs w:val="21"/>
          <w:highlight w:val="none"/>
        </w:rPr>
      </w:pPr>
      <w:r>
        <w:rPr>
          <w:rFonts w:ascii="宋体" w:hAnsi="宋体"/>
          <w:color w:val="auto"/>
          <w:szCs w:val="21"/>
          <w:highlight w:val="none"/>
        </w:rPr>
        <w:t>1）此变更不符合法律、法规等有关规定；</w:t>
      </w:r>
    </w:p>
    <w:p>
      <w:pPr>
        <w:spacing w:line="300" w:lineRule="auto"/>
        <w:ind w:firstLine="743" w:firstLineChars="354"/>
        <w:rPr>
          <w:rFonts w:ascii="宋体" w:hAnsi="宋体"/>
          <w:color w:val="auto"/>
          <w:szCs w:val="21"/>
          <w:highlight w:val="none"/>
        </w:rPr>
      </w:pPr>
      <w:r>
        <w:rPr>
          <w:rFonts w:ascii="宋体" w:hAnsi="宋体"/>
          <w:color w:val="auto"/>
          <w:szCs w:val="21"/>
          <w:highlight w:val="none"/>
        </w:rPr>
        <w:t>2）承包人难以取得变更所需的特殊设备、材料、部件；</w:t>
      </w:r>
    </w:p>
    <w:p>
      <w:pPr>
        <w:spacing w:line="300" w:lineRule="auto"/>
        <w:ind w:firstLine="743" w:firstLineChars="354"/>
        <w:rPr>
          <w:rFonts w:ascii="宋体" w:hAnsi="宋体"/>
          <w:color w:val="auto"/>
          <w:szCs w:val="21"/>
          <w:highlight w:val="none"/>
        </w:rPr>
      </w:pPr>
      <w:r>
        <w:rPr>
          <w:rFonts w:ascii="宋体" w:hAnsi="宋体"/>
          <w:color w:val="auto"/>
          <w:szCs w:val="21"/>
          <w:highlight w:val="none"/>
        </w:rPr>
        <w:t>3）承包人难以取得变更所需的工艺、技术；</w:t>
      </w:r>
    </w:p>
    <w:p>
      <w:pPr>
        <w:spacing w:line="300" w:lineRule="auto"/>
        <w:ind w:firstLine="743" w:firstLineChars="354"/>
        <w:rPr>
          <w:rFonts w:ascii="宋体" w:hAnsi="宋体"/>
          <w:color w:val="auto"/>
          <w:szCs w:val="21"/>
          <w:highlight w:val="none"/>
        </w:rPr>
      </w:pPr>
      <w:r>
        <w:rPr>
          <w:rFonts w:ascii="宋体" w:hAnsi="宋体"/>
          <w:color w:val="auto"/>
          <w:szCs w:val="21"/>
          <w:highlight w:val="none"/>
        </w:rPr>
        <w:t>4）变更将降低工程的安全性、稳定性、适用性；</w:t>
      </w:r>
    </w:p>
    <w:p>
      <w:pPr>
        <w:spacing w:line="300" w:lineRule="auto"/>
        <w:ind w:firstLine="743" w:firstLineChars="354"/>
        <w:rPr>
          <w:rFonts w:ascii="宋体" w:hAnsi="宋体"/>
          <w:color w:val="auto"/>
          <w:szCs w:val="21"/>
          <w:highlight w:val="none"/>
        </w:rPr>
      </w:pPr>
      <w:r>
        <w:rPr>
          <w:rFonts w:ascii="宋体" w:hAnsi="宋体"/>
          <w:color w:val="auto"/>
          <w:szCs w:val="21"/>
          <w:highlight w:val="none"/>
        </w:rPr>
        <w:t>5）对生产性能保证值、使用功能保证的实现产生不利影响等。</w:t>
      </w:r>
    </w:p>
    <w:p>
      <w:pPr>
        <w:spacing w:line="300" w:lineRule="auto"/>
        <w:ind w:firstLine="420" w:firstLineChars="200"/>
        <w:rPr>
          <w:rFonts w:ascii="宋体" w:hAnsi="宋体"/>
          <w:color w:val="auto"/>
          <w:szCs w:val="21"/>
          <w:highlight w:val="none"/>
        </w:rPr>
      </w:pPr>
      <w:r>
        <w:rPr>
          <w:rFonts w:ascii="宋体" w:hAnsi="宋体"/>
          <w:color w:val="auto"/>
          <w:szCs w:val="21"/>
          <w:highlight w:val="none"/>
        </w:rPr>
        <w:t>13.3.3  发包人的审查和批准。发包人应在接到承包人根据13.3.2款约定提交的书面建议报告后10日内对此项建议给予审查，并发出批准、撤销、改变、提出进一步要求的书面通知。承包人在等待发包人回复的时间内，不能停止或延误任何工作。</w:t>
      </w:r>
    </w:p>
    <w:p>
      <w:pPr>
        <w:spacing w:line="300" w:lineRule="auto"/>
        <w:ind w:firstLine="420" w:firstLineChars="200"/>
        <w:rPr>
          <w:rFonts w:ascii="宋体" w:hAnsi="宋体"/>
          <w:color w:val="auto"/>
          <w:szCs w:val="21"/>
          <w:highlight w:val="none"/>
        </w:rPr>
      </w:pPr>
      <w:r>
        <w:rPr>
          <w:rFonts w:ascii="宋体" w:hAnsi="宋体"/>
          <w:color w:val="auto"/>
          <w:szCs w:val="21"/>
          <w:highlight w:val="none"/>
        </w:rPr>
        <w:t>（1）发包人接到承包人根据13.3.2款第（1）项的约定提交的建议报告，对其理由、估算、和（或）竣工日期延长经审查批准后，应以书面形式下达变更指令。</w:t>
      </w:r>
    </w:p>
    <w:p>
      <w:pPr>
        <w:spacing w:line="300" w:lineRule="auto"/>
        <w:ind w:firstLine="420" w:firstLineChars="200"/>
        <w:rPr>
          <w:rFonts w:ascii="宋体" w:hAnsi="宋体"/>
          <w:color w:val="auto"/>
          <w:szCs w:val="21"/>
          <w:highlight w:val="none"/>
        </w:rPr>
      </w:pPr>
      <w:r>
        <w:rPr>
          <w:rFonts w:ascii="宋体" w:hAnsi="宋体"/>
          <w:color w:val="auto"/>
          <w:szCs w:val="21"/>
          <w:highlight w:val="none"/>
        </w:rPr>
        <w:t>发包人在下达的变更指令中，未能确认承包人对此项变更提出的估算和（或）竣工日期延长亦未提出异议的，自发包人接到此项书面建议报告后的第11日开始，视为承包人提交的变更估算、和（或）竣工日期延长，已被发包人批准。</w:t>
      </w:r>
    </w:p>
    <w:p>
      <w:pPr>
        <w:spacing w:line="300" w:lineRule="auto"/>
        <w:ind w:firstLine="420" w:firstLineChars="200"/>
        <w:rPr>
          <w:rFonts w:ascii="宋体" w:hAnsi="宋体"/>
          <w:color w:val="auto"/>
          <w:szCs w:val="21"/>
          <w:highlight w:val="none"/>
        </w:rPr>
      </w:pPr>
      <w:r>
        <w:rPr>
          <w:rFonts w:ascii="宋体" w:hAnsi="宋体"/>
          <w:color w:val="auto"/>
          <w:szCs w:val="21"/>
          <w:highlight w:val="none"/>
        </w:rPr>
        <w:t>（2）发包人对承包人根据13.3.2款第（2）项提交的不接受此项变更的理由进行审查后，发出继续执行、改变、提出进一步补充资料的书面通知，承包人应予以执行。</w:t>
      </w:r>
    </w:p>
    <w:p>
      <w:pPr>
        <w:spacing w:line="300" w:lineRule="auto"/>
        <w:ind w:firstLine="420" w:firstLineChars="200"/>
        <w:rPr>
          <w:rFonts w:ascii="宋体" w:hAnsi="宋体"/>
          <w:color w:val="auto"/>
          <w:szCs w:val="21"/>
          <w:highlight w:val="none"/>
        </w:rPr>
      </w:pPr>
      <w:r>
        <w:rPr>
          <w:rFonts w:ascii="宋体" w:hAnsi="宋体"/>
          <w:color w:val="auto"/>
          <w:szCs w:val="21"/>
          <w:highlight w:val="none"/>
        </w:rPr>
        <w:t>13.3.4 承包人根据13.1.3 款的约定提交变更建议书的，其变更程序按照本变更程序的约定办理。</w:t>
      </w:r>
    </w:p>
    <w:p>
      <w:pPr>
        <w:spacing w:before="156" w:beforeLines="50" w:after="156" w:afterLines="50" w:line="300" w:lineRule="auto"/>
        <w:ind w:firstLine="422" w:firstLineChars="200"/>
        <w:rPr>
          <w:rFonts w:ascii="宋体" w:hAnsi="宋体"/>
          <w:b/>
          <w:color w:val="auto"/>
          <w:szCs w:val="21"/>
          <w:highlight w:val="none"/>
        </w:rPr>
      </w:pPr>
      <w:r>
        <w:rPr>
          <w:rFonts w:ascii="宋体" w:hAnsi="宋体"/>
          <w:b/>
          <w:color w:val="auto"/>
          <w:szCs w:val="21"/>
          <w:highlight w:val="none"/>
        </w:rPr>
        <w:t>13.4  紧急性变更程序</w:t>
      </w:r>
    </w:p>
    <w:p>
      <w:pPr>
        <w:spacing w:line="300" w:lineRule="auto"/>
        <w:ind w:firstLine="420" w:firstLineChars="200"/>
        <w:rPr>
          <w:rFonts w:ascii="宋体" w:hAnsi="宋体"/>
          <w:color w:val="auto"/>
          <w:szCs w:val="21"/>
          <w:highlight w:val="none"/>
        </w:rPr>
      </w:pPr>
      <w:r>
        <w:rPr>
          <w:rFonts w:ascii="宋体" w:hAnsi="宋体"/>
          <w:color w:val="auto"/>
          <w:szCs w:val="21"/>
          <w:highlight w:val="none"/>
        </w:rPr>
        <w:t>13.4.1  发包人有权以书面形式或口头形式发出紧急性变更指令，责令承包人立即执行此项变更。承包人接到此类指令后，应立即执行。发包人以口头形式发出紧急性变更指令的，须在48小时内以书面方式确认此项变更，并送交承包人项目经理。</w:t>
      </w:r>
    </w:p>
    <w:p>
      <w:pPr>
        <w:spacing w:line="300" w:lineRule="auto"/>
        <w:ind w:firstLine="420" w:firstLineChars="200"/>
        <w:rPr>
          <w:rFonts w:ascii="宋体" w:hAnsi="宋体"/>
          <w:color w:val="auto"/>
          <w:szCs w:val="21"/>
          <w:highlight w:val="none"/>
        </w:rPr>
      </w:pPr>
      <w:r>
        <w:rPr>
          <w:rFonts w:ascii="宋体" w:hAnsi="宋体"/>
          <w:color w:val="auto"/>
          <w:szCs w:val="21"/>
          <w:highlight w:val="none"/>
        </w:rPr>
        <w:t>13.4.2  承包人应在紧急性变更指令执行完成后的10日内，向发包人提交实施此项变更的工作内容，资源消耗和估算。因执行此项变更造成工程关键路径延误时，可提出竣工日期延长要求，但应说明理由，并提交与此项变更相关的进度计划。</w:t>
      </w:r>
    </w:p>
    <w:p>
      <w:pPr>
        <w:spacing w:line="300" w:lineRule="auto"/>
        <w:ind w:firstLine="420" w:firstLineChars="200"/>
        <w:rPr>
          <w:rFonts w:ascii="宋体" w:hAnsi="宋体"/>
          <w:color w:val="auto"/>
          <w:szCs w:val="21"/>
          <w:highlight w:val="none"/>
        </w:rPr>
      </w:pPr>
      <w:r>
        <w:rPr>
          <w:rFonts w:ascii="宋体" w:hAnsi="宋体"/>
          <w:color w:val="auto"/>
          <w:szCs w:val="21"/>
          <w:highlight w:val="none"/>
        </w:rPr>
        <w:t>承包人未能在此项变更完成后的10日内提交实际消耗的估算、和（或）延长竣工日期的书面资料，视为该项变更不涉及合同价格调整和竣工日期延长，发包人不再承担此项变更的任何责任。</w:t>
      </w:r>
    </w:p>
    <w:p>
      <w:pPr>
        <w:spacing w:line="300" w:lineRule="auto"/>
        <w:ind w:firstLine="420" w:firstLineChars="200"/>
        <w:rPr>
          <w:rFonts w:ascii="宋体" w:hAnsi="宋体"/>
          <w:color w:val="auto"/>
          <w:szCs w:val="21"/>
          <w:highlight w:val="none"/>
        </w:rPr>
      </w:pPr>
      <w:r>
        <w:rPr>
          <w:rFonts w:ascii="宋体" w:hAnsi="宋体"/>
          <w:color w:val="auto"/>
          <w:szCs w:val="21"/>
          <w:highlight w:val="none"/>
        </w:rPr>
        <w:t>13.4.3  发包人应在接到承包人根据13.4.2款提交的书面资料后的10日内，以书面形式通知承包人被批准的合理估算，和（或）给予竣工日期的合理延长。</w:t>
      </w:r>
    </w:p>
    <w:p>
      <w:pPr>
        <w:spacing w:line="300" w:lineRule="auto"/>
        <w:ind w:firstLine="420" w:firstLineChars="200"/>
        <w:rPr>
          <w:rFonts w:ascii="宋体" w:hAnsi="宋体"/>
          <w:color w:val="auto"/>
          <w:szCs w:val="21"/>
          <w:highlight w:val="none"/>
        </w:rPr>
      </w:pPr>
      <w:r>
        <w:rPr>
          <w:rFonts w:ascii="宋体" w:hAnsi="宋体"/>
          <w:color w:val="auto"/>
          <w:szCs w:val="21"/>
          <w:highlight w:val="none"/>
        </w:rPr>
        <w:t>发包人在接到承包人的此项书面报告后的10日内，未能批准承包人的估算和（或）竣工日期延长亦未说明理由的，自接到该报告的第11 日后，视为承包人提交的估算、和（或）竣工日期延长已被发包人批准。</w:t>
      </w:r>
    </w:p>
    <w:p>
      <w:pPr>
        <w:spacing w:line="300" w:lineRule="auto"/>
        <w:ind w:firstLine="420" w:firstLineChars="200"/>
        <w:rPr>
          <w:rFonts w:ascii="宋体" w:hAnsi="宋体"/>
          <w:color w:val="auto"/>
          <w:szCs w:val="21"/>
          <w:highlight w:val="none"/>
        </w:rPr>
      </w:pPr>
      <w:r>
        <w:rPr>
          <w:rFonts w:ascii="宋体" w:hAnsi="宋体"/>
          <w:color w:val="auto"/>
          <w:szCs w:val="21"/>
          <w:highlight w:val="none"/>
        </w:rPr>
        <w:t>承包人对发包人批准的变更费用、竣工日期的延长存有争议时，双方应友好协商解决，协商不成时，依据16.3款争议和裁决的程序解决。</w:t>
      </w:r>
    </w:p>
    <w:p>
      <w:pPr>
        <w:spacing w:before="156" w:beforeLines="50" w:after="156" w:afterLines="50" w:line="300" w:lineRule="auto"/>
        <w:ind w:firstLine="422" w:firstLineChars="200"/>
        <w:rPr>
          <w:rFonts w:ascii="宋体" w:hAnsi="宋体"/>
          <w:b/>
          <w:color w:val="auto"/>
          <w:szCs w:val="21"/>
          <w:highlight w:val="none"/>
        </w:rPr>
      </w:pPr>
      <w:r>
        <w:rPr>
          <w:rFonts w:ascii="宋体" w:hAnsi="宋体"/>
          <w:b/>
          <w:color w:val="auto"/>
          <w:szCs w:val="21"/>
          <w:highlight w:val="none"/>
        </w:rPr>
        <w:t>13.5  变更价款确定</w:t>
      </w:r>
    </w:p>
    <w:p>
      <w:pPr>
        <w:spacing w:before="156" w:beforeLines="50" w:after="156" w:afterLines="50" w:line="300" w:lineRule="auto"/>
        <w:ind w:firstLine="420" w:firstLineChars="200"/>
        <w:rPr>
          <w:rFonts w:ascii="宋体" w:hAnsi="宋体"/>
          <w:color w:val="auto"/>
          <w:szCs w:val="21"/>
          <w:highlight w:val="none"/>
        </w:rPr>
      </w:pPr>
      <w:r>
        <w:rPr>
          <w:rFonts w:ascii="宋体" w:hAnsi="宋体"/>
          <w:color w:val="auto"/>
          <w:szCs w:val="21"/>
          <w:highlight w:val="none"/>
        </w:rPr>
        <w:t>变更价款按以下方法确定：</w:t>
      </w:r>
    </w:p>
    <w:p>
      <w:pPr>
        <w:spacing w:before="156" w:beforeLines="50" w:after="156" w:afterLines="50" w:line="300" w:lineRule="auto"/>
        <w:ind w:firstLine="420" w:firstLineChars="200"/>
        <w:rPr>
          <w:rFonts w:ascii="宋体" w:hAnsi="宋体"/>
          <w:color w:val="auto"/>
          <w:szCs w:val="21"/>
          <w:highlight w:val="none"/>
        </w:rPr>
      </w:pPr>
      <w:r>
        <w:rPr>
          <w:rFonts w:ascii="宋体" w:hAnsi="宋体"/>
          <w:color w:val="auto"/>
          <w:szCs w:val="21"/>
          <w:highlight w:val="none"/>
        </w:rPr>
        <w:t>13.5.1 合同中已有相应人工、机具、工程量等单价（含取费）的，按合同中已有的相应人工、机具、工程量等单价（含取费）确定变更价款；</w:t>
      </w:r>
    </w:p>
    <w:p>
      <w:pPr>
        <w:spacing w:before="156" w:beforeLines="50" w:after="156" w:afterLines="50" w:line="300" w:lineRule="auto"/>
        <w:ind w:firstLine="420" w:firstLineChars="200"/>
        <w:rPr>
          <w:rFonts w:ascii="宋体" w:hAnsi="宋体"/>
          <w:color w:val="auto"/>
          <w:szCs w:val="21"/>
          <w:highlight w:val="none"/>
        </w:rPr>
      </w:pPr>
      <w:r>
        <w:rPr>
          <w:rFonts w:ascii="宋体" w:hAnsi="宋体"/>
          <w:color w:val="auto"/>
          <w:szCs w:val="21"/>
          <w:highlight w:val="none"/>
        </w:rPr>
        <w:t>13.5.2 合同中无相应人工、机具、工程量等单价（含取费）的，按类似于变更工程的价格确定变更价款；</w:t>
      </w:r>
    </w:p>
    <w:p>
      <w:pPr>
        <w:spacing w:before="156" w:beforeLines="50" w:after="156" w:afterLines="50" w:line="300" w:lineRule="auto"/>
        <w:ind w:firstLine="420" w:firstLineChars="200"/>
        <w:rPr>
          <w:rFonts w:ascii="宋体" w:hAnsi="宋体"/>
          <w:color w:val="auto"/>
          <w:szCs w:val="21"/>
          <w:highlight w:val="none"/>
        </w:rPr>
      </w:pPr>
      <w:r>
        <w:rPr>
          <w:rFonts w:ascii="宋体" w:hAnsi="宋体"/>
          <w:color w:val="auto"/>
          <w:szCs w:val="21"/>
          <w:highlight w:val="none"/>
        </w:rPr>
        <w:t>13.5.3 合同中无相应人工、机具、工程量等单价（含取费），亦无类似于变更工程的价格的，双方通过协商确定变更价款。</w:t>
      </w:r>
    </w:p>
    <w:p>
      <w:pPr>
        <w:spacing w:before="156" w:beforeLines="50" w:after="156" w:afterLines="50" w:line="300" w:lineRule="auto"/>
        <w:ind w:firstLine="420" w:firstLineChars="200"/>
        <w:rPr>
          <w:rFonts w:ascii="宋体" w:hAnsi="宋体"/>
          <w:color w:val="auto"/>
          <w:szCs w:val="21"/>
          <w:highlight w:val="none"/>
        </w:rPr>
      </w:pPr>
      <w:r>
        <w:rPr>
          <w:rFonts w:ascii="宋体" w:hAnsi="宋体"/>
          <w:color w:val="auto"/>
          <w:szCs w:val="21"/>
          <w:highlight w:val="none"/>
        </w:rPr>
        <w:t>13 .5.4 专用条款中约定的其它方法。</w:t>
      </w:r>
    </w:p>
    <w:p>
      <w:pPr>
        <w:spacing w:before="156" w:beforeLines="50" w:after="156" w:afterLines="50" w:line="300" w:lineRule="auto"/>
        <w:ind w:firstLine="422" w:firstLineChars="200"/>
        <w:rPr>
          <w:rFonts w:ascii="宋体" w:hAnsi="宋体"/>
          <w:b/>
          <w:color w:val="auto"/>
          <w:szCs w:val="21"/>
          <w:highlight w:val="none"/>
        </w:rPr>
      </w:pPr>
      <w:r>
        <w:rPr>
          <w:rFonts w:ascii="宋体" w:hAnsi="宋体"/>
          <w:b/>
          <w:color w:val="auto"/>
          <w:szCs w:val="21"/>
          <w:highlight w:val="none"/>
        </w:rPr>
        <w:t>13.6  建议变更的利益分享</w:t>
      </w:r>
    </w:p>
    <w:p>
      <w:pPr>
        <w:spacing w:before="156" w:beforeLines="50" w:after="156" w:afterLines="50" w:line="300" w:lineRule="auto"/>
        <w:ind w:firstLine="420" w:firstLineChars="200"/>
        <w:rPr>
          <w:rFonts w:ascii="宋体" w:hAnsi="宋体"/>
          <w:color w:val="auto"/>
          <w:szCs w:val="21"/>
          <w:highlight w:val="none"/>
        </w:rPr>
      </w:pPr>
      <w:r>
        <w:rPr>
          <w:rFonts w:ascii="宋体" w:hAnsi="宋体"/>
          <w:color w:val="auto"/>
          <w:szCs w:val="21"/>
          <w:highlight w:val="none"/>
        </w:rPr>
        <w:t>因发包人批准采用承包人根据13.1.3款提出的变更建议，使工程的投资减少、工期缩短、发包人获得长期效益或其它利益的，双方可按专用条款的约定进行利益分享，必要时双发可另行签订利益分享补充协议，作为合同附件。</w:t>
      </w:r>
    </w:p>
    <w:p>
      <w:pPr>
        <w:spacing w:before="156" w:beforeLines="50" w:after="156" w:afterLines="50" w:line="300" w:lineRule="auto"/>
        <w:ind w:firstLine="422" w:firstLineChars="200"/>
        <w:rPr>
          <w:rFonts w:ascii="宋体" w:hAnsi="宋体"/>
          <w:b/>
          <w:color w:val="auto"/>
          <w:szCs w:val="21"/>
          <w:highlight w:val="none"/>
        </w:rPr>
      </w:pPr>
      <w:r>
        <w:rPr>
          <w:rFonts w:ascii="宋体" w:hAnsi="宋体"/>
          <w:b/>
          <w:color w:val="auto"/>
          <w:szCs w:val="21"/>
          <w:highlight w:val="none"/>
        </w:rPr>
        <w:t>13.7  合同价格调整</w:t>
      </w:r>
    </w:p>
    <w:p>
      <w:pPr>
        <w:spacing w:line="300" w:lineRule="auto"/>
        <w:ind w:firstLine="420" w:firstLineChars="200"/>
        <w:rPr>
          <w:rFonts w:ascii="宋体" w:hAnsi="宋体"/>
          <w:color w:val="auto"/>
          <w:szCs w:val="21"/>
          <w:highlight w:val="none"/>
        </w:rPr>
      </w:pPr>
      <w:r>
        <w:rPr>
          <w:rFonts w:ascii="宋体" w:hAnsi="宋体"/>
          <w:color w:val="auto"/>
          <w:szCs w:val="21"/>
          <w:highlight w:val="none"/>
        </w:rPr>
        <w:t>在下述情况发生后30日内，合同双方均有权将调整合同价格的原因及调整金额，以书面形式通知对方或监理人。经发包人确认的合理金额，作为合同价格的调整金额，并在支付当期工程进度款时支付或扣减调整的金额。一方收到另一方通知后15日内不予确认，也未能提出修改意见的，视为已经同意该项价格的调整。合同价格调整包括以下情况：</w:t>
      </w:r>
    </w:p>
    <w:p>
      <w:pPr>
        <w:spacing w:line="300" w:lineRule="auto"/>
        <w:ind w:firstLine="420" w:firstLineChars="200"/>
        <w:rPr>
          <w:rFonts w:ascii="宋体" w:hAnsi="宋体"/>
          <w:color w:val="auto"/>
          <w:szCs w:val="21"/>
          <w:highlight w:val="none"/>
        </w:rPr>
      </w:pPr>
      <w:r>
        <w:rPr>
          <w:rFonts w:ascii="宋体" w:hAnsi="宋体"/>
          <w:color w:val="auto"/>
          <w:szCs w:val="21"/>
          <w:highlight w:val="none"/>
        </w:rPr>
        <w:t>（1） 合同签订后，因法律、国家政策和需遵守的行业规定发生变化，影响到合同价格增减的；</w:t>
      </w:r>
    </w:p>
    <w:p>
      <w:pPr>
        <w:spacing w:line="300" w:lineRule="auto"/>
        <w:ind w:firstLine="420" w:firstLineChars="200"/>
        <w:rPr>
          <w:rFonts w:ascii="宋体" w:hAnsi="宋体"/>
          <w:color w:val="auto"/>
          <w:szCs w:val="21"/>
          <w:highlight w:val="none"/>
        </w:rPr>
      </w:pPr>
      <w:r>
        <w:rPr>
          <w:rFonts w:ascii="宋体" w:hAnsi="宋体"/>
          <w:color w:val="auto"/>
          <w:szCs w:val="21"/>
          <w:highlight w:val="none"/>
        </w:rPr>
        <w:t>（2） 合同执行过程中，工程造价管理部门公布的价格调整，涉及承包人投入成本增减的；</w:t>
      </w:r>
    </w:p>
    <w:p>
      <w:pPr>
        <w:spacing w:line="300" w:lineRule="auto"/>
        <w:ind w:firstLine="420" w:firstLineChars="200"/>
        <w:rPr>
          <w:rFonts w:ascii="宋体" w:hAnsi="宋体"/>
          <w:color w:val="auto"/>
          <w:szCs w:val="21"/>
          <w:highlight w:val="none"/>
        </w:rPr>
      </w:pPr>
      <w:r>
        <w:rPr>
          <w:rFonts w:ascii="宋体" w:hAnsi="宋体"/>
          <w:color w:val="auto"/>
          <w:szCs w:val="21"/>
          <w:highlight w:val="none"/>
        </w:rPr>
        <w:t>（3） 一周内非承包人原因的停水、停电、停气、道路中断等，造成工程现场停工累计超过8小时的（承包人须提交报告并提供可证实的证明和估算）；</w:t>
      </w:r>
    </w:p>
    <w:p>
      <w:pPr>
        <w:spacing w:line="300" w:lineRule="auto"/>
        <w:ind w:firstLine="420" w:firstLineChars="200"/>
        <w:rPr>
          <w:rFonts w:ascii="宋体" w:hAnsi="宋体"/>
          <w:color w:val="auto"/>
          <w:szCs w:val="21"/>
          <w:highlight w:val="none"/>
        </w:rPr>
      </w:pPr>
      <w:r>
        <w:rPr>
          <w:rFonts w:ascii="宋体" w:hAnsi="宋体"/>
          <w:color w:val="auto"/>
          <w:szCs w:val="21"/>
          <w:highlight w:val="none"/>
        </w:rPr>
        <w:t>（4） 发包人根据13.3款至13.5款变更程序中批准的变更估算的增减；</w:t>
      </w:r>
    </w:p>
    <w:p>
      <w:pPr>
        <w:spacing w:line="300" w:lineRule="auto"/>
        <w:ind w:firstLine="420" w:firstLineChars="200"/>
        <w:rPr>
          <w:rFonts w:ascii="宋体" w:hAnsi="宋体"/>
          <w:color w:val="auto"/>
          <w:szCs w:val="21"/>
          <w:highlight w:val="none"/>
        </w:rPr>
      </w:pPr>
      <w:r>
        <w:rPr>
          <w:rFonts w:ascii="宋体" w:hAnsi="宋体"/>
          <w:color w:val="auto"/>
          <w:szCs w:val="21"/>
          <w:highlight w:val="none"/>
        </w:rPr>
        <w:t>（5） 本合同约定的其它增减的款项调整。</w:t>
      </w:r>
    </w:p>
    <w:p>
      <w:pPr>
        <w:spacing w:line="300" w:lineRule="auto"/>
        <w:ind w:firstLine="420" w:firstLineChars="200"/>
        <w:rPr>
          <w:rFonts w:ascii="宋体" w:hAnsi="宋体"/>
          <w:color w:val="auto"/>
          <w:szCs w:val="21"/>
          <w:highlight w:val="none"/>
        </w:rPr>
      </w:pPr>
      <w:r>
        <w:rPr>
          <w:rFonts w:ascii="宋体" w:hAnsi="宋体"/>
          <w:color w:val="auto"/>
          <w:szCs w:val="21"/>
          <w:highlight w:val="none"/>
        </w:rPr>
        <w:t>对于合同中未约定的增减款项，发包人不承担调整合同价格的责任。除非法律另有规定时除外。合同价格的调整不包括合同变更。</w:t>
      </w:r>
    </w:p>
    <w:p>
      <w:pPr>
        <w:spacing w:before="156" w:beforeLines="50" w:after="156" w:afterLines="50" w:line="300" w:lineRule="auto"/>
        <w:ind w:firstLine="422" w:firstLineChars="200"/>
        <w:rPr>
          <w:rFonts w:ascii="宋体" w:hAnsi="宋体"/>
          <w:b/>
          <w:color w:val="auto"/>
          <w:szCs w:val="21"/>
          <w:highlight w:val="none"/>
        </w:rPr>
      </w:pPr>
      <w:r>
        <w:rPr>
          <w:rFonts w:ascii="宋体" w:hAnsi="宋体"/>
          <w:b/>
          <w:color w:val="auto"/>
          <w:szCs w:val="21"/>
          <w:highlight w:val="none"/>
        </w:rPr>
        <w:t>13.8  合同价格调整的争议</w:t>
      </w:r>
    </w:p>
    <w:p>
      <w:pPr>
        <w:spacing w:before="156" w:beforeLines="50" w:after="156" w:afterLines="50" w:line="300" w:lineRule="auto"/>
        <w:ind w:firstLine="420" w:firstLineChars="200"/>
        <w:rPr>
          <w:rFonts w:ascii="宋体" w:hAnsi="宋体"/>
          <w:color w:val="auto"/>
          <w:szCs w:val="21"/>
          <w:highlight w:val="none"/>
        </w:rPr>
      </w:pPr>
      <w:r>
        <w:rPr>
          <w:rFonts w:ascii="宋体" w:hAnsi="宋体"/>
          <w:color w:val="auto"/>
          <w:szCs w:val="21"/>
          <w:highlight w:val="none"/>
        </w:rPr>
        <w:t>经协商，双方未能对工程变更的费用、合同价格的调整或竣工日期的延长达成一致，根据16.3款关于争议和裁决的约定解决。</w:t>
      </w:r>
    </w:p>
    <w:p>
      <w:pPr>
        <w:spacing w:before="156" w:beforeLines="50" w:after="156" w:afterLines="50" w:line="300" w:lineRule="auto"/>
        <w:ind w:firstLine="413" w:firstLineChars="196"/>
        <w:rPr>
          <w:rFonts w:ascii="宋体" w:hAnsi="宋体"/>
          <w:b/>
          <w:color w:val="auto"/>
          <w:szCs w:val="21"/>
          <w:highlight w:val="none"/>
        </w:rPr>
      </w:pPr>
      <w:r>
        <w:rPr>
          <w:rFonts w:ascii="宋体" w:hAnsi="宋体"/>
          <w:b/>
          <w:color w:val="auto"/>
          <w:szCs w:val="21"/>
          <w:highlight w:val="none"/>
        </w:rPr>
        <w:t>第14条  合同总价和付款</w:t>
      </w:r>
    </w:p>
    <w:p>
      <w:pPr>
        <w:spacing w:before="156" w:beforeLines="50" w:after="156" w:afterLines="50" w:line="300" w:lineRule="auto"/>
        <w:ind w:firstLine="422" w:firstLineChars="200"/>
        <w:rPr>
          <w:rFonts w:ascii="宋体" w:hAnsi="宋体"/>
          <w:b/>
          <w:color w:val="auto"/>
          <w:szCs w:val="21"/>
          <w:highlight w:val="none"/>
        </w:rPr>
      </w:pPr>
      <w:r>
        <w:rPr>
          <w:rFonts w:ascii="宋体" w:hAnsi="宋体"/>
          <w:b/>
          <w:color w:val="auto"/>
          <w:szCs w:val="21"/>
          <w:highlight w:val="none"/>
        </w:rPr>
        <w:t>14.1  合同总价和付款</w:t>
      </w:r>
    </w:p>
    <w:p>
      <w:pPr>
        <w:spacing w:line="300" w:lineRule="auto"/>
        <w:ind w:firstLine="420" w:firstLineChars="200"/>
        <w:rPr>
          <w:rFonts w:ascii="宋体" w:hAnsi="宋体"/>
          <w:color w:val="auto"/>
          <w:szCs w:val="21"/>
          <w:highlight w:val="none"/>
        </w:rPr>
      </w:pPr>
      <w:r>
        <w:rPr>
          <w:rFonts w:ascii="宋体" w:hAnsi="宋体"/>
          <w:color w:val="auto"/>
          <w:szCs w:val="21"/>
          <w:highlight w:val="none"/>
        </w:rPr>
        <w:t>14.1.1  合同总价</w:t>
      </w:r>
    </w:p>
    <w:p>
      <w:pPr>
        <w:spacing w:line="300" w:lineRule="auto"/>
        <w:ind w:firstLine="420" w:firstLineChars="200"/>
        <w:rPr>
          <w:rFonts w:ascii="宋体" w:hAnsi="宋体"/>
          <w:color w:val="auto"/>
          <w:szCs w:val="21"/>
          <w:highlight w:val="none"/>
        </w:rPr>
      </w:pPr>
      <w:r>
        <w:rPr>
          <w:rFonts w:ascii="宋体" w:hAnsi="宋体"/>
          <w:color w:val="auto"/>
          <w:szCs w:val="21"/>
          <w:highlight w:val="none"/>
        </w:rPr>
        <w:t>本合同为总价合同，除根据第13条变更和合同价格的调整，以及合同中其它相关增减金额的约定进行调整外，合同价格不做调整。</w:t>
      </w:r>
    </w:p>
    <w:p>
      <w:pPr>
        <w:spacing w:line="300" w:lineRule="auto"/>
        <w:ind w:firstLine="420" w:firstLineChars="200"/>
        <w:rPr>
          <w:rFonts w:ascii="宋体" w:hAnsi="宋体"/>
          <w:color w:val="auto"/>
          <w:szCs w:val="21"/>
          <w:highlight w:val="none"/>
        </w:rPr>
      </w:pPr>
      <w:r>
        <w:rPr>
          <w:rFonts w:ascii="宋体" w:hAnsi="宋体"/>
          <w:color w:val="auto"/>
          <w:szCs w:val="21"/>
          <w:highlight w:val="none"/>
        </w:rPr>
        <w:t>14.1.2  付款</w:t>
      </w:r>
    </w:p>
    <w:p>
      <w:pPr>
        <w:spacing w:line="300" w:lineRule="auto"/>
        <w:ind w:firstLine="420" w:firstLineChars="200"/>
        <w:rPr>
          <w:rFonts w:ascii="宋体" w:hAnsi="宋体"/>
          <w:color w:val="auto"/>
          <w:szCs w:val="21"/>
          <w:highlight w:val="none"/>
        </w:rPr>
      </w:pPr>
      <w:r>
        <w:rPr>
          <w:rFonts w:ascii="宋体" w:hAnsi="宋体"/>
          <w:color w:val="auto"/>
          <w:szCs w:val="21"/>
          <w:highlight w:val="none"/>
        </w:rPr>
        <w:t>（1）合同价款的货币币种为人民币，由发包人在中国境内支付给承包人。</w:t>
      </w:r>
    </w:p>
    <w:p>
      <w:pPr>
        <w:spacing w:line="300" w:lineRule="auto"/>
        <w:ind w:firstLine="420" w:firstLineChars="200"/>
        <w:rPr>
          <w:rFonts w:ascii="宋体" w:hAnsi="宋体"/>
          <w:color w:val="auto"/>
          <w:szCs w:val="21"/>
          <w:highlight w:val="none"/>
        </w:rPr>
      </w:pPr>
      <w:r>
        <w:rPr>
          <w:rFonts w:ascii="宋体" w:hAnsi="宋体"/>
          <w:color w:val="auto"/>
          <w:szCs w:val="21"/>
          <w:highlight w:val="none"/>
        </w:rPr>
        <w:t>（2）发包人应依据合同约定的应付款类别和付款时间安排，向承包人支付合同价款。承包人指定的银行账户，在专用条款中约定。</w:t>
      </w:r>
    </w:p>
    <w:p>
      <w:pPr>
        <w:spacing w:before="156" w:beforeLines="50" w:after="156" w:afterLines="50" w:line="300" w:lineRule="auto"/>
        <w:ind w:firstLine="422" w:firstLineChars="200"/>
        <w:rPr>
          <w:rFonts w:ascii="宋体" w:hAnsi="宋体"/>
          <w:b/>
          <w:color w:val="auto"/>
          <w:szCs w:val="21"/>
          <w:highlight w:val="none"/>
        </w:rPr>
      </w:pPr>
      <w:r>
        <w:rPr>
          <w:rFonts w:ascii="宋体" w:hAnsi="宋体"/>
          <w:b/>
          <w:color w:val="auto"/>
          <w:szCs w:val="21"/>
          <w:highlight w:val="none"/>
        </w:rPr>
        <w:t>14.2  担保</w:t>
      </w:r>
    </w:p>
    <w:p>
      <w:pPr>
        <w:spacing w:line="300" w:lineRule="auto"/>
        <w:ind w:firstLine="420" w:firstLineChars="200"/>
        <w:rPr>
          <w:rFonts w:ascii="宋体" w:hAnsi="宋体"/>
          <w:color w:val="auto"/>
          <w:szCs w:val="21"/>
          <w:highlight w:val="none"/>
        </w:rPr>
      </w:pPr>
      <w:r>
        <w:rPr>
          <w:rFonts w:ascii="宋体" w:hAnsi="宋体"/>
          <w:color w:val="auto"/>
          <w:szCs w:val="21"/>
          <w:highlight w:val="none"/>
        </w:rPr>
        <w:t>14.2.1  履约保函</w:t>
      </w:r>
    </w:p>
    <w:p>
      <w:pPr>
        <w:spacing w:line="300" w:lineRule="auto"/>
        <w:ind w:firstLine="420" w:firstLineChars="200"/>
        <w:rPr>
          <w:rFonts w:ascii="宋体" w:hAnsi="宋体"/>
          <w:color w:val="auto"/>
          <w:szCs w:val="21"/>
          <w:highlight w:val="none"/>
        </w:rPr>
      </w:pPr>
      <w:r>
        <w:rPr>
          <w:rFonts w:ascii="宋体" w:hAnsi="宋体"/>
          <w:color w:val="auto"/>
          <w:szCs w:val="21"/>
          <w:highlight w:val="none"/>
        </w:rPr>
        <w:t>合同约定由承包人向发包人提交履约保函时，履约保函的格式、金额和提交时间，在专用条款中约定。</w:t>
      </w:r>
    </w:p>
    <w:p>
      <w:pPr>
        <w:spacing w:line="300" w:lineRule="auto"/>
        <w:ind w:firstLine="420" w:firstLineChars="200"/>
        <w:rPr>
          <w:rFonts w:ascii="宋体" w:hAnsi="宋体"/>
          <w:color w:val="auto"/>
          <w:szCs w:val="21"/>
          <w:highlight w:val="none"/>
        </w:rPr>
      </w:pPr>
      <w:r>
        <w:rPr>
          <w:rFonts w:ascii="宋体" w:hAnsi="宋体"/>
          <w:color w:val="auto"/>
          <w:szCs w:val="21"/>
          <w:highlight w:val="none"/>
        </w:rPr>
        <w:t>14.2.2  支付保函</w:t>
      </w:r>
    </w:p>
    <w:p>
      <w:pPr>
        <w:spacing w:line="300" w:lineRule="auto"/>
        <w:ind w:firstLine="420" w:firstLineChars="200"/>
        <w:rPr>
          <w:rFonts w:ascii="宋体" w:hAnsi="宋体"/>
          <w:color w:val="auto"/>
          <w:szCs w:val="21"/>
          <w:highlight w:val="none"/>
        </w:rPr>
      </w:pPr>
      <w:r>
        <w:rPr>
          <w:rFonts w:ascii="宋体" w:hAnsi="宋体"/>
          <w:color w:val="auto"/>
          <w:szCs w:val="21"/>
          <w:highlight w:val="none"/>
        </w:rPr>
        <w:t>合同约定由承包人向发包人提交履约保函时，发包人向承包人提交支付保函。支付保函的格式、内容和提交时间在专用条款中约定。</w:t>
      </w:r>
    </w:p>
    <w:p>
      <w:pPr>
        <w:spacing w:line="300" w:lineRule="auto"/>
        <w:ind w:firstLine="420" w:firstLineChars="200"/>
        <w:rPr>
          <w:rFonts w:ascii="宋体" w:hAnsi="宋体"/>
          <w:color w:val="auto"/>
          <w:szCs w:val="21"/>
          <w:highlight w:val="none"/>
        </w:rPr>
      </w:pPr>
      <w:r>
        <w:rPr>
          <w:rFonts w:ascii="宋体" w:hAnsi="宋体"/>
          <w:color w:val="auto"/>
          <w:szCs w:val="21"/>
          <w:highlight w:val="none"/>
        </w:rPr>
        <w:t>14.2.3  预付款保函</w:t>
      </w:r>
    </w:p>
    <w:p>
      <w:pPr>
        <w:spacing w:line="300" w:lineRule="auto"/>
        <w:ind w:firstLine="420" w:firstLineChars="200"/>
        <w:rPr>
          <w:rFonts w:ascii="宋体" w:hAnsi="宋体"/>
          <w:color w:val="auto"/>
          <w:szCs w:val="21"/>
          <w:highlight w:val="none"/>
        </w:rPr>
      </w:pPr>
      <w:r>
        <w:rPr>
          <w:rFonts w:ascii="宋体" w:hAnsi="宋体"/>
          <w:color w:val="auto"/>
          <w:szCs w:val="21"/>
          <w:highlight w:val="none"/>
        </w:rPr>
        <w:t>合同约定由承包人向发包人提交预付款保函时，预付款保函的格式、金额和提交时间在专用条款中约定。</w:t>
      </w:r>
    </w:p>
    <w:p>
      <w:pPr>
        <w:spacing w:before="156" w:beforeLines="50" w:after="156" w:afterLines="50" w:line="300" w:lineRule="auto"/>
        <w:ind w:firstLine="422" w:firstLineChars="200"/>
        <w:rPr>
          <w:rFonts w:hint="eastAsia" w:ascii="宋体" w:hAnsi="宋体" w:eastAsia="宋体"/>
          <w:b/>
          <w:color w:val="auto"/>
          <w:szCs w:val="21"/>
          <w:highlight w:val="none"/>
          <w:lang w:eastAsia="zh-CN"/>
        </w:rPr>
      </w:pPr>
      <w:r>
        <w:rPr>
          <w:rFonts w:ascii="宋体" w:hAnsi="宋体"/>
          <w:b/>
          <w:color w:val="auto"/>
          <w:szCs w:val="21"/>
          <w:highlight w:val="none"/>
        </w:rPr>
        <w:t>14.3  预付款</w:t>
      </w:r>
      <w:r>
        <w:rPr>
          <w:rFonts w:hint="eastAsia" w:ascii="宋体" w:hAnsi="宋体"/>
          <w:b/>
          <w:color w:val="auto"/>
          <w:szCs w:val="21"/>
          <w:highlight w:val="none"/>
          <w:lang w:eastAsia="zh-CN"/>
        </w:rPr>
        <w:t>（</w:t>
      </w:r>
      <w:r>
        <w:rPr>
          <w:rFonts w:hint="eastAsia" w:ascii="宋体" w:hAnsi="宋体"/>
          <w:b/>
          <w:color w:val="auto"/>
          <w:szCs w:val="21"/>
          <w:highlight w:val="none"/>
          <w:lang w:val="en-US" w:eastAsia="zh-CN"/>
        </w:rPr>
        <w:t>如有</w:t>
      </w:r>
      <w:r>
        <w:rPr>
          <w:rFonts w:hint="eastAsia" w:ascii="宋体" w:hAnsi="宋体"/>
          <w:b/>
          <w:color w:val="auto"/>
          <w:szCs w:val="21"/>
          <w:highlight w:val="none"/>
          <w:lang w:eastAsia="zh-CN"/>
        </w:rPr>
        <w:t>）</w:t>
      </w:r>
    </w:p>
    <w:p>
      <w:pPr>
        <w:spacing w:line="300" w:lineRule="auto"/>
        <w:ind w:firstLine="420" w:firstLineChars="200"/>
        <w:rPr>
          <w:rFonts w:ascii="宋体" w:hAnsi="宋体"/>
          <w:color w:val="auto"/>
          <w:szCs w:val="21"/>
          <w:highlight w:val="none"/>
        </w:rPr>
      </w:pPr>
      <w:r>
        <w:rPr>
          <w:rFonts w:ascii="宋体" w:hAnsi="宋体"/>
          <w:color w:val="auto"/>
          <w:szCs w:val="21"/>
          <w:highlight w:val="none"/>
        </w:rPr>
        <w:t>14.3.1  预付款金额</w:t>
      </w:r>
    </w:p>
    <w:p>
      <w:pPr>
        <w:spacing w:line="300" w:lineRule="auto"/>
        <w:ind w:firstLine="420" w:firstLineChars="200"/>
        <w:rPr>
          <w:rFonts w:ascii="宋体" w:hAnsi="宋体"/>
          <w:color w:val="auto"/>
          <w:szCs w:val="21"/>
          <w:highlight w:val="none"/>
        </w:rPr>
      </w:pPr>
      <w:r>
        <w:rPr>
          <w:rFonts w:ascii="宋体" w:hAnsi="宋体"/>
          <w:color w:val="auto"/>
          <w:szCs w:val="21"/>
          <w:highlight w:val="none"/>
        </w:rPr>
        <w:t>发包人同意将按合同价格的一定比例作为预付款金额，具体金额在专用条款中约定。</w:t>
      </w:r>
    </w:p>
    <w:p>
      <w:pPr>
        <w:spacing w:line="300" w:lineRule="auto"/>
        <w:ind w:firstLine="420" w:firstLineChars="200"/>
        <w:rPr>
          <w:rFonts w:ascii="宋体" w:hAnsi="宋体"/>
          <w:color w:val="auto"/>
          <w:szCs w:val="21"/>
          <w:highlight w:val="none"/>
        </w:rPr>
      </w:pPr>
      <w:r>
        <w:rPr>
          <w:rFonts w:ascii="宋体" w:hAnsi="宋体"/>
          <w:color w:val="auto"/>
          <w:szCs w:val="21"/>
          <w:highlight w:val="none"/>
        </w:rPr>
        <w:t>14.3.2  预付款支付</w:t>
      </w:r>
    </w:p>
    <w:p>
      <w:pPr>
        <w:spacing w:line="300" w:lineRule="auto"/>
        <w:ind w:firstLine="420" w:firstLineChars="200"/>
        <w:rPr>
          <w:rFonts w:ascii="宋体" w:hAnsi="宋体"/>
          <w:color w:val="auto"/>
          <w:szCs w:val="21"/>
          <w:highlight w:val="none"/>
        </w:rPr>
      </w:pPr>
      <w:r>
        <w:rPr>
          <w:rFonts w:ascii="宋体" w:hAnsi="宋体"/>
          <w:color w:val="auto"/>
          <w:szCs w:val="21"/>
          <w:highlight w:val="none"/>
        </w:rPr>
        <w:t>合同约定了预付款保函时，在合同生效后，根据14.3.1款约定的预付款金额，一次支付给承包人。</w:t>
      </w:r>
    </w:p>
    <w:p>
      <w:pPr>
        <w:spacing w:before="156" w:beforeLines="50" w:after="156" w:afterLines="50" w:line="300" w:lineRule="auto"/>
        <w:ind w:firstLine="422" w:firstLineChars="200"/>
        <w:rPr>
          <w:rFonts w:ascii="宋体" w:hAnsi="宋体"/>
          <w:b/>
          <w:color w:val="auto"/>
          <w:szCs w:val="21"/>
          <w:highlight w:val="none"/>
        </w:rPr>
      </w:pPr>
      <w:r>
        <w:rPr>
          <w:rFonts w:ascii="宋体" w:hAnsi="宋体"/>
          <w:b/>
          <w:color w:val="auto"/>
          <w:szCs w:val="21"/>
          <w:highlight w:val="none"/>
        </w:rPr>
        <w:t>14.4  工程进度款</w:t>
      </w:r>
    </w:p>
    <w:p>
      <w:pPr>
        <w:spacing w:line="300" w:lineRule="auto"/>
        <w:ind w:firstLine="420" w:firstLineChars="200"/>
        <w:rPr>
          <w:rFonts w:ascii="宋体" w:hAnsi="宋体"/>
          <w:color w:val="auto"/>
          <w:szCs w:val="21"/>
          <w:highlight w:val="none"/>
        </w:rPr>
      </w:pPr>
      <w:r>
        <w:rPr>
          <w:rFonts w:ascii="宋体" w:hAnsi="宋体"/>
          <w:color w:val="auto"/>
          <w:szCs w:val="21"/>
          <w:highlight w:val="none"/>
        </w:rPr>
        <w:t>14.4.1工程进度款。工程进度款支付方式、支付条件和支付时间等，在专用条款中约定。</w:t>
      </w:r>
    </w:p>
    <w:p>
      <w:pPr>
        <w:spacing w:line="300" w:lineRule="auto"/>
        <w:ind w:firstLine="420" w:firstLineChars="200"/>
        <w:rPr>
          <w:rFonts w:ascii="宋体" w:hAnsi="宋体"/>
          <w:color w:val="auto"/>
          <w:szCs w:val="21"/>
          <w:highlight w:val="none"/>
        </w:rPr>
      </w:pPr>
      <w:r>
        <w:rPr>
          <w:rFonts w:ascii="宋体" w:hAnsi="宋体"/>
          <w:color w:val="auto"/>
          <w:szCs w:val="21"/>
          <w:highlight w:val="none"/>
        </w:rPr>
        <w:t>14.4.2 根据工程具体情况，应付的其它进度款，在专用条款约定。</w:t>
      </w:r>
    </w:p>
    <w:p>
      <w:pPr>
        <w:spacing w:before="156" w:beforeLines="50" w:after="156" w:afterLines="50" w:line="300" w:lineRule="auto"/>
        <w:ind w:firstLine="422" w:firstLineChars="200"/>
        <w:rPr>
          <w:rFonts w:ascii="宋体" w:hAnsi="宋体"/>
          <w:b/>
          <w:color w:val="auto"/>
          <w:szCs w:val="21"/>
          <w:highlight w:val="none"/>
        </w:rPr>
      </w:pPr>
      <w:r>
        <w:rPr>
          <w:rFonts w:ascii="宋体" w:hAnsi="宋体"/>
          <w:b/>
          <w:color w:val="auto"/>
          <w:szCs w:val="21"/>
          <w:highlight w:val="none"/>
        </w:rPr>
        <w:t>14.5  缺陷责任保修金的暂扣与支付</w:t>
      </w:r>
    </w:p>
    <w:p>
      <w:pPr>
        <w:spacing w:line="300" w:lineRule="auto"/>
        <w:ind w:firstLine="420" w:firstLineChars="200"/>
        <w:rPr>
          <w:rFonts w:ascii="宋体" w:hAnsi="宋体"/>
          <w:color w:val="auto"/>
          <w:szCs w:val="21"/>
          <w:highlight w:val="none"/>
        </w:rPr>
      </w:pPr>
      <w:r>
        <w:rPr>
          <w:rFonts w:ascii="宋体" w:hAnsi="宋体"/>
          <w:color w:val="auto"/>
          <w:szCs w:val="21"/>
          <w:highlight w:val="none"/>
        </w:rPr>
        <w:t>14.5.1  缺陷责任保修金的暂时扣减。发包人可根据11.2.1款约定的缺陷责任保修金金额和11.2.2款缺陷责任保修金暂扣的约定，暂时扣减缺陷责任保修金。</w:t>
      </w:r>
    </w:p>
    <w:p>
      <w:pPr>
        <w:spacing w:line="300" w:lineRule="auto"/>
        <w:ind w:firstLine="420" w:firstLineChars="200"/>
        <w:rPr>
          <w:rFonts w:ascii="宋体" w:hAnsi="宋体"/>
          <w:color w:val="auto"/>
          <w:szCs w:val="21"/>
          <w:highlight w:val="none"/>
        </w:rPr>
      </w:pPr>
      <w:r>
        <w:rPr>
          <w:rFonts w:ascii="宋体" w:hAnsi="宋体"/>
          <w:color w:val="auto"/>
          <w:szCs w:val="21"/>
          <w:highlight w:val="none"/>
        </w:rPr>
        <w:t>14.5.2 缺陷责任保修金的支付</w:t>
      </w:r>
    </w:p>
    <w:p>
      <w:pPr>
        <w:spacing w:line="300" w:lineRule="auto"/>
        <w:ind w:firstLine="420" w:firstLineChars="200"/>
        <w:rPr>
          <w:rFonts w:ascii="宋体" w:hAnsi="宋体"/>
          <w:color w:val="auto"/>
          <w:szCs w:val="21"/>
          <w:highlight w:val="none"/>
        </w:rPr>
      </w:pPr>
      <w:r>
        <w:rPr>
          <w:rFonts w:ascii="宋体" w:hAnsi="宋体"/>
          <w:color w:val="auto"/>
          <w:szCs w:val="21"/>
          <w:highlight w:val="none"/>
        </w:rPr>
        <w:t>（1） 发包人应在办理工程竣工验收和竣工结算时，将按14.5.1款暂时扣减的全部缺陷责任保修金金额的一半支付给承包人，专用条款另有约定时除外。此后，承包人未能按发包人通知修复缺陷责任期内出现的缺陷或委托发包人修复该缺陷的，修复缺陷的费用，从余下的缺陷责任保修金金额中扣除。发包人应在缺陷责任期届满后15日内，将暂扣的缺陷责任保修金余额支付给承包人。</w:t>
      </w:r>
    </w:p>
    <w:p>
      <w:pPr>
        <w:spacing w:line="300" w:lineRule="auto"/>
        <w:ind w:firstLine="420" w:firstLineChars="200"/>
        <w:rPr>
          <w:rFonts w:ascii="宋体" w:hAnsi="宋体"/>
          <w:color w:val="auto"/>
          <w:szCs w:val="21"/>
          <w:highlight w:val="none"/>
        </w:rPr>
      </w:pPr>
      <w:r>
        <w:rPr>
          <w:rFonts w:ascii="宋体" w:hAnsi="宋体"/>
          <w:color w:val="auto"/>
          <w:szCs w:val="21"/>
          <w:highlight w:val="none"/>
        </w:rPr>
        <w:t>（2） 专用条款约定承包人可提交缺陷责任保修金保函的，在办理工程竣工验收和竣工结算时，如承包人请求提供用于替代剩余的缺陷责任保修金的保函，发包人应在接到承包人按合同约定提交的缺陷责任保修金保函后，向承包人支付保修金的剩余金额。此后，如承包人未能自费修复缺陷责任期内出现的缺陷或委托发包人修复该缺陷的，修复缺陷的费用从该保函中扣除。发包人应在缺陷责任期届满后15日内，退还该保函。保函的格式、金额和提交时间，在专用条款约定.</w:t>
      </w:r>
    </w:p>
    <w:p>
      <w:pPr>
        <w:spacing w:before="156" w:beforeLines="50" w:after="156" w:afterLines="50" w:line="300" w:lineRule="auto"/>
        <w:ind w:firstLine="413" w:firstLineChars="196"/>
        <w:rPr>
          <w:rFonts w:ascii="宋体" w:hAnsi="宋体"/>
          <w:b/>
          <w:color w:val="auto"/>
          <w:szCs w:val="21"/>
          <w:highlight w:val="none"/>
        </w:rPr>
      </w:pPr>
      <w:r>
        <w:rPr>
          <w:rFonts w:ascii="宋体" w:hAnsi="宋体"/>
          <w:b/>
          <w:color w:val="auto"/>
          <w:szCs w:val="21"/>
          <w:highlight w:val="none"/>
        </w:rPr>
        <w:t>14.6  按月工程进度申请付款</w:t>
      </w:r>
    </w:p>
    <w:p>
      <w:pPr>
        <w:spacing w:line="300" w:lineRule="auto"/>
        <w:ind w:firstLine="420" w:firstLineChars="200"/>
        <w:rPr>
          <w:rFonts w:ascii="宋体" w:hAnsi="宋体"/>
          <w:color w:val="auto"/>
          <w:szCs w:val="21"/>
          <w:highlight w:val="none"/>
        </w:rPr>
      </w:pPr>
      <w:r>
        <w:rPr>
          <w:rFonts w:ascii="宋体" w:hAnsi="宋体"/>
          <w:color w:val="auto"/>
          <w:szCs w:val="21"/>
          <w:highlight w:val="none"/>
        </w:rPr>
        <w:t>14.6.1  按月申请付款。按月申请付款的，承包人应以合同协议书约定的合同价格为基础，按每月实际完成的工程量（含设计、采购、施工、竣工试验和竣工后试验等）的合同金额，向发包人或监理人提交付款申请。承包人提交付款申请报告的格式、内容、份数和时间，在专用条款约定。</w:t>
      </w:r>
    </w:p>
    <w:p>
      <w:pPr>
        <w:spacing w:line="300" w:lineRule="auto"/>
        <w:ind w:firstLine="420" w:firstLineChars="200"/>
        <w:rPr>
          <w:rFonts w:ascii="宋体" w:hAnsi="宋体"/>
          <w:color w:val="auto"/>
          <w:szCs w:val="21"/>
          <w:highlight w:val="none"/>
        </w:rPr>
      </w:pPr>
      <w:r>
        <w:rPr>
          <w:rFonts w:ascii="宋体" w:hAnsi="宋体"/>
          <w:color w:val="auto"/>
          <w:szCs w:val="21"/>
          <w:highlight w:val="none"/>
        </w:rPr>
        <w:t>按月付款申请报告中的款项包括：</w:t>
      </w:r>
    </w:p>
    <w:p>
      <w:pPr>
        <w:spacing w:line="300" w:lineRule="auto"/>
        <w:ind w:firstLine="420" w:firstLineChars="200"/>
        <w:rPr>
          <w:rFonts w:ascii="宋体" w:hAnsi="宋体"/>
          <w:color w:val="auto"/>
          <w:szCs w:val="21"/>
          <w:highlight w:val="none"/>
        </w:rPr>
      </w:pPr>
      <w:r>
        <w:rPr>
          <w:rFonts w:ascii="宋体" w:hAnsi="宋体"/>
          <w:color w:val="auto"/>
          <w:szCs w:val="21"/>
          <w:highlight w:val="none"/>
        </w:rPr>
        <w:t>（1）按14.4款工程进度款约定的款项类别；</w:t>
      </w:r>
    </w:p>
    <w:p>
      <w:pPr>
        <w:spacing w:line="300" w:lineRule="auto"/>
        <w:ind w:firstLine="420" w:firstLineChars="200"/>
        <w:rPr>
          <w:rFonts w:ascii="宋体" w:hAnsi="宋体"/>
          <w:color w:val="auto"/>
          <w:szCs w:val="21"/>
          <w:highlight w:val="none"/>
        </w:rPr>
      </w:pPr>
      <w:r>
        <w:rPr>
          <w:rFonts w:ascii="宋体" w:hAnsi="宋体"/>
          <w:color w:val="auto"/>
          <w:szCs w:val="21"/>
          <w:highlight w:val="none"/>
        </w:rPr>
        <w:t>（2）按13.7款合同价格调整约定的增减款项；</w:t>
      </w:r>
    </w:p>
    <w:p>
      <w:pPr>
        <w:spacing w:line="300" w:lineRule="auto"/>
        <w:ind w:firstLine="420" w:firstLineChars="200"/>
        <w:rPr>
          <w:rFonts w:ascii="宋体" w:hAnsi="宋体"/>
          <w:color w:val="auto"/>
          <w:szCs w:val="21"/>
          <w:highlight w:val="none"/>
        </w:rPr>
      </w:pPr>
      <w:r>
        <w:rPr>
          <w:rFonts w:ascii="宋体" w:hAnsi="宋体"/>
          <w:color w:val="auto"/>
          <w:szCs w:val="21"/>
          <w:highlight w:val="none"/>
        </w:rPr>
        <w:t>（3）按14.3款预付款约定的支付及扣减的款项；</w:t>
      </w:r>
    </w:p>
    <w:p>
      <w:pPr>
        <w:spacing w:line="300" w:lineRule="auto"/>
        <w:ind w:firstLine="420" w:firstLineChars="200"/>
        <w:rPr>
          <w:rFonts w:ascii="宋体" w:hAnsi="宋体"/>
          <w:color w:val="auto"/>
          <w:szCs w:val="21"/>
          <w:highlight w:val="none"/>
        </w:rPr>
      </w:pPr>
      <w:r>
        <w:rPr>
          <w:rFonts w:ascii="宋体" w:hAnsi="宋体"/>
          <w:color w:val="auto"/>
          <w:szCs w:val="21"/>
          <w:highlight w:val="none"/>
        </w:rPr>
        <w:t>（4）按14.5款缺陷责任保修金约定暂扣及支付的款项；</w:t>
      </w:r>
    </w:p>
    <w:p>
      <w:pPr>
        <w:spacing w:line="300" w:lineRule="auto"/>
        <w:ind w:firstLine="420" w:firstLineChars="200"/>
        <w:rPr>
          <w:rFonts w:ascii="宋体" w:hAnsi="宋体"/>
          <w:color w:val="auto"/>
          <w:szCs w:val="21"/>
          <w:highlight w:val="none"/>
        </w:rPr>
      </w:pPr>
      <w:r>
        <w:rPr>
          <w:rFonts w:ascii="宋体" w:hAnsi="宋体"/>
          <w:color w:val="auto"/>
          <w:szCs w:val="21"/>
          <w:highlight w:val="none"/>
        </w:rPr>
        <w:t>（5）根据16.2款索赔结果增减的款项；</w:t>
      </w:r>
    </w:p>
    <w:p>
      <w:pPr>
        <w:spacing w:line="300" w:lineRule="auto"/>
        <w:ind w:firstLine="420" w:firstLineChars="200"/>
        <w:rPr>
          <w:rFonts w:ascii="宋体" w:hAnsi="宋体"/>
          <w:color w:val="auto"/>
          <w:szCs w:val="21"/>
          <w:highlight w:val="none"/>
        </w:rPr>
      </w:pPr>
      <w:r>
        <w:rPr>
          <w:rFonts w:ascii="宋体" w:hAnsi="宋体"/>
          <w:color w:val="auto"/>
          <w:szCs w:val="21"/>
          <w:highlight w:val="none"/>
        </w:rPr>
        <w:t>（6）根据另行签订的本合同补充协议增减的款项。</w:t>
      </w:r>
    </w:p>
    <w:p>
      <w:pPr>
        <w:spacing w:line="300" w:lineRule="auto"/>
        <w:ind w:firstLine="420" w:firstLineChars="200"/>
        <w:rPr>
          <w:rFonts w:ascii="宋体" w:hAnsi="宋体"/>
          <w:color w:val="auto"/>
          <w:szCs w:val="21"/>
          <w:highlight w:val="none"/>
        </w:rPr>
      </w:pPr>
      <w:r>
        <w:rPr>
          <w:rFonts w:ascii="宋体" w:hAnsi="宋体"/>
          <w:color w:val="auto"/>
          <w:szCs w:val="21"/>
          <w:highlight w:val="none"/>
        </w:rPr>
        <w:t>14.6.2 如双方约定了14.6.1款按月工程进度申请付款的方式时，则不能再约定按14.7款按付款计划表申请付款的方式。</w:t>
      </w:r>
    </w:p>
    <w:p>
      <w:pPr>
        <w:spacing w:before="156" w:beforeLines="50" w:after="156" w:afterLines="50" w:line="300" w:lineRule="auto"/>
        <w:ind w:firstLine="413" w:firstLineChars="196"/>
        <w:rPr>
          <w:rFonts w:ascii="宋体" w:hAnsi="宋体"/>
          <w:b/>
          <w:color w:val="auto"/>
          <w:szCs w:val="21"/>
          <w:highlight w:val="none"/>
        </w:rPr>
      </w:pPr>
      <w:r>
        <w:rPr>
          <w:rFonts w:ascii="宋体" w:hAnsi="宋体"/>
          <w:b/>
          <w:color w:val="auto"/>
          <w:szCs w:val="21"/>
          <w:highlight w:val="none"/>
        </w:rPr>
        <w:t>14.7  按付款计划表申请付款</w:t>
      </w:r>
    </w:p>
    <w:p>
      <w:pPr>
        <w:spacing w:line="300" w:lineRule="auto"/>
        <w:ind w:firstLine="420" w:firstLineChars="200"/>
        <w:rPr>
          <w:rFonts w:ascii="宋体" w:hAnsi="宋体"/>
          <w:color w:val="auto"/>
          <w:szCs w:val="21"/>
          <w:highlight w:val="none"/>
        </w:rPr>
      </w:pPr>
      <w:r>
        <w:rPr>
          <w:rFonts w:ascii="宋体" w:hAnsi="宋体"/>
          <w:color w:val="auto"/>
          <w:szCs w:val="21"/>
          <w:highlight w:val="none"/>
        </w:rPr>
        <w:t>14.7.1  按付款计划表申请付款</w:t>
      </w:r>
    </w:p>
    <w:p>
      <w:pPr>
        <w:spacing w:line="300" w:lineRule="auto"/>
        <w:ind w:firstLine="420" w:firstLineChars="200"/>
        <w:rPr>
          <w:rFonts w:ascii="宋体" w:hAnsi="宋体"/>
          <w:color w:val="auto"/>
          <w:szCs w:val="21"/>
          <w:highlight w:val="none"/>
        </w:rPr>
      </w:pPr>
      <w:r>
        <w:rPr>
          <w:rFonts w:ascii="宋体" w:hAnsi="宋体"/>
          <w:color w:val="auto"/>
          <w:szCs w:val="21"/>
          <w:highlight w:val="none"/>
        </w:rPr>
        <w:t>按付款计划表申请付款的，承包人应以合同协议书约定的合同价格为基础，按照专用条款约定的付款期数、计划每期达到的主要形象进度和（或）完成的主要计划工程量（含设计、采购、施工、竣工试验和竣工后试验等）等目标任务，以及每期付款金额，并依据专用条款约定的格式、内容、份数和提交时间，向发包人或监理人提交当期付款申请报告。</w:t>
      </w:r>
    </w:p>
    <w:p>
      <w:pPr>
        <w:spacing w:line="300" w:lineRule="auto"/>
        <w:ind w:firstLine="420" w:firstLineChars="200"/>
        <w:rPr>
          <w:rFonts w:ascii="宋体" w:hAnsi="宋体"/>
          <w:color w:val="auto"/>
          <w:szCs w:val="21"/>
          <w:highlight w:val="none"/>
        </w:rPr>
      </w:pPr>
      <w:r>
        <w:rPr>
          <w:rFonts w:ascii="宋体" w:hAnsi="宋体"/>
          <w:color w:val="auto"/>
          <w:szCs w:val="21"/>
          <w:highlight w:val="none"/>
        </w:rPr>
        <w:t>每期付款申请报告中的款项包括：</w:t>
      </w:r>
    </w:p>
    <w:p>
      <w:pPr>
        <w:spacing w:line="300" w:lineRule="auto"/>
        <w:ind w:firstLine="420" w:firstLineChars="200"/>
        <w:rPr>
          <w:rFonts w:ascii="宋体" w:hAnsi="宋体"/>
          <w:color w:val="auto"/>
          <w:szCs w:val="21"/>
          <w:highlight w:val="none"/>
        </w:rPr>
      </w:pPr>
      <w:r>
        <w:rPr>
          <w:rFonts w:ascii="宋体" w:hAnsi="宋体"/>
          <w:color w:val="auto"/>
          <w:szCs w:val="21"/>
          <w:highlight w:val="none"/>
        </w:rPr>
        <w:t>（1）按专用条款中约定的当期计划申请付款的金额；</w:t>
      </w:r>
    </w:p>
    <w:p>
      <w:pPr>
        <w:spacing w:line="300" w:lineRule="auto"/>
        <w:ind w:firstLine="420" w:firstLineChars="200"/>
        <w:rPr>
          <w:rFonts w:ascii="宋体" w:hAnsi="宋体"/>
          <w:color w:val="auto"/>
          <w:szCs w:val="21"/>
          <w:highlight w:val="none"/>
        </w:rPr>
      </w:pPr>
      <w:r>
        <w:rPr>
          <w:rFonts w:ascii="宋体" w:hAnsi="宋体"/>
          <w:color w:val="auto"/>
          <w:szCs w:val="21"/>
          <w:highlight w:val="none"/>
        </w:rPr>
        <w:t>（2）按13.7款合同价款调整约定的增减款项；</w:t>
      </w:r>
    </w:p>
    <w:p>
      <w:pPr>
        <w:spacing w:line="300" w:lineRule="auto"/>
        <w:ind w:firstLine="420" w:firstLineChars="200"/>
        <w:rPr>
          <w:rFonts w:ascii="宋体" w:hAnsi="宋体"/>
          <w:color w:val="auto"/>
          <w:szCs w:val="21"/>
          <w:highlight w:val="none"/>
        </w:rPr>
      </w:pPr>
      <w:r>
        <w:rPr>
          <w:rFonts w:ascii="宋体" w:hAnsi="宋体"/>
          <w:color w:val="auto"/>
          <w:szCs w:val="21"/>
          <w:highlight w:val="none"/>
        </w:rPr>
        <w:t>（3）按14.3款预付款约定的，支付及扣减的款项；</w:t>
      </w:r>
    </w:p>
    <w:p>
      <w:pPr>
        <w:spacing w:line="300" w:lineRule="auto"/>
        <w:ind w:firstLine="420" w:firstLineChars="200"/>
        <w:rPr>
          <w:rFonts w:ascii="宋体" w:hAnsi="宋体"/>
          <w:color w:val="auto"/>
          <w:szCs w:val="21"/>
          <w:highlight w:val="none"/>
        </w:rPr>
      </w:pPr>
      <w:r>
        <w:rPr>
          <w:rFonts w:ascii="宋体" w:hAnsi="宋体"/>
          <w:color w:val="auto"/>
          <w:szCs w:val="21"/>
          <w:highlight w:val="none"/>
        </w:rPr>
        <w:t>（4）按14.5款缺陷责任保修金约定暂扣及支付的款项；</w:t>
      </w:r>
    </w:p>
    <w:p>
      <w:pPr>
        <w:spacing w:line="300" w:lineRule="auto"/>
        <w:ind w:firstLine="420" w:firstLineChars="200"/>
        <w:rPr>
          <w:rFonts w:ascii="宋体" w:hAnsi="宋体"/>
          <w:color w:val="auto"/>
          <w:szCs w:val="21"/>
          <w:highlight w:val="none"/>
        </w:rPr>
      </w:pPr>
      <w:r>
        <w:rPr>
          <w:rFonts w:ascii="宋体" w:hAnsi="宋体"/>
          <w:color w:val="auto"/>
          <w:szCs w:val="21"/>
          <w:highlight w:val="none"/>
        </w:rPr>
        <w:t>（5）根据16.2款索赔结果增减的款项；</w:t>
      </w:r>
    </w:p>
    <w:p>
      <w:pPr>
        <w:spacing w:line="300" w:lineRule="auto"/>
        <w:ind w:firstLine="420" w:firstLineChars="200"/>
        <w:rPr>
          <w:rFonts w:ascii="宋体" w:hAnsi="宋体"/>
          <w:color w:val="auto"/>
          <w:szCs w:val="21"/>
          <w:highlight w:val="none"/>
        </w:rPr>
      </w:pPr>
      <w:r>
        <w:rPr>
          <w:rFonts w:ascii="宋体" w:hAnsi="宋体"/>
          <w:color w:val="auto"/>
          <w:szCs w:val="21"/>
          <w:highlight w:val="none"/>
        </w:rPr>
        <w:t>（6）根据另行签订的本合同的补充协议增减的款项。</w:t>
      </w:r>
    </w:p>
    <w:p>
      <w:pPr>
        <w:spacing w:line="300" w:lineRule="auto"/>
        <w:ind w:firstLine="420" w:firstLineChars="200"/>
        <w:rPr>
          <w:rFonts w:ascii="宋体" w:hAnsi="宋体"/>
          <w:color w:val="auto"/>
          <w:szCs w:val="21"/>
          <w:highlight w:val="none"/>
        </w:rPr>
      </w:pPr>
      <w:r>
        <w:rPr>
          <w:rFonts w:ascii="宋体" w:hAnsi="宋体"/>
          <w:color w:val="auto"/>
          <w:szCs w:val="21"/>
          <w:highlight w:val="none"/>
        </w:rPr>
        <w:t>14.7.2  发包人按付款计划表付款时，承包人的实际工作和（或）实际进度比付款计划表约定的关键路径的目标任务落后30日及以上时，发包人有权与承包人商定减少当期付款金额，并有权与承包人共同调整付款计划表。承包人以后各期的付款申请及发包人的付款，以调整后的付款计划表为依据。</w:t>
      </w:r>
    </w:p>
    <w:p>
      <w:pPr>
        <w:spacing w:line="300" w:lineRule="auto"/>
        <w:ind w:firstLine="420" w:firstLineChars="200"/>
        <w:rPr>
          <w:rFonts w:ascii="宋体" w:hAnsi="宋体"/>
          <w:color w:val="auto"/>
          <w:szCs w:val="21"/>
          <w:highlight w:val="none"/>
        </w:rPr>
      </w:pPr>
      <w:r>
        <w:rPr>
          <w:rFonts w:ascii="宋体" w:hAnsi="宋体"/>
          <w:color w:val="auto"/>
          <w:szCs w:val="21"/>
          <w:highlight w:val="none"/>
        </w:rPr>
        <w:t xml:space="preserve">14.7.3  如双方约定了按14.7款付款计划表的方式申请付款时，不能再约定按14.6款按月工程进度付款申请的方式。 </w:t>
      </w:r>
    </w:p>
    <w:p>
      <w:pPr>
        <w:spacing w:before="156" w:beforeLines="50" w:after="156" w:afterLines="50" w:line="300" w:lineRule="auto"/>
        <w:ind w:firstLine="413" w:firstLineChars="196"/>
        <w:rPr>
          <w:rFonts w:ascii="宋体" w:hAnsi="宋体"/>
          <w:b/>
          <w:color w:val="auto"/>
          <w:szCs w:val="21"/>
          <w:highlight w:val="none"/>
        </w:rPr>
      </w:pPr>
      <w:r>
        <w:rPr>
          <w:rFonts w:ascii="宋体" w:hAnsi="宋体"/>
          <w:b/>
          <w:color w:val="auto"/>
          <w:szCs w:val="21"/>
          <w:highlight w:val="none"/>
        </w:rPr>
        <w:t>14.8  付款条件与时间安排</w:t>
      </w:r>
    </w:p>
    <w:p>
      <w:pPr>
        <w:spacing w:line="300" w:lineRule="auto"/>
        <w:ind w:firstLine="420" w:firstLineChars="200"/>
        <w:rPr>
          <w:rFonts w:ascii="宋体" w:hAnsi="宋体"/>
          <w:color w:val="auto"/>
          <w:szCs w:val="21"/>
          <w:highlight w:val="none"/>
        </w:rPr>
      </w:pPr>
      <w:r>
        <w:rPr>
          <w:rFonts w:ascii="宋体" w:hAnsi="宋体"/>
          <w:color w:val="auto"/>
          <w:szCs w:val="21"/>
          <w:highlight w:val="none"/>
        </w:rPr>
        <w:t>14.8.1  付款条件</w:t>
      </w:r>
    </w:p>
    <w:p>
      <w:pPr>
        <w:spacing w:line="300" w:lineRule="auto"/>
        <w:ind w:firstLine="420" w:firstLineChars="200"/>
        <w:rPr>
          <w:rFonts w:ascii="宋体" w:hAnsi="宋体"/>
          <w:color w:val="auto"/>
          <w:szCs w:val="21"/>
          <w:highlight w:val="none"/>
        </w:rPr>
      </w:pPr>
      <w:r>
        <w:rPr>
          <w:rFonts w:ascii="宋体" w:hAnsi="宋体"/>
          <w:color w:val="auto"/>
          <w:szCs w:val="21"/>
          <w:highlight w:val="none"/>
        </w:rPr>
        <w:t>双方约定由承包人提交履约保函时，履约保函的提交应为发包人支付各项款项的前提条件；未约定履约保函时，发包人按约定支付各项款项。</w:t>
      </w:r>
    </w:p>
    <w:p>
      <w:pPr>
        <w:spacing w:line="300" w:lineRule="auto"/>
        <w:ind w:firstLine="420" w:firstLineChars="200"/>
        <w:rPr>
          <w:rFonts w:ascii="宋体" w:hAnsi="宋体"/>
          <w:color w:val="auto"/>
          <w:szCs w:val="21"/>
          <w:highlight w:val="none"/>
        </w:rPr>
      </w:pPr>
      <w:r>
        <w:rPr>
          <w:rFonts w:ascii="宋体" w:hAnsi="宋体"/>
          <w:color w:val="auto"/>
          <w:szCs w:val="21"/>
          <w:highlight w:val="none"/>
        </w:rPr>
        <w:t>14.8.2  预付款的支付</w:t>
      </w:r>
    </w:p>
    <w:p>
      <w:pPr>
        <w:spacing w:line="300" w:lineRule="auto"/>
        <w:ind w:firstLine="420" w:firstLineChars="200"/>
        <w:rPr>
          <w:rFonts w:ascii="宋体" w:hAnsi="宋体"/>
          <w:color w:val="auto"/>
          <w:szCs w:val="21"/>
          <w:highlight w:val="none"/>
        </w:rPr>
      </w:pPr>
      <w:r>
        <w:rPr>
          <w:rFonts w:ascii="宋体" w:hAnsi="宋体"/>
          <w:color w:val="auto"/>
          <w:szCs w:val="21"/>
          <w:highlight w:val="none"/>
        </w:rPr>
        <w:t>工程预付款的支付依据14.3.2款预付款支付的约定执行。预付款抵扣完后，发包人应及时向承包人退还付款保函。</w:t>
      </w:r>
    </w:p>
    <w:p>
      <w:pPr>
        <w:spacing w:line="300" w:lineRule="auto"/>
        <w:ind w:firstLine="420" w:firstLineChars="200"/>
        <w:rPr>
          <w:rFonts w:ascii="宋体" w:hAnsi="宋体"/>
          <w:color w:val="auto"/>
          <w:szCs w:val="21"/>
          <w:highlight w:val="none"/>
        </w:rPr>
      </w:pPr>
      <w:r>
        <w:rPr>
          <w:rFonts w:ascii="宋体" w:hAnsi="宋体"/>
          <w:color w:val="auto"/>
          <w:szCs w:val="21"/>
          <w:highlight w:val="none"/>
        </w:rPr>
        <w:t>14.8.3  工程进度款</w:t>
      </w:r>
    </w:p>
    <w:p>
      <w:pPr>
        <w:spacing w:line="300" w:lineRule="auto"/>
        <w:ind w:firstLine="420" w:firstLineChars="200"/>
        <w:rPr>
          <w:rFonts w:ascii="宋体" w:hAnsi="宋体"/>
          <w:color w:val="auto"/>
          <w:szCs w:val="21"/>
          <w:highlight w:val="none"/>
        </w:rPr>
      </w:pPr>
      <w:r>
        <w:rPr>
          <w:rFonts w:ascii="宋体" w:hAnsi="宋体"/>
          <w:color w:val="auto"/>
          <w:szCs w:val="21"/>
          <w:highlight w:val="none"/>
        </w:rPr>
        <w:t>（1）按月工程进度申请与付款。依据14.6.1款按月工程进度申请付款和付款时，发包人应在收到承包人按14.6.1款提交的每月付款申请报告之日起的25日内审查并支付。</w:t>
      </w:r>
    </w:p>
    <w:p>
      <w:pPr>
        <w:spacing w:line="300" w:lineRule="auto"/>
        <w:ind w:firstLine="420" w:firstLineChars="200"/>
        <w:rPr>
          <w:rFonts w:ascii="宋体" w:hAnsi="宋体"/>
          <w:color w:val="auto"/>
          <w:szCs w:val="21"/>
          <w:highlight w:val="none"/>
        </w:rPr>
      </w:pPr>
      <w:r>
        <w:rPr>
          <w:rFonts w:ascii="宋体" w:hAnsi="宋体"/>
          <w:color w:val="auto"/>
          <w:szCs w:val="21"/>
          <w:highlight w:val="none"/>
        </w:rPr>
        <w:t>（2）按付款计划表申请与付款。依据14.7.1款按付款计划表申请付款和付款时，发包人应在收到承包人按14.7.1款提交的每期付款申请报告之日起的25日内审查并支付。</w:t>
      </w:r>
    </w:p>
    <w:p>
      <w:pPr>
        <w:spacing w:before="156" w:beforeLines="50" w:after="156" w:afterLines="50" w:line="300" w:lineRule="auto"/>
        <w:ind w:firstLine="413" w:firstLineChars="196"/>
        <w:rPr>
          <w:rFonts w:ascii="宋体" w:hAnsi="宋体"/>
          <w:b/>
          <w:color w:val="auto"/>
          <w:szCs w:val="21"/>
          <w:highlight w:val="none"/>
        </w:rPr>
      </w:pPr>
      <w:r>
        <w:rPr>
          <w:rFonts w:ascii="宋体" w:hAnsi="宋体"/>
          <w:b/>
          <w:color w:val="auto"/>
          <w:szCs w:val="21"/>
          <w:highlight w:val="none"/>
        </w:rPr>
        <w:t>14.9  付款时间延误</w:t>
      </w:r>
    </w:p>
    <w:p>
      <w:pPr>
        <w:spacing w:line="300" w:lineRule="auto"/>
        <w:ind w:firstLine="420" w:firstLineChars="200"/>
        <w:rPr>
          <w:rFonts w:ascii="宋体" w:hAnsi="宋体"/>
          <w:color w:val="auto"/>
          <w:szCs w:val="21"/>
          <w:highlight w:val="none"/>
        </w:rPr>
      </w:pPr>
      <w:r>
        <w:rPr>
          <w:rFonts w:ascii="宋体" w:hAnsi="宋体"/>
          <w:color w:val="auto"/>
          <w:szCs w:val="21"/>
          <w:highlight w:val="none"/>
        </w:rPr>
        <w:t>14.9.1  因发包人的原因未能按14.8.3款约定的时间向承包人支付工程进度款的，应从发包人收到付款申请报告后的第26日开始，以中国人民银行颁布的同期同类贷款利率向承包人支付延期付款的利息，作为延期付款的违约金额。</w:t>
      </w:r>
    </w:p>
    <w:p>
      <w:pPr>
        <w:spacing w:line="300" w:lineRule="auto"/>
        <w:ind w:firstLine="420" w:firstLineChars="200"/>
        <w:rPr>
          <w:rFonts w:ascii="宋体" w:hAnsi="宋体"/>
          <w:color w:val="auto"/>
          <w:szCs w:val="21"/>
          <w:highlight w:val="none"/>
        </w:rPr>
      </w:pPr>
      <w:r>
        <w:rPr>
          <w:rFonts w:ascii="宋体" w:hAnsi="宋体"/>
          <w:color w:val="auto"/>
          <w:szCs w:val="21"/>
          <w:highlight w:val="none"/>
        </w:rPr>
        <w:t>14.9.2  发包人延误付款15日以上，承包人有权向发包人发出要求付款的通知，发包人收到通知后仍不能付款，承包人可暂停部分工作，视为发包人导致的暂停，并遵照4.6.1款发包人的暂停的约定执行。</w:t>
      </w:r>
    </w:p>
    <w:p>
      <w:pPr>
        <w:spacing w:line="300" w:lineRule="auto"/>
        <w:ind w:firstLine="420" w:firstLineChars="200"/>
        <w:rPr>
          <w:rFonts w:ascii="宋体" w:hAnsi="宋体"/>
          <w:color w:val="auto"/>
          <w:szCs w:val="21"/>
          <w:highlight w:val="none"/>
        </w:rPr>
      </w:pPr>
      <w:r>
        <w:rPr>
          <w:rFonts w:ascii="宋体" w:hAnsi="宋体"/>
          <w:color w:val="auto"/>
          <w:szCs w:val="21"/>
          <w:highlight w:val="none"/>
        </w:rPr>
        <w:t>双方协商签订延期付款协议书的，发包人应按延期付款协议书中约定的期数、时间、金额和利息付款；当双方未能达成延期付款协议，导致工程无法实施，承包人可停止部分或全部工程，发包人应承担违约责任，导致工程关键路径延误时，竣工日期顺延。</w:t>
      </w:r>
    </w:p>
    <w:p>
      <w:pPr>
        <w:spacing w:line="300" w:lineRule="auto"/>
        <w:ind w:firstLine="420" w:firstLineChars="200"/>
        <w:rPr>
          <w:rFonts w:ascii="宋体" w:hAnsi="宋体"/>
          <w:color w:val="auto"/>
          <w:szCs w:val="21"/>
          <w:highlight w:val="none"/>
        </w:rPr>
      </w:pPr>
      <w:r>
        <w:rPr>
          <w:rFonts w:ascii="宋体" w:hAnsi="宋体"/>
          <w:color w:val="auto"/>
          <w:szCs w:val="21"/>
          <w:highlight w:val="none"/>
        </w:rPr>
        <w:t>14.9.3  发包人的延误付款达60日以上，并影响到整个工程实施的，承包人有权根据18.2款的约定向发包人发出解除合同的通知，并有权就因此增加的相关费用向发包人提出索赔。</w:t>
      </w:r>
    </w:p>
    <w:p>
      <w:pPr>
        <w:spacing w:before="156" w:beforeLines="50" w:after="156" w:afterLines="50" w:line="300" w:lineRule="auto"/>
        <w:ind w:firstLine="413" w:firstLineChars="196"/>
        <w:rPr>
          <w:rFonts w:ascii="宋体" w:hAnsi="宋体"/>
          <w:b/>
          <w:color w:val="auto"/>
          <w:szCs w:val="21"/>
          <w:highlight w:val="none"/>
        </w:rPr>
      </w:pPr>
      <w:r>
        <w:rPr>
          <w:rFonts w:ascii="宋体" w:hAnsi="宋体"/>
          <w:b/>
          <w:color w:val="auto"/>
          <w:szCs w:val="21"/>
          <w:highlight w:val="none"/>
        </w:rPr>
        <w:t>14.10  税务与关税</w:t>
      </w:r>
    </w:p>
    <w:p>
      <w:pPr>
        <w:spacing w:line="300" w:lineRule="auto"/>
        <w:ind w:firstLine="420" w:firstLineChars="200"/>
        <w:rPr>
          <w:rFonts w:ascii="宋体" w:hAnsi="宋体"/>
          <w:color w:val="auto"/>
          <w:szCs w:val="21"/>
          <w:highlight w:val="none"/>
        </w:rPr>
      </w:pPr>
      <w:r>
        <w:rPr>
          <w:rFonts w:ascii="宋体" w:hAnsi="宋体"/>
          <w:color w:val="auto"/>
          <w:szCs w:val="21"/>
          <w:highlight w:val="none"/>
        </w:rPr>
        <w:t>14.10.1发包人与承包人按国家有关纳税规定，各自履行各自的纳税义务，含与进口工程物资相关的各项纳税义务。</w:t>
      </w:r>
    </w:p>
    <w:p>
      <w:pPr>
        <w:spacing w:line="300" w:lineRule="auto"/>
        <w:ind w:firstLine="420" w:firstLineChars="200"/>
        <w:rPr>
          <w:rFonts w:ascii="宋体" w:hAnsi="宋体"/>
          <w:color w:val="auto"/>
          <w:szCs w:val="21"/>
          <w:highlight w:val="none"/>
        </w:rPr>
      </w:pPr>
      <w:r>
        <w:rPr>
          <w:rFonts w:ascii="宋体" w:hAnsi="宋体"/>
          <w:color w:val="auto"/>
          <w:szCs w:val="21"/>
          <w:highlight w:val="none"/>
        </w:rPr>
        <w:t>14.10.2  合同一方享有本合同进口工程设备、材料、设备配件等进口增值税和关税减免时，另一方有义务就办理减免税手续给予协助和配合。</w:t>
      </w:r>
    </w:p>
    <w:p>
      <w:pPr>
        <w:spacing w:before="156" w:beforeLines="50" w:after="156" w:afterLines="50" w:line="300" w:lineRule="auto"/>
        <w:ind w:firstLine="413" w:firstLineChars="196"/>
        <w:rPr>
          <w:rFonts w:ascii="宋体" w:hAnsi="宋体"/>
          <w:b/>
          <w:color w:val="auto"/>
          <w:szCs w:val="21"/>
          <w:highlight w:val="none"/>
        </w:rPr>
      </w:pPr>
      <w:r>
        <w:rPr>
          <w:rFonts w:ascii="宋体" w:hAnsi="宋体"/>
          <w:b/>
          <w:color w:val="auto"/>
          <w:szCs w:val="21"/>
          <w:highlight w:val="none"/>
        </w:rPr>
        <w:t>14.11  索赔款项的支付</w:t>
      </w:r>
    </w:p>
    <w:p>
      <w:pPr>
        <w:spacing w:line="300" w:lineRule="auto"/>
        <w:ind w:firstLine="420" w:firstLineChars="200"/>
        <w:rPr>
          <w:rFonts w:ascii="宋体" w:hAnsi="宋体"/>
          <w:color w:val="auto"/>
          <w:szCs w:val="21"/>
          <w:highlight w:val="none"/>
        </w:rPr>
      </w:pPr>
      <w:r>
        <w:rPr>
          <w:rFonts w:ascii="宋体" w:hAnsi="宋体"/>
          <w:color w:val="auto"/>
          <w:szCs w:val="21"/>
          <w:highlight w:val="none"/>
        </w:rPr>
        <w:t>14.11.1  经协商或调解确定的、或经仲裁裁定的、或法院判决的发包人应得的索赔款项，发包人可从应支付给承包人的当月工程进度款或当期付款计划表的付款中扣减该索赔款项。当支付给承包人的各期工程进度款中不足以抵扣发包人的索赔款项时，承包人应当另行支付。承包人未能支付，可协商支付协议，仍未支付时，发包人可从履约保函（如有）中抵扣。如履约保函不足以抵扣时，承包人须另行支付该索赔款项，或以双方协商一致的支付协议的期限支付。</w:t>
      </w:r>
    </w:p>
    <w:p>
      <w:pPr>
        <w:spacing w:line="300" w:lineRule="auto"/>
        <w:ind w:firstLine="420" w:firstLineChars="200"/>
        <w:rPr>
          <w:rFonts w:ascii="宋体" w:hAnsi="宋体"/>
          <w:color w:val="auto"/>
          <w:szCs w:val="21"/>
          <w:highlight w:val="none"/>
        </w:rPr>
      </w:pPr>
      <w:r>
        <w:rPr>
          <w:rFonts w:ascii="宋体" w:hAnsi="宋体"/>
          <w:color w:val="auto"/>
          <w:szCs w:val="21"/>
          <w:highlight w:val="none"/>
        </w:rPr>
        <w:t>14.11.2  经协商或调解确定的、或经仲裁裁决的、或法院判决的承包人应得的索赔款项，承包人可在当月工程进度款或当期付款计划表的付款申请中单列该索赔款项，发包人应在当期付款中支付该索赔款项。发包人未能支付该索赔款项时，承包人有权从发包人提交的支付保函（如有）中抵扣。如未约定支付保函时，发包人须另行支付该索赔款项。</w:t>
      </w:r>
    </w:p>
    <w:p>
      <w:pPr>
        <w:spacing w:before="156" w:beforeLines="50" w:after="156" w:afterLines="50" w:line="300" w:lineRule="auto"/>
        <w:ind w:firstLine="413" w:firstLineChars="196"/>
        <w:rPr>
          <w:rFonts w:ascii="宋体" w:hAnsi="宋体"/>
          <w:b/>
          <w:color w:val="auto"/>
          <w:szCs w:val="21"/>
          <w:highlight w:val="none"/>
        </w:rPr>
      </w:pPr>
      <w:r>
        <w:rPr>
          <w:rFonts w:ascii="宋体" w:hAnsi="宋体"/>
          <w:b/>
          <w:color w:val="auto"/>
          <w:szCs w:val="21"/>
          <w:highlight w:val="none"/>
        </w:rPr>
        <w:t>14.12  竣工结算</w:t>
      </w:r>
    </w:p>
    <w:p>
      <w:pPr>
        <w:spacing w:line="300" w:lineRule="auto"/>
        <w:ind w:firstLine="420" w:firstLineChars="200"/>
        <w:rPr>
          <w:rFonts w:ascii="宋体" w:hAnsi="宋体"/>
          <w:color w:val="auto"/>
          <w:szCs w:val="21"/>
          <w:highlight w:val="none"/>
        </w:rPr>
      </w:pPr>
      <w:r>
        <w:rPr>
          <w:rFonts w:ascii="宋体" w:hAnsi="宋体"/>
          <w:color w:val="auto"/>
          <w:szCs w:val="21"/>
          <w:highlight w:val="none"/>
        </w:rPr>
        <w:t>14.12.1  提交竣工结算资料</w:t>
      </w:r>
    </w:p>
    <w:p>
      <w:pPr>
        <w:spacing w:line="300" w:lineRule="auto"/>
        <w:ind w:firstLine="420" w:firstLineChars="200"/>
        <w:rPr>
          <w:rFonts w:ascii="宋体" w:hAnsi="宋体"/>
          <w:color w:val="auto"/>
          <w:szCs w:val="21"/>
          <w:highlight w:val="none"/>
        </w:rPr>
      </w:pPr>
      <w:r>
        <w:rPr>
          <w:rFonts w:ascii="宋体" w:hAnsi="宋体"/>
          <w:color w:val="auto"/>
          <w:szCs w:val="21"/>
          <w:highlight w:val="none"/>
        </w:rPr>
        <w:t>承包人应在根据12.1款的约定提交的竣工验收报告和完整的竣工资料被发包人确定后的30日内，向发包人递交竣工结算报告和完整的竣工结算资料。竣工结算资料的格式、内容和份数，在专用条款中约定。</w:t>
      </w:r>
    </w:p>
    <w:p>
      <w:pPr>
        <w:spacing w:line="300" w:lineRule="auto"/>
        <w:ind w:firstLine="420" w:firstLineChars="200"/>
        <w:rPr>
          <w:rFonts w:ascii="宋体" w:hAnsi="宋体"/>
          <w:color w:val="auto"/>
          <w:szCs w:val="21"/>
          <w:highlight w:val="none"/>
        </w:rPr>
      </w:pPr>
      <w:r>
        <w:rPr>
          <w:rFonts w:ascii="宋体" w:hAnsi="宋体"/>
          <w:color w:val="auto"/>
          <w:szCs w:val="21"/>
          <w:highlight w:val="none"/>
        </w:rPr>
        <w:t>14.12.2  最终竣工结算资料</w:t>
      </w:r>
    </w:p>
    <w:p>
      <w:pPr>
        <w:spacing w:line="300" w:lineRule="auto"/>
        <w:ind w:firstLine="420" w:firstLineChars="200"/>
        <w:rPr>
          <w:rFonts w:ascii="宋体" w:hAnsi="宋体"/>
          <w:color w:val="auto"/>
          <w:szCs w:val="21"/>
          <w:highlight w:val="none"/>
        </w:rPr>
      </w:pPr>
      <w:r>
        <w:rPr>
          <w:rFonts w:ascii="宋体" w:hAnsi="宋体"/>
          <w:color w:val="auto"/>
          <w:szCs w:val="21"/>
          <w:highlight w:val="none"/>
        </w:rPr>
        <w:t>发包人应在收到承包人提交的竣工结算报告和完整的竣工结算资料后的30日内，进行审查并提出修改意见，双方就竣工结算报告和完整的竣工结算资料的修改达成一致意见后，由承包人自费进行修正，并提交最终的竣工结算报告和最终的结算资料。</w:t>
      </w:r>
    </w:p>
    <w:p>
      <w:pPr>
        <w:spacing w:line="300" w:lineRule="auto"/>
        <w:ind w:firstLine="420" w:firstLineChars="200"/>
        <w:rPr>
          <w:rFonts w:ascii="宋体" w:hAnsi="宋体"/>
          <w:color w:val="auto"/>
          <w:szCs w:val="21"/>
          <w:highlight w:val="none"/>
        </w:rPr>
      </w:pPr>
      <w:r>
        <w:rPr>
          <w:rFonts w:ascii="宋体" w:hAnsi="宋体"/>
          <w:color w:val="auto"/>
          <w:szCs w:val="21"/>
          <w:highlight w:val="none"/>
        </w:rPr>
        <w:t>14.12.3  结清竣工结算的款项</w:t>
      </w:r>
    </w:p>
    <w:p>
      <w:pPr>
        <w:spacing w:line="300" w:lineRule="auto"/>
        <w:ind w:firstLine="420" w:firstLineChars="200"/>
        <w:rPr>
          <w:rFonts w:ascii="宋体" w:hAnsi="宋体"/>
          <w:color w:val="auto"/>
          <w:szCs w:val="21"/>
          <w:highlight w:val="none"/>
        </w:rPr>
      </w:pPr>
      <w:r>
        <w:rPr>
          <w:rFonts w:ascii="宋体" w:hAnsi="宋体"/>
          <w:color w:val="auto"/>
          <w:szCs w:val="21"/>
          <w:highlight w:val="none"/>
        </w:rPr>
        <w:t>发包人应在收到承包人按14.12.2款的约定提交的最终竣工结算资料的30日内，结清竣工结算的款项。竣工款结清后5日内，发包人应将承包人按14.2.1款约定提交的履约保函返还给承包人；承包人应将发包人按14.2.2款约定提交的支付保函返还给发包人。</w:t>
      </w:r>
    </w:p>
    <w:p>
      <w:pPr>
        <w:spacing w:line="300" w:lineRule="auto"/>
        <w:ind w:firstLine="420" w:firstLineChars="200"/>
        <w:rPr>
          <w:rFonts w:ascii="宋体" w:hAnsi="宋体"/>
          <w:color w:val="auto"/>
          <w:szCs w:val="21"/>
          <w:highlight w:val="none"/>
        </w:rPr>
      </w:pPr>
      <w:r>
        <w:rPr>
          <w:rFonts w:ascii="宋体" w:hAnsi="宋体"/>
          <w:color w:val="auto"/>
          <w:szCs w:val="21"/>
          <w:highlight w:val="none"/>
        </w:rPr>
        <w:t>14.12.4  未能答复竣工结算报告</w:t>
      </w:r>
    </w:p>
    <w:p>
      <w:pPr>
        <w:spacing w:line="300" w:lineRule="auto"/>
        <w:ind w:firstLine="420" w:firstLineChars="200"/>
        <w:rPr>
          <w:rFonts w:ascii="宋体" w:hAnsi="宋体"/>
          <w:color w:val="auto"/>
          <w:szCs w:val="21"/>
          <w:highlight w:val="none"/>
        </w:rPr>
      </w:pPr>
      <w:r>
        <w:rPr>
          <w:rFonts w:ascii="宋体" w:hAnsi="宋体"/>
          <w:color w:val="auto"/>
          <w:szCs w:val="21"/>
          <w:highlight w:val="none"/>
        </w:rPr>
        <w:t>发包人在接到承包人根据14.12.1款约定提交的竣工结算报告和完整的竣工结算资料的30日内，未能提出修改意见，也未予答复的，视为发包人认可了该竣工结算资料作为最终竣工结算资料。发包人应根据14.12.3款的约定，结清竣工结算的款项。</w:t>
      </w:r>
    </w:p>
    <w:p>
      <w:pPr>
        <w:spacing w:line="300" w:lineRule="auto"/>
        <w:ind w:firstLine="420" w:firstLineChars="200"/>
        <w:rPr>
          <w:rFonts w:ascii="宋体" w:hAnsi="宋体"/>
          <w:color w:val="auto"/>
          <w:szCs w:val="21"/>
          <w:highlight w:val="none"/>
        </w:rPr>
      </w:pPr>
      <w:r>
        <w:rPr>
          <w:rFonts w:ascii="宋体" w:hAnsi="宋体"/>
          <w:color w:val="auto"/>
          <w:szCs w:val="21"/>
          <w:highlight w:val="none"/>
        </w:rPr>
        <w:t>14.12.5  发包人未能结清竣工结算的款项</w:t>
      </w:r>
    </w:p>
    <w:p>
      <w:pPr>
        <w:spacing w:line="300" w:lineRule="auto"/>
        <w:ind w:firstLine="420" w:firstLineChars="200"/>
        <w:rPr>
          <w:rFonts w:ascii="宋体" w:hAnsi="宋体"/>
          <w:color w:val="auto"/>
          <w:szCs w:val="21"/>
          <w:highlight w:val="none"/>
        </w:rPr>
      </w:pPr>
      <w:r>
        <w:rPr>
          <w:rFonts w:ascii="宋体" w:hAnsi="宋体"/>
          <w:color w:val="auto"/>
          <w:szCs w:val="21"/>
          <w:highlight w:val="none"/>
        </w:rPr>
        <w:t>（1）发包人未能按14.12.3款的约定，结清应付给承包人的竣工结算的款项余额的，承包人有权从发包人根据14.2.2款约定提交的支付保函中扣减该款项的余额。</w:t>
      </w:r>
    </w:p>
    <w:p>
      <w:pPr>
        <w:spacing w:line="300" w:lineRule="auto"/>
        <w:ind w:firstLine="420" w:firstLineChars="200"/>
        <w:rPr>
          <w:rFonts w:ascii="宋体" w:hAnsi="宋体"/>
          <w:color w:val="auto"/>
          <w:szCs w:val="21"/>
          <w:highlight w:val="none"/>
        </w:rPr>
      </w:pPr>
      <w:r>
        <w:rPr>
          <w:rFonts w:ascii="宋体" w:hAnsi="宋体"/>
          <w:color w:val="auto"/>
          <w:szCs w:val="21"/>
          <w:highlight w:val="none"/>
        </w:rPr>
        <w:t>合同未约定发包人按14.2.2款提交支付保函或支付保函不足以抵偿应向承包人支付的竣工结算款项时，发包人从承包人提交最终结算资料后的第31日起，支付拖欠的竣工结算款项的余额，并按中国人民银行同期同类贷款利率支付相应利息。</w:t>
      </w:r>
    </w:p>
    <w:p>
      <w:pPr>
        <w:spacing w:line="300" w:lineRule="auto"/>
        <w:ind w:firstLine="420" w:firstLineChars="200"/>
        <w:rPr>
          <w:rFonts w:ascii="宋体" w:hAnsi="宋体"/>
          <w:color w:val="auto"/>
          <w:szCs w:val="21"/>
          <w:highlight w:val="none"/>
        </w:rPr>
      </w:pPr>
      <w:r>
        <w:rPr>
          <w:rFonts w:ascii="宋体" w:hAnsi="宋体"/>
          <w:color w:val="auto"/>
          <w:szCs w:val="21"/>
          <w:highlight w:val="none"/>
        </w:rPr>
        <w:t>（2）根据14.12.4款的约定，发包人未能在约定的30日内对竣工结算资料提出修改意见和答复，也未能向承包人支付竣工结算款项的余额的，应从承包人提交该报告后的第31日起，支付拖欠的竣工结算款项的余额，并按中国人民银行同期同类的贷款利率支付相应利息。</w:t>
      </w:r>
    </w:p>
    <w:p>
      <w:pPr>
        <w:spacing w:line="300" w:lineRule="auto"/>
        <w:ind w:firstLine="420" w:firstLineChars="200"/>
        <w:rPr>
          <w:rFonts w:ascii="宋体" w:hAnsi="宋体"/>
          <w:color w:val="auto"/>
          <w:szCs w:val="21"/>
          <w:highlight w:val="none"/>
        </w:rPr>
      </w:pPr>
      <w:r>
        <w:rPr>
          <w:rFonts w:ascii="宋体" w:hAnsi="宋体"/>
          <w:color w:val="auto"/>
          <w:szCs w:val="21"/>
          <w:highlight w:val="none"/>
        </w:rPr>
        <w:t>发包人在承包人提交最终竣工结算资料的90日内，仍未结清竣工结算款项的，承包人可依据第16.3款争议和裁决的约定解决。</w:t>
      </w:r>
    </w:p>
    <w:p>
      <w:pPr>
        <w:spacing w:line="300" w:lineRule="auto"/>
        <w:ind w:firstLine="420" w:firstLineChars="200"/>
        <w:rPr>
          <w:rFonts w:ascii="宋体" w:hAnsi="宋体"/>
          <w:color w:val="auto"/>
          <w:szCs w:val="21"/>
          <w:highlight w:val="none"/>
        </w:rPr>
      </w:pPr>
      <w:r>
        <w:rPr>
          <w:rFonts w:ascii="宋体" w:hAnsi="宋体"/>
          <w:color w:val="auto"/>
          <w:szCs w:val="21"/>
          <w:highlight w:val="none"/>
        </w:rPr>
        <w:t>14.12.6  未能按时提交竣工结算报告及完整的结算资料</w:t>
      </w:r>
    </w:p>
    <w:p>
      <w:pPr>
        <w:spacing w:line="300" w:lineRule="auto"/>
        <w:ind w:firstLine="420" w:firstLineChars="200"/>
        <w:rPr>
          <w:rFonts w:ascii="宋体" w:hAnsi="宋体"/>
          <w:color w:val="auto"/>
          <w:szCs w:val="21"/>
          <w:highlight w:val="none"/>
        </w:rPr>
      </w:pPr>
      <w:r>
        <w:rPr>
          <w:rFonts w:ascii="宋体" w:hAnsi="宋体"/>
          <w:color w:val="auto"/>
          <w:szCs w:val="21"/>
          <w:highlight w:val="none"/>
        </w:rPr>
        <w:t>工程竣工验收报告经发包人认可后的30日内，承包人未能向发包人提交竣工结算报告及完整的结算资料，造成工程竣工结算不能正常进行、或工程竣工结算不能按时结清，发包人要求承包人交付工程时，承包人应进行交付；发包人未要求交付工程时，承包人须承担保管、维护和保养的费用和责任，不包括根据第9条工程接收的约定已被发包人使用、接收的单项工程和工程的任何部分。</w:t>
      </w:r>
    </w:p>
    <w:p>
      <w:pPr>
        <w:spacing w:line="300" w:lineRule="auto"/>
        <w:ind w:firstLine="420" w:firstLineChars="200"/>
        <w:rPr>
          <w:rFonts w:ascii="宋体" w:hAnsi="宋体"/>
          <w:color w:val="auto"/>
          <w:szCs w:val="21"/>
          <w:highlight w:val="none"/>
        </w:rPr>
      </w:pPr>
      <w:r>
        <w:rPr>
          <w:rFonts w:ascii="宋体" w:hAnsi="宋体"/>
          <w:color w:val="auto"/>
          <w:szCs w:val="21"/>
          <w:highlight w:val="none"/>
        </w:rPr>
        <w:t>14.12.7  承包人未能支付竣工结算的款项</w:t>
      </w:r>
    </w:p>
    <w:p>
      <w:pPr>
        <w:spacing w:line="300" w:lineRule="auto"/>
        <w:ind w:firstLine="420" w:firstLineChars="200"/>
        <w:rPr>
          <w:rFonts w:ascii="宋体" w:hAnsi="宋体"/>
          <w:color w:val="auto"/>
          <w:szCs w:val="21"/>
          <w:highlight w:val="none"/>
        </w:rPr>
      </w:pPr>
      <w:r>
        <w:rPr>
          <w:rFonts w:ascii="宋体" w:hAnsi="宋体"/>
          <w:color w:val="auto"/>
          <w:szCs w:val="21"/>
          <w:highlight w:val="none"/>
        </w:rPr>
        <w:t>（1）承包人未能按14.12.3款的约定，结清应付给发包人的竣工结算中的款项余额时，发包人有权从承包人根据14.2.1款约定提交的履约保函中扣减该款项的余额。</w:t>
      </w:r>
    </w:p>
    <w:p>
      <w:pPr>
        <w:spacing w:line="300" w:lineRule="auto"/>
        <w:ind w:firstLine="420" w:firstLineChars="200"/>
        <w:rPr>
          <w:rFonts w:ascii="宋体" w:hAnsi="宋体"/>
          <w:color w:val="auto"/>
          <w:szCs w:val="21"/>
          <w:highlight w:val="none"/>
        </w:rPr>
      </w:pPr>
      <w:r>
        <w:rPr>
          <w:rFonts w:ascii="宋体" w:hAnsi="宋体"/>
          <w:color w:val="auto"/>
          <w:szCs w:val="21"/>
          <w:highlight w:val="none"/>
        </w:rPr>
        <w:t>履约保函的金额不足以抵偿时，承包人应从最终竣工结算资料提交之后的31日起，支付拖欠的竣工结算款项的余额，并按中国人民银行同期同类贷款利率支付相应利息。承包人在最终竣工结算资料提交后的90日内仍未支付时，发包人有权根据第16.3款争议和裁决的约定解决。</w:t>
      </w:r>
    </w:p>
    <w:p>
      <w:pPr>
        <w:spacing w:line="300" w:lineRule="auto"/>
        <w:ind w:firstLine="420" w:firstLineChars="200"/>
        <w:rPr>
          <w:rFonts w:ascii="宋体" w:hAnsi="宋体"/>
          <w:color w:val="auto"/>
          <w:szCs w:val="21"/>
          <w:highlight w:val="none"/>
        </w:rPr>
      </w:pPr>
      <w:r>
        <w:rPr>
          <w:rFonts w:ascii="宋体" w:hAnsi="宋体"/>
          <w:color w:val="auto"/>
          <w:szCs w:val="21"/>
          <w:highlight w:val="none"/>
        </w:rPr>
        <w:t>（2）合同未约定履约保函时，承包人应从最终竣工结算资料提交后的第31日起，支付拖欠的竣工结算款项的余额，并按中国人民银行同期同类贷款利率支付相应利息。如承包人在最终竣工结算资料提交后的90日内仍未支付时，发包人有权根据第16.3款争议和裁决的约定解决。</w:t>
      </w:r>
    </w:p>
    <w:p>
      <w:pPr>
        <w:spacing w:line="300" w:lineRule="auto"/>
        <w:ind w:firstLine="420" w:firstLineChars="200"/>
        <w:rPr>
          <w:rFonts w:ascii="宋体" w:hAnsi="宋体"/>
          <w:color w:val="auto"/>
          <w:szCs w:val="21"/>
          <w:highlight w:val="none"/>
        </w:rPr>
      </w:pPr>
      <w:r>
        <w:rPr>
          <w:rFonts w:ascii="宋体" w:hAnsi="宋体"/>
          <w:color w:val="auto"/>
          <w:szCs w:val="21"/>
          <w:highlight w:val="none"/>
        </w:rPr>
        <w:t>14.12.8  竣工结算的争议</w:t>
      </w:r>
    </w:p>
    <w:p>
      <w:pPr>
        <w:spacing w:line="300" w:lineRule="auto"/>
        <w:ind w:firstLine="420" w:firstLineChars="200"/>
        <w:rPr>
          <w:rFonts w:ascii="宋体" w:hAnsi="宋体"/>
          <w:color w:val="auto"/>
          <w:szCs w:val="21"/>
          <w:highlight w:val="none"/>
        </w:rPr>
      </w:pPr>
      <w:r>
        <w:rPr>
          <w:rFonts w:ascii="宋体" w:hAnsi="宋体"/>
          <w:color w:val="auto"/>
          <w:szCs w:val="21"/>
          <w:highlight w:val="none"/>
        </w:rPr>
        <w:t>如在发包人收到承包人递交的竣工结算报告及完整的结算资料后的30日内，双方对工程竣工结算的价款发生争议时，应共同委托一家具有相应资质等级的工程造价咨询单位进行竣工结算审核，按审核结果，结清竣工结算的款项。审核周期由合同双方与工程造价审核单位约定。对审核结果仍有争议时，依据第16.3款争议和裁决的约定解决。</w:t>
      </w:r>
    </w:p>
    <w:p>
      <w:pPr>
        <w:spacing w:before="156" w:beforeLines="50" w:after="156" w:afterLines="50" w:line="300" w:lineRule="auto"/>
        <w:ind w:firstLine="422" w:firstLineChars="200"/>
        <w:rPr>
          <w:rFonts w:ascii="宋体" w:hAnsi="宋体"/>
          <w:b/>
          <w:color w:val="auto"/>
          <w:szCs w:val="21"/>
          <w:highlight w:val="none"/>
        </w:rPr>
      </w:pPr>
      <w:r>
        <w:rPr>
          <w:rFonts w:ascii="宋体" w:hAnsi="宋体"/>
          <w:b/>
          <w:color w:val="auto"/>
          <w:szCs w:val="21"/>
          <w:highlight w:val="none"/>
        </w:rPr>
        <w:t>第15条  保险</w:t>
      </w:r>
    </w:p>
    <w:p>
      <w:pPr>
        <w:spacing w:before="156" w:beforeLines="50" w:after="156" w:afterLines="50" w:line="300" w:lineRule="auto"/>
        <w:ind w:firstLine="422" w:firstLineChars="200"/>
        <w:rPr>
          <w:rFonts w:ascii="宋体" w:hAnsi="宋体"/>
          <w:b/>
          <w:color w:val="auto"/>
          <w:szCs w:val="21"/>
          <w:highlight w:val="none"/>
        </w:rPr>
      </w:pPr>
      <w:r>
        <w:rPr>
          <w:rFonts w:ascii="宋体" w:hAnsi="宋体"/>
          <w:b/>
          <w:color w:val="auto"/>
          <w:szCs w:val="21"/>
          <w:highlight w:val="none"/>
        </w:rPr>
        <w:t>15.1  承包人的投保</w:t>
      </w:r>
    </w:p>
    <w:p>
      <w:pPr>
        <w:spacing w:line="300" w:lineRule="auto"/>
        <w:ind w:firstLine="420" w:firstLineChars="200"/>
        <w:rPr>
          <w:rFonts w:ascii="宋体" w:hAnsi="宋体"/>
          <w:color w:val="auto"/>
          <w:szCs w:val="21"/>
          <w:highlight w:val="none"/>
        </w:rPr>
      </w:pPr>
      <w:r>
        <w:rPr>
          <w:rFonts w:ascii="宋体" w:hAnsi="宋体"/>
          <w:color w:val="auto"/>
          <w:szCs w:val="21"/>
          <w:highlight w:val="none"/>
        </w:rPr>
        <w:t>15.1.1  按适用法律和专用条款约定的投保类别，由承包人投保的保险种类，其投保费用包含在合同价格中。由承包人投保的保险种类、保险范围、投保金额、保险期限和持续有效的时间等在专用条款中约定。</w:t>
      </w:r>
    </w:p>
    <w:p>
      <w:pPr>
        <w:spacing w:line="300" w:lineRule="auto"/>
        <w:ind w:firstLine="420" w:firstLineChars="200"/>
        <w:rPr>
          <w:rFonts w:ascii="宋体" w:hAnsi="宋体"/>
          <w:color w:val="auto"/>
          <w:szCs w:val="21"/>
          <w:highlight w:val="none"/>
        </w:rPr>
      </w:pPr>
      <w:r>
        <w:rPr>
          <w:rFonts w:ascii="宋体" w:hAnsi="宋体"/>
          <w:color w:val="auto"/>
          <w:szCs w:val="21"/>
          <w:highlight w:val="none"/>
        </w:rPr>
        <w:t>（1）适用法律规定及专用条款约定的，由承包人负责投保的，承包人应依据工程实施阶段的需要按期投保；</w:t>
      </w:r>
    </w:p>
    <w:p>
      <w:pPr>
        <w:spacing w:line="300" w:lineRule="auto"/>
        <w:ind w:firstLine="420" w:firstLineChars="200"/>
        <w:rPr>
          <w:rFonts w:ascii="宋体" w:hAnsi="宋体"/>
          <w:color w:val="auto"/>
          <w:szCs w:val="21"/>
          <w:highlight w:val="none"/>
        </w:rPr>
      </w:pPr>
      <w:r>
        <w:rPr>
          <w:rFonts w:ascii="宋体" w:hAnsi="宋体"/>
          <w:color w:val="auto"/>
          <w:szCs w:val="21"/>
          <w:highlight w:val="none"/>
        </w:rPr>
        <w:t>（2）在合同执行过程中，新颁布的适用法律规定由承包人投保的强制性保险，根据13条变更和合同价格调整的约定调整合同价格。</w:t>
      </w:r>
    </w:p>
    <w:p>
      <w:pPr>
        <w:spacing w:line="300" w:lineRule="auto"/>
        <w:ind w:firstLine="420" w:firstLineChars="200"/>
        <w:rPr>
          <w:rFonts w:ascii="宋体" w:hAnsi="宋体"/>
          <w:color w:val="auto"/>
          <w:szCs w:val="21"/>
          <w:highlight w:val="none"/>
        </w:rPr>
      </w:pPr>
      <w:r>
        <w:rPr>
          <w:rFonts w:ascii="宋体" w:hAnsi="宋体"/>
          <w:color w:val="auto"/>
          <w:szCs w:val="21"/>
          <w:highlight w:val="none"/>
        </w:rPr>
        <w:t>15.1.2  保险单对联合被保险人提供保险时，保险赔偿对每个联合被保险人分别施用。承包人应代表自己的被保险人，保证其被保险人遵守保险单约定的条件及其赔偿金额。</w:t>
      </w:r>
    </w:p>
    <w:p>
      <w:pPr>
        <w:spacing w:line="300" w:lineRule="auto"/>
        <w:ind w:firstLine="420" w:firstLineChars="200"/>
        <w:rPr>
          <w:rFonts w:ascii="宋体" w:hAnsi="宋体"/>
          <w:color w:val="auto"/>
          <w:szCs w:val="21"/>
          <w:highlight w:val="none"/>
        </w:rPr>
      </w:pPr>
      <w:r>
        <w:rPr>
          <w:rFonts w:ascii="宋体" w:hAnsi="宋体"/>
          <w:color w:val="auto"/>
          <w:szCs w:val="21"/>
          <w:highlight w:val="none"/>
        </w:rPr>
        <w:t>15.1.3  承包人从保险人收到的理赔款项，应用于保单约定的损失、损害、伤害的修复、购置、重建和赔偿。</w:t>
      </w:r>
    </w:p>
    <w:p>
      <w:pPr>
        <w:spacing w:line="300" w:lineRule="auto"/>
        <w:ind w:firstLine="420" w:firstLineChars="200"/>
        <w:rPr>
          <w:rFonts w:ascii="宋体" w:hAnsi="宋体"/>
          <w:color w:val="auto"/>
          <w:szCs w:val="21"/>
          <w:highlight w:val="none"/>
        </w:rPr>
      </w:pPr>
      <w:r>
        <w:rPr>
          <w:rFonts w:ascii="宋体" w:hAnsi="宋体"/>
          <w:color w:val="auto"/>
          <w:szCs w:val="21"/>
          <w:highlight w:val="none"/>
        </w:rPr>
        <w:t>15.1.4  承包人应在投保项目及其投保期限内，向发包人提供保险单副本、保费支付单据复印件和保险单生效的证明。</w:t>
      </w:r>
    </w:p>
    <w:p>
      <w:pPr>
        <w:spacing w:line="300" w:lineRule="auto"/>
        <w:ind w:firstLine="420" w:firstLineChars="200"/>
        <w:rPr>
          <w:rFonts w:ascii="宋体" w:hAnsi="宋体"/>
          <w:color w:val="auto"/>
          <w:szCs w:val="21"/>
          <w:highlight w:val="none"/>
        </w:rPr>
      </w:pPr>
      <w:r>
        <w:rPr>
          <w:rFonts w:ascii="宋体" w:hAnsi="宋体"/>
          <w:color w:val="auto"/>
          <w:szCs w:val="21"/>
          <w:highlight w:val="none"/>
        </w:rPr>
        <w:t>承包人未提交上述证明文件的，视为未按合同约定投保，发包人可以自己名义投保相应保险，由此引起的费用及理赔损失，由承包人承担。</w:t>
      </w:r>
    </w:p>
    <w:p>
      <w:pPr>
        <w:spacing w:before="156" w:beforeLines="50" w:after="156" w:afterLines="50" w:line="300" w:lineRule="auto"/>
        <w:ind w:firstLine="422" w:firstLineChars="200"/>
        <w:rPr>
          <w:rFonts w:ascii="宋体" w:hAnsi="宋体"/>
          <w:b/>
          <w:color w:val="auto"/>
          <w:szCs w:val="21"/>
          <w:highlight w:val="none"/>
        </w:rPr>
      </w:pPr>
      <w:r>
        <w:rPr>
          <w:rFonts w:ascii="宋体" w:hAnsi="宋体"/>
          <w:b/>
          <w:color w:val="auto"/>
          <w:szCs w:val="21"/>
          <w:highlight w:val="none"/>
        </w:rPr>
        <w:t>15.2  一切险和第三方责任险</w:t>
      </w:r>
    </w:p>
    <w:p>
      <w:pPr>
        <w:spacing w:line="300" w:lineRule="auto"/>
        <w:ind w:firstLine="420" w:firstLineChars="200"/>
        <w:rPr>
          <w:rFonts w:ascii="宋体" w:hAnsi="宋体"/>
          <w:color w:val="auto"/>
          <w:szCs w:val="21"/>
          <w:highlight w:val="none"/>
        </w:rPr>
      </w:pPr>
      <w:r>
        <w:rPr>
          <w:rFonts w:ascii="宋体" w:hAnsi="宋体"/>
          <w:color w:val="auto"/>
          <w:szCs w:val="21"/>
          <w:highlight w:val="none"/>
        </w:rPr>
        <w:t>对于建筑工程一切险、安装工程一切险和第三者责任险，无论应投保方是任何一方，其在投保时均应将本合同的另一方、本合同项下分包商、供货商、服务商同时列为保险合同项下的被保险人。具体的应投保方在专用条款中约定。</w:t>
      </w:r>
    </w:p>
    <w:p>
      <w:pPr>
        <w:spacing w:before="156" w:beforeLines="50" w:after="156" w:afterLines="50" w:line="300" w:lineRule="auto"/>
        <w:ind w:firstLine="422" w:firstLineChars="200"/>
        <w:rPr>
          <w:rFonts w:ascii="宋体" w:hAnsi="宋体"/>
          <w:b/>
          <w:color w:val="auto"/>
          <w:szCs w:val="21"/>
          <w:highlight w:val="none"/>
        </w:rPr>
      </w:pPr>
      <w:r>
        <w:rPr>
          <w:rFonts w:ascii="宋体" w:hAnsi="宋体"/>
          <w:b/>
          <w:color w:val="auto"/>
          <w:szCs w:val="21"/>
          <w:highlight w:val="none"/>
        </w:rPr>
        <w:t>15.3  保险的其它规定</w:t>
      </w:r>
    </w:p>
    <w:p>
      <w:pPr>
        <w:spacing w:line="300" w:lineRule="auto"/>
        <w:ind w:firstLine="420" w:firstLineChars="200"/>
        <w:rPr>
          <w:rFonts w:ascii="宋体" w:hAnsi="宋体"/>
          <w:color w:val="auto"/>
          <w:szCs w:val="21"/>
          <w:highlight w:val="none"/>
        </w:rPr>
      </w:pPr>
      <w:r>
        <w:rPr>
          <w:rFonts w:ascii="宋体" w:hAnsi="宋体"/>
          <w:color w:val="auto"/>
          <w:szCs w:val="21"/>
          <w:highlight w:val="none"/>
        </w:rPr>
        <w:t>15.3.1  由承包人负责采购运输的设备、材料、部件的运输险，由承包人投保。此项保险费用已包含在合同价格中，专用条款中另有约定时除外。</w:t>
      </w:r>
    </w:p>
    <w:p>
      <w:pPr>
        <w:spacing w:line="300" w:lineRule="auto"/>
        <w:ind w:firstLine="420" w:firstLineChars="200"/>
        <w:rPr>
          <w:rFonts w:ascii="宋体" w:hAnsi="宋体"/>
          <w:color w:val="auto"/>
          <w:szCs w:val="21"/>
          <w:highlight w:val="none"/>
        </w:rPr>
      </w:pPr>
      <w:r>
        <w:rPr>
          <w:rFonts w:ascii="宋体" w:hAnsi="宋体"/>
          <w:color w:val="auto"/>
          <w:szCs w:val="21"/>
          <w:highlight w:val="none"/>
        </w:rPr>
        <w:t>15.3.2  保险事项的意外事件发生时，在场的各方均有责任努力采取必要措施，防止损失、损害的扩大。</w:t>
      </w:r>
    </w:p>
    <w:p>
      <w:pPr>
        <w:spacing w:line="300" w:lineRule="auto"/>
        <w:ind w:firstLine="420" w:firstLineChars="200"/>
        <w:rPr>
          <w:rFonts w:ascii="宋体" w:hAnsi="宋体"/>
          <w:color w:val="auto"/>
          <w:szCs w:val="21"/>
          <w:highlight w:val="none"/>
        </w:rPr>
      </w:pPr>
      <w:r>
        <w:rPr>
          <w:rFonts w:ascii="宋体" w:hAnsi="宋体"/>
          <w:color w:val="auto"/>
          <w:szCs w:val="21"/>
          <w:highlight w:val="none"/>
        </w:rPr>
        <w:t>15.3.3  本合同约定以外的险种，根据各自的需要自行投保，保险费用由各自承担。</w:t>
      </w:r>
    </w:p>
    <w:p>
      <w:pPr>
        <w:spacing w:before="156" w:beforeLines="50" w:after="156" w:afterLines="50" w:line="300" w:lineRule="auto"/>
        <w:ind w:firstLine="413" w:firstLineChars="196"/>
        <w:rPr>
          <w:rFonts w:ascii="宋体" w:hAnsi="宋体"/>
          <w:b/>
          <w:color w:val="auto"/>
          <w:szCs w:val="21"/>
          <w:highlight w:val="none"/>
        </w:rPr>
      </w:pPr>
      <w:r>
        <w:rPr>
          <w:rFonts w:ascii="宋体" w:hAnsi="宋体"/>
          <w:b/>
          <w:color w:val="auto"/>
          <w:szCs w:val="21"/>
          <w:highlight w:val="none"/>
        </w:rPr>
        <w:t>第16条  违约、索赔和争议</w:t>
      </w:r>
    </w:p>
    <w:p>
      <w:pPr>
        <w:spacing w:before="156" w:beforeLines="50" w:after="156" w:afterLines="50" w:line="300" w:lineRule="auto"/>
        <w:ind w:firstLine="422" w:firstLineChars="200"/>
        <w:rPr>
          <w:rFonts w:ascii="宋体" w:hAnsi="宋体"/>
          <w:b/>
          <w:color w:val="auto"/>
          <w:szCs w:val="21"/>
          <w:highlight w:val="none"/>
        </w:rPr>
      </w:pPr>
      <w:r>
        <w:rPr>
          <w:rFonts w:ascii="宋体" w:hAnsi="宋体"/>
          <w:b/>
          <w:color w:val="auto"/>
          <w:szCs w:val="21"/>
          <w:highlight w:val="none"/>
        </w:rPr>
        <w:t>16.1  违约责任</w:t>
      </w:r>
    </w:p>
    <w:p>
      <w:pPr>
        <w:spacing w:line="300" w:lineRule="auto"/>
        <w:ind w:firstLine="420" w:firstLineChars="200"/>
        <w:rPr>
          <w:rFonts w:ascii="宋体" w:hAnsi="宋体"/>
          <w:color w:val="auto"/>
          <w:szCs w:val="21"/>
          <w:highlight w:val="none"/>
        </w:rPr>
      </w:pPr>
      <w:r>
        <w:rPr>
          <w:rFonts w:ascii="宋体" w:hAnsi="宋体"/>
          <w:color w:val="auto"/>
          <w:szCs w:val="21"/>
          <w:highlight w:val="none"/>
        </w:rPr>
        <w:t>16.1.1  发包人的违约责任</w:t>
      </w:r>
    </w:p>
    <w:p>
      <w:pPr>
        <w:spacing w:line="300" w:lineRule="auto"/>
        <w:ind w:firstLine="420" w:firstLineChars="200"/>
        <w:rPr>
          <w:rFonts w:ascii="宋体" w:hAnsi="宋体"/>
          <w:color w:val="auto"/>
          <w:szCs w:val="21"/>
          <w:highlight w:val="none"/>
        </w:rPr>
      </w:pPr>
      <w:r>
        <w:rPr>
          <w:rFonts w:ascii="宋体" w:hAnsi="宋体"/>
          <w:color w:val="auto"/>
          <w:szCs w:val="21"/>
          <w:highlight w:val="none"/>
        </w:rPr>
        <w:t>当发生下列情况时：</w:t>
      </w:r>
    </w:p>
    <w:p>
      <w:pPr>
        <w:spacing w:line="300" w:lineRule="auto"/>
        <w:ind w:firstLine="420" w:firstLineChars="200"/>
        <w:rPr>
          <w:rFonts w:ascii="宋体" w:hAnsi="宋体"/>
          <w:color w:val="auto"/>
          <w:szCs w:val="21"/>
          <w:highlight w:val="none"/>
        </w:rPr>
      </w:pPr>
      <w:r>
        <w:rPr>
          <w:rFonts w:ascii="宋体" w:hAnsi="宋体"/>
          <w:color w:val="auto"/>
          <w:szCs w:val="21"/>
          <w:highlight w:val="none"/>
        </w:rPr>
        <w:t>（1）发包人未能履行5.1..2款、5.2.1款第（1）、（2）项的约定，未能按时提供真实、准确、齐全的工艺技术和（或）建筑设计方案、项目基础资料和现场障碍资料；</w:t>
      </w:r>
    </w:p>
    <w:p>
      <w:pPr>
        <w:spacing w:line="300" w:lineRule="auto"/>
        <w:ind w:firstLine="420" w:firstLineChars="200"/>
        <w:rPr>
          <w:rFonts w:ascii="宋体" w:hAnsi="宋体"/>
          <w:color w:val="auto"/>
          <w:szCs w:val="21"/>
          <w:highlight w:val="none"/>
        </w:rPr>
      </w:pPr>
      <w:r>
        <w:rPr>
          <w:rFonts w:ascii="宋体" w:hAnsi="宋体"/>
          <w:color w:val="auto"/>
          <w:szCs w:val="21"/>
          <w:highlight w:val="none"/>
        </w:rPr>
        <w:t>（2）发包人未能按13条的约定调整合同价格，未能按14条有关预付款、工程进度款、竣工结算约定的款项类别、金额、承包人指定的账户和时间支付相应款项；</w:t>
      </w:r>
    </w:p>
    <w:p>
      <w:pPr>
        <w:spacing w:line="300" w:lineRule="auto"/>
        <w:ind w:firstLine="420" w:firstLineChars="200"/>
        <w:rPr>
          <w:rFonts w:ascii="宋体" w:hAnsi="宋体"/>
          <w:color w:val="auto"/>
          <w:szCs w:val="21"/>
          <w:highlight w:val="none"/>
        </w:rPr>
      </w:pPr>
      <w:r>
        <w:rPr>
          <w:rFonts w:ascii="宋体" w:hAnsi="宋体"/>
          <w:color w:val="auto"/>
          <w:szCs w:val="21"/>
          <w:highlight w:val="none"/>
        </w:rPr>
        <w:t>（3）发包人未能履行合同中约定的其它责任和义务。</w:t>
      </w:r>
    </w:p>
    <w:p>
      <w:pPr>
        <w:spacing w:line="300" w:lineRule="auto"/>
        <w:ind w:firstLine="420" w:firstLineChars="200"/>
        <w:rPr>
          <w:rFonts w:ascii="宋体" w:hAnsi="宋体"/>
          <w:color w:val="auto"/>
          <w:szCs w:val="21"/>
          <w:highlight w:val="none"/>
        </w:rPr>
      </w:pPr>
      <w:r>
        <w:rPr>
          <w:rFonts w:ascii="宋体" w:hAnsi="宋体"/>
          <w:color w:val="auto"/>
          <w:szCs w:val="21"/>
          <w:highlight w:val="none"/>
        </w:rPr>
        <w:t>发包人应采取补救措施，并赔偿因上述违约行为给承包人造成的损失。因其违约行为造成工程关键路径延误时，竣工日期顺延。发包人承担违约责任，并不能减轻或免除合同中约定的应由发包人继续履行的其它责任和义务。</w:t>
      </w:r>
    </w:p>
    <w:p>
      <w:pPr>
        <w:spacing w:line="300" w:lineRule="auto"/>
        <w:ind w:firstLine="420" w:firstLineChars="200"/>
        <w:rPr>
          <w:rFonts w:ascii="宋体" w:hAnsi="宋体"/>
          <w:color w:val="auto"/>
          <w:szCs w:val="21"/>
          <w:highlight w:val="none"/>
        </w:rPr>
      </w:pPr>
      <w:r>
        <w:rPr>
          <w:rFonts w:ascii="宋体" w:hAnsi="宋体"/>
          <w:color w:val="auto"/>
          <w:szCs w:val="21"/>
          <w:highlight w:val="none"/>
        </w:rPr>
        <w:t>16.1.2  承包人的违约责任</w:t>
      </w:r>
    </w:p>
    <w:p>
      <w:pPr>
        <w:spacing w:line="300" w:lineRule="auto"/>
        <w:ind w:firstLine="420" w:firstLineChars="200"/>
        <w:rPr>
          <w:rFonts w:ascii="宋体" w:hAnsi="宋体"/>
          <w:color w:val="auto"/>
          <w:szCs w:val="21"/>
          <w:highlight w:val="none"/>
        </w:rPr>
      </w:pPr>
      <w:r>
        <w:rPr>
          <w:rFonts w:ascii="宋体" w:hAnsi="宋体"/>
          <w:color w:val="auto"/>
          <w:szCs w:val="21"/>
          <w:highlight w:val="none"/>
        </w:rPr>
        <w:t>当发生下列情况时：</w:t>
      </w:r>
    </w:p>
    <w:p>
      <w:pPr>
        <w:spacing w:line="300" w:lineRule="auto"/>
        <w:ind w:firstLine="420" w:firstLineChars="200"/>
        <w:rPr>
          <w:rFonts w:ascii="宋体" w:hAnsi="宋体"/>
          <w:color w:val="auto"/>
          <w:szCs w:val="21"/>
          <w:highlight w:val="none"/>
        </w:rPr>
      </w:pPr>
      <w:r>
        <w:rPr>
          <w:rFonts w:ascii="宋体" w:hAnsi="宋体"/>
          <w:color w:val="auto"/>
          <w:szCs w:val="21"/>
          <w:highlight w:val="none"/>
        </w:rPr>
        <w:t xml:space="preserve">（1）承包人未能履行第6.2款对其提供的工程物资进行检验的约定、7.5款施工质量与检验的约定，未能修复缺陷； </w:t>
      </w:r>
    </w:p>
    <w:p>
      <w:pPr>
        <w:spacing w:line="300" w:lineRule="auto"/>
        <w:ind w:firstLine="420" w:firstLineChars="200"/>
        <w:rPr>
          <w:rFonts w:ascii="宋体" w:hAnsi="宋体"/>
          <w:color w:val="auto"/>
          <w:szCs w:val="21"/>
          <w:highlight w:val="none"/>
        </w:rPr>
      </w:pPr>
      <w:r>
        <w:rPr>
          <w:rFonts w:ascii="宋体" w:hAnsi="宋体"/>
          <w:color w:val="auto"/>
          <w:szCs w:val="21"/>
          <w:highlight w:val="none"/>
        </w:rPr>
        <w:t>（2） 承包人经三次试验仍未能通过竣工试验、或经三次试验仍未能通过竣工后试验，导致的工程任何主要部分或整个工程丧失了使用价值、生产价值、使用利益；</w:t>
      </w:r>
    </w:p>
    <w:p>
      <w:pPr>
        <w:spacing w:line="300" w:lineRule="auto"/>
        <w:ind w:firstLine="420" w:firstLineChars="200"/>
        <w:rPr>
          <w:rFonts w:ascii="宋体" w:hAnsi="宋体"/>
          <w:color w:val="auto"/>
          <w:szCs w:val="21"/>
          <w:highlight w:val="none"/>
        </w:rPr>
      </w:pPr>
      <w:r>
        <w:rPr>
          <w:rFonts w:ascii="宋体" w:hAnsi="宋体"/>
          <w:color w:val="auto"/>
          <w:szCs w:val="21"/>
          <w:highlight w:val="none"/>
        </w:rPr>
        <w:t xml:space="preserve">（3） 承包人未经发包人同意、或未经必要的许可、或适用法律不允许分包的，将工程分包给他人； </w:t>
      </w:r>
    </w:p>
    <w:p>
      <w:pPr>
        <w:spacing w:line="300" w:lineRule="auto"/>
        <w:ind w:firstLine="420" w:firstLineChars="200"/>
        <w:rPr>
          <w:rFonts w:ascii="宋体" w:hAnsi="宋体"/>
          <w:color w:val="auto"/>
          <w:szCs w:val="21"/>
          <w:highlight w:val="none"/>
        </w:rPr>
      </w:pPr>
      <w:r>
        <w:rPr>
          <w:rFonts w:ascii="宋体" w:hAnsi="宋体"/>
          <w:color w:val="auto"/>
          <w:szCs w:val="21"/>
          <w:highlight w:val="none"/>
        </w:rPr>
        <w:t>（4） 承包人未能履行合同约定的其他责任和义务。</w:t>
      </w:r>
    </w:p>
    <w:p>
      <w:pPr>
        <w:spacing w:line="300" w:lineRule="auto"/>
        <w:ind w:firstLine="420" w:firstLineChars="200"/>
        <w:rPr>
          <w:rFonts w:ascii="宋体" w:hAnsi="宋体"/>
          <w:color w:val="auto"/>
          <w:szCs w:val="21"/>
          <w:highlight w:val="none"/>
        </w:rPr>
      </w:pPr>
      <w:r>
        <w:rPr>
          <w:rFonts w:ascii="宋体" w:hAnsi="宋体"/>
          <w:color w:val="auto"/>
          <w:szCs w:val="21"/>
          <w:highlight w:val="none"/>
        </w:rPr>
        <w:t>承包人应采取补救措施，并赔偿因上述违约行为给发包人造成的损失。承包人承担违约责任，并不能减轻或免除合同中约定的由承包人继续履行的其它责任和义务。</w:t>
      </w:r>
    </w:p>
    <w:p>
      <w:pPr>
        <w:spacing w:before="156" w:beforeLines="50" w:after="156" w:afterLines="50" w:line="300" w:lineRule="auto"/>
        <w:ind w:firstLine="422" w:firstLineChars="200"/>
        <w:rPr>
          <w:rFonts w:ascii="宋体" w:hAnsi="宋体"/>
          <w:b/>
          <w:color w:val="auto"/>
          <w:szCs w:val="21"/>
          <w:highlight w:val="none"/>
        </w:rPr>
      </w:pPr>
      <w:r>
        <w:rPr>
          <w:rFonts w:ascii="宋体" w:hAnsi="宋体"/>
          <w:b/>
          <w:color w:val="auto"/>
          <w:szCs w:val="21"/>
          <w:highlight w:val="none"/>
        </w:rPr>
        <w:t>16.2  索  赔</w:t>
      </w:r>
    </w:p>
    <w:p>
      <w:pPr>
        <w:spacing w:line="300" w:lineRule="auto"/>
        <w:ind w:firstLine="420" w:firstLineChars="200"/>
        <w:rPr>
          <w:rFonts w:ascii="宋体" w:hAnsi="宋体"/>
          <w:color w:val="auto"/>
          <w:szCs w:val="21"/>
          <w:highlight w:val="none"/>
        </w:rPr>
      </w:pPr>
      <w:r>
        <w:rPr>
          <w:rFonts w:ascii="宋体" w:hAnsi="宋体"/>
          <w:color w:val="auto"/>
          <w:szCs w:val="21"/>
          <w:highlight w:val="none"/>
        </w:rPr>
        <w:t>16.2.1  发包人的索赔</w:t>
      </w:r>
    </w:p>
    <w:p>
      <w:pPr>
        <w:spacing w:line="300" w:lineRule="auto"/>
        <w:ind w:firstLine="420" w:firstLineChars="200"/>
        <w:rPr>
          <w:rFonts w:ascii="宋体" w:hAnsi="宋体"/>
          <w:color w:val="auto"/>
          <w:szCs w:val="21"/>
          <w:highlight w:val="none"/>
        </w:rPr>
      </w:pPr>
      <w:r>
        <w:rPr>
          <w:rFonts w:ascii="宋体" w:hAnsi="宋体"/>
          <w:color w:val="auto"/>
          <w:szCs w:val="21"/>
          <w:highlight w:val="none"/>
        </w:rPr>
        <w:t>发包人认为，承包人未能履行合同约定的职责、责任、义务，且根据本合同约定、与本合同有关的文件、资料的相关情况与事项，承包人应承担损失、损害赔偿责任，但承包人未能按合同约定履行其赔偿责任时，发包人有权向承包人提出索赔。索赔依据法律及合同约定，并遵循如下程序进行：</w:t>
      </w:r>
    </w:p>
    <w:p>
      <w:pPr>
        <w:spacing w:line="300" w:lineRule="auto"/>
        <w:ind w:firstLine="420" w:firstLineChars="200"/>
        <w:rPr>
          <w:rFonts w:ascii="宋体" w:hAnsi="宋体"/>
          <w:color w:val="auto"/>
          <w:szCs w:val="21"/>
          <w:highlight w:val="none"/>
        </w:rPr>
      </w:pPr>
      <w:r>
        <w:rPr>
          <w:rFonts w:ascii="宋体" w:hAnsi="宋体"/>
          <w:color w:val="auto"/>
          <w:szCs w:val="21"/>
          <w:highlight w:val="none"/>
        </w:rPr>
        <w:t>（1）发包人应在索赔事件发生后的30日内，向承包人送交索赔通知。未能在索赔事件发生后的30 日内发出索赔通知，承包人不再承担任何责任，法律另有规定的除外；</w:t>
      </w:r>
    </w:p>
    <w:p>
      <w:pPr>
        <w:spacing w:line="300" w:lineRule="auto"/>
        <w:ind w:firstLine="420" w:firstLineChars="200"/>
        <w:rPr>
          <w:rFonts w:ascii="宋体" w:hAnsi="宋体"/>
          <w:color w:val="auto"/>
          <w:szCs w:val="21"/>
          <w:highlight w:val="none"/>
        </w:rPr>
      </w:pPr>
      <w:r>
        <w:rPr>
          <w:rFonts w:ascii="宋体" w:hAnsi="宋体"/>
          <w:color w:val="auto"/>
          <w:szCs w:val="21"/>
          <w:highlight w:val="none"/>
        </w:rPr>
        <w:t>（2）发包人应在发出索赔通知后的30日内，以书面形式向承包人提供说明索赔事件的正当理由、条款根据、有效的可证实的证据和索赔估算等相关资料；</w:t>
      </w:r>
    </w:p>
    <w:p>
      <w:pPr>
        <w:spacing w:line="300" w:lineRule="auto"/>
        <w:ind w:firstLine="420" w:firstLineChars="200"/>
        <w:rPr>
          <w:rFonts w:ascii="宋体" w:hAnsi="宋体"/>
          <w:color w:val="auto"/>
          <w:szCs w:val="21"/>
          <w:highlight w:val="none"/>
        </w:rPr>
      </w:pPr>
      <w:r>
        <w:rPr>
          <w:rFonts w:ascii="宋体" w:hAnsi="宋体"/>
          <w:color w:val="auto"/>
          <w:szCs w:val="21"/>
          <w:highlight w:val="none"/>
        </w:rPr>
        <w:t>（3）承包人应在收到发包人送交的索赔资料后30日内与发包人协商解决，或给予答复，或要求发包人进一步补充提供索赔的理由和证据；</w:t>
      </w:r>
    </w:p>
    <w:p>
      <w:pPr>
        <w:spacing w:line="300" w:lineRule="auto"/>
        <w:ind w:firstLine="420" w:firstLineChars="200"/>
        <w:rPr>
          <w:rFonts w:ascii="宋体" w:hAnsi="宋体"/>
          <w:color w:val="auto"/>
          <w:szCs w:val="21"/>
          <w:highlight w:val="none"/>
        </w:rPr>
      </w:pPr>
      <w:r>
        <w:rPr>
          <w:rFonts w:ascii="宋体" w:hAnsi="宋体"/>
          <w:color w:val="auto"/>
          <w:szCs w:val="21"/>
          <w:highlight w:val="none"/>
        </w:rPr>
        <w:t>（4）承包人在收到发包人送交的索赔资料后30日内未与发包人协商、未于答复、或未向发包人提出进一步要求，视为该项索赔已被承包人认可。</w:t>
      </w:r>
    </w:p>
    <w:p>
      <w:pPr>
        <w:spacing w:line="300" w:lineRule="auto"/>
        <w:ind w:firstLine="420" w:firstLineChars="200"/>
        <w:rPr>
          <w:rFonts w:ascii="宋体" w:hAnsi="宋体"/>
          <w:color w:val="auto"/>
          <w:szCs w:val="21"/>
          <w:highlight w:val="none"/>
        </w:rPr>
      </w:pPr>
      <w:r>
        <w:rPr>
          <w:rFonts w:ascii="宋体" w:hAnsi="宋体"/>
          <w:color w:val="auto"/>
          <w:szCs w:val="21"/>
          <w:highlight w:val="none"/>
        </w:rPr>
        <w:t>（5） 当发包人提出的索赔事件持续影响时，发包人每周应向承包人发出索赔事件的延续影响情况，在该索赔事件延续影响停止后的30日内，发包人应向承包人送交最终索赔报告和最终索赔估算。索赔程序与本款第（1）项至第（4）项的约定相同。</w:t>
      </w:r>
    </w:p>
    <w:p>
      <w:pPr>
        <w:spacing w:line="300" w:lineRule="auto"/>
        <w:ind w:firstLine="420" w:firstLineChars="200"/>
        <w:rPr>
          <w:rFonts w:ascii="宋体" w:hAnsi="宋体"/>
          <w:color w:val="auto"/>
          <w:szCs w:val="21"/>
          <w:highlight w:val="none"/>
        </w:rPr>
      </w:pPr>
      <w:r>
        <w:rPr>
          <w:rFonts w:ascii="宋体" w:hAnsi="宋体"/>
          <w:color w:val="auto"/>
          <w:szCs w:val="21"/>
          <w:highlight w:val="none"/>
        </w:rPr>
        <w:t>16.2.2  承包人的索赔</w:t>
      </w:r>
    </w:p>
    <w:p>
      <w:pPr>
        <w:spacing w:line="300" w:lineRule="auto"/>
        <w:ind w:firstLine="420" w:firstLineChars="200"/>
        <w:rPr>
          <w:rFonts w:ascii="宋体" w:hAnsi="宋体"/>
          <w:color w:val="auto"/>
          <w:szCs w:val="21"/>
          <w:highlight w:val="none"/>
        </w:rPr>
      </w:pPr>
      <w:r>
        <w:rPr>
          <w:rFonts w:ascii="宋体" w:hAnsi="宋体"/>
          <w:color w:val="auto"/>
          <w:szCs w:val="21"/>
          <w:highlight w:val="none"/>
        </w:rPr>
        <w:t>承包人认为，发包人未能履行合同约定的职责、责任和义务，且根据本合同的任何条款的约定、与本合同有关的文件、资料的相关情况和事项，发包人应承担损失、损害赔偿责任及延长竣工日期的，发包人未能按合同约定履行其赔偿义务或延长竣工日期时，承包人有权向发包人提出索赔。索赔依据法律和合同约定，并遵循如下程序进行：</w:t>
      </w:r>
    </w:p>
    <w:p>
      <w:pPr>
        <w:spacing w:line="300" w:lineRule="auto"/>
        <w:ind w:firstLine="420" w:firstLineChars="200"/>
        <w:rPr>
          <w:rFonts w:ascii="宋体" w:hAnsi="宋体"/>
          <w:color w:val="auto"/>
          <w:szCs w:val="21"/>
          <w:highlight w:val="none"/>
        </w:rPr>
      </w:pPr>
      <w:r>
        <w:rPr>
          <w:rFonts w:ascii="宋体" w:hAnsi="宋体"/>
          <w:color w:val="auto"/>
          <w:szCs w:val="21"/>
          <w:highlight w:val="none"/>
        </w:rPr>
        <w:t>（1）承包人应在索赔事件发生后30日内，向发包人发出索赔通知。未在索赔事件发生后的30日内发出去'赔通知，发包人不再承担任何责任，法律另有规定除外，</w:t>
      </w:r>
    </w:p>
    <w:p>
      <w:pPr>
        <w:spacing w:line="300" w:lineRule="auto"/>
        <w:ind w:firstLine="420" w:firstLineChars="200"/>
        <w:rPr>
          <w:rFonts w:ascii="宋体" w:hAnsi="宋体"/>
          <w:color w:val="auto"/>
          <w:szCs w:val="21"/>
          <w:highlight w:val="none"/>
        </w:rPr>
      </w:pPr>
      <w:r>
        <w:rPr>
          <w:rFonts w:ascii="宋体" w:hAnsi="宋体"/>
          <w:color w:val="auto"/>
          <w:szCs w:val="21"/>
          <w:highlight w:val="none"/>
        </w:rPr>
        <w:t>（2）承包人应在发出索赔事件通知后的30日内，以书面形式向发包人提交说明索赔事件的正当理由、条款根据、有效的可证实的证据和索赔估算资料的报告；</w:t>
      </w:r>
    </w:p>
    <w:p>
      <w:pPr>
        <w:spacing w:line="300" w:lineRule="auto"/>
        <w:ind w:firstLine="420" w:firstLineChars="200"/>
        <w:rPr>
          <w:rFonts w:ascii="宋体" w:hAnsi="宋体"/>
          <w:color w:val="auto"/>
          <w:szCs w:val="21"/>
          <w:highlight w:val="none"/>
        </w:rPr>
      </w:pPr>
      <w:r>
        <w:rPr>
          <w:rFonts w:ascii="宋体" w:hAnsi="宋体"/>
          <w:color w:val="auto"/>
          <w:szCs w:val="21"/>
          <w:highlight w:val="none"/>
        </w:rPr>
        <w:t>（3）发包人应在收到承包人送交的有关索赔资料的报告后30日内与承包人协商解决，或给予答复，或要求承包人进一步补充索赔理由和证据；</w:t>
      </w:r>
    </w:p>
    <w:p>
      <w:pPr>
        <w:spacing w:line="300" w:lineRule="auto"/>
        <w:ind w:firstLine="420" w:firstLineChars="200"/>
        <w:rPr>
          <w:rFonts w:ascii="宋体" w:hAnsi="宋体"/>
          <w:color w:val="auto"/>
          <w:szCs w:val="21"/>
          <w:highlight w:val="none"/>
        </w:rPr>
      </w:pPr>
      <w:r>
        <w:rPr>
          <w:rFonts w:ascii="宋体" w:hAnsi="宋体"/>
          <w:color w:val="auto"/>
          <w:szCs w:val="21"/>
          <w:highlight w:val="none"/>
        </w:rPr>
        <w:t>（4）发包人在收到承包人按本款第（3）项提交的报告和补充资料后的30日内未与承包人协商、或未予答复、或未向承包人提出进一步补充要求，视为该项索赔已被发包人认可。</w:t>
      </w:r>
    </w:p>
    <w:p>
      <w:pPr>
        <w:spacing w:line="300" w:lineRule="auto"/>
        <w:ind w:firstLine="420" w:firstLineChars="200"/>
        <w:rPr>
          <w:rFonts w:ascii="宋体" w:hAnsi="宋体"/>
          <w:color w:val="auto"/>
          <w:szCs w:val="21"/>
          <w:highlight w:val="none"/>
        </w:rPr>
      </w:pPr>
      <w:r>
        <w:rPr>
          <w:rFonts w:ascii="宋体" w:hAnsi="宋体"/>
          <w:color w:val="auto"/>
          <w:szCs w:val="21"/>
          <w:highlight w:val="none"/>
        </w:rPr>
        <w:t>（5） 当承包人提出的索赔事件持续影响时，承包人每周应向发包人发出索赔事件的延续影响情况，在该索赔事件延续影响停止后的30日内，承包人向发包人送交最终索赔报告和最终索赔估算。索赔程序与本款第（1）项至第（4）项的约定相同。</w:t>
      </w:r>
    </w:p>
    <w:p>
      <w:pPr>
        <w:spacing w:before="156" w:beforeLines="50" w:after="156" w:afterLines="50" w:line="300" w:lineRule="auto"/>
        <w:ind w:firstLine="422" w:firstLineChars="200"/>
        <w:rPr>
          <w:rFonts w:ascii="宋体" w:hAnsi="宋体"/>
          <w:b/>
          <w:color w:val="auto"/>
          <w:szCs w:val="21"/>
          <w:highlight w:val="none"/>
        </w:rPr>
      </w:pPr>
      <w:r>
        <w:rPr>
          <w:rFonts w:ascii="宋体" w:hAnsi="宋体"/>
          <w:b/>
          <w:color w:val="auto"/>
          <w:szCs w:val="21"/>
          <w:highlight w:val="none"/>
        </w:rPr>
        <w:t>16.3  争议和裁决</w:t>
      </w:r>
    </w:p>
    <w:p>
      <w:pPr>
        <w:spacing w:line="300" w:lineRule="auto"/>
        <w:ind w:firstLine="420" w:firstLineChars="200"/>
        <w:rPr>
          <w:rFonts w:ascii="宋体" w:hAnsi="宋体"/>
          <w:color w:val="auto"/>
          <w:szCs w:val="21"/>
          <w:highlight w:val="none"/>
        </w:rPr>
      </w:pPr>
      <w:r>
        <w:rPr>
          <w:rFonts w:ascii="宋体" w:hAnsi="宋体"/>
          <w:color w:val="auto"/>
          <w:szCs w:val="21"/>
          <w:highlight w:val="none"/>
        </w:rPr>
        <w:t>16.3.1  争议的解决程序</w:t>
      </w:r>
    </w:p>
    <w:p>
      <w:pPr>
        <w:spacing w:line="300" w:lineRule="auto"/>
        <w:ind w:firstLine="420" w:firstLineChars="200"/>
        <w:rPr>
          <w:rFonts w:ascii="宋体" w:hAnsi="宋体"/>
          <w:color w:val="auto"/>
          <w:szCs w:val="21"/>
          <w:highlight w:val="none"/>
        </w:rPr>
      </w:pPr>
      <w:r>
        <w:rPr>
          <w:rFonts w:ascii="宋体" w:hAnsi="宋体"/>
          <w:color w:val="auto"/>
          <w:szCs w:val="21"/>
          <w:highlight w:val="none"/>
        </w:rPr>
        <w:t>根据本合同或与本合同相关的事项所发生的任何索赔争议，合同双方首先应通过友好协商解决。争议的一方，应以书面形式通知另一方，说明争议的内容、细节及因由。在上述书面通知发出之日起的30日内，经友好协商后仍存争议时，合同双方可提请双方一致同意的工程所在地有关单位或权威机构对此项争议进行调解；在争议提交调解之日起30日内，双方仍存争议时，或合同任何一方不同意调解的，按专用条款的约定通过仲裁或诉讼方式解决争议事顷。</w:t>
      </w:r>
    </w:p>
    <w:p>
      <w:pPr>
        <w:spacing w:line="300" w:lineRule="auto"/>
        <w:ind w:firstLine="420" w:firstLineChars="200"/>
        <w:rPr>
          <w:rFonts w:ascii="宋体" w:hAnsi="宋体"/>
          <w:color w:val="auto"/>
          <w:szCs w:val="21"/>
          <w:highlight w:val="none"/>
        </w:rPr>
      </w:pPr>
      <w:r>
        <w:rPr>
          <w:rFonts w:ascii="宋体" w:hAnsi="宋体"/>
          <w:color w:val="auto"/>
          <w:szCs w:val="21"/>
          <w:highlight w:val="none"/>
        </w:rPr>
        <w:t>16.3.2  争议不应影响履约</w:t>
      </w:r>
    </w:p>
    <w:p>
      <w:pPr>
        <w:spacing w:line="300" w:lineRule="auto"/>
        <w:ind w:firstLine="420" w:firstLineChars="200"/>
        <w:rPr>
          <w:rFonts w:ascii="宋体" w:hAnsi="宋体"/>
          <w:color w:val="auto"/>
          <w:szCs w:val="21"/>
          <w:highlight w:val="none"/>
        </w:rPr>
      </w:pPr>
      <w:r>
        <w:rPr>
          <w:rFonts w:ascii="宋体" w:hAnsi="宋体"/>
          <w:color w:val="auto"/>
          <w:szCs w:val="21"/>
          <w:highlight w:val="none"/>
        </w:rPr>
        <w:t>发生争议后，须继续履行其合同约定的责任和义务，保持工程继续实施。除非出现下列情况，任何一方不得停止工程或部分工程的实施，</w:t>
      </w:r>
    </w:p>
    <w:p>
      <w:pPr>
        <w:spacing w:line="300" w:lineRule="auto"/>
        <w:ind w:firstLine="420" w:firstLineChars="200"/>
        <w:rPr>
          <w:rFonts w:ascii="宋体" w:hAnsi="宋体"/>
          <w:color w:val="auto"/>
          <w:szCs w:val="21"/>
          <w:highlight w:val="none"/>
        </w:rPr>
      </w:pPr>
      <w:r>
        <w:rPr>
          <w:rFonts w:ascii="宋体" w:hAnsi="宋体"/>
          <w:color w:val="auto"/>
          <w:szCs w:val="21"/>
          <w:highlight w:val="none"/>
        </w:rPr>
        <w:t>（1） 当事人一方违约导致合同确已无法履行，经合同双方协议停止实施；</w:t>
      </w:r>
    </w:p>
    <w:p>
      <w:pPr>
        <w:spacing w:line="300" w:lineRule="auto"/>
        <w:ind w:firstLine="420" w:firstLineChars="200"/>
        <w:rPr>
          <w:rFonts w:ascii="宋体" w:hAnsi="宋体"/>
          <w:color w:val="auto"/>
          <w:szCs w:val="21"/>
          <w:highlight w:val="none"/>
        </w:rPr>
      </w:pPr>
      <w:r>
        <w:rPr>
          <w:rFonts w:ascii="宋体" w:hAnsi="宋体"/>
          <w:color w:val="auto"/>
          <w:szCs w:val="21"/>
          <w:highlight w:val="none"/>
        </w:rPr>
        <w:t>（2） 仲裁机构或法院责令停止实施。</w:t>
      </w:r>
    </w:p>
    <w:p>
      <w:pPr>
        <w:spacing w:line="300" w:lineRule="auto"/>
        <w:ind w:firstLine="420" w:firstLineChars="200"/>
        <w:rPr>
          <w:rFonts w:ascii="宋体" w:hAnsi="宋体"/>
          <w:color w:val="auto"/>
          <w:szCs w:val="21"/>
          <w:highlight w:val="none"/>
        </w:rPr>
      </w:pPr>
      <w:r>
        <w:rPr>
          <w:rFonts w:ascii="宋体" w:hAnsi="宋体"/>
          <w:color w:val="auto"/>
          <w:szCs w:val="21"/>
          <w:highlight w:val="none"/>
        </w:rPr>
        <w:t>16.3.3  停止实施的工程保护</w:t>
      </w:r>
    </w:p>
    <w:p>
      <w:pPr>
        <w:spacing w:line="300" w:lineRule="auto"/>
        <w:ind w:firstLine="420" w:firstLineChars="200"/>
        <w:rPr>
          <w:rFonts w:ascii="宋体" w:hAnsi="宋体"/>
          <w:color w:val="auto"/>
          <w:szCs w:val="21"/>
          <w:highlight w:val="none"/>
        </w:rPr>
      </w:pPr>
      <w:r>
        <w:rPr>
          <w:rFonts w:ascii="宋体" w:hAnsi="宋体"/>
          <w:color w:val="auto"/>
          <w:szCs w:val="21"/>
          <w:highlight w:val="none"/>
        </w:rPr>
        <w:t>根据16.3.2款约定，停止实施的工程或部分工程，当事人按合同约定的职责、责任和义务，保护好与合同工程有关的各种文件、资料、图纸、已完工程，以及尚未使用的工程物资。</w:t>
      </w:r>
    </w:p>
    <w:p>
      <w:pPr>
        <w:spacing w:before="156" w:beforeLines="50" w:after="156" w:afterLines="50" w:line="300" w:lineRule="auto"/>
        <w:ind w:firstLine="413" w:firstLineChars="196"/>
        <w:rPr>
          <w:rFonts w:ascii="宋体" w:hAnsi="宋体"/>
          <w:b/>
          <w:color w:val="auto"/>
          <w:szCs w:val="21"/>
          <w:highlight w:val="none"/>
        </w:rPr>
      </w:pPr>
      <w:r>
        <w:rPr>
          <w:rFonts w:ascii="宋体" w:hAnsi="宋体"/>
          <w:b/>
          <w:color w:val="auto"/>
          <w:szCs w:val="21"/>
          <w:highlight w:val="none"/>
        </w:rPr>
        <w:t>第17条  不可抗力</w:t>
      </w:r>
    </w:p>
    <w:p>
      <w:pPr>
        <w:spacing w:before="156" w:beforeLines="50" w:after="156" w:afterLines="50" w:line="300" w:lineRule="auto"/>
        <w:ind w:firstLine="413" w:firstLineChars="196"/>
        <w:rPr>
          <w:rFonts w:ascii="宋体" w:hAnsi="宋体"/>
          <w:b/>
          <w:color w:val="auto"/>
          <w:szCs w:val="21"/>
          <w:highlight w:val="none"/>
        </w:rPr>
      </w:pPr>
      <w:r>
        <w:rPr>
          <w:rFonts w:ascii="宋体" w:hAnsi="宋体"/>
          <w:b/>
          <w:color w:val="auto"/>
          <w:szCs w:val="21"/>
          <w:highlight w:val="none"/>
        </w:rPr>
        <w:t>17.1  不可抗力发生时的义务</w:t>
      </w:r>
    </w:p>
    <w:p>
      <w:pPr>
        <w:spacing w:line="300" w:lineRule="auto"/>
        <w:ind w:firstLine="420" w:firstLineChars="200"/>
        <w:rPr>
          <w:rFonts w:ascii="宋体" w:hAnsi="宋体"/>
          <w:color w:val="auto"/>
          <w:szCs w:val="21"/>
          <w:highlight w:val="none"/>
        </w:rPr>
      </w:pPr>
      <w:r>
        <w:rPr>
          <w:rFonts w:ascii="宋体" w:hAnsi="宋体"/>
          <w:color w:val="auto"/>
          <w:szCs w:val="21"/>
          <w:highlight w:val="none"/>
        </w:rPr>
        <w:t>17.1.1  通知义务</w:t>
      </w:r>
    </w:p>
    <w:p>
      <w:pPr>
        <w:spacing w:line="300" w:lineRule="auto"/>
        <w:ind w:firstLine="420" w:firstLineChars="200"/>
        <w:rPr>
          <w:rFonts w:ascii="宋体" w:hAnsi="宋体"/>
          <w:color w:val="auto"/>
          <w:szCs w:val="21"/>
          <w:highlight w:val="none"/>
        </w:rPr>
      </w:pPr>
      <w:r>
        <w:rPr>
          <w:rFonts w:ascii="宋体" w:hAnsi="宋体"/>
          <w:color w:val="auto"/>
          <w:szCs w:val="21"/>
          <w:highlight w:val="none"/>
        </w:rPr>
        <w:t>觉察或发现不可抗力事件发生的一方，有义务立即通知另一方。根据本合同约定，工程现场照管的责任方，在不可抗力事件发生时，应在力所能及的条件下迅速采取措施，尽力减少损失；另一方全力协助并采取措施。需暂停实施的施工或工作，立即停止。</w:t>
      </w:r>
    </w:p>
    <w:p>
      <w:pPr>
        <w:spacing w:line="300" w:lineRule="auto"/>
        <w:ind w:firstLine="420" w:firstLineChars="200"/>
        <w:rPr>
          <w:rFonts w:ascii="宋体" w:hAnsi="宋体"/>
          <w:color w:val="auto"/>
          <w:szCs w:val="21"/>
          <w:highlight w:val="none"/>
        </w:rPr>
      </w:pPr>
      <w:r>
        <w:rPr>
          <w:rFonts w:ascii="宋体" w:hAnsi="宋体"/>
          <w:color w:val="auto"/>
          <w:szCs w:val="21"/>
          <w:highlight w:val="none"/>
        </w:rPr>
        <w:t>17.1.2  通报义务</w:t>
      </w:r>
    </w:p>
    <w:p>
      <w:pPr>
        <w:spacing w:line="300" w:lineRule="auto"/>
        <w:ind w:firstLine="420" w:firstLineChars="200"/>
        <w:rPr>
          <w:rFonts w:ascii="宋体" w:hAnsi="宋体"/>
          <w:color w:val="auto"/>
          <w:szCs w:val="21"/>
          <w:highlight w:val="none"/>
        </w:rPr>
      </w:pPr>
      <w:r>
        <w:rPr>
          <w:rFonts w:ascii="宋体" w:hAnsi="宋体"/>
          <w:color w:val="auto"/>
          <w:szCs w:val="21"/>
          <w:highlight w:val="none"/>
        </w:rPr>
        <w:t>工程现场发生不可抗力时，在不可抗力事件结束后的48小时内，承包人（如为工程现场的照管方）须向发包人通报受害和损失情况。当不可抗力事件持续发生时，承包人每周应向发包人和工程总监报告受害情况。对报告周期另有约定时除外。</w:t>
      </w:r>
    </w:p>
    <w:p>
      <w:pPr>
        <w:spacing w:before="156" w:beforeLines="50" w:after="156" w:afterLines="50" w:line="300" w:lineRule="auto"/>
        <w:ind w:firstLine="413" w:firstLineChars="196"/>
        <w:rPr>
          <w:rFonts w:ascii="宋体" w:hAnsi="宋体"/>
          <w:b/>
          <w:color w:val="auto"/>
          <w:szCs w:val="21"/>
          <w:highlight w:val="none"/>
        </w:rPr>
      </w:pPr>
      <w:r>
        <w:rPr>
          <w:rFonts w:ascii="宋体" w:hAnsi="宋体"/>
          <w:b/>
          <w:color w:val="auto"/>
          <w:szCs w:val="21"/>
          <w:highlight w:val="none"/>
        </w:rPr>
        <w:t>17.2  不可抗力的后果</w:t>
      </w:r>
    </w:p>
    <w:p>
      <w:pPr>
        <w:spacing w:line="300" w:lineRule="auto"/>
        <w:ind w:firstLine="420" w:firstLineChars="200"/>
        <w:rPr>
          <w:rFonts w:ascii="宋体" w:hAnsi="宋体"/>
          <w:color w:val="auto"/>
          <w:szCs w:val="21"/>
          <w:highlight w:val="none"/>
        </w:rPr>
      </w:pPr>
      <w:r>
        <w:rPr>
          <w:rFonts w:ascii="宋体" w:hAnsi="宋体"/>
          <w:color w:val="auto"/>
          <w:szCs w:val="21"/>
          <w:highlight w:val="none"/>
        </w:rPr>
        <w:t>因不可抗力事件导致的损失、损害、伤害所发生的费用及延误的竣工日期，按如下约定处理：</w:t>
      </w:r>
    </w:p>
    <w:p>
      <w:pPr>
        <w:spacing w:line="300" w:lineRule="auto"/>
        <w:ind w:firstLine="420" w:firstLineChars="200"/>
        <w:rPr>
          <w:rFonts w:ascii="宋体" w:hAnsi="宋体"/>
          <w:color w:val="auto"/>
          <w:szCs w:val="21"/>
          <w:highlight w:val="none"/>
        </w:rPr>
      </w:pPr>
      <w:r>
        <w:rPr>
          <w:rFonts w:ascii="宋体" w:hAnsi="宋体"/>
          <w:color w:val="auto"/>
          <w:szCs w:val="21"/>
          <w:highlight w:val="none"/>
        </w:rPr>
        <w:t>（1）永久性工程和工程物资等的损失、损害，由发包人承担；</w:t>
      </w:r>
    </w:p>
    <w:p>
      <w:pPr>
        <w:spacing w:line="300" w:lineRule="auto"/>
        <w:ind w:firstLine="420" w:firstLineChars="200"/>
        <w:rPr>
          <w:rFonts w:ascii="宋体" w:hAnsi="宋体"/>
          <w:color w:val="auto"/>
          <w:szCs w:val="21"/>
          <w:highlight w:val="none"/>
        </w:rPr>
      </w:pPr>
      <w:r>
        <w:rPr>
          <w:rFonts w:ascii="宋体" w:hAnsi="宋体"/>
          <w:color w:val="auto"/>
          <w:szCs w:val="21"/>
          <w:highlight w:val="none"/>
        </w:rPr>
        <w:t>（2）受雇人员的伤害，分别按照各自的雇用合同关系负责处理；</w:t>
      </w:r>
    </w:p>
    <w:p>
      <w:pPr>
        <w:spacing w:line="300" w:lineRule="auto"/>
        <w:ind w:firstLine="420" w:firstLineChars="200"/>
        <w:rPr>
          <w:rFonts w:ascii="宋体" w:hAnsi="宋体"/>
          <w:color w:val="auto"/>
          <w:szCs w:val="21"/>
          <w:highlight w:val="none"/>
        </w:rPr>
      </w:pPr>
      <w:r>
        <w:rPr>
          <w:rFonts w:ascii="宋体" w:hAnsi="宋体"/>
          <w:color w:val="auto"/>
          <w:szCs w:val="21"/>
          <w:highlight w:val="none"/>
        </w:rPr>
        <w:t>（3）承包人的机具、设备、财产和临时工程的损失、损害，由承包人承担；</w:t>
      </w:r>
    </w:p>
    <w:p>
      <w:pPr>
        <w:spacing w:line="300" w:lineRule="auto"/>
        <w:ind w:firstLine="420" w:firstLineChars="200"/>
        <w:rPr>
          <w:rFonts w:ascii="宋体" w:hAnsi="宋体"/>
          <w:color w:val="auto"/>
          <w:szCs w:val="21"/>
          <w:highlight w:val="none"/>
        </w:rPr>
      </w:pPr>
      <w:r>
        <w:rPr>
          <w:rFonts w:ascii="宋体" w:hAnsi="宋体"/>
          <w:color w:val="auto"/>
          <w:szCs w:val="21"/>
          <w:highlight w:val="none"/>
        </w:rPr>
        <w:t xml:space="preserve">（4）承包人的停工损失，由承包人承担； </w:t>
      </w:r>
    </w:p>
    <w:p>
      <w:pPr>
        <w:spacing w:line="300" w:lineRule="auto"/>
        <w:ind w:firstLine="420" w:firstLineChars="200"/>
        <w:rPr>
          <w:rFonts w:ascii="宋体" w:hAnsi="宋体"/>
          <w:color w:val="auto"/>
          <w:szCs w:val="21"/>
          <w:highlight w:val="none"/>
        </w:rPr>
      </w:pPr>
      <w:r>
        <w:rPr>
          <w:rFonts w:ascii="宋体" w:hAnsi="宋体"/>
          <w:color w:val="auto"/>
          <w:szCs w:val="21"/>
          <w:highlight w:val="none"/>
        </w:rPr>
        <w:t>（5）不可抗力事件发生后，因一方迟延履行合同约定的保护义务导致的延续损失、损害，由迟延履行义务的一方承担相应责任及其损失；</w:t>
      </w:r>
    </w:p>
    <w:p>
      <w:pPr>
        <w:spacing w:line="300" w:lineRule="auto"/>
        <w:ind w:firstLine="420" w:firstLineChars="200"/>
        <w:rPr>
          <w:rFonts w:ascii="宋体" w:hAnsi="宋体"/>
          <w:color w:val="auto"/>
          <w:szCs w:val="21"/>
          <w:highlight w:val="none"/>
        </w:rPr>
      </w:pPr>
      <w:r>
        <w:rPr>
          <w:rFonts w:ascii="宋体" w:hAnsi="宋体"/>
          <w:color w:val="auto"/>
          <w:szCs w:val="21"/>
          <w:highlight w:val="none"/>
        </w:rPr>
        <w:t>（6）发包人通知恢复建设时，承包人应在接到通知后的20日内、或双方根据具体情况约定的时间内，提交清理、修复的方案及其估算，以及进度计划安排的资料和报告，经发包人确认后，所需的清理、修复费用由发包人承担。恢复建设的竣工日期相应顺延。</w:t>
      </w:r>
    </w:p>
    <w:p>
      <w:pPr>
        <w:spacing w:before="156" w:beforeLines="50" w:after="156" w:afterLines="50" w:line="300" w:lineRule="auto"/>
        <w:ind w:firstLine="413" w:firstLineChars="196"/>
        <w:rPr>
          <w:rFonts w:ascii="宋体" w:hAnsi="宋体"/>
          <w:b/>
          <w:color w:val="auto"/>
          <w:szCs w:val="21"/>
          <w:highlight w:val="none"/>
        </w:rPr>
      </w:pPr>
      <w:r>
        <w:rPr>
          <w:rFonts w:ascii="宋体" w:hAnsi="宋体"/>
          <w:b/>
          <w:color w:val="auto"/>
          <w:szCs w:val="21"/>
          <w:highlight w:val="none"/>
        </w:rPr>
        <w:t>第18条  合同解除</w:t>
      </w:r>
    </w:p>
    <w:p>
      <w:pPr>
        <w:spacing w:before="156" w:beforeLines="50" w:after="156" w:afterLines="50" w:line="300" w:lineRule="auto"/>
        <w:ind w:firstLine="413" w:firstLineChars="196"/>
        <w:rPr>
          <w:rFonts w:ascii="宋体" w:hAnsi="宋体"/>
          <w:b/>
          <w:color w:val="auto"/>
          <w:szCs w:val="21"/>
          <w:highlight w:val="none"/>
        </w:rPr>
      </w:pPr>
      <w:r>
        <w:rPr>
          <w:rFonts w:ascii="宋体" w:hAnsi="宋体"/>
          <w:b/>
          <w:color w:val="auto"/>
          <w:szCs w:val="21"/>
          <w:highlight w:val="none"/>
        </w:rPr>
        <w:t>18.1  由发包人解除合同</w:t>
      </w:r>
    </w:p>
    <w:p>
      <w:pPr>
        <w:spacing w:line="300" w:lineRule="auto"/>
        <w:ind w:firstLine="420" w:firstLineChars="200"/>
        <w:rPr>
          <w:rFonts w:ascii="宋体" w:hAnsi="宋体"/>
          <w:color w:val="auto"/>
          <w:szCs w:val="21"/>
          <w:highlight w:val="none"/>
        </w:rPr>
      </w:pPr>
      <w:r>
        <w:rPr>
          <w:rFonts w:ascii="宋体" w:hAnsi="宋体"/>
          <w:color w:val="auto"/>
          <w:szCs w:val="21"/>
          <w:highlight w:val="none"/>
        </w:rPr>
        <w:t>18.1.1  通知改正</w:t>
      </w:r>
    </w:p>
    <w:p>
      <w:pPr>
        <w:spacing w:line="300" w:lineRule="auto"/>
        <w:ind w:firstLine="420" w:firstLineChars="200"/>
        <w:rPr>
          <w:rFonts w:ascii="宋体" w:hAnsi="宋体"/>
          <w:color w:val="auto"/>
          <w:szCs w:val="21"/>
          <w:highlight w:val="none"/>
        </w:rPr>
      </w:pPr>
      <w:r>
        <w:rPr>
          <w:rFonts w:ascii="宋体" w:hAnsi="宋体"/>
          <w:color w:val="auto"/>
          <w:szCs w:val="21"/>
          <w:highlight w:val="none"/>
        </w:rPr>
        <w:t>承包人未能按合同履行其职责、责任和义务，发包人可通知承包人，在合理的时间内纠正并补救其违约行为。</w:t>
      </w:r>
    </w:p>
    <w:p>
      <w:pPr>
        <w:spacing w:line="300" w:lineRule="auto"/>
        <w:ind w:firstLine="420" w:firstLineChars="200"/>
        <w:rPr>
          <w:rFonts w:ascii="宋体" w:hAnsi="宋体"/>
          <w:color w:val="auto"/>
          <w:szCs w:val="21"/>
          <w:highlight w:val="none"/>
        </w:rPr>
      </w:pPr>
      <w:r>
        <w:rPr>
          <w:rFonts w:ascii="宋体" w:hAnsi="宋体"/>
          <w:color w:val="auto"/>
          <w:szCs w:val="21"/>
          <w:highlight w:val="none"/>
        </w:rPr>
        <w:t>18.1.2  由发包人解除合同</w:t>
      </w:r>
    </w:p>
    <w:p>
      <w:pPr>
        <w:spacing w:line="300" w:lineRule="auto"/>
        <w:ind w:firstLine="420" w:firstLineChars="200"/>
        <w:rPr>
          <w:rFonts w:ascii="宋体" w:hAnsi="宋体"/>
          <w:color w:val="auto"/>
          <w:szCs w:val="21"/>
          <w:highlight w:val="none"/>
        </w:rPr>
      </w:pPr>
      <w:r>
        <w:rPr>
          <w:rFonts w:ascii="宋体" w:hAnsi="宋体"/>
          <w:color w:val="auto"/>
          <w:szCs w:val="21"/>
          <w:highlight w:val="none"/>
        </w:rPr>
        <w:t>发包人有权基于下列原因，以书面形式通知解除合同或解除合同的部分工作。发包人应在发出解除合同通知15日前告知承包人。发包人解除合同并不影响其根据合同约定享有的任何其它权利。</w:t>
      </w:r>
    </w:p>
    <w:p>
      <w:pPr>
        <w:spacing w:line="300" w:lineRule="auto"/>
        <w:ind w:firstLine="420" w:firstLineChars="200"/>
        <w:rPr>
          <w:rFonts w:ascii="宋体" w:hAnsi="宋体"/>
          <w:color w:val="auto"/>
          <w:szCs w:val="21"/>
          <w:highlight w:val="none"/>
        </w:rPr>
      </w:pPr>
      <w:r>
        <w:rPr>
          <w:rFonts w:ascii="宋体" w:hAnsi="宋体"/>
          <w:color w:val="auto"/>
          <w:szCs w:val="21"/>
          <w:highlight w:val="none"/>
        </w:rPr>
        <w:t>（1）承包人未能遵守14.2.1款履约保函的约定；</w:t>
      </w:r>
    </w:p>
    <w:p>
      <w:pPr>
        <w:spacing w:line="300" w:lineRule="auto"/>
        <w:ind w:firstLine="420" w:firstLineChars="200"/>
        <w:rPr>
          <w:rFonts w:ascii="宋体" w:hAnsi="宋体"/>
          <w:color w:val="auto"/>
          <w:szCs w:val="21"/>
          <w:highlight w:val="none"/>
        </w:rPr>
      </w:pPr>
      <w:r>
        <w:rPr>
          <w:rFonts w:ascii="宋体" w:hAnsi="宋体"/>
          <w:color w:val="auto"/>
          <w:szCs w:val="21"/>
          <w:highlight w:val="none"/>
        </w:rPr>
        <w:t>（2）承包人未能执行18.1.1款通知改正的约定；</w:t>
      </w:r>
    </w:p>
    <w:p>
      <w:pPr>
        <w:spacing w:line="300" w:lineRule="auto"/>
        <w:ind w:firstLine="420" w:firstLineChars="200"/>
        <w:rPr>
          <w:rFonts w:ascii="宋体" w:hAnsi="宋体"/>
          <w:color w:val="auto"/>
          <w:szCs w:val="21"/>
          <w:highlight w:val="none"/>
        </w:rPr>
      </w:pPr>
      <w:r>
        <w:rPr>
          <w:rFonts w:ascii="宋体" w:hAnsi="宋体"/>
          <w:color w:val="auto"/>
          <w:szCs w:val="21"/>
          <w:highlight w:val="none"/>
        </w:rPr>
        <w:t>（3）承包人未能遵守3.8.1款至3.8.4款的有关分包和转包的约定；</w:t>
      </w:r>
    </w:p>
    <w:p>
      <w:pPr>
        <w:spacing w:line="300" w:lineRule="auto"/>
        <w:ind w:firstLine="420" w:firstLineChars="200"/>
        <w:rPr>
          <w:rFonts w:ascii="宋体" w:hAnsi="宋体"/>
          <w:color w:val="auto"/>
          <w:szCs w:val="21"/>
          <w:highlight w:val="none"/>
        </w:rPr>
      </w:pPr>
      <w:r>
        <w:rPr>
          <w:rFonts w:ascii="宋体" w:hAnsi="宋体"/>
          <w:color w:val="auto"/>
          <w:szCs w:val="21"/>
          <w:highlight w:val="none"/>
        </w:rPr>
        <w:t>（4）承包人实际进度明显落后于进度计划，发包人指令其采取措施并修正进度计划时，承包人无作为；</w:t>
      </w:r>
    </w:p>
    <w:p>
      <w:pPr>
        <w:spacing w:line="300" w:lineRule="auto"/>
        <w:ind w:firstLine="420" w:firstLineChars="200"/>
        <w:rPr>
          <w:rFonts w:ascii="宋体" w:hAnsi="宋体"/>
          <w:color w:val="auto"/>
          <w:szCs w:val="21"/>
          <w:highlight w:val="none"/>
        </w:rPr>
      </w:pPr>
      <w:r>
        <w:rPr>
          <w:rFonts w:ascii="宋体" w:hAnsi="宋体"/>
          <w:color w:val="auto"/>
          <w:szCs w:val="21"/>
          <w:highlight w:val="none"/>
        </w:rPr>
        <w:t>（5）工程质量有严重缺陷，承包人无正当理由使修复开始日期拖延达30日以上；</w:t>
      </w:r>
    </w:p>
    <w:p>
      <w:pPr>
        <w:spacing w:line="300" w:lineRule="auto"/>
        <w:ind w:firstLine="420" w:firstLineChars="200"/>
        <w:rPr>
          <w:rFonts w:ascii="宋体" w:hAnsi="宋体"/>
          <w:color w:val="auto"/>
          <w:szCs w:val="21"/>
          <w:highlight w:val="none"/>
        </w:rPr>
      </w:pPr>
      <w:r>
        <w:rPr>
          <w:rFonts w:ascii="宋体" w:hAnsi="宋体"/>
          <w:color w:val="auto"/>
          <w:szCs w:val="21"/>
          <w:highlight w:val="none"/>
        </w:rPr>
        <w:t>（6）承包人明确表示或以自己的行为明显表明不履行合同、或经发包人以书面形式通知其履约后仍未能依约履行合同、或以明显不适当的方式履行合同；</w:t>
      </w:r>
    </w:p>
    <w:p>
      <w:pPr>
        <w:spacing w:line="300" w:lineRule="auto"/>
        <w:ind w:firstLine="420" w:firstLineChars="200"/>
        <w:rPr>
          <w:rFonts w:ascii="宋体" w:hAnsi="宋体"/>
          <w:color w:val="auto"/>
          <w:szCs w:val="21"/>
          <w:highlight w:val="none"/>
        </w:rPr>
      </w:pPr>
      <w:r>
        <w:rPr>
          <w:rFonts w:ascii="宋体" w:hAnsi="宋体"/>
          <w:color w:val="auto"/>
          <w:szCs w:val="21"/>
          <w:highlight w:val="none"/>
        </w:rPr>
        <w:t>（7）根据8.6.2款第（4）项（或）和10.8款的约定，未能通过的竣工试验、未能通过的竣工后试验，使工程的任何部分和（或）整个工程丧失了主要使用功能、生产功能；</w:t>
      </w:r>
    </w:p>
    <w:p>
      <w:pPr>
        <w:spacing w:line="300" w:lineRule="auto"/>
        <w:ind w:firstLine="420" w:firstLineChars="200"/>
        <w:rPr>
          <w:rFonts w:ascii="宋体" w:hAnsi="宋体"/>
          <w:color w:val="auto"/>
          <w:szCs w:val="21"/>
          <w:highlight w:val="none"/>
        </w:rPr>
      </w:pPr>
      <w:r>
        <w:rPr>
          <w:rFonts w:ascii="宋体" w:hAnsi="宋体"/>
          <w:color w:val="auto"/>
          <w:szCs w:val="21"/>
          <w:highlight w:val="none"/>
        </w:rPr>
        <w:t>（8）承包人破产、停业清理或进入清算程序，或情况表明承包人将进入破产和（或）清算程序。</w:t>
      </w:r>
    </w:p>
    <w:p>
      <w:pPr>
        <w:spacing w:line="300" w:lineRule="auto"/>
        <w:ind w:firstLine="420" w:firstLineChars="200"/>
        <w:rPr>
          <w:rFonts w:ascii="宋体" w:hAnsi="宋体"/>
          <w:color w:val="auto"/>
          <w:szCs w:val="21"/>
          <w:highlight w:val="none"/>
        </w:rPr>
      </w:pPr>
      <w:r>
        <w:rPr>
          <w:rFonts w:ascii="宋体" w:hAnsi="宋体"/>
          <w:color w:val="auto"/>
          <w:szCs w:val="21"/>
          <w:highlight w:val="none"/>
        </w:rPr>
        <w:t>发包人不能为另行安排其它承包人实施工程而解除合同或解除合同的部分工作。发包人违反该约定时，承包人有权依据本项约定，提出仲裁或诉讼。</w:t>
      </w:r>
    </w:p>
    <w:p>
      <w:pPr>
        <w:spacing w:line="300" w:lineRule="auto"/>
        <w:ind w:firstLine="420" w:firstLineChars="200"/>
        <w:rPr>
          <w:rFonts w:ascii="宋体" w:hAnsi="宋体"/>
          <w:color w:val="auto"/>
          <w:szCs w:val="21"/>
          <w:highlight w:val="none"/>
        </w:rPr>
      </w:pPr>
      <w:r>
        <w:rPr>
          <w:rFonts w:ascii="宋体" w:hAnsi="宋体"/>
          <w:color w:val="auto"/>
          <w:szCs w:val="21"/>
          <w:highlight w:val="none"/>
        </w:rPr>
        <w:t>18.1.3  解除合同通知后停止和进行的工作</w:t>
      </w:r>
    </w:p>
    <w:p>
      <w:pPr>
        <w:spacing w:line="300" w:lineRule="auto"/>
        <w:ind w:firstLine="420" w:firstLineChars="200"/>
        <w:rPr>
          <w:rFonts w:ascii="宋体" w:hAnsi="宋体"/>
          <w:color w:val="auto"/>
          <w:szCs w:val="21"/>
          <w:highlight w:val="none"/>
        </w:rPr>
      </w:pPr>
      <w:r>
        <w:rPr>
          <w:rFonts w:ascii="宋体" w:hAnsi="宋体"/>
          <w:color w:val="auto"/>
          <w:szCs w:val="21"/>
          <w:highlight w:val="none"/>
        </w:rPr>
        <w:t>承包人收到解除合同通知后的工作。承包人应在解除合同30日内或双方约定的时间内，完成以下工作：</w:t>
      </w:r>
    </w:p>
    <w:p>
      <w:pPr>
        <w:spacing w:line="300" w:lineRule="auto"/>
        <w:ind w:firstLine="420" w:firstLineChars="200"/>
        <w:rPr>
          <w:rFonts w:ascii="宋体" w:hAnsi="宋体"/>
          <w:color w:val="auto"/>
          <w:szCs w:val="21"/>
          <w:highlight w:val="none"/>
        </w:rPr>
      </w:pPr>
      <w:r>
        <w:rPr>
          <w:rFonts w:ascii="宋体" w:hAnsi="宋体"/>
          <w:color w:val="auto"/>
          <w:szCs w:val="21"/>
          <w:highlight w:val="none"/>
        </w:rPr>
        <w:t>（1）除了为保护生命、财产或工程安全、清理和必须执行的工作外，停止执行所有被通知解除的工作；</w:t>
      </w:r>
    </w:p>
    <w:p>
      <w:pPr>
        <w:spacing w:line="300" w:lineRule="auto"/>
        <w:ind w:firstLine="420" w:firstLineChars="200"/>
        <w:rPr>
          <w:rFonts w:ascii="宋体" w:hAnsi="宋体"/>
          <w:color w:val="auto"/>
          <w:szCs w:val="21"/>
          <w:highlight w:val="none"/>
        </w:rPr>
      </w:pPr>
      <w:r>
        <w:rPr>
          <w:rFonts w:ascii="宋体" w:hAnsi="宋体"/>
          <w:color w:val="auto"/>
          <w:szCs w:val="21"/>
          <w:highlight w:val="none"/>
        </w:rPr>
        <w:t>（2）将发包人提供的所有信息及承包人为本工程编制的设计文件、技术资料及其它文件移交给发包人。在承包人留有的资料文件中，销毁与发包人提供的所有信息相关的数据及资料的备份；</w:t>
      </w:r>
    </w:p>
    <w:p>
      <w:pPr>
        <w:spacing w:line="300" w:lineRule="auto"/>
        <w:ind w:firstLine="420" w:firstLineChars="200"/>
        <w:rPr>
          <w:rFonts w:ascii="宋体" w:hAnsi="宋体"/>
          <w:color w:val="auto"/>
          <w:szCs w:val="21"/>
          <w:highlight w:val="none"/>
        </w:rPr>
      </w:pPr>
      <w:r>
        <w:rPr>
          <w:rFonts w:ascii="宋体" w:hAnsi="宋体"/>
          <w:color w:val="auto"/>
          <w:szCs w:val="21"/>
          <w:highlight w:val="none"/>
        </w:rPr>
        <w:t>（3） 移交已完成的永久性工程及负责已运抵现场的永久性工程物资。在移交前，妥善做好已完工程和已运抵现场的永久性工程物资的保管、维护和保养；</w:t>
      </w:r>
    </w:p>
    <w:p>
      <w:pPr>
        <w:spacing w:line="300" w:lineRule="auto"/>
        <w:ind w:firstLine="420" w:firstLineChars="200"/>
        <w:rPr>
          <w:rFonts w:ascii="宋体" w:hAnsi="宋体"/>
          <w:color w:val="auto"/>
          <w:szCs w:val="21"/>
          <w:highlight w:val="none"/>
        </w:rPr>
      </w:pPr>
      <w:r>
        <w:rPr>
          <w:rFonts w:ascii="宋体" w:hAnsi="宋体"/>
          <w:color w:val="auto"/>
          <w:szCs w:val="21"/>
          <w:highlight w:val="none"/>
        </w:rPr>
        <w:t>（4）移交相应实施阶段已经付款的并已完成的和尚待完成的设计文件、图纸、资料、操作维修手册、施工组织设计、质检资料、竣工资料等；</w:t>
      </w:r>
    </w:p>
    <w:p>
      <w:pPr>
        <w:spacing w:line="300" w:lineRule="auto"/>
        <w:ind w:firstLine="420" w:firstLineChars="200"/>
        <w:rPr>
          <w:rFonts w:ascii="宋体" w:hAnsi="宋体"/>
          <w:color w:val="auto"/>
          <w:szCs w:val="21"/>
          <w:highlight w:val="none"/>
        </w:rPr>
      </w:pPr>
      <w:r>
        <w:rPr>
          <w:rFonts w:ascii="宋体" w:hAnsi="宋体"/>
          <w:color w:val="auto"/>
          <w:szCs w:val="21"/>
          <w:highlight w:val="none"/>
        </w:rPr>
        <w:t>（5）向发包人提交全部分包合同及执行情况说明。其中包括：承包人提供的工程物资（含在现场保管的、已经订货的、正在加工的、运输途中的、运抵现场尚未交接的），发包人承担解除合同通知之日之前发生的、合同约定的此类款项。承包人有义务协助并配合处理与其有合同关系的分包人的关系；</w:t>
      </w:r>
    </w:p>
    <w:p>
      <w:pPr>
        <w:spacing w:line="300" w:lineRule="auto"/>
        <w:ind w:firstLine="420" w:firstLineChars="200"/>
        <w:rPr>
          <w:rFonts w:ascii="宋体" w:hAnsi="宋体"/>
          <w:color w:val="auto"/>
          <w:szCs w:val="21"/>
          <w:highlight w:val="none"/>
        </w:rPr>
      </w:pPr>
      <w:r>
        <w:rPr>
          <w:rFonts w:ascii="宋体" w:hAnsi="宋体"/>
          <w:color w:val="auto"/>
          <w:szCs w:val="21"/>
          <w:highlight w:val="none"/>
        </w:rPr>
        <w:t>（6）经发包人批准，承包人应将其与被解除合同或被解除合同中的部分工作相关的和正在执行的分包合同及相关的责任和义务转让至发包人和（或）发包人指定方的名下，包括永久性工程及工程物资，以及相关工作；</w:t>
      </w:r>
    </w:p>
    <w:p>
      <w:pPr>
        <w:spacing w:line="300" w:lineRule="auto"/>
        <w:ind w:firstLine="420" w:firstLineChars="200"/>
        <w:rPr>
          <w:rFonts w:ascii="宋体" w:hAnsi="宋体"/>
          <w:color w:val="auto"/>
          <w:szCs w:val="21"/>
          <w:highlight w:val="none"/>
        </w:rPr>
      </w:pPr>
      <w:r>
        <w:rPr>
          <w:rFonts w:ascii="宋体" w:hAnsi="宋体"/>
          <w:color w:val="auto"/>
          <w:szCs w:val="21"/>
          <w:highlight w:val="none"/>
        </w:rPr>
        <w:t>（7）承包人按照合同约定，继续履行其未被解除的合同部分工作；</w:t>
      </w:r>
    </w:p>
    <w:p>
      <w:pPr>
        <w:spacing w:line="300" w:lineRule="auto"/>
        <w:ind w:firstLine="420" w:firstLineChars="200"/>
        <w:rPr>
          <w:rFonts w:ascii="宋体" w:hAnsi="宋体"/>
          <w:color w:val="auto"/>
          <w:szCs w:val="21"/>
          <w:highlight w:val="none"/>
        </w:rPr>
      </w:pPr>
      <w:r>
        <w:rPr>
          <w:rFonts w:ascii="宋体" w:hAnsi="宋体"/>
          <w:color w:val="auto"/>
          <w:szCs w:val="21"/>
          <w:highlight w:val="none"/>
        </w:rPr>
        <w:t>（8）在解除合同的结算尚未结清之前，承包人不得将其机具、设备、设施、周转材料、措施材料撤离现场和（或）拆除，除非得到发包人同意。</w:t>
      </w:r>
    </w:p>
    <w:p>
      <w:pPr>
        <w:spacing w:line="300" w:lineRule="auto"/>
        <w:ind w:firstLine="420" w:firstLineChars="200"/>
        <w:rPr>
          <w:rFonts w:ascii="宋体" w:hAnsi="宋体"/>
          <w:color w:val="auto"/>
          <w:szCs w:val="21"/>
          <w:highlight w:val="none"/>
        </w:rPr>
      </w:pPr>
      <w:r>
        <w:rPr>
          <w:rFonts w:ascii="宋体" w:hAnsi="宋体"/>
          <w:color w:val="auto"/>
          <w:szCs w:val="21"/>
          <w:highlight w:val="none"/>
        </w:rPr>
        <w:t>18.1.4  解除日期的结算</w:t>
      </w:r>
    </w:p>
    <w:p>
      <w:pPr>
        <w:spacing w:line="300" w:lineRule="auto"/>
        <w:ind w:firstLine="420" w:firstLineChars="200"/>
        <w:rPr>
          <w:rFonts w:ascii="宋体" w:hAnsi="宋体"/>
          <w:color w:val="auto"/>
          <w:szCs w:val="21"/>
          <w:highlight w:val="none"/>
        </w:rPr>
      </w:pPr>
      <w:r>
        <w:rPr>
          <w:rFonts w:ascii="宋体" w:hAnsi="宋体"/>
          <w:color w:val="auto"/>
          <w:szCs w:val="21"/>
          <w:highlight w:val="none"/>
        </w:rPr>
        <w:t>根据18.1.2款的约定，承包人收到解除合同或解除合同部分工作的通知后，发包人应立即与承包人商定已发生的合同款项，包括14.3款的预付款、14.4款的工程进度款、13.7款的合同价格调整的款项、14.5款的缺陷责任保修金暂扣的款项、16.2.款的索赔款项、本合同补充协议的款项，及合同约定的任何应增减的款项。经双方协商一致的合同款项，作为解除日期的结算资料。</w:t>
      </w:r>
    </w:p>
    <w:p>
      <w:pPr>
        <w:spacing w:line="300" w:lineRule="auto"/>
        <w:ind w:firstLine="420" w:firstLineChars="200"/>
        <w:rPr>
          <w:rFonts w:ascii="宋体" w:hAnsi="宋体"/>
          <w:color w:val="auto"/>
          <w:szCs w:val="21"/>
          <w:highlight w:val="none"/>
        </w:rPr>
      </w:pPr>
      <w:r>
        <w:rPr>
          <w:rFonts w:ascii="宋体" w:hAnsi="宋体"/>
          <w:color w:val="auto"/>
          <w:szCs w:val="21"/>
          <w:highlight w:val="none"/>
        </w:rPr>
        <w:t>18.1.5  解除合同后的结算</w:t>
      </w:r>
    </w:p>
    <w:p>
      <w:pPr>
        <w:spacing w:line="300" w:lineRule="auto"/>
        <w:ind w:firstLine="420" w:firstLineChars="200"/>
        <w:rPr>
          <w:rFonts w:ascii="宋体" w:hAnsi="宋体"/>
          <w:color w:val="auto"/>
          <w:szCs w:val="21"/>
          <w:highlight w:val="none"/>
        </w:rPr>
      </w:pPr>
      <w:r>
        <w:rPr>
          <w:rFonts w:ascii="宋体" w:hAnsi="宋体"/>
          <w:color w:val="auto"/>
          <w:szCs w:val="21"/>
          <w:highlight w:val="none"/>
        </w:rPr>
        <w:t>（1）双方应根据18.1.4款解除合同日期的结算资料，结清双方应收应付款项的余额。此后，发包人应将承包人根据14.2.1款约定提交的履约保函返还给承包人，承包人应将发包人根据14.2.2款约定提交的支付保函返还给发包人。</w:t>
      </w:r>
    </w:p>
    <w:p>
      <w:pPr>
        <w:spacing w:line="300" w:lineRule="auto"/>
        <w:ind w:firstLine="420" w:firstLineChars="200"/>
        <w:rPr>
          <w:rFonts w:ascii="宋体" w:hAnsi="宋体"/>
          <w:color w:val="auto"/>
          <w:szCs w:val="21"/>
          <w:highlight w:val="none"/>
        </w:rPr>
      </w:pPr>
      <w:r>
        <w:rPr>
          <w:rFonts w:ascii="宋体" w:hAnsi="宋体"/>
          <w:color w:val="auto"/>
          <w:szCs w:val="21"/>
          <w:highlight w:val="none"/>
        </w:rPr>
        <w:t>（2）如合同解除时仍有未被扣减完的预付款，发包人应根据14.3.3预付款抵扣的约定扣除，并在此后将约定提交的预付款保函返还给承包人。</w:t>
      </w:r>
    </w:p>
    <w:p>
      <w:pPr>
        <w:spacing w:line="300" w:lineRule="auto"/>
        <w:ind w:firstLine="420" w:firstLineChars="200"/>
        <w:rPr>
          <w:rFonts w:ascii="宋体" w:hAnsi="宋体"/>
          <w:color w:val="auto"/>
          <w:szCs w:val="21"/>
          <w:highlight w:val="none"/>
        </w:rPr>
      </w:pPr>
      <w:r>
        <w:rPr>
          <w:rFonts w:ascii="宋体" w:hAnsi="宋体"/>
          <w:color w:val="auto"/>
          <w:szCs w:val="21"/>
          <w:highlight w:val="none"/>
        </w:rPr>
        <w:t>（3）发包人尚有其它未能扣减完的应收款余额时，有权从14.2.1款约定的承包人提交的履约保函中扣减，并在此后将履约保函返还给承包人。</w:t>
      </w:r>
    </w:p>
    <w:p>
      <w:pPr>
        <w:spacing w:line="300" w:lineRule="auto"/>
        <w:ind w:firstLine="420" w:firstLineChars="200"/>
        <w:rPr>
          <w:rFonts w:ascii="宋体" w:hAnsi="宋体"/>
          <w:color w:val="auto"/>
          <w:szCs w:val="21"/>
          <w:highlight w:val="none"/>
        </w:rPr>
      </w:pPr>
      <w:r>
        <w:rPr>
          <w:rFonts w:ascii="宋体" w:hAnsi="宋体"/>
          <w:color w:val="auto"/>
          <w:szCs w:val="21"/>
          <w:highlight w:val="none"/>
        </w:rPr>
        <w:t>（4）发包人按上述约定扣减后，仍有未能收回的款项时；或合同未能约定提交履约保函和预付款保函时，仍有未能扣减应收款项的余额时，可扣留与应收款价值相当的承包人的机具、设备、设施、周转材料等作为抵偿。</w:t>
      </w:r>
    </w:p>
    <w:p>
      <w:pPr>
        <w:spacing w:line="300" w:lineRule="auto"/>
        <w:ind w:firstLine="420" w:firstLineChars="200"/>
        <w:rPr>
          <w:rFonts w:ascii="宋体" w:hAnsi="宋体"/>
          <w:color w:val="auto"/>
          <w:szCs w:val="21"/>
          <w:highlight w:val="none"/>
        </w:rPr>
      </w:pPr>
      <w:r>
        <w:rPr>
          <w:rFonts w:ascii="宋体" w:hAnsi="宋体"/>
          <w:color w:val="auto"/>
          <w:szCs w:val="21"/>
          <w:highlight w:val="none"/>
        </w:rPr>
        <w:t>18.1.6  承包人的撤离</w:t>
      </w:r>
    </w:p>
    <w:p>
      <w:pPr>
        <w:spacing w:line="300" w:lineRule="auto"/>
        <w:ind w:firstLine="420" w:firstLineChars="200"/>
        <w:rPr>
          <w:rFonts w:ascii="宋体" w:hAnsi="宋体"/>
          <w:color w:val="auto"/>
          <w:szCs w:val="21"/>
          <w:highlight w:val="none"/>
        </w:rPr>
      </w:pPr>
      <w:r>
        <w:rPr>
          <w:rFonts w:ascii="宋体" w:hAnsi="宋体"/>
          <w:color w:val="auto"/>
          <w:szCs w:val="21"/>
          <w:highlight w:val="none"/>
        </w:rPr>
        <w:t>（1）全部合同解除的撤离。承包人有权按18.1.5款第（4）项的约定，承将未被因抵偿扣留的机具、设备、设施等自行撤离现场。并承担撤离和拆除临时设施的费用。发包人为此提供必要条件。</w:t>
      </w:r>
    </w:p>
    <w:p>
      <w:pPr>
        <w:spacing w:line="300" w:lineRule="auto"/>
        <w:ind w:firstLine="420" w:firstLineChars="200"/>
        <w:rPr>
          <w:rFonts w:ascii="宋体" w:hAnsi="宋体"/>
          <w:color w:val="auto"/>
          <w:szCs w:val="21"/>
          <w:highlight w:val="none"/>
        </w:rPr>
      </w:pPr>
      <w:r>
        <w:rPr>
          <w:rFonts w:ascii="宋体" w:hAnsi="宋体"/>
          <w:color w:val="auto"/>
          <w:szCs w:val="21"/>
          <w:highlight w:val="none"/>
        </w:rPr>
        <w:t>（2） 部分合同解除的撤离。承包人接到发包人发出撤离现场的通知后，将其多余的机具、设备、设施等自费拆除并自费撤离现场（不包括根据18.1.5款第（4）项约定被抵偿的机具等）。发包人为此提供必要条件。</w:t>
      </w:r>
    </w:p>
    <w:p>
      <w:pPr>
        <w:spacing w:line="300" w:lineRule="auto"/>
        <w:ind w:firstLine="420" w:firstLineChars="200"/>
        <w:rPr>
          <w:rFonts w:ascii="宋体" w:hAnsi="宋体"/>
          <w:color w:val="auto"/>
          <w:szCs w:val="21"/>
          <w:highlight w:val="none"/>
        </w:rPr>
      </w:pPr>
      <w:r>
        <w:rPr>
          <w:rFonts w:ascii="宋体" w:hAnsi="宋体"/>
          <w:color w:val="auto"/>
          <w:szCs w:val="21"/>
          <w:highlight w:val="none"/>
        </w:rPr>
        <w:t>18.1.7  解除合同后继续实施工程的权利。发包人可继续完成工程或委托其他承包人继续完成工程。发包人有权与其它承包人使用已移交的永久性工程的物资，及承包人为本工程编制的设计文件、实施文件及资料，以及使用根据18.1.5款第（4）项约定扣留抵偿的设施、机具和设备。</w:t>
      </w:r>
    </w:p>
    <w:p>
      <w:pPr>
        <w:spacing w:before="156" w:beforeLines="50" w:after="156" w:afterLines="50" w:line="300" w:lineRule="auto"/>
        <w:ind w:firstLine="413" w:firstLineChars="196"/>
        <w:rPr>
          <w:rFonts w:ascii="宋体" w:hAnsi="宋体"/>
          <w:b/>
          <w:color w:val="auto"/>
          <w:szCs w:val="21"/>
          <w:highlight w:val="none"/>
        </w:rPr>
      </w:pPr>
      <w:r>
        <w:rPr>
          <w:rFonts w:ascii="宋体" w:hAnsi="宋体"/>
          <w:b/>
          <w:color w:val="auto"/>
          <w:szCs w:val="21"/>
          <w:highlight w:val="none"/>
        </w:rPr>
        <w:t>18.2  由承包人解除合同</w:t>
      </w:r>
    </w:p>
    <w:p>
      <w:pPr>
        <w:spacing w:line="300" w:lineRule="auto"/>
        <w:ind w:firstLine="420" w:firstLineChars="200"/>
        <w:rPr>
          <w:rFonts w:ascii="宋体" w:hAnsi="宋体"/>
          <w:color w:val="auto"/>
          <w:szCs w:val="21"/>
          <w:highlight w:val="none"/>
        </w:rPr>
      </w:pPr>
      <w:r>
        <w:rPr>
          <w:rFonts w:ascii="宋体" w:hAnsi="宋体"/>
          <w:color w:val="auto"/>
          <w:szCs w:val="21"/>
          <w:highlight w:val="none"/>
        </w:rPr>
        <w:t>18.2.1  由承包人解除合同。基于下列原因，承包人有权以书面形式通知发包人解除合同，但在发出解除合同通知15日前告知发包人：</w:t>
      </w:r>
    </w:p>
    <w:p>
      <w:pPr>
        <w:spacing w:line="300" w:lineRule="auto"/>
        <w:ind w:firstLine="420" w:firstLineChars="200"/>
        <w:rPr>
          <w:rFonts w:ascii="宋体" w:hAnsi="宋体"/>
          <w:color w:val="auto"/>
          <w:szCs w:val="21"/>
          <w:highlight w:val="none"/>
        </w:rPr>
      </w:pPr>
      <w:r>
        <w:rPr>
          <w:rFonts w:ascii="宋体" w:hAnsi="宋体"/>
          <w:color w:val="auto"/>
          <w:szCs w:val="21"/>
          <w:highlight w:val="none"/>
        </w:rPr>
        <w:t>（1）发包人延误付款达60日以上，或根据4.6.4款承包人要求复工，但发包人在180日内仍未通知复工的；</w:t>
      </w:r>
    </w:p>
    <w:p>
      <w:pPr>
        <w:spacing w:line="300" w:lineRule="auto"/>
        <w:ind w:firstLine="420" w:firstLineChars="200"/>
        <w:rPr>
          <w:rFonts w:ascii="宋体" w:hAnsi="宋体"/>
          <w:color w:val="auto"/>
          <w:szCs w:val="21"/>
          <w:highlight w:val="none"/>
        </w:rPr>
      </w:pPr>
      <w:r>
        <w:rPr>
          <w:rFonts w:ascii="宋体" w:hAnsi="宋体"/>
          <w:color w:val="auto"/>
          <w:szCs w:val="21"/>
          <w:highlight w:val="none"/>
        </w:rPr>
        <w:t>（2）发包人实质上未能根据合同约定履行其义务，影响承包人实施工作停止30日以上；</w:t>
      </w:r>
    </w:p>
    <w:p>
      <w:pPr>
        <w:spacing w:line="300" w:lineRule="auto"/>
        <w:ind w:firstLine="420" w:firstLineChars="200"/>
        <w:rPr>
          <w:rFonts w:ascii="宋体" w:hAnsi="宋体"/>
          <w:color w:val="auto"/>
          <w:szCs w:val="21"/>
          <w:highlight w:val="none"/>
        </w:rPr>
      </w:pPr>
      <w:r>
        <w:rPr>
          <w:rFonts w:ascii="宋体" w:hAnsi="宋体"/>
          <w:color w:val="auto"/>
          <w:szCs w:val="21"/>
          <w:highlight w:val="none"/>
        </w:rPr>
        <w:t>（3）发包人未能按14.2.2款的约定提交支付保函；</w:t>
      </w:r>
    </w:p>
    <w:p>
      <w:pPr>
        <w:spacing w:line="300" w:lineRule="auto"/>
        <w:ind w:firstLine="420" w:firstLineChars="200"/>
        <w:rPr>
          <w:rFonts w:ascii="宋体" w:hAnsi="宋体"/>
          <w:color w:val="auto"/>
          <w:szCs w:val="21"/>
          <w:highlight w:val="none"/>
        </w:rPr>
      </w:pPr>
      <w:r>
        <w:rPr>
          <w:rFonts w:ascii="宋体" w:hAnsi="宋体"/>
          <w:color w:val="auto"/>
          <w:szCs w:val="21"/>
          <w:highlight w:val="none"/>
        </w:rPr>
        <w:t>（4）出现第17条约定的不可抗力事件，导致继续履行合同主要义务已成为不可能或不必要；</w:t>
      </w:r>
    </w:p>
    <w:p>
      <w:pPr>
        <w:spacing w:line="300" w:lineRule="auto"/>
        <w:ind w:firstLine="420" w:firstLineChars="200"/>
        <w:rPr>
          <w:rFonts w:ascii="宋体" w:hAnsi="宋体"/>
          <w:color w:val="auto"/>
          <w:szCs w:val="21"/>
          <w:highlight w:val="none"/>
        </w:rPr>
      </w:pPr>
      <w:r>
        <w:rPr>
          <w:rFonts w:ascii="宋体" w:hAnsi="宋体"/>
          <w:color w:val="auto"/>
          <w:szCs w:val="21"/>
          <w:highlight w:val="none"/>
        </w:rPr>
        <w:t>（5）发包人破产、停业清理或进入清算程序、或情况表明发包人将进入破产和（或）清算程序，或发包人无力支付合同款项。</w:t>
      </w:r>
    </w:p>
    <w:p>
      <w:pPr>
        <w:spacing w:line="300" w:lineRule="auto"/>
        <w:ind w:firstLine="420" w:firstLineChars="200"/>
        <w:rPr>
          <w:rFonts w:ascii="宋体" w:hAnsi="宋体"/>
          <w:color w:val="auto"/>
          <w:szCs w:val="21"/>
          <w:highlight w:val="none"/>
        </w:rPr>
      </w:pPr>
      <w:r>
        <w:rPr>
          <w:rFonts w:ascii="宋体" w:hAnsi="宋体"/>
          <w:color w:val="auto"/>
          <w:szCs w:val="21"/>
          <w:highlight w:val="none"/>
        </w:rPr>
        <w:t>发包人接到承包人根据本款第（1）项、（2）项、（3）项解除合同的通知后，发包人随后给予了付款，或同意复工、或继续履行其义务、或提供了支付保函时，承包人应尽快安排并恢复正常工作。因此造成关键路线延误时，竣工日期顺延；承包人因此增加的费用，由发包人承担。</w:t>
      </w:r>
    </w:p>
    <w:p>
      <w:pPr>
        <w:spacing w:line="300" w:lineRule="auto"/>
        <w:ind w:firstLine="420" w:firstLineChars="200"/>
        <w:rPr>
          <w:rFonts w:ascii="宋体" w:hAnsi="宋体"/>
          <w:color w:val="auto"/>
          <w:szCs w:val="21"/>
          <w:highlight w:val="none"/>
        </w:rPr>
      </w:pPr>
      <w:r>
        <w:rPr>
          <w:rFonts w:ascii="宋体" w:hAnsi="宋体"/>
          <w:color w:val="auto"/>
          <w:szCs w:val="21"/>
          <w:highlight w:val="none"/>
        </w:rPr>
        <w:t>18.2.2  承包人发出解除合同的通知后，有权停止和必须进行的工作如下：</w:t>
      </w:r>
    </w:p>
    <w:p>
      <w:pPr>
        <w:spacing w:line="300" w:lineRule="auto"/>
        <w:ind w:firstLine="420" w:firstLineChars="200"/>
        <w:rPr>
          <w:rFonts w:ascii="宋体" w:hAnsi="宋体"/>
          <w:color w:val="auto"/>
          <w:szCs w:val="21"/>
          <w:highlight w:val="none"/>
        </w:rPr>
      </w:pPr>
      <w:r>
        <w:rPr>
          <w:rFonts w:ascii="宋体" w:hAnsi="宋体"/>
          <w:color w:val="auto"/>
          <w:szCs w:val="21"/>
          <w:highlight w:val="none"/>
        </w:rPr>
        <w:t>（1）除为保护生命、财产、工程安全、清理和必须执行的工作外，停止所有进一步的工作；</w:t>
      </w:r>
    </w:p>
    <w:p>
      <w:pPr>
        <w:spacing w:line="300" w:lineRule="auto"/>
        <w:ind w:firstLine="420" w:firstLineChars="200"/>
        <w:rPr>
          <w:rFonts w:ascii="宋体" w:hAnsi="宋体"/>
          <w:color w:val="auto"/>
          <w:szCs w:val="21"/>
          <w:highlight w:val="none"/>
        </w:rPr>
      </w:pPr>
      <w:r>
        <w:rPr>
          <w:rFonts w:ascii="宋体" w:hAnsi="宋体"/>
          <w:color w:val="auto"/>
          <w:szCs w:val="21"/>
          <w:highlight w:val="none"/>
        </w:rPr>
        <w:t>（2）移交已完成的永久性工程及承包人提供的工程物资（包括现场保管的、已经订货的、正在加工制造的、正在运输途中的、现场尚未交接的）。在未移交之前，承包人有义务妥善做好已完工程和已购工程物资的保管、维护和保养；</w:t>
      </w:r>
    </w:p>
    <w:p>
      <w:pPr>
        <w:spacing w:line="300" w:lineRule="auto"/>
        <w:ind w:firstLine="420" w:firstLineChars="200"/>
        <w:rPr>
          <w:rFonts w:ascii="宋体" w:hAnsi="宋体"/>
          <w:color w:val="auto"/>
          <w:szCs w:val="21"/>
          <w:highlight w:val="none"/>
        </w:rPr>
      </w:pPr>
      <w:r>
        <w:rPr>
          <w:rFonts w:ascii="宋体" w:hAnsi="宋体"/>
          <w:color w:val="auto"/>
          <w:szCs w:val="21"/>
          <w:highlight w:val="none"/>
        </w:rPr>
        <w:t>（3）移交已经付款并已经完成和尚待完成的设计文件、图纸、资料、操作维修手册、施工组织设计、质检资料、竣工资料等。应发包人的要求，对已经完成但尚未付款的相关设计文件、图纸和资料等，按商定的价格付款后，承包人按约定的时间提交给发包人。</w:t>
      </w:r>
    </w:p>
    <w:p>
      <w:pPr>
        <w:spacing w:line="300" w:lineRule="auto"/>
        <w:ind w:firstLine="420" w:firstLineChars="200"/>
        <w:rPr>
          <w:rFonts w:ascii="宋体" w:hAnsi="宋体"/>
          <w:color w:val="auto"/>
          <w:szCs w:val="21"/>
          <w:highlight w:val="none"/>
        </w:rPr>
      </w:pPr>
      <w:r>
        <w:rPr>
          <w:rFonts w:ascii="宋体" w:hAnsi="宋体"/>
          <w:color w:val="auto"/>
          <w:szCs w:val="21"/>
          <w:highlight w:val="none"/>
        </w:rPr>
        <w:t>（4）向发包人提交全部分包合同及执行情况说明，由发包人承担其费用。</w:t>
      </w:r>
    </w:p>
    <w:p>
      <w:pPr>
        <w:spacing w:line="300" w:lineRule="auto"/>
        <w:ind w:firstLine="420" w:firstLineChars="200"/>
        <w:rPr>
          <w:rFonts w:ascii="宋体" w:hAnsi="宋体"/>
          <w:color w:val="auto"/>
          <w:szCs w:val="21"/>
          <w:highlight w:val="none"/>
        </w:rPr>
      </w:pPr>
      <w:r>
        <w:rPr>
          <w:rFonts w:ascii="宋体" w:hAnsi="宋体"/>
          <w:color w:val="auto"/>
          <w:szCs w:val="21"/>
          <w:highlight w:val="none"/>
        </w:rPr>
        <w:t>（5）应发包人的要求，承包人将分包合同转让至发包人和（或）发包人指定方的名下，包括永久性工程及其物资，以及相关工作；</w:t>
      </w:r>
    </w:p>
    <w:p>
      <w:pPr>
        <w:spacing w:line="300" w:lineRule="auto"/>
        <w:ind w:firstLine="420" w:firstLineChars="200"/>
        <w:rPr>
          <w:rFonts w:ascii="宋体" w:hAnsi="宋体"/>
          <w:color w:val="auto"/>
          <w:szCs w:val="21"/>
          <w:highlight w:val="none"/>
        </w:rPr>
      </w:pPr>
      <w:r>
        <w:rPr>
          <w:rFonts w:ascii="宋体" w:hAnsi="宋体"/>
          <w:color w:val="auto"/>
          <w:szCs w:val="21"/>
          <w:highlight w:val="none"/>
        </w:rPr>
        <w:t>（6）在承包人自留文件资料中，销毁发包人提供的所有信息及其相关的数据及资料的备份。</w:t>
      </w:r>
    </w:p>
    <w:p>
      <w:pPr>
        <w:spacing w:line="300" w:lineRule="auto"/>
        <w:ind w:firstLine="420" w:firstLineChars="200"/>
        <w:rPr>
          <w:rFonts w:ascii="宋体" w:hAnsi="宋体"/>
          <w:color w:val="auto"/>
          <w:szCs w:val="21"/>
          <w:highlight w:val="none"/>
        </w:rPr>
      </w:pPr>
      <w:r>
        <w:rPr>
          <w:rFonts w:ascii="宋体" w:hAnsi="宋体"/>
          <w:color w:val="auto"/>
          <w:szCs w:val="21"/>
          <w:highlight w:val="none"/>
        </w:rPr>
        <w:t>18.2.3 解除合同日期的结算资料</w:t>
      </w:r>
    </w:p>
    <w:p>
      <w:pPr>
        <w:spacing w:line="300" w:lineRule="auto"/>
        <w:ind w:firstLine="420" w:firstLineChars="200"/>
        <w:rPr>
          <w:rFonts w:ascii="宋体" w:hAnsi="宋体"/>
          <w:color w:val="auto"/>
          <w:szCs w:val="21"/>
          <w:highlight w:val="none"/>
        </w:rPr>
      </w:pPr>
      <w:r>
        <w:rPr>
          <w:rFonts w:ascii="宋体" w:hAnsi="宋体"/>
          <w:color w:val="auto"/>
          <w:szCs w:val="21"/>
          <w:highlight w:val="none"/>
        </w:rPr>
        <w:t>根据18.2.1款的约定，发包人收到解除合同的通知后，应与承包人商定已发生的工程款项，包括：14.3款预付款、14.4款工程进度款、13.7款合同价格调整的款项、14.5款保修金暂扣与支付的款项、16.2款索赔的款项、本合同补充协议的款项，及合同任何条款约定的增减款项，以及承包人拆除临时设施和机具、设备等撤离到承包人企业所在地的费用（当出现18.2.1款第（4）项不可抗力的情况，撤离费用由承包人承担）。经双方协商一致的合同款项，作为解除日期的结算依据。</w:t>
      </w:r>
    </w:p>
    <w:p>
      <w:pPr>
        <w:spacing w:line="300" w:lineRule="auto"/>
        <w:ind w:firstLine="420" w:firstLineChars="200"/>
        <w:rPr>
          <w:rFonts w:ascii="宋体" w:hAnsi="宋体"/>
          <w:color w:val="auto"/>
          <w:szCs w:val="21"/>
          <w:highlight w:val="none"/>
        </w:rPr>
      </w:pPr>
      <w:r>
        <w:rPr>
          <w:rFonts w:ascii="宋体" w:hAnsi="宋体"/>
          <w:color w:val="auto"/>
          <w:szCs w:val="21"/>
          <w:highlight w:val="none"/>
        </w:rPr>
        <w:t>18.2.4 解除合同后的结算</w:t>
      </w:r>
    </w:p>
    <w:p>
      <w:pPr>
        <w:spacing w:line="300" w:lineRule="auto"/>
        <w:ind w:firstLine="420" w:firstLineChars="200"/>
        <w:rPr>
          <w:rFonts w:ascii="宋体" w:hAnsi="宋体"/>
          <w:color w:val="auto"/>
          <w:szCs w:val="21"/>
          <w:highlight w:val="none"/>
        </w:rPr>
      </w:pPr>
      <w:r>
        <w:rPr>
          <w:rFonts w:ascii="宋体" w:hAnsi="宋体"/>
          <w:color w:val="auto"/>
          <w:szCs w:val="21"/>
          <w:highlight w:val="none"/>
        </w:rPr>
        <w:t>（1）双方应根据18.2.3款解除合同日期的结算资料，结清解除合同时双方的应收应付款项的余额。此后，承包人应将发包人根据14.2.2款约定提交的支付保函返还给发包人，发包人将承包人根据14.2.1款约定提交的履约保函返还给承包人。</w:t>
      </w:r>
    </w:p>
    <w:p>
      <w:pPr>
        <w:spacing w:line="300" w:lineRule="auto"/>
        <w:ind w:firstLine="420" w:firstLineChars="200"/>
        <w:rPr>
          <w:rFonts w:ascii="宋体" w:hAnsi="宋体"/>
          <w:color w:val="auto"/>
          <w:szCs w:val="21"/>
          <w:highlight w:val="none"/>
        </w:rPr>
      </w:pPr>
      <w:r>
        <w:rPr>
          <w:rFonts w:ascii="宋体" w:hAnsi="宋体"/>
          <w:color w:val="auto"/>
          <w:szCs w:val="21"/>
          <w:highlight w:val="none"/>
        </w:rPr>
        <w:t>（2）如合同解除时发包人仍有未被扣减完的预付款，发包人可根据14.3.3款预付款抵扣的约定扣除，此后，应将预付款保函返还给承包人。</w:t>
      </w:r>
    </w:p>
    <w:p>
      <w:pPr>
        <w:spacing w:line="300" w:lineRule="auto"/>
        <w:ind w:firstLine="420" w:firstLineChars="200"/>
        <w:rPr>
          <w:rFonts w:ascii="宋体" w:hAnsi="宋体"/>
          <w:color w:val="auto"/>
          <w:szCs w:val="21"/>
          <w:highlight w:val="none"/>
        </w:rPr>
      </w:pPr>
      <w:r>
        <w:rPr>
          <w:rFonts w:ascii="宋体" w:hAnsi="宋体"/>
          <w:color w:val="auto"/>
          <w:szCs w:val="21"/>
          <w:highlight w:val="none"/>
        </w:rPr>
        <w:t>（3）如合同解除时承包人尚有其它未能收回的应收款余额，承包人可从14.2.2款约定的发包人提交的支付保函中扣减，此后，应将支付保函返还给发包人。</w:t>
      </w:r>
    </w:p>
    <w:p>
      <w:pPr>
        <w:spacing w:line="300" w:lineRule="auto"/>
        <w:ind w:firstLine="420" w:firstLineChars="200"/>
        <w:rPr>
          <w:rFonts w:ascii="宋体" w:hAnsi="宋体"/>
          <w:color w:val="auto"/>
          <w:szCs w:val="21"/>
          <w:highlight w:val="none"/>
        </w:rPr>
      </w:pPr>
      <w:r>
        <w:rPr>
          <w:rFonts w:ascii="宋体" w:hAnsi="宋体"/>
          <w:color w:val="auto"/>
          <w:szCs w:val="21"/>
          <w:highlight w:val="none"/>
        </w:rPr>
        <w:t>（4）如合同解除时承包人尚有其它未能收回的应收款余额，而合同未约定发包人按14.2.2款提交支付保函时，发包人应根据18.2.3款的约定，经协商一致的解除合同日期结算资料后的第1日起，按中国人民银行同期同类贷款利率，支付拖欠的余额和利息。发包人在此后的60日内仍未支付，承包人有权根据第16.3款争议和裁决的约定解决。</w:t>
      </w:r>
    </w:p>
    <w:p>
      <w:pPr>
        <w:spacing w:line="300" w:lineRule="auto"/>
        <w:ind w:firstLine="420" w:firstLineChars="200"/>
        <w:rPr>
          <w:rFonts w:ascii="宋体" w:hAnsi="宋体"/>
          <w:color w:val="auto"/>
          <w:szCs w:val="21"/>
          <w:highlight w:val="none"/>
        </w:rPr>
      </w:pPr>
      <w:r>
        <w:rPr>
          <w:rFonts w:ascii="宋体" w:hAnsi="宋体"/>
          <w:color w:val="auto"/>
          <w:szCs w:val="21"/>
          <w:highlight w:val="none"/>
        </w:rPr>
        <w:t>（5）如合同解除时承包人尚有未能付给发包人的付款余额，发包人有权根据18.1.5款约定的解除合同后的结算中的第（2）项至第（4）项进行结算。</w:t>
      </w:r>
    </w:p>
    <w:p>
      <w:pPr>
        <w:spacing w:line="300" w:lineRule="auto"/>
        <w:ind w:firstLine="420" w:firstLineChars="200"/>
        <w:rPr>
          <w:rFonts w:ascii="宋体" w:hAnsi="宋体"/>
          <w:color w:val="auto"/>
          <w:szCs w:val="21"/>
          <w:highlight w:val="none"/>
        </w:rPr>
      </w:pPr>
      <w:r>
        <w:rPr>
          <w:rFonts w:ascii="宋体" w:hAnsi="宋体"/>
          <w:color w:val="auto"/>
          <w:szCs w:val="21"/>
          <w:highlight w:val="none"/>
        </w:rPr>
        <w:t>18.2.5  承包人的撤离。在合同解除后，承包人应将除为安全需要以外的所有其它物资、机具、设备和设施，全部撤离现场。</w:t>
      </w:r>
    </w:p>
    <w:p>
      <w:pPr>
        <w:spacing w:line="300" w:lineRule="auto"/>
        <w:ind w:firstLine="413" w:firstLineChars="196"/>
        <w:rPr>
          <w:rFonts w:ascii="宋体" w:hAnsi="宋体"/>
          <w:b/>
          <w:color w:val="auto"/>
          <w:szCs w:val="21"/>
          <w:highlight w:val="none"/>
        </w:rPr>
      </w:pPr>
      <w:r>
        <w:rPr>
          <w:rFonts w:ascii="宋体" w:hAnsi="宋体"/>
          <w:b/>
          <w:color w:val="auto"/>
          <w:szCs w:val="21"/>
          <w:highlight w:val="none"/>
        </w:rPr>
        <w:t>18.3  合同解除后的事项</w:t>
      </w:r>
    </w:p>
    <w:p>
      <w:pPr>
        <w:spacing w:line="300" w:lineRule="auto"/>
        <w:ind w:firstLine="420" w:firstLineChars="200"/>
        <w:rPr>
          <w:rFonts w:ascii="宋体" w:hAnsi="宋体"/>
          <w:color w:val="auto"/>
          <w:szCs w:val="21"/>
          <w:highlight w:val="none"/>
        </w:rPr>
      </w:pPr>
      <w:r>
        <w:rPr>
          <w:rFonts w:ascii="宋体" w:hAnsi="宋体"/>
          <w:color w:val="auto"/>
          <w:szCs w:val="21"/>
          <w:highlight w:val="none"/>
        </w:rPr>
        <w:t>18.3.1  付款约定仍然有效</w:t>
      </w:r>
    </w:p>
    <w:p>
      <w:pPr>
        <w:spacing w:line="300" w:lineRule="auto"/>
        <w:ind w:firstLine="420" w:firstLineChars="200"/>
        <w:rPr>
          <w:rFonts w:ascii="宋体" w:hAnsi="宋体"/>
          <w:color w:val="auto"/>
          <w:szCs w:val="21"/>
          <w:highlight w:val="none"/>
        </w:rPr>
      </w:pPr>
      <w:r>
        <w:rPr>
          <w:rFonts w:ascii="宋体" w:hAnsi="宋体"/>
          <w:color w:val="auto"/>
          <w:szCs w:val="21"/>
          <w:highlight w:val="none"/>
        </w:rPr>
        <w:t>合同解除后，由发包人或由承包人解除合同的结算及结算后的付款约定仍然有效，直至解除合同的结算工作结清。</w:t>
      </w:r>
    </w:p>
    <w:p>
      <w:pPr>
        <w:spacing w:line="300" w:lineRule="auto"/>
        <w:ind w:firstLine="420" w:firstLineChars="200"/>
        <w:rPr>
          <w:rFonts w:ascii="宋体" w:hAnsi="宋体"/>
          <w:color w:val="auto"/>
          <w:szCs w:val="21"/>
          <w:highlight w:val="none"/>
        </w:rPr>
      </w:pPr>
      <w:r>
        <w:rPr>
          <w:rFonts w:ascii="宋体" w:hAnsi="宋体"/>
          <w:color w:val="auto"/>
          <w:szCs w:val="21"/>
          <w:highlight w:val="none"/>
        </w:rPr>
        <w:t>18.3.2  解除合同的争议</w:t>
      </w:r>
    </w:p>
    <w:p>
      <w:pPr>
        <w:spacing w:line="300" w:lineRule="auto"/>
        <w:ind w:firstLine="420" w:firstLineChars="200"/>
        <w:rPr>
          <w:rFonts w:ascii="宋体" w:hAnsi="宋体"/>
          <w:color w:val="auto"/>
          <w:szCs w:val="21"/>
          <w:highlight w:val="none"/>
        </w:rPr>
      </w:pPr>
      <w:r>
        <w:rPr>
          <w:rFonts w:ascii="宋体" w:hAnsi="宋体"/>
          <w:color w:val="auto"/>
          <w:szCs w:val="21"/>
          <w:highlight w:val="none"/>
        </w:rPr>
        <w:t>合同双方对解除合同或对解除日期的结算有争议的，应采取友好协商方式解决。经友好协商仍存在争议、或有一方不接受友好协商时，根据16.3款争议和裁决的约定解决。</w:t>
      </w:r>
    </w:p>
    <w:p>
      <w:pPr>
        <w:spacing w:before="156" w:beforeLines="50" w:after="156" w:afterLines="50"/>
        <w:ind w:firstLine="413" w:firstLineChars="196"/>
        <w:rPr>
          <w:rFonts w:ascii="宋体" w:hAnsi="宋体"/>
          <w:b/>
          <w:color w:val="auto"/>
          <w:szCs w:val="21"/>
          <w:highlight w:val="none"/>
        </w:rPr>
      </w:pPr>
      <w:r>
        <w:rPr>
          <w:rFonts w:ascii="宋体" w:hAnsi="宋体"/>
          <w:b/>
          <w:color w:val="auto"/>
          <w:szCs w:val="21"/>
          <w:highlight w:val="none"/>
        </w:rPr>
        <w:t>第19条  合同生效与终止</w:t>
      </w:r>
    </w:p>
    <w:p>
      <w:pPr>
        <w:spacing w:line="300" w:lineRule="auto"/>
        <w:ind w:firstLine="422" w:firstLineChars="200"/>
        <w:rPr>
          <w:rFonts w:ascii="宋体" w:hAnsi="宋体"/>
          <w:b/>
          <w:color w:val="auto"/>
          <w:szCs w:val="21"/>
          <w:highlight w:val="none"/>
        </w:rPr>
      </w:pPr>
      <w:r>
        <w:rPr>
          <w:rFonts w:ascii="宋体" w:hAnsi="宋体"/>
          <w:b/>
          <w:color w:val="auto"/>
          <w:szCs w:val="21"/>
          <w:highlight w:val="none"/>
        </w:rPr>
        <w:t>19.1  合同生效。</w:t>
      </w:r>
    </w:p>
    <w:p>
      <w:pPr>
        <w:spacing w:line="300" w:lineRule="auto"/>
        <w:ind w:firstLine="420" w:firstLineChars="200"/>
        <w:rPr>
          <w:rFonts w:ascii="宋体" w:hAnsi="宋体"/>
          <w:color w:val="auto"/>
          <w:szCs w:val="21"/>
          <w:highlight w:val="none"/>
        </w:rPr>
      </w:pPr>
      <w:r>
        <w:rPr>
          <w:rFonts w:ascii="宋体" w:hAnsi="宋体"/>
          <w:color w:val="auto"/>
          <w:szCs w:val="21"/>
          <w:highlight w:val="none"/>
        </w:rPr>
        <w:t>在合同协议书中约定的合同生效条件满足之日生效。</w:t>
      </w:r>
    </w:p>
    <w:p>
      <w:pPr>
        <w:spacing w:line="300" w:lineRule="auto"/>
        <w:ind w:firstLine="422" w:firstLineChars="200"/>
        <w:rPr>
          <w:rFonts w:ascii="宋体" w:hAnsi="宋体"/>
          <w:b/>
          <w:color w:val="auto"/>
          <w:szCs w:val="21"/>
          <w:highlight w:val="none"/>
        </w:rPr>
      </w:pPr>
      <w:r>
        <w:rPr>
          <w:rFonts w:ascii="宋体" w:hAnsi="宋体"/>
          <w:b/>
          <w:color w:val="auto"/>
          <w:szCs w:val="21"/>
          <w:highlight w:val="none"/>
        </w:rPr>
        <w:t>19.2  合同份数</w:t>
      </w:r>
    </w:p>
    <w:p>
      <w:pPr>
        <w:spacing w:line="300" w:lineRule="auto"/>
        <w:ind w:firstLine="420" w:firstLineChars="200"/>
        <w:rPr>
          <w:rFonts w:ascii="宋体" w:hAnsi="宋体"/>
          <w:color w:val="auto"/>
          <w:szCs w:val="21"/>
          <w:highlight w:val="none"/>
        </w:rPr>
      </w:pPr>
      <w:r>
        <w:rPr>
          <w:rFonts w:ascii="宋体" w:hAnsi="宋体"/>
          <w:color w:val="auto"/>
          <w:szCs w:val="21"/>
          <w:highlight w:val="none"/>
        </w:rPr>
        <w:t>合同正本、合同副本的份数，及合同双方应持的份数，在专用条款中约定。</w:t>
      </w:r>
    </w:p>
    <w:p>
      <w:pPr>
        <w:spacing w:line="300" w:lineRule="auto"/>
        <w:ind w:firstLine="422" w:firstLineChars="200"/>
        <w:rPr>
          <w:rFonts w:ascii="宋体" w:hAnsi="宋体"/>
          <w:b/>
          <w:color w:val="auto"/>
          <w:szCs w:val="21"/>
          <w:highlight w:val="none"/>
        </w:rPr>
      </w:pPr>
      <w:r>
        <w:rPr>
          <w:rFonts w:ascii="宋体" w:hAnsi="宋体"/>
          <w:b/>
          <w:color w:val="auto"/>
          <w:szCs w:val="21"/>
          <w:highlight w:val="none"/>
        </w:rPr>
        <w:t>19.3  后合同义务</w:t>
      </w:r>
    </w:p>
    <w:p>
      <w:pPr>
        <w:spacing w:line="300" w:lineRule="auto"/>
        <w:ind w:firstLine="420" w:firstLineChars="200"/>
        <w:rPr>
          <w:rFonts w:ascii="宋体" w:hAnsi="宋体"/>
          <w:color w:val="auto"/>
          <w:szCs w:val="21"/>
          <w:highlight w:val="none"/>
        </w:rPr>
      </w:pPr>
      <w:r>
        <w:rPr>
          <w:rFonts w:ascii="宋体" w:hAnsi="宋体"/>
          <w:color w:val="auto"/>
          <w:szCs w:val="21"/>
          <w:highlight w:val="none"/>
        </w:rPr>
        <w:t>合同双方应在合同终止后，遵循诚实信用原则，履行通知、协助、保密等义务。</w:t>
      </w:r>
    </w:p>
    <w:p>
      <w:pPr>
        <w:spacing w:before="156" w:beforeLines="50" w:after="156" w:afterLines="50" w:line="300" w:lineRule="auto"/>
        <w:ind w:firstLine="413" w:firstLineChars="196"/>
        <w:rPr>
          <w:rFonts w:ascii="宋体" w:hAnsi="宋体"/>
          <w:b/>
          <w:color w:val="auto"/>
          <w:szCs w:val="21"/>
          <w:highlight w:val="none"/>
        </w:rPr>
      </w:pPr>
      <w:r>
        <w:rPr>
          <w:rFonts w:ascii="宋体" w:hAnsi="宋体"/>
          <w:b/>
          <w:color w:val="auto"/>
          <w:szCs w:val="21"/>
          <w:highlight w:val="none"/>
        </w:rPr>
        <w:t>第20条 补充条款</w:t>
      </w:r>
    </w:p>
    <w:p>
      <w:pPr>
        <w:spacing w:line="300" w:lineRule="auto"/>
        <w:ind w:firstLine="420" w:firstLineChars="200"/>
        <w:rPr>
          <w:rFonts w:ascii="宋体" w:hAnsi="宋体"/>
          <w:color w:val="auto"/>
          <w:szCs w:val="21"/>
          <w:highlight w:val="none"/>
        </w:rPr>
      </w:pPr>
      <w:r>
        <w:rPr>
          <w:rFonts w:ascii="宋体" w:hAnsi="宋体"/>
          <w:color w:val="auto"/>
          <w:szCs w:val="21"/>
          <w:highlight w:val="none"/>
        </w:rPr>
        <w:t>双方对本通用条款内容的具体约定、补充或修改在专用条款中约定。</w:t>
      </w:r>
    </w:p>
    <w:p>
      <w:pPr>
        <w:spacing w:line="300" w:lineRule="auto"/>
        <w:rPr>
          <w:rFonts w:ascii="宋体" w:hAnsi="宋体"/>
          <w:color w:val="auto"/>
          <w:szCs w:val="21"/>
          <w:highlight w:val="none"/>
        </w:rPr>
      </w:pPr>
    </w:p>
    <w:p>
      <w:pPr>
        <w:spacing w:before="156" w:beforeLines="50" w:after="156" w:afterLines="50" w:line="300" w:lineRule="auto"/>
        <w:jc w:val="center"/>
        <w:rPr>
          <w:rFonts w:ascii="宋体" w:hAnsi="宋体"/>
          <w:b/>
          <w:bCs/>
          <w:color w:val="auto"/>
          <w:sz w:val="32"/>
          <w:szCs w:val="32"/>
          <w:highlight w:val="none"/>
        </w:rPr>
      </w:pPr>
      <w:r>
        <w:rPr>
          <w:rFonts w:ascii="宋体" w:hAnsi="宋体"/>
          <w:b/>
          <w:color w:val="auto"/>
          <w:sz w:val="44"/>
          <w:szCs w:val="44"/>
          <w:highlight w:val="none"/>
        </w:rPr>
        <w:br w:type="page"/>
      </w:r>
      <w:r>
        <w:rPr>
          <w:rFonts w:ascii="宋体" w:hAnsi="宋体"/>
          <w:b/>
          <w:bCs/>
          <w:color w:val="auto"/>
          <w:sz w:val="32"/>
          <w:szCs w:val="32"/>
          <w:highlight w:val="none"/>
        </w:rPr>
        <w:t>第三部分 专用条款</w:t>
      </w:r>
    </w:p>
    <w:p>
      <w:pPr>
        <w:spacing w:before="156" w:beforeLines="50" w:after="156" w:afterLines="50" w:line="400" w:lineRule="exact"/>
        <w:ind w:firstLine="413" w:firstLineChars="196"/>
        <w:rPr>
          <w:rFonts w:ascii="宋体" w:hAnsi="宋体"/>
          <w:b/>
          <w:color w:val="auto"/>
          <w:szCs w:val="21"/>
          <w:highlight w:val="none"/>
        </w:rPr>
      </w:pPr>
      <w:r>
        <w:rPr>
          <w:rFonts w:ascii="宋体" w:hAnsi="宋体"/>
          <w:b/>
          <w:color w:val="auto"/>
          <w:szCs w:val="21"/>
          <w:highlight w:val="none"/>
        </w:rPr>
        <w:t>第1条  一般规定</w:t>
      </w:r>
    </w:p>
    <w:p>
      <w:pPr>
        <w:spacing w:before="156" w:beforeLines="50" w:after="156" w:afterLines="50" w:line="400" w:lineRule="exact"/>
        <w:ind w:firstLine="422" w:firstLineChars="200"/>
        <w:rPr>
          <w:rFonts w:ascii="宋体" w:hAnsi="宋体"/>
          <w:b/>
          <w:color w:val="auto"/>
          <w:szCs w:val="21"/>
          <w:highlight w:val="none"/>
        </w:rPr>
      </w:pPr>
      <w:r>
        <w:rPr>
          <w:rFonts w:ascii="宋体" w:hAnsi="宋体"/>
          <w:b/>
          <w:color w:val="auto"/>
          <w:szCs w:val="21"/>
          <w:highlight w:val="none"/>
        </w:rPr>
        <w:t>1.1  定义与解释</w:t>
      </w:r>
    </w:p>
    <w:p>
      <w:pPr>
        <w:spacing w:before="156" w:beforeLines="50" w:after="156" w:afterLines="50" w:line="400" w:lineRule="exact"/>
        <w:ind w:firstLine="420" w:firstLineChars="200"/>
        <w:rPr>
          <w:rFonts w:ascii="宋体" w:hAnsi="宋体"/>
          <w:bCs/>
          <w:color w:val="auto"/>
          <w:szCs w:val="21"/>
          <w:highlight w:val="none"/>
          <w:u w:val="single"/>
        </w:rPr>
      </w:pPr>
      <w:r>
        <w:rPr>
          <w:rFonts w:ascii="宋体" w:hAnsi="宋体"/>
          <w:bCs/>
          <w:color w:val="auto"/>
          <w:szCs w:val="21"/>
          <w:highlight w:val="none"/>
        </w:rPr>
        <w:t>1.1.51 双方约定的视为不可抗力事件处理的其它情形如下：</w:t>
      </w:r>
      <w:r>
        <w:rPr>
          <w:rFonts w:ascii="宋体" w:hAnsi="宋体"/>
          <w:bCs/>
          <w:color w:val="auto"/>
          <w:szCs w:val="21"/>
          <w:highlight w:val="none"/>
          <w:u w:val="single"/>
        </w:rPr>
        <w:t xml:space="preserve">是指不可预见、不能避免并不能克服的客观情况，包括以下各种异常事件或情况： </w:t>
      </w:r>
    </w:p>
    <w:p>
      <w:pPr>
        <w:spacing w:before="156" w:beforeLines="50" w:after="156" w:afterLines="50" w:line="400" w:lineRule="exact"/>
        <w:ind w:firstLine="420" w:firstLineChars="200"/>
        <w:rPr>
          <w:rFonts w:ascii="宋体" w:hAnsi="宋体"/>
          <w:bCs/>
          <w:color w:val="auto"/>
          <w:szCs w:val="21"/>
          <w:highlight w:val="none"/>
          <w:u w:val="single"/>
        </w:rPr>
      </w:pPr>
      <w:r>
        <w:rPr>
          <w:rFonts w:ascii="宋体" w:hAnsi="宋体"/>
          <w:bCs/>
          <w:color w:val="auto"/>
          <w:szCs w:val="21"/>
          <w:highlight w:val="none"/>
          <w:u w:val="single"/>
        </w:rPr>
        <w:t xml:space="preserve">（1）战争、敌对行动（不论宣战与否）、入侵、外敌行为； </w:t>
      </w:r>
    </w:p>
    <w:p>
      <w:pPr>
        <w:spacing w:before="156" w:beforeLines="50" w:after="156" w:afterLines="50" w:line="400" w:lineRule="exact"/>
        <w:ind w:firstLine="420" w:firstLineChars="200"/>
        <w:rPr>
          <w:rFonts w:ascii="宋体" w:hAnsi="宋体"/>
          <w:bCs/>
          <w:color w:val="auto"/>
          <w:szCs w:val="21"/>
          <w:highlight w:val="none"/>
          <w:u w:val="single"/>
        </w:rPr>
      </w:pPr>
      <w:r>
        <w:rPr>
          <w:rFonts w:ascii="宋体" w:hAnsi="宋体"/>
          <w:bCs/>
          <w:color w:val="auto"/>
          <w:szCs w:val="21"/>
          <w:highlight w:val="none"/>
          <w:u w:val="single"/>
        </w:rPr>
        <w:t xml:space="preserve">（2）叛乱、恐怖主义、革命、暴动、军事政变或篡夺政权、内乱； </w:t>
      </w:r>
    </w:p>
    <w:p>
      <w:pPr>
        <w:spacing w:before="156" w:beforeLines="50" w:after="156" w:afterLines="50" w:line="400" w:lineRule="exact"/>
        <w:ind w:firstLine="420" w:firstLineChars="200"/>
        <w:rPr>
          <w:rFonts w:ascii="宋体" w:hAnsi="宋体"/>
          <w:bCs/>
          <w:color w:val="auto"/>
          <w:szCs w:val="21"/>
          <w:highlight w:val="none"/>
          <w:u w:val="single"/>
        </w:rPr>
      </w:pPr>
      <w:r>
        <w:rPr>
          <w:rFonts w:ascii="宋体" w:hAnsi="宋体"/>
          <w:bCs/>
          <w:color w:val="auto"/>
          <w:szCs w:val="21"/>
          <w:highlight w:val="none"/>
          <w:u w:val="single"/>
        </w:rPr>
        <w:t xml:space="preserve">（3）承包人及其分包商雇员以外的人员骚乱、喧闹、罢工或停工； </w:t>
      </w:r>
    </w:p>
    <w:p>
      <w:pPr>
        <w:spacing w:before="156" w:beforeLines="50" w:after="156" w:afterLines="50" w:line="400" w:lineRule="exact"/>
        <w:ind w:firstLine="420" w:firstLineChars="200"/>
        <w:rPr>
          <w:rFonts w:ascii="宋体" w:hAnsi="宋体"/>
          <w:bCs/>
          <w:color w:val="auto"/>
          <w:szCs w:val="21"/>
          <w:highlight w:val="none"/>
          <w:u w:val="single"/>
        </w:rPr>
      </w:pPr>
      <w:r>
        <w:rPr>
          <w:rFonts w:ascii="宋体" w:hAnsi="宋体"/>
          <w:bCs/>
          <w:color w:val="auto"/>
          <w:szCs w:val="21"/>
          <w:highlight w:val="none"/>
          <w:u w:val="single"/>
        </w:rPr>
        <w:t xml:space="preserve">（4）战争军火、爆炸物质、电离辐射或放射性污染； </w:t>
      </w:r>
    </w:p>
    <w:p>
      <w:pPr>
        <w:spacing w:before="156" w:beforeLines="50" w:after="156" w:afterLines="50" w:line="400" w:lineRule="exact"/>
        <w:ind w:firstLine="420" w:firstLineChars="200"/>
        <w:rPr>
          <w:rFonts w:ascii="宋体" w:hAnsi="宋体"/>
          <w:bCs/>
          <w:color w:val="auto"/>
          <w:szCs w:val="21"/>
          <w:highlight w:val="none"/>
          <w:u w:val="single"/>
        </w:rPr>
      </w:pPr>
      <w:r>
        <w:rPr>
          <w:rFonts w:ascii="宋体" w:hAnsi="宋体"/>
          <w:bCs/>
          <w:color w:val="auto"/>
          <w:szCs w:val="21"/>
          <w:highlight w:val="none"/>
          <w:u w:val="single"/>
        </w:rPr>
        <w:t xml:space="preserve">（5）自然灾害； </w:t>
      </w:r>
    </w:p>
    <w:p>
      <w:pPr>
        <w:spacing w:before="156" w:beforeLines="50" w:after="156" w:afterLines="50" w:line="400" w:lineRule="exact"/>
        <w:ind w:firstLine="420" w:firstLineChars="200"/>
        <w:rPr>
          <w:rFonts w:ascii="宋体" w:hAnsi="宋体"/>
          <w:bCs/>
          <w:color w:val="auto"/>
          <w:szCs w:val="21"/>
          <w:highlight w:val="none"/>
          <w:u w:val="single"/>
        </w:rPr>
      </w:pPr>
      <w:r>
        <w:rPr>
          <w:rFonts w:ascii="宋体" w:hAnsi="宋体"/>
          <w:bCs/>
          <w:color w:val="auto"/>
          <w:szCs w:val="21"/>
          <w:highlight w:val="none"/>
          <w:u w:val="single"/>
        </w:rPr>
        <w:t xml:space="preserve">（6）传染病爆发、火灾、空中飞行物坠落等其他非发包人承包人责任的事件引发的后果； </w:t>
      </w:r>
    </w:p>
    <w:p>
      <w:pPr>
        <w:spacing w:before="156" w:beforeLines="50" w:after="156" w:afterLines="50" w:line="400" w:lineRule="exact"/>
        <w:ind w:firstLine="420" w:firstLineChars="200"/>
        <w:rPr>
          <w:rFonts w:ascii="宋体" w:hAnsi="宋体"/>
          <w:bCs/>
          <w:color w:val="auto"/>
          <w:szCs w:val="21"/>
          <w:highlight w:val="none"/>
          <w:u w:val="single"/>
        </w:rPr>
      </w:pPr>
      <w:r>
        <w:rPr>
          <w:rFonts w:ascii="宋体" w:hAnsi="宋体"/>
          <w:bCs/>
          <w:color w:val="auto"/>
          <w:szCs w:val="21"/>
          <w:highlight w:val="none"/>
          <w:u w:val="single"/>
        </w:rPr>
        <w:t xml:space="preserve">（7）政府行为； </w:t>
      </w:r>
    </w:p>
    <w:p>
      <w:pPr>
        <w:spacing w:before="156" w:beforeLines="50" w:after="156" w:afterLines="50" w:line="400" w:lineRule="exact"/>
        <w:ind w:firstLine="420" w:firstLineChars="200"/>
        <w:rPr>
          <w:rFonts w:ascii="宋体" w:hAnsi="宋体"/>
          <w:bCs/>
          <w:color w:val="auto"/>
          <w:szCs w:val="21"/>
          <w:highlight w:val="none"/>
          <w:u w:val="single"/>
        </w:rPr>
      </w:pPr>
      <w:r>
        <w:rPr>
          <w:rFonts w:ascii="宋体" w:hAnsi="宋体"/>
          <w:bCs/>
          <w:color w:val="auto"/>
          <w:szCs w:val="21"/>
          <w:highlight w:val="none"/>
          <w:u w:val="single"/>
        </w:rPr>
        <w:t xml:space="preserve">（8）社会异常事件； </w:t>
      </w:r>
    </w:p>
    <w:p>
      <w:pPr>
        <w:spacing w:before="156" w:beforeLines="50" w:after="156" w:afterLines="50" w:line="400" w:lineRule="exact"/>
        <w:ind w:firstLine="420" w:firstLineChars="200"/>
        <w:rPr>
          <w:rFonts w:ascii="宋体" w:hAnsi="宋体"/>
          <w:bCs/>
          <w:color w:val="auto"/>
          <w:szCs w:val="21"/>
          <w:highlight w:val="none"/>
          <w:u w:val="single"/>
        </w:rPr>
      </w:pPr>
      <w:r>
        <w:rPr>
          <w:rFonts w:ascii="宋体" w:hAnsi="宋体"/>
          <w:bCs/>
          <w:color w:val="auto"/>
          <w:szCs w:val="21"/>
          <w:highlight w:val="none"/>
          <w:u w:val="single"/>
        </w:rPr>
        <w:t xml:space="preserve">（9）禁运、禁止令或其他政府的限制行动； </w:t>
      </w:r>
    </w:p>
    <w:p>
      <w:pPr>
        <w:spacing w:before="156" w:beforeLines="50" w:after="156" w:afterLines="50" w:line="400" w:lineRule="exact"/>
        <w:ind w:firstLine="420" w:firstLineChars="200"/>
        <w:rPr>
          <w:rFonts w:ascii="宋体" w:hAnsi="宋体"/>
          <w:bCs/>
          <w:color w:val="auto"/>
          <w:szCs w:val="21"/>
          <w:highlight w:val="none"/>
          <w:u w:val="single"/>
        </w:rPr>
      </w:pPr>
      <w:r>
        <w:rPr>
          <w:rFonts w:ascii="宋体" w:hAnsi="宋体"/>
          <w:bCs/>
          <w:color w:val="auto"/>
          <w:szCs w:val="21"/>
          <w:highlight w:val="none"/>
          <w:u w:val="single"/>
        </w:rPr>
        <w:t xml:space="preserve">（10）国家法律法规变化。 </w:t>
      </w:r>
    </w:p>
    <w:p>
      <w:pPr>
        <w:spacing w:before="156" w:beforeLines="50" w:after="156" w:afterLines="50" w:line="400" w:lineRule="exact"/>
        <w:ind w:firstLine="420" w:firstLineChars="200"/>
        <w:rPr>
          <w:rFonts w:ascii="宋体" w:hAnsi="宋体"/>
          <w:bCs/>
          <w:color w:val="auto"/>
          <w:szCs w:val="21"/>
          <w:highlight w:val="none"/>
          <w:u w:val="single"/>
        </w:rPr>
      </w:pPr>
      <w:r>
        <w:rPr>
          <w:rFonts w:ascii="宋体" w:hAnsi="宋体"/>
          <w:bCs/>
          <w:color w:val="auto"/>
          <w:szCs w:val="21"/>
          <w:highlight w:val="none"/>
          <w:u w:val="single"/>
        </w:rPr>
        <w:t xml:space="preserve">（11）发生不可抗力情况时，发包人已提前通知承包人，承包人在有能力采取有效措施的情况不采取有效措施而造成的损失由承包人承担。 </w:t>
      </w:r>
    </w:p>
    <w:p>
      <w:pPr>
        <w:spacing w:before="156" w:beforeLines="50" w:after="156" w:afterLines="50" w:line="400" w:lineRule="exact"/>
        <w:ind w:firstLine="420" w:firstLineChars="200"/>
        <w:rPr>
          <w:rFonts w:ascii="宋体" w:hAnsi="宋体"/>
          <w:bCs/>
          <w:color w:val="auto"/>
          <w:szCs w:val="21"/>
          <w:highlight w:val="none"/>
          <w:u w:val="single"/>
        </w:rPr>
      </w:pPr>
      <w:r>
        <w:rPr>
          <w:rFonts w:ascii="宋体" w:hAnsi="宋体"/>
          <w:bCs/>
          <w:color w:val="auto"/>
          <w:szCs w:val="21"/>
          <w:highlight w:val="none"/>
        </w:rPr>
        <w:t>1.1.52 双方根据本合同工程的特点，补充约定的其它定义：</w:t>
      </w:r>
      <w:r>
        <w:rPr>
          <w:rFonts w:ascii="宋体" w:hAnsi="宋体"/>
          <w:bCs/>
          <w:color w:val="auto"/>
          <w:szCs w:val="21"/>
          <w:highlight w:val="none"/>
          <w:u w:val="single"/>
        </w:rPr>
        <w:t>承包人在约定范围内完成详细设计</w:t>
      </w:r>
      <w:r>
        <w:rPr>
          <w:rFonts w:hint="eastAsia" w:ascii="宋体" w:hAnsi="宋体"/>
          <w:bCs/>
          <w:color w:val="auto"/>
          <w:szCs w:val="21"/>
          <w:highlight w:val="none"/>
          <w:u w:val="single"/>
          <w:lang w:eastAsia="zh-CN"/>
        </w:rPr>
        <w:t>、</w:t>
      </w:r>
      <w:r>
        <w:rPr>
          <w:rFonts w:ascii="宋体" w:hAnsi="宋体"/>
          <w:bCs/>
          <w:color w:val="auto"/>
          <w:szCs w:val="21"/>
          <w:highlight w:val="none"/>
          <w:u w:val="single"/>
        </w:rPr>
        <w:t xml:space="preserve">施工，做好工程进度控制，工程质量、安全控制，工程投资（成本）控制。发包人主要负责质量的监管与确认；设计内容的认可；费用的明确与重大变更的签认。 </w:t>
      </w:r>
    </w:p>
    <w:p>
      <w:pPr>
        <w:spacing w:before="156" w:beforeLines="50" w:after="156" w:afterLines="50" w:line="400" w:lineRule="exact"/>
        <w:ind w:firstLine="422" w:firstLineChars="200"/>
        <w:rPr>
          <w:rFonts w:ascii="宋体" w:hAnsi="宋体"/>
          <w:b/>
          <w:color w:val="auto"/>
          <w:szCs w:val="21"/>
          <w:highlight w:val="none"/>
        </w:rPr>
      </w:pPr>
      <w:r>
        <w:rPr>
          <w:rFonts w:ascii="宋体" w:hAnsi="宋体"/>
          <w:b/>
          <w:color w:val="auto"/>
          <w:szCs w:val="21"/>
          <w:highlight w:val="none"/>
        </w:rPr>
        <w:t>1.3  语言文字</w:t>
      </w:r>
    </w:p>
    <w:p>
      <w:pPr>
        <w:spacing w:before="156" w:beforeLines="50" w:after="156" w:afterLines="50" w:line="400" w:lineRule="exact"/>
        <w:ind w:firstLine="420" w:firstLineChars="200"/>
        <w:rPr>
          <w:rFonts w:ascii="宋体" w:hAnsi="宋体"/>
          <w:color w:val="auto"/>
          <w:szCs w:val="21"/>
          <w:highlight w:val="none"/>
        </w:rPr>
      </w:pPr>
      <w:r>
        <w:rPr>
          <w:rFonts w:ascii="宋体" w:hAnsi="宋体"/>
          <w:color w:val="auto"/>
          <w:szCs w:val="21"/>
          <w:highlight w:val="none"/>
        </w:rPr>
        <w:t>本合同除使用汉语外，还使用</w:t>
      </w:r>
      <w:r>
        <w:rPr>
          <w:rFonts w:ascii="宋体" w:hAnsi="宋体"/>
          <w:color w:val="auto"/>
          <w:szCs w:val="21"/>
          <w:highlight w:val="none"/>
          <w:u w:val="single"/>
        </w:rPr>
        <w:t xml:space="preserve">     /     </w:t>
      </w:r>
      <w:r>
        <w:rPr>
          <w:rFonts w:ascii="宋体" w:hAnsi="宋体"/>
          <w:color w:val="auto"/>
          <w:szCs w:val="21"/>
          <w:highlight w:val="none"/>
        </w:rPr>
        <w:t>语言。</w:t>
      </w:r>
    </w:p>
    <w:p>
      <w:pPr>
        <w:spacing w:before="156" w:beforeLines="50" w:after="156" w:afterLines="50" w:line="400" w:lineRule="exact"/>
        <w:ind w:firstLine="422" w:firstLineChars="200"/>
        <w:rPr>
          <w:rFonts w:ascii="宋体" w:hAnsi="宋体"/>
          <w:b/>
          <w:color w:val="auto"/>
          <w:szCs w:val="21"/>
          <w:highlight w:val="none"/>
        </w:rPr>
      </w:pPr>
      <w:r>
        <w:rPr>
          <w:rFonts w:ascii="宋体" w:hAnsi="宋体"/>
          <w:b/>
          <w:color w:val="auto"/>
          <w:szCs w:val="21"/>
          <w:highlight w:val="none"/>
        </w:rPr>
        <w:t>1.4  适用法律</w:t>
      </w:r>
    </w:p>
    <w:p>
      <w:pPr>
        <w:spacing w:before="156" w:beforeLines="50" w:after="156" w:afterLines="50" w:line="400" w:lineRule="exact"/>
        <w:ind w:firstLine="420" w:firstLineChars="200"/>
        <w:rPr>
          <w:rFonts w:ascii="宋体" w:hAnsi="宋体"/>
          <w:color w:val="auto"/>
          <w:szCs w:val="21"/>
          <w:highlight w:val="none"/>
          <w:u w:val="single"/>
        </w:rPr>
      </w:pPr>
      <w:r>
        <w:rPr>
          <w:rFonts w:ascii="宋体" w:hAnsi="宋体"/>
          <w:color w:val="auto"/>
          <w:szCs w:val="21"/>
          <w:highlight w:val="none"/>
        </w:rPr>
        <w:t>合同双方需要明示的法律、行政法规、地方性法规：</w:t>
      </w:r>
      <w:r>
        <w:rPr>
          <w:rFonts w:ascii="宋体" w:hAnsi="宋体"/>
          <w:color w:val="auto"/>
          <w:szCs w:val="21"/>
          <w:highlight w:val="none"/>
          <w:u w:val="single"/>
        </w:rPr>
        <w:t xml:space="preserve"> 《中华人民共和国</w:t>
      </w:r>
      <w:r>
        <w:rPr>
          <w:rFonts w:hint="eastAsia" w:ascii="宋体" w:hAnsi="宋体"/>
          <w:color w:val="auto"/>
          <w:szCs w:val="21"/>
          <w:highlight w:val="none"/>
          <w:u w:val="single"/>
          <w:lang w:val="en-US" w:eastAsia="zh-CN"/>
        </w:rPr>
        <w:t>民法典</w:t>
      </w:r>
      <w:r>
        <w:rPr>
          <w:rFonts w:ascii="宋体" w:hAnsi="宋体"/>
          <w:color w:val="auto"/>
          <w:szCs w:val="21"/>
          <w:highlight w:val="none"/>
          <w:u w:val="single"/>
        </w:rPr>
        <w:t>》、《中华人民共和国建筑法》、《中华人民共和国招标投标法》和《建筑工程质量管理条例》等国家颁布的有关法律、行政法规，建设部（或专业部门）规章及工程所在地的地方性（省、市、县）法规、规章，及后续不时发布且应被适用的法律法规及其它政府文件。</w:t>
      </w:r>
    </w:p>
    <w:p>
      <w:pPr>
        <w:spacing w:before="156" w:beforeLines="50" w:after="156" w:afterLines="50" w:line="400" w:lineRule="exact"/>
        <w:ind w:firstLine="422" w:firstLineChars="200"/>
        <w:rPr>
          <w:rFonts w:ascii="宋体" w:hAnsi="宋体"/>
          <w:b/>
          <w:color w:val="auto"/>
          <w:szCs w:val="21"/>
          <w:highlight w:val="none"/>
        </w:rPr>
      </w:pPr>
      <w:r>
        <w:rPr>
          <w:rFonts w:ascii="宋体" w:hAnsi="宋体"/>
          <w:b/>
          <w:color w:val="auto"/>
          <w:szCs w:val="21"/>
          <w:highlight w:val="none"/>
        </w:rPr>
        <w:t>1.5  标准、规范</w:t>
      </w:r>
    </w:p>
    <w:p>
      <w:pPr>
        <w:spacing w:line="400" w:lineRule="exact"/>
        <w:ind w:firstLine="420" w:firstLineChars="200"/>
        <w:rPr>
          <w:rFonts w:ascii="宋体" w:hAnsi="宋体"/>
          <w:color w:val="auto"/>
          <w:szCs w:val="21"/>
          <w:highlight w:val="none"/>
          <w:u w:val="single"/>
        </w:rPr>
      </w:pPr>
      <w:r>
        <w:rPr>
          <w:rFonts w:ascii="宋体" w:hAnsi="宋体"/>
          <w:color w:val="auto"/>
          <w:szCs w:val="21"/>
          <w:highlight w:val="none"/>
        </w:rPr>
        <w:t>1.5.1 本合同适用的标准、规范（名称）：</w:t>
      </w:r>
      <w:r>
        <w:rPr>
          <w:rFonts w:ascii="宋体" w:hAnsi="宋体"/>
          <w:color w:val="auto"/>
          <w:szCs w:val="21"/>
          <w:highlight w:val="none"/>
          <w:u w:val="single"/>
        </w:rPr>
        <w:t xml:space="preserve">现行国家建筑工程设计规范、施工规范、验收规范、质量检验评定标准等。 </w:t>
      </w:r>
    </w:p>
    <w:p>
      <w:pPr>
        <w:spacing w:line="400" w:lineRule="exact"/>
        <w:ind w:firstLine="420" w:firstLineChars="200"/>
        <w:rPr>
          <w:rFonts w:ascii="宋体" w:hAnsi="宋体"/>
          <w:color w:val="auto"/>
          <w:szCs w:val="21"/>
          <w:highlight w:val="none"/>
        </w:rPr>
      </w:pPr>
      <w:r>
        <w:rPr>
          <w:rFonts w:ascii="宋体" w:hAnsi="宋体"/>
          <w:color w:val="auto"/>
          <w:szCs w:val="21"/>
          <w:highlight w:val="none"/>
        </w:rPr>
        <w:t>1.5.2  发包人提供的国外标准、规范的名称、份数和时间：</w:t>
      </w:r>
      <w:r>
        <w:rPr>
          <w:rFonts w:ascii="宋体" w:hAnsi="宋体"/>
          <w:color w:val="auto"/>
          <w:szCs w:val="21"/>
          <w:highlight w:val="none"/>
          <w:u w:val="single"/>
        </w:rPr>
        <w:t xml:space="preserve">    /         </w:t>
      </w:r>
    </w:p>
    <w:p>
      <w:pPr>
        <w:spacing w:line="400" w:lineRule="exact"/>
        <w:ind w:firstLine="420" w:firstLineChars="200"/>
        <w:rPr>
          <w:rFonts w:ascii="宋体" w:hAnsi="宋体"/>
          <w:color w:val="auto"/>
          <w:szCs w:val="21"/>
          <w:highlight w:val="none"/>
          <w:u w:val="single"/>
        </w:rPr>
      </w:pPr>
      <w:r>
        <w:rPr>
          <w:rFonts w:ascii="宋体" w:hAnsi="宋体"/>
          <w:color w:val="auto"/>
          <w:szCs w:val="21"/>
          <w:highlight w:val="none"/>
        </w:rPr>
        <w:t>1.5.3  没有成文规范、标准规定的约定：</w:t>
      </w:r>
      <w:r>
        <w:rPr>
          <w:rFonts w:ascii="宋体" w:hAnsi="宋体"/>
          <w:color w:val="auto"/>
          <w:szCs w:val="21"/>
          <w:highlight w:val="none"/>
          <w:u w:val="single"/>
        </w:rPr>
        <w:t xml:space="preserve">         /                    </w:t>
      </w:r>
    </w:p>
    <w:p>
      <w:pPr>
        <w:spacing w:line="400" w:lineRule="exact"/>
        <w:ind w:firstLine="420" w:firstLineChars="200"/>
        <w:rPr>
          <w:rFonts w:ascii="宋体" w:hAnsi="宋体"/>
          <w:color w:val="auto"/>
          <w:szCs w:val="21"/>
          <w:highlight w:val="none"/>
        </w:rPr>
      </w:pPr>
      <w:r>
        <w:rPr>
          <w:rFonts w:ascii="宋体" w:hAnsi="宋体"/>
          <w:color w:val="auto"/>
          <w:szCs w:val="21"/>
          <w:highlight w:val="none"/>
        </w:rPr>
        <w:t>发包人的技术要求及提交时间：</w:t>
      </w:r>
      <w:r>
        <w:rPr>
          <w:rFonts w:ascii="宋体" w:hAnsi="宋体"/>
          <w:color w:val="auto"/>
          <w:szCs w:val="21"/>
          <w:highlight w:val="none"/>
          <w:u w:val="single"/>
        </w:rPr>
        <w:t xml:space="preserve">             /                        </w:t>
      </w:r>
    </w:p>
    <w:p>
      <w:pPr>
        <w:spacing w:line="400" w:lineRule="exact"/>
        <w:ind w:firstLine="465"/>
        <w:rPr>
          <w:rFonts w:ascii="宋体" w:hAnsi="宋体"/>
          <w:color w:val="auto"/>
          <w:szCs w:val="21"/>
          <w:highlight w:val="none"/>
          <w:u w:val="single"/>
        </w:rPr>
      </w:pPr>
      <w:r>
        <w:rPr>
          <w:rFonts w:ascii="宋体" w:hAnsi="宋体"/>
          <w:color w:val="auto"/>
          <w:szCs w:val="21"/>
          <w:highlight w:val="none"/>
        </w:rPr>
        <w:t>承包人提交实施方法的时间：</w:t>
      </w:r>
      <w:r>
        <w:rPr>
          <w:rFonts w:ascii="宋体" w:hAnsi="宋体"/>
          <w:color w:val="auto"/>
          <w:szCs w:val="21"/>
          <w:highlight w:val="none"/>
          <w:u w:val="single"/>
        </w:rPr>
        <w:t xml:space="preserve">                /                       </w:t>
      </w:r>
    </w:p>
    <w:p>
      <w:pPr>
        <w:spacing w:before="156" w:beforeLines="50" w:after="156" w:afterLines="50" w:line="400" w:lineRule="exact"/>
        <w:ind w:firstLine="422" w:firstLineChars="200"/>
        <w:rPr>
          <w:rFonts w:ascii="宋体" w:hAnsi="宋体"/>
          <w:b/>
          <w:color w:val="auto"/>
          <w:szCs w:val="21"/>
          <w:highlight w:val="none"/>
        </w:rPr>
      </w:pPr>
      <w:r>
        <w:rPr>
          <w:rFonts w:ascii="宋体" w:hAnsi="宋体"/>
          <w:b/>
          <w:color w:val="auto"/>
          <w:szCs w:val="21"/>
          <w:highlight w:val="none"/>
        </w:rPr>
        <w:t>1.6  保密事项</w:t>
      </w:r>
    </w:p>
    <w:p>
      <w:pPr>
        <w:spacing w:line="400" w:lineRule="exact"/>
        <w:ind w:firstLine="420" w:firstLineChars="200"/>
        <w:rPr>
          <w:rFonts w:ascii="宋体" w:hAnsi="宋体"/>
          <w:color w:val="auto"/>
          <w:szCs w:val="21"/>
          <w:highlight w:val="none"/>
        </w:rPr>
      </w:pPr>
      <w:r>
        <w:rPr>
          <w:rFonts w:ascii="宋体" w:hAnsi="宋体"/>
          <w:color w:val="auto"/>
          <w:szCs w:val="21"/>
          <w:highlight w:val="none"/>
        </w:rPr>
        <w:t>双方签订的商业保密协议（名称）：</w:t>
      </w:r>
      <w:r>
        <w:rPr>
          <w:rFonts w:ascii="宋体" w:hAnsi="宋体"/>
          <w:color w:val="auto"/>
          <w:szCs w:val="21"/>
          <w:highlight w:val="none"/>
          <w:u w:val="single"/>
        </w:rPr>
        <w:t xml:space="preserve">       /         </w:t>
      </w:r>
      <w:r>
        <w:rPr>
          <w:rFonts w:ascii="宋体" w:hAnsi="宋体"/>
          <w:color w:val="auto"/>
          <w:szCs w:val="21"/>
          <w:highlight w:val="none"/>
        </w:rPr>
        <w:t>，作为本合同附件。</w:t>
      </w:r>
    </w:p>
    <w:p>
      <w:pPr>
        <w:spacing w:line="400" w:lineRule="exact"/>
        <w:ind w:firstLine="420" w:firstLineChars="200"/>
        <w:rPr>
          <w:rFonts w:ascii="宋体" w:hAnsi="宋体"/>
          <w:color w:val="auto"/>
          <w:szCs w:val="21"/>
          <w:highlight w:val="none"/>
        </w:rPr>
      </w:pPr>
      <w:r>
        <w:rPr>
          <w:rFonts w:ascii="宋体" w:hAnsi="宋体"/>
          <w:color w:val="auto"/>
          <w:szCs w:val="21"/>
          <w:highlight w:val="none"/>
        </w:rPr>
        <w:t>双方签订的技术保密协议（名称）：</w:t>
      </w:r>
      <w:r>
        <w:rPr>
          <w:rFonts w:ascii="宋体" w:hAnsi="宋体"/>
          <w:color w:val="auto"/>
          <w:szCs w:val="21"/>
          <w:highlight w:val="none"/>
          <w:u w:val="single"/>
        </w:rPr>
        <w:t xml:space="preserve">      /          </w:t>
      </w:r>
      <w:r>
        <w:rPr>
          <w:rFonts w:ascii="宋体" w:hAnsi="宋体"/>
          <w:color w:val="auto"/>
          <w:szCs w:val="21"/>
          <w:highlight w:val="none"/>
        </w:rPr>
        <w:t>，作为本合同附件。</w:t>
      </w:r>
    </w:p>
    <w:p>
      <w:pPr>
        <w:spacing w:before="156" w:beforeLines="50" w:after="156" w:afterLines="50" w:line="400" w:lineRule="exact"/>
        <w:ind w:firstLine="413" w:firstLineChars="196"/>
        <w:rPr>
          <w:rFonts w:ascii="宋体" w:hAnsi="宋体"/>
          <w:b/>
          <w:color w:val="auto"/>
          <w:szCs w:val="21"/>
          <w:highlight w:val="none"/>
        </w:rPr>
      </w:pPr>
      <w:r>
        <w:rPr>
          <w:rFonts w:ascii="宋体" w:hAnsi="宋体"/>
          <w:b/>
          <w:color w:val="auto"/>
          <w:szCs w:val="21"/>
          <w:highlight w:val="none"/>
        </w:rPr>
        <w:t>第2条 发包人</w:t>
      </w:r>
    </w:p>
    <w:p>
      <w:pPr>
        <w:spacing w:before="156" w:beforeLines="50" w:after="156" w:afterLines="50" w:line="400" w:lineRule="exact"/>
        <w:ind w:firstLine="422" w:firstLineChars="200"/>
        <w:rPr>
          <w:rFonts w:ascii="宋体" w:hAnsi="宋体"/>
          <w:b/>
          <w:color w:val="auto"/>
          <w:szCs w:val="21"/>
          <w:highlight w:val="none"/>
        </w:rPr>
      </w:pPr>
      <w:r>
        <w:rPr>
          <w:rFonts w:ascii="宋体" w:hAnsi="宋体"/>
          <w:b/>
          <w:color w:val="auto"/>
          <w:szCs w:val="21"/>
          <w:highlight w:val="none"/>
        </w:rPr>
        <w:t>2.2  发包人代表</w:t>
      </w:r>
    </w:p>
    <w:p>
      <w:pPr>
        <w:spacing w:line="400" w:lineRule="exact"/>
        <w:ind w:firstLine="420" w:firstLineChars="200"/>
        <w:rPr>
          <w:rFonts w:ascii="宋体" w:hAnsi="宋体"/>
          <w:color w:val="auto"/>
          <w:szCs w:val="21"/>
          <w:highlight w:val="none"/>
        </w:rPr>
      </w:pPr>
      <w:r>
        <w:rPr>
          <w:rFonts w:ascii="宋体" w:hAnsi="宋体"/>
          <w:color w:val="auto"/>
          <w:szCs w:val="21"/>
          <w:highlight w:val="none"/>
        </w:rPr>
        <w:t>发包人代表的姓名：</w:t>
      </w:r>
      <w:r>
        <w:rPr>
          <w:rFonts w:ascii="宋体" w:hAnsi="宋体"/>
          <w:color w:val="auto"/>
          <w:szCs w:val="21"/>
          <w:highlight w:val="none"/>
          <w:u w:val="single"/>
        </w:rPr>
        <w:t xml:space="preserve">                        </w:t>
      </w:r>
      <w:r>
        <w:rPr>
          <w:rFonts w:ascii="宋体" w:hAnsi="宋体"/>
          <w:color w:val="auto"/>
          <w:szCs w:val="21"/>
          <w:highlight w:val="none"/>
        </w:rPr>
        <w:t xml:space="preserve">； </w:t>
      </w:r>
    </w:p>
    <w:p>
      <w:pPr>
        <w:spacing w:line="400" w:lineRule="exact"/>
        <w:ind w:firstLine="420" w:firstLineChars="200"/>
        <w:rPr>
          <w:rFonts w:ascii="宋体" w:hAnsi="宋体"/>
          <w:color w:val="auto"/>
          <w:szCs w:val="21"/>
          <w:highlight w:val="none"/>
        </w:rPr>
      </w:pPr>
      <w:r>
        <w:rPr>
          <w:rFonts w:ascii="宋体" w:hAnsi="宋体"/>
          <w:color w:val="auto"/>
          <w:szCs w:val="21"/>
          <w:highlight w:val="none"/>
        </w:rPr>
        <w:t>发包人代表的职务：</w:t>
      </w:r>
      <w:r>
        <w:rPr>
          <w:rFonts w:ascii="宋体" w:hAnsi="宋体"/>
          <w:color w:val="auto"/>
          <w:szCs w:val="21"/>
          <w:highlight w:val="none"/>
          <w:u w:val="single"/>
        </w:rPr>
        <w:t xml:space="preserve">                        </w:t>
      </w:r>
      <w:r>
        <w:rPr>
          <w:rFonts w:ascii="宋体" w:hAnsi="宋体"/>
          <w:color w:val="auto"/>
          <w:szCs w:val="21"/>
          <w:highlight w:val="none"/>
        </w:rPr>
        <w:t>；</w:t>
      </w:r>
    </w:p>
    <w:p>
      <w:pPr>
        <w:spacing w:line="400" w:lineRule="exact"/>
        <w:ind w:firstLine="420" w:firstLineChars="200"/>
        <w:rPr>
          <w:rFonts w:ascii="宋体" w:hAnsi="宋体"/>
          <w:color w:val="auto"/>
          <w:szCs w:val="21"/>
          <w:highlight w:val="none"/>
          <w:u w:val="single"/>
        </w:rPr>
      </w:pPr>
      <w:r>
        <w:rPr>
          <w:rFonts w:ascii="宋体" w:hAnsi="宋体"/>
          <w:color w:val="auto"/>
          <w:szCs w:val="21"/>
          <w:highlight w:val="none"/>
        </w:rPr>
        <w:t>发包人代表的职责：</w:t>
      </w:r>
      <w:r>
        <w:rPr>
          <w:rFonts w:ascii="宋体" w:hAnsi="宋体"/>
          <w:color w:val="auto"/>
          <w:szCs w:val="21"/>
          <w:highlight w:val="none"/>
          <w:u w:val="single"/>
        </w:rPr>
        <w:t xml:space="preserve"> 代表发包人行使履行本工程合同规定的职权。 </w:t>
      </w:r>
    </w:p>
    <w:p>
      <w:pPr>
        <w:spacing w:before="156" w:beforeLines="50" w:after="156" w:afterLines="50" w:line="400" w:lineRule="exact"/>
        <w:ind w:firstLine="422" w:firstLineChars="200"/>
        <w:rPr>
          <w:rFonts w:ascii="宋体" w:hAnsi="宋体"/>
          <w:b/>
          <w:color w:val="auto"/>
          <w:szCs w:val="21"/>
          <w:highlight w:val="none"/>
        </w:rPr>
      </w:pPr>
      <w:r>
        <w:rPr>
          <w:rFonts w:ascii="宋体" w:hAnsi="宋体"/>
          <w:b/>
          <w:color w:val="auto"/>
          <w:szCs w:val="21"/>
          <w:highlight w:val="none"/>
        </w:rPr>
        <w:t>2.3  监理人</w:t>
      </w:r>
    </w:p>
    <w:p>
      <w:pPr>
        <w:spacing w:line="400" w:lineRule="exact"/>
        <w:ind w:firstLine="420" w:firstLineChars="200"/>
        <w:rPr>
          <w:rFonts w:ascii="宋体" w:hAnsi="宋体"/>
          <w:color w:val="auto"/>
          <w:szCs w:val="21"/>
          <w:highlight w:val="none"/>
        </w:rPr>
      </w:pPr>
      <w:r>
        <w:rPr>
          <w:rFonts w:ascii="宋体" w:hAnsi="宋体"/>
          <w:color w:val="auto"/>
          <w:szCs w:val="21"/>
          <w:highlight w:val="none"/>
        </w:rPr>
        <w:t>2.3.1  监理单位名称</w:t>
      </w:r>
      <w:r>
        <w:rPr>
          <w:rFonts w:ascii="宋体" w:hAnsi="宋体"/>
          <w:color w:val="auto"/>
          <w:szCs w:val="21"/>
          <w:highlight w:val="none"/>
          <w:u w:val="single"/>
        </w:rPr>
        <w:t xml:space="preserve">：                                             </w:t>
      </w:r>
    </w:p>
    <w:p>
      <w:pPr>
        <w:spacing w:line="400" w:lineRule="exact"/>
        <w:ind w:firstLine="420" w:firstLineChars="200"/>
        <w:rPr>
          <w:rFonts w:ascii="宋体" w:hAnsi="宋体"/>
          <w:color w:val="auto"/>
          <w:szCs w:val="21"/>
          <w:highlight w:val="none"/>
        </w:rPr>
      </w:pPr>
      <w:r>
        <w:rPr>
          <w:rFonts w:ascii="宋体" w:hAnsi="宋体"/>
          <w:color w:val="auto"/>
          <w:szCs w:val="21"/>
          <w:highlight w:val="none"/>
        </w:rPr>
        <w:t>工程总监理姓名：</w:t>
      </w:r>
      <w:r>
        <w:rPr>
          <w:rFonts w:ascii="宋体" w:hAnsi="宋体"/>
          <w:color w:val="auto"/>
          <w:szCs w:val="21"/>
          <w:highlight w:val="none"/>
          <w:u w:val="single"/>
        </w:rPr>
        <w:t xml:space="preserve">                                                 </w:t>
      </w:r>
    </w:p>
    <w:p>
      <w:pPr>
        <w:spacing w:line="400" w:lineRule="exact"/>
        <w:ind w:firstLine="420" w:firstLineChars="200"/>
        <w:rPr>
          <w:rFonts w:ascii="宋体" w:hAnsi="宋体"/>
          <w:color w:val="auto"/>
          <w:szCs w:val="21"/>
          <w:highlight w:val="none"/>
        </w:rPr>
      </w:pPr>
      <w:r>
        <w:rPr>
          <w:rFonts w:ascii="宋体" w:hAnsi="宋体"/>
          <w:color w:val="auto"/>
          <w:szCs w:val="21"/>
          <w:highlight w:val="none"/>
        </w:rPr>
        <w:t>监理的范围：</w:t>
      </w:r>
      <w:r>
        <w:rPr>
          <w:rFonts w:hint="eastAsia" w:ascii="宋体" w:hAnsi="宋体"/>
          <w:color w:val="auto"/>
          <w:szCs w:val="21"/>
          <w:highlight w:val="none"/>
          <w:u w:val="single"/>
        </w:rPr>
        <w:t xml:space="preserve"> </w:t>
      </w:r>
      <w:r>
        <w:rPr>
          <w:rFonts w:ascii="宋体" w:hAnsi="宋体"/>
          <w:color w:val="auto"/>
          <w:szCs w:val="21"/>
          <w:highlight w:val="none"/>
          <w:u w:val="single"/>
        </w:rPr>
        <w:t xml:space="preserve">                                              </w:t>
      </w:r>
      <w:r>
        <w:rPr>
          <w:rFonts w:hint="eastAsia" w:ascii="宋体" w:hAnsi="宋体"/>
          <w:color w:val="auto"/>
          <w:szCs w:val="21"/>
          <w:highlight w:val="none"/>
          <w:u w:val="single"/>
        </w:rPr>
        <w:t xml:space="preserve">  </w:t>
      </w:r>
      <w:r>
        <w:rPr>
          <w:rFonts w:ascii="宋体" w:hAnsi="宋体"/>
          <w:color w:val="auto"/>
          <w:szCs w:val="21"/>
          <w:highlight w:val="none"/>
          <w:u w:val="single"/>
        </w:rPr>
        <w:t xml:space="preserve">    </w:t>
      </w:r>
    </w:p>
    <w:p>
      <w:pPr>
        <w:spacing w:line="400" w:lineRule="exact"/>
        <w:ind w:firstLine="420" w:firstLineChars="200"/>
        <w:rPr>
          <w:rFonts w:ascii="宋体" w:hAnsi="宋体"/>
          <w:color w:val="auto"/>
          <w:szCs w:val="21"/>
          <w:highlight w:val="none"/>
          <w:u w:val="single"/>
        </w:rPr>
      </w:pPr>
      <w:r>
        <w:rPr>
          <w:rFonts w:ascii="宋体" w:hAnsi="宋体"/>
          <w:color w:val="auto"/>
          <w:szCs w:val="21"/>
          <w:highlight w:val="none"/>
        </w:rPr>
        <w:t>监理的内容：</w:t>
      </w:r>
      <w:r>
        <w:rPr>
          <w:rFonts w:ascii="宋体" w:hAnsi="宋体"/>
          <w:color w:val="auto"/>
          <w:szCs w:val="21"/>
          <w:highlight w:val="none"/>
          <w:u w:val="single"/>
        </w:rPr>
        <w:t xml:space="preserve"> </w:t>
      </w:r>
      <w:r>
        <w:rPr>
          <w:rFonts w:hint="eastAsia" w:ascii="宋体" w:hAnsi="宋体"/>
          <w:color w:val="auto"/>
          <w:szCs w:val="21"/>
          <w:highlight w:val="none"/>
          <w:u w:val="single"/>
        </w:rPr>
        <w:t xml:space="preserve">                                                    </w:t>
      </w:r>
      <w:r>
        <w:rPr>
          <w:rFonts w:ascii="宋体" w:hAnsi="宋体"/>
          <w:color w:val="auto"/>
          <w:szCs w:val="21"/>
          <w:highlight w:val="none"/>
          <w:u w:val="single"/>
        </w:rPr>
        <w:t xml:space="preserve"> </w:t>
      </w:r>
    </w:p>
    <w:p>
      <w:pPr>
        <w:spacing w:line="400" w:lineRule="exact"/>
        <w:ind w:firstLine="420" w:firstLineChars="200"/>
        <w:rPr>
          <w:rFonts w:ascii="宋体" w:hAnsi="宋体"/>
          <w:color w:val="auto"/>
          <w:szCs w:val="21"/>
          <w:highlight w:val="none"/>
          <w:u w:val="single"/>
        </w:rPr>
      </w:pPr>
      <w:r>
        <w:rPr>
          <w:rFonts w:ascii="宋体" w:hAnsi="宋体"/>
          <w:color w:val="auto"/>
          <w:szCs w:val="21"/>
          <w:highlight w:val="none"/>
        </w:rPr>
        <w:t>监理的权限：</w:t>
      </w:r>
      <w:r>
        <w:rPr>
          <w:rFonts w:ascii="宋体" w:hAnsi="宋体"/>
          <w:color w:val="auto"/>
          <w:szCs w:val="21"/>
          <w:highlight w:val="none"/>
          <w:u w:val="single"/>
        </w:rPr>
        <w:t xml:space="preserve"> 按建设部、浙江省建设厅规定和发包人委托监理合同所授予的监理工程师职权执行。 </w:t>
      </w:r>
    </w:p>
    <w:p>
      <w:pPr>
        <w:spacing w:before="156" w:beforeLines="50" w:after="156" w:afterLines="50" w:line="400" w:lineRule="exact"/>
        <w:ind w:firstLine="422" w:firstLineChars="200"/>
        <w:rPr>
          <w:rFonts w:ascii="宋体" w:hAnsi="宋体"/>
          <w:b/>
          <w:color w:val="auto"/>
          <w:szCs w:val="21"/>
          <w:highlight w:val="none"/>
        </w:rPr>
      </w:pPr>
      <w:r>
        <w:rPr>
          <w:rFonts w:ascii="宋体" w:hAnsi="宋体"/>
          <w:b/>
          <w:color w:val="auto"/>
          <w:szCs w:val="21"/>
          <w:highlight w:val="none"/>
        </w:rPr>
        <w:t>2.5  保安责任</w:t>
      </w:r>
    </w:p>
    <w:p>
      <w:pPr>
        <w:spacing w:line="400" w:lineRule="exact"/>
        <w:ind w:firstLine="420" w:firstLineChars="200"/>
        <w:rPr>
          <w:rFonts w:ascii="宋体" w:hAnsi="宋体"/>
          <w:color w:val="auto"/>
          <w:szCs w:val="21"/>
          <w:highlight w:val="none"/>
        </w:rPr>
      </w:pPr>
      <w:r>
        <w:rPr>
          <w:rFonts w:ascii="宋体" w:hAnsi="宋体"/>
          <w:color w:val="auto"/>
          <w:szCs w:val="21"/>
          <w:highlight w:val="none"/>
        </w:rPr>
        <w:t>2.5.1  现场保安责任的约定</w:t>
      </w:r>
      <w:r>
        <w:rPr>
          <w:rFonts w:hint="eastAsia" w:ascii="宋体" w:hAnsi="宋体"/>
          <w:color w:val="auto"/>
          <w:szCs w:val="21"/>
          <w:highlight w:val="none"/>
        </w:rPr>
        <w:t>：</w:t>
      </w:r>
      <w:r>
        <w:rPr>
          <w:rFonts w:ascii="宋体" w:hAnsi="宋体"/>
          <w:color w:val="auto"/>
          <w:szCs w:val="21"/>
          <w:highlight w:val="none"/>
        </w:rPr>
        <w:t>委托承包人负责保安管理。</w:t>
      </w:r>
    </w:p>
    <w:p>
      <w:pPr>
        <w:spacing w:line="400" w:lineRule="exact"/>
        <w:ind w:firstLine="420" w:firstLineChars="200"/>
        <w:rPr>
          <w:rFonts w:ascii="宋体" w:hAnsi="宋体"/>
          <w:color w:val="auto"/>
          <w:szCs w:val="21"/>
          <w:highlight w:val="none"/>
          <w:u w:val="single"/>
        </w:rPr>
      </w:pPr>
      <w:r>
        <w:rPr>
          <w:rFonts w:ascii="宋体" w:hAnsi="宋体"/>
          <w:color w:val="auto"/>
          <w:szCs w:val="21"/>
          <w:highlight w:val="none"/>
        </w:rPr>
        <w:t>2.5.2  保安区域责任划分及双方相关保安制度、责任制度和报告制度的约定：</w:t>
      </w:r>
      <w:r>
        <w:rPr>
          <w:rFonts w:ascii="宋体" w:hAnsi="宋体"/>
          <w:color w:val="auto"/>
          <w:szCs w:val="21"/>
          <w:highlight w:val="none"/>
          <w:u w:val="single"/>
        </w:rPr>
        <w:t xml:space="preserve"> 承包人承担现场保安工作，并承担所发生的相关费用。开工后编制相关保安制度、责任制度和报告制度。 </w:t>
      </w:r>
    </w:p>
    <w:p>
      <w:pPr>
        <w:spacing w:before="156" w:beforeLines="50" w:after="156" w:afterLines="50" w:line="400" w:lineRule="exact"/>
        <w:ind w:firstLine="422" w:firstLineChars="200"/>
        <w:rPr>
          <w:rFonts w:ascii="宋体" w:hAnsi="宋体"/>
          <w:b/>
          <w:color w:val="auto"/>
          <w:szCs w:val="21"/>
          <w:highlight w:val="none"/>
        </w:rPr>
      </w:pPr>
      <w:r>
        <w:rPr>
          <w:rFonts w:ascii="宋体" w:hAnsi="宋体"/>
          <w:b/>
          <w:color w:val="auto"/>
          <w:szCs w:val="21"/>
          <w:highlight w:val="none"/>
        </w:rPr>
        <w:t>第3条  承包人</w:t>
      </w:r>
    </w:p>
    <w:p>
      <w:pPr>
        <w:spacing w:before="156" w:beforeLines="50" w:after="156" w:afterLines="50" w:line="400" w:lineRule="exact"/>
        <w:ind w:firstLine="422" w:firstLineChars="200"/>
        <w:rPr>
          <w:rFonts w:ascii="宋体" w:hAnsi="宋体"/>
          <w:b/>
          <w:color w:val="auto"/>
          <w:szCs w:val="21"/>
          <w:highlight w:val="none"/>
        </w:rPr>
      </w:pPr>
      <w:r>
        <w:rPr>
          <w:rFonts w:ascii="宋体" w:hAnsi="宋体"/>
          <w:b/>
          <w:color w:val="auto"/>
          <w:szCs w:val="21"/>
          <w:highlight w:val="none"/>
        </w:rPr>
        <w:t>3.1  承包人的</w:t>
      </w:r>
      <w:r>
        <w:rPr>
          <w:rFonts w:hint="eastAsia" w:ascii="宋体" w:hAnsi="宋体"/>
          <w:b/>
          <w:color w:val="auto"/>
          <w:szCs w:val="21"/>
          <w:highlight w:val="none"/>
        </w:rPr>
        <w:t>主要权利和义务</w:t>
      </w:r>
    </w:p>
    <w:p>
      <w:pPr>
        <w:spacing w:before="156" w:beforeLines="50" w:after="156" w:afterLines="50" w:line="400" w:lineRule="exact"/>
        <w:ind w:firstLine="420" w:firstLineChars="200"/>
        <w:rPr>
          <w:rFonts w:ascii="宋体" w:hAnsi="宋体"/>
          <w:color w:val="auto"/>
          <w:szCs w:val="21"/>
          <w:highlight w:val="none"/>
        </w:rPr>
      </w:pPr>
      <w:r>
        <w:rPr>
          <w:rFonts w:ascii="宋体" w:hAnsi="宋体"/>
          <w:color w:val="auto"/>
          <w:szCs w:val="21"/>
          <w:highlight w:val="none"/>
        </w:rPr>
        <w:t>3.1.3  经合同双方商定，承包人应提交的报表类别、名称、要求、报告期、提交的时间和份数：</w:t>
      </w:r>
      <w:r>
        <w:rPr>
          <w:rFonts w:ascii="宋体" w:hAnsi="宋体"/>
          <w:color w:val="auto"/>
          <w:szCs w:val="21"/>
          <w:highlight w:val="none"/>
          <w:u w:val="single"/>
        </w:rPr>
        <w:t>（1）合同签订一周后，承包人提供项目管理规划、项目资金使用计划；（2）每月 25 日前提供当月完成工程量和工作价款表、安全施工措施费清单及价款、施工质量情况、原材料质量及检查情况、现场签证及设计变更情况。（</w:t>
      </w:r>
      <w:r>
        <w:rPr>
          <w:rFonts w:hint="eastAsia" w:ascii="宋体" w:hAnsi="宋体"/>
          <w:color w:val="auto"/>
          <w:szCs w:val="21"/>
          <w:highlight w:val="none"/>
          <w:u w:val="single"/>
        </w:rPr>
        <w:t>3</w:t>
      </w:r>
      <w:r>
        <w:rPr>
          <w:rFonts w:ascii="宋体" w:hAnsi="宋体"/>
          <w:color w:val="auto"/>
          <w:szCs w:val="21"/>
          <w:highlight w:val="none"/>
          <w:u w:val="single"/>
        </w:rPr>
        <w:t>）每周周报应包括上周计划完成情况、上周实际完成情况、下周计划情况，现场工料机投入，需要协调解决的问题等。以上报表报监理审核，监理审核后报发包人。（</w:t>
      </w:r>
      <w:r>
        <w:rPr>
          <w:rFonts w:hint="eastAsia" w:ascii="宋体" w:hAnsi="宋体"/>
          <w:color w:val="auto"/>
          <w:szCs w:val="21"/>
          <w:highlight w:val="none"/>
          <w:u w:val="single"/>
        </w:rPr>
        <w:t>4</w:t>
      </w:r>
      <w:r>
        <w:rPr>
          <w:rFonts w:ascii="宋体" w:hAnsi="宋体"/>
          <w:color w:val="auto"/>
          <w:szCs w:val="21"/>
          <w:highlight w:val="none"/>
          <w:u w:val="single"/>
        </w:rPr>
        <w:t xml:space="preserve">）设备材料进场时，提交“供应材料设备一览表”，需包含材料设备名称、规格型号、品牌、计量单位、数量、单价、供应时间、送达地点，并附送产品合格证复印件。 </w:t>
      </w:r>
    </w:p>
    <w:p>
      <w:pPr>
        <w:spacing w:before="156" w:beforeLines="50" w:after="156" w:afterLines="50" w:line="400" w:lineRule="exact"/>
        <w:ind w:firstLine="422" w:firstLineChars="200"/>
        <w:rPr>
          <w:rFonts w:hint="eastAsia" w:ascii="宋体" w:hAnsi="宋体"/>
          <w:b/>
          <w:color w:val="auto"/>
          <w:szCs w:val="21"/>
          <w:highlight w:val="none"/>
        </w:rPr>
      </w:pPr>
      <w:r>
        <w:rPr>
          <w:rFonts w:ascii="宋体" w:hAnsi="宋体"/>
          <w:b/>
          <w:color w:val="auto"/>
          <w:szCs w:val="21"/>
          <w:highlight w:val="none"/>
        </w:rPr>
        <w:t xml:space="preserve">3.2  </w:t>
      </w:r>
      <w:r>
        <w:rPr>
          <w:rFonts w:hint="eastAsia" w:ascii="宋体" w:hAnsi="宋体"/>
          <w:b/>
          <w:color w:val="auto"/>
          <w:szCs w:val="21"/>
          <w:highlight w:val="none"/>
        </w:rPr>
        <w:t>项目经理</w:t>
      </w:r>
    </w:p>
    <w:p>
      <w:pPr>
        <w:spacing w:line="400" w:lineRule="exact"/>
        <w:ind w:firstLine="420" w:firstLineChars="200"/>
        <w:rPr>
          <w:rFonts w:ascii="宋体" w:hAnsi="宋体"/>
          <w:color w:val="auto"/>
          <w:szCs w:val="21"/>
          <w:highlight w:val="none"/>
          <w:u w:val="single"/>
        </w:rPr>
      </w:pPr>
      <w:r>
        <w:rPr>
          <w:rFonts w:ascii="宋体" w:hAnsi="宋体"/>
          <w:color w:val="auto"/>
          <w:szCs w:val="21"/>
          <w:highlight w:val="none"/>
        </w:rPr>
        <w:t xml:space="preserve">3.2.1  </w:t>
      </w:r>
      <w:r>
        <w:rPr>
          <w:rFonts w:hint="eastAsia" w:ascii="宋体" w:hAnsi="宋体"/>
          <w:color w:val="auto"/>
          <w:szCs w:val="21"/>
          <w:highlight w:val="none"/>
        </w:rPr>
        <w:t>项目经理</w:t>
      </w:r>
      <w:r>
        <w:rPr>
          <w:rFonts w:ascii="宋体" w:hAnsi="宋体"/>
          <w:color w:val="auto"/>
          <w:szCs w:val="21"/>
          <w:highlight w:val="none"/>
        </w:rPr>
        <w:t>姓名：</w:t>
      </w:r>
      <w:r>
        <w:rPr>
          <w:rFonts w:ascii="宋体" w:hAnsi="宋体"/>
          <w:color w:val="auto"/>
          <w:szCs w:val="21"/>
          <w:highlight w:val="none"/>
          <w:u w:val="single"/>
        </w:rPr>
        <w:t xml:space="preserve">                       </w:t>
      </w:r>
    </w:p>
    <w:p>
      <w:pPr>
        <w:spacing w:line="400" w:lineRule="exact"/>
        <w:ind w:firstLine="420" w:firstLineChars="200"/>
        <w:rPr>
          <w:rFonts w:ascii="宋体" w:hAnsi="宋体"/>
          <w:color w:val="auto"/>
          <w:szCs w:val="21"/>
          <w:highlight w:val="none"/>
          <w:u w:val="single"/>
        </w:rPr>
      </w:pPr>
      <w:r>
        <w:rPr>
          <w:rFonts w:hint="eastAsia" w:ascii="宋体" w:hAnsi="宋体"/>
          <w:color w:val="auto"/>
          <w:szCs w:val="21"/>
          <w:highlight w:val="none"/>
        </w:rPr>
        <w:t>项目经理</w:t>
      </w:r>
      <w:r>
        <w:rPr>
          <w:rFonts w:ascii="宋体" w:hAnsi="宋体"/>
          <w:color w:val="auto"/>
          <w:szCs w:val="21"/>
          <w:highlight w:val="none"/>
        </w:rPr>
        <w:t>职责：</w:t>
      </w:r>
      <w:r>
        <w:rPr>
          <w:rFonts w:ascii="宋体" w:hAnsi="宋体"/>
          <w:color w:val="auto"/>
          <w:szCs w:val="21"/>
          <w:highlight w:val="none"/>
          <w:u w:val="single"/>
        </w:rPr>
        <w:t xml:space="preserve"> 1、建立本项目的项目组织 2、制定项目计划 3、拥有本项目的决策权 4、组织计划实施 5、协调内外部的关系 6、建立项目控制系统、实施项目的控制 7、负责项目合同管理 8、审查和受理各种报告 9、组织验收、考核、结算 10、组织项目售后服务及项目总结工作。 </w:t>
      </w:r>
    </w:p>
    <w:p>
      <w:pPr>
        <w:spacing w:line="400" w:lineRule="exact"/>
        <w:ind w:firstLine="420" w:firstLineChars="200"/>
        <w:rPr>
          <w:rFonts w:ascii="宋体" w:hAnsi="宋体"/>
          <w:color w:val="auto"/>
          <w:szCs w:val="21"/>
          <w:highlight w:val="none"/>
          <w:u w:val="single"/>
        </w:rPr>
      </w:pPr>
      <w:r>
        <w:rPr>
          <w:rFonts w:hint="eastAsia" w:ascii="宋体" w:hAnsi="宋体"/>
          <w:color w:val="auto"/>
          <w:szCs w:val="21"/>
          <w:highlight w:val="none"/>
        </w:rPr>
        <w:t>项目经理</w:t>
      </w:r>
      <w:r>
        <w:rPr>
          <w:rFonts w:ascii="宋体" w:hAnsi="宋体"/>
          <w:color w:val="auto"/>
          <w:szCs w:val="21"/>
          <w:highlight w:val="none"/>
        </w:rPr>
        <w:t>权限：</w:t>
      </w:r>
      <w:r>
        <w:rPr>
          <w:rFonts w:ascii="宋体" w:hAnsi="宋体"/>
          <w:color w:val="auto"/>
          <w:szCs w:val="21"/>
          <w:highlight w:val="none"/>
          <w:u w:val="single"/>
        </w:rPr>
        <w:t xml:space="preserve"> 代表承包人承担本项目工程总承包的各项权利、义务和责任。 </w:t>
      </w:r>
    </w:p>
    <w:p>
      <w:pPr>
        <w:spacing w:line="400" w:lineRule="exact"/>
        <w:ind w:firstLine="420" w:firstLineChars="200"/>
        <w:rPr>
          <w:rFonts w:ascii="宋体" w:hAnsi="宋体"/>
          <w:color w:val="auto"/>
          <w:szCs w:val="21"/>
          <w:highlight w:val="none"/>
          <w:u w:val="single"/>
        </w:rPr>
      </w:pPr>
      <w:r>
        <w:rPr>
          <w:rFonts w:hint="eastAsia" w:ascii="宋体" w:hAnsi="宋体"/>
          <w:color w:val="auto"/>
          <w:szCs w:val="21"/>
          <w:highlight w:val="none"/>
          <w:u w:val="single"/>
        </w:rPr>
        <w:t>项目经理</w:t>
      </w:r>
      <w:r>
        <w:rPr>
          <w:rFonts w:ascii="宋体" w:hAnsi="宋体"/>
          <w:color w:val="auto"/>
          <w:szCs w:val="21"/>
          <w:highlight w:val="none"/>
          <w:u w:val="single"/>
        </w:rPr>
        <w:t>每月在现场时间不得少于2</w:t>
      </w:r>
      <w:r>
        <w:rPr>
          <w:rFonts w:hint="eastAsia" w:ascii="宋体" w:hAnsi="宋体"/>
          <w:color w:val="auto"/>
          <w:szCs w:val="21"/>
          <w:highlight w:val="none"/>
          <w:u w:val="single"/>
        </w:rPr>
        <w:t>6</w:t>
      </w:r>
      <w:r>
        <w:rPr>
          <w:rFonts w:ascii="宋体" w:hAnsi="宋体"/>
          <w:color w:val="auto"/>
          <w:szCs w:val="21"/>
          <w:highlight w:val="none"/>
          <w:u w:val="single"/>
        </w:rPr>
        <w:t>日。</w:t>
      </w:r>
    </w:p>
    <w:p>
      <w:pPr>
        <w:spacing w:line="400" w:lineRule="exact"/>
        <w:ind w:firstLine="420" w:firstLineChars="200"/>
        <w:rPr>
          <w:rFonts w:ascii="宋体" w:hAnsi="宋体"/>
          <w:color w:val="auto"/>
          <w:szCs w:val="21"/>
          <w:highlight w:val="none"/>
          <w:u w:val="single"/>
        </w:rPr>
      </w:pPr>
      <w:r>
        <w:rPr>
          <w:rFonts w:ascii="宋体" w:hAnsi="宋体"/>
          <w:color w:val="auto"/>
          <w:szCs w:val="21"/>
          <w:highlight w:val="none"/>
        </w:rPr>
        <w:t>因擅自更换</w:t>
      </w:r>
      <w:r>
        <w:rPr>
          <w:rFonts w:hint="eastAsia" w:ascii="宋体" w:hAnsi="宋体"/>
          <w:color w:val="auto"/>
          <w:szCs w:val="21"/>
          <w:highlight w:val="none"/>
        </w:rPr>
        <w:t>项目经理</w:t>
      </w:r>
      <w:r>
        <w:rPr>
          <w:rFonts w:ascii="宋体" w:hAnsi="宋体"/>
          <w:color w:val="auto"/>
          <w:szCs w:val="21"/>
          <w:highlight w:val="none"/>
        </w:rPr>
        <w:t>或</w:t>
      </w:r>
      <w:r>
        <w:rPr>
          <w:rFonts w:hint="eastAsia" w:ascii="宋体" w:hAnsi="宋体"/>
          <w:color w:val="auto"/>
          <w:szCs w:val="21"/>
          <w:highlight w:val="none"/>
        </w:rPr>
        <w:t>项目经理</w:t>
      </w:r>
      <w:r>
        <w:rPr>
          <w:rFonts w:ascii="宋体" w:hAnsi="宋体"/>
          <w:color w:val="auto"/>
          <w:szCs w:val="21"/>
          <w:highlight w:val="none"/>
        </w:rPr>
        <w:t>兼职其它</w:t>
      </w:r>
      <w:r>
        <w:rPr>
          <w:rFonts w:hint="eastAsia" w:ascii="宋体" w:hAnsi="宋体"/>
          <w:color w:val="auto"/>
          <w:szCs w:val="21"/>
          <w:highlight w:val="none"/>
        </w:rPr>
        <w:t>项目经理</w:t>
      </w:r>
      <w:r>
        <w:rPr>
          <w:rFonts w:ascii="宋体" w:hAnsi="宋体"/>
          <w:color w:val="auto"/>
          <w:szCs w:val="21"/>
          <w:highlight w:val="none"/>
        </w:rPr>
        <w:t>的违约约定：</w:t>
      </w:r>
      <w:r>
        <w:rPr>
          <w:rFonts w:ascii="宋体" w:hAnsi="宋体"/>
          <w:color w:val="auto"/>
          <w:szCs w:val="21"/>
          <w:highlight w:val="none"/>
          <w:u w:val="single"/>
        </w:rPr>
        <w:t xml:space="preserve">  </w:t>
      </w:r>
      <w:r>
        <w:rPr>
          <w:rFonts w:hint="eastAsia" w:ascii="宋体" w:hAnsi="宋体"/>
          <w:color w:val="auto"/>
          <w:szCs w:val="21"/>
          <w:highlight w:val="none"/>
          <w:u w:val="single"/>
        </w:rPr>
        <w:t>项目经理</w:t>
      </w:r>
      <w:r>
        <w:rPr>
          <w:rFonts w:ascii="宋体" w:hAnsi="宋体"/>
          <w:color w:val="auto"/>
          <w:szCs w:val="21"/>
          <w:highlight w:val="none"/>
          <w:u w:val="single"/>
        </w:rPr>
        <w:t>原则不能更换，如有特殊情况，</w:t>
      </w:r>
      <w:r>
        <w:rPr>
          <w:rFonts w:hint="eastAsia" w:ascii="宋体" w:hAnsi="宋体"/>
          <w:color w:val="auto"/>
          <w:szCs w:val="21"/>
          <w:highlight w:val="none"/>
          <w:u w:val="single"/>
        </w:rPr>
        <w:t>项目经理</w:t>
      </w:r>
      <w:r>
        <w:rPr>
          <w:rFonts w:ascii="宋体" w:hAnsi="宋体"/>
          <w:color w:val="auto"/>
          <w:szCs w:val="21"/>
          <w:highlight w:val="none"/>
          <w:u w:val="single"/>
        </w:rPr>
        <w:t>更换须征得发包人同意，更换后</w:t>
      </w:r>
      <w:r>
        <w:rPr>
          <w:rFonts w:hint="eastAsia" w:ascii="宋体" w:hAnsi="宋体"/>
          <w:color w:val="auto"/>
          <w:szCs w:val="21"/>
          <w:highlight w:val="none"/>
          <w:u w:val="single"/>
        </w:rPr>
        <w:t>项目经理</w:t>
      </w:r>
      <w:r>
        <w:rPr>
          <w:rFonts w:ascii="宋体" w:hAnsi="宋体"/>
          <w:color w:val="auto"/>
          <w:szCs w:val="21"/>
          <w:highlight w:val="none"/>
          <w:u w:val="single"/>
        </w:rPr>
        <w:t>不得低于原</w:t>
      </w:r>
      <w:r>
        <w:rPr>
          <w:rFonts w:hint="eastAsia" w:ascii="宋体" w:hAnsi="宋体"/>
          <w:color w:val="auto"/>
          <w:szCs w:val="21"/>
          <w:highlight w:val="none"/>
          <w:u w:val="single"/>
        </w:rPr>
        <w:t>项目经理</w:t>
      </w:r>
      <w:r>
        <w:rPr>
          <w:rFonts w:ascii="宋体" w:hAnsi="宋体"/>
          <w:color w:val="auto"/>
          <w:szCs w:val="21"/>
          <w:highlight w:val="none"/>
          <w:u w:val="single"/>
        </w:rPr>
        <w:t>注册执业资格、管理经验。承包人擅自更换</w:t>
      </w:r>
      <w:r>
        <w:rPr>
          <w:rFonts w:hint="eastAsia" w:ascii="宋体" w:hAnsi="宋体"/>
          <w:color w:val="auto"/>
          <w:szCs w:val="21"/>
          <w:highlight w:val="none"/>
          <w:u w:val="single"/>
        </w:rPr>
        <w:t>项目经理</w:t>
      </w:r>
      <w:r>
        <w:rPr>
          <w:rFonts w:ascii="宋体" w:hAnsi="宋体"/>
          <w:color w:val="auto"/>
          <w:szCs w:val="21"/>
          <w:highlight w:val="none"/>
          <w:u w:val="single"/>
        </w:rPr>
        <w:t>或</w:t>
      </w:r>
      <w:r>
        <w:rPr>
          <w:rFonts w:hint="eastAsia" w:ascii="宋体" w:hAnsi="宋体"/>
          <w:color w:val="auto"/>
          <w:szCs w:val="21"/>
          <w:highlight w:val="none"/>
          <w:u w:val="single"/>
        </w:rPr>
        <w:t>项目经理</w:t>
      </w:r>
      <w:r>
        <w:rPr>
          <w:rFonts w:ascii="宋体" w:hAnsi="宋体"/>
          <w:color w:val="auto"/>
          <w:szCs w:val="21"/>
          <w:highlight w:val="none"/>
          <w:u w:val="single"/>
        </w:rPr>
        <w:t>兼职其他</w:t>
      </w:r>
      <w:r>
        <w:rPr>
          <w:rFonts w:hint="eastAsia" w:ascii="宋体" w:hAnsi="宋体"/>
          <w:color w:val="auto"/>
          <w:szCs w:val="21"/>
          <w:highlight w:val="none"/>
          <w:u w:val="single"/>
        </w:rPr>
        <w:t>项目经理</w:t>
      </w:r>
      <w:r>
        <w:rPr>
          <w:rFonts w:ascii="宋体" w:hAnsi="宋体"/>
          <w:color w:val="auto"/>
          <w:szCs w:val="21"/>
          <w:highlight w:val="none"/>
          <w:u w:val="single"/>
        </w:rPr>
        <w:t xml:space="preserve">的将被视为承包人违约，并按照 10000 元/人·次付给发包人违约金。 </w:t>
      </w:r>
    </w:p>
    <w:p>
      <w:pPr>
        <w:spacing w:line="400" w:lineRule="exact"/>
        <w:ind w:firstLine="420" w:firstLineChars="200"/>
        <w:rPr>
          <w:rFonts w:ascii="宋体" w:hAnsi="宋体"/>
          <w:color w:val="auto"/>
          <w:szCs w:val="21"/>
          <w:highlight w:val="none"/>
          <w:u w:val="single"/>
        </w:rPr>
      </w:pPr>
      <w:r>
        <w:rPr>
          <w:rFonts w:hint="eastAsia" w:ascii="宋体" w:hAnsi="宋体"/>
          <w:color w:val="auto"/>
          <w:szCs w:val="21"/>
          <w:highlight w:val="none"/>
          <w:u w:val="single"/>
        </w:rPr>
        <w:t>项目经理</w:t>
      </w:r>
      <w:r>
        <w:rPr>
          <w:rFonts w:ascii="宋体" w:hAnsi="宋体"/>
          <w:color w:val="auto"/>
          <w:szCs w:val="21"/>
          <w:highlight w:val="none"/>
          <w:u w:val="single"/>
        </w:rPr>
        <w:t>每月在现场时间未达到合同约定天数的，每少一天应向发包人支付违约金</w:t>
      </w:r>
      <w:r>
        <w:rPr>
          <w:rFonts w:hint="eastAsia" w:ascii="宋体" w:hAnsi="宋体"/>
          <w:color w:val="auto"/>
          <w:szCs w:val="21"/>
          <w:highlight w:val="none"/>
          <w:u w:val="single"/>
        </w:rPr>
        <w:t>10</w:t>
      </w:r>
      <w:r>
        <w:rPr>
          <w:rFonts w:ascii="宋体" w:hAnsi="宋体"/>
          <w:color w:val="auto"/>
          <w:szCs w:val="21"/>
          <w:highlight w:val="none"/>
          <w:u w:val="single"/>
        </w:rPr>
        <w:t xml:space="preserve">00元，在工程总工期中累计出勤率低于60%的，扣除履约保证金的15%。 </w:t>
      </w:r>
    </w:p>
    <w:p>
      <w:pPr>
        <w:spacing w:before="156" w:beforeLines="50" w:after="156" w:afterLines="50" w:line="400" w:lineRule="exact"/>
        <w:ind w:firstLine="422" w:firstLineChars="200"/>
        <w:rPr>
          <w:rFonts w:ascii="宋体" w:hAnsi="宋体"/>
          <w:b/>
          <w:color w:val="auto"/>
          <w:szCs w:val="21"/>
          <w:highlight w:val="none"/>
        </w:rPr>
      </w:pPr>
      <w:r>
        <w:rPr>
          <w:rFonts w:ascii="宋体" w:hAnsi="宋体"/>
          <w:b/>
          <w:color w:val="auto"/>
          <w:szCs w:val="21"/>
          <w:highlight w:val="none"/>
        </w:rPr>
        <w:t>3.8  分包</w:t>
      </w:r>
    </w:p>
    <w:p>
      <w:pPr>
        <w:spacing w:line="400" w:lineRule="exact"/>
        <w:ind w:firstLine="420" w:firstLineChars="200"/>
        <w:rPr>
          <w:rFonts w:ascii="宋体" w:hAnsi="宋体"/>
          <w:color w:val="auto"/>
          <w:szCs w:val="21"/>
          <w:highlight w:val="none"/>
        </w:rPr>
      </w:pPr>
      <w:r>
        <w:rPr>
          <w:rFonts w:ascii="宋体" w:hAnsi="宋体"/>
          <w:color w:val="auto"/>
          <w:szCs w:val="21"/>
          <w:highlight w:val="none"/>
        </w:rPr>
        <w:t>3.3.1  分包约定</w:t>
      </w:r>
    </w:p>
    <w:p>
      <w:pPr>
        <w:spacing w:line="360" w:lineRule="auto"/>
        <w:ind w:firstLine="420" w:firstLineChars="200"/>
        <w:rPr>
          <w:rFonts w:hint="eastAsia" w:ascii="宋体" w:hAnsi="宋体"/>
          <w:color w:val="auto"/>
          <w:szCs w:val="21"/>
          <w:highlight w:val="none"/>
          <w:u w:val="single"/>
        </w:rPr>
      </w:pPr>
      <w:r>
        <w:rPr>
          <w:rFonts w:ascii="宋体" w:hAnsi="宋体"/>
          <w:color w:val="auto"/>
          <w:szCs w:val="21"/>
          <w:highlight w:val="none"/>
        </w:rPr>
        <w:t>约定的分包工作事项：</w:t>
      </w:r>
      <w:r>
        <w:rPr>
          <w:rFonts w:ascii="宋体" w:hAnsi="宋体"/>
          <w:color w:val="auto"/>
          <w:szCs w:val="21"/>
          <w:highlight w:val="none"/>
          <w:u w:val="single"/>
        </w:rPr>
        <w:t xml:space="preserve"> </w:t>
      </w:r>
      <w:r>
        <w:rPr>
          <w:rFonts w:hint="eastAsia" w:ascii="宋体" w:hAnsi="宋体"/>
          <w:color w:val="auto"/>
          <w:szCs w:val="21"/>
          <w:highlight w:val="none"/>
          <w:u w:val="single"/>
        </w:rPr>
        <w:t>不允许。</w:t>
      </w:r>
    </w:p>
    <w:p>
      <w:pPr>
        <w:spacing w:line="360" w:lineRule="auto"/>
        <w:rPr>
          <w:rFonts w:hint="eastAsia" w:ascii="宋体" w:hAnsi="宋体"/>
          <w:color w:val="auto"/>
          <w:szCs w:val="21"/>
          <w:highlight w:val="none"/>
          <w:u w:val="single"/>
        </w:rPr>
      </w:pPr>
      <w:r>
        <w:rPr>
          <w:rFonts w:hint="eastAsia" w:ascii="宋体" w:hAnsi="宋体"/>
          <w:color w:val="auto"/>
          <w:szCs w:val="21"/>
          <w:highlight w:val="none"/>
        </w:rPr>
        <w:t xml:space="preserve">    </w:t>
      </w:r>
      <w:r>
        <w:rPr>
          <w:rFonts w:hint="eastAsia" w:ascii="宋体" w:hAnsi="宋体"/>
          <w:color w:val="auto"/>
          <w:szCs w:val="21"/>
          <w:highlight w:val="none"/>
          <w:u w:val="single"/>
        </w:rPr>
        <w:t>分包商的选择方式：/。</w:t>
      </w:r>
    </w:p>
    <w:p>
      <w:pPr>
        <w:spacing w:line="360" w:lineRule="auto"/>
        <w:rPr>
          <w:rFonts w:ascii="宋体" w:hAnsi="宋体"/>
          <w:color w:val="auto"/>
          <w:szCs w:val="21"/>
          <w:highlight w:val="none"/>
          <w:u w:val="single"/>
        </w:rPr>
      </w:pPr>
      <w:r>
        <w:rPr>
          <w:rFonts w:hint="eastAsia" w:ascii="宋体" w:hAnsi="宋体"/>
          <w:color w:val="auto"/>
          <w:szCs w:val="21"/>
          <w:highlight w:val="none"/>
        </w:rPr>
        <w:t xml:space="preserve">    </w:t>
      </w:r>
      <w:r>
        <w:rPr>
          <w:rFonts w:hint="eastAsia" w:ascii="宋体" w:hAnsi="宋体"/>
          <w:color w:val="auto"/>
          <w:szCs w:val="21"/>
          <w:highlight w:val="none"/>
          <w:u w:val="single"/>
        </w:rPr>
        <w:t>分包商的选择程序：/。</w:t>
      </w:r>
    </w:p>
    <w:p>
      <w:pPr>
        <w:spacing w:before="156" w:beforeLines="50" w:after="156" w:afterLines="50" w:line="400" w:lineRule="exact"/>
        <w:ind w:firstLine="422" w:firstLineChars="200"/>
        <w:rPr>
          <w:rFonts w:ascii="宋体" w:hAnsi="宋体"/>
          <w:b/>
          <w:color w:val="auto"/>
          <w:szCs w:val="21"/>
          <w:highlight w:val="none"/>
        </w:rPr>
      </w:pPr>
      <w:r>
        <w:rPr>
          <w:rFonts w:ascii="宋体" w:hAnsi="宋体"/>
          <w:b/>
          <w:color w:val="auto"/>
          <w:szCs w:val="21"/>
          <w:highlight w:val="none"/>
        </w:rPr>
        <w:t>第4条  进度计划、延误和暂停</w:t>
      </w:r>
    </w:p>
    <w:p>
      <w:pPr>
        <w:spacing w:before="156" w:beforeLines="50" w:after="156" w:afterLines="50" w:line="400" w:lineRule="exact"/>
        <w:ind w:firstLine="422" w:firstLineChars="200"/>
        <w:rPr>
          <w:rFonts w:ascii="宋体" w:hAnsi="宋体"/>
          <w:b/>
          <w:color w:val="auto"/>
          <w:szCs w:val="21"/>
          <w:highlight w:val="none"/>
        </w:rPr>
      </w:pPr>
      <w:r>
        <w:rPr>
          <w:rFonts w:ascii="宋体" w:hAnsi="宋体"/>
          <w:b/>
          <w:color w:val="auto"/>
          <w:szCs w:val="21"/>
          <w:highlight w:val="none"/>
        </w:rPr>
        <w:t>4.1  项目进度计划</w:t>
      </w:r>
    </w:p>
    <w:p>
      <w:pPr>
        <w:spacing w:before="156" w:beforeLines="50" w:after="156" w:afterLines="50" w:line="400" w:lineRule="exact"/>
        <w:ind w:firstLine="420" w:firstLineChars="200"/>
        <w:rPr>
          <w:rFonts w:ascii="宋体" w:hAnsi="宋体"/>
          <w:color w:val="auto"/>
          <w:szCs w:val="21"/>
          <w:highlight w:val="none"/>
          <w:u w:val="single"/>
        </w:rPr>
      </w:pPr>
      <w:r>
        <w:rPr>
          <w:rFonts w:ascii="宋体" w:hAnsi="宋体"/>
          <w:color w:val="auto"/>
          <w:szCs w:val="21"/>
          <w:highlight w:val="none"/>
        </w:rPr>
        <w:t>4.1.1  项目进度计划中的关键路径及关键路径变化的确定原则：</w:t>
      </w:r>
      <w:r>
        <w:rPr>
          <w:rFonts w:ascii="宋体" w:hAnsi="宋体"/>
          <w:color w:val="auto"/>
          <w:szCs w:val="21"/>
          <w:highlight w:val="none"/>
          <w:u w:val="single"/>
        </w:rPr>
        <w:t>由承包人上报，经监理审核，发包人审定为准，若由于非发包人及非不可抗力因素而造成项目节点落后，承包人应做出充分说明，并提交书面整改报告。</w:t>
      </w:r>
    </w:p>
    <w:p>
      <w:pPr>
        <w:spacing w:before="156" w:beforeLines="50" w:after="156" w:afterLines="50" w:line="400" w:lineRule="exact"/>
        <w:ind w:firstLine="420" w:firstLineChars="200"/>
        <w:rPr>
          <w:rFonts w:hint="eastAsia" w:ascii="宋体" w:hAnsi="宋体"/>
          <w:color w:val="auto"/>
          <w:szCs w:val="21"/>
          <w:highlight w:val="none"/>
        </w:rPr>
      </w:pPr>
      <w:r>
        <w:rPr>
          <w:rFonts w:ascii="宋体" w:hAnsi="宋体"/>
          <w:color w:val="auto"/>
          <w:szCs w:val="21"/>
          <w:highlight w:val="none"/>
        </w:rPr>
        <w:t>承包人提交项目进度计划的份数和时间：</w:t>
      </w:r>
      <w:r>
        <w:rPr>
          <w:rFonts w:ascii="宋体" w:hAnsi="宋体"/>
          <w:color w:val="auto"/>
          <w:szCs w:val="21"/>
          <w:highlight w:val="none"/>
          <w:u w:val="single"/>
        </w:rPr>
        <w:t>合同签订一周内，承包人向发包人提供四份项目总进度计划，每月22日提供两份下月工程进度计划。</w:t>
      </w:r>
      <w:r>
        <w:rPr>
          <w:rFonts w:ascii="宋体" w:hAnsi="宋体"/>
          <w:color w:val="auto"/>
          <w:szCs w:val="21"/>
          <w:highlight w:val="none"/>
        </w:rPr>
        <w:t xml:space="preserve"> </w:t>
      </w:r>
    </w:p>
    <w:p>
      <w:pPr>
        <w:spacing w:before="156" w:beforeLines="50" w:after="156" w:afterLines="50" w:line="400" w:lineRule="exact"/>
        <w:ind w:firstLine="420" w:firstLineChars="200"/>
        <w:rPr>
          <w:rFonts w:ascii="宋体" w:hAnsi="宋体"/>
          <w:color w:val="auto"/>
          <w:szCs w:val="21"/>
          <w:highlight w:val="none"/>
        </w:rPr>
      </w:pPr>
      <w:r>
        <w:rPr>
          <w:rFonts w:hint="eastAsia"/>
          <w:color w:val="auto"/>
          <w:highlight w:val="none"/>
        </w:rPr>
        <w:t>承包</w:t>
      </w:r>
      <w:r>
        <w:rPr>
          <w:color w:val="auto"/>
          <w:highlight w:val="none"/>
        </w:rPr>
        <w:t>人</w:t>
      </w:r>
      <w:r>
        <w:rPr>
          <w:rFonts w:hint="eastAsia"/>
          <w:color w:val="auto"/>
          <w:highlight w:val="none"/>
        </w:rPr>
        <w:t>须</w:t>
      </w:r>
      <w:r>
        <w:rPr>
          <w:color w:val="auto"/>
          <w:highlight w:val="none"/>
        </w:rPr>
        <w:t>在合同签订后一周内提供总进度计划及主要材料设备的招采计划</w:t>
      </w:r>
      <w:r>
        <w:rPr>
          <w:rFonts w:hint="eastAsia"/>
          <w:color w:val="auto"/>
          <w:highlight w:val="none"/>
        </w:rPr>
        <w:t>。</w:t>
      </w:r>
    </w:p>
    <w:p>
      <w:pPr>
        <w:spacing w:before="156" w:beforeLines="50" w:after="156" w:afterLines="50" w:line="400" w:lineRule="exact"/>
        <w:ind w:firstLine="422" w:firstLineChars="200"/>
        <w:rPr>
          <w:rFonts w:ascii="宋体" w:hAnsi="宋体"/>
          <w:b/>
          <w:color w:val="auto"/>
          <w:szCs w:val="21"/>
          <w:highlight w:val="none"/>
        </w:rPr>
      </w:pPr>
      <w:r>
        <w:rPr>
          <w:rFonts w:ascii="宋体" w:hAnsi="宋体"/>
          <w:b/>
          <w:color w:val="auto"/>
          <w:szCs w:val="21"/>
          <w:highlight w:val="none"/>
        </w:rPr>
        <w:t>4.3  采购进度计划</w:t>
      </w:r>
    </w:p>
    <w:p>
      <w:pPr>
        <w:spacing w:before="156" w:beforeLines="50" w:after="156" w:afterLines="50" w:line="400" w:lineRule="exact"/>
        <w:ind w:firstLine="420" w:firstLineChars="200"/>
        <w:rPr>
          <w:rFonts w:ascii="宋体" w:hAnsi="宋体"/>
          <w:color w:val="auto"/>
          <w:szCs w:val="21"/>
          <w:highlight w:val="none"/>
          <w:u w:val="single"/>
        </w:rPr>
      </w:pPr>
      <w:r>
        <w:rPr>
          <w:rFonts w:ascii="宋体" w:hAnsi="宋体"/>
          <w:color w:val="auto"/>
          <w:szCs w:val="21"/>
          <w:highlight w:val="none"/>
        </w:rPr>
        <w:t>4.3.1  采购进度计划提交的份数和日期：</w:t>
      </w:r>
      <w:r>
        <w:rPr>
          <w:rFonts w:ascii="宋体" w:hAnsi="宋体"/>
          <w:color w:val="auto"/>
          <w:szCs w:val="21"/>
          <w:highlight w:val="none"/>
          <w:u w:val="single"/>
        </w:rPr>
        <w:t xml:space="preserve"> </w:t>
      </w:r>
      <w:r>
        <w:rPr>
          <w:rFonts w:hint="eastAsia" w:ascii="宋体" w:hAnsi="宋体"/>
          <w:color w:val="auto"/>
          <w:szCs w:val="21"/>
          <w:highlight w:val="none"/>
          <w:u w:val="single"/>
        </w:rPr>
        <w:t>/</w:t>
      </w:r>
      <w:r>
        <w:rPr>
          <w:rFonts w:ascii="宋体" w:hAnsi="宋体"/>
          <w:color w:val="auto"/>
          <w:szCs w:val="21"/>
          <w:highlight w:val="none"/>
          <w:u w:val="single"/>
        </w:rPr>
        <w:t xml:space="preserve"> </w:t>
      </w:r>
    </w:p>
    <w:p>
      <w:pPr>
        <w:spacing w:before="156" w:beforeLines="50" w:after="156" w:afterLines="50" w:line="400" w:lineRule="exact"/>
        <w:ind w:firstLine="420" w:firstLineChars="200"/>
        <w:rPr>
          <w:rFonts w:ascii="宋体" w:hAnsi="宋体"/>
          <w:color w:val="auto"/>
          <w:szCs w:val="21"/>
          <w:highlight w:val="none"/>
          <w:u w:val="single"/>
        </w:rPr>
      </w:pPr>
      <w:r>
        <w:rPr>
          <w:rFonts w:ascii="宋体" w:hAnsi="宋体"/>
          <w:color w:val="auto"/>
          <w:szCs w:val="21"/>
          <w:highlight w:val="none"/>
        </w:rPr>
        <w:t>4.3.2  采购开始日期：</w:t>
      </w:r>
      <w:r>
        <w:rPr>
          <w:rFonts w:ascii="宋体" w:hAnsi="宋体"/>
          <w:color w:val="auto"/>
          <w:szCs w:val="21"/>
          <w:highlight w:val="none"/>
          <w:u w:val="single"/>
        </w:rPr>
        <w:t xml:space="preserve">  </w:t>
      </w:r>
      <w:r>
        <w:rPr>
          <w:rFonts w:hint="eastAsia" w:ascii="宋体" w:hAnsi="宋体"/>
          <w:color w:val="auto"/>
          <w:szCs w:val="21"/>
          <w:highlight w:val="none"/>
          <w:u w:val="single"/>
        </w:rPr>
        <w:t>/</w:t>
      </w:r>
      <w:r>
        <w:rPr>
          <w:rFonts w:ascii="宋体" w:hAnsi="宋体"/>
          <w:color w:val="auto"/>
          <w:szCs w:val="21"/>
          <w:highlight w:val="none"/>
          <w:u w:val="single"/>
        </w:rPr>
        <w:t xml:space="preserve">。 </w:t>
      </w:r>
    </w:p>
    <w:p>
      <w:pPr>
        <w:spacing w:before="156" w:beforeLines="50" w:after="156" w:afterLines="50" w:line="400" w:lineRule="exact"/>
        <w:ind w:firstLine="422" w:firstLineChars="200"/>
        <w:rPr>
          <w:rFonts w:ascii="宋体" w:hAnsi="宋体"/>
          <w:b/>
          <w:color w:val="auto"/>
          <w:szCs w:val="21"/>
          <w:highlight w:val="none"/>
        </w:rPr>
      </w:pPr>
      <w:r>
        <w:rPr>
          <w:rFonts w:ascii="宋体" w:hAnsi="宋体"/>
          <w:b/>
          <w:color w:val="auto"/>
          <w:szCs w:val="21"/>
          <w:highlight w:val="none"/>
        </w:rPr>
        <w:t>4.4   施工进度计划</w:t>
      </w:r>
    </w:p>
    <w:p>
      <w:pPr>
        <w:spacing w:line="400" w:lineRule="exact"/>
        <w:ind w:firstLine="420" w:firstLineChars="200"/>
        <w:rPr>
          <w:rFonts w:ascii="宋体" w:hAnsi="宋体"/>
          <w:color w:val="auto"/>
          <w:szCs w:val="21"/>
          <w:highlight w:val="none"/>
        </w:rPr>
      </w:pPr>
      <w:r>
        <w:rPr>
          <w:rFonts w:ascii="宋体" w:hAnsi="宋体"/>
          <w:color w:val="auto"/>
          <w:szCs w:val="21"/>
          <w:highlight w:val="none"/>
        </w:rPr>
        <w:t>4.4.1  施工进度计划（以表格或文字表述）</w:t>
      </w:r>
    </w:p>
    <w:p>
      <w:pPr>
        <w:spacing w:line="400" w:lineRule="exact"/>
        <w:ind w:firstLine="420" w:firstLineChars="200"/>
        <w:rPr>
          <w:rFonts w:ascii="宋体" w:hAnsi="宋体"/>
          <w:color w:val="auto"/>
          <w:szCs w:val="21"/>
          <w:highlight w:val="none"/>
          <w:u w:val="single"/>
        </w:rPr>
      </w:pPr>
      <w:r>
        <w:rPr>
          <w:rFonts w:ascii="宋体" w:hAnsi="宋体"/>
          <w:color w:val="auto"/>
          <w:szCs w:val="21"/>
          <w:highlight w:val="none"/>
        </w:rPr>
        <w:t>提交关键单项工程施工计划的名称、份数和时间：</w:t>
      </w:r>
      <w:r>
        <w:rPr>
          <w:rFonts w:hint="eastAsia" w:ascii="宋体" w:hAnsi="宋体" w:cs="宋体"/>
          <w:color w:val="auto"/>
          <w:szCs w:val="21"/>
          <w:highlight w:val="none"/>
          <w:u w:val="single"/>
        </w:rPr>
        <w:t>施工图得到业主认可后一周内提供四份施工总进度计划，开工后每个月第一周提供（一式两份）施工进度报表（包括形象进度、质量情况、重大事件和存在问题及拟采取的措施等）及两份下个月的施工进度计划。</w:t>
      </w:r>
      <w:r>
        <w:rPr>
          <w:rFonts w:ascii="宋体" w:hAnsi="宋体"/>
          <w:color w:val="auto"/>
          <w:szCs w:val="21"/>
          <w:highlight w:val="none"/>
          <w:u w:val="single"/>
        </w:rPr>
        <w:t xml:space="preserve"> </w:t>
      </w:r>
    </w:p>
    <w:p>
      <w:pPr>
        <w:spacing w:line="400" w:lineRule="exact"/>
        <w:ind w:firstLine="420" w:firstLineChars="200"/>
        <w:rPr>
          <w:rFonts w:ascii="宋体" w:hAnsi="宋体"/>
          <w:color w:val="auto"/>
          <w:szCs w:val="21"/>
          <w:highlight w:val="none"/>
        </w:rPr>
      </w:pPr>
      <w:r>
        <w:rPr>
          <w:rFonts w:ascii="宋体" w:hAnsi="宋体"/>
          <w:color w:val="auto"/>
          <w:szCs w:val="21"/>
          <w:highlight w:val="none"/>
        </w:rPr>
        <w:t>提交关键分部分项工程施工计划的名称、份数和时间：</w:t>
      </w:r>
      <w:r>
        <w:rPr>
          <w:rFonts w:ascii="宋体" w:hAnsi="宋体"/>
          <w:color w:val="auto"/>
          <w:szCs w:val="21"/>
          <w:highlight w:val="none"/>
          <w:u w:val="single"/>
        </w:rPr>
        <w:t xml:space="preserve">         /        </w:t>
      </w:r>
    </w:p>
    <w:p>
      <w:pPr>
        <w:spacing w:before="156" w:beforeLines="50" w:after="156" w:afterLines="50" w:line="400" w:lineRule="exact"/>
        <w:ind w:firstLine="422" w:firstLineChars="200"/>
        <w:rPr>
          <w:rFonts w:ascii="宋体" w:hAnsi="宋体"/>
          <w:b/>
          <w:color w:val="auto"/>
          <w:szCs w:val="21"/>
          <w:highlight w:val="none"/>
        </w:rPr>
      </w:pPr>
      <w:r>
        <w:rPr>
          <w:rFonts w:ascii="宋体" w:hAnsi="宋体"/>
          <w:b/>
          <w:color w:val="auto"/>
          <w:szCs w:val="21"/>
          <w:highlight w:val="none"/>
        </w:rPr>
        <w:t>4.5  误期</w:t>
      </w:r>
      <w:r>
        <w:rPr>
          <w:rFonts w:hint="eastAsia" w:ascii="宋体" w:hAnsi="宋体"/>
          <w:b/>
          <w:color w:val="auto"/>
          <w:szCs w:val="21"/>
          <w:highlight w:val="none"/>
        </w:rPr>
        <w:t>损害</w:t>
      </w:r>
      <w:r>
        <w:rPr>
          <w:rFonts w:ascii="宋体" w:hAnsi="宋体"/>
          <w:b/>
          <w:color w:val="auto"/>
          <w:szCs w:val="21"/>
          <w:highlight w:val="none"/>
        </w:rPr>
        <w:t>赔偿</w:t>
      </w:r>
    </w:p>
    <w:p>
      <w:pPr>
        <w:spacing w:before="156" w:beforeLines="50" w:after="156" w:afterLines="50" w:line="400" w:lineRule="exact"/>
        <w:ind w:firstLine="420" w:firstLineChars="200"/>
        <w:rPr>
          <w:rFonts w:ascii="宋体" w:hAnsi="宋体"/>
          <w:color w:val="auto"/>
          <w:szCs w:val="21"/>
          <w:highlight w:val="none"/>
        </w:rPr>
      </w:pPr>
      <w:r>
        <w:rPr>
          <w:rFonts w:ascii="宋体" w:hAnsi="宋体"/>
          <w:color w:val="auto"/>
          <w:szCs w:val="21"/>
          <w:highlight w:val="none"/>
        </w:rPr>
        <w:t>因</w:t>
      </w:r>
      <w:r>
        <w:rPr>
          <w:rFonts w:hint="eastAsia" w:ascii="宋体" w:hAnsi="宋体"/>
          <w:color w:val="auto"/>
          <w:szCs w:val="21"/>
          <w:highlight w:val="none"/>
        </w:rPr>
        <w:t>承包</w:t>
      </w:r>
      <w:r>
        <w:rPr>
          <w:rFonts w:ascii="宋体" w:hAnsi="宋体"/>
          <w:color w:val="auto"/>
          <w:szCs w:val="21"/>
          <w:highlight w:val="none"/>
        </w:rPr>
        <w:t>人原因</w:t>
      </w:r>
      <w:r>
        <w:rPr>
          <w:rFonts w:hint="eastAsia" w:ascii="宋体" w:hAnsi="宋体"/>
          <w:color w:val="auto"/>
          <w:szCs w:val="21"/>
          <w:highlight w:val="none"/>
        </w:rPr>
        <w:t>使竣工日期延误，每延误1天的误期赔偿金额为人民币</w:t>
      </w:r>
      <w:r>
        <w:rPr>
          <w:rFonts w:hint="eastAsia" w:ascii="宋体" w:hAnsi="宋体"/>
          <w:color w:val="auto"/>
          <w:szCs w:val="21"/>
          <w:highlight w:val="none"/>
          <w:u w:val="single"/>
        </w:rPr>
        <w:t xml:space="preserve"> </w:t>
      </w:r>
      <w:r>
        <w:rPr>
          <w:rFonts w:ascii="宋体" w:hAnsi="宋体"/>
          <w:color w:val="auto"/>
          <w:szCs w:val="21"/>
          <w:highlight w:val="none"/>
          <w:u w:val="single"/>
        </w:rPr>
        <w:t xml:space="preserve"> 2000  </w:t>
      </w:r>
      <w:r>
        <w:rPr>
          <w:rFonts w:hint="eastAsia" w:ascii="宋体" w:hAnsi="宋体"/>
          <w:color w:val="auto"/>
          <w:szCs w:val="21"/>
          <w:highlight w:val="none"/>
          <w:u w:val="single"/>
        </w:rPr>
        <w:t>元</w:t>
      </w:r>
      <w:r>
        <w:rPr>
          <w:rFonts w:hint="eastAsia" w:ascii="宋体" w:hAnsi="宋体"/>
          <w:color w:val="auto"/>
          <w:szCs w:val="21"/>
          <w:highlight w:val="none"/>
        </w:rPr>
        <w:t>、累计最高赔偿金额为合同协议书的合同价格的：</w:t>
      </w:r>
      <w:r>
        <w:rPr>
          <w:rFonts w:hint="eastAsia" w:ascii="宋体" w:hAnsi="宋体"/>
          <w:color w:val="auto"/>
          <w:szCs w:val="21"/>
          <w:highlight w:val="none"/>
          <w:u w:val="single"/>
        </w:rPr>
        <w:t>5%</w:t>
      </w:r>
      <w:r>
        <w:rPr>
          <w:rFonts w:hint="eastAsia" w:ascii="宋体" w:hAnsi="宋体"/>
          <w:color w:val="auto"/>
          <w:szCs w:val="21"/>
          <w:highlight w:val="none"/>
        </w:rPr>
        <w:t>。</w:t>
      </w:r>
    </w:p>
    <w:p>
      <w:pPr>
        <w:spacing w:before="156" w:beforeLines="50" w:after="156" w:afterLines="50" w:line="400" w:lineRule="exact"/>
        <w:ind w:firstLine="422" w:firstLineChars="200"/>
        <w:rPr>
          <w:rFonts w:ascii="宋体" w:hAnsi="宋体"/>
          <w:b/>
          <w:color w:val="auto"/>
          <w:szCs w:val="21"/>
          <w:highlight w:val="none"/>
        </w:rPr>
      </w:pPr>
      <w:r>
        <w:rPr>
          <w:rFonts w:ascii="宋体" w:hAnsi="宋体"/>
          <w:b/>
          <w:color w:val="auto"/>
          <w:szCs w:val="21"/>
          <w:highlight w:val="none"/>
        </w:rPr>
        <w:t>第5条  技术与设计</w:t>
      </w:r>
    </w:p>
    <w:p>
      <w:pPr>
        <w:spacing w:before="156" w:beforeLines="50" w:after="156" w:afterLines="50" w:line="400" w:lineRule="exact"/>
        <w:ind w:firstLine="422" w:firstLineChars="200"/>
        <w:rPr>
          <w:rFonts w:ascii="宋体" w:hAnsi="宋体"/>
          <w:b/>
          <w:color w:val="auto"/>
          <w:szCs w:val="21"/>
          <w:highlight w:val="none"/>
        </w:rPr>
      </w:pPr>
      <w:r>
        <w:rPr>
          <w:rFonts w:ascii="宋体" w:hAnsi="宋体"/>
          <w:b/>
          <w:color w:val="auto"/>
          <w:szCs w:val="21"/>
          <w:highlight w:val="none"/>
        </w:rPr>
        <w:t>5.1  生产工艺技术、建筑</w:t>
      </w:r>
      <w:r>
        <w:rPr>
          <w:rFonts w:hint="eastAsia" w:ascii="宋体" w:hAnsi="宋体"/>
          <w:b/>
          <w:color w:val="auto"/>
          <w:szCs w:val="21"/>
          <w:highlight w:val="none"/>
        </w:rPr>
        <w:t>设计方案</w:t>
      </w:r>
    </w:p>
    <w:p>
      <w:pPr>
        <w:spacing w:line="400" w:lineRule="exact"/>
        <w:ind w:firstLine="420" w:firstLineChars="200"/>
        <w:rPr>
          <w:rFonts w:ascii="宋体" w:hAnsi="宋体"/>
          <w:color w:val="auto"/>
          <w:szCs w:val="21"/>
          <w:highlight w:val="none"/>
        </w:rPr>
      </w:pPr>
      <w:r>
        <w:rPr>
          <w:rFonts w:ascii="宋体" w:hAnsi="宋体"/>
          <w:color w:val="auto"/>
          <w:szCs w:val="21"/>
          <w:highlight w:val="none"/>
        </w:rPr>
        <w:t>5.1.1  承包人提供的生产工艺技术和（或）建筑设计方案</w:t>
      </w:r>
    </w:p>
    <w:p>
      <w:pPr>
        <w:spacing w:line="400" w:lineRule="exact"/>
        <w:ind w:firstLine="420" w:firstLineChars="200"/>
        <w:rPr>
          <w:rFonts w:ascii="宋体" w:hAnsi="宋体"/>
          <w:color w:val="auto"/>
          <w:szCs w:val="21"/>
          <w:highlight w:val="none"/>
        </w:rPr>
      </w:pPr>
      <w:r>
        <w:rPr>
          <w:rFonts w:ascii="宋体" w:hAnsi="宋体"/>
          <w:color w:val="auto"/>
          <w:szCs w:val="21"/>
          <w:highlight w:val="none"/>
        </w:rPr>
        <w:t>根据工程考核特点，在以下类型中选择其一，作为双方的约定。</w:t>
      </w:r>
    </w:p>
    <w:p>
      <w:pPr>
        <w:spacing w:line="400" w:lineRule="exact"/>
        <w:ind w:left="480"/>
        <w:rPr>
          <w:rFonts w:ascii="宋体" w:hAnsi="宋体"/>
          <w:color w:val="auto"/>
          <w:szCs w:val="21"/>
          <w:highlight w:val="none"/>
          <w:u w:val="single"/>
        </w:rPr>
      </w:pPr>
      <w:r>
        <w:rPr>
          <w:rFonts w:ascii="宋体" w:hAnsi="宋体"/>
          <w:color w:val="auto"/>
          <w:szCs w:val="21"/>
          <w:highlight w:val="none"/>
        </w:rPr>
        <w:sym w:font="Wingdings 2" w:char="00A3"/>
      </w:r>
      <w:r>
        <w:rPr>
          <w:rFonts w:hint="eastAsia" w:ascii="宋体" w:hAnsi="宋体"/>
          <w:color w:val="auto"/>
          <w:szCs w:val="21"/>
          <w:highlight w:val="none"/>
        </w:rPr>
        <w:t xml:space="preserve"> </w:t>
      </w:r>
      <w:r>
        <w:rPr>
          <w:rFonts w:ascii="宋体" w:hAnsi="宋体"/>
          <w:color w:val="auto"/>
          <w:szCs w:val="21"/>
          <w:highlight w:val="none"/>
        </w:rPr>
        <w:t>按工程量考核，工程考核保证值和（或）使用功能说明：</w:t>
      </w:r>
    </w:p>
    <w:p>
      <w:pPr>
        <w:spacing w:line="400" w:lineRule="exact"/>
        <w:ind w:left="480"/>
        <w:rPr>
          <w:rFonts w:ascii="宋体" w:hAnsi="宋体"/>
          <w:color w:val="auto"/>
          <w:szCs w:val="21"/>
          <w:highlight w:val="none"/>
          <w:u w:val="single"/>
        </w:rPr>
      </w:pPr>
      <w:r>
        <w:rPr>
          <w:rFonts w:ascii="宋体" w:hAnsi="宋体"/>
          <w:color w:val="auto"/>
          <w:szCs w:val="21"/>
          <w:highlight w:val="none"/>
          <w:u w:val="single"/>
        </w:rPr>
        <w:t xml:space="preserve">                           </w:t>
      </w:r>
      <w:r>
        <w:rPr>
          <w:rFonts w:hint="eastAsia" w:ascii="宋体" w:hAnsi="宋体"/>
          <w:color w:val="auto"/>
          <w:szCs w:val="21"/>
          <w:highlight w:val="none"/>
          <w:u w:val="single"/>
        </w:rPr>
        <w:t xml:space="preserve"> / </w:t>
      </w:r>
      <w:r>
        <w:rPr>
          <w:rFonts w:ascii="宋体" w:hAnsi="宋体"/>
          <w:color w:val="auto"/>
          <w:szCs w:val="21"/>
          <w:highlight w:val="none"/>
          <w:u w:val="single"/>
        </w:rPr>
        <w:t xml:space="preserve">                              </w:t>
      </w:r>
      <w:r>
        <w:rPr>
          <w:rFonts w:hint="eastAsia" w:ascii="宋体" w:hAnsi="宋体"/>
          <w:color w:val="auto"/>
          <w:szCs w:val="21"/>
          <w:highlight w:val="none"/>
          <w:u w:val="single"/>
        </w:rPr>
        <w:t xml:space="preserve">  </w:t>
      </w:r>
      <w:r>
        <w:rPr>
          <w:rFonts w:ascii="宋体" w:hAnsi="宋体"/>
          <w:color w:val="auto"/>
          <w:szCs w:val="21"/>
          <w:highlight w:val="none"/>
          <w:u w:val="single"/>
        </w:rPr>
        <w:t xml:space="preserve">     </w:t>
      </w:r>
    </w:p>
    <w:p>
      <w:pPr>
        <w:spacing w:line="400" w:lineRule="exact"/>
        <w:ind w:left="480"/>
        <w:rPr>
          <w:rFonts w:ascii="宋体" w:hAnsi="宋体"/>
          <w:color w:val="auto"/>
          <w:szCs w:val="21"/>
          <w:highlight w:val="none"/>
        </w:rPr>
      </w:pPr>
      <w:r>
        <w:rPr>
          <w:rFonts w:ascii="宋体" w:hAnsi="宋体"/>
          <w:color w:val="auto"/>
          <w:szCs w:val="21"/>
          <w:highlight w:val="none"/>
        </w:rPr>
        <w:sym w:font="Wingdings 2" w:char="00A3"/>
      </w:r>
      <w:r>
        <w:rPr>
          <w:rFonts w:hint="eastAsia" w:ascii="宋体" w:hAnsi="宋体"/>
          <w:color w:val="auto"/>
          <w:szCs w:val="21"/>
          <w:highlight w:val="none"/>
        </w:rPr>
        <w:t xml:space="preserve"> </w:t>
      </w:r>
      <w:r>
        <w:rPr>
          <w:rFonts w:ascii="宋体" w:hAnsi="宋体"/>
          <w:color w:val="auto"/>
          <w:szCs w:val="21"/>
          <w:highlight w:val="none"/>
        </w:rPr>
        <w:t>按单项工程考核，各单项工程考核保证值和（或）使用功能说明：</w:t>
      </w:r>
    </w:p>
    <w:p>
      <w:pPr>
        <w:spacing w:line="400" w:lineRule="exact"/>
        <w:ind w:firstLine="371" w:firstLineChars="177"/>
        <w:rPr>
          <w:rFonts w:ascii="宋体" w:hAnsi="宋体"/>
          <w:color w:val="auto"/>
          <w:szCs w:val="21"/>
          <w:highlight w:val="none"/>
          <w:u w:val="single"/>
        </w:rPr>
      </w:pPr>
      <w:r>
        <w:rPr>
          <w:rFonts w:ascii="宋体" w:hAnsi="宋体"/>
          <w:color w:val="auto"/>
          <w:szCs w:val="21"/>
          <w:highlight w:val="none"/>
          <w:u w:val="single"/>
        </w:rPr>
        <w:t xml:space="preserve">  </w:t>
      </w:r>
      <w:r>
        <w:rPr>
          <w:rFonts w:hint="eastAsia" w:ascii="宋体" w:hAnsi="宋体"/>
          <w:color w:val="auto"/>
          <w:szCs w:val="21"/>
          <w:highlight w:val="none"/>
          <w:u w:val="single"/>
        </w:rPr>
        <w:t xml:space="preserve">                           /                                      </w:t>
      </w:r>
    </w:p>
    <w:p>
      <w:pPr>
        <w:spacing w:line="400" w:lineRule="exact"/>
        <w:ind w:firstLine="420" w:firstLineChars="200"/>
        <w:rPr>
          <w:rFonts w:ascii="宋体" w:hAnsi="宋体"/>
          <w:color w:val="auto"/>
          <w:szCs w:val="21"/>
          <w:highlight w:val="none"/>
        </w:rPr>
      </w:pPr>
      <w:r>
        <w:rPr>
          <w:rFonts w:ascii="宋体" w:hAnsi="宋体"/>
          <w:color w:val="auto"/>
          <w:szCs w:val="21"/>
          <w:highlight w:val="none"/>
        </w:rPr>
        <w:t>5.1.2  发包人提供生产工艺技术和（或）建筑设计方案</w:t>
      </w:r>
    </w:p>
    <w:p>
      <w:pPr>
        <w:spacing w:line="400" w:lineRule="exact"/>
        <w:ind w:firstLine="420" w:firstLineChars="200"/>
        <w:rPr>
          <w:rFonts w:ascii="宋体" w:hAnsi="宋体"/>
          <w:color w:val="auto"/>
          <w:szCs w:val="21"/>
          <w:highlight w:val="none"/>
        </w:rPr>
      </w:pPr>
      <w:r>
        <w:rPr>
          <w:rFonts w:ascii="宋体" w:hAnsi="宋体"/>
          <w:color w:val="auto"/>
          <w:szCs w:val="21"/>
          <w:highlight w:val="none"/>
        </w:rPr>
        <w:t>其中，</w:t>
      </w:r>
    </w:p>
    <w:p>
      <w:pPr>
        <w:spacing w:line="400" w:lineRule="exact"/>
        <w:ind w:firstLine="420" w:firstLineChars="200"/>
        <w:rPr>
          <w:rFonts w:ascii="宋体" w:hAnsi="宋体"/>
          <w:color w:val="auto"/>
          <w:szCs w:val="21"/>
          <w:highlight w:val="none"/>
          <w:u w:val="single"/>
        </w:rPr>
      </w:pPr>
      <w:r>
        <w:rPr>
          <w:rFonts w:ascii="宋体" w:hAnsi="宋体"/>
          <w:color w:val="auto"/>
          <w:szCs w:val="21"/>
          <w:highlight w:val="none"/>
        </w:rPr>
        <w:t>发包人应承担的工程和（或）单项工程试运行考核保证值和（或）使用功能说明如下：</w:t>
      </w:r>
      <w:r>
        <w:rPr>
          <w:rFonts w:ascii="宋体" w:hAnsi="宋体"/>
          <w:color w:val="auto"/>
          <w:szCs w:val="21"/>
          <w:highlight w:val="none"/>
          <w:u w:val="single"/>
        </w:rPr>
        <w:t xml:space="preserve"> 发包人有义务指导、审查由承包人根据发包人提供的生产工艺设计和（或）建筑设计，并予以确认。 </w:t>
      </w:r>
    </w:p>
    <w:p>
      <w:pPr>
        <w:spacing w:line="400" w:lineRule="exact"/>
        <w:ind w:firstLine="420" w:firstLineChars="200"/>
        <w:rPr>
          <w:rFonts w:ascii="宋体" w:hAnsi="宋体"/>
          <w:color w:val="auto"/>
          <w:szCs w:val="21"/>
          <w:highlight w:val="none"/>
          <w:u w:val="single"/>
        </w:rPr>
      </w:pPr>
      <w:r>
        <w:rPr>
          <w:rFonts w:ascii="宋体" w:hAnsi="宋体"/>
          <w:color w:val="auto"/>
          <w:szCs w:val="21"/>
          <w:highlight w:val="none"/>
        </w:rPr>
        <w:t>承包人应承担的工程和（或）单项工程试运行考核保证值和（或）使用功能说明如下：</w:t>
      </w:r>
      <w:r>
        <w:rPr>
          <w:rFonts w:ascii="宋体" w:hAnsi="宋体"/>
          <w:color w:val="auto"/>
          <w:szCs w:val="21"/>
          <w:highlight w:val="none"/>
          <w:u w:val="single"/>
        </w:rPr>
        <w:t xml:space="preserve">  各项保证值及使用功能保证说明不得低于初步设计方案规定，考核的责任由发包人根据相关考核指标进行考核。 </w:t>
      </w:r>
    </w:p>
    <w:p>
      <w:pPr>
        <w:spacing w:before="156" w:beforeLines="50" w:after="156" w:afterLines="50" w:line="400" w:lineRule="exact"/>
        <w:ind w:firstLine="422" w:firstLineChars="200"/>
        <w:rPr>
          <w:rFonts w:ascii="宋体" w:hAnsi="宋体"/>
          <w:b/>
          <w:color w:val="auto"/>
          <w:szCs w:val="21"/>
          <w:highlight w:val="none"/>
        </w:rPr>
      </w:pPr>
      <w:r>
        <w:rPr>
          <w:rFonts w:ascii="宋体" w:hAnsi="宋体"/>
          <w:b/>
          <w:color w:val="auto"/>
          <w:szCs w:val="21"/>
          <w:highlight w:val="none"/>
        </w:rPr>
        <w:t>5.2  设计</w:t>
      </w:r>
    </w:p>
    <w:p>
      <w:pPr>
        <w:spacing w:line="400" w:lineRule="exact"/>
        <w:ind w:firstLine="420" w:firstLineChars="200"/>
        <w:rPr>
          <w:rFonts w:ascii="宋体" w:hAnsi="宋体"/>
          <w:color w:val="auto"/>
          <w:szCs w:val="21"/>
          <w:highlight w:val="none"/>
        </w:rPr>
      </w:pPr>
      <w:r>
        <w:rPr>
          <w:rFonts w:ascii="宋体" w:hAnsi="宋体"/>
          <w:color w:val="auto"/>
          <w:szCs w:val="21"/>
          <w:highlight w:val="none"/>
        </w:rPr>
        <w:t>5.2.1   发包人的义务</w:t>
      </w:r>
    </w:p>
    <w:p>
      <w:pPr>
        <w:spacing w:line="400" w:lineRule="exact"/>
        <w:ind w:firstLine="420" w:firstLineChars="200"/>
        <w:rPr>
          <w:rFonts w:ascii="宋体" w:hAnsi="宋体"/>
          <w:color w:val="auto"/>
          <w:szCs w:val="21"/>
          <w:highlight w:val="none"/>
          <w:u w:val="single"/>
        </w:rPr>
      </w:pPr>
      <w:r>
        <w:rPr>
          <w:rFonts w:ascii="宋体" w:hAnsi="宋体"/>
          <w:color w:val="auto"/>
          <w:szCs w:val="21"/>
          <w:highlight w:val="none"/>
        </w:rPr>
        <w:t>（1）提供项目基础资料。发包人提供的项目基础资料的类别、内容、份数和时间：</w:t>
      </w:r>
      <w:r>
        <w:rPr>
          <w:rFonts w:ascii="宋体" w:hAnsi="宋体"/>
          <w:color w:val="auto"/>
          <w:szCs w:val="21"/>
          <w:highlight w:val="none"/>
          <w:u w:val="single"/>
        </w:rPr>
        <w:t xml:space="preserve">        /                                       。</w:t>
      </w:r>
    </w:p>
    <w:p>
      <w:pPr>
        <w:spacing w:line="400" w:lineRule="exact"/>
        <w:ind w:firstLine="420" w:firstLineChars="200"/>
        <w:rPr>
          <w:rFonts w:ascii="宋体" w:hAnsi="宋体"/>
          <w:color w:val="auto"/>
          <w:szCs w:val="21"/>
          <w:highlight w:val="none"/>
        </w:rPr>
      </w:pPr>
      <w:r>
        <w:rPr>
          <w:rFonts w:ascii="宋体" w:hAnsi="宋体"/>
          <w:color w:val="auto"/>
          <w:szCs w:val="21"/>
          <w:highlight w:val="none"/>
        </w:rPr>
        <w:t>（2）提供现场障碍资料。发包人提供的现场障碍资料的类别、内容、份数和时间</w:t>
      </w:r>
      <w:r>
        <w:rPr>
          <w:rFonts w:ascii="宋体" w:hAnsi="宋体"/>
          <w:color w:val="auto"/>
          <w:szCs w:val="21"/>
          <w:highlight w:val="none"/>
          <w:u w:val="single"/>
        </w:rPr>
        <w:t xml:space="preserve">：        /                                       </w:t>
      </w:r>
    </w:p>
    <w:p>
      <w:pPr>
        <w:spacing w:line="400" w:lineRule="exact"/>
        <w:ind w:firstLine="420" w:firstLineChars="200"/>
        <w:rPr>
          <w:rFonts w:ascii="宋体" w:hAnsi="宋体"/>
          <w:color w:val="auto"/>
          <w:szCs w:val="21"/>
          <w:highlight w:val="none"/>
        </w:rPr>
      </w:pPr>
      <w:r>
        <w:rPr>
          <w:rFonts w:ascii="宋体" w:hAnsi="宋体"/>
          <w:color w:val="auto"/>
          <w:szCs w:val="21"/>
          <w:highlight w:val="none"/>
        </w:rPr>
        <w:t>5.2.2   承包人的义务</w:t>
      </w:r>
    </w:p>
    <w:p>
      <w:pPr>
        <w:spacing w:line="400" w:lineRule="exact"/>
        <w:ind w:firstLine="435"/>
        <w:rPr>
          <w:rFonts w:ascii="宋体" w:hAnsi="宋体"/>
          <w:color w:val="auto"/>
          <w:szCs w:val="21"/>
          <w:highlight w:val="none"/>
          <w:u w:val="single"/>
        </w:rPr>
      </w:pPr>
      <w:r>
        <w:rPr>
          <w:rFonts w:ascii="宋体" w:hAnsi="宋体"/>
          <w:color w:val="auto"/>
          <w:szCs w:val="21"/>
          <w:highlight w:val="none"/>
        </w:rPr>
        <w:t>（1） 经合同双方商定，发包人提供的项目基础资料、现场障碍资料的如下部分，可按本款中约定的如下时间期限，提出进一步要求</w:t>
      </w:r>
      <w:r>
        <w:rPr>
          <w:rFonts w:hint="eastAsia" w:ascii="宋体" w:hAnsi="宋体"/>
          <w:color w:val="auto"/>
          <w:szCs w:val="21"/>
          <w:highlight w:val="none"/>
        </w:rPr>
        <w:t>：</w:t>
      </w:r>
      <w:r>
        <w:rPr>
          <w:rFonts w:ascii="宋体" w:hAnsi="宋体"/>
          <w:color w:val="auto"/>
          <w:szCs w:val="21"/>
          <w:highlight w:val="none"/>
          <w:u w:val="single"/>
        </w:rPr>
        <w:t>因承包人原因，未能按照合同约定的设计审查阶段及其审查会议的时间安排提交相关阶段的设计文件、或提交的相关设计文件不符合相关审核阶段的设计深度要求时在 3 日内向发包人提出补充资料的要求，造成设计审查会议延误的，由承包人自费采取措施赶上；造成关键路径延误，或给发包人造成损失(包括审核会议准备费用)的，由承包人承担。</w:t>
      </w:r>
    </w:p>
    <w:p>
      <w:pPr>
        <w:spacing w:line="400" w:lineRule="exact"/>
        <w:ind w:firstLine="435"/>
        <w:rPr>
          <w:rFonts w:ascii="宋体" w:hAnsi="宋体"/>
          <w:color w:val="auto"/>
          <w:szCs w:val="21"/>
          <w:highlight w:val="none"/>
          <w:u w:val="single"/>
        </w:rPr>
      </w:pPr>
      <w:r>
        <w:rPr>
          <w:rFonts w:hint="eastAsia" w:ascii="宋体" w:hAnsi="宋体"/>
          <w:color w:val="auto"/>
          <w:szCs w:val="21"/>
          <w:highlight w:val="none"/>
        </w:rPr>
        <w:t>（2）</w:t>
      </w:r>
      <w:r>
        <w:rPr>
          <w:rFonts w:hint="eastAsia" w:ascii="宋体" w:hAnsi="宋体"/>
          <w:color w:val="auto"/>
          <w:szCs w:val="21"/>
          <w:highlight w:val="none"/>
          <w:u w:val="single"/>
        </w:rPr>
        <w:t>承包人应根据施工进度及发包人要求提供设计成果文件并按本工程结算编制依据编制施工图预算并经发包人及全过程咨询服务单位审核。</w:t>
      </w:r>
    </w:p>
    <w:p>
      <w:pPr>
        <w:spacing w:line="400" w:lineRule="exact"/>
        <w:ind w:firstLine="420" w:firstLineChars="200"/>
        <w:rPr>
          <w:rFonts w:ascii="宋体" w:hAnsi="宋体"/>
          <w:color w:val="auto"/>
          <w:szCs w:val="21"/>
          <w:highlight w:val="none"/>
        </w:rPr>
      </w:pPr>
      <w:r>
        <w:rPr>
          <w:rFonts w:ascii="宋体" w:hAnsi="宋体"/>
          <w:color w:val="auto"/>
          <w:szCs w:val="21"/>
          <w:highlight w:val="none"/>
        </w:rPr>
        <w:t>5.2.4  操作维修手册</w:t>
      </w:r>
    </w:p>
    <w:p>
      <w:pPr>
        <w:spacing w:line="400" w:lineRule="exact"/>
        <w:ind w:firstLine="420" w:firstLineChars="200"/>
        <w:rPr>
          <w:rFonts w:ascii="宋体" w:hAnsi="宋体"/>
          <w:color w:val="auto"/>
          <w:szCs w:val="21"/>
          <w:highlight w:val="none"/>
          <w:u w:val="single"/>
        </w:rPr>
      </w:pPr>
      <w:r>
        <w:rPr>
          <w:rFonts w:ascii="宋体" w:hAnsi="宋体"/>
          <w:color w:val="auto"/>
          <w:szCs w:val="21"/>
          <w:highlight w:val="none"/>
        </w:rPr>
        <w:t>发包人提交的操作指南、分析手册的份数和提交期限：</w:t>
      </w:r>
      <w:r>
        <w:rPr>
          <w:rFonts w:ascii="宋体" w:hAnsi="宋体"/>
          <w:color w:val="auto"/>
          <w:szCs w:val="21"/>
          <w:highlight w:val="none"/>
          <w:u w:val="single"/>
        </w:rPr>
        <w:t xml:space="preserve">        /         </w:t>
      </w:r>
    </w:p>
    <w:p>
      <w:pPr>
        <w:spacing w:line="400" w:lineRule="exact"/>
        <w:ind w:firstLine="420" w:firstLineChars="200"/>
        <w:rPr>
          <w:rFonts w:ascii="宋体" w:hAnsi="宋体"/>
          <w:color w:val="auto"/>
          <w:szCs w:val="21"/>
          <w:highlight w:val="none"/>
          <w:u w:val="single"/>
        </w:rPr>
      </w:pPr>
      <w:r>
        <w:rPr>
          <w:rFonts w:ascii="宋体" w:hAnsi="宋体"/>
          <w:color w:val="auto"/>
          <w:szCs w:val="21"/>
          <w:highlight w:val="none"/>
        </w:rPr>
        <w:t>承包人提交的操作维修手册的份数和最终提交期限：</w:t>
      </w:r>
      <w:r>
        <w:rPr>
          <w:rFonts w:ascii="宋体" w:hAnsi="宋体"/>
          <w:color w:val="auto"/>
          <w:szCs w:val="21"/>
          <w:highlight w:val="none"/>
          <w:u w:val="single"/>
        </w:rPr>
        <w:t xml:space="preserve">   项目竣工后</w:t>
      </w:r>
      <w:r>
        <w:rPr>
          <w:rFonts w:hint="eastAsia" w:ascii="宋体" w:hAnsi="宋体"/>
          <w:color w:val="auto"/>
          <w:szCs w:val="21"/>
          <w:highlight w:val="none"/>
          <w:u w:val="single"/>
        </w:rPr>
        <w:t>二</w:t>
      </w:r>
      <w:r>
        <w:rPr>
          <w:rFonts w:ascii="宋体" w:hAnsi="宋体"/>
          <w:color w:val="auto"/>
          <w:szCs w:val="21"/>
          <w:highlight w:val="none"/>
          <w:u w:val="single"/>
        </w:rPr>
        <w:t>个月内。</w:t>
      </w:r>
    </w:p>
    <w:p>
      <w:pPr>
        <w:spacing w:line="400" w:lineRule="exact"/>
        <w:ind w:firstLine="420" w:firstLineChars="200"/>
        <w:rPr>
          <w:rFonts w:ascii="宋体" w:hAnsi="宋体"/>
          <w:color w:val="auto"/>
          <w:szCs w:val="21"/>
          <w:highlight w:val="none"/>
        </w:rPr>
      </w:pPr>
      <w:r>
        <w:rPr>
          <w:rFonts w:ascii="宋体" w:hAnsi="宋体"/>
          <w:color w:val="auto"/>
          <w:szCs w:val="21"/>
          <w:highlight w:val="none"/>
        </w:rPr>
        <w:t>5.2.5  设计文件的份数和提交时间</w:t>
      </w:r>
    </w:p>
    <w:p>
      <w:pPr>
        <w:spacing w:line="400" w:lineRule="exact"/>
        <w:ind w:firstLine="420" w:firstLineChars="200"/>
        <w:rPr>
          <w:rFonts w:ascii="宋体" w:hAnsi="宋体"/>
          <w:color w:val="auto"/>
          <w:szCs w:val="21"/>
          <w:highlight w:val="none"/>
        </w:rPr>
      </w:pPr>
      <w:r>
        <w:rPr>
          <w:rFonts w:ascii="宋体" w:hAnsi="宋体"/>
          <w:color w:val="auto"/>
          <w:szCs w:val="21"/>
          <w:highlight w:val="none"/>
        </w:rPr>
        <w:t>规划设计阶段设计文件、资料和图纸的份数和提交时间：</w:t>
      </w:r>
      <w:r>
        <w:rPr>
          <w:rFonts w:ascii="宋体" w:hAnsi="宋体"/>
          <w:color w:val="auto"/>
          <w:szCs w:val="21"/>
          <w:highlight w:val="none"/>
          <w:u w:val="single"/>
        </w:rPr>
        <w:t xml:space="preserve">       /        </w:t>
      </w:r>
    </w:p>
    <w:p>
      <w:pPr>
        <w:spacing w:line="400" w:lineRule="exact"/>
        <w:ind w:firstLine="420" w:firstLineChars="200"/>
        <w:rPr>
          <w:rFonts w:ascii="宋体" w:hAnsi="宋体"/>
          <w:color w:val="auto"/>
          <w:szCs w:val="21"/>
          <w:highlight w:val="none"/>
          <w:u w:val="single"/>
        </w:rPr>
      </w:pPr>
      <w:r>
        <w:rPr>
          <w:rFonts w:ascii="宋体" w:hAnsi="宋体"/>
          <w:color w:val="auto"/>
          <w:szCs w:val="21"/>
          <w:highlight w:val="none"/>
        </w:rPr>
        <w:t>初步设计阶段设计文件、资料和图纸的份数和提交时间：</w:t>
      </w:r>
      <w:r>
        <w:rPr>
          <w:rFonts w:ascii="宋体" w:hAnsi="宋体"/>
          <w:color w:val="auto"/>
          <w:szCs w:val="21"/>
          <w:highlight w:val="none"/>
          <w:u w:val="single"/>
        </w:rPr>
        <w:t xml:space="preserve">        /       </w:t>
      </w:r>
    </w:p>
    <w:p>
      <w:pPr>
        <w:spacing w:line="400" w:lineRule="exact"/>
        <w:ind w:firstLine="420" w:firstLineChars="200"/>
        <w:rPr>
          <w:rFonts w:ascii="宋体" w:hAnsi="宋体"/>
          <w:color w:val="auto"/>
          <w:szCs w:val="21"/>
          <w:highlight w:val="none"/>
        </w:rPr>
      </w:pPr>
      <w:r>
        <w:rPr>
          <w:rFonts w:ascii="宋体" w:hAnsi="宋体"/>
          <w:color w:val="auto"/>
          <w:szCs w:val="21"/>
          <w:highlight w:val="none"/>
        </w:rPr>
        <w:t>技术设计阶段设计文件、资料和图纸的份数和提交时间：</w:t>
      </w:r>
      <w:r>
        <w:rPr>
          <w:rFonts w:ascii="宋体" w:hAnsi="宋体"/>
          <w:color w:val="auto"/>
          <w:szCs w:val="21"/>
          <w:highlight w:val="none"/>
          <w:u w:val="single"/>
        </w:rPr>
        <w:t xml:space="preserve">         /      </w:t>
      </w:r>
    </w:p>
    <w:p>
      <w:pPr>
        <w:spacing w:line="400" w:lineRule="exact"/>
        <w:ind w:firstLine="420" w:firstLineChars="200"/>
        <w:rPr>
          <w:rFonts w:ascii="宋体" w:hAnsi="宋体"/>
          <w:color w:val="auto"/>
          <w:szCs w:val="21"/>
          <w:highlight w:val="none"/>
          <w:u w:val="single"/>
        </w:rPr>
      </w:pPr>
      <w:r>
        <w:rPr>
          <w:rFonts w:ascii="宋体" w:hAnsi="宋体"/>
          <w:color w:val="auto"/>
          <w:szCs w:val="21"/>
          <w:highlight w:val="none"/>
        </w:rPr>
        <w:t>施工图设计阶段设计文件、资料和图纸的份数和提交时间：</w:t>
      </w:r>
      <w:r>
        <w:rPr>
          <w:rFonts w:ascii="宋体" w:hAnsi="宋体"/>
          <w:color w:val="auto"/>
          <w:szCs w:val="21"/>
          <w:highlight w:val="none"/>
          <w:u w:val="single"/>
        </w:rPr>
        <w:t xml:space="preserve">  不少于八份，按招标人要求时间提供。 </w:t>
      </w:r>
    </w:p>
    <w:p>
      <w:pPr>
        <w:spacing w:before="156" w:beforeLines="50" w:after="156" w:afterLines="50" w:line="400" w:lineRule="exact"/>
        <w:ind w:firstLine="422" w:firstLineChars="200"/>
        <w:rPr>
          <w:rFonts w:ascii="宋体" w:hAnsi="宋体"/>
          <w:b/>
          <w:color w:val="auto"/>
          <w:szCs w:val="21"/>
          <w:highlight w:val="none"/>
        </w:rPr>
      </w:pPr>
      <w:r>
        <w:rPr>
          <w:rFonts w:ascii="宋体" w:hAnsi="宋体"/>
          <w:b/>
          <w:color w:val="auto"/>
          <w:szCs w:val="21"/>
          <w:highlight w:val="none"/>
        </w:rPr>
        <w:t xml:space="preserve">5.3  设计阶段审查 </w:t>
      </w:r>
    </w:p>
    <w:p>
      <w:pPr>
        <w:spacing w:line="400" w:lineRule="exact"/>
        <w:ind w:firstLine="420" w:firstLineChars="200"/>
        <w:rPr>
          <w:rFonts w:ascii="宋体" w:hAnsi="宋体"/>
          <w:color w:val="auto"/>
          <w:szCs w:val="21"/>
          <w:highlight w:val="none"/>
        </w:rPr>
      </w:pPr>
      <w:r>
        <w:rPr>
          <w:rFonts w:ascii="宋体" w:hAnsi="宋体"/>
          <w:color w:val="auto"/>
          <w:szCs w:val="21"/>
          <w:highlight w:val="none"/>
        </w:rPr>
        <w:t>5.3.1   设计审查阶段及审查会议时间</w:t>
      </w:r>
    </w:p>
    <w:p>
      <w:pPr>
        <w:spacing w:line="400" w:lineRule="exact"/>
        <w:ind w:firstLine="420" w:firstLineChars="200"/>
        <w:rPr>
          <w:rFonts w:ascii="宋体" w:hAnsi="宋体"/>
          <w:color w:val="auto"/>
          <w:szCs w:val="21"/>
          <w:highlight w:val="none"/>
          <w:u w:val="single"/>
        </w:rPr>
      </w:pPr>
      <w:r>
        <w:rPr>
          <w:rFonts w:hint="eastAsia" w:ascii="宋体" w:hAnsi="宋体"/>
          <w:color w:val="auto"/>
          <w:szCs w:val="21"/>
          <w:highlight w:val="none"/>
        </w:rPr>
        <w:t>本工程的设计审查阶段（名称）：</w:t>
      </w:r>
      <w:r>
        <w:rPr>
          <w:rFonts w:hint="eastAsia" w:ascii="宋体" w:hAnsi="宋体"/>
          <w:color w:val="auto"/>
          <w:szCs w:val="21"/>
          <w:highlight w:val="none"/>
          <w:u w:val="single"/>
        </w:rPr>
        <w:t xml:space="preserve">                                                 </w:t>
      </w:r>
    </w:p>
    <w:p>
      <w:pPr>
        <w:spacing w:line="400" w:lineRule="exact"/>
        <w:ind w:firstLine="420" w:firstLineChars="200"/>
        <w:rPr>
          <w:rFonts w:ascii="宋体" w:hAnsi="宋体"/>
          <w:color w:val="auto"/>
          <w:szCs w:val="21"/>
          <w:highlight w:val="none"/>
          <w:u w:val="single"/>
        </w:rPr>
      </w:pPr>
      <w:r>
        <w:rPr>
          <w:rFonts w:ascii="宋体" w:hAnsi="宋体"/>
          <w:color w:val="auto"/>
          <w:szCs w:val="21"/>
          <w:highlight w:val="none"/>
        </w:rPr>
        <w:t>设计审查阶段及其审查会议的时间安排：</w:t>
      </w:r>
      <w:r>
        <w:rPr>
          <w:rFonts w:ascii="宋体" w:hAnsi="宋体"/>
          <w:color w:val="auto"/>
          <w:szCs w:val="21"/>
          <w:highlight w:val="none"/>
          <w:u w:val="single"/>
        </w:rPr>
        <w:t xml:space="preserve"> 由承包人负责组织设计阶段审查会议，并承担会议相关费用。 </w:t>
      </w:r>
    </w:p>
    <w:p>
      <w:pPr>
        <w:spacing w:before="156" w:beforeLines="50" w:after="156" w:afterLines="50" w:line="400" w:lineRule="exact"/>
        <w:ind w:firstLine="422" w:firstLineChars="200"/>
        <w:rPr>
          <w:rFonts w:ascii="宋体" w:hAnsi="宋体"/>
          <w:b/>
          <w:color w:val="auto"/>
          <w:szCs w:val="21"/>
          <w:highlight w:val="none"/>
        </w:rPr>
      </w:pPr>
      <w:r>
        <w:rPr>
          <w:rFonts w:ascii="宋体" w:hAnsi="宋体"/>
          <w:b/>
          <w:color w:val="auto"/>
          <w:szCs w:val="21"/>
          <w:highlight w:val="none"/>
        </w:rPr>
        <w:t>第6条  工程物资</w:t>
      </w:r>
    </w:p>
    <w:p>
      <w:pPr>
        <w:spacing w:before="156" w:beforeLines="50" w:after="156" w:afterLines="50" w:line="400" w:lineRule="exact"/>
        <w:ind w:firstLine="422" w:firstLineChars="200"/>
        <w:rPr>
          <w:rFonts w:ascii="宋体" w:hAnsi="宋体"/>
          <w:b/>
          <w:color w:val="auto"/>
          <w:szCs w:val="21"/>
          <w:highlight w:val="none"/>
        </w:rPr>
      </w:pPr>
      <w:r>
        <w:rPr>
          <w:rFonts w:ascii="宋体" w:hAnsi="宋体"/>
          <w:b/>
          <w:color w:val="auto"/>
          <w:szCs w:val="21"/>
          <w:highlight w:val="none"/>
        </w:rPr>
        <w:t>6.1  工程物资的提供</w:t>
      </w:r>
    </w:p>
    <w:p>
      <w:pPr>
        <w:spacing w:line="400" w:lineRule="exact"/>
        <w:ind w:firstLine="420" w:firstLineChars="200"/>
        <w:rPr>
          <w:rFonts w:ascii="宋体" w:hAnsi="宋体"/>
          <w:color w:val="auto"/>
          <w:szCs w:val="21"/>
          <w:highlight w:val="none"/>
        </w:rPr>
      </w:pPr>
      <w:r>
        <w:rPr>
          <w:rFonts w:ascii="宋体" w:hAnsi="宋体"/>
          <w:color w:val="auto"/>
          <w:szCs w:val="21"/>
          <w:highlight w:val="none"/>
        </w:rPr>
        <w:t>6.1.1  发包人提供的工程物资</w:t>
      </w:r>
    </w:p>
    <w:p>
      <w:pPr>
        <w:spacing w:line="400" w:lineRule="exact"/>
        <w:ind w:firstLine="525" w:firstLineChars="250"/>
        <w:rPr>
          <w:rFonts w:hint="eastAsia" w:ascii="宋体" w:hAnsi="宋体"/>
          <w:color w:val="auto"/>
          <w:szCs w:val="21"/>
          <w:highlight w:val="none"/>
          <w:u w:val="single"/>
        </w:rPr>
      </w:pPr>
      <w:r>
        <w:rPr>
          <w:rFonts w:ascii="宋体" w:hAnsi="宋体"/>
          <w:color w:val="auto"/>
          <w:szCs w:val="21"/>
          <w:highlight w:val="none"/>
        </w:rPr>
        <w:t>（1）工程物资的类别、估算数量：</w:t>
      </w:r>
      <w:r>
        <w:rPr>
          <w:rFonts w:ascii="宋体" w:hAnsi="宋体"/>
          <w:color w:val="auto"/>
          <w:szCs w:val="21"/>
          <w:highlight w:val="none"/>
          <w:u w:val="single"/>
        </w:rPr>
        <w:t xml:space="preserve"> 无甲供工程物</w:t>
      </w:r>
      <w:r>
        <w:rPr>
          <w:rFonts w:hint="eastAsia" w:ascii="宋体" w:hAnsi="宋体"/>
          <w:color w:val="auto"/>
          <w:szCs w:val="21"/>
          <w:highlight w:val="none"/>
          <w:u w:val="single"/>
        </w:rPr>
        <w:t>资</w:t>
      </w:r>
    </w:p>
    <w:p>
      <w:pPr>
        <w:spacing w:line="400" w:lineRule="exact"/>
        <w:ind w:firstLine="420" w:firstLineChars="200"/>
        <w:rPr>
          <w:rFonts w:ascii="宋体" w:hAnsi="宋体"/>
          <w:color w:val="auto"/>
          <w:szCs w:val="21"/>
          <w:highlight w:val="none"/>
        </w:rPr>
      </w:pPr>
      <w:r>
        <w:rPr>
          <w:rFonts w:ascii="宋体" w:hAnsi="宋体"/>
          <w:color w:val="auto"/>
          <w:szCs w:val="21"/>
          <w:highlight w:val="none"/>
        </w:rPr>
        <w:t>6.1.2  承包人提供的工程物资</w:t>
      </w:r>
    </w:p>
    <w:p>
      <w:pPr>
        <w:spacing w:line="400" w:lineRule="exact"/>
        <w:ind w:firstLine="525" w:firstLineChars="250"/>
        <w:rPr>
          <w:rFonts w:ascii="宋体" w:hAnsi="宋体"/>
          <w:color w:val="auto"/>
          <w:szCs w:val="21"/>
          <w:highlight w:val="none"/>
          <w:u w:val="single"/>
        </w:rPr>
      </w:pPr>
      <w:r>
        <w:rPr>
          <w:rFonts w:ascii="宋体" w:hAnsi="宋体"/>
          <w:color w:val="auto"/>
          <w:szCs w:val="21"/>
          <w:highlight w:val="none"/>
        </w:rPr>
        <w:t>（1）工程物资的类别、估算数量：</w:t>
      </w:r>
      <w:r>
        <w:rPr>
          <w:rFonts w:ascii="宋体" w:hAnsi="宋体"/>
          <w:color w:val="auto"/>
          <w:szCs w:val="21"/>
          <w:highlight w:val="none"/>
          <w:u w:val="single"/>
        </w:rPr>
        <w:t xml:space="preserve">所有进程设备的采购需提前 20 天向发包人提供书面的计划，经发包人、监理审核后方可进场，未经认可安装的设备，发包人不予认可，由此产生的一切后果由承包人自行承担。 </w:t>
      </w:r>
    </w:p>
    <w:p>
      <w:pPr>
        <w:spacing w:line="400" w:lineRule="exact"/>
        <w:ind w:firstLine="525" w:firstLineChars="250"/>
        <w:rPr>
          <w:rFonts w:ascii="宋体" w:hAnsi="宋体"/>
          <w:color w:val="auto"/>
          <w:szCs w:val="21"/>
          <w:highlight w:val="none"/>
          <w:u w:val="single"/>
        </w:rPr>
      </w:pPr>
      <w:r>
        <w:rPr>
          <w:rFonts w:ascii="宋体" w:hAnsi="宋体"/>
          <w:color w:val="auto"/>
          <w:szCs w:val="21"/>
          <w:highlight w:val="none"/>
        </w:rPr>
        <w:t>（3）竣工后试验的生产性材料的类别或（和）清单：</w:t>
      </w:r>
      <w:r>
        <w:rPr>
          <w:rFonts w:ascii="宋体" w:hAnsi="宋体"/>
          <w:color w:val="auto"/>
          <w:szCs w:val="21"/>
          <w:highlight w:val="none"/>
          <w:u w:val="single"/>
        </w:rPr>
        <w:t xml:space="preserve">       /          </w:t>
      </w:r>
    </w:p>
    <w:p>
      <w:pPr>
        <w:spacing w:before="156" w:beforeLines="50" w:after="156" w:afterLines="50" w:line="400" w:lineRule="exact"/>
        <w:ind w:firstLine="422" w:firstLineChars="200"/>
        <w:rPr>
          <w:rFonts w:ascii="宋体" w:hAnsi="宋体"/>
          <w:b/>
          <w:color w:val="auto"/>
          <w:szCs w:val="21"/>
          <w:highlight w:val="none"/>
        </w:rPr>
      </w:pPr>
      <w:r>
        <w:rPr>
          <w:rFonts w:ascii="宋体" w:hAnsi="宋体"/>
          <w:b/>
          <w:color w:val="auto"/>
          <w:szCs w:val="21"/>
          <w:highlight w:val="none"/>
        </w:rPr>
        <w:t>6.2  检验</w:t>
      </w:r>
    </w:p>
    <w:p>
      <w:pPr>
        <w:spacing w:line="400" w:lineRule="exact"/>
        <w:ind w:firstLine="420" w:firstLineChars="200"/>
        <w:rPr>
          <w:rFonts w:ascii="宋体" w:hAnsi="宋体"/>
          <w:color w:val="auto"/>
          <w:szCs w:val="21"/>
          <w:highlight w:val="none"/>
        </w:rPr>
      </w:pPr>
      <w:r>
        <w:rPr>
          <w:rFonts w:ascii="宋体" w:hAnsi="宋体"/>
          <w:color w:val="auto"/>
          <w:szCs w:val="21"/>
          <w:highlight w:val="none"/>
        </w:rPr>
        <w:t xml:space="preserve">6.2.1  </w:t>
      </w:r>
      <w:r>
        <w:rPr>
          <w:rFonts w:hint="eastAsia" w:ascii="宋体" w:hAnsi="宋体"/>
          <w:color w:val="auto"/>
          <w:szCs w:val="21"/>
          <w:highlight w:val="none"/>
        </w:rPr>
        <w:t>工厂</w:t>
      </w:r>
      <w:r>
        <w:rPr>
          <w:rFonts w:ascii="宋体" w:hAnsi="宋体"/>
          <w:color w:val="auto"/>
          <w:szCs w:val="21"/>
          <w:highlight w:val="none"/>
        </w:rPr>
        <w:t>检验与报告</w:t>
      </w:r>
    </w:p>
    <w:p>
      <w:pPr>
        <w:spacing w:line="400" w:lineRule="exact"/>
        <w:ind w:firstLine="420" w:firstLineChars="200"/>
        <w:rPr>
          <w:rFonts w:ascii="宋体" w:hAnsi="宋体"/>
          <w:color w:val="auto"/>
          <w:szCs w:val="21"/>
          <w:highlight w:val="none"/>
          <w:u w:val="single"/>
        </w:rPr>
      </w:pPr>
      <w:r>
        <w:rPr>
          <w:rFonts w:ascii="宋体" w:hAnsi="宋体"/>
          <w:color w:val="auto"/>
          <w:szCs w:val="21"/>
          <w:highlight w:val="none"/>
        </w:rPr>
        <w:t>（1）报告提交日</w:t>
      </w:r>
      <w:r>
        <w:rPr>
          <w:rFonts w:hint="eastAsia" w:ascii="宋体" w:hAnsi="宋体"/>
          <w:color w:val="auto"/>
          <w:szCs w:val="21"/>
          <w:highlight w:val="none"/>
        </w:rPr>
        <w:t>期</w:t>
      </w:r>
      <w:r>
        <w:rPr>
          <w:rFonts w:ascii="宋体" w:hAnsi="宋体"/>
          <w:color w:val="auto"/>
          <w:szCs w:val="21"/>
          <w:highlight w:val="none"/>
        </w:rPr>
        <w:t>、报告内容和提交份数：</w:t>
      </w:r>
      <w:r>
        <w:rPr>
          <w:rFonts w:ascii="宋体" w:hAnsi="宋体"/>
          <w:color w:val="auto"/>
          <w:szCs w:val="21"/>
          <w:highlight w:val="none"/>
          <w:u w:val="single"/>
        </w:rPr>
        <w:t xml:space="preserve">承包人负责对工程物资的强制性检查、检验、检测和试验，并向发包人提供相关报告。承包人采购的材料设备在使用前，承包人应按国家有关标准进行检验或试验，并向发包人提交检验或试验报告，承包人对所提供的报告的真实性负责，若因弄虚作假造成的后果及相关费用均由承包人承担。 </w:t>
      </w:r>
    </w:p>
    <w:p>
      <w:pPr>
        <w:spacing w:before="156" w:beforeLines="50" w:after="156" w:afterLines="50" w:line="400" w:lineRule="exact"/>
        <w:ind w:firstLine="422" w:firstLineChars="200"/>
        <w:rPr>
          <w:rFonts w:ascii="宋体" w:hAnsi="宋体"/>
          <w:b/>
          <w:color w:val="auto"/>
          <w:szCs w:val="21"/>
          <w:highlight w:val="none"/>
        </w:rPr>
      </w:pPr>
      <w:r>
        <w:rPr>
          <w:rFonts w:ascii="宋体" w:hAnsi="宋体"/>
          <w:b/>
          <w:color w:val="auto"/>
          <w:szCs w:val="21"/>
          <w:highlight w:val="none"/>
        </w:rPr>
        <w:t>6.3  进口工程物资的采购</w:t>
      </w:r>
      <w:r>
        <w:rPr>
          <w:rFonts w:hint="eastAsia" w:ascii="宋体" w:hAnsi="宋体"/>
          <w:b/>
          <w:color w:val="auto"/>
          <w:szCs w:val="21"/>
          <w:highlight w:val="none"/>
        </w:rPr>
        <w:t>、报关和清关</w:t>
      </w:r>
    </w:p>
    <w:p>
      <w:pPr>
        <w:spacing w:line="400" w:lineRule="exact"/>
        <w:ind w:firstLine="420" w:firstLineChars="200"/>
        <w:rPr>
          <w:rFonts w:ascii="宋体" w:hAnsi="宋体"/>
          <w:color w:val="auto"/>
          <w:szCs w:val="21"/>
          <w:highlight w:val="none"/>
          <w:u w:val="single"/>
        </w:rPr>
      </w:pPr>
      <w:r>
        <w:rPr>
          <w:rFonts w:ascii="宋体" w:hAnsi="宋体"/>
          <w:color w:val="auto"/>
          <w:szCs w:val="21"/>
          <w:highlight w:val="none"/>
        </w:rPr>
        <w:t>6.3.1  采购责任方及采购方式：</w:t>
      </w:r>
      <w:r>
        <w:rPr>
          <w:rFonts w:ascii="宋体" w:hAnsi="宋体"/>
          <w:color w:val="auto"/>
          <w:szCs w:val="21"/>
          <w:highlight w:val="none"/>
          <w:u w:val="single"/>
        </w:rPr>
        <w:t xml:space="preserve"> 由承包人负责，物资采购前须请示发包人批准。 </w:t>
      </w:r>
    </w:p>
    <w:p>
      <w:pPr>
        <w:spacing w:before="156" w:beforeLines="50" w:after="156" w:afterLines="50" w:line="400" w:lineRule="exact"/>
        <w:ind w:firstLine="422" w:firstLineChars="200"/>
        <w:rPr>
          <w:rFonts w:ascii="宋体" w:hAnsi="宋体"/>
          <w:b/>
          <w:color w:val="auto"/>
          <w:szCs w:val="21"/>
          <w:highlight w:val="none"/>
        </w:rPr>
      </w:pPr>
      <w:r>
        <w:rPr>
          <w:rFonts w:ascii="宋体" w:hAnsi="宋体"/>
          <w:b/>
          <w:color w:val="auto"/>
          <w:szCs w:val="21"/>
          <w:highlight w:val="none"/>
        </w:rPr>
        <w:t>6.6  工程物资保管与剩余</w:t>
      </w:r>
    </w:p>
    <w:p>
      <w:pPr>
        <w:spacing w:line="400" w:lineRule="exact"/>
        <w:ind w:firstLine="420" w:firstLineChars="200"/>
        <w:rPr>
          <w:rFonts w:ascii="宋体" w:hAnsi="宋体"/>
          <w:color w:val="auto"/>
          <w:szCs w:val="21"/>
          <w:highlight w:val="none"/>
        </w:rPr>
      </w:pPr>
      <w:r>
        <w:rPr>
          <w:rFonts w:ascii="宋体" w:hAnsi="宋体"/>
          <w:color w:val="auto"/>
          <w:szCs w:val="21"/>
          <w:highlight w:val="none"/>
        </w:rPr>
        <w:t>6.6.1  工程物资保管</w:t>
      </w:r>
    </w:p>
    <w:p>
      <w:pPr>
        <w:spacing w:before="156" w:beforeLines="50" w:after="156" w:afterLines="50" w:line="400" w:lineRule="exact"/>
        <w:ind w:firstLine="420" w:firstLineChars="200"/>
        <w:rPr>
          <w:rFonts w:ascii="宋体" w:hAnsi="宋体"/>
          <w:b/>
          <w:color w:val="auto"/>
          <w:szCs w:val="21"/>
          <w:highlight w:val="none"/>
        </w:rPr>
      </w:pPr>
      <w:r>
        <w:rPr>
          <w:rFonts w:hint="eastAsia" w:ascii="宋体" w:hAnsi="宋体"/>
          <w:color w:val="auto"/>
          <w:szCs w:val="21"/>
          <w:highlight w:val="none"/>
        </w:rPr>
        <w:t>委托承包人保管的工程物资的类别和估算数量：</w:t>
      </w:r>
      <w:r>
        <w:rPr>
          <w:rFonts w:ascii="宋体" w:hAnsi="宋体"/>
          <w:color w:val="auto"/>
          <w:szCs w:val="21"/>
          <w:highlight w:val="none"/>
          <w:u w:val="single"/>
        </w:rPr>
        <w:t xml:space="preserve">       /          </w:t>
      </w:r>
      <w:r>
        <w:rPr>
          <w:rFonts w:ascii="宋体" w:hAnsi="宋体"/>
          <w:bCs/>
          <w:color w:val="auto"/>
          <w:szCs w:val="21"/>
          <w:highlight w:val="none"/>
          <w:u w:val="single"/>
        </w:rPr>
        <w:t>。</w:t>
      </w:r>
      <w:r>
        <w:rPr>
          <w:rFonts w:ascii="宋体" w:hAnsi="宋体"/>
          <w:b/>
          <w:color w:val="auto"/>
          <w:szCs w:val="21"/>
          <w:highlight w:val="none"/>
        </w:rPr>
        <w:t xml:space="preserve"> </w:t>
      </w:r>
    </w:p>
    <w:p>
      <w:pPr>
        <w:spacing w:before="156" w:beforeLines="50" w:after="156" w:afterLines="50" w:line="400" w:lineRule="exact"/>
        <w:ind w:firstLine="420" w:firstLineChars="200"/>
        <w:rPr>
          <w:rFonts w:ascii="宋体" w:hAnsi="宋体"/>
          <w:bCs/>
          <w:color w:val="auto"/>
          <w:szCs w:val="21"/>
          <w:highlight w:val="none"/>
          <w:u w:val="single"/>
        </w:rPr>
      </w:pPr>
      <w:r>
        <w:rPr>
          <w:rFonts w:ascii="宋体" w:hAnsi="宋体"/>
          <w:bCs/>
          <w:color w:val="auto"/>
          <w:szCs w:val="21"/>
          <w:highlight w:val="none"/>
        </w:rPr>
        <w:t>承包人提交保管、维护方案的时间：</w:t>
      </w:r>
      <w:r>
        <w:rPr>
          <w:rFonts w:ascii="宋体" w:hAnsi="宋体"/>
          <w:bCs/>
          <w:color w:val="auto"/>
          <w:szCs w:val="21"/>
          <w:highlight w:val="none"/>
          <w:u w:val="single"/>
        </w:rPr>
        <w:t xml:space="preserve">承包人提交的各设备、各分项的维保时间不得低于现行的国家及行业标准。 </w:t>
      </w:r>
    </w:p>
    <w:p>
      <w:pPr>
        <w:spacing w:before="156" w:beforeLines="50" w:after="156" w:afterLines="50" w:line="400" w:lineRule="exact"/>
        <w:ind w:firstLine="420" w:firstLineChars="200"/>
        <w:rPr>
          <w:rFonts w:ascii="宋体" w:hAnsi="宋体"/>
          <w:bCs/>
          <w:color w:val="auto"/>
          <w:szCs w:val="21"/>
          <w:highlight w:val="none"/>
        </w:rPr>
      </w:pPr>
      <w:r>
        <w:rPr>
          <w:rFonts w:ascii="宋体" w:hAnsi="宋体"/>
          <w:bCs/>
          <w:color w:val="auto"/>
          <w:szCs w:val="21"/>
          <w:highlight w:val="none"/>
        </w:rPr>
        <w:t>发包人提供的库房、堆场、设施和设备：</w:t>
      </w:r>
      <w:r>
        <w:rPr>
          <w:rFonts w:ascii="宋体" w:hAnsi="宋体"/>
          <w:color w:val="auto"/>
          <w:szCs w:val="21"/>
          <w:highlight w:val="none"/>
          <w:u w:val="single"/>
        </w:rPr>
        <w:t xml:space="preserve">       /          </w:t>
      </w:r>
      <w:r>
        <w:rPr>
          <w:rFonts w:ascii="宋体" w:hAnsi="宋体"/>
          <w:bCs/>
          <w:color w:val="auto"/>
          <w:szCs w:val="21"/>
          <w:highlight w:val="none"/>
          <w:u w:val="single"/>
        </w:rPr>
        <w:t xml:space="preserve">。 </w:t>
      </w:r>
    </w:p>
    <w:p>
      <w:pPr>
        <w:spacing w:before="156" w:beforeLines="50" w:after="156" w:afterLines="50" w:line="400" w:lineRule="exact"/>
        <w:ind w:firstLine="422" w:firstLineChars="200"/>
        <w:rPr>
          <w:rFonts w:ascii="宋体" w:hAnsi="宋体"/>
          <w:b/>
          <w:color w:val="auto"/>
          <w:szCs w:val="21"/>
          <w:highlight w:val="none"/>
        </w:rPr>
      </w:pPr>
      <w:r>
        <w:rPr>
          <w:rFonts w:ascii="宋体" w:hAnsi="宋体"/>
          <w:b/>
          <w:color w:val="auto"/>
          <w:szCs w:val="21"/>
          <w:highlight w:val="none"/>
        </w:rPr>
        <w:t>第7条  施工</w:t>
      </w:r>
    </w:p>
    <w:p>
      <w:pPr>
        <w:spacing w:before="156" w:beforeLines="50" w:after="156" w:afterLines="50" w:line="400" w:lineRule="exact"/>
        <w:ind w:firstLine="422" w:firstLineChars="200"/>
        <w:rPr>
          <w:rFonts w:ascii="宋体" w:hAnsi="宋体"/>
          <w:b/>
          <w:color w:val="auto"/>
          <w:szCs w:val="21"/>
          <w:highlight w:val="none"/>
        </w:rPr>
      </w:pPr>
      <w:r>
        <w:rPr>
          <w:rFonts w:ascii="宋体" w:hAnsi="宋体"/>
          <w:b/>
          <w:color w:val="auto"/>
          <w:szCs w:val="21"/>
          <w:highlight w:val="none"/>
        </w:rPr>
        <w:t>7.1  发包人的义务</w:t>
      </w:r>
    </w:p>
    <w:p>
      <w:pPr>
        <w:spacing w:line="400" w:lineRule="exact"/>
        <w:ind w:firstLine="420" w:firstLineChars="200"/>
        <w:rPr>
          <w:rFonts w:ascii="宋体" w:hAnsi="宋体"/>
          <w:color w:val="auto"/>
          <w:szCs w:val="21"/>
          <w:highlight w:val="none"/>
        </w:rPr>
      </w:pPr>
      <w:r>
        <w:rPr>
          <w:rFonts w:ascii="宋体" w:hAnsi="宋体"/>
          <w:color w:val="auto"/>
          <w:szCs w:val="21"/>
          <w:highlight w:val="none"/>
        </w:rPr>
        <w:t>7.1.3  进场条件和进场日期</w:t>
      </w:r>
    </w:p>
    <w:p>
      <w:pPr>
        <w:spacing w:line="400" w:lineRule="exact"/>
        <w:ind w:firstLine="420" w:firstLineChars="200"/>
        <w:rPr>
          <w:rFonts w:ascii="宋体" w:hAnsi="宋体"/>
          <w:color w:val="auto"/>
          <w:szCs w:val="21"/>
          <w:highlight w:val="none"/>
          <w:u w:val="single"/>
        </w:rPr>
      </w:pPr>
      <w:r>
        <w:rPr>
          <w:rFonts w:ascii="宋体" w:hAnsi="宋体"/>
          <w:color w:val="auto"/>
          <w:szCs w:val="21"/>
          <w:highlight w:val="none"/>
        </w:rPr>
        <w:t>承包人的进场条件：</w:t>
      </w:r>
      <w:r>
        <w:rPr>
          <w:rFonts w:ascii="宋体" w:hAnsi="宋体"/>
          <w:color w:val="auto"/>
          <w:szCs w:val="21"/>
          <w:highlight w:val="none"/>
          <w:u w:val="single"/>
        </w:rPr>
        <w:t xml:space="preserve">向承包人提供由当地建设、规划部门认可的水准点与坐标控制点。 </w:t>
      </w:r>
    </w:p>
    <w:p>
      <w:pPr>
        <w:spacing w:line="400" w:lineRule="exact"/>
        <w:ind w:firstLine="420" w:firstLineChars="200"/>
        <w:rPr>
          <w:rFonts w:ascii="宋体" w:hAnsi="宋体"/>
          <w:color w:val="auto"/>
          <w:szCs w:val="21"/>
          <w:highlight w:val="none"/>
          <w:u w:val="single"/>
        </w:rPr>
      </w:pPr>
      <w:r>
        <w:rPr>
          <w:rFonts w:ascii="宋体" w:hAnsi="宋体"/>
          <w:color w:val="auto"/>
          <w:szCs w:val="21"/>
          <w:highlight w:val="none"/>
        </w:rPr>
        <w:t>承包人的进厂日期：</w:t>
      </w:r>
      <w:r>
        <w:rPr>
          <w:rFonts w:ascii="宋体" w:hAnsi="宋体"/>
          <w:color w:val="auto"/>
          <w:szCs w:val="21"/>
          <w:highlight w:val="none"/>
          <w:u w:val="single"/>
        </w:rPr>
        <w:t xml:space="preserve">  按招标人要求</w:t>
      </w:r>
    </w:p>
    <w:p>
      <w:pPr>
        <w:spacing w:line="400" w:lineRule="exact"/>
        <w:ind w:firstLine="420" w:firstLineChars="200"/>
        <w:rPr>
          <w:rFonts w:ascii="宋体" w:hAnsi="宋体"/>
          <w:color w:val="auto"/>
          <w:szCs w:val="21"/>
          <w:highlight w:val="none"/>
        </w:rPr>
      </w:pPr>
      <w:r>
        <w:rPr>
          <w:rFonts w:ascii="宋体" w:hAnsi="宋体"/>
          <w:color w:val="auto"/>
          <w:szCs w:val="21"/>
          <w:highlight w:val="none"/>
        </w:rPr>
        <w:t>7.1.4  临时用水电等提供和节点铺设</w:t>
      </w:r>
    </w:p>
    <w:p>
      <w:pPr>
        <w:spacing w:line="400" w:lineRule="exact"/>
        <w:ind w:firstLine="420" w:firstLineChars="200"/>
        <w:rPr>
          <w:rFonts w:ascii="宋体" w:hAnsi="宋体"/>
          <w:color w:val="auto"/>
          <w:szCs w:val="21"/>
          <w:highlight w:val="none"/>
        </w:rPr>
      </w:pPr>
      <w:r>
        <w:rPr>
          <w:rFonts w:ascii="宋体" w:hAnsi="宋体"/>
          <w:color w:val="auto"/>
          <w:szCs w:val="21"/>
          <w:highlight w:val="none"/>
        </w:rPr>
        <w:t>发包人提供的临时用水、用电等类别、取费单价：</w:t>
      </w:r>
      <w:r>
        <w:rPr>
          <w:rFonts w:ascii="宋体" w:hAnsi="宋体"/>
          <w:color w:val="auto"/>
          <w:szCs w:val="21"/>
          <w:highlight w:val="none"/>
          <w:u w:val="single"/>
        </w:rPr>
        <w:t>按工程所在地供电供水部门的规定执行。</w:t>
      </w:r>
      <w:r>
        <w:rPr>
          <w:rFonts w:ascii="宋体" w:hAnsi="宋体"/>
          <w:color w:val="auto"/>
          <w:szCs w:val="21"/>
          <w:highlight w:val="none"/>
        </w:rPr>
        <w:t xml:space="preserve"> </w:t>
      </w:r>
    </w:p>
    <w:p>
      <w:pPr>
        <w:spacing w:line="400" w:lineRule="exact"/>
        <w:ind w:firstLine="420" w:firstLineChars="200"/>
        <w:rPr>
          <w:rFonts w:ascii="宋体" w:hAnsi="宋体"/>
          <w:color w:val="auto"/>
          <w:szCs w:val="21"/>
          <w:highlight w:val="none"/>
        </w:rPr>
      </w:pPr>
      <w:r>
        <w:rPr>
          <w:rFonts w:ascii="宋体" w:hAnsi="宋体"/>
          <w:color w:val="auto"/>
          <w:szCs w:val="21"/>
          <w:highlight w:val="none"/>
        </w:rPr>
        <w:t>7.1.10  由发包人履行的其它义务：</w:t>
      </w:r>
      <w:r>
        <w:rPr>
          <w:rFonts w:ascii="宋体" w:hAnsi="宋体"/>
          <w:color w:val="auto"/>
          <w:szCs w:val="21"/>
          <w:highlight w:val="none"/>
          <w:u w:val="single"/>
        </w:rPr>
        <w:t xml:space="preserve">              /                    </w:t>
      </w:r>
    </w:p>
    <w:p>
      <w:pPr>
        <w:spacing w:before="156" w:beforeLines="50" w:after="156" w:afterLines="50" w:line="400" w:lineRule="exact"/>
        <w:ind w:firstLine="422" w:firstLineChars="200"/>
        <w:rPr>
          <w:rFonts w:ascii="宋体" w:hAnsi="宋体"/>
          <w:b/>
          <w:color w:val="auto"/>
          <w:szCs w:val="21"/>
          <w:highlight w:val="none"/>
        </w:rPr>
      </w:pPr>
      <w:r>
        <w:rPr>
          <w:rFonts w:ascii="宋体" w:hAnsi="宋体"/>
          <w:b/>
          <w:color w:val="auto"/>
          <w:szCs w:val="21"/>
          <w:highlight w:val="none"/>
        </w:rPr>
        <w:t>7.2  承包人的义务</w:t>
      </w:r>
    </w:p>
    <w:p>
      <w:pPr>
        <w:spacing w:line="400" w:lineRule="exact"/>
        <w:ind w:firstLine="420" w:firstLineChars="200"/>
        <w:rPr>
          <w:rFonts w:ascii="宋体" w:hAnsi="宋体"/>
          <w:color w:val="auto"/>
          <w:szCs w:val="21"/>
          <w:highlight w:val="none"/>
        </w:rPr>
      </w:pPr>
      <w:r>
        <w:rPr>
          <w:rFonts w:ascii="宋体" w:hAnsi="宋体"/>
          <w:color w:val="auto"/>
          <w:szCs w:val="21"/>
          <w:highlight w:val="none"/>
        </w:rPr>
        <w:t>7.2.2  施工组织设计</w:t>
      </w:r>
    </w:p>
    <w:p>
      <w:pPr>
        <w:spacing w:line="400" w:lineRule="exact"/>
        <w:ind w:firstLine="420" w:firstLineChars="200"/>
        <w:rPr>
          <w:rFonts w:ascii="宋体" w:hAnsi="宋体"/>
          <w:color w:val="auto"/>
          <w:szCs w:val="21"/>
          <w:highlight w:val="none"/>
          <w:u w:val="single"/>
        </w:rPr>
      </w:pPr>
      <w:r>
        <w:rPr>
          <w:rFonts w:ascii="宋体" w:hAnsi="宋体"/>
          <w:color w:val="auto"/>
          <w:szCs w:val="21"/>
          <w:highlight w:val="none"/>
        </w:rPr>
        <w:t>提交工程总体施工组织设计的份数和时间</w:t>
      </w:r>
      <w:r>
        <w:rPr>
          <w:rFonts w:hint="eastAsia" w:ascii="宋体" w:hAnsi="宋体" w:cs="宋体"/>
          <w:color w:val="auto"/>
          <w:szCs w:val="21"/>
          <w:highlight w:val="none"/>
          <w:u w:val="single"/>
        </w:rPr>
        <w:t xml:space="preserve">           /                   </w:t>
      </w:r>
    </w:p>
    <w:p>
      <w:pPr>
        <w:spacing w:line="400" w:lineRule="exact"/>
        <w:ind w:firstLine="420" w:firstLineChars="200"/>
        <w:rPr>
          <w:rFonts w:ascii="宋体" w:hAnsi="宋体"/>
          <w:color w:val="auto"/>
          <w:szCs w:val="21"/>
          <w:highlight w:val="none"/>
          <w:u w:val="single"/>
        </w:rPr>
      </w:pPr>
      <w:r>
        <w:rPr>
          <w:rFonts w:ascii="宋体" w:hAnsi="宋体"/>
          <w:color w:val="auto"/>
          <w:szCs w:val="21"/>
          <w:highlight w:val="none"/>
        </w:rPr>
        <w:t>需要提交的主要单项工程、主要分部分项工程施工组织设计的名称、份数和时间：</w:t>
      </w:r>
      <w:r>
        <w:rPr>
          <w:rFonts w:ascii="宋体" w:hAnsi="宋体"/>
          <w:color w:val="auto"/>
          <w:szCs w:val="21"/>
          <w:highlight w:val="none"/>
          <w:u w:val="single"/>
        </w:rPr>
        <w:t xml:space="preserve">相应工程开工前一周内向发包人提供主要单项工程、主要分部分项工程施工组织设计三份。 </w:t>
      </w:r>
    </w:p>
    <w:p>
      <w:pPr>
        <w:spacing w:line="400" w:lineRule="exact"/>
        <w:ind w:firstLine="420" w:firstLineChars="200"/>
        <w:rPr>
          <w:rFonts w:ascii="宋体" w:hAnsi="宋体"/>
          <w:color w:val="auto"/>
          <w:szCs w:val="21"/>
          <w:highlight w:val="none"/>
        </w:rPr>
      </w:pPr>
      <w:r>
        <w:rPr>
          <w:rFonts w:ascii="宋体" w:hAnsi="宋体"/>
          <w:color w:val="auto"/>
          <w:szCs w:val="21"/>
          <w:highlight w:val="none"/>
        </w:rPr>
        <w:t>7.2.3  提交临时占地资料</w:t>
      </w:r>
    </w:p>
    <w:p>
      <w:pPr>
        <w:spacing w:line="400" w:lineRule="exact"/>
        <w:ind w:firstLine="420" w:firstLineChars="200"/>
        <w:rPr>
          <w:rFonts w:ascii="宋体" w:hAnsi="宋体"/>
          <w:color w:val="auto"/>
          <w:szCs w:val="21"/>
          <w:highlight w:val="none"/>
        </w:rPr>
      </w:pPr>
      <w:r>
        <w:rPr>
          <w:rFonts w:ascii="宋体" w:hAnsi="宋体"/>
          <w:color w:val="auto"/>
          <w:szCs w:val="21"/>
          <w:highlight w:val="none"/>
        </w:rPr>
        <w:t>提交临时占地资料的</w:t>
      </w:r>
      <w:r>
        <w:rPr>
          <w:rFonts w:hint="eastAsia" w:ascii="宋体" w:hAnsi="宋体"/>
          <w:color w:val="auto"/>
          <w:szCs w:val="21"/>
          <w:highlight w:val="none"/>
        </w:rPr>
        <w:t>份数和</w:t>
      </w:r>
      <w:r>
        <w:rPr>
          <w:rFonts w:ascii="宋体" w:hAnsi="宋体"/>
          <w:color w:val="auto"/>
          <w:szCs w:val="21"/>
          <w:highlight w:val="none"/>
        </w:rPr>
        <w:t>时间：</w:t>
      </w:r>
      <w:r>
        <w:rPr>
          <w:rFonts w:ascii="宋体" w:hAnsi="宋体"/>
          <w:color w:val="auto"/>
          <w:szCs w:val="21"/>
          <w:highlight w:val="none"/>
          <w:u w:val="single"/>
        </w:rPr>
        <w:t xml:space="preserve">              /                           </w:t>
      </w:r>
    </w:p>
    <w:p>
      <w:pPr>
        <w:spacing w:line="400" w:lineRule="exact"/>
        <w:ind w:firstLine="420" w:firstLineChars="200"/>
        <w:rPr>
          <w:rFonts w:ascii="宋体" w:hAnsi="宋体"/>
          <w:color w:val="auto"/>
          <w:szCs w:val="21"/>
          <w:highlight w:val="none"/>
        </w:rPr>
      </w:pPr>
      <w:r>
        <w:rPr>
          <w:rFonts w:ascii="宋体" w:hAnsi="宋体"/>
          <w:color w:val="auto"/>
          <w:szCs w:val="21"/>
          <w:highlight w:val="none"/>
        </w:rPr>
        <w:t>7.2.4  提供临时用水电等资料</w:t>
      </w:r>
    </w:p>
    <w:p>
      <w:pPr>
        <w:spacing w:line="400" w:lineRule="exact"/>
        <w:ind w:firstLine="420" w:firstLineChars="200"/>
        <w:rPr>
          <w:rFonts w:ascii="宋体" w:hAnsi="宋体"/>
          <w:color w:val="auto"/>
          <w:szCs w:val="21"/>
          <w:highlight w:val="none"/>
          <w:u w:val="single"/>
        </w:rPr>
      </w:pPr>
      <w:r>
        <w:rPr>
          <w:rFonts w:ascii="宋体" w:hAnsi="宋体"/>
          <w:color w:val="auto"/>
          <w:szCs w:val="21"/>
          <w:highlight w:val="none"/>
        </w:rPr>
        <w:t>承包人需要水电等品质、正常用量、高峰</w:t>
      </w:r>
      <w:r>
        <w:rPr>
          <w:rFonts w:hint="eastAsia" w:ascii="宋体" w:hAnsi="宋体"/>
          <w:color w:val="auto"/>
          <w:szCs w:val="21"/>
          <w:highlight w:val="none"/>
        </w:rPr>
        <w:t>用</w:t>
      </w:r>
      <w:r>
        <w:rPr>
          <w:rFonts w:ascii="宋体" w:hAnsi="宋体"/>
          <w:color w:val="auto"/>
          <w:szCs w:val="21"/>
          <w:highlight w:val="none"/>
        </w:rPr>
        <w:t>量和使用时间：</w:t>
      </w:r>
      <w:r>
        <w:rPr>
          <w:rFonts w:ascii="宋体" w:hAnsi="宋体"/>
          <w:color w:val="auto"/>
          <w:szCs w:val="21"/>
          <w:highlight w:val="none"/>
          <w:u w:val="single"/>
        </w:rPr>
        <w:t xml:space="preserve"> 临时用水、用电等和节点铺设均由承包人自行计划，自行铺设，自行申报，产生的费用均包含在合同价中。</w:t>
      </w:r>
    </w:p>
    <w:p>
      <w:pPr>
        <w:spacing w:line="400" w:lineRule="exact"/>
        <w:ind w:firstLine="420" w:firstLineChars="200"/>
        <w:rPr>
          <w:rFonts w:ascii="宋体" w:hAnsi="宋体"/>
          <w:color w:val="auto"/>
          <w:szCs w:val="21"/>
          <w:highlight w:val="none"/>
          <w:u w:val="single"/>
        </w:rPr>
      </w:pPr>
      <w:r>
        <w:rPr>
          <w:rFonts w:ascii="宋体" w:hAnsi="宋体"/>
          <w:color w:val="auto"/>
          <w:szCs w:val="21"/>
          <w:highlight w:val="none"/>
        </w:rPr>
        <w:t>发包人能够满足施工临时用水、电等类别和数量：</w:t>
      </w:r>
      <w:r>
        <w:rPr>
          <w:rFonts w:ascii="宋体" w:hAnsi="宋体"/>
          <w:color w:val="auto"/>
          <w:szCs w:val="21"/>
          <w:highlight w:val="none"/>
          <w:u w:val="single"/>
        </w:rPr>
        <w:t xml:space="preserve"> 按工程所在地供电供水部门的规定执行，满足工程建设需要。 </w:t>
      </w:r>
    </w:p>
    <w:p>
      <w:pPr>
        <w:spacing w:line="400" w:lineRule="exact"/>
        <w:ind w:firstLine="420" w:firstLineChars="200"/>
        <w:rPr>
          <w:rFonts w:ascii="宋体" w:hAnsi="宋体"/>
          <w:color w:val="auto"/>
          <w:szCs w:val="21"/>
          <w:highlight w:val="none"/>
          <w:u w:val="single"/>
        </w:rPr>
      </w:pPr>
      <w:r>
        <w:rPr>
          <w:rFonts w:ascii="宋体" w:hAnsi="宋体"/>
          <w:color w:val="auto"/>
          <w:szCs w:val="21"/>
          <w:highlight w:val="none"/>
        </w:rPr>
        <w:t>水电等节点位置资料的提交时间：</w:t>
      </w:r>
      <w:r>
        <w:rPr>
          <w:rFonts w:ascii="宋体" w:hAnsi="宋体"/>
          <w:color w:val="auto"/>
          <w:szCs w:val="21"/>
          <w:highlight w:val="none"/>
          <w:u w:val="single"/>
        </w:rPr>
        <w:t xml:space="preserve"> 开工前30天提交。</w:t>
      </w:r>
    </w:p>
    <w:p>
      <w:pPr>
        <w:spacing w:line="400" w:lineRule="exact"/>
        <w:ind w:firstLine="420" w:firstLineChars="200"/>
        <w:rPr>
          <w:rFonts w:ascii="宋体" w:hAnsi="宋体"/>
          <w:color w:val="auto"/>
          <w:szCs w:val="21"/>
          <w:highlight w:val="none"/>
          <w:u w:val="single"/>
        </w:rPr>
      </w:pPr>
      <w:r>
        <w:rPr>
          <w:rFonts w:ascii="宋体" w:hAnsi="宋体"/>
          <w:color w:val="auto"/>
          <w:szCs w:val="21"/>
          <w:highlight w:val="none"/>
        </w:rPr>
        <w:t>7.2.12  清理现场的费用：</w:t>
      </w:r>
      <w:r>
        <w:rPr>
          <w:rFonts w:hint="eastAsia" w:ascii="宋体" w:hAnsi="宋体"/>
          <w:color w:val="auto"/>
          <w:szCs w:val="21"/>
          <w:highlight w:val="none"/>
          <w:u w:val="single"/>
        </w:rPr>
        <w:t xml:space="preserve">    /     </w:t>
      </w:r>
      <w:r>
        <w:rPr>
          <w:rFonts w:ascii="宋体" w:hAnsi="宋体"/>
          <w:color w:val="auto"/>
          <w:szCs w:val="21"/>
          <w:highlight w:val="none"/>
          <w:u w:val="single"/>
        </w:rPr>
        <w:t>。</w:t>
      </w:r>
    </w:p>
    <w:p>
      <w:pPr>
        <w:spacing w:line="400" w:lineRule="exact"/>
        <w:ind w:firstLine="420" w:firstLineChars="200"/>
        <w:rPr>
          <w:rFonts w:ascii="宋体" w:hAnsi="宋体"/>
          <w:color w:val="auto"/>
          <w:szCs w:val="21"/>
          <w:highlight w:val="none"/>
          <w:u w:val="single"/>
        </w:rPr>
      </w:pPr>
      <w:r>
        <w:rPr>
          <w:rFonts w:ascii="宋体" w:hAnsi="宋体"/>
          <w:color w:val="auto"/>
          <w:szCs w:val="21"/>
          <w:highlight w:val="none"/>
        </w:rPr>
        <w:t>7.2.13  由承包人履行的其它义务：（1）承担施工安全保卫工作及夜间施工照明的责任和要求：</w:t>
      </w:r>
      <w:r>
        <w:rPr>
          <w:rFonts w:ascii="宋体" w:hAnsi="宋体"/>
          <w:color w:val="auto"/>
          <w:szCs w:val="21"/>
          <w:highlight w:val="none"/>
          <w:u w:val="single"/>
        </w:rPr>
        <w:t>承办施工临时居住证手续以及计划生育手续，施工现场的夜间照明线路必须单独铺设。承包人必须按合同及投标书进行施工组织。承包人应加强安全生产管理，制定安全操作规程，保证工程施工的安全，承包人应教育其职工进行文明施工，配备必要的安全生产设施和劳动保护用具。承包人应对其管辖范围内的人员和设备（包括发包人的人员和设备）以及工程的安全负责，应负责做好其所辖人员的工作场所和居住区的日常治安管理和安全保护工作，设置必要的消防水源和消防设备。承包人必须对施工现场的用电安全负责。施工现场用电必须遵照桐乡市建设局颁布的施工现场用电管理条例执行。在工地现场做好警戒告示牌和围护，提醒进入施工现场人员的注意。所发生的费用由承包人承担。</w:t>
      </w:r>
    </w:p>
    <w:p>
      <w:pPr>
        <w:spacing w:line="400" w:lineRule="exact"/>
        <w:ind w:firstLine="420" w:firstLineChars="200"/>
        <w:rPr>
          <w:rFonts w:ascii="宋体" w:hAnsi="宋体"/>
          <w:color w:val="auto"/>
          <w:szCs w:val="21"/>
          <w:highlight w:val="none"/>
          <w:u w:val="single"/>
        </w:rPr>
      </w:pPr>
      <w:r>
        <w:rPr>
          <w:rFonts w:ascii="宋体" w:hAnsi="宋体"/>
          <w:color w:val="auto"/>
          <w:szCs w:val="21"/>
          <w:highlight w:val="none"/>
        </w:rPr>
        <w:t>（2）需承包人办理的有关施工场地交通、环卫和施工噪音管理等手续：</w:t>
      </w:r>
      <w:r>
        <w:rPr>
          <w:rFonts w:ascii="宋体" w:hAnsi="宋体"/>
          <w:color w:val="auto"/>
          <w:szCs w:val="21"/>
          <w:highlight w:val="none"/>
          <w:u w:val="single"/>
        </w:rPr>
        <w:t xml:space="preserve">按有关规定办理质安监、排污接管、临时排水、道路开口、破绿占绿、占用人行道、夜间施工等手续，费用自理。 </w:t>
      </w:r>
    </w:p>
    <w:p>
      <w:pPr>
        <w:spacing w:line="400" w:lineRule="exact"/>
        <w:ind w:firstLine="420" w:firstLineChars="200"/>
        <w:rPr>
          <w:rFonts w:ascii="宋体" w:hAnsi="宋体"/>
          <w:color w:val="auto"/>
          <w:szCs w:val="21"/>
          <w:highlight w:val="none"/>
          <w:u w:val="single"/>
        </w:rPr>
      </w:pPr>
      <w:r>
        <w:rPr>
          <w:rFonts w:ascii="宋体" w:hAnsi="宋体"/>
          <w:color w:val="auto"/>
          <w:szCs w:val="21"/>
          <w:highlight w:val="none"/>
        </w:rPr>
        <w:t>（3）完工工程成品保护的特殊要求及费用承担：</w:t>
      </w:r>
      <w:r>
        <w:rPr>
          <w:rFonts w:ascii="宋体" w:hAnsi="宋体"/>
          <w:color w:val="auto"/>
          <w:szCs w:val="21"/>
          <w:highlight w:val="none"/>
          <w:u w:val="single"/>
        </w:rPr>
        <w:t xml:space="preserve">工程未正式办理交付手续前，成品保护由承包人完全负责（包括所需费用），如果保护期间发生损坏，承包人须自费予以修复，直至发包人满意为止。交付手续办清后，非质量原因引起的损坏由发包人完全负责。 </w:t>
      </w:r>
    </w:p>
    <w:p>
      <w:pPr>
        <w:spacing w:line="400" w:lineRule="exact"/>
        <w:ind w:firstLine="420" w:firstLineChars="200"/>
        <w:rPr>
          <w:rFonts w:ascii="宋体" w:hAnsi="宋体"/>
          <w:color w:val="auto"/>
          <w:szCs w:val="21"/>
          <w:highlight w:val="none"/>
          <w:u w:val="single"/>
        </w:rPr>
      </w:pPr>
      <w:r>
        <w:rPr>
          <w:rFonts w:ascii="宋体" w:hAnsi="宋体"/>
          <w:color w:val="auto"/>
          <w:szCs w:val="21"/>
          <w:highlight w:val="none"/>
        </w:rPr>
        <w:t xml:space="preserve"> （4）</w:t>
      </w:r>
      <w:r>
        <w:rPr>
          <w:rFonts w:ascii="宋体" w:hAnsi="宋体"/>
          <w:color w:val="auto"/>
          <w:szCs w:val="21"/>
          <w:highlight w:val="none"/>
          <w:u w:val="single"/>
        </w:rPr>
        <w:t xml:space="preserve">施工时发生异常情况，应及时向发包人、监理单位报告，知情不报引起的工程损失或其他损失由承包人全权负责； </w:t>
      </w:r>
    </w:p>
    <w:p>
      <w:pPr>
        <w:spacing w:line="400" w:lineRule="exact"/>
        <w:ind w:firstLine="420" w:firstLineChars="200"/>
        <w:rPr>
          <w:rFonts w:ascii="宋体" w:hAnsi="宋体"/>
          <w:color w:val="auto"/>
          <w:szCs w:val="21"/>
          <w:highlight w:val="none"/>
          <w:u w:val="single"/>
        </w:rPr>
      </w:pPr>
      <w:r>
        <w:rPr>
          <w:rFonts w:ascii="宋体" w:hAnsi="宋体"/>
          <w:color w:val="auto"/>
          <w:szCs w:val="21"/>
          <w:highlight w:val="none"/>
          <w:u w:val="single"/>
        </w:rPr>
        <w:t>（</w:t>
      </w:r>
      <w:r>
        <w:rPr>
          <w:rFonts w:hint="eastAsia" w:ascii="宋体" w:hAnsi="宋体"/>
          <w:color w:val="auto"/>
          <w:szCs w:val="21"/>
          <w:highlight w:val="none"/>
          <w:u w:val="single"/>
        </w:rPr>
        <w:t>5</w:t>
      </w:r>
      <w:r>
        <w:rPr>
          <w:rFonts w:ascii="宋体" w:hAnsi="宋体"/>
          <w:color w:val="auto"/>
          <w:szCs w:val="21"/>
          <w:highlight w:val="none"/>
          <w:u w:val="single"/>
        </w:rPr>
        <w:t xml:space="preserve">）承包人负责协调与工程所在地的***、街道、周边居民和有关行政主管部门的关系，保证不影响周边居民的日常生活与办公活动：如因承包人原因造成纠纷的，承包人应全权负责赔偿与善后事宜。 </w:t>
      </w:r>
    </w:p>
    <w:p>
      <w:pPr>
        <w:spacing w:line="400" w:lineRule="exact"/>
        <w:ind w:firstLine="420" w:firstLineChars="200"/>
        <w:rPr>
          <w:rFonts w:ascii="宋体" w:hAnsi="宋体"/>
          <w:color w:val="auto"/>
          <w:szCs w:val="21"/>
          <w:highlight w:val="none"/>
          <w:u w:val="single"/>
        </w:rPr>
      </w:pPr>
      <w:r>
        <w:rPr>
          <w:rFonts w:ascii="宋体" w:hAnsi="宋体"/>
          <w:color w:val="auto"/>
          <w:szCs w:val="21"/>
          <w:highlight w:val="none"/>
        </w:rPr>
        <w:t>（</w:t>
      </w:r>
      <w:r>
        <w:rPr>
          <w:rFonts w:hint="eastAsia" w:ascii="宋体" w:hAnsi="宋体"/>
          <w:color w:val="auto"/>
          <w:szCs w:val="21"/>
          <w:highlight w:val="none"/>
        </w:rPr>
        <w:t>6</w:t>
      </w:r>
      <w:r>
        <w:rPr>
          <w:rFonts w:ascii="宋体" w:hAnsi="宋体"/>
          <w:color w:val="auto"/>
          <w:szCs w:val="21"/>
          <w:highlight w:val="none"/>
        </w:rPr>
        <w:t>）</w:t>
      </w:r>
      <w:r>
        <w:rPr>
          <w:rFonts w:ascii="宋体" w:hAnsi="宋体"/>
          <w:color w:val="auto"/>
          <w:szCs w:val="21"/>
          <w:highlight w:val="none"/>
          <w:u w:val="single"/>
        </w:rPr>
        <w:t xml:space="preserve">承包人有责任为发包人、监理单位、质监单位等进行工程检查时免费提供安全保护用具和各种设施的方便。 </w:t>
      </w:r>
    </w:p>
    <w:p>
      <w:pPr>
        <w:spacing w:line="400" w:lineRule="exact"/>
        <w:ind w:firstLine="420" w:firstLineChars="200"/>
        <w:rPr>
          <w:rFonts w:ascii="宋体" w:hAnsi="宋体"/>
          <w:color w:val="auto"/>
          <w:szCs w:val="21"/>
          <w:highlight w:val="none"/>
          <w:u w:val="single"/>
        </w:rPr>
      </w:pPr>
      <w:r>
        <w:rPr>
          <w:rFonts w:ascii="宋体" w:hAnsi="宋体"/>
          <w:color w:val="auto"/>
          <w:szCs w:val="21"/>
          <w:highlight w:val="none"/>
          <w:u w:val="single"/>
        </w:rPr>
        <w:t>（</w:t>
      </w:r>
      <w:r>
        <w:rPr>
          <w:rFonts w:hint="eastAsia" w:ascii="宋体" w:hAnsi="宋体"/>
          <w:color w:val="auto"/>
          <w:szCs w:val="21"/>
          <w:highlight w:val="none"/>
          <w:u w:val="single"/>
        </w:rPr>
        <w:t>8</w:t>
      </w:r>
      <w:r>
        <w:rPr>
          <w:rFonts w:ascii="宋体" w:hAnsi="宋体"/>
          <w:color w:val="auto"/>
          <w:szCs w:val="21"/>
          <w:highlight w:val="none"/>
          <w:u w:val="single"/>
        </w:rPr>
        <w:t xml:space="preserve">）承包人应考虑自备发电设备和临时蓄水池，以防止施工过程中的临时停电和停水对工程进度和质量等的影响，特别是基坑施工期间必须配置发电机，费用自理。 </w:t>
      </w:r>
    </w:p>
    <w:p>
      <w:pPr>
        <w:spacing w:before="156" w:beforeLines="50" w:after="156" w:afterLines="50" w:line="400" w:lineRule="exact"/>
        <w:ind w:firstLine="422" w:firstLineChars="200"/>
        <w:rPr>
          <w:rFonts w:ascii="宋体" w:hAnsi="宋体"/>
          <w:b/>
          <w:color w:val="auto"/>
          <w:szCs w:val="21"/>
          <w:highlight w:val="none"/>
        </w:rPr>
      </w:pPr>
      <w:r>
        <w:rPr>
          <w:rFonts w:ascii="宋体" w:hAnsi="宋体"/>
          <w:b/>
          <w:color w:val="auto"/>
          <w:szCs w:val="21"/>
          <w:highlight w:val="none"/>
        </w:rPr>
        <w:t>7.4 人力和机具资源</w:t>
      </w:r>
    </w:p>
    <w:p>
      <w:pPr>
        <w:spacing w:line="400" w:lineRule="exact"/>
        <w:ind w:firstLine="420" w:firstLineChars="200"/>
        <w:rPr>
          <w:rFonts w:ascii="宋体" w:hAnsi="宋体"/>
          <w:color w:val="auto"/>
          <w:szCs w:val="21"/>
          <w:highlight w:val="none"/>
          <w:u w:val="single"/>
        </w:rPr>
      </w:pPr>
      <w:r>
        <w:rPr>
          <w:rFonts w:ascii="宋体" w:hAnsi="宋体"/>
          <w:color w:val="auto"/>
          <w:szCs w:val="21"/>
          <w:highlight w:val="none"/>
        </w:rPr>
        <w:t>7.4.1  人力资源计划一览表的格式、内容、份数和提交时间：</w:t>
      </w:r>
      <w:r>
        <w:rPr>
          <w:rFonts w:ascii="宋体" w:hAnsi="宋体"/>
          <w:color w:val="auto"/>
          <w:szCs w:val="21"/>
          <w:highlight w:val="none"/>
          <w:u w:val="single"/>
        </w:rPr>
        <w:t xml:space="preserve"> 报表含姓名、年龄、工种、进场时间，在各分包合同签订后 10 日内提供 3 份。 </w:t>
      </w:r>
    </w:p>
    <w:p>
      <w:pPr>
        <w:spacing w:line="400" w:lineRule="exact"/>
        <w:ind w:firstLine="420" w:firstLineChars="200"/>
        <w:rPr>
          <w:rFonts w:ascii="宋体" w:hAnsi="宋体"/>
          <w:color w:val="auto"/>
          <w:szCs w:val="21"/>
          <w:highlight w:val="none"/>
          <w:u w:val="single"/>
        </w:rPr>
      </w:pPr>
      <w:r>
        <w:rPr>
          <w:rFonts w:ascii="宋体" w:hAnsi="宋体"/>
          <w:color w:val="auto"/>
          <w:szCs w:val="21"/>
          <w:highlight w:val="none"/>
        </w:rPr>
        <w:t>人力资源实际进场的报表格式、份数和报告期：</w:t>
      </w:r>
      <w:r>
        <w:rPr>
          <w:rFonts w:ascii="宋体" w:hAnsi="宋体"/>
          <w:color w:val="auto"/>
          <w:szCs w:val="21"/>
          <w:highlight w:val="none"/>
          <w:u w:val="single"/>
        </w:rPr>
        <w:t xml:space="preserve"> 报表含姓名、年龄、工种、进场时间，在各分包单位进场后 10 日内提供 3 份。 </w:t>
      </w:r>
    </w:p>
    <w:p>
      <w:pPr>
        <w:spacing w:line="400" w:lineRule="exact"/>
        <w:ind w:firstLine="420" w:firstLineChars="200"/>
        <w:rPr>
          <w:rFonts w:ascii="宋体" w:hAnsi="宋体"/>
          <w:color w:val="auto"/>
          <w:szCs w:val="21"/>
          <w:highlight w:val="none"/>
          <w:u w:val="single"/>
        </w:rPr>
      </w:pPr>
      <w:r>
        <w:rPr>
          <w:rFonts w:ascii="宋体" w:hAnsi="宋体"/>
          <w:color w:val="auto"/>
          <w:szCs w:val="21"/>
          <w:highlight w:val="none"/>
        </w:rPr>
        <w:t>7.4.2  主要机具计划一览表的格式、内容、份数和提交时间：</w:t>
      </w:r>
      <w:r>
        <w:rPr>
          <w:rFonts w:ascii="宋体" w:hAnsi="宋体"/>
          <w:color w:val="auto"/>
          <w:szCs w:val="21"/>
          <w:highlight w:val="none"/>
          <w:u w:val="single"/>
        </w:rPr>
        <w:t xml:space="preserve"> 含种类、型号、检验时间、购买时间、数量、在合同签订 10 日内提供 3 份。</w:t>
      </w:r>
    </w:p>
    <w:p>
      <w:pPr>
        <w:spacing w:line="400" w:lineRule="exact"/>
        <w:ind w:firstLine="420" w:firstLineChars="200"/>
        <w:rPr>
          <w:rFonts w:ascii="宋体" w:hAnsi="宋体"/>
          <w:color w:val="auto"/>
          <w:szCs w:val="21"/>
          <w:highlight w:val="none"/>
          <w:u w:val="single"/>
        </w:rPr>
      </w:pPr>
      <w:r>
        <w:rPr>
          <w:rFonts w:ascii="宋体" w:hAnsi="宋体"/>
          <w:color w:val="auto"/>
          <w:szCs w:val="21"/>
          <w:highlight w:val="none"/>
        </w:rPr>
        <w:t>主要机具实际进场的报表格式、份数和报告期：</w:t>
      </w:r>
      <w:r>
        <w:rPr>
          <w:rFonts w:ascii="宋体" w:hAnsi="宋体"/>
          <w:color w:val="auto"/>
          <w:szCs w:val="21"/>
          <w:highlight w:val="none"/>
          <w:u w:val="single"/>
        </w:rPr>
        <w:t xml:space="preserve"> 含种类、型号、检验时间、购买时间、数量、在进场后 10 日内提供 3 份。 </w:t>
      </w:r>
    </w:p>
    <w:p>
      <w:pPr>
        <w:spacing w:before="156" w:beforeLines="50" w:after="156" w:afterLines="50" w:line="400" w:lineRule="exact"/>
        <w:ind w:firstLine="420" w:firstLineChars="200"/>
        <w:rPr>
          <w:rFonts w:ascii="宋体" w:hAnsi="宋体"/>
          <w:color w:val="auto"/>
          <w:szCs w:val="21"/>
          <w:highlight w:val="none"/>
        </w:rPr>
      </w:pPr>
      <w:r>
        <w:rPr>
          <w:rFonts w:ascii="宋体" w:hAnsi="宋体"/>
          <w:color w:val="auto"/>
          <w:szCs w:val="21"/>
          <w:highlight w:val="none"/>
        </w:rPr>
        <w:t>7.5  质量与检验</w:t>
      </w:r>
    </w:p>
    <w:p>
      <w:pPr>
        <w:spacing w:line="400" w:lineRule="exact"/>
        <w:ind w:firstLine="420" w:firstLineChars="200"/>
        <w:rPr>
          <w:rFonts w:ascii="宋体" w:hAnsi="宋体"/>
          <w:color w:val="auto"/>
          <w:szCs w:val="21"/>
          <w:highlight w:val="none"/>
        </w:rPr>
      </w:pPr>
      <w:r>
        <w:rPr>
          <w:rFonts w:ascii="宋体" w:hAnsi="宋体"/>
          <w:color w:val="auto"/>
          <w:szCs w:val="21"/>
          <w:highlight w:val="none"/>
        </w:rPr>
        <w:t>7.5.2 质检部位与参检方</w:t>
      </w:r>
    </w:p>
    <w:p>
      <w:pPr>
        <w:spacing w:line="400" w:lineRule="exact"/>
        <w:ind w:firstLine="420" w:firstLineChars="200"/>
        <w:rPr>
          <w:rFonts w:ascii="宋体" w:hAnsi="宋体"/>
          <w:color w:val="auto"/>
          <w:szCs w:val="21"/>
          <w:highlight w:val="none"/>
          <w:u w:val="single"/>
        </w:rPr>
      </w:pPr>
      <w:r>
        <w:rPr>
          <w:rFonts w:ascii="宋体" w:hAnsi="宋体"/>
          <w:color w:val="auto"/>
          <w:szCs w:val="21"/>
          <w:highlight w:val="none"/>
        </w:rPr>
        <w:t>三方参检的部位、标准及表格形式：</w:t>
      </w:r>
      <w:r>
        <w:rPr>
          <w:rFonts w:ascii="宋体" w:hAnsi="宋体"/>
          <w:color w:val="auto"/>
          <w:szCs w:val="21"/>
          <w:highlight w:val="none"/>
          <w:u w:val="single"/>
        </w:rPr>
        <w:t xml:space="preserve">  按国家规范要求。 </w:t>
      </w:r>
    </w:p>
    <w:p>
      <w:pPr>
        <w:spacing w:line="400" w:lineRule="exact"/>
        <w:ind w:firstLine="420" w:firstLineChars="200"/>
        <w:rPr>
          <w:rFonts w:ascii="宋体" w:hAnsi="宋体"/>
          <w:color w:val="auto"/>
          <w:szCs w:val="21"/>
          <w:highlight w:val="none"/>
        </w:rPr>
      </w:pPr>
      <w:r>
        <w:rPr>
          <w:rFonts w:ascii="宋体" w:hAnsi="宋体"/>
          <w:color w:val="auto"/>
          <w:szCs w:val="21"/>
          <w:highlight w:val="none"/>
        </w:rPr>
        <w:t>两方参检的部位、标准及表格形式：</w:t>
      </w:r>
      <w:r>
        <w:rPr>
          <w:rFonts w:ascii="宋体" w:hAnsi="宋体"/>
          <w:color w:val="auto"/>
          <w:szCs w:val="21"/>
          <w:highlight w:val="none"/>
          <w:u w:val="single"/>
        </w:rPr>
        <w:t xml:space="preserve">  按国家规范要求。   </w:t>
      </w:r>
    </w:p>
    <w:p>
      <w:pPr>
        <w:spacing w:line="400" w:lineRule="exact"/>
        <w:ind w:firstLine="420" w:firstLineChars="200"/>
        <w:rPr>
          <w:rFonts w:ascii="宋体" w:hAnsi="宋体"/>
          <w:color w:val="auto"/>
          <w:szCs w:val="21"/>
          <w:highlight w:val="none"/>
          <w:u w:val="single"/>
        </w:rPr>
      </w:pPr>
      <w:r>
        <w:rPr>
          <w:rFonts w:ascii="宋体" w:hAnsi="宋体"/>
          <w:color w:val="auto"/>
          <w:szCs w:val="21"/>
          <w:highlight w:val="none"/>
        </w:rPr>
        <w:t>第三方检查的部位、标准及表格形式：</w:t>
      </w:r>
      <w:r>
        <w:rPr>
          <w:rFonts w:ascii="宋体" w:hAnsi="宋体"/>
          <w:color w:val="auto"/>
          <w:szCs w:val="21"/>
          <w:highlight w:val="none"/>
          <w:u w:val="single"/>
        </w:rPr>
        <w:t xml:space="preserve"> 按国家规范要求。   </w:t>
      </w:r>
    </w:p>
    <w:p>
      <w:pPr>
        <w:spacing w:line="400" w:lineRule="exact"/>
        <w:ind w:firstLine="420" w:firstLineChars="200"/>
        <w:rPr>
          <w:rFonts w:ascii="宋体" w:hAnsi="宋体"/>
          <w:color w:val="auto"/>
          <w:szCs w:val="21"/>
          <w:highlight w:val="none"/>
          <w:u w:val="single"/>
        </w:rPr>
      </w:pPr>
      <w:r>
        <w:rPr>
          <w:rFonts w:ascii="宋体" w:hAnsi="宋体"/>
          <w:color w:val="auto"/>
          <w:szCs w:val="21"/>
          <w:highlight w:val="none"/>
        </w:rPr>
        <w:t>承包人自检的部位、标准及表格形式：</w:t>
      </w:r>
      <w:r>
        <w:rPr>
          <w:rFonts w:ascii="宋体" w:hAnsi="宋体"/>
          <w:color w:val="auto"/>
          <w:szCs w:val="21"/>
          <w:highlight w:val="none"/>
          <w:u w:val="single"/>
        </w:rPr>
        <w:t xml:space="preserve">  按国家规范要求。  </w:t>
      </w:r>
    </w:p>
    <w:p>
      <w:pPr>
        <w:spacing w:before="156" w:beforeLines="50" w:after="156" w:afterLines="50" w:line="400" w:lineRule="exact"/>
        <w:ind w:firstLine="422" w:firstLineChars="200"/>
        <w:rPr>
          <w:rFonts w:ascii="宋体" w:hAnsi="宋体"/>
          <w:b/>
          <w:color w:val="auto"/>
          <w:szCs w:val="21"/>
          <w:highlight w:val="none"/>
        </w:rPr>
      </w:pPr>
      <w:r>
        <w:rPr>
          <w:rFonts w:ascii="宋体" w:hAnsi="宋体"/>
          <w:b/>
          <w:color w:val="auto"/>
          <w:szCs w:val="21"/>
          <w:highlight w:val="none"/>
        </w:rPr>
        <w:t>7.6  隐蔽工程和中间验收</w:t>
      </w:r>
    </w:p>
    <w:p>
      <w:pPr>
        <w:spacing w:line="400" w:lineRule="exact"/>
        <w:ind w:firstLine="420" w:firstLineChars="200"/>
        <w:rPr>
          <w:rFonts w:ascii="宋体" w:hAnsi="宋体"/>
          <w:color w:val="auto"/>
          <w:szCs w:val="21"/>
          <w:highlight w:val="none"/>
        </w:rPr>
      </w:pPr>
      <w:r>
        <w:rPr>
          <w:rFonts w:ascii="宋体" w:hAnsi="宋体"/>
          <w:color w:val="auto"/>
          <w:szCs w:val="21"/>
          <w:highlight w:val="none"/>
        </w:rPr>
        <w:t>7.6.1  隐蔽工程和中间验收。</w:t>
      </w:r>
    </w:p>
    <w:p>
      <w:pPr>
        <w:spacing w:before="156" w:beforeLines="50" w:after="156" w:afterLines="50" w:line="400" w:lineRule="exact"/>
        <w:ind w:firstLine="420" w:firstLineChars="200"/>
        <w:rPr>
          <w:rFonts w:ascii="宋体" w:hAnsi="宋体"/>
          <w:bCs/>
          <w:color w:val="auto"/>
          <w:szCs w:val="21"/>
          <w:highlight w:val="none"/>
          <w:u w:val="single"/>
        </w:rPr>
      </w:pPr>
      <w:r>
        <w:rPr>
          <w:rFonts w:ascii="宋体" w:hAnsi="宋体"/>
          <w:bCs/>
          <w:color w:val="auto"/>
          <w:szCs w:val="21"/>
          <w:highlight w:val="none"/>
        </w:rPr>
        <w:t>需要质检的隐蔽工程和中间验收部位的分类、部位、质检内容、标准、表格和参检方的约定：</w:t>
      </w:r>
      <w:r>
        <w:rPr>
          <w:rFonts w:ascii="宋体" w:hAnsi="宋体"/>
          <w:bCs/>
          <w:color w:val="auto"/>
          <w:szCs w:val="21"/>
          <w:highlight w:val="none"/>
          <w:u w:val="single"/>
        </w:rPr>
        <w:t>工程具备覆盖、掩盖条件或达到协议条款约定的中间验收部位，承包人自检合格后在隐蔽和中间验收 48 小时通知监理人参加。通知包括承包人自检记录、隐蔽和中间验收的内容、验收时间和地点。承包人准备验收记录。验收合格，监理人代表在验收记录上签字后，方可进行隐蔽和继续施工。验收不合格，承包人在发包人限定时间内修改后重新验收。</w:t>
      </w:r>
    </w:p>
    <w:p>
      <w:pPr>
        <w:spacing w:before="156" w:beforeLines="50" w:after="156" w:afterLines="50" w:line="400" w:lineRule="exact"/>
        <w:ind w:firstLine="422" w:firstLineChars="200"/>
        <w:rPr>
          <w:rFonts w:ascii="宋体" w:hAnsi="宋体"/>
          <w:b/>
          <w:color w:val="auto"/>
          <w:szCs w:val="21"/>
          <w:highlight w:val="none"/>
        </w:rPr>
      </w:pPr>
      <w:r>
        <w:rPr>
          <w:rFonts w:ascii="宋体" w:hAnsi="宋体"/>
          <w:b/>
          <w:color w:val="auto"/>
          <w:szCs w:val="21"/>
          <w:highlight w:val="none"/>
        </w:rPr>
        <w:t>7.8  职业健康、安全、环境保护</w:t>
      </w:r>
    </w:p>
    <w:p>
      <w:pPr>
        <w:spacing w:line="400" w:lineRule="exact"/>
        <w:ind w:firstLine="420" w:firstLineChars="200"/>
        <w:rPr>
          <w:rFonts w:ascii="宋体" w:hAnsi="宋体"/>
          <w:color w:val="auto"/>
          <w:szCs w:val="21"/>
          <w:highlight w:val="none"/>
        </w:rPr>
      </w:pPr>
      <w:r>
        <w:rPr>
          <w:rFonts w:ascii="宋体" w:hAnsi="宋体"/>
          <w:color w:val="auto"/>
          <w:szCs w:val="21"/>
          <w:highlight w:val="none"/>
        </w:rPr>
        <w:t>7.8.1  职业健康、安全、环境保护管理</w:t>
      </w:r>
    </w:p>
    <w:p>
      <w:pPr>
        <w:spacing w:line="400" w:lineRule="exact"/>
        <w:ind w:firstLine="420" w:firstLineChars="200"/>
        <w:rPr>
          <w:rFonts w:ascii="宋体" w:hAnsi="宋体"/>
          <w:color w:val="auto"/>
          <w:szCs w:val="21"/>
          <w:highlight w:val="none"/>
          <w:u w:val="single"/>
        </w:rPr>
      </w:pPr>
      <w:r>
        <w:rPr>
          <w:rFonts w:ascii="宋体" w:hAnsi="宋体"/>
          <w:color w:val="auto"/>
          <w:szCs w:val="21"/>
          <w:highlight w:val="none"/>
        </w:rPr>
        <w:t>（2）提交职业健康、安全、环境管理计划的份数和时间：</w:t>
      </w:r>
      <w:r>
        <w:rPr>
          <w:rFonts w:ascii="宋体" w:hAnsi="宋体"/>
          <w:color w:val="auto"/>
          <w:szCs w:val="21"/>
          <w:highlight w:val="none"/>
          <w:u w:val="single"/>
        </w:rPr>
        <w:t xml:space="preserve">正式开工前一周内提供三份。 </w:t>
      </w:r>
    </w:p>
    <w:p>
      <w:pPr>
        <w:spacing w:before="156" w:beforeLines="50" w:after="156" w:afterLines="50" w:line="400" w:lineRule="exact"/>
        <w:ind w:firstLine="422" w:firstLineChars="200"/>
        <w:rPr>
          <w:rFonts w:ascii="宋体" w:hAnsi="宋体"/>
          <w:b/>
          <w:color w:val="auto"/>
          <w:szCs w:val="21"/>
          <w:highlight w:val="none"/>
        </w:rPr>
      </w:pPr>
      <w:r>
        <w:rPr>
          <w:rFonts w:ascii="宋体" w:hAnsi="宋体"/>
          <w:b/>
          <w:color w:val="auto"/>
          <w:szCs w:val="21"/>
          <w:highlight w:val="none"/>
        </w:rPr>
        <w:t>第8条  竣工试验</w:t>
      </w:r>
    </w:p>
    <w:p>
      <w:pPr>
        <w:spacing w:before="156" w:beforeLines="50" w:after="156" w:afterLines="50" w:line="400" w:lineRule="exact"/>
        <w:ind w:firstLine="420" w:firstLineChars="200"/>
        <w:rPr>
          <w:rFonts w:ascii="宋体" w:hAnsi="宋体"/>
          <w:color w:val="auto"/>
          <w:szCs w:val="21"/>
          <w:highlight w:val="none"/>
        </w:rPr>
      </w:pPr>
      <w:r>
        <w:rPr>
          <w:rFonts w:ascii="宋体" w:hAnsi="宋体"/>
          <w:color w:val="auto"/>
          <w:szCs w:val="21"/>
          <w:highlight w:val="none"/>
        </w:rPr>
        <w:t>本合同工程，包含竣工试验阶段。</w:t>
      </w:r>
    </w:p>
    <w:p>
      <w:pPr>
        <w:spacing w:before="156" w:beforeLines="50" w:after="156" w:afterLines="50" w:line="400" w:lineRule="exact"/>
        <w:ind w:firstLine="422" w:firstLineChars="200"/>
        <w:rPr>
          <w:rFonts w:ascii="宋体" w:hAnsi="宋体"/>
          <w:b/>
          <w:color w:val="auto"/>
          <w:szCs w:val="21"/>
          <w:highlight w:val="none"/>
        </w:rPr>
      </w:pPr>
      <w:r>
        <w:rPr>
          <w:rFonts w:ascii="宋体" w:hAnsi="宋体"/>
          <w:b/>
          <w:color w:val="auto"/>
          <w:szCs w:val="21"/>
          <w:highlight w:val="none"/>
        </w:rPr>
        <w:t>8.1  竣工试验的义务</w:t>
      </w:r>
    </w:p>
    <w:p>
      <w:pPr>
        <w:spacing w:line="400" w:lineRule="exact"/>
        <w:ind w:firstLine="420" w:firstLineChars="200"/>
        <w:rPr>
          <w:rFonts w:ascii="宋体" w:hAnsi="宋体"/>
          <w:color w:val="auto"/>
          <w:szCs w:val="21"/>
          <w:highlight w:val="none"/>
        </w:rPr>
      </w:pPr>
      <w:r>
        <w:rPr>
          <w:rFonts w:ascii="宋体" w:hAnsi="宋体"/>
          <w:color w:val="auto"/>
          <w:szCs w:val="21"/>
          <w:highlight w:val="none"/>
        </w:rPr>
        <w:t>8.1.1  承包人的一般义务</w:t>
      </w:r>
    </w:p>
    <w:p>
      <w:pPr>
        <w:spacing w:line="400" w:lineRule="exact"/>
        <w:ind w:firstLine="420" w:firstLineChars="200"/>
        <w:rPr>
          <w:rFonts w:ascii="宋体" w:hAnsi="宋体"/>
          <w:color w:val="auto"/>
          <w:szCs w:val="21"/>
          <w:highlight w:val="none"/>
        </w:rPr>
      </w:pPr>
      <w:r>
        <w:rPr>
          <w:rFonts w:ascii="宋体" w:hAnsi="宋体"/>
          <w:color w:val="auto"/>
          <w:szCs w:val="21"/>
          <w:highlight w:val="none"/>
        </w:rPr>
        <w:t>（4） 竣工试验方案</w:t>
      </w:r>
    </w:p>
    <w:p>
      <w:pPr>
        <w:spacing w:line="400" w:lineRule="exact"/>
        <w:ind w:firstLine="420" w:firstLineChars="200"/>
        <w:rPr>
          <w:rFonts w:ascii="宋体" w:hAnsi="宋体"/>
          <w:color w:val="auto"/>
          <w:szCs w:val="21"/>
          <w:highlight w:val="none"/>
        </w:rPr>
      </w:pPr>
      <w:r>
        <w:rPr>
          <w:rFonts w:ascii="宋体" w:hAnsi="宋体"/>
          <w:color w:val="auto"/>
          <w:szCs w:val="21"/>
          <w:highlight w:val="none"/>
        </w:rPr>
        <w:t>提交竣工试验方案的份数和时间：</w:t>
      </w:r>
      <w:r>
        <w:rPr>
          <w:rFonts w:ascii="宋体" w:hAnsi="宋体"/>
          <w:color w:val="auto"/>
          <w:szCs w:val="21"/>
          <w:highlight w:val="none"/>
          <w:u w:val="single"/>
        </w:rPr>
        <w:t xml:space="preserve">            /                </w:t>
      </w:r>
    </w:p>
    <w:p>
      <w:pPr>
        <w:spacing w:before="156" w:beforeLines="50" w:after="156" w:afterLines="50" w:line="400" w:lineRule="exact"/>
        <w:ind w:firstLine="422" w:firstLineChars="200"/>
        <w:rPr>
          <w:rFonts w:ascii="宋体" w:hAnsi="宋体"/>
          <w:b/>
          <w:color w:val="auto"/>
          <w:szCs w:val="21"/>
          <w:highlight w:val="none"/>
        </w:rPr>
      </w:pPr>
      <w:r>
        <w:rPr>
          <w:rFonts w:ascii="宋体" w:hAnsi="宋体"/>
          <w:b/>
          <w:color w:val="auto"/>
          <w:szCs w:val="21"/>
          <w:highlight w:val="none"/>
        </w:rPr>
        <w:t>第9条  工程接收</w:t>
      </w:r>
    </w:p>
    <w:p>
      <w:pPr>
        <w:spacing w:before="156" w:beforeLines="50" w:after="156" w:afterLines="50" w:line="400" w:lineRule="exact"/>
        <w:ind w:firstLine="420" w:firstLineChars="200"/>
        <w:rPr>
          <w:rFonts w:ascii="宋体" w:hAnsi="宋体"/>
          <w:color w:val="auto"/>
          <w:szCs w:val="21"/>
          <w:highlight w:val="none"/>
        </w:rPr>
      </w:pPr>
      <w:r>
        <w:rPr>
          <w:rFonts w:ascii="宋体" w:hAnsi="宋体"/>
          <w:color w:val="auto"/>
          <w:szCs w:val="21"/>
          <w:highlight w:val="none"/>
        </w:rPr>
        <w:t>9.1  工程接收</w:t>
      </w:r>
    </w:p>
    <w:p>
      <w:pPr>
        <w:spacing w:line="400" w:lineRule="exact"/>
        <w:ind w:firstLine="420" w:firstLineChars="200"/>
        <w:rPr>
          <w:rFonts w:ascii="宋体" w:hAnsi="宋体"/>
          <w:color w:val="auto"/>
          <w:szCs w:val="21"/>
          <w:highlight w:val="none"/>
        </w:rPr>
      </w:pPr>
      <w:r>
        <w:rPr>
          <w:rFonts w:ascii="宋体" w:hAnsi="宋体"/>
          <w:color w:val="auto"/>
          <w:szCs w:val="21"/>
          <w:highlight w:val="none"/>
        </w:rPr>
        <w:t>9.1.1  按单项工程或（和）按工程接收</w:t>
      </w:r>
    </w:p>
    <w:p>
      <w:pPr>
        <w:spacing w:line="400" w:lineRule="exact"/>
        <w:ind w:firstLine="420" w:firstLineChars="200"/>
        <w:rPr>
          <w:rFonts w:ascii="宋体" w:hAnsi="宋体"/>
          <w:color w:val="auto"/>
          <w:szCs w:val="21"/>
          <w:highlight w:val="none"/>
        </w:rPr>
      </w:pPr>
      <w:r>
        <w:rPr>
          <w:rFonts w:ascii="宋体" w:hAnsi="宋体"/>
          <w:color w:val="auto"/>
          <w:szCs w:val="21"/>
          <w:highlight w:val="none"/>
        </w:rPr>
        <w:t>在以下两种情况中选择其一，作为双方对工程接受的约定。</w:t>
      </w:r>
    </w:p>
    <w:p>
      <w:pPr>
        <w:spacing w:line="400" w:lineRule="exact"/>
        <w:ind w:firstLine="420" w:firstLineChars="200"/>
        <w:rPr>
          <w:rFonts w:ascii="宋体" w:hAnsi="宋体"/>
          <w:color w:val="auto"/>
          <w:szCs w:val="21"/>
          <w:highlight w:val="none"/>
        </w:rPr>
      </w:pPr>
      <w:r>
        <w:rPr>
          <w:rFonts w:ascii="宋体" w:hAnsi="宋体"/>
          <w:color w:val="auto"/>
          <w:szCs w:val="21"/>
          <w:highlight w:val="none"/>
        </w:rPr>
        <w:t>由承包人负责指导发包人进行单项工程或（和）工程竣工后试验，并承担试运行考核责任的，接收单项工程的先后顺序及时间安排，或接受工程的时间安排如下：</w:t>
      </w:r>
    </w:p>
    <w:p>
      <w:pPr>
        <w:spacing w:line="400" w:lineRule="exact"/>
        <w:ind w:firstLine="420" w:firstLineChars="200"/>
        <w:rPr>
          <w:rFonts w:ascii="宋体" w:hAnsi="宋体"/>
          <w:color w:val="auto"/>
          <w:szCs w:val="21"/>
          <w:highlight w:val="none"/>
          <w:u w:val="single"/>
        </w:rPr>
      </w:pPr>
      <w:r>
        <w:rPr>
          <w:rFonts w:ascii="宋体" w:hAnsi="宋体"/>
          <w:color w:val="auto"/>
          <w:szCs w:val="21"/>
          <w:highlight w:val="none"/>
        </w:rPr>
        <w:t>1）项目移交的日期 ：</w:t>
      </w:r>
      <w:r>
        <w:rPr>
          <w:rFonts w:ascii="宋体" w:hAnsi="宋体"/>
          <w:color w:val="auto"/>
          <w:szCs w:val="21"/>
          <w:highlight w:val="none"/>
          <w:u w:val="single"/>
        </w:rPr>
        <w:t xml:space="preserve">在本项目完工验收后的第一天，承包人应将本项目全部资产移交给发包人。 </w:t>
      </w:r>
    </w:p>
    <w:p>
      <w:pPr>
        <w:spacing w:line="400" w:lineRule="exact"/>
        <w:ind w:firstLine="420" w:firstLineChars="200"/>
        <w:rPr>
          <w:rFonts w:ascii="宋体" w:hAnsi="宋体"/>
          <w:color w:val="auto"/>
          <w:szCs w:val="21"/>
          <w:highlight w:val="none"/>
        </w:rPr>
      </w:pPr>
      <w:r>
        <w:rPr>
          <w:rFonts w:hint="eastAsia" w:ascii="宋体" w:hAnsi="宋体"/>
          <w:color w:val="auto"/>
          <w:szCs w:val="21"/>
          <w:highlight w:val="none"/>
        </w:rPr>
        <w:t>2</w:t>
      </w:r>
      <w:r>
        <w:rPr>
          <w:rFonts w:ascii="宋体" w:hAnsi="宋体"/>
          <w:color w:val="auto"/>
          <w:szCs w:val="21"/>
          <w:highlight w:val="none"/>
        </w:rPr>
        <w:t xml:space="preserve">）风险转移 </w:t>
      </w:r>
    </w:p>
    <w:p>
      <w:pPr>
        <w:spacing w:line="400" w:lineRule="exact"/>
        <w:ind w:firstLine="420" w:firstLineChars="200"/>
        <w:rPr>
          <w:rFonts w:ascii="宋体" w:hAnsi="宋体"/>
          <w:color w:val="auto"/>
          <w:szCs w:val="21"/>
          <w:highlight w:val="none"/>
          <w:u w:val="single"/>
        </w:rPr>
      </w:pPr>
      <w:r>
        <w:rPr>
          <w:rFonts w:ascii="宋体" w:hAnsi="宋体"/>
          <w:color w:val="auto"/>
          <w:szCs w:val="21"/>
          <w:highlight w:val="none"/>
          <w:u w:val="single"/>
        </w:rPr>
        <w:t xml:space="preserve">承包人承担移交日前移交标的物的全部或部分损失或损坏的风险(因发包人或其指定机构原因造成的除外)。 </w:t>
      </w:r>
    </w:p>
    <w:p>
      <w:pPr>
        <w:spacing w:line="400" w:lineRule="exact"/>
        <w:ind w:firstLine="420" w:firstLineChars="200"/>
        <w:rPr>
          <w:rFonts w:ascii="宋体" w:hAnsi="宋体"/>
          <w:color w:val="auto"/>
          <w:szCs w:val="21"/>
          <w:highlight w:val="none"/>
        </w:rPr>
      </w:pPr>
      <w:r>
        <w:rPr>
          <w:rFonts w:hint="eastAsia" w:ascii="宋体" w:hAnsi="宋体"/>
          <w:color w:val="auto"/>
          <w:szCs w:val="21"/>
          <w:highlight w:val="none"/>
        </w:rPr>
        <w:t>3</w:t>
      </w:r>
      <w:r>
        <w:rPr>
          <w:rFonts w:ascii="宋体" w:hAnsi="宋体"/>
          <w:color w:val="auto"/>
          <w:szCs w:val="21"/>
          <w:highlight w:val="none"/>
        </w:rPr>
        <w:t xml:space="preserve">）责任缺陷期 </w:t>
      </w:r>
    </w:p>
    <w:p>
      <w:pPr>
        <w:spacing w:line="400" w:lineRule="exact"/>
        <w:ind w:firstLine="420" w:firstLineChars="200"/>
        <w:rPr>
          <w:rFonts w:ascii="宋体" w:hAnsi="宋体"/>
          <w:color w:val="auto"/>
          <w:szCs w:val="21"/>
          <w:highlight w:val="none"/>
          <w:u w:val="single"/>
        </w:rPr>
      </w:pPr>
      <w:r>
        <w:rPr>
          <w:rFonts w:ascii="宋体" w:hAnsi="宋体"/>
          <w:color w:val="auto"/>
          <w:szCs w:val="21"/>
          <w:highlight w:val="none"/>
          <w:u w:val="single"/>
        </w:rPr>
        <w:t>在本项目的</w:t>
      </w:r>
      <w:r>
        <w:rPr>
          <w:rFonts w:hint="eastAsia" w:ascii="宋体" w:hAnsi="宋体"/>
          <w:color w:val="auto"/>
          <w:szCs w:val="21"/>
          <w:highlight w:val="none"/>
          <w:u w:val="single"/>
        </w:rPr>
        <w:t>工程通过竣工验收之日起计24个月</w:t>
      </w:r>
      <w:r>
        <w:rPr>
          <w:rFonts w:ascii="宋体" w:hAnsi="宋体"/>
          <w:color w:val="auto"/>
          <w:szCs w:val="21"/>
          <w:highlight w:val="none"/>
          <w:u w:val="single"/>
        </w:rPr>
        <w:t>（即责任缺陷期内），承包人承担保修责任。</w:t>
      </w:r>
    </w:p>
    <w:p>
      <w:pPr>
        <w:spacing w:line="400" w:lineRule="exact"/>
        <w:ind w:firstLine="420" w:firstLineChars="200"/>
        <w:rPr>
          <w:rFonts w:ascii="宋体" w:hAnsi="宋体"/>
          <w:color w:val="auto"/>
          <w:szCs w:val="21"/>
          <w:highlight w:val="none"/>
        </w:rPr>
      </w:pPr>
      <w:r>
        <w:rPr>
          <w:rFonts w:hint="eastAsia" w:ascii="宋体" w:hAnsi="宋体"/>
          <w:color w:val="auto"/>
          <w:szCs w:val="21"/>
          <w:highlight w:val="none"/>
        </w:rPr>
        <w:t>4</w:t>
      </w:r>
      <w:r>
        <w:rPr>
          <w:rFonts w:ascii="宋体" w:hAnsi="宋体"/>
          <w:color w:val="auto"/>
          <w:szCs w:val="21"/>
          <w:highlight w:val="none"/>
        </w:rPr>
        <w:t xml:space="preserve">）移交费用 </w:t>
      </w:r>
    </w:p>
    <w:p>
      <w:pPr>
        <w:spacing w:line="400" w:lineRule="exact"/>
        <w:ind w:firstLine="420" w:firstLineChars="200"/>
        <w:rPr>
          <w:rFonts w:ascii="宋体" w:hAnsi="宋体"/>
          <w:color w:val="auto"/>
          <w:szCs w:val="21"/>
          <w:highlight w:val="none"/>
          <w:u w:val="single"/>
        </w:rPr>
      </w:pPr>
      <w:r>
        <w:rPr>
          <w:rFonts w:ascii="宋体" w:hAnsi="宋体"/>
          <w:color w:val="auto"/>
          <w:szCs w:val="21"/>
          <w:highlight w:val="none"/>
          <w:u w:val="single"/>
        </w:rPr>
        <w:t>在本项目的移交过程中和移交之后，发包人无须向承包人支付任何补偿或移交费用。承包人及发包人应负责各自的成本和费用。</w:t>
      </w:r>
    </w:p>
    <w:p>
      <w:pPr>
        <w:spacing w:line="400" w:lineRule="exact"/>
        <w:ind w:firstLine="840" w:firstLineChars="400"/>
        <w:rPr>
          <w:rFonts w:ascii="宋体" w:hAnsi="宋体"/>
          <w:color w:val="auto"/>
          <w:szCs w:val="21"/>
          <w:highlight w:val="none"/>
        </w:rPr>
      </w:pPr>
      <w:r>
        <w:rPr>
          <w:rFonts w:ascii="宋体" w:hAnsi="宋体"/>
          <w:color w:val="auto"/>
          <w:szCs w:val="21"/>
          <w:highlight w:val="none"/>
        </w:rPr>
        <w:t>□ 由发包人负责单项工程或（和）工程竣工后试验及其试运行考核责任的，接收单项工程的先后顺序及时间安排，或接受工程的时间安排如下：</w:t>
      </w:r>
    </w:p>
    <w:p>
      <w:pPr>
        <w:spacing w:line="400" w:lineRule="exact"/>
        <w:ind w:firstLine="840" w:firstLineChars="400"/>
        <w:rPr>
          <w:rFonts w:ascii="宋体" w:hAnsi="宋体"/>
          <w:color w:val="auto"/>
          <w:szCs w:val="21"/>
          <w:highlight w:val="none"/>
          <w:u w:val="single"/>
        </w:rPr>
      </w:pPr>
      <w:r>
        <w:rPr>
          <w:rFonts w:ascii="宋体" w:hAnsi="宋体"/>
          <w:color w:val="auto"/>
          <w:szCs w:val="21"/>
          <w:highlight w:val="none"/>
          <w:u w:val="single"/>
        </w:rPr>
        <w:t xml:space="preserve">                           </w:t>
      </w:r>
      <w:r>
        <w:rPr>
          <w:rFonts w:hint="eastAsia" w:ascii="宋体" w:hAnsi="宋体"/>
          <w:color w:val="auto"/>
          <w:szCs w:val="21"/>
          <w:highlight w:val="none"/>
          <w:u w:val="single"/>
        </w:rPr>
        <w:t>/</w:t>
      </w:r>
      <w:r>
        <w:rPr>
          <w:rFonts w:ascii="宋体" w:hAnsi="宋体"/>
          <w:color w:val="auto"/>
          <w:szCs w:val="21"/>
          <w:highlight w:val="none"/>
          <w:u w:val="single"/>
        </w:rPr>
        <w:t xml:space="preserve">                                  </w:t>
      </w:r>
    </w:p>
    <w:p>
      <w:pPr>
        <w:spacing w:line="400" w:lineRule="exact"/>
        <w:ind w:firstLine="420" w:firstLineChars="200"/>
        <w:rPr>
          <w:rFonts w:ascii="宋体" w:hAnsi="宋体"/>
          <w:color w:val="auto"/>
          <w:szCs w:val="21"/>
          <w:highlight w:val="none"/>
        </w:rPr>
      </w:pPr>
      <w:r>
        <w:rPr>
          <w:rFonts w:ascii="宋体" w:hAnsi="宋体"/>
          <w:color w:val="auto"/>
          <w:szCs w:val="21"/>
          <w:highlight w:val="none"/>
        </w:rPr>
        <w:t>9.1.2  接收工程提交的资料</w:t>
      </w:r>
    </w:p>
    <w:p>
      <w:pPr>
        <w:spacing w:line="400" w:lineRule="exact"/>
        <w:ind w:firstLine="420" w:firstLineChars="200"/>
        <w:rPr>
          <w:rFonts w:ascii="宋体" w:hAnsi="宋体"/>
          <w:color w:val="auto"/>
          <w:szCs w:val="21"/>
          <w:highlight w:val="none"/>
          <w:u w:val="single"/>
        </w:rPr>
      </w:pPr>
      <w:r>
        <w:rPr>
          <w:rFonts w:ascii="宋体" w:hAnsi="宋体"/>
          <w:color w:val="auto"/>
          <w:szCs w:val="21"/>
          <w:highlight w:val="none"/>
        </w:rPr>
        <w:t>提交竣工试验资料的类别、内容、份数和时间：</w:t>
      </w:r>
      <w:r>
        <w:rPr>
          <w:rFonts w:ascii="宋体" w:hAnsi="宋体"/>
          <w:color w:val="auto"/>
          <w:szCs w:val="21"/>
          <w:highlight w:val="none"/>
          <w:u w:val="single"/>
        </w:rPr>
        <w:t xml:space="preserve">  竣工验收后三个月内提供。</w:t>
      </w:r>
    </w:p>
    <w:p>
      <w:pPr>
        <w:spacing w:before="156" w:beforeLines="50" w:after="156" w:afterLines="50" w:line="400" w:lineRule="exact"/>
        <w:ind w:firstLine="422" w:firstLineChars="200"/>
        <w:rPr>
          <w:rFonts w:ascii="宋体" w:hAnsi="宋体"/>
          <w:b/>
          <w:color w:val="auto"/>
          <w:szCs w:val="21"/>
          <w:highlight w:val="none"/>
        </w:rPr>
      </w:pPr>
      <w:r>
        <w:rPr>
          <w:rFonts w:ascii="宋体" w:hAnsi="宋体"/>
          <w:b/>
          <w:color w:val="auto"/>
          <w:szCs w:val="21"/>
          <w:highlight w:val="none"/>
        </w:rPr>
        <w:t>第10条  竣工后试验</w:t>
      </w:r>
    </w:p>
    <w:p>
      <w:pPr>
        <w:spacing w:before="156" w:beforeLines="50" w:after="156" w:afterLines="50" w:line="400" w:lineRule="exact"/>
        <w:ind w:firstLine="420" w:firstLineChars="200"/>
        <w:rPr>
          <w:rFonts w:ascii="宋体" w:hAnsi="宋体"/>
          <w:color w:val="auto"/>
          <w:szCs w:val="21"/>
          <w:highlight w:val="none"/>
        </w:rPr>
      </w:pPr>
      <w:r>
        <w:rPr>
          <w:rFonts w:ascii="宋体" w:hAnsi="宋体"/>
          <w:color w:val="auto"/>
          <w:szCs w:val="21"/>
          <w:highlight w:val="none"/>
        </w:rPr>
        <w:t>本合同包含承包人知道竣工后试验。</w:t>
      </w:r>
    </w:p>
    <w:p>
      <w:pPr>
        <w:spacing w:before="156" w:beforeLines="50" w:after="156" w:afterLines="50" w:line="400" w:lineRule="exact"/>
        <w:ind w:firstLine="420" w:firstLineChars="200"/>
        <w:rPr>
          <w:rFonts w:ascii="宋体" w:hAnsi="宋体"/>
          <w:bCs/>
          <w:color w:val="auto"/>
          <w:szCs w:val="21"/>
          <w:highlight w:val="none"/>
        </w:rPr>
      </w:pPr>
      <w:r>
        <w:rPr>
          <w:rFonts w:ascii="宋体" w:hAnsi="宋体"/>
          <w:bCs/>
          <w:color w:val="auto"/>
          <w:szCs w:val="21"/>
          <w:highlight w:val="none"/>
        </w:rPr>
        <w:t>10.1  权利和义务</w:t>
      </w:r>
    </w:p>
    <w:p>
      <w:pPr>
        <w:spacing w:line="400" w:lineRule="exact"/>
        <w:ind w:firstLine="420" w:firstLineChars="200"/>
        <w:rPr>
          <w:rFonts w:ascii="宋体" w:hAnsi="宋体"/>
          <w:bCs/>
          <w:color w:val="auto"/>
          <w:szCs w:val="21"/>
          <w:highlight w:val="none"/>
        </w:rPr>
      </w:pPr>
      <w:r>
        <w:rPr>
          <w:rFonts w:ascii="宋体" w:hAnsi="宋体"/>
          <w:bCs/>
          <w:color w:val="auto"/>
          <w:szCs w:val="21"/>
          <w:highlight w:val="none"/>
        </w:rPr>
        <w:t>10.1.1  发包人的权利和义务</w:t>
      </w:r>
    </w:p>
    <w:p>
      <w:pPr>
        <w:spacing w:line="400" w:lineRule="exact"/>
        <w:ind w:firstLine="420" w:firstLineChars="200"/>
        <w:rPr>
          <w:rFonts w:ascii="宋体" w:hAnsi="宋体"/>
          <w:bCs/>
          <w:color w:val="auto"/>
          <w:szCs w:val="21"/>
          <w:highlight w:val="none"/>
          <w:u w:val="single"/>
        </w:rPr>
      </w:pPr>
      <w:r>
        <w:rPr>
          <w:rFonts w:hint="eastAsia" w:ascii="宋体" w:hAnsi="宋体"/>
          <w:bCs/>
          <w:color w:val="auto"/>
          <w:szCs w:val="21"/>
          <w:highlight w:val="none"/>
        </w:rPr>
        <w:t>（6）其他义务和工作：</w:t>
      </w:r>
      <w:r>
        <w:rPr>
          <w:rFonts w:hint="eastAsia" w:ascii="宋体" w:hAnsi="宋体"/>
          <w:bCs/>
          <w:color w:val="auto"/>
          <w:szCs w:val="21"/>
          <w:highlight w:val="none"/>
          <w:u w:val="single"/>
        </w:rPr>
        <w:t xml:space="preserve">         /          </w:t>
      </w:r>
    </w:p>
    <w:p>
      <w:pPr>
        <w:spacing w:line="400" w:lineRule="exact"/>
        <w:ind w:firstLine="420" w:firstLineChars="200"/>
        <w:rPr>
          <w:rFonts w:ascii="宋体" w:hAnsi="宋体"/>
          <w:bCs/>
          <w:color w:val="auto"/>
          <w:szCs w:val="21"/>
          <w:highlight w:val="none"/>
        </w:rPr>
      </w:pPr>
      <w:r>
        <w:rPr>
          <w:rFonts w:ascii="宋体" w:hAnsi="宋体"/>
          <w:bCs/>
          <w:color w:val="auto"/>
          <w:szCs w:val="21"/>
          <w:highlight w:val="none"/>
        </w:rPr>
        <w:t>10.1.2  承包人的责任和义务</w:t>
      </w:r>
    </w:p>
    <w:p>
      <w:pPr>
        <w:spacing w:line="400" w:lineRule="exact"/>
        <w:ind w:firstLine="420" w:firstLineChars="200"/>
        <w:rPr>
          <w:rFonts w:ascii="宋体" w:hAnsi="宋体"/>
          <w:bCs/>
          <w:color w:val="auto"/>
          <w:szCs w:val="21"/>
          <w:highlight w:val="none"/>
          <w:u w:val="single"/>
        </w:rPr>
      </w:pPr>
      <w:r>
        <w:rPr>
          <w:rFonts w:hint="eastAsia" w:ascii="宋体" w:hAnsi="宋体"/>
          <w:bCs/>
          <w:color w:val="auto"/>
          <w:szCs w:val="21"/>
          <w:highlight w:val="none"/>
        </w:rPr>
        <w:t>（2）竣工后试验方案的份数和完成时间：</w:t>
      </w:r>
      <w:r>
        <w:rPr>
          <w:rFonts w:hint="eastAsia" w:ascii="宋体" w:hAnsi="宋体"/>
          <w:bCs/>
          <w:color w:val="auto"/>
          <w:szCs w:val="21"/>
          <w:highlight w:val="none"/>
          <w:u w:val="single"/>
        </w:rPr>
        <w:t xml:space="preserve">         /          </w:t>
      </w:r>
    </w:p>
    <w:p>
      <w:pPr>
        <w:spacing w:line="400" w:lineRule="exact"/>
        <w:ind w:firstLine="420" w:firstLineChars="200"/>
        <w:rPr>
          <w:rFonts w:ascii="宋体" w:hAnsi="宋体"/>
          <w:bCs/>
          <w:color w:val="auto"/>
          <w:szCs w:val="21"/>
          <w:highlight w:val="none"/>
          <w:u w:val="single"/>
        </w:rPr>
      </w:pPr>
      <w:r>
        <w:rPr>
          <w:rFonts w:hint="eastAsia" w:ascii="宋体" w:hAnsi="宋体"/>
          <w:bCs/>
          <w:color w:val="auto"/>
          <w:szCs w:val="21"/>
          <w:highlight w:val="none"/>
        </w:rPr>
        <w:t>（7）其他义务和工作：</w:t>
      </w:r>
      <w:r>
        <w:rPr>
          <w:rFonts w:hint="eastAsia" w:ascii="宋体" w:hAnsi="宋体"/>
          <w:bCs/>
          <w:color w:val="auto"/>
          <w:szCs w:val="21"/>
          <w:highlight w:val="none"/>
          <w:u w:val="single"/>
        </w:rPr>
        <w:t xml:space="preserve">         /          </w:t>
      </w:r>
    </w:p>
    <w:p>
      <w:pPr>
        <w:spacing w:before="156" w:beforeLines="50" w:after="156" w:afterLines="50" w:line="400" w:lineRule="exact"/>
        <w:ind w:firstLine="422" w:firstLineChars="200"/>
        <w:rPr>
          <w:rFonts w:ascii="宋体" w:hAnsi="宋体"/>
          <w:b/>
          <w:color w:val="auto"/>
          <w:szCs w:val="21"/>
          <w:highlight w:val="none"/>
        </w:rPr>
      </w:pPr>
      <w:r>
        <w:rPr>
          <w:rFonts w:ascii="宋体" w:hAnsi="宋体"/>
          <w:b/>
          <w:color w:val="auto"/>
          <w:szCs w:val="21"/>
          <w:highlight w:val="none"/>
        </w:rPr>
        <w:t xml:space="preserve">10.2  竣工后试验程序 </w:t>
      </w:r>
    </w:p>
    <w:p>
      <w:pPr>
        <w:spacing w:line="400" w:lineRule="exact"/>
        <w:ind w:firstLine="420" w:firstLineChars="200"/>
        <w:rPr>
          <w:rFonts w:hint="eastAsia" w:ascii="宋体" w:hAnsi="宋体"/>
          <w:b/>
          <w:color w:val="auto"/>
          <w:szCs w:val="21"/>
          <w:highlight w:val="none"/>
        </w:rPr>
      </w:pPr>
      <w:r>
        <w:rPr>
          <w:rFonts w:ascii="宋体" w:hAnsi="宋体"/>
          <w:color w:val="auto"/>
          <w:szCs w:val="21"/>
          <w:highlight w:val="none"/>
        </w:rPr>
        <w:t>10.2.</w:t>
      </w:r>
      <w:r>
        <w:rPr>
          <w:rFonts w:hint="eastAsia" w:ascii="宋体" w:hAnsi="宋体"/>
          <w:color w:val="auto"/>
          <w:szCs w:val="21"/>
          <w:highlight w:val="none"/>
        </w:rPr>
        <w:t>5</w:t>
      </w:r>
      <w:r>
        <w:rPr>
          <w:rFonts w:ascii="宋体" w:hAnsi="宋体"/>
          <w:color w:val="auto"/>
          <w:szCs w:val="21"/>
          <w:highlight w:val="none"/>
        </w:rPr>
        <w:t>竣工后试验</w:t>
      </w:r>
      <w:r>
        <w:rPr>
          <w:rFonts w:hint="eastAsia" w:ascii="宋体" w:hAnsi="宋体"/>
          <w:color w:val="auto"/>
          <w:szCs w:val="21"/>
          <w:highlight w:val="none"/>
        </w:rPr>
        <w:t>日期的通知</w:t>
      </w:r>
    </w:p>
    <w:p>
      <w:pPr>
        <w:spacing w:line="400" w:lineRule="exact"/>
        <w:ind w:firstLine="420" w:firstLineChars="200"/>
        <w:rPr>
          <w:rFonts w:ascii="宋体" w:hAnsi="宋体"/>
          <w:bCs/>
          <w:color w:val="auto"/>
          <w:szCs w:val="21"/>
          <w:highlight w:val="none"/>
          <w:u w:val="single"/>
        </w:rPr>
      </w:pPr>
      <w:r>
        <w:rPr>
          <w:rFonts w:ascii="宋体" w:hAnsi="宋体"/>
          <w:color w:val="auto"/>
          <w:szCs w:val="21"/>
          <w:highlight w:val="none"/>
        </w:rPr>
        <w:t>单项工程或（和）工程竣工后试验开始日期的约定：</w:t>
      </w:r>
      <w:r>
        <w:rPr>
          <w:rFonts w:hint="eastAsia" w:ascii="宋体" w:hAnsi="宋体"/>
          <w:bCs/>
          <w:color w:val="auto"/>
          <w:szCs w:val="21"/>
          <w:highlight w:val="none"/>
          <w:u w:val="single"/>
        </w:rPr>
        <w:t xml:space="preserve">  </w:t>
      </w:r>
      <w:r>
        <w:rPr>
          <w:rFonts w:ascii="宋体" w:hAnsi="宋体"/>
          <w:color w:val="auto"/>
          <w:szCs w:val="21"/>
          <w:highlight w:val="none"/>
          <w:u w:val="single"/>
        </w:rPr>
        <w:t>承包人应至少提前五个工作日向发包人发出书面通知</w:t>
      </w:r>
      <w:r>
        <w:rPr>
          <w:rFonts w:hint="eastAsia" w:ascii="宋体" w:hAnsi="宋体"/>
          <w:bCs/>
          <w:color w:val="auto"/>
          <w:szCs w:val="21"/>
          <w:highlight w:val="none"/>
          <w:u w:val="single"/>
        </w:rPr>
        <w:t xml:space="preserve">  </w:t>
      </w:r>
    </w:p>
    <w:p>
      <w:pPr>
        <w:spacing w:before="156" w:beforeLines="50" w:after="156" w:afterLines="50" w:line="400" w:lineRule="exact"/>
        <w:ind w:firstLine="422" w:firstLineChars="200"/>
        <w:rPr>
          <w:rFonts w:ascii="宋体" w:hAnsi="宋体"/>
          <w:b/>
          <w:color w:val="auto"/>
          <w:szCs w:val="21"/>
          <w:highlight w:val="none"/>
        </w:rPr>
      </w:pPr>
      <w:r>
        <w:rPr>
          <w:rFonts w:ascii="宋体" w:hAnsi="宋体"/>
          <w:b/>
          <w:color w:val="auto"/>
          <w:szCs w:val="21"/>
          <w:highlight w:val="none"/>
        </w:rPr>
        <w:t>10.3  竣工后试验及</w:t>
      </w:r>
      <w:r>
        <w:rPr>
          <w:rFonts w:hint="eastAsia" w:ascii="宋体" w:hAnsi="宋体"/>
          <w:b/>
          <w:color w:val="auto"/>
          <w:szCs w:val="21"/>
          <w:highlight w:val="none"/>
        </w:rPr>
        <w:t>试运行</w:t>
      </w:r>
      <w:r>
        <w:rPr>
          <w:rFonts w:ascii="宋体" w:hAnsi="宋体"/>
          <w:b/>
          <w:color w:val="auto"/>
          <w:szCs w:val="21"/>
          <w:highlight w:val="none"/>
        </w:rPr>
        <w:t>考核</w:t>
      </w:r>
    </w:p>
    <w:p>
      <w:pPr>
        <w:spacing w:line="400" w:lineRule="exact"/>
        <w:ind w:firstLine="420" w:firstLineChars="200"/>
        <w:rPr>
          <w:rFonts w:hint="eastAsia" w:ascii="宋体" w:hAnsi="宋体"/>
          <w:color w:val="auto"/>
          <w:szCs w:val="21"/>
          <w:highlight w:val="none"/>
        </w:rPr>
      </w:pPr>
      <w:r>
        <w:rPr>
          <w:rFonts w:hint="eastAsia" w:ascii="宋体" w:hAnsi="宋体"/>
          <w:color w:val="auto"/>
          <w:szCs w:val="21"/>
          <w:highlight w:val="none"/>
        </w:rPr>
        <w:t>10.3.3试运行考核</w:t>
      </w:r>
    </w:p>
    <w:p>
      <w:pPr>
        <w:spacing w:line="400" w:lineRule="exact"/>
        <w:ind w:firstLine="420" w:firstLineChars="200"/>
        <w:rPr>
          <w:rFonts w:ascii="宋体" w:hAnsi="宋体"/>
          <w:color w:val="auto"/>
          <w:szCs w:val="21"/>
          <w:highlight w:val="none"/>
          <w:u w:val="single"/>
        </w:rPr>
      </w:pPr>
      <w:r>
        <w:rPr>
          <w:rFonts w:hint="eastAsia" w:ascii="宋体" w:hAnsi="宋体"/>
          <w:color w:val="auto"/>
          <w:szCs w:val="21"/>
          <w:highlight w:val="none"/>
        </w:rPr>
        <w:t>（3）试运行考核周期：</w:t>
      </w:r>
      <w:r>
        <w:rPr>
          <w:rFonts w:hint="eastAsia" w:ascii="宋体" w:hAnsi="宋体"/>
          <w:color w:val="auto"/>
          <w:szCs w:val="21"/>
          <w:highlight w:val="none"/>
          <w:u w:val="single"/>
        </w:rPr>
        <w:t xml:space="preserve">    /       </w:t>
      </w:r>
      <w:r>
        <w:rPr>
          <w:rFonts w:hint="eastAsia" w:ascii="宋体" w:hAnsi="宋体"/>
          <w:color w:val="auto"/>
          <w:szCs w:val="21"/>
          <w:highlight w:val="none"/>
        </w:rPr>
        <w:t>小时（或天、周、月、年）</w:t>
      </w:r>
    </w:p>
    <w:p>
      <w:pPr>
        <w:spacing w:before="156" w:beforeLines="50" w:after="156" w:afterLines="50" w:line="300" w:lineRule="auto"/>
        <w:ind w:firstLine="422" w:firstLineChars="200"/>
        <w:rPr>
          <w:rFonts w:ascii="宋体" w:hAnsi="宋体"/>
          <w:b/>
          <w:color w:val="auto"/>
          <w:szCs w:val="21"/>
          <w:highlight w:val="none"/>
        </w:rPr>
      </w:pPr>
      <w:r>
        <w:rPr>
          <w:rFonts w:ascii="宋体" w:hAnsi="宋体"/>
          <w:b/>
          <w:color w:val="auto"/>
          <w:szCs w:val="21"/>
          <w:highlight w:val="none"/>
        </w:rPr>
        <w:t>10.</w:t>
      </w:r>
      <w:r>
        <w:rPr>
          <w:rFonts w:hint="eastAsia" w:ascii="宋体" w:hAnsi="宋体"/>
          <w:b/>
          <w:color w:val="auto"/>
          <w:szCs w:val="21"/>
          <w:highlight w:val="none"/>
        </w:rPr>
        <w:t>6</w:t>
      </w:r>
      <w:r>
        <w:rPr>
          <w:rFonts w:ascii="宋体" w:hAnsi="宋体"/>
          <w:b/>
          <w:color w:val="auto"/>
          <w:szCs w:val="21"/>
          <w:highlight w:val="none"/>
        </w:rPr>
        <w:t xml:space="preserve"> </w:t>
      </w:r>
      <w:r>
        <w:rPr>
          <w:rFonts w:hint="eastAsia" w:ascii="宋体" w:hAnsi="宋体"/>
          <w:b/>
          <w:color w:val="auto"/>
          <w:szCs w:val="21"/>
          <w:highlight w:val="none"/>
        </w:rPr>
        <w:t>未能通过考核</w:t>
      </w:r>
    </w:p>
    <w:p>
      <w:pPr>
        <w:spacing w:line="300" w:lineRule="auto"/>
        <w:ind w:firstLine="420" w:firstLineChars="200"/>
        <w:rPr>
          <w:rFonts w:ascii="宋体" w:hAnsi="宋体"/>
          <w:color w:val="auto"/>
          <w:szCs w:val="21"/>
          <w:highlight w:val="none"/>
        </w:rPr>
      </w:pPr>
      <w:r>
        <w:rPr>
          <w:rFonts w:ascii="宋体" w:hAnsi="宋体"/>
          <w:color w:val="auto"/>
          <w:szCs w:val="21"/>
          <w:highlight w:val="none"/>
        </w:rPr>
        <w:t>（1）</w:t>
      </w:r>
      <w:r>
        <w:rPr>
          <w:rFonts w:hint="eastAsia" w:ascii="宋体" w:hAnsi="宋体"/>
          <w:b/>
          <w:color w:val="auto"/>
          <w:szCs w:val="21"/>
          <w:highlight w:val="none"/>
        </w:rPr>
        <w:t>未能通过试运行考核的赔偿</w:t>
      </w:r>
    </w:p>
    <w:p>
      <w:pPr>
        <w:spacing w:line="300" w:lineRule="auto"/>
        <w:ind w:left="480"/>
        <w:rPr>
          <w:rFonts w:hint="eastAsia" w:ascii="宋体" w:hAnsi="宋体"/>
          <w:color w:val="auto"/>
          <w:szCs w:val="21"/>
          <w:highlight w:val="none"/>
        </w:rPr>
      </w:pPr>
      <w:r>
        <w:rPr>
          <w:rFonts w:hint="eastAsia" w:ascii="宋体" w:hAnsi="宋体"/>
          <w:color w:val="auto"/>
          <w:szCs w:val="21"/>
          <w:highlight w:val="none"/>
          <w:u w:val="single"/>
        </w:rPr>
        <w:t>1）/。</w:t>
      </w:r>
    </w:p>
    <w:p>
      <w:pPr>
        <w:spacing w:before="156" w:beforeLines="50" w:after="156" w:afterLines="50" w:line="300" w:lineRule="auto"/>
        <w:ind w:firstLine="422" w:firstLineChars="200"/>
        <w:rPr>
          <w:rFonts w:hint="eastAsia" w:ascii="宋体" w:hAnsi="宋体"/>
          <w:b/>
          <w:color w:val="auto"/>
          <w:szCs w:val="21"/>
          <w:highlight w:val="none"/>
        </w:rPr>
      </w:pPr>
      <w:r>
        <w:rPr>
          <w:rFonts w:ascii="宋体" w:hAnsi="宋体"/>
          <w:b/>
          <w:color w:val="auto"/>
          <w:szCs w:val="21"/>
          <w:highlight w:val="none"/>
        </w:rPr>
        <w:t>10.</w:t>
      </w:r>
      <w:r>
        <w:rPr>
          <w:rFonts w:hint="eastAsia" w:ascii="宋体" w:hAnsi="宋体"/>
          <w:b/>
          <w:color w:val="auto"/>
          <w:szCs w:val="21"/>
          <w:highlight w:val="none"/>
        </w:rPr>
        <w:t>7</w:t>
      </w:r>
      <w:r>
        <w:rPr>
          <w:rFonts w:ascii="宋体" w:hAnsi="宋体"/>
          <w:b/>
          <w:color w:val="auto"/>
          <w:szCs w:val="21"/>
          <w:highlight w:val="none"/>
        </w:rPr>
        <w:t xml:space="preserve"> </w:t>
      </w:r>
      <w:r>
        <w:rPr>
          <w:rFonts w:hint="eastAsia" w:ascii="宋体" w:hAnsi="宋体"/>
          <w:b/>
          <w:color w:val="auto"/>
          <w:szCs w:val="21"/>
          <w:highlight w:val="none"/>
        </w:rPr>
        <w:t>考核验收证书</w:t>
      </w:r>
    </w:p>
    <w:p>
      <w:pPr>
        <w:spacing w:before="156" w:beforeLines="50" w:after="156" w:afterLines="50" w:line="300" w:lineRule="auto"/>
        <w:ind w:firstLine="422" w:firstLineChars="200"/>
        <w:rPr>
          <w:rFonts w:ascii="宋体" w:hAnsi="宋体"/>
          <w:b/>
          <w:color w:val="auto"/>
          <w:szCs w:val="21"/>
          <w:highlight w:val="none"/>
        </w:rPr>
      </w:pPr>
      <w:r>
        <w:rPr>
          <w:rFonts w:hint="eastAsia" w:ascii="宋体" w:hAnsi="宋体"/>
          <w:b/>
          <w:color w:val="auto"/>
          <w:szCs w:val="21"/>
          <w:highlight w:val="none"/>
        </w:rPr>
        <w:t>10.7.1按工程颁发竣工后试验及考核验收证书</w:t>
      </w:r>
    </w:p>
    <w:p>
      <w:pPr>
        <w:spacing w:before="156" w:beforeLines="50" w:after="156" w:afterLines="50" w:line="300" w:lineRule="auto"/>
        <w:ind w:firstLine="422" w:firstLineChars="200"/>
        <w:rPr>
          <w:rFonts w:ascii="宋体" w:hAnsi="宋体"/>
          <w:b/>
          <w:color w:val="auto"/>
          <w:szCs w:val="21"/>
          <w:highlight w:val="none"/>
        </w:rPr>
      </w:pPr>
      <w:r>
        <w:rPr>
          <w:rFonts w:ascii="宋体" w:hAnsi="宋体"/>
          <w:b/>
          <w:color w:val="auto"/>
          <w:szCs w:val="21"/>
          <w:highlight w:val="none"/>
        </w:rPr>
        <w:t>第11条 质量保修责任</w:t>
      </w:r>
    </w:p>
    <w:p>
      <w:pPr>
        <w:spacing w:before="156" w:beforeLines="50" w:after="156" w:afterLines="50" w:line="300" w:lineRule="auto"/>
        <w:ind w:firstLine="422" w:firstLineChars="200"/>
        <w:rPr>
          <w:rFonts w:ascii="宋体" w:hAnsi="宋体"/>
          <w:b/>
          <w:color w:val="auto"/>
          <w:szCs w:val="21"/>
          <w:highlight w:val="none"/>
        </w:rPr>
      </w:pPr>
      <w:r>
        <w:rPr>
          <w:rFonts w:ascii="宋体" w:hAnsi="宋体"/>
          <w:b/>
          <w:color w:val="auto"/>
          <w:szCs w:val="21"/>
          <w:highlight w:val="none"/>
        </w:rPr>
        <w:t>11.2  缺陷责任保修金</w:t>
      </w:r>
    </w:p>
    <w:p>
      <w:pPr>
        <w:spacing w:line="300" w:lineRule="auto"/>
        <w:ind w:firstLine="420" w:firstLineChars="200"/>
        <w:rPr>
          <w:rFonts w:ascii="宋体" w:hAnsi="宋体"/>
          <w:color w:val="auto"/>
          <w:szCs w:val="21"/>
          <w:highlight w:val="none"/>
        </w:rPr>
      </w:pPr>
      <w:r>
        <w:rPr>
          <w:rFonts w:ascii="宋体" w:hAnsi="宋体"/>
          <w:color w:val="auto"/>
          <w:szCs w:val="21"/>
          <w:highlight w:val="none"/>
        </w:rPr>
        <w:t>11.2</w:t>
      </w:r>
      <w:r>
        <w:rPr>
          <w:rFonts w:hint="eastAsia" w:ascii="宋体" w:hAnsi="宋体"/>
          <w:color w:val="auto"/>
          <w:szCs w:val="21"/>
          <w:highlight w:val="none"/>
        </w:rPr>
        <w:t>.1</w:t>
      </w:r>
      <w:r>
        <w:rPr>
          <w:color w:val="auto"/>
          <w:highlight w:val="none"/>
        </w:rPr>
        <w:t>缺陷责任保修金</w:t>
      </w:r>
    </w:p>
    <w:p>
      <w:pPr>
        <w:spacing w:line="300" w:lineRule="auto"/>
        <w:ind w:firstLine="420" w:firstLineChars="200"/>
        <w:rPr>
          <w:rFonts w:ascii="宋体" w:hAnsi="宋体"/>
          <w:color w:val="auto"/>
          <w:szCs w:val="21"/>
          <w:highlight w:val="none"/>
        </w:rPr>
      </w:pPr>
      <w:r>
        <w:rPr>
          <w:rFonts w:ascii="宋体" w:hAnsi="宋体"/>
          <w:color w:val="auto"/>
          <w:szCs w:val="21"/>
          <w:highlight w:val="none"/>
        </w:rPr>
        <w:t>缺陷责任保修金金额为合同协议书约定的合同价格的</w:t>
      </w:r>
      <w:r>
        <w:rPr>
          <w:rFonts w:ascii="宋体" w:hAnsi="宋体"/>
          <w:color w:val="auto"/>
          <w:szCs w:val="21"/>
          <w:highlight w:val="none"/>
          <w:u w:val="single"/>
        </w:rPr>
        <w:t xml:space="preserve"> </w:t>
      </w:r>
      <w:r>
        <w:rPr>
          <w:rFonts w:hint="eastAsia" w:ascii="宋体" w:hAnsi="宋体"/>
          <w:color w:val="auto"/>
          <w:szCs w:val="21"/>
          <w:highlight w:val="none"/>
          <w:u w:val="single"/>
        </w:rPr>
        <w:t>1</w:t>
      </w:r>
      <w:r>
        <w:rPr>
          <w:rFonts w:ascii="宋体" w:hAnsi="宋体"/>
          <w:color w:val="auto"/>
          <w:szCs w:val="21"/>
          <w:highlight w:val="none"/>
          <w:u w:val="single"/>
        </w:rPr>
        <w:t xml:space="preserve">.5 </w:t>
      </w:r>
      <w:r>
        <w:rPr>
          <w:rFonts w:ascii="宋体" w:hAnsi="宋体"/>
          <w:color w:val="auto"/>
          <w:szCs w:val="21"/>
          <w:highlight w:val="none"/>
        </w:rPr>
        <w:t xml:space="preserve"> %。</w:t>
      </w:r>
    </w:p>
    <w:p>
      <w:pPr>
        <w:spacing w:line="300" w:lineRule="auto"/>
        <w:ind w:firstLine="420" w:firstLineChars="200"/>
        <w:rPr>
          <w:rFonts w:ascii="宋体" w:hAnsi="宋体"/>
          <w:color w:val="auto"/>
          <w:szCs w:val="21"/>
          <w:highlight w:val="none"/>
        </w:rPr>
      </w:pPr>
      <w:r>
        <w:rPr>
          <w:rFonts w:ascii="宋体" w:hAnsi="宋体"/>
          <w:color w:val="auto"/>
          <w:szCs w:val="21"/>
          <w:highlight w:val="none"/>
        </w:rPr>
        <w:t>11.2.2  缺陷责任保修金金额的暂扣</w:t>
      </w:r>
    </w:p>
    <w:p>
      <w:pPr>
        <w:spacing w:line="300" w:lineRule="auto"/>
        <w:ind w:firstLine="420" w:firstLineChars="200"/>
        <w:rPr>
          <w:rFonts w:ascii="宋体" w:hAnsi="宋体"/>
          <w:color w:val="auto"/>
          <w:szCs w:val="21"/>
          <w:highlight w:val="none"/>
          <w:u w:val="single"/>
        </w:rPr>
      </w:pPr>
      <w:r>
        <w:rPr>
          <w:rFonts w:ascii="宋体" w:hAnsi="宋体"/>
          <w:color w:val="auto"/>
          <w:szCs w:val="21"/>
          <w:highlight w:val="none"/>
        </w:rPr>
        <w:t>缺陷责任保修金金额的暂扣方式：</w:t>
      </w:r>
      <w:r>
        <w:rPr>
          <w:rFonts w:ascii="宋体" w:hAnsi="宋体"/>
          <w:color w:val="auto"/>
          <w:szCs w:val="21"/>
          <w:highlight w:val="none"/>
          <w:u w:val="single"/>
        </w:rPr>
        <w:t xml:space="preserve">  工程竣工结算时</w:t>
      </w:r>
      <w:r>
        <w:rPr>
          <w:rFonts w:hint="eastAsia" w:ascii="宋体" w:hAnsi="宋体"/>
          <w:color w:val="auto"/>
          <w:szCs w:val="21"/>
          <w:highlight w:val="none"/>
          <w:u w:val="single"/>
          <w:lang w:val="en-US" w:eastAsia="zh-CN"/>
        </w:rPr>
        <w:t>乙方向甲方</w:t>
      </w:r>
      <w:r>
        <w:rPr>
          <w:rFonts w:ascii="宋体" w:hAnsi="宋体"/>
          <w:color w:val="auto"/>
          <w:szCs w:val="21"/>
          <w:highlight w:val="none"/>
          <w:u w:val="single"/>
        </w:rPr>
        <w:t>一次性</w:t>
      </w:r>
      <w:r>
        <w:rPr>
          <w:rFonts w:hint="eastAsia" w:ascii="宋体" w:hAnsi="宋体"/>
          <w:color w:val="auto"/>
          <w:szCs w:val="21"/>
          <w:highlight w:val="none"/>
          <w:u w:val="single"/>
          <w:lang w:val="en-US" w:eastAsia="zh-CN"/>
        </w:rPr>
        <w:t>缴纳</w:t>
      </w:r>
      <w:r>
        <w:rPr>
          <w:rFonts w:ascii="宋体" w:hAnsi="宋体"/>
          <w:color w:val="auto"/>
          <w:szCs w:val="21"/>
          <w:highlight w:val="none"/>
          <w:u w:val="single"/>
        </w:rPr>
        <w:t>缺陷责任保修金；</w:t>
      </w:r>
    </w:p>
    <w:p>
      <w:pPr>
        <w:spacing w:before="156" w:beforeLines="50" w:after="156" w:afterLines="50" w:line="300" w:lineRule="auto"/>
        <w:ind w:firstLine="422" w:firstLineChars="200"/>
        <w:rPr>
          <w:rFonts w:ascii="宋体" w:hAnsi="宋体"/>
          <w:b/>
          <w:color w:val="auto"/>
          <w:szCs w:val="21"/>
          <w:highlight w:val="none"/>
        </w:rPr>
      </w:pPr>
      <w:r>
        <w:rPr>
          <w:rFonts w:ascii="宋体" w:hAnsi="宋体"/>
          <w:b/>
          <w:color w:val="auto"/>
          <w:szCs w:val="21"/>
          <w:highlight w:val="none"/>
        </w:rPr>
        <w:t>第12条  工程竣工验收</w:t>
      </w:r>
    </w:p>
    <w:p>
      <w:pPr>
        <w:spacing w:before="156" w:beforeLines="50" w:after="156" w:afterLines="50" w:line="300" w:lineRule="auto"/>
        <w:ind w:firstLine="422" w:firstLineChars="200"/>
        <w:rPr>
          <w:rFonts w:ascii="宋体" w:hAnsi="宋体"/>
          <w:b/>
          <w:color w:val="auto"/>
          <w:szCs w:val="21"/>
          <w:highlight w:val="none"/>
        </w:rPr>
      </w:pPr>
      <w:r>
        <w:rPr>
          <w:rFonts w:ascii="宋体" w:hAnsi="宋体"/>
          <w:b/>
          <w:color w:val="auto"/>
          <w:szCs w:val="21"/>
          <w:highlight w:val="none"/>
        </w:rPr>
        <w:t>12.1竣工验收报告及完整的竣工资料</w:t>
      </w:r>
    </w:p>
    <w:p>
      <w:pPr>
        <w:spacing w:line="300" w:lineRule="auto"/>
        <w:ind w:firstLine="420" w:firstLineChars="200"/>
        <w:rPr>
          <w:rFonts w:ascii="宋体" w:hAnsi="宋体"/>
          <w:color w:val="auto"/>
          <w:szCs w:val="21"/>
          <w:highlight w:val="none"/>
        </w:rPr>
      </w:pPr>
      <w:r>
        <w:rPr>
          <w:rFonts w:ascii="宋体" w:hAnsi="宋体"/>
          <w:color w:val="auto"/>
          <w:szCs w:val="21"/>
          <w:highlight w:val="none"/>
        </w:rPr>
        <w:t>12.1.1竣工资料和竣工验收报告</w:t>
      </w:r>
    </w:p>
    <w:p>
      <w:pPr>
        <w:spacing w:before="156" w:beforeLines="50" w:after="156" w:afterLines="50" w:line="300" w:lineRule="auto"/>
        <w:ind w:firstLine="420" w:firstLineChars="200"/>
        <w:rPr>
          <w:rFonts w:ascii="宋体" w:hAnsi="宋体"/>
          <w:bCs/>
          <w:color w:val="auto"/>
          <w:szCs w:val="21"/>
          <w:highlight w:val="none"/>
        </w:rPr>
      </w:pPr>
      <w:r>
        <w:rPr>
          <w:rFonts w:ascii="宋体" w:hAnsi="宋体"/>
          <w:bCs/>
          <w:color w:val="auto"/>
          <w:szCs w:val="21"/>
          <w:highlight w:val="none"/>
        </w:rPr>
        <w:t>竣工验收报告的格式、份数和提交时间：</w:t>
      </w:r>
      <w:r>
        <w:rPr>
          <w:rFonts w:ascii="宋体" w:hAnsi="宋体"/>
          <w:bCs/>
          <w:color w:val="auto"/>
          <w:szCs w:val="21"/>
          <w:highlight w:val="none"/>
          <w:u w:val="single"/>
        </w:rPr>
        <w:t>竣工验收前两周提交三份。</w:t>
      </w:r>
      <w:r>
        <w:rPr>
          <w:rFonts w:ascii="宋体" w:hAnsi="宋体"/>
          <w:bCs/>
          <w:color w:val="auto"/>
          <w:szCs w:val="21"/>
          <w:highlight w:val="none"/>
        </w:rPr>
        <w:t xml:space="preserve"> </w:t>
      </w:r>
    </w:p>
    <w:p>
      <w:pPr>
        <w:spacing w:before="156" w:beforeLines="50" w:after="156" w:afterLines="50" w:line="300" w:lineRule="auto"/>
        <w:ind w:firstLine="420" w:firstLineChars="200"/>
        <w:rPr>
          <w:rFonts w:ascii="宋体" w:hAnsi="宋体"/>
          <w:bCs/>
          <w:color w:val="auto"/>
          <w:szCs w:val="21"/>
          <w:highlight w:val="none"/>
          <w:u w:val="single"/>
        </w:rPr>
      </w:pPr>
      <w:r>
        <w:rPr>
          <w:rFonts w:ascii="宋体" w:hAnsi="宋体"/>
          <w:bCs/>
          <w:color w:val="auto"/>
          <w:szCs w:val="21"/>
          <w:highlight w:val="none"/>
        </w:rPr>
        <w:t>完整的竣工资料的格式、份数和提交时间：</w:t>
      </w:r>
      <w:r>
        <w:rPr>
          <w:rFonts w:ascii="宋体" w:hAnsi="宋体"/>
          <w:bCs/>
          <w:color w:val="auto"/>
          <w:szCs w:val="21"/>
          <w:highlight w:val="none"/>
          <w:u w:val="single"/>
        </w:rPr>
        <w:t xml:space="preserve">承包人应在合同规定的工程竣工前，免费向工程师提交柒套符合发包人、城建档案馆及其他有关部门要求的竣工图纸和竣工资料（包括照片、影像资料），竣工资料必须不少于壹套原件，陆套复印件及壹套光盘。如因资料不符合城建档案馆及其他有关部门的要求，而产生的资料整理费用，由承包人承担。 </w:t>
      </w:r>
    </w:p>
    <w:p>
      <w:pPr>
        <w:spacing w:before="156" w:beforeLines="50" w:after="156" w:afterLines="50" w:line="300" w:lineRule="auto"/>
        <w:ind w:firstLine="422" w:firstLineChars="200"/>
        <w:rPr>
          <w:rFonts w:ascii="宋体" w:hAnsi="宋体"/>
          <w:b/>
          <w:color w:val="auto"/>
          <w:szCs w:val="21"/>
          <w:highlight w:val="none"/>
        </w:rPr>
      </w:pPr>
      <w:r>
        <w:rPr>
          <w:rFonts w:ascii="宋体" w:hAnsi="宋体"/>
          <w:b/>
          <w:color w:val="auto"/>
          <w:szCs w:val="21"/>
          <w:highlight w:val="none"/>
        </w:rPr>
        <w:t>第13条  变更和合同价格调整</w:t>
      </w:r>
    </w:p>
    <w:p>
      <w:pPr>
        <w:spacing w:before="156" w:beforeLines="50" w:after="156" w:afterLines="50" w:line="300" w:lineRule="auto"/>
        <w:ind w:firstLine="422" w:firstLineChars="200"/>
        <w:rPr>
          <w:rFonts w:ascii="宋体" w:hAnsi="宋体"/>
          <w:b/>
          <w:color w:val="auto"/>
          <w:szCs w:val="21"/>
          <w:highlight w:val="none"/>
        </w:rPr>
      </w:pPr>
      <w:r>
        <w:rPr>
          <w:rFonts w:ascii="宋体" w:hAnsi="宋体"/>
          <w:b/>
          <w:color w:val="auto"/>
          <w:szCs w:val="21"/>
          <w:highlight w:val="none"/>
        </w:rPr>
        <w:t>13.2 变更范围</w:t>
      </w:r>
    </w:p>
    <w:p>
      <w:pPr>
        <w:spacing w:line="300" w:lineRule="auto"/>
        <w:ind w:firstLine="420" w:firstLineChars="200"/>
        <w:rPr>
          <w:rFonts w:ascii="宋体" w:hAnsi="宋体"/>
          <w:color w:val="auto"/>
          <w:szCs w:val="21"/>
          <w:highlight w:val="none"/>
        </w:rPr>
      </w:pPr>
      <w:r>
        <w:rPr>
          <w:rFonts w:ascii="宋体" w:hAnsi="宋体"/>
          <w:color w:val="auto"/>
          <w:szCs w:val="21"/>
          <w:highlight w:val="none"/>
        </w:rPr>
        <w:t>13.2.6其它变更</w:t>
      </w:r>
    </w:p>
    <w:p>
      <w:pPr>
        <w:spacing w:line="300" w:lineRule="auto"/>
        <w:ind w:firstLine="420" w:firstLineChars="200"/>
        <w:rPr>
          <w:rFonts w:ascii="宋体" w:hAnsi="宋体"/>
          <w:color w:val="auto"/>
          <w:szCs w:val="21"/>
          <w:highlight w:val="none"/>
          <w:u w:val="single"/>
        </w:rPr>
      </w:pPr>
      <w:r>
        <w:rPr>
          <w:rFonts w:ascii="宋体" w:hAnsi="宋体"/>
          <w:color w:val="auto"/>
          <w:szCs w:val="21"/>
          <w:highlight w:val="none"/>
        </w:rPr>
        <w:t>双方根据本工程特点，商定的其它变更范围：</w:t>
      </w:r>
      <w:r>
        <w:rPr>
          <w:rFonts w:ascii="宋体" w:hAnsi="宋体"/>
          <w:color w:val="auto"/>
          <w:szCs w:val="21"/>
          <w:highlight w:val="none"/>
          <w:u w:val="single"/>
        </w:rPr>
        <w:t>（1）施工图审</w:t>
      </w:r>
      <w:r>
        <w:rPr>
          <w:rFonts w:hint="eastAsia" w:ascii="宋体" w:hAnsi="宋体"/>
          <w:color w:val="auto"/>
          <w:szCs w:val="21"/>
          <w:highlight w:val="none"/>
          <w:u w:val="single"/>
        </w:rPr>
        <w:t>查</w:t>
      </w:r>
      <w:r>
        <w:rPr>
          <w:rFonts w:ascii="宋体" w:hAnsi="宋体"/>
          <w:color w:val="auto"/>
          <w:szCs w:val="21"/>
          <w:highlight w:val="none"/>
          <w:u w:val="single"/>
        </w:rPr>
        <w:t>且施工图预算核对之后，如发包人书面</w:t>
      </w:r>
      <w:r>
        <w:rPr>
          <w:rFonts w:hint="eastAsia" w:ascii="宋体" w:hAnsi="宋体"/>
          <w:color w:val="auto"/>
          <w:szCs w:val="21"/>
          <w:highlight w:val="none"/>
          <w:u w:val="single"/>
        </w:rPr>
        <w:t>确认</w:t>
      </w:r>
      <w:r>
        <w:rPr>
          <w:rFonts w:ascii="宋体" w:hAnsi="宋体"/>
          <w:color w:val="auto"/>
          <w:szCs w:val="21"/>
          <w:highlight w:val="none"/>
          <w:u w:val="single"/>
        </w:rPr>
        <w:t>的工程变更（以发包人通过监理工程师发出的规模性、功能性或标准的工程变更联系单为标志，以按本合同审查通过的施工图为参照）导致增加或减少的费用，相应调整。（</w:t>
      </w:r>
      <w:r>
        <w:rPr>
          <w:rFonts w:hint="eastAsia" w:ascii="宋体" w:hAnsi="宋体"/>
          <w:color w:val="auto"/>
          <w:szCs w:val="21"/>
          <w:highlight w:val="none"/>
          <w:u w:val="single"/>
        </w:rPr>
        <w:t>2</w:t>
      </w:r>
      <w:r>
        <w:rPr>
          <w:rFonts w:ascii="宋体" w:hAnsi="宋体"/>
          <w:color w:val="auto"/>
          <w:szCs w:val="21"/>
          <w:highlight w:val="none"/>
          <w:u w:val="single"/>
        </w:rPr>
        <w:t>）因承包人施工图设计有误、有漏项等缺陷产生的变更联系单由承包人承担，均不影响总造价、总工期。（</w:t>
      </w:r>
      <w:r>
        <w:rPr>
          <w:rFonts w:hint="eastAsia" w:ascii="宋体" w:hAnsi="宋体"/>
          <w:color w:val="auto"/>
          <w:szCs w:val="21"/>
          <w:highlight w:val="none"/>
          <w:u w:val="single"/>
        </w:rPr>
        <w:t>3</w:t>
      </w:r>
      <w:r>
        <w:rPr>
          <w:rFonts w:ascii="宋体" w:hAnsi="宋体"/>
          <w:color w:val="auto"/>
          <w:szCs w:val="21"/>
          <w:highlight w:val="none"/>
          <w:u w:val="single"/>
        </w:rPr>
        <w:t>）施工图审查后，承包人应按照审查后的图纸进行施工，未经发包人同意，不得随意改变做法。</w:t>
      </w:r>
    </w:p>
    <w:p>
      <w:pPr>
        <w:spacing w:before="156" w:beforeLines="50" w:after="156" w:afterLines="50" w:line="300" w:lineRule="auto"/>
        <w:ind w:firstLine="422" w:firstLineChars="200"/>
        <w:rPr>
          <w:rFonts w:ascii="宋体" w:hAnsi="宋体"/>
          <w:b/>
          <w:color w:val="auto"/>
          <w:szCs w:val="21"/>
          <w:highlight w:val="none"/>
        </w:rPr>
      </w:pPr>
      <w:r>
        <w:rPr>
          <w:rFonts w:ascii="宋体" w:hAnsi="宋体"/>
          <w:b/>
          <w:color w:val="auto"/>
          <w:szCs w:val="21"/>
          <w:highlight w:val="none"/>
        </w:rPr>
        <w:t>13.5  变更价款确定</w:t>
      </w:r>
    </w:p>
    <w:p>
      <w:pPr>
        <w:spacing w:before="156" w:beforeLines="50" w:after="156" w:afterLines="50" w:line="300" w:lineRule="auto"/>
        <w:ind w:firstLine="420" w:firstLineChars="200"/>
        <w:rPr>
          <w:rFonts w:ascii="宋体" w:hAnsi="宋体"/>
          <w:color w:val="auto"/>
          <w:szCs w:val="21"/>
          <w:highlight w:val="none"/>
          <w:u w:val="single"/>
        </w:rPr>
      </w:pPr>
      <w:r>
        <w:rPr>
          <w:rFonts w:ascii="宋体" w:hAnsi="宋体"/>
          <w:color w:val="auto"/>
          <w:szCs w:val="21"/>
          <w:highlight w:val="none"/>
        </w:rPr>
        <w:t>13.5.4变更价款约定的其他方法：</w:t>
      </w:r>
      <w:r>
        <w:rPr>
          <w:rFonts w:ascii="宋体" w:hAnsi="宋体"/>
          <w:color w:val="auto"/>
          <w:szCs w:val="21"/>
          <w:highlight w:val="none"/>
          <w:u w:val="single"/>
        </w:rPr>
        <w:t xml:space="preserve">       /       。</w:t>
      </w:r>
    </w:p>
    <w:p>
      <w:pPr>
        <w:spacing w:before="156" w:beforeLines="50" w:after="156" w:afterLines="50" w:line="300" w:lineRule="auto"/>
        <w:ind w:firstLine="422" w:firstLineChars="200"/>
        <w:rPr>
          <w:rFonts w:ascii="宋体" w:hAnsi="宋体"/>
          <w:b/>
          <w:color w:val="auto"/>
          <w:szCs w:val="21"/>
          <w:highlight w:val="none"/>
        </w:rPr>
      </w:pPr>
      <w:r>
        <w:rPr>
          <w:rFonts w:ascii="宋体" w:hAnsi="宋体"/>
          <w:b/>
          <w:color w:val="auto"/>
          <w:szCs w:val="21"/>
          <w:highlight w:val="none"/>
        </w:rPr>
        <w:t>13.6  建议变更的利益分享</w:t>
      </w:r>
    </w:p>
    <w:p>
      <w:pPr>
        <w:spacing w:before="156" w:beforeLines="50" w:after="156" w:afterLines="50" w:line="300" w:lineRule="auto"/>
        <w:ind w:firstLine="420" w:firstLineChars="200"/>
        <w:rPr>
          <w:rFonts w:ascii="宋体" w:hAnsi="宋体"/>
          <w:color w:val="auto"/>
          <w:szCs w:val="21"/>
          <w:highlight w:val="none"/>
          <w:u w:val="single"/>
        </w:rPr>
      </w:pPr>
      <w:r>
        <w:rPr>
          <w:rFonts w:ascii="宋体" w:hAnsi="宋体"/>
          <w:color w:val="auto"/>
          <w:szCs w:val="21"/>
          <w:highlight w:val="none"/>
        </w:rPr>
        <w:t>建议变更的利益分享的约定：</w:t>
      </w:r>
      <w:r>
        <w:rPr>
          <w:rFonts w:ascii="宋体" w:hAnsi="宋体"/>
          <w:color w:val="auto"/>
          <w:szCs w:val="21"/>
          <w:highlight w:val="none"/>
          <w:u w:val="single"/>
        </w:rPr>
        <w:t xml:space="preserve">      /       </w:t>
      </w:r>
    </w:p>
    <w:p>
      <w:pPr>
        <w:spacing w:before="156" w:beforeLines="50" w:after="156" w:afterLines="50" w:line="300" w:lineRule="auto"/>
        <w:ind w:firstLine="422" w:firstLineChars="200"/>
        <w:rPr>
          <w:rFonts w:ascii="宋体" w:hAnsi="宋体"/>
          <w:b/>
          <w:color w:val="auto"/>
          <w:szCs w:val="21"/>
          <w:highlight w:val="none"/>
        </w:rPr>
      </w:pPr>
      <w:r>
        <w:rPr>
          <w:rFonts w:ascii="宋体" w:hAnsi="宋体"/>
          <w:b/>
          <w:color w:val="auto"/>
          <w:szCs w:val="21"/>
          <w:highlight w:val="none"/>
        </w:rPr>
        <w:t xml:space="preserve">第14条  合同总价和付款 </w:t>
      </w:r>
    </w:p>
    <w:p>
      <w:pPr>
        <w:spacing w:before="156" w:beforeLines="50" w:after="156" w:afterLines="50" w:line="300" w:lineRule="auto"/>
        <w:ind w:firstLine="422" w:firstLineChars="200"/>
        <w:rPr>
          <w:rFonts w:ascii="宋体" w:hAnsi="宋体"/>
          <w:b/>
          <w:color w:val="auto"/>
          <w:szCs w:val="21"/>
          <w:highlight w:val="none"/>
        </w:rPr>
      </w:pPr>
      <w:r>
        <w:rPr>
          <w:rFonts w:ascii="宋体" w:hAnsi="宋体"/>
          <w:b/>
          <w:color w:val="auto"/>
          <w:szCs w:val="21"/>
          <w:highlight w:val="none"/>
        </w:rPr>
        <w:t>14.1  合同总价和付款</w:t>
      </w:r>
    </w:p>
    <w:p>
      <w:pPr>
        <w:spacing w:line="500" w:lineRule="exact"/>
        <w:rPr>
          <w:rFonts w:hint="eastAsia"/>
          <w:color w:val="auto"/>
          <w:szCs w:val="21"/>
          <w:highlight w:val="none"/>
        </w:rPr>
      </w:pPr>
      <w:r>
        <w:rPr>
          <w:rFonts w:hint="eastAsia"/>
          <w:color w:val="auto"/>
          <w:szCs w:val="21"/>
          <w:highlight w:val="none"/>
        </w:rPr>
        <w:t>最终结算金额=设计费+建筑安装工程费±奖罚。</w:t>
      </w:r>
    </w:p>
    <w:p>
      <w:pPr>
        <w:spacing w:line="300" w:lineRule="auto"/>
        <w:ind w:firstLine="420" w:firstLineChars="200"/>
        <w:rPr>
          <w:rFonts w:ascii="宋体" w:hAnsi="宋体"/>
          <w:color w:val="auto"/>
          <w:szCs w:val="21"/>
          <w:highlight w:val="none"/>
        </w:rPr>
      </w:pPr>
      <w:r>
        <w:rPr>
          <w:rFonts w:ascii="宋体" w:hAnsi="宋体"/>
          <w:color w:val="auto"/>
          <w:szCs w:val="21"/>
          <w:highlight w:val="none"/>
        </w:rPr>
        <w:t>14.1.2 付款</w:t>
      </w:r>
    </w:p>
    <w:p>
      <w:pPr>
        <w:spacing w:line="300" w:lineRule="auto"/>
        <w:ind w:firstLine="420" w:firstLineChars="200"/>
        <w:rPr>
          <w:rFonts w:ascii="宋体" w:hAnsi="宋体"/>
          <w:color w:val="auto"/>
          <w:szCs w:val="21"/>
          <w:highlight w:val="none"/>
          <w:u w:val="single"/>
        </w:rPr>
      </w:pPr>
      <w:r>
        <w:rPr>
          <w:rFonts w:ascii="宋体" w:hAnsi="宋体"/>
          <w:color w:val="auto"/>
          <w:szCs w:val="21"/>
          <w:highlight w:val="none"/>
        </w:rPr>
        <w:t>（2）承包人指定的开户银行及银行账户：</w:t>
      </w:r>
      <w:r>
        <w:rPr>
          <w:rFonts w:ascii="宋体" w:hAnsi="宋体"/>
          <w:color w:val="auto"/>
          <w:szCs w:val="21"/>
          <w:highlight w:val="none"/>
          <w:u w:val="single"/>
        </w:rPr>
        <w:t xml:space="preserve">      /       </w:t>
      </w:r>
    </w:p>
    <w:p>
      <w:pPr>
        <w:spacing w:before="156" w:beforeLines="50" w:after="156" w:afterLines="50" w:line="300" w:lineRule="auto"/>
        <w:ind w:firstLine="422" w:firstLineChars="200"/>
        <w:rPr>
          <w:rFonts w:ascii="宋体" w:hAnsi="宋体"/>
          <w:b/>
          <w:color w:val="auto"/>
          <w:szCs w:val="21"/>
          <w:highlight w:val="none"/>
        </w:rPr>
      </w:pPr>
      <w:r>
        <w:rPr>
          <w:rFonts w:ascii="宋体" w:hAnsi="宋体"/>
          <w:b/>
          <w:color w:val="auto"/>
          <w:szCs w:val="21"/>
          <w:highlight w:val="none"/>
        </w:rPr>
        <w:t>14.2  担保</w:t>
      </w:r>
    </w:p>
    <w:p>
      <w:pPr>
        <w:spacing w:line="300" w:lineRule="auto"/>
        <w:ind w:firstLine="420" w:firstLineChars="200"/>
        <w:rPr>
          <w:rFonts w:ascii="宋体" w:hAnsi="宋体"/>
          <w:color w:val="auto"/>
          <w:szCs w:val="21"/>
          <w:highlight w:val="none"/>
        </w:rPr>
      </w:pPr>
      <w:r>
        <w:rPr>
          <w:rFonts w:ascii="宋体" w:hAnsi="宋体"/>
          <w:color w:val="auto"/>
          <w:szCs w:val="21"/>
          <w:highlight w:val="none"/>
        </w:rPr>
        <w:t>14.2.1 履约保函</w:t>
      </w:r>
    </w:p>
    <w:p>
      <w:pPr>
        <w:spacing w:line="370" w:lineRule="exact"/>
        <w:rPr>
          <w:rFonts w:hint="eastAsia" w:ascii="宋体" w:hAnsi="宋体"/>
          <w:color w:val="auto"/>
          <w:szCs w:val="21"/>
          <w:highlight w:val="none"/>
        </w:rPr>
      </w:pPr>
      <w:r>
        <w:rPr>
          <w:rFonts w:ascii="宋体" w:hAnsi="宋体"/>
          <w:color w:val="auto"/>
          <w:szCs w:val="21"/>
          <w:highlight w:val="none"/>
        </w:rPr>
        <w:sym w:font="Times New Roman" w:char="0000"/>
      </w:r>
      <w:r>
        <w:rPr>
          <w:rFonts w:ascii="宋体" w:hAnsi="宋体"/>
          <w:color w:val="auto"/>
          <w:szCs w:val="21"/>
          <w:highlight w:val="none"/>
        </w:rPr>
        <w:t xml:space="preserve"> 承包人提交履约保函的格式、金额和时间：</w:t>
      </w:r>
    </w:p>
    <w:p>
      <w:pPr>
        <w:spacing w:line="370" w:lineRule="exact"/>
        <w:rPr>
          <w:rFonts w:hint="eastAsia" w:ascii="宋体" w:hAnsi="宋体" w:cs="宋体"/>
          <w:color w:val="auto"/>
          <w:szCs w:val="21"/>
          <w:highlight w:val="none"/>
        </w:rPr>
      </w:pPr>
      <w:r>
        <w:rPr>
          <w:rFonts w:hint="eastAsia" w:ascii="宋体" w:hAnsi="宋体"/>
          <w:color w:val="auto"/>
          <w:szCs w:val="21"/>
          <w:highlight w:val="none"/>
        </w:rPr>
        <w:t xml:space="preserve">    </w:t>
      </w:r>
      <w:r>
        <w:rPr>
          <w:rFonts w:hint="eastAsia" w:ascii="宋体" w:hAnsi="宋体" w:cs="宋体"/>
          <w:color w:val="auto"/>
          <w:szCs w:val="21"/>
          <w:highlight w:val="none"/>
        </w:rPr>
        <w:t>履约担保的形式：</w:t>
      </w:r>
      <w:r>
        <w:rPr>
          <w:rFonts w:hint="eastAsia" w:ascii="宋体" w:hAnsi="宋体" w:cs="宋体"/>
          <w:color w:val="auto"/>
          <w:szCs w:val="21"/>
          <w:highlight w:val="none"/>
          <w:u w:val="single"/>
        </w:rPr>
        <w:t>转账（网银或电汇）、保险电子保函（要求注明项目名称）、银行保函（要求注明项目名称）；</w:t>
      </w:r>
    </w:p>
    <w:p>
      <w:pPr>
        <w:spacing w:line="370" w:lineRule="exact"/>
        <w:rPr>
          <w:rFonts w:hint="eastAsia" w:ascii="宋体" w:hAnsi="宋体" w:cs="宋体"/>
          <w:color w:val="auto"/>
          <w:szCs w:val="21"/>
          <w:highlight w:val="none"/>
          <w:u w:val="single"/>
        </w:rPr>
      </w:pPr>
      <w:r>
        <w:rPr>
          <w:rFonts w:hint="eastAsia" w:ascii="宋体" w:hAnsi="宋体" w:cs="宋体"/>
          <w:color w:val="auto"/>
          <w:szCs w:val="21"/>
          <w:highlight w:val="none"/>
        </w:rPr>
        <w:t xml:space="preserve">    金额：</w:t>
      </w:r>
      <w:r>
        <w:rPr>
          <w:rFonts w:hint="eastAsia" w:ascii="宋体" w:hAnsi="宋体" w:cs="宋体"/>
          <w:color w:val="auto"/>
          <w:szCs w:val="21"/>
          <w:highlight w:val="none"/>
          <w:u w:val="single"/>
        </w:rPr>
        <w:t>中标合同金额的</w:t>
      </w:r>
      <w:r>
        <w:rPr>
          <w:rFonts w:hint="eastAsia" w:ascii="宋体" w:hAnsi="宋体" w:cs="宋体"/>
          <w:color w:val="auto"/>
          <w:szCs w:val="21"/>
          <w:highlight w:val="none"/>
          <w:u w:val="single"/>
          <w:lang w:val="en-US" w:eastAsia="zh-CN"/>
        </w:rPr>
        <w:t>1</w:t>
      </w:r>
      <w:r>
        <w:rPr>
          <w:rFonts w:hint="eastAsia" w:ascii="宋体" w:hAnsi="宋体" w:cs="宋体"/>
          <w:color w:val="auto"/>
          <w:szCs w:val="21"/>
          <w:highlight w:val="none"/>
          <w:u w:val="single"/>
        </w:rPr>
        <w:t>%；</w:t>
      </w:r>
    </w:p>
    <w:p>
      <w:pPr>
        <w:pStyle w:val="29"/>
        <w:spacing w:before="50" w:after="50" w:line="360" w:lineRule="exact"/>
        <w:ind w:right="25" w:rightChars="12" w:firstLine="420" w:firstLineChars="200"/>
        <w:rPr>
          <w:rFonts w:hint="eastAsia" w:ascii="宋体" w:hAnsi="宋体" w:cs="宋体"/>
          <w:color w:val="auto"/>
          <w:szCs w:val="21"/>
          <w:highlight w:val="none"/>
          <w:u w:val="single"/>
        </w:rPr>
      </w:pPr>
      <w:r>
        <w:rPr>
          <w:rFonts w:hint="eastAsia" w:ascii="宋体" w:hAnsi="宋体" w:cs="宋体"/>
          <w:color w:val="auto"/>
          <w:szCs w:val="21"/>
          <w:highlight w:val="none"/>
        </w:rPr>
        <w:t>时间：</w:t>
      </w:r>
      <w:r>
        <w:rPr>
          <w:rFonts w:hint="eastAsia" w:ascii="宋体" w:hAnsi="宋体" w:cs="宋体"/>
          <w:color w:val="auto"/>
          <w:szCs w:val="21"/>
          <w:highlight w:val="none"/>
          <w:u w:val="single"/>
        </w:rPr>
        <w:t>至工程竣工验收合格。</w:t>
      </w:r>
    </w:p>
    <w:p>
      <w:pPr>
        <w:spacing w:line="300" w:lineRule="auto"/>
        <w:ind w:firstLine="420" w:firstLineChars="200"/>
        <w:rPr>
          <w:rFonts w:ascii="宋体" w:hAnsi="宋体"/>
          <w:color w:val="auto"/>
          <w:szCs w:val="21"/>
          <w:highlight w:val="none"/>
        </w:rPr>
      </w:pPr>
      <w:r>
        <w:rPr>
          <w:rFonts w:ascii="宋体" w:hAnsi="宋体"/>
          <w:color w:val="auto"/>
          <w:szCs w:val="21"/>
          <w:highlight w:val="none"/>
        </w:rPr>
        <w:t>14.2.2 支付保函</w:t>
      </w:r>
    </w:p>
    <w:p>
      <w:pPr>
        <w:spacing w:line="300" w:lineRule="auto"/>
        <w:ind w:left="480"/>
        <w:rPr>
          <w:rFonts w:ascii="宋体" w:hAnsi="宋体"/>
          <w:color w:val="auto"/>
          <w:szCs w:val="21"/>
          <w:highlight w:val="none"/>
        </w:rPr>
      </w:pPr>
      <w:r>
        <w:rPr>
          <w:rFonts w:ascii="宋体" w:hAnsi="宋体"/>
          <w:color w:val="auto"/>
          <w:szCs w:val="21"/>
          <w:highlight w:val="none"/>
        </w:rPr>
        <w:sym w:font="Times New Roman" w:char="0000"/>
      </w:r>
      <w:r>
        <w:rPr>
          <w:rFonts w:ascii="宋体" w:hAnsi="宋体"/>
          <w:color w:val="auto"/>
          <w:szCs w:val="21"/>
          <w:highlight w:val="none"/>
        </w:rPr>
        <w:t xml:space="preserve"> 发包人不提交支付保函。</w:t>
      </w:r>
    </w:p>
    <w:p>
      <w:pPr>
        <w:spacing w:line="300" w:lineRule="auto"/>
        <w:ind w:firstLine="420" w:firstLineChars="200"/>
        <w:rPr>
          <w:rFonts w:ascii="宋体" w:hAnsi="宋体"/>
          <w:color w:val="auto"/>
          <w:szCs w:val="21"/>
          <w:highlight w:val="none"/>
        </w:rPr>
      </w:pPr>
      <w:r>
        <w:rPr>
          <w:rFonts w:ascii="宋体" w:hAnsi="宋体"/>
          <w:color w:val="auto"/>
          <w:szCs w:val="21"/>
          <w:highlight w:val="none"/>
        </w:rPr>
        <w:t>14.2.3 预付款保函</w:t>
      </w:r>
    </w:p>
    <w:p>
      <w:pPr>
        <w:spacing w:line="300" w:lineRule="auto"/>
        <w:ind w:left="480"/>
        <w:rPr>
          <w:rFonts w:ascii="宋体" w:hAnsi="宋体"/>
          <w:color w:val="auto"/>
          <w:szCs w:val="21"/>
          <w:highlight w:val="none"/>
        </w:rPr>
      </w:pPr>
      <w:r>
        <w:rPr>
          <w:rFonts w:ascii="宋体" w:hAnsi="宋体"/>
          <w:color w:val="auto"/>
          <w:szCs w:val="21"/>
          <w:highlight w:val="none"/>
        </w:rPr>
        <w:sym w:font="Times New Roman" w:char="0000"/>
      </w:r>
      <w:r>
        <w:rPr>
          <w:rFonts w:hint="eastAsia" w:ascii="宋体" w:hAnsi="宋体"/>
          <w:color w:val="auto"/>
          <w:szCs w:val="21"/>
          <w:highlight w:val="none"/>
        </w:rPr>
        <w:t>承</w:t>
      </w:r>
      <w:r>
        <w:rPr>
          <w:rFonts w:ascii="宋体" w:hAnsi="宋体"/>
          <w:color w:val="auto"/>
          <w:szCs w:val="21"/>
          <w:highlight w:val="none"/>
        </w:rPr>
        <w:t>包人不提交预付款保函。</w:t>
      </w:r>
    </w:p>
    <w:p>
      <w:pPr>
        <w:spacing w:before="156" w:beforeLines="50" w:after="156" w:afterLines="50" w:line="300" w:lineRule="auto"/>
        <w:ind w:firstLine="422" w:firstLineChars="200"/>
        <w:rPr>
          <w:rFonts w:ascii="宋体" w:hAnsi="宋体"/>
          <w:b/>
          <w:color w:val="auto"/>
          <w:szCs w:val="21"/>
          <w:highlight w:val="none"/>
        </w:rPr>
      </w:pPr>
      <w:r>
        <w:rPr>
          <w:rFonts w:ascii="宋体" w:hAnsi="宋体"/>
          <w:b/>
          <w:color w:val="auto"/>
          <w:szCs w:val="21"/>
          <w:highlight w:val="none"/>
        </w:rPr>
        <w:t>14.3  预付款</w:t>
      </w:r>
    </w:p>
    <w:p>
      <w:pPr>
        <w:spacing w:line="300" w:lineRule="auto"/>
        <w:ind w:firstLine="420" w:firstLineChars="200"/>
        <w:rPr>
          <w:rFonts w:ascii="宋体" w:hAnsi="宋体"/>
          <w:color w:val="auto"/>
          <w:szCs w:val="21"/>
          <w:highlight w:val="none"/>
        </w:rPr>
      </w:pPr>
      <w:r>
        <w:rPr>
          <w:rFonts w:ascii="宋体" w:hAnsi="宋体"/>
          <w:color w:val="auto"/>
          <w:szCs w:val="21"/>
          <w:highlight w:val="none"/>
        </w:rPr>
        <w:t>14.3.1  预付款金额</w:t>
      </w:r>
    </w:p>
    <w:p>
      <w:pPr>
        <w:spacing w:line="360" w:lineRule="auto"/>
        <w:ind w:firstLine="482"/>
        <w:rPr>
          <w:rFonts w:hint="eastAsia" w:ascii="宋体" w:hAnsi="宋体" w:eastAsia="宋体" w:cs="Times New Roman"/>
          <w:color w:val="auto"/>
          <w:szCs w:val="21"/>
          <w:highlight w:val="none"/>
          <w:u w:val="single"/>
        </w:rPr>
      </w:pPr>
      <w:r>
        <w:rPr>
          <w:rFonts w:hint="eastAsia" w:ascii="宋体" w:hAnsi="宋体" w:cs="宋体"/>
          <w:color w:val="auto"/>
          <w:szCs w:val="21"/>
          <w:highlight w:val="none"/>
        </w:rPr>
        <w:t>预付款额度和支付：</w:t>
      </w:r>
      <w:r>
        <w:rPr>
          <w:rFonts w:hint="eastAsia" w:ascii="宋体" w:hAnsi="宋体"/>
          <w:b/>
          <w:color w:val="auto"/>
          <w:szCs w:val="21"/>
          <w:highlight w:val="none"/>
        </w:rPr>
        <w:t>预付款额度：</w:t>
      </w:r>
      <w:r>
        <w:rPr>
          <w:rFonts w:hint="eastAsia" w:ascii="宋体" w:hAnsi="宋体" w:eastAsia="宋体" w:cs="Times New Roman"/>
          <w:color w:val="auto"/>
          <w:szCs w:val="21"/>
          <w:highlight w:val="none"/>
          <w:u w:val="single"/>
        </w:rPr>
        <w:t>合同签订后15个工作日支付设计费部分的</w:t>
      </w:r>
      <w:r>
        <w:rPr>
          <w:rFonts w:hint="eastAsia" w:ascii="宋体" w:hAnsi="宋体" w:eastAsia="宋体" w:cs="Times New Roman"/>
          <w:color w:val="auto"/>
          <w:szCs w:val="21"/>
          <w:highlight w:val="none"/>
          <w:u w:val="single"/>
          <w:lang w:val="en-US" w:eastAsia="zh-CN"/>
        </w:rPr>
        <w:t>3</w:t>
      </w:r>
      <w:r>
        <w:rPr>
          <w:rFonts w:hint="eastAsia" w:ascii="宋体" w:hAnsi="宋体" w:eastAsia="宋体" w:cs="Times New Roman"/>
          <w:color w:val="auto"/>
          <w:szCs w:val="21"/>
          <w:highlight w:val="none"/>
          <w:u w:val="single"/>
        </w:rPr>
        <w:t>0%作为预付款</w:t>
      </w:r>
      <w:r>
        <w:rPr>
          <w:rFonts w:hint="eastAsia" w:ascii="宋体" w:hAnsi="宋体" w:eastAsia="宋体" w:cs="Times New Roman"/>
          <w:color w:val="auto"/>
          <w:szCs w:val="21"/>
          <w:highlight w:val="none"/>
          <w:u w:val="single"/>
          <w:lang w:eastAsia="zh-CN"/>
        </w:rPr>
        <w:t>；</w:t>
      </w:r>
      <w:r>
        <w:rPr>
          <w:rFonts w:hint="eastAsia" w:ascii="宋体" w:hAnsi="宋体" w:eastAsia="宋体" w:cs="Times New Roman"/>
          <w:color w:val="auto"/>
          <w:szCs w:val="21"/>
          <w:highlight w:val="none"/>
          <w:u w:val="single"/>
        </w:rPr>
        <w:t>开始施工后</w:t>
      </w:r>
      <w:r>
        <w:rPr>
          <w:rFonts w:hint="eastAsia" w:ascii="宋体" w:hAnsi="宋体" w:eastAsia="宋体" w:cs="Times New Roman"/>
          <w:color w:val="auto"/>
          <w:szCs w:val="21"/>
          <w:highlight w:val="none"/>
          <w:u w:val="single"/>
          <w:lang w:val="en-US" w:eastAsia="zh-CN"/>
        </w:rPr>
        <w:t>15个工作日内</w:t>
      </w:r>
      <w:r>
        <w:rPr>
          <w:rFonts w:hint="eastAsia" w:ascii="宋体" w:hAnsi="宋体" w:eastAsia="宋体" w:cs="Times New Roman"/>
          <w:color w:val="auto"/>
          <w:szCs w:val="21"/>
          <w:highlight w:val="none"/>
          <w:u w:val="single"/>
        </w:rPr>
        <w:t>支付建筑安装工程费部分的</w:t>
      </w:r>
      <w:r>
        <w:rPr>
          <w:rFonts w:hint="eastAsia" w:ascii="宋体" w:hAnsi="宋体" w:eastAsia="宋体" w:cs="Times New Roman"/>
          <w:color w:val="auto"/>
          <w:szCs w:val="21"/>
          <w:highlight w:val="none"/>
          <w:u w:val="single"/>
          <w:lang w:val="en-US" w:eastAsia="zh-CN"/>
        </w:rPr>
        <w:t>3</w:t>
      </w:r>
      <w:r>
        <w:rPr>
          <w:rFonts w:hint="eastAsia" w:ascii="宋体" w:hAnsi="宋体" w:eastAsia="宋体" w:cs="Times New Roman"/>
          <w:color w:val="auto"/>
          <w:szCs w:val="21"/>
          <w:highlight w:val="none"/>
          <w:u w:val="single"/>
        </w:rPr>
        <w:t>0%作为预付款。</w:t>
      </w:r>
    </w:p>
    <w:p>
      <w:pPr>
        <w:pStyle w:val="737"/>
        <w:spacing w:before="0" w:after="0" w:line="360" w:lineRule="auto"/>
        <w:ind w:firstLine="420"/>
        <w:rPr>
          <w:rFonts w:hint="eastAsia" w:ascii="宋体" w:hAnsi="宋体" w:cs="宋体"/>
          <w:b w:val="0"/>
          <w:bCs w:val="0"/>
          <w:color w:val="auto"/>
          <w:highlight w:val="none"/>
        </w:rPr>
      </w:pPr>
      <w:r>
        <w:rPr>
          <w:rFonts w:hint="eastAsia" w:ascii="宋体" w:hAnsi="宋体" w:cs="宋体"/>
          <w:b w:val="0"/>
          <w:bCs w:val="0"/>
          <w:color w:val="auto"/>
          <w:highlight w:val="none"/>
        </w:rPr>
        <w:t>承包人需向发包人提供的同等金额的正式发票，发包人以银行转账的方式向承包人支付款项</w:t>
      </w:r>
    </w:p>
    <w:p>
      <w:pPr>
        <w:spacing w:line="300" w:lineRule="auto"/>
        <w:ind w:firstLine="420" w:firstLineChars="200"/>
        <w:rPr>
          <w:rFonts w:ascii="宋体" w:hAnsi="宋体"/>
          <w:color w:val="auto"/>
          <w:szCs w:val="21"/>
          <w:highlight w:val="none"/>
        </w:rPr>
      </w:pPr>
      <w:r>
        <w:rPr>
          <w:rFonts w:ascii="宋体" w:hAnsi="宋体"/>
          <w:color w:val="auto"/>
          <w:szCs w:val="21"/>
          <w:highlight w:val="none"/>
        </w:rPr>
        <w:t>14.3.3预付款抵扣</w:t>
      </w:r>
    </w:p>
    <w:p>
      <w:pPr>
        <w:spacing w:line="360" w:lineRule="auto"/>
        <w:ind w:left="480"/>
        <w:rPr>
          <w:rFonts w:hint="eastAsia" w:ascii="宋体" w:hAnsi="宋体"/>
          <w:b/>
          <w:bCs/>
          <w:color w:val="auto"/>
          <w:szCs w:val="21"/>
          <w:highlight w:val="none"/>
          <w:u w:val="single"/>
        </w:rPr>
      </w:pPr>
      <w:r>
        <w:rPr>
          <w:rFonts w:ascii="宋体" w:hAnsi="宋体"/>
          <w:color w:val="auto"/>
          <w:szCs w:val="21"/>
          <w:highlight w:val="none"/>
        </w:rPr>
        <w:t>（1）预付款的抵扣方式、抵扣比例和抵扣时间安排：</w:t>
      </w:r>
      <w:r>
        <w:rPr>
          <w:rFonts w:hint="eastAsia" w:ascii="宋体" w:hAnsi="宋体"/>
          <w:b/>
          <w:bCs/>
          <w:color w:val="auto"/>
          <w:szCs w:val="21"/>
          <w:highlight w:val="none"/>
          <w:u w:val="single"/>
        </w:rPr>
        <w:t>不扣回。</w:t>
      </w:r>
    </w:p>
    <w:p>
      <w:pPr>
        <w:spacing w:before="156" w:beforeLines="50" w:after="156" w:afterLines="50" w:line="300" w:lineRule="auto"/>
        <w:ind w:firstLine="422" w:firstLineChars="200"/>
        <w:rPr>
          <w:rFonts w:ascii="宋体" w:hAnsi="宋体"/>
          <w:b/>
          <w:color w:val="auto"/>
          <w:szCs w:val="21"/>
          <w:highlight w:val="none"/>
        </w:rPr>
      </w:pPr>
      <w:r>
        <w:rPr>
          <w:rFonts w:ascii="宋体" w:hAnsi="宋体"/>
          <w:b/>
          <w:color w:val="auto"/>
          <w:szCs w:val="21"/>
          <w:highlight w:val="none"/>
        </w:rPr>
        <w:t>14.4  工程进度款</w:t>
      </w:r>
    </w:p>
    <w:p>
      <w:pPr>
        <w:spacing w:line="300" w:lineRule="auto"/>
        <w:ind w:firstLine="420" w:firstLineChars="200"/>
        <w:rPr>
          <w:rFonts w:ascii="宋体" w:hAnsi="宋体"/>
          <w:color w:val="auto"/>
          <w:szCs w:val="21"/>
          <w:highlight w:val="none"/>
        </w:rPr>
      </w:pPr>
      <w:r>
        <w:rPr>
          <w:rFonts w:ascii="宋体" w:hAnsi="宋体"/>
          <w:color w:val="auto"/>
          <w:szCs w:val="21"/>
          <w:highlight w:val="none"/>
        </w:rPr>
        <w:t>14.4.1工程进度款</w:t>
      </w:r>
    </w:p>
    <w:p>
      <w:pPr>
        <w:spacing w:line="300" w:lineRule="auto"/>
        <w:ind w:firstLine="420" w:firstLineChars="200"/>
        <w:rPr>
          <w:rFonts w:hint="eastAsia" w:ascii="宋体" w:hAnsi="宋体"/>
          <w:color w:val="auto"/>
          <w:szCs w:val="21"/>
          <w:highlight w:val="none"/>
        </w:rPr>
      </w:pPr>
      <w:r>
        <w:rPr>
          <w:rFonts w:hint="eastAsia" w:ascii="宋体" w:hAnsi="宋体"/>
          <w:color w:val="auto"/>
          <w:szCs w:val="21"/>
          <w:highlight w:val="none"/>
        </w:rPr>
        <w:t xml:space="preserve">  1、</w:t>
      </w:r>
      <w:r>
        <w:rPr>
          <w:rFonts w:ascii="宋体" w:hAnsi="宋体"/>
          <w:color w:val="auto"/>
          <w:szCs w:val="21"/>
          <w:highlight w:val="none"/>
        </w:rPr>
        <w:t>工程进度款的支付方式、支付条件和支付时间如下：</w:t>
      </w:r>
    </w:p>
    <w:p>
      <w:pPr>
        <w:spacing w:line="360" w:lineRule="auto"/>
        <w:ind w:firstLine="482"/>
        <w:rPr>
          <w:rFonts w:ascii="宋体" w:hAnsi="宋体"/>
          <w:b/>
          <w:color w:val="auto"/>
          <w:szCs w:val="21"/>
          <w:highlight w:val="none"/>
          <w:u w:val="single"/>
        </w:rPr>
      </w:pPr>
      <w:r>
        <w:rPr>
          <w:rFonts w:hint="eastAsia" w:ascii="宋体" w:hAnsi="宋体"/>
          <w:b/>
          <w:color w:val="auto"/>
          <w:szCs w:val="21"/>
          <w:highlight w:val="none"/>
        </w:rPr>
        <w:t>1.设计费：</w:t>
      </w:r>
      <w:r>
        <w:rPr>
          <w:rFonts w:hint="eastAsia" w:ascii="宋体" w:hAnsi="宋体" w:eastAsia="宋体" w:cs="Times New Roman"/>
          <w:b/>
          <w:color w:val="auto"/>
          <w:szCs w:val="21"/>
          <w:highlight w:val="none"/>
          <w:u w:val="single"/>
        </w:rPr>
        <w:t>方案定稿完成施工图设计后</w:t>
      </w:r>
      <w:r>
        <w:rPr>
          <w:rFonts w:hint="eastAsia" w:ascii="宋体" w:hAnsi="宋体" w:eastAsia="宋体" w:cs="Times New Roman"/>
          <w:b/>
          <w:color w:val="auto"/>
          <w:szCs w:val="21"/>
          <w:highlight w:val="none"/>
          <w:u w:val="single"/>
          <w:lang w:val="en-US" w:eastAsia="zh-CN"/>
        </w:rPr>
        <w:t>15个工作日内</w:t>
      </w:r>
      <w:r>
        <w:rPr>
          <w:rFonts w:hint="eastAsia" w:ascii="宋体" w:hAnsi="宋体" w:eastAsia="宋体" w:cs="Times New Roman"/>
          <w:b/>
          <w:color w:val="auto"/>
          <w:szCs w:val="21"/>
          <w:highlight w:val="none"/>
          <w:u w:val="single"/>
        </w:rPr>
        <w:t>支付设计费部分的40%，经审计后15个工作日支付</w:t>
      </w:r>
      <w:r>
        <w:rPr>
          <w:rFonts w:hint="eastAsia" w:ascii="宋体" w:hAnsi="宋体" w:eastAsia="宋体" w:cs="Times New Roman"/>
          <w:b/>
          <w:color w:val="auto"/>
          <w:szCs w:val="21"/>
          <w:highlight w:val="none"/>
          <w:u w:val="single"/>
          <w:lang w:val="en-US" w:eastAsia="zh-CN"/>
        </w:rPr>
        <w:t>至设计部分审定价的100%</w:t>
      </w:r>
      <w:r>
        <w:rPr>
          <w:rFonts w:hint="eastAsia" w:ascii="宋体" w:hAnsi="宋体" w:eastAsia="宋体" w:cs="Times New Roman"/>
          <w:b/>
          <w:color w:val="auto"/>
          <w:szCs w:val="21"/>
          <w:highlight w:val="none"/>
          <w:u w:val="single"/>
        </w:rPr>
        <w:t>。</w:t>
      </w:r>
    </w:p>
    <w:p>
      <w:pPr>
        <w:spacing w:line="360" w:lineRule="auto"/>
        <w:ind w:firstLine="413" w:firstLineChars="196"/>
        <w:rPr>
          <w:rFonts w:hint="eastAsia" w:ascii="宋体" w:hAnsi="宋体"/>
          <w:b/>
          <w:color w:val="auto"/>
          <w:szCs w:val="21"/>
          <w:highlight w:val="none"/>
          <w:u w:val="single"/>
        </w:rPr>
      </w:pPr>
      <w:r>
        <w:rPr>
          <w:rFonts w:hint="eastAsia" w:ascii="宋体" w:hAnsi="宋体"/>
          <w:b/>
          <w:color w:val="auto"/>
          <w:szCs w:val="21"/>
          <w:highlight w:val="none"/>
        </w:rPr>
        <w:t>2.建安费：</w:t>
      </w:r>
      <w:r>
        <w:rPr>
          <w:rFonts w:hint="eastAsia" w:ascii="宋体" w:hAnsi="宋体" w:eastAsia="宋体" w:cs="Times New Roman"/>
          <w:b/>
          <w:color w:val="auto"/>
          <w:szCs w:val="21"/>
          <w:highlight w:val="none"/>
          <w:u w:val="single"/>
        </w:rPr>
        <w:t>竣工验收合格后</w:t>
      </w:r>
      <w:r>
        <w:rPr>
          <w:rFonts w:hint="eastAsia" w:ascii="宋体" w:hAnsi="宋体" w:eastAsia="宋体" w:cs="Times New Roman"/>
          <w:b/>
          <w:color w:val="auto"/>
          <w:szCs w:val="21"/>
          <w:highlight w:val="none"/>
          <w:u w:val="single"/>
          <w:lang w:val="en-US" w:eastAsia="zh-CN"/>
        </w:rPr>
        <w:t>15个工作日内支付</w:t>
      </w:r>
      <w:r>
        <w:rPr>
          <w:rFonts w:hint="eastAsia" w:ascii="宋体" w:hAnsi="宋体" w:eastAsia="宋体" w:cs="Times New Roman"/>
          <w:b/>
          <w:color w:val="auto"/>
          <w:szCs w:val="21"/>
          <w:highlight w:val="none"/>
          <w:u w:val="single"/>
        </w:rPr>
        <w:t>建筑安装工程费部分的40%，经审计后15个工作日支付</w:t>
      </w:r>
      <w:r>
        <w:rPr>
          <w:rFonts w:hint="eastAsia" w:ascii="宋体" w:hAnsi="宋体" w:eastAsia="宋体" w:cs="Times New Roman"/>
          <w:b/>
          <w:color w:val="auto"/>
          <w:szCs w:val="21"/>
          <w:highlight w:val="none"/>
          <w:u w:val="single"/>
          <w:lang w:val="en-US" w:eastAsia="zh-CN"/>
        </w:rPr>
        <w:t>至建筑安装工程费部分审定价的100%</w:t>
      </w:r>
      <w:r>
        <w:rPr>
          <w:rFonts w:hint="eastAsia" w:ascii="宋体" w:hAnsi="宋体" w:eastAsia="宋体" w:cs="Times New Roman"/>
          <w:b/>
          <w:color w:val="auto"/>
          <w:szCs w:val="21"/>
          <w:highlight w:val="none"/>
          <w:u w:val="single"/>
        </w:rPr>
        <w:t>。</w:t>
      </w:r>
    </w:p>
    <w:p>
      <w:pPr>
        <w:spacing w:line="300" w:lineRule="auto"/>
        <w:ind w:firstLine="422" w:firstLineChars="200"/>
        <w:rPr>
          <w:rFonts w:hint="eastAsia" w:ascii="宋体" w:hAnsi="宋体"/>
          <w:color w:val="auto"/>
          <w:szCs w:val="21"/>
          <w:highlight w:val="none"/>
        </w:rPr>
      </w:pPr>
      <w:r>
        <w:rPr>
          <w:rFonts w:ascii="宋体" w:hAnsi="宋体"/>
          <w:b/>
          <w:bCs/>
          <w:color w:val="auto"/>
          <w:szCs w:val="21"/>
          <w:highlight w:val="none"/>
        </w:rPr>
        <w:t>14.4.2其它进度款</w:t>
      </w:r>
    </w:p>
    <w:p>
      <w:pPr>
        <w:pStyle w:val="441"/>
        <w:tabs>
          <w:tab w:val="left" w:pos="1047"/>
        </w:tabs>
        <w:spacing w:before="158" w:line="328" w:lineRule="auto"/>
        <w:ind w:right="320"/>
        <w:rPr>
          <w:color w:val="auto"/>
          <w:szCs w:val="21"/>
          <w:highlight w:val="none"/>
          <w:u w:val="single"/>
        </w:rPr>
      </w:pPr>
      <w:r>
        <w:rPr>
          <w:rFonts w:hint="eastAsia"/>
          <w:color w:val="auto"/>
          <w:szCs w:val="21"/>
          <w:highlight w:val="none"/>
        </w:rPr>
        <w:t>其他进度款有：</w:t>
      </w:r>
      <w:r>
        <w:rPr>
          <w:rFonts w:hint="eastAsia"/>
          <w:color w:val="auto"/>
          <w:szCs w:val="21"/>
          <w:highlight w:val="none"/>
          <w:u w:val="single"/>
        </w:rPr>
        <w:t xml:space="preserve">             /           </w:t>
      </w:r>
    </w:p>
    <w:p>
      <w:pPr>
        <w:spacing w:before="156" w:beforeLines="50" w:after="156" w:afterLines="50" w:line="300" w:lineRule="auto"/>
        <w:ind w:firstLine="422" w:firstLineChars="200"/>
        <w:rPr>
          <w:rFonts w:ascii="宋体" w:hAnsi="宋体"/>
          <w:b/>
          <w:color w:val="auto"/>
          <w:szCs w:val="21"/>
          <w:highlight w:val="none"/>
        </w:rPr>
      </w:pPr>
      <w:r>
        <w:rPr>
          <w:rFonts w:ascii="宋体" w:hAnsi="宋体"/>
          <w:b/>
          <w:color w:val="auto"/>
          <w:szCs w:val="21"/>
          <w:highlight w:val="none"/>
        </w:rPr>
        <w:t>14.5  缺陷责任保修金的暂扣与支付</w:t>
      </w:r>
    </w:p>
    <w:p>
      <w:pPr>
        <w:spacing w:line="300" w:lineRule="auto"/>
        <w:ind w:firstLine="420" w:firstLineChars="200"/>
        <w:rPr>
          <w:rFonts w:ascii="宋体" w:hAnsi="宋体"/>
          <w:color w:val="auto"/>
          <w:szCs w:val="21"/>
          <w:highlight w:val="none"/>
        </w:rPr>
      </w:pPr>
      <w:r>
        <w:rPr>
          <w:rFonts w:ascii="宋体" w:hAnsi="宋体"/>
          <w:color w:val="auto"/>
          <w:szCs w:val="21"/>
          <w:highlight w:val="none"/>
        </w:rPr>
        <w:t>14.5.2  缺陷责任保修金的支付</w:t>
      </w:r>
    </w:p>
    <w:p>
      <w:pPr>
        <w:spacing w:line="300" w:lineRule="auto"/>
        <w:ind w:firstLine="420" w:firstLineChars="200"/>
        <w:rPr>
          <w:rFonts w:ascii="宋体" w:hAnsi="宋体"/>
          <w:color w:val="auto"/>
          <w:szCs w:val="21"/>
          <w:highlight w:val="none"/>
        </w:rPr>
      </w:pPr>
      <w:r>
        <w:rPr>
          <w:rFonts w:ascii="宋体" w:hAnsi="宋体"/>
          <w:color w:val="auto"/>
          <w:szCs w:val="21"/>
          <w:highlight w:val="none"/>
        </w:rPr>
        <w:t>（2）缺陷责任保修金保函的格式：</w:t>
      </w:r>
      <w:r>
        <w:rPr>
          <w:rFonts w:hint="eastAsia" w:ascii="宋体" w:hAnsi="宋体"/>
          <w:color w:val="auto"/>
          <w:kern w:val="0"/>
          <w:szCs w:val="21"/>
          <w:highlight w:val="none"/>
          <w:u w:val="single"/>
        </w:rPr>
        <w:t>银行保函或保险机构保证保险保单</w:t>
      </w:r>
      <w:r>
        <w:rPr>
          <w:rFonts w:ascii="宋体" w:hAnsi="宋体"/>
          <w:color w:val="auto"/>
          <w:szCs w:val="21"/>
          <w:highlight w:val="none"/>
          <w:u w:val="single"/>
        </w:rPr>
        <w:t xml:space="preserve">  </w:t>
      </w:r>
    </w:p>
    <w:p>
      <w:pPr>
        <w:spacing w:before="156" w:beforeLines="50" w:after="156" w:afterLines="50" w:line="300" w:lineRule="auto"/>
        <w:ind w:firstLine="422" w:firstLineChars="200"/>
        <w:rPr>
          <w:rFonts w:ascii="宋体" w:hAnsi="宋体"/>
          <w:b/>
          <w:color w:val="auto"/>
          <w:szCs w:val="21"/>
          <w:highlight w:val="none"/>
        </w:rPr>
      </w:pPr>
      <w:r>
        <w:rPr>
          <w:rFonts w:ascii="宋体" w:hAnsi="宋体"/>
          <w:b/>
          <w:color w:val="auto"/>
          <w:szCs w:val="21"/>
          <w:highlight w:val="none"/>
        </w:rPr>
        <w:t>14.6  按月工程进度申请付款</w:t>
      </w:r>
    </w:p>
    <w:p>
      <w:pPr>
        <w:spacing w:before="156" w:beforeLines="50" w:after="156" w:afterLines="50" w:line="300" w:lineRule="auto"/>
        <w:ind w:firstLine="420" w:firstLineChars="200"/>
        <w:rPr>
          <w:rFonts w:ascii="宋体" w:hAnsi="宋体"/>
          <w:color w:val="auto"/>
          <w:szCs w:val="21"/>
          <w:highlight w:val="none"/>
          <w:u w:val="single"/>
        </w:rPr>
      </w:pPr>
      <w:r>
        <w:rPr>
          <w:rFonts w:ascii="宋体" w:hAnsi="宋体"/>
          <w:color w:val="auto"/>
          <w:szCs w:val="21"/>
          <w:highlight w:val="none"/>
        </w:rPr>
        <w:t>按月付款申请报告的格式、内容、份数和提交时间：</w:t>
      </w:r>
      <w:r>
        <w:rPr>
          <w:rFonts w:ascii="宋体" w:hAnsi="宋体"/>
          <w:color w:val="auto"/>
          <w:szCs w:val="21"/>
          <w:highlight w:val="none"/>
          <w:u w:val="single"/>
        </w:rPr>
        <w:t xml:space="preserve"> 根据发包人要求 </w:t>
      </w:r>
    </w:p>
    <w:p>
      <w:pPr>
        <w:spacing w:before="156" w:beforeLines="50" w:after="156" w:afterLines="50" w:line="300" w:lineRule="auto"/>
        <w:ind w:firstLine="422" w:firstLineChars="200"/>
        <w:rPr>
          <w:rFonts w:ascii="宋体" w:hAnsi="宋体"/>
          <w:b/>
          <w:color w:val="auto"/>
          <w:szCs w:val="21"/>
          <w:highlight w:val="none"/>
        </w:rPr>
      </w:pPr>
      <w:r>
        <w:rPr>
          <w:rFonts w:ascii="宋体" w:hAnsi="宋体"/>
          <w:b/>
          <w:color w:val="auto"/>
          <w:szCs w:val="21"/>
          <w:highlight w:val="none"/>
        </w:rPr>
        <w:t>14.7  按付款计划表申请付款</w:t>
      </w:r>
    </w:p>
    <w:p>
      <w:pPr>
        <w:spacing w:line="300" w:lineRule="auto"/>
        <w:ind w:firstLine="420" w:firstLineChars="200"/>
        <w:rPr>
          <w:rFonts w:ascii="宋体" w:hAnsi="宋体"/>
          <w:color w:val="auto"/>
          <w:szCs w:val="21"/>
          <w:highlight w:val="none"/>
          <w:u w:val="single"/>
        </w:rPr>
      </w:pPr>
      <w:r>
        <w:rPr>
          <w:rFonts w:ascii="宋体" w:hAnsi="宋体"/>
          <w:color w:val="auto"/>
          <w:szCs w:val="21"/>
          <w:highlight w:val="none"/>
        </w:rPr>
        <w:t>付款期数、每期付款金额、每期需达到的主要计划形象进度和主要计划工程量进度：</w:t>
      </w:r>
      <w:r>
        <w:rPr>
          <w:rFonts w:ascii="宋体" w:hAnsi="宋体"/>
          <w:color w:val="auto"/>
          <w:szCs w:val="21"/>
          <w:highlight w:val="none"/>
          <w:u w:val="single"/>
        </w:rPr>
        <w:t xml:space="preserve">                   /                                          </w:t>
      </w:r>
    </w:p>
    <w:p>
      <w:pPr>
        <w:spacing w:line="300" w:lineRule="auto"/>
        <w:ind w:firstLine="420" w:firstLineChars="200"/>
        <w:rPr>
          <w:rFonts w:ascii="宋体" w:hAnsi="宋体"/>
          <w:color w:val="auto"/>
          <w:szCs w:val="21"/>
          <w:highlight w:val="none"/>
          <w:u w:val="single"/>
        </w:rPr>
      </w:pPr>
      <w:r>
        <w:rPr>
          <w:rFonts w:ascii="宋体" w:hAnsi="宋体"/>
          <w:color w:val="auto"/>
          <w:szCs w:val="21"/>
          <w:highlight w:val="none"/>
        </w:rPr>
        <w:t>付款申请报告的格式、内容、份数和提交时间：</w:t>
      </w:r>
      <w:r>
        <w:rPr>
          <w:rFonts w:ascii="宋体" w:hAnsi="宋体"/>
          <w:color w:val="auto"/>
          <w:szCs w:val="21"/>
          <w:highlight w:val="none"/>
          <w:u w:val="single"/>
        </w:rPr>
        <w:t xml:space="preserve">         /              </w:t>
      </w:r>
    </w:p>
    <w:p>
      <w:pPr>
        <w:spacing w:before="156" w:beforeLines="50" w:after="156" w:afterLines="50" w:line="300" w:lineRule="auto"/>
        <w:ind w:firstLine="422" w:firstLineChars="200"/>
        <w:rPr>
          <w:rFonts w:ascii="宋体" w:hAnsi="宋体"/>
          <w:b/>
          <w:color w:val="auto"/>
          <w:szCs w:val="21"/>
          <w:highlight w:val="none"/>
        </w:rPr>
      </w:pPr>
      <w:r>
        <w:rPr>
          <w:rFonts w:ascii="宋体" w:hAnsi="宋体"/>
          <w:b/>
          <w:color w:val="auto"/>
          <w:szCs w:val="21"/>
          <w:highlight w:val="none"/>
        </w:rPr>
        <w:t>14.12  竣工结算</w:t>
      </w:r>
    </w:p>
    <w:p>
      <w:pPr>
        <w:spacing w:line="300" w:lineRule="auto"/>
        <w:ind w:firstLine="420" w:firstLineChars="200"/>
        <w:rPr>
          <w:rFonts w:ascii="宋体" w:hAnsi="宋体"/>
          <w:color w:val="auto"/>
          <w:szCs w:val="21"/>
          <w:highlight w:val="none"/>
        </w:rPr>
      </w:pPr>
      <w:r>
        <w:rPr>
          <w:rFonts w:ascii="宋体" w:hAnsi="宋体"/>
          <w:color w:val="auto"/>
          <w:szCs w:val="21"/>
          <w:highlight w:val="none"/>
        </w:rPr>
        <w:t>14.12.1  提交竣工结算资料</w:t>
      </w:r>
    </w:p>
    <w:p>
      <w:pPr>
        <w:spacing w:before="156" w:beforeLines="50" w:after="156" w:afterLines="50" w:line="300" w:lineRule="auto"/>
        <w:ind w:firstLine="420" w:firstLineChars="200"/>
        <w:rPr>
          <w:rFonts w:ascii="宋体" w:hAnsi="宋体"/>
          <w:color w:val="auto"/>
          <w:szCs w:val="21"/>
          <w:highlight w:val="none"/>
        </w:rPr>
      </w:pPr>
      <w:r>
        <w:rPr>
          <w:rFonts w:ascii="宋体" w:hAnsi="宋体"/>
          <w:color w:val="auto"/>
          <w:szCs w:val="21"/>
          <w:highlight w:val="none"/>
        </w:rPr>
        <w:t>竣工结算资料的格式、内容和份数：</w:t>
      </w:r>
      <w:r>
        <w:rPr>
          <w:rFonts w:ascii="宋体" w:hAnsi="宋体"/>
          <w:color w:val="auto"/>
          <w:szCs w:val="21"/>
          <w:highlight w:val="none"/>
          <w:u w:val="single"/>
        </w:rPr>
        <w:t>结算审查报告经发、承包双方签字并加盖单位公章</w:t>
      </w:r>
      <w:r>
        <w:rPr>
          <w:rFonts w:hint="eastAsia" w:ascii="宋体" w:hAnsi="宋体"/>
          <w:color w:val="auto"/>
          <w:szCs w:val="21"/>
          <w:highlight w:val="none"/>
          <w:u w:val="single"/>
          <w:lang w:eastAsia="zh-CN"/>
        </w:rPr>
        <w:t>，</w:t>
      </w:r>
      <w:r>
        <w:rPr>
          <w:rFonts w:hint="eastAsia" w:ascii="宋体" w:hAnsi="宋体"/>
          <w:color w:val="auto"/>
          <w:szCs w:val="21"/>
          <w:highlight w:val="none"/>
          <w:u w:val="single"/>
          <w:lang w:val="en-US" w:eastAsia="zh-CN"/>
        </w:rPr>
        <w:t>并提供5份</w:t>
      </w:r>
      <w:r>
        <w:rPr>
          <w:rFonts w:ascii="宋体" w:hAnsi="宋体"/>
          <w:color w:val="auto"/>
          <w:szCs w:val="21"/>
          <w:highlight w:val="none"/>
          <w:u w:val="single"/>
        </w:rPr>
        <w:t>。</w:t>
      </w:r>
    </w:p>
    <w:p>
      <w:pPr>
        <w:tabs>
          <w:tab w:val="left" w:pos="1000"/>
        </w:tabs>
        <w:spacing w:line="360" w:lineRule="auto"/>
        <w:ind w:right="23" w:rightChars="11" w:firstLine="420" w:firstLineChars="200"/>
        <w:rPr>
          <w:rFonts w:hint="eastAsia" w:ascii="宋体" w:hAnsi="宋体"/>
          <w:color w:val="auto"/>
          <w:szCs w:val="21"/>
          <w:highlight w:val="none"/>
          <w:u w:val="single"/>
        </w:rPr>
      </w:pPr>
      <w:r>
        <w:rPr>
          <w:rFonts w:hint="eastAsia" w:ascii="宋体" w:hAnsi="宋体"/>
          <w:color w:val="auto"/>
          <w:szCs w:val="21"/>
          <w:highlight w:val="none"/>
          <w:u w:val="single"/>
        </w:rPr>
        <w:t>关于预算审核收费：</w:t>
      </w:r>
      <w:r>
        <w:rPr>
          <w:rFonts w:ascii="宋体" w:hAnsi="宋体"/>
          <w:color w:val="auto"/>
          <w:szCs w:val="21"/>
          <w:highlight w:val="none"/>
          <w:u w:val="single"/>
        </w:rPr>
        <w:t>工程</w:t>
      </w:r>
      <w:r>
        <w:rPr>
          <w:rFonts w:hint="eastAsia" w:ascii="宋体" w:hAnsi="宋体"/>
          <w:color w:val="auto"/>
          <w:szCs w:val="21"/>
          <w:highlight w:val="none"/>
          <w:u w:val="single"/>
        </w:rPr>
        <w:t>预算</w:t>
      </w:r>
      <w:r>
        <w:rPr>
          <w:rFonts w:ascii="宋体" w:hAnsi="宋体"/>
          <w:color w:val="auto"/>
          <w:szCs w:val="21"/>
          <w:highlight w:val="none"/>
          <w:u w:val="single"/>
        </w:rPr>
        <w:t>审查费由基本收费和追加收费两部分组成，其中基本审核费由建设单位支付，追加审核费由施工单位支付，追加审核费为超过送审</w:t>
      </w:r>
      <w:r>
        <w:rPr>
          <w:rFonts w:hint="eastAsia" w:ascii="宋体" w:hAnsi="宋体"/>
          <w:color w:val="auto"/>
          <w:szCs w:val="21"/>
          <w:highlight w:val="none"/>
          <w:u w:val="single"/>
        </w:rPr>
        <w:t>预算价</w:t>
      </w:r>
      <w:r>
        <w:rPr>
          <w:rFonts w:ascii="宋体" w:hAnsi="宋体"/>
          <w:color w:val="auto"/>
          <w:szCs w:val="21"/>
          <w:highlight w:val="none"/>
          <w:u w:val="single"/>
        </w:rPr>
        <w:t>5%以外的核减、核增额的5%。</w:t>
      </w:r>
    </w:p>
    <w:p>
      <w:pPr>
        <w:tabs>
          <w:tab w:val="left" w:pos="1000"/>
        </w:tabs>
        <w:spacing w:line="360" w:lineRule="auto"/>
        <w:ind w:right="23" w:rightChars="11" w:firstLine="420" w:firstLineChars="200"/>
        <w:rPr>
          <w:rFonts w:hint="eastAsia" w:ascii="宋体" w:hAnsi="宋体"/>
          <w:color w:val="auto"/>
          <w:szCs w:val="21"/>
          <w:highlight w:val="none"/>
          <w:u w:val="single"/>
        </w:rPr>
      </w:pPr>
      <w:r>
        <w:rPr>
          <w:rFonts w:hint="eastAsia" w:ascii="宋体" w:hAnsi="宋体"/>
          <w:color w:val="auto"/>
          <w:szCs w:val="21"/>
          <w:highlight w:val="none"/>
          <w:u w:val="single"/>
        </w:rPr>
        <w:t>关于竣工结算审核收费：</w:t>
      </w:r>
      <w:r>
        <w:rPr>
          <w:rFonts w:ascii="宋体" w:hAnsi="宋体"/>
          <w:color w:val="auto"/>
          <w:szCs w:val="21"/>
          <w:highlight w:val="none"/>
          <w:u w:val="single"/>
        </w:rPr>
        <w:t>工程竣工结算审查费由基本收费和追加收费两部分组成，其中基本审核费由建设单位支付，追加审核费由施工单位支付，追加审核费为超过送审造价5%以外的核减、核增额的5%。</w:t>
      </w:r>
    </w:p>
    <w:p>
      <w:pPr>
        <w:spacing w:before="156" w:beforeLines="50" w:after="156" w:afterLines="50" w:line="300" w:lineRule="auto"/>
        <w:ind w:firstLine="422" w:firstLineChars="200"/>
        <w:rPr>
          <w:rFonts w:ascii="宋体" w:hAnsi="宋体"/>
          <w:b/>
          <w:color w:val="auto"/>
          <w:szCs w:val="21"/>
          <w:highlight w:val="none"/>
        </w:rPr>
      </w:pPr>
      <w:r>
        <w:rPr>
          <w:rFonts w:ascii="宋体" w:hAnsi="宋体"/>
          <w:b/>
          <w:color w:val="auto"/>
          <w:szCs w:val="21"/>
          <w:highlight w:val="none"/>
        </w:rPr>
        <w:t>第15条  保险</w:t>
      </w:r>
    </w:p>
    <w:p>
      <w:pPr>
        <w:spacing w:before="156" w:beforeLines="50" w:after="156" w:afterLines="50" w:line="300" w:lineRule="auto"/>
        <w:ind w:firstLine="422" w:firstLineChars="200"/>
        <w:rPr>
          <w:rFonts w:ascii="宋体" w:hAnsi="宋体"/>
          <w:b/>
          <w:color w:val="auto"/>
          <w:szCs w:val="21"/>
          <w:highlight w:val="none"/>
        </w:rPr>
      </w:pPr>
      <w:r>
        <w:rPr>
          <w:rFonts w:ascii="宋体" w:hAnsi="宋体"/>
          <w:b/>
          <w:color w:val="auto"/>
          <w:szCs w:val="21"/>
          <w:highlight w:val="none"/>
        </w:rPr>
        <w:t>15.1  承包人的投保</w:t>
      </w:r>
    </w:p>
    <w:p>
      <w:pPr>
        <w:spacing w:line="300" w:lineRule="auto"/>
        <w:ind w:firstLine="420" w:firstLineChars="200"/>
        <w:rPr>
          <w:rFonts w:ascii="宋体" w:hAnsi="宋体"/>
          <w:color w:val="auto"/>
          <w:szCs w:val="21"/>
          <w:highlight w:val="none"/>
          <w:u w:val="single"/>
        </w:rPr>
      </w:pPr>
      <w:r>
        <w:rPr>
          <w:rFonts w:ascii="宋体" w:hAnsi="宋体"/>
          <w:color w:val="auto"/>
          <w:szCs w:val="21"/>
          <w:highlight w:val="none"/>
        </w:rPr>
        <w:t>15.1.1 合同双方商定，由承包人负责投保的保险种类、保险范围、投保金额、保险期限和持续有效的时间：</w:t>
      </w:r>
      <w:r>
        <w:rPr>
          <w:rFonts w:ascii="宋体" w:hAnsi="宋体"/>
          <w:color w:val="auto"/>
          <w:szCs w:val="21"/>
          <w:highlight w:val="none"/>
          <w:u w:val="single"/>
        </w:rPr>
        <w:t xml:space="preserve"> 为保证工程及双方现场人员、机械设备、原材料的安全，相关一切保险（包含工程强制性保险及为施工现场人员、设备、材料办理的商业保险）由投标人自行投保，费用包含在合同价款内。承包人须为本工程办理建设工程一切险并支付保险费用。在开工前承包人需提供工程一切险参保的相应凭据，若未能投保，则发包人有权从合同价款中扣除相关费用并向相应保险机构投保，工程其他人员、机械、原材料的相关保险，在工程发生相应事故（自然灾害或其他情况造成现场人员、机械、原材料造成损失的）的情况下，承包人应首先向保险公司办理索赔程序，如承包人未购买相应保险的，不得向发包人提出索赔申请。 </w:t>
      </w:r>
    </w:p>
    <w:p>
      <w:pPr>
        <w:spacing w:before="156" w:beforeLines="50" w:after="156" w:afterLines="50" w:line="300" w:lineRule="auto"/>
        <w:ind w:firstLine="422" w:firstLineChars="200"/>
        <w:rPr>
          <w:rFonts w:ascii="宋体" w:hAnsi="宋体"/>
          <w:b/>
          <w:color w:val="auto"/>
          <w:szCs w:val="21"/>
          <w:highlight w:val="none"/>
        </w:rPr>
      </w:pPr>
      <w:r>
        <w:rPr>
          <w:rFonts w:ascii="宋体" w:hAnsi="宋体"/>
          <w:b/>
          <w:color w:val="auto"/>
          <w:szCs w:val="21"/>
          <w:highlight w:val="none"/>
        </w:rPr>
        <w:t>15.2  一切险和第三方责任</w:t>
      </w:r>
    </w:p>
    <w:p>
      <w:pPr>
        <w:spacing w:line="300" w:lineRule="auto"/>
        <w:ind w:firstLine="420" w:firstLineChars="200"/>
        <w:rPr>
          <w:rFonts w:ascii="宋体" w:hAnsi="宋体"/>
          <w:color w:val="auto"/>
          <w:szCs w:val="21"/>
          <w:highlight w:val="none"/>
          <w:u w:val="single"/>
        </w:rPr>
      </w:pPr>
      <w:r>
        <w:rPr>
          <w:rFonts w:ascii="宋体" w:hAnsi="宋体"/>
          <w:color w:val="auto"/>
          <w:szCs w:val="21"/>
          <w:highlight w:val="none"/>
        </w:rPr>
        <w:t>土建工程一切险的投保方及对投保的相关要求：</w:t>
      </w:r>
      <w:r>
        <w:rPr>
          <w:rFonts w:ascii="宋体" w:hAnsi="宋体"/>
          <w:color w:val="auto"/>
          <w:szCs w:val="21"/>
          <w:highlight w:val="none"/>
          <w:u w:val="single"/>
        </w:rPr>
        <w:t xml:space="preserve"> 承包人按国家地方有关规定和工程建设需要投保。 </w:t>
      </w:r>
    </w:p>
    <w:p>
      <w:pPr>
        <w:spacing w:line="300" w:lineRule="auto"/>
        <w:ind w:firstLine="420" w:firstLineChars="200"/>
        <w:rPr>
          <w:rFonts w:ascii="宋体" w:hAnsi="宋体"/>
          <w:color w:val="auto"/>
          <w:szCs w:val="21"/>
          <w:highlight w:val="none"/>
        </w:rPr>
      </w:pPr>
      <w:r>
        <w:rPr>
          <w:rFonts w:ascii="宋体" w:hAnsi="宋体"/>
          <w:color w:val="auto"/>
          <w:szCs w:val="21"/>
          <w:highlight w:val="none"/>
        </w:rPr>
        <w:t>安装工程及竣工试验一切险的投保方及对投保的相关要求：</w:t>
      </w:r>
      <w:r>
        <w:rPr>
          <w:rFonts w:ascii="宋体" w:hAnsi="宋体"/>
          <w:color w:val="auto"/>
          <w:szCs w:val="21"/>
          <w:highlight w:val="none"/>
          <w:u w:val="single"/>
        </w:rPr>
        <w:t xml:space="preserve"> 承包人按国家地方有关规定和工程建设需要投保。 </w:t>
      </w:r>
    </w:p>
    <w:p>
      <w:pPr>
        <w:spacing w:line="300" w:lineRule="auto"/>
        <w:ind w:firstLine="420" w:firstLineChars="200"/>
        <w:rPr>
          <w:rFonts w:ascii="宋体" w:hAnsi="宋体"/>
          <w:color w:val="auto"/>
          <w:szCs w:val="21"/>
          <w:highlight w:val="none"/>
          <w:u w:val="single"/>
        </w:rPr>
      </w:pPr>
      <w:r>
        <w:rPr>
          <w:rFonts w:ascii="宋体" w:hAnsi="宋体"/>
          <w:color w:val="auto"/>
          <w:szCs w:val="21"/>
          <w:highlight w:val="none"/>
        </w:rPr>
        <w:t>第三者责任险的应投保方及对投保的相关要求</w:t>
      </w:r>
      <w:r>
        <w:rPr>
          <w:rFonts w:ascii="宋体" w:hAnsi="宋体"/>
          <w:color w:val="auto"/>
          <w:szCs w:val="21"/>
          <w:highlight w:val="none"/>
          <w:u w:val="single"/>
        </w:rPr>
        <w:t xml:space="preserve">： 承包人按国家地方有关规定和工程建设需要投保。                       </w:t>
      </w:r>
    </w:p>
    <w:p>
      <w:pPr>
        <w:spacing w:line="300" w:lineRule="auto"/>
        <w:ind w:firstLine="422" w:firstLineChars="200"/>
        <w:rPr>
          <w:rFonts w:ascii="宋体" w:hAnsi="宋体"/>
          <w:b/>
          <w:bCs/>
          <w:color w:val="auto"/>
          <w:szCs w:val="21"/>
          <w:highlight w:val="none"/>
          <w:u w:val="single"/>
        </w:rPr>
      </w:pPr>
      <w:r>
        <w:rPr>
          <w:rFonts w:ascii="宋体" w:hAnsi="宋体"/>
          <w:b/>
          <w:bCs/>
          <w:color w:val="auto"/>
          <w:szCs w:val="21"/>
          <w:highlight w:val="none"/>
          <w:u w:val="single"/>
        </w:rPr>
        <w:t>本合同价款中包含上述保险费用。</w:t>
      </w:r>
    </w:p>
    <w:p>
      <w:pPr>
        <w:spacing w:before="156" w:beforeLines="50" w:after="156" w:afterLines="50" w:line="300" w:lineRule="auto"/>
        <w:ind w:firstLine="422" w:firstLineChars="200"/>
        <w:rPr>
          <w:rFonts w:ascii="宋体" w:hAnsi="宋体"/>
          <w:b/>
          <w:color w:val="auto"/>
          <w:szCs w:val="21"/>
          <w:highlight w:val="none"/>
        </w:rPr>
      </w:pPr>
      <w:r>
        <w:rPr>
          <w:rFonts w:ascii="宋体" w:hAnsi="宋体"/>
          <w:b/>
          <w:color w:val="auto"/>
          <w:szCs w:val="21"/>
          <w:highlight w:val="none"/>
        </w:rPr>
        <w:t>第16条  违约、索赔和裁决</w:t>
      </w:r>
    </w:p>
    <w:p>
      <w:pPr>
        <w:spacing w:line="300" w:lineRule="auto"/>
        <w:ind w:firstLine="422" w:firstLineChars="200"/>
        <w:rPr>
          <w:rFonts w:ascii="宋体" w:hAnsi="宋体"/>
          <w:b/>
          <w:color w:val="auto"/>
          <w:szCs w:val="21"/>
          <w:highlight w:val="none"/>
        </w:rPr>
      </w:pPr>
      <w:r>
        <w:rPr>
          <w:rFonts w:ascii="宋体" w:hAnsi="宋体"/>
          <w:b/>
          <w:color w:val="auto"/>
          <w:szCs w:val="21"/>
          <w:highlight w:val="none"/>
        </w:rPr>
        <w:t>16.3  争议和裁决</w:t>
      </w:r>
    </w:p>
    <w:p>
      <w:pPr>
        <w:spacing w:line="300" w:lineRule="auto"/>
        <w:ind w:firstLine="420" w:firstLineChars="200"/>
        <w:rPr>
          <w:rFonts w:ascii="宋体" w:hAnsi="宋体"/>
          <w:color w:val="auto"/>
          <w:szCs w:val="21"/>
          <w:highlight w:val="none"/>
        </w:rPr>
      </w:pPr>
      <w:r>
        <w:rPr>
          <w:rFonts w:ascii="宋体" w:hAnsi="宋体"/>
          <w:color w:val="auto"/>
          <w:szCs w:val="21"/>
          <w:highlight w:val="none"/>
        </w:rPr>
        <w:t>16.3.1  争议的解决程序</w:t>
      </w:r>
    </w:p>
    <w:p>
      <w:pPr>
        <w:spacing w:line="300" w:lineRule="auto"/>
        <w:ind w:firstLine="420" w:firstLineChars="200"/>
        <w:rPr>
          <w:rFonts w:ascii="宋体" w:hAnsi="宋体"/>
          <w:color w:val="auto"/>
          <w:szCs w:val="21"/>
          <w:highlight w:val="none"/>
        </w:rPr>
      </w:pPr>
      <w:r>
        <w:rPr>
          <w:rFonts w:ascii="宋体" w:hAnsi="宋体"/>
          <w:color w:val="auto"/>
          <w:szCs w:val="21"/>
          <w:highlight w:val="none"/>
        </w:rPr>
        <w:t>在争议提交调解之日起30日内，双方仍存有争议时，或合同任何一方不同意调解的，在以下方式中选择其一，作为双方解决争议事项的约定。</w:t>
      </w:r>
    </w:p>
    <w:p>
      <w:pPr>
        <w:numPr>
          <w:ilvl w:val="0"/>
          <w:numId w:val="9"/>
        </w:numPr>
        <w:spacing w:line="300" w:lineRule="auto"/>
        <w:ind w:left="0" w:firstLine="420" w:firstLineChars="200"/>
        <w:rPr>
          <w:rFonts w:ascii="宋体" w:hAnsi="宋体"/>
          <w:color w:val="auto"/>
          <w:szCs w:val="21"/>
          <w:highlight w:val="none"/>
        </w:rPr>
      </w:pPr>
      <w:r>
        <w:rPr>
          <w:rFonts w:ascii="宋体" w:hAnsi="宋体"/>
          <w:color w:val="auto"/>
          <w:szCs w:val="21"/>
          <w:highlight w:val="none"/>
        </w:rPr>
        <w:t>提交</w:t>
      </w:r>
      <w:r>
        <w:rPr>
          <w:rFonts w:ascii="宋体" w:hAnsi="宋体"/>
          <w:color w:val="auto"/>
          <w:szCs w:val="21"/>
          <w:highlight w:val="none"/>
          <w:u w:val="single"/>
        </w:rPr>
        <w:t xml:space="preserve">              </w:t>
      </w:r>
      <w:r>
        <w:rPr>
          <w:rFonts w:ascii="宋体" w:hAnsi="宋体"/>
          <w:color w:val="auto"/>
          <w:szCs w:val="21"/>
          <w:highlight w:val="none"/>
        </w:rPr>
        <w:t>仲裁委员会，按照申请仲裁时该会有效的仲裁规则进行仲裁。仲裁裁决是终局的，对双方均有约束力。</w:t>
      </w:r>
    </w:p>
    <w:p>
      <w:pPr>
        <w:spacing w:line="300" w:lineRule="auto"/>
        <w:ind w:left="420" w:leftChars="200"/>
        <w:rPr>
          <w:rFonts w:hint="eastAsia" w:ascii="宋体" w:hAnsi="宋体"/>
          <w:color w:val="auto"/>
          <w:szCs w:val="21"/>
          <w:highlight w:val="none"/>
        </w:rPr>
      </w:pPr>
      <w:r>
        <w:rPr>
          <w:rFonts w:ascii="宋体" w:hAnsi="宋体"/>
          <w:color w:val="auto"/>
          <w:szCs w:val="21"/>
          <w:highlight w:val="none"/>
        </w:rPr>
        <w:t>√向</w:t>
      </w:r>
      <w:r>
        <w:rPr>
          <w:rFonts w:ascii="宋体" w:hAnsi="宋体"/>
          <w:color w:val="auto"/>
          <w:szCs w:val="21"/>
          <w:highlight w:val="none"/>
          <w:u w:val="single"/>
        </w:rPr>
        <w:t xml:space="preserve"> </w:t>
      </w:r>
      <w:r>
        <w:rPr>
          <w:rFonts w:hint="eastAsia" w:ascii="宋体" w:hAnsi="宋体"/>
          <w:color w:val="auto"/>
          <w:szCs w:val="21"/>
          <w:highlight w:val="none"/>
          <w:u w:val="single"/>
          <w:lang w:val="en-US" w:eastAsia="zh-CN"/>
        </w:rPr>
        <w:t>嘉兴</w:t>
      </w:r>
      <w:r>
        <w:rPr>
          <w:rFonts w:ascii="宋体" w:hAnsi="宋体"/>
          <w:color w:val="auto"/>
          <w:szCs w:val="21"/>
          <w:highlight w:val="none"/>
          <w:u w:val="single"/>
        </w:rPr>
        <w:t xml:space="preserve">市  </w:t>
      </w:r>
      <w:r>
        <w:rPr>
          <w:rFonts w:ascii="宋体" w:hAnsi="宋体"/>
          <w:color w:val="auto"/>
          <w:szCs w:val="21"/>
          <w:highlight w:val="none"/>
        </w:rPr>
        <w:t>人民法院提起诉讼。</w:t>
      </w:r>
    </w:p>
    <w:p>
      <w:pPr>
        <w:spacing w:before="156" w:beforeLines="50" w:after="156" w:afterLines="50" w:line="300" w:lineRule="auto"/>
        <w:ind w:firstLine="422" w:firstLineChars="200"/>
        <w:rPr>
          <w:rFonts w:ascii="宋体" w:hAnsi="宋体"/>
          <w:b/>
          <w:color w:val="auto"/>
          <w:szCs w:val="21"/>
          <w:highlight w:val="none"/>
        </w:rPr>
      </w:pPr>
      <w:r>
        <w:rPr>
          <w:rFonts w:ascii="宋体" w:hAnsi="宋体"/>
          <w:b/>
          <w:color w:val="auto"/>
          <w:szCs w:val="21"/>
          <w:highlight w:val="none"/>
        </w:rPr>
        <w:t>第19条  合同生效与合同终止</w:t>
      </w:r>
    </w:p>
    <w:p>
      <w:pPr>
        <w:spacing w:before="156" w:beforeLines="50" w:after="156" w:afterLines="50" w:line="300" w:lineRule="auto"/>
        <w:ind w:firstLine="422" w:firstLineChars="200"/>
        <w:rPr>
          <w:rFonts w:ascii="宋体" w:hAnsi="宋体"/>
          <w:b/>
          <w:color w:val="auto"/>
          <w:szCs w:val="21"/>
          <w:highlight w:val="none"/>
        </w:rPr>
      </w:pPr>
      <w:r>
        <w:rPr>
          <w:rFonts w:ascii="宋体" w:hAnsi="宋体"/>
          <w:b/>
          <w:color w:val="auto"/>
          <w:szCs w:val="21"/>
          <w:highlight w:val="none"/>
        </w:rPr>
        <w:t>19.2  合同份数</w:t>
      </w:r>
    </w:p>
    <w:p>
      <w:pPr>
        <w:spacing w:before="156" w:beforeLines="50" w:after="156" w:afterLines="50" w:line="300" w:lineRule="auto"/>
        <w:ind w:firstLine="420" w:firstLineChars="200"/>
        <w:rPr>
          <w:rFonts w:ascii="宋体" w:hAnsi="宋体"/>
          <w:color w:val="auto"/>
          <w:szCs w:val="21"/>
          <w:highlight w:val="none"/>
        </w:rPr>
      </w:pPr>
      <w:r>
        <w:rPr>
          <w:rFonts w:ascii="宋体" w:hAnsi="宋体"/>
          <w:color w:val="auto"/>
          <w:szCs w:val="21"/>
          <w:highlight w:val="none"/>
        </w:rPr>
        <w:t>本合同正本一式：</w:t>
      </w:r>
      <w:r>
        <w:rPr>
          <w:rFonts w:ascii="宋体" w:hAnsi="宋体"/>
          <w:color w:val="auto"/>
          <w:szCs w:val="21"/>
          <w:highlight w:val="none"/>
          <w:u w:val="single"/>
        </w:rPr>
        <w:t xml:space="preserve">     贰   </w:t>
      </w:r>
      <w:r>
        <w:rPr>
          <w:rFonts w:ascii="宋体" w:hAnsi="宋体"/>
          <w:color w:val="auto"/>
          <w:szCs w:val="21"/>
          <w:highlight w:val="none"/>
        </w:rPr>
        <w:t xml:space="preserve"> 份，合同副本一式：</w:t>
      </w:r>
      <w:r>
        <w:rPr>
          <w:rFonts w:ascii="宋体" w:hAnsi="宋体"/>
          <w:color w:val="auto"/>
          <w:szCs w:val="21"/>
          <w:highlight w:val="none"/>
          <w:u w:val="single"/>
        </w:rPr>
        <w:t xml:space="preserve">   捌    </w:t>
      </w:r>
      <w:r>
        <w:rPr>
          <w:rFonts w:ascii="宋体" w:hAnsi="宋体"/>
          <w:color w:val="auto"/>
          <w:szCs w:val="21"/>
          <w:highlight w:val="none"/>
        </w:rPr>
        <w:t xml:space="preserve"> 份。合同双方应持的正本份数：</w:t>
      </w:r>
      <w:r>
        <w:rPr>
          <w:rFonts w:ascii="宋体" w:hAnsi="宋体"/>
          <w:color w:val="auto"/>
          <w:szCs w:val="21"/>
          <w:highlight w:val="none"/>
          <w:u w:val="single"/>
        </w:rPr>
        <w:t xml:space="preserve">    壹份      </w:t>
      </w:r>
      <w:r>
        <w:rPr>
          <w:rFonts w:ascii="宋体" w:hAnsi="宋体"/>
          <w:color w:val="auto"/>
          <w:szCs w:val="21"/>
          <w:highlight w:val="none"/>
        </w:rPr>
        <w:t>，副本份数：</w:t>
      </w:r>
      <w:r>
        <w:rPr>
          <w:rFonts w:ascii="宋体" w:hAnsi="宋体"/>
          <w:color w:val="auto"/>
          <w:szCs w:val="21"/>
          <w:highlight w:val="none"/>
          <w:u w:val="single"/>
        </w:rPr>
        <w:t xml:space="preserve">    肆份      </w:t>
      </w:r>
      <w:r>
        <w:rPr>
          <w:rFonts w:ascii="宋体" w:hAnsi="宋体"/>
          <w:color w:val="auto"/>
          <w:szCs w:val="21"/>
          <w:highlight w:val="none"/>
        </w:rPr>
        <w:t>。</w:t>
      </w:r>
    </w:p>
    <w:p>
      <w:pPr>
        <w:spacing w:before="156" w:beforeLines="50" w:after="156" w:afterLines="50" w:line="300" w:lineRule="auto"/>
        <w:ind w:firstLine="422" w:firstLineChars="200"/>
        <w:rPr>
          <w:rFonts w:ascii="宋体" w:hAnsi="宋体"/>
          <w:b/>
          <w:color w:val="auto"/>
          <w:szCs w:val="21"/>
          <w:highlight w:val="none"/>
        </w:rPr>
      </w:pPr>
      <w:r>
        <w:rPr>
          <w:rFonts w:ascii="宋体" w:hAnsi="宋体"/>
          <w:b/>
          <w:color w:val="auto"/>
          <w:szCs w:val="21"/>
          <w:highlight w:val="none"/>
        </w:rPr>
        <w:t>第20条  补充条款</w:t>
      </w:r>
    </w:p>
    <w:p>
      <w:pPr>
        <w:spacing w:before="156" w:beforeLines="50" w:after="156" w:afterLines="50" w:line="300" w:lineRule="auto"/>
        <w:ind w:firstLine="422" w:firstLineChars="200"/>
        <w:rPr>
          <w:rFonts w:hint="eastAsia" w:ascii="宋体" w:hAnsi="宋体"/>
          <w:b/>
          <w:color w:val="auto"/>
          <w:szCs w:val="21"/>
          <w:highlight w:val="none"/>
        </w:rPr>
      </w:pPr>
      <w:r>
        <w:rPr>
          <w:rFonts w:ascii="宋体" w:hAnsi="宋体"/>
          <w:b/>
          <w:color w:val="auto"/>
          <w:szCs w:val="21"/>
          <w:highlight w:val="none"/>
        </w:rPr>
        <w:t xml:space="preserve">20.1  </w:t>
      </w:r>
      <w:r>
        <w:rPr>
          <w:rFonts w:hint="eastAsia" w:ascii="宋体" w:hAnsi="宋体"/>
          <w:b/>
          <w:color w:val="auto"/>
          <w:szCs w:val="21"/>
          <w:highlight w:val="none"/>
        </w:rPr>
        <w:t>承包人投标文件承诺派出的项目经理、施工负责人、设计负责人必须及时到岗到位。未经发包人同意，承包人不按投标时的承诺派出主要人员的，发包人有权中断承包合同且没收承包人的履约保证金，给发包人造成损失的，承包人应全额赔偿。若确需更换，承包人提供的拟替代人员的资格、经验与能力，不得低于原指定人员，并经发包人同意后方可更换。未经发包人同意擅自更换的，承包人应按10万元/人支付违约金。上述违约金由发包人直接从承包费中扣除。</w:t>
      </w:r>
    </w:p>
    <w:p>
      <w:pPr>
        <w:spacing w:before="156" w:beforeLines="50" w:after="156" w:afterLines="50" w:line="300" w:lineRule="auto"/>
        <w:ind w:firstLine="422" w:firstLineChars="200"/>
        <w:rPr>
          <w:rFonts w:hint="eastAsia" w:ascii="宋体" w:hAnsi="宋体"/>
          <w:b/>
          <w:color w:val="auto"/>
          <w:szCs w:val="21"/>
          <w:highlight w:val="none"/>
        </w:rPr>
      </w:pPr>
      <w:r>
        <w:rPr>
          <w:rFonts w:hint="eastAsia" w:ascii="宋体" w:hAnsi="宋体"/>
          <w:b/>
          <w:color w:val="auto"/>
          <w:szCs w:val="21"/>
          <w:highlight w:val="none"/>
        </w:rPr>
        <w:t>20.2在施工过程中，发包人或有关主管部门发现承包人的项目经理、施工负责人、设计负责人等现场管理人员有重大失误或不能胜任工作，有权要求承包人予以更换。承包人应无条件接受，且按上述20.1约定承担违约责任。</w:t>
      </w:r>
    </w:p>
    <w:p>
      <w:pPr>
        <w:spacing w:before="156" w:beforeLines="50" w:after="156" w:afterLines="50" w:line="300" w:lineRule="auto"/>
        <w:ind w:firstLine="422" w:firstLineChars="200"/>
        <w:rPr>
          <w:rFonts w:ascii="宋体" w:hAnsi="宋体"/>
          <w:b/>
          <w:color w:val="auto"/>
          <w:szCs w:val="21"/>
          <w:highlight w:val="none"/>
        </w:rPr>
      </w:pPr>
      <w:r>
        <w:rPr>
          <w:rFonts w:hint="eastAsia" w:ascii="宋体" w:hAnsi="宋体"/>
          <w:b/>
          <w:color w:val="auto"/>
          <w:szCs w:val="21"/>
          <w:highlight w:val="none"/>
        </w:rPr>
        <w:t>20.3承包人必须保证项目经理、施工负责人、设计负责人等主要管理人员在项目实施期间常驻工地负责工程施工管理，其中施工负责人、设计负责人出勤率每月不少于20天。发包人将随时检查承包人的上述人员是否到位，如发现以上人员没有在现场履行职责，且未向</w:t>
      </w:r>
      <w:r>
        <w:rPr>
          <w:rFonts w:hint="eastAsia" w:ascii="宋体" w:hAnsi="宋体"/>
          <w:b/>
          <w:color w:val="auto"/>
          <w:szCs w:val="21"/>
          <w:highlight w:val="none"/>
          <w:lang w:val="en-US" w:eastAsia="zh-CN"/>
        </w:rPr>
        <w:t>发包人</w:t>
      </w:r>
      <w:r>
        <w:rPr>
          <w:rFonts w:hint="eastAsia" w:ascii="宋体" w:hAnsi="宋体"/>
          <w:b/>
          <w:color w:val="auto"/>
          <w:szCs w:val="21"/>
          <w:highlight w:val="none"/>
        </w:rPr>
        <w:t>事先书面说明并获得书面同意，则视为承包人现场管理人员缺岗，承包人应按每人每天1000元标准支付违约金，由监理工程师签发、发包人批准后直接从承包人的承包款中扣除。</w:t>
      </w:r>
    </w:p>
    <w:p>
      <w:pPr>
        <w:rPr>
          <w:rFonts w:hint="eastAsia"/>
          <w:color w:val="auto"/>
          <w:highlight w:val="none"/>
        </w:rPr>
      </w:pPr>
    </w:p>
    <w:p>
      <w:pPr>
        <w:spacing w:before="156" w:beforeLines="50" w:after="156" w:afterLines="50" w:line="300" w:lineRule="auto"/>
        <w:ind w:firstLine="422" w:firstLineChars="200"/>
        <w:rPr>
          <w:rFonts w:ascii="宋体" w:hAnsi="宋体"/>
          <w:b/>
          <w:color w:val="auto"/>
          <w:szCs w:val="21"/>
          <w:highlight w:val="none"/>
          <w:u w:val="single"/>
        </w:rPr>
      </w:pPr>
      <w:r>
        <w:rPr>
          <w:rFonts w:ascii="宋体" w:hAnsi="宋体"/>
          <w:b/>
          <w:color w:val="auto"/>
          <w:szCs w:val="21"/>
          <w:highlight w:val="none"/>
          <w:u w:val="single"/>
        </w:rPr>
        <w:br w:type="page"/>
      </w:r>
    </w:p>
    <w:p>
      <w:pPr>
        <w:pStyle w:val="5"/>
        <w:ind w:firstLine="0" w:firstLineChars="0"/>
        <w:rPr>
          <w:color w:val="auto"/>
          <w:highlight w:val="none"/>
        </w:rPr>
      </w:pPr>
      <w:bookmarkStart w:id="117" w:name="_Toc7955"/>
      <w:bookmarkStart w:id="118" w:name="_Toc144974831"/>
      <w:bookmarkStart w:id="119" w:name="_Toc247527801"/>
      <w:bookmarkStart w:id="120" w:name="_Toc247514200"/>
      <w:bookmarkStart w:id="121" w:name="_Toc9954795"/>
      <w:bookmarkStart w:id="122" w:name="_Toc521870797"/>
      <w:bookmarkStart w:id="123" w:name="_Toc152042551"/>
      <w:bookmarkStart w:id="124" w:name="_Toc152045769"/>
      <w:bookmarkStart w:id="125" w:name="_Toc21008"/>
      <w:r>
        <w:rPr>
          <w:rFonts w:hint="eastAsia"/>
          <w:color w:val="auto"/>
          <w:highlight w:val="none"/>
        </w:rPr>
        <w:t>附件1：</w:t>
      </w:r>
      <w:bookmarkEnd w:id="117"/>
      <w:bookmarkEnd w:id="118"/>
      <w:bookmarkEnd w:id="119"/>
      <w:bookmarkEnd w:id="120"/>
      <w:bookmarkEnd w:id="121"/>
      <w:bookmarkEnd w:id="122"/>
      <w:bookmarkEnd w:id="123"/>
      <w:bookmarkEnd w:id="124"/>
      <w:r>
        <w:rPr>
          <w:rFonts w:hint="eastAsia"/>
          <w:color w:val="auto"/>
          <w:highlight w:val="none"/>
        </w:rPr>
        <w:t>履约担保格式</w:t>
      </w:r>
      <w:bookmarkEnd w:id="125"/>
    </w:p>
    <w:p>
      <w:pPr>
        <w:spacing w:line="400" w:lineRule="exact"/>
        <w:rPr>
          <w:color w:val="auto"/>
          <w:highlight w:val="none"/>
        </w:rPr>
      </w:pPr>
    </w:p>
    <w:p>
      <w:pPr>
        <w:spacing w:before="156" w:beforeLines="50" w:after="156" w:afterLines="50" w:line="440" w:lineRule="exact"/>
        <w:jc w:val="center"/>
        <w:rPr>
          <w:rFonts w:ascii="宋体" w:hAnsi="宋体"/>
          <w:b/>
          <w:color w:val="auto"/>
          <w:sz w:val="32"/>
          <w:szCs w:val="32"/>
          <w:highlight w:val="none"/>
        </w:rPr>
      </w:pPr>
      <w:r>
        <w:rPr>
          <w:rFonts w:ascii="宋体" w:hAnsi="宋体"/>
          <w:b/>
          <w:color w:val="auto"/>
          <w:sz w:val="32"/>
          <w:szCs w:val="32"/>
          <w:highlight w:val="none"/>
        </w:rPr>
        <w:t>履约担保</w:t>
      </w:r>
    </w:p>
    <w:p>
      <w:pPr>
        <w:spacing w:line="440" w:lineRule="exact"/>
        <w:rPr>
          <w:rFonts w:ascii="宋体" w:hAnsi="宋体"/>
          <w:color w:val="auto"/>
          <w:szCs w:val="21"/>
          <w:highlight w:val="none"/>
        </w:rPr>
      </w:pPr>
      <w:r>
        <w:rPr>
          <w:rFonts w:ascii="宋体" w:hAnsi="宋体"/>
          <w:color w:val="auto"/>
          <w:szCs w:val="21"/>
          <w:highlight w:val="none"/>
          <w:u w:val="single"/>
        </w:rPr>
        <w:t xml:space="preserve">             </w:t>
      </w:r>
      <w:r>
        <w:rPr>
          <w:rFonts w:ascii="宋体" w:hAnsi="宋体"/>
          <w:color w:val="auto"/>
          <w:szCs w:val="21"/>
          <w:highlight w:val="none"/>
          <w:u w:val="single"/>
        </w:rPr>
        <w:tab/>
      </w:r>
      <w:r>
        <w:rPr>
          <w:rFonts w:ascii="宋体" w:hAnsi="宋体"/>
          <w:color w:val="auto"/>
          <w:szCs w:val="21"/>
          <w:highlight w:val="none"/>
        </w:rPr>
        <w:t>（发包人名称）：</w:t>
      </w:r>
    </w:p>
    <w:p>
      <w:pPr>
        <w:spacing w:line="440" w:lineRule="exact"/>
        <w:ind w:firstLine="420" w:firstLineChars="200"/>
        <w:rPr>
          <w:rFonts w:ascii="宋体" w:hAnsi="宋体"/>
          <w:color w:val="auto"/>
          <w:szCs w:val="21"/>
          <w:highlight w:val="none"/>
        </w:rPr>
      </w:pPr>
      <w:r>
        <w:rPr>
          <w:rFonts w:ascii="宋体" w:hAnsi="宋体"/>
          <w:color w:val="auto"/>
          <w:szCs w:val="21"/>
          <w:highlight w:val="none"/>
        </w:rPr>
        <w:t>鉴于</w:t>
      </w:r>
      <w:r>
        <w:rPr>
          <w:rFonts w:ascii="宋体" w:hAnsi="宋体"/>
          <w:color w:val="auto"/>
          <w:szCs w:val="21"/>
          <w:highlight w:val="none"/>
          <w:u w:val="single"/>
        </w:rPr>
        <w:t xml:space="preserve">                </w:t>
      </w:r>
      <w:r>
        <w:rPr>
          <w:rFonts w:ascii="宋体" w:hAnsi="宋体"/>
          <w:color w:val="auto"/>
          <w:szCs w:val="21"/>
          <w:highlight w:val="none"/>
        </w:rPr>
        <w:t>（发包人名称，以下简称“发包人”）与</w:t>
      </w:r>
    </w:p>
    <w:p>
      <w:pPr>
        <w:spacing w:line="440" w:lineRule="exact"/>
        <w:rPr>
          <w:rFonts w:ascii="宋体" w:hAnsi="宋体"/>
          <w:color w:val="auto"/>
          <w:szCs w:val="21"/>
          <w:highlight w:val="none"/>
        </w:rPr>
      </w:pPr>
      <w:r>
        <w:rPr>
          <w:rFonts w:ascii="宋体" w:hAnsi="宋体"/>
          <w:color w:val="auto"/>
          <w:szCs w:val="21"/>
          <w:highlight w:val="none"/>
        </w:rPr>
        <w:t xml:space="preserve"> </w:t>
      </w:r>
      <w:r>
        <w:rPr>
          <w:rFonts w:ascii="宋体" w:hAnsi="宋体"/>
          <w:color w:val="auto"/>
          <w:szCs w:val="21"/>
          <w:highlight w:val="none"/>
          <w:u w:val="single"/>
        </w:rPr>
        <w:t xml:space="preserve">                           </w:t>
      </w:r>
      <w:r>
        <w:rPr>
          <w:rFonts w:ascii="宋体" w:hAnsi="宋体"/>
          <w:color w:val="auto"/>
          <w:szCs w:val="21"/>
          <w:highlight w:val="none"/>
        </w:rPr>
        <w:t>（承包人名称）（以下称“承包人”）于</w:t>
      </w:r>
      <w:r>
        <w:rPr>
          <w:rFonts w:ascii="宋体" w:hAnsi="宋体"/>
          <w:color w:val="auto"/>
          <w:szCs w:val="21"/>
          <w:highlight w:val="none"/>
          <w:u w:val="single"/>
        </w:rPr>
        <w:t xml:space="preserve">    </w:t>
      </w:r>
      <w:r>
        <w:rPr>
          <w:rFonts w:ascii="宋体" w:hAnsi="宋体"/>
          <w:color w:val="auto"/>
          <w:szCs w:val="21"/>
          <w:highlight w:val="none"/>
        </w:rPr>
        <w:t>年</w:t>
      </w:r>
      <w:r>
        <w:rPr>
          <w:rFonts w:ascii="宋体" w:hAnsi="宋体"/>
          <w:color w:val="auto"/>
          <w:szCs w:val="21"/>
          <w:highlight w:val="none"/>
          <w:u w:val="single"/>
        </w:rPr>
        <w:t xml:space="preserve">   </w:t>
      </w:r>
      <w:r>
        <w:rPr>
          <w:rFonts w:ascii="宋体" w:hAnsi="宋体"/>
          <w:color w:val="auto"/>
          <w:szCs w:val="21"/>
          <w:highlight w:val="none"/>
        </w:rPr>
        <w:t>月</w:t>
      </w:r>
      <w:r>
        <w:rPr>
          <w:rFonts w:ascii="宋体" w:hAnsi="宋体"/>
          <w:color w:val="auto"/>
          <w:szCs w:val="21"/>
          <w:highlight w:val="none"/>
          <w:u w:val="single"/>
        </w:rPr>
        <w:t xml:space="preserve">   </w:t>
      </w:r>
      <w:r>
        <w:rPr>
          <w:rFonts w:ascii="宋体" w:hAnsi="宋体"/>
          <w:color w:val="auto"/>
          <w:szCs w:val="21"/>
          <w:highlight w:val="none"/>
        </w:rPr>
        <w:t>日就</w:t>
      </w:r>
      <w:r>
        <w:rPr>
          <w:rFonts w:ascii="宋体" w:hAnsi="宋体"/>
          <w:color w:val="auto"/>
          <w:szCs w:val="21"/>
          <w:highlight w:val="none"/>
          <w:u w:val="single"/>
        </w:rPr>
        <w:t xml:space="preserve">                         </w:t>
      </w:r>
      <w:r>
        <w:rPr>
          <w:rFonts w:ascii="宋体" w:hAnsi="宋体"/>
          <w:color w:val="auto"/>
          <w:szCs w:val="21"/>
          <w:highlight w:val="none"/>
        </w:rPr>
        <w:t xml:space="preserve">（工程名称）施工及有关事项协商一致共同签订《建设工程施工合同》。我方愿意无条件地、不可撤销地就承包人履行与你方签订的合同，向你方提供连带责任担保。 </w:t>
      </w:r>
    </w:p>
    <w:p>
      <w:pPr>
        <w:spacing w:line="440" w:lineRule="exact"/>
        <w:ind w:firstLine="420" w:firstLineChars="200"/>
        <w:rPr>
          <w:rFonts w:ascii="宋体" w:hAnsi="宋体"/>
          <w:color w:val="auto"/>
          <w:szCs w:val="21"/>
          <w:highlight w:val="none"/>
        </w:rPr>
      </w:pPr>
      <w:r>
        <w:rPr>
          <w:rFonts w:ascii="宋体" w:hAnsi="宋体"/>
          <w:color w:val="auto"/>
          <w:szCs w:val="21"/>
          <w:highlight w:val="none"/>
        </w:rPr>
        <w:t>1. 担保金额人民币（大写）</w:t>
      </w:r>
      <w:r>
        <w:rPr>
          <w:rFonts w:ascii="宋体" w:hAnsi="宋体"/>
          <w:color w:val="auto"/>
          <w:szCs w:val="21"/>
          <w:highlight w:val="none"/>
          <w:u w:val="single"/>
        </w:rPr>
        <w:t xml:space="preserve">                 </w:t>
      </w:r>
      <w:r>
        <w:rPr>
          <w:rFonts w:ascii="宋体" w:hAnsi="宋体"/>
          <w:color w:val="auto"/>
          <w:szCs w:val="21"/>
          <w:highlight w:val="none"/>
        </w:rPr>
        <w:t>元（¥</w:t>
      </w:r>
      <w:r>
        <w:rPr>
          <w:rFonts w:ascii="宋体" w:hAnsi="宋体"/>
          <w:color w:val="auto"/>
          <w:szCs w:val="21"/>
          <w:highlight w:val="none"/>
          <w:u w:val="single"/>
        </w:rPr>
        <w:t xml:space="preserve">             </w:t>
      </w:r>
      <w:r>
        <w:rPr>
          <w:rFonts w:ascii="宋体" w:hAnsi="宋体"/>
          <w:color w:val="auto"/>
          <w:szCs w:val="21"/>
          <w:highlight w:val="none"/>
        </w:rPr>
        <w:t>）。</w:t>
      </w:r>
    </w:p>
    <w:p>
      <w:pPr>
        <w:spacing w:line="440" w:lineRule="exact"/>
        <w:ind w:firstLine="420" w:firstLineChars="200"/>
        <w:rPr>
          <w:rFonts w:ascii="宋体" w:hAnsi="宋体"/>
          <w:color w:val="auto"/>
          <w:szCs w:val="21"/>
          <w:highlight w:val="none"/>
        </w:rPr>
      </w:pPr>
      <w:r>
        <w:rPr>
          <w:rFonts w:ascii="宋体" w:hAnsi="宋体"/>
          <w:color w:val="auto"/>
          <w:szCs w:val="21"/>
          <w:highlight w:val="none"/>
        </w:rPr>
        <w:t>2. 担保有效期自你方与承包人签订的合同生效之日起至你方签发或应签发工程接收证书之日止。</w:t>
      </w:r>
    </w:p>
    <w:p>
      <w:pPr>
        <w:spacing w:line="440" w:lineRule="exact"/>
        <w:ind w:firstLine="420" w:firstLineChars="200"/>
        <w:rPr>
          <w:rFonts w:ascii="宋体" w:hAnsi="宋体"/>
          <w:color w:val="auto"/>
          <w:szCs w:val="21"/>
          <w:highlight w:val="none"/>
        </w:rPr>
      </w:pPr>
      <w:r>
        <w:rPr>
          <w:rFonts w:ascii="宋体" w:hAnsi="宋体"/>
          <w:color w:val="auto"/>
          <w:szCs w:val="21"/>
          <w:highlight w:val="none"/>
        </w:rPr>
        <w:t>3. 在本担保有效期内，因承包人违反合同约定的义务给你方造成经济损失时，我方在收到你方以书面形式提出的在担保金额内的赔偿要求后，在7天内无条件支付。</w:t>
      </w:r>
    </w:p>
    <w:p>
      <w:pPr>
        <w:spacing w:line="440" w:lineRule="exact"/>
        <w:ind w:firstLine="420" w:firstLineChars="200"/>
        <w:rPr>
          <w:rFonts w:ascii="宋体" w:hAnsi="宋体"/>
          <w:color w:val="auto"/>
          <w:szCs w:val="21"/>
          <w:highlight w:val="none"/>
        </w:rPr>
      </w:pPr>
      <w:r>
        <w:rPr>
          <w:rFonts w:ascii="宋体" w:hAnsi="宋体"/>
          <w:color w:val="auto"/>
          <w:szCs w:val="21"/>
          <w:highlight w:val="none"/>
        </w:rPr>
        <w:t>4. 你方和承包人按合同约定变更合同时，我方承担本担保规定的义务不变。</w:t>
      </w:r>
    </w:p>
    <w:p>
      <w:pPr>
        <w:spacing w:line="440" w:lineRule="exact"/>
        <w:ind w:firstLine="420" w:firstLineChars="200"/>
        <w:rPr>
          <w:rFonts w:ascii="宋体" w:hAnsi="宋体"/>
          <w:color w:val="auto"/>
          <w:szCs w:val="21"/>
          <w:highlight w:val="none"/>
        </w:rPr>
      </w:pPr>
      <w:r>
        <w:rPr>
          <w:rFonts w:ascii="宋体" w:hAnsi="宋体"/>
          <w:color w:val="auto"/>
          <w:szCs w:val="21"/>
          <w:highlight w:val="none"/>
        </w:rPr>
        <w:t>5. 因本保函发生的纠纷，可由双方协商解决，协商不成的，任何一方均可提请</w:t>
      </w:r>
      <w:r>
        <w:rPr>
          <w:rFonts w:ascii="宋体" w:hAnsi="宋体"/>
          <w:color w:val="auto"/>
          <w:szCs w:val="21"/>
          <w:highlight w:val="none"/>
          <w:u w:val="single"/>
        </w:rPr>
        <w:t xml:space="preserve">        </w:t>
      </w:r>
      <w:r>
        <w:rPr>
          <w:rFonts w:ascii="宋体" w:hAnsi="宋体"/>
          <w:color w:val="auto"/>
          <w:szCs w:val="21"/>
          <w:highlight w:val="none"/>
        </w:rPr>
        <w:t>仲裁委员会仲裁。</w:t>
      </w:r>
    </w:p>
    <w:p>
      <w:pPr>
        <w:spacing w:line="440" w:lineRule="exact"/>
        <w:ind w:firstLine="420" w:firstLineChars="200"/>
        <w:rPr>
          <w:rFonts w:hint="eastAsia" w:ascii="宋体" w:hAnsi="宋体"/>
          <w:color w:val="auto"/>
          <w:szCs w:val="21"/>
          <w:highlight w:val="none"/>
        </w:rPr>
      </w:pPr>
      <w:r>
        <w:rPr>
          <w:rFonts w:ascii="宋体" w:hAnsi="宋体"/>
          <w:color w:val="auto"/>
          <w:szCs w:val="21"/>
          <w:highlight w:val="none"/>
        </w:rPr>
        <w:t>6. 本保函自我方法定代表人（或其授权代理人）签字并加盖公章之日起生效。</w:t>
      </w:r>
    </w:p>
    <w:p>
      <w:pPr>
        <w:spacing w:line="440" w:lineRule="exact"/>
        <w:rPr>
          <w:rFonts w:ascii="宋体" w:hAnsi="宋体"/>
          <w:color w:val="auto"/>
          <w:szCs w:val="21"/>
          <w:highlight w:val="none"/>
        </w:rPr>
      </w:pPr>
      <w:r>
        <w:rPr>
          <w:rFonts w:ascii="宋体" w:hAnsi="宋体"/>
          <w:color w:val="auto"/>
          <w:szCs w:val="21"/>
          <w:highlight w:val="none"/>
        </w:rPr>
        <w:t>担 保 人：</w:t>
      </w:r>
      <w:r>
        <w:rPr>
          <w:rFonts w:ascii="宋体" w:hAnsi="宋体"/>
          <w:color w:val="auto"/>
          <w:szCs w:val="21"/>
          <w:highlight w:val="none"/>
          <w:u w:val="single"/>
        </w:rPr>
        <w:t xml:space="preserve">             </w:t>
      </w:r>
      <w:r>
        <w:rPr>
          <w:rFonts w:hint="eastAsia" w:ascii="宋体" w:hAnsi="宋体"/>
          <w:color w:val="auto"/>
          <w:szCs w:val="21"/>
          <w:highlight w:val="none"/>
          <w:u w:val="single"/>
        </w:rPr>
        <w:t xml:space="preserve"> </w:t>
      </w:r>
      <w:r>
        <w:rPr>
          <w:rFonts w:ascii="宋体" w:hAnsi="宋体"/>
          <w:color w:val="auto"/>
          <w:szCs w:val="21"/>
          <w:highlight w:val="none"/>
          <w:u w:val="single"/>
        </w:rPr>
        <w:t xml:space="preserve">   </w:t>
      </w:r>
      <w:r>
        <w:rPr>
          <w:rFonts w:hint="eastAsia" w:ascii="宋体" w:hAnsi="宋体"/>
          <w:color w:val="auto"/>
          <w:szCs w:val="21"/>
          <w:highlight w:val="none"/>
          <w:u w:val="single"/>
        </w:rPr>
        <w:t xml:space="preserve">  </w:t>
      </w:r>
      <w:r>
        <w:rPr>
          <w:rFonts w:ascii="宋体" w:hAnsi="宋体"/>
          <w:color w:val="auto"/>
          <w:szCs w:val="21"/>
          <w:highlight w:val="none"/>
          <w:u w:val="single"/>
        </w:rPr>
        <w:t xml:space="preserve">        </w:t>
      </w:r>
      <w:r>
        <w:rPr>
          <w:rFonts w:ascii="宋体" w:hAnsi="宋体"/>
          <w:color w:val="auto"/>
          <w:szCs w:val="21"/>
          <w:highlight w:val="none"/>
        </w:rPr>
        <w:t>（盖单位章）</w:t>
      </w:r>
    </w:p>
    <w:p>
      <w:pPr>
        <w:spacing w:line="440" w:lineRule="exact"/>
        <w:rPr>
          <w:rFonts w:ascii="宋体" w:hAnsi="宋体"/>
          <w:color w:val="auto"/>
          <w:szCs w:val="21"/>
          <w:highlight w:val="none"/>
        </w:rPr>
      </w:pPr>
      <w:r>
        <w:rPr>
          <w:rFonts w:ascii="宋体" w:hAnsi="宋体"/>
          <w:color w:val="auto"/>
          <w:szCs w:val="21"/>
          <w:highlight w:val="none"/>
        </w:rPr>
        <w:t>法定代表人或其委托代理人：</w:t>
      </w:r>
      <w:r>
        <w:rPr>
          <w:rFonts w:ascii="宋体" w:hAnsi="宋体"/>
          <w:color w:val="auto"/>
          <w:szCs w:val="21"/>
          <w:highlight w:val="none"/>
          <w:u w:val="single"/>
        </w:rPr>
        <w:t xml:space="preserve">    </w:t>
      </w:r>
      <w:r>
        <w:rPr>
          <w:rFonts w:hint="eastAsia" w:ascii="宋体" w:hAnsi="宋体"/>
          <w:color w:val="auto"/>
          <w:szCs w:val="21"/>
          <w:highlight w:val="none"/>
          <w:u w:val="single"/>
        </w:rPr>
        <w:t xml:space="preserve">  </w:t>
      </w:r>
      <w:r>
        <w:rPr>
          <w:rFonts w:ascii="宋体" w:hAnsi="宋体"/>
          <w:color w:val="auto"/>
          <w:szCs w:val="21"/>
          <w:highlight w:val="none"/>
          <w:u w:val="single"/>
        </w:rPr>
        <w:t xml:space="preserve">  </w:t>
      </w:r>
      <w:r>
        <w:rPr>
          <w:rFonts w:hint="eastAsia" w:ascii="宋体" w:hAnsi="宋体"/>
          <w:color w:val="auto"/>
          <w:szCs w:val="21"/>
          <w:highlight w:val="none"/>
          <w:u w:val="single"/>
        </w:rPr>
        <w:t xml:space="preserve"> </w:t>
      </w:r>
      <w:r>
        <w:rPr>
          <w:rFonts w:ascii="宋体" w:hAnsi="宋体"/>
          <w:color w:val="auto"/>
          <w:szCs w:val="21"/>
          <w:highlight w:val="none"/>
          <w:u w:val="single"/>
        </w:rPr>
        <w:t xml:space="preserve">      </w:t>
      </w:r>
      <w:r>
        <w:rPr>
          <w:rFonts w:ascii="宋体" w:hAnsi="宋体"/>
          <w:color w:val="auto"/>
          <w:szCs w:val="21"/>
          <w:highlight w:val="none"/>
        </w:rPr>
        <w:t>（签字）</w:t>
      </w:r>
    </w:p>
    <w:p>
      <w:pPr>
        <w:spacing w:line="440" w:lineRule="exact"/>
        <w:rPr>
          <w:rFonts w:ascii="宋体" w:hAnsi="宋体"/>
          <w:color w:val="auto"/>
          <w:szCs w:val="21"/>
          <w:highlight w:val="none"/>
        </w:rPr>
      </w:pPr>
      <w:r>
        <w:rPr>
          <w:rFonts w:ascii="宋体" w:hAnsi="宋体"/>
          <w:color w:val="auto"/>
          <w:szCs w:val="21"/>
          <w:highlight w:val="none"/>
        </w:rPr>
        <w:t>地    址：</w:t>
      </w:r>
      <w:r>
        <w:rPr>
          <w:rFonts w:ascii="宋体" w:hAnsi="宋体"/>
          <w:color w:val="auto"/>
          <w:szCs w:val="21"/>
          <w:highlight w:val="none"/>
          <w:u w:val="single"/>
        </w:rPr>
        <w:t xml:space="preserve">            </w:t>
      </w:r>
      <w:r>
        <w:rPr>
          <w:rFonts w:hint="eastAsia" w:ascii="宋体" w:hAnsi="宋体"/>
          <w:color w:val="auto"/>
          <w:szCs w:val="21"/>
          <w:highlight w:val="none"/>
          <w:u w:val="single"/>
        </w:rPr>
        <w:t xml:space="preserve"> </w:t>
      </w:r>
      <w:r>
        <w:rPr>
          <w:rFonts w:ascii="宋体" w:hAnsi="宋体"/>
          <w:color w:val="auto"/>
          <w:szCs w:val="21"/>
          <w:highlight w:val="none"/>
          <w:u w:val="single"/>
        </w:rPr>
        <w:t xml:space="preserve">      </w:t>
      </w:r>
      <w:r>
        <w:rPr>
          <w:rFonts w:hint="eastAsia" w:ascii="宋体" w:hAnsi="宋体"/>
          <w:color w:val="auto"/>
          <w:szCs w:val="21"/>
          <w:highlight w:val="none"/>
          <w:u w:val="single"/>
        </w:rPr>
        <w:t xml:space="preserve">  </w:t>
      </w:r>
      <w:r>
        <w:rPr>
          <w:rFonts w:ascii="宋体" w:hAnsi="宋体"/>
          <w:color w:val="auto"/>
          <w:szCs w:val="21"/>
          <w:highlight w:val="none"/>
          <w:u w:val="single"/>
        </w:rPr>
        <w:t xml:space="preserve">             </w:t>
      </w:r>
      <w:r>
        <w:rPr>
          <w:rFonts w:hint="eastAsia" w:ascii="宋体" w:hAnsi="宋体"/>
          <w:color w:val="auto"/>
          <w:szCs w:val="21"/>
          <w:highlight w:val="none"/>
          <w:u w:val="single"/>
        </w:rPr>
        <w:t xml:space="preserve"> </w:t>
      </w:r>
      <w:r>
        <w:rPr>
          <w:rFonts w:ascii="宋体" w:hAnsi="宋体"/>
          <w:color w:val="auto"/>
          <w:szCs w:val="21"/>
          <w:highlight w:val="none"/>
          <w:u w:val="single"/>
        </w:rPr>
        <w:t xml:space="preserve">   </w:t>
      </w:r>
    </w:p>
    <w:p>
      <w:pPr>
        <w:spacing w:line="440" w:lineRule="exact"/>
        <w:rPr>
          <w:rFonts w:ascii="宋体" w:hAnsi="宋体"/>
          <w:color w:val="auto"/>
          <w:szCs w:val="21"/>
          <w:highlight w:val="none"/>
        </w:rPr>
      </w:pPr>
      <w:r>
        <w:rPr>
          <w:rFonts w:ascii="宋体" w:hAnsi="宋体"/>
          <w:color w:val="auto"/>
          <w:szCs w:val="21"/>
          <w:highlight w:val="none"/>
        </w:rPr>
        <w:t>邮政编码：</w:t>
      </w:r>
      <w:r>
        <w:rPr>
          <w:rFonts w:ascii="宋体" w:hAnsi="宋体"/>
          <w:color w:val="auto"/>
          <w:szCs w:val="21"/>
          <w:highlight w:val="none"/>
          <w:u w:val="single"/>
        </w:rPr>
        <w:t xml:space="preserve">            </w:t>
      </w:r>
      <w:r>
        <w:rPr>
          <w:rFonts w:hint="eastAsia" w:ascii="宋体" w:hAnsi="宋体"/>
          <w:color w:val="auto"/>
          <w:szCs w:val="21"/>
          <w:highlight w:val="none"/>
          <w:u w:val="single"/>
        </w:rPr>
        <w:t xml:space="preserve"> </w:t>
      </w:r>
      <w:r>
        <w:rPr>
          <w:rFonts w:ascii="宋体" w:hAnsi="宋体"/>
          <w:color w:val="auto"/>
          <w:szCs w:val="21"/>
          <w:highlight w:val="none"/>
          <w:u w:val="single"/>
        </w:rPr>
        <w:t xml:space="preserve">      </w:t>
      </w:r>
      <w:r>
        <w:rPr>
          <w:rFonts w:hint="eastAsia" w:ascii="宋体" w:hAnsi="宋体"/>
          <w:color w:val="auto"/>
          <w:szCs w:val="21"/>
          <w:highlight w:val="none"/>
          <w:u w:val="single"/>
        </w:rPr>
        <w:t xml:space="preserve">  </w:t>
      </w:r>
      <w:r>
        <w:rPr>
          <w:rFonts w:ascii="宋体" w:hAnsi="宋体"/>
          <w:color w:val="auto"/>
          <w:szCs w:val="21"/>
          <w:highlight w:val="none"/>
          <w:u w:val="single"/>
        </w:rPr>
        <w:t xml:space="preserve">             </w:t>
      </w:r>
      <w:r>
        <w:rPr>
          <w:rFonts w:hint="eastAsia" w:ascii="宋体" w:hAnsi="宋体"/>
          <w:color w:val="auto"/>
          <w:szCs w:val="21"/>
          <w:highlight w:val="none"/>
          <w:u w:val="single"/>
        </w:rPr>
        <w:t xml:space="preserve"> </w:t>
      </w:r>
      <w:r>
        <w:rPr>
          <w:rFonts w:ascii="宋体" w:hAnsi="宋体"/>
          <w:color w:val="auto"/>
          <w:szCs w:val="21"/>
          <w:highlight w:val="none"/>
          <w:u w:val="single"/>
        </w:rPr>
        <w:t xml:space="preserve">   </w:t>
      </w:r>
    </w:p>
    <w:p>
      <w:pPr>
        <w:spacing w:line="440" w:lineRule="exact"/>
        <w:rPr>
          <w:rFonts w:ascii="宋体" w:hAnsi="宋体"/>
          <w:color w:val="auto"/>
          <w:szCs w:val="21"/>
          <w:highlight w:val="none"/>
          <w:u w:val="single"/>
        </w:rPr>
      </w:pPr>
      <w:r>
        <w:rPr>
          <w:rFonts w:ascii="宋体" w:hAnsi="宋体"/>
          <w:color w:val="auto"/>
          <w:szCs w:val="21"/>
          <w:highlight w:val="none"/>
        </w:rPr>
        <w:t>电    话：</w:t>
      </w:r>
      <w:r>
        <w:rPr>
          <w:rFonts w:ascii="宋体" w:hAnsi="宋体"/>
          <w:color w:val="auto"/>
          <w:szCs w:val="21"/>
          <w:highlight w:val="none"/>
          <w:u w:val="single"/>
        </w:rPr>
        <w:t xml:space="preserve">            </w:t>
      </w:r>
      <w:r>
        <w:rPr>
          <w:rFonts w:hint="eastAsia" w:ascii="宋体" w:hAnsi="宋体"/>
          <w:color w:val="auto"/>
          <w:szCs w:val="21"/>
          <w:highlight w:val="none"/>
          <w:u w:val="single"/>
        </w:rPr>
        <w:t xml:space="preserve"> </w:t>
      </w:r>
      <w:r>
        <w:rPr>
          <w:rFonts w:ascii="宋体" w:hAnsi="宋体"/>
          <w:color w:val="auto"/>
          <w:szCs w:val="21"/>
          <w:highlight w:val="none"/>
          <w:u w:val="single"/>
        </w:rPr>
        <w:t xml:space="preserve">      </w:t>
      </w:r>
      <w:r>
        <w:rPr>
          <w:rFonts w:hint="eastAsia" w:ascii="宋体" w:hAnsi="宋体"/>
          <w:color w:val="auto"/>
          <w:szCs w:val="21"/>
          <w:highlight w:val="none"/>
          <w:u w:val="single"/>
        </w:rPr>
        <w:t xml:space="preserve">  </w:t>
      </w:r>
      <w:r>
        <w:rPr>
          <w:rFonts w:ascii="宋体" w:hAnsi="宋体"/>
          <w:color w:val="auto"/>
          <w:szCs w:val="21"/>
          <w:highlight w:val="none"/>
          <w:u w:val="single"/>
        </w:rPr>
        <w:t xml:space="preserve">             </w:t>
      </w:r>
      <w:r>
        <w:rPr>
          <w:rFonts w:hint="eastAsia" w:ascii="宋体" w:hAnsi="宋体"/>
          <w:color w:val="auto"/>
          <w:szCs w:val="21"/>
          <w:highlight w:val="none"/>
          <w:u w:val="single"/>
        </w:rPr>
        <w:t xml:space="preserve"> </w:t>
      </w:r>
      <w:r>
        <w:rPr>
          <w:rFonts w:ascii="宋体" w:hAnsi="宋体"/>
          <w:color w:val="auto"/>
          <w:szCs w:val="21"/>
          <w:highlight w:val="none"/>
          <w:u w:val="single"/>
        </w:rPr>
        <w:t xml:space="preserve">   </w:t>
      </w:r>
    </w:p>
    <w:p>
      <w:pPr>
        <w:spacing w:line="440" w:lineRule="exact"/>
        <w:rPr>
          <w:rFonts w:ascii="宋体" w:hAnsi="宋体"/>
          <w:color w:val="auto"/>
          <w:szCs w:val="21"/>
          <w:highlight w:val="none"/>
        </w:rPr>
      </w:pPr>
      <w:r>
        <w:rPr>
          <w:rFonts w:ascii="宋体" w:hAnsi="宋体"/>
          <w:color w:val="auto"/>
          <w:szCs w:val="21"/>
          <w:highlight w:val="none"/>
        </w:rPr>
        <w:t>传    真：</w:t>
      </w:r>
      <w:r>
        <w:rPr>
          <w:rFonts w:ascii="宋体" w:hAnsi="宋体"/>
          <w:color w:val="auto"/>
          <w:szCs w:val="21"/>
          <w:highlight w:val="none"/>
          <w:u w:val="single"/>
        </w:rPr>
        <w:t xml:space="preserve">            </w:t>
      </w:r>
      <w:r>
        <w:rPr>
          <w:rFonts w:hint="eastAsia" w:ascii="宋体" w:hAnsi="宋体"/>
          <w:color w:val="auto"/>
          <w:szCs w:val="21"/>
          <w:highlight w:val="none"/>
          <w:u w:val="single"/>
        </w:rPr>
        <w:t xml:space="preserve"> </w:t>
      </w:r>
      <w:r>
        <w:rPr>
          <w:rFonts w:ascii="宋体" w:hAnsi="宋体"/>
          <w:color w:val="auto"/>
          <w:szCs w:val="21"/>
          <w:highlight w:val="none"/>
          <w:u w:val="single"/>
        </w:rPr>
        <w:t xml:space="preserve">      </w:t>
      </w:r>
      <w:r>
        <w:rPr>
          <w:rFonts w:hint="eastAsia" w:ascii="宋体" w:hAnsi="宋体"/>
          <w:color w:val="auto"/>
          <w:szCs w:val="21"/>
          <w:highlight w:val="none"/>
          <w:u w:val="single"/>
        </w:rPr>
        <w:t xml:space="preserve">  </w:t>
      </w:r>
      <w:r>
        <w:rPr>
          <w:rFonts w:ascii="宋体" w:hAnsi="宋体"/>
          <w:color w:val="auto"/>
          <w:szCs w:val="21"/>
          <w:highlight w:val="none"/>
          <w:u w:val="single"/>
        </w:rPr>
        <w:t xml:space="preserve">             </w:t>
      </w:r>
      <w:r>
        <w:rPr>
          <w:rFonts w:hint="eastAsia" w:ascii="宋体" w:hAnsi="宋体"/>
          <w:color w:val="auto"/>
          <w:szCs w:val="21"/>
          <w:highlight w:val="none"/>
          <w:u w:val="single"/>
        </w:rPr>
        <w:t xml:space="preserve"> </w:t>
      </w:r>
      <w:r>
        <w:rPr>
          <w:rFonts w:ascii="宋体" w:hAnsi="宋体"/>
          <w:color w:val="auto"/>
          <w:szCs w:val="21"/>
          <w:highlight w:val="none"/>
          <w:u w:val="single"/>
        </w:rPr>
        <w:t xml:space="preserve">   </w:t>
      </w:r>
    </w:p>
    <w:p>
      <w:pPr>
        <w:spacing w:line="440" w:lineRule="exact"/>
        <w:jc w:val="left"/>
        <w:rPr>
          <w:rFonts w:ascii="宋体" w:hAnsi="宋体"/>
          <w:color w:val="auto"/>
          <w:szCs w:val="21"/>
          <w:highlight w:val="none"/>
          <w:u w:val="single"/>
        </w:rPr>
      </w:pPr>
    </w:p>
    <w:p>
      <w:pPr>
        <w:spacing w:line="440" w:lineRule="exact"/>
        <w:ind w:left="1329" w:hanging="1329" w:hangingChars="633"/>
        <w:rPr>
          <w:rFonts w:hint="eastAsia"/>
          <w:color w:val="auto"/>
          <w:highlight w:val="none"/>
        </w:rPr>
      </w:pPr>
      <w:r>
        <w:rPr>
          <w:rFonts w:ascii="宋体" w:hAnsi="宋体"/>
          <w:color w:val="auto"/>
          <w:szCs w:val="21"/>
          <w:highlight w:val="none"/>
        </w:rPr>
        <w:t xml:space="preserve">             </w:t>
      </w:r>
      <w:r>
        <w:rPr>
          <w:rFonts w:hint="eastAsia" w:ascii="宋体" w:hAnsi="宋体"/>
          <w:color w:val="auto"/>
          <w:szCs w:val="21"/>
          <w:highlight w:val="none"/>
        </w:rPr>
        <w:t xml:space="preserve">  </w:t>
      </w:r>
      <w:r>
        <w:rPr>
          <w:rFonts w:ascii="宋体" w:hAnsi="宋体"/>
          <w:color w:val="auto"/>
          <w:szCs w:val="21"/>
          <w:highlight w:val="none"/>
          <w:u w:val="single"/>
        </w:rPr>
        <w:t xml:space="preserve">           </w:t>
      </w:r>
      <w:r>
        <w:rPr>
          <w:rFonts w:ascii="宋体" w:hAnsi="宋体"/>
          <w:color w:val="auto"/>
          <w:szCs w:val="21"/>
          <w:highlight w:val="none"/>
        </w:rPr>
        <w:t>年</w:t>
      </w:r>
      <w:r>
        <w:rPr>
          <w:rFonts w:ascii="宋体" w:hAnsi="宋体"/>
          <w:color w:val="auto"/>
          <w:szCs w:val="21"/>
          <w:highlight w:val="none"/>
          <w:u w:val="single"/>
        </w:rPr>
        <w:t xml:space="preserve">        </w:t>
      </w:r>
      <w:r>
        <w:rPr>
          <w:rFonts w:ascii="宋体" w:hAnsi="宋体"/>
          <w:color w:val="auto"/>
          <w:szCs w:val="21"/>
          <w:highlight w:val="none"/>
        </w:rPr>
        <w:t>月</w:t>
      </w:r>
      <w:r>
        <w:rPr>
          <w:rFonts w:ascii="宋体" w:hAnsi="宋体"/>
          <w:color w:val="auto"/>
          <w:szCs w:val="21"/>
          <w:highlight w:val="none"/>
          <w:u w:val="single"/>
        </w:rPr>
        <w:t xml:space="preserve">        </w:t>
      </w:r>
      <w:r>
        <w:rPr>
          <w:rFonts w:ascii="宋体" w:hAnsi="宋体"/>
          <w:color w:val="auto"/>
          <w:szCs w:val="21"/>
          <w:highlight w:val="none"/>
        </w:rPr>
        <w:t>日</w:t>
      </w:r>
      <w:bookmarkStart w:id="126" w:name="_Toc152042553"/>
      <w:bookmarkStart w:id="127" w:name="_Toc152045771"/>
      <w:bookmarkStart w:id="128" w:name="_Toc521870798"/>
      <w:bookmarkStart w:id="129" w:name="_Toc144974833"/>
      <w:bookmarkStart w:id="130" w:name="_Toc247527802"/>
      <w:bookmarkStart w:id="131" w:name="_Toc24394"/>
      <w:bookmarkStart w:id="132" w:name="_Toc247514201"/>
    </w:p>
    <w:p>
      <w:pPr>
        <w:rPr>
          <w:rFonts w:hint="eastAsia"/>
          <w:color w:val="auto"/>
          <w:highlight w:val="none"/>
        </w:rPr>
      </w:pPr>
    </w:p>
    <w:p>
      <w:pPr>
        <w:rPr>
          <w:rFonts w:hint="eastAsia"/>
          <w:color w:val="auto"/>
          <w:highlight w:val="none"/>
        </w:rPr>
      </w:pPr>
    </w:p>
    <w:p>
      <w:pPr>
        <w:rPr>
          <w:rFonts w:hint="eastAsia"/>
          <w:color w:val="auto"/>
          <w:highlight w:val="none"/>
        </w:rPr>
      </w:pPr>
    </w:p>
    <w:p>
      <w:pPr>
        <w:rPr>
          <w:rFonts w:hint="eastAsia"/>
          <w:color w:val="auto"/>
          <w:highlight w:val="none"/>
        </w:rPr>
      </w:pPr>
    </w:p>
    <w:p>
      <w:pPr>
        <w:pStyle w:val="5"/>
        <w:rPr>
          <w:color w:val="auto"/>
          <w:highlight w:val="none"/>
        </w:rPr>
      </w:pPr>
      <w:bookmarkStart w:id="133" w:name="_Toc26940"/>
      <w:r>
        <w:rPr>
          <w:rFonts w:hint="eastAsia"/>
          <w:color w:val="auto"/>
          <w:highlight w:val="none"/>
        </w:rPr>
        <w:t>附件2：</w:t>
      </w:r>
      <w:bookmarkEnd w:id="126"/>
      <w:bookmarkEnd w:id="127"/>
      <w:bookmarkEnd w:id="128"/>
      <w:bookmarkEnd w:id="129"/>
      <w:bookmarkEnd w:id="130"/>
      <w:bookmarkEnd w:id="131"/>
      <w:bookmarkEnd w:id="132"/>
      <w:r>
        <w:rPr>
          <w:rFonts w:hint="eastAsia"/>
          <w:color w:val="auto"/>
          <w:highlight w:val="none"/>
        </w:rPr>
        <w:t>工程质量保修书</w:t>
      </w:r>
      <w:bookmarkEnd w:id="133"/>
    </w:p>
    <w:p>
      <w:pPr>
        <w:spacing w:line="400" w:lineRule="exact"/>
        <w:rPr>
          <w:color w:val="auto"/>
          <w:highlight w:val="none"/>
        </w:rPr>
      </w:pPr>
    </w:p>
    <w:p>
      <w:pPr>
        <w:spacing w:before="156" w:beforeLines="50" w:after="156" w:afterLines="50" w:line="440" w:lineRule="exact"/>
        <w:jc w:val="center"/>
        <w:rPr>
          <w:rFonts w:ascii="宋体" w:hAnsi="宋体"/>
          <w:b/>
          <w:color w:val="auto"/>
          <w:sz w:val="32"/>
          <w:szCs w:val="32"/>
          <w:highlight w:val="none"/>
        </w:rPr>
      </w:pPr>
      <w:r>
        <w:rPr>
          <w:rFonts w:ascii="宋体" w:hAnsi="宋体"/>
          <w:b/>
          <w:color w:val="auto"/>
          <w:sz w:val="32"/>
          <w:szCs w:val="32"/>
          <w:highlight w:val="none"/>
        </w:rPr>
        <w:t>工程质量保修书</w:t>
      </w:r>
    </w:p>
    <w:p>
      <w:pPr>
        <w:spacing w:line="440" w:lineRule="exact"/>
        <w:ind w:firstLine="420" w:firstLineChars="200"/>
        <w:rPr>
          <w:rFonts w:ascii="宋体" w:hAnsi="宋体"/>
          <w:color w:val="auto"/>
          <w:szCs w:val="21"/>
          <w:highlight w:val="none"/>
        </w:rPr>
      </w:pPr>
      <w:r>
        <w:rPr>
          <w:rFonts w:ascii="宋体" w:hAnsi="宋体"/>
          <w:color w:val="auto"/>
          <w:szCs w:val="21"/>
          <w:highlight w:val="none"/>
        </w:rPr>
        <w:t>发包人（全称）：</w:t>
      </w:r>
      <w:r>
        <w:rPr>
          <w:rFonts w:ascii="宋体" w:hAnsi="宋体"/>
          <w:color w:val="auto"/>
          <w:szCs w:val="21"/>
          <w:highlight w:val="none"/>
          <w:u w:val="single"/>
        </w:rPr>
        <w:t xml:space="preserve">                                </w:t>
      </w:r>
      <w:r>
        <w:rPr>
          <w:rFonts w:ascii="宋体" w:hAnsi="宋体"/>
          <w:color w:val="auto"/>
          <w:szCs w:val="21"/>
          <w:highlight w:val="none"/>
        </w:rPr>
        <w:t xml:space="preserve"> </w:t>
      </w:r>
    </w:p>
    <w:p>
      <w:pPr>
        <w:spacing w:line="440" w:lineRule="exact"/>
        <w:ind w:firstLine="405"/>
        <w:rPr>
          <w:rFonts w:ascii="宋体" w:hAnsi="宋体"/>
          <w:color w:val="auto"/>
          <w:szCs w:val="21"/>
          <w:highlight w:val="none"/>
        </w:rPr>
      </w:pPr>
      <w:r>
        <w:rPr>
          <w:rFonts w:ascii="宋体" w:hAnsi="宋体"/>
          <w:color w:val="auto"/>
          <w:szCs w:val="21"/>
          <w:highlight w:val="none"/>
        </w:rPr>
        <w:t>承包人（全称）：</w:t>
      </w:r>
      <w:r>
        <w:rPr>
          <w:rFonts w:ascii="宋体" w:hAnsi="宋体"/>
          <w:color w:val="auto"/>
          <w:szCs w:val="21"/>
          <w:highlight w:val="none"/>
          <w:u w:val="single"/>
        </w:rPr>
        <w:t xml:space="preserve">                                </w:t>
      </w:r>
      <w:r>
        <w:rPr>
          <w:rFonts w:ascii="宋体" w:hAnsi="宋体"/>
          <w:color w:val="auto"/>
          <w:szCs w:val="21"/>
          <w:highlight w:val="none"/>
        </w:rPr>
        <w:t xml:space="preserve"> </w:t>
      </w:r>
    </w:p>
    <w:p>
      <w:pPr>
        <w:spacing w:line="440" w:lineRule="exact"/>
        <w:rPr>
          <w:rFonts w:ascii="宋体" w:hAnsi="宋体"/>
          <w:color w:val="auto"/>
          <w:szCs w:val="21"/>
          <w:highlight w:val="none"/>
        </w:rPr>
      </w:pPr>
    </w:p>
    <w:p>
      <w:pPr>
        <w:spacing w:line="360" w:lineRule="auto"/>
        <w:ind w:firstLine="450"/>
        <w:rPr>
          <w:rFonts w:hint="eastAsia" w:ascii="宋体" w:hAnsi="宋体"/>
          <w:color w:val="auto"/>
          <w:szCs w:val="21"/>
          <w:highlight w:val="none"/>
        </w:rPr>
      </w:pPr>
      <w:r>
        <w:rPr>
          <w:rFonts w:ascii="宋体" w:hAnsi="宋体"/>
          <w:color w:val="auto"/>
          <w:szCs w:val="21"/>
          <w:highlight w:val="none"/>
        </w:rPr>
        <w:t>发包人和承包人根据《中华人民共和国建筑法》和《建设工程质量管理条例》，经协商一致就</w:t>
      </w:r>
      <w:r>
        <w:rPr>
          <w:rFonts w:ascii="宋体" w:hAnsi="宋体"/>
          <w:color w:val="auto"/>
          <w:szCs w:val="21"/>
          <w:highlight w:val="none"/>
          <w:u w:val="single"/>
        </w:rPr>
        <w:t xml:space="preserve">                </w:t>
      </w:r>
      <w:r>
        <w:rPr>
          <w:rFonts w:ascii="宋体" w:hAnsi="宋体"/>
          <w:color w:val="auto"/>
          <w:szCs w:val="21"/>
          <w:highlight w:val="none"/>
        </w:rPr>
        <w:t>（工程全称）签订工程质量保修书。</w:t>
      </w:r>
    </w:p>
    <w:p>
      <w:pPr>
        <w:spacing w:line="360" w:lineRule="auto"/>
        <w:ind w:firstLine="450"/>
        <w:rPr>
          <w:rFonts w:ascii="宋体" w:hAnsi="宋体"/>
          <w:color w:val="auto"/>
          <w:szCs w:val="21"/>
          <w:highlight w:val="none"/>
        </w:rPr>
      </w:pPr>
      <w:r>
        <w:rPr>
          <w:rFonts w:hint="eastAsia" w:ascii="宋体" w:hAnsi="宋体"/>
          <w:color w:val="auto"/>
          <w:szCs w:val="21"/>
          <w:highlight w:val="none"/>
        </w:rPr>
        <w:t>一、</w:t>
      </w:r>
      <w:r>
        <w:rPr>
          <w:rFonts w:ascii="宋体" w:hAnsi="宋体"/>
          <w:color w:val="auto"/>
          <w:szCs w:val="21"/>
          <w:highlight w:val="none"/>
        </w:rPr>
        <w:t>工程质量保修范围和内容</w:t>
      </w:r>
    </w:p>
    <w:p>
      <w:pPr>
        <w:spacing w:line="360" w:lineRule="auto"/>
        <w:ind w:firstLine="420" w:firstLineChars="200"/>
        <w:rPr>
          <w:rFonts w:ascii="宋体" w:hAnsi="宋体"/>
          <w:color w:val="auto"/>
          <w:szCs w:val="21"/>
          <w:highlight w:val="none"/>
        </w:rPr>
      </w:pPr>
      <w:r>
        <w:rPr>
          <w:rFonts w:ascii="宋体" w:hAnsi="宋体"/>
          <w:color w:val="auto"/>
          <w:szCs w:val="21"/>
          <w:highlight w:val="none"/>
        </w:rPr>
        <w:t>质量保修范围包括地基基础工程、主体结构工程，屋面防水工程、有防水要求的卫生间、房间和外墙面的防渗漏，供热与供冷系统，电气管线、给排水管道、设备安装和装修工程，以及双方约定的其他项目。具体保修的内容，双方约定如下：</w:t>
      </w:r>
    </w:p>
    <w:p>
      <w:pPr>
        <w:spacing w:line="360" w:lineRule="auto"/>
        <w:rPr>
          <w:rFonts w:ascii="宋体" w:hAnsi="宋体"/>
          <w:color w:val="auto"/>
          <w:szCs w:val="21"/>
          <w:highlight w:val="none"/>
        </w:rPr>
      </w:pPr>
      <w:r>
        <w:rPr>
          <w:rFonts w:ascii="宋体" w:hAnsi="宋体"/>
          <w:color w:val="auto"/>
          <w:szCs w:val="21"/>
          <w:highlight w:val="none"/>
        </w:rPr>
        <w:t>　　</w:t>
      </w:r>
      <w:r>
        <w:rPr>
          <w:rFonts w:ascii="宋体" w:hAnsi="宋体"/>
          <w:color w:val="auto"/>
          <w:szCs w:val="21"/>
          <w:highlight w:val="none"/>
          <w:u w:val="single"/>
        </w:rPr>
        <w:t xml:space="preserve"> </w:t>
      </w:r>
      <w:r>
        <w:rPr>
          <w:rFonts w:hint="eastAsia" w:ascii="宋体" w:hAnsi="宋体"/>
          <w:color w:val="auto"/>
          <w:szCs w:val="21"/>
          <w:highlight w:val="none"/>
          <w:u w:val="single"/>
        </w:rPr>
        <w:t>工程竣工图纸包含的所有承包范围内的工作内容</w:t>
      </w:r>
      <w:r>
        <w:rPr>
          <w:rFonts w:ascii="宋体" w:hAnsi="宋体"/>
          <w:color w:val="auto"/>
          <w:szCs w:val="21"/>
          <w:highlight w:val="none"/>
        </w:rPr>
        <w:t>。</w:t>
      </w:r>
    </w:p>
    <w:p>
      <w:pPr>
        <w:spacing w:line="360" w:lineRule="auto"/>
        <w:ind w:firstLine="420"/>
        <w:rPr>
          <w:rFonts w:ascii="宋体" w:hAnsi="宋体"/>
          <w:color w:val="auto"/>
          <w:szCs w:val="21"/>
          <w:highlight w:val="none"/>
        </w:rPr>
      </w:pPr>
      <w:r>
        <w:rPr>
          <w:rFonts w:ascii="宋体" w:hAnsi="宋体"/>
          <w:color w:val="auto"/>
          <w:szCs w:val="21"/>
          <w:highlight w:val="none"/>
        </w:rPr>
        <w:t>二、质量保修期</w:t>
      </w:r>
    </w:p>
    <w:p>
      <w:pPr>
        <w:spacing w:line="360" w:lineRule="auto"/>
        <w:ind w:firstLine="420" w:firstLineChars="200"/>
        <w:rPr>
          <w:rFonts w:ascii="宋体" w:hAnsi="宋体"/>
          <w:color w:val="auto"/>
          <w:szCs w:val="21"/>
          <w:highlight w:val="none"/>
        </w:rPr>
      </w:pPr>
      <w:r>
        <w:rPr>
          <w:rFonts w:ascii="宋体" w:hAnsi="宋体"/>
          <w:color w:val="auto"/>
          <w:szCs w:val="21"/>
          <w:highlight w:val="none"/>
        </w:rPr>
        <w:t>根据《建设工程质量管理条例》及有关规定，工程的质量保修期如下：</w:t>
      </w:r>
    </w:p>
    <w:p>
      <w:pPr>
        <w:spacing w:line="360" w:lineRule="auto"/>
        <w:ind w:left="420" w:leftChars="200" w:firstLine="105" w:firstLineChars="50"/>
        <w:rPr>
          <w:rFonts w:hint="eastAsia" w:ascii="宋体" w:hAnsi="宋体"/>
          <w:color w:val="auto"/>
          <w:szCs w:val="21"/>
          <w:highlight w:val="none"/>
        </w:rPr>
      </w:pPr>
      <w:r>
        <w:rPr>
          <w:rFonts w:hint="eastAsia" w:ascii="宋体" w:hAnsi="宋体"/>
          <w:color w:val="auto"/>
          <w:szCs w:val="21"/>
          <w:highlight w:val="none"/>
        </w:rPr>
        <w:t>1．地基基础工程和主体结构工程为设计文件规定的工程合理使用年限；</w:t>
      </w:r>
    </w:p>
    <w:p>
      <w:pPr>
        <w:spacing w:line="360" w:lineRule="auto"/>
        <w:ind w:left="420" w:leftChars="200" w:firstLine="105" w:firstLineChars="50"/>
        <w:rPr>
          <w:rFonts w:ascii="宋体" w:hAnsi="宋体"/>
          <w:color w:val="auto"/>
          <w:szCs w:val="21"/>
          <w:highlight w:val="none"/>
        </w:rPr>
      </w:pPr>
      <w:r>
        <w:rPr>
          <w:rFonts w:hint="eastAsia" w:ascii="宋体" w:hAnsi="宋体"/>
          <w:color w:val="auto"/>
          <w:szCs w:val="21"/>
          <w:highlight w:val="none"/>
        </w:rPr>
        <w:t>2．</w:t>
      </w:r>
      <w:r>
        <w:rPr>
          <w:rFonts w:ascii="宋体" w:hAnsi="宋体"/>
          <w:color w:val="auto"/>
          <w:szCs w:val="21"/>
          <w:highlight w:val="none"/>
        </w:rPr>
        <w:t>屋面防水工程、有防水要求的卫生间、房间和外墙面的防渗</w:t>
      </w:r>
      <w:r>
        <w:rPr>
          <w:rFonts w:hint="eastAsia" w:ascii="宋体" w:hAnsi="宋体"/>
          <w:color w:val="auto"/>
          <w:szCs w:val="21"/>
          <w:highlight w:val="none"/>
        </w:rPr>
        <w:t>为</w:t>
      </w:r>
      <w:r>
        <w:rPr>
          <w:color w:val="auto"/>
          <w:szCs w:val="21"/>
          <w:highlight w:val="none"/>
        </w:rPr>
        <w:t xml:space="preserve">  </w:t>
      </w:r>
      <w:r>
        <w:rPr>
          <w:rFonts w:hint="eastAsia" w:ascii="宋体" w:hAnsi="宋体"/>
          <w:color w:val="auto"/>
          <w:szCs w:val="21"/>
          <w:highlight w:val="none"/>
          <w:u w:val="single"/>
        </w:rPr>
        <w:t xml:space="preserve">5  </w:t>
      </w:r>
      <w:r>
        <w:rPr>
          <w:rFonts w:ascii="宋体" w:hAnsi="宋体"/>
          <w:color w:val="auto"/>
          <w:szCs w:val="21"/>
          <w:highlight w:val="none"/>
        </w:rPr>
        <w:t>年；</w:t>
      </w:r>
    </w:p>
    <w:p>
      <w:pPr>
        <w:spacing w:line="360" w:lineRule="auto"/>
        <w:ind w:left="420" w:leftChars="200" w:firstLine="105" w:firstLineChars="50"/>
        <w:rPr>
          <w:rFonts w:ascii="宋体" w:hAnsi="宋体"/>
          <w:color w:val="auto"/>
          <w:szCs w:val="21"/>
          <w:highlight w:val="none"/>
        </w:rPr>
      </w:pPr>
      <w:r>
        <w:rPr>
          <w:rFonts w:hint="eastAsia" w:ascii="宋体" w:hAnsi="宋体"/>
          <w:color w:val="auto"/>
          <w:szCs w:val="21"/>
          <w:highlight w:val="none"/>
        </w:rPr>
        <w:t>3．</w:t>
      </w:r>
      <w:r>
        <w:rPr>
          <w:rFonts w:ascii="宋体" w:hAnsi="宋体"/>
          <w:color w:val="auto"/>
          <w:szCs w:val="21"/>
          <w:highlight w:val="none"/>
        </w:rPr>
        <w:t>装修工程为</w:t>
      </w:r>
      <w:r>
        <w:rPr>
          <w:rFonts w:ascii="宋体" w:hAnsi="宋体"/>
          <w:color w:val="auto"/>
          <w:szCs w:val="21"/>
          <w:highlight w:val="none"/>
          <w:u w:val="single"/>
        </w:rPr>
        <w:t xml:space="preserve">  </w:t>
      </w:r>
      <w:r>
        <w:rPr>
          <w:rFonts w:hint="eastAsia" w:ascii="宋体" w:hAnsi="宋体"/>
          <w:b/>
          <w:color w:val="auto"/>
          <w:szCs w:val="21"/>
          <w:highlight w:val="none"/>
          <w:u w:val="single"/>
        </w:rPr>
        <w:t>2</w:t>
      </w:r>
      <w:r>
        <w:rPr>
          <w:rFonts w:ascii="宋体" w:hAnsi="宋体"/>
          <w:color w:val="auto"/>
          <w:szCs w:val="21"/>
          <w:highlight w:val="none"/>
          <w:u w:val="single"/>
        </w:rPr>
        <w:t xml:space="preserve">   </w:t>
      </w:r>
      <w:r>
        <w:rPr>
          <w:rFonts w:ascii="宋体" w:hAnsi="宋体"/>
          <w:color w:val="auto"/>
          <w:szCs w:val="21"/>
          <w:highlight w:val="none"/>
        </w:rPr>
        <w:t>年；</w:t>
      </w:r>
    </w:p>
    <w:p>
      <w:pPr>
        <w:spacing w:line="360" w:lineRule="auto"/>
        <w:ind w:left="420" w:leftChars="200" w:firstLine="105" w:firstLineChars="50"/>
        <w:rPr>
          <w:rFonts w:ascii="宋体" w:hAnsi="宋体"/>
          <w:color w:val="auto"/>
          <w:szCs w:val="21"/>
          <w:highlight w:val="none"/>
        </w:rPr>
      </w:pPr>
      <w:r>
        <w:rPr>
          <w:rFonts w:hint="eastAsia" w:ascii="宋体" w:hAnsi="宋体"/>
          <w:color w:val="auto"/>
          <w:szCs w:val="21"/>
          <w:highlight w:val="none"/>
        </w:rPr>
        <w:t>4．</w:t>
      </w:r>
      <w:r>
        <w:rPr>
          <w:rFonts w:ascii="宋体" w:hAnsi="宋体"/>
          <w:color w:val="auto"/>
          <w:szCs w:val="21"/>
          <w:highlight w:val="none"/>
        </w:rPr>
        <w:t>电气管线、给排水管道、设备安装工程为</w:t>
      </w:r>
      <w:r>
        <w:rPr>
          <w:rFonts w:ascii="宋体" w:hAnsi="宋体"/>
          <w:color w:val="auto"/>
          <w:szCs w:val="21"/>
          <w:highlight w:val="none"/>
          <w:u w:val="single"/>
        </w:rPr>
        <w:t xml:space="preserve">  </w:t>
      </w:r>
      <w:r>
        <w:rPr>
          <w:rFonts w:hint="eastAsia" w:ascii="宋体" w:hAnsi="宋体"/>
          <w:b/>
          <w:color w:val="auto"/>
          <w:szCs w:val="21"/>
          <w:highlight w:val="none"/>
          <w:u w:val="single"/>
        </w:rPr>
        <w:t>2</w:t>
      </w:r>
      <w:r>
        <w:rPr>
          <w:rFonts w:ascii="宋体" w:hAnsi="宋体"/>
          <w:color w:val="auto"/>
          <w:szCs w:val="21"/>
          <w:highlight w:val="none"/>
          <w:u w:val="single"/>
        </w:rPr>
        <w:t xml:space="preserve">   </w:t>
      </w:r>
      <w:r>
        <w:rPr>
          <w:rFonts w:ascii="宋体" w:hAnsi="宋体"/>
          <w:color w:val="auto"/>
          <w:szCs w:val="21"/>
          <w:highlight w:val="none"/>
        </w:rPr>
        <w:t>年；</w:t>
      </w:r>
    </w:p>
    <w:p>
      <w:pPr>
        <w:spacing w:line="360" w:lineRule="auto"/>
        <w:ind w:left="420" w:leftChars="200" w:firstLine="105" w:firstLineChars="50"/>
        <w:rPr>
          <w:rFonts w:ascii="宋体" w:hAnsi="宋体"/>
          <w:color w:val="auto"/>
          <w:szCs w:val="21"/>
          <w:highlight w:val="none"/>
        </w:rPr>
      </w:pPr>
      <w:r>
        <w:rPr>
          <w:rFonts w:hint="eastAsia" w:ascii="宋体" w:hAnsi="宋体"/>
          <w:color w:val="auto"/>
          <w:szCs w:val="21"/>
          <w:highlight w:val="none"/>
        </w:rPr>
        <w:t>5．</w:t>
      </w:r>
      <w:r>
        <w:rPr>
          <w:rFonts w:ascii="宋体" w:hAnsi="宋体"/>
          <w:color w:val="auto"/>
          <w:szCs w:val="21"/>
          <w:highlight w:val="none"/>
        </w:rPr>
        <w:t>供热与供冷系统为</w:t>
      </w:r>
      <w:r>
        <w:rPr>
          <w:rFonts w:ascii="宋体" w:hAnsi="宋体"/>
          <w:color w:val="auto"/>
          <w:szCs w:val="21"/>
          <w:highlight w:val="none"/>
          <w:u w:val="single"/>
        </w:rPr>
        <w:t xml:space="preserve">  </w:t>
      </w:r>
      <w:r>
        <w:rPr>
          <w:rFonts w:ascii="宋体" w:hAnsi="宋体"/>
          <w:b/>
          <w:color w:val="auto"/>
          <w:szCs w:val="21"/>
          <w:highlight w:val="none"/>
          <w:u w:val="single"/>
        </w:rPr>
        <w:t xml:space="preserve"> </w:t>
      </w:r>
      <w:r>
        <w:rPr>
          <w:rFonts w:hint="eastAsia" w:ascii="宋体" w:hAnsi="宋体"/>
          <w:b/>
          <w:color w:val="auto"/>
          <w:szCs w:val="21"/>
          <w:highlight w:val="none"/>
          <w:u w:val="single"/>
        </w:rPr>
        <w:t>2</w:t>
      </w:r>
      <w:r>
        <w:rPr>
          <w:rFonts w:ascii="宋体" w:hAnsi="宋体"/>
          <w:b/>
          <w:color w:val="auto"/>
          <w:szCs w:val="21"/>
          <w:highlight w:val="none"/>
          <w:u w:val="single"/>
        </w:rPr>
        <w:t xml:space="preserve"> </w:t>
      </w:r>
      <w:r>
        <w:rPr>
          <w:rFonts w:ascii="宋体" w:hAnsi="宋体"/>
          <w:color w:val="auto"/>
          <w:szCs w:val="21"/>
          <w:highlight w:val="none"/>
          <w:u w:val="single"/>
        </w:rPr>
        <w:t xml:space="preserve">  </w:t>
      </w:r>
      <w:r>
        <w:rPr>
          <w:rFonts w:ascii="宋体" w:hAnsi="宋体"/>
          <w:color w:val="auto"/>
          <w:szCs w:val="21"/>
          <w:highlight w:val="none"/>
        </w:rPr>
        <w:t>个采暖期、供冷期；</w:t>
      </w:r>
    </w:p>
    <w:p>
      <w:pPr>
        <w:spacing w:line="360" w:lineRule="auto"/>
        <w:ind w:left="420" w:leftChars="200" w:firstLine="105" w:firstLineChars="50"/>
        <w:rPr>
          <w:rFonts w:ascii="宋体" w:hAnsi="宋体"/>
          <w:color w:val="auto"/>
          <w:szCs w:val="21"/>
          <w:highlight w:val="none"/>
        </w:rPr>
      </w:pPr>
      <w:r>
        <w:rPr>
          <w:rFonts w:hint="eastAsia" w:ascii="宋体" w:hAnsi="宋体"/>
          <w:color w:val="auto"/>
          <w:szCs w:val="21"/>
          <w:highlight w:val="none"/>
        </w:rPr>
        <w:t>6．</w:t>
      </w:r>
      <w:r>
        <w:rPr>
          <w:rFonts w:ascii="宋体" w:hAnsi="宋体"/>
          <w:color w:val="auto"/>
          <w:szCs w:val="21"/>
          <w:highlight w:val="none"/>
        </w:rPr>
        <w:t>住宅小区内的给排水设施、道路等配套工程为</w:t>
      </w:r>
      <w:r>
        <w:rPr>
          <w:rFonts w:ascii="宋体" w:hAnsi="宋体"/>
          <w:color w:val="auto"/>
          <w:szCs w:val="21"/>
          <w:highlight w:val="none"/>
          <w:u w:val="single"/>
        </w:rPr>
        <w:t xml:space="preserve">  </w:t>
      </w:r>
      <w:r>
        <w:rPr>
          <w:rFonts w:ascii="宋体" w:hAnsi="宋体"/>
          <w:b/>
          <w:color w:val="auto"/>
          <w:szCs w:val="21"/>
          <w:highlight w:val="none"/>
          <w:u w:val="single"/>
        </w:rPr>
        <w:t xml:space="preserve"> </w:t>
      </w:r>
      <w:r>
        <w:rPr>
          <w:rFonts w:hint="eastAsia" w:ascii="宋体" w:hAnsi="宋体"/>
          <w:b/>
          <w:color w:val="auto"/>
          <w:szCs w:val="21"/>
          <w:highlight w:val="none"/>
          <w:u w:val="single"/>
        </w:rPr>
        <w:t>2</w:t>
      </w:r>
      <w:r>
        <w:rPr>
          <w:rFonts w:ascii="宋体" w:hAnsi="宋体"/>
          <w:color w:val="auto"/>
          <w:szCs w:val="21"/>
          <w:highlight w:val="none"/>
          <w:u w:val="single"/>
        </w:rPr>
        <w:t xml:space="preserve">   </w:t>
      </w:r>
      <w:r>
        <w:rPr>
          <w:rFonts w:ascii="宋体" w:hAnsi="宋体"/>
          <w:color w:val="auto"/>
          <w:szCs w:val="21"/>
          <w:highlight w:val="none"/>
        </w:rPr>
        <w:t>年；</w:t>
      </w:r>
    </w:p>
    <w:p>
      <w:pPr>
        <w:spacing w:line="360" w:lineRule="auto"/>
        <w:ind w:left="420" w:leftChars="200" w:firstLine="105" w:firstLineChars="50"/>
        <w:rPr>
          <w:rFonts w:ascii="宋体" w:hAnsi="宋体"/>
          <w:color w:val="auto"/>
          <w:szCs w:val="21"/>
          <w:highlight w:val="none"/>
          <w:u w:val="single"/>
        </w:rPr>
      </w:pPr>
      <w:r>
        <w:rPr>
          <w:rFonts w:hint="eastAsia" w:ascii="宋体" w:hAnsi="宋体"/>
          <w:color w:val="auto"/>
          <w:szCs w:val="21"/>
          <w:highlight w:val="none"/>
        </w:rPr>
        <w:t>7．</w:t>
      </w:r>
      <w:r>
        <w:rPr>
          <w:rFonts w:ascii="宋体" w:hAnsi="宋体"/>
          <w:color w:val="auto"/>
          <w:szCs w:val="21"/>
          <w:highlight w:val="none"/>
        </w:rPr>
        <w:t>其他项目保修期限约定如下：</w:t>
      </w:r>
      <w:r>
        <w:rPr>
          <w:rFonts w:ascii="宋体" w:hAnsi="宋体"/>
          <w:color w:val="auto"/>
          <w:szCs w:val="21"/>
          <w:highlight w:val="none"/>
          <w:u w:val="single"/>
        </w:rPr>
        <w:t xml:space="preserve">       </w:t>
      </w:r>
      <w:r>
        <w:rPr>
          <w:rFonts w:hint="eastAsia" w:ascii="宋体" w:hAnsi="宋体"/>
          <w:color w:val="auto"/>
          <w:szCs w:val="21"/>
          <w:highlight w:val="none"/>
          <w:u w:val="single"/>
        </w:rPr>
        <w:t>2年</w:t>
      </w:r>
      <w:r>
        <w:rPr>
          <w:rFonts w:ascii="宋体" w:hAnsi="宋体"/>
          <w:color w:val="auto"/>
          <w:szCs w:val="21"/>
          <w:highlight w:val="none"/>
          <w:u w:val="single"/>
        </w:rPr>
        <w:t xml:space="preserve">       </w:t>
      </w:r>
      <w:r>
        <w:rPr>
          <w:rFonts w:ascii="宋体" w:hAnsi="宋体"/>
          <w:color w:val="auto"/>
          <w:szCs w:val="21"/>
          <w:highlight w:val="none"/>
        </w:rPr>
        <w:t xml:space="preserve"> </w:t>
      </w:r>
      <w:r>
        <w:rPr>
          <w:rFonts w:hint="eastAsia" w:ascii="宋体" w:hAnsi="宋体"/>
          <w:color w:val="auto"/>
          <w:szCs w:val="21"/>
          <w:highlight w:val="none"/>
        </w:rPr>
        <w:t>；</w:t>
      </w:r>
    </w:p>
    <w:p>
      <w:pPr>
        <w:spacing w:line="360" w:lineRule="auto"/>
        <w:ind w:firstLine="420" w:firstLineChars="200"/>
        <w:rPr>
          <w:rFonts w:ascii="宋体" w:hAnsi="宋体"/>
          <w:color w:val="auto"/>
          <w:szCs w:val="21"/>
          <w:highlight w:val="none"/>
        </w:rPr>
      </w:pPr>
      <w:r>
        <w:rPr>
          <w:rFonts w:ascii="宋体" w:hAnsi="宋体"/>
          <w:color w:val="auto"/>
          <w:szCs w:val="21"/>
          <w:highlight w:val="none"/>
        </w:rPr>
        <w:t>质量保修期自工程竣工验收合格之日起计算。</w:t>
      </w:r>
    </w:p>
    <w:p>
      <w:pPr>
        <w:spacing w:line="360" w:lineRule="auto"/>
        <w:ind w:firstLine="420" w:firstLineChars="200"/>
        <w:rPr>
          <w:rFonts w:ascii="宋体" w:hAnsi="宋体"/>
          <w:color w:val="auto"/>
          <w:szCs w:val="21"/>
          <w:highlight w:val="none"/>
        </w:rPr>
      </w:pPr>
      <w:r>
        <w:rPr>
          <w:rFonts w:ascii="宋体" w:hAnsi="宋体"/>
          <w:color w:val="auto"/>
          <w:szCs w:val="21"/>
          <w:highlight w:val="none"/>
        </w:rPr>
        <w:t>三、缺陷责任期</w:t>
      </w:r>
    </w:p>
    <w:p>
      <w:pPr>
        <w:spacing w:line="360" w:lineRule="auto"/>
        <w:ind w:firstLine="420" w:firstLineChars="200"/>
        <w:rPr>
          <w:rFonts w:ascii="宋体" w:hAnsi="宋体"/>
          <w:color w:val="auto"/>
          <w:szCs w:val="21"/>
          <w:highlight w:val="none"/>
        </w:rPr>
      </w:pPr>
      <w:r>
        <w:rPr>
          <w:rFonts w:ascii="宋体" w:hAnsi="宋体"/>
          <w:color w:val="auto"/>
          <w:szCs w:val="21"/>
          <w:highlight w:val="none"/>
        </w:rPr>
        <w:t>工程缺陷责任期为</w:t>
      </w:r>
      <w:r>
        <w:rPr>
          <w:rFonts w:ascii="宋体" w:hAnsi="宋体"/>
          <w:color w:val="auto"/>
          <w:szCs w:val="21"/>
          <w:highlight w:val="none"/>
          <w:u w:val="single"/>
        </w:rPr>
        <w:t xml:space="preserve">   </w:t>
      </w:r>
      <w:r>
        <w:rPr>
          <w:rFonts w:hint="eastAsia" w:ascii="宋体" w:hAnsi="宋体"/>
          <w:b/>
          <w:color w:val="auto"/>
          <w:szCs w:val="21"/>
          <w:highlight w:val="none"/>
          <w:u w:val="single"/>
        </w:rPr>
        <w:t>24</w:t>
      </w:r>
      <w:r>
        <w:rPr>
          <w:rFonts w:ascii="宋体" w:hAnsi="宋体"/>
          <w:color w:val="auto"/>
          <w:szCs w:val="21"/>
          <w:highlight w:val="none"/>
          <w:u w:val="single"/>
        </w:rPr>
        <w:t xml:space="preserve">   </w:t>
      </w:r>
      <w:r>
        <w:rPr>
          <w:rFonts w:ascii="宋体" w:hAnsi="宋体"/>
          <w:color w:val="auto"/>
          <w:szCs w:val="21"/>
          <w:highlight w:val="none"/>
        </w:rPr>
        <w:t>个月，缺陷责任期自工程竣工验收合格之日起计算。单位工程先于全部工程进行验收，</w:t>
      </w:r>
      <w:r>
        <w:rPr>
          <w:rFonts w:hint="eastAsia" w:ascii="宋体" w:hAnsi="宋体"/>
          <w:color w:val="auto"/>
          <w:szCs w:val="21"/>
          <w:highlight w:val="none"/>
        </w:rPr>
        <w:t>经验收合格并交付使用的，该</w:t>
      </w:r>
      <w:r>
        <w:rPr>
          <w:rFonts w:ascii="宋体" w:hAnsi="宋体"/>
          <w:color w:val="auto"/>
          <w:szCs w:val="21"/>
          <w:highlight w:val="none"/>
        </w:rPr>
        <w:t>单位工程缺陷责任期自单位工程验收合格之日起算。</w:t>
      </w:r>
    </w:p>
    <w:p>
      <w:pPr>
        <w:spacing w:line="360" w:lineRule="auto"/>
        <w:ind w:firstLine="420" w:firstLineChars="200"/>
        <w:rPr>
          <w:rFonts w:ascii="宋体" w:hAnsi="宋体"/>
          <w:color w:val="auto"/>
          <w:szCs w:val="21"/>
          <w:highlight w:val="none"/>
        </w:rPr>
      </w:pPr>
      <w:r>
        <w:rPr>
          <w:rFonts w:ascii="宋体" w:hAnsi="宋体"/>
          <w:color w:val="auto"/>
          <w:szCs w:val="21"/>
          <w:highlight w:val="none"/>
        </w:rPr>
        <w:t>缺陷责任期终止后，发包人应退还剩余的质量保证金。</w:t>
      </w:r>
    </w:p>
    <w:p>
      <w:pPr>
        <w:spacing w:line="360" w:lineRule="auto"/>
        <w:ind w:firstLine="405"/>
        <w:rPr>
          <w:rFonts w:ascii="宋体" w:hAnsi="宋体"/>
          <w:color w:val="auto"/>
          <w:szCs w:val="21"/>
          <w:highlight w:val="none"/>
        </w:rPr>
      </w:pPr>
      <w:r>
        <w:rPr>
          <w:rFonts w:ascii="宋体" w:hAnsi="宋体"/>
          <w:color w:val="auto"/>
          <w:szCs w:val="21"/>
          <w:highlight w:val="none"/>
        </w:rPr>
        <w:t>四、质量保修责任</w:t>
      </w:r>
    </w:p>
    <w:p>
      <w:pPr>
        <w:spacing w:line="360" w:lineRule="auto"/>
        <w:ind w:left="105" w:leftChars="50" w:firstLine="430" w:firstLineChars="205"/>
        <w:rPr>
          <w:rFonts w:ascii="宋体" w:hAnsi="宋体"/>
          <w:color w:val="auto"/>
          <w:szCs w:val="21"/>
          <w:highlight w:val="none"/>
        </w:rPr>
      </w:pPr>
      <w:r>
        <w:rPr>
          <w:rFonts w:hint="eastAsia" w:ascii="宋体" w:hAnsi="宋体"/>
          <w:color w:val="auto"/>
          <w:szCs w:val="21"/>
          <w:highlight w:val="none"/>
        </w:rPr>
        <w:t>1．</w:t>
      </w:r>
      <w:r>
        <w:rPr>
          <w:rFonts w:ascii="宋体" w:hAnsi="宋体"/>
          <w:color w:val="auto"/>
          <w:szCs w:val="21"/>
          <w:highlight w:val="none"/>
        </w:rPr>
        <w:t>属于保修范围、内容的项目，承包人应当在接到保修通知之日起7天内派人保修。承包人不在约定期限内派人保修的，发包人可以委托他人修理。</w:t>
      </w:r>
    </w:p>
    <w:p>
      <w:pPr>
        <w:spacing w:line="360" w:lineRule="auto"/>
        <w:ind w:left="105" w:leftChars="50" w:firstLine="430" w:firstLineChars="205"/>
        <w:rPr>
          <w:rFonts w:ascii="宋体" w:hAnsi="宋体"/>
          <w:color w:val="auto"/>
          <w:szCs w:val="21"/>
          <w:highlight w:val="none"/>
        </w:rPr>
      </w:pPr>
      <w:r>
        <w:rPr>
          <w:rFonts w:hint="eastAsia" w:ascii="宋体" w:hAnsi="宋体"/>
          <w:color w:val="auto"/>
          <w:szCs w:val="21"/>
          <w:highlight w:val="none"/>
        </w:rPr>
        <w:t>2．</w:t>
      </w:r>
      <w:r>
        <w:rPr>
          <w:rFonts w:ascii="宋体" w:hAnsi="宋体"/>
          <w:color w:val="auto"/>
          <w:szCs w:val="21"/>
          <w:highlight w:val="none"/>
        </w:rPr>
        <w:t>发生紧急事故需抢修的，承包人在接到事故通知后，应当立即到达事故现场抢修。</w:t>
      </w:r>
    </w:p>
    <w:p>
      <w:pPr>
        <w:spacing w:line="360" w:lineRule="auto"/>
        <w:ind w:left="105" w:leftChars="50" w:firstLine="430" w:firstLineChars="205"/>
        <w:rPr>
          <w:rFonts w:ascii="宋体" w:hAnsi="宋体"/>
          <w:color w:val="auto"/>
          <w:szCs w:val="21"/>
          <w:highlight w:val="none"/>
        </w:rPr>
      </w:pPr>
      <w:r>
        <w:rPr>
          <w:rFonts w:hint="eastAsia" w:ascii="宋体" w:hAnsi="宋体"/>
          <w:color w:val="auto"/>
          <w:szCs w:val="21"/>
          <w:highlight w:val="none"/>
        </w:rPr>
        <w:t>3．</w:t>
      </w:r>
      <w:r>
        <w:rPr>
          <w:rFonts w:ascii="宋体" w:hAnsi="宋体"/>
          <w:color w:val="auto"/>
          <w:szCs w:val="21"/>
          <w:highlight w:val="none"/>
        </w:rPr>
        <w:t>对于涉及结构安全的质量问题，应当按照《建设工程质量管理条例》的规定，立即向当地建设行政主管部门和有关部门报告，采取安全防范措施，并由原设计人或者具有相应资质等级的设计人提出保修方案，承包人实施保修。</w:t>
      </w:r>
    </w:p>
    <w:p>
      <w:pPr>
        <w:spacing w:line="360" w:lineRule="auto"/>
        <w:ind w:left="420" w:leftChars="200" w:firstLine="105" w:firstLineChars="50"/>
        <w:rPr>
          <w:rFonts w:ascii="宋体" w:hAnsi="宋体"/>
          <w:color w:val="auto"/>
          <w:szCs w:val="21"/>
          <w:highlight w:val="none"/>
        </w:rPr>
      </w:pPr>
      <w:r>
        <w:rPr>
          <w:rFonts w:hint="eastAsia" w:ascii="宋体" w:hAnsi="宋体"/>
          <w:color w:val="auto"/>
          <w:szCs w:val="21"/>
          <w:highlight w:val="none"/>
        </w:rPr>
        <w:t>4．</w:t>
      </w:r>
      <w:r>
        <w:rPr>
          <w:rFonts w:ascii="宋体" w:hAnsi="宋体"/>
          <w:color w:val="auto"/>
          <w:szCs w:val="21"/>
          <w:highlight w:val="none"/>
        </w:rPr>
        <w:t>质量保修完成后，由发包人组织验收。</w:t>
      </w:r>
    </w:p>
    <w:p>
      <w:pPr>
        <w:spacing w:line="360" w:lineRule="auto"/>
        <w:ind w:firstLine="405"/>
        <w:rPr>
          <w:rFonts w:ascii="宋体" w:hAnsi="宋体"/>
          <w:color w:val="auto"/>
          <w:szCs w:val="21"/>
          <w:highlight w:val="none"/>
        </w:rPr>
      </w:pPr>
      <w:r>
        <w:rPr>
          <w:rFonts w:ascii="宋体" w:hAnsi="宋体"/>
          <w:color w:val="auto"/>
          <w:szCs w:val="21"/>
          <w:highlight w:val="none"/>
        </w:rPr>
        <w:t>五、保修费用</w:t>
      </w:r>
    </w:p>
    <w:p>
      <w:pPr>
        <w:spacing w:line="360" w:lineRule="auto"/>
        <w:ind w:firstLine="405"/>
        <w:rPr>
          <w:rFonts w:ascii="宋体" w:hAnsi="宋体"/>
          <w:color w:val="auto"/>
          <w:szCs w:val="21"/>
          <w:highlight w:val="none"/>
        </w:rPr>
      </w:pPr>
      <w:r>
        <w:rPr>
          <w:rFonts w:ascii="宋体" w:hAnsi="宋体"/>
          <w:color w:val="auto"/>
          <w:szCs w:val="21"/>
          <w:highlight w:val="none"/>
        </w:rPr>
        <w:t>保修费用由造成质量缺陷的责任方承担。</w:t>
      </w:r>
    </w:p>
    <w:p>
      <w:pPr>
        <w:spacing w:line="360" w:lineRule="auto"/>
        <w:ind w:firstLine="420"/>
        <w:jc w:val="left"/>
        <w:rPr>
          <w:rFonts w:ascii="宋体" w:hAnsi="宋体"/>
          <w:color w:val="auto"/>
          <w:szCs w:val="21"/>
          <w:highlight w:val="none"/>
        </w:rPr>
      </w:pPr>
      <w:r>
        <w:rPr>
          <w:rFonts w:ascii="宋体" w:hAnsi="宋体"/>
          <w:bCs/>
          <w:color w:val="auto"/>
          <w:szCs w:val="21"/>
          <w:highlight w:val="none"/>
        </w:rPr>
        <w:t>六、</w:t>
      </w:r>
      <w:r>
        <w:rPr>
          <w:rFonts w:ascii="宋体" w:hAnsi="宋体"/>
          <w:color w:val="auto"/>
          <w:szCs w:val="21"/>
          <w:highlight w:val="none"/>
        </w:rPr>
        <w:t>双方约定的其他工程质量保修事项：</w:t>
      </w:r>
      <w:r>
        <w:rPr>
          <w:rFonts w:ascii="宋体" w:hAnsi="宋体"/>
          <w:color w:val="auto"/>
          <w:szCs w:val="21"/>
          <w:highlight w:val="none"/>
          <w:u w:val="single"/>
        </w:rPr>
        <w:t xml:space="preserve"> </w:t>
      </w:r>
      <w:r>
        <w:rPr>
          <w:rFonts w:hint="eastAsia" w:ascii="宋体" w:hAnsi="宋体"/>
          <w:color w:val="auto"/>
          <w:szCs w:val="21"/>
          <w:highlight w:val="none"/>
          <w:u w:val="single"/>
        </w:rPr>
        <w:t xml:space="preserve">                              </w:t>
      </w:r>
      <w:r>
        <w:rPr>
          <w:rFonts w:ascii="宋体" w:hAnsi="宋体"/>
          <w:color w:val="auto"/>
          <w:szCs w:val="21"/>
          <w:highlight w:val="none"/>
          <w:u w:val="single"/>
        </w:rPr>
        <w:t xml:space="preserve"> </w:t>
      </w:r>
      <w:r>
        <w:rPr>
          <w:rFonts w:ascii="宋体" w:hAnsi="宋体"/>
          <w:color w:val="auto"/>
          <w:szCs w:val="21"/>
          <w:highlight w:val="none"/>
        </w:rPr>
        <w:t>。</w:t>
      </w:r>
    </w:p>
    <w:p>
      <w:pPr>
        <w:spacing w:line="360" w:lineRule="auto"/>
        <w:ind w:firstLine="399" w:firstLineChars="190"/>
        <w:rPr>
          <w:rFonts w:ascii="宋体" w:hAnsi="宋体"/>
          <w:color w:val="auto"/>
          <w:szCs w:val="21"/>
          <w:highlight w:val="none"/>
        </w:rPr>
      </w:pPr>
      <w:r>
        <w:rPr>
          <w:rFonts w:ascii="宋体" w:hAnsi="宋体"/>
          <w:color w:val="auto"/>
          <w:szCs w:val="21"/>
          <w:highlight w:val="none"/>
        </w:rPr>
        <w:t>工程质量保修书由发包人、承包人在工程竣工验收前共同签署，作为施工合同附件，其有效期限至保修期满。</w:t>
      </w:r>
    </w:p>
    <w:p>
      <w:pPr>
        <w:spacing w:line="360" w:lineRule="auto"/>
        <w:ind w:firstLine="420"/>
        <w:rPr>
          <w:rFonts w:ascii="宋体" w:hAnsi="宋体"/>
          <w:color w:val="auto"/>
          <w:szCs w:val="21"/>
          <w:highlight w:val="none"/>
        </w:rPr>
      </w:pPr>
    </w:p>
    <w:p>
      <w:pPr>
        <w:spacing w:line="360" w:lineRule="auto"/>
        <w:ind w:firstLine="1558" w:firstLineChars="742"/>
        <w:jc w:val="left"/>
        <w:rPr>
          <w:rFonts w:ascii="宋体" w:hAnsi="宋体"/>
          <w:color w:val="auto"/>
          <w:szCs w:val="21"/>
          <w:highlight w:val="none"/>
        </w:rPr>
      </w:pPr>
      <w:r>
        <w:rPr>
          <w:rFonts w:ascii="宋体" w:hAnsi="宋体"/>
          <w:color w:val="auto"/>
          <w:szCs w:val="21"/>
          <w:highlight w:val="none"/>
        </w:rPr>
        <w:t>发包人(公章)：</w:t>
      </w:r>
      <w:r>
        <w:rPr>
          <w:rFonts w:ascii="宋体" w:hAnsi="宋体"/>
          <w:color w:val="auto"/>
          <w:szCs w:val="21"/>
          <w:highlight w:val="none"/>
          <w:u w:val="single"/>
        </w:rPr>
        <w:t xml:space="preserve">       </w:t>
      </w:r>
      <w:r>
        <w:rPr>
          <w:rFonts w:ascii="宋体" w:hAnsi="宋体"/>
          <w:color w:val="auto"/>
          <w:szCs w:val="21"/>
          <w:highlight w:val="none"/>
        </w:rPr>
        <w:t xml:space="preserve"> 承包人(公章)：</w:t>
      </w:r>
      <w:r>
        <w:rPr>
          <w:rFonts w:ascii="宋体" w:hAnsi="宋体"/>
          <w:color w:val="auto"/>
          <w:szCs w:val="21"/>
          <w:highlight w:val="none"/>
          <w:u w:val="single"/>
        </w:rPr>
        <w:t></w:t>
      </w:r>
      <w:r>
        <w:rPr>
          <w:rFonts w:hint="eastAsia" w:ascii="宋体" w:hAnsi="宋体"/>
          <w:color w:val="auto"/>
          <w:szCs w:val="21"/>
          <w:highlight w:val="none"/>
          <w:u w:val="single"/>
        </w:rPr>
        <w:t xml:space="preserve">                     </w:t>
      </w:r>
    </w:p>
    <w:p>
      <w:pPr>
        <w:spacing w:line="360" w:lineRule="auto"/>
        <w:ind w:firstLine="1558" w:firstLineChars="742"/>
        <w:jc w:val="left"/>
        <w:rPr>
          <w:rFonts w:ascii="宋体" w:hAnsi="宋体"/>
          <w:color w:val="auto"/>
          <w:szCs w:val="21"/>
          <w:highlight w:val="none"/>
        </w:rPr>
      </w:pPr>
      <w:r>
        <w:rPr>
          <w:rFonts w:ascii="宋体" w:hAnsi="宋体"/>
          <w:color w:val="auto"/>
          <w:szCs w:val="21"/>
          <w:highlight w:val="none"/>
        </w:rPr>
        <w:t>地  址：</w:t>
      </w:r>
      <w:r>
        <w:rPr>
          <w:rFonts w:ascii="宋体" w:hAnsi="宋体"/>
          <w:color w:val="auto"/>
          <w:szCs w:val="21"/>
          <w:highlight w:val="none"/>
          <w:u w:val="single"/>
        </w:rPr>
        <w:t xml:space="preserve">     </w:t>
      </w:r>
      <w:r>
        <w:rPr>
          <w:rFonts w:hint="eastAsia" w:ascii="宋体" w:hAnsi="宋体"/>
          <w:color w:val="auto"/>
          <w:szCs w:val="21"/>
          <w:highlight w:val="none"/>
        </w:rPr>
        <w:t xml:space="preserve"> </w:t>
      </w:r>
      <w:r>
        <w:rPr>
          <w:rFonts w:ascii="宋体" w:hAnsi="宋体"/>
          <w:color w:val="auto"/>
          <w:szCs w:val="21"/>
          <w:highlight w:val="none"/>
        </w:rPr>
        <w:t>地  址：</w:t>
      </w:r>
      <w:r>
        <w:rPr>
          <w:rFonts w:ascii="宋体" w:hAnsi="宋体"/>
          <w:color w:val="auto"/>
          <w:szCs w:val="21"/>
          <w:highlight w:val="none"/>
          <w:u w:val="single"/>
        </w:rPr>
        <w:t></w:t>
      </w:r>
      <w:r>
        <w:rPr>
          <w:rFonts w:hint="eastAsia" w:ascii="宋体" w:hAnsi="宋体"/>
          <w:color w:val="auto"/>
          <w:szCs w:val="21"/>
          <w:highlight w:val="none"/>
          <w:u w:val="single"/>
        </w:rPr>
        <w:t xml:space="preserve">              </w:t>
      </w:r>
      <w:r>
        <w:rPr>
          <w:rFonts w:ascii="宋体" w:hAnsi="宋体"/>
          <w:color w:val="auto"/>
          <w:szCs w:val="21"/>
          <w:highlight w:val="none"/>
          <w:u w:val="single"/>
        </w:rPr>
        <w:t></w:t>
      </w:r>
      <w:r>
        <w:rPr>
          <w:rFonts w:hint="eastAsia" w:ascii="宋体" w:hAnsi="宋体"/>
          <w:color w:val="auto"/>
          <w:szCs w:val="21"/>
          <w:highlight w:val="none"/>
          <w:u w:val="single"/>
        </w:rPr>
        <w:t xml:space="preserve"> </w:t>
      </w:r>
      <w:r>
        <w:rPr>
          <w:rFonts w:ascii="宋体" w:hAnsi="宋体"/>
          <w:color w:val="auto"/>
          <w:szCs w:val="21"/>
          <w:highlight w:val="none"/>
          <w:u w:val="single"/>
        </w:rPr>
        <w:t></w:t>
      </w:r>
    </w:p>
    <w:p>
      <w:pPr>
        <w:spacing w:line="360" w:lineRule="auto"/>
        <w:ind w:firstLine="1558" w:firstLineChars="742"/>
        <w:jc w:val="left"/>
        <w:rPr>
          <w:rFonts w:ascii="宋体" w:hAnsi="宋体"/>
          <w:color w:val="auto"/>
          <w:szCs w:val="21"/>
          <w:highlight w:val="none"/>
        </w:rPr>
      </w:pPr>
      <w:r>
        <w:rPr>
          <w:rFonts w:ascii="宋体" w:hAnsi="宋体"/>
          <w:color w:val="auto"/>
          <w:szCs w:val="21"/>
          <w:highlight w:val="none"/>
        </w:rPr>
        <w:t>法定代表人(签字)：</w:t>
      </w:r>
      <w:r>
        <w:rPr>
          <w:rFonts w:ascii="宋体" w:hAnsi="宋体"/>
          <w:color w:val="auto"/>
          <w:szCs w:val="21"/>
          <w:highlight w:val="none"/>
          <w:u w:val="single"/>
        </w:rPr>
        <w:t></w:t>
      </w:r>
      <w:r>
        <w:rPr>
          <w:rFonts w:hint="eastAsia" w:ascii="宋体" w:hAnsi="宋体"/>
          <w:color w:val="auto"/>
          <w:szCs w:val="21"/>
          <w:highlight w:val="none"/>
          <w:u w:val="single"/>
        </w:rPr>
        <w:t xml:space="preserve">    </w:t>
      </w:r>
      <w:r>
        <w:rPr>
          <w:rFonts w:ascii="宋体" w:hAnsi="宋体"/>
          <w:color w:val="auto"/>
          <w:szCs w:val="21"/>
          <w:highlight w:val="none"/>
          <w:u w:val="single"/>
        </w:rPr>
        <w:t xml:space="preserve">  </w:t>
      </w:r>
      <w:r>
        <w:rPr>
          <w:rFonts w:ascii="宋体" w:hAnsi="宋体"/>
          <w:color w:val="auto"/>
          <w:szCs w:val="21"/>
          <w:highlight w:val="none"/>
        </w:rPr>
        <w:t xml:space="preserve"> 法定代表人(签字)：</w:t>
      </w:r>
      <w:r>
        <w:rPr>
          <w:rFonts w:ascii="宋体" w:hAnsi="宋体"/>
          <w:color w:val="auto"/>
          <w:szCs w:val="21"/>
          <w:highlight w:val="none"/>
          <w:u w:val="single"/>
        </w:rPr>
        <w:t></w:t>
      </w:r>
      <w:r>
        <w:rPr>
          <w:rFonts w:hint="eastAsia" w:ascii="宋体" w:hAnsi="宋体"/>
          <w:color w:val="auto"/>
          <w:szCs w:val="21"/>
          <w:highlight w:val="none"/>
          <w:u w:val="single"/>
        </w:rPr>
        <w:t xml:space="preserve">                </w:t>
      </w:r>
    </w:p>
    <w:p>
      <w:pPr>
        <w:spacing w:line="360" w:lineRule="auto"/>
        <w:ind w:firstLine="1558" w:firstLineChars="742"/>
        <w:jc w:val="left"/>
        <w:rPr>
          <w:rFonts w:ascii="宋体" w:hAnsi="宋体"/>
          <w:color w:val="auto"/>
          <w:szCs w:val="21"/>
          <w:highlight w:val="none"/>
        </w:rPr>
      </w:pPr>
      <w:r>
        <w:rPr>
          <w:rFonts w:ascii="宋体" w:hAnsi="宋体"/>
          <w:color w:val="auto"/>
          <w:szCs w:val="21"/>
          <w:highlight w:val="none"/>
        </w:rPr>
        <w:t>委托代理人(签字)：</w:t>
      </w:r>
      <w:r>
        <w:rPr>
          <w:rFonts w:ascii="宋体" w:hAnsi="宋体"/>
          <w:color w:val="auto"/>
          <w:szCs w:val="21"/>
          <w:highlight w:val="none"/>
          <w:u w:val="single"/>
        </w:rPr>
        <w:t xml:space="preserve">      </w:t>
      </w:r>
      <w:r>
        <w:rPr>
          <w:rFonts w:ascii="宋体" w:hAnsi="宋体"/>
          <w:color w:val="auto"/>
          <w:szCs w:val="21"/>
          <w:highlight w:val="none"/>
        </w:rPr>
        <w:t xml:space="preserve"> 委托代理人(签字)：</w:t>
      </w:r>
      <w:r>
        <w:rPr>
          <w:rFonts w:ascii="宋体" w:hAnsi="宋体"/>
          <w:color w:val="auto"/>
          <w:szCs w:val="21"/>
          <w:highlight w:val="none"/>
          <w:u w:val="single"/>
        </w:rPr>
        <w:t></w:t>
      </w:r>
      <w:r>
        <w:rPr>
          <w:rFonts w:hint="eastAsia" w:ascii="宋体" w:hAnsi="宋体"/>
          <w:color w:val="auto"/>
          <w:szCs w:val="21"/>
          <w:highlight w:val="none"/>
          <w:u w:val="single"/>
        </w:rPr>
        <w:t xml:space="preserve">               </w:t>
      </w:r>
      <w:r>
        <w:rPr>
          <w:rFonts w:ascii="宋体" w:hAnsi="宋体"/>
          <w:color w:val="auto"/>
          <w:szCs w:val="21"/>
          <w:highlight w:val="none"/>
          <w:u w:val="single"/>
        </w:rPr>
        <w:t></w:t>
      </w:r>
    </w:p>
    <w:p>
      <w:pPr>
        <w:spacing w:line="360" w:lineRule="auto"/>
        <w:ind w:firstLine="1558" w:firstLineChars="742"/>
        <w:jc w:val="left"/>
        <w:rPr>
          <w:rFonts w:ascii="宋体" w:hAnsi="宋体"/>
          <w:color w:val="auto"/>
          <w:szCs w:val="21"/>
          <w:highlight w:val="none"/>
        </w:rPr>
      </w:pPr>
      <w:r>
        <w:rPr>
          <w:rFonts w:ascii="宋体" w:hAnsi="宋体"/>
          <w:color w:val="auto"/>
          <w:szCs w:val="21"/>
          <w:highlight w:val="none"/>
        </w:rPr>
        <w:t>电  话：</w:t>
      </w:r>
      <w:r>
        <w:rPr>
          <w:rFonts w:ascii="宋体" w:hAnsi="宋体"/>
          <w:color w:val="auto"/>
          <w:szCs w:val="21"/>
          <w:highlight w:val="none"/>
          <w:u w:val="single"/>
        </w:rPr>
        <w:t xml:space="preserve">   </w:t>
      </w:r>
      <w:r>
        <w:rPr>
          <w:rFonts w:ascii="宋体" w:hAnsi="宋体"/>
          <w:color w:val="auto"/>
          <w:szCs w:val="21"/>
          <w:highlight w:val="none"/>
        </w:rPr>
        <w:t xml:space="preserve"> 电  话：</w:t>
      </w:r>
      <w:r>
        <w:rPr>
          <w:rFonts w:ascii="宋体" w:hAnsi="宋体"/>
          <w:color w:val="auto"/>
          <w:szCs w:val="21"/>
          <w:highlight w:val="none"/>
          <w:u w:val="single"/>
        </w:rPr>
        <w:t></w:t>
      </w:r>
      <w:r>
        <w:rPr>
          <w:rFonts w:hint="eastAsia" w:ascii="宋体" w:hAnsi="宋体"/>
          <w:color w:val="auto"/>
          <w:szCs w:val="21"/>
          <w:highlight w:val="none"/>
          <w:u w:val="single"/>
        </w:rPr>
        <w:t xml:space="preserve">             </w:t>
      </w:r>
      <w:r>
        <w:rPr>
          <w:rFonts w:ascii="宋体" w:hAnsi="宋体"/>
          <w:color w:val="auto"/>
          <w:szCs w:val="21"/>
          <w:highlight w:val="none"/>
          <w:u w:val="single"/>
        </w:rPr>
        <w:t></w:t>
      </w:r>
    </w:p>
    <w:p>
      <w:pPr>
        <w:spacing w:line="360" w:lineRule="auto"/>
        <w:ind w:firstLine="1558" w:firstLineChars="742"/>
        <w:jc w:val="left"/>
        <w:rPr>
          <w:rFonts w:ascii="宋体" w:hAnsi="宋体"/>
          <w:color w:val="auto"/>
          <w:szCs w:val="21"/>
          <w:highlight w:val="none"/>
        </w:rPr>
      </w:pPr>
      <w:r>
        <w:rPr>
          <w:rFonts w:ascii="宋体" w:hAnsi="宋体"/>
          <w:color w:val="auto"/>
          <w:szCs w:val="21"/>
          <w:highlight w:val="none"/>
        </w:rPr>
        <w:t>传  真：</w:t>
      </w:r>
      <w:r>
        <w:rPr>
          <w:rFonts w:ascii="宋体" w:hAnsi="宋体"/>
          <w:color w:val="auto"/>
          <w:szCs w:val="21"/>
          <w:highlight w:val="none"/>
          <w:u w:val="single"/>
        </w:rPr>
        <w:t xml:space="preserve">   </w:t>
      </w:r>
      <w:r>
        <w:rPr>
          <w:rFonts w:ascii="宋体" w:hAnsi="宋体"/>
          <w:color w:val="auto"/>
          <w:szCs w:val="21"/>
          <w:highlight w:val="none"/>
        </w:rPr>
        <w:t xml:space="preserve"> 传  真：</w:t>
      </w:r>
      <w:r>
        <w:rPr>
          <w:rFonts w:ascii="宋体" w:hAnsi="宋体"/>
          <w:color w:val="auto"/>
          <w:szCs w:val="21"/>
          <w:highlight w:val="none"/>
          <w:u w:val="single"/>
        </w:rPr>
        <w:t></w:t>
      </w:r>
      <w:r>
        <w:rPr>
          <w:rFonts w:hint="eastAsia" w:ascii="宋体" w:hAnsi="宋体"/>
          <w:color w:val="auto"/>
          <w:szCs w:val="21"/>
          <w:highlight w:val="none"/>
          <w:u w:val="single"/>
        </w:rPr>
        <w:t xml:space="preserve">              </w:t>
      </w:r>
      <w:r>
        <w:rPr>
          <w:rFonts w:ascii="宋体" w:hAnsi="宋体"/>
          <w:color w:val="auto"/>
          <w:szCs w:val="21"/>
          <w:highlight w:val="none"/>
          <w:u w:val="single"/>
        </w:rPr>
        <w:t></w:t>
      </w:r>
      <w:r>
        <w:rPr>
          <w:rFonts w:hint="eastAsia" w:ascii="宋体" w:hAnsi="宋体"/>
          <w:color w:val="auto"/>
          <w:szCs w:val="21"/>
          <w:highlight w:val="none"/>
          <w:u w:val="single"/>
        </w:rPr>
        <w:t xml:space="preserve">  </w:t>
      </w:r>
    </w:p>
    <w:p>
      <w:pPr>
        <w:spacing w:line="360" w:lineRule="auto"/>
        <w:ind w:firstLine="1558" w:firstLineChars="742"/>
        <w:jc w:val="left"/>
        <w:rPr>
          <w:rFonts w:ascii="宋体" w:hAnsi="宋体"/>
          <w:color w:val="auto"/>
          <w:szCs w:val="21"/>
          <w:highlight w:val="none"/>
        </w:rPr>
      </w:pPr>
      <w:r>
        <w:rPr>
          <w:rFonts w:ascii="宋体" w:hAnsi="宋体"/>
          <w:color w:val="auto"/>
          <w:szCs w:val="21"/>
          <w:highlight w:val="none"/>
        </w:rPr>
        <w:t>开户银行：</w:t>
      </w:r>
      <w:r>
        <w:rPr>
          <w:rFonts w:ascii="宋体" w:hAnsi="宋体"/>
          <w:color w:val="auto"/>
          <w:szCs w:val="21"/>
          <w:highlight w:val="none"/>
          <w:u w:val="single"/>
        </w:rPr>
        <w:t xml:space="preserve">   </w:t>
      </w:r>
      <w:r>
        <w:rPr>
          <w:rFonts w:ascii="宋体" w:hAnsi="宋体"/>
          <w:color w:val="auto"/>
          <w:szCs w:val="21"/>
          <w:highlight w:val="none"/>
        </w:rPr>
        <w:t xml:space="preserve"> 开户银行：</w:t>
      </w:r>
      <w:r>
        <w:rPr>
          <w:rFonts w:ascii="宋体" w:hAnsi="宋体"/>
          <w:color w:val="auto"/>
          <w:szCs w:val="21"/>
          <w:highlight w:val="none"/>
          <w:u w:val="single"/>
        </w:rPr>
        <w:t></w:t>
      </w:r>
      <w:r>
        <w:rPr>
          <w:rFonts w:hint="eastAsia" w:ascii="宋体" w:hAnsi="宋体"/>
          <w:color w:val="auto"/>
          <w:szCs w:val="21"/>
          <w:highlight w:val="none"/>
          <w:u w:val="single"/>
        </w:rPr>
        <w:t xml:space="preserve">            </w:t>
      </w:r>
      <w:r>
        <w:rPr>
          <w:rFonts w:ascii="宋体" w:hAnsi="宋体"/>
          <w:color w:val="auto"/>
          <w:szCs w:val="21"/>
          <w:highlight w:val="none"/>
          <w:u w:val="single"/>
        </w:rPr>
        <w:t></w:t>
      </w:r>
    </w:p>
    <w:p>
      <w:pPr>
        <w:spacing w:line="360" w:lineRule="auto"/>
        <w:ind w:firstLine="1558" w:firstLineChars="742"/>
        <w:jc w:val="left"/>
        <w:rPr>
          <w:rFonts w:ascii="宋体" w:hAnsi="宋体"/>
          <w:color w:val="auto"/>
          <w:szCs w:val="21"/>
          <w:highlight w:val="none"/>
        </w:rPr>
      </w:pPr>
      <w:r>
        <w:rPr>
          <w:rFonts w:ascii="宋体" w:hAnsi="宋体"/>
          <w:color w:val="auto"/>
          <w:szCs w:val="21"/>
          <w:highlight w:val="none"/>
        </w:rPr>
        <w:t>账  号：</w:t>
      </w:r>
      <w:r>
        <w:rPr>
          <w:rFonts w:ascii="宋体" w:hAnsi="宋体"/>
          <w:color w:val="auto"/>
          <w:szCs w:val="21"/>
          <w:highlight w:val="none"/>
          <w:u w:val="single"/>
        </w:rPr>
        <w:t xml:space="preserve">       </w:t>
      </w:r>
      <w:r>
        <w:rPr>
          <w:rFonts w:hint="eastAsia" w:ascii="宋体" w:hAnsi="宋体"/>
          <w:color w:val="auto"/>
          <w:szCs w:val="21"/>
          <w:highlight w:val="none"/>
        </w:rPr>
        <w:t xml:space="preserve"> </w:t>
      </w:r>
      <w:r>
        <w:rPr>
          <w:rFonts w:ascii="宋体" w:hAnsi="宋体"/>
          <w:color w:val="auto"/>
          <w:szCs w:val="21"/>
          <w:highlight w:val="none"/>
        </w:rPr>
        <w:t>账</w:t>
      </w:r>
      <w:r>
        <w:rPr>
          <w:rFonts w:hint="eastAsia" w:ascii="宋体" w:hAnsi="宋体"/>
          <w:color w:val="auto"/>
          <w:szCs w:val="21"/>
          <w:highlight w:val="none"/>
        </w:rPr>
        <w:t xml:space="preserve"> </w:t>
      </w:r>
      <w:r>
        <w:rPr>
          <w:rFonts w:ascii="宋体" w:hAnsi="宋体"/>
          <w:color w:val="auto"/>
          <w:szCs w:val="21"/>
          <w:highlight w:val="none"/>
        </w:rPr>
        <w:t xml:space="preserve"> 号：</w:t>
      </w:r>
      <w:r>
        <w:rPr>
          <w:rFonts w:ascii="宋体" w:hAnsi="宋体"/>
          <w:color w:val="auto"/>
          <w:szCs w:val="21"/>
          <w:highlight w:val="none"/>
          <w:u w:val="single"/>
        </w:rPr>
        <w:t></w:t>
      </w:r>
      <w:r>
        <w:rPr>
          <w:rFonts w:hint="eastAsia" w:ascii="宋体" w:hAnsi="宋体"/>
          <w:color w:val="auto"/>
          <w:szCs w:val="21"/>
          <w:highlight w:val="none"/>
          <w:u w:val="single"/>
        </w:rPr>
        <w:t xml:space="preserve">              </w:t>
      </w:r>
      <w:r>
        <w:rPr>
          <w:rFonts w:ascii="宋体" w:hAnsi="宋体"/>
          <w:color w:val="auto"/>
          <w:szCs w:val="21"/>
          <w:highlight w:val="none"/>
          <w:u w:val="single"/>
        </w:rPr>
        <w:t></w:t>
      </w:r>
    </w:p>
    <w:p>
      <w:pPr>
        <w:spacing w:line="600" w:lineRule="exact"/>
        <w:ind w:firstLine="1558" w:firstLineChars="742"/>
        <w:jc w:val="left"/>
        <w:rPr>
          <w:color w:val="auto"/>
          <w:szCs w:val="21"/>
          <w:highlight w:val="none"/>
        </w:rPr>
      </w:pPr>
      <w:r>
        <w:rPr>
          <w:rFonts w:ascii="宋体" w:hAnsi="宋体"/>
          <w:color w:val="auto"/>
          <w:szCs w:val="21"/>
          <w:highlight w:val="none"/>
        </w:rPr>
        <w:t>邮政编码：</w:t>
      </w:r>
      <w:r>
        <w:rPr>
          <w:rFonts w:ascii="宋体" w:hAnsi="宋体"/>
          <w:color w:val="auto"/>
          <w:szCs w:val="21"/>
          <w:highlight w:val="none"/>
          <w:u w:val="single"/>
        </w:rPr>
        <w:t xml:space="preserve">     </w:t>
      </w:r>
      <w:r>
        <w:rPr>
          <w:rFonts w:ascii="宋体" w:hAnsi="宋体"/>
          <w:color w:val="auto"/>
          <w:szCs w:val="21"/>
          <w:highlight w:val="none"/>
        </w:rPr>
        <w:t xml:space="preserve"> 邮政编码：</w:t>
      </w:r>
      <w:r>
        <w:rPr>
          <w:rFonts w:ascii="宋体" w:hAnsi="宋体"/>
          <w:color w:val="auto"/>
          <w:szCs w:val="21"/>
          <w:highlight w:val="none"/>
          <w:u w:val="single"/>
        </w:rPr>
        <w:t></w:t>
      </w:r>
      <w:r>
        <w:rPr>
          <w:rFonts w:hint="eastAsia" w:ascii="宋体" w:hAnsi="宋体"/>
          <w:color w:val="auto"/>
          <w:szCs w:val="21"/>
          <w:highlight w:val="none"/>
          <w:u w:val="single"/>
        </w:rPr>
        <w:t xml:space="preserve">            </w:t>
      </w:r>
      <w:r>
        <w:rPr>
          <w:rFonts w:ascii="宋体" w:hAnsi="宋体"/>
          <w:color w:val="auto"/>
          <w:szCs w:val="21"/>
          <w:highlight w:val="none"/>
          <w:u w:val="single"/>
        </w:rPr>
        <w:t></w:t>
      </w:r>
    </w:p>
    <w:p>
      <w:pPr>
        <w:pStyle w:val="29"/>
        <w:snapToGrid w:val="0"/>
        <w:spacing w:line="360" w:lineRule="auto"/>
        <w:ind w:firstLine="420" w:firstLineChars="200"/>
        <w:jc w:val="left"/>
        <w:rPr>
          <w:rFonts w:hAnsi="宋体"/>
          <w:color w:val="auto"/>
          <w:szCs w:val="21"/>
          <w:highlight w:val="none"/>
        </w:rPr>
      </w:pPr>
    </w:p>
    <w:p>
      <w:pPr>
        <w:rPr>
          <w:rFonts w:hAnsi="宋体"/>
          <w:color w:val="auto"/>
          <w:szCs w:val="21"/>
          <w:highlight w:val="none"/>
        </w:rPr>
      </w:pPr>
    </w:p>
    <w:p>
      <w:pPr>
        <w:pStyle w:val="100"/>
        <w:rPr>
          <w:color w:val="auto"/>
          <w:highlight w:val="none"/>
        </w:rPr>
      </w:pPr>
    </w:p>
    <w:p>
      <w:pPr>
        <w:pStyle w:val="29"/>
        <w:snapToGrid w:val="0"/>
        <w:spacing w:line="360" w:lineRule="auto"/>
        <w:ind w:firstLine="420" w:firstLineChars="200"/>
        <w:jc w:val="left"/>
        <w:rPr>
          <w:rFonts w:hAnsi="宋体"/>
          <w:color w:val="auto"/>
          <w:szCs w:val="21"/>
          <w:highlight w:val="none"/>
        </w:rPr>
      </w:pPr>
      <w:r>
        <w:rPr>
          <w:rFonts w:hint="eastAsia" w:hAnsi="宋体"/>
          <w:color w:val="auto"/>
          <w:szCs w:val="21"/>
          <w:highlight w:val="none"/>
        </w:rPr>
        <w:t>若为联合体投标的附联合体协议书。</w:t>
      </w:r>
    </w:p>
    <w:p>
      <w:pPr>
        <w:pStyle w:val="29"/>
        <w:snapToGrid w:val="0"/>
        <w:spacing w:line="360" w:lineRule="auto"/>
        <w:ind w:firstLine="420" w:firstLineChars="200"/>
        <w:jc w:val="left"/>
        <w:rPr>
          <w:rFonts w:hAnsi="宋体"/>
          <w:color w:val="auto"/>
          <w:szCs w:val="21"/>
          <w:highlight w:val="none"/>
        </w:rPr>
      </w:pPr>
    </w:p>
    <w:p>
      <w:pPr>
        <w:pStyle w:val="29"/>
        <w:snapToGrid w:val="0"/>
        <w:spacing w:line="360" w:lineRule="auto"/>
        <w:ind w:firstLine="420" w:firstLineChars="200"/>
        <w:jc w:val="left"/>
        <w:rPr>
          <w:rFonts w:hAnsi="宋体"/>
          <w:color w:val="auto"/>
          <w:szCs w:val="21"/>
          <w:highlight w:val="none"/>
        </w:rPr>
      </w:pPr>
    </w:p>
    <w:p>
      <w:pPr>
        <w:spacing w:line="440" w:lineRule="exact"/>
        <w:outlineLvl w:val="0"/>
        <w:rPr>
          <w:rStyle w:val="259"/>
          <w:rFonts w:hint="eastAsia" w:ascii="宋体" w:hAnsi="宋体" w:cs="宋体"/>
          <w:b w:val="0"/>
          <w:bCs/>
          <w:color w:val="auto"/>
          <w:sz w:val="36"/>
          <w:highlight w:val="none"/>
        </w:rPr>
      </w:pPr>
    </w:p>
    <w:p>
      <w:pPr>
        <w:spacing w:line="440" w:lineRule="exact"/>
        <w:jc w:val="center"/>
        <w:outlineLvl w:val="0"/>
        <w:rPr>
          <w:rFonts w:hint="eastAsia" w:hAnsi="宋体"/>
          <w:color w:val="auto"/>
          <w:szCs w:val="21"/>
          <w:highlight w:val="none"/>
        </w:rPr>
      </w:pPr>
    </w:p>
    <w:p>
      <w:pPr>
        <w:spacing w:line="440" w:lineRule="exact"/>
        <w:jc w:val="center"/>
        <w:outlineLvl w:val="0"/>
        <w:rPr>
          <w:rStyle w:val="63"/>
          <w:rFonts w:hint="eastAsia" w:ascii="宋体" w:hAnsi="宋体"/>
          <w:b/>
          <w:color w:val="auto"/>
          <w:sz w:val="32"/>
          <w:szCs w:val="32"/>
          <w:highlight w:val="none"/>
          <w:u w:val="none"/>
        </w:rPr>
      </w:pPr>
      <w:r>
        <w:rPr>
          <w:rStyle w:val="63"/>
          <w:rFonts w:hint="eastAsia" w:ascii="宋体" w:hAnsi="宋体"/>
          <w:b/>
          <w:color w:val="auto"/>
          <w:sz w:val="32"/>
          <w:szCs w:val="32"/>
          <w:highlight w:val="none"/>
          <w:u w:val="none"/>
        </w:rPr>
        <w:t>第六章  响应文件格式</w:t>
      </w:r>
      <w:bookmarkEnd w:id="111"/>
    </w:p>
    <w:p>
      <w:pPr>
        <w:pStyle w:val="420"/>
        <w:snapToGrid w:val="0"/>
        <w:spacing w:line="400" w:lineRule="exact"/>
        <w:jc w:val="center"/>
        <w:rPr>
          <w:rFonts w:hAnsi="宋体" w:eastAsia="宋体"/>
          <w:b/>
          <w:color w:val="auto"/>
          <w:sz w:val="32"/>
          <w:szCs w:val="32"/>
          <w:highlight w:val="none"/>
        </w:rPr>
      </w:pPr>
    </w:p>
    <w:bookmarkEnd w:id="112"/>
    <w:p>
      <w:pPr>
        <w:spacing w:line="360" w:lineRule="auto"/>
        <w:ind w:firstLine="420" w:firstLineChars="200"/>
        <w:jc w:val="left"/>
        <w:rPr>
          <w:rFonts w:ascii="宋体" w:hAnsi="宋体"/>
          <w:color w:val="auto"/>
          <w:szCs w:val="21"/>
          <w:highlight w:val="none"/>
        </w:rPr>
      </w:pPr>
    </w:p>
    <w:p>
      <w:pPr>
        <w:spacing w:line="360" w:lineRule="auto"/>
        <w:jc w:val="center"/>
        <w:rPr>
          <w:rFonts w:ascii="宋体" w:hAnsi="宋体"/>
          <w:b/>
          <w:color w:val="auto"/>
          <w:highlight w:val="none"/>
        </w:rPr>
      </w:pPr>
      <w:bookmarkStart w:id="134" w:name="_Toc50012909"/>
      <w:bookmarkStart w:id="135" w:name="_Toc430786287"/>
      <w:r>
        <w:rPr>
          <w:rFonts w:hint="eastAsia" w:ascii="宋体" w:hAnsi="宋体"/>
          <w:b/>
          <w:color w:val="auto"/>
          <w:highlight w:val="none"/>
          <w:lang w:eastAsia="zh-CN"/>
        </w:rPr>
        <w:t xml:space="preserve"> 嘉兴市实验初级中学教育集团艺术教室室内装修工程设计施工一体化项目</w:t>
      </w:r>
      <w:r>
        <w:rPr>
          <w:rFonts w:hint="eastAsia" w:ascii="宋体" w:hAnsi="宋体"/>
          <w:b/>
          <w:color w:val="auto"/>
          <w:highlight w:val="none"/>
        </w:rPr>
        <w:t xml:space="preserve"> </w:t>
      </w:r>
    </w:p>
    <w:p>
      <w:pPr>
        <w:spacing w:line="360" w:lineRule="auto"/>
        <w:jc w:val="center"/>
        <w:rPr>
          <w:rFonts w:ascii="宋体" w:hAnsi="宋体"/>
          <w:b/>
          <w:color w:val="auto"/>
          <w:szCs w:val="21"/>
          <w:highlight w:val="none"/>
        </w:rPr>
      </w:pPr>
      <w:r>
        <w:rPr>
          <w:rFonts w:hint="eastAsia" w:ascii="宋体" w:hAnsi="宋体"/>
          <w:b/>
          <w:color w:val="auto"/>
          <w:szCs w:val="21"/>
          <w:highlight w:val="none"/>
        </w:rPr>
        <w:t>资信商务及技术文件/报价文件</w:t>
      </w:r>
      <w:bookmarkEnd w:id="134"/>
    </w:p>
    <w:p>
      <w:pPr>
        <w:spacing w:line="360" w:lineRule="auto"/>
        <w:jc w:val="center"/>
        <w:rPr>
          <w:rFonts w:ascii="宋体" w:hAnsi="宋体"/>
          <w:b/>
          <w:color w:val="auto"/>
          <w:szCs w:val="21"/>
          <w:highlight w:val="none"/>
        </w:rPr>
      </w:pPr>
      <w:bookmarkStart w:id="136" w:name="_Toc50012910"/>
      <w:r>
        <w:rPr>
          <w:rFonts w:hint="eastAsia" w:ascii="宋体" w:hAnsi="宋体"/>
          <w:b/>
          <w:color w:val="auto"/>
          <w:szCs w:val="21"/>
          <w:highlight w:val="none"/>
        </w:rPr>
        <w:t>项目编号：</w:t>
      </w:r>
      <w:bookmarkEnd w:id="136"/>
    </w:p>
    <w:p>
      <w:pPr>
        <w:spacing w:line="360" w:lineRule="auto"/>
        <w:jc w:val="center"/>
        <w:rPr>
          <w:rFonts w:ascii="宋体" w:hAnsi="宋体"/>
          <w:b/>
          <w:color w:val="auto"/>
          <w:szCs w:val="21"/>
          <w:highlight w:val="none"/>
        </w:rPr>
      </w:pPr>
    </w:p>
    <w:p>
      <w:pPr>
        <w:spacing w:line="360" w:lineRule="auto"/>
        <w:jc w:val="center"/>
        <w:rPr>
          <w:rFonts w:ascii="宋体" w:hAnsi="宋体"/>
          <w:b/>
          <w:color w:val="auto"/>
          <w:szCs w:val="21"/>
          <w:highlight w:val="none"/>
        </w:rPr>
      </w:pPr>
    </w:p>
    <w:p>
      <w:pPr>
        <w:spacing w:line="360" w:lineRule="auto"/>
        <w:jc w:val="center"/>
        <w:rPr>
          <w:rFonts w:hint="eastAsia" w:ascii="宋体" w:hAnsi="宋体"/>
          <w:b/>
          <w:color w:val="auto"/>
          <w:szCs w:val="21"/>
          <w:highlight w:val="none"/>
          <w:lang w:val="en-US" w:eastAsia="zh-CN"/>
        </w:rPr>
      </w:pPr>
      <w:r>
        <w:rPr>
          <w:rFonts w:hint="eastAsia" w:ascii="宋体" w:hAnsi="宋体"/>
          <w:b/>
          <w:color w:val="auto"/>
          <w:szCs w:val="21"/>
          <w:highlight w:val="none"/>
          <w:lang w:val="en-US" w:eastAsia="zh-CN"/>
        </w:rPr>
        <w:t>磋</w:t>
      </w:r>
    </w:p>
    <w:p>
      <w:pPr>
        <w:spacing w:line="360" w:lineRule="auto"/>
        <w:jc w:val="center"/>
        <w:rPr>
          <w:rFonts w:hint="eastAsia" w:ascii="宋体" w:hAnsi="宋体"/>
          <w:b/>
          <w:color w:val="auto"/>
          <w:szCs w:val="21"/>
          <w:highlight w:val="none"/>
          <w:lang w:val="en-US" w:eastAsia="zh-CN"/>
        </w:rPr>
      </w:pPr>
      <w:r>
        <w:rPr>
          <w:rFonts w:hint="eastAsia" w:ascii="宋体" w:hAnsi="宋体"/>
          <w:b/>
          <w:color w:val="auto"/>
          <w:szCs w:val="21"/>
          <w:highlight w:val="none"/>
          <w:lang w:val="en-US" w:eastAsia="zh-CN"/>
        </w:rPr>
        <w:t>商</w:t>
      </w:r>
    </w:p>
    <w:p>
      <w:pPr>
        <w:spacing w:line="360" w:lineRule="auto"/>
        <w:jc w:val="center"/>
        <w:rPr>
          <w:rFonts w:hint="eastAsia" w:ascii="宋体" w:hAnsi="宋体"/>
          <w:b/>
          <w:color w:val="auto"/>
          <w:szCs w:val="21"/>
          <w:highlight w:val="none"/>
          <w:lang w:val="en-US" w:eastAsia="zh-CN"/>
        </w:rPr>
      </w:pPr>
      <w:r>
        <w:rPr>
          <w:rFonts w:hint="eastAsia" w:ascii="宋体" w:hAnsi="宋体"/>
          <w:b/>
          <w:color w:val="auto"/>
          <w:szCs w:val="21"/>
          <w:highlight w:val="none"/>
          <w:lang w:val="en-US" w:eastAsia="zh-CN"/>
        </w:rPr>
        <w:t>响</w:t>
      </w:r>
    </w:p>
    <w:p>
      <w:pPr>
        <w:spacing w:line="360" w:lineRule="auto"/>
        <w:jc w:val="center"/>
        <w:rPr>
          <w:rFonts w:hint="default" w:ascii="宋体" w:hAnsi="宋体" w:eastAsia="宋体"/>
          <w:b/>
          <w:color w:val="auto"/>
          <w:szCs w:val="21"/>
          <w:highlight w:val="none"/>
          <w:lang w:val="en-US" w:eastAsia="zh-CN"/>
        </w:rPr>
      </w:pPr>
      <w:r>
        <w:rPr>
          <w:rFonts w:hint="eastAsia" w:ascii="宋体" w:hAnsi="宋体"/>
          <w:b/>
          <w:color w:val="auto"/>
          <w:szCs w:val="21"/>
          <w:highlight w:val="none"/>
          <w:lang w:val="en-US" w:eastAsia="zh-CN"/>
        </w:rPr>
        <w:t>应</w:t>
      </w:r>
    </w:p>
    <w:p>
      <w:pPr>
        <w:spacing w:line="360" w:lineRule="auto"/>
        <w:jc w:val="center"/>
        <w:rPr>
          <w:rFonts w:ascii="宋体" w:hAnsi="宋体"/>
          <w:b/>
          <w:color w:val="auto"/>
          <w:szCs w:val="21"/>
          <w:highlight w:val="none"/>
        </w:rPr>
      </w:pPr>
      <w:bookmarkStart w:id="137" w:name="_Toc50012913"/>
      <w:r>
        <w:rPr>
          <w:rFonts w:hint="eastAsia" w:ascii="宋体" w:hAnsi="宋体"/>
          <w:b/>
          <w:color w:val="auto"/>
          <w:szCs w:val="21"/>
          <w:highlight w:val="none"/>
        </w:rPr>
        <w:t>文</w:t>
      </w:r>
      <w:bookmarkEnd w:id="137"/>
    </w:p>
    <w:p>
      <w:pPr>
        <w:spacing w:line="360" w:lineRule="auto"/>
        <w:jc w:val="center"/>
        <w:rPr>
          <w:rFonts w:ascii="宋体" w:hAnsi="宋体"/>
          <w:b/>
          <w:color w:val="auto"/>
          <w:szCs w:val="21"/>
          <w:highlight w:val="none"/>
        </w:rPr>
      </w:pPr>
      <w:bookmarkStart w:id="138" w:name="_Toc50012914"/>
      <w:r>
        <w:rPr>
          <w:rFonts w:hint="eastAsia" w:ascii="宋体" w:hAnsi="宋体"/>
          <w:b/>
          <w:color w:val="auto"/>
          <w:szCs w:val="21"/>
          <w:highlight w:val="none"/>
        </w:rPr>
        <w:t>件</w:t>
      </w:r>
      <w:bookmarkEnd w:id="138"/>
    </w:p>
    <w:p>
      <w:pPr>
        <w:spacing w:line="360" w:lineRule="auto"/>
        <w:rPr>
          <w:rFonts w:ascii="宋体" w:hAnsi="宋体"/>
          <w:b/>
          <w:color w:val="auto"/>
          <w:szCs w:val="21"/>
          <w:highlight w:val="none"/>
        </w:rPr>
      </w:pPr>
    </w:p>
    <w:p>
      <w:pPr>
        <w:spacing w:line="360" w:lineRule="auto"/>
        <w:rPr>
          <w:rFonts w:ascii="宋体" w:hAnsi="宋体"/>
          <w:b/>
          <w:color w:val="auto"/>
          <w:szCs w:val="21"/>
          <w:highlight w:val="none"/>
        </w:rPr>
      </w:pPr>
    </w:p>
    <w:p>
      <w:pPr>
        <w:spacing w:line="360" w:lineRule="auto"/>
        <w:rPr>
          <w:rFonts w:ascii="宋体" w:hAnsi="宋体"/>
          <w:b/>
          <w:color w:val="auto"/>
          <w:szCs w:val="21"/>
          <w:highlight w:val="none"/>
        </w:rPr>
      </w:pPr>
    </w:p>
    <w:p>
      <w:pPr>
        <w:spacing w:line="360" w:lineRule="auto"/>
        <w:ind w:firstLine="2319" w:firstLineChars="1100"/>
        <w:rPr>
          <w:rFonts w:ascii="宋体" w:hAnsi="宋体"/>
          <w:b/>
          <w:color w:val="auto"/>
          <w:szCs w:val="21"/>
          <w:highlight w:val="none"/>
        </w:rPr>
      </w:pPr>
      <w:bookmarkStart w:id="139" w:name="_Toc50012915"/>
      <w:r>
        <w:rPr>
          <w:rFonts w:hint="eastAsia" w:ascii="宋体" w:hAnsi="宋体"/>
          <w:b/>
          <w:color w:val="auto"/>
          <w:szCs w:val="21"/>
          <w:highlight w:val="none"/>
          <w:lang w:eastAsia="zh-CN"/>
        </w:rPr>
        <w:t>供应商</w:t>
      </w:r>
      <w:r>
        <w:rPr>
          <w:rFonts w:hint="eastAsia" w:ascii="宋体" w:hAnsi="宋体"/>
          <w:b/>
          <w:color w:val="auto"/>
          <w:szCs w:val="21"/>
          <w:highlight w:val="none"/>
        </w:rPr>
        <w:t>全称：（加盖单位公章）</w:t>
      </w:r>
      <w:bookmarkEnd w:id="139"/>
    </w:p>
    <w:p>
      <w:pPr>
        <w:spacing w:line="360" w:lineRule="auto"/>
        <w:rPr>
          <w:rFonts w:ascii="宋体" w:hAnsi="宋体"/>
          <w:b/>
          <w:color w:val="auto"/>
          <w:szCs w:val="21"/>
          <w:highlight w:val="none"/>
        </w:rPr>
      </w:pPr>
    </w:p>
    <w:p>
      <w:pPr>
        <w:spacing w:line="360" w:lineRule="auto"/>
        <w:ind w:right="560"/>
        <w:jc w:val="center"/>
        <w:rPr>
          <w:rFonts w:ascii="宋体" w:hAnsi="宋体"/>
          <w:b/>
          <w:color w:val="auto"/>
          <w:szCs w:val="21"/>
          <w:highlight w:val="none"/>
        </w:rPr>
      </w:pPr>
      <w:bookmarkStart w:id="140" w:name="_Toc50012916"/>
      <w:r>
        <w:rPr>
          <w:rFonts w:hint="eastAsia" w:ascii="宋体" w:hAnsi="宋体"/>
          <w:b/>
          <w:color w:val="auto"/>
          <w:szCs w:val="21"/>
          <w:highlight w:val="none"/>
        </w:rPr>
        <w:t>年   月   日</w:t>
      </w:r>
      <w:bookmarkEnd w:id="140"/>
    </w:p>
    <w:bookmarkEnd w:id="135"/>
    <w:p>
      <w:pPr>
        <w:snapToGrid w:val="0"/>
        <w:spacing w:line="360" w:lineRule="auto"/>
        <w:ind w:right="420" w:firstLine="422" w:firstLineChars="200"/>
        <w:jc w:val="center"/>
        <w:rPr>
          <w:rFonts w:ascii="宋体" w:hAnsi="宋体"/>
          <w:b/>
          <w:color w:val="auto"/>
          <w:szCs w:val="21"/>
          <w:highlight w:val="none"/>
        </w:rPr>
      </w:pPr>
      <w:r>
        <w:rPr>
          <w:rFonts w:hint="eastAsia" w:ascii="宋体" w:hAnsi="宋体"/>
          <w:b/>
          <w:color w:val="auto"/>
          <w:szCs w:val="21"/>
          <w:highlight w:val="none"/>
        </w:rPr>
        <w:br w:type="page"/>
      </w:r>
    </w:p>
    <w:p>
      <w:pPr>
        <w:snapToGrid w:val="0"/>
        <w:spacing w:line="360" w:lineRule="auto"/>
        <w:ind w:firstLine="422" w:firstLineChars="200"/>
        <w:jc w:val="left"/>
        <w:rPr>
          <w:rFonts w:ascii="宋体" w:hAnsi="宋体"/>
          <w:b/>
          <w:color w:val="auto"/>
          <w:szCs w:val="21"/>
          <w:highlight w:val="none"/>
        </w:rPr>
      </w:pPr>
      <w:r>
        <w:rPr>
          <w:rFonts w:hint="eastAsia" w:ascii="宋体" w:hAnsi="宋体"/>
          <w:b/>
          <w:color w:val="auto"/>
          <w:szCs w:val="21"/>
          <w:highlight w:val="none"/>
        </w:rPr>
        <w:t>投标声明书格式：</w:t>
      </w:r>
    </w:p>
    <w:p>
      <w:pPr>
        <w:snapToGrid w:val="0"/>
        <w:spacing w:line="360" w:lineRule="auto"/>
        <w:ind w:firstLine="422" w:firstLineChars="200"/>
        <w:jc w:val="center"/>
        <w:rPr>
          <w:rFonts w:ascii="宋体" w:hAnsi="宋体"/>
          <w:b/>
          <w:color w:val="auto"/>
          <w:szCs w:val="21"/>
          <w:highlight w:val="none"/>
        </w:rPr>
      </w:pPr>
      <w:r>
        <w:rPr>
          <w:rFonts w:hint="eastAsia" w:ascii="宋体" w:hAnsi="宋体"/>
          <w:b/>
          <w:color w:val="auto"/>
          <w:szCs w:val="21"/>
          <w:highlight w:val="none"/>
        </w:rPr>
        <w:t>投标声明书</w:t>
      </w:r>
    </w:p>
    <w:p>
      <w:pPr>
        <w:snapToGrid w:val="0"/>
        <w:spacing w:line="360" w:lineRule="auto"/>
        <w:ind w:firstLine="420" w:firstLineChars="200"/>
        <w:jc w:val="left"/>
        <w:rPr>
          <w:rFonts w:ascii="宋体" w:hAnsi="宋体"/>
          <w:color w:val="auto"/>
          <w:szCs w:val="21"/>
          <w:highlight w:val="none"/>
        </w:rPr>
      </w:pPr>
      <w:r>
        <w:rPr>
          <w:rFonts w:hint="eastAsia" w:ascii="宋体" w:hAnsi="宋体"/>
          <w:color w:val="auto"/>
          <w:szCs w:val="21"/>
          <w:highlight w:val="none"/>
        </w:rPr>
        <w:t>致：</w:t>
      </w:r>
      <w:r>
        <w:rPr>
          <w:rFonts w:hint="eastAsia" w:ascii="宋体" w:hAnsi="宋体" w:cs="Arial"/>
          <w:color w:val="auto"/>
          <w:kern w:val="0"/>
          <w:szCs w:val="21"/>
          <w:highlight w:val="none"/>
          <w:u w:val="single"/>
          <w:lang w:eastAsia="zh-CN"/>
        </w:rPr>
        <w:t>嘉兴市实验初级中学教育集团</w:t>
      </w:r>
      <w:r>
        <w:rPr>
          <w:rFonts w:hint="eastAsia" w:ascii="宋体" w:hAnsi="宋体" w:cs="Arial"/>
          <w:color w:val="auto"/>
          <w:kern w:val="0"/>
          <w:szCs w:val="21"/>
          <w:highlight w:val="none"/>
          <w:u w:val="single"/>
        </w:rPr>
        <w:t xml:space="preserve"> </w:t>
      </w:r>
      <w:r>
        <w:rPr>
          <w:rFonts w:hint="eastAsia" w:ascii="宋体" w:hAnsi="宋体"/>
          <w:color w:val="auto"/>
          <w:szCs w:val="21"/>
          <w:highlight w:val="none"/>
        </w:rPr>
        <w:t>（招标采购单位名称）：</w:t>
      </w:r>
    </w:p>
    <w:p>
      <w:pPr>
        <w:snapToGrid w:val="0"/>
        <w:spacing w:line="360" w:lineRule="auto"/>
        <w:ind w:firstLine="420" w:firstLineChars="200"/>
        <w:jc w:val="left"/>
        <w:rPr>
          <w:rFonts w:ascii="宋体" w:hAnsi="宋体"/>
          <w:color w:val="auto"/>
          <w:szCs w:val="21"/>
          <w:highlight w:val="none"/>
        </w:rPr>
      </w:pPr>
      <w:r>
        <w:rPr>
          <w:rFonts w:hint="eastAsia" w:ascii="宋体" w:hAnsi="宋体"/>
          <w:color w:val="auto"/>
          <w:szCs w:val="21"/>
          <w:highlight w:val="none"/>
          <w:u w:val="single"/>
        </w:rPr>
        <w:t>（</w:t>
      </w:r>
      <w:r>
        <w:rPr>
          <w:rFonts w:hint="eastAsia" w:ascii="宋体" w:hAnsi="宋体"/>
          <w:color w:val="auto"/>
          <w:szCs w:val="21"/>
          <w:highlight w:val="none"/>
          <w:u w:val="single"/>
          <w:lang w:eastAsia="zh-CN"/>
        </w:rPr>
        <w:t>供应商</w:t>
      </w:r>
      <w:r>
        <w:rPr>
          <w:rFonts w:hint="eastAsia" w:ascii="宋体" w:hAnsi="宋体"/>
          <w:color w:val="auto"/>
          <w:szCs w:val="21"/>
          <w:highlight w:val="none"/>
          <w:u w:val="single"/>
        </w:rPr>
        <w:t>名称）</w:t>
      </w:r>
      <w:r>
        <w:rPr>
          <w:rFonts w:hint="eastAsia" w:ascii="宋体" w:hAnsi="宋体"/>
          <w:color w:val="auto"/>
          <w:szCs w:val="21"/>
          <w:highlight w:val="none"/>
        </w:rPr>
        <w:t>系中华人民共和国合法企业，经营地址</w:t>
      </w:r>
      <w:r>
        <w:rPr>
          <w:rFonts w:hint="eastAsia" w:ascii="宋体" w:hAnsi="宋体"/>
          <w:color w:val="auto"/>
          <w:szCs w:val="21"/>
          <w:highlight w:val="none"/>
          <w:u w:val="single"/>
        </w:rPr>
        <w:t xml:space="preserve">           </w:t>
      </w:r>
      <w:r>
        <w:rPr>
          <w:rFonts w:hint="eastAsia" w:ascii="宋体" w:hAnsi="宋体"/>
          <w:color w:val="auto"/>
          <w:szCs w:val="21"/>
          <w:highlight w:val="none"/>
        </w:rPr>
        <w:t xml:space="preserve"> 。 </w:t>
      </w:r>
    </w:p>
    <w:p>
      <w:pPr>
        <w:snapToGrid w:val="0"/>
        <w:spacing w:line="360" w:lineRule="auto"/>
        <w:ind w:firstLine="420" w:firstLineChars="200"/>
        <w:jc w:val="left"/>
        <w:rPr>
          <w:rFonts w:ascii="宋体" w:hAnsi="宋体"/>
          <w:color w:val="auto"/>
          <w:szCs w:val="21"/>
          <w:highlight w:val="none"/>
        </w:rPr>
      </w:pPr>
      <w:r>
        <w:rPr>
          <w:rFonts w:hint="eastAsia" w:ascii="宋体" w:hAnsi="宋体"/>
          <w:color w:val="auto"/>
          <w:szCs w:val="21"/>
          <w:highlight w:val="none"/>
        </w:rPr>
        <w:t>我</w:t>
      </w:r>
      <w:r>
        <w:rPr>
          <w:rFonts w:hint="eastAsia" w:ascii="宋体" w:hAnsi="宋体"/>
          <w:color w:val="auto"/>
          <w:szCs w:val="21"/>
          <w:highlight w:val="none"/>
          <w:u w:val="single"/>
        </w:rPr>
        <w:t>（姓名）</w:t>
      </w:r>
      <w:r>
        <w:rPr>
          <w:rFonts w:hint="eastAsia" w:ascii="宋体" w:hAnsi="宋体"/>
          <w:color w:val="auto"/>
          <w:szCs w:val="21"/>
          <w:highlight w:val="none"/>
        </w:rPr>
        <w:t>系</w:t>
      </w:r>
      <w:r>
        <w:rPr>
          <w:rFonts w:hint="eastAsia" w:ascii="宋体" w:hAnsi="宋体"/>
          <w:color w:val="auto"/>
          <w:szCs w:val="21"/>
          <w:highlight w:val="none"/>
          <w:u w:val="single"/>
        </w:rPr>
        <w:t>（</w:t>
      </w:r>
      <w:r>
        <w:rPr>
          <w:rFonts w:hint="eastAsia" w:ascii="宋体" w:hAnsi="宋体"/>
          <w:color w:val="auto"/>
          <w:szCs w:val="21"/>
          <w:highlight w:val="none"/>
          <w:u w:val="single"/>
          <w:lang w:eastAsia="zh-CN"/>
        </w:rPr>
        <w:t>供应商</w:t>
      </w:r>
      <w:r>
        <w:rPr>
          <w:rFonts w:hint="eastAsia" w:ascii="宋体" w:hAnsi="宋体"/>
          <w:color w:val="auto"/>
          <w:szCs w:val="21"/>
          <w:highlight w:val="none"/>
          <w:u w:val="single"/>
        </w:rPr>
        <w:t>名称）</w:t>
      </w:r>
      <w:r>
        <w:rPr>
          <w:rFonts w:hint="eastAsia" w:ascii="宋体" w:hAnsi="宋体"/>
          <w:color w:val="auto"/>
          <w:szCs w:val="21"/>
          <w:highlight w:val="none"/>
        </w:rPr>
        <w:t>的法定代表人，我方愿意参加贵方组织的项目的投标，为便于贵方公正、择优地确定中标人及其投标产品和服务，我方就本次投标有关事项郑重声明如下：</w:t>
      </w:r>
    </w:p>
    <w:p>
      <w:pPr>
        <w:snapToGrid w:val="0"/>
        <w:spacing w:line="360" w:lineRule="auto"/>
        <w:ind w:firstLine="420" w:firstLineChars="200"/>
        <w:jc w:val="left"/>
        <w:rPr>
          <w:rFonts w:ascii="宋体" w:hAnsi="宋体"/>
          <w:color w:val="auto"/>
          <w:szCs w:val="21"/>
          <w:highlight w:val="none"/>
        </w:rPr>
      </w:pPr>
      <w:r>
        <w:rPr>
          <w:rFonts w:ascii="宋体" w:hAnsi="宋体"/>
          <w:color w:val="auto"/>
          <w:szCs w:val="21"/>
          <w:highlight w:val="none"/>
        </w:rPr>
        <w:t>1</w:t>
      </w:r>
      <w:r>
        <w:rPr>
          <w:rFonts w:hint="eastAsia" w:ascii="宋体" w:hAnsi="宋体"/>
          <w:color w:val="auto"/>
          <w:szCs w:val="21"/>
          <w:highlight w:val="none"/>
        </w:rPr>
        <w:t>、</w:t>
      </w:r>
      <w:r>
        <w:rPr>
          <w:rFonts w:ascii="宋体" w:hAnsi="宋体"/>
          <w:color w:val="auto"/>
          <w:szCs w:val="21"/>
          <w:highlight w:val="none"/>
        </w:rPr>
        <w:t>我方向贵方提交的所有投标文件、资料都是准确的和真实的</w:t>
      </w:r>
      <w:r>
        <w:rPr>
          <w:rFonts w:hint="eastAsia" w:ascii="宋体" w:hAnsi="宋体"/>
          <w:color w:val="auto"/>
          <w:szCs w:val="21"/>
          <w:highlight w:val="none"/>
        </w:rPr>
        <w:t>。</w:t>
      </w:r>
    </w:p>
    <w:p>
      <w:pPr>
        <w:snapToGrid w:val="0"/>
        <w:spacing w:line="360" w:lineRule="auto"/>
        <w:ind w:firstLine="420" w:firstLineChars="200"/>
        <w:jc w:val="left"/>
        <w:rPr>
          <w:rFonts w:ascii="宋体" w:hAnsi="宋体"/>
          <w:color w:val="auto"/>
          <w:szCs w:val="21"/>
          <w:highlight w:val="none"/>
        </w:rPr>
      </w:pPr>
      <w:r>
        <w:rPr>
          <w:rFonts w:ascii="宋体" w:hAnsi="宋体"/>
          <w:color w:val="auto"/>
          <w:szCs w:val="21"/>
          <w:highlight w:val="none"/>
        </w:rPr>
        <w:t>2</w:t>
      </w:r>
      <w:r>
        <w:rPr>
          <w:rFonts w:hint="eastAsia" w:ascii="宋体" w:hAnsi="宋体"/>
          <w:color w:val="auto"/>
          <w:szCs w:val="21"/>
          <w:highlight w:val="none"/>
        </w:rPr>
        <w:t>、</w:t>
      </w:r>
      <w:r>
        <w:rPr>
          <w:rFonts w:ascii="宋体" w:hAnsi="宋体"/>
          <w:color w:val="auto"/>
          <w:szCs w:val="21"/>
          <w:highlight w:val="none"/>
        </w:rPr>
        <w:t>我方不是采购人的附属机构；在获知本项目采购信息后，与采购人聘请的为此项目提供咨询服务的公司及其附属机构没有任何联系。</w:t>
      </w:r>
    </w:p>
    <w:p>
      <w:pPr>
        <w:snapToGrid w:val="0"/>
        <w:spacing w:line="360" w:lineRule="auto"/>
        <w:ind w:firstLine="480" w:firstLineChars="200"/>
        <w:jc w:val="left"/>
        <w:rPr>
          <w:rFonts w:ascii="宋体" w:hAnsi="宋体"/>
          <w:color w:val="auto"/>
          <w:szCs w:val="21"/>
          <w:highlight w:val="none"/>
        </w:rPr>
      </w:pPr>
      <w:r>
        <w:rPr>
          <w:rFonts w:ascii="宋体" w:hAnsi="宋体"/>
          <w:color w:val="auto"/>
          <w:spacing w:val="15"/>
          <w:kern w:val="0"/>
          <w:szCs w:val="21"/>
          <w:highlight w:val="none"/>
        </w:rPr>
        <w:t>3</w:t>
      </w:r>
      <w:r>
        <w:rPr>
          <w:rFonts w:hint="eastAsia" w:ascii="宋体" w:hAnsi="宋体"/>
          <w:color w:val="auto"/>
          <w:spacing w:val="15"/>
          <w:kern w:val="0"/>
          <w:szCs w:val="21"/>
          <w:highlight w:val="none"/>
        </w:rPr>
        <w:t>、</w:t>
      </w:r>
      <w:r>
        <w:rPr>
          <w:rFonts w:ascii="宋体" w:hAnsi="宋体"/>
          <w:color w:val="auto"/>
          <w:spacing w:val="15"/>
          <w:kern w:val="0"/>
          <w:szCs w:val="21"/>
          <w:highlight w:val="none"/>
        </w:rPr>
        <w:t>我方此次向贵方提供的</w:t>
      </w:r>
      <w:r>
        <w:rPr>
          <w:rFonts w:hint="eastAsia" w:ascii="宋体" w:hAnsi="宋体"/>
          <w:color w:val="auto"/>
          <w:spacing w:val="15"/>
          <w:kern w:val="0"/>
          <w:szCs w:val="21"/>
          <w:highlight w:val="none"/>
        </w:rPr>
        <w:t>服务内容为</w:t>
      </w:r>
      <w:r>
        <w:rPr>
          <w:rFonts w:hint="eastAsia" w:ascii="宋体" w:hAnsi="宋体"/>
          <w:color w:val="auto"/>
          <w:szCs w:val="21"/>
          <w:highlight w:val="none"/>
        </w:rPr>
        <w:t>。</w:t>
      </w:r>
    </w:p>
    <w:p>
      <w:pPr>
        <w:snapToGrid w:val="0"/>
        <w:spacing w:line="360" w:lineRule="auto"/>
        <w:ind w:firstLine="420" w:firstLineChars="200"/>
        <w:jc w:val="left"/>
        <w:rPr>
          <w:rFonts w:ascii="宋体" w:hAnsi="宋体"/>
          <w:color w:val="auto"/>
          <w:szCs w:val="21"/>
          <w:highlight w:val="none"/>
        </w:rPr>
      </w:pPr>
      <w:r>
        <w:rPr>
          <w:rFonts w:ascii="宋体" w:hAnsi="宋体"/>
          <w:color w:val="auto"/>
          <w:szCs w:val="21"/>
          <w:highlight w:val="none"/>
        </w:rPr>
        <w:t>4</w:t>
      </w:r>
      <w:r>
        <w:rPr>
          <w:rFonts w:hint="eastAsia" w:ascii="宋体" w:hAnsi="宋体"/>
          <w:color w:val="auto"/>
          <w:szCs w:val="21"/>
          <w:highlight w:val="none"/>
        </w:rPr>
        <w:t>、</w:t>
      </w:r>
      <w:r>
        <w:rPr>
          <w:rFonts w:ascii="宋体" w:hAnsi="宋体"/>
          <w:color w:val="auto"/>
          <w:szCs w:val="21"/>
          <w:highlight w:val="none"/>
        </w:rPr>
        <w:t>我方诚意提请贵方关注：</w:t>
      </w:r>
      <w:r>
        <w:rPr>
          <w:rFonts w:hint="eastAsia" w:ascii="宋体" w:hAnsi="宋体"/>
          <w:color w:val="auto"/>
          <w:szCs w:val="21"/>
          <w:highlight w:val="none"/>
        </w:rPr>
        <w:t>近期</w:t>
      </w:r>
      <w:r>
        <w:rPr>
          <w:rFonts w:ascii="宋体" w:hAnsi="宋体"/>
          <w:color w:val="auto"/>
          <w:szCs w:val="21"/>
          <w:highlight w:val="none"/>
        </w:rPr>
        <w:t>有关</w:t>
      </w:r>
      <w:r>
        <w:rPr>
          <w:rFonts w:hint="eastAsia" w:ascii="宋体" w:hAnsi="宋体"/>
          <w:color w:val="auto"/>
          <w:szCs w:val="21"/>
          <w:highlight w:val="none"/>
        </w:rPr>
        <w:t>项目的售后服务等方面的重大决策和事项有：</w:t>
      </w:r>
    </w:p>
    <w:p>
      <w:pPr>
        <w:snapToGrid w:val="0"/>
        <w:spacing w:line="360" w:lineRule="auto"/>
        <w:ind w:firstLine="420" w:firstLineChars="200"/>
        <w:jc w:val="left"/>
        <w:rPr>
          <w:rFonts w:ascii="宋体" w:hAnsi="宋体"/>
          <w:color w:val="auto"/>
          <w:szCs w:val="21"/>
          <w:highlight w:val="none"/>
        </w:rPr>
      </w:pPr>
      <w:r>
        <w:rPr>
          <w:rFonts w:hint="eastAsia" w:ascii="宋体" w:hAnsi="宋体"/>
          <w:color w:val="auto"/>
          <w:szCs w:val="21"/>
          <w:highlight w:val="none"/>
          <w:u w:val="single"/>
        </w:rPr>
        <w:t>　　　　　　　　　　　　　　　　　　　　　　　　　　</w:t>
      </w:r>
    </w:p>
    <w:p>
      <w:pPr>
        <w:snapToGrid w:val="0"/>
        <w:spacing w:line="360" w:lineRule="auto"/>
        <w:ind w:firstLine="420" w:firstLineChars="200"/>
        <w:jc w:val="left"/>
        <w:rPr>
          <w:rFonts w:ascii="宋体" w:hAnsi="宋体"/>
          <w:color w:val="auto"/>
          <w:szCs w:val="21"/>
          <w:highlight w:val="none"/>
        </w:rPr>
      </w:pPr>
      <w:r>
        <w:rPr>
          <w:rFonts w:ascii="宋体" w:hAnsi="宋体"/>
          <w:color w:val="auto"/>
          <w:szCs w:val="21"/>
          <w:highlight w:val="none"/>
        </w:rPr>
        <w:t>5</w:t>
      </w:r>
      <w:r>
        <w:rPr>
          <w:rFonts w:hint="eastAsia" w:ascii="宋体" w:hAnsi="宋体"/>
          <w:color w:val="auto"/>
          <w:szCs w:val="21"/>
          <w:highlight w:val="none"/>
        </w:rPr>
        <w:t>、我方及由本人担任法定代表人的其他机构</w:t>
      </w:r>
      <w:r>
        <w:rPr>
          <w:rFonts w:ascii="宋体" w:hAnsi="宋体"/>
          <w:color w:val="auto"/>
          <w:szCs w:val="21"/>
          <w:highlight w:val="none"/>
        </w:rPr>
        <w:t>最近三年内被</w:t>
      </w:r>
      <w:r>
        <w:rPr>
          <w:rFonts w:hint="eastAsia" w:ascii="宋体" w:hAnsi="宋体"/>
          <w:color w:val="auto"/>
          <w:szCs w:val="21"/>
          <w:highlight w:val="none"/>
        </w:rPr>
        <w:t>通报或者被处罚的</w:t>
      </w:r>
      <w:r>
        <w:rPr>
          <w:rFonts w:ascii="宋体" w:hAnsi="宋体"/>
          <w:color w:val="auto"/>
          <w:szCs w:val="21"/>
          <w:highlight w:val="none"/>
        </w:rPr>
        <w:t>违法行为有：</w:t>
      </w:r>
    </w:p>
    <w:p>
      <w:pPr>
        <w:snapToGrid w:val="0"/>
        <w:spacing w:line="360" w:lineRule="auto"/>
        <w:ind w:firstLine="420" w:firstLineChars="200"/>
        <w:jc w:val="left"/>
        <w:rPr>
          <w:rFonts w:ascii="宋体" w:hAnsi="宋体"/>
          <w:color w:val="auto"/>
          <w:szCs w:val="21"/>
          <w:highlight w:val="none"/>
          <w:u w:val="single"/>
        </w:rPr>
      </w:pPr>
      <w:r>
        <w:rPr>
          <w:rFonts w:hint="eastAsia" w:ascii="宋体" w:hAnsi="宋体"/>
          <w:color w:val="auto"/>
          <w:szCs w:val="21"/>
          <w:highlight w:val="none"/>
          <w:u w:val="single"/>
        </w:rPr>
        <w:t>　　　　　　　　　　　　　　　　　　　　　　　　　　　</w:t>
      </w:r>
    </w:p>
    <w:p>
      <w:pPr>
        <w:snapToGrid w:val="0"/>
        <w:spacing w:line="360" w:lineRule="auto"/>
        <w:ind w:firstLine="420" w:firstLineChars="200"/>
        <w:jc w:val="left"/>
        <w:rPr>
          <w:rFonts w:ascii="宋体" w:hAnsi="宋体"/>
          <w:color w:val="auto"/>
          <w:szCs w:val="21"/>
          <w:highlight w:val="none"/>
        </w:rPr>
      </w:pPr>
      <w:r>
        <w:rPr>
          <w:rFonts w:hint="eastAsia" w:ascii="宋体" w:hAnsi="宋体"/>
          <w:color w:val="auto"/>
          <w:szCs w:val="21"/>
          <w:highlight w:val="none"/>
        </w:rPr>
        <w:t>6、以上事项如有虚假或隐瞒，我方愿意承担一切后果，并不再寻求任何旨在减轻或免除法律责任的辩解。</w:t>
      </w:r>
    </w:p>
    <w:p>
      <w:pPr>
        <w:snapToGrid w:val="0"/>
        <w:spacing w:line="360" w:lineRule="auto"/>
        <w:ind w:firstLine="420" w:firstLineChars="200"/>
        <w:jc w:val="left"/>
        <w:rPr>
          <w:rFonts w:ascii="宋体" w:hAnsi="宋体"/>
          <w:color w:val="auto"/>
          <w:szCs w:val="21"/>
          <w:highlight w:val="none"/>
        </w:rPr>
      </w:pPr>
    </w:p>
    <w:p>
      <w:pPr>
        <w:snapToGrid w:val="0"/>
        <w:spacing w:line="360" w:lineRule="auto"/>
        <w:ind w:firstLine="420" w:firstLineChars="200"/>
        <w:jc w:val="left"/>
        <w:rPr>
          <w:rFonts w:ascii="宋体" w:hAnsi="宋体"/>
          <w:color w:val="auto"/>
          <w:szCs w:val="21"/>
          <w:highlight w:val="none"/>
          <w:u w:val="single"/>
        </w:rPr>
      </w:pPr>
      <w:r>
        <w:rPr>
          <w:rFonts w:hint="eastAsia" w:ascii="宋体" w:hAnsi="宋体"/>
          <w:color w:val="auto"/>
          <w:szCs w:val="21"/>
          <w:highlight w:val="none"/>
        </w:rPr>
        <w:t>法定代表人或其授权代表签字（或盖章）：</w:t>
      </w:r>
    </w:p>
    <w:p>
      <w:pPr>
        <w:snapToGrid w:val="0"/>
        <w:spacing w:line="360" w:lineRule="auto"/>
        <w:ind w:firstLine="420" w:firstLineChars="200"/>
        <w:jc w:val="left"/>
        <w:rPr>
          <w:rFonts w:ascii="宋体" w:hAnsi="宋体"/>
          <w:color w:val="auto"/>
          <w:szCs w:val="21"/>
          <w:highlight w:val="none"/>
        </w:rPr>
      </w:pPr>
      <w:r>
        <w:rPr>
          <w:rFonts w:hint="eastAsia" w:ascii="宋体" w:hAnsi="宋体"/>
          <w:color w:val="auto"/>
          <w:szCs w:val="21"/>
          <w:highlight w:val="none"/>
          <w:shd w:val="clear" w:color="auto" w:fill="FFFFFF"/>
          <w:lang w:eastAsia="zh-CN"/>
        </w:rPr>
        <w:t>供应商</w:t>
      </w:r>
      <w:r>
        <w:rPr>
          <w:rFonts w:hint="eastAsia" w:ascii="宋体" w:hAnsi="宋体"/>
          <w:color w:val="auto"/>
          <w:szCs w:val="21"/>
          <w:highlight w:val="none"/>
          <w:shd w:val="clear" w:color="auto" w:fill="FFFFFF"/>
        </w:rPr>
        <w:t>名称：（盖章）</w:t>
      </w:r>
      <w:r>
        <w:rPr>
          <w:rFonts w:hint="eastAsia" w:ascii="宋体" w:hAnsi="宋体"/>
          <w:color w:val="auto"/>
          <w:szCs w:val="21"/>
          <w:highlight w:val="none"/>
        </w:rPr>
        <w:t>：</w:t>
      </w:r>
      <w:r>
        <w:rPr>
          <w:rFonts w:ascii="宋体" w:hAnsi="宋体"/>
          <w:color w:val="auto"/>
          <w:szCs w:val="21"/>
          <w:highlight w:val="none"/>
        </w:rPr>
        <w:t xml:space="preserve">                      年    月    日</w:t>
      </w:r>
    </w:p>
    <w:p>
      <w:pPr>
        <w:snapToGrid w:val="0"/>
        <w:spacing w:line="360" w:lineRule="auto"/>
        <w:ind w:firstLine="422" w:firstLineChars="200"/>
        <w:jc w:val="left"/>
        <w:rPr>
          <w:rFonts w:ascii="宋体" w:hAnsi="宋体"/>
          <w:b/>
          <w:color w:val="auto"/>
          <w:szCs w:val="21"/>
          <w:highlight w:val="none"/>
        </w:rPr>
      </w:pPr>
    </w:p>
    <w:p>
      <w:pPr>
        <w:snapToGrid w:val="0"/>
        <w:spacing w:line="360" w:lineRule="auto"/>
        <w:ind w:firstLine="422" w:firstLineChars="200"/>
        <w:jc w:val="left"/>
        <w:rPr>
          <w:rFonts w:ascii="宋体" w:hAnsi="宋体"/>
          <w:b/>
          <w:color w:val="auto"/>
          <w:szCs w:val="21"/>
          <w:highlight w:val="none"/>
        </w:rPr>
      </w:pPr>
    </w:p>
    <w:p>
      <w:pPr>
        <w:snapToGrid w:val="0"/>
        <w:spacing w:line="360" w:lineRule="auto"/>
        <w:ind w:firstLine="422" w:firstLineChars="200"/>
        <w:jc w:val="left"/>
        <w:rPr>
          <w:rFonts w:ascii="宋体" w:hAnsi="宋体"/>
          <w:b/>
          <w:color w:val="auto"/>
          <w:szCs w:val="21"/>
          <w:highlight w:val="none"/>
        </w:rPr>
      </w:pPr>
    </w:p>
    <w:p>
      <w:pPr>
        <w:snapToGrid w:val="0"/>
        <w:spacing w:line="360" w:lineRule="auto"/>
        <w:ind w:firstLine="422" w:firstLineChars="200"/>
        <w:jc w:val="left"/>
        <w:rPr>
          <w:rFonts w:ascii="宋体" w:hAnsi="宋体"/>
          <w:b/>
          <w:color w:val="auto"/>
          <w:szCs w:val="21"/>
          <w:highlight w:val="none"/>
        </w:rPr>
      </w:pPr>
    </w:p>
    <w:p>
      <w:pPr>
        <w:snapToGrid w:val="0"/>
        <w:spacing w:line="360" w:lineRule="auto"/>
        <w:ind w:firstLine="422" w:firstLineChars="200"/>
        <w:jc w:val="left"/>
        <w:rPr>
          <w:rFonts w:ascii="宋体" w:hAnsi="宋体"/>
          <w:b/>
          <w:color w:val="auto"/>
          <w:szCs w:val="21"/>
          <w:highlight w:val="none"/>
        </w:rPr>
      </w:pPr>
    </w:p>
    <w:p>
      <w:pPr>
        <w:snapToGrid w:val="0"/>
        <w:spacing w:line="360" w:lineRule="auto"/>
        <w:ind w:firstLine="422" w:firstLineChars="200"/>
        <w:jc w:val="left"/>
        <w:rPr>
          <w:rFonts w:ascii="宋体" w:hAnsi="宋体"/>
          <w:b/>
          <w:color w:val="auto"/>
          <w:szCs w:val="21"/>
          <w:highlight w:val="none"/>
        </w:rPr>
      </w:pPr>
    </w:p>
    <w:p>
      <w:pPr>
        <w:snapToGrid w:val="0"/>
        <w:spacing w:line="360" w:lineRule="auto"/>
        <w:ind w:firstLine="422" w:firstLineChars="200"/>
        <w:jc w:val="left"/>
        <w:rPr>
          <w:rFonts w:ascii="宋体" w:hAnsi="宋体"/>
          <w:b/>
          <w:color w:val="auto"/>
          <w:szCs w:val="21"/>
          <w:highlight w:val="none"/>
        </w:rPr>
      </w:pPr>
    </w:p>
    <w:p>
      <w:pPr>
        <w:snapToGrid w:val="0"/>
        <w:spacing w:line="360" w:lineRule="auto"/>
        <w:ind w:firstLine="422" w:firstLineChars="200"/>
        <w:jc w:val="left"/>
        <w:rPr>
          <w:rFonts w:ascii="宋体" w:hAnsi="宋体"/>
          <w:b/>
          <w:color w:val="auto"/>
          <w:szCs w:val="21"/>
          <w:highlight w:val="none"/>
        </w:rPr>
      </w:pPr>
    </w:p>
    <w:p>
      <w:pPr>
        <w:snapToGrid w:val="0"/>
        <w:spacing w:line="360" w:lineRule="auto"/>
        <w:ind w:firstLine="422" w:firstLineChars="200"/>
        <w:jc w:val="left"/>
        <w:rPr>
          <w:rFonts w:ascii="宋体" w:hAnsi="宋体"/>
          <w:b/>
          <w:color w:val="auto"/>
          <w:szCs w:val="21"/>
          <w:highlight w:val="none"/>
        </w:rPr>
      </w:pPr>
    </w:p>
    <w:p>
      <w:pPr>
        <w:snapToGrid w:val="0"/>
        <w:spacing w:line="360" w:lineRule="auto"/>
        <w:ind w:firstLine="422" w:firstLineChars="200"/>
        <w:jc w:val="left"/>
        <w:rPr>
          <w:rFonts w:ascii="宋体" w:hAnsi="宋体"/>
          <w:b/>
          <w:color w:val="auto"/>
          <w:szCs w:val="21"/>
          <w:highlight w:val="none"/>
        </w:rPr>
      </w:pPr>
    </w:p>
    <w:p>
      <w:pPr>
        <w:snapToGrid w:val="0"/>
        <w:spacing w:line="360" w:lineRule="auto"/>
        <w:ind w:firstLine="422" w:firstLineChars="200"/>
        <w:jc w:val="left"/>
        <w:rPr>
          <w:rFonts w:ascii="宋体" w:hAnsi="宋体"/>
          <w:b/>
          <w:color w:val="auto"/>
          <w:szCs w:val="21"/>
          <w:highlight w:val="none"/>
        </w:rPr>
      </w:pPr>
    </w:p>
    <w:p>
      <w:pPr>
        <w:snapToGrid w:val="0"/>
        <w:spacing w:line="360" w:lineRule="auto"/>
        <w:ind w:firstLine="422" w:firstLineChars="200"/>
        <w:jc w:val="left"/>
        <w:rPr>
          <w:rFonts w:ascii="宋体" w:hAnsi="宋体"/>
          <w:b/>
          <w:color w:val="auto"/>
          <w:szCs w:val="21"/>
          <w:highlight w:val="none"/>
        </w:rPr>
      </w:pPr>
    </w:p>
    <w:p>
      <w:pPr>
        <w:pStyle w:val="5"/>
        <w:jc w:val="center"/>
        <w:rPr>
          <w:color w:val="auto"/>
          <w:highlight w:val="none"/>
        </w:rPr>
      </w:pPr>
      <w:bookmarkStart w:id="141" w:name="_Toc479935180"/>
      <w:bookmarkStart w:id="142" w:name="_Toc30252"/>
      <w:bookmarkStart w:id="143" w:name="_Toc296602618"/>
      <w:bookmarkStart w:id="144" w:name="_Toc246996373"/>
      <w:bookmarkStart w:id="145" w:name="_Toc366142186"/>
      <w:bookmarkStart w:id="146" w:name="_Toc246997116"/>
      <w:bookmarkStart w:id="147" w:name="_Toc179632828"/>
      <w:bookmarkStart w:id="148" w:name="_Toc247085891"/>
      <w:r>
        <w:rPr>
          <w:rFonts w:hint="eastAsia" w:ascii="宋体" w:eastAsia="宋体"/>
          <w:color w:val="auto"/>
          <w:highlight w:val="none"/>
          <w:lang w:eastAsia="zh-CN"/>
        </w:rPr>
        <w:t>供应商</w:t>
      </w:r>
      <w:r>
        <w:rPr>
          <w:rFonts w:ascii="宋体" w:eastAsia="宋体"/>
          <w:color w:val="auto"/>
          <w:highlight w:val="none"/>
        </w:rPr>
        <w:t>基本情况表</w:t>
      </w:r>
      <w:bookmarkEnd w:id="141"/>
      <w:r>
        <w:rPr>
          <w:rFonts w:hint="eastAsia" w:ascii="宋体" w:eastAsia="宋体"/>
          <w:color w:val="auto"/>
          <w:highlight w:val="none"/>
        </w:rPr>
        <w:t>（非</w:t>
      </w:r>
      <w:r>
        <w:rPr>
          <w:rFonts w:ascii="宋体" w:eastAsia="宋体"/>
          <w:color w:val="auto"/>
          <w:highlight w:val="none"/>
        </w:rPr>
        <w:t>联合体投标</w:t>
      </w:r>
      <w:r>
        <w:rPr>
          <w:rFonts w:hint="eastAsia" w:ascii="宋体" w:eastAsia="宋体"/>
          <w:color w:val="auto"/>
          <w:highlight w:val="none"/>
        </w:rPr>
        <w:t>时</w:t>
      </w:r>
      <w:r>
        <w:rPr>
          <w:rFonts w:ascii="宋体" w:eastAsia="宋体"/>
          <w:color w:val="auto"/>
          <w:highlight w:val="none"/>
        </w:rPr>
        <w:t>提供</w:t>
      </w:r>
      <w:r>
        <w:rPr>
          <w:rFonts w:hint="eastAsia" w:ascii="宋体" w:eastAsia="宋体"/>
          <w:color w:val="auto"/>
          <w:highlight w:val="none"/>
        </w:rPr>
        <w:t>）</w:t>
      </w:r>
      <w:bookmarkEnd w:id="142"/>
    </w:p>
    <w:bookmarkEnd w:id="143"/>
    <w:bookmarkEnd w:id="144"/>
    <w:bookmarkEnd w:id="145"/>
    <w:bookmarkEnd w:id="146"/>
    <w:bookmarkEnd w:id="147"/>
    <w:bookmarkEnd w:id="148"/>
    <w:tbl>
      <w:tblPr>
        <w:tblStyle w:val="54"/>
        <w:tblW w:w="8209" w:type="dxa"/>
        <w:tblInd w:w="123" w:type="dxa"/>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2150"/>
        <w:gridCol w:w="898"/>
        <w:gridCol w:w="951"/>
        <w:gridCol w:w="583"/>
        <w:gridCol w:w="677"/>
        <w:gridCol w:w="141"/>
        <w:gridCol w:w="736"/>
        <w:gridCol w:w="1118"/>
        <w:gridCol w:w="955"/>
      </w:tblGrid>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wAfter w:w="0" w:type="auto"/>
          <w:trHeight w:val="561" w:hRule="atLeast"/>
        </w:trPr>
        <w:tc>
          <w:tcPr>
            <w:tcW w:w="2150" w:type="dxa"/>
            <w:tcBorders>
              <w:top w:val="single" w:color="auto" w:sz="4" w:space="0"/>
              <w:left w:val="single" w:color="auto" w:sz="4" w:space="0"/>
              <w:bottom w:val="single" w:color="auto" w:sz="4" w:space="0"/>
              <w:right w:val="single" w:color="auto" w:sz="4" w:space="0"/>
            </w:tcBorders>
            <w:noWrap w:val="0"/>
            <w:vAlign w:val="center"/>
          </w:tcPr>
          <w:p>
            <w:pPr>
              <w:topLinePunct/>
              <w:spacing w:line="440" w:lineRule="exact"/>
              <w:jc w:val="center"/>
              <w:rPr>
                <w:rFonts w:ascii="宋体" w:hAnsi="宋体"/>
                <w:color w:val="auto"/>
                <w:szCs w:val="21"/>
                <w:highlight w:val="none"/>
              </w:rPr>
            </w:pPr>
            <w:r>
              <w:rPr>
                <w:rFonts w:hint="eastAsia" w:ascii="宋体" w:hAnsi="宋体"/>
                <w:color w:val="auto"/>
                <w:szCs w:val="21"/>
                <w:highlight w:val="none"/>
                <w:lang w:eastAsia="zh-CN"/>
              </w:rPr>
              <w:t>供应商</w:t>
            </w:r>
            <w:r>
              <w:rPr>
                <w:rFonts w:ascii="宋体" w:hAnsi="宋体"/>
                <w:color w:val="auto"/>
                <w:szCs w:val="21"/>
                <w:highlight w:val="none"/>
              </w:rPr>
              <w:t>名称</w:t>
            </w:r>
          </w:p>
        </w:tc>
        <w:tc>
          <w:tcPr>
            <w:tcW w:w="6059" w:type="dxa"/>
            <w:gridSpan w:val="8"/>
            <w:tcBorders>
              <w:top w:val="single" w:color="auto" w:sz="4" w:space="0"/>
              <w:left w:val="single" w:color="auto" w:sz="4" w:space="0"/>
              <w:bottom w:val="single" w:color="auto" w:sz="4" w:space="0"/>
              <w:right w:val="single" w:color="auto" w:sz="4" w:space="0"/>
            </w:tcBorders>
            <w:noWrap w:val="0"/>
            <w:vAlign w:val="center"/>
          </w:tcPr>
          <w:p>
            <w:pPr>
              <w:topLinePunct/>
              <w:spacing w:line="440" w:lineRule="exact"/>
              <w:jc w:val="center"/>
              <w:rPr>
                <w:rFonts w:ascii="宋体" w:hAnsi="宋体"/>
                <w:color w:val="auto"/>
                <w:szCs w:val="21"/>
                <w:highlight w:val="none"/>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wAfter w:w="0" w:type="auto"/>
          <w:trHeight w:val="611" w:hRule="atLeast"/>
        </w:trPr>
        <w:tc>
          <w:tcPr>
            <w:tcW w:w="2150" w:type="dxa"/>
            <w:tcBorders>
              <w:top w:val="single" w:color="auto" w:sz="4" w:space="0"/>
              <w:left w:val="single" w:color="auto" w:sz="4" w:space="0"/>
              <w:bottom w:val="single" w:color="auto" w:sz="4" w:space="0"/>
              <w:right w:val="single" w:color="auto" w:sz="4" w:space="0"/>
            </w:tcBorders>
            <w:noWrap w:val="0"/>
            <w:vAlign w:val="center"/>
          </w:tcPr>
          <w:p>
            <w:pPr>
              <w:topLinePunct/>
              <w:spacing w:line="440" w:lineRule="exact"/>
              <w:jc w:val="center"/>
              <w:rPr>
                <w:rFonts w:ascii="宋体" w:hAnsi="宋体"/>
                <w:color w:val="auto"/>
                <w:szCs w:val="21"/>
                <w:highlight w:val="none"/>
              </w:rPr>
            </w:pPr>
            <w:r>
              <w:rPr>
                <w:rFonts w:ascii="宋体" w:hAnsi="宋体"/>
                <w:color w:val="auto"/>
                <w:szCs w:val="21"/>
                <w:highlight w:val="none"/>
              </w:rPr>
              <w:t>注册地址</w:t>
            </w:r>
          </w:p>
        </w:tc>
        <w:tc>
          <w:tcPr>
            <w:tcW w:w="3250" w:type="dxa"/>
            <w:gridSpan w:val="5"/>
            <w:tcBorders>
              <w:top w:val="single" w:color="auto" w:sz="4" w:space="0"/>
              <w:left w:val="single" w:color="auto" w:sz="4" w:space="0"/>
              <w:bottom w:val="single" w:color="auto" w:sz="4" w:space="0"/>
              <w:right w:val="single" w:color="auto" w:sz="4" w:space="0"/>
            </w:tcBorders>
            <w:noWrap w:val="0"/>
            <w:vAlign w:val="center"/>
          </w:tcPr>
          <w:p>
            <w:pPr>
              <w:topLinePunct/>
              <w:spacing w:line="440" w:lineRule="exact"/>
              <w:jc w:val="center"/>
              <w:rPr>
                <w:rFonts w:ascii="宋体" w:hAnsi="宋体"/>
                <w:color w:val="auto"/>
                <w:szCs w:val="21"/>
                <w:highlight w:val="none"/>
              </w:rPr>
            </w:pPr>
          </w:p>
        </w:tc>
        <w:tc>
          <w:tcPr>
            <w:tcW w:w="736" w:type="dxa"/>
            <w:tcBorders>
              <w:top w:val="single" w:color="auto" w:sz="4" w:space="0"/>
              <w:left w:val="single" w:color="auto" w:sz="4" w:space="0"/>
              <w:bottom w:val="single" w:color="auto" w:sz="4" w:space="0"/>
              <w:right w:val="single" w:color="auto" w:sz="4" w:space="0"/>
            </w:tcBorders>
            <w:noWrap w:val="0"/>
            <w:vAlign w:val="center"/>
          </w:tcPr>
          <w:p>
            <w:pPr>
              <w:topLinePunct/>
              <w:spacing w:line="440" w:lineRule="exact"/>
              <w:jc w:val="center"/>
              <w:rPr>
                <w:rFonts w:ascii="宋体" w:hAnsi="宋体"/>
                <w:color w:val="auto"/>
                <w:szCs w:val="21"/>
                <w:highlight w:val="none"/>
              </w:rPr>
            </w:pPr>
            <w:r>
              <w:rPr>
                <w:rFonts w:ascii="宋体" w:hAnsi="宋体"/>
                <w:color w:val="auto"/>
                <w:szCs w:val="21"/>
                <w:highlight w:val="none"/>
              </w:rPr>
              <w:t>邮政编码</w:t>
            </w:r>
          </w:p>
        </w:tc>
        <w:tc>
          <w:tcPr>
            <w:tcW w:w="2073" w:type="dxa"/>
            <w:gridSpan w:val="2"/>
            <w:tcBorders>
              <w:top w:val="single" w:color="auto" w:sz="4" w:space="0"/>
              <w:left w:val="single" w:color="auto" w:sz="4" w:space="0"/>
              <w:bottom w:val="single" w:color="auto" w:sz="4" w:space="0"/>
              <w:right w:val="single" w:color="auto" w:sz="4" w:space="0"/>
            </w:tcBorders>
            <w:noWrap w:val="0"/>
            <w:vAlign w:val="center"/>
          </w:tcPr>
          <w:p>
            <w:pPr>
              <w:topLinePunct/>
              <w:spacing w:line="440" w:lineRule="exact"/>
              <w:jc w:val="center"/>
              <w:rPr>
                <w:rFonts w:ascii="宋体" w:hAnsi="宋体"/>
                <w:color w:val="auto"/>
                <w:szCs w:val="21"/>
                <w:highlight w:val="none"/>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wAfter w:w="0" w:type="auto"/>
          <w:cantSplit/>
          <w:trHeight w:val="605" w:hRule="atLeast"/>
        </w:trPr>
        <w:tc>
          <w:tcPr>
            <w:tcW w:w="2150" w:type="dxa"/>
            <w:vMerge w:val="restart"/>
            <w:tcBorders>
              <w:top w:val="single" w:color="auto" w:sz="4" w:space="0"/>
              <w:left w:val="single" w:color="auto" w:sz="4" w:space="0"/>
              <w:bottom w:val="single" w:color="auto" w:sz="4" w:space="0"/>
              <w:right w:val="single" w:color="auto" w:sz="4" w:space="0"/>
            </w:tcBorders>
            <w:noWrap w:val="0"/>
            <w:vAlign w:val="center"/>
          </w:tcPr>
          <w:p>
            <w:pPr>
              <w:topLinePunct/>
              <w:spacing w:line="440" w:lineRule="exact"/>
              <w:jc w:val="center"/>
              <w:rPr>
                <w:rFonts w:ascii="宋体" w:hAnsi="宋体"/>
                <w:color w:val="auto"/>
                <w:szCs w:val="21"/>
                <w:highlight w:val="none"/>
              </w:rPr>
            </w:pPr>
            <w:r>
              <w:rPr>
                <w:rFonts w:ascii="宋体" w:hAnsi="宋体"/>
                <w:color w:val="auto"/>
                <w:szCs w:val="21"/>
                <w:highlight w:val="none"/>
              </w:rPr>
              <w:t>联系方式</w:t>
            </w:r>
          </w:p>
        </w:tc>
        <w:tc>
          <w:tcPr>
            <w:tcW w:w="898" w:type="dxa"/>
            <w:tcBorders>
              <w:top w:val="single" w:color="auto" w:sz="4" w:space="0"/>
              <w:left w:val="single" w:color="auto" w:sz="4" w:space="0"/>
              <w:bottom w:val="single" w:color="auto" w:sz="4" w:space="0"/>
              <w:right w:val="single" w:color="auto" w:sz="4" w:space="0"/>
            </w:tcBorders>
            <w:noWrap w:val="0"/>
            <w:vAlign w:val="center"/>
          </w:tcPr>
          <w:p>
            <w:pPr>
              <w:topLinePunct/>
              <w:spacing w:line="440" w:lineRule="exact"/>
              <w:jc w:val="center"/>
              <w:rPr>
                <w:rFonts w:ascii="宋体" w:hAnsi="宋体"/>
                <w:color w:val="auto"/>
                <w:szCs w:val="21"/>
                <w:highlight w:val="none"/>
              </w:rPr>
            </w:pPr>
            <w:r>
              <w:rPr>
                <w:rFonts w:ascii="宋体" w:hAnsi="宋体"/>
                <w:color w:val="auto"/>
                <w:szCs w:val="21"/>
                <w:highlight w:val="none"/>
              </w:rPr>
              <w:t>联系人</w:t>
            </w:r>
          </w:p>
        </w:tc>
        <w:tc>
          <w:tcPr>
            <w:tcW w:w="2352" w:type="dxa"/>
            <w:gridSpan w:val="4"/>
            <w:tcBorders>
              <w:top w:val="single" w:color="auto" w:sz="4" w:space="0"/>
              <w:left w:val="single" w:color="auto" w:sz="4" w:space="0"/>
              <w:bottom w:val="single" w:color="auto" w:sz="4" w:space="0"/>
              <w:right w:val="single" w:color="auto" w:sz="4" w:space="0"/>
            </w:tcBorders>
            <w:noWrap w:val="0"/>
            <w:vAlign w:val="center"/>
          </w:tcPr>
          <w:p>
            <w:pPr>
              <w:topLinePunct/>
              <w:spacing w:line="440" w:lineRule="exact"/>
              <w:jc w:val="center"/>
              <w:rPr>
                <w:rFonts w:ascii="宋体" w:hAnsi="宋体"/>
                <w:color w:val="auto"/>
                <w:szCs w:val="21"/>
                <w:highlight w:val="none"/>
              </w:rPr>
            </w:pPr>
          </w:p>
        </w:tc>
        <w:tc>
          <w:tcPr>
            <w:tcW w:w="736" w:type="dxa"/>
            <w:tcBorders>
              <w:top w:val="single" w:color="auto" w:sz="4" w:space="0"/>
              <w:left w:val="single" w:color="auto" w:sz="4" w:space="0"/>
              <w:bottom w:val="single" w:color="auto" w:sz="4" w:space="0"/>
              <w:right w:val="single" w:color="auto" w:sz="4" w:space="0"/>
            </w:tcBorders>
            <w:noWrap w:val="0"/>
            <w:vAlign w:val="center"/>
          </w:tcPr>
          <w:p>
            <w:pPr>
              <w:topLinePunct/>
              <w:spacing w:line="440" w:lineRule="exact"/>
              <w:jc w:val="center"/>
              <w:rPr>
                <w:rFonts w:ascii="宋体" w:hAnsi="宋体"/>
                <w:color w:val="auto"/>
                <w:szCs w:val="21"/>
                <w:highlight w:val="none"/>
              </w:rPr>
            </w:pPr>
            <w:r>
              <w:rPr>
                <w:rFonts w:ascii="宋体" w:hAnsi="宋体"/>
                <w:color w:val="auto"/>
                <w:szCs w:val="21"/>
                <w:highlight w:val="none"/>
              </w:rPr>
              <w:t>电 话</w:t>
            </w:r>
          </w:p>
        </w:tc>
        <w:tc>
          <w:tcPr>
            <w:tcW w:w="2073" w:type="dxa"/>
            <w:gridSpan w:val="2"/>
            <w:tcBorders>
              <w:top w:val="single" w:color="auto" w:sz="4" w:space="0"/>
              <w:left w:val="single" w:color="auto" w:sz="4" w:space="0"/>
              <w:bottom w:val="single" w:color="auto" w:sz="4" w:space="0"/>
              <w:right w:val="single" w:color="auto" w:sz="4" w:space="0"/>
            </w:tcBorders>
            <w:noWrap w:val="0"/>
            <w:vAlign w:val="center"/>
          </w:tcPr>
          <w:p>
            <w:pPr>
              <w:topLinePunct/>
              <w:spacing w:line="440" w:lineRule="exact"/>
              <w:jc w:val="center"/>
              <w:rPr>
                <w:rFonts w:ascii="宋体" w:hAnsi="宋体"/>
                <w:color w:val="auto"/>
                <w:szCs w:val="21"/>
                <w:highlight w:val="none"/>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wAfter w:w="0" w:type="auto"/>
          <w:cantSplit/>
          <w:trHeight w:val="613" w:hRule="atLeast"/>
        </w:trPr>
        <w:tc>
          <w:tcPr>
            <w:tcW w:w="2150" w:type="dxa"/>
            <w:vMerge w:val="continue"/>
            <w:tcBorders>
              <w:top w:val="single" w:color="auto" w:sz="4" w:space="0"/>
              <w:left w:val="single" w:color="auto" w:sz="4" w:space="0"/>
              <w:bottom w:val="single" w:color="auto" w:sz="4" w:space="0"/>
              <w:right w:val="single" w:color="auto" w:sz="4" w:space="0"/>
            </w:tcBorders>
            <w:noWrap w:val="0"/>
            <w:vAlign w:val="center"/>
          </w:tcPr>
          <w:p>
            <w:pPr>
              <w:topLinePunct/>
              <w:spacing w:line="440" w:lineRule="exact"/>
              <w:jc w:val="center"/>
              <w:rPr>
                <w:rFonts w:ascii="宋体" w:hAnsi="宋体"/>
                <w:color w:val="auto"/>
                <w:szCs w:val="21"/>
                <w:highlight w:val="none"/>
              </w:rPr>
            </w:pPr>
          </w:p>
        </w:tc>
        <w:tc>
          <w:tcPr>
            <w:tcW w:w="898" w:type="dxa"/>
            <w:tcBorders>
              <w:top w:val="single" w:color="auto" w:sz="4" w:space="0"/>
              <w:left w:val="single" w:color="auto" w:sz="4" w:space="0"/>
              <w:bottom w:val="single" w:color="auto" w:sz="4" w:space="0"/>
              <w:right w:val="single" w:color="auto" w:sz="4" w:space="0"/>
            </w:tcBorders>
            <w:noWrap w:val="0"/>
            <w:vAlign w:val="center"/>
          </w:tcPr>
          <w:p>
            <w:pPr>
              <w:topLinePunct/>
              <w:spacing w:line="440" w:lineRule="exact"/>
              <w:jc w:val="center"/>
              <w:rPr>
                <w:rFonts w:ascii="宋体" w:hAnsi="宋体"/>
                <w:color w:val="auto"/>
                <w:szCs w:val="21"/>
                <w:highlight w:val="none"/>
              </w:rPr>
            </w:pPr>
            <w:r>
              <w:rPr>
                <w:rFonts w:ascii="宋体" w:hAnsi="宋体"/>
                <w:color w:val="auto"/>
                <w:szCs w:val="21"/>
                <w:highlight w:val="none"/>
              </w:rPr>
              <w:t>传  真</w:t>
            </w:r>
          </w:p>
        </w:tc>
        <w:tc>
          <w:tcPr>
            <w:tcW w:w="2352" w:type="dxa"/>
            <w:gridSpan w:val="4"/>
            <w:tcBorders>
              <w:top w:val="single" w:color="auto" w:sz="4" w:space="0"/>
              <w:left w:val="single" w:color="auto" w:sz="4" w:space="0"/>
              <w:bottom w:val="single" w:color="auto" w:sz="4" w:space="0"/>
              <w:right w:val="single" w:color="auto" w:sz="4" w:space="0"/>
            </w:tcBorders>
            <w:noWrap w:val="0"/>
            <w:vAlign w:val="center"/>
          </w:tcPr>
          <w:p>
            <w:pPr>
              <w:topLinePunct/>
              <w:spacing w:line="440" w:lineRule="exact"/>
              <w:jc w:val="center"/>
              <w:rPr>
                <w:rFonts w:ascii="宋体" w:hAnsi="宋体"/>
                <w:color w:val="auto"/>
                <w:szCs w:val="21"/>
                <w:highlight w:val="none"/>
              </w:rPr>
            </w:pPr>
          </w:p>
        </w:tc>
        <w:tc>
          <w:tcPr>
            <w:tcW w:w="736" w:type="dxa"/>
            <w:tcBorders>
              <w:top w:val="single" w:color="auto" w:sz="4" w:space="0"/>
              <w:left w:val="single" w:color="auto" w:sz="4" w:space="0"/>
              <w:bottom w:val="single" w:color="auto" w:sz="4" w:space="0"/>
              <w:right w:val="single" w:color="auto" w:sz="4" w:space="0"/>
            </w:tcBorders>
            <w:noWrap w:val="0"/>
            <w:vAlign w:val="center"/>
          </w:tcPr>
          <w:p>
            <w:pPr>
              <w:topLinePunct/>
              <w:spacing w:line="440" w:lineRule="exact"/>
              <w:jc w:val="center"/>
              <w:rPr>
                <w:rFonts w:ascii="宋体" w:hAnsi="宋体"/>
                <w:color w:val="auto"/>
                <w:szCs w:val="21"/>
                <w:highlight w:val="none"/>
              </w:rPr>
            </w:pPr>
            <w:r>
              <w:rPr>
                <w:rFonts w:ascii="宋体" w:hAnsi="宋体"/>
                <w:color w:val="auto"/>
                <w:szCs w:val="21"/>
                <w:highlight w:val="none"/>
              </w:rPr>
              <w:t>网 址</w:t>
            </w:r>
          </w:p>
        </w:tc>
        <w:tc>
          <w:tcPr>
            <w:tcW w:w="2073" w:type="dxa"/>
            <w:gridSpan w:val="2"/>
            <w:tcBorders>
              <w:top w:val="single" w:color="auto" w:sz="4" w:space="0"/>
              <w:left w:val="single" w:color="auto" w:sz="4" w:space="0"/>
              <w:bottom w:val="single" w:color="auto" w:sz="4" w:space="0"/>
              <w:right w:val="single" w:color="auto" w:sz="4" w:space="0"/>
            </w:tcBorders>
            <w:noWrap w:val="0"/>
            <w:vAlign w:val="center"/>
          </w:tcPr>
          <w:p>
            <w:pPr>
              <w:topLinePunct/>
              <w:spacing w:line="440" w:lineRule="exact"/>
              <w:jc w:val="center"/>
              <w:rPr>
                <w:rFonts w:ascii="宋体" w:hAnsi="宋体"/>
                <w:color w:val="auto"/>
                <w:szCs w:val="21"/>
                <w:highlight w:val="none"/>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wAfter w:w="0" w:type="auto"/>
          <w:trHeight w:val="614" w:hRule="atLeast"/>
        </w:trPr>
        <w:tc>
          <w:tcPr>
            <w:tcW w:w="2150" w:type="dxa"/>
            <w:tcBorders>
              <w:top w:val="single" w:color="auto" w:sz="4" w:space="0"/>
              <w:left w:val="single" w:color="auto" w:sz="4" w:space="0"/>
              <w:bottom w:val="single" w:color="auto" w:sz="4" w:space="0"/>
              <w:right w:val="single" w:color="auto" w:sz="4" w:space="0"/>
            </w:tcBorders>
            <w:noWrap w:val="0"/>
            <w:vAlign w:val="center"/>
          </w:tcPr>
          <w:p>
            <w:pPr>
              <w:topLinePunct/>
              <w:spacing w:line="440" w:lineRule="exact"/>
              <w:jc w:val="center"/>
              <w:rPr>
                <w:rFonts w:ascii="宋体" w:hAnsi="宋体"/>
                <w:color w:val="auto"/>
                <w:szCs w:val="21"/>
                <w:highlight w:val="none"/>
              </w:rPr>
            </w:pPr>
            <w:r>
              <w:rPr>
                <w:rFonts w:ascii="宋体" w:hAnsi="宋体"/>
                <w:color w:val="auto"/>
                <w:szCs w:val="21"/>
                <w:highlight w:val="none"/>
              </w:rPr>
              <w:t>组织结构</w:t>
            </w:r>
          </w:p>
        </w:tc>
        <w:tc>
          <w:tcPr>
            <w:tcW w:w="6059" w:type="dxa"/>
            <w:gridSpan w:val="8"/>
            <w:tcBorders>
              <w:top w:val="single" w:color="auto" w:sz="4" w:space="0"/>
              <w:left w:val="single" w:color="auto" w:sz="4" w:space="0"/>
              <w:bottom w:val="single" w:color="auto" w:sz="4" w:space="0"/>
              <w:right w:val="single" w:color="auto" w:sz="4" w:space="0"/>
            </w:tcBorders>
            <w:noWrap w:val="0"/>
            <w:vAlign w:val="center"/>
          </w:tcPr>
          <w:p>
            <w:pPr>
              <w:topLinePunct/>
              <w:spacing w:line="440" w:lineRule="exact"/>
              <w:jc w:val="center"/>
              <w:rPr>
                <w:rFonts w:ascii="宋体" w:hAnsi="宋体"/>
                <w:color w:val="auto"/>
                <w:szCs w:val="21"/>
                <w:highlight w:val="none"/>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wAfter w:w="0" w:type="auto"/>
          <w:trHeight w:val="608" w:hRule="atLeast"/>
        </w:trPr>
        <w:tc>
          <w:tcPr>
            <w:tcW w:w="2150" w:type="dxa"/>
            <w:tcBorders>
              <w:top w:val="single" w:color="auto" w:sz="4" w:space="0"/>
              <w:left w:val="single" w:color="auto" w:sz="4" w:space="0"/>
              <w:bottom w:val="single" w:color="auto" w:sz="4" w:space="0"/>
              <w:right w:val="single" w:color="auto" w:sz="4" w:space="0"/>
            </w:tcBorders>
            <w:noWrap w:val="0"/>
            <w:vAlign w:val="center"/>
          </w:tcPr>
          <w:p>
            <w:pPr>
              <w:topLinePunct/>
              <w:spacing w:line="440" w:lineRule="exact"/>
              <w:jc w:val="center"/>
              <w:rPr>
                <w:rFonts w:ascii="宋体" w:hAnsi="宋体"/>
                <w:color w:val="auto"/>
                <w:szCs w:val="21"/>
                <w:highlight w:val="none"/>
              </w:rPr>
            </w:pPr>
            <w:r>
              <w:rPr>
                <w:rFonts w:ascii="宋体" w:hAnsi="宋体"/>
                <w:color w:val="auto"/>
                <w:szCs w:val="21"/>
                <w:highlight w:val="none"/>
              </w:rPr>
              <w:t>法定代表人</w:t>
            </w:r>
          </w:p>
        </w:tc>
        <w:tc>
          <w:tcPr>
            <w:tcW w:w="898" w:type="dxa"/>
            <w:tcBorders>
              <w:top w:val="single" w:color="auto" w:sz="4" w:space="0"/>
              <w:left w:val="single" w:color="auto" w:sz="4" w:space="0"/>
              <w:bottom w:val="single" w:color="auto" w:sz="4" w:space="0"/>
              <w:right w:val="single" w:color="auto" w:sz="4" w:space="0"/>
            </w:tcBorders>
            <w:noWrap w:val="0"/>
            <w:vAlign w:val="center"/>
          </w:tcPr>
          <w:p>
            <w:pPr>
              <w:topLinePunct/>
              <w:spacing w:line="440" w:lineRule="exact"/>
              <w:jc w:val="center"/>
              <w:rPr>
                <w:rFonts w:ascii="宋体" w:hAnsi="宋体"/>
                <w:color w:val="auto"/>
                <w:szCs w:val="21"/>
                <w:highlight w:val="none"/>
              </w:rPr>
            </w:pPr>
            <w:r>
              <w:rPr>
                <w:rFonts w:ascii="宋体" w:hAnsi="宋体"/>
                <w:color w:val="auto"/>
                <w:szCs w:val="21"/>
                <w:highlight w:val="none"/>
              </w:rPr>
              <w:t>姓名</w:t>
            </w:r>
          </w:p>
        </w:tc>
        <w:tc>
          <w:tcPr>
            <w:tcW w:w="951" w:type="dxa"/>
            <w:tcBorders>
              <w:top w:val="single" w:color="auto" w:sz="4" w:space="0"/>
              <w:left w:val="single" w:color="auto" w:sz="4" w:space="0"/>
              <w:bottom w:val="single" w:color="auto" w:sz="4" w:space="0"/>
              <w:right w:val="single" w:color="auto" w:sz="4" w:space="0"/>
            </w:tcBorders>
            <w:noWrap w:val="0"/>
            <w:vAlign w:val="center"/>
          </w:tcPr>
          <w:p>
            <w:pPr>
              <w:topLinePunct/>
              <w:spacing w:line="440" w:lineRule="exact"/>
              <w:jc w:val="center"/>
              <w:rPr>
                <w:rFonts w:ascii="宋体" w:hAnsi="宋体"/>
                <w:color w:val="auto"/>
                <w:szCs w:val="21"/>
                <w:highlight w:val="none"/>
              </w:rPr>
            </w:pPr>
          </w:p>
        </w:tc>
        <w:tc>
          <w:tcPr>
            <w:tcW w:w="1260" w:type="dxa"/>
            <w:gridSpan w:val="2"/>
            <w:tcBorders>
              <w:top w:val="single" w:color="auto" w:sz="4" w:space="0"/>
              <w:left w:val="single" w:color="auto" w:sz="4" w:space="0"/>
              <w:bottom w:val="single" w:color="auto" w:sz="4" w:space="0"/>
              <w:right w:val="single" w:color="auto" w:sz="4" w:space="0"/>
            </w:tcBorders>
            <w:noWrap w:val="0"/>
            <w:vAlign w:val="center"/>
          </w:tcPr>
          <w:p>
            <w:pPr>
              <w:topLinePunct/>
              <w:spacing w:line="440" w:lineRule="exact"/>
              <w:jc w:val="center"/>
              <w:rPr>
                <w:rFonts w:ascii="宋体" w:hAnsi="宋体"/>
                <w:color w:val="auto"/>
                <w:szCs w:val="21"/>
                <w:highlight w:val="none"/>
              </w:rPr>
            </w:pPr>
            <w:r>
              <w:rPr>
                <w:rFonts w:ascii="宋体" w:hAnsi="宋体"/>
                <w:color w:val="auto"/>
                <w:szCs w:val="21"/>
                <w:highlight w:val="none"/>
              </w:rPr>
              <w:t>技术职称</w:t>
            </w:r>
          </w:p>
        </w:tc>
        <w:tc>
          <w:tcPr>
            <w:tcW w:w="877" w:type="dxa"/>
            <w:gridSpan w:val="2"/>
            <w:tcBorders>
              <w:top w:val="single" w:color="auto" w:sz="4" w:space="0"/>
              <w:left w:val="single" w:color="auto" w:sz="4" w:space="0"/>
              <w:bottom w:val="single" w:color="auto" w:sz="4" w:space="0"/>
              <w:right w:val="single" w:color="auto" w:sz="4" w:space="0"/>
            </w:tcBorders>
            <w:noWrap w:val="0"/>
            <w:vAlign w:val="center"/>
          </w:tcPr>
          <w:p>
            <w:pPr>
              <w:topLinePunct/>
              <w:spacing w:line="440" w:lineRule="exact"/>
              <w:jc w:val="center"/>
              <w:rPr>
                <w:rFonts w:ascii="宋体" w:hAnsi="宋体"/>
                <w:color w:val="auto"/>
                <w:szCs w:val="21"/>
                <w:highlight w:val="none"/>
              </w:rPr>
            </w:pPr>
          </w:p>
        </w:tc>
        <w:tc>
          <w:tcPr>
            <w:tcW w:w="1118" w:type="dxa"/>
            <w:tcBorders>
              <w:top w:val="single" w:color="auto" w:sz="4" w:space="0"/>
              <w:left w:val="single" w:color="auto" w:sz="4" w:space="0"/>
              <w:bottom w:val="single" w:color="auto" w:sz="4" w:space="0"/>
              <w:right w:val="single" w:color="auto" w:sz="4" w:space="0"/>
            </w:tcBorders>
            <w:noWrap w:val="0"/>
            <w:vAlign w:val="center"/>
          </w:tcPr>
          <w:p>
            <w:pPr>
              <w:topLinePunct/>
              <w:spacing w:line="440" w:lineRule="exact"/>
              <w:jc w:val="center"/>
              <w:rPr>
                <w:rFonts w:ascii="宋体" w:hAnsi="宋体"/>
                <w:color w:val="auto"/>
                <w:szCs w:val="21"/>
                <w:highlight w:val="none"/>
              </w:rPr>
            </w:pPr>
            <w:r>
              <w:rPr>
                <w:rFonts w:ascii="宋体" w:hAnsi="宋体"/>
                <w:color w:val="auto"/>
                <w:szCs w:val="21"/>
                <w:highlight w:val="none"/>
              </w:rPr>
              <w:t>电话</w:t>
            </w:r>
          </w:p>
        </w:tc>
        <w:tc>
          <w:tcPr>
            <w:tcW w:w="955" w:type="dxa"/>
            <w:tcBorders>
              <w:top w:val="single" w:color="auto" w:sz="4" w:space="0"/>
              <w:left w:val="single" w:color="auto" w:sz="4" w:space="0"/>
              <w:bottom w:val="single" w:color="auto" w:sz="4" w:space="0"/>
              <w:right w:val="single" w:color="auto" w:sz="4" w:space="0"/>
            </w:tcBorders>
            <w:noWrap w:val="0"/>
            <w:vAlign w:val="center"/>
          </w:tcPr>
          <w:p>
            <w:pPr>
              <w:topLinePunct/>
              <w:spacing w:line="440" w:lineRule="exact"/>
              <w:jc w:val="center"/>
              <w:rPr>
                <w:rFonts w:ascii="宋体" w:hAnsi="宋体"/>
                <w:color w:val="auto"/>
                <w:szCs w:val="21"/>
                <w:highlight w:val="none"/>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wAfter w:w="0" w:type="auto"/>
          <w:trHeight w:val="602" w:hRule="atLeast"/>
        </w:trPr>
        <w:tc>
          <w:tcPr>
            <w:tcW w:w="2150" w:type="dxa"/>
            <w:tcBorders>
              <w:top w:val="single" w:color="auto" w:sz="4" w:space="0"/>
              <w:left w:val="single" w:color="auto" w:sz="4" w:space="0"/>
              <w:bottom w:val="single" w:color="auto" w:sz="4" w:space="0"/>
              <w:right w:val="single" w:color="auto" w:sz="4" w:space="0"/>
            </w:tcBorders>
            <w:noWrap w:val="0"/>
            <w:vAlign w:val="center"/>
          </w:tcPr>
          <w:p>
            <w:pPr>
              <w:topLinePunct/>
              <w:spacing w:line="440" w:lineRule="exact"/>
              <w:jc w:val="center"/>
              <w:rPr>
                <w:rFonts w:ascii="宋体" w:hAnsi="宋体"/>
                <w:color w:val="auto"/>
                <w:szCs w:val="21"/>
                <w:highlight w:val="none"/>
              </w:rPr>
            </w:pPr>
            <w:r>
              <w:rPr>
                <w:rFonts w:ascii="宋体" w:hAnsi="宋体"/>
                <w:color w:val="auto"/>
                <w:szCs w:val="21"/>
                <w:highlight w:val="none"/>
              </w:rPr>
              <w:t>技术负责人</w:t>
            </w:r>
          </w:p>
        </w:tc>
        <w:tc>
          <w:tcPr>
            <w:tcW w:w="898" w:type="dxa"/>
            <w:tcBorders>
              <w:top w:val="single" w:color="auto" w:sz="4" w:space="0"/>
              <w:left w:val="single" w:color="auto" w:sz="4" w:space="0"/>
              <w:bottom w:val="single" w:color="auto" w:sz="4" w:space="0"/>
              <w:right w:val="single" w:color="auto" w:sz="4" w:space="0"/>
            </w:tcBorders>
            <w:noWrap w:val="0"/>
            <w:vAlign w:val="center"/>
          </w:tcPr>
          <w:p>
            <w:pPr>
              <w:topLinePunct/>
              <w:spacing w:line="440" w:lineRule="exact"/>
              <w:jc w:val="center"/>
              <w:rPr>
                <w:rFonts w:ascii="宋体" w:hAnsi="宋体"/>
                <w:color w:val="auto"/>
                <w:szCs w:val="21"/>
                <w:highlight w:val="none"/>
              </w:rPr>
            </w:pPr>
            <w:r>
              <w:rPr>
                <w:rFonts w:ascii="宋体" w:hAnsi="宋体"/>
                <w:color w:val="auto"/>
                <w:szCs w:val="21"/>
                <w:highlight w:val="none"/>
              </w:rPr>
              <w:t>姓名</w:t>
            </w:r>
          </w:p>
        </w:tc>
        <w:tc>
          <w:tcPr>
            <w:tcW w:w="951" w:type="dxa"/>
            <w:tcBorders>
              <w:top w:val="single" w:color="auto" w:sz="4" w:space="0"/>
              <w:left w:val="single" w:color="auto" w:sz="4" w:space="0"/>
              <w:bottom w:val="single" w:color="auto" w:sz="4" w:space="0"/>
              <w:right w:val="single" w:color="auto" w:sz="4" w:space="0"/>
            </w:tcBorders>
            <w:noWrap w:val="0"/>
            <w:vAlign w:val="center"/>
          </w:tcPr>
          <w:p>
            <w:pPr>
              <w:topLinePunct/>
              <w:spacing w:line="440" w:lineRule="exact"/>
              <w:jc w:val="center"/>
              <w:rPr>
                <w:rFonts w:ascii="宋体" w:hAnsi="宋体"/>
                <w:color w:val="auto"/>
                <w:szCs w:val="21"/>
                <w:highlight w:val="none"/>
              </w:rPr>
            </w:pPr>
          </w:p>
        </w:tc>
        <w:tc>
          <w:tcPr>
            <w:tcW w:w="1260" w:type="dxa"/>
            <w:gridSpan w:val="2"/>
            <w:tcBorders>
              <w:top w:val="single" w:color="auto" w:sz="4" w:space="0"/>
              <w:left w:val="single" w:color="auto" w:sz="4" w:space="0"/>
              <w:bottom w:val="single" w:color="auto" w:sz="4" w:space="0"/>
              <w:right w:val="single" w:color="auto" w:sz="4" w:space="0"/>
            </w:tcBorders>
            <w:noWrap w:val="0"/>
            <w:vAlign w:val="center"/>
          </w:tcPr>
          <w:p>
            <w:pPr>
              <w:topLinePunct/>
              <w:spacing w:line="440" w:lineRule="exact"/>
              <w:jc w:val="center"/>
              <w:rPr>
                <w:rFonts w:ascii="宋体" w:hAnsi="宋体"/>
                <w:color w:val="auto"/>
                <w:szCs w:val="21"/>
                <w:highlight w:val="none"/>
              </w:rPr>
            </w:pPr>
            <w:r>
              <w:rPr>
                <w:rFonts w:ascii="宋体" w:hAnsi="宋体"/>
                <w:color w:val="auto"/>
                <w:szCs w:val="21"/>
                <w:highlight w:val="none"/>
              </w:rPr>
              <w:t>技术职称</w:t>
            </w:r>
          </w:p>
        </w:tc>
        <w:tc>
          <w:tcPr>
            <w:tcW w:w="877" w:type="dxa"/>
            <w:gridSpan w:val="2"/>
            <w:tcBorders>
              <w:top w:val="single" w:color="auto" w:sz="4" w:space="0"/>
              <w:left w:val="single" w:color="auto" w:sz="4" w:space="0"/>
              <w:bottom w:val="single" w:color="auto" w:sz="4" w:space="0"/>
              <w:right w:val="single" w:color="auto" w:sz="4" w:space="0"/>
            </w:tcBorders>
            <w:noWrap w:val="0"/>
            <w:vAlign w:val="center"/>
          </w:tcPr>
          <w:p>
            <w:pPr>
              <w:topLinePunct/>
              <w:spacing w:line="440" w:lineRule="exact"/>
              <w:jc w:val="center"/>
              <w:rPr>
                <w:rFonts w:ascii="宋体" w:hAnsi="宋体"/>
                <w:color w:val="auto"/>
                <w:szCs w:val="21"/>
                <w:highlight w:val="none"/>
              </w:rPr>
            </w:pPr>
          </w:p>
        </w:tc>
        <w:tc>
          <w:tcPr>
            <w:tcW w:w="1118" w:type="dxa"/>
            <w:tcBorders>
              <w:top w:val="single" w:color="auto" w:sz="4" w:space="0"/>
              <w:left w:val="single" w:color="auto" w:sz="4" w:space="0"/>
              <w:bottom w:val="single" w:color="auto" w:sz="4" w:space="0"/>
              <w:right w:val="single" w:color="auto" w:sz="4" w:space="0"/>
            </w:tcBorders>
            <w:noWrap w:val="0"/>
            <w:vAlign w:val="center"/>
          </w:tcPr>
          <w:p>
            <w:pPr>
              <w:topLinePunct/>
              <w:spacing w:line="440" w:lineRule="exact"/>
              <w:jc w:val="center"/>
              <w:rPr>
                <w:rFonts w:ascii="宋体" w:hAnsi="宋体"/>
                <w:color w:val="auto"/>
                <w:szCs w:val="21"/>
                <w:highlight w:val="none"/>
              </w:rPr>
            </w:pPr>
            <w:r>
              <w:rPr>
                <w:rFonts w:ascii="宋体" w:hAnsi="宋体"/>
                <w:color w:val="auto"/>
                <w:szCs w:val="21"/>
                <w:highlight w:val="none"/>
              </w:rPr>
              <w:t>电话</w:t>
            </w:r>
          </w:p>
        </w:tc>
        <w:tc>
          <w:tcPr>
            <w:tcW w:w="955" w:type="dxa"/>
            <w:tcBorders>
              <w:top w:val="single" w:color="auto" w:sz="4" w:space="0"/>
              <w:left w:val="single" w:color="auto" w:sz="4" w:space="0"/>
              <w:bottom w:val="single" w:color="auto" w:sz="4" w:space="0"/>
              <w:right w:val="single" w:color="auto" w:sz="4" w:space="0"/>
            </w:tcBorders>
            <w:noWrap w:val="0"/>
            <w:vAlign w:val="center"/>
          </w:tcPr>
          <w:p>
            <w:pPr>
              <w:topLinePunct/>
              <w:spacing w:line="440" w:lineRule="exact"/>
              <w:jc w:val="center"/>
              <w:rPr>
                <w:rFonts w:ascii="宋体" w:hAnsi="宋体"/>
                <w:color w:val="auto"/>
                <w:szCs w:val="21"/>
                <w:highlight w:val="none"/>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wAfter w:w="0" w:type="auto"/>
          <w:trHeight w:val="624" w:hRule="atLeast"/>
        </w:trPr>
        <w:tc>
          <w:tcPr>
            <w:tcW w:w="2150" w:type="dxa"/>
            <w:tcBorders>
              <w:top w:val="single" w:color="auto" w:sz="4" w:space="0"/>
              <w:left w:val="single" w:color="auto" w:sz="4" w:space="0"/>
              <w:bottom w:val="single" w:color="auto" w:sz="4" w:space="0"/>
              <w:right w:val="single" w:color="auto" w:sz="4" w:space="0"/>
            </w:tcBorders>
            <w:noWrap w:val="0"/>
            <w:vAlign w:val="center"/>
          </w:tcPr>
          <w:p>
            <w:pPr>
              <w:topLinePunct/>
              <w:spacing w:line="440" w:lineRule="exact"/>
              <w:jc w:val="center"/>
              <w:rPr>
                <w:rFonts w:ascii="宋体" w:hAnsi="宋体"/>
                <w:color w:val="auto"/>
                <w:szCs w:val="21"/>
                <w:highlight w:val="none"/>
              </w:rPr>
            </w:pPr>
            <w:r>
              <w:rPr>
                <w:rFonts w:ascii="宋体" w:hAnsi="宋体"/>
                <w:color w:val="auto"/>
                <w:szCs w:val="21"/>
                <w:highlight w:val="none"/>
              </w:rPr>
              <w:t>成立时间</w:t>
            </w:r>
          </w:p>
        </w:tc>
        <w:tc>
          <w:tcPr>
            <w:tcW w:w="1849" w:type="dxa"/>
            <w:gridSpan w:val="2"/>
            <w:tcBorders>
              <w:top w:val="single" w:color="auto" w:sz="4" w:space="0"/>
              <w:left w:val="single" w:color="auto" w:sz="4" w:space="0"/>
              <w:bottom w:val="single" w:color="auto" w:sz="4" w:space="0"/>
              <w:right w:val="single" w:color="auto" w:sz="4" w:space="0"/>
            </w:tcBorders>
            <w:noWrap w:val="0"/>
            <w:vAlign w:val="center"/>
          </w:tcPr>
          <w:p>
            <w:pPr>
              <w:topLinePunct/>
              <w:spacing w:line="440" w:lineRule="exact"/>
              <w:jc w:val="center"/>
              <w:rPr>
                <w:rFonts w:ascii="宋体" w:hAnsi="宋体"/>
                <w:color w:val="auto"/>
                <w:szCs w:val="21"/>
                <w:highlight w:val="none"/>
              </w:rPr>
            </w:pPr>
          </w:p>
        </w:tc>
        <w:tc>
          <w:tcPr>
            <w:tcW w:w="4210" w:type="dxa"/>
            <w:gridSpan w:val="6"/>
            <w:tcBorders>
              <w:top w:val="single" w:color="auto" w:sz="4" w:space="0"/>
              <w:left w:val="single" w:color="auto" w:sz="4" w:space="0"/>
              <w:bottom w:val="single" w:color="auto" w:sz="4" w:space="0"/>
              <w:right w:val="single" w:color="auto" w:sz="4" w:space="0"/>
            </w:tcBorders>
            <w:noWrap w:val="0"/>
            <w:vAlign w:val="center"/>
          </w:tcPr>
          <w:p>
            <w:pPr>
              <w:topLinePunct/>
              <w:spacing w:line="440" w:lineRule="exact"/>
              <w:ind w:firstLine="105" w:firstLineChars="50"/>
              <w:jc w:val="center"/>
              <w:rPr>
                <w:rFonts w:ascii="宋体" w:hAnsi="宋体"/>
                <w:color w:val="auto"/>
                <w:szCs w:val="21"/>
                <w:highlight w:val="none"/>
              </w:rPr>
            </w:pPr>
            <w:r>
              <w:rPr>
                <w:rFonts w:ascii="宋体" w:hAnsi="宋体"/>
                <w:color w:val="auto"/>
                <w:szCs w:val="21"/>
                <w:highlight w:val="none"/>
              </w:rPr>
              <w:t>员工总人数：</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wAfter w:w="0" w:type="auto"/>
          <w:cantSplit/>
          <w:trHeight w:val="658" w:hRule="atLeast"/>
        </w:trPr>
        <w:tc>
          <w:tcPr>
            <w:tcW w:w="2150" w:type="dxa"/>
            <w:tcBorders>
              <w:top w:val="single" w:color="auto" w:sz="4" w:space="0"/>
              <w:left w:val="single" w:color="auto" w:sz="4" w:space="0"/>
              <w:bottom w:val="single" w:color="auto" w:sz="4" w:space="0"/>
              <w:right w:val="single" w:color="auto" w:sz="4" w:space="0"/>
            </w:tcBorders>
            <w:noWrap w:val="0"/>
            <w:vAlign w:val="center"/>
          </w:tcPr>
          <w:p>
            <w:pPr>
              <w:topLinePunct/>
              <w:spacing w:line="440" w:lineRule="exact"/>
              <w:jc w:val="center"/>
              <w:rPr>
                <w:rFonts w:ascii="宋体" w:hAnsi="宋体"/>
                <w:color w:val="auto"/>
                <w:szCs w:val="21"/>
                <w:highlight w:val="none"/>
              </w:rPr>
            </w:pPr>
            <w:r>
              <w:rPr>
                <w:rFonts w:ascii="宋体" w:hAnsi="宋体"/>
                <w:color w:val="auto"/>
                <w:szCs w:val="21"/>
                <w:highlight w:val="none"/>
              </w:rPr>
              <w:t>企业资质等级</w:t>
            </w:r>
          </w:p>
        </w:tc>
        <w:tc>
          <w:tcPr>
            <w:tcW w:w="1849" w:type="dxa"/>
            <w:gridSpan w:val="2"/>
            <w:tcBorders>
              <w:top w:val="single" w:color="auto" w:sz="4" w:space="0"/>
              <w:left w:val="single" w:color="auto" w:sz="4" w:space="0"/>
              <w:bottom w:val="single" w:color="auto" w:sz="4" w:space="0"/>
              <w:right w:val="single" w:color="auto" w:sz="4" w:space="0"/>
            </w:tcBorders>
            <w:noWrap w:val="0"/>
            <w:vAlign w:val="center"/>
          </w:tcPr>
          <w:p>
            <w:pPr>
              <w:topLinePunct/>
              <w:spacing w:line="440" w:lineRule="exact"/>
              <w:jc w:val="center"/>
              <w:rPr>
                <w:rFonts w:ascii="宋体" w:hAnsi="宋体"/>
                <w:color w:val="auto"/>
                <w:szCs w:val="21"/>
                <w:highlight w:val="none"/>
              </w:rPr>
            </w:pPr>
          </w:p>
        </w:tc>
        <w:tc>
          <w:tcPr>
            <w:tcW w:w="583" w:type="dxa"/>
            <w:vMerge w:val="restart"/>
            <w:tcBorders>
              <w:top w:val="single" w:color="auto" w:sz="4" w:space="0"/>
              <w:left w:val="single" w:color="auto" w:sz="4" w:space="0"/>
              <w:bottom w:val="single" w:color="auto" w:sz="4" w:space="0"/>
              <w:right w:val="single" w:color="auto" w:sz="4" w:space="0"/>
            </w:tcBorders>
            <w:noWrap w:val="0"/>
            <w:vAlign w:val="center"/>
          </w:tcPr>
          <w:p>
            <w:pPr>
              <w:topLinePunct/>
              <w:spacing w:line="440" w:lineRule="exact"/>
              <w:jc w:val="center"/>
              <w:rPr>
                <w:rFonts w:ascii="宋体" w:hAnsi="宋体"/>
                <w:color w:val="auto"/>
                <w:szCs w:val="21"/>
                <w:highlight w:val="none"/>
              </w:rPr>
            </w:pPr>
            <w:r>
              <w:rPr>
                <w:rFonts w:ascii="宋体" w:hAnsi="宋体"/>
                <w:color w:val="auto"/>
                <w:szCs w:val="21"/>
                <w:highlight w:val="none"/>
              </w:rPr>
              <w:t>其中</w:t>
            </w:r>
          </w:p>
        </w:tc>
        <w:tc>
          <w:tcPr>
            <w:tcW w:w="1554" w:type="dxa"/>
            <w:gridSpan w:val="3"/>
            <w:tcBorders>
              <w:top w:val="single" w:color="auto" w:sz="4" w:space="0"/>
              <w:left w:val="single" w:color="auto" w:sz="4" w:space="0"/>
              <w:bottom w:val="single" w:color="auto" w:sz="4" w:space="0"/>
              <w:right w:val="single" w:color="auto" w:sz="4" w:space="0"/>
            </w:tcBorders>
            <w:noWrap w:val="0"/>
            <w:vAlign w:val="center"/>
          </w:tcPr>
          <w:p>
            <w:pPr>
              <w:topLinePunct/>
              <w:spacing w:line="440" w:lineRule="exact"/>
              <w:jc w:val="center"/>
              <w:rPr>
                <w:rFonts w:ascii="宋体" w:hAnsi="宋体"/>
                <w:color w:val="auto"/>
                <w:szCs w:val="21"/>
                <w:highlight w:val="none"/>
              </w:rPr>
            </w:pPr>
            <w:r>
              <w:rPr>
                <w:rFonts w:hint="eastAsia" w:ascii="宋体" w:hAnsi="宋体"/>
                <w:color w:val="auto"/>
                <w:szCs w:val="21"/>
                <w:highlight w:val="none"/>
              </w:rPr>
              <w:t>建造师</w:t>
            </w:r>
          </w:p>
        </w:tc>
        <w:tc>
          <w:tcPr>
            <w:tcW w:w="2073" w:type="dxa"/>
            <w:gridSpan w:val="2"/>
            <w:tcBorders>
              <w:top w:val="single" w:color="auto" w:sz="4" w:space="0"/>
              <w:left w:val="single" w:color="auto" w:sz="4" w:space="0"/>
              <w:bottom w:val="single" w:color="auto" w:sz="4" w:space="0"/>
              <w:right w:val="single" w:color="auto" w:sz="4" w:space="0"/>
            </w:tcBorders>
            <w:noWrap w:val="0"/>
            <w:vAlign w:val="center"/>
          </w:tcPr>
          <w:p>
            <w:pPr>
              <w:topLinePunct/>
              <w:spacing w:line="440" w:lineRule="exact"/>
              <w:jc w:val="center"/>
              <w:rPr>
                <w:rFonts w:ascii="宋体" w:hAnsi="宋体"/>
                <w:color w:val="auto"/>
                <w:szCs w:val="21"/>
                <w:highlight w:val="none"/>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wAfter w:w="0" w:type="auto"/>
          <w:cantSplit/>
          <w:trHeight w:val="610" w:hRule="atLeast"/>
        </w:trPr>
        <w:tc>
          <w:tcPr>
            <w:tcW w:w="2150" w:type="dxa"/>
            <w:tcBorders>
              <w:top w:val="single" w:color="auto" w:sz="4" w:space="0"/>
              <w:left w:val="single" w:color="auto" w:sz="4" w:space="0"/>
              <w:bottom w:val="single" w:color="auto" w:sz="4" w:space="0"/>
              <w:right w:val="single" w:color="auto" w:sz="4" w:space="0"/>
            </w:tcBorders>
            <w:noWrap w:val="0"/>
            <w:vAlign w:val="center"/>
          </w:tcPr>
          <w:p>
            <w:pPr>
              <w:topLinePunct/>
              <w:spacing w:line="440" w:lineRule="exact"/>
              <w:jc w:val="center"/>
              <w:rPr>
                <w:rFonts w:ascii="宋体" w:hAnsi="宋体"/>
                <w:color w:val="auto"/>
                <w:szCs w:val="21"/>
                <w:highlight w:val="none"/>
              </w:rPr>
            </w:pPr>
            <w:r>
              <w:rPr>
                <w:rFonts w:ascii="宋体" w:hAnsi="宋体"/>
                <w:color w:val="auto"/>
                <w:szCs w:val="21"/>
                <w:highlight w:val="none"/>
              </w:rPr>
              <w:t>营业执照号</w:t>
            </w:r>
          </w:p>
        </w:tc>
        <w:tc>
          <w:tcPr>
            <w:tcW w:w="1849" w:type="dxa"/>
            <w:gridSpan w:val="2"/>
            <w:tcBorders>
              <w:top w:val="single" w:color="auto" w:sz="4" w:space="0"/>
              <w:left w:val="single" w:color="auto" w:sz="4" w:space="0"/>
              <w:bottom w:val="single" w:color="auto" w:sz="4" w:space="0"/>
              <w:right w:val="single" w:color="auto" w:sz="4" w:space="0"/>
            </w:tcBorders>
            <w:noWrap w:val="0"/>
            <w:vAlign w:val="center"/>
          </w:tcPr>
          <w:p>
            <w:pPr>
              <w:topLinePunct/>
              <w:spacing w:line="440" w:lineRule="exact"/>
              <w:jc w:val="center"/>
              <w:rPr>
                <w:rFonts w:ascii="宋体" w:hAnsi="宋体"/>
                <w:color w:val="auto"/>
                <w:szCs w:val="21"/>
                <w:highlight w:val="none"/>
              </w:rPr>
            </w:pPr>
          </w:p>
        </w:tc>
        <w:tc>
          <w:tcPr>
            <w:tcW w:w="583" w:type="dxa"/>
            <w:vMerge w:val="continue"/>
            <w:tcBorders>
              <w:top w:val="single" w:color="auto" w:sz="4" w:space="0"/>
              <w:left w:val="single" w:color="auto" w:sz="4" w:space="0"/>
              <w:bottom w:val="single" w:color="auto" w:sz="4" w:space="0"/>
              <w:right w:val="single" w:color="auto" w:sz="4" w:space="0"/>
            </w:tcBorders>
            <w:noWrap w:val="0"/>
            <w:vAlign w:val="center"/>
          </w:tcPr>
          <w:p>
            <w:pPr>
              <w:topLinePunct/>
              <w:spacing w:line="440" w:lineRule="exact"/>
              <w:jc w:val="center"/>
              <w:rPr>
                <w:rFonts w:ascii="宋体" w:hAnsi="宋体"/>
                <w:color w:val="auto"/>
                <w:szCs w:val="21"/>
                <w:highlight w:val="none"/>
              </w:rPr>
            </w:pPr>
          </w:p>
        </w:tc>
        <w:tc>
          <w:tcPr>
            <w:tcW w:w="1554" w:type="dxa"/>
            <w:gridSpan w:val="3"/>
            <w:tcBorders>
              <w:top w:val="single" w:color="auto" w:sz="4" w:space="0"/>
              <w:left w:val="single" w:color="auto" w:sz="4" w:space="0"/>
              <w:bottom w:val="single" w:color="auto" w:sz="4" w:space="0"/>
              <w:right w:val="single" w:color="auto" w:sz="4" w:space="0"/>
            </w:tcBorders>
            <w:noWrap w:val="0"/>
            <w:vAlign w:val="center"/>
          </w:tcPr>
          <w:p>
            <w:pPr>
              <w:topLinePunct/>
              <w:spacing w:line="440" w:lineRule="exact"/>
              <w:jc w:val="center"/>
              <w:rPr>
                <w:rFonts w:ascii="宋体" w:hAnsi="宋体"/>
                <w:color w:val="auto"/>
                <w:szCs w:val="21"/>
                <w:highlight w:val="none"/>
              </w:rPr>
            </w:pPr>
            <w:r>
              <w:rPr>
                <w:rFonts w:ascii="宋体" w:hAnsi="宋体"/>
                <w:color w:val="auto"/>
                <w:szCs w:val="21"/>
                <w:highlight w:val="none"/>
              </w:rPr>
              <w:t>高级职称人员</w:t>
            </w:r>
          </w:p>
        </w:tc>
        <w:tc>
          <w:tcPr>
            <w:tcW w:w="2073" w:type="dxa"/>
            <w:gridSpan w:val="2"/>
            <w:tcBorders>
              <w:top w:val="single" w:color="auto" w:sz="4" w:space="0"/>
              <w:left w:val="single" w:color="auto" w:sz="4" w:space="0"/>
              <w:bottom w:val="single" w:color="auto" w:sz="4" w:space="0"/>
              <w:right w:val="single" w:color="auto" w:sz="4" w:space="0"/>
            </w:tcBorders>
            <w:noWrap w:val="0"/>
            <w:vAlign w:val="center"/>
          </w:tcPr>
          <w:p>
            <w:pPr>
              <w:topLinePunct/>
              <w:spacing w:line="440" w:lineRule="exact"/>
              <w:jc w:val="center"/>
              <w:rPr>
                <w:rFonts w:ascii="宋体" w:hAnsi="宋体"/>
                <w:color w:val="auto"/>
                <w:szCs w:val="21"/>
                <w:highlight w:val="none"/>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wAfter w:w="0" w:type="auto"/>
          <w:cantSplit/>
          <w:trHeight w:val="604" w:hRule="atLeast"/>
        </w:trPr>
        <w:tc>
          <w:tcPr>
            <w:tcW w:w="2150" w:type="dxa"/>
            <w:tcBorders>
              <w:top w:val="single" w:color="auto" w:sz="4" w:space="0"/>
              <w:left w:val="single" w:color="auto" w:sz="4" w:space="0"/>
              <w:bottom w:val="single" w:color="auto" w:sz="4" w:space="0"/>
              <w:right w:val="single" w:color="auto" w:sz="4" w:space="0"/>
            </w:tcBorders>
            <w:noWrap w:val="0"/>
            <w:vAlign w:val="center"/>
          </w:tcPr>
          <w:p>
            <w:pPr>
              <w:topLinePunct/>
              <w:spacing w:line="440" w:lineRule="exact"/>
              <w:jc w:val="center"/>
              <w:rPr>
                <w:rFonts w:ascii="宋体" w:hAnsi="宋体"/>
                <w:color w:val="auto"/>
                <w:szCs w:val="21"/>
                <w:highlight w:val="none"/>
              </w:rPr>
            </w:pPr>
            <w:r>
              <w:rPr>
                <w:rFonts w:ascii="宋体" w:hAnsi="宋体"/>
                <w:color w:val="auto"/>
                <w:szCs w:val="21"/>
                <w:highlight w:val="none"/>
              </w:rPr>
              <w:t>注册资金</w:t>
            </w:r>
          </w:p>
        </w:tc>
        <w:tc>
          <w:tcPr>
            <w:tcW w:w="1849" w:type="dxa"/>
            <w:gridSpan w:val="2"/>
            <w:tcBorders>
              <w:top w:val="single" w:color="auto" w:sz="4" w:space="0"/>
              <w:left w:val="single" w:color="auto" w:sz="4" w:space="0"/>
              <w:bottom w:val="single" w:color="auto" w:sz="4" w:space="0"/>
              <w:right w:val="single" w:color="auto" w:sz="4" w:space="0"/>
            </w:tcBorders>
            <w:noWrap w:val="0"/>
            <w:vAlign w:val="center"/>
          </w:tcPr>
          <w:p>
            <w:pPr>
              <w:topLinePunct/>
              <w:spacing w:line="440" w:lineRule="exact"/>
              <w:jc w:val="center"/>
              <w:rPr>
                <w:rFonts w:ascii="宋体" w:hAnsi="宋体"/>
                <w:color w:val="auto"/>
                <w:szCs w:val="21"/>
                <w:highlight w:val="none"/>
              </w:rPr>
            </w:pPr>
          </w:p>
        </w:tc>
        <w:tc>
          <w:tcPr>
            <w:tcW w:w="583" w:type="dxa"/>
            <w:vMerge w:val="continue"/>
            <w:tcBorders>
              <w:top w:val="single" w:color="auto" w:sz="4" w:space="0"/>
              <w:left w:val="single" w:color="auto" w:sz="4" w:space="0"/>
              <w:bottom w:val="single" w:color="auto" w:sz="4" w:space="0"/>
              <w:right w:val="single" w:color="auto" w:sz="4" w:space="0"/>
            </w:tcBorders>
            <w:noWrap w:val="0"/>
            <w:vAlign w:val="center"/>
          </w:tcPr>
          <w:p>
            <w:pPr>
              <w:topLinePunct/>
              <w:spacing w:line="440" w:lineRule="exact"/>
              <w:jc w:val="center"/>
              <w:rPr>
                <w:rFonts w:ascii="宋体" w:hAnsi="宋体"/>
                <w:color w:val="auto"/>
                <w:szCs w:val="21"/>
                <w:highlight w:val="none"/>
              </w:rPr>
            </w:pPr>
          </w:p>
        </w:tc>
        <w:tc>
          <w:tcPr>
            <w:tcW w:w="1554" w:type="dxa"/>
            <w:gridSpan w:val="3"/>
            <w:tcBorders>
              <w:top w:val="single" w:color="auto" w:sz="4" w:space="0"/>
              <w:left w:val="single" w:color="auto" w:sz="4" w:space="0"/>
              <w:bottom w:val="single" w:color="auto" w:sz="4" w:space="0"/>
              <w:right w:val="single" w:color="auto" w:sz="4" w:space="0"/>
            </w:tcBorders>
            <w:noWrap w:val="0"/>
            <w:vAlign w:val="center"/>
          </w:tcPr>
          <w:p>
            <w:pPr>
              <w:topLinePunct/>
              <w:spacing w:line="440" w:lineRule="exact"/>
              <w:jc w:val="center"/>
              <w:rPr>
                <w:rFonts w:ascii="宋体" w:hAnsi="宋体"/>
                <w:color w:val="auto"/>
                <w:szCs w:val="21"/>
                <w:highlight w:val="none"/>
              </w:rPr>
            </w:pPr>
            <w:r>
              <w:rPr>
                <w:rFonts w:ascii="宋体" w:hAnsi="宋体"/>
                <w:color w:val="auto"/>
                <w:szCs w:val="21"/>
                <w:highlight w:val="none"/>
              </w:rPr>
              <w:t>中级职称人员</w:t>
            </w:r>
          </w:p>
        </w:tc>
        <w:tc>
          <w:tcPr>
            <w:tcW w:w="2073" w:type="dxa"/>
            <w:gridSpan w:val="2"/>
            <w:tcBorders>
              <w:top w:val="single" w:color="auto" w:sz="4" w:space="0"/>
              <w:left w:val="single" w:color="auto" w:sz="4" w:space="0"/>
              <w:bottom w:val="single" w:color="auto" w:sz="4" w:space="0"/>
              <w:right w:val="single" w:color="auto" w:sz="4" w:space="0"/>
            </w:tcBorders>
            <w:noWrap w:val="0"/>
            <w:vAlign w:val="center"/>
          </w:tcPr>
          <w:p>
            <w:pPr>
              <w:topLinePunct/>
              <w:spacing w:line="440" w:lineRule="exact"/>
              <w:jc w:val="center"/>
              <w:rPr>
                <w:rFonts w:ascii="宋体" w:hAnsi="宋体"/>
                <w:color w:val="auto"/>
                <w:szCs w:val="21"/>
                <w:highlight w:val="none"/>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wAfter w:w="0" w:type="auto"/>
          <w:cantSplit/>
          <w:trHeight w:val="626" w:hRule="atLeast"/>
        </w:trPr>
        <w:tc>
          <w:tcPr>
            <w:tcW w:w="2150" w:type="dxa"/>
            <w:tcBorders>
              <w:top w:val="single" w:color="auto" w:sz="4" w:space="0"/>
              <w:left w:val="single" w:color="auto" w:sz="4" w:space="0"/>
              <w:bottom w:val="single" w:color="auto" w:sz="4" w:space="0"/>
              <w:right w:val="single" w:color="auto" w:sz="4" w:space="0"/>
            </w:tcBorders>
            <w:noWrap w:val="0"/>
            <w:vAlign w:val="center"/>
          </w:tcPr>
          <w:p>
            <w:pPr>
              <w:topLinePunct/>
              <w:spacing w:line="440" w:lineRule="exact"/>
              <w:jc w:val="center"/>
              <w:rPr>
                <w:rFonts w:ascii="宋体" w:hAnsi="宋体"/>
                <w:color w:val="auto"/>
                <w:szCs w:val="21"/>
                <w:highlight w:val="none"/>
              </w:rPr>
            </w:pPr>
            <w:r>
              <w:rPr>
                <w:rFonts w:ascii="宋体" w:hAnsi="宋体"/>
                <w:color w:val="auto"/>
                <w:szCs w:val="21"/>
                <w:highlight w:val="none"/>
              </w:rPr>
              <w:t>开户银行</w:t>
            </w:r>
          </w:p>
        </w:tc>
        <w:tc>
          <w:tcPr>
            <w:tcW w:w="1849" w:type="dxa"/>
            <w:gridSpan w:val="2"/>
            <w:tcBorders>
              <w:top w:val="single" w:color="auto" w:sz="4" w:space="0"/>
              <w:left w:val="single" w:color="auto" w:sz="4" w:space="0"/>
              <w:bottom w:val="single" w:color="auto" w:sz="4" w:space="0"/>
              <w:right w:val="single" w:color="auto" w:sz="4" w:space="0"/>
            </w:tcBorders>
            <w:noWrap w:val="0"/>
            <w:vAlign w:val="center"/>
          </w:tcPr>
          <w:p>
            <w:pPr>
              <w:topLinePunct/>
              <w:spacing w:line="440" w:lineRule="exact"/>
              <w:jc w:val="center"/>
              <w:rPr>
                <w:rFonts w:ascii="宋体" w:hAnsi="宋体"/>
                <w:color w:val="auto"/>
                <w:szCs w:val="21"/>
                <w:highlight w:val="none"/>
              </w:rPr>
            </w:pPr>
          </w:p>
        </w:tc>
        <w:tc>
          <w:tcPr>
            <w:tcW w:w="583" w:type="dxa"/>
            <w:vMerge w:val="continue"/>
            <w:tcBorders>
              <w:top w:val="single" w:color="auto" w:sz="4" w:space="0"/>
              <w:left w:val="single" w:color="auto" w:sz="4" w:space="0"/>
              <w:bottom w:val="single" w:color="auto" w:sz="4" w:space="0"/>
              <w:right w:val="single" w:color="auto" w:sz="4" w:space="0"/>
            </w:tcBorders>
            <w:noWrap w:val="0"/>
            <w:vAlign w:val="center"/>
          </w:tcPr>
          <w:p>
            <w:pPr>
              <w:topLinePunct/>
              <w:spacing w:line="440" w:lineRule="exact"/>
              <w:jc w:val="center"/>
              <w:rPr>
                <w:rFonts w:ascii="宋体" w:hAnsi="宋体"/>
                <w:color w:val="auto"/>
                <w:szCs w:val="21"/>
                <w:highlight w:val="none"/>
              </w:rPr>
            </w:pPr>
          </w:p>
        </w:tc>
        <w:tc>
          <w:tcPr>
            <w:tcW w:w="1554" w:type="dxa"/>
            <w:gridSpan w:val="3"/>
            <w:tcBorders>
              <w:top w:val="single" w:color="auto" w:sz="4" w:space="0"/>
              <w:left w:val="single" w:color="auto" w:sz="4" w:space="0"/>
              <w:bottom w:val="single" w:color="auto" w:sz="4" w:space="0"/>
              <w:right w:val="single" w:color="auto" w:sz="4" w:space="0"/>
            </w:tcBorders>
            <w:noWrap w:val="0"/>
            <w:vAlign w:val="center"/>
          </w:tcPr>
          <w:p>
            <w:pPr>
              <w:topLinePunct/>
              <w:spacing w:line="440" w:lineRule="exact"/>
              <w:jc w:val="center"/>
              <w:rPr>
                <w:rFonts w:ascii="宋体" w:hAnsi="宋体"/>
                <w:color w:val="auto"/>
                <w:szCs w:val="21"/>
                <w:highlight w:val="none"/>
              </w:rPr>
            </w:pPr>
            <w:r>
              <w:rPr>
                <w:rFonts w:ascii="宋体" w:hAnsi="宋体"/>
                <w:color w:val="auto"/>
                <w:szCs w:val="21"/>
                <w:highlight w:val="none"/>
              </w:rPr>
              <w:t>初级职称人员</w:t>
            </w:r>
          </w:p>
        </w:tc>
        <w:tc>
          <w:tcPr>
            <w:tcW w:w="2073" w:type="dxa"/>
            <w:gridSpan w:val="2"/>
            <w:tcBorders>
              <w:top w:val="single" w:color="auto" w:sz="4" w:space="0"/>
              <w:left w:val="single" w:color="auto" w:sz="4" w:space="0"/>
              <w:bottom w:val="single" w:color="auto" w:sz="4" w:space="0"/>
              <w:right w:val="single" w:color="auto" w:sz="4" w:space="0"/>
            </w:tcBorders>
            <w:noWrap w:val="0"/>
            <w:vAlign w:val="center"/>
          </w:tcPr>
          <w:p>
            <w:pPr>
              <w:topLinePunct/>
              <w:spacing w:line="440" w:lineRule="exact"/>
              <w:jc w:val="center"/>
              <w:rPr>
                <w:rFonts w:ascii="宋体" w:hAnsi="宋体"/>
                <w:color w:val="auto"/>
                <w:szCs w:val="21"/>
                <w:highlight w:val="none"/>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wAfter w:w="0" w:type="auto"/>
          <w:cantSplit/>
          <w:trHeight w:val="606" w:hRule="atLeast"/>
        </w:trPr>
        <w:tc>
          <w:tcPr>
            <w:tcW w:w="2150" w:type="dxa"/>
            <w:tcBorders>
              <w:top w:val="single" w:color="auto" w:sz="4" w:space="0"/>
              <w:left w:val="single" w:color="auto" w:sz="4" w:space="0"/>
              <w:bottom w:val="single" w:color="auto" w:sz="4" w:space="0"/>
              <w:right w:val="single" w:color="auto" w:sz="4" w:space="0"/>
            </w:tcBorders>
            <w:noWrap w:val="0"/>
            <w:vAlign w:val="center"/>
          </w:tcPr>
          <w:p>
            <w:pPr>
              <w:topLinePunct/>
              <w:spacing w:line="440" w:lineRule="exact"/>
              <w:jc w:val="center"/>
              <w:rPr>
                <w:rFonts w:ascii="宋体" w:hAnsi="宋体"/>
                <w:color w:val="auto"/>
                <w:szCs w:val="21"/>
                <w:highlight w:val="none"/>
              </w:rPr>
            </w:pPr>
            <w:r>
              <w:rPr>
                <w:rFonts w:ascii="宋体" w:hAnsi="宋体"/>
                <w:color w:val="auto"/>
                <w:szCs w:val="21"/>
                <w:highlight w:val="none"/>
              </w:rPr>
              <w:t>账号</w:t>
            </w:r>
          </w:p>
        </w:tc>
        <w:tc>
          <w:tcPr>
            <w:tcW w:w="1849" w:type="dxa"/>
            <w:gridSpan w:val="2"/>
            <w:tcBorders>
              <w:top w:val="single" w:color="auto" w:sz="4" w:space="0"/>
              <w:left w:val="single" w:color="auto" w:sz="4" w:space="0"/>
              <w:bottom w:val="single" w:color="auto" w:sz="4" w:space="0"/>
              <w:right w:val="single" w:color="auto" w:sz="4" w:space="0"/>
            </w:tcBorders>
            <w:noWrap w:val="0"/>
            <w:vAlign w:val="center"/>
          </w:tcPr>
          <w:p>
            <w:pPr>
              <w:topLinePunct/>
              <w:spacing w:line="440" w:lineRule="exact"/>
              <w:jc w:val="center"/>
              <w:rPr>
                <w:rFonts w:ascii="宋体" w:hAnsi="宋体"/>
                <w:color w:val="auto"/>
                <w:szCs w:val="21"/>
                <w:highlight w:val="none"/>
              </w:rPr>
            </w:pPr>
          </w:p>
        </w:tc>
        <w:tc>
          <w:tcPr>
            <w:tcW w:w="583" w:type="dxa"/>
            <w:vMerge w:val="continue"/>
            <w:tcBorders>
              <w:top w:val="single" w:color="auto" w:sz="4" w:space="0"/>
              <w:left w:val="single" w:color="auto" w:sz="4" w:space="0"/>
              <w:bottom w:val="single" w:color="auto" w:sz="4" w:space="0"/>
              <w:right w:val="single" w:color="auto" w:sz="4" w:space="0"/>
            </w:tcBorders>
            <w:noWrap w:val="0"/>
            <w:vAlign w:val="center"/>
          </w:tcPr>
          <w:p>
            <w:pPr>
              <w:topLinePunct/>
              <w:spacing w:line="440" w:lineRule="exact"/>
              <w:jc w:val="center"/>
              <w:rPr>
                <w:rFonts w:ascii="宋体" w:hAnsi="宋体"/>
                <w:color w:val="auto"/>
                <w:szCs w:val="21"/>
                <w:highlight w:val="none"/>
              </w:rPr>
            </w:pPr>
          </w:p>
        </w:tc>
        <w:tc>
          <w:tcPr>
            <w:tcW w:w="1554" w:type="dxa"/>
            <w:gridSpan w:val="3"/>
            <w:tcBorders>
              <w:top w:val="single" w:color="auto" w:sz="4" w:space="0"/>
              <w:left w:val="single" w:color="auto" w:sz="4" w:space="0"/>
              <w:bottom w:val="single" w:color="auto" w:sz="4" w:space="0"/>
              <w:right w:val="single" w:color="auto" w:sz="4" w:space="0"/>
            </w:tcBorders>
            <w:noWrap w:val="0"/>
            <w:vAlign w:val="center"/>
          </w:tcPr>
          <w:p>
            <w:pPr>
              <w:topLinePunct/>
              <w:spacing w:line="440" w:lineRule="exact"/>
              <w:jc w:val="center"/>
              <w:rPr>
                <w:rFonts w:ascii="宋体" w:hAnsi="宋体"/>
                <w:color w:val="auto"/>
                <w:highlight w:val="none"/>
              </w:rPr>
            </w:pPr>
            <w:r>
              <w:rPr>
                <w:rFonts w:ascii="宋体" w:hAnsi="宋体"/>
                <w:color w:val="auto"/>
                <w:szCs w:val="21"/>
                <w:highlight w:val="none"/>
              </w:rPr>
              <w:t>技</w:t>
            </w:r>
            <w:r>
              <w:rPr>
                <w:rFonts w:hint="eastAsia" w:ascii="宋体" w:hAnsi="宋体"/>
                <w:color w:val="auto"/>
                <w:szCs w:val="21"/>
                <w:highlight w:val="none"/>
              </w:rPr>
              <w:t xml:space="preserve">  </w:t>
            </w:r>
            <w:r>
              <w:rPr>
                <w:rFonts w:ascii="宋体" w:hAnsi="宋体"/>
                <w:color w:val="auto"/>
                <w:szCs w:val="21"/>
                <w:highlight w:val="none"/>
              </w:rPr>
              <w:t>工</w:t>
            </w:r>
          </w:p>
        </w:tc>
        <w:tc>
          <w:tcPr>
            <w:tcW w:w="2073" w:type="dxa"/>
            <w:gridSpan w:val="2"/>
            <w:tcBorders>
              <w:top w:val="single" w:color="auto" w:sz="4" w:space="0"/>
              <w:left w:val="single" w:color="auto" w:sz="4" w:space="0"/>
              <w:bottom w:val="single" w:color="auto" w:sz="4" w:space="0"/>
              <w:right w:val="single" w:color="auto" w:sz="4" w:space="0"/>
            </w:tcBorders>
            <w:noWrap w:val="0"/>
            <w:vAlign w:val="center"/>
          </w:tcPr>
          <w:p>
            <w:pPr>
              <w:topLinePunct/>
              <w:spacing w:line="440" w:lineRule="exact"/>
              <w:jc w:val="center"/>
              <w:rPr>
                <w:rFonts w:ascii="宋体" w:hAnsi="宋体"/>
                <w:color w:val="auto"/>
                <w:szCs w:val="21"/>
                <w:highlight w:val="none"/>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wAfter w:w="0" w:type="auto"/>
          <w:trHeight w:val="1184" w:hRule="atLeast"/>
        </w:trPr>
        <w:tc>
          <w:tcPr>
            <w:tcW w:w="2150" w:type="dxa"/>
            <w:tcBorders>
              <w:top w:val="single" w:color="auto" w:sz="4" w:space="0"/>
              <w:left w:val="single" w:color="auto" w:sz="4" w:space="0"/>
              <w:right w:val="single" w:color="auto" w:sz="4" w:space="0"/>
            </w:tcBorders>
            <w:noWrap w:val="0"/>
            <w:vAlign w:val="center"/>
          </w:tcPr>
          <w:p>
            <w:pPr>
              <w:topLinePunct/>
              <w:spacing w:line="440" w:lineRule="exact"/>
              <w:ind w:firstLine="210" w:firstLineChars="100"/>
              <w:jc w:val="center"/>
              <w:rPr>
                <w:rFonts w:ascii="宋体" w:hAnsi="宋体"/>
                <w:color w:val="auto"/>
                <w:szCs w:val="21"/>
                <w:highlight w:val="none"/>
              </w:rPr>
            </w:pPr>
            <w:r>
              <w:rPr>
                <w:rFonts w:ascii="宋体" w:hAnsi="宋体"/>
                <w:color w:val="auto"/>
                <w:szCs w:val="21"/>
                <w:highlight w:val="none"/>
              </w:rPr>
              <w:t>经营范围</w:t>
            </w:r>
          </w:p>
        </w:tc>
        <w:tc>
          <w:tcPr>
            <w:tcW w:w="6059" w:type="dxa"/>
            <w:gridSpan w:val="8"/>
            <w:tcBorders>
              <w:top w:val="single" w:color="auto" w:sz="4" w:space="0"/>
              <w:left w:val="single" w:color="auto" w:sz="4" w:space="0"/>
              <w:right w:val="single" w:color="auto" w:sz="4" w:space="0"/>
            </w:tcBorders>
            <w:noWrap w:val="0"/>
            <w:vAlign w:val="center"/>
          </w:tcPr>
          <w:p>
            <w:pPr>
              <w:topLinePunct/>
              <w:spacing w:line="440" w:lineRule="exact"/>
              <w:rPr>
                <w:rFonts w:ascii="宋体" w:hAnsi="宋体"/>
                <w:color w:val="auto"/>
                <w:szCs w:val="21"/>
                <w:highlight w:val="none"/>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wAfter w:w="0" w:type="auto"/>
          <w:trHeight w:val="615" w:hRule="atLeast"/>
        </w:trPr>
        <w:tc>
          <w:tcPr>
            <w:tcW w:w="2150" w:type="dxa"/>
            <w:tcBorders>
              <w:top w:val="single" w:color="auto" w:sz="4" w:space="0"/>
              <w:left w:val="single" w:color="auto" w:sz="4" w:space="0"/>
              <w:bottom w:val="single" w:color="auto" w:sz="4" w:space="0"/>
              <w:right w:val="single" w:color="auto" w:sz="4" w:space="0"/>
            </w:tcBorders>
            <w:noWrap w:val="0"/>
            <w:vAlign w:val="center"/>
          </w:tcPr>
          <w:p>
            <w:pPr>
              <w:topLinePunct/>
              <w:spacing w:line="440" w:lineRule="exact"/>
              <w:jc w:val="center"/>
              <w:rPr>
                <w:rFonts w:ascii="宋体" w:hAnsi="宋体"/>
                <w:color w:val="auto"/>
                <w:szCs w:val="21"/>
                <w:highlight w:val="none"/>
              </w:rPr>
            </w:pPr>
            <w:r>
              <w:rPr>
                <w:rFonts w:ascii="宋体" w:hAnsi="宋体"/>
                <w:color w:val="auto"/>
                <w:szCs w:val="21"/>
                <w:highlight w:val="none"/>
              </w:rPr>
              <w:t>备注</w:t>
            </w:r>
          </w:p>
        </w:tc>
        <w:tc>
          <w:tcPr>
            <w:tcW w:w="6059" w:type="dxa"/>
            <w:gridSpan w:val="8"/>
            <w:tcBorders>
              <w:top w:val="single" w:color="auto" w:sz="4" w:space="0"/>
              <w:left w:val="single" w:color="auto" w:sz="4" w:space="0"/>
              <w:bottom w:val="single" w:color="auto" w:sz="4" w:space="0"/>
              <w:right w:val="single" w:color="auto" w:sz="4" w:space="0"/>
            </w:tcBorders>
            <w:noWrap w:val="0"/>
            <w:vAlign w:val="center"/>
          </w:tcPr>
          <w:p>
            <w:pPr>
              <w:topLinePunct/>
              <w:spacing w:line="440" w:lineRule="exact"/>
              <w:jc w:val="center"/>
              <w:rPr>
                <w:rFonts w:ascii="宋体" w:hAnsi="宋体"/>
                <w:color w:val="auto"/>
                <w:szCs w:val="21"/>
                <w:highlight w:val="none"/>
              </w:rPr>
            </w:pPr>
          </w:p>
        </w:tc>
      </w:tr>
    </w:tbl>
    <w:p>
      <w:pPr>
        <w:rPr>
          <w:rFonts w:ascii="宋体" w:hAnsi="宋体"/>
          <w:color w:val="auto"/>
          <w:sz w:val="20"/>
          <w:szCs w:val="20"/>
          <w:highlight w:val="none"/>
        </w:rPr>
      </w:pPr>
    </w:p>
    <w:p>
      <w:pPr>
        <w:rPr>
          <w:rFonts w:ascii="宋体" w:hAnsi="宋体"/>
          <w:color w:val="auto"/>
          <w:sz w:val="20"/>
          <w:szCs w:val="20"/>
          <w:highlight w:val="none"/>
        </w:rPr>
      </w:pPr>
    </w:p>
    <w:p>
      <w:pPr>
        <w:rPr>
          <w:rFonts w:ascii="宋体" w:hAnsi="宋体"/>
          <w:color w:val="auto"/>
          <w:sz w:val="20"/>
          <w:szCs w:val="20"/>
          <w:highlight w:val="none"/>
        </w:rPr>
      </w:pPr>
    </w:p>
    <w:p>
      <w:pPr>
        <w:rPr>
          <w:rFonts w:ascii="宋体" w:hAnsi="宋体"/>
          <w:color w:val="auto"/>
          <w:sz w:val="20"/>
          <w:szCs w:val="20"/>
          <w:highlight w:val="none"/>
        </w:rPr>
      </w:pPr>
    </w:p>
    <w:p>
      <w:pPr>
        <w:rPr>
          <w:rFonts w:ascii="宋体" w:hAnsi="宋体"/>
          <w:color w:val="auto"/>
          <w:sz w:val="20"/>
          <w:szCs w:val="20"/>
          <w:highlight w:val="none"/>
        </w:rPr>
      </w:pPr>
    </w:p>
    <w:p>
      <w:pPr>
        <w:pStyle w:val="5"/>
        <w:spacing w:after="0" w:line="416" w:lineRule="auto"/>
        <w:jc w:val="center"/>
        <w:rPr>
          <w:rFonts w:ascii="宋体" w:eastAsia="宋体"/>
          <w:color w:val="auto"/>
          <w:highlight w:val="none"/>
        </w:rPr>
      </w:pPr>
      <w:bookmarkStart w:id="149" w:name="_Toc29361"/>
      <w:bookmarkStart w:id="150" w:name="_Toc534115572"/>
      <w:bookmarkStart w:id="151" w:name="_Toc23910"/>
      <w:bookmarkStart w:id="152" w:name="_Toc31671"/>
      <w:bookmarkStart w:id="153" w:name="_Toc13204"/>
      <w:bookmarkStart w:id="154" w:name="_Toc9954878"/>
      <w:r>
        <w:rPr>
          <w:rFonts w:hint="eastAsia" w:ascii="宋体" w:eastAsia="宋体"/>
          <w:color w:val="auto"/>
          <w:highlight w:val="none"/>
          <w:lang w:eastAsia="zh-CN"/>
        </w:rPr>
        <w:t>供应商</w:t>
      </w:r>
      <w:r>
        <w:rPr>
          <w:rFonts w:ascii="宋体" w:eastAsia="宋体"/>
          <w:color w:val="auto"/>
          <w:highlight w:val="none"/>
        </w:rPr>
        <w:t>基本情况表（联合体投标</w:t>
      </w:r>
      <w:r>
        <w:rPr>
          <w:rFonts w:hint="eastAsia" w:ascii="宋体" w:eastAsia="宋体"/>
          <w:color w:val="auto"/>
          <w:highlight w:val="none"/>
        </w:rPr>
        <w:t>时</w:t>
      </w:r>
      <w:r>
        <w:rPr>
          <w:rFonts w:ascii="宋体" w:eastAsia="宋体"/>
          <w:color w:val="auto"/>
          <w:highlight w:val="none"/>
        </w:rPr>
        <w:t>提供）</w:t>
      </w:r>
      <w:bookmarkEnd w:id="149"/>
      <w:bookmarkEnd w:id="150"/>
      <w:bookmarkEnd w:id="151"/>
      <w:bookmarkEnd w:id="152"/>
      <w:bookmarkEnd w:id="153"/>
      <w:bookmarkEnd w:id="154"/>
    </w:p>
    <w:tbl>
      <w:tblPr>
        <w:tblStyle w:val="54"/>
        <w:tblW w:w="0" w:type="auto"/>
        <w:jc w:val="center"/>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1489"/>
        <w:gridCol w:w="1445"/>
        <w:gridCol w:w="791"/>
        <w:gridCol w:w="692"/>
        <w:gridCol w:w="731"/>
        <w:gridCol w:w="1078"/>
        <w:gridCol w:w="490"/>
        <w:gridCol w:w="860"/>
        <w:gridCol w:w="992"/>
      </w:tblGrid>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1" w:hRule="atLeast"/>
          <w:jc w:val="center"/>
        </w:trPr>
        <w:tc>
          <w:tcPr>
            <w:tcW w:w="1489" w:type="dxa"/>
            <w:vMerge w:val="restart"/>
            <w:tcBorders>
              <w:top w:val="single" w:color="auto" w:sz="4" w:space="0"/>
              <w:left w:val="single" w:color="auto" w:sz="4" w:space="0"/>
              <w:right w:val="single" w:color="auto" w:sz="4" w:space="0"/>
            </w:tcBorders>
            <w:noWrap w:val="0"/>
            <w:vAlign w:val="center"/>
          </w:tcPr>
          <w:p>
            <w:pPr>
              <w:topLinePunct/>
              <w:spacing w:line="440" w:lineRule="exact"/>
              <w:jc w:val="center"/>
              <w:rPr>
                <w:rFonts w:ascii="宋体" w:hAnsi="宋体"/>
                <w:color w:val="auto"/>
                <w:szCs w:val="21"/>
                <w:highlight w:val="none"/>
              </w:rPr>
            </w:pPr>
            <w:r>
              <w:rPr>
                <w:rFonts w:hint="eastAsia" w:ascii="宋体" w:hAnsi="宋体"/>
                <w:color w:val="auto"/>
                <w:szCs w:val="21"/>
                <w:highlight w:val="none"/>
                <w:lang w:eastAsia="zh-CN"/>
              </w:rPr>
              <w:t>供应商</w:t>
            </w:r>
            <w:r>
              <w:rPr>
                <w:rFonts w:ascii="宋体" w:hAnsi="宋体"/>
                <w:color w:val="auto"/>
                <w:szCs w:val="21"/>
                <w:highlight w:val="none"/>
              </w:rPr>
              <w:t>名称</w:t>
            </w:r>
          </w:p>
        </w:tc>
        <w:tc>
          <w:tcPr>
            <w:tcW w:w="1445" w:type="dxa"/>
            <w:tcBorders>
              <w:top w:val="single" w:color="auto" w:sz="4" w:space="0"/>
              <w:left w:val="single" w:color="auto" w:sz="4" w:space="0"/>
              <w:bottom w:val="single" w:color="auto" w:sz="4" w:space="0"/>
              <w:right w:val="single" w:color="auto" w:sz="4" w:space="0"/>
            </w:tcBorders>
            <w:noWrap w:val="0"/>
            <w:vAlign w:val="center"/>
          </w:tcPr>
          <w:p>
            <w:pPr>
              <w:topLinePunct/>
              <w:spacing w:line="440" w:lineRule="exact"/>
              <w:jc w:val="center"/>
              <w:rPr>
                <w:rFonts w:ascii="宋体" w:hAnsi="宋体"/>
                <w:color w:val="auto"/>
                <w:szCs w:val="21"/>
                <w:highlight w:val="none"/>
              </w:rPr>
            </w:pPr>
            <w:r>
              <w:rPr>
                <w:rFonts w:ascii="宋体" w:hAnsi="宋体"/>
                <w:color w:val="auto"/>
                <w:szCs w:val="21"/>
                <w:highlight w:val="none"/>
              </w:rPr>
              <w:t>联合体牵头人名称</w:t>
            </w:r>
          </w:p>
        </w:tc>
        <w:tc>
          <w:tcPr>
            <w:tcW w:w="5634" w:type="dxa"/>
            <w:gridSpan w:val="7"/>
            <w:tcBorders>
              <w:top w:val="single" w:color="auto" w:sz="4" w:space="0"/>
              <w:left w:val="single" w:color="auto" w:sz="4" w:space="0"/>
              <w:bottom w:val="single" w:color="auto" w:sz="4" w:space="0"/>
              <w:right w:val="single" w:color="auto" w:sz="4" w:space="0"/>
            </w:tcBorders>
            <w:noWrap w:val="0"/>
            <w:vAlign w:val="center"/>
          </w:tcPr>
          <w:p>
            <w:pPr>
              <w:topLinePunct/>
              <w:spacing w:line="440" w:lineRule="exact"/>
              <w:jc w:val="center"/>
              <w:rPr>
                <w:rFonts w:ascii="宋体" w:hAnsi="宋体"/>
                <w:color w:val="auto"/>
                <w:szCs w:val="21"/>
                <w:highlight w:val="none"/>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43" w:hRule="atLeast"/>
          <w:jc w:val="center"/>
        </w:trPr>
        <w:tc>
          <w:tcPr>
            <w:tcW w:w="1489" w:type="dxa"/>
            <w:vMerge w:val="continue"/>
            <w:tcBorders>
              <w:left w:val="single" w:color="auto" w:sz="4" w:space="0"/>
              <w:right w:val="single" w:color="auto" w:sz="4" w:space="0"/>
            </w:tcBorders>
            <w:noWrap w:val="0"/>
            <w:vAlign w:val="center"/>
          </w:tcPr>
          <w:p>
            <w:pPr>
              <w:topLinePunct/>
              <w:spacing w:line="440" w:lineRule="exact"/>
              <w:jc w:val="center"/>
              <w:rPr>
                <w:rFonts w:ascii="宋体" w:hAnsi="宋体"/>
                <w:color w:val="auto"/>
                <w:szCs w:val="21"/>
                <w:highlight w:val="none"/>
              </w:rPr>
            </w:pPr>
          </w:p>
        </w:tc>
        <w:tc>
          <w:tcPr>
            <w:tcW w:w="1445" w:type="dxa"/>
            <w:vMerge w:val="restart"/>
            <w:tcBorders>
              <w:top w:val="single" w:color="auto" w:sz="4" w:space="0"/>
              <w:left w:val="single" w:color="auto" w:sz="4" w:space="0"/>
              <w:right w:val="single" w:color="auto" w:sz="4" w:space="0"/>
            </w:tcBorders>
            <w:noWrap w:val="0"/>
            <w:vAlign w:val="center"/>
          </w:tcPr>
          <w:p>
            <w:pPr>
              <w:topLinePunct/>
              <w:spacing w:line="440" w:lineRule="exact"/>
              <w:jc w:val="center"/>
              <w:rPr>
                <w:rFonts w:ascii="宋体" w:hAnsi="宋体"/>
                <w:color w:val="auto"/>
                <w:szCs w:val="21"/>
                <w:highlight w:val="none"/>
              </w:rPr>
            </w:pPr>
            <w:r>
              <w:rPr>
                <w:rFonts w:ascii="宋体" w:hAnsi="宋体"/>
                <w:color w:val="auto"/>
                <w:szCs w:val="21"/>
                <w:highlight w:val="none"/>
              </w:rPr>
              <w:t>联合体成员名称</w:t>
            </w:r>
          </w:p>
        </w:tc>
        <w:tc>
          <w:tcPr>
            <w:tcW w:w="5634" w:type="dxa"/>
            <w:gridSpan w:val="7"/>
            <w:tcBorders>
              <w:top w:val="single" w:color="auto" w:sz="4" w:space="0"/>
              <w:left w:val="single" w:color="auto" w:sz="4" w:space="0"/>
              <w:bottom w:val="single" w:color="auto" w:sz="4" w:space="0"/>
              <w:right w:val="single" w:color="auto" w:sz="4" w:space="0"/>
            </w:tcBorders>
            <w:noWrap w:val="0"/>
            <w:vAlign w:val="center"/>
          </w:tcPr>
          <w:p>
            <w:pPr>
              <w:topLinePunct/>
              <w:spacing w:line="440" w:lineRule="exact"/>
              <w:jc w:val="center"/>
              <w:rPr>
                <w:rFonts w:ascii="宋体" w:hAnsi="宋体"/>
                <w:color w:val="auto"/>
                <w:szCs w:val="21"/>
                <w:highlight w:val="none"/>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42" w:hRule="atLeast"/>
          <w:jc w:val="center"/>
        </w:trPr>
        <w:tc>
          <w:tcPr>
            <w:tcW w:w="1489" w:type="dxa"/>
            <w:vMerge w:val="continue"/>
            <w:tcBorders>
              <w:left w:val="single" w:color="auto" w:sz="4" w:space="0"/>
              <w:bottom w:val="single" w:color="auto" w:sz="4" w:space="0"/>
              <w:right w:val="single" w:color="auto" w:sz="4" w:space="0"/>
            </w:tcBorders>
            <w:noWrap w:val="0"/>
            <w:vAlign w:val="center"/>
          </w:tcPr>
          <w:p>
            <w:pPr>
              <w:topLinePunct/>
              <w:spacing w:line="440" w:lineRule="exact"/>
              <w:jc w:val="center"/>
              <w:rPr>
                <w:rFonts w:ascii="宋体" w:hAnsi="宋体"/>
                <w:color w:val="auto"/>
                <w:szCs w:val="21"/>
                <w:highlight w:val="none"/>
              </w:rPr>
            </w:pPr>
          </w:p>
        </w:tc>
        <w:tc>
          <w:tcPr>
            <w:tcW w:w="1445" w:type="dxa"/>
            <w:vMerge w:val="continue"/>
            <w:tcBorders>
              <w:left w:val="single" w:color="auto" w:sz="4" w:space="0"/>
              <w:bottom w:val="single" w:color="auto" w:sz="4" w:space="0"/>
              <w:right w:val="single" w:color="auto" w:sz="4" w:space="0"/>
            </w:tcBorders>
            <w:noWrap w:val="0"/>
            <w:vAlign w:val="center"/>
          </w:tcPr>
          <w:p>
            <w:pPr>
              <w:topLinePunct/>
              <w:spacing w:line="440" w:lineRule="exact"/>
              <w:jc w:val="center"/>
              <w:rPr>
                <w:rFonts w:ascii="宋体" w:hAnsi="宋体"/>
                <w:color w:val="auto"/>
                <w:szCs w:val="21"/>
                <w:highlight w:val="none"/>
              </w:rPr>
            </w:pPr>
          </w:p>
        </w:tc>
        <w:tc>
          <w:tcPr>
            <w:tcW w:w="5634" w:type="dxa"/>
            <w:gridSpan w:val="7"/>
            <w:tcBorders>
              <w:top w:val="single" w:color="auto" w:sz="4" w:space="0"/>
              <w:left w:val="single" w:color="auto" w:sz="4" w:space="0"/>
              <w:bottom w:val="single" w:color="auto" w:sz="4" w:space="0"/>
              <w:right w:val="single" w:color="auto" w:sz="4" w:space="0"/>
            </w:tcBorders>
            <w:noWrap w:val="0"/>
            <w:vAlign w:val="center"/>
          </w:tcPr>
          <w:p>
            <w:pPr>
              <w:topLinePunct/>
              <w:spacing w:line="440" w:lineRule="exact"/>
              <w:jc w:val="center"/>
              <w:rPr>
                <w:rFonts w:ascii="宋体" w:hAnsi="宋体"/>
                <w:color w:val="auto"/>
                <w:szCs w:val="21"/>
                <w:highlight w:val="none"/>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11" w:hRule="atLeast"/>
          <w:jc w:val="center"/>
        </w:trPr>
        <w:tc>
          <w:tcPr>
            <w:tcW w:w="1489" w:type="dxa"/>
            <w:vMerge w:val="restart"/>
            <w:tcBorders>
              <w:top w:val="single" w:color="auto" w:sz="4" w:space="0"/>
              <w:left w:val="single" w:color="auto" w:sz="4" w:space="0"/>
              <w:right w:val="single" w:color="auto" w:sz="4" w:space="0"/>
            </w:tcBorders>
            <w:noWrap w:val="0"/>
            <w:vAlign w:val="center"/>
          </w:tcPr>
          <w:p>
            <w:pPr>
              <w:topLinePunct/>
              <w:spacing w:line="440" w:lineRule="exact"/>
              <w:jc w:val="center"/>
              <w:rPr>
                <w:rFonts w:ascii="宋体" w:hAnsi="宋体"/>
                <w:color w:val="auto"/>
                <w:szCs w:val="21"/>
                <w:highlight w:val="none"/>
              </w:rPr>
            </w:pPr>
            <w:r>
              <w:rPr>
                <w:rFonts w:ascii="宋体" w:hAnsi="宋体"/>
                <w:color w:val="auto"/>
                <w:szCs w:val="21"/>
                <w:highlight w:val="none"/>
              </w:rPr>
              <w:t>注册地址</w:t>
            </w:r>
          </w:p>
        </w:tc>
        <w:tc>
          <w:tcPr>
            <w:tcW w:w="1445" w:type="dxa"/>
            <w:tcBorders>
              <w:top w:val="single" w:color="auto" w:sz="4" w:space="0"/>
              <w:left w:val="single" w:color="auto" w:sz="4" w:space="0"/>
              <w:bottom w:val="single" w:color="auto" w:sz="4" w:space="0"/>
              <w:right w:val="single" w:color="auto" w:sz="4" w:space="0"/>
            </w:tcBorders>
            <w:noWrap w:val="0"/>
            <w:vAlign w:val="center"/>
          </w:tcPr>
          <w:p>
            <w:pPr>
              <w:topLinePunct/>
              <w:spacing w:line="440" w:lineRule="exact"/>
              <w:jc w:val="center"/>
              <w:rPr>
                <w:rFonts w:ascii="宋体" w:hAnsi="宋体"/>
                <w:color w:val="auto"/>
                <w:szCs w:val="21"/>
                <w:highlight w:val="none"/>
              </w:rPr>
            </w:pPr>
            <w:r>
              <w:rPr>
                <w:rFonts w:ascii="宋体" w:hAnsi="宋体"/>
                <w:color w:val="auto"/>
                <w:szCs w:val="21"/>
                <w:highlight w:val="none"/>
              </w:rPr>
              <w:t>联合体牵头人地址</w:t>
            </w:r>
          </w:p>
        </w:tc>
        <w:tc>
          <w:tcPr>
            <w:tcW w:w="5634" w:type="dxa"/>
            <w:gridSpan w:val="7"/>
            <w:tcBorders>
              <w:top w:val="single" w:color="auto" w:sz="4" w:space="0"/>
              <w:left w:val="single" w:color="auto" w:sz="4" w:space="0"/>
              <w:bottom w:val="single" w:color="auto" w:sz="4" w:space="0"/>
              <w:right w:val="single" w:color="auto" w:sz="4" w:space="0"/>
            </w:tcBorders>
            <w:noWrap w:val="0"/>
            <w:vAlign w:val="center"/>
          </w:tcPr>
          <w:p>
            <w:pPr>
              <w:topLinePunct/>
              <w:spacing w:line="440" w:lineRule="exact"/>
              <w:jc w:val="center"/>
              <w:rPr>
                <w:rFonts w:ascii="宋体" w:hAnsi="宋体"/>
                <w:color w:val="auto"/>
                <w:szCs w:val="21"/>
                <w:highlight w:val="none"/>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50" w:hRule="atLeast"/>
          <w:jc w:val="center"/>
        </w:trPr>
        <w:tc>
          <w:tcPr>
            <w:tcW w:w="1489" w:type="dxa"/>
            <w:vMerge w:val="continue"/>
            <w:tcBorders>
              <w:left w:val="single" w:color="auto" w:sz="4" w:space="0"/>
              <w:right w:val="single" w:color="auto" w:sz="4" w:space="0"/>
            </w:tcBorders>
            <w:noWrap w:val="0"/>
            <w:vAlign w:val="center"/>
          </w:tcPr>
          <w:p>
            <w:pPr>
              <w:topLinePunct/>
              <w:spacing w:line="440" w:lineRule="exact"/>
              <w:jc w:val="center"/>
              <w:rPr>
                <w:rFonts w:ascii="宋体" w:hAnsi="宋体"/>
                <w:color w:val="auto"/>
                <w:szCs w:val="21"/>
                <w:highlight w:val="none"/>
              </w:rPr>
            </w:pPr>
          </w:p>
        </w:tc>
        <w:tc>
          <w:tcPr>
            <w:tcW w:w="1445" w:type="dxa"/>
            <w:vMerge w:val="restart"/>
            <w:tcBorders>
              <w:top w:val="single" w:color="auto" w:sz="4" w:space="0"/>
              <w:left w:val="single" w:color="auto" w:sz="4" w:space="0"/>
              <w:right w:val="single" w:color="auto" w:sz="4" w:space="0"/>
            </w:tcBorders>
            <w:noWrap w:val="0"/>
            <w:vAlign w:val="center"/>
          </w:tcPr>
          <w:p>
            <w:pPr>
              <w:topLinePunct/>
              <w:spacing w:line="440" w:lineRule="exact"/>
              <w:jc w:val="center"/>
              <w:rPr>
                <w:rFonts w:ascii="宋体" w:hAnsi="宋体"/>
                <w:color w:val="auto"/>
                <w:szCs w:val="21"/>
                <w:highlight w:val="none"/>
              </w:rPr>
            </w:pPr>
            <w:r>
              <w:rPr>
                <w:rFonts w:ascii="宋体" w:hAnsi="宋体"/>
                <w:color w:val="auto"/>
                <w:szCs w:val="21"/>
                <w:highlight w:val="none"/>
              </w:rPr>
              <w:t>联合体成员地址</w:t>
            </w:r>
          </w:p>
        </w:tc>
        <w:tc>
          <w:tcPr>
            <w:tcW w:w="5634" w:type="dxa"/>
            <w:gridSpan w:val="7"/>
            <w:tcBorders>
              <w:top w:val="single" w:color="auto" w:sz="4" w:space="0"/>
              <w:left w:val="single" w:color="auto" w:sz="4" w:space="0"/>
              <w:right w:val="single" w:color="auto" w:sz="4" w:space="0"/>
            </w:tcBorders>
            <w:noWrap w:val="0"/>
            <w:vAlign w:val="center"/>
          </w:tcPr>
          <w:p>
            <w:pPr>
              <w:topLinePunct/>
              <w:spacing w:line="440" w:lineRule="exact"/>
              <w:jc w:val="center"/>
              <w:rPr>
                <w:rFonts w:ascii="宋体" w:hAnsi="宋体"/>
                <w:color w:val="auto"/>
                <w:szCs w:val="21"/>
                <w:highlight w:val="none"/>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50" w:hRule="atLeast"/>
          <w:jc w:val="center"/>
        </w:trPr>
        <w:tc>
          <w:tcPr>
            <w:tcW w:w="1489" w:type="dxa"/>
            <w:vMerge w:val="continue"/>
            <w:tcBorders>
              <w:left w:val="single" w:color="auto" w:sz="4" w:space="0"/>
              <w:right w:val="single" w:color="auto" w:sz="4" w:space="0"/>
            </w:tcBorders>
            <w:noWrap w:val="0"/>
            <w:vAlign w:val="center"/>
          </w:tcPr>
          <w:p>
            <w:pPr>
              <w:topLinePunct/>
              <w:spacing w:line="440" w:lineRule="exact"/>
              <w:jc w:val="center"/>
              <w:rPr>
                <w:rFonts w:ascii="宋体" w:hAnsi="宋体"/>
                <w:color w:val="auto"/>
                <w:szCs w:val="21"/>
                <w:highlight w:val="none"/>
              </w:rPr>
            </w:pPr>
          </w:p>
        </w:tc>
        <w:tc>
          <w:tcPr>
            <w:tcW w:w="1445" w:type="dxa"/>
            <w:vMerge w:val="continue"/>
            <w:tcBorders>
              <w:left w:val="single" w:color="auto" w:sz="4" w:space="0"/>
              <w:right w:val="single" w:color="auto" w:sz="4" w:space="0"/>
            </w:tcBorders>
            <w:noWrap w:val="0"/>
            <w:vAlign w:val="center"/>
          </w:tcPr>
          <w:p>
            <w:pPr>
              <w:topLinePunct/>
              <w:spacing w:line="440" w:lineRule="exact"/>
              <w:jc w:val="center"/>
              <w:rPr>
                <w:rFonts w:ascii="宋体" w:hAnsi="宋体"/>
                <w:color w:val="auto"/>
                <w:szCs w:val="21"/>
                <w:highlight w:val="none"/>
              </w:rPr>
            </w:pPr>
          </w:p>
        </w:tc>
        <w:tc>
          <w:tcPr>
            <w:tcW w:w="5634" w:type="dxa"/>
            <w:gridSpan w:val="7"/>
            <w:tcBorders>
              <w:top w:val="single" w:color="auto" w:sz="4" w:space="0"/>
              <w:left w:val="single" w:color="auto" w:sz="4" w:space="0"/>
              <w:right w:val="single" w:color="auto" w:sz="4" w:space="0"/>
            </w:tcBorders>
            <w:noWrap w:val="0"/>
            <w:vAlign w:val="center"/>
          </w:tcPr>
          <w:p>
            <w:pPr>
              <w:topLinePunct/>
              <w:spacing w:line="440" w:lineRule="exact"/>
              <w:jc w:val="center"/>
              <w:rPr>
                <w:rFonts w:ascii="宋体" w:hAnsi="宋体"/>
                <w:color w:val="auto"/>
                <w:szCs w:val="21"/>
                <w:highlight w:val="none"/>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11" w:hRule="atLeast"/>
          <w:jc w:val="center"/>
        </w:trPr>
        <w:tc>
          <w:tcPr>
            <w:tcW w:w="8568" w:type="dxa"/>
            <w:gridSpan w:val="9"/>
            <w:tcBorders>
              <w:top w:val="single" w:color="auto" w:sz="4" w:space="0"/>
              <w:left w:val="single" w:color="auto" w:sz="4" w:space="0"/>
              <w:bottom w:val="single" w:color="auto" w:sz="4" w:space="0"/>
              <w:right w:val="single" w:color="auto" w:sz="4" w:space="0"/>
            </w:tcBorders>
            <w:noWrap w:val="0"/>
            <w:vAlign w:val="center"/>
          </w:tcPr>
          <w:p>
            <w:pPr>
              <w:topLinePunct/>
              <w:spacing w:line="440" w:lineRule="exact"/>
              <w:jc w:val="center"/>
              <w:rPr>
                <w:rFonts w:ascii="宋体" w:hAnsi="宋体"/>
                <w:color w:val="auto"/>
                <w:szCs w:val="21"/>
                <w:highlight w:val="none"/>
              </w:rPr>
            </w:pPr>
            <w:r>
              <w:rPr>
                <w:rFonts w:ascii="宋体" w:hAnsi="宋体"/>
                <w:color w:val="auto"/>
                <w:szCs w:val="21"/>
                <w:highlight w:val="none"/>
              </w:rPr>
              <w:t>以下内容均为联合体牵头人信息</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605" w:hRule="atLeast"/>
          <w:jc w:val="center"/>
        </w:trPr>
        <w:tc>
          <w:tcPr>
            <w:tcW w:w="1489" w:type="dxa"/>
            <w:vMerge w:val="restart"/>
            <w:tcBorders>
              <w:top w:val="single" w:color="auto" w:sz="4" w:space="0"/>
              <w:left w:val="single" w:color="auto" w:sz="4" w:space="0"/>
              <w:bottom w:val="single" w:color="auto" w:sz="4" w:space="0"/>
              <w:right w:val="single" w:color="auto" w:sz="4" w:space="0"/>
            </w:tcBorders>
            <w:noWrap w:val="0"/>
            <w:vAlign w:val="center"/>
          </w:tcPr>
          <w:p>
            <w:pPr>
              <w:topLinePunct/>
              <w:spacing w:line="440" w:lineRule="exact"/>
              <w:jc w:val="center"/>
              <w:rPr>
                <w:rFonts w:ascii="宋体" w:hAnsi="宋体"/>
                <w:color w:val="auto"/>
                <w:szCs w:val="21"/>
                <w:highlight w:val="none"/>
              </w:rPr>
            </w:pPr>
            <w:r>
              <w:rPr>
                <w:rFonts w:ascii="宋体" w:hAnsi="宋体"/>
                <w:color w:val="auto"/>
                <w:szCs w:val="21"/>
                <w:highlight w:val="none"/>
              </w:rPr>
              <w:t>联系方式</w:t>
            </w:r>
          </w:p>
        </w:tc>
        <w:tc>
          <w:tcPr>
            <w:tcW w:w="1445" w:type="dxa"/>
            <w:tcBorders>
              <w:top w:val="single" w:color="auto" w:sz="4" w:space="0"/>
              <w:left w:val="single" w:color="auto" w:sz="4" w:space="0"/>
              <w:bottom w:val="single" w:color="auto" w:sz="4" w:space="0"/>
              <w:right w:val="single" w:color="auto" w:sz="4" w:space="0"/>
            </w:tcBorders>
            <w:noWrap w:val="0"/>
            <w:vAlign w:val="center"/>
          </w:tcPr>
          <w:p>
            <w:pPr>
              <w:topLinePunct/>
              <w:spacing w:line="440" w:lineRule="exact"/>
              <w:jc w:val="center"/>
              <w:rPr>
                <w:rFonts w:ascii="宋体" w:hAnsi="宋体"/>
                <w:color w:val="auto"/>
                <w:szCs w:val="21"/>
                <w:highlight w:val="none"/>
              </w:rPr>
            </w:pPr>
            <w:r>
              <w:rPr>
                <w:rFonts w:ascii="宋体" w:hAnsi="宋体"/>
                <w:color w:val="auto"/>
                <w:szCs w:val="21"/>
                <w:highlight w:val="none"/>
              </w:rPr>
              <w:t>联系人</w:t>
            </w:r>
          </w:p>
        </w:tc>
        <w:tc>
          <w:tcPr>
            <w:tcW w:w="2214" w:type="dxa"/>
            <w:gridSpan w:val="3"/>
            <w:tcBorders>
              <w:top w:val="single" w:color="auto" w:sz="4" w:space="0"/>
              <w:left w:val="single" w:color="auto" w:sz="4" w:space="0"/>
              <w:bottom w:val="single" w:color="auto" w:sz="4" w:space="0"/>
              <w:right w:val="single" w:color="auto" w:sz="4" w:space="0"/>
            </w:tcBorders>
            <w:noWrap w:val="0"/>
            <w:vAlign w:val="center"/>
          </w:tcPr>
          <w:p>
            <w:pPr>
              <w:topLinePunct/>
              <w:spacing w:line="440" w:lineRule="exact"/>
              <w:jc w:val="center"/>
              <w:rPr>
                <w:rFonts w:ascii="宋体" w:hAnsi="宋体"/>
                <w:color w:val="auto"/>
                <w:szCs w:val="21"/>
                <w:highlight w:val="none"/>
              </w:rPr>
            </w:pPr>
          </w:p>
        </w:tc>
        <w:tc>
          <w:tcPr>
            <w:tcW w:w="1078" w:type="dxa"/>
            <w:tcBorders>
              <w:top w:val="single" w:color="auto" w:sz="4" w:space="0"/>
              <w:left w:val="single" w:color="auto" w:sz="4" w:space="0"/>
              <w:bottom w:val="single" w:color="auto" w:sz="4" w:space="0"/>
              <w:right w:val="single" w:color="auto" w:sz="4" w:space="0"/>
            </w:tcBorders>
            <w:noWrap w:val="0"/>
            <w:vAlign w:val="center"/>
          </w:tcPr>
          <w:p>
            <w:pPr>
              <w:topLinePunct/>
              <w:spacing w:line="440" w:lineRule="exact"/>
              <w:jc w:val="center"/>
              <w:rPr>
                <w:rFonts w:ascii="宋体" w:hAnsi="宋体"/>
                <w:color w:val="auto"/>
                <w:szCs w:val="21"/>
                <w:highlight w:val="none"/>
              </w:rPr>
            </w:pPr>
            <w:r>
              <w:rPr>
                <w:rFonts w:ascii="宋体" w:hAnsi="宋体"/>
                <w:color w:val="auto"/>
                <w:szCs w:val="21"/>
                <w:highlight w:val="none"/>
              </w:rPr>
              <w:t>电 话</w:t>
            </w:r>
          </w:p>
        </w:tc>
        <w:tc>
          <w:tcPr>
            <w:tcW w:w="2342" w:type="dxa"/>
            <w:gridSpan w:val="3"/>
            <w:tcBorders>
              <w:top w:val="single" w:color="auto" w:sz="4" w:space="0"/>
              <w:left w:val="single" w:color="auto" w:sz="4" w:space="0"/>
              <w:bottom w:val="single" w:color="auto" w:sz="4" w:space="0"/>
              <w:right w:val="single" w:color="auto" w:sz="4" w:space="0"/>
            </w:tcBorders>
            <w:noWrap w:val="0"/>
            <w:vAlign w:val="center"/>
          </w:tcPr>
          <w:p>
            <w:pPr>
              <w:topLinePunct/>
              <w:spacing w:line="440" w:lineRule="exact"/>
              <w:jc w:val="center"/>
              <w:rPr>
                <w:rFonts w:ascii="宋体" w:hAnsi="宋体"/>
                <w:color w:val="auto"/>
                <w:szCs w:val="21"/>
                <w:highlight w:val="none"/>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613" w:hRule="atLeast"/>
          <w:jc w:val="center"/>
        </w:trPr>
        <w:tc>
          <w:tcPr>
            <w:tcW w:w="1489" w:type="dxa"/>
            <w:vMerge w:val="continue"/>
            <w:tcBorders>
              <w:top w:val="single" w:color="auto" w:sz="4" w:space="0"/>
              <w:left w:val="single" w:color="auto" w:sz="4" w:space="0"/>
              <w:bottom w:val="single" w:color="auto" w:sz="4" w:space="0"/>
              <w:right w:val="single" w:color="auto" w:sz="4" w:space="0"/>
            </w:tcBorders>
            <w:noWrap w:val="0"/>
            <w:vAlign w:val="center"/>
          </w:tcPr>
          <w:p>
            <w:pPr>
              <w:topLinePunct/>
              <w:spacing w:line="440" w:lineRule="exact"/>
              <w:jc w:val="center"/>
              <w:rPr>
                <w:rFonts w:ascii="宋体" w:hAnsi="宋体"/>
                <w:color w:val="auto"/>
                <w:szCs w:val="21"/>
                <w:highlight w:val="none"/>
              </w:rPr>
            </w:pPr>
          </w:p>
        </w:tc>
        <w:tc>
          <w:tcPr>
            <w:tcW w:w="1445" w:type="dxa"/>
            <w:tcBorders>
              <w:top w:val="single" w:color="auto" w:sz="4" w:space="0"/>
              <w:left w:val="single" w:color="auto" w:sz="4" w:space="0"/>
              <w:bottom w:val="single" w:color="auto" w:sz="4" w:space="0"/>
              <w:right w:val="single" w:color="auto" w:sz="4" w:space="0"/>
            </w:tcBorders>
            <w:noWrap w:val="0"/>
            <w:vAlign w:val="center"/>
          </w:tcPr>
          <w:p>
            <w:pPr>
              <w:topLinePunct/>
              <w:spacing w:line="440" w:lineRule="exact"/>
              <w:jc w:val="center"/>
              <w:rPr>
                <w:rFonts w:ascii="宋体" w:hAnsi="宋体"/>
                <w:color w:val="auto"/>
                <w:szCs w:val="21"/>
                <w:highlight w:val="none"/>
              </w:rPr>
            </w:pPr>
            <w:r>
              <w:rPr>
                <w:rFonts w:ascii="宋体" w:hAnsi="宋体"/>
                <w:color w:val="auto"/>
                <w:szCs w:val="21"/>
                <w:highlight w:val="none"/>
              </w:rPr>
              <w:t>传  真</w:t>
            </w:r>
          </w:p>
        </w:tc>
        <w:tc>
          <w:tcPr>
            <w:tcW w:w="2214" w:type="dxa"/>
            <w:gridSpan w:val="3"/>
            <w:tcBorders>
              <w:top w:val="single" w:color="auto" w:sz="4" w:space="0"/>
              <w:left w:val="single" w:color="auto" w:sz="4" w:space="0"/>
              <w:bottom w:val="single" w:color="auto" w:sz="4" w:space="0"/>
              <w:right w:val="single" w:color="auto" w:sz="4" w:space="0"/>
            </w:tcBorders>
            <w:noWrap w:val="0"/>
            <w:vAlign w:val="center"/>
          </w:tcPr>
          <w:p>
            <w:pPr>
              <w:topLinePunct/>
              <w:spacing w:line="440" w:lineRule="exact"/>
              <w:jc w:val="center"/>
              <w:rPr>
                <w:rFonts w:ascii="宋体" w:hAnsi="宋体"/>
                <w:color w:val="auto"/>
                <w:szCs w:val="21"/>
                <w:highlight w:val="none"/>
              </w:rPr>
            </w:pPr>
          </w:p>
        </w:tc>
        <w:tc>
          <w:tcPr>
            <w:tcW w:w="1078" w:type="dxa"/>
            <w:tcBorders>
              <w:top w:val="single" w:color="auto" w:sz="4" w:space="0"/>
              <w:left w:val="single" w:color="auto" w:sz="4" w:space="0"/>
              <w:bottom w:val="single" w:color="auto" w:sz="4" w:space="0"/>
              <w:right w:val="single" w:color="auto" w:sz="4" w:space="0"/>
            </w:tcBorders>
            <w:noWrap w:val="0"/>
            <w:vAlign w:val="center"/>
          </w:tcPr>
          <w:p>
            <w:pPr>
              <w:topLinePunct/>
              <w:spacing w:line="440" w:lineRule="exact"/>
              <w:jc w:val="center"/>
              <w:rPr>
                <w:rFonts w:ascii="宋体" w:hAnsi="宋体"/>
                <w:color w:val="auto"/>
                <w:szCs w:val="21"/>
                <w:highlight w:val="none"/>
              </w:rPr>
            </w:pPr>
            <w:r>
              <w:rPr>
                <w:rFonts w:ascii="宋体" w:hAnsi="宋体"/>
                <w:color w:val="auto"/>
                <w:szCs w:val="21"/>
                <w:highlight w:val="none"/>
              </w:rPr>
              <w:t>网 址</w:t>
            </w:r>
          </w:p>
        </w:tc>
        <w:tc>
          <w:tcPr>
            <w:tcW w:w="2342" w:type="dxa"/>
            <w:gridSpan w:val="3"/>
            <w:tcBorders>
              <w:top w:val="single" w:color="auto" w:sz="4" w:space="0"/>
              <w:left w:val="single" w:color="auto" w:sz="4" w:space="0"/>
              <w:bottom w:val="single" w:color="auto" w:sz="4" w:space="0"/>
              <w:right w:val="single" w:color="auto" w:sz="4" w:space="0"/>
            </w:tcBorders>
            <w:noWrap w:val="0"/>
            <w:vAlign w:val="center"/>
          </w:tcPr>
          <w:p>
            <w:pPr>
              <w:topLinePunct/>
              <w:spacing w:line="440" w:lineRule="exact"/>
              <w:jc w:val="center"/>
              <w:rPr>
                <w:rFonts w:ascii="宋体" w:hAnsi="宋体"/>
                <w:color w:val="auto"/>
                <w:szCs w:val="21"/>
                <w:highlight w:val="none"/>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14" w:hRule="atLeast"/>
          <w:jc w:val="center"/>
        </w:trPr>
        <w:tc>
          <w:tcPr>
            <w:tcW w:w="1489" w:type="dxa"/>
            <w:tcBorders>
              <w:top w:val="single" w:color="auto" w:sz="4" w:space="0"/>
              <w:left w:val="single" w:color="auto" w:sz="4" w:space="0"/>
              <w:bottom w:val="single" w:color="auto" w:sz="4" w:space="0"/>
              <w:right w:val="single" w:color="auto" w:sz="4" w:space="0"/>
            </w:tcBorders>
            <w:noWrap w:val="0"/>
            <w:vAlign w:val="center"/>
          </w:tcPr>
          <w:p>
            <w:pPr>
              <w:topLinePunct/>
              <w:spacing w:line="440" w:lineRule="exact"/>
              <w:jc w:val="center"/>
              <w:rPr>
                <w:rFonts w:ascii="宋体" w:hAnsi="宋体"/>
                <w:color w:val="auto"/>
                <w:szCs w:val="21"/>
                <w:highlight w:val="none"/>
              </w:rPr>
            </w:pPr>
            <w:r>
              <w:rPr>
                <w:rFonts w:ascii="宋体" w:hAnsi="宋体"/>
                <w:color w:val="auto"/>
                <w:szCs w:val="21"/>
                <w:highlight w:val="none"/>
              </w:rPr>
              <w:t>组织结构</w:t>
            </w:r>
          </w:p>
        </w:tc>
        <w:tc>
          <w:tcPr>
            <w:tcW w:w="7079" w:type="dxa"/>
            <w:gridSpan w:val="8"/>
            <w:tcBorders>
              <w:top w:val="single" w:color="auto" w:sz="4" w:space="0"/>
              <w:left w:val="single" w:color="auto" w:sz="4" w:space="0"/>
              <w:bottom w:val="single" w:color="auto" w:sz="4" w:space="0"/>
              <w:right w:val="single" w:color="auto" w:sz="4" w:space="0"/>
            </w:tcBorders>
            <w:noWrap w:val="0"/>
            <w:vAlign w:val="center"/>
          </w:tcPr>
          <w:p>
            <w:pPr>
              <w:topLinePunct/>
              <w:spacing w:line="440" w:lineRule="exact"/>
              <w:jc w:val="center"/>
              <w:rPr>
                <w:rFonts w:ascii="宋体" w:hAnsi="宋体"/>
                <w:color w:val="auto"/>
                <w:szCs w:val="21"/>
                <w:highlight w:val="none"/>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08" w:hRule="atLeast"/>
          <w:jc w:val="center"/>
        </w:trPr>
        <w:tc>
          <w:tcPr>
            <w:tcW w:w="1489" w:type="dxa"/>
            <w:tcBorders>
              <w:top w:val="single" w:color="auto" w:sz="4" w:space="0"/>
              <w:left w:val="single" w:color="auto" w:sz="4" w:space="0"/>
              <w:bottom w:val="single" w:color="auto" w:sz="4" w:space="0"/>
              <w:right w:val="single" w:color="auto" w:sz="4" w:space="0"/>
            </w:tcBorders>
            <w:noWrap w:val="0"/>
            <w:vAlign w:val="center"/>
          </w:tcPr>
          <w:p>
            <w:pPr>
              <w:topLinePunct/>
              <w:spacing w:line="440" w:lineRule="exact"/>
              <w:jc w:val="center"/>
              <w:rPr>
                <w:rFonts w:ascii="宋体" w:hAnsi="宋体"/>
                <w:color w:val="auto"/>
                <w:szCs w:val="21"/>
                <w:highlight w:val="none"/>
              </w:rPr>
            </w:pPr>
            <w:r>
              <w:rPr>
                <w:rFonts w:ascii="宋体" w:hAnsi="宋体"/>
                <w:color w:val="auto"/>
                <w:szCs w:val="21"/>
                <w:highlight w:val="none"/>
              </w:rPr>
              <w:t>法定代表人</w:t>
            </w:r>
          </w:p>
        </w:tc>
        <w:tc>
          <w:tcPr>
            <w:tcW w:w="1445" w:type="dxa"/>
            <w:tcBorders>
              <w:top w:val="single" w:color="auto" w:sz="4" w:space="0"/>
              <w:left w:val="single" w:color="auto" w:sz="4" w:space="0"/>
              <w:bottom w:val="single" w:color="auto" w:sz="4" w:space="0"/>
              <w:right w:val="single" w:color="auto" w:sz="4" w:space="0"/>
            </w:tcBorders>
            <w:noWrap w:val="0"/>
            <w:vAlign w:val="center"/>
          </w:tcPr>
          <w:p>
            <w:pPr>
              <w:topLinePunct/>
              <w:spacing w:line="440" w:lineRule="exact"/>
              <w:jc w:val="center"/>
              <w:rPr>
                <w:rFonts w:ascii="宋体" w:hAnsi="宋体"/>
                <w:color w:val="auto"/>
                <w:szCs w:val="21"/>
                <w:highlight w:val="none"/>
              </w:rPr>
            </w:pPr>
            <w:r>
              <w:rPr>
                <w:rFonts w:ascii="宋体" w:hAnsi="宋体"/>
                <w:color w:val="auto"/>
                <w:szCs w:val="21"/>
                <w:highlight w:val="none"/>
              </w:rPr>
              <w:t>姓名</w:t>
            </w:r>
          </w:p>
        </w:tc>
        <w:tc>
          <w:tcPr>
            <w:tcW w:w="791" w:type="dxa"/>
            <w:tcBorders>
              <w:top w:val="single" w:color="auto" w:sz="4" w:space="0"/>
              <w:left w:val="single" w:color="auto" w:sz="4" w:space="0"/>
              <w:bottom w:val="single" w:color="auto" w:sz="4" w:space="0"/>
              <w:right w:val="single" w:color="auto" w:sz="4" w:space="0"/>
            </w:tcBorders>
            <w:noWrap w:val="0"/>
            <w:vAlign w:val="center"/>
          </w:tcPr>
          <w:p>
            <w:pPr>
              <w:topLinePunct/>
              <w:spacing w:line="440" w:lineRule="exact"/>
              <w:jc w:val="center"/>
              <w:rPr>
                <w:rFonts w:ascii="宋体" w:hAnsi="宋体"/>
                <w:color w:val="auto"/>
                <w:szCs w:val="21"/>
                <w:highlight w:val="none"/>
              </w:rPr>
            </w:pPr>
          </w:p>
        </w:tc>
        <w:tc>
          <w:tcPr>
            <w:tcW w:w="1423" w:type="dxa"/>
            <w:gridSpan w:val="2"/>
            <w:tcBorders>
              <w:top w:val="single" w:color="auto" w:sz="4" w:space="0"/>
              <w:left w:val="single" w:color="auto" w:sz="4" w:space="0"/>
              <w:bottom w:val="single" w:color="auto" w:sz="4" w:space="0"/>
              <w:right w:val="single" w:color="auto" w:sz="4" w:space="0"/>
            </w:tcBorders>
            <w:noWrap w:val="0"/>
            <w:vAlign w:val="center"/>
          </w:tcPr>
          <w:p>
            <w:pPr>
              <w:topLinePunct/>
              <w:spacing w:line="440" w:lineRule="exact"/>
              <w:jc w:val="center"/>
              <w:rPr>
                <w:rFonts w:ascii="宋体" w:hAnsi="宋体"/>
                <w:color w:val="auto"/>
                <w:szCs w:val="21"/>
                <w:highlight w:val="none"/>
              </w:rPr>
            </w:pPr>
            <w:r>
              <w:rPr>
                <w:rFonts w:ascii="宋体" w:hAnsi="宋体"/>
                <w:color w:val="auto"/>
                <w:szCs w:val="21"/>
                <w:highlight w:val="none"/>
              </w:rPr>
              <w:t>技术职称</w:t>
            </w:r>
          </w:p>
        </w:tc>
        <w:tc>
          <w:tcPr>
            <w:tcW w:w="1568" w:type="dxa"/>
            <w:gridSpan w:val="2"/>
            <w:tcBorders>
              <w:top w:val="single" w:color="auto" w:sz="4" w:space="0"/>
              <w:left w:val="single" w:color="auto" w:sz="4" w:space="0"/>
              <w:bottom w:val="single" w:color="auto" w:sz="4" w:space="0"/>
              <w:right w:val="single" w:color="auto" w:sz="4" w:space="0"/>
            </w:tcBorders>
            <w:noWrap w:val="0"/>
            <w:vAlign w:val="center"/>
          </w:tcPr>
          <w:p>
            <w:pPr>
              <w:topLinePunct/>
              <w:spacing w:line="440" w:lineRule="exact"/>
              <w:jc w:val="center"/>
              <w:rPr>
                <w:rFonts w:ascii="宋体" w:hAnsi="宋体"/>
                <w:color w:val="auto"/>
                <w:szCs w:val="21"/>
                <w:highlight w:val="none"/>
              </w:rPr>
            </w:pPr>
          </w:p>
        </w:tc>
        <w:tc>
          <w:tcPr>
            <w:tcW w:w="860" w:type="dxa"/>
            <w:tcBorders>
              <w:top w:val="single" w:color="auto" w:sz="4" w:space="0"/>
              <w:left w:val="single" w:color="auto" w:sz="4" w:space="0"/>
              <w:bottom w:val="single" w:color="auto" w:sz="4" w:space="0"/>
              <w:right w:val="single" w:color="auto" w:sz="4" w:space="0"/>
            </w:tcBorders>
            <w:noWrap w:val="0"/>
            <w:vAlign w:val="center"/>
          </w:tcPr>
          <w:p>
            <w:pPr>
              <w:topLinePunct/>
              <w:spacing w:line="440" w:lineRule="exact"/>
              <w:jc w:val="center"/>
              <w:rPr>
                <w:rFonts w:ascii="宋体" w:hAnsi="宋体"/>
                <w:color w:val="auto"/>
                <w:szCs w:val="21"/>
                <w:highlight w:val="none"/>
              </w:rPr>
            </w:pPr>
            <w:r>
              <w:rPr>
                <w:rFonts w:ascii="宋体" w:hAnsi="宋体"/>
                <w:color w:val="auto"/>
                <w:szCs w:val="21"/>
                <w:highlight w:val="none"/>
              </w:rPr>
              <w:t>电话</w:t>
            </w:r>
          </w:p>
        </w:tc>
        <w:tc>
          <w:tcPr>
            <w:tcW w:w="992" w:type="dxa"/>
            <w:tcBorders>
              <w:top w:val="single" w:color="auto" w:sz="4" w:space="0"/>
              <w:left w:val="single" w:color="auto" w:sz="4" w:space="0"/>
              <w:bottom w:val="single" w:color="auto" w:sz="4" w:space="0"/>
              <w:right w:val="single" w:color="auto" w:sz="4" w:space="0"/>
            </w:tcBorders>
            <w:noWrap w:val="0"/>
            <w:vAlign w:val="center"/>
          </w:tcPr>
          <w:p>
            <w:pPr>
              <w:topLinePunct/>
              <w:spacing w:line="440" w:lineRule="exact"/>
              <w:jc w:val="center"/>
              <w:rPr>
                <w:rFonts w:ascii="宋体" w:hAnsi="宋体"/>
                <w:color w:val="auto"/>
                <w:szCs w:val="21"/>
                <w:highlight w:val="none"/>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02" w:hRule="atLeast"/>
          <w:jc w:val="center"/>
        </w:trPr>
        <w:tc>
          <w:tcPr>
            <w:tcW w:w="1489" w:type="dxa"/>
            <w:tcBorders>
              <w:top w:val="single" w:color="auto" w:sz="4" w:space="0"/>
              <w:left w:val="single" w:color="auto" w:sz="4" w:space="0"/>
              <w:bottom w:val="single" w:color="auto" w:sz="4" w:space="0"/>
              <w:right w:val="single" w:color="auto" w:sz="4" w:space="0"/>
            </w:tcBorders>
            <w:noWrap w:val="0"/>
            <w:vAlign w:val="center"/>
          </w:tcPr>
          <w:p>
            <w:pPr>
              <w:topLinePunct/>
              <w:spacing w:line="440" w:lineRule="exact"/>
              <w:jc w:val="center"/>
              <w:rPr>
                <w:rFonts w:ascii="宋体" w:hAnsi="宋体"/>
                <w:color w:val="auto"/>
                <w:szCs w:val="21"/>
                <w:highlight w:val="none"/>
              </w:rPr>
            </w:pPr>
            <w:r>
              <w:rPr>
                <w:rFonts w:ascii="宋体" w:hAnsi="宋体"/>
                <w:color w:val="auto"/>
                <w:szCs w:val="21"/>
                <w:highlight w:val="none"/>
              </w:rPr>
              <w:t>技术负责人</w:t>
            </w:r>
          </w:p>
        </w:tc>
        <w:tc>
          <w:tcPr>
            <w:tcW w:w="1445" w:type="dxa"/>
            <w:tcBorders>
              <w:top w:val="single" w:color="auto" w:sz="4" w:space="0"/>
              <w:left w:val="single" w:color="auto" w:sz="4" w:space="0"/>
              <w:bottom w:val="single" w:color="auto" w:sz="4" w:space="0"/>
              <w:right w:val="single" w:color="auto" w:sz="4" w:space="0"/>
            </w:tcBorders>
            <w:noWrap w:val="0"/>
            <w:vAlign w:val="center"/>
          </w:tcPr>
          <w:p>
            <w:pPr>
              <w:topLinePunct/>
              <w:spacing w:line="440" w:lineRule="exact"/>
              <w:jc w:val="center"/>
              <w:rPr>
                <w:rFonts w:ascii="宋体" w:hAnsi="宋体"/>
                <w:color w:val="auto"/>
                <w:szCs w:val="21"/>
                <w:highlight w:val="none"/>
              </w:rPr>
            </w:pPr>
            <w:r>
              <w:rPr>
                <w:rFonts w:ascii="宋体" w:hAnsi="宋体"/>
                <w:color w:val="auto"/>
                <w:szCs w:val="21"/>
                <w:highlight w:val="none"/>
              </w:rPr>
              <w:t>姓名</w:t>
            </w:r>
          </w:p>
        </w:tc>
        <w:tc>
          <w:tcPr>
            <w:tcW w:w="791" w:type="dxa"/>
            <w:tcBorders>
              <w:top w:val="single" w:color="auto" w:sz="4" w:space="0"/>
              <w:left w:val="single" w:color="auto" w:sz="4" w:space="0"/>
              <w:bottom w:val="single" w:color="auto" w:sz="4" w:space="0"/>
              <w:right w:val="single" w:color="auto" w:sz="4" w:space="0"/>
            </w:tcBorders>
            <w:noWrap w:val="0"/>
            <w:vAlign w:val="center"/>
          </w:tcPr>
          <w:p>
            <w:pPr>
              <w:topLinePunct/>
              <w:spacing w:line="440" w:lineRule="exact"/>
              <w:jc w:val="center"/>
              <w:rPr>
                <w:rFonts w:ascii="宋体" w:hAnsi="宋体"/>
                <w:color w:val="auto"/>
                <w:szCs w:val="21"/>
                <w:highlight w:val="none"/>
              </w:rPr>
            </w:pPr>
          </w:p>
        </w:tc>
        <w:tc>
          <w:tcPr>
            <w:tcW w:w="1423" w:type="dxa"/>
            <w:gridSpan w:val="2"/>
            <w:tcBorders>
              <w:top w:val="single" w:color="auto" w:sz="4" w:space="0"/>
              <w:left w:val="single" w:color="auto" w:sz="4" w:space="0"/>
              <w:bottom w:val="single" w:color="auto" w:sz="4" w:space="0"/>
              <w:right w:val="single" w:color="auto" w:sz="4" w:space="0"/>
            </w:tcBorders>
            <w:noWrap w:val="0"/>
            <w:vAlign w:val="center"/>
          </w:tcPr>
          <w:p>
            <w:pPr>
              <w:topLinePunct/>
              <w:spacing w:line="440" w:lineRule="exact"/>
              <w:jc w:val="center"/>
              <w:rPr>
                <w:rFonts w:ascii="宋体" w:hAnsi="宋体"/>
                <w:color w:val="auto"/>
                <w:szCs w:val="21"/>
                <w:highlight w:val="none"/>
              </w:rPr>
            </w:pPr>
            <w:r>
              <w:rPr>
                <w:rFonts w:ascii="宋体" w:hAnsi="宋体"/>
                <w:color w:val="auto"/>
                <w:szCs w:val="21"/>
                <w:highlight w:val="none"/>
              </w:rPr>
              <w:t>技术职称</w:t>
            </w:r>
          </w:p>
        </w:tc>
        <w:tc>
          <w:tcPr>
            <w:tcW w:w="1568" w:type="dxa"/>
            <w:gridSpan w:val="2"/>
            <w:tcBorders>
              <w:top w:val="single" w:color="auto" w:sz="4" w:space="0"/>
              <w:left w:val="single" w:color="auto" w:sz="4" w:space="0"/>
              <w:bottom w:val="single" w:color="auto" w:sz="4" w:space="0"/>
              <w:right w:val="single" w:color="auto" w:sz="4" w:space="0"/>
            </w:tcBorders>
            <w:noWrap w:val="0"/>
            <w:vAlign w:val="center"/>
          </w:tcPr>
          <w:p>
            <w:pPr>
              <w:topLinePunct/>
              <w:spacing w:line="440" w:lineRule="exact"/>
              <w:jc w:val="center"/>
              <w:rPr>
                <w:rFonts w:ascii="宋体" w:hAnsi="宋体"/>
                <w:color w:val="auto"/>
                <w:szCs w:val="21"/>
                <w:highlight w:val="none"/>
              </w:rPr>
            </w:pPr>
          </w:p>
        </w:tc>
        <w:tc>
          <w:tcPr>
            <w:tcW w:w="860" w:type="dxa"/>
            <w:tcBorders>
              <w:top w:val="single" w:color="auto" w:sz="4" w:space="0"/>
              <w:left w:val="single" w:color="auto" w:sz="4" w:space="0"/>
              <w:bottom w:val="single" w:color="auto" w:sz="4" w:space="0"/>
              <w:right w:val="single" w:color="auto" w:sz="4" w:space="0"/>
            </w:tcBorders>
            <w:noWrap w:val="0"/>
            <w:vAlign w:val="center"/>
          </w:tcPr>
          <w:p>
            <w:pPr>
              <w:topLinePunct/>
              <w:spacing w:line="440" w:lineRule="exact"/>
              <w:jc w:val="center"/>
              <w:rPr>
                <w:rFonts w:ascii="宋体" w:hAnsi="宋体"/>
                <w:color w:val="auto"/>
                <w:szCs w:val="21"/>
                <w:highlight w:val="none"/>
              </w:rPr>
            </w:pPr>
            <w:r>
              <w:rPr>
                <w:rFonts w:ascii="宋体" w:hAnsi="宋体"/>
                <w:color w:val="auto"/>
                <w:szCs w:val="21"/>
                <w:highlight w:val="none"/>
              </w:rPr>
              <w:t>电话</w:t>
            </w:r>
          </w:p>
        </w:tc>
        <w:tc>
          <w:tcPr>
            <w:tcW w:w="992" w:type="dxa"/>
            <w:tcBorders>
              <w:top w:val="single" w:color="auto" w:sz="4" w:space="0"/>
              <w:left w:val="single" w:color="auto" w:sz="4" w:space="0"/>
              <w:bottom w:val="single" w:color="auto" w:sz="4" w:space="0"/>
              <w:right w:val="single" w:color="auto" w:sz="4" w:space="0"/>
            </w:tcBorders>
            <w:noWrap w:val="0"/>
            <w:vAlign w:val="center"/>
          </w:tcPr>
          <w:p>
            <w:pPr>
              <w:topLinePunct/>
              <w:spacing w:line="440" w:lineRule="exact"/>
              <w:jc w:val="center"/>
              <w:rPr>
                <w:rFonts w:ascii="宋体" w:hAnsi="宋体"/>
                <w:color w:val="auto"/>
                <w:szCs w:val="21"/>
                <w:highlight w:val="none"/>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24" w:hRule="atLeast"/>
          <w:jc w:val="center"/>
        </w:trPr>
        <w:tc>
          <w:tcPr>
            <w:tcW w:w="1489" w:type="dxa"/>
            <w:tcBorders>
              <w:top w:val="single" w:color="auto" w:sz="4" w:space="0"/>
              <w:left w:val="single" w:color="auto" w:sz="4" w:space="0"/>
              <w:bottom w:val="single" w:color="auto" w:sz="4" w:space="0"/>
              <w:right w:val="single" w:color="auto" w:sz="4" w:space="0"/>
            </w:tcBorders>
            <w:noWrap w:val="0"/>
            <w:vAlign w:val="center"/>
          </w:tcPr>
          <w:p>
            <w:pPr>
              <w:topLinePunct/>
              <w:spacing w:line="440" w:lineRule="exact"/>
              <w:jc w:val="center"/>
              <w:rPr>
                <w:rFonts w:ascii="宋体" w:hAnsi="宋体"/>
                <w:color w:val="auto"/>
                <w:szCs w:val="21"/>
                <w:highlight w:val="none"/>
              </w:rPr>
            </w:pPr>
            <w:r>
              <w:rPr>
                <w:rFonts w:ascii="宋体" w:hAnsi="宋体"/>
                <w:color w:val="auto"/>
                <w:szCs w:val="21"/>
                <w:highlight w:val="none"/>
              </w:rPr>
              <w:t>成立时间</w:t>
            </w:r>
          </w:p>
        </w:tc>
        <w:tc>
          <w:tcPr>
            <w:tcW w:w="1445" w:type="dxa"/>
            <w:tcBorders>
              <w:top w:val="single" w:color="auto" w:sz="4" w:space="0"/>
              <w:left w:val="single" w:color="auto" w:sz="4" w:space="0"/>
              <w:bottom w:val="single" w:color="auto" w:sz="4" w:space="0"/>
              <w:right w:val="single" w:color="auto" w:sz="4" w:space="0"/>
            </w:tcBorders>
            <w:noWrap w:val="0"/>
            <w:vAlign w:val="center"/>
          </w:tcPr>
          <w:p>
            <w:pPr>
              <w:topLinePunct/>
              <w:spacing w:line="440" w:lineRule="exact"/>
              <w:jc w:val="center"/>
              <w:rPr>
                <w:rFonts w:ascii="宋体" w:hAnsi="宋体"/>
                <w:color w:val="auto"/>
                <w:szCs w:val="21"/>
                <w:highlight w:val="none"/>
              </w:rPr>
            </w:pPr>
          </w:p>
        </w:tc>
        <w:tc>
          <w:tcPr>
            <w:tcW w:w="5634" w:type="dxa"/>
            <w:gridSpan w:val="7"/>
            <w:tcBorders>
              <w:top w:val="single" w:color="auto" w:sz="4" w:space="0"/>
              <w:left w:val="single" w:color="auto" w:sz="4" w:space="0"/>
              <w:bottom w:val="single" w:color="auto" w:sz="4" w:space="0"/>
              <w:right w:val="single" w:color="auto" w:sz="4" w:space="0"/>
            </w:tcBorders>
            <w:noWrap w:val="0"/>
            <w:vAlign w:val="center"/>
          </w:tcPr>
          <w:p>
            <w:pPr>
              <w:topLinePunct/>
              <w:spacing w:line="440" w:lineRule="exact"/>
              <w:ind w:firstLine="105" w:firstLineChars="50"/>
              <w:jc w:val="center"/>
              <w:rPr>
                <w:rFonts w:ascii="宋体" w:hAnsi="宋体"/>
                <w:color w:val="auto"/>
                <w:szCs w:val="21"/>
                <w:highlight w:val="none"/>
              </w:rPr>
            </w:pPr>
            <w:r>
              <w:rPr>
                <w:rFonts w:ascii="宋体" w:hAnsi="宋体"/>
                <w:color w:val="auto"/>
                <w:szCs w:val="21"/>
                <w:highlight w:val="none"/>
              </w:rPr>
              <w:t>员工总人数：</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658" w:hRule="atLeast"/>
          <w:jc w:val="center"/>
        </w:trPr>
        <w:tc>
          <w:tcPr>
            <w:tcW w:w="1489" w:type="dxa"/>
            <w:tcBorders>
              <w:top w:val="single" w:color="auto" w:sz="4" w:space="0"/>
              <w:left w:val="single" w:color="auto" w:sz="4" w:space="0"/>
              <w:bottom w:val="single" w:color="auto" w:sz="4" w:space="0"/>
              <w:right w:val="single" w:color="auto" w:sz="4" w:space="0"/>
            </w:tcBorders>
            <w:noWrap w:val="0"/>
            <w:vAlign w:val="center"/>
          </w:tcPr>
          <w:p>
            <w:pPr>
              <w:topLinePunct/>
              <w:spacing w:line="440" w:lineRule="exact"/>
              <w:jc w:val="center"/>
              <w:rPr>
                <w:rFonts w:ascii="宋体" w:hAnsi="宋体"/>
                <w:color w:val="auto"/>
                <w:szCs w:val="21"/>
                <w:highlight w:val="none"/>
              </w:rPr>
            </w:pPr>
            <w:r>
              <w:rPr>
                <w:rFonts w:ascii="宋体" w:hAnsi="宋体"/>
                <w:color w:val="auto"/>
                <w:szCs w:val="21"/>
                <w:highlight w:val="none"/>
              </w:rPr>
              <w:t>企业资质等级</w:t>
            </w:r>
          </w:p>
        </w:tc>
        <w:tc>
          <w:tcPr>
            <w:tcW w:w="1445" w:type="dxa"/>
            <w:tcBorders>
              <w:top w:val="single" w:color="auto" w:sz="4" w:space="0"/>
              <w:left w:val="single" w:color="auto" w:sz="4" w:space="0"/>
              <w:bottom w:val="single" w:color="auto" w:sz="4" w:space="0"/>
              <w:right w:val="single" w:color="auto" w:sz="4" w:space="0"/>
            </w:tcBorders>
            <w:noWrap w:val="0"/>
            <w:vAlign w:val="center"/>
          </w:tcPr>
          <w:p>
            <w:pPr>
              <w:topLinePunct/>
              <w:spacing w:line="440" w:lineRule="exact"/>
              <w:jc w:val="center"/>
              <w:rPr>
                <w:rFonts w:ascii="宋体" w:hAnsi="宋体"/>
                <w:color w:val="auto"/>
                <w:szCs w:val="21"/>
                <w:highlight w:val="none"/>
              </w:rPr>
            </w:pPr>
          </w:p>
        </w:tc>
        <w:tc>
          <w:tcPr>
            <w:tcW w:w="1483" w:type="dxa"/>
            <w:gridSpan w:val="2"/>
            <w:vMerge w:val="restart"/>
            <w:tcBorders>
              <w:top w:val="single" w:color="auto" w:sz="4" w:space="0"/>
              <w:left w:val="single" w:color="auto" w:sz="4" w:space="0"/>
              <w:bottom w:val="single" w:color="auto" w:sz="4" w:space="0"/>
              <w:right w:val="single" w:color="auto" w:sz="4" w:space="0"/>
            </w:tcBorders>
            <w:noWrap w:val="0"/>
            <w:vAlign w:val="center"/>
          </w:tcPr>
          <w:p>
            <w:pPr>
              <w:topLinePunct/>
              <w:spacing w:line="440" w:lineRule="exact"/>
              <w:jc w:val="center"/>
              <w:rPr>
                <w:rFonts w:ascii="宋体" w:hAnsi="宋体"/>
                <w:color w:val="auto"/>
                <w:szCs w:val="21"/>
                <w:highlight w:val="none"/>
              </w:rPr>
            </w:pPr>
            <w:r>
              <w:rPr>
                <w:rFonts w:ascii="宋体" w:hAnsi="宋体"/>
                <w:color w:val="auto"/>
                <w:szCs w:val="21"/>
                <w:highlight w:val="none"/>
              </w:rPr>
              <w:t>其中</w:t>
            </w:r>
          </w:p>
        </w:tc>
        <w:tc>
          <w:tcPr>
            <w:tcW w:w="2299" w:type="dxa"/>
            <w:gridSpan w:val="3"/>
            <w:tcBorders>
              <w:top w:val="single" w:color="auto" w:sz="4" w:space="0"/>
              <w:left w:val="single" w:color="auto" w:sz="4" w:space="0"/>
              <w:bottom w:val="single" w:color="auto" w:sz="4" w:space="0"/>
              <w:right w:val="single" w:color="auto" w:sz="4" w:space="0"/>
            </w:tcBorders>
            <w:noWrap w:val="0"/>
            <w:vAlign w:val="center"/>
          </w:tcPr>
          <w:p>
            <w:pPr>
              <w:topLinePunct/>
              <w:spacing w:line="440" w:lineRule="exact"/>
              <w:jc w:val="center"/>
              <w:rPr>
                <w:rFonts w:ascii="宋体" w:hAnsi="宋体"/>
                <w:color w:val="auto"/>
                <w:szCs w:val="21"/>
                <w:highlight w:val="none"/>
              </w:rPr>
            </w:pPr>
            <w:r>
              <w:rPr>
                <w:rFonts w:ascii="宋体" w:hAnsi="宋体"/>
                <w:color w:val="auto"/>
                <w:szCs w:val="21"/>
                <w:highlight w:val="none"/>
              </w:rPr>
              <w:t>高级职称人员</w:t>
            </w:r>
          </w:p>
        </w:tc>
        <w:tc>
          <w:tcPr>
            <w:tcW w:w="1852" w:type="dxa"/>
            <w:gridSpan w:val="2"/>
            <w:tcBorders>
              <w:top w:val="single" w:color="auto" w:sz="4" w:space="0"/>
              <w:left w:val="single" w:color="auto" w:sz="4" w:space="0"/>
              <w:bottom w:val="single" w:color="auto" w:sz="4" w:space="0"/>
              <w:right w:val="single" w:color="auto" w:sz="4" w:space="0"/>
            </w:tcBorders>
            <w:noWrap w:val="0"/>
            <w:vAlign w:val="center"/>
          </w:tcPr>
          <w:p>
            <w:pPr>
              <w:topLinePunct/>
              <w:spacing w:line="440" w:lineRule="exact"/>
              <w:jc w:val="center"/>
              <w:rPr>
                <w:rFonts w:ascii="宋体" w:hAnsi="宋体"/>
                <w:color w:val="auto"/>
                <w:szCs w:val="21"/>
                <w:highlight w:val="none"/>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610" w:hRule="atLeast"/>
          <w:jc w:val="center"/>
        </w:trPr>
        <w:tc>
          <w:tcPr>
            <w:tcW w:w="1489" w:type="dxa"/>
            <w:tcBorders>
              <w:top w:val="single" w:color="auto" w:sz="4" w:space="0"/>
              <w:left w:val="single" w:color="auto" w:sz="4" w:space="0"/>
              <w:bottom w:val="single" w:color="auto" w:sz="4" w:space="0"/>
              <w:right w:val="single" w:color="auto" w:sz="4" w:space="0"/>
            </w:tcBorders>
            <w:noWrap w:val="0"/>
            <w:vAlign w:val="center"/>
          </w:tcPr>
          <w:p>
            <w:pPr>
              <w:topLinePunct/>
              <w:spacing w:line="440" w:lineRule="exact"/>
              <w:jc w:val="center"/>
              <w:rPr>
                <w:rFonts w:ascii="宋体" w:hAnsi="宋体"/>
                <w:color w:val="auto"/>
                <w:szCs w:val="21"/>
                <w:highlight w:val="none"/>
              </w:rPr>
            </w:pPr>
            <w:r>
              <w:rPr>
                <w:rFonts w:ascii="宋体" w:hAnsi="宋体"/>
                <w:color w:val="auto"/>
                <w:szCs w:val="21"/>
                <w:highlight w:val="none"/>
              </w:rPr>
              <w:t>营业执照号</w:t>
            </w:r>
          </w:p>
        </w:tc>
        <w:tc>
          <w:tcPr>
            <w:tcW w:w="1445" w:type="dxa"/>
            <w:tcBorders>
              <w:top w:val="single" w:color="auto" w:sz="4" w:space="0"/>
              <w:left w:val="single" w:color="auto" w:sz="4" w:space="0"/>
              <w:bottom w:val="single" w:color="auto" w:sz="4" w:space="0"/>
              <w:right w:val="single" w:color="auto" w:sz="4" w:space="0"/>
            </w:tcBorders>
            <w:noWrap w:val="0"/>
            <w:vAlign w:val="center"/>
          </w:tcPr>
          <w:p>
            <w:pPr>
              <w:topLinePunct/>
              <w:spacing w:line="440" w:lineRule="exact"/>
              <w:jc w:val="center"/>
              <w:rPr>
                <w:rFonts w:ascii="宋体" w:hAnsi="宋体"/>
                <w:color w:val="auto"/>
                <w:szCs w:val="21"/>
                <w:highlight w:val="none"/>
              </w:rPr>
            </w:pPr>
          </w:p>
        </w:tc>
        <w:tc>
          <w:tcPr>
            <w:tcW w:w="1483" w:type="dxa"/>
            <w:gridSpan w:val="2"/>
            <w:vMerge w:val="continue"/>
            <w:tcBorders>
              <w:top w:val="single" w:color="auto" w:sz="4" w:space="0"/>
              <w:left w:val="single" w:color="auto" w:sz="4" w:space="0"/>
              <w:bottom w:val="single" w:color="auto" w:sz="4" w:space="0"/>
              <w:right w:val="single" w:color="auto" w:sz="4" w:space="0"/>
            </w:tcBorders>
            <w:noWrap w:val="0"/>
            <w:vAlign w:val="center"/>
          </w:tcPr>
          <w:p>
            <w:pPr>
              <w:topLinePunct/>
              <w:spacing w:line="440" w:lineRule="exact"/>
              <w:jc w:val="center"/>
              <w:rPr>
                <w:rFonts w:ascii="宋体" w:hAnsi="宋体"/>
                <w:color w:val="auto"/>
                <w:szCs w:val="21"/>
                <w:highlight w:val="none"/>
              </w:rPr>
            </w:pPr>
          </w:p>
        </w:tc>
        <w:tc>
          <w:tcPr>
            <w:tcW w:w="2299" w:type="dxa"/>
            <w:gridSpan w:val="3"/>
            <w:tcBorders>
              <w:top w:val="single" w:color="auto" w:sz="4" w:space="0"/>
              <w:left w:val="single" w:color="auto" w:sz="4" w:space="0"/>
              <w:bottom w:val="single" w:color="auto" w:sz="4" w:space="0"/>
              <w:right w:val="single" w:color="auto" w:sz="4" w:space="0"/>
            </w:tcBorders>
            <w:noWrap w:val="0"/>
            <w:vAlign w:val="center"/>
          </w:tcPr>
          <w:p>
            <w:pPr>
              <w:topLinePunct/>
              <w:spacing w:line="440" w:lineRule="exact"/>
              <w:jc w:val="center"/>
              <w:rPr>
                <w:rFonts w:ascii="宋体" w:hAnsi="宋体"/>
                <w:color w:val="auto"/>
                <w:szCs w:val="21"/>
                <w:highlight w:val="none"/>
              </w:rPr>
            </w:pPr>
            <w:r>
              <w:rPr>
                <w:rFonts w:ascii="宋体" w:hAnsi="宋体"/>
                <w:color w:val="auto"/>
                <w:szCs w:val="21"/>
                <w:highlight w:val="none"/>
              </w:rPr>
              <w:t>中级职称人员</w:t>
            </w:r>
          </w:p>
        </w:tc>
        <w:tc>
          <w:tcPr>
            <w:tcW w:w="1852" w:type="dxa"/>
            <w:gridSpan w:val="2"/>
            <w:tcBorders>
              <w:top w:val="single" w:color="auto" w:sz="4" w:space="0"/>
              <w:left w:val="single" w:color="auto" w:sz="4" w:space="0"/>
              <w:bottom w:val="single" w:color="auto" w:sz="4" w:space="0"/>
              <w:right w:val="single" w:color="auto" w:sz="4" w:space="0"/>
            </w:tcBorders>
            <w:noWrap w:val="0"/>
            <w:vAlign w:val="center"/>
          </w:tcPr>
          <w:p>
            <w:pPr>
              <w:topLinePunct/>
              <w:spacing w:line="440" w:lineRule="exact"/>
              <w:jc w:val="center"/>
              <w:rPr>
                <w:rFonts w:ascii="宋体" w:hAnsi="宋体"/>
                <w:color w:val="auto"/>
                <w:szCs w:val="21"/>
                <w:highlight w:val="none"/>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604" w:hRule="atLeast"/>
          <w:jc w:val="center"/>
        </w:trPr>
        <w:tc>
          <w:tcPr>
            <w:tcW w:w="1489" w:type="dxa"/>
            <w:tcBorders>
              <w:top w:val="single" w:color="auto" w:sz="4" w:space="0"/>
              <w:left w:val="single" w:color="auto" w:sz="4" w:space="0"/>
              <w:bottom w:val="single" w:color="auto" w:sz="4" w:space="0"/>
              <w:right w:val="single" w:color="auto" w:sz="4" w:space="0"/>
            </w:tcBorders>
            <w:noWrap w:val="0"/>
            <w:vAlign w:val="center"/>
          </w:tcPr>
          <w:p>
            <w:pPr>
              <w:topLinePunct/>
              <w:spacing w:line="440" w:lineRule="exact"/>
              <w:jc w:val="center"/>
              <w:rPr>
                <w:rFonts w:ascii="宋体" w:hAnsi="宋体"/>
                <w:color w:val="auto"/>
                <w:szCs w:val="21"/>
                <w:highlight w:val="none"/>
              </w:rPr>
            </w:pPr>
            <w:r>
              <w:rPr>
                <w:rFonts w:ascii="宋体" w:hAnsi="宋体"/>
                <w:color w:val="auto"/>
                <w:szCs w:val="21"/>
                <w:highlight w:val="none"/>
              </w:rPr>
              <w:t>注册资金</w:t>
            </w:r>
          </w:p>
        </w:tc>
        <w:tc>
          <w:tcPr>
            <w:tcW w:w="1445" w:type="dxa"/>
            <w:tcBorders>
              <w:top w:val="single" w:color="auto" w:sz="4" w:space="0"/>
              <w:left w:val="single" w:color="auto" w:sz="4" w:space="0"/>
              <w:bottom w:val="single" w:color="auto" w:sz="4" w:space="0"/>
              <w:right w:val="single" w:color="auto" w:sz="4" w:space="0"/>
            </w:tcBorders>
            <w:noWrap w:val="0"/>
            <w:vAlign w:val="center"/>
          </w:tcPr>
          <w:p>
            <w:pPr>
              <w:topLinePunct/>
              <w:spacing w:line="440" w:lineRule="exact"/>
              <w:jc w:val="center"/>
              <w:rPr>
                <w:rFonts w:ascii="宋体" w:hAnsi="宋体"/>
                <w:color w:val="auto"/>
                <w:szCs w:val="21"/>
                <w:highlight w:val="none"/>
              </w:rPr>
            </w:pPr>
          </w:p>
        </w:tc>
        <w:tc>
          <w:tcPr>
            <w:tcW w:w="1483" w:type="dxa"/>
            <w:gridSpan w:val="2"/>
            <w:vMerge w:val="continue"/>
            <w:tcBorders>
              <w:top w:val="single" w:color="auto" w:sz="4" w:space="0"/>
              <w:left w:val="single" w:color="auto" w:sz="4" w:space="0"/>
              <w:bottom w:val="single" w:color="auto" w:sz="4" w:space="0"/>
              <w:right w:val="single" w:color="auto" w:sz="4" w:space="0"/>
            </w:tcBorders>
            <w:noWrap w:val="0"/>
            <w:vAlign w:val="center"/>
          </w:tcPr>
          <w:p>
            <w:pPr>
              <w:topLinePunct/>
              <w:spacing w:line="440" w:lineRule="exact"/>
              <w:jc w:val="center"/>
              <w:rPr>
                <w:rFonts w:ascii="宋体" w:hAnsi="宋体"/>
                <w:color w:val="auto"/>
                <w:szCs w:val="21"/>
                <w:highlight w:val="none"/>
              </w:rPr>
            </w:pPr>
          </w:p>
        </w:tc>
        <w:tc>
          <w:tcPr>
            <w:tcW w:w="2299" w:type="dxa"/>
            <w:gridSpan w:val="3"/>
            <w:tcBorders>
              <w:top w:val="single" w:color="auto" w:sz="4" w:space="0"/>
              <w:left w:val="single" w:color="auto" w:sz="4" w:space="0"/>
              <w:bottom w:val="single" w:color="auto" w:sz="4" w:space="0"/>
              <w:right w:val="single" w:color="auto" w:sz="4" w:space="0"/>
            </w:tcBorders>
            <w:noWrap w:val="0"/>
            <w:vAlign w:val="center"/>
          </w:tcPr>
          <w:p>
            <w:pPr>
              <w:topLinePunct/>
              <w:spacing w:line="440" w:lineRule="exact"/>
              <w:jc w:val="center"/>
              <w:rPr>
                <w:rFonts w:ascii="宋体" w:hAnsi="宋体"/>
                <w:color w:val="auto"/>
                <w:szCs w:val="21"/>
                <w:highlight w:val="none"/>
              </w:rPr>
            </w:pPr>
            <w:r>
              <w:rPr>
                <w:rFonts w:ascii="宋体" w:hAnsi="宋体"/>
                <w:color w:val="auto"/>
                <w:szCs w:val="21"/>
                <w:highlight w:val="none"/>
              </w:rPr>
              <w:t>初级职称人员</w:t>
            </w:r>
          </w:p>
        </w:tc>
        <w:tc>
          <w:tcPr>
            <w:tcW w:w="1852" w:type="dxa"/>
            <w:gridSpan w:val="2"/>
            <w:tcBorders>
              <w:top w:val="single" w:color="auto" w:sz="4" w:space="0"/>
              <w:left w:val="single" w:color="auto" w:sz="4" w:space="0"/>
              <w:bottom w:val="single" w:color="auto" w:sz="4" w:space="0"/>
              <w:right w:val="single" w:color="auto" w:sz="4" w:space="0"/>
            </w:tcBorders>
            <w:noWrap w:val="0"/>
            <w:vAlign w:val="center"/>
          </w:tcPr>
          <w:p>
            <w:pPr>
              <w:topLinePunct/>
              <w:spacing w:line="440" w:lineRule="exact"/>
              <w:jc w:val="center"/>
              <w:rPr>
                <w:rFonts w:ascii="宋体" w:hAnsi="宋体"/>
                <w:color w:val="auto"/>
                <w:szCs w:val="21"/>
                <w:highlight w:val="none"/>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626" w:hRule="atLeast"/>
          <w:jc w:val="center"/>
        </w:trPr>
        <w:tc>
          <w:tcPr>
            <w:tcW w:w="1489" w:type="dxa"/>
            <w:tcBorders>
              <w:top w:val="single" w:color="auto" w:sz="4" w:space="0"/>
              <w:left w:val="single" w:color="auto" w:sz="4" w:space="0"/>
              <w:bottom w:val="single" w:color="auto" w:sz="4" w:space="0"/>
              <w:right w:val="single" w:color="auto" w:sz="4" w:space="0"/>
            </w:tcBorders>
            <w:noWrap w:val="0"/>
            <w:vAlign w:val="center"/>
          </w:tcPr>
          <w:p>
            <w:pPr>
              <w:topLinePunct/>
              <w:spacing w:line="440" w:lineRule="exact"/>
              <w:jc w:val="center"/>
              <w:rPr>
                <w:rFonts w:ascii="宋体" w:hAnsi="宋体"/>
                <w:color w:val="auto"/>
                <w:szCs w:val="21"/>
                <w:highlight w:val="none"/>
              </w:rPr>
            </w:pPr>
            <w:r>
              <w:rPr>
                <w:rFonts w:ascii="宋体" w:hAnsi="宋体"/>
                <w:color w:val="auto"/>
                <w:szCs w:val="21"/>
                <w:highlight w:val="none"/>
              </w:rPr>
              <w:t>开户银行</w:t>
            </w:r>
          </w:p>
        </w:tc>
        <w:tc>
          <w:tcPr>
            <w:tcW w:w="1445" w:type="dxa"/>
            <w:tcBorders>
              <w:top w:val="single" w:color="auto" w:sz="4" w:space="0"/>
              <w:left w:val="single" w:color="auto" w:sz="4" w:space="0"/>
              <w:bottom w:val="single" w:color="auto" w:sz="4" w:space="0"/>
              <w:right w:val="single" w:color="auto" w:sz="4" w:space="0"/>
            </w:tcBorders>
            <w:noWrap w:val="0"/>
            <w:vAlign w:val="center"/>
          </w:tcPr>
          <w:p>
            <w:pPr>
              <w:topLinePunct/>
              <w:spacing w:line="440" w:lineRule="exact"/>
              <w:jc w:val="center"/>
              <w:rPr>
                <w:rFonts w:ascii="宋体" w:hAnsi="宋体"/>
                <w:color w:val="auto"/>
                <w:szCs w:val="21"/>
                <w:highlight w:val="none"/>
              </w:rPr>
            </w:pPr>
          </w:p>
        </w:tc>
        <w:tc>
          <w:tcPr>
            <w:tcW w:w="1483" w:type="dxa"/>
            <w:gridSpan w:val="2"/>
            <w:vMerge w:val="continue"/>
            <w:tcBorders>
              <w:top w:val="single" w:color="auto" w:sz="4" w:space="0"/>
              <w:left w:val="single" w:color="auto" w:sz="4" w:space="0"/>
              <w:bottom w:val="single" w:color="auto" w:sz="4" w:space="0"/>
              <w:right w:val="single" w:color="auto" w:sz="4" w:space="0"/>
            </w:tcBorders>
            <w:noWrap w:val="0"/>
            <w:vAlign w:val="center"/>
          </w:tcPr>
          <w:p>
            <w:pPr>
              <w:topLinePunct/>
              <w:spacing w:line="440" w:lineRule="exact"/>
              <w:jc w:val="center"/>
              <w:rPr>
                <w:rFonts w:ascii="宋体" w:hAnsi="宋体"/>
                <w:color w:val="auto"/>
                <w:szCs w:val="21"/>
                <w:highlight w:val="none"/>
              </w:rPr>
            </w:pPr>
          </w:p>
        </w:tc>
        <w:tc>
          <w:tcPr>
            <w:tcW w:w="2299" w:type="dxa"/>
            <w:gridSpan w:val="3"/>
            <w:tcBorders>
              <w:top w:val="single" w:color="auto" w:sz="4" w:space="0"/>
              <w:left w:val="single" w:color="auto" w:sz="4" w:space="0"/>
              <w:bottom w:val="single" w:color="auto" w:sz="4" w:space="0"/>
              <w:right w:val="single" w:color="auto" w:sz="4" w:space="0"/>
            </w:tcBorders>
            <w:noWrap w:val="0"/>
            <w:vAlign w:val="center"/>
          </w:tcPr>
          <w:p>
            <w:pPr>
              <w:topLinePunct/>
              <w:spacing w:line="440" w:lineRule="exact"/>
              <w:jc w:val="center"/>
              <w:rPr>
                <w:rFonts w:ascii="宋体" w:hAnsi="宋体"/>
                <w:color w:val="auto"/>
                <w:szCs w:val="21"/>
                <w:highlight w:val="none"/>
              </w:rPr>
            </w:pPr>
          </w:p>
        </w:tc>
        <w:tc>
          <w:tcPr>
            <w:tcW w:w="1852" w:type="dxa"/>
            <w:gridSpan w:val="2"/>
            <w:tcBorders>
              <w:top w:val="single" w:color="auto" w:sz="4" w:space="0"/>
              <w:left w:val="single" w:color="auto" w:sz="4" w:space="0"/>
              <w:bottom w:val="single" w:color="auto" w:sz="4" w:space="0"/>
              <w:right w:val="single" w:color="auto" w:sz="4" w:space="0"/>
            </w:tcBorders>
            <w:noWrap w:val="0"/>
            <w:vAlign w:val="center"/>
          </w:tcPr>
          <w:p>
            <w:pPr>
              <w:topLinePunct/>
              <w:spacing w:line="440" w:lineRule="exact"/>
              <w:jc w:val="center"/>
              <w:rPr>
                <w:rFonts w:ascii="宋体" w:hAnsi="宋体"/>
                <w:color w:val="auto"/>
                <w:szCs w:val="21"/>
                <w:highlight w:val="none"/>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606" w:hRule="atLeast"/>
          <w:jc w:val="center"/>
        </w:trPr>
        <w:tc>
          <w:tcPr>
            <w:tcW w:w="1489" w:type="dxa"/>
            <w:tcBorders>
              <w:top w:val="single" w:color="auto" w:sz="4" w:space="0"/>
              <w:left w:val="single" w:color="auto" w:sz="4" w:space="0"/>
              <w:bottom w:val="single" w:color="auto" w:sz="4" w:space="0"/>
              <w:right w:val="single" w:color="auto" w:sz="4" w:space="0"/>
            </w:tcBorders>
            <w:noWrap w:val="0"/>
            <w:vAlign w:val="center"/>
          </w:tcPr>
          <w:p>
            <w:pPr>
              <w:topLinePunct/>
              <w:spacing w:line="440" w:lineRule="exact"/>
              <w:jc w:val="center"/>
              <w:rPr>
                <w:rFonts w:ascii="宋体" w:hAnsi="宋体"/>
                <w:color w:val="auto"/>
                <w:szCs w:val="21"/>
                <w:highlight w:val="none"/>
              </w:rPr>
            </w:pPr>
            <w:r>
              <w:rPr>
                <w:rFonts w:ascii="宋体" w:hAnsi="宋体"/>
                <w:color w:val="auto"/>
                <w:szCs w:val="21"/>
                <w:highlight w:val="none"/>
              </w:rPr>
              <w:t>账号</w:t>
            </w:r>
          </w:p>
        </w:tc>
        <w:tc>
          <w:tcPr>
            <w:tcW w:w="1445" w:type="dxa"/>
            <w:tcBorders>
              <w:top w:val="single" w:color="auto" w:sz="4" w:space="0"/>
              <w:left w:val="single" w:color="auto" w:sz="4" w:space="0"/>
              <w:bottom w:val="single" w:color="auto" w:sz="4" w:space="0"/>
              <w:right w:val="single" w:color="auto" w:sz="4" w:space="0"/>
            </w:tcBorders>
            <w:noWrap w:val="0"/>
            <w:vAlign w:val="center"/>
          </w:tcPr>
          <w:p>
            <w:pPr>
              <w:topLinePunct/>
              <w:spacing w:line="440" w:lineRule="exact"/>
              <w:jc w:val="center"/>
              <w:rPr>
                <w:rFonts w:ascii="宋体" w:hAnsi="宋体"/>
                <w:color w:val="auto"/>
                <w:szCs w:val="21"/>
                <w:highlight w:val="none"/>
              </w:rPr>
            </w:pPr>
          </w:p>
        </w:tc>
        <w:tc>
          <w:tcPr>
            <w:tcW w:w="1483" w:type="dxa"/>
            <w:gridSpan w:val="2"/>
            <w:vMerge w:val="continue"/>
            <w:tcBorders>
              <w:top w:val="single" w:color="auto" w:sz="4" w:space="0"/>
              <w:left w:val="single" w:color="auto" w:sz="4" w:space="0"/>
              <w:bottom w:val="single" w:color="auto" w:sz="4" w:space="0"/>
              <w:right w:val="single" w:color="auto" w:sz="4" w:space="0"/>
            </w:tcBorders>
            <w:noWrap w:val="0"/>
            <w:vAlign w:val="center"/>
          </w:tcPr>
          <w:p>
            <w:pPr>
              <w:topLinePunct/>
              <w:spacing w:line="440" w:lineRule="exact"/>
              <w:jc w:val="center"/>
              <w:rPr>
                <w:rFonts w:ascii="宋体" w:hAnsi="宋体"/>
                <w:color w:val="auto"/>
                <w:szCs w:val="21"/>
                <w:highlight w:val="none"/>
              </w:rPr>
            </w:pPr>
          </w:p>
        </w:tc>
        <w:tc>
          <w:tcPr>
            <w:tcW w:w="2299" w:type="dxa"/>
            <w:gridSpan w:val="3"/>
            <w:tcBorders>
              <w:top w:val="single" w:color="auto" w:sz="4" w:space="0"/>
              <w:left w:val="single" w:color="auto" w:sz="4" w:space="0"/>
              <w:bottom w:val="single" w:color="auto" w:sz="4" w:space="0"/>
              <w:right w:val="single" w:color="auto" w:sz="4" w:space="0"/>
            </w:tcBorders>
            <w:noWrap w:val="0"/>
            <w:vAlign w:val="center"/>
          </w:tcPr>
          <w:p>
            <w:pPr>
              <w:topLinePunct/>
              <w:spacing w:line="440" w:lineRule="exact"/>
              <w:jc w:val="center"/>
              <w:rPr>
                <w:rFonts w:ascii="宋体" w:hAnsi="宋体"/>
                <w:color w:val="auto"/>
                <w:highlight w:val="none"/>
              </w:rPr>
            </w:pPr>
          </w:p>
        </w:tc>
        <w:tc>
          <w:tcPr>
            <w:tcW w:w="1852" w:type="dxa"/>
            <w:gridSpan w:val="2"/>
            <w:tcBorders>
              <w:top w:val="single" w:color="auto" w:sz="4" w:space="0"/>
              <w:left w:val="single" w:color="auto" w:sz="4" w:space="0"/>
              <w:bottom w:val="single" w:color="auto" w:sz="4" w:space="0"/>
              <w:right w:val="single" w:color="auto" w:sz="4" w:space="0"/>
            </w:tcBorders>
            <w:noWrap w:val="0"/>
            <w:vAlign w:val="center"/>
          </w:tcPr>
          <w:p>
            <w:pPr>
              <w:topLinePunct/>
              <w:spacing w:line="440" w:lineRule="exact"/>
              <w:jc w:val="center"/>
              <w:rPr>
                <w:rFonts w:ascii="宋体" w:hAnsi="宋体"/>
                <w:color w:val="auto"/>
                <w:szCs w:val="21"/>
                <w:highlight w:val="none"/>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348" w:hRule="atLeast"/>
          <w:jc w:val="center"/>
        </w:trPr>
        <w:tc>
          <w:tcPr>
            <w:tcW w:w="1489" w:type="dxa"/>
            <w:tcBorders>
              <w:top w:val="single" w:color="auto" w:sz="4" w:space="0"/>
              <w:left w:val="single" w:color="auto" w:sz="4" w:space="0"/>
              <w:right w:val="single" w:color="auto" w:sz="4" w:space="0"/>
            </w:tcBorders>
            <w:noWrap w:val="0"/>
            <w:vAlign w:val="center"/>
          </w:tcPr>
          <w:p>
            <w:pPr>
              <w:topLinePunct/>
              <w:spacing w:line="440" w:lineRule="exact"/>
              <w:ind w:firstLine="210" w:firstLineChars="100"/>
              <w:jc w:val="center"/>
              <w:rPr>
                <w:rFonts w:ascii="宋体" w:hAnsi="宋体"/>
                <w:color w:val="auto"/>
                <w:szCs w:val="21"/>
                <w:highlight w:val="none"/>
              </w:rPr>
            </w:pPr>
            <w:r>
              <w:rPr>
                <w:rFonts w:ascii="宋体" w:hAnsi="宋体"/>
                <w:color w:val="auto"/>
                <w:szCs w:val="21"/>
                <w:highlight w:val="none"/>
              </w:rPr>
              <w:t>经营范围</w:t>
            </w:r>
          </w:p>
        </w:tc>
        <w:tc>
          <w:tcPr>
            <w:tcW w:w="7079" w:type="dxa"/>
            <w:gridSpan w:val="8"/>
            <w:tcBorders>
              <w:top w:val="single" w:color="auto" w:sz="4" w:space="0"/>
              <w:left w:val="single" w:color="auto" w:sz="4" w:space="0"/>
              <w:right w:val="single" w:color="auto" w:sz="4" w:space="0"/>
            </w:tcBorders>
            <w:noWrap w:val="0"/>
            <w:vAlign w:val="center"/>
          </w:tcPr>
          <w:p>
            <w:pPr>
              <w:topLinePunct/>
              <w:spacing w:line="440" w:lineRule="exact"/>
              <w:rPr>
                <w:rFonts w:ascii="宋体" w:hAnsi="宋体"/>
                <w:color w:val="auto"/>
                <w:szCs w:val="21"/>
                <w:highlight w:val="none"/>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282" w:hRule="atLeast"/>
          <w:jc w:val="center"/>
        </w:trPr>
        <w:tc>
          <w:tcPr>
            <w:tcW w:w="1489" w:type="dxa"/>
            <w:tcBorders>
              <w:top w:val="single" w:color="auto" w:sz="4" w:space="0"/>
              <w:left w:val="single" w:color="auto" w:sz="4" w:space="0"/>
              <w:bottom w:val="single" w:color="auto" w:sz="4" w:space="0"/>
              <w:right w:val="single" w:color="auto" w:sz="4" w:space="0"/>
            </w:tcBorders>
            <w:noWrap w:val="0"/>
            <w:vAlign w:val="center"/>
          </w:tcPr>
          <w:p>
            <w:pPr>
              <w:topLinePunct/>
              <w:spacing w:line="440" w:lineRule="exact"/>
              <w:jc w:val="center"/>
              <w:rPr>
                <w:rFonts w:ascii="宋体" w:hAnsi="宋体"/>
                <w:color w:val="auto"/>
                <w:szCs w:val="21"/>
                <w:highlight w:val="none"/>
              </w:rPr>
            </w:pPr>
            <w:r>
              <w:rPr>
                <w:rFonts w:ascii="宋体" w:hAnsi="宋体"/>
                <w:color w:val="auto"/>
                <w:szCs w:val="21"/>
                <w:highlight w:val="none"/>
              </w:rPr>
              <w:t>备注</w:t>
            </w:r>
          </w:p>
        </w:tc>
        <w:tc>
          <w:tcPr>
            <w:tcW w:w="7079" w:type="dxa"/>
            <w:gridSpan w:val="8"/>
            <w:tcBorders>
              <w:top w:val="single" w:color="auto" w:sz="4" w:space="0"/>
              <w:left w:val="single" w:color="auto" w:sz="4" w:space="0"/>
              <w:bottom w:val="single" w:color="auto" w:sz="4" w:space="0"/>
              <w:right w:val="single" w:color="auto" w:sz="4" w:space="0"/>
            </w:tcBorders>
            <w:noWrap w:val="0"/>
            <w:vAlign w:val="center"/>
          </w:tcPr>
          <w:p>
            <w:pPr>
              <w:topLinePunct/>
              <w:spacing w:line="440" w:lineRule="exact"/>
              <w:jc w:val="center"/>
              <w:rPr>
                <w:rFonts w:ascii="宋体" w:hAnsi="宋体"/>
                <w:color w:val="auto"/>
                <w:szCs w:val="21"/>
                <w:highlight w:val="none"/>
              </w:rPr>
            </w:pPr>
          </w:p>
        </w:tc>
      </w:tr>
    </w:tbl>
    <w:p>
      <w:pPr>
        <w:snapToGrid w:val="0"/>
        <w:spacing w:line="360" w:lineRule="auto"/>
        <w:ind w:firstLine="422" w:firstLineChars="200"/>
        <w:jc w:val="left"/>
        <w:rPr>
          <w:rFonts w:ascii="宋体" w:hAnsi="宋体"/>
          <w:b/>
          <w:color w:val="auto"/>
          <w:szCs w:val="21"/>
          <w:highlight w:val="none"/>
        </w:rPr>
      </w:pPr>
      <w:r>
        <w:rPr>
          <w:rFonts w:hint="eastAsia" w:ascii="宋体" w:hAnsi="宋体"/>
          <w:b/>
          <w:color w:val="auto"/>
          <w:szCs w:val="21"/>
          <w:highlight w:val="none"/>
        </w:rPr>
        <w:br w:type="page"/>
      </w:r>
      <w:r>
        <w:rPr>
          <w:rFonts w:hint="eastAsia" w:ascii="宋体" w:hAnsi="宋体"/>
          <w:b/>
          <w:color w:val="auto"/>
          <w:szCs w:val="21"/>
          <w:highlight w:val="none"/>
        </w:rPr>
        <w:t>法定代表人授权委托书格式：</w:t>
      </w:r>
    </w:p>
    <w:p>
      <w:pPr>
        <w:snapToGrid w:val="0"/>
        <w:spacing w:line="360" w:lineRule="auto"/>
        <w:ind w:firstLine="422" w:firstLineChars="200"/>
        <w:jc w:val="center"/>
        <w:rPr>
          <w:rFonts w:ascii="宋体" w:hAnsi="宋体"/>
          <w:b/>
          <w:color w:val="auto"/>
          <w:szCs w:val="21"/>
          <w:highlight w:val="none"/>
        </w:rPr>
      </w:pPr>
      <w:r>
        <w:rPr>
          <w:rFonts w:hint="eastAsia" w:ascii="宋体" w:hAnsi="宋体"/>
          <w:b/>
          <w:color w:val="auto"/>
          <w:szCs w:val="21"/>
          <w:highlight w:val="none"/>
        </w:rPr>
        <w:t>法定代表人授权委托书</w:t>
      </w:r>
    </w:p>
    <w:p>
      <w:pPr>
        <w:snapToGrid w:val="0"/>
        <w:spacing w:line="360" w:lineRule="auto"/>
        <w:ind w:firstLine="420" w:firstLineChars="200"/>
        <w:jc w:val="left"/>
        <w:rPr>
          <w:rFonts w:ascii="宋体" w:hAnsi="宋体"/>
          <w:bCs/>
          <w:color w:val="auto"/>
          <w:szCs w:val="21"/>
          <w:highlight w:val="none"/>
        </w:rPr>
      </w:pPr>
    </w:p>
    <w:p>
      <w:pPr>
        <w:snapToGrid w:val="0"/>
        <w:spacing w:line="360" w:lineRule="auto"/>
        <w:ind w:firstLine="420" w:firstLineChars="200"/>
        <w:jc w:val="left"/>
        <w:rPr>
          <w:rFonts w:ascii="宋体" w:hAnsi="宋体"/>
          <w:b/>
          <w:bCs/>
          <w:color w:val="auto"/>
          <w:szCs w:val="21"/>
          <w:highlight w:val="none"/>
        </w:rPr>
      </w:pPr>
      <w:r>
        <w:rPr>
          <w:rFonts w:hint="eastAsia" w:ascii="宋体" w:hAnsi="宋体"/>
          <w:bCs/>
          <w:color w:val="auto"/>
          <w:szCs w:val="21"/>
          <w:highlight w:val="none"/>
        </w:rPr>
        <w:t>致：</w:t>
      </w:r>
      <w:r>
        <w:rPr>
          <w:rFonts w:hint="eastAsia" w:ascii="宋体" w:hAnsi="宋体" w:cs="Arial"/>
          <w:color w:val="auto"/>
          <w:kern w:val="0"/>
          <w:szCs w:val="21"/>
          <w:highlight w:val="none"/>
          <w:u w:val="single"/>
          <w:lang w:eastAsia="zh-CN"/>
        </w:rPr>
        <w:t>嘉兴市实验初级中学教育集团</w:t>
      </w:r>
      <w:r>
        <w:rPr>
          <w:rFonts w:hint="eastAsia" w:ascii="宋体" w:hAnsi="宋体" w:cs="Arial"/>
          <w:color w:val="auto"/>
          <w:kern w:val="0"/>
          <w:szCs w:val="21"/>
          <w:highlight w:val="none"/>
          <w:u w:val="single"/>
        </w:rPr>
        <w:t xml:space="preserve"> </w:t>
      </w:r>
      <w:r>
        <w:rPr>
          <w:rFonts w:hint="eastAsia" w:ascii="宋体" w:hAnsi="宋体"/>
          <w:color w:val="auto"/>
          <w:szCs w:val="21"/>
          <w:highlight w:val="none"/>
        </w:rPr>
        <w:t>（招标采购单位名称）：</w:t>
      </w:r>
    </w:p>
    <w:p>
      <w:pPr>
        <w:shd w:val="clear" w:color="auto" w:fill="FFFFFF"/>
        <w:snapToGrid w:val="0"/>
        <w:spacing w:line="360" w:lineRule="auto"/>
        <w:ind w:firstLine="420" w:firstLineChars="200"/>
        <w:jc w:val="left"/>
        <w:rPr>
          <w:rFonts w:ascii="宋体" w:hAnsi="宋体" w:cs="宋体"/>
          <w:color w:val="auto"/>
          <w:szCs w:val="21"/>
          <w:highlight w:val="none"/>
        </w:rPr>
      </w:pPr>
      <w:r>
        <w:rPr>
          <w:rFonts w:hint="eastAsia" w:ascii="宋体" w:hAnsi="宋体" w:cs="宋体"/>
          <w:color w:val="auto"/>
          <w:kern w:val="0"/>
          <w:szCs w:val="21"/>
          <w:highlight w:val="none"/>
          <w:lang w:val="zh-CN"/>
        </w:rPr>
        <w:t xml:space="preserve"> 兹委派我公司</w:t>
      </w:r>
      <w:r>
        <w:rPr>
          <w:rFonts w:hint="eastAsia" w:ascii="宋体" w:hAnsi="宋体" w:cs="宋体"/>
          <w:color w:val="auto"/>
          <w:kern w:val="0"/>
          <w:szCs w:val="21"/>
          <w:highlight w:val="none"/>
          <w:u w:val="single"/>
          <w:lang w:val="zh-CN"/>
        </w:rPr>
        <w:t>先生/女士</w:t>
      </w:r>
      <w:r>
        <w:rPr>
          <w:rFonts w:hint="eastAsia" w:ascii="宋体" w:hAnsi="宋体" w:cs="宋体"/>
          <w:color w:val="auto"/>
          <w:kern w:val="0"/>
          <w:szCs w:val="21"/>
          <w:highlight w:val="none"/>
          <w:lang w:val="zh-CN"/>
        </w:rPr>
        <w:t>(其在本公司的职务是：</w:t>
      </w:r>
      <w:r>
        <w:rPr>
          <w:rFonts w:hint="eastAsia" w:ascii="宋体" w:hAnsi="宋体"/>
          <w:color w:val="auto"/>
          <w:szCs w:val="21"/>
          <w:highlight w:val="none"/>
          <w:u w:val="single"/>
        </w:rPr>
        <w:t xml:space="preserve">           </w:t>
      </w:r>
      <w:r>
        <w:rPr>
          <w:rFonts w:hint="eastAsia" w:ascii="宋体" w:hAnsi="宋体" w:cs="宋体"/>
          <w:color w:val="auto"/>
          <w:kern w:val="0"/>
          <w:szCs w:val="21"/>
          <w:highlight w:val="none"/>
          <w:lang w:val="zh-CN"/>
        </w:rPr>
        <w:t>，联系电话：</w:t>
      </w:r>
      <w:r>
        <w:rPr>
          <w:rFonts w:hint="eastAsia" w:ascii="宋体" w:hAnsi="宋体"/>
          <w:color w:val="auto"/>
          <w:szCs w:val="21"/>
          <w:highlight w:val="none"/>
          <w:u w:val="single"/>
        </w:rPr>
        <w:t xml:space="preserve">           </w:t>
      </w:r>
      <w:r>
        <w:rPr>
          <w:rFonts w:hint="eastAsia" w:ascii="宋体" w:hAnsi="宋体" w:cs="宋体"/>
          <w:color w:val="auto"/>
          <w:kern w:val="0"/>
          <w:szCs w:val="21"/>
          <w:highlight w:val="none"/>
          <w:lang w:val="zh-CN"/>
        </w:rPr>
        <w:t>手机：</w:t>
      </w:r>
      <w:r>
        <w:rPr>
          <w:rFonts w:hint="eastAsia" w:ascii="宋体" w:hAnsi="宋体"/>
          <w:color w:val="auto"/>
          <w:szCs w:val="21"/>
          <w:highlight w:val="none"/>
          <w:u w:val="single"/>
        </w:rPr>
        <w:t xml:space="preserve">           </w:t>
      </w:r>
      <w:r>
        <w:rPr>
          <w:rFonts w:hint="eastAsia" w:ascii="宋体" w:hAnsi="宋体" w:cs="宋体"/>
          <w:color w:val="auto"/>
          <w:kern w:val="0"/>
          <w:szCs w:val="21"/>
          <w:highlight w:val="none"/>
          <w:lang w:val="zh-CN"/>
        </w:rPr>
        <w:t>传真：</w:t>
      </w:r>
      <w:r>
        <w:rPr>
          <w:rFonts w:hint="eastAsia" w:ascii="宋体" w:hAnsi="宋体"/>
          <w:color w:val="auto"/>
          <w:szCs w:val="21"/>
          <w:highlight w:val="none"/>
          <w:u w:val="single"/>
        </w:rPr>
        <w:t xml:space="preserve">           </w:t>
      </w:r>
      <w:r>
        <w:rPr>
          <w:rFonts w:hint="eastAsia" w:ascii="宋体" w:hAnsi="宋体" w:cs="宋体"/>
          <w:color w:val="auto"/>
          <w:kern w:val="0"/>
          <w:szCs w:val="21"/>
          <w:highlight w:val="none"/>
          <w:lang w:val="zh-CN"/>
        </w:rPr>
        <w:t>)，代表我公司全权处理</w:t>
      </w:r>
      <w:r>
        <w:rPr>
          <w:rFonts w:hint="eastAsia" w:ascii="宋体" w:hAnsi="宋体"/>
          <w:b/>
          <w:bCs/>
          <w:color w:val="auto"/>
          <w:szCs w:val="21"/>
          <w:highlight w:val="none"/>
          <w:u w:val="single"/>
          <w:lang w:eastAsia="zh-CN"/>
        </w:rPr>
        <w:t xml:space="preserve"> 嘉兴市实验初级中学教育集团艺术教室室内装修工程设计施工一体化项目</w:t>
      </w:r>
      <w:r>
        <w:rPr>
          <w:rFonts w:hint="eastAsia" w:ascii="宋体" w:hAnsi="宋体"/>
          <w:b/>
          <w:bCs/>
          <w:color w:val="auto"/>
          <w:szCs w:val="21"/>
          <w:highlight w:val="none"/>
          <w:u w:val="single"/>
        </w:rPr>
        <w:t xml:space="preserve"> </w:t>
      </w:r>
      <w:r>
        <w:rPr>
          <w:rFonts w:hint="eastAsia" w:ascii="宋体" w:hAnsi="宋体" w:cs="宋体"/>
          <w:color w:val="auto"/>
          <w:szCs w:val="21"/>
          <w:highlight w:val="none"/>
        </w:rPr>
        <w:t>(编号</w:t>
      </w:r>
      <w:r>
        <w:rPr>
          <w:rFonts w:hint="eastAsia" w:ascii="宋体" w:hAnsi="宋体" w:cs="宋体"/>
          <w:color w:val="auto"/>
          <w:szCs w:val="21"/>
          <w:highlight w:val="none"/>
          <w:lang w:eastAsia="zh-CN"/>
        </w:rPr>
        <w:t>：</w:t>
      </w:r>
      <w:r>
        <w:rPr>
          <w:rFonts w:hint="eastAsia" w:ascii="宋体" w:hAnsi="宋体" w:cs="宋体"/>
          <w:color w:val="auto"/>
          <w:szCs w:val="21"/>
          <w:highlight w:val="none"/>
        </w:rPr>
        <w:t xml:space="preserve"> </w:t>
      </w:r>
      <w:r>
        <w:rPr>
          <w:rFonts w:hint="eastAsia" w:ascii="宋体" w:hAnsi="宋体" w:cs="宋体"/>
          <w:color w:val="auto"/>
          <w:szCs w:val="21"/>
          <w:highlight w:val="none"/>
          <w:lang w:eastAsia="zh-CN"/>
        </w:rPr>
        <w:t>FLCX-2023-</w:t>
      </w:r>
      <w:r>
        <w:rPr>
          <w:rFonts w:hint="eastAsia" w:ascii="宋体" w:hAnsi="宋体" w:cs="宋体"/>
          <w:color w:val="auto"/>
          <w:szCs w:val="21"/>
          <w:highlight w:val="none"/>
          <w:lang w:val="en-US" w:eastAsia="zh-CN"/>
        </w:rPr>
        <w:t>45</w:t>
      </w:r>
      <w:r>
        <w:rPr>
          <w:rFonts w:hint="eastAsia" w:ascii="宋体" w:hAnsi="宋体" w:cs="宋体"/>
          <w:color w:val="auto"/>
          <w:szCs w:val="21"/>
          <w:highlight w:val="none"/>
        </w:rPr>
        <w:t xml:space="preserve"> )政府采购投标的一切事项</w:t>
      </w:r>
      <w:r>
        <w:rPr>
          <w:rFonts w:hint="eastAsia" w:ascii="宋体" w:hAnsi="宋体" w:cs="宋体"/>
          <w:color w:val="auto"/>
          <w:kern w:val="0"/>
          <w:szCs w:val="21"/>
          <w:highlight w:val="none"/>
          <w:lang w:val="zh-CN"/>
        </w:rPr>
        <w:t>。</w:t>
      </w:r>
    </w:p>
    <w:p>
      <w:pPr>
        <w:shd w:val="clear" w:color="auto" w:fill="FFFFFF"/>
        <w:snapToGrid w:val="0"/>
        <w:spacing w:line="360" w:lineRule="auto"/>
        <w:ind w:firstLine="420" w:firstLineChars="200"/>
        <w:jc w:val="left"/>
        <w:rPr>
          <w:rFonts w:ascii="宋体" w:hAnsi="宋体" w:cs="宋体"/>
          <w:color w:val="auto"/>
          <w:kern w:val="0"/>
          <w:szCs w:val="21"/>
          <w:highlight w:val="none"/>
        </w:rPr>
      </w:pPr>
      <w:r>
        <w:rPr>
          <w:rFonts w:hint="eastAsia" w:ascii="宋体" w:hAnsi="宋体" w:cs="宋体"/>
          <w:color w:val="auto"/>
          <w:kern w:val="0"/>
          <w:szCs w:val="21"/>
          <w:highlight w:val="none"/>
          <w:lang w:val="zh-CN"/>
        </w:rPr>
        <w:t xml:space="preserve">    特此告知。</w:t>
      </w:r>
    </w:p>
    <w:p>
      <w:pPr>
        <w:shd w:val="clear" w:color="auto" w:fill="FFFFFF"/>
        <w:snapToGrid w:val="0"/>
        <w:spacing w:line="360" w:lineRule="auto"/>
        <w:ind w:firstLine="420" w:firstLineChars="200"/>
        <w:jc w:val="left"/>
        <w:rPr>
          <w:rFonts w:ascii="宋体" w:hAnsi="宋体" w:cs="宋体"/>
          <w:color w:val="auto"/>
          <w:kern w:val="0"/>
          <w:szCs w:val="21"/>
          <w:highlight w:val="none"/>
        </w:rPr>
      </w:pPr>
    </w:p>
    <w:p>
      <w:pPr>
        <w:shd w:val="clear" w:color="auto" w:fill="FFFFFF"/>
        <w:snapToGrid w:val="0"/>
        <w:spacing w:line="360" w:lineRule="auto"/>
        <w:ind w:firstLine="420" w:firstLineChars="200"/>
        <w:jc w:val="left"/>
        <w:rPr>
          <w:rFonts w:ascii="宋体" w:hAnsi="宋体" w:cs="宋体"/>
          <w:color w:val="auto"/>
          <w:kern w:val="0"/>
          <w:szCs w:val="21"/>
          <w:highlight w:val="none"/>
          <w:lang w:val="zh-CN"/>
        </w:rPr>
      </w:pPr>
    </w:p>
    <w:p>
      <w:pPr>
        <w:snapToGrid w:val="0"/>
        <w:spacing w:line="360" w:lineRule="auto"/>
        <w:ind w:firstLine="420" w:firstLineChars="200"/>
        <w:jc w:val="left"/>
        <w:rPr>
          <w:rFonts w:ascii="宋体" w:hAnsi="宋体"/>
          <w:color w:val="auto"/>
          <w:szCs w:val="21"/>
          <w:highlight w:val="none"/>
        </w:rPr>
      </w:pPr>
    </w:p>
    <w:p>
      <w:pPr>
        <w:snapToGrid w:val="0"/>
        <w:spacing w:line="360" w:lineRule="auto"/>
        <w:ind w:firstLine="420" w:firstLineChars="200"/>
        <w:jc w:val="left"/>
        <w:rPr>
          <w:rFonts w:ascii="宋体" w:hAnsi="宋体"/>
          <w:color w:val="auto"/>
          <w:szCs w:val="21"/>
          <w:highlight w:val="none"/>
          <w:u w:val="single"/>
        </w:rPr>
      </w:pPr>
      <w:r>
        <w:rPr>
          <w:rFonts w:hint="eastAsia" w:ascii="宋体" w:hAnsi="宋体"/>
          <w:color w:val="auto"/>
          <w:szCs w:val="21"/>
          <w:highlight w:val="none"/>
        </w:rPr>
        <w:t>被授权人签字（或盖章）：法定代表人签字（或盖章）：</w:t>
      </w:r>
    </w:p>
    <w:p>
      <w:pPr>
        <w:snapToGrid w:val="0"/>
        <w:spacing w:line="360" w:lineRule="auto"/>
        <w:ind w:firstLine="420" w:firstLineChars="200"/>
        <w:jc w:val="left"/>
        <w:rPr>
          <w:rFonts w:ascii="宋体" w:hAnsi="宋体"/>
          <w:color w:val="auto"/>
          <w:szCs w:val="21"/>
          <w:highlight w:val="none"/>
        </w:rPr>
      </w:pPr>
      <w:r>
        <w:rPr>
          <w:rFonts w:hint="eastAsia" w:ascii="宋体" w:hAnsi="宋体"/>
          <w:color w:val="auto"/>
          <w:szCs w:val="21"/>
          <w:highlight w:val="none"/>
        </w:rPr>
        <w:t>职务：职务：</w:t>
      </w:r>
    </w:p>
    <w:p>
      <w:pPr>
        <w:snapToGrid w:val="0"/>
        <w:spacing w:line="360" w:lineRule="auto"/>
        <w:ind w:firstLine="420" w:firstLineChars="200"/>
        <w:jc w:val="left"/>
        <w:rPr>
          <w:rFonts w:ascii="宋体" w:hAnsi="宋体"/>
          <w:color w:val="auto"/>
          <w:szCs w:val="21"/>
          <w:highlight w:val="none"/>
        </w:rPr>
      </w:pPr>
      <w:r>
        <w:rPr>
          <w:rFonts w:hint="eastAsia" w:ascii="宋体" w:hAnsi="宋体"/>
          <w:color w:val="auto"/>
          <w:szCs w:val="21"/>
          <w:highlight w:val="none"/>
        </w:rPr>
        <w:t>被授权人身份证号码：</w:t>
      </w:r>
    </w:p>
    <w:p>
      <w:pPr>
        <w:snapToGrid w:val="0"/>
        <w:spacing w:line="360" w:lineRule="auto"/>
        <w:ind w:firstLine="420" w:firstLineChars="200"/>
        <w:jc w:val="left"/>
        <w:rPr>
          <w:rFonts w:ascii="宋体" w:hAnsi="宋体"/>
          <w:color w:val="auto"/>
          <w:szCs w:val="21"/>
          <w:highlight w:val="none"/>
        </w:rPr>
      </w:pPr>
    </w:p>
    <w:p>
      <w:pPr>
        <w:snapToGrid w:val="0"/>
        <w:spacing w:line="360" w:lineRule="auto"/>
        <w:ind w:firstLine="420" w:firstLineChars="200"/>
        <w:jc w:val="left"/>
        <w:rPr>
          <w:rFonts w:ascii="宋体" w:hAnsi="宋体"/>
          <w:color w:val="auto"/>
          <w:szCs w:val="21"/>
          <w:highlight w:val="none"/>
        </w:rPr>
      </w:pPr>
      <w:r>
        <w:rPr>
          <w:rFonts w:hint="eastAsia" w:ascii="宋体" w:hAnsi="宋体"/>
          <w:color w:val="auto"/>
          <w:szCs w:val="21"/>
          <w:highlight w:val="none"/>
          <w:shd w:val="clear" w:color="auto" w:fill="FFFFFF"/>
          <w:lang w:eastAsia="zh-CN"/>
        </w:rPr>
        <w:t>供应商</w:t>
      </w:r>
      <w:r>
        <w:rPr>
          <w:rFonts w:hint="eastAsia" w:ascii="宋体" w:hAnsi="宋体"/>
          <w:color w:val="auto"/>
          <w:szCs w:val="21"/>
          <w:highlight w:val="none"/>
          <w:shd w:val="clear" w:color="auto" w:fill="FFFFFF"/>
        </w:rPr>
        <w:t>名称：（盖章）</w:t>
      </w:r>
    </w:p>
    <w:p>
      <w:pPr>
        <w:snapToGrid w:val="0"/>
        <w:spacing w:line="360" w:lineRule="auto"/>
        <w:ind w:firstLine="420" w:firstLineChars="200"/>
        <w:jc w:val="left"/>
        <w:rPr>
          <w:rFonts w:ascii="宋体" w:hAnsi="宋体"/>
          <w:color w:val="auto"/>
          <w:szCs w:val="21"/>
          <w:highlight w:val="none"/>
        </w:rPr>
      </w:pPr>
      <w:r>
        <w:rPr>
          <w:rFonts w:hint="eastAsia" w:ascii="宋体" w:hAnsi="宋体"/>
          <w:color w:val="auto"/>
          <w:szCs w:val="21"/>
          <w:highlight w:val="none"/>
        </w:rPr>
        <w:t>年月日</w:t>
      </w:r>
    </w:p>
    <w:p>
      <w:pPr>
        <w:snapToGrid w:val="0"/>
        <w:spacing w:line="360" w:lineRule="auto"/>
        <w:ind w:firstLine="420" w:firstLineChars="200"/>
        <w:jc w:val="left"/>
        <w:rPr>
          <w:rFonts w:ascii="宋体" w:hAnsi="宋体"/>
          <w:color w:val="auto"/>
          <w:szCs w:val="21"/>
          <w:highlight w:val="none"/>
        </w:rPr>
      </w:pPr>
    </w:p>
    <w:p>
      <w:pPr>
        <w:pStyle w:val="29"/>
        <w:snapToGrid w:val="0"/>
        <w:spacing w:line="360" w:lineRule="auto"/>
        <w:ind w:firstLine="420" w:firstLineChars="200"/>
        <w:jc w:val="left"/>
        <w:rPr>
          <w:rFonts w:hAnsi="宋体"/>
          <w:color w:val="auto"/>
          <w:szCs w:val="21"/>
          <w:highlight w:val="none"/>
        </w:rPr>
      </w:pPr>
    </w:p>
    <w:p>
      <w:pPr>
        <w:snapToGrid w:val="0"/>
        <w:spacing w:line="360" w:lineRule="auto"/>
        <w:ind w:firstLine="420" w:firstLineChars="200"/>
        <w:jc w:val="left"/>
        <w:rPr>
          <w:rFonts w:ascii="宋体" w:hAnsi="宋体"/>
          <w:b/>
          <w:color w:val="auto"/>
          <w:szCs w:val="21"/>
          <w:highlight w:val="none"/>
        </w:rPr>
      </w:pPr>
      <w:r>
        <w:rPr>
          <w:rFonts w:ascii="宋体" w:hAnsi="宋体"/>
          <w:color w:val="auto"/>
          <w:szCs w:val="21"/>
          <w:highlight w:val="none"/>
        </w:rPr>
        <w:br w:type="page"/>
      </w:r>
    </w:p>
    <w:p>
      <w:pPr>
        <w:spacing w:line="360" w:lineRule="auto"/>
        <w:ind w:firstLine="422" w:firstLineChars="200"/>
        <w:jc w:val="left"/>
        <w:rPr>
          <w:rFonts w:ascii="宋体" w:hAnsi="宋体"/>
          <w:b/>
          <w:color w:val="auto"/>
          <w:szCs w:val="21"/>
          <w:highlight w:val="none"/>
        </w:rPr>
      </w:pPr>
    </w:p>
    <w:p>
      <w:pPr>
        <w:spacing w:line="360" w:lineRule="auto"/>
        <w:ind w:firstLine="422" w:firstLineChars="200"/>
        <w:jc w:val="center"/>
        <w:rPr>
          <w:rFonts w:hint="default" w:ascii="宋体" w:hAnsi="宋体" w:eastAsia="宋体"/>
          <w:b/>
          <w:color w:val="auto"/>
          <w:szCs w:val="21"/>
          <w:highlight w:val="none"/>
          <w:lang w:val="en-US" w:eastAsia="zh-CN"/>
        </w:rPr>
      </w:pPr>
      <w:r>
        <w:rPr>
          <w:rFonts w:hint="eastAsia" w:ascii="宋体" w:hAnsi="宋体"/>
          <w:b/>
          <w:color w:val="auto"/>
          <w:szCs w:val="21"/>
          <w:highlight w:val="none"/>
          <w:lang w:val="en-US" w:eastAsia="zh-CN"/>
        </w:rPr>
        <w:t>投标人资格声明函</w:t>
      </w:r>
    </w:p>
    <w:p>
      <w:pPr>
        <w:spacing w:line="360" w:lineRule="auto"/>
        <w:ind w:firstLine="422" w:firstLineChars="200"/>
        <w:jc w:val="left"/>
        <w:rPr>
          <w:rFonts w:ascii="宋体" w:hAnsi="宋体"/>
          <w:color w:val="auto"/>
          <w:szCs w:val="21"/>
          <w:highlight w:val="none"/>
        </w:rPr>
      </w:pPr>
      <w:r>
        <w:rPr>
          <w:rFonts w:hint="eastAsia" w:ascii="宋体" w:hAnsi="宋体" w:cs="Arial"/>
          <w:b/>
          <w:color w:val="auto"/>
          <w:kern w:val="0"/>
          <w:szCs w:val="21"/>
          <w:highlight w:val="none"/>
          <w:u w:val="single"/>
          <w:lang w:eastAsia="zh-CN"/>
        </w:rPr>
        <w:t>嘉兴市实验初级中学教育集团</w:t>
      </w:r>
      <w:r>
        <w:rPr>
          <w:rFonts w:hint="eastAsia" w:ascii="宋体" w:hAnsi="宋体" w:cs="Arial"/>
          <w:b/>
          <w:color w:val="auto"/>
          <w:kern w:val="0"/>
          <w:szCs w:val="21"/>
          <w:highlight w:val="none"/>
          <w:u w:val="single"/>
        </w:rPr>
        <w:t xml:space="preserve"> </w:t>
      </w:r>
      <w:r>
        <w:rPr>
          <w:rFonts w:hint="eastAsia" w:ascii="宋体" w:hAnsi="宋体"/>
          <w:color w:val="auto"/>
          <w:szCs w:val="21"/>
          <w:highlight w:val="none"/>
        </w:rPr>
        <w:t>：</w:t>
      </w:r>
    </w:p>
    <w:p>
      <w:pPr>
        <w:snapToGrid w:val="0"/>
        <w:spacing w:line="360" w:lineRule="auto"/>
        <w:ind w:firstLine="420" w:firstLineChars="200"/>
        <w:jc w:val="left"/>
        <w:rPr>
          <w:rFonts w:ascii="宋体" w:hAnsi="宋体"/>
          <w:color w:val="auto"/>
          <w:szCs w:val="21"/>
          <w:highlight w:val="none"/>
          <w:shd w:val="clear" w:color="auto" w:fill="FFFFFF"/>
        </w:rPr>
      </w:pPr>
    </w:p>
    <w:p>
      <w:pPr>
        <w:snapToGrid w:val="0"/>
        <w:spacing w:line="360" w:lineRule="auto"/>
        <w:ind w:right="42" w:rightChars="20" w:firstLine="420" w:firstLineChars="200"/>
        <w:rPr>
          <w:rFonts w:hint="eastAsia" w:ascii="宋体" w:hAnsi="宋体" w:eastAsia="宋体"/>
          <w:color w:val="auto"/>
          <w:szCs w:val="21"/>
          <w:highlight w:val="none"/>
          <w:shd w:val="clear" w:color="auto" w:fill="FFFFFF"/>
          <w:lang w:eastAsia="zh-CN"/>
        </w:rPr>
      </w:pPr>
      <w:r>
        <w:rPr>
          <w:rFonts w:hint="eastAsia" w:ascii="宋体" w:hAnsi="宋体"/>
          <w:color w:val="auto"/>
          <w:szCs w:val="21"/>
          <w:highlight w:val="none"/>
          <w:shd w:val="clear" w:color="auto" w:fill="FFFFFF"/>
        </w:rPr>
        <w:t>本公司（公司名称）参加</w:t>
      </w:r>
      <w:r>
        <w:rPr>
          <w:rFonts w:hint="eastAsia" w:ascii="宋体" w:hAnsi="宋体"/>
          <w:b/>
          <w:color w:val="auto"/>
          <w:highlight w:val="none"/>
          <w:lang w:eastAsia="zh-CN"/>
        </w:rPr>
        <w:t xml:space="preserve"> </w:t>
      </w:r>
      <w:r>
        <w:rPr>
          <w:rFonts w:hint="eastAsia" w:ascii="宋体" w:hAnsi="宋体"/>
          <w:b/>
          <w:color w:val="auto"/>
          <w:highlight w:val="none"/>
          <w:u w:val="single"/>
          <w:lang w:eastAsia="zh-CN"/>
        </w:rPr>
        <w:t>嘉兴市实验初级中学教育集团艺术教室室内装修工程设计施工一体化项目</w:t>
      </w:r>
      <w:r>
        <w:rPr>
          <w:rFonts w:hint="eastAsia" w:ascii="宋体" w:hAnsi="宋体"/>
          <w:b/>
          <w:color w:val="auto"/>
          <w:highlight w:val="none"/>
        </w:rPr>
        <w:t xml:space="preserve"> </w:t>
      </w:r>
      <w:r>
        <w:rPr>
          <w:rFonts w:hint="eastAsia" w:ascii="宋体" w:hAnsi="宋体"/>
          <w:color w:val="auto"/>
          <w:szCs w:val="21"/>
          <w:highlight w:val="none"/>
          <w:shd w:val="clear" w:color="auto" w:fill="FFFFFF"/>
        </w:rPr>
        <w:t>投标活动，现承诺如下：</w:t>
      </w:r>
    </w:p>
    <w:p>
      <w:pPr>
        <w:pStyle w:val="2"/>
        <w:rPr>
          <w:rFonts w:hint="eastAsia"/>
          <w:lang w:eastAsia="zh-CN"/>
        </w:rPr>
      </w:pPr>
    </w:p>
    <w:p>
      <w:pPr>
        <w:snapToGrid w:val="0"/>
        <w:spacing w:line="360" w:lineRule="auto"/>
        <w:ind w:right="42" w:rightChars="20"/>
        <w:rPr>
          <w:rFonts w:ascii="宋体" w:hAnsi="宋体" w:eastAsia="宋体"/>
          <w:color w:val="auto"/>
          <w:szCs w:val="21"/>
          <w:highlight w:val="none"/>
        </w:rPr>
      </w:pPr>
      <w:r>
        <w:rPr>
          <w:rFonts w:hint="eastAsia" w:ascii="宋体" w:hAnsi="宋体" w:eastAsia="宋体"/>
          <w:color w:val="auto"/>
          <w:szCs w:val="21"/>
          <w:highlight w:val="none"/>
        </w:rPr>
        <w:t>（1）提供具有独立承担民事责任的能力；</w:t>
      </w:r>
    </w:p>
    <w:p>
      <w:pPr>
        <w:snapToGrid w:val="0"/>
        <w:spacing w:line="360" w:lineRule="auto"/>
        <w:ind w:right="42" w:rightChars="20"/>
        <w:rPr>
          <w:rFonts w:ascii="宋体" w:hAnsi="宋体" w:eastAsia="宋体"/>
          <w:color w:val="auto"/>
          <w:szCs w:val="21"/>
          <w:highlight w:val="none"/>
        </w:rPr>
      </w:pPr>
      <w:r>
        <w:rPr>
          <w:rFonts w:hint="eastAsia" w:ascii="宋体" w:hAnsi="宋体" w:eastAsia="宋体"/>
          <w:color w:val="auto"/>
          <w:szCs w:val="21"/>
          <w:highlight w:val="none"/>
        </w:rPr>
        <w:t>（2）具有良好的商业信誉和健全的财务会计制度；</w:t>
      </w:r>
    </w:p>
    <w:p>
      <w:pPr>
        <w:snapToGrid w:val="0"/>
        <w:spacing w:line="360" w:lineRule="auto"/>
        <w:ind w:right="42" w:rightChars="20"/>
        <w:rPr>
          <w:rFonts w:ascii="宋体" w:hAnsi="宋体" w:eastAsia="宋体"/>
          <w:color w:val="auto"/>
          <w:szCs w:val="21"/>
          <w:highlight w:val="none"/>
        </w:rPr>
      </w:pPr>
      <w:r>
        <w:rPr>
          <w:rFonts w:hint="eastAsia" w:ascii="宋体" w:hAnsi="宋体" w:eastAsia="宋体"/>
          <w:color w:val="auto"/>
          <w:szCs w:val="21"/>
          <w:highlight w:val="none"/>
        </w:rPr>
        <w:t>（3）具有履行合同所必需的设备和专业技术能力；</w:t>
      </w:r>
    </w:p>
    <w:p>
      <w:pPr>
        <w:snapToGrid w:val="0"/>
        <w:spacing w:line="360" w:lineRule="auto"/>
        <w:ind w:right="42" w:rightChars="20"/>
        <w:rPr>
          <w:rFonts w:ascii="宋体" w:hAnsi="宋体" w:eastAsia="宋体"/>
          <w:color w:val="auto"/>
          <w:szCs w:val="21"/>
          <w:highlight w:val="none"/>
        </w:rPr>
      </w:pPr>
      <w:r>
        <w:rPr>
          <w:rFonts w:hint="eastAsia" w:ascii="宋体" w:hAnsi="宋体" w:eastAsia="宋体"/>
          <w:color w:val="auto"/>
          <w:szCs w:val="21"/>
          <w:highlight w:val="none"/>
        </w:rPr>
        <w:t>（4）有依法缴纳税收和社会保障资金的良好记录；</w:t>
      </w:r>
    </w:p>
    <w:p>
      <w:pPr>
        <w:snapToGrid w:val="0"/>
        <w:spacing w:line="360" w:lineRule="auto"/>
        <w:ind w:right="42" w:rightChars="20"/>
        <w:rPr>
          <w:rFonts w:ascii="宋体" w:hAnsi="宋体" w:eastAsia="宋体"/>
          <w:color w:val="auto"/>
          <w:szCs w:val="21"/>
          <w:highlight w:val="none"/>
        </w:rPr>
      </w:pPr>
      <w:r>
        <w:rPr>
          <w:rFonts w:hint="eastAsia" w:ascii="宋体" w:hAnsi="宋体" w:eastAsia="宋体"/>
          <w:color w:val="auto"/>
          <w:szCs w:val="21"/>
          <w:highlight w:val="none"/>
        </w:rPr>
        <w:t>（5）参加政府采购活动前三年，在经营活动中没有重大违法记录、自招标公告发布之日起至投标截止日内任意时间的“信用中国”网站（www.creditchina.gov.cn）（未被信用中国网站</w:t>
      </w:r>
      <w:r>
        <w:rPr>
          <w:color w:val="auto"/>
          <w:highlight w:val="none"/>
        </w:rPr>
        <w:fldChar w:fldCharType="begin"/>
      </w:r>
      <w:r>
        <w:rPr>
          <w:color w:val="auto"/>
          <w:highlight w:val="none"/>
        </w:rPr>
        <w:instrText xml:space="preserve"> HYPERLINK \t "_blank" </w:instrText>
      </w:r>
      <w:r>
        <w:rPr>
          <w:color w:val="auto"/>
          <w:highlight w:val="none"/>
        </w:rPr>
        <w:fldChar w:fldCharType="separate"/>
      </w:r>
      <w:r>
        <w:rPr>
          <w:rFonts w:hint="eastAsia" w:ascii="宋体" w:hAnsi="宋体" w:eastAsia="宋体"/>
          <w:color w:val="auto"/>
          <w:highlight w:val="none"/>
        </w:rPr>
        <w:t>列入失信被执行人、重大税收违法案件当事人名单</w:t>
      </w:r>
      <w:r>
        <w:rPr>
          <w:rFonts w:hint="eastAsia" w:ascii="宋体" w:hAnsi="宋体" w:eastAsia="宋体"/>
          <w:color w:val="auto"/>
          <w:highlight w:val="none"/>
        </w:rPr>
        <w:fldChar w:fldCharType="end"/>
      </w:r>
      <w:r>
        <w:rPr>
          <w:rFonts w:ascii="宋体" w:hAnsi="宋体" w:eastAsia="宋体"/>
          <w:color w:val="auto"/>
          <w:szCs w:val="21"/>
          <w:highlight w:val="none"/>
        </w:rPr>
        <w:t>的）</w:t>
      </w:r>
      <w:r>
        <w:rPr>
          <w:rFonts w:hint="eastAsia" w:ascii="宋体" w:hAnsi="宋体" w:eastAsia="宋体"/>
          <w:color w:val="auto"/>
          <w:szCs w:val="21"/>
          <w:highlight w:val="none"/>
        </w:rPr>
        <w:t>、中国政府采购网（www.ccgp.gov.cn）（未被中国政府采购网</w:t>
      </w:r>
      <w:r>
        <w:rPr>
          <w:color w:val="auto"/>
          <w:highlight w:val="none"/>
        </w:rPr>
        <w:fldChar w:fldCharType="begin"/>
      </w:r>
      <w:r>
        <w:rPr>
          <w:color w:val="auto"/>
          <w:highlight w:val="none"/>
        </w:rPr>
        <w:instrText xml:space="preserve"> HYPERLINK \t "_blank" </w:instrText>
      </w:r>
      <w:r>
        <w:rPr>
          <w:color w:val="auto"/>
          <w:highlight w:val="none"/>
        </w:rPr>
        <w:fldChar w:fldCharType="separate"/>
      </w:r>
      <w:r>
        <w:rPr>
          <w:rFonts w:hint="eastAsia" w:ascii="宋体" w:hAnsi="宋体" w:eastAsia="宋体"/>
          <w:color w:val="auto"/>
          <w:highlight w:val="none"/>
        </w:rPr>
        <w:t>列入政府采购严重违法失信行为记录名单</w:t>
      </w:r>
      <w:r>
        <w:rPr>
          <w:rFonts w:hint="eastAsia" w:ascii="宋体" w:hAnsi="宋体" w:eastAsia="宋体"/>
          <w:color w:val="auto"/>
          <w:highlight w:val="none"/>
        </w:rPr>
        <w:fldChar w:fldCharType="end"/>
      </w:r>
      <w:r>
        <w:rPr>
          <w:rFonts w:ascii="宋体" w:hAnsi="宋体" w:eastAsia="宋体"/>
          <w:color w:val="auto"/>
          <w:szCs w:val="21"/>
          <w:highlight w:val="none"/>
        </w:rPr>
        <w:t>的</w:t>
      </w:r>
      <w:r>
        <w:rPr>
          <w:rFonts w:hint="eastAsia" w:ascii="宋体" w:hAnsi="宋体" w:eastAsia="宋体"/>
          <w:color w:val="auto"/>
          <w:szCs w:val="21"/>
          <w:highlight w:val="none"/>
        </w:rPr>
        <w:t>）也没有因违反《浙江省政府采购</w:t>
      </w:r>
      <w:r>
        <w:rPr>
          <w:rFonts w:hint="eastAsia" w:ascii="宋体" w:hAnsi="宋体" w:eastAsia="宋体"/>
          <w:color w:val="auto"/>
          <w:szCs w:val="21"/>
          <w:highlight w:val="none"/>
          <w:lang w:eastAsia="zh-CN"/>
        </w:rPr>
        <w:t>供应商</w:t>
      </w:r>
      <w:r>
        <w:rPr>
          <w:rFonts w:hint="eastAsia" w:ascii="宋体" w:hAnsi="宋体" w:eastAsia="宋体"/>
          <w:color w:val="auto"/>
          <w:szCs w:val="21"/>
          <w:highlight w:val="none"/>
        </w:rPr>
        <w:t>注册及诚信管理暂行办法》被列入“黑名单”，正在处罚有效期；</w:t>
      </w:r>
    </w:p>
    <w:p>
      <w:pPr>
        <w:snapToGrid w:val="0"/>
        <w:spacing w:line="360" w:lineRule="auto"/>
        <w:ind w:right="42" w:rightChars="20" w:firstLine="420" w:firstLineChars="200"/>
        <w:jc w:val="left"/>
        <w:rPr>
          <w:rFonts w:hint="eastAsia" w:ascii="宋体" w:hAnsi="宋体" w:eastAsia="宋体"/>
          <w:color w:val="auto"/>
          <w:szCs w:val="21"/>
          <w:highlight w:val="none"/>
          <w:lang w:eastAsia="zh-CN"/>
        </w:rPr>
      </w:pPr>
    </w:p>
    <w:p>
      <w:pPr>
        <w:pStyle w:val="2"/>
        <w:rPr>
          <w:rFonts w:hint="eastAsia"/>
          <w:lang w:eastAsia="zh-CN"/>
        </w:rPr>
      </w:pPr>
    </w:p>
    <w:p>
      <w:pPr>
        <w:snapToGrid w:val="0"/>
        <w:spacing w:line="360" w:lineRule="auto"/>
        <w:ind w:right="42" w:rightChars="20" w:firstLine="420" w:firstLineChars="200"/>
        <w:jc w:val="left"/>
        <w:rPr>
          <w:rFonts w:hint="eastAsia" w:ascii="宋体" w:hAnsi="宋体" w:eastAsia="宋体"/>
          <w:color w:val="auto"/>
          <w:szCs w:val="21"/>
          <w:highlight w:val="none"/>
          <w:shd w:val="clear" w:color="auto" w:fill="FFFFFF"/>
          <w:lang w:eastAsia="zh-CN"/>
        </w:rPr>
      </w:pPr>
      <w:r>
        <w:rPr>
          <w:rFonts w:hint="eastAsia" w:ascii="宋体" w:hAnsi="宋体" w:eastAsia="宋体"/>
          <w:color w:val="auto"/>
          <w:szCs w:val="21"/>
          <w:highlight w:val="none"/>
          <w:shd w:val="clear" w:color="auto" w:fill="FFFFFF"/>
        </w:rPr>
        <w:t>如违反以上承诺，本公司愿承担一切法律责任。</w:t>
      </w:r>
    </w:p>
    <w:p>
      <w:pPr>
        <w:pStyle w:val="2"/>
        <w:rPr>
          <w:rFonts w:hint="eastAsia"/>
          <w:lang w:eastAsia="zh-CN"/>
        </w:rPr>
      </w:pPr>
    </w:p>
    <w:p>
      <w:pPr>
        <w:pStyle w:val="2"/>
        <w:rPr>
          <w:rFonts w:hint="eastAsia"/>
          <w:lang w:eastAsia="zh-CN"/>
        </w:rPr>
      </w:pPr>
    </w:p>
    <w:p>
      <w:pPr>
        <w:pStyle w:val="2"/>
        <w:rPr>
          <w:rFonts w:hint="eastAsia"/>
          <w:lang w:eastAsia="zh-CN"/>
        </w:rPr>
      </w:pPr>
    </w:p>
    <w:p>
      <w:pPr>
        <w:snapToGrid w:val="0"/>
        <w:spacing w:line="360" w:lineRule="auto"/>
        <w:ind w:right="42" w:rightChars="20" w:firstLine="420" w:firstLineChars="200"/>
        <w:jc w:val="left"/>
        <w:rPr>
          <w:rFonts w:hint="eastAsia" w:ascii="宋体" w:hAnsi="宋体" w:eastAsia="宋体"/>
          <w:color w:val="auto"/>
          <w:szCs w:val="21"/>
          <w:highlight w:val="none"/>
          <w:shd w:val="clear" w:color="auto" w:fill="FFFFFF"/>
          <w:lang w:eastAsia="zh-CN"/>
        </w:rPr>
      </w:pPr>
      <w:r>
        <w:rPr>
          <w:rFonts w:hint="eastAsia" w:ascii="宋体" w:hAnsi="宋体" w:eastAsia="宋体"/>
          <w:color w:val="auto"/>
          <w:szCs w:val="21"/>
          <w:highlight w:val="none"/>
          <w:shd w:val="clear" w:color="auto" w:fill="FFFFFF"/>
          <w:lang w:eastAsia="zh-CN"/>
        </w:rPr>
        <w:t>供应商</w:t>
      </w:r>
      <w:r>
        <w:rPr>
          <w:rFonts w:hint="eastAsia" w:ascii="宋体" w:hAnsi="宋体" w:eastAsia="宋体"/>
          <w:color w:val="auto"/>
          <w:szCs w:val="21"/>
          <w:highlight w:val="none"/>
          <w:shd w:val="clear" w:color="auto" w:fill="FFFFFF"/>
        </w:rPr>
        <w:t>名称：（</w:t>
      </w:r>
      <w:r>
        <w:rPr>
          <w:rFonts w:hint="eastAsia" w:ascii="宋体" w:hAnsi="宋体" w:eastAsia="宋体"/>
          <w:color w:val="auto"/>
          <w:szCs w:val="21"/>
          <w:highlight w:val="none"/>
          <w:shd w:val="clear" w:color="auto" w:fill="FFFFFF"/>
          <w:lang w:eastAsia="zh-CN"/>
        </w:rPr>
        <w:t>供应商</w:t>
      </w:r>
      <w:r>
        <w:rPr>
          <w:rFonts w:hint="eastAsia" w:ascii="宋体" w:hAnsi="宋体" w:eastAsia="宋体"/>
          <w:color w:val="auto"/>
          <w:szCs w:val="21"/>
          <w:highlight w:val="none"/>
          <w:shd w:val="clear" w:color="auto" w:fill="FFFFFF"/>
        </w:rPr>
        <w:t>公章）</w:t>
      </w:r>
    </w:p>
    <w:p>
      <w:pPr>
        <w:pStyle w:val="2"/>
        <w:rPr>
          <w:rFonts w:hint="eastAsia"/>
          <w:lang w:eastAsia="zh-CN"/>
        </w:rPr>
      </w:pPr>
    </w:p>
    <w:p>
      <w:pPr>
        <w:snapToGrid w:val="0"/>
        <w:spacing w:line="360" w:lineRule="auto"/>
        <w:ind w:right="42" w:rightChars="20" w:firstLine="420" w:firstLineChars="200"/>
        <w:jc w:val="left"/>
        <w:rPr>
          <w:rFonts w:hint="eastAsia" w:ascii="宋体" w:hAnsi="宋体" w:eastAsia="宋体"/>
          <w:color w:val="auto"/>
          <w:szCs w:val="21"/>
          <w:highlight w:val="none"/>
          <w:shd w:val="clear" w:color="auto" w:fill="FFFFFF"/>
          <w:lang w:eastAsia="zh-CN"/>
        </w:rPr>
      </w:pPr>
      <w:r>
        <w:rPr>
          <w:rFonts w:hint="eastAsia" w:ascii="宋体" w:hAnsi="宋体" w:eastAsia="宋体"/>
          <w:color w:val="auto"/>
          <w:szCs w:val="21"/>
          <w:highlight w:val="none"/>
        </w:rPr>
        <w:t>法定代表人或其授权代表签字（或盖章）</w:t>
      </w:r>
      <w:r>
        <w:rPr>
          <w:rFonts w:hint="eastAsia" w:ascii="宋体" w:hAnsi="宋体" w:eastAsia="宋体"/>
          <w:color w:val="auto"/>
          <w:szCs w:val="21"/>
          <w:highlight w:val="none"/>
          <w:shd w:val="clear" w:color="auto" w:fill="FFFFFF"/>
        </w:rPr>
        <w:t>：</w:t>
      </w:r>
    </w:p>
    <w:p>
      <w:pPr>
        <w:pStyle w:val="2"/>
        <w:rPr>
          <w:rFonts w:hint="eastAsia"/>
          <w:lang w:eastAsia="zh-CN"/>
        </w:rPr>
      </w:pPr>
    </w:p>
    <w:p>
      <w:pPr>
        <w:snapToGrid w:val="0"/>
        <w:spacing w:line="360" w:lineRule="auto"/>
        <w:ind w:right="42" w:rightChars="20" w:firstLine="420" w:firstLineChars="200"/>
        <w:jc w:val="left"/>
        <w:rPr>
          <w:rFonts w:ascii="宋体" w:hAnsi="宋体" w:eastAsia="宋体"/>
          <w:color w:val="auto"/>
          <w:szCs w:val="21"/>
          <w:highlight w:val="none"/>
          <w:u w:val="single"/>
        </w:rPr>
      </w:pPr>
      <w:r>
        <w:rPr>
          <w:rFonts w:hint="eastAsia" w:ascii="宋体" w:hAnsi="宋体" w:eastAsia="宋体"/>
          <w:color w:val="auto"/>
          <w:szCs w:val="21"/>
          <w:highlight w:val="none"/>
          <w:shd w:val="clear" w:color="auto" w:fill="FFFFFF"/>
          <w:lang w:eastAsia="zh-CN"/>
        </w:rPr>
        <w:t>磋商响应时间</w:t>
      </w:r>
      <w:r>
        <w:rPr>
          <w:rFonts w:hint="eastAsia" w:ascii="宋体" w:hAnsi="宋体" w:eastAsia="宋体"/>
          <w:color w:val="auto"/>
          <w:szCs w:val="21"/>
          <w:highlight w:val="none"/>
          <w:shd w:val="clear" w:color="auto" w:fill="FFFFFF"/>
        </w:rPr>
        <w:t>： 年 月 日</w:t>
      </w:r>
    </w:p>
    <w:p>
      <w:pPr>
        <w:snapToGrid w:val="0"/>
        <w:spacing w:line="360" w:lineRule="auto"/>
        <w:ind w:firstLine="420" w:firstLineChars="200"/>
        <w:jc w:val="left"/>
        <w:rPr>
          <w:rFonts w:ascii="宋体" w:hAnsi="宋体"/>
          <w:color w:val="auto"/>
          <w:szCs w:val="21"/>
          <w:highlight w:val="none"/>
        </w:rPr>
      </w:pPr>
    </w:p>
    <w:p>
      <w:pPr>
        <w:rPr>
          <w:rFonts w:ascii="宋体" w:hAnsi="宋体"/>
          <w:color w:val="auto"/>
          <w:szCs w:val="21"/>
          <w:highlight w:val="none"/>
        </w:rPr>
      </w:pPr>
    </w:p>
    <w:p>
      <w:pPr>
        <w:pStyle w:val="4"/>
      </w:pPr>
    </w:p>
    <w:p>
      <w:pPr>
        <w:rPr>
          <w:rFonts w:ascii="宋体" w:hAnsi="宋体"/>
          <w:color w:val="auto"/>
          <w:szCs w:val="21"/>
          <w:highlight w:val="none"/>
        </w:rPr>
      </w:pPr>
    </w:p>
    <w:p>
      <w:pPr>
        <w:pStyle w:val="2"/>
        <w:rPr>
          <w:rFonts w:ascii="宋体" w:hAnsi="宋体"/>
          <w:color w:val="auto"/>
          <w:szCs w:val="21"/>
          <w:highlight w:val="none"/>
        </w:rPr>
      </w:pPr>
    </w:p>
    <w:p>
      <w:pPr>
        <w:pStyle w:val="2"/>
        <w:rPr>
          <w:rFonts w:ascii="宋体" w:hAnsi="宋体"/>
          <w:color w:val="auto"/>
          <w:szCs w:val="21"/>
          <w:highlight w:val="none"/>
        </w:rPr>
      </w:pPr>
    </w:p>
    <w:p>
      <w:pPr>
        <w:snapToGrid w:val="0"/>
        <w:spacing w:before="50" w:after="50" w:line="360" w:lineRule="auto"/>
        <w:jc w:val="center"/>
        <w:rPr>
          <w:rFonts w:ascii="宋体" w:hAnsi="宋体" w:eastAsia="宋体" w:cs="宋体"/>
          <w:b/>
          <w:color w:val="auto"/>
          <w:szCs w:val="21"/>
          <w:highlight w:val="none"/>
        </w:rPr>
      </w:pPr>
      <w:r>
        <w:rPr>
          <w:rFonts w:hint="eastAsia" w:ascii="宋体" w:hAnsi="宋体" w:eastAsia="宋体" w:cs="宋体"/>
          <w:b/>
          <w:color w:val="auto"/>
          <w:szCs w:val="21"/>
          <w:highlight w:val="none"/>
        </w:rPr>
        <w:t>中小企业声明函（工程、服务）</w:t>
      </w:r>
    </w:p>
    <w:p>
      <w:pPr>
        <w:pStyle w:val="4"/>
        <w:rPr>
          <w:color w:val="auto"/>
          <w:highlight w:val="none"/>
        </w:rPr>
      </w:pPr>
    </w:p>
    <w:p>
      <w:pPr>
        <w:pStyle w:val="736"/>
        <w:spacing w:line="360" w:lineRule="auto"/>
        <w:ind w:right="157" w:firstLine="875" w:firstLineChars="417"/>
        <w:rPr>
          <w:rFonts w:hint="default" w:ascii="宋体" w:hAnsi="宋体" w:eastAsia="宋体" w:cs="宋体"/>
          <w:color w:val="auto"/>
          <w:sz w:val="21"/>
          <w:szCs w:val="21"/>
          <w:highlight w:val="none"/>
        </w:rPr>
      </w:pPr>
      <w:r>
        <w:rPr>
          <w:rFonts w:ascii="宋体" w:hAnsi="宋体" w:eastAsia="宋体" w:cs="宋体"/>
          <w:color w:val="auto"/>
          <w:sz w:val="21"/>
          <w:szCs w:val="21"/>
          <w:highlight w:val="none"/>
        </w:rPr>
        <w:t xml:space="preserve">本公司（联合体）郑重声明，根据《政府采购促进中小企业发展管理办法》（财库﹝2020﹞46 号）的规定，本公司（联合体）参加 </w:t>
      </w:r>
      <w:r>
        <w:rPr>
          <w:rFonts w:ascii="宋体" w:hAnsi="宋体" w:eastAsia="宋体" w:cs="宋体"/>
          <w:color w:val="auto"/>
          <w:sz w:val="21"/>
          <w:szCs w:val="21"/>
          <w:highlight w:val="none"/>
          <w:u w:val="single"/>
        </w:rPr>
        <w:t>（单位名称）</w:t>
      </w:r>
      <w:r>
        <w:rPr>
          <w:rFonts w:ascii="宋体" w:hAnsi="宋体" w:eastAsia="宋体" w:cs="宋体"/>
          <w:color w:val="auto"/>
          <w:sz w:val="21"/>
          <w:szCs w:val="21"/>
          <w:highlight w:val="none"/>
        </w:rPr>
        <w:t xml:space="preserve"> 的 </w:t>
      </w:r>
      <w:r>
        <w:rPr>
          <w:rFonts w:ascii="宋体" w:hAnsi="宋体" w:eastAsia="宋体" w:cs="宋体"/>
          <w:color w:val="auto"/>
          <w:sz w:val="21"/>
          <w:szCs w:val="21"/>
          <w:highlight w:val="none"/>
          <w:u w:val="single"/>
        </w:rPr>
        <w:t>（项目名称）</w:t>
      </w:r>
      <w:r>
        <w:rPr>
          <w:rFonts w:ascii="宋体" w:hAnsi="宋体" w:eastAsia="宋体" w:cs="宋体"/>
          <w:color w:val="auto"/>
          <w:sz w:val="21"/>
          <w:szCs w:val="21"/>
          <w:highlight w:val="none"/>
        </w:rPr>
        <w:t xml:space="preserve"> 采购活动，工程的施工单位全部为符合政策要求的中小企业（或者：服务全部由符合政策要求的中小企业承接）。相关企业（含联合体中的中小企业、签订分包意向协议的中小企业）的具体情况如下：</w:t>
      </w:r>
    </w:p>
    <w:p>
      <w:pPr>
        <w:pStyle w:val="736"/>
        <w:spacing w:line="360" w:lineRule="auto"/>
        <w:ind w:right="157" w:firstLine="875" w:firstLineChars="417"/>
        <w:rPr>
          <w:rFonts w:hint="default" w:ascii="宋体" w:hAnsi="宋体" w:eastAsia="宋体" w:cs="宋体"/>
          <w:color w:val="auto"/>
          <w:sz w:val="21"/>
          <w:szCs w:val="21"/>
          <w:highlight w:val="none"/>
        </w:rPr>
      </w:pPr>
      <w:r>
        <w:rPr>
          <w:rFonts w:ascii="宋体" w:hAnsi="宋体" w:eastAsia="宋体" w:cs="宋体"/>
          <w:color w:val="auto"/>
          <w:sz w:val="21"/>
          <w:szCs w:val="21"/>
          <w:highlight w:val="none"/>
        </w:rPr>
        <w:t xml:space="preserve">1. </w:t>
      </w:r>
      <w:r>
        <w:rPr>
          <w:rFonts w:ascii="宋体" w:hAnsi="宋体" w:eastAsia="宋体" w:cs="宋体"/>
          <w:color w:val="auto"/>
          <w:sz w:val="21"/>
          <w:szCs w:val="21"/>
          <w:highlight w:val="none"/>
          <w:u w:val="single"/>
        </w:rPr>
        <w:t xml:space="preserve">（标的名称） </w:t>
      </w:r>
      <w:r>
        <w:rPr>
          <w:rFonts w:ascii="宋体" w:hAnsi="宋体" w:eastAsia="宋体" w:cs="宋体"/>
          <w:color w:val="auto"/>
          <w:sz w:val="21"/>
          <w:szCs w:val="21"/>
          <w:highlight w:val="none"/>
        </w:rPr>
        <w:t>，属于</w:t>
      </w:r>
      <w:r>
        <w:rPr>
          <w:rFonts w:ascii="宋体" w:hAnsi="宋体" w:eastAsia="宋体" w:cs="宋体"/>
          <w:color w:val="auto"/>
          <w:sz w:val="21"/>
          <w:szCs w:val="21"/>
          <w:highlight w:val="none"/>
          <w:u w:val="single"/>
        </w:rPr>
        <w:t xml:space="preserve"> （采购文件中明确的所属行业）</w:t>
      </w:r>
      <w:r>
        <w:rPr>
          <w:rFonts w:ascii="宋体" w:hAnsi="宋体" w:eastAsia="宋体" w:cs="宋体"/>
          <w:color w:val="auto"/>
          <w:sz w:val="21"/>
          <w:szCs w:val="21"/>
          <w:highlight w:val="none"/>
        </w:rPr>
        <w:t xml:space="preserve"> ；承建（承接）企业为 </w:t>
      </w:r>
      <w:r>
        <w:rPr>
          <w:rFonts w:ascii="宋体" w:hAnsi="宋体" w:eastAsia="宋体" w:cs="宋体"/>
          <w:color w:val="auto"/>
          <w:sz w:val="21"/>
          <w:szCs w:val="21"/>
          <w:highlight w:val="none"/>
          <w:u w:val="single"/>
        </w:rPr>
        <w:t>（企业名称）</w:t>
      </w:r>
      <w:r>
        <w:rPr>
          <w:rFonts w:ascii="宋体" w:hAnsi="宋体" w:eastAsia="宋体" w:cs="宋体"/>
          <w:color w:val="auto"/>
          <w:sz w:val="21"/>
          <w:szCs w:val="21"/>
          <w:highlight w:val="none"/>
        </w:rPr>
        <w:t xml:space="preserve"> ，从业人员人，营业收入为 万元，资产总额为 万元 ，属于 （中型企业、小型企业、微型企业） ；</w:t>
      </w:r>
    </w:p>
    <w:p>
      <w:pPr>
        <w:pStyle w:val="736"/>
        <w:spacing w:line="360" w:lineRule="auto"/>
        <w:ind w:right="157" w:firstLine="875" w:firstLineChars="417"/>
        <w:rPr>
          <w:rFonts w:hint="default" w:ascii="宋体" w:hAnsi="宋体" w:eastAsia="宋体" w:cs="宋体"/>
          <w:color w:val="auto"/>
          <w:sz w:val="21"/>
          <w:szCs w:val="21"/>
          <w:highlight w:val="none"/>
        </w:rPr>
      </w:pPr>
      <w:r>
        <w:rPr>
          <w:rFonts w:ascii="宋体" w:hAnsi="宋体" w:eastAsia="宋体" w:cs="宋体"/>
          <w:color w:val="auto"/>
          <w:sz w:val="21"/>
          <w:szCs w:val="21"/>
          <w:highlight w:val="none"/>
        </w:rPr>
        <w:t xml:space="preserve">2. </w:t>
      </w:r>
      <w:r>
        <w:rPr>
          <w:rFonts w:ascii="宋体" w:hAnsi="宋体" w:eastAsia="宋体" w:cs="宋体"/>
          <w:color w:val="auto"/>
          <w:sz w:val="21"/>
          <w:szCs w:val="21"/>
          <w:highlight w:val="none"/>
          <w:u w:val="single"/>
        </w:rPr>
        <w:t xml:space="preserve">（标的名称） </w:t>
      </w:r>
      <w:r>
        <w:rPr>
          <w:rFonts w:ascii="宋体" w:hAnsi="宋体" w:eastAsia="宋体" w:cs="宋体"/>
          <w:color w:val="auto"/>
          <w:sz w:val="21"/>
          <w:szCs w:val="21"/>
          <w:highlight w:val="none"/>
        </w:rPr>
        <w:t xml:space="preserve">，属于 </w:t>
      </w:r>
      <w:r>
        <w:rPr>
          <w:rFonts w:ascii="宋体" w:hAnsi="宋体" w:eastAsia="宋体" w:cs="宋体"/>
          <w:color w:val="auto"/>
          <w:sz w:val="21"/>
          <w:szCs w:val="21"/>
          <w:highlight w:val="none"/>
          <w:u w:val="single"/>
        </w:rPr>
        <w:t>（采购文件中明确的所属行业）</w:t>
      </w:r>
      <w:r>
        <w:rPr>
          <w:rFonts w:ascii="宋体" w:hAnsi="宋体" w:eastAsia="宋体" w:cs="宋体"/>
          <w:color w:val="auto"/>
          <w:sz w:val="21"/>
          <w:szCs w:val="21"/>
          <w:highlight w:val="none"/>
        </w:rPr>
        <w:t xml:space="preserve"> ；承建（承接）企业为 </w:t>
      </w:r>
      <w:r>
        <w:rPr>
          <w:rFonts w:ascii="宋体" w:hAnsi="宋体" w:eastAsia="宋体" w:cs="宋体"/>
          <w:color w:val="auto"/>
          <w:sz w:val="21"/>
          <w:szCs w:val="21"/>
          <w:highlight w:val="none"/>
          <w:u w:val="single"/>
        </w:rPr>
        <w:t>（企业名称）</w:t>
      </w:r>
      <w:r>
        <w:rPr>
          <w:rFonts w:ascii="宋体" w:hAnsi="宋体" w:eastAsia="宋体" w:cs="宋体"/>
          <w:color w:val="auto"/>
          <w:sz w:val="21"/>
          <w:szCs w:val="21"/>
          <w:highlight w:val="none"/>
        </w:rPr>
        <w:t xml:space="preserve"> ，从业人员人，营业收入为万元，资产总额为万元，属于 </w:t>
      </w:r>
      <w:r>
        <w:rPr>
          <w:rFonts w:ascii="宋体" w:hAnsi="宋体" w:eastAsia="宋体" w:cs="宋体"/>
          <w:color w:val="auto"/>
          <w:sz w:val="21"/>
          <w:szCs w:val="21"/>
          <w:highlight w:val="none"/>
          <w:u w:val="single"/>
        </w:rPr>
        <w:t>（中型企业、小型企业、微型企业）</w:t>
      </w:r>
      <w:r>
        <w:rPr>
          <w:rFonts w:ascii="宋体" w:hAnsi="宋体" w:eastAsia="宋体" w:cs="宋体"/>
          <w:color w:val="auto"/>
          <w:sz w:val="21"/>
          <w:szCs w:val="21"/>
          <w:highlight w:val="none"/>
        </w:rPr>
        <w:t xml:space="preserve"> ；</w:t>
      </w:r>
    </w:p>
    <w:p>
      <w:pPr>
        <w:pStyle w:val="736"/>
        <w:spacing w:line="360" w:lineRule="auto"/>
        <w:ind w:right="157" w:firstLine="875" w:firstLineChars="417"/>
        <w:rPr>
          <w:rFonts w:hint="default" w:ascii="宋体" w:hAnsi="宋体" w:eastAsia="宋体" w:cs="宋体"/>
          <w:color w:val="auto"/>
          <w:sz w:val="21"/>
          <w:szCs w:val="21"/>
          <w:highlight w:val="none"/>
        </w:rPr>
      </w:pPr>
      <w:r>
        <w:rPr>
          <w:rFonts w:ascii="宋体" w:hAnsi="宋体" w:eastAsia="宋体" w:cs="宋体"/>
          <w:color w:val="auto"/>
          <w:sz w:val="21"/>
          <w:szCs w:val="21"/>
          <w:highlight w:val="none"/>
        </w:rPr>
        <w:t>……</w:t>
      </w:r>
    </w:p>
    <w:p>
      <w:pPr>
        <w:pStyle w:val="736"/>
        <w:spacing w:line="360" w:lineRule="auto"/>
        <w:ind w:right="157" w:firstLine="642"/>
        <w:rPr>
          <w:rFonts w:hint="default" w:ascii="宋体" w:hAnsi="宋体" w:eastAsia="宋体" w:cs="宋体"/>
          <w:color w:val="auto"/>
          <w:sz w:val="21"/>
          <w:szCs w:val="21"/>
          <w:highlight w:val="none"/>
        </w:rPr>
      </w:pPr>
      <w:r>
        <w:rPr>
          <w:rFonts w:ascii="宋体" w:hAnsi="宋体" w:eastAsia="宋体" w:cs="宋体"/>
          <w:color w:val="auto"/>
          <w:sz w:val="21"/>
          <w:szCs w:val="21"/>
          <w:highlight w:val="none"/>
        </w:rPr>
        <w:t>以上企业，不属于大企业的分支机构，不存在控股股东为大企业的情形，也不存在与大企业的负责人为同一人的情形。</w:t>
      </w:r>
    </w:p>
    <w:p>
      <w:pPr>
        <w:pStyle w:val="736"/>
        <w:spacing w:line="360" w:lineRule="auto"/>
        <w:ind w:right="157" w:firstLine="642"/>
        <w:rPr>
          <w:rFonts w:hint="default" w:ascii="宋体" w:hAnsi="宋体" w:eastAsia="宋体" w:cs="宋体"/>
          <w:color w:val="auto"/>
          <w:sz w:val="21"/>
          <w:szCs w:val="21"/>
          <w:highlight w:val="none"/>
        </w:rPr>
      </w:pPr>
      <w:r>
        <w:rPr>
          <w:rFonts w:ascii="宋体" w:hAnsi="宋体" w:eastAsia="宋体" w:cs="宋体"/>
          <w:color w:val="auto"/>
          <w:sz w:val="21"/>
          <w:szCs w:val="21"/>
          <w:highlight w:val="none"/>
        </w:rPr>
        <w:t>本企业对上述声明内容的真实性负责。如有虚假，将依法承担相应责任。</w:t>
      </w:r>
    </w:p>
    <w:p>
      <w:pPr>
        <w:pStyle w:val="389"/>
        <w:spacing w:line="360" w:lineRule="auto"/>
        <w:rPr>
          <w:rFonts w:hint="default" w:ascii="宋体" w:hAnsi="宋体" w:eastAsia="宋体" w:cs="宋体"/>
          <w:color w:val="auto"/>
          <w:sz w:val="21"/>
          <w:szCs w:val="21"/>
          <w:highlight w:val="none"/>
        </w:rPr>
      </w:pPr>
    </w:p>
    <w:p>
      <w:pPr>
        <w:pStyle w:val="389"/>
        <w:spacing w:line="360" w:lineRule="auto"/>
        <w:rPr>
          <w:rFonts w:hint="default" w:ascii="宋体" w:hAnsi="宋体" w:eastAsia="宋体" w:cs="宋体"/>
          <w:color w:val="auto"/>
          <w:sz w:val="21"/>
          <w:szCs w:val="21"/>
          <w:highlight w:val="none"/>
        </w:rPr>
      </w:pPr>
    </w:p>
    <w:p>
      <w:pPr>
        <w:pStyle w:val="736"/>
        <w:spacing w:line="360" w:lineRule="auto"/>
        <w:ind w:right="157" w:firstLine="642"/>
        <w:rPr>
          <w:rFonts w:hint="default" w:ascii="宋体" w:hAnsi="宋体" w:eastAsia="宋体" w:cs="宋体"/>
          <w:color w:val="auto"/>
          <w:spacing w:val="20"/>
          <w:sz w:val="21"/>
          <w:szCs w:val="21"/>
          <w:highlight w:val="none"/>
          <w:u w:val="single"/>
        </w:rPr>
      </w:pPr>
      <w:r>
        <w:rPr>
          <w:rFonts w:ascii="宋体" w:hAnsi="宋体" w:eastAsia="宋体" w:cs="宋体"/>
          <w:color w:val="auto"/>
          <w:spacing w:val="20"/>
          <w:sz w:val="21"/>
          <w:szCs w:val="21"/>
          <w:highlight w:val="none"/>
        </w:rPr>
        <w:t>供应商名称：</w:t>
      </w:r>
      <w:r>
        <w:rPr>
          <w:rFonts w:ascii="宋体" w:hAnsi="宋体" w:eastAsia="宋体" w:cs="宋体"/>
          <w:color w:val="auto"/>
          <w:spacing w:val="20"/>
          <w:sz w:val="21"/>
          <w:szCs w:val="21"/>
          <w:highlight w:val="none"/>
          <w:u w:val="single"/>
        </w:rPr>
        <w:t xml:space="preserve">       （盖章）   </w:t>
      </w:r>
      <w:r>
        <w:rPr>
          <w:rFonts w:ascii="宋体" w:hAnsi="宋体" w:eastAsia="宋体" w:cs="宋体"/>
          <w:color w:val="auto"/>
          <w:spacing w:val="20"/>
          <w:sz w:val="21"/>
          <w:szCs w:val="21"/>
          <w:highlight w:val="none"/>
        </w:rPr>
        <w:t xml:space="preserve">      日  期：</w:t>
      </w:r>
    </w:p>
    <w:p>
      <w:pPr>
        <w:pStyle w:val="389"/>
        <w:spacing w:line="360" w:lineRule="auto"/>
        <w:rPr>
          <w:rFonts w:hint="default" w:ascii="宋体" w:hAnsi="宋体" w:eastAsia="宋体" w:cs="宋体"/>
          <w:color w:val="auto"/>
          <w:sz w:val="21"/>
          <w:szCs w:val="21"/>
          <w:highlight w:val="none"/>
        </w:rPr>
      </w:pPr>
    </w:p>
    <w:p>
      <w:pPr>
        <w:pStyle w:val="41"/>
        <w:spacing w:line="360" w:lineRule="auto"/>
        <w:rPr>
          <w:rFonts w:ascii="宋体" w:hAnsi="宋体" w:eastAsia="宋体" w:cs="宋体"/>
          <w:color w:val="auto"/>
          <w:sz w:val="21"/>
          <w:szCs w:val="21"/>
          <w:highlight w:val="none"/>
        </w:rPr>
      </w:pPr>
      <w:r>
        <w:rPr>
          <w:rFonts w:hint="eastAsia" w:ascii="宋体" w:hAnsi="宋体" w:eastAsia="宋体" w:cs="宋体"/>
          <w:color w:val="auto"/>
          <w:sz w:val="21"/>
          <w:szCs w:val="21"/>
          <w:highlight w:val="none"/>
        </w:rPr>
        <w:t>从业人员、营业收入、资产总额填报上一年度数据，无上一年度数据的新成立企业可不填报。</w:t>
      </w:r>
    </w:p>
    <w:p>
      <w:pPr>
        <w:snapToGrid w:val="0"/>
        <w:spacing w:line="360" w:lineRule="auto"/>
        <w:jc w:val="left"/>
        <w:rPr>
          <w:rFonts w:ascii="微软雅黑" w:hAnsi="微软雅黑" w:eastAsia="微软雅黑"/>
          <w:color w:val="auto"/>
          <w:szCs w:val="21"/>
          <w:highlight w:val="none"/>
        </w:rPr>
      </w:pPr>
    </w:p>
    <w:p>
      <w:pPr>
        <w:pStyle w:val="20"/>
        <w:rPr>
          <w:rFonts w:ascii="宋体" w:hAnsi="宋体"/>
          <w:b/>
          <w:color w:val="auto"/>
          <w:szCs w:val="21"/>
          <w:highlight w:val="none"/>
        </w:rPr>
      </w:pPr>
    </w:p>
    <w:p>
      <w:pPr>
        <w:pStyle w:val="21"/>
        <w:ind w:firstLine="211"/>
        <w:rPr>
          <w:rFonts w:ascii="宋体" w:hAnsi="宋体"/>
          <w:b/>
          <w:color w:val="auto"/>
          <w:szCs w:val="21"/>
          <w:highlight w:val="none"/>
        </w:rPr>
      </w:pPr>
    </w:p>
    <w:p>
      <w:pPr>
        <w:rPr>
          <w:rFonts w:ascii="宋体" w:hAnsi="宋体"/>
          <w:b/>
          <w:color w:val="auto"/>
          <w:szCs w:val="21"/>
          <w:highlight w:val="none"/>
        </w:rPr>
      </w:pPr>
    </w:p>
    <w:p>
      <w:pPr>
        <w:pStyle w:val="100"/>
        <w:rPr>
          <w:rFonts w:ascii="宋体" w:hAnsi="宋体"/>
          <w:color w:val="auto"/>
          <w:szCs w:val="21"/>
          <w:highlight w:val="none"/>
        </w:rPr>
      </w:pPr>
    </w:p>
    <w:p>
      <w:pPr>
        <w:pStyle w:val="20"/>
        <w:rPr>
          <w:rFonts w:ascii="宋体" w:hAnsi="宋体"/>
          <w:b/>
          <w:color w:val="auto"/>
          <w:szCs w:val="21"/>
          <w:highlight w:val="none"/>
        </w:rPr>
      </w:pPr>
    </w:p>
    <w:p>
      <w:pPr>
        <w:pStyle w:val="21"/>
        <w:ind w:firstLine="210"/>
        <w:rPr>
          <w:color w:val="auto"/>
          <w:highlight w:val="none"/>
        </w:rPr>
      </w:pPr>
    </w:p>
    <w:p>
      <w:pPr>
        <w:pStyle w:val="29"/>
        <w:snapToGrid w:val="0"/>
        <w:ind w:firstLine="420"/>
        <w:rPr>
          <w:rFonts w:ascii="微软雅黑" w:hAnsi="微软雅黑"/>
          <w:b/>
          <w:color w:val="auto"/>
          <w:szCs w:val="21"/>
          <w:highlight w:val="none"/>
        </w:rPr>
      </w:pPr>
      <w:r>
        <w:rPr>
          <w:rFonts w:hint="eastAsia" w:ascii="微软雅黑" w:hAnsi="微软雅黑"/>
          <w:b/>
          <w:color w:val="auto"/>
          <w:szCs w:val="21"/>
          <w:highlight w:val="none"/>
        </w:rPr>
        <w:t>残疾人福利性单位声明函</w:t>
      </w:r>
    </w:p>
    <w:p>
      <w:pPr>
        <w:widowControl/>
        <w:ind w:firstLine="420"/>
        <w:rPr>
          <w:rFonts w:ascii="微软雅黑" w:hAnsi="微软雅黑"/>
          <w:b/>
          <w:color w:val="auto"/>
          <w:szCs w:val="21"/>
          <w:highlight w:val="none"/>
        </w:rPr>
      </w:pPr>
    </w:p>
    <w:p>
      <w:pPr>
        <w:widowControl/>
        <w:ind w:firstLine="420"/>
        <w:jc w:val="center"/>
        <w:rPr>
          <w:rFonts w:ascii="微软雅黑" w:hAnsi="微软雅黑"/>
          <w:b/>
          <w:color w:val="auto"/>
          <w:szCs w:val="21"/>
          <w:highlight w:val="none"/>
        </w:rPr>
      </w:pPr>
      <w:r>
        <w:rPr>
          <w:rFonts w:hint="eastAsia" w:ascii="微软雅黑" w:hAnsi="微软雅黑"/>
          <w:b/>
          <w:color w:val="auto"/>
          <w:szCs w:val="21"/>
          <w:highlight w:val="none"/>
        </w:rPr>
        <w:t>残疾人福利性单位声明函</w:t>
      </w:r>
    </w:p>
    <w:p>
      <w:pPr>
        <w:widowControl/>
        <w:ind w:firstLine="420"/>
        <w:rPr>
          <w:rFonts w:ascii="微软雅黑" w:hAnsi="微软雅黑"/>
          <w:color w:val="auto"/>
          <w:szCs w:val="21"/>
          <w:highlight w:val="none"/>
        </w:rPr>
      </w:pPr>
      <w:r>
        <w:rPr>
          <w:rFonts w:hint="eastAsia" w:ascii="微软雅黑" w:hAnsi="微软雅黑"/>
          <w:color w:val="auto"/>
          <w:szCs w:val="21"/>
          <w:highlight w:val="none"/>
        </w:rPr>
        <w:t>本单位郑重声明，根据《财政部 民政部 中国残疾人联合会关于促进残疾人就业政府采购政策的通知》（财库〔2017〕 141号）的规定，本单位为符合条件的残疾人福利性单位，且本单位参加______单位的______项目采购活动提供本单位制造的货物（由本单位承担工程/提供服务），或者提供其他残疾人福利性单位制造的货物（不包括使用非残疾人福利性单位注册商标的货物）。</w:t>
      </w:r>
    </w:p>
    <w:p>
      <w:pPr>
        <w:widowControl/>
        <w:ind w:firstLine="420"/>
        <w:rPr>
          <w:rFonts w:ascii="微软雅黑" w:hAnsi="微软雅黑"/>
          <w:color w:val="auto"/>
          <w:szCs w:val="21"/>
          <w:highlight w:val="none"/>
        </w:rPr>
      </w:pPr>
      <w:r>
        <w:rPr>
          <w:rFonts w:hint="eastAsia" w:ascii="微软雅黑" w:hAnsi="微软雅黑"/>
          <w:color w:val="auto"/>
          <w:szCs w:val="21"/>
          <w:highlight w:val="none"/>
        </w:rPr>
        <w:t xml:space="preserve">  本单位对上述声明的真实性负责。如有虚假，将依法承担相应责任。</w:t>
      </w:r>
    </w:p>
    <w:p>
      <w:pPr>
        <w:widowControl/>
        <w:ind w:firstLine="420"/>
        <w:rPr>
          <w:rFonts w:ascii="微软雅黑" w:hAnsi="微软雅黑"/>
          <w:color w:val="auto"/>
          <w:szCs w:val="21"/>
          <w:highlight w:val="none"/>
        </w:rPr>
      </w:pPr>
      <w:r>
        <w:rPr>
          <w:rFonts w:hint="eastAsia" w:ascii="微软雅黑" w:hAnsi="微软雅黑"/>
          <w:color w:val="auto"/>
          <w:szCs w:val="21"/>
          <w:highlight w:val="none"/>
        </w:rPr>
        <w:t xml:space="preserve">          </w:t>
      </w:r>
      <w:r>
        <w:rPr>
          <w:rFonts w:hint="eastAsia" w:ascii="宋体" w:hAnsi="宋体"/>
          <w:color w:val="auto"/>
          <w:szCs w:val="21"/>
          <w:highlight w:val="none"/>
        </w:rPr>
        <w:t>供应商（加盖</w:t>
      </w:r>
      <w:r>
        <w:rPr>
          <w:rFonts w:hint="eastAsia" w:ascii="宋体" w:hAnsi="宋体"/>
          <w:color w:val="auto"/>
          <w:szCs w:val="21"/>
          <w:highlight w:val="none"/>
          <w:lang w:eastAsia="zh-CN"/>
        </w:rPr>
        <w:t>供应商</w:t>
      </w:r>
      <w:r>
        <w:rPr>
          <w:rFonts w:hint="eastAsia" w:ascii="宋体" w:hAnsi="宋体"/>
          <w:color w:val="auto"/>
          <w:szCs w:val="21"/>
          <w:highlight w:val="none"/>
        </w:rPr>
        <w:t>公章）</w:t>
      </w:r>
      <w:r>
        <w:rPr>
          <w:rFonts w:ascii="宋体" w:hAnsi="宋体"/>
          <w:color w:val="auto"/>
          <w:szCs w:val="21"/>
          <w:highlight w:val="none"/>
        </w:rPr>
        <w:t>：</w:t>
      </w:r>
    </w:p>
    <w:p>
      <w:pPr>
        <w:widowControl/>
        <w:ind w:firstLine="420"/>
        <w:rPr>
          <w:rFonts w:ascii="微软雅黑" w:hAnsi="微软雅黑"/>
          <w:color w:val="auto"/>
          <w:szCs w:val="21"/>
          <w:highlight w:val="none"/>
        </w:rPr>
      </w:pPr>
      <w:r>
        <w:rPr>
          <w:rFonts w:hint="eastAsia" w:ascii="微软雅黑" w:hAnsi="微软雅黑"/>
          <w:color w:val="auto"/>
          <w:szCs w:val="21"/>
          <w:highlight w:val="none"/>
        </w:rPr>
        <w:t xml:space="preserve">                  日 期：</w:t>
      </w:r>
    </w:p>
    <w:p>
      <w:pPr>
        <w:ind w:firstLine="420"/>
        <w:rPr>
          <w:color w:val="auto"/>
          <w:highlight w:val="none"/>
        </w:rPr>
        <w:sectPr>
          <w:pgSz w:w="11906" w:h="16838"/>
          <w:pgMar w:top="1440" w:right="1800" w:bottom="1440" w:left="1800" w:header="851" w:footer="992" w:gutter="0"/>
          <w:cols w:space="720" w:num="1"/>
          <w:docGrid w:type="lines" w:linePitch="312" w:charSpace="0"/>
        </w:sectPr>
      </w:pPr>
    </w:p>
    <w:p>
      <w:pPr>
        <w:ind w:firstLine="420"/>
        <w:rPr>
          <w:color w:val="auto"/>
          <w:highlight w:val="none"/>
        </w:rPr>
      </w:pPr>
      <w:r>
        <w:rPr>
          <w:rFonts w:hint="eastAsia"/>
          <w:color w:val="auto"/>
          <w:highlight w:val="none"/>
        </w:rPr>
        <w:t>监狱企业证明文件</w:t>
      </w:r>
    </w:p>
    <w:p>
      <w:pPr>
        <w:ind w:firstLine="420"/>
        <w:jc w:val="center"/>
        <w:rPr>
          <w:rFonts w:ascii="微软雅黑" w:hAnsi="微软雅黑"/>
          <w:b/>
          <w:color w:val="auto"/>
          <w:szCs w:val="21"/>
          <w:highlight w:val="none"/>
        </w:rPr>
      </w:pPr>
      <w:r>
        <w:rPr>
          <w:rFonts w:hint="eastAsia" w:ascii="微软雅黑" w:hAnsi="微软雅黑"/>
          <w:b/>
          <w:color w:val="auto"/>
          <w:szCs w:val="21"/>
          <w:highlight w:val="none"/>
        </w:rPr>
        <w:t>监狱企业证明文件</w:t>
      </w:r>
    </w:p>
    <w:tbl>
      <w:tblPr>
        <w:tblStyle w:val="54"/>
        <w:tblW w:w="8820" w:type="dxa"/>
        <w:tblInd w:w="108" w:type="dxa"/>
        <w:tblBorders>
          <w:top w:val="dotDash" w:color="000000" w:sz="4" w:space="0"/>
          <w:left w:val="dotDash" w:color="000000" w:sz="4" w:space="0"/>
          <w:bottom w:val="dotDash" w:color="000000" w:sz="4" w:space="0"/>
          <w:right w:val="dotDash" w:color="000000" w:sz="4" w:space="0"/>
          <w:insideH w:val="dotDash" w:color="000000" w:sz="4" w:space="0"/>
          <w:insideV w:val="dotDash" w:color="000000" w:sz="4" w:space="0"/>
        </w:tblBorders>
        <w:tblLayout w:type="fixed"/>
        <w:tblCellMar>
          <w:top w:w="0" w:type="dxa"/>
          <w:left w:w="108" w:type="dxa"/>
          <w:bottom w:w="0" w:type="dxa"/>
          <w:right w:w="108" w:type="dxa"/>
        </w:tblCellMar>
      </w:tblPr>
      <w:tblGrid>
        <w:gridCol w:w="8820"/>
      </w:tblGrid>
      <w:tr>
        <w:tblPrEx>
          <w:tblBorders>
            <w:top w:val="dotDash" w:color="000000" w:sz="4" w:space="0"/>
            <w:left w:val="dotDash" w:color="000000" w:sz="4" w:space="0"/>
            <w:bottom w:val="dotDash" w:color="000000" w:sz="4" w:space="0"/>
            <w:right w:val="dotDash" w:color="000000" w:sz="4" w:space="0"/>
            <w:insideH w:val="dotDash" w:color="000000" w:sz="4" w:space="0"/>
            <w:insideV w:val="dotDash" w:color="000000" w:sz="4" w:space="0"/>
          </w:tblBorders>
          <w:tblCellMar>
            <w:top w:w="0" w:type="dxa"/>
            <w:left w:w="108" w:type="dxa"/>
            <w:bottom w:w="0" w:type="dxa"/>
            <w:right w:w="108" w:type="dxa"/>
          </w:tblCellMar>
        </w:tblPrEx>
        <w:trPr>
          <w:trHeight w:val="6516" w:hRule="atLeast"/>
        </w:trPr>
        <w:tc>
          <w:tcPr>
            <w:tcW w:w="8820" w:type="dxa"/>
            <w:noWrap w:val="0"/>
            <w:vAlign w:val="center"/>
          </w:tcPr>
          <w:p>
            <w:pPr>
              <w:ind w:firstLine="420"/>
              <w:jc w:val="center"/>
              <w:rPr>
                <w:rFonts w:ascii="微软雅黑" w:hAnsi="微软雅黑"/>
                <w:b/>
                <w:color w:val="auto"/>
                <w:szCs w:val="21"/>
                <w:highlight w:val="none"/>
              </w:rPr>
            </w:pPr>
            <w:r>
              <w:rPr>
                <w:rFonts w:hint="eastAsia" w:ascii="微软雅黑" w:hAnsi="微软雅黑"/>
                <w:b/>
                <w:color w:val="auto"/>
                <w:szCs w:val="21"/>
                <w:highlight w:val="none"/>
              </w:rPr>
              <w:t>相关部门出具的监狱企业证明文件</w:t>
            </w:r>
          </w:p>
          <w:p>
            <w:pPr>
              <w:ind w:firstLine="420"/>
              <w:jc w:val="center"/>
              <w:rPr>
                <w:rFonts w:ascii="微软雅黑" w:hAnsi="微软雅黑" w:cs="Arial"/>
                <w:b/>
                <w:i/>
                <w:color w:val="auto"/>
                <w:kern w:val="0"/>
                <w:szCs w:val="21"/>
                <w:highlight w:val="none"/>
              </w:rPr>
            </w:pPr>
            <w:r>
              <w:rPr>
                <w:rFonts w:hint="eastAsia" w:ascii="微软雅黑" w:hAnsi="微软雅黑"/>
                <w:color w:val="auto"/>
                <w:szCs w:val="21"/>
                <w:highlight w:val="none"/>
              </w:rPr>
              <w:t>（如是，提供</w:t>
            </w:r>
            <w:r>
              <w:rPr>
                <w:rFonts w:hint="eastAsia" w:ascii="微软雅黑" w:hAnsi="微软雅黑" w:cs="Arial"/>
                <w:color w:val="auto"/>
                <w:kern w:val="0"/>
                <w:szCs w:val="21"/>
                <w:highlight w:val="none"/>
              </w:rPr>
              <w:t>复印件加盖投标供应商公章）</w:t>
            </w:r>
          </w:p>
        </w:tc>
      </w:tr>
    </w:tbl>
    <w:p>
      <w:pPr>
        <w:ind w:firstLine="420"/>
        <w:rPr>
          <w:rFonts w:ascii="微软雅黑" w:hAnsi="微软雅黑" w:cs="Arial"/>
          <w:i/>
          <w:color w:val="auto"/>
          <w:szCs w:val="21"/>
          <w:highlight w:val="none"/>
        </w:rPr>
      </w:pPr>
    </w:p>
    <w:p>
      <w:pPr>
        <w:snapToGrid w:val="0"/>
        <w:rPr>
          <w:rFonts w:hint="eastAsia" w:ascii="微软雅黑" w:hAnsi="微软雅黑" w:eastAsia="宋体"/>
          <w:color w:val="auto"/>
          <w:szCs w:val="21"/>
          <w:highlight w:val="none"/>
          <w:shd w:val="clear" w:color="auto" w:fill="FFFFFF"/>
          <w:lang w:eastAsia="zh-CN"/>
        </w:rPr>
      </w:pPr>
      <w:r>
        <w:rPr>
          <w:rFonts w:hint="eastAsia" w:ascii="宋体" w:hAnsi="宋体"/>
          <w:color w:val="auto"/>
          <w:szCs w:val="21"/>
          <w:highlight w:val="none"/>
        </w:rPr>
        <w:t>供应商（加盖</w:t>
      </w:r>
      <w:r>
        <w:rPr>
          <w:rFonts w:hint="eastAsia" w:ascii="宋体" w:hAnsi="宋体"/>
          <w:color w:val="auto"/>
          <w:szCs w:val="21"/>
          <w:highlight w:val="none"/>
          <w:lang w:eastAsia="zh-CN"/>
        </w:rPr>
        <w:t>供应商</w:t>
      </w:r>
      <w:r>
        <w:rPr>
          <w:rFonts w:hint="eastAsia" w:ascii="宋体" w:hAnsi="宋体"/>
          <w:color w:val="auto"/>
          <w:szCs w:val="21"/>
          <w:highlight w:val="none"/>
        </w:rPr>
        <w:t>公章）</w:t>
      </w:r>
      <w:r>
        <w:rPr>
          <w:rFonts w:hint="eastAsia" w:ascii="微软雅黑" w:hAnsi="微软雅黑"/>
          <w:color w:val="auto"/>
          <w:szCs w:val="21"/>
          <w:highlight w:val="none"/>
          <w:shd w:val="clear" w:color="auto" w:fill="FFFFFF"/>
        </w:rPr>
        <w:t>：</w:t>
      </w:r>
    </w:p>
    <w:p>
      <w:pPr>
        <w:snapToGrid w:val="0"/>
        <w:rPr>
          <w:rFonts w:ascii="微软雅黑" w:hAnsi="微软雅黑"/>
          <w:color w:val="auto"/>
          <w:szCs w:val="21"/>
          <w:highlight w:val="none"/>
          <w:u w:val="single"/>
        </w:rPr>
      </w:pPr>
      <w:r>
        <w:rPr>
          <w:rFonts w:hint="eastAsia" w:ascii="微软雅黑" w:hAnsi="微软雅黑"/>
          <w:color w:val="auto"/>
          <w:szCs w:val="21"/>
          <w:highlight w:val="none"/>
          <w:shd w:val="clear" w:color="auto" w:fill="FFFFFF"/>
          <w:lang w:eastAsia="zh-CN"/>
        </w:rPr>
        <w:t>磋商响应时间</w:t>
      </w:r>
      <w:r>
        <w:rPr>
          <w:rFonts w:hint="eastAsia" w:ascii="微软雅黑" w:hAnsi="微软雅黑"/>
          <w:color w:val="auto"/>
          <w:szCs w:val="21"/>
          <w:highlight w:val="none"/>
          <w:shd w:val="clear" w:color="auto" w:fill="FFFFFF"/>
        </w:rPr>
        <w:t>： 年 月 日</w:t>
      </w:r>
    </w:p>
    <w:p>
      <w:pPr>
        <w:pStyle w:val="2"/>
        <w:rPr>
          <w:rFonts w:ascii="微软雅黑" w:hAnsi="微软雅黑" w:eastAsia="微软雅黑"/>
          <w:color w:val="auto"/>
          <w:szCs w:val="21"/>
          <w:highlight w:val="none"/>
        </w:rPr>
      </w:pPr>
    </w:p>
    <w:p>
      <w:pPr>
        <w:pStyle w:val="29"/>
        <w:snapToGrid w:val="0"/>
        <w:spacing w:line="360" w:lineRule="auto"/>
        <w:ind w:right="42" w:rightChars="20" w:firstLine="422" w:firstLineChars="200"/>
        <w:jc w:val="left"/>
        <w:rPr>
          <w:rFonts w:ascii="宋体" w:hAnsi="宋体" w:eastAsia="宋体"/>
          <w:b/>
          <w:color w:val="auto"/>
          <w:szCs w:val="21"/>
          <w:highlight w:val="none"/>
        </w:rPr>
      </w:pPr>
    </w:p>
    <w:p>
      <w:pPr>
        <w:pStyle w:val="29"/>
        <w:snapToGrid w:val="0"/>
        <w:spacing w:line="360" w:lineRule="auto"/>
        <w:ind w:right="42" w:rightChars="20" w:firstLine="422" w:firstLineChars="200"/>
        <w:jc w:val="left"/>
        <w:rPr>
          <w:rFonts w:ascii="宋体" w:hAnsi="宋体" w:eastAsia="宋体"/>
          <w:b/>
          <w:color w:val="auto"/>
          <w:szCs w:val="21"/>
          <w:highlight w:val="none"/>
        </w:rPr>
      </w:pPr>
    </w:p>
    <w:p>
      <w:pPr>
        <w:pStyle w:val="29"/>
        <w:snapToGrid w:val="0"/>
        <w:spacing w:line="360" w:lineRule="auto"/>
        <w:ind w:right="42" w:rightChars="20" w:firstLine="422" w:firstLineChars="200"/>
        <w:jc w:val="left"/>
        <w:rPr>
          <w:rFonts w:ascii="宋体" w:hAnsi="宋体" w:eastAsia="宋体"/>
          <w:b/>
          <w:color w:val="auto"/>
          <w:szCs w:val="21"/>
          <w:highlight w:val="none"/>
        </w:rPr>
      </w:pPr>
    </w:p>
    <w:p>
      <w:pPr>
        <w:pStyle w:val="29"/>
        <w:snapToGrid w:val="0"/>
        <w:spacing w:line="360" w:lineRule="auto"/>
        <w:ind w:right="42" w:rightChars="20" w:firstLine="422" w:firstLineChars="200"/>
        <w:jc w:val="left"/>
        <w:rPr>
          <w:rFonts w:ascii="宋体" w:hAnsi="宋体" w:eastAsia="宋体"/>
          <w:b/>
          <w:color w:val="auto"/>
          <w:szCs w:val="21"/>
          <w:highlight w:val="none"/>
        </w:rPr>
      </w:pPr>
    </w:p>
    <w:p>
      <w:pPr>
        <w:pStyle w:val="29"/>
        <w:snapToGrid w:val="0"/>
        <w:spacing w:line="360" w:lineRule="auto"/>
        <w:ind w:right="42" w:rightChars="20" w:firstLine="422" w:firstLineChars="200"/>
        <w:jc w:val="left"/>
        <w:rPr>
          <w:rFonts w:ascii="宋体" w:hAnsi="宋体" w:eastAsia="宋体"/>
          <w:b/>
          <w:color w:val="auto"/>
          <w:szCs w:val="21"/>
          <w:highlight w:val="none"/>
        </w:rPr>
      </w:pPr>
    </w:p>
    <w:p>
      <w:pPr>
        <w:pStyle w:val="29"/>
        <w:snapToGrid w:val="0"/>
        <w:spacing w:line="360" w:lineRule="auto"/>
        <w:ind w:right="42" w:rightChars="20" w:firstLine="422" w:firstLineChars="200"/>
        <w:jc w:val="left"/>
        <w:rPr>
          <w:rFonts w:ascii="宋体" w:hAnsi="宋体" w:eastAsia="宋体"/>
          <w:b/>
          <w:color w:val="auto"/>
          <w:szCs w:val="21"/>
          <w:highlight w:val="none"/>
        </w:rPr>
      </w:pPr>
    </w:p>
    <w:p>
      <w:pPr>
        <w:pStyle w:val="29"/>
        <w:snapToGrid w:val="0"/>
        <w:spacing w:line="360" w:lineRule="auto"/>
        <w:ind w:right="42" w:rightChars="20" w:firstLine="422" w:firstLineChars="200"/>
        <w:jc w:val="left"/>
        <w:rPr>
          <w:rFonts w:ascii="宋体" w:hAnsi="宋体" w:eastAsia="宋体"/>
          <w:b/>
          <w:color w:val="auto"/>
          <w:szCs w:val="21"/>
          <w:highlight w:val="none"/>
        </w:rPr>
      </w:pPr>
    </w:p>
    <w:p>
      <w:pPr>
        <w:pStyle w:val="29"/>
        <w:snapToGrid w:val="0"/>
        <w:spacing w:line="360" w:lineRule="auto"/>
        <w:ind w:right="42" w:rightChars="20" w:firstLine="422" w:firstLineChars="200"/>
        <w:jc w:val="left"/>
        <w:rPr>
          <w:rFonts w:ascii="宋体" w:hAnsi="宋体" w:eastAsia="宋体"/>
          <w:b/>
          <w:color w:val="auto"/>
          <w:szCs w:val="21"/>
          <w:highlight w:val="none"/>
        </w:rPr>
      </w:pPr>
    </w:p>
    <w:p>
      <w:pPr>
        <w:pStyle w:val="29"/>
        <w:snapToGrid w:val="0"/>
        <w:spacing w:line="360" w:lineRule="auto"/>
        <w:ind w:right="42" w:rightChars="20" w:firstLine="422" w:firstLineChars="200"/>
        <w:jc w:val="left"/>
        <w:rPr>
          <w:rFonts w:ascii="宋体" w:hAnsi="宋体" w:eastAsia="宋体"/>
          <w:b/>
          <w:color w:val="auto"/>
          <w:szCs w:val="21"/>
          <w:highlight w:val="none"/>
        </w:rPr>
      </w:pPr>
    </w:p>
    <w:p>
      <w:pPr>
        <w:pStyle w:val="29"/>
        <w:snapToGrid w:val="0"/>
        <w:spacing w:line="360" w:lineRule="auto"/>
        <w:ind w:right="42" w:rightChars="20" w:firstLine="422" w:firstLineChars="200"/>
        <w:jc w:val="left"/>
        <w:rPr>
          <w:rFonts w:ascii="宋体" w:hAnsi="宋体" w:eastAsia="宋体"/>
          <w:b/>
          <w:color w:val="auto"/>
          <w:szCs w:val="21"/>
          <w:highlight w:val="none"/>
        </w:rPr>
      </w:pPr>
    </w:p>
    <w:p>
      <w:pPr>
        <w:pStyle w:val="29"/>
        <w:snapToGrid w:val="0"/>
        <w:spacing w:line="360" w:lineRule="auto"/>
        <w:ind w:right="42" w:rightChars="20" w:firstLine="422" w:firstLineChars="200"/>
        <w:jc w:val="left"/>
        <w:rPr>
          <w:rFonts w:ascii="宋体" w:hAnsi="宋体" w:eastAsia="宋体"/>
          <w:b/>
          <w:color w:val="auto"/>
          <w:szCs w:val="21"/>
          <w:highlight w:val="none"/>
        </w:rPr>
      </w:pPr>
    </w:p>
    <w:p>
      <w:pPr>
        <w:pStyle w:val="29"/>
        <w:snapToGrid w:val="0"/>
        <w:spacing w:line="360" w:lineRule="auto"/>
        <w:ind w:right="42" w:rightChars="20" w:firstLine="422" w:firstLineChars="200"/>
        <w:jc w:val="left"/>
        <w:rPr>
          <w:rFonts w:ascii="宋体" w:hAnsi="宋体" w:eastAsia="宋体"/>
          <w:b/>
          <w:color w:val="auto"/>
          <w:szCs w:val="21"/>
          <w:highlight w:val="none"/>
        </w:rPr>
      </w:pPr>
    </w:p>
    <w:p>
      <w:pPr>
        <w:pStyle w:val="29"/>
        <w:snapToGrid w:val="0"/>
        <w:spacing w:line="360" w:lineRule="auto"/>
        <w:ind w:right="42" w:rightChars="20" w:firstLine="422" w:firstLineChars="200"/>
        <w:jc w:val="left"/>
        <w:rPr>
          <w:rFonts w:ascii="宋体" w:hAnsi="宋体" w:eastAsia="宋体"/>
          <w:b/>
          <w:color w:val="auto"/>
          <w:szCs w:val="21"/>
          <w:highlight w:val="none"/>
        </w:rPr>
      </w:pPr>
    </w:p>
    <w:p>
      <w:pPr>
        <w:pStyle w:val="29"/>
        <w:snapToGrid w:val="0"/>
        <w:spacing w:line="360" w:lineRule="auto"/>
        <w:ind w:right="42" w:rightChars="20" w:firstLine="422" w:firstLineChars="200"/>
        <w:jc w:val="left"/>
        <w:rPr>
          <w:rFonts w:ascii="宋体" w:hAnsi="宋体" w:eastAsia="宋体"/>
          <w:b/>
          <w:color w:val="auto"/>
          <w:szCs w:val="21"/>
          <w:highlight w:val="none"/>
        </w:rPr>
      </w:pPr>
    </w:p>
    <w:p>
      <w:pPr>
        <w:pStyle w:val="5"/>
        <w:jc w:val="center"/>
        <w:rPr>
          <w:rFonts w:ascii="宋体" w:eastAsia="宋体"/>
          <w:color w:val="auto"/>
          <w:highlight w:val="none"/>
        </w:rPr>
      </w:pPr>
      <w:r>
        <w:rPr>
          <w:rFonts w:ascii="宋体" w:eastAsia="宋体"/>
          <w:color w:val="auto"/>
          <w:highlight w:val="none"/>
        </w:rPr>
        <w:t>联合体协议书</w:t>
      </w:r>
      <w:r>
        <w:rPr>
          <w:rFonts w:hint="eastAsia" w:ascii="宋体" w:eastAsia="宋体"/>
          <w:color w:val="auto"/>
          <w:highlight w:val="none"/>
        </w:rPr>
        <w:t>（如有）</w:t>
      </w:r>
    </w:p>
    <w:p>
      <w:pPr>
        <w:topLinePunct/>
        <w:spacing w:line="380" w:lineRule="exact"/>
        <w:ind w:firstLine="420" w:firstLineChars="200"/>
        <w:rPr>
          <w:rFonts w:ascii="宋体" w:hAnsi="宋体"/>
          <w:color w:val="auto"/>
          <w:szCs w:val="21"/>
          <w:highlight w:val="none"/>
        </w:rPr>
      </w:pPr>
      <w:r>
        <w:rPr>
          <w:rFonts w:ascii="宋体" w:hAnsi="宋体"/>
          <w:color w:val="auto"/>
          <w:szCs w:val="21"/>
          <w:highlight w:val="none"/>
          <w:u w:val="single"/>
        </w:rPr>
        <w:t xml:space="preserve">          </w:t>
      </w:r>
      <w:r>
        <w:rPr>
          <w:rFonts w:ascii="宋体" w:hAnsi="宋体"/>
          <w:color w:val="auto"/>
          <w:szCs w:val="21"/>
          <w:highlight w:val="none"/>
        </w:rPr>
        <w:t>（所有成员单位名称）自愿组成联合体，共同参加</w:t>
      </w:r>
      <w:r>
        <w:rPr>
          <w:rFonts w:ascii="宋体" w:hAnsi="宋体"/>
          <w:color w:val="auto"/>
          <w:szCs w:val="21"/>
          <w:highlight w:val="none"/>
          <w:u w:val="single"/>
        </w:rPr>
        <w:t xml:space="preserve">                </w:t>
      </w:r>
      <w:r>
        <w:rPr>
          <w:rFonts w:ascii="宋体" w:hAnsi="宋体"/>
          <w:color w:val="auto"/>
          <w:szCs w:val="21"/>
          <w:highlight w:val="none"/>
        </w:rPr>
        <w:t>（项目名称）投标。现就联合体投标事宜订立如下协议。</w:t>
      </w:r>
    </w:p>
    <w:p>
      <w:pPr>
        <w:topLinePunct/>
        <w:spacing w:line="380" w:lineRule="exact"/>
        <w:ind w:firstLine="420" w:firstLineChars="200"/>
        <w:rPr>
          <w:rFonts w:ascii="宋体" w:hAnsi="宋体"/>
          <w:color w:val="auto"/>
          <w:szCs w:val="21"/>
          <w:highlight w:val="none"/>
        </w:rPr>
      </w:pPr>
      <w:r>
        <w:rPr>
          <w:rFonts w:ascii="宋体" w:hAnsi="宋体"/>
          <w:color w:val="auto"/>
          <w:szCs w:val="21"/>
          <w:highlight w:val="none"/>
        </w:rPr>
        <w:t>1、</w:t>
      </w:r>
      <w:r>
        <w:rPr>
          <w:rFonts w:ascii="宋体" w:hAnsi="宋体"/>
          <w:color w:val="auto"/>
          <w:szCs w:val="21"/>
          <w:highlight w:val="none"/>
          <w:u w:val="single"/>
        </w:rPr>
        <w:t xml:space="preserve">       </w:t>
      </w:r>
      <w:r>
        <w:rPr>
          <w:rFonts w:ascii="宋体" w:hAnsi="宋体"/>
          <w:color w:val="auto"/>
          <w:szCs w:val="21"/>
          <w:highlight w:val="none"/>
        </w:rPr>
        <w:t>（某成员单位名称）为</w:t>
      </w:r>
      <w:r>
        <w:rPr>
          <w:rFonts w:ascii="宋体" w:hAnsi="宋体"/>
          <w:color w:val="auto"/>
          <w:szCs w:val="21"/>
          <w:highlight w:val="none"/>
          <w:u w:val="single"/>
        </w:rPr>
        <w:t xml:space="preserve">                </w:t>
      </w:r>
      <w:r>
        <w:rPr>
          <w:rFonts w:ascii="宋体" w:hAnsi="宋体"/>
          <w:color w:val="auto"/>
          <w:szCs w:val="21"/>
          <w:highlight w:val="none"/>
        </w:rPr>
        <w:t>（项目名称）牵头人。</w:t>
      </w:r>
    </w:p>
    <w:p>
      <w:pPr>
        <w:topLinePunct/>
        <w:spacing w:line="380" w:lineRule="exact"/>
        <w:ind w:firstLine="420" w:firstLineChars="200"/>
        <w:rPr>
          <w:rFonts w:ascii="宋体" w:hAnsi="宋体"/>
          <w:color w:val="auto"/>
          <w:szCs w:val="21"/>
          <w:highlight w:val="none"/>
        </w:rPr>
      </w:pPr>
      <w:r>
        <w:rPr>
          <w:rFonts w:ascii="宋体" w:hAnsi="宋体"/>
          <w:color w:val="auto"/>
          <w:szCs w:val="21"/>
          <w:highlight w:val="none"/>
        </w:rPr>
        <w:t>2、联合体牵头人合法代表联合体各成员负责本招标项目投标文件编制和合同谈判活动，并代表联合体提交和接收相关的资料、信息及指示，并处理与之有关的一切事务，负责合同实施阶段的主办、组织和协调工作。</w:t>
      </w:r>
    </w:p>
    <w:p>
      <w:pPr>
        <w:topLinePunct/>
        <w:spacing w:line="380" w:lineRule="exact"/>
        <w:ind w:firstLine="420" w:firstLineChars="200"/>
        <w:rPr>
          <w:rFonts w:ascii="宋体" w:hAnsi="宋体"/>
          <w:color w:val="auto"/>
          <w:szCs w:val="21"/>
          <w:highlight w:val="none"/>
        </w:rPr>
      </w:pPr>
      <w:r>
        <w:rPr>
          <w:rFonts w:ascii="宋体" w:hAnsi="宋体"/>
          <w:color w:val="auto"/>
          <w:szCs w:val="21"/>
          <w:highlight w:val="none"/>
        </w:rPr>
        <w:t>3、联合体将严格按照招标文件的各项要求，递交投标文件，履行合同，并对外承担连带责任。</w:t>
      </w:r>
    </w:p>
    <w:p>
      <w:pPr>
        <w:topLinePunct/>
        <w:spacing w:line="380" w:lineRule="exact"/>
        <w:ind w:firstLine="420" w:firstLineChars="200"/>
        <w:rPr>
          <w:rFonts w:ascii="宋体" w:hAnsi="宋体"/>
          <w:color w:val="auto"/>
          <w:szCs w:val="21"/>
          <w:highlight w:val="none"/>
        </w:rPr>
      </w:pPr>
      <w:r>
        <w:rPr>
          <w:rFonts w:ascii="宋体" w:hAnsi="宋体"/>
          <w:color w:val="auto"/>
          <w:szCs w:val="21"/>
          <w:highlight w:val="none"/>
        </w:rPr>
        <w:t>4、联合体牵头人代表联合体签署投标文件，联合体牵头人的所有承诺均认为代表了联合体各成员。</w:t>
      </w:r>
    </w:p>
    <w:p>
      <w:pPr>
        <w:topLinePunct/>
        <w:spacing w:line="380" w:lineRule="exact"/>
        <w:ind w:firstLine="420" w:firstLineChars="200"/>
        <w:rPr>
          <w:rFonts w:ascii="宋体" w:hAnsi="宋体"/>
          <w:color w:val="auto"/>
          <w:szCs w:val="21"/>
          <w:highlight w:val="none"/>
        </w:rPr>
      </w:pPr>
      <w:r>
        <w:rPr>
          <w:rFonts w:ascii="宋体" w:hAnsi="宋体"/>
          <w:color w:val="auto"/>
          <w:szCs w:val="21"/>
          <w:highlight w:val="none"/>
        </w:rPr>
        <w:t>5、联合体各成员单位内部的职责分工如下：</w:t>
      </w:r>
      <w:r>
        <w:rPr>
          <w:rFonts w:ascii="宋体" w:hAnsi="宋体"/>
          <w:color w:val="auto"/>
          <w:szCs w:val="21"/>
          <w:highlight w:val="none"/>
          <w:u w:val="single"/>
        </w:rPr>
        <w:t xml:space="preserve">       </w:t>
      </w:r>
      <w:r>
        <w:rPr>
          <w:rFonts w:ascii="宋体" w:hAnsi="宋体"/>
          <w:color w:val="auto"/>
          <w:szCs w:val="21"/>
          <w:highlight w:val="none"/>
        </w:rPr>
        <w:t>（牵头人名称）承担</w:t>
      </w:r>
      <w:r>
        <w:rPr>
          <w:rFonts w:ascii="宋体" w:hAnsi="宋体"/>
          <w:color w:val="auto"/>
          <w:szCs w:val="21"/>
          <w:highlight w:val="none"/>
          <w:u w:val="single"/>
        </w:rPr>
        <w:t xml:space="preserve">       </w:t>
      </w:r>
      <w:r>
        <w:rPr>
          <w:rFonts w:ascii="宋体" w:hAnsi="宋体"/>
          <w:color w:val="auto"/>
          <w:szCs w:val="21"/>
          <w:highlight w:val="none"/>
        </w:rPr>
        <w:t>工作，</w:t>
      </w:r>
      <w:r>
        <w:rPr>
          <w:rFonts w:ascii="宋体" w:hAnsi="宋体"/>
          <w:color w:val="auto"/>
          <w:szCs w:val="21"/>
          <w:highlight w:val="none"/>
          <w:u w:val="single"/>
        </w:rPr>
        <w:t xml:space="preserve">      （</w:t>
      </w:r>
      <w:r>
        <w:rPr>
          <w:rFonts w:ascii="宋体" w:hAnsi="宋体"/>
          <w:color w:val="auto"/>
          <w:szCs w:val="21"/>
          <w:highlight w:val="none"/>
        </w:rPr>
        <w:t>联合体各成员）承担</w:t>
      </w:r>
      <w:r>
        <w:rPr>
          <w:rFonts w:ascii="宋体" w:hAnsi="宋体"/>
          <w:color w:val="auto"/>
          <w:szCs w:val="21"/>
          <w:highlight w:val="none"/>
          <w:u w:val="single"/>
        </w:rPr>
        <w:t xml:space="preserve">       </w:t>
      </w:r>
      <w:r>
        <w:rPr>
          <w:rFonts w:ascii="宋体" w:hAnsi="宋体"/>
          <w:color w:val="auto"/>
          <w:szCs w:val="21"/>
          <w:highlight w:val="none"/>
        </w:rPr>
        <w:t>工作</w:t>
      </w:r>
      <w:r>
        <w:rPr>
          <w:rFonts w:hint="eastAsia" w:ascii="宋体" w:hAnsi="宋体"/>
          <w:color w:val="auto"/>
          <w:szCs w:val="21"/>
          <w:highlight w:val="none"/>
        </w:rPr>
        <w:t>。</w:t>
      </w:r>
    </w:p>
    <w:p>
      <w:pPr>
        <w:topLinePunct/>
        <w:spacing w:line="380" w:lineRule="exact"/>
        <w:ind w:firstLine="420" w:firstLineChars="200"/>
        <w:rPr>
          <w:rFonts w:ascii="宋体" w:hAnsi="宋体"/>
          <w:color w:val="auto"/>
          <w:szCs w:val="21"/>
          <w:highlight w:val="none"/>
        </w:rPr>
      </w:pPr>
      <w:r>
        <w:rPr>
          <w:rFonts w:ascii="宋体" w:hAnsi="宋体"/>
          <w:color w:val="auto"/>
          <w:szCs w:val="21"/>
          <w:highlight w:val="none"/>
        </w:rPr>
        <w:t xml:space="preserve">6、本协议书自签署之日起生效，合同履行完毕后自动失效。 </w:t>
      </w:r>
    </w:p>
    <w:p>
      <w:pPr>
        <w:topLinePunct/>
        <w:spacing w:line="380" w:lineRule="exact"/>
        <w:ind w:firstLine="420" w:firstLineChars="200"/>
        <w:rPr>
          <w:rFonts w:ascii="宋体" w:hAnsi="宋体"/>
          <w:color w:val="auto"/>
          <w:szCs w:val="21"/>
          <w:highlight w:val="none"/>
        </w:rPr>
      </w:pPr>
      <w:r>
        <w:rPr>
          <w:rFonts w:ascii="宋体" w:hAnsi="宋体"/>
          <w:color w:val="auto"/>
          <w:szCs w:val="21"/>
          <w:highlight w:val="none"/>
        </w:rPr>
        <w:t>7、本协议书一式</w:t>
      </w:r>
      <w:r>
        <w:rPr>
          <w:rFonts w:ascii="宋体" w:hAnsi="宋体"/>
          <w:color w:val="auto"/>
          <w:szCs w:val="21"/>
          <w:highlight w:val="none"/>
          <w:u w:val="single"/>
        </w:rPr>
        <w:t xml:space="preserve">     </w:t>
      </w:r>
      <w:r>
        <w:rPr>
          <w:rFonts w:ascii="宋体" w:hAnsi="宋体"/>
          <w:color w:val="auto"/>
          <w:szCs w:val="21"/>
          <w:highlight w:val="none"/>
        </w:rPr>
        <w:t>份，联合体成员和招标人各执一份。</w:t>
      </w:r>
    </w:p>
    <w:p>
      <w:pPr>
        <w:topLinePunct/>
        <w:spacing w:line="380" w:lineRule="exact"/>
        <w:rPr>
          <w:rFonts w:ascii="宋体" w:hAnsi="宋体"/>
          <w:color w:val="auto"/>
          <w:szCs w:val="21"/>
          <w:highlight w:val="none"/>
        </w:rPr>
      </w:pPr>
    </w:p>
    <w:p>
      <w:pPr>
        <w:topLinePunct/>
        <w:spacing w:line="380" w:lineRule="exact"/>
        <w:rPr>
          <w:rFonts w:ascii="宋体" w:hAnsi="宋体"/>
          <w:color w:val="auto"/>
          <w:szCs w:val="21"/>
          <w:highlight w:val="none"/>
        </w:rPr>
      </w:pPr>
      <w:r>
        <w:rPr>
          <w:rFonts w:hint="eastAsia" w:ascii="宋体" w:hAnsi="宋体"/>
          <w:color w:val="auto"/>
          <w:szCs w:val="21"/>
          <w:highlight w:val="none"/>
        </w:rPr>
        <w:t xml:space="preserve">   </w:t>
      </w:r>
      <w:r>
        <w:rPr>
          <w:rFonts w:ascii="宋体" w:hAnsi="宋体"/>
          <w:color w:val="auto"/>
          <w:szCs w:val="21"/>
          <w:highlight w:val="none"/>
        </w:rPr>
        <w:t>牵头人名称：</w:t>
      </w:r>
      <w:r>
        <w:rPr>
          <w:rFonts w:ascii="宋体" w:hAnsi="宋体"/>
          <w:color w:val="auto"/>
          <w:szCs w:val="21"/>
          <w:highlight w:val="none"/>
          <w:u w:val="single"/>
        </w:rPr>
        <w:t xml:space="preserve">                          </w:t>
      </w:r>
      <w:r>
        <w:rPr>
          <w:rFonts w:hint="eastAsia" w:ascii="宋体" w:hAnsi="宋体"/>
          <w:color w:val="auto"/>
          <w:szCs w:val="21"/>
          <w:highlight w:val="none"/>
          <w:u w:val="single"/>
        </w:rPr>
        <w:t xml:space="preserve">   </w:t>
      </w:r>
      <w:r>
        <w:rPr>
          <w:rFonts w:ascii="宋体" w:hAnsi="宋体"/>
          <w:color w:val="auto"/>
          <w:szCs w:val="21"/>
          <w:highlight w:val="none"/>
          <w:u w:val="single"/>
        </w:rPr>
        <w:t xml:space="preserve">    </w:t>
      </w:r>
      <w:r>
        <w:rPr>
          <w:rFonts w:hint="eastAsia" w:ascii="宋体" w:hAnsi="宋体"/>
          <w:color w:val="auto"/>
          <w:szCs w:val="21"/>
          <w:highlight w:val="none"/>
          <w:u w:val="single"/>
        </w:rPr>
        <w:t xml:space="preserve"> </w:t>
      </w:r>
      <w:r>
        <w:rPr>
          <w:rFonts w:ascii="宋体" w:hAnsi="宋体"/>
          <w:color w:val="auto"/>
          <w:szCs w:val="21"/>
          <w:highlight w:val="none"/>
          <w:u w:val="single"/>
        </w:rPr>
        <w:t xml:space="preserve">   </w:t>
      </w:r>
      <w:r>
        <w:rPr>
          <w:rFonts w:ascii="宋体" w:hAnsi="宋体"/>
          <w:color w:val="auto"/>
          <w:szCs w:val="21"/>
          <w:highlight w:val="none"/>
        </w:rPr>
        <w:t>（盖单位章）</w:t>
      </w:r>
    </w:p>
    <w:p>
      <w:pPr>
        <w:topLinePunct/>
        <w:spacing w:line="380" w:lineRule="exact"/>
        <w:rPr>
          <w:rFonts w:ascii="宋体" w:hAnsi="宋体"/>
          <w:color w:val="auto"/>
          <w:szCs w:val="21"/>
          <w:highlight w:val="none"/>
        </w:rPr>
      </w:pPr>
      <w:r>
        <w:rPr>
          <w:rFonts w:hint="eastAsia" w:ascii="宋体" w:hAnsi="宋体"/>
          <w:color w:val="auto"/>
          <w:szCs w:val="21"/>
          <w:highlight w:val="none"/>
        </w:rPr>
        <w:t xml:space="preserve">   </w:t>
      </w:r>
      <w:r>
        <w:rPr>
          <w:rFonts w:ascii="宋体" w:hAnsi="宋体"/>
          <w:color w:val="auto"/>
          <w:szCs w:val="21"/>
          <w:highlight w:val="none"/>
        </w:rPr>
        <w:t>法定代表人或其委托代理人：</w:t>
      </w:r>
      <w:r>
        <w:rPr>
          <w:rFonts w:ascii="宋体" w:hAnsi="宋体"/>
          <w:color w:val="auto"/>
          <w:szCs w:val="21"/>
          <w:highlight w:val="none"/>
          <w:u w:val="single"/>
        </w:rPr>
        <w:t xml:space="preserve">                       </w:t>
      </w:r>
      <w:r>
        <w:rPr>
          <w:rFonts w:ascii="宋体" w:hAnsi="宋体"/>
          <w:color w:val="auto"/>
          <w:szCs w:val="21"/>
          <w:highlight w:val="none"/>
        </w:rPr>
        <w:t>（签字）</w:t>
      </w:r>
    </w:p>
    <w:p>
      <w:pPr>
        <w:topLinePunct/>
        <w:spacing w:line="380" w:lineRule="exact"/>
        <w:rPr>
          <w:rFonts w:ascii="宋体" w:hAnsi="宋体"/>
          <w:color w:val="auto"/>
          <w:szCs w:val="21"/>
          <w:highlight w:val="none"/>
        </w:rPr>
      </w:pPr>
      <w:r>
        <w:rPr>
          <w:rFonts w:hint="eastAsia" w:ascii="宋体" w:hAnsi="宋体"/>
          <w:color w:val="auto"/>
          <w:szCs w:val="21"/>
          <w:highlight w:val="none"/>
        </w:rPr>
        <w:t xml:space="preserve">  </w:t>
      </w:r>
    </w:p>
    <w:p>
      <w:pPr>
        <w:topLinePunct/>
        <w:spacing w:line="380" w:lineRule="exact"/>
        <w:rPr>
          <w:rFonts w:ascii="宋体" w:hAnsi="宋体"/>
          <w:color w:val="auto"/>
          <w:szCs w:val="21"/>
          <w:highlight w:val="none"/>
        </w:rPr>
      </w:pPr>
      <w:r>
        <w:rPr>
          <w:rFonts w:hint="eastAsia" w:ascii="宋体" w:hAnsi="宋体"/>
          <w:color w:val="auto"/>
          <w:szCs w:val="21"/>
          <w:highlight w:val="none"/>
        </w:rPr>
        <w:t xml:space="preserve">  </w:t>
      </w:r>
      <w:r>
        <w:rPr>
          <w:rFonts w:ascii="宋体" w:hAnsi="宋体"/>
          <w:color w:val="auto"/>
          <w:szCs w:val="21"/>
          <w:highlight w:val="none"/>
        </w:rPr>
        <w:t>成员</w:t>
      </w:r>
      <w:r>
        <w:rPr>
          <w:rFonts w:hint="eastAsia" w:ascii="宋体" w:hAnsi="宋体"/>
          <w:color w:val="auto"/>
          <w:szCs w:val="21"/>
          <w:highlight w:val="none"/>
        </w:rPr>
        <w:t>一</w:t>
      </w:r>
      <w:r>
        <w:rPr>
          <w:rFonts w:ascii="宋体" w:hAnsi="宋体"/>
          <w:color w:val="auto"/>
          <w:szCs w:val="21"/>
          <w:highlight w:val="none"/>
        </w:rPr>
        <w:t>名称：</w:t>
      </w:r>
      <w:r>
        <w:rPr>
          <w:rFonts w:ascii="宋体" w:hAnsi="宋体"/>
          <w:color w:val="auto"/>
          <w:szCs w:val="21"/>
          <w:highlight w:val="none"/>
          <w:u w:val="single"/>
        </w:rPr>
        <w:t xml:space="preserve">                            </w:t>
      </w:r>
      <w:r>
        <w:rPr>
          <w:rFonts w:hint="eastAsia" w:ascii="宋体" w:hAnsi="宋体"/>
          <w:color w:val="auto"/>
          <w:szCs w:val="21"/>
          <w:highlight w:val="none"/>
          <w:u w:val="single"/>
        </w:rPr>
        <w:t xml:space="preserve">    </w:t>
      </w:r>
      <w:r>
        <w:rPr>
          <w:rFonts w:ascii="宋体" w:hAnsi="宋体"/>
          <w:color w:val="auto"/>
          <w:szCs w:val="21"/>
          <w:highlight w:val="none"/>
          <w:u w:val="single"/>
        </w:rPr>
        <w:t xml:space="preserve">     </w:t>
      </w:r>
      <w:r>
        <w:rPr>
          <w:rFonts w:ascii="宋体" w:hAnsi="宋体"/>
          <w:color w:val="auto"/>
          <w:szCs w:val="21"/>
          <w:highlight w:val="none"/>
        </w:rPr>
        <w:t>（盖单位章）</w:t>
      </w:r>
    </w:p>
    <w:p>
      <w:pPr>
        <w:topLinePunct/>
        <w:spacing w:line="380" w:lineRule="exact"/>
        <w:rPr>
          <w:rFonts w:ascii="宋体" w:hAnsi="宋体"/>
          <w:color w:val="auto"/>
          <w:szCs w:val="21"/>
          <w:highlight w:val="none"/>
        </w:rPr>
      </w:pPr>
      <w:r>
        <w:rPr>
          <w:rFonts w:hint="eastAsia" w:ascii="宋体" w:hAnsi="宋体"/>
          <w:color w:val="auto"/>
          <w:szCs w:val="21"/>
          <w:highlight w:val="none"/>
        </w:rPr>
        <w:t xml:space="preserve">  </w:t>
      </w:r>
      <w:r>
        <w:rPr>
          <w:rFonts w:ascii="宋体" w:hAnsi="宋体"/>
          <w:color w:val="auto"/>
          <w:szCs w:val="21"/>
          <w:highlight w:val="none"/>
        </w:rPr>
        <w:t>法定代表人或其委托代理人：</w:t>
      </w:r>
      <w:r>
        <w:rPr>
          <w:rFonts w:ascii="宋体" w:hAnsi="宋体"/>
          <w:color w:val="auto"/>
          <w:szCs w:val="21"/>
          <w:highlight w:val="none"/>
          <w:u w:val="single"/>
        </w:rPr>
        <w:t xml:space="preserve">                       </w:t>
      </w:r>
      <w:r>
        <w:rPr>
          <w:rFonts w:ascii="宋体" w:hAnsi="宋体"/>
          <w:color w:val="auto"/>
          <w:szCs w:val="21"/>
          <w:highlight w:val="none"/>
        </w:rPr>
        <w:t>（签字）</w:t>
      </w:r>
    </w:p>
    <w:p>
      <w:pPr>
        <w:topLinePunct/>
        <w:spacing w:line="380" w:lineRule="exact"/>
        <w:rPr>
          <w:rFonts w:ascii="宋体" w:hAnsi="宋体"/>
          <w:color w:val="auto"/>
          <w:szCs w:val="21"/>
          <w:highlight w:val="none"/>
        </w:rPr>
      </w:pPr>
      <w:r>
        <w:rPr>
          <w:rFonts w:hint="eastAsia" w:ascii="宋体" w:hAnsi="宋体"/>
          <w:color w:val="auto"/>
          <w:szCs w:val="21"/>
          <w:highlight w:val="none"/>
        </w:rPr>
        <w:t xml:space="preserve">  </w:t>
      </w:r>
    </w:p>
    <w:p>
      <w:pPr>
        <w:topLinePunct/>
        <w:spacing w:line="380" w:lineRule="exact"/>
        <w:rPr>
          <w:rFonts w:ascii="宋体" w:hAnsi="宋体"/>
          <w:color w:val="auto"/>
          <w:szCs w:val="21"/>
          <w:highlight w:val="none"/>
        </w:rPr>
      </w:pPr>
      <w:r>
        <w:rPr>
          <w:rFonts w:hint="eastAsia" w:ascii="宋体" w:hAnsi="宋体"/>
          <w:color w:val="auto"/>
          <w:szCs w:val="21"/>
          <w:highlight w:val="none"/>
        </w:rPr>
        <w:t xml:space="preserve">  </w:t>
      </w:r>
      <w:r>
        <w:rPr>
          <w:rFonts w:ascii="宋体" w:hAnsi="宋体"/>
          <w:color w:val="auto"/>
          <w:szCs w:val="21"/>
          <w:highlight w:val="none"/>
        </w:rPr>
        <w:t>成员</w:t>
      </w:r>
      <w:r>
        <w:rPr>
          <w:rFonts w:hint="eastAsia" w:ascii="宋体" w:hAnsi="宋体"/>
          <w:color w:val="auto"/>
          <w:szCs w:val="21"/>
          <w:highlight w:val="none"/>
        </w:rPr>
        <w:t>二</w:t>
      </w:r>
      <w:r>
        <w:rPr>
          <w:rFonts w:ascii="宋体" w:hAnsi="宋体"/>
          <w:color w:val="auto"/>
          <w:szCs w:val="21"/>
          <w:highlight w:val="none"/>
        </w:rPr>
        <w:t>名称：</w:t>
      </w:r>
      <w:r>
        <w:rPr>
          <w:rFonts w:ascii="宋体" w:hAnsi="宋体"/>
          <w:color w:val="auto"/>
          <w:szCs w:val="21"/>
          <w:highlight w:val="none"/>
          <w:u w:val="single"/>
        </w:rPr>
        <w:t xml:space="preserve">                            </w:t>
      </w:r>
      <w:r>
        <w:rPr>
          <w:rFonts w:hint="eastAsia" w:ascii="宋体" w:hAnsi="宋体"/>
          <w:color w:val="auto"/>
          <w:szCs w:val="21"/>
          <w:highlight w:val="none"/>
          <w:u w:val="single"/>
        </w:rPr>
        <w:t xml:space="preserve">    </w:t>
      </w:r>
      <w:r>
        <w:rPr>
          <w:rFonts w:ascii="宋体" w:hAnsi="宋体"/>
          <w:color w:val="auto"/>
          <w:szCs w:val="21"/>
          <w:highlight w:val="none"/>
          <w:u w:val="single"/>
        </w:rPr>
        <w:t xml:space="preserve">     </w:t>
      </w:r>
      <w:r>
        <w:rPr>
          <w:rFonts w:ascii="宋体" w:hAnsi="宋体"/>
          <w:color w:val="auto"/>
          <w:szCs w:val="21"/>
          <w:highlight w:val="none"/>
        </w:rPr>
        <w:t>（盖单位章）</w:t>
      </w:r>
    </w:p>
    <w:p>
      <w:pPr>
        <w:topLinePunct/>
        <w:spacing w:line="380" w:lineRule="exact"/>
        <w:rPr>
          <w:rFonts w:ascii="宋体" w:hAnsi="宋体"/>
          <w:color w:val="auto"/>
          <w:szCs w:val="21"/>
          <w:highlight w:val="none"/>
        </w:rPr>
      </w:pPr>
      <w:r>
        <w:rPr>
          <w:rFonts w:hint="eastAsia" w:ascii="宋体" w:hAnsi="宋体"/>
          <w:color w:val="auto"/>
          <w:szCs w:val="21"/>
          <w:highlight w:val="none"/>
        </w:rPr>
        <w:t xml:space="preserve">  </w:t>
      </w:r>
      <w:r>
        <w:rPr>
          <w:rFonts w:ascii="宋体" w:hAnsi="宋体"/>
          <w:color w:val="auto"/>
          <w:szCs w:val="21"/>
          <w:highlight w:val="none"/>
        </w:rPr>
        <w:t>法定代表人或其委托代理人：</w:t>
      </w:r>
      <w:r>
        <w:rPr>
          <w:rFonts w:ascii="宋体" w:hAnsi="宋体"/>
          <w:color w:val="auto"/>
          <w:szCs w:val="21"/>
          <w:highlight w:val="none"/>
          <w:u w:val="single"/>
        </w:rPr>
        <w:t xml:space="preserve">                       </w:t>
      </w:r>
      <w:r>
        <w:rPr>
          <w:rFonts w:ascii="宋体" w:hAnsi="宋体"/>
          <w:color w:val="auto"/>
          <w:szCs w:val="21"/>
          <w:highlight w:val="none"/>
        </w:rPr>
        <w:t>（签字）</w:t>
      </w:r>
    </w:p>
    <w:p>
      <w:pPr>
        <w:topLinePunct/>
        <w:spacing w:line="380" w:lineRule="exact"/>
        <w:rPr>
          <w:rFonts w:ascii="宋体" w:hAnsi="宋体"/>
          <w:color w:val="auto"/>
          <w:szCs w:val="21"/>
          <w:highlight w:val="none"/>
        </w:rPr>
      </w:pPr>
      <w:r>
        <w:rPr>
          <w:rFonts w:hint="eastAsia" w:ascii="宋体" w:hAnsi="宋体"/>
          <w:color w:val="auto"/>
          <w:szCs w:val="21"/>
          <w:highlight w:val="none"/>
        </w:rPr>
        <w:t xml:space="preserve">  </w:t>
      </w:r>
    </w:p>
    <w:p>
      <w:pPr>
        <w:topLinePunct/>
        <w:spacing w:line="380" w:lineRule="exact"/>
        <w:rPr>
          <w:rFonts w:ascii="宋体" w:hAnsi="宋体"/>
          <w:b/>
          <w:color w:val="auto"/>
          <w:szCs w:val="21"/>
          <w:highlight w:val="none"/>
        </w:rPr>
      </w:pPr>
      <w:r>
        <w:rPr>
          <w:rFonts w:hint="eastAsia" w:ascii="宋体" w:hAnsi="宋体"/>
          <w:color w:val="auto"/>
          <w:szCs w:val="21"/>
          <w:highlight w:val="none"/>
        </w:rPr>
        <w:t xml:space="preserve"> </w:t>
      </w:r>
      <w:r>
        <w:rPr>
          <w:rFonts w:hint="eastAsia" w:ascii="宋体" w:hAnsi="宋体"/>
          <w:b/>
          <w:color w:val="auto"/>
          <w:szCs w:val="21"/>
          <w:highlight w:val="none"/>
        </w:rPr>
        <w:t xml:space="preserve"> .</w:t>
      </w:r>
    </w:p>
    <w:p>
      <w:pPr>
        <w:topLinePunct/>
        <w:spacing w:line="380" w:lineRule="exact"/>
        <w:rPr>
          <w:rFonts w:ascii="宋体" w:hAnsi="宋体"/>
          <w:b/>
          <w:color w:val="auto"/>
          <w:szCs w:val="21"/>
          <w:highlight w:val="none"/>
        </w:rPr>
      </w:pPr>
      <w:r>
        <w:rPr>
          <w:rFonts w:hint="eastAsia" w:ascii="宋体" w:hAnsi="宋体"/>
          <w:b/>
          <w:color w:val="auto"/>
          <w:szCs w:val="21"/>
          <w:highlight w:val="none"/>
        </w:rPr>
        <w:t xml:space="preserve">  .</w:t>
      </w:r>
    </w:p>
    <w:p>
      <w:pPr>
        <w:topLinePunct/>
        <w:spacing w:line="380" w:lineRule="exact"/>
        <w:rPr>
          <w:rFonts w:ascii="宋体" w:hAnsi="宋体"/>
          <w:b/>
          <w:color w:val="auto"/>
          <w:szCs w:val="21"/>
          <w:highlight w:val="none"/>
        </w:rPr>
      </w:pPr>
      <w:r>
        <w:rPr>
          <w:rFonts w:hint="eastAsia" w:ascii="宋体" w:hAnsi="宋体"/>
          <w:b/>
          <w:color w:val="auto"/>
          <w:szCs w:val="21"/>
          <w:highlight w:val="none"/>
        </w:rPr>
        <w:t xml:space="preserve">  .</w:t>
      </w:r>
    </w:p>
    <w:p>
      <w:pPr>
        <w:pStyle w:val="29"/>
        <w:snapToGrid w:val="0"/>
        <w:spacing w:line="360" w:lineRule="auto"/>
        <w:ind w:right="42" w:rightChars="20" w:firstLine="422" w:firstLineChars="200"/>
        <w:jc w:val="left"/>
        <w:rPr>
          <w:rFonts w:ascii="宋体" w:hAnsi="宋体" w:eastAsia="宋体"/>
          <w:b/>
          <w:color w:val="auto"/>
          <w:szCs w:val="21"/>
          <w:highlight w:val="none"/>
        </w:rPr>
      </w:pPr>
    </w:p>
    <w:p>
      <w:pPr>
        <w:pStyle w:val="29"/>
        <w:snapToGrid w:val="0"/>
        <w:spacing w:line="360" w:lineRule="auto"/>
        <w:ind w:right="42" w:rightChars="20" w:firstLine="422" w:firstLineChars="200"/>
        <w:jc w:val="left"/>
        <w:rPr>
          <w:rFonts w:ascii="宋体" w:hAnsi="宋体" w:eastAsia="宋体"/>
          <w:b/>
          <w:color w:val="auto"/>
          <w:szCs w:val="21"/>
          <w:highlight w:val="none"/>
        </w:rPr>
      </w:pPr>
    </w:p>
    <w:p>
      <w:pPr>
        <w:pStyle w:val="20"/>
        <w:rPr>
          <w:rFonts w:ascii="宋体" w:hAnsi="宋体"/>
          <w:b/>
          <w:color w:val="auto"/>
          <w:szCs w:val="21"/>
          <w:highlight w:val="none"/>
        </w:rPr>
      </w:pPr>
    </w:p>
    <w:p>
      <w:pPr>
        <w:snapToGrid w:val="0"/>
        <w:spacing w:line="360" w:lineRule="auto"/>
        <w:jc w:val="left"/>
        <w:rPr>
          <w:rFonts w:ascii="宋体" w:hAnsi="宋体"/>
          <w:color w:val="auto"/>
          <w:szCs w:val="21"/>
          <w:highlight w:val="none"/>
          <w:u w:val="single"/>
        </w:rPr>
      </w:pPr>
    </w:p>
    <w:p>
      <w:pPr>
        <w:snapToGrid w:val="0"/>
        <w:spacing w:line="360" w:lineRule="auto"/>
        <w:ind w:firstLine="420" w:firstLineChars="200"/>
        <w:jc w:val="left"/>
        <w:rPr>
          <w:rFonts w:ascii="宋体" w:hAnsi="宋体"/>
          <w:color w:val="auto"/>
          <w:szCs w:val="21"/>
          <w:highlight w:val="none"/>
        </w:rPr>
        <w:sectPr>
          <w:pgSz w:w="11906" w:h="16838"/>
          <w:pgMar w:top="1474" w:right="1797" w:bottom="1247" w:left="1797" w:header="851" w:footer="851" w:gutter="0"/>
          <w:cols w:space="720" w:num="1"/>
          <w:docGrid w:linePitch="312" w:charSpace="0"/>
        </w:sectPr>
      </w:pPr>
    </w:p>
    <w:p>
      <w:pPr>
        <w:snapToGrid w:val="0"/>
        <w:spacing w:line="360" w:lineRule="auto"/>
        <w:ind w:firstLine="420" w:firstLineChars="200"/>
        <w:jc w:val="left"/>
        <w:rPr>
          <w:rFonts w:ascii="宋体" w:hAnsi="宋体"/>
          <w:color w:val="auto"/>
          <w:szCs w:val="21"/>
          <w:highlight w:val="none"/>
        </w:rPr>
      </w:pPr>
      <w:r>
        <w:rPr>
          <w:rFonts w:hint="eastAsia" w:ascii="宋体" w:hAnsi="宋体"/>
          <w:color w:val="auto"/>
          <w:szCs w:val="21"/>
          <w:highlight w:val="none"/>
          <w:lang w:eastAsia="zh-CN"/>
        </w:rPr>
        <w:t>供应商</w:t>
      </w:r>
      <w:r>
        <w:rPr>
          <w:rFonts w:hint="eastAsia" w:ascii="宋体" w:hAnsi="宋体"/>
          <w:color w:val="auto"/>
          <w:szCs w:val="21"/>
          <w:highlight w:val="none"/>
        </w:rPr>
        <w:t>的类似成功案例的业绩证明文件：</w:t>
      </w:r>
    </w:p>
    <w:p>
      <w:pPr>
        <w:pStyle w:val="40"/>
        <w:snapToGrid w:val="0"/>
        <w:spacing w:line="360" w:lineRule="auto"/>
        <w:ind w:left="0" w:firstLine="420" w:firstLineChars="200"/>
        <w:jc w:val="left"/>
        <w:rPr>
          <w:rFonts w:ascii="宋体" w:hAnsi="宋体"/>
          <w:color w:val="auto"/>
          <w:szCs w:val="21"/>
          <w:highlight w:val="none"/>
        </w:rPr>
      </w:pPr>
      <w:r>
        <w:rPr>
          <w:rFonts w:hint="eastAsia" w:ascii="宋体" w:hAnsi="宋体"/>
          <w:color w:val="auto"/>
          <w:szCs w:val="21"/>
          <w:highlight w:val="none"/>
          <w:lang w:eastAsia="zh-CN"/>
        </w:rPr>
        <w:t>供应商</w:t>
      </w:r>
      <w:r>
        <w:rPr>
          <w:rFonts w:ascii="宋体" w:hAnsi="宋体"/>
          <w:color w:val="auto"/>
          <w:szCs w:val="21"/>
          <w:highlight w:val="none"/>
        </w:rPr>
        <w:t>同类项目实施情况一览表格式：（</w:t>
      </w:r>
      <w:r>
        <w:rPr>
          <w:rFonts w:hint="eastAsia" w:ascii="宋体" w:hAnsi="宋体"/>
          <w:color w:val="auto"/>
          <w:szCs w:val="21"/>
          <w:highlight w:val="none"/>
          <w:lang w:eastAsia="zh-CN"/>
        </w:rPr>
        <w:t>供应商</w:t>
      </w:r>
      <w:r>
        <w:rPr>
          <w:rFonts w:ascii="宋体" w:hAnsi="宋体"/>
          <w:color w:val="auto"/>
          <w:szCs w:val="21"/>
          <w:highlight w:val="none"/>
        </w:rPr>
        <w:t>同类项目合同复印件）</w:t>
      </w:r>
    </w:p>
    <w:tbl>
      <w:tblPr>
        <w:tblStyle w:val="54"/>
        <w:tblW w:w="14283" w:type="dxa"/>
        <w:tblInd w:w="0" w:type="dxa"/>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2628"/>
        <w:gridCol w:w="3420"/>
        <w:gridCol w:w="1080"/>
        <w:gridCol w:w="1080"/>
        <w:gridCol w:w="1440"/>
        <w:gridCol w:w="1517"/>
        <w:gridCol w:w="3118"/>
      </w:tblGrid>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2171" w:hRule="atLeast"/>
        </w:trPr>
        <w:tc>
          <w:tcPr>
            <w:tcW w:w="2628" w:type="dxa"/>
            <w:tcBorders>
              <w:top w:val="single" w:color="auto" w:sz="4" w:space="0"/>
              <w:left w:val="single" w:color="auto" w:sz="4" w:space="0"/>
              <w:bottom w:val="single" w:color="auto" w:sz="4" w:space="0"/>
              <w:right w:val="single" w:color="auto" w:sz="4" w:space="0"/>
            </w:tcBorders>
            <w:noWrap w:val="0"/>
            <w:vAlign w:val="center"/>
          </w:tcPr>
          <w:p>
            <w:pPr>
              <w:snapToGrid w:val="0"/>
              <w:spacing w:line="360" w:lineRule="auto"/>
              <w:ind w:firstLine="420" w:firstLineChars="200"/>
              <w:jc w:val="left"/>
              <w:rPr>
                <w:rFonts w:ascii="宋体" w:hAnsi="宋体"/>
                <w:color w:val="auto"/>
                <w:szCs w:val="21"/>
                <w:highlight w:val="none"/>
              </w:rPr>
            </w:pPr>
            <w:r>
              <w:rPr>
                <w:rFonts w:hint="eastAsia" w:ascii="宋体" w:hAnsi="宋体"/>
                <w:color w:val="auto"/>
                <w:szCs w:val="21"/>
                <w:highlight w:val="none"/>
              </w:rPr>
              <w:t>采购单位名称</w:t>
            </w:r>
          </w:p>
        </w:tc>
        <w:tc>
          <w:tcPr>
            <w:tcW w:w="3420" w:type="dxa"/>
            <w:tcBorders>
              <w:top w:val="single" w:color="auto" w:sz="4" w:space="0"/>
              <w:left w:val="single" w:color="auto" w:sz="4" w:space="0"/>
              <w:bottom w:val="single" w:color="auto" w:sz="4" w:space="0"/>
              <w:right w:val="single" w:color="auto" w:sz="4" w:space="0"/>
            </w:tcBorders>
            <w:noWrap w:val="0"/>
            <w:vAlign w:val="center"/>
          </w:tcPr>
          <w:p>
            <w:pPr>
              <w:snapToGrid w:val="0"/>
              <w:spacing w:line="360" w:lineRule="auto"/>
              <w:ind w:firstLine="420" w:firstLineChars="200"/>
              <w:jc w:val="left"/>
              <w:rPr>
                <w:rFonts w:ascii="宋体" w:hAnsi="宋体"/>
                <w:color w:val="auto"/>
                <w:szCs w:val="21"/>
                <w:highlight w:val="none"/>
              </w:rPr>
            </w:pPr>
            <w:r>
              <w:rPr>
                <w:rFonts w:hint="eastAsia" w:ascii="宋体" w:hAnsi="宋体"/>
                <w:color w:val="auto"/>
                <w:szCs w:val="21"/>
                <w:highlight w:val="none"/>
              </w:rPr>
              <w:t>项目名称</w:t>
            </w:r>
          </w:p>
        </w:tc>
        <w:tc>
          <w:tcPr>
            <w:tcW w:w="1080" w:type="dxa"/>
            <w:tcBorders>
              <w:top w:val="single" w:color="auto" w:sz="4" w:space="0"/>
              <w:left w:val="single" w:color="auto" w:sz="4" w:space="0"/>
              <w:bottom w:val="single" w:color="auto" w:sz="4" w:space="0"/>
              <w:right w:val="single" w:color="auto" w:sz="4" w:space="0"/>
            </w:tcBorders>
            <w:noWrap w:val="0"/>
            <w:vAlign w:val="center"/>
          </w:tcPr>
          <w:p>
            <w:pPr>
              <w:snapToGrid w:val="0"/>
              <w:spacing w:line="360" w:lineRule="auto"/>
              <w:ind w:firstLine="420" w:firstLineChars="200"/>
              <w:jc w:val="left"/>
              <w:rPr>
                <w:rFonts w:ascii="宋体" w:hAnsi="宋体"/>
                <w:color w:val="auto"/>
                <w:szCs w:val="21"/>
                <w:highlight w:val="none"/>
              </w:rPr>
            </w:pPr>
            <w:r>
              <w:rPr>
                <w:rFonts w:hint="eastAsia" w:ascii="宋体" w:hAnsi="宋体"/>
                <w:color w:val="auto"/>
                <w:szCs w:val="21"/>
                <w:highlight w:val="none"/>
              </w:rPr>
              <w:t>采购</w:t>
            </w:r>
          </w:p>
          <w:p>
            <w:pPr>
              <w:snapToGrid w:val="0"/>
              <w:spacing w:line="360" w:lineRule="auto"/>
              <w:ind w:firstLine="420" w:firstLineChars="200"/>
              <w:jc w:val="left"/>
              <w:rPr>
                <w:rFonts w:ascii="宋体" w:hAnsi="宋体"/>
                <w:color w:val="auto"/>
                <w:szCs w:val="21"/>
                <w:highlight w:val="none"/>
              </w:rPr>
            </w:pPr>
            <w:r>
              <w:rPr>
                <w:rFonts w:hint="eastAsia" w:ascii="宋体" w:hAnsi="宋体"/>
                <w:color w:val="auto"/>
                <w:szCs w:val="21"/>
                <w:highlight w:val="none"/>
              </w:rPr>
              <w:t>数量</w:t>
            </w:r>
          </w:p>
        </w:tc>
        <w:tc>
          <w:tcPr>
            <w:tcW w:w="1080" w:type="dxa"/>
            <w:tcBorders>
              <w:top w:val="single" w:color="auto" w:sz="4" w:space="0"/>
              <w:left w:val="single" w:color="auto" w:sz="4" w:space="0"/>
              <w:bottom w:val="single" w:color="auto" w:sz="4" w:space="0"/>
              <w:right w:val="single" w:color="auto" w:sz="4" w:space="0"/>
            </w:tcBorders>
            <w:noWrap w:val="0"/>
            <w:vAlign w:val="center"/>
          </w:tcPr>
          <w:p>
            <w:pPr>
              <w:snapToGrid w:val="0"/>
              <w:spacing w:line="360" w:lineRule="auto"/>
              <w:ind w:firstLine="420" w:firstLineChars="200"/>
              <w:jc w:val="left"/>
              <w:rPr>
                <w:rFonts w:ascii="宋体" w:hAnsi="宋体"/>
                <w:color w:val="auto"/>
                <w:szCs w:val="21"/>
                <w:highlight w:val="none"/>
              </w:rPr>
            </w:pPr>
            <w:r>
              <w:rPr>
                <w:rFonts w:hint="eastAsia" w:ascii="宋体" w:hAnsi="宋体"/>
                <w:color w:val="auto"/>
                <w:szCs w:val="21"/>
                <w:highlight w:val="none"/>
              </w:rPr>
              <w:t>单价</w:t>
            </w:r>
          </w:p>
        </w:tc>
        <w:tc>
          <w:tcPr>
            <w:tcW w:w="1440" w:type="dxa"/>
            <w:tcBorders>
              <w:top w:val="single" w:color="auto" w:sz="4" w:space="0"/>
              <w:left w:val="single" w:color="auto" w:sz="4" w:space="0"/>
              <w:bottom w:val="single" w:color="auto" w:sz="4" w:space="0"/>
              <w:right w:val="single" w:color="auto" w:sz="4" w:space="0"/>
            </w:tcBorders>
            <w:noWrap w:val="0"/>
            <w:vAlign w:val="center"/>
          </w:tcPr>
          <w:p>
            <w:pPr>
              <w:snapToGrid w:val="0"/>
              <w:spacing w:line="360" w:lineRule="auto"/>
              <w:ind w:firstLine="420" w:firstLineChars="200"/>
              <w:jc w:val="left"/>
              <w:rPr>
                <w:rFonts w:ascii="宋体" w:hAnsi="宋体"/>
                <w:color w:val="auto"/>
                <w:szCs w:val="21"/>
                <w:highlight w:val="none"/>
              </w:rPr>
            </w:pPr>
            <w:r>
              <w:rPr>
                <w:rFonts w:hint="eastAsia" w:ascii="宋体" w:hAnsi="宋体"/>
                <w:color w:val="auto"/>
                <w:szCs w:val="21"/>
                <w:highlight w:val="none"/>
              </w:rPr>
              <w:t>合同</w:t>
            </w:r>
          </w:p>
          <w:p>
            <w:pPr>
              <w:snapToGrid w:val="0"/>
              <w:spacing w:line="360" w:lineRule="auto"/>
              <w:ind w:firstLine="420" w:firstLineChars="200"/>
              <w:jc w:val="left"/>
              <w:rPr>
                <w:rFonts w:ascii="宋体" w:hAnsi="宋体"/>
                <w:color w:val="auto"/>
                <w:szCs w:val="21"/>
                <w:highlight w:val="none"/>
              </w:rPr>
            </w:pPr>
            <w:r>
              <w:rPr>
                <w:rFonts w:hint="eastAsia" w:ascii="宋体" w:hAnsi="宋体"/>
                <w:color w:val="auto"/>
                <w:szCs w:val="21"/>
                <w:highlight w:val="none"/>
              </w:rPr>
              <w:t>金额</w:t>
            </w:r>
          </w:p>
          <w:p>
            <w:pPr>
              <w:snapToGrid w:val="0"/>
              <w:spacing w:line="360" w:lineRule="auto"/>
              <w:ind w:firstLine="420" w:firstLineChars="200"/>
              <w:jc w:val="left"/>
              <w:rPr>
                <w:rFonts w:ascii="宋体" w:hAnsi="宋体"/>
                <w:color w:val="auto"/>
                <w:szCs w:val="21"/>
                <w:highlight w:val="none"/>
              </w:rPr>
            </w:pPr>
            <w:r>
              <w:rPr>
                <w:rFonts w:hint="eastAsia" w:ascii="宋体" w:hAnsi="宋体"/>
                <w:color w:val="auto"/>
                <w:szCs w:val="21"/>
                <w:highlight w:val="none"/>
              </w:rPr>
              <w:t>（万元）</w:t>
            </w:r>
          </w:p>
        </w:tc>
        <w:tc>
          <w:tcPr>
            <w:tcW w:w="1517" w:type="dxa"/>
            <w:tcBorders>
              <w:top w:val="single" w:color="auto" w:sz="4" w:space="0"/>
              <w:left w:val="single" w:color="auto" w:sz="4" w:space="0"/>
              <w:right w:val="single" w:color="auto" w:sz="4" w:space="0"/>
            </w:tcBorders>
            <w:noWrap w:val="0"/>
            <w:vAlign w:val="center"/>
          </w:tcPr>
          <w:p>
            <w:pPr>
              <w:snapToGrid w:val="0"/>
              <w:spacing w:line="360" w:lineRule="auto"/>
              <w:jc w:val="left"/>
              <w:rPr>
                <w:rFonts w:ascii="宋体" w:hAnsi="宋体"/>
                <w:color w:val="auto"/>
                <w:szCs w:val="21"/>
                <w:highlight w:val="none"/>
              </w:rPr>
            </w:pPr>
            <w:r>
              <w:rPr>
                <w:rFonts w:hint="eastAsia" w:ascii="宋体" w:hAnsi="宋体"/>
                <w:color w:val="auto"/>
                <w:szCs w:val="21"/>
                <w:highlight w:val="none"/>
              </w:rPr>
              <w:t>附件页码</w:t>
            </w:r>
          </w:p>
          <w:p>
            <w:pPr>
              <w:snapToGrid w:val="0"/>
              <w:spacing w:line="360" w:lineRule="auto"/>
              <w:ind w:firstLine="420" w:firstLineChars="200"/>
              <w:jc w:val="left"/>
              <w:rPr>
                <w:rFonts w:ascii="宋体" w:hAnsi="宋体"/>
                <w:color w:val="auto"/>
                <w:szCs w:val="21"/>
                <w:highlight w:val="none"/>
              </w:rPr>
            </w:pPr>
          </w:p>
        </w:tc>
        <w:tc>
          <w:tcPr>
            <w:tcW w:w="3118" w:type="dxa"/>
            <w:tcBorders>
              <w:top w:val="single" w:color="auto" w:sz="4" w:space="0"/>
              <w:left w:val="single" w:color="auto" w:sz="4" w:space="0"/>
              <w:bottom w:val="single" w:color="auto" w:sz="4" w:space="0"/>
              <w:right w:val="single" w:color="auto" w:sz="4" w:space="0"/>
            </w:tcBorders>
            <w:noWrap w:val="0"/>
            <w:vAlign w:val="center"/>
          </w:tcPr>
          <w:p>
            <w:pPr>
              <w:snapToGrid w:val="0"/>
              <w:spacing w:line="360" w:lineRule="auto"/>
              <w:ind w:firstLine="420" w:firstLineChars="200"/>
              <w:jc w:val="left"/>
              <w:rPr>
                <w:rFonts w:ascii="宋体" w:hAnsi="宋体"/>
                <w:color w:val="auto"/>
                <w:szCs w:val="21"/>
                <w:highlight w:val="none"/>
              </w:rPr>
            </w:pPr>
            <w:r>
              <w:rPr>
                <w:rFonts w:hint="eastAsia" w:ascii="宋体" w:hAnsi="宋体"/>
                <w:color w:val="auto"/>
                <w:szCs w:val="21"/>
                <w:highlight w:val="none"/>
              </w:rPr>
              <w:t>采购单位联系人及</w:t>
            </w:r>
          </w:p>
          <w:p>
            <w:pPr>
              <w:snapToGrid w:val="0"/>
              <w:spacing w:line="360" w:lineRule="auto"/>
              <w:ind w:firstLine="420" w:firstLineChars="200"/>
              <w:jc w:val="left"/>
              <w:rPr>
                <w:rFonts w:ascii="宋体" w:hAnsi="宋体"/>
                <w:color w:val="auto"/>
                <w:szCs w:val="21"/>
                <w:highlight w:val="none"/>
              </w:rPr>
            </w:pPr>
            <w:r>
              <w:rPr>
                <w:rFonts w:hint="eastAsia" w:ascii="宋体" w:hAnsi="宋体"/>
                <w:color w:val="auto"/>
                <w:szCs w:val="21"/>
                <w:highlight w:val="none"/>
              </w:rPr>
              <w:t>联系电话</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49" w:hRule="atLeast"/>
        </w:trPr>
        <w:tc>
          <w:tcPr>
            <w:tcW w:w="2628" w:type="dxa"/>
            <w:tcBorders>
              <w:top w:val="single" w:color="auto" w:sz="4" w:space="0"/>
              <w:left w:val="single" w:color="auto" w:sz="4" w:space="0"/>
              <w:bottom w:val="single" w:color="auto" w:sz="4" w:space="0"/>
              <w:right w:val="single" w:color="auto" w:sz="4" w:space="0"/>
            </w:tcBorders>
            <w:noWrap w:val="0"/>
            <w:vAlign w:val="top"/>
          </w:tcPr>
          <w:p>
            <w:pPr>
              <w:snapToGrid w:val="0"/>
              <w:spacing w:line="360" w:lineRule="auto"/>
              <w:ind w:firstLine="420" w:firstLineChars="200"/>
              <w:jc w:val="left"/>
              <w:rPr>
                <w:rFonts w:ascii="宋体" w:hAnsi="宋体"/>
                <w:color w:val="auto"/>
                <w:szCs w:val="21"/>
                <w:highlight w:val="none"/>
              </w:rPr>
            </w:pPr>
          </w:p>
        </w:tc>
        <w:tc>
          <w:tcPr>
            <w:tcW w:w="3420" w:type="dxa"/>
            <w:tcBorders>
              <w:top w:val="single" w:color="auto" w:sz="4" w:space="0"/>
              <w:left w:val="single" w:color="auto" w:sz="4" w:space="0"/>
              <w:bottom w:val="single" w:color="auto" w:sz="4" w:space="0"/>
              <w:right w:val="single" w:color="auto" w:sz="4" w:space="0"/>
            </w:tcBorders>
            <w:noWrap w:val="0"/>
            <w:vAlign w:val="top"/>
          </w:tcPr>
          <w:p>
            <w:pPr>
              <w:snapToGrid w:val="0"/>
              <w:spacing w:line="360" w:lineRule="auto"/>
              <w:ind w:firstLine="420" w:firstLineChars="200"/>
              <w:jc w:val="left"/>
              <w:rPr>
                <w:rFonts w:ascii="宋体" w:hAnsi="宋体"/>
                <w:color w:val="auto"/>
                <w:szCs w:val="21"/>
                <w:highlight w:val="none"/>
              </w:rPr>
            </w:pPr>
          </w:p>
        </w:tc>
        <w:tc>
          <w:tcPr>
            <w:tcW w:w="1080" w:type="dxa"/>
            <w:tcBorders>
              <w:top w:val="single" w:color="auto" w:sz="4" w:space="0"/>
              <w:left w:val="single" w:color="auto" w:sz="4" w:space="0"/>
              <w:bottom w:val="single" w:color="auto" w:sz="4" w:space="0"/>
              <w:right w:val="single" w:color="auto" w:sz="4" w:space="0"/>
            </w:tcBorders>
            <w:noWrap w:val="0"/>
            <w:vAlign w:val="top"/>
          </w:tcPr>
          <w:p>
            <w:pPr>
              <w:snapToGrid w:val="0"/>
              <w:spacing w:line="360" w:lineRule="auto"/>
              <w:ind w:firstLine="420" w:firstLineChars="200"/>
              <w:jc w:val="left"/>
              <w:rPr>
                <w:rFonts w:ascii="宋体" w:hAnsi="宋体"/>
                <w:color w:val="auto"/>
                <w:szCs w:val="21"/>
                <w:highlight w:val="none"/>
              </w:rPr>
            </w:pPr>
          </w:p>
        </w:tc>
        <w:tc>
          <w:tcPr>
            <w:tcW w:w="1080" w:type="dxa"/>
            <w:tcBorders>
              <w:top w:val="single" w:color="auto" w:sz="4" w:space="0"/>
              <w:left w:val="single" w:color="auto" w:sz="4" w:space="0"/>
              <w:bottom w:val="single" w:color="auto" w:sz="4" w:space="0"/>
              <w:right w:val="single" w:color="auto" w:sz="4" w:space="0"/>
            </w:tcBorders>
            <w:noWrap w:val="0"/>
            <w:vAlign w:val="top"/>
          </w:tcPr>
          <w:p>
            <w:pPr>
              <w:snapToGrid w:val="0"/>
              <w:spacing w:line="360" w:lineRule="auto"/>
              <w:ind w:firstLine="420" w:firstLineChars="200"/>
              <w:jc w:val="left"/>
              <w:rPr>
                <w:rFonts w:ascii="宋体" w:hAnsi="宋体"/>
                <w:color w:val="auto"/>
                <w:szCs w:val="21"/>
                <w:highlight w:val="none"/>
              </w:rPr>
            </w:pPr>
          </w:p>
        </w:tc>
        <w:tc>
          <w:tcPr>
            <w:tcW w:w="1440" w:type="dxa"/>
            <w:tcBorders>
              <w:top w:val="single" w:color="auto" w:sz="4" w:space="0"/>
              <w:left w:val="single" w:color="auto" w:sz="4" w:space="0"/>
              <w:bottom w:val="single" w:color="auto" w:sz="4" w:space="0"/>
              <w:right w:val="single" w:color="auto" w:sz="4" w:space="0"/>
            </w:tcBorders>
            <w:noWrap w:val="0"/>
            <w:vAlign w:val="top"/>
          </w:tcPr>
          <w:p>
            <w:pPr>
              <w:snapToGrid w:val="0"/>
              <w:spacing w:line="360" w:lineRule="auto"/>
              <w:ind w:firstLine="420" w:firstLineChars="200"/>
              <w:jc w:val="left"/>
              <w:rPr>
                <w:rFonts w:ascii="宋体" w:hAnsi="宋体"/>
                <w:color w:val="auto"/>
                <w:szCs w:val="21"/>
                <w:highlight w:val="none"/>
              </w:rPr>
            </w:pPr>
          </w:p>
        </w:tc>
        <w:tc>
          <w:tcPr>
            <w:tcW w:w="1517" w:type="dxa"/>
            <w:tcBorders>
              <w:top w:val="single" w:color="auto" w:sz="4" w:space="0"/>
              <w:left w:val="single" w:color="auto" w:sz="4" w:space="0"/>
              <w:bottom w:val="single" w:color="auto" w:sz="4" w:space="0"/>
              <w:right w:val="single" w:color="auto" w:sz="4" w:space="0"/>
            </w:tcBorders>
            <w:noWrap w:val="0"/>
            <w:vAlign w:val="top"/>
          </w:tcPr>
          <w:p>
            <w:pPr>
              <w:snapToGrid w:val="0"/>
              <w:spacing w:line="360" w:lineRule="auto"/>
              <w:ind w:firstLine="420" w:firstLineChars="200"/>
              <w:jc w:val="left"/>
              <w:rPr>
                <w:rFonts w:ascii="宋体" w:hAnsi="宋体"/>
                <w:color w:val="auto"/>
                <w:szCs w:val="21"/>
                <w:highlight w:val="none"/>
              </w:rPr>
            </w:pPr>
          </w:p>
        </w:tc>
        <w:tc>
          <w:tcPr>
            <w:tcW w:w="3118" w:type="dxa"/>
            <w:tcBorders>
              <w:top w:val="single" w:color="auto" w:sz="4" w:space="0"/>
              <w:left w:val="single" w:color="auto" w:sz="4" w:space="0"/>
              <w:bottom w:val="single" w:color="auto" w:sz="4" w:space="0"/>
              <w:right w:val="single" w:color="auto" w:sz="4" w:space="0"/>
            </w:tcBorders>
            <w:noWrap w:val="0"/>
            <w:vAlign w:val="top"/>
          </w:tcPr>
          <w:p>
            <w:pPr>
              <w:snapToGrid w:val="0"/>
              <w:spacing w:line="360" w:lineRule="auto"/>
              <w:ind w:firstLine="420" w:firstLineChars="200"/>
              <w:jc w:val="left"/>
              <w:rPr>
                <w:rFonts w:ascii="宋体" w:hAnsi="宋体"/>
                <w:color w:val="auto"/>
                <w:szCs w:val="21"/>
                <w:highlight w:val="none"/>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2628" w:type="dxa"/>
            <w:tcBorders>
              <w:top w:val="single" w:color="auto" w:sz="4" w:space="0"/>
              <w:left w:val="single" w:color="auto" w:sz="4" w:space="0"/>
              <w:bottom w:val="single" w:color="auto" w:sz="4" w:space="0"/>
              <w:right w:val="single" w:color="auto" w:sz="4" w:space="0"/>
            </w:tcBorders>
            <w:noWrap w:val="0"/>
            <w:vAlign w:val="top"/>
          </w:tcPr>
          <w:p>
            <w:pPr>
              <w:snapToGrid w:val="0"/>
              <w:spacing w:line="360" w:lineRule="auto"/>
              <w:ind w:firstLine="420" w:firstLineChars="200"/>
              <w:jc w:val="left"/>
              <w:rPr>
                <w:rFonts w:ascii="宋体" w:hAnsi="宋体"/>
                <w:color w:val="auto"/>
                <w:szCs w:val="21"/>
                <w:highlight w:val="none"/>
              </w:rPr>
            </w:pPr>
          </w:p>
        </w:tc>
        <w:tc>
          <w:tcPr>
            <w:tcW w:w="3420" w:type="dxa"/>
            <w:tcBorders>
              <w:top w:val="single" w:color="auto" w:sz="4" w:space="0"/>
              <w:left w:val="single" w:color="auto" w:sz="4" w:space="0"/>
              <w:bottom w:val="single" w:color="auto" w:sz="4" w:space="0"/>
              <w:right w:val="single" w:color="auto" w:sz="4" w:space="0"/>
            </w:tcBorders>
            <w:noWrap w:val="0"/>
            <w:vAlign w:val="top"/>
          </w:tcPr>
          <w:p>
            <w:pPr>
              <w:snapToGrid w:val="0"/>
              <w:spacing w:line="360" w:lineRule="auto"/>
              <w:ind w:firstLine="420" w:firstLineChars="200"/>
              <w:jc w:val="left"/>
              <w:rPr>
                <w:rFonts w:ascii="宋体" w:hAnsi="宋体"/>
                <w:color w:val="auto"/>
                <w:szCs w:val="21"/>
                <w:highlight w:val="none"/>
              </w:rPr>
            </w:pPr>
          </w:p>
        </w:tc>
        <w:tc>
          <w:tcPr>
            <w:tcW w:w="1080" w:type="dxa"/>
            <w:tcBorders>
              <w:top w:val="single" w:color="auto" w:sz="4" w:space="0"/>
              <w:left w:val="single" w:color="auto" w:sz="4" w:space="0"/>
              <w:bottom w:val="single" w:color="auto" w:sz="4" w:space="0"/>
              <w:right w:val="single" w:color="auto" w:sz="4" w:space="0"/>
            </w:tcBorders>
            <w:noWrap w:val="0"/>
            <w:vAlign w:val="top"/>
          </w:tcPr>
          <w:p>
            <w:pPr>
              <w:snapToGrid w:val="0"/>
              <w:spacing w:line="360" w:lineRule="auto"/>
              <w:ind w:firstLine="420" w:firstLineChars="200"/>
              <w:jc w:val="left"/>
              <w:rPr>
                <w:rFonts w:ascii="宋体" w:hAnsi="宋体"/>
                <w:color w:val="auto"/>
                <w:szCs w:val="21"/>
                <w:highlight w:val="none"/>
              </w:rPr>
            </w:pPr>
          </w:p>
        </w:tc>
        <w:tc>
          <w:tcPr>
            <w:tcW w:w="1080" w:type="dxa"/>
            <w:tcBorders>
              <w:top w:val="single" w:color="auto" w:sz="4" w:space="0"/>
              <w:left w:val="single" w:color="auto" w:sz="4" w:space="0"/>
              <w:bottom w:val="single" w:color="auto" w:sz="4" w:space="0"/>
              <w:right w:val="single" w:color="auto" w:sz="4" w:space="0"/>
            </w:tcBorders>
            <w:noWrap w:val="0"/>
            <w:vAlign w:val="top"/>
          </w:tcPr>
          <w:p>
            <w:pPr>
              <w:snapToGrid w:val="0"/>
              <w:spacing w:line="360" w:lineRule="auto"/>
              <w:ind w:firstLine="420" w:firstLineChars="200"/>
              <w:jc w:val="left"/>
              <w:rPr>
                <w:rFonts w:ascii="宋体" w:hAnsi="宋体"/>
                <w:color w:val="auto"/>
                <w:szCs w:val="21"/>
                <w:highlight w:val="none"/>
              </w:rPr>
            </w:pPr>
          </w:p>
        </w:tc>
        <w:tc>
          <w:tcPr>
            <w:tcW w:w="1440" w:type="dxa"/>
            <w:tcBorders>
              <w:top w:val="single" w:color="auto" w:sz="4" w:space="0"/>
              <w:left w:val="single" w:color="auto" w:sz="4" w:space="0"/>
              <w:bottom w:val="single" w:color="auto" w:sz="4" w:space="0"/>
              <w:right w:val="single" w:color="auto" w:sz="4" w:space="0"/>
            </w:tcBorders>
            <w:noWrap w:val="0"/>
            <w:vAlign w:val="top"/>
          </w:tcPr>
          <w:p>
            <w:pPr>
              <w:snapToGrid w:val="0"/>
              <w:spacing w:line="360" w:lineRule="auto"/>
              <w:ind w:firstLine="420" w:firstLineChars="200"/>
              <w:jc w:val="left"/>
              <w:rPr>
                <w:rFonts w:ascii="宋体" w:hAnsi="宋体"/>
                <w:color w:val="auto"/>
                <w:szCs w:val="21"/>
                <w:highlight w:val="none"/>
              </w:rPr>
            </w:pPr>
          </w:p>
        </w:tc>
        <w:tc>
          <w:tcPr>
            <w:tcW w:w="1517" w:type="dxa"/>
            <w:tcBorders>
              <w:top w:val="single" w:color="auto" w:sz="4" w:space="0"/>
              <w:left w:val="single" w:color="auto" w:sz="4" w:space="0"/>
              <w:bottom w:val="single" w:color="auto" w:sz="4" w:space="0"/>
              <w:right w:val="single" w:color="auto" w:sz="4" w:space="0"/>
            </w:tcBorders>
            <w:noWrap w:val="0"/>
            <w:vAlign w:val="top"/>
          </w:tcPr>
          <w:p>
            <w:pPr>
              <w:snapToGrid w:val="0"/>
              <w:spacing w:line="360" w:lineRule="auto"/>
              <w:ind w:firstLine="420" w:firstLineChars="200"/>
              <w:jc w:val="left"/>
              <w:rPr>
                <w:rFonts w:ascii="宋体" w:hAnsi="宋体"/>
                <w:color w:val="auto"/>
                <w:szCs w:val="21"/>
                <w:highlight w:val="none"/>
              </w:rPr>
            </w:pPr>
          </w:p>
        </w:tc>
        <w:tc>
          <w:tcPr>
            <w:tcW w:w="3118" w:type="dxa"/>
            <w:tcBorders>
              <w:top w:val="single" w:color="auto" w:sz="4" w:space="0"/>
              <w:left w:val="single" w:color="auto" w:sz="4" w:space="0"/>
              <w:bottom w:val="single" w:color="auto" w:sz="4" w:space="0"/>
              <w:right w:val="single" w:color="auto" w:sz="4" w:space="0"/>
            </w:tcBorders>
            <w:noWrap w:val="0"/>
            <w:vAlign w:val="top"/>
          </w:tcPr>
          <w:p>
            <w:pPr>
              <w:snapToGrid w:val="0"/>
              <w:spacing w:line="360" w:lineRule="auto"/>
              <w:ind w:firstLine="420" w:firstLineChars="200"/>
              <w:jc w:val="left"/>
              <w:rPr>
                <w:rFonts w:ascii="宋体" w:hAnsi="宋体"/>
                <w:color w:val="auto"/>
                <w:szCs w:val="21"/>
                <w:highlight w:val="none"/>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710" w:hRule="atLeast"/>
        </w:trPr>
        <w:tc>
          <w:tcPr>
            <w:tcW w:w="2628" w:type="dxa"/>
            <w:tcBorders>
              <w:top w:val="single" w:color="auto" w:sz="4" w:space="0"/>
              <w:left w:val="single" w:color="auto" w:sz="4" w:space="0"/>
              <w:bottom w:val="single" w:color="auto" w:sz="4" w:space="0"/>
              <w:right w:val="single" w:color="auto" w:sz="4" w:space="0"/>
            </w:tcBorders>
            <w:noWrap w:val="0"/>
            <w:vAlign w:val="top"/>
          </w:tcPr>
          <w:p>
            <w:pPr>
              <w:snapToGrid w:val="0"/>
              <w:spacing w:line="360" w:lineRule="auto"/>
              <w:ind w:firstLine="420" w:firstLineChars="200"/>
              <w:jc w:val="left"/>
              <w:rPr>
                <w:rFonts w:ascii="宋体" w:hAnsi="宋体"/>
                <w:color w:val="auto"/>
                <w:szCs w:val="21"/>
                <w:highlight w:val="none"/>
              </w:rPr>
            </w:pPr>
          </w:p>
        </w:tc>
        <w:tc>
          <w:tcPr>
            <w:tcW w:w="3420" w:type="dxa"/>
            <w:tcBorders>
              <w:top w:val="single" w:color="auto" w:sz="4" w:space="0"/>
              <w:left w:val="single" w:color="auto" w:sz="4" w:space="0"/>
              <w:bottom w:val="single" w:color="auto" w:sz="4" w:space="0"/>
              <w:right w:val="single" w:color="auto" w:sz="4" w:space="0"/>
            </w:tcBorders>
            <w:noWrap w:val="0"/>
            <w:vAlign w:val="top"/>
          </w:tcPr>
          <w:p>
            <w:pPr>
              <w:snapToGrid w:val="0"/>
              <w:spacing w:line="360" w:lineRule="auto"/>
              <w:ind w:firstLine="420" w:firstLineChars="200"/>
              <w:jc w:val="left"/>
              <w:rPr>
                <w:rFonts w:ascii="宋体" w:hAnsi="宋体"/>
                <w:color w:val="auto"/>
                <w:szCs w:val="21"/>
                <w:highlight w:val="none"/>
              </w:rPr>
            </w:pPr>
          </w:p>
        </w:tc>
        <w:tc>
          <w:tcPr>
            <w:tcW w:w="1080" w:type="dxa"/>
            <w:tcBorders>
              <w:top w:val="single" w:color="auto" w:sz="4" w:space="0"/>
              <w:left w:val="single" w:color="auto" w:sz="4" w:space="0"/>
              <w:bottom w:val="single" w:color="auto" w:sz="4" w:space="0"/>
              <w:right w:val="single" w:color="auto" w:sz="4" w:space="0"/>
            </w:tcBorders>
            <w:noWrap w:val="0"/>
            <w:vAlign w:val="top"/>
          </w:tcPr>
          <w:p>
            <w:pPr>
              <w:snapToGrid w:val="0"/>
              <w:spacing w:line="360" w:lineRule="auto"/>
              <w:ind w:firstLine="420" w:firstLineChars="200"/>
              <w:jc w:val="left"/>
              <w:rPr>
                <w:rFonts w:ascii="宋体" w:hAnsi="宋体"/>
                <w:color w:val="auto"/>
                <w:szCs w:val="21"/>
                <w:highlight w:val="none"/>
              </w:rPr>
            </w:pPr>
          </w:p>
        </w:tc>
        <w:tc>
          <w:tcPr>
            <w:tcW w:w="1080" w:type="dxa"/>
            <w:tcBorders>
              <w:top w:val="single" w:color="auto" w:sz="4" w:space="0"/>
              <w:left w:val="single" w:color="auto" w:sz="4" w:space="0"/>
              <w:bottom w:val="single" w:color="auto" w:sz="4" w:space="0"/>
              <w:right w:val="single" w:color="auto" w:sz="4" w:space="0"/>
            </w:tcBorders>
            <w:noWrap w:val="0"/>
            <w:vAlign w:val="top"/>
          </w:tcPr>
          <w:p>
            <w:pPr>
              <w:snapToGrid w:val="0"/>
              <w:spacing w:line="360" w:lineRule="auto"/>
              <w:ind w:firstLine="420" w:firstLineChars="200"/>
              <w:jc w:val="left"/>
              <w:rPr>
                <w:rFonts w:ascii="宋体" w:hAnsi="宋体"/>
                <w:color w:val="auto"/>
                <w:szCs w:val="21"/>
                <w:highlight w:val="none"/>
              </w:rPr>
            </w:pPr>
          </w:p>
        </w:tc>
        <w:tc>
          <w:tcPr>
            <w:tcW w:w="1440" w:type="dxa"/>
            <w:tcBorders>
              <w:top w:val="single" w:color="auto" w:sz="4" w:space="0"/>
              <w:left w:val="single" w:color="auto" w:sz="4" w:space="0"/>
              <w:bottom w:val="single" w:color="auto" w:sz="4" w:space="0"/>
              <w:right w:val="single" w:color="auto" w:sz="4" w:space="0"/>
            </w:tcBorders>
            <w:noWrap w:val="0"/>
            <w:vAlign w:val="top"/>
          </w:tcPr>
          <w:p>
            <w:pPr>
              <w:snapToGrid w:val="0"/>
              <w:spacing w:line="360" w:lineRule="auto"/>
              <w:ind w:firstLine="420" w:firstLineChars="200"/>
              <w:jc w:val="left"/>
              <w:rPr>
                <w:rFonts w:ascii="宋体" w:hAnsi="宋体"/>
                <w:color w:val="auto"/>
                <w:szCs w:val="21"/>
                <w:highlight w:val="none"/>
              </w:rPr>
            </w:pPr>
          </w:p>
        </w:tc>
        <w:tc>
          <w:tcPr>
            <w:tcW w:w="1517" w:type="dxa"/>
            <w:tcBorders>
              <w:top w:val="single" w:color="auto" w:sz="4" w:space="0"/>
              <w:left w:val="single" w:color="auto" w:sz="4" w:space="0"/>
              <w:bottom w:val="single" w:color="auto" w:sz="4" w:space="0"/>
              <w:right w:val="single" w:color="auto" w:sz="4" w:space="0"/>
            </w:tcBorders>
            <w:noWrap w:val="0"/>
            <w:vAlign w:val="top"/>
          </w:tcPr>
          <w:p>
            <w:pPr>
              <w:snapToGrid w:val="0"/>
              <w:spacing w:line="360" w:lineRule="auto"/>
              <w:ind w:firstLine="420" w:firstLineChars="200"/>
              <w:jc w:val="left"/>
              <w:rPr>
                <w:rFonts w:ascii="宋体" w:hAnsi="宋体"/>
                <w:color w:val="auto"/>
                <w:szCs w:val="21"/>
                <w:highlight w:val="none"/>
              </w:rPr>
            </w:pPr>
          </w:p>
        </w:tc>
        <w:tc>
          <w:tcPr>
            <w:tcW w:w="3118" w:type="dxa"/>
            <w:tcBorders>
              <w:top w:val="single" w:color="auto" w:sz="4" w:space="0"/>
              <w:left w:val="single" w:color="auto" w:sz="4" w:space="0"/>
              <w:bottom w:val="single" w:color="auto" w:sz="4" w:space="0"/>
              <w:right w:val="single" w:color="auto" w:sz="4" w:space="0"/>
            </w:tcBorders>
            <w:noWrap w:val="0"/>
            <w:vAlign w:val="top"/>
          </w:tcPr>
          <w:p>
            <w:pPr>
              <w:snapToGrid w:val="0"/>
              <w:spacing w:line="360" w:lineRule="auto"/>
              <w:ind w:firstLine="420" w:firstLineChars="200"/>
              <w:jc w:val="left"/>
              <w:rPr>
                <w:rFonts w:ascii="宋体" w:hAnsi="宋体"/>
                <w:color w:val="auto"/>
                <w:szCs w:val="21"/>
                <w:highlight w:val="none"/>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2628" w:type="dxa"/>
            <w:tcBorders>
              <w:top w:val="single" w:color="auto" w:sz="4" w:space="0"/>
              <w:left w:val="single" w:color="auto" w:sz="4" w:space="0"/>
              <w:bottom w:val="single" w:color="auto" w:sz="4" w:space="0"/>
              <w:right w:val="single" w:color="auto" w:sz="4" w:space="0"/>
            </w:tcBorders>
            <w:noWrap w:val="0"/>
            <w:vAlign w:val="top"/>
          </w:tcPr>
          <w:p>
            <w:pPr>
              <w:snapToGrid w:val="0"/>
              <w:spacing w:line="360" w:lineRule="auto"/>
              <w:ind w:firstLine="420" w:firstLineChars="200"/>
              <w:jc w:val="left"/>
              <w:rPr>
                <w:rFonts w:ascii="宋体" w:hAnsi="宋体"/>
                <w:color w:val="auto"/>
                <w:szCs w:val="21"/>
                <w:highlight w:val="none"/>
              </w:rPr>
            </w:pPr>
          </w:p>
        </w:tc>
        <w:tc>
          <w:tcPr>
            <w:tcW w:w="3420" w:type="dxa"/>
            <w:tcBorders>
              <w:top w:val="single" w:color="auto" w:sz="4" w:space="0"/>
              <w:left w:val="single" w:color="auto" w:sz="4" w:space="0"/>
              <w:bottom w:val="single" w:color="auto" w:sz="4" w:space="0"/>
              <w:right w:val="single" w:color="auto" w:sz="4" w:space="0"/>
            </w:tcBorders>
            <w:noWrap w:val="0"/>
            <w:vAlign w:val="top"/>
          </w:tcPr>
          <w:p>
            <w:pPr>
              <w:snapToGrid w:val="0"/>
              <w:spacing w:line="360" w:lineRule="auto"/>
              <w:ind w:firstLine="420" w:firstLineChars="200"/>
              <w:jc w:val="left"/>
              <w:rPr>
                <w:rFonts w:ascii="宋体" w:hAnsi="宋体"/>
                <w:color w:val="auto"/>
                <w:szCs w:val="21"/>
                <w:highlight w:val="none"/>
              </w:rPr>
            </w:pPr>
          </w:p>
        </w:tc>
        <w:tc>
          <w:tcPr>
            <w:tcW w:w="1080" w:type="dxa"/>
            <w:tcBorders>
              <w:top w:val="single" w:color="auto" w:sz="4" w:space="0"/>
              <w:left w:val="single" w:color="auto" w:sz="4" w:space="0"/>
              <w:bottom w:val="single" w:color="auto" w:sz="4" w:space="0"/>
              <w:right w:val="single" w:color="auto" w:sz="4" w:space="0"/>
            </w:tcBorders>
            <w:noWrap w:val="0"/>
            <w:vAlign w:val="top"/>
          </w:tcPr>
          <w:p>
            <w:pPr>
              <w:snapToGrid w:val="0"/>
              <w:spacing w:line="360" w:lineRule="auto"/>
              <w:ind w:firstLine="420" w:firstLineChars="200"/>
              <w:jc w:val="left"/>
              <w:rPr>
                <w:rFonts w:ascii="宋体" w:hAnsi="宋体"/>
                <w:color w:val="auto"/>
                <w:szCs w:val="21"/>
                <w:highlight w:val="none"/>
              </w:rPr>
            </w:pPr>
          </w:p>
        </w:tc>
        <w:tc>
          <w:tcPr>
            <w:tcW w:w="1080" w:type="dxa"/>
            <w:tcBorders>
              <w:top w:val="single" w:color="auto" w:sz="4" w:space="0"/>
              <w:left w:val="single" w:color="auto" w:sz="4" w:space="0"/>
              <w:bottom w:val="single" w:color="auto" w:sz="4" w:space="0"/>
              <w:right w:val="single" w:color="auto" w:sz="4" w:space="0"/>
            </w:tcBorders>
            <w:noWrap w:val="0"/>
            <w:vAlign w:val="top"/>
          </w:tcPr>
          <w:p>
            <w:pPr>
              <w:snapToGrid w:val="0"/>
              <w:spacing w:line="360" w:lineRule="auto"/>
              <w:ind w:firstLine="420" w:firstLineChars="200"/>
              <w:jc w:val="left"/>
              <w:rPr>
                <w:rFonts w:ascii="宋体" w:hAnsi="宋体"/>
                <w:color w:val="auto"/>
                <w:szCs w:val="21"/>
                <w:highlight w:val="none"/>
              </w:rPr>
            </w:pPr>
          </w:p>
        </w:tc>
        <w:tc>
          <w:tcPr>
            <w:tcW w:w="1440" w:type="dxa"/>
            <w:tcBorders>
              <w:top w:val="single" w:color="auto" w:sz="4" w:space="0"/>
              <w:left w:val="single" w:color="auto" w:sz="4" w:space="0"/>
              <w:bottom w:val="single" w:color="auto" w:sz="4" w:space="0"/>
              <w:right w:val="single" w:color="auto" w:sz="4" w:space="0"/>
            </w:tcBorders>
            <w:noWrap w:val="0"/>
            <w:vAlign w:val="top"/>
          </w:tcPr>
          <w:p>
            <w:pPr>
              <w:snapToGrid w:val="0"/>
              <w:spacing w:line="360" w:lineRule="auto"/>
              <w:ind w:firstLine="420" w:firstLineChars="200"/>
              <w:jc w:val="left"/>
              <w:rPr>
                <w:rFonts w:ascii="宋体" w:hAnsi="宋体"/>
                <w:color w:val="auto"/>
                <w:szCs w:val="21"/>
                <w:highlight w:val="none"/>
              </w:rPr>
            </w:pPr>
          </w:p>
        </w:tc>
        <w:tc>
          <w:tcPr>
            <w:tcW w:w="1517" w:type="dxa"/>
            <w:tcBorders>
              <w:top w:val="single" w:color="auto" w:sz="4" w:space="0"/>
              <w:left w:val="single" w:color="auto" w:sz="4" w:space="0"/>
              <w:bottom w:val="single" w:color="auto" w:sz="4" w:space="0"/>
              <w:right w:val="single" w:color="auto" w:sz="4" w:space="0"/>
            </w:tcBorders>
            <w:noWrap w:val="0"/>
            <w:vAlign w:val="top"/>
          </w:tcPr>
          <w:p>
            <w:pPr>
              <w:snapToGrid w:val="0"/>
              <w:spacing w:line="360" w:lineRule="auto"/>
              <w:ind w:firstLine="420" w:firstLineChars="200"/>
              <w:jc w:val="left"/>
              <w:rPr>
                <w:rFonts w:ascii="宋体" w:hAnsi="宋体"/>
                <w:color w:val="auto"/>
                <w:szCs w:val="21"/>
                <w:highlight w:val="none"/>
              </w:rPr>
            </w:pPr>
          </w:p>
        </w:tc>
        <w:tc>
          <w:tcPr>
            <w:tcW w:w="3118" w:type="dxa"/>
            <w:tcBorders>
              <w:top w:val="single" w:color="auto" w:sz="4" w:space="0"/>
              <w:left w:val="single" w:color="auto" w:sz="4" w:space="0"/>
              <w:bottom w:val="single" w:color="auto" w:sz="4" w:space="0"/>
              <w:right w:val="single" w:color="auto" w:sz="4" w:space="0"/>
            </w:tcBorders>
            <w:noWrap w:val="0"/>
            <w:vAlign w:val="top"/>
          </w:tcPr>
          <w:p>
            <w:pPr>
              <w:snapToGrid w:val="0"/>
              <w:spacing w:line="360" w:lineRule="auto"/>
              <w:ind w:firstLine="420" w:firstLineChars="200"/>
              <w:jc w:val="left"/>
              <w:rPr>
                <w:rFonts w:ascii="宋体" w:hAnsi="宋体"/>
                <w:color w:val="auto"/>
                <w:szCs w:val="21"/>
                <w:highlight w:val="none"/>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2628" w:type="dxa"/>
            <w:tcBorders>
              <w:top w:val="single" w:color="auto" w:sz="4" w:space="0"/>
              <w:left w:val="single" w:color="auto" w:sz="4" w:space="0"/>
              <w:bottom w:val="single" w:color="auto" w:sz="4" w:space="0"/>
              <w:right w:val="single" w:color="auto" w:sz="4" w:space="0"/>
            </w:tcBorders>
            <w:noWrap w:val="0"/>
            <w:vAlign w:val="top"/>
          </w:tcPr>
          <w:p>
            <w:pPr>
              <w:snapToGrid w:val="0"/>
              <w:spacing w:line="360" w:lineRule="auto"/>
              <w:ind w:firstLine="420" w:firstLineChars="200"/>
              <w:jc w:val="left"/>
              <w:rPr>
                <w:rFonts w:ascii="宋体" w:hAnsi="宋体"/>
                <w:color w:val="auto"/>
                <w:szCs w:val="21"/>
                <w:highlight w:val="none"/>
              </w:rPr>
            </w:pPr>
          </w:p>
        </w:tc>
        <w:tc>
          <w:tcPr>
            <w:tcW w:w="3420" w:type="dxa"/>
            <w:tcBorders>
              <w:top w:val="single" w:color="auto" w:sz="4" w:space="0"/>
              <w:left w:val="single" w:color="auto" w:sz="4" w:space="0"/>
              <w:bottom w:val="single" w:color="auto" w:sz="4" w:space="0"/>
              <w:right w:val="single" w:color="auto" w:sz="4" w:space="0"/>
            </w:tcBorders>
            <w:noWrap w:val="0"/>
            <w:vAlign w:val="top"/>
          </w:tcPr>
          <w:p>
            <w:pPr>
              <w:snapToGrid w:val="0"/>
              <w:spacing w:line="360" w:lineRule="auto"/>
              <w:ind w:firstLine="420" w:firstLineChars="200"/>
              <w:jc w:val="left"/>
              <w:rPr>
                <w:rFonts w:ascii="宋体" w:hAnsi="宋体"/>
                <w:color w:val="auto"/>
                <w:szCs w:val="21"/>
                <w:highlight w:val="none"/>
              </w:rPr>
            </w:pPr>
          </w:p>
        </w:tc>
        <w:tc>
          <w:tcPr>
            <w:tcW w:w="1080" w:type="dxa"/>
            <w:tcBorders>
              <w:top w:val="single" w:color="auto" w:sz="4" w:space="0"/>
              <w:left w:val="single" w:color="auto" w:sz="4" w:space="0"/>
              <w:bottom w:val="single" w:color="auto" w:sz="4" w:space="0"/>
              <w:right w:val="single" w:color="auto" w:sz="4" w:space="0"/>
            </w:tcBorders>
            <w:noWrap w:val="0"/>
            <w:vAlign w:val="top"/>
          </w:tcPr>
          <w:p>
            <w:pPr>
              <w:snapToGrid w:val="0"/>
              <w:spacing w:line="360" w:lineRule="auto"/>
              <w:ind w:firstLine="420" w:firstLineChars="200"/>
              <w:jc w:val="left"/>
              <w:rPr>
                <w:rFonts w:ascii="宋体" w:hAnsi="宋体"/>
                <w:color w:val="auto"/>
                <w:szCs w:val="21"/>
                <w:highlight w:val="none"/>
              </w:rPr>
            </w:pPr>
          </w:p>
        </w:tc>
        <w:tc>
          <w:tcPr>
            <w:tcW w:w="1080" w:type="dxa"/>
            <w:tcBorders>
              <w:top w:val="single" w:color="auto" w:sz="4" w:space="0"/>
              <w:left w:val="single" w:color="auto" w:sz="4" w:space="0"/>
              <w:bottom w:val="single" w:color="auto" w:sz="4" w:space="0"/>
              <w:right w:val="single" w:color="auto" w:sz="4" w:space="0"/>
            </w:tcBorders>
            <w:noWrap w:val="0"/>
            <w:vAlign w:val="top"/>
          </w:tcPr>
          <w:p>
            <w:pPr>
              <w:snapToGrid w:val="0"/>
              <w:spacing w:line="360" w:lineRule="auto"/>
              <w:ind w:firstLine="420" w:firstLineChars="200"/>
              <w:jc w:val="left"/>
              <w:rPr>
                <w:rFonts w:ascii="宋体" w:hAnsi="宋体"/>
                <w:color w:val="auto"/>
                <w:szCs w:val="21"/>
                <w:highlight w:val="none"/>
              </w:rPr>
            </w:pPr>
          </w:p>
        </w:tc>
        <w:tc>
          <w:tcPr>
            <w:tcW w:w="1440" w:type="dxa"/>
            <w:tcBorders>
              <w:top w:val="single" w:color="auto" w:sz="4" w:space="0"/>
              <w:left w:val="single" w:color="auto" w:sz="4" w:space="0"/>
              <w:bottom w:val="single" w:color="auto" w:sz="4" w:space="0"/>
              <w:right w:val="single" w:color="auto" w:sz="4" w:space="0"/>
            </w:tcBorders>
            <w:noWrap w:val="0"/>
            <w:vAlign w:val="top"/>
          </w:tcPr>
          <w:p>
            <w:pPr>
              <w:snapToGrid w:val="0"/>
              <w:spacing w:line="360" w:lineRule="auto"/>
              <w:ind w:firstLine="420" w:firstLineChars="200"/>
              <w:jc w:val="left"/>
              <w:rPr>
                <w:rFonts w:ascii="宋体" w:hAnsi="宋体"/>
                <w:color w:val="auto"/>
                <w:szCs w:val="21"/>
                <w:highlight w:val="none"/>
              </w:rPr>
            </w:pPr>
          </w:p>
        </w:tc>
        <w:tc>
          <w:tcPr>
            <w:tcW w:w="1517" w:type="dxa"/>
            <w:tcBorders>
              <w:top w:val="single" w:color="auto" w:sz="4" w:space="0"/>
              <w:left w:val="single" w:color="auto" w:sz="4" w:space="0"/>
              <w:bottom w:val="single" w:color="auto" w:sz="4" w:space="0"/>
              <w:right w:val="single" w:color="auto" w:sz="4" w:space="0"/>
            </w:tcBorders>
            <w:noWrap w:val="0"/>
            <w:vAlign w:val="top"/>
          </w:tcPr>
          <w:p>
            <w:pPr>
              <w:snapToGrid w:val="0"/>
              <w:spacing w:line="360" w:lineRule="auto"/>
              <w:ind w:firstLine="420" w:firstLineChars="200"/>
              <w:jc w:val="left"/>
              <w:rPr>
                <w:rFonts w:ascii="宋体" w:hAnsi="宋体"/>
                <w:color w:val="auto"/>
                <w:szCs w:val="21"/>
                <w:highlight w:val="none"/>
              </w:rPr>
            </w:pPr>
          </w:p>
        </w:tc>
        <w:tc>
          <w:tcPr>
            <w:tcW w:w="3118" w:type="dxa"/>
            <w:tcBorders>
              <w:top w:val="single" w:color="auto" w:sz="4" w:space="0"/>
              <w:left w:val="single" w:color="auto" w:sz="4" w:space="0"/>
              <w:bottom w:val="single" w:color="auto" w:sz="4" w:space="0"/>
              <w:right w:val="single" w:color="auto" w:sz="4" w:space="0"/>
            </w:tcBorders>
            <w:noWrap w:val="0"/>
            <w:vAlign w:val="top"/>
          </w:tcPr>
          <w:p>
            <w:pPr>
              <w:snapToGrid w:val="0"/>
              <w:spacing w:line="360" w:lineRule="auto"/>
              <w:ind w:firstLine="420" w:firstLineChars="200"/>
              <w:jc w:val="left"/>
              <w:rPr>
                <w:rFonts w:ascii="宋体" w:hAnsi="宋体"/>
                <w:color w:val="auto"/>
                <w:szCs w:val="21"/>
                <w:highlight w:val="none"/>
              </w:rPr>
            </w:pPr>
          </w:p>
        </w:tc>
      </w:tr>
    </w:tbl>
    <w:p>
      <w:pPr>
        <w:snapToGrid w:val="0"/>
        <w:spacing w:line="360" w:lineRule="auto"/>
        <w:ind w:firstLine="420" w:firstLineChars="200"/>
        <w:jc w:val="left"/>
        <w:rPr>
          <w:rFonts w:hint="eastAsia" w:ascii="宋体" w:hAnsi="宋体"/>
          <w:color w:val="auto"/>
          <w:szCs w:val="21"/>
          <w:highlight w:val="none"/>
          <w:lang w:eastAsia="zh-CN"/>
        </w:rPr>
      </w:pPr>
    </w:p>
    <w:p>
      <w:pPr>
        <w:snapToGrid w:val="0"/>
        <w:spacing w:line="360" w:lineRule="auto"/>
        <w:ind w:firstLine="420" w:firstLineChars="200"/>
        <w:jc w:val="left"/>
        <w:rPr>
          <w:rFonts w:hint="eastAsia" w:ascii="宋体" w:hAnsi="宋体"/>
          <w:color w:val="auto"/>
          <w:szCs w:val="21"/>
          <w:highlight w:val="none"/>
          <w:lang w:eastAsia="zh-CN"/>
        </w:rPr>
      </w:pPr>
    </w:p>
    <w:p>
      <w:pPr>
        <w:pStyle w:val="29"/>
        <w:spacing w:line="360" w:lineRule="auto"/>
        <w:ind w:firstLine="420" w:firstLineChars="200"/>
        <w:jc w:val="left"/>
        <w:rPr>
          <w:rFonts w:hAnsi="宋体"/>
          <w:color w:val="auto"/>
          <w:szCs w:val="21"/>
          <w:highlight w:val="none"/>
        </w:rPr>
      </w:pPr>
      <w:r>
        <w:rPr>
          <w:rFonts w:hint="eastAsia" w:hAnsi="宋体"/>
          <w:color w:val="auto"/>
          <w:szCs w:val="21"/>
          <w:highlight w:val="none"/>
        </w:rPr>
        <w:t>被授权人签字（或盖章）：</w:t>
      </w:r>
    </w:p>
    <w:p>
      <w:pPr>
        <w:adjustRightInd w:val="0"/>
        <w:spacing w:line="360" w:lineRule="auto"/>
        <w:ind w:right="480" w:firstLine="420" w:firstLineChars="200"/>
        <w:textAlignment w:val="baseline"/>
        <w:rPr>
          <w:rFonts w:ascii="宋体" w:hAnsi="宋体"/>
          <w:color w:val="auto"/>
          <w:szCs w:val="21"/>
          <w:highlight w:val="none"/>
        </w:rPr>
      </w:pPr>
      <w:r>
        <w:rPr>
          <w:rFonts w:hint="eastAsia" w:ascii="宋体" w:hAnsi="宋体"/>
          <w:color w:val="auto"/>
          <w:szCs w:val="21"/>
          <w:highlight w:val="none"/>
          <w:lang w:eastAsia="zh-CN"/>
        </w:rPr>
        <w:t>供应商</w:t>
      </w:r>
      <w:r>
        <w:rPr>
          <w:rFonts w:hint="eastAsia" w:ascii="宋体" w:hAnsi="宋体"/>
          <w:color w:val="auto"/>
          <w:szCs w:val="21"/>
          <w:highlight w:val="none"/>
        </w:rPr>
        <w:t>公章：                   年  月  日</w:t>
      </w:r>
    </w:p>
    <w:p>
      <w:pPr>
        <w:snapToGrid w:val="0"/>
        <w:spacing w:line="360" w:lineRule="auto"/>
        <w:ind w:firstLine="420" w:firstLineChars="200"/>
        <w:jc w:val="left"/>
        <w:rPr>
          <w:rFonts w:ascii="宋体" w:hAnsi="宋体"/>
          <w:color w:val="auto"/>
          <w:szCs w:val="21"/>
          <w:highlight w:val="none"/>
        </w:rPr>
      </w:pPr>
    </w:p>
    <w:p>
      <w:pPr>
        <w:snapToGrid w:val="0"/>
        <w:spacing w:line="360" w:lineRule="auto"/>
        <w:ind w:firstLine="420" w:firstLineChars="200"/>
        <w:jc w:val="left"/>
        <w:rPr>
          <w:rFonts w:ascii="宋体" w:hAnsi="宋体"/>
          <w:color w:val="auto"/>
          <w:szCs w:val="21"/>
          <w:highlight w:val="none"/>
        </w:rPr>
        <w:sectPr>
          <w:pgSz w:w="16838" w:h="11906" w:orient="landscape"/>
          <w:pgMar w:top="1797" w:right="1474" w:bottom="1797" w:left="1247" w:header="851" w:footer="851" w:gutter="0"/>
          <w:cols w:space="720" w:num="1"/>
          <w:docGrid w:linePitch="312" w:charSpace="0"/>
        </w:sectPr>
      </w:pPr>
    </w:p>
    <w:p>
      <w:pPr>
        <w:snapToGrid w:val="0"/>
        <w:spacing w:line="360" w:lineRule="auto"/>
        <w:ind w:firstLine="420" w:firstLineChars="200"/>
        <w:jc w:val="left"/>
        <w:rPr>
          <w:rFonts w:ascii="宋体" w:hAnsi="宋体"/>
          <w:color w:val="auto"/>
          <w:szCs w:val="21"/>
          <w:highlight w:val="none"/>
        </w:rPr>
      </w:pPr>
      <w:r>
        <w:rPr>
          <w:rFonts w:hint="eastAsia" w:ascii="宋体" w:hAnsi="宋体"/>
          <w:color w:val="auto"/>
          <w:szCs w:val="21"/>
          <w:highlight w:val="none"/>
        </w:rPr>
        <w:t>商务响应表格式：</w:t>
      </w:r>
    </w:p>
    <w:tbl>
      <w:tblPr>
        <w:tblStyle w:val="54"/>
        <w:tblW w:w="8565" w:type="dxa"/>
        <w:tblInd w:w="0" w:type="dxa"/>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2376"/>
        <w:gridCol w:w="1891"/>
        <w:gridCol w:w="1653"/>
        <w:gridCol w:w="2645"/>
      </w:tblGrid>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837" w:hRule="atLeast"/>
        </w:trPr>
        <w:tc>
          <w:tcPr>
            <w:tcW w:w="2376" w:type="dxa"/>
            <w:tcBorders>
              <w:top w:val="single" w:color="auto" w:sz="4" w:space="0"/>
              <w:left w:val="single" w:color="auto" w:sz="4" w:space="0"/>
              <w:bottom w:val="single" w:color="auto" w:sz="4" w:space="0"/>
              <w:right w:val="single" w:color="auto" w:sz="4" w:space="0"/>
            </w:tcBorders>
            <w:noWrap w:val="0"/>
            <w:vAlign w:val="top"/>
          </w:tcPr>
          <w:p>
            <w:pPr>
              <w:snapToGrid w:val="0"/>
              <w:spacing w:line="360" w:lineRule="auto"/>
              <w:jc w:val="left"/>
              <w:rPr>
                <w:rFonts w:ascii="宋体" w:hAnsi="宋体"/>
                <w:color w:val="auto"/>
                <w:szCs w:val="21"/>
                <w:highlight w:val="none"/>
              </w:rPr>
            </w:pPr>
            <w:r>
              <w:rPr>
                <w:rFonts w:hint="eastAsia" w:ascii="宋体" w:hAnsi="宋体"/>
                <w:color w:val="auto"/>
                <w:szCs w:val="21"/>
                <w:highlight w:val="none"/>
              </w:rPr>
              <w:t>项目</w:t>
            </w:r>
          </w:p>
        </w:tc>
        <w:tc>
          <w:tcPr>
            <w:tcW w:w="1891" w:type="dxa"/>
            <w:tcBorders>
              <w:top w:val="single" w:color="auto" w:sz="4" w:space="0"/>
              <w:left w:val="single" w:color="auto" w:sz="4" w:space="0"/>
              <w:bottom w:val="single" w:color="auto" w:sz="4" w:space="0"/>
              <w:right w:val="single" w:color="auto" w:sz="4" w:space="0"/>
            </w:tcBorders>
            <w:noWrap w:val="0"/>
            <w:vAlign w:val="top"/>
          </w:tcPr>
          <w:p>
            <w:pPr>
              <w:snapToGrid w:val="0"/>
              <w:spacing w:line="360" w:lineRule="auto"/>
              <w:jc w:val="left"/>
              <w:rPr>
                <w:rFonts w:ascii="宋体" w:hAnsi="宋体"/>
                <w:color w:val="auto"/>
                <w:szCs w:val="21"/>
                <w:highlight w:val="none"/>
              </w:rPr>
            </w:pPr>
            <w:r>
              <w:rPr>
                <w:rFonts w:hint="eastAsia" w:ascii="宋体" w:hAnsi="宋体"/>
                <w:color w:val="auto"/>
                <w:szCs w:val="21"/>
                <w:highlight w:val="none"/>
                <w:lang w:val="en-US" w:eastAsia="zh-CN"/>
              </w:rPr>
              <w:t>采购</w:t>
            </w:r>
            <w:r>
              <w:rPr>
                <w:rFonts w:hint="eastAsia" w:ascii="宋体" w:hAnsi="宋体"/>
                <w:color w:val="auto"/>
                <w:szCs w:val="21"/>
                <w:highlight w:val="none"/>
              </w:rPr>
              <w:t>文件要求</w:t>
            </w:r>
          </w:p>
        </w:tc>
        <w:tc>
          <w:tcPr>
            <w:tcW w:w="1653" w:type="dxa"/>
            <w:tcBorders>
              <w:top w:val="single" w:color="auto" w:sz="4" w:space="0"/>
              <w:left w:val="single" w:color="auto" w:sz="4" w:space="0"/>
              <w:bottom w:val="single" w:color="auto" w:sz="4" w:space="0"/>
              <w:right w:val="single" w:color="auto" w:sz="4" w:space="0"/>
            </w:tcBorders>
            <w:noWrap w:val="0"/>
            <w:vAlign w:val="top"/>
          </w:tcPr>
          <w:p>
            <w:pPr>
              <w:snapToGrid w:val="0"/>
              <w:spacing w:line="360" w:lineRule="auto"/>
              <w:jc w:val="left"/>
              <w:rPr>
                <w:rFonts w:ascii="宋体" w:hAnsi="宋体"/>
                <w:color w:val="auto"/>
                <w:szCs w:val="21"/>
                <w:highlight w:val="none"/>
              </w:rPr>
            </w:pPr>
            <w:r>
              <w:rPr>
                <w:rFonts w:hint="eastAsia" w:ascii="宋体" w:hAnsi="宋体"/>
                <w:color w:val="auto"/>
                <w:szCs w:val="21"/>
                <w:highlight w:val="none"/>
              </w:rPr>
              <w:t>是否响应</w:t>
            </w:r>
          </w:p>
        </w:tc>
        <w:tc>
          <w:tcPr>
            <w:tcW w:w="2645" w:type="dxa"/>
            <w:tcBorders>
              <w:top w:val="single" w:color="auto" w:sz="4" w:space="0"/>
              <w:left w:val="single" w:color="auto" w:sz="4" w:space="0"/>
              <w:bottom w:val="single" w:color="auto" w:sz="4" w:space="0"/>
              <w:right w:val="single" w:color="auto" w:sz="4" w:space="0"/>
            </w:tcBorders>
            <w:noWrap w:val="0"/>
            <w:vAlign w:val="top"/>
          </w:tcPr>
          <w:p>
            <w:pPr>
              <w:snapToGrid w:val="0"/>
              <w:spacing w:line="360" w:lineRule="auto"/>
              <w:jc w:val="left"/>
              <w:rPr>
                <w:rFonts w:ascii="宋体" w:hAnsi="宋体"/>
                <w:color w:val="auto"/>
                <w:szCs w:val="21"/>
                <w:highlight w:val="none"/>
              </w:rPr>
            </w:pPr>
            <w:r>
              <w:rPr>
                <w:rFonts w:hint="eastAsia" w:ascii="宋体" w:hAnsi="宋体"/>
                <w:color w:val="auto"/>
                <w:szCs w:val="21"/>
                <w:highlight w:val="none"/>
                <w:lang w:eastAsia="zh-CN"/>
              </w:rPr>
              <w:t>供应商</w:t>
            </w:r>
            <w:r>
              <w:rPr>
                <w:rFonts w:hint="eastAsia" w:ascii="宋体" w:hAnsi="宋体"/>
                <w:color w:val="auto"/>
                <w:szCs w:val="21"/>
                <w:highlight w:val="none"/>
              </w:rPr>
              <w:t>的承诺或说明</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380" w:hRule="atLeast"/>
        </w:trPr>
        <w:tc>
          <w:tcPr>
            <w:tcW w:w="2376" w:type="dxa"/>
            <w:tcBorders>
              <w:top w:val="single" w:color="auto" w:sz="4" w:space="0"/>
              <w:left w:val="single" w:color="auto" w:sz="4" w:space="0"/>
              <w:bottom w:val="single" w:color="auto" w:sz="4" w:space="0"/>
              <w:right w:val="single" w:color="auto" w:sz="4" w:space="0"/>
            </w:tcBorders>
            <w:noWrap w:val="0"/>
            <w:vAlign w:val="center"/>
          </w:tcPr>
          <w:p>
            <w:pPr>
              <w:widowControl/>
              <w:overflowPunct w:val="0"/>
              <w:autoSpaceDE w:val="0"/>
              <w:autoSpaceDN w:val="0"/>
              <w:adjustRightInd w:val="0"/>
              <w:spacing w:line="360" w:lineRule="auto"/>
              <w:jc w:val="center"/>
              <w:textAlignment w:val="baseline"/>
              <w:rPr>
                <w:rFonts w:ascii="宋体" w:hAnsi="宋体"/>
                <w:color w:val="auto"/>
                <w:szCs w:val="21"/>
                <w:highlight w:val="none"/>
              </w:rPr>
            </w:pPr>
          </w:p>
        </w:tc>
        <w:tc>
          <w:tcPr>
            <w:tcW w:w="1891" w:type="dxa"/>
            <w:tcBorders>
              <w:top w:val="single" w:color="auto" w:sz="4" w:space="0"/>
              <w:left w:val="single" w:color="auto" w:sz="4" w:space="0"/>
              <w:bottom w:val="single" w:color="auto" w:sz="4" w:space="0"/>
              <w:right w:val="single" w:color="auto" w:sz="4" w:space="0"/>
            </w:tcBorders>
            <w:noWrap w:val="0"/>
            <w:vAlign w:val="top"/>
          </w:tcPr>
          <w:p>
            <w:pPr>
              <w:snapToGrid w:val="0"/>
              <w:spacing w:line="360" w:lineRule="auto"/>
              <w:ind w:firstLine="420" w:firstLineChars="200"/>
              <w:jc w:val="left"/>
              <w:rPr>
                <w:rFonts w:ascii="宋体" w:hAnsi="宋体"/>
                <w:color w:val="auto"/>
                <w:szCs w:val="21"/>
                <w:highlight w:val="none"/>
              </w:rPr>
            </w:pPr>
          </w:p>
        </w:tc>
        <w:tc>
          <w:tcPr>
            <w:tcW w:w="1653" w:type="dxa"/>
            <w:tcBorders>
              <w:top w:val="single" w:color="auto" w:sz="4" w:space="0"/>
              <w:left w:val="single" w:color="auto" w:sz="4" w:space="0"/>
              <w:bottom w:val="single" w:color="auto" w:sz="4" w:space="0"/>
              <w:right w:val="single" w:color="auto" w:sz="4" w:space="0"/>
            </w:tcBorders>
            <w:noWrap w:val="0"/>
            <w:vAlign w:val="top"/>
          </w:tcPr>
          <w:p>
            <w:pPr>
              <w:snapToGrid w:val="0"/>
              <w:spacing w:line="360" w:lineRule="auto"/>
              <w:ind w:firstLine="420" w:firstLineChars="200"/>
              <w:jc w:val="left"/>
              <w:rPr>
                <w:rFonts w:ascii="宋体" w:hAnsi="宋体"/>
                <w:color w:val="auto"/>
                <w:szCs w:val="21"/>
                <w:highlight w:val="none"/>
              </w:rPr>
            </w:pPr>
          </w:p>
        </w:tc>
        <w:tc>
          <w:tcPr>
            <w:tcW w:w="2645" w:type="dxa"/>
            <w:tcBorders>
              <w:top w:val="single" w:color="auto" w:sz="4" w:space="0"/>
              <w:left w:val="single" w:color="auto" w:sz="4" w:space="0"/>
              <w:bottom w:val="single" w:color="auto" w:sz="4" w:space="0"/>
              <w:right w:val="single" w:color="auto" w:sz="4" w:space="0"/>
            </w:tcBorders>
            <w:noWrap w:val="0"/>
            <w:vAlign w:val="top"/>
          </w:tcPr>
          <w:p>
            <w:pPr>
              <w:snapToGrid w:val="0"/>
              <w:spacing w:line="360" w:lineRule="auto"/>
              <w:ind w:firstLine="420" w:firstLineChars="200"/>
              <w:jc w:val="left"/>
              <w:rPr>
                <w:rFonts w:ascii="宋体" w:hAnsi="宋体"/>
                <w:color w:val="auto"/>
                <w:szCs w:val="21"/>
                <w:highlight w:val="none"/>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48" w:hRule="atLeast"/>
        </w:trPr>
        <w:tc>
          <w:tcPr>
            <w:tcW w:w="2376" w:type="dxa"/>
            <w:tcBorders>
              <w:top w:val="single" w:color="auto" w:sz="4" w:space="0"/>
              <w:left w:val="single" w:color="auto" w:sz="4" w:space="0"/>
              <w:bottom w:val="single" w:color="auto" w:sz="4" w:space="0"/>
              <w:right w:val="single" w:color="auto" w:sz="4" w:space="0"/>
            </w:tcBorders>
            <w:noWrap w:val="0"/>
            <w:vAlign w:val="center"/>
          </w:tcPr>
          <w:p>
            <w:pPr>
              <w:widowControl/>
              <w:overflowPunct w:val="0"/>
              <w:autoSpaceDE w:val="0"/>
              <w:autoSpaceDN w:val="0"/>
              <w:adjustRightInd w:val="0"/>
              <w:spacing w:line="360" w:lineRule="auto"/>
              <w:jc w:val="center"/>
              <w:textAlignment w:val="baseline"/>
              <w:rPr>
                <w:rFonts w:ascii="宋体" w:hAnsi="宋体"/>
                <w:color w:val="auto"/>
                <w:szCs w:val="21"/>
                <w:highlight w:val="none"/>
              </w:rPr>
            </w:pPr>
          </w:p>
        </w:tc>
        <w:tc>
          <w:tcPr>
            <w:tcW w:w="1891" w:type="dxa"/>
            <w:tcBorders>
              <w:top w:val="single" w:color="auto" w:sz="4" w:space="0"/>
              <w:left w:val="single" w:color="auto" w:sz="4" w:space="0"/>
              <w:bottom w:val="single" w:color="auto" w:sz="4" w:space="0"/>
              <w:right w:val="single" w:color="auto" w:sz="4" w:space="0"/>
            </w:tcBorders>
            <w:noWrap w:val="0"/>
            <w:vAlign w:val="top"/>
          </w:tcPr>
          <w:p>
            <w:pPr>
              <w:snapToGrid w:val="0"/>
              <w:spacing w:line="360" w:lineRule="auto"/>
              <w:ind w:firstLine="420" w:firstLineChars="200"/>
              <w:jc w:val="left"/>
              <w:rPr>
                <w:rFonts w:ascii="宋体" w:hAnsi="宋体"/>
                <w:color w:val="auto"/>
                <w:szCs w:val="21"/>
                <w:highlight w:val="none"/>
              </w:rPr>
            </w:pPr>
          </w:p>
        </w:tc>
        <w:tc>
          <w:tcPr>
            <w:tcW w:w="1653" w:type="dxa"/>
            <w:tcBorders>
              <w:top w:val="single" w:color="auto" w:sz="4" w:space="0"/>
              <w:left w:val="single" w:color="auto" w:sz="4" w:space="0"/>
              <w:bottom w:val="single" w:color="auto" w:sz="4" w:space="0"/>
              <w:right w:val="single" w:color="auto" w:sz="4" w:space="0"/>
            </w:tcBorders>
            <w:noWrap w:val="0"/>
            <w:vAlign w:val="top"/>
          </w:tcPr>
          <w:p>
            <w:pPr>
              <w:snapToGrid w:val="0"/>
              <w:spacing w:line="360" w:lineRule="auto"/>
              <w:ind w:firstLine="420" w:firstLineChars="200"/>
              <w:jc w:val="left"/>
              <w:rPr>
                <w:rFonts w:ascii="宋体" w:hAnsi="宋体"/>
                <w:color w:val="auto"/>
                <w:szCs w:val="21"/>
                <w:highlight w:val="none"/>
              </w:rPr>
            </w:pPr>
          </w:p>
        </w:tc>
        <w:tc>
          <w:tcPr>
            <w:tcW w:w="2645" w:type="dxa"/>
            <w:tcBorders>
              <w:top w:val="single" w:color="auto" w:sz="4" w:space="0"/>
              <w:left w:val="single" w:color="auto" w:sz="4" w:space="0"/>
              <w:bottom w:val="single" w:color="auto" w:sz="4" w:space="0"/>
              <w:right w:val="single" w:color="auto" w:sz="4" w:space="0"/>
            </w:tcBorders>
            <w:noWrap w:val="0"/>
            <w:vAlign w:val="top"/>
          </w:tcPr>
          <w:p>
            <w:pPr>
              <w:snapToGrid w:val="0"/>
              <w:spacing w:line="360" w:lineRule="auto"/>
              <w:ind w:firstLine="420" w:firstLineChars="200"/>
              <w:jc w:val="left"/>
              <w:rPr>
                <w:rFonts w:ascii="宋体" w:hAnsi="宋体"/>
                <w:color w:val="auto"/>
                <w:szCs w:val="21"/>
                <w:highlight w:val="none"/>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48" w:hRule="atLeast"/>
        </w:trPr>
        <w:tc>
          <w:tcPr>
            <w:tcW w:w="2376" w:type="dxa"/>
            <w:tcBorders>
              <w:top w:val="single" w:color="auto" w:sz="4" w:space="0"/>
              <w:left w:val="single" w:color="auto" w:sz="4" w:space="0"/>
              <w:bottom w:val="single" w:color="auto" w:sz="4" w:space="0"/>
              <w:right w:val="single" w:color="auto" w:sz="4" w:space="0"/>
            </w:tcBorders>
            <w:noWrap w:val="0"/>
            <w:vAlign w:val="center"/>
          </w:tcPr>
          <w:p>
            <w:pPr>
              <w:widowControl/>
              <w:overflowPunct w:val="0"/>
              <w:autoSpaceDE w:val="0"/>
              <w:autoSpaceDN w:val="0"/>
              <w:adjustRightInd w:val="0"/>
              <w:spacing w:line="360" w:lineRule="auto"/>
              <w:jc w:val="center"/>
              <w:textAlignment w:val="baseline"/>
              <w:rPr>
                <w:rFonts w:ascii="宋体" w:hAnsi="宋体"/>
                <w:color w:val="auto"/>
                <w:szCs w:val="21"/>
                <w:highlight w:val="none"/>
              </w:rPr>
            </w:pPr>
          </w:p>
        </w:tc>
        <w:tc>
          <w:tcPr>
            <w:tcW w:w="1891" w:type="dxa"/>
            <w:tcBorders>
              <w:top w:val="single" w:color="auto" w:sz="4" w:space="0"/>
              <w:left w:val="single" w:color="auto" w:sz="4" w:space="0"/>
              <w:bottom w:val="single" w:color="auto" w:sz="4" w:space="0"/>
              <w:right w:val="single" w:color="auto" w:sz="4" w:space="0"/>
            </w:tcBorders>
            <w:noWrap w:val="0"/>
            <w:vAlign w:val="top"/>
          </w:tcPr>
          <w:p>
            <w:pPr>
              <w:snapToGrid w:val="0"/>
              <w:spacing w:line="360" w:lineRule="auto"/>
              <w:ind w:firstLine="420" w:firstLineChars="200"/>
              <w:jc w:val="left"/>
              <w:rPr>
                <w:rFonts w:ascii="宋体" w:hAnsi="宋体"/>
                <w:color w:val="auto"/>
                <w:szCs w:val="21"/>
                <w:highlight w:val="none"/>
              </w:rPr>
            </w:pPr>
          </w:p>
        </w:tc>
        <w:tc>
          <w:tcPr>
            <w:tcW w:w="1653" w:type="dxa"/>
            <w:tcBorders>
              <w:top w:val="single" w:color="auto" w:sz="4" w:space="0"/>
              <w:left w:val="single" w:color="auto" w:sz="4" w:space="0"/>
              <w:bottom w:val="single" w:color="auto" w:sz="4" w:space="0"/>
              <w:right w:val="single" w:color="auto" w:sz="4" w:space="0"/>
            </w:tcBorders>
            <w:noWrap w:val="0"/>
            <w:vAlign w:val="top"/>
          </w:tcPr>
          <w:p>
            <w:pPr>
              <w:snapToGrid w:val="0"/>
              <w:spacing w:line="360" w:lineRule="auto"/>
              <w:ind w:firstLine="420" w:firstLineChars="200"/>
              <w:jc w:val="left"/>
              <w:rPr>
                <w:rFonts w:ascii="宋体" w:hAnsi="宋体"/>
                <w:color w:val="auto"/>
                <w:szCs w:val="21"/>
                <w:highlight w:val="none"/>
              </w:rPr>
            </w:pPr>
          </w:p>
        </w:tc>
        <w:tc>
          <w:tcPr>
            <w:tcW w:w="2645" w:type="dxa"/>
            <w:tcBorders>
              <w:top w:val="single" w:color="auto" w:sz="4" w:space="0"/>
              <w:left w:val="single" w:color="auto" w:sz="4" w:space="0"/>
              <w:bottom w:val="single" w:color="auto" w:sz="4" w:space="0"/>
              <w:right w:val="single" w:color="auto" w:sz="4" w:space="0"/>
            </w:tcBorders>
            <w:noWrap w:val="0"/>
            <w:vAlign w:val="top"/>
          </w:tcPr>
          <w:p>
            <w:pPr>
              <w:snapToGrid w:val="0"/>
              <w:spacing w:line="360" w:lineRule="auto"/>
              <w:ind w:firstLine="420" w:firstLineChars="200"/>
              <w:jc w:val="left"/>
              <w:rPr>
                <w:rFonts w:ascii="宋体" w:hAnsi="宋体"/>
                <w:color w:val="auto"/>
                <w:szCs w:val="21"/>
                <w:highlight w:val="none"/>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0" w:hRule="atLeast"/>
        </w:trPr>
        <w:tc>
          <w:tcPr>
            <w:tcW w:w="2376" w:type="dxa"/>
            <w:tcBorders>
              <w:top w:val="single" w:color="auto" w:sz="4" w:space="0"/>
              <w:left w:val="single" w:color="auto" w:sz="4" w:space="0"/>
              <w:bottom w:val="single" w:color="auto" w:sz="4" w:space="0"/>
              <w:right w:val="single" w:color="auto" w:sz="4" w:space="0"/>
            </w:tcBorders>
            <w:noWrap w:val="0"/>
            <w:vAlign w:val="center"/>
          </w:tcPr>
          <w:p>
            <w:pPr>
              <w:snapToGrid w:val="0"/>
              <w:spacing w:line="360" w:lineRule="auto"/>
              <w:jc w:val="center"/>
              <w:rPr>
                <w:rFonts w:ascii="宋体" w:hAnsi="宋体"/>
                <w:color w:val="auto"/>
                <w:szCs w:val="21"/>
                <w:highlight w:val="none"/>
              </w:rPr>
            </w:pPr>
          </w:p>
        </w:tc>
        <w:tc>
          <w:tcPr>
            <w:tcW w:w="1891" w:type="dxa"/>
            <w:tcBorders>
              <w:top w:val="single" w:color="auto" w:sz="4" w:space="0"/>
              <w:left w:val="single" w:color="auto" w:sz="4" w:space="0"/>
              <w:bottom w:val="single" w:color="auto" w:sz="4" w:space="0"/>
              <w:right w:val="single" w:color="auto" w:sz="4" w:space="0"/>
            </w:tcBorders>
            <w:noWrap w:val="0"/>
            <w:vAlign w:val="top"/>
          </w:tcPr>
          <w:p>
            <w:pPr>
              <w:snapToGrid w:val="0"/>
              <w:spacing w:line="360" w:lineRule="auto"/>
              <w:ind w:firstLine="420" w:firstLineChars="200"/>
              <w:jc w:val="left"/>
              <w:rPr>
                <w:rFonts w:ascii="宋体" w:hAnsi="宋体"/>
                <w:color w:val="auto"/>
                <w:szCs w:val="21"/>
                <w:highlight w:val="none"/>
              </w:rPr>
            </w:pPr>
          </w:p>
        </w:tc>
        <w:tc>
          <w:tcPr>
            <w:tcW w:w="1653" w:type="dxa"/>
            <w:tcBorders>
              <w:top w:val="single" w:color="auto" w:sz="4" w:space="0"/>
              <w:left w:val="single" w:color="auto" w:sz="4" w:space="0"/>
              <w:bottom w:val="single" w:color="auto" w:sz="4" w:space="0"/>
              <w:right w:val="single" w:color="auto" w:sz="4" w:space="0"/>
            </w:tcBorders>
            <w:noWrap w:val="0"/>
            <w:vAlign w:val="top"/>
          </w:tcPr>
          <w:p>
            <w:pPr>
              <w:snapToGrid w:val="0"/>
              <w:spacing w:line="360" w:lineRule="auto"/>
              <w:ind w:firstLine="420" w:firstLineChars="200"/>
              <w:jc w:val="left"/>
              <w:rPr>
                <w:rFonts w:ascii="宋体" w:hAnsi="宋体"/>
                <w:color w:val="auto"/>
                <w:szCs w:val="21"/>
                <w:highlight w:val="none"/>
              </w:rPr>
            </w:pPr>
          </w:p>
        </w:tc>
        <w:tc>
          <w:tcPr>
            <w:tcW w:w="2645" w:type="dxa"/>
            <w:tcBorders>
              <w:top w:val="single" w:color="auto" w:sz="4" w:space="0"/>
              <w:left w:val="single" w:color="auto" w:sz="4" w:space="0"/>
              <w:bottom w:val="single" w:color="auto" w:sz="4" w:space="0"/>
              <w:right w:val="single" w:color="auto" w:sz="4" w:space="0"/>
            </w:tcBorders>
            <w:noWrap w:val="0"/>
            <w:vAlign w:val="top"/>
          </w:tcPr>
          <w:p>
            <w:pPr>
              <w:snapToGrid w:val="0"/>
              <w:spacing w:line="360" w:lineRule="auto"/>
              <w:ind w:firstLine="420" w:firstLineChars="200"/>
              <w:jc w:val="left"/>
              <w:rPr>
                <w:rFonts w:ascii="宋体" w:hAnsi="宋体"/>
                <w:color w:val="auto"/>
                <w:szCs w:val="21"/>
                <w:highlight w:val="none"/>
              </w:rPr>
            </w:pPr>
          </w:p>
        </w:tc>
      </w:tr>
    </w:tbl>
    <w:p>
      <w:pPr>
        <w:pStyle w:val="29"/>
        <w:spacing w:line="360" w:lineRule="auto"/>
        <w:ind w:firstLine="420" w:firstLineChars="200"/>
        <w:jc w:val="left"/>
        <w:rPr>
          <w:rFonts w:hAnsi="宋体"/>
          <w:color w:val="auto"/>
          <w:szCs w:val="21"/>
          <w:highlight w:val="none"/>
        </w:rPr>
      </w:pPr>
    </w:p>
    <w:p>
      <w:pPr>
        <w:pStyle w:val="29"/>
        <w:spacing w:line="360" w:lineRule="auto"/>
        <w:ind w:firstLine="420" w:firstLineChars="200"/>
        <w:jc w:val="left"/>
        <w:rPr>
          <w:rFonts w:hAnsi="宋体"/>
          <w:color w:val="auto"/>
          <w:szCs w:val="21"/>
          <w:highlight w:val="none"/>
        </w:rPr>
      </w:pPr>
      <w:r>
        <w:rPr>
          <w:rFonts w:hint="eastAsia" w:hAnsi="宋体"/>
          <w:color w:val="auto"/>
          <w:szCs w:val="21"/>
          <w:highlight w:val="none"/>
        </w:rPr>
        <w:t>注：1.</w:t>
      </w:r>
      <w:r>
        <w:rPr>
          <w:rFonts w:hint="eastAsia" w:hAnsi="宋体"/>
          <w:color w:val="auto"/>
          <w:szCs w:val="21"/>
          <w:highlight w:val="none"/>
          <w:lang w:eastAsia="zh-CN"/>
        </w:rPr>
        <w:t>供应商</w:t>
      </w:r>
      <w:r>
        <w:rPr>
          <w:rFonts w:hAnsi="宋体"/>
          <w:color w:val="auto"/>
          <w:szCs w:val="21"/>
          <w:highlight w:val="none"/>
        </w:rPr>
        <w:t>应根据</w:t>
      </w:r>
      <w:r>
        <w:rPr>
          <w:rFonts w:hint="eastAsia" w:hAnsi="宋体"/>
          <w:color w:val="auto"/>
          <w:szCs w:val="21"/>
          <w:highlight w:val="none"/>
        </w:rPr>
        <w:t>投标产品</w:t>
      </w:r>
      <w:r>
        <w:rPr>
          <w:rFonts w:hAnsi="宋体"/>
          <w:color w:val="auto"/>
          <w:szCs w:val="21"/>
          <w:highlight w:val="none"/>
        </w:rPr>
        <w:t>的性能指标、对照招标文件要求在“偏离情况”栏注明“正偏</w:t>
      </w:r>
      <w:r>
        <w:rPr>
          <w:rFonts w:hint="eastAsia" w:hAnsi="宋体"/>
          <w:color w:val="auto"/>
          <w:szCs w:val="21"/>
          <w:highlight w:val="none"/>
        </w:rPr>
        <w:t>离”、“负偏离”或“无偏离”。</w:t>
      </w:r>
    </w:p>
    <w:p>
      <w:pPr>
        <w:pStyle w:val="29"/>
        <w:spacing w:line="360" w:lineRule="auto"/>
        <w:ind w:firstLine="420" w:firstLineChars="200"/>
        <w:jc w:val="left"/>
        <w:rPr>
          <w:rFonts w:hAnsi="宋体"/>
          <w:color w:val="auto"/>
          <w:szCs w:val="21"/>
          <w:highlight w:val="none"/>
        </w:rPr>
      </w:pPr>
      <w:r>
        <w:rPr>
          <w:rFonts w:hint="eastAsia" w:hAnsi="宋体"/>
          <w:color w:val="auto"/>
          <w:szCs w:val="21"/>
          <w:highlight w:val="none"/>
        </w:rPr>
        <w:t>2.</w:t>
      </w:r>
      <w:r>
        <w:rPr>
          <w:rFonts w:hint="eastAsia" w:hAnsi="宋体"/>
          <w:color w:val="auto"/>
          <w:szCs w:val="21"/>
          <w:highlight w:val="none"/>
          <w:lang w:eastAsia="zh-CN"/>
        </w:rPr>
        <w:t>供应商</w:t>
      </w:r>
      <w:r>
        <w:rPr>
          <w:rFonts w:hint="eastAsia" w:hAnsi="宋体"/>
          <w:color w:val="auto"/>
          <w:szCs w:val="21"/>
          <w:highlight w:val="none"/>
        </w:rPr>
        <w:t>需对上述偏离情况负责，不得虚假应标。</w:t>
      </w:r>
    </w:p>
    <w:p>
      <w:pPr>
        <w:pStyle w:val="29"/>
        <w:spacing w:line="360" w:lineRule="auto"/>
        <w:ind w:firstLine="420" w:firstLineChars="200"/>
        <w:jc w:val="left"/>
        <w:rPr>
          <w:rFonts w:hAnsi="宋体"/>
          <w:color w:val="auto"/>
          <w:szCs w:val="21"/>
          <w:highlight w:val="none"/>
        </w:rPr>
      </w:pPr>
      <w:r>
        <w:rPr>
          <w:rFonts w:hint="eastAsia" w:hAnsi="宋体"/>
          <w:color w:val="auto"/>
          <w:szCs w:val="21"/>
          <w:highlight w:val="none"/>
        </w:rPr>
        <w:t>3.不提供本表视为完全响应招标文件要求。</w:t>
      </w:r>
    </w:p>
    <w:p>
      <w:pPr>
        <w:pStyle w:val="29"/>
        <w:spacing w:line="360" w:lineRule="auto"/>
        <w:ind w:firstLine="420" w:firstLineChars="200"/>
        <w:jc w:val="left"/>
        <w:rPr>
          <w:rFonts w:hAnsi="宋体"/>
          <w:color w:val="auto"/>
          <w:szCs w:val="21"/>
          <w:highlight w:val="none"/>
        </w:rPr>
      </w:pPr>
      <w:r>
        <w:rPr>
          <w:rFonts w:hint="eastAsia" w:hAnsi="宋体"/>
          <w:color w:val="auto"/>
          <w:szCs w:val="21"/>
          <w:highlight w:val="none"/>
        </w:rPr>
        <w:t>被授权人签字（或盖章）：</w:t>
      </w:r>
    </w:p>
    <w:p>
      <w:pPr>
        <w:adjustRightInd w:val="0"/>
        <w:spacing w:line="360" w:lineRule="auto"/>
        <w:ind w:right="480" w:firstLine="420" w:firstLineChars="200"/>
        <w:textAlignment w:val="baseline"/>
        <w:rPr>
          <w:rFonts w:ascii="宋体" w:hAnsi="宋体"/>
          <w:color w:val="auto"/>
          <w:szCs w:val="21"/>
          <w:highlight w:val="none"/>
        </w:rPr>
      </w:pPr>
      <w:r>
        <w:rPr>
          <w:rFonts w:hint="eastAsia" w:ascii="宋体" w:hAnsi="宋体"/>
          <w:color w:val="auto"/>
          <w:szCs w:val="21"/>
          <w:highlight w:val="none"/>
          <w:lang w:eastAsia="zh-CN"/>
        </w:rPr>
        <w:t>供应商</w:t>
      </w:r>
      <w:r>
        <w:rPr>
          <w:rFonts w:hint="eastAsia" w:ascii="宋体" w:hAnsi="宋体"/>
          <w:color w:val="auto"/>
          <w:szCs w:val="21"/>
          <w:highlight w:val="none"/>
        </w:rPr>
        <w:t>公章：                   年  月  日</w:t>
      </w:r>
    </w:p>
    <w:p>
      <w:pPr>
        <w:pStyle w:val="2"/>
        <w:rPr>
          <w:color w:val="auto"/>
          <w:highlight w:val="none"/>
        </w:rPr>
      </w:pPr>
    </w:p>
    <w:p>
      <w:pPr>
        <w:snapToGrid w:val="0"/>
        <w:spacing w:before="50" w:after="120" w:afterLines="50" w:line="360" w:lineRule="auto"/>
        <w:jc w:val="left"/>
        <w:rPr>
          <w:rFonts w:ascii="宋体" w:hAnsi="宋体"/>
          <w:color w:val="auto"/>
          <w:szCs w:val="21"/>
          <w:highlight w:val="none"/>
        </w:rPr>
      </w:pPr>
      <w:r>
        <w:rPr>
          <w:rFonts w:hint="eastAsia" w:ascii="宋体" w:hAnsi="宋体"/>
          <w:color w:val="auto"/>
          <w:szCs w:val="21"/>
          <w:highlight w:val="none"/>
        </w:rPr>
        <w:t>技术响应表格式</w:t>
      </w:r>
    </w:p>
    <w:tbl>
      <w:tblPr>
        <w:tblStyle w:val="54"/>
        <w:tblW w:w="9289" w:type="dxa"/>
        <w:jc w:val="center"/>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1577"/>
        <w:gridCol w:w="1587"/>
        <w:gridCol w:w="4775"/>
        <w:gridCol w:w="1350"/>
      </w:tblGrid>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396" w:hRule="atLeast"/>
          <w:jc w:val="center"/>
        </w:trPr>
        <w:tc>
          <w:tcPr>
            <w:tcW w:w="3164" w:type="dxa"/>
            <w:gridSpan w:val="2"/>
            <w:tcBorders>
              <w:top w:val="single" w:color="auto" w:sz="4" w:space="0"/>
              <w:left w:val="single" w:color="auto" w:sz="4" w:space="0"/>
              <w:bottom w:val="single" w:color="auto" w:sz="4" w:space="0"/>
              <w:right w:val="single" w:color="auto" w:sz="4" w:space="0"/>
            </w:tcBorders>
            <w:noWrap w:val="0"/>
            <w:vAlign w:val="top"/>
          </w:tcPr>
          <w:p>
            <w:pPr>
              <w:snapToGrid w:val="0"/>
              <w:spacing w:line="360" w:lineRule="auto"/>
              <w:jc w:val="center"/>
              <w:outlineLvl w:val="0"/>
              <w:rPr>
                <w:rFonts w:ascii="宋体" w:hAnsi="宋体"/>
                <w:color w:val="auto"/>
                <w:szCs w:val="21"/>
                <w:highlight w:val="none"/>
              </w:rPr>
            </w:pPr>
            <w:bookmarkStart w:id="155" w:name="_Toc377653976"/>
            <w:bookmarkStart w:id="156" w:name="_Toc406403001"/>
            <w:bookmarkStart w:id="157" w:name="_Toc381081903"/>
            <w:bookmarkStart w:id="158" w:name="_Toc401570290"/>
            <w:bookmarkStart w:id="159" w:name="_Toc62745298"/>
            <w:bookmarkStart w:id="160" w:name="_Toc382928118"/>
            <w:bookmarkStart w:id="161" w:name="_Toc377028057"/>
            <w:bookmarkStart w:id="162" w:name="_Toc377028119"/>
            <w:bookmarkStart w:id="163" w:name="_Toc406402957"/>
            <w:bookmarkStart w:id="164" w:name="_Toc402963128"/>
            <w:bookmarkStart w:id="165" w:name="_Toc382928236"/>
            <w:bookmarkStart w:id="166" w:name="_Toc401570314"/>
            <w:bookmarkStart w:id="167" w:name="_Toc385854156"/>
            <w:bookmarkStart w:id="168" w:name="_Toc402963095"/>
            <w:bookmarkStart w:id="169" w:name="_Toc385854110"/>
            <w:r>
              <w:rPr>
                <w:rFonts w:hint="eastAsia" w:ascii="宋体" w:hAnsi="宋体"/>
                <w:color w:val="auto"/>
                <w:szCs w:val="21"/>
                <w:highlight w:val="none"/>
              </w:rPr>
              <w:t>招标文件要求</w:t>
            </w:r>
            <w:bookmarkEnd w:id="155"/>
            <w:bookmarkEnd w:id="156"/>
            <w:bookmarkEnd w:id="157"/>
            <w:bookmarkEnd w:id="158"/>
            <w:bookmarkEnd w:id="159"/>
            <w:bookmarkEnd w:id="160"/>
            <w:bookmarkEnd w:id="161"/>
            <w:bookmarkEnd w:id="162"/>
            <w:bookmarkEnd w:id="163"/>
            <w:bookmarkEnd w:id="164"/>
            <w:bookmarkEnd w:id="165"/>
            <w:bookmarkEnd w:id="166"/>
            <w:bookmarkEnd w:id="167"/>
            <w:bookmarkEnd w:id="168"/>
            <w:bookmarkEnd w:id="169"/>
          </w:p>
        </w:tc>
        <w:tc>
          <w:tcPr>
            <w:tcW w:w="4775" w:type="dxa"/>
            <w:vMerge w:val="restart"/>
            <w:tcBorders>
              <w:top w:val="single" w:color="auto" w:sz="4" w:space="0"/>
              <w:left w:val="single" w:color="auto" w:sz="4" w:space="0"/>
              <w:right w:val="single" w:color="auto" w:sz="4" w:space="0"/>
            </w:tcBorders>
            <w:noWrap w:val="0"/>
            <w:vAlign w:val="center"/>
          </w:tcPr>
          <w:p>
            <w:pPr>
              <w:snapToGrid w:val="0"/>
              <w:spacing w:line="360" w:lineRule="auto"/>
              <w:jc w:val="center"/>
              <w:outlineLvl w:val="0"/>
              <w:rPr>
                <w:rFonts w:hint="eastAsia" w:ascii="宋体" w:hAnsi="宋体" w:eastAsia="宋体"/>
                <w:color w:val="auto"/>
                <w:szCs w:val="21"/>
                <w:highlight w:val="none"/>
                <w:lang w:eastAsia="zh-CN"/>
              </w:rPr>
            </w:pPr>
            <w:bookmarkStart w:id="170" w:name="_Toc402963129"/>
            <w:bookmarkStart w:id="171" w:name="_Toc401570291"/>
            <w:bookmarkStart w:id="172" w:name="_Toc401570315"/>
            <w:bookmarkStart w:id="173" w:name="_Toc377653977"/>
            <w:bookmarkStart w:id="174" w:name="_Toc381081904"/>
            <w:bookmarkStart w:id="175" w:name="_Toc62745299"/>
            <w:bookmarkStart w:id="176" w:name="_Toc402963096"/>
            <w:bookmarkStart w:id="177" w:name="_Toc406403002"/>
            <w:bookmarkStart w:id="178" w:name="_Toc377028058"/>
            <w:bookmarkStart w:id="179" w:name="_Toc406402958"/>
            <w:bookmarkStart w:id="180" w:name="_Toc382928119"/>
            <w:bookmarkStart w:id="181" w:name="_Toc377028120"/>
            <w:bookmarkStart w:id="182" w:name="_Toc382928237"/>
            <w:bookmarkStart w:id="183" w:name="_Toc385854111"/>
            <w:bookmarkStart w:id="184" w:name="_Toc385854157"/>
            <w:r>
              <w:rPr>
                <w:rFonts w:hint="eastAsia" w:ascii="宋体" w:hAnsi="宋体"/>
                <w:color w:val="auto"/>
                <w:szCs w:val="21"/>
                <w:highlight w:val="none"/>
              </w:rPr>
              <w:t>投标文件响应</w:t>
            </w:r>
            <w:bookmarkEnd w:id="170"/>
            <w:bookmarkEnd w:id="171"/>
            <w:bookmarkEnd w:id="172"/>
            <w:bookmarkEnd w:id="173"/>
            <w:bookmarkEnd w:id="174"/>
            <w:bookmarkEnd w:id="175"/>
            <w:bookmarkEnd w:id="176"/>
            <w:bookmarkEnd w:id="177"/>
            <w:bookmarkEnd w:id="178"/>
            <w:bookmarkEnd w:id="179"/>
            <w:bookmarkEnd w:id="180"/>
            <w:bookmarkEnd w:id="181"/>
            <w:bookmarkEnd w:id="182"/>
            <w:bookmarkEnd w:id="183"/>
            <w:bookmarkEnd w:id="184"/>
            <w:bookmarkStart w:id="185" w:name="_Toc377028121"/>
            <w:bookmarkStart w:id="186" w:name="_Toc377653978"/>
            <w:bookmarkStart w:id="187" w:name="_Toc402963130"/>
            <w:bookmarkStart w:id="188" w:name="_Toc385854158"/>
            <w:bookmarkStart w:id="189" w:name="_Toc401570316"/>
            <w:bookmarkStart w:id="190" w:name="_Toc406403003"/>
            <w:bookmarkStart w:id="191" w:name="_Toc401570292"/>
            <w:bookmarkStart w:id="192" w:name="_Toc385854112"/>
            <w:bookmarkStart w:id="193" w:name="_Toc382928120"/>
            <w:bookmarkStart w:id="194" w:name="_Toc382928238"/>
            <w:bookmarkStart w:id="195" w:name="_Toc381081905"/>
            <w:bookmarkStart w:id="196" w:name="_Toc402963097"/>
            <w:bookmarkStart w:id="197" w:name="_Toc406402959"/>
            <w:bookmarkStart w:id="198" w:name="_Toc62745300"/>
            <w:bookmarkStart w:id="199" w:name="_Toc377028059"/>
          </w:p>
        </w:tc>
        <w:tc>
          <w:tcPr>
            <w:tcW w:w="1350" w:type="dxa"/>
            <w:vMerge w:val="restart"/>
            <w:tcBorders>
              <w:top w:val="single" w:color="auto" w:sz="4" w:space="0"/>
              <w:left w:val="single" w:color="auto" w:sz="4" w:space="0"/>
              <w:bottom w:val="single" w:color="auto" w:sz="4" w:space="0"/>
              <w:right w:val="single" w:color="auto" w:sz="4" w:space="0"/>
            </w:tcBorders>
            <w:noWrap w:val="0"/>
            <w:vAlign w:val="center"/>
          </w:tcPr>
          <w:p>
            <w:pPr>
              <w:snapToGrid w:val="0"/>
              <w:spacing w:line="360" w:lineRule="auto"/>
              <w:jc w:val="center"/>
              <w:outlineLvl w:val="0"/>
              <w:rPr>
                <w:rFonts w:ascii="宋体" w:hAnsi="宋体"/>
                <w:color w:val="auto"/>
                <w:szCs w:val="21"/>
                <w:highlight w:val="none"/>
              </w:rPr>
            </w:pPr>
            <w:r>
              <w:rPr>
                <w:rFonts w:hint="eastAsia" w:ascii="宋体" w:hAnsi="宋体"/>
                <w:color w:val="auto"/>
                <w:szCs w:val="21"/>
                <w:highlight w:val="none"/>
              </w:rPr>
              <w:t>偏离情况</w:t>
            </w:r>
            <w:bookmarkEnd w:id="185"/>
            <w:bookmarkEnd w:id="186"/>
            <w:bookmarkEnd w:id="187"/>
            <w:bookmarkEnd w:id="188"/>
            <w:bookmarkEnd w:id="189"/>
            <w:bookmarkEnd w:id="190"/>
            <w:bookmarkEnd w:id="191"/>
            <w:bookmarkEnd w:id="192"/>
            <w:bookmarkEnd w:id="193"/>
            <w:bookmarkEnd w:id="194"/>
            <w:bookmarkEnd w:id="195"/>
            <w:bookmarkEnd w:id="196"/>
            <w:bookmarkEnd w:id="197"/>
            <w:bookmarkEnd w:id="198"/>
            <w:bookmarkEnd w:id="199"/>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480" w:hRule="atLeast"/>
          <w:jc w:val="center"/>
        </w:trPr>
        <w:tc>
          <w:tcPr>
            <w:tcW w:w="1577" w:type="dxa"/>
            <w:tcBorders>
              <w:top w:val="single" w:color="auto" w:sz="4" w:space="0"/>
              <w:left w:val="single" w:color="auto" w:sz="4" w:space="0"/>
              <w:bottom w:val="single" w:color="auto" w:sz="4" w:space="0"/>
              <w:right w:val="single" w:color="auto" w:sz="4" w:space="0"/>
            </w:tcBorders>
            <w:noWrap w:val="0"/>
            <w:vAlign w:val="top"/>
          </w:tcPr>
          <w:p>
            <w:pPr>
              <w:snapToGrid w:val="0"/>
              <w:spacing w:line="360" w:lineRule="auto"/>
              <w:jc w:val="center"/>
              <w:outlineLvl w:val="0"/>
              <w:rPr>
                <w:rFonts w:ascii="宋体" w:hAnsi="宋体"/>
                <w:color w:val="auto"/>
                <w:szCs w:val="21"/>
                <w:highlight w:val="none"/>
              </w:rPr>
            </w:pPr>
            <w:bookmarkStart w:id="200" w:name="_Toc382928121"/>
            <w:bookmarkStart w:id="201" w:name="_Toc382928239"/>
            <w:bookmarkStart w:id="202" w:name="_Toc406402960"/>
            <w:bookmarkStart w:id="203" w:name="_Toc377028060"/>
            <w:bookmarkStart w:id="204" w:name="_Toc401570293"/>
            <w:bookmarkStart w:id="205" w:name="_Toc62745301"/>
            <w:bookmarkStart w:id="206" w:name="_Toc385854113"/>
            <w:bookmarkStart w:id="207" w:name="_Toc377653979"/>
            <w:bookmarkStart w:id="208" w:name="_Toc406403004"/>
            <w:bookmarkStart w:id="209" w:name="_Toc402963131"/>
            <w:bookmarkStart w:id="210" w:name="_Toc385854159"/>
            <w:bookmarkStart w:id="211" w:name="_Toc381081906"/>
            <w:bookmarkStart w:id="212" w:name="_Toc401570317"/>
            <w:bookmarkStart w:id="213" w:name="_Toc402963098"/>
            <w:bookmarkStart w:id="214" w:name="_Toc377028122"/>
            <w:r>
              <w:rPr>
                <w:rFonts w:hint="eastAsia" w:ascii="宋体" w:hAnsi="宋体"/>
                <w:color w:val="auto"/>
                <w:szCs w:val="21"/>
                <w:highlight w:val="none"/>
              </w:rPr>
              <w:t>项目</w:t>
            </w:r>
            <w:bookmarkEnd w:id="200"/>
            <w:bookmarkEnd w:id="201"/>
            <w:bookmarkEnd w:id="202"/>
            <w:bookmarkEnd w:id="203"/>
            <w:bookmarkEnd w:id="204"/>
            <w:bookmarkEnd w:id="205"/>
            <w:bookmarkEnd w:id="206"/>
            <w:bookmarkEnd w:id="207"/>
            <w:bookmarkEnd w:id="208"/>
            <w:bookmarkEnd w:id="209"/>
            <w:bookmarkEnd w:id="210"/>
            <w:bookmarkEnd w:id="211"/>
            <w:bookmarkEnd w:id="212"/>
            <w:bookmarkEnd w:id="213"/>
            <w:bookmarkEnd w:id="214"/>
          </w:p>
        </w:tc>
        <w:tc>
          <w:tcPr>
            <w:tcW w:w="1587" w:type="dxa"/>
            <w:tcBorders>
              <w:top w:val="single" w:color="auto" w:sz="4" w:space="0"/>
              <w:left w:val="single" w:color="auto" w:sz="4" w:space="0"/>
              <w:bottom w:val="single" w:color="auto" w:sz="4" w:space="0"/>
              <w:right w:val="single" w:color="auto" w:sz="4" w:space="0"/>
            </w:tcBorders>
            <w:noWrap w:val="0"/>
            <w:vAlign w:val="top"/>
          </w:tcPr>
          <w:p>
            <w:pPr>
              <w:snapToGrid w:val="0"/>
              <w:spacing w:line="360" w:lineRule="auto"/>
              <w:jc w:val="center"/>
              <w:outlineLvl w:val="0"/>
              <w:rPr>
                <w:rFonts w:ascii="宋体" w:hAnsi="宋体"/>
                <w:color w:val="auto"/>
                <w:szCs w:val="21"/>
                <w:highlight w:val="none"/>
              </w:rPr>
            </w:pPr>
            <w:bookmarkStart w:id="215" w:name="_Toc385854160"/>
            <w:bookmarkStart w:id="216" w:name="_Toc402963099"/>
            <w:bookmarkStart w:id="217" w:name="_Toc382928122"/>
            <w:bookmarkStart w:id="218" w:name="_Toc382928240"/>
            <w:bookmarkStart w:id="219" w:name="_Toc381081907"/>
            <w:bookmarkStart w:id="220" w:name="_Toc377028123"/>
            <w:bookmarkStart w:id="221" w:name="_Toc401570294"/>
            <w:bookmarkStart w:id="222" w:name="_Toc377653980"/>
            <w:bookmarkStart w:id="223" w:name="_Toc406403005"/>
            <w:bookmarkStart w:id="224" w:name="_Toc406402961"/>
            <w:bookmarkStart w:id="225" w:name="_Toc401570318"/>
            <w:bookmarkStart w:id="226" w:name="_Toc377028061"/>
            <w:bookmarkStart w:id="227" w:name="_Toc402963132"/>
            <w:bookmarkStart w:id="228" w:name="_Toc385854114"/>
            <w:bookmarkStart w:id="229" w:name="_Toc62745302"/>
            <w:r>
              <w:rPr>
                <w:rFonts w:hint="eastAsia" w:ascii="宋体" w:hAnsi="宋体"/>
                <w:color w:val="auto"/>
                <w:szCs w:val="21"/>
                <w:highlight w:val="none"/>
              </w:rPr>
              <w:t>要求</w:t>
            </w:r>
            <w:bookmarkEnd w:id="215"/>
            <w:bookmarkEnd w:id="216"/>
            <w:bookmarkEnd w:id="217"/>
            <w:bookmarkEnd w:id="218"/>
            <w:bookmarkEnd w:id="219"/>
            <w:bookmarkEnd w:id="220"/>
            <w:bookmarkEnd w:id="221"/>
            <w:bookmarkEnd w:id="222"/>
            <w:bookmarkEnd w:id="223"/>
            <w:bookmarkEnd w:id="224"/>
            <w:bookmarkEnd w:id="225"/>
            <w:bookmarkEnd w:id="226"/>
            <w:bookmarkEnd w:id="227"/>
            <w:bookmarkEnd w:id="228"/>
            <w:bookmarkEnd w:id="229"/>
          </w:p>
        </w:tc>
        <w:tc>
          <w:tcPr>
            <w:tcW w:w="4775" w:type="dxa"/>
            <w:vMerge w:val="continue"/>
            <w:tcBorders>
              <w:left w:val="single" w:color="auto" w:sz="4" w:space="0"/>
              <w:bottom w:val="single" w:color="auto" w:sz="4" w:space="0"/>
              <w:right w:val="single" w:color="auto" w:sz="4" w:space="0"/>
            </w:tcBorders>
            <w:noWrap w:val="0"/>
            <w:vAlign w:val="top"/>
          </w:tcPr>
          <w:p>
            <w:pPr>
              <w:snapToGrid w:val="0"/>
              <w:spacing w:line="360" w:lineRule="auto"/>
              <w:jc w:val="center"/>
              <w:outlineLvl w:val="0"/>
              <w:rPr>
                <w:rFonts w:hint="eastAsia" w:ascii="宋体" w:hAnsi="宋体" w:eastAsia="宋体"/>
                <w:color w:val="auto"/>
                <w:szCs w:val="21"/>
                <w:highlight w:val="none"/>
                <w:lang w:eastAsia="zh-CN"/>
              </w:rPr>
            </w:pPr>
          </w:p>
        </w:tc>
        <w:tc>
          <w:tcPr>
            <w:tcW w:w="1350" w:type="dxa"/>
            <w:vMerge w:val="continue"/>
            <w:tcBorders>
              <w:top w:val="single" w:color="auto" w:sz="4" w:space="0"/>
              <w:left w:val="single" w:color="auto" w:sz="4" w:space="0"/>
              <w:bottom w:val="single" w:color="auto" w:sz="4" w:space="0"/>
              <w:right w:val="single" w:color="auto" w:sz="4" w:space="0"/>
            </w:tcBorders>
            <w:noWrap w:val="0"/>
            <w:vAlign w:val="center"/>
          </w:tcPr>
          <w:p>
            <w:pPr>
              <w:widowControl/>
              <w:spacing w:line="360" w:lineRule="auto"/>
              <w:jc w:val="left"/>
              <w:rPr>
                <w:rFonts w:ascii="宋体" w:hAnsi="宋体"/>
                <w:color w:val="auto"/>
                <w:szCs w:val="21"/>
                <w:highlight w:val="none"/>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841" w:hRule="atLeast"/>
          <w:jc w:val="center"/>
        </w:trPr>
        <w:tc>
          <w:tcPr>
            <w:tcW w:w="1577" w:type="dxa"/>
            <w:tcBorders>
              <w:top w:val="single" w:color="auto" w:sz="4" w:space="0"/>
              <w:left w:val="single" w:color="auto" w:sz="4" w:space="0"/>
              <w:bottom w:val="single" w:color="auto" w:sz="4" w:space="0"/>
              <w:right w:val="single" w:color="auto" w:sz="4" w:space="0"/>
            </w:tcBorders>
            <w:noWrap w:val="0"/>
            <w:vAlign w:val="center"/>
          </w:tcPr>
          <w:p>
            <w:pPr>
              <w:snapToGrid w:val="0"/>
              <w:spacing w:before="120" w:beforeLines="50" w:after="120" w:afterLines="50" w:line="360" w:lineRule="auto"/>
              <w:outlineLvl w:val="0"/>
              <w:rPr>
                <w:rFonts w:ascii="宋体" w:hAnsi="宋体"/>
                <w:color w:val="auto"/>
                <w:szCs w:val="21"/>
                <w:highlight w:val="none"/>
              </w:rPr>
            </w:pPr>
          </w:p>
        </w:tc>
        <w:tc>
          <w:tcPr>
            <w:tcW w:w="1587" w:type="dxa"/>
            <w:tcBorders>
              <w:top w:val="single" w:color="auto" w:sz="4" w:space="0"/>
              <w:left w:val="single" w:color="auto" w:sz="4" w:space="0"/>
              <w:bottom w:val="single" w:color="auto" w:sz="4" w:space="0"/>
              <w:right w:val="single" w:color="auto" w:sz="4" w:space="0"/>
            </w:tcBorders>
            <w:noWrap w:val="0"/>
            <w:vAlign w:val="center"/>
          </w:tcPr>
          <w:p>
            <w:pPr>
              <w:snapToGrid w:val="0"/>
              <w:spacing w:line="360" w:lineRule="auto"/>
              <w:outlineLvl w:val="0"/>
              <w:rPr>
                <w:rFonts w:ascii="宋体" w:hAnsi="宋体"/>
                <w:color w:val="auto"/>
                <w:szCs w:val="21"/>
                <w:highlight w:val="none"/>
              </w:rPr>
            </w:pPr>
          </w:p>
        </w:tc>
        <w:tc>
          <w:tcPr>
            <w:tcW w:w="4775" w:type="dxa"/>
            <w:tcBorders>
              <w:top w:val="single" w:color="auto" w:sz="4" w:space="0"/>
              <w:left w:val="single" w:color="auto" w:sz="4" w:space="0"/>
              <w:bottom w:val="single" w:color="auto" w:sz="4" w:space="0"/>
              <w:right w:val="single" w:color="auto" w:sz="4" w:space="0"/>
            </w:tcBorders>
            <w:noWrap w:val="0"/>
            <w:vAlign w:val="top"/>
          </w:tcPr>
          <w:p>
            <w:pPr>
              <w:snapToGrid w:val="0"/>
              <w:spacing w:line="360" w:lineRule="auto"/>
              <w:outlineLvl w:val="0"/>
              <w:rPr>
                <w:rFonts w:ascii="宋体" w:hAnsi="宋体"/>
                <w:color w:val="auto"/>
                <w:szCs w:val="21"/>
                <w:highlight w:val="none"/>
              </w:rPr>
            </w:pPr>
          </w:p>
        </w:tc>
        <w:tc>
          <w:tcPr>
            <w:tcW w:w="1350" w:type="dxa"/>
            <w:tcBorders>
              <w:top w:val="single" w:color="auto" w:sz="4" w:space="0"/>
              <w:left w:val="single" w:color="auto" w:sz="4" w:space="0"/>
              <w:bottom w:val="single" w:color="auto" w:sz="4" w:space="0"/>
              <w:right w:val="single" w:color="auto" w:sz="4" w:space="0"/>
            </w:tcBorders>
            <w:noWrap w:val="0"/>
            <w:vAlign w:val="top"/>
          </w:tcPr>
          <w:p>
            <w:pPr>
              <w:snapToGrid w:val="0"/>
              <w:spacing w:line="360" w:lineRule="auto"/>
              <w:outlineLvl w:val="0"/>
              <w:rPr>
                <w:rFonts w:ascii="宋体" w:hAnsi="宋体"/>
                <w:color w:val="auto"/>
                <w:szCs w:val="21"/>
                <w:highlight w:val="none"/>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841" w:hRule="atLeast"/>
          <w:jc w:val="center"/>
        </w:trPr>
        <w:tc>
          <w:tcPr>
            <w:tcW w:w="1577" w:type="dxa"/>
            <w:tcBorders>
              <w:top w:val="single" w:color="auto" w:sz="4" w:space="0"/>
              <w:left w:val="single" w:color="auto" w:sz="4" w:space="0"/>
              <w:bottom w:val="single" w:color="auto" w:sz="4" w:space="0"/>
              <w:right w:val="single" w:color="auto" w:sz="4" w:space="0"/>
            </w:tcBorders>
            <w:noWrap w:val="0"/>
            <w:vAlign w:val="center"/>
          </w:tcPr>
          <w:p>
            <w:pPr>
              <w:widowControl/>
              <w:spacing w:line="360" w:lineRule="auto"/>
              <w:rPr>
                <w:rFonts w:ascii="宋体" w:hAnsi="宋体"/>
                <w:color w:val="auto"/>
                <w:szCs w:val="21"/>
                <w:highlight w:val="none"/>
              </w:rPr>
            </w:pPr>
          </w:p>
        </w:tc>
        <w:tc>
          <w:tcPr>
            <w:tcW w:w="1587" w:type="dxa"/>
            <w:tcBorders>
              <w:top w:val="single" w:color="auto" w:sz="4" w:space="0"/>
              <w:left w:val="single" w:color="auto" w:sz="4" w:space="0"/>
              <w:bottom w:val="single" w:color="auto" w:sz="4" w:space="0"/>
              <w:right w:val="single" w:color="auto" w:sz="4" w:space="0"/>
            </w:tcBorders>
            <w:noWrap w:val="0"/>
            <w:vAlign w:val="center"/>
          </w:tcPr>
          <w:p>
            <w:pPr>
              <w:snapToGrid w:val="0"/>
              <w:spacing w:line="360" w:lineRule="auto"/>
              <w:outlineLvl w:val="0"/>
              <w:rPr>
                <w:rFonts w:ascii="宋体" w:hAnsi="宋体"/>
                <w:color w:val="auto"/>
                <w:szCs w:val="21"/>
                <w:highlight w:val="none"/>
              </w:rPr>
            </w:pPr>
          </w:p>
        </w:tc>
        <w:tc>
          <w:tcPr>
            <w:tcW w:w="4775" w:type="dxa"/>
            <w:tcBorders>
              <w:top w:val="single" w:color="auto" w:sz="4" w:space="0"/>
              <w:left w:val="single" w:color="auto" w:sz="4" w:space="0"/>
              <w:bottom w:val="single" w:color="auto" w:sz="4" w:space="0"/>
              <w:right w:val="single" w:color="auto" w:sz="4" w:space="0"/>
            </w:tcBorders>
            <w:noWrap w:val="0"/>
            <w:vAlign w:val="top"/>
          </w:tcPr>
          <w:p>
            <w:pPr>
              <w:snapToGrid w:val="0"/>
              <w:spacing w:line="360" w:lineRule="auto"/>
              <w:outlineLvl w:val="0"/>
              <w:rPr>
                <w:rFonts w:ascii="宋体" w:hAnsi="宋体"/>
                <w:color w:val="auto"/>
                <w:szCs w:val="21"/>
                <w:highlight w:val="none"/>
              </w:rPr>
            </w:pPr>
          </w:p>
        </w:tc>
        <w:tc>
          <w:tcPr>
            <w:tcW w:w="1350" w:type="dxa"/>
            <w:tcBorders>
              <w:top w:val="single" w:color="auto" w:sz="4" w:space="0"/>
              <w:left w:val="single" w:color="auto" w:sz="4" w:space="0"/>
              <w:bottom w:val="single" w:color="auto" w:sz="4" w:space="0"/>
              <w:right w:val="single" w:color="auto" w:sz="4" w:space="0"/>
            </w:tcBorders>
            <w:noWrap w:val="0"/>
            <w:vAlign w:val="top"/>
          </w:tcPr>
          <w:p>
            <w:pPr>
              <w:snapToGrid w:val="0"/>
              <w:spacing w:line="360" w:lineRule="auto"/>
              <w:outlineLvl w:val="0"/>
              <w:rPr>
                <w:rFonts w:ascii="宋体" w:hAnsi="宋体"/>
                <w:color w:val="auto"/>
                <w:szCs w:val="21"/>
                <w:highlight w:val="none"/>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841" w:hRule="atLeast"/>
          <w:jc w:val="center"/>
        </w:trPr>
        <w:tc>
          <w:tcPr>
            <w:tcW w:w="1577" w:type="dxa"/>
            <w:tcBorders>
              <w:top w:val="single" w:color="auto" w:sz="4" w:space="0"/>
              <w:left w:val="single" w:color="auto" w:sz="4" w:space="0"/>
              <w:bottom w:val="single" w:color="auto" w:sz="4" w:space="0"/>
              <w:right w:val="single" w:color="auto" w:sz="4" w:space="0"/>
            </w:tcBorders>
            <w:noWrap w:val="0"/>
            <w:vAlign w:val="center"/>
          </w:tcPr>
          <w:p>
            <w:pPr>
              <w:snapToGrid w:val="0"/>
              <w:spacing w:before="120" w:beforeLines="50" w:after="120" w:afterLines="50" w:line="360" w:lineRule="auto"/>
              <w:outlineLvl w:val="0"/>
              <w:rPr>
                <w:rFonts w:ascii="宋体" w:hAnsi="宋体"/>
                <w:color w:val="auto"/>
                <w:szCs w:val="21"/>
                <w:highlight w:val="none"/>
              </w:rPr>
            </w:pPr>
          </w:p>
        </w:tc>
        <w:tc>
          <w:tcPr>
            <w:tcW w:w="1587" w:type="dxa"/>
            <w:tcBorders>
              <w:top w:val="single" w:color="auto" w:sz="4" w:space="0"/>
              <w:left w:val="single" w:color="auto" w:sz="4" w:space="0"/>
              <w:bottom w:val="single" w:color="auto" w:sz="4" w:space="0"/>
              <w:right w:val="single" w:color="auto" w:sz="4" w:space="0"/>
            </w:tcBorders>
            <w:noWrap w:val="0"/>
            <w:vAlign w:val="center"/>
          </w:tcPr>
          <w:p>
            <w:pPr>
              <w:snapToGrid w:val="0"/>
              <w:spacing w:line="360" w:lineRule="auto"/>
              <w:outlineLvl w:val="0"/>
              <w:rPr>
                <w:rFonts w:ascii="宋体" w:hAnsi="宋体"/>
                <w:color w:val="auto"/>
                <w:szCs w:val="21"/>
                <w:highlight w:val="none"/>
              </w:rPr>
            </w:pPr>
          </w:p>
        </w:tc>
        <w:tc>
          <w:tcPr>
            <w:tcW w:w="4775" w:type="dxa"/>
            <w:tcBorders>
              <w:top w:val="single" w:color="auto" w:sz="4" w:space="0"/>
              <w:left w:val="single" w:color="auto" w:sz="4" w:space="0"/>
              <w:bottom w:val="single" w:color="auto" w:sz="4" w:space="0"/>
              <w:right w:val="single" w:color="auto" w:sz="4" w:space="0"/>
            </w:tcBorders>
            <w:noWrap w:val="0"/>
            <w:vAlign w:val="top"/>
          </w:tcPr>
          <w:p>
            <w:pPr>
              <w:snapToGrid w:val="0"/>
              <w:spacing w:line="360" w:lineRule="auto"/>
              <w:outlineLvl w:val="0"/>
              <w:rPr>
                <w:rFonts w:ascii="宋体" w:hAnsi="宋体"/>
                <w:color w:val="auto"/>
                <w:szCs w:val="21"/>
                <w:highlight w:val="none"/>
              </w:rPr>
            </w:pPr>
          </w:p>
        </w:tc>
        <w:tc>
          <w:tcPr>
            <w:tcW w:w="1350" w:type="dxa"/>
            <w:tcBorders>
              <w:top w:val="single" w:color="auto" w:sz="4" w:space="0"/>
              <w:left w:val="single" w:color="auto" w:sz="4" w:space="0"/>
              <w:bottom w:val="single" w:color="auto" w:sz="4" w:space="0"/>
              <w:right w:val="single" w:color="auto" w:sz="4" w:space="0"/>
            </w:tcBorders>
            <w:noWrap w:val="0"/>
            <w:vAlign w:val="top"/>
          </w:tcPr>
          <w:p>
            <w:pPr>
              <w:snapToGrid w:val="0"/>
              <w:spacing w:line="360" w:lineRule="auto"/>
              <w:outlineLvl w:val="0"/>
              <w:rPr>
                <w:rFonts w:ascii="宋体" w:hAnsi="宋体"/>
                <w:color w:val="auto"/>
                <w:szCs w:val="21"/>
                <w:highlight w:val="none"/>
              </w:rPr>
            </w:pPr>
          </w:p>
        </w:tc>
      </w:tr>
    </w:tbl>
    <w:p>
      <w:pPr>
        <w:pStyle w:val="29"/>
        <w:spacing w:line="360" w:lineRule="auto"/>
        <w:ind w:firstLine="420" w:firstLineChars="200"/>
        <w:jc w:val="left"/>
        <w:rPr>
          <w:rFonts w:hAnsi="宋体"/>
          <w:color w:val="auto"/>
          <w:szCs w:val="21"/>
          <w:highlight w:val="none"/>
        </w:rPr>
      </w:pPr>
      <w:r>
        <w:rPr>
          <w:rFonts w:hAnsi="宋体"/>
          <w:color w:val="auto"/>
          <w:szCs w:val="21"/>
          <w:highlight w:val="none"/>
        </w:rPr>
        <w:t>注：</w:t>
      </w:r>
      <w:r>
        <w:rPr>
          <w:rFonts w:hint="eastAsia" w:hAnsi="宋体"/>
          <w:color w:val="auto"/>
          <w:szCs w:val="21"/>
          <w:highlight w:val="none"/>
        </w:rPr>
        <w:t>1.</w:t>
      </w:r>
      <w:r>
        <w:rPr>
          <w:rFonts w:hint="eastAsia" w:hAnsi="宋体"/>
          <w:color w:val="auto"/>
          <w:szCs w:val="21"/>
          <w:highlight w:val="none"/>
          <w:lang w:eastAsia="zh-CN"/>
        </w:rPr>
        <w:t>供应商</w:t>
      </w:r>
      <w:r>
        <w:rPr>
          <w:rFonts w:hAnsi="宋体"/>
          <w:color w:val="auto"/>
          <w:szCs w:val="21"/>
          <w:highlight w:val="none"/>
        </w:rPr>
        <w:t>应根据</w:t>
      </w:r>
      <w:r>
        <w:rPr>
          <w:rFonts w:hint="eastAsia" w:hAnsi="宋体"/>
          <w:color w:val="auto"/>
          <w:szCs w:val="21"/>
          <w:highlight w:val="none"/>
        </w:rPr>
        <w:t>投标产品</w:t>
      </w:r>
      <w:r>
        <w:rPr>
          <w:rFonts w:hAnsi="宋体"/>
          <w:color w:val="auto"/>
          <w:szCs w:val="21"/>
          <w:highlight w:val="none"/>
        </w:rPr>
        <w:t>的性能指标、对照招标文件要求在“偏离情况”栏注明“正偏</w:t>
      </w:r>
      <w:r>
        <w:rPr>
          <w:rFonts w:hint="eastAsia" w:hAnsi="宋体"/>
          <w:color w:val="auto"/>
          <w:szCs w:val="21"/>
          <w:highlight w:val="none"/>
        </w:rPr>
        <w:t>离”、“负偏离”或“无偏离”。</w:t>
      </w:r>
    </w:p>
    <w:p>
      <w:pPr>
        <w:pStyle w:val="29"/>
        <w:spacing w:line="360" w:lineRule="auto"/>
        <w:ind w:firstLine="420" w:firstLineChars="200"/>
        <w:jc w:val="left"/>
        <w:rPr>
          <w:rFonts w:hAnsi="宋体"/>
          <w:color w:val="auto"/>
          <w:szCs w:val="21"/>
          <w:highlight w:val="none"/>
        </w:rPr>
      </w:pPr>
      <w:r>
        <w:rPr>
          <w:rFonts w:hint="eastAsia" w:hAnsi="宋体"/>
          <w:color w:val="auto"/>
          <w:szCs w:val="21"/>
          <w:highlight w:val="none"/>
        </w:rPr>
        <w:t>2.</w:t>
      </w:r>
      <w:r>
        <w:rPr>
          <w:rFonts w:hint="eastAsia" w:hAnsi="宋体"/>
          <w:color w:val="auto"/>
          <w:szCs w:val="21"/>
          <w:highlight w:val="none"/>
          <w:lang w:eastAsia="zh-CN"/>
        </w:rPr>
        <w:t>供应商</w:t>
      </w:r>
      <w:r>
        <w:rPr>
          <w:rFonts w:hint="eastAsia" w:hAnsi="宋体"/>
          <w:color w:val="auto"/>
          <w:szCs w:val="21"/>
          <w:highlight w:val="none"/>
        </w:rPr>
        <w:t>需对上述偏离情况负责，不得虚假应标。</w:t>
      </w:r>
    </w:p>
    <w:p>
      <w:pPr>
        <w:pStyle w:val="29"/>
        <w:spacing w:line="360" w:lineRule="auto"/>
        <w:ind w:firstLine="420" w:firstLineChars="200"/>
        <w:jc w:val="left"/>
        <w:rPr>
          <w:rFonts w:hAnsi="宋体"/>
          <w:color w:val="auto"/>
          <w:szCs w:val="21"/>
          <w:highlight w:val="none"/>
        </w:rPr>
      </w:pPr>
      <w:r>
        <w:rPr>
          <w:rFonts w:hint="eastAsia" w:hAnsi="宋体"/>
          <w:color w:val="auto"/>
          <w:szCs w:val="21"/>
          <w:highlight w:val="none"/>
        </w:rPr>
        <w:t>3.不提供本表视为完全响应招标文件要求。</w:t>
      </w:r>
    </w:p>
    <w:p>
      <w:pPr>
        <w:pStyle w:val="29"/>
        <w:spacing w:line="360" w:lineRule="auto"/>
        <w:ind w:firstLine="420" w:firstLineChars="200"/>
        <w:jc w:val="left"/>
        <w:rPr>
          <w:rFonts w:hAnsi="宋体"/>
          <w:color w:val="auto"/>
          <w:szCs w:val="21"/>
          <w:highlight w:val="none"/>
        </w:rPr>
      </w:pPr>
      <w:r>
        <w:rPr>
          <w:rFonts w:hint="eastAsia" w:hAnsi="宋体"/>
          <w:color w:val="auto"/>
          <w:szCs w:val="21"/>
          <w:highlight w:val="none"/>
        </w:rPr>
        <w:t>被授权人签字（或盖章）：</w:t>
      </w:r>
    </w:p>
    <w:p>
      <w:pPr>
        <w:adjustRightInd w:val="0"/>
        <w:spacing w:line="360" w:lineRule="auto"/>
        <w:ind w:right="480" w:firstLine="420" w:firstLineChars="200"/>
        <w:textAlignment w:val="baseline"/>
        <w:rPr>
          <w:rFonts w:ascii="宋体" w:hAnsi="宋体"/>
          <w:color w:val="auto"/>
          <w:szCs w:val="21"/>
          <w:highlight w:val="none"/>
        </w:rPr>
      </w:pPr>
      <w:r>
        <w:rPr>
          <w:rFonts w:hint="eastAsia" w:ascii="宋体" w:hAnsi="宋体"/>
          <w:color w:val="auto"/>
          <w:szCs w:val="21"/>
          <w:highlight w:val="none"/>
          <w:lang w:eastAsia="zh-CN"/>
        </w:rPr>
        <w:t>供应商</w:t>
      </w:r>
      <w:r>
        <w:rPr>
          <w:rFonts w:hint="eastAsia" w:ascii="宋体" w:hAnsi="宋体"/>
          <w:color w:val="auto"/>
          <w:szCs w:val="21"/>
          <w:highlight w:val="none"/>
        </w:rPr>
        <w:t>公章：                   年  月  日</w:t>
      </w:r>
    </w:p>
    <w:p>
      <w:pPr>
        <w:pStyle w:val="2"/>
        <w:rPr>
          <w:color w:val="auto"/>
          <w:highlight w:val="none"/>
        </w:rPr>
        <w:sectPr>
          <w:pgSz w:w="11906" w:h="16838"/>
          <w:pgMar w:top="1474" w:right="1797" w:bottom="1247" w:left="1797" w:header="851" w:footer="851" w:gutter="0"/>
          <w:cols w:space="720" w:num="1"/>
          <w:docGrid w:linePitch="312" w:charSpace="0"/>
        </w:sectPr>
      </w:pPr>
    </w:p>
    <w:p>
      <w:pPr>
        <w:snapToGrid w:val="0"/>
        <w:spacing w:line="360" w:lineRule="auto"/>
        <w:ind w:firstLine="420" w:firstLineChars="200"/>
        <w:jc w:val="left"/>
        <w:rPr>
          <w:rFonts w:ascii="宋体" w:hAnsi="宋体"/>
          <w:color w:val="auto"/>
          <w:szCs w:val="21"/>
          <w:highlight w:val="none"/>
        </w:rPr>
      </w:pPr>
      <w:r>
        <w:rPr>
          <w:rFonts w:ascii="宋体" w:hAnsi="宋体"/>
          <w:color w:val="auto"/>
          <w:szCs w:val="21"/>
          <w:highlight w:val="none"/>
        </w:rPr>
        <w:t>项目实施人员一览表</w:t>
      </w:r>
    </w:p>
    <w:p>
      <w:pPr>
        <w:snapToGrid w:val="0"/>
        <w:spacing w:line="360" w:lineRule="auto"/>
        <w:ind w:firstLine="422" w:firstLineChars="200"/>
        <w:jc w:val="center"/>
        <w:rPr>
          <w:rFonts w:ascii="宋体" w:hAnsi="宋体"/>
          <w:b/>
          <w:color w:val="auto"/>
          <w:szCs w:val="21"/>
          <w:highlight w:val="none"/>
        </w:rPr>
      </w:pPr>
      <w:r>
        <w:rPr>
          <w:rFonts w:hint="eastAsia" w:ascii="宋体" w:hAnsi="宋体"/>
          <w:b/>
          <w:color w:val="auto"/>
          <w:szCs w:val="21"/>
          <w:highlight w:val="none"/>
        </w:rPr>
        <w:t>项目实施人员（主要从业人员及其技术资格）一览表</w:t>
      </w:r>
    </w:p>
    <w:tbl>
      <w:tblPr>
        <w:tblStyle w:val="54"/>
        <w:tblW w:w="8898" w:type="dxa"/>
        <w:tblInd w:w="-143" w:type="dxa"/>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1004"/>
        <w:gridCol w:w="1004"/>
        <w:gridCol w:w="1663"/>
        <w:gridCol w:w="1260"/>
        <w:gridCol w:w="1274"/>
        <w:gridCol w:w="1559"/>
        <w:gridCol w:w="1134"/>
      </w:tblGrid>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1004" w:type="dxa"/>
            <w:tcBorders>
              <w:top w:val="single" w:color="auto" w:sz="4" w:space="0"/>
              <w:left w:val="single" w:color="auto" w:sz="4" w:space="0"/>
              <w:bottom w:val="single" w:color="auto" w:sz="4" w:space="0"/>
              <w:right w:val="single" w:color="auto" w:sz="4" w:space="0"/>
            </w:tcBorders>
            <w:noWrap w:val="0"/>
            <w:vAlign w:val="center"/>
          </w:tcPr>
          <w:p>
            <w:pPr>
              <w:snapToGrid w:val="0"/>
              <w:spacing w:line="360" w:lineRule="auto"/>
              <w:jc w:val="center"/>
              <w:rPr>
                <w:rFonts w:ascii="宋体" w:hAnsi="宋体"/>
                <w:color w:val="auto"/>
                <w:szCs w:val="21"/>
                <w:highlight w:val="none"/>
              </w:rPr>
            </w:pPr>
            <w:r>
              <w:rPr>
                <w:rFonts w:hint="eastAsia" w:ascii="宋体" w:hAnsi="宋体"/>
                <w:color w:val="auto"/>
                <w:szCs w:val="21"/>
                <w:highlight w:val="none"/>
              </w:rPr>
              <w:t>姓名</w:t>
            </w:r>
          </w:p>
        </w:tc>
        <w:tc>
          <w:tcPr>
            <w:tcW w:w="1004" w:type="dxa"/>
            <w:tcBorders>
              <w:top w:val="single" w:color="auto" w:sz="4" w:space="0"/>
              <w:left w:val="single" w:color="auto" w:sz="4" w:space="0"/>
              <w:bottom w:val="single" w:color="auto" w:sz="4" w:space="0"/>
              <w:right w:val="single" w:color="auto" w:sz="4" w:space="0"/>
            </w:tcBorders>
            <w:noWrap w:val="0"/>
            <w:vAlign w:val="center"/>
          </w:tcPr>
          <w:p>
            <w:pPr>
              <w:snapToGrid w:val="0"/>
              <w:spacing w:line="360" w:lineRule="auto"/>
              <w:jc w:val="center"/>
              <w:rPr>
                <w:rFonts w:ascii="宋体" w:hAnsi="宋体"/>
                <w:color w:val="auto"/>
                <w:szCs w:val="21"/>
                <w:highlight w:val="none"/>
              </w:rPr>
            </w:pPr>
            <w:r>
              <w:rPr>
                <w:rFonts w:hint="eastAsia" w:ascii="宋体" w:hAnsi="宋体"/>
                <w:color w:val="auto"/>
                <w:szCs w:val="21"/>
                <w:highlight w:val="none"/>
              </w:rPr>
              <w:t>职务</w:t>
            </w:r>
          </w:p>
        </w:tc>
        <w:tc>
          <w:tcPr>
            <w:tcW w:w="1663" w:type="dxa"/>
            <w:tcBorders>
              <w:top w:val="single" w:color="auto" w:sz="4" w:space="0"/>
              <w:left w:val="single" w:color="auto" w:sz="4" w:space="0"/>
              <w:bottom w:val="single" w:color="auto" w:sz="4" w:space="0"/>
              <w:right w:val="single" w:color="auto" w:sz="4" w:space="0"/>
            </w:tcBorders>
            <w:noWrap w:val="0"/>
            <w:vAlign w:val="center"/>
          </w:tcPr>
          <w:p>
            <w:pPr>
              <w:snapToGrid w:val="0"/>
              <w:spacing w:line="360" w:lineRule="auto"/>
              <w:jc w:val="center"/>
              <w:rPr>
                <w:rFonts w:ascii="宋体" w:hAnsi="宋体"/>
                <w:color w:val="auto"/>
                <w:szCs w:val="21"/>
                <w:highlight w:val="none"/>
              </w:rPr>
            </w:pPr>
            <w:r>
              <w:rPr>
                <w:rFonts w:hint="eastAsia" w:ascii="宋体" w:hAnsi="宋体"/>
                <w:color w:val="auto"/>
                <w:szCs w:val="21"/>
                <w:highlight w:val="none"/>
              </w:rPr>
              <w:t>专业技术资格</w:t>
            </w:r>
          </w:p>
        </w:tc>
        <w:tc>
          <w:tcPr>
            <w:tcW w:w="1260" w:type="dxa"/>
            <w:tcBorders>
              <w:top w:val="single" w:color="auto" w:sz="4" w:space="0"/>
              <w:left w:val="single" w:color="auto" w:sz="4" w:space="0"/>
              <w:bottom w:val="single" w:color="auto" w:sz="4" w:space="0"/>
              <w:right w:val="single" w:color="auto" w:sz="4" w:space="0"/>
            </w:tcBorders>
            <w:noWrap w:val="0"/>
            <w:vAlign w:val="center"/>
          </w:tcPr>
          <w:p>
            <w:pPr>
              <w:snapToGrid w:val="0"/>
              <w:spacing w:line="360" w:lineRule="auto"/>
              <w:jc w:val="center"/>
              <w:rPr>
                <w:rFonts w:ascii="宋体" w:hAnsi="宋体"/>
                <w:color w:val="auto"/>
                <w:szCs w:val="21"/>
                <w:highlight w:val="none"/>
              </w:rPr>
            </w:pPr>
            <w:r>
              <w:rPr>
                <w:rFonts w:hint="eastAsia" w:ascii="宋体" w:hAnsi="宋体"/>
                <w:color w:val="auto"/>
                <w:szCs w:val="21"/>
                <w:highlight w:val="none"/>
              </w:rPr>
              <w:t>证书编号</w:t>
            </w:r>
          </w:p>
        </w:tc>
        <w:tc>
          <w:tcPr>
            <w:tcW w:w="1274" w:type="dxa"/>
            <w:tcBorders>
              <w:top w:val="single" w:color="auto" w:sz="4" w:space="0"/>
              <w:left w:val="single" w:color="auto" w:sz="4" w:space="0"/>
              <w:bottom w:val="single" w:color="auto" w:sz="4" w:space="0"/>
              <w:right w:val="single" w:color="auto" w:sz="4" w:space="0"/>
            </w:tcBorders>
            <w:noWrap w:val="0"/>
            <w:vAlign w:val="center"/>
          </w:tcPr>
          <w:p>
            <w:pPr>
              <w:snapToGrid w:val="0"/>
              <w:spacing w:line="360" w:lineRule="auto"/>
              <w:jc w:val="center"/>
              <w:rPr>
                <w:rFonts w:ascii="宋体" w:hAnsi="宋体"/>
                <w:bCs/>
                <w:color w:val="auto"/>
                <w:szCs w:val="21"/>
                <w:highlight w:val="none"/>
              </w:rPr>
            </w:pPr>
            <w:r>
              <w:rPr>
                <w:rFonts w:hint="eastAsia" w:ascii="宋体" w:hAnsi="宋体"/>
                <w:bCs/>
                <w:color w:val="auto"/>
                <w:szCs w:val="21"/>
                <w:highlight w:val="none"/>
              </w:rPr>
              <w:t>参加本单位工作时间</w:t>
            </w:r>
          </w:p>
        </w:tc>
        <w:tc>
          <w:tcPr>
            <w:tcW w:w="1559" w:type="dxa"/>
            <w:tcBorders>
              <w:top w:val="single" w:color="auto" w:sz="4" w:space="0"/>
              <w:left w:val="single" w:color="auto" w:sz="4" w:space="0"/>
              <w:bottom w:val="single" w:color="auto" w:sz="4" w:space="0"/>
              <w:right w:val="single" w:color="auto" w:sz="4" w:space="0"/>
            </w:tcBorders>
            <w:noWrap w:val="0"/>
            <w:vAlign w:val="center"/>
          </w:tcPr>
          <w:p>
            <w:pPr>
              <w:snapToGrid w:val="0"/>
              <w:spacing w:line="360" w:lineRule="auto"/>
              <w:jc w:val="center"/>
              <w:rPr>
                <w:rFonts w:ascii="宋体" w:hAnsi="宋体"/>
                <w:bCs/>
                <w:color w:val="auto"/>
                <w:szCs w:val="21"/>
                <w:highlight w:val="none"/>
              </w:rPr>
            </w:pPr>
            <w:r>
              <w:rPr>
                <w:rFonts w:hint="eastAsia" w:ascii="宋体" w:hAnsi="宋体"/>
                <w:bCs/>
                <w:color w:val="auto"/>
                <w:szCs w:val="21"/>
                <w:highlight w:val="none"/>
              </w:rPr>
              <w:t>劳动合同编号</w:t>
            </w:r>
          </w:p>
        </w:tc>
        <w:tc>
          <w:tcPr>
            <w:tcW w:w="1134" w:type="dxa"/>
            <w:tcBorders>
              <w:top w:val="single" w:color="auto" w:sz="4" w:space="0"/>
              <w:left w:val="single" w:color="auto" w:sz="4" w:space="0"/>
              <w:bottom w:val="single" w:color="auto" w:sz="4" w:space="0"/>
              <w:right w:val="single" w:color="auto" w:sz="4" w:space="0"/>
            </w:tcBorders>
            <w:noWrap w:val="0"/>
            <w:vAlign w:val="top"/>
          </w:tcPr>
          <w:p>
            <w:pPr>
              <w:snapToGrid w:val="0"/>
              <w:spacing w:line="360" w:lineRule="auto"/>
              <w:jc w:val="center"/>
              <w:rPr>
                <w:rFonts w:ascii="宋体" w:hAnsi="宋体"/>
                <w:bCs/>
                <w:color w:val="auto"/>
                <w:szCs w:val="21"/>
                <w:highlight w:val="none"/>
              </w:rPr>
            </w:pPr>
            <w:r>
              <w:rPr>
                <w:rFonts w:hint="eastAsia" w:ascii="宋体" w:hAnsi="宋体"/>
                <w:bCs/>
                <w:color w:val="auto"/>
                <w:szCs w:val="21"/>
                <w:highlight w:val="none"/>
              </w:rPr>
              <w:t>本项目中担任职务</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1004" w:type="dxa"/>
            <w:tcBorders>
              <w:top w:val="single" w:color="auto" w:sz="4" w:space="0"/>
              <w:left w:val="single" w:color="auto" w:sz="4" w:space="0"/>
              <w:bottom w:val="single" w:color="auto" w:sz="4" w:space="0"/>
              <w:right w:val="single" w:color="auto" w:sz="4" w:space="0"/>
            </w:tcBorders>
            <w:noWrap w:val="0"/>
            <w:vAlign w:val="center"/>
          </w:tcPr>
          <w:p>
            <w:pPr>
              <w:snapToGrid w:val="0"/>
              <w:spacing w:line="360" w:lineRule="auto"/>
              <w:ind w:firstLine="420" w:firstLineChars="200"/>
              <w:jc w:val="center"/>
              <w:rPr>
                <w:rFonts w:ascii="宋体" w:hAnsi="宋体"/>
                <w:color w:val="auto"/>
                <w:szCs w:val="21"/>
                <w:highlight w:val="none"/>
              </w:rPr>
            </w:pPr>
          </w:p>
        </w:tc>
        <w:tc>
          <w:tcPr>
            <w:tcW w:w="1004" w:type="dxa"/>
            <w:tcBorders>
              <w:top w:val="single" w:color="auto" w:sz="4" w:space="0"/>
              <w:left w:val="single" w:color="auto" w:sz="4" w:space="0"/>
              <w:bottom w:val="single" w:color="auto" w:sz="4" w:space="0"/>
              <w:right w:val="single" w:color="auto" w:sz="4" w:space="0"/>
            </w:tcBorders>
            <w:noWrap w:val="0"/>
            <w:vAlign w:val="center"/>
          </w:tcPr>
          <w:p>
            <w:pPr>
              <w:snapToGrid w:val="0"/>
              <w:spacing w:line="360" w:lineRule="auto"/>
              <w:ind w:firstLine="420" w:firstLineChars="200"/>
              <w:jc w:val="center"/>
              <w:rPr>
                <w:rFonts w:ascii="宋体" w:hAnsi="宋体"/>
                <w:color w:val="auto"/>
                <w:szCs w:val="21"/>
                <w:highlight w:val="none"/>
              </w:rPr>
            </w:pPr>
          </w:p>
        </w:tc>
        <w:tc>
          <w:tcPr>
            <w:tcW w:w="1663" w:type="dxa"/>
            <w:tcBorders>
              <w:top w:val="single" w:color="auto" w:sz="4" w:space="0"/>
              <w:left w:val="single" w:color="auto" w:sz="4" w:space="0"/>
              <w:bottom w:val="single" w:color="auto" w:sz="4" w:space="0"/>
              <w:right w:val="single" w:color="auto" w:sz="4" w:space="0"/>
            </w:tcBorders>
            <w:noWrap w:val="0"/>
            <w:vAlign w:val="center"/>
          </w:tcPr>
          <w:p>
            <w:pPr>
              <w:snapToGrid w:val="0"/>
              <w:spacing w:line="360" w:lineRule="auto"/>
              <w:ind w:firstLine="420" w:firstLineChars="200"/>
              <w:jc w:val="center"/>
              <w:rPr>
                <w:rFonts w:ascii="宋体" w:hAnsi="宋体"/>
                <w:color w:val="auto"/>
                <w:szCs w:val="21"/>
                <w:highlight w:val="none"/>
              </w:rPr>
            </w:pPr>
          </w:p>
        </w:tc>
        <w:tc>
          <w:tcPr>
            <w:tcW w:w="1260" w:type="dxa"/>
            <w:tcBorders>
              <w:top w:val="single" w:color="auto" w:sz="4" w:space="0"/>
              <w:left w:val="single" w:color="auto" w:sz="4" w:space="0"/>
              <w:bottom w:val="single" w:color="auto" w:sz="4" w:space="0"/>
              <w:right w:val="single" w:color="auto" w:sz="4" w:space="0"/>
            </w:tcBorders>
            <w:noWrap w:val="0"/>
            <w:vAlign w:val="center"/>
          </w:tcPr>
          <w:p>
            <w:pPr>
              <w:snapToGrid w:val="0"/>
              <w:spacing w:line="360" w:lineRule="auto"/>
              <w:ind w:firstLine="420" w:firstLineChars="200"/>
              <w:jc w:val="center"/>
              <w:rPr>
                <w:rFonts w:ascii="宋体" w:hAnsi="宋体"/>
                <w:color w:val="auto"/>
                <w:szCs w:val="21"/>
                <w:highlight w:val="none"/>
              </w:rPr>
            </w:pPr>
          </w:p>
        </w:tc>
        <w:tc>
          <w:tcPr>
            <w:tcW w:w="1274" w:type="dxa"/>
            <w:tcBorders>
              <w:top w:val="single" w:color="auto" w:sz="4" w:space="0"/>
              <w:left w:val="single" w:color="auto" w:sz="4" w:space="0"/>
              <w:bottom w:val="single" w:color="auto" w:sz="4" w:space="0"/>
              <w:right w:val="single" w:color="auto" w:sz="4" w:space="0"/>
            </w:tcBorders>
            <w:noWrap w:val="0"/>
            <w:vAlign w:val="center"/>
          </w:tcPr>
          <w:p>
            <w:pPr>
              <w:snapToGrid w:val="0"/>
              <w:spacing w:line="360" w:lineRule="auto"/>
              <w:ind w:firstLine="420" w:firstLineChars="200"/>
              <w:jc w:val="center"/>
              <w:rPr>
                <w:rFonts w:ascii="宋体" w:hAnsi="宋体"/>
                <w:color w:val="auto"/>
                <w:szCs w:val="21"/>
                <w:highlight w:val="none"/>
              </w:rPr>
            </w:pPr>
          </w:p>
        </w:tc>
        <w:tc>
          <w:tcPr>
            <w:tcW w:w="1559" w:type="dxa"/>
            <w:tcBorders>
              <w:top w:val="single" w:color="auto" w:sz="4" w:space="0"/>
              <w:left w:val="single" w:color="auto" w:sz="4" w:space="0"/>
              <w:bottom w:val="single" w:color="auto" w:sz="4" w:space="0"/>
              <w:right w:val="single" w:color="auto" w:sz="4" w:space="0"/>
            </w:tcBorders>
            <w:noWrap w:val="0"/>
            <w:vAlign w:val="center"/>
          </w:tcPr>
          <w:p>
            <w:pPr>
              <w:snapToGrid w:val="0"/>
              <w:spacing w:line="360" w:lineRule="auto"/>
              <w:ind w:firstLine="420" w:firstLineChars="200"/>
              <w:jc w:val="center"/>
              <w:rPr>
                <w:rFonts w:ascii="宋体" w:hAnsi="宋体"/>
                <w:color w:val="auto"/>
                <w:szCs w:val="21"/>
                <w:highlight w:val="none"/>
              </w:rPr>
            </w:pPr>
          </w:p>
        </w:tc>
        <w:tc>
          <w:tcPr>
            <w:tcW w:w="1134" w:type="dxa"/>
            <w:tcBorders>
              <w:top w:val="single" w:color="auto" w:sz="4" w:space="0"/>
              <w:left w:val="single" w:color="auto" w:sz="4" w:space="0"/>
              <w:bottom w:val="single" w:color="auto" w:sz="4" w:space="0"/>
              <w:right w:val="single" w:color="auto" w:sz="4" w:space="0"/>
            </w:tcBorders>
            <w:noWrap w:val="0"/>
            <w:vAlign w:val="center"/>
          </w:tcPr>
          <w:p>
            <w:pPr>
              <w:snapToGrid w:val="0"/>
              <w:spacing w:line="360" w:lineRule="auto"/>
              <w:jc w:val="center"/>
              <w:rPr>
                <w:rFonts w:hint="default" w:ascii="宋体" w:hAnsi="宋体" w:eastAsia="宋体"/>
                <w:color w:val="auto"/>
                <w:szCs w:val="21"/>
                <w:highlight w:val="none"/>
                <w:lang w:val="en-US" w:eastAsia="zh-CN"/>
              </w:rPr>
            </w:pPr>
            <w:r>
              <w:rPr>
                <w:rFonts w:hint="eastAsia" w:ascii="宋体" w:hAnsi="宋体"/>
                <w:color w:val="auto"/>
                <w:szCs w:val="21"/>
                <w:highlight w:val="none"/>
                <w:lang w:val="en-US" w:eastAsia="zh-CN"/>
              </w:rPr>
              <w:t>项目总负责人</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1004" w:type="dxa"/>
            <w:tcBorders>
              <w:top w:val="single" w:color="auto" w:sz="4" w:space="0"/>
              <w:left w:val="single" w:color="auto" w:sz="4" w:space="0"/>
              <w:bottom w:val="single" w:color="auto" w:sz="4" w:space="0"/>
              <w:right w:val="single" w:color="auto" w:sz="4" w:space="0"/>
            </w:tcBorders>
            <w:noWrap w:val="0"/>
            <w:vAlign w:val="center"/>
          </w:tcPr>
          <w:p>
            <w:pPr>
              <w:snapToGrid w:val="0"/>
              <w:spacing w:line="360" w:lineRule="auto"/>
              <w:ind w:firstLine="420" w:firstLineChars="200"/>
              <w:jc w:val="center"/>
              <w:rPr>
                <w:rFonts w:ascii="宋体" w:hAnsi="宋体"/>
                <w:color w:val="auto"/>
                <w:szCs w:val="21"/>
                <w:highlight w:val="none"/>
              </w:rPr>
            </w:pPr>
          </w:p>
        </w:tc>
        <w:tc>
          <w:tcPr>
            <w:tcW w:w="1004" w:type="dxa"/>
            <w:tcBorders>
              <w:top w:val="single" w:color="auto" w:sz="4" w:space="0"/>
              <w:left w:val="single" w:color="auto" w:sz="4" w:space="0"/>
              <w:bottom w:val="single" w:color="auto" w:sz="4" w:space="0"/>
              <w:right w:val="single" w:color="auto" w:sz="4" w:space="0"/>
            </w:tcBorders>
            <w:noWrap w:val="0"/>
            <w:vAlign w:val="center"/>
          </w:tcPr>
          <w:p>
            <w:pPr>
              <w:snapToGrid w:val="0"/>
              <w:spacing w:line="360" w:lineRule="auto"/>
              <w:ind w:firstLine="420" w:firstLineChars="200"/>
              <w:jc w:val="center"/>
              <w:rPr>
                <w:rFonts w:ascii="宋体" w:hAnsi="宋体"/>
                <w:color w:val="auto"/>
                <w:szCs w:val="21"/>
                <w:highlight w:val="none"/>
              </w:rPr>
            </w:pPr>
          </w:p>
        </w:tc>
        <w:tc>
          <w:tcPr>
            <w:tcW w:w="1663" w:type="dxa"/>
            <w:tcBorders>
              <w:top w:val="single" w:color="auto" w:sz="4" w:space="0"/>
              <w:left w:val="single" w:color="auto" w:sz="4" w:space="0"/>
              <w:bottom w:val="single" w:color="auto" w:sz="4" w:space="0"/>
              <w:right w:val="single" w:color="auto" w:sz="4" w:space="0"/>
            </w:tcBorders>
            <w:noWrap w:val="0"/>
            <w:vAlign w:val="center"/>
          </w:tcPr>
          <w:p>
            <w:pPr>
              <w:snapToGrid w:val="0"/>
              <w:spacing w:line="360" w:lineRule="auto"/>
              <w:ind w:firstLine="420" w:firstLineChars="200"/>
              <w:jc w:val="center"/>
              <w:rPr>
                <w:rFonts w:ascii="宋体" w:hAnsi="宋体"/>
                <w:color w:val="auto"/>
                <w:szCs w:val="21"/>
                <w:highlight w:val="none"/>
              </w:rPr>
            </w:pPr>
          </w:p>
        </w:tc>
        <w:tc>
          <w:tcPr>
            <w:tcW w:w="1260" w:type="dxa"/>
            <w:tcBorders>
              <w:top w:val="single" w:color="auto" w:sz="4" w:space="0"/>
              <w:left w:val="single" w:color="auto" w:sz="4" w:space="0"/>
              <w:bottom w:val="single" w:color="auto" w:sz="4" w:space="0"/>
              <w:right w:val="single" w:color="auto" w:sz="4" w:space="0"/>
            </w:tcBorders>
            <w:noWrap w:val="0"/>
            <w:vAlign w:val="center"/>
          </w:tcPr>
          <w:p>
            <w:pPr>
              <w:snapToGrid w:val="0"/>
              <w:spacing w:line="360" w:lineRule="auto"/>
              <w:ind w:firstLine="420" w:firstLineChars="200"/>
              <w:jc w:val="center"/>
              <w:rPr>
                <w:rFonts w:ascii="宋体" w:hAnsi="宋体"/>
                <w:color w:val="auto"/>
                <w:szCs w:val="21"/>
                <w:highlight w:val="none"/>
              </w:rPr>
            </w:pPr>
          </w:p>
        </w:tc>
        <w:tc>
          <w:tcPr>
            <w:tcW w:w="1274" w:type="dxa"/>
            <w:tcBorders>
              <w:top w:val="single" w:color="auto" w:sz="4" w:space="0"/>
              <w:left w:val="single" w:color="auto" w:sz="4" w:space="0"/>
              <w:bottom w:val="single" w:color="auto" w:sz="4" w:space="0"/>
              <w:right w:val="single" w:color="auto" w:sz="4" w:space="0"/>
            </w:tcBorders>
            <w:noWrap w:val="0"/>
            <w:vAlign w:val="center"/>
          </w:tcPr>
          <w:p>
            <w:pPr>
              <w:snapToGrid w:val="0"/>
              <w:spacing w:line="360" w:lineRule="auto"/>
              <w:ind w:firstLine="420" w:firstLineChars="200"/>
              <w:jc w:val="center"/>
              <w:rPr>
                <w:rFonts w:ascii="宋体" w:hAnsi="宋体"/>
                <w:color w:val="auto"/>
                <w:szCs w:val="21"/>
                <w:highlight w:val="none"/>
              </w:rPr>
            </w:pPr>
          </w:p>
        </w:tc>
        <w:tc>
          <w:tcPr>
            <w:tcW w:w="1559" w:type="dxa"/>
            <w:tcBorders>
              <w:top w:val="single" w:color="auto" w:sz="4" w:space="0"/>
              <w:left w:val="single" w:color="auto" w:sz="4" w:space="0"/>
              <w:bottom w:val="single" w:color="auto" w:sz="4" w:space="0"/>
              <w:right w:val="single" w:color="auto" w:sz="4" w:space="0"/>
            </w:tcBorders>
            <w:noWrap w:val="0"/>
            <w:vAlign w:val="center"/>
          </w:tcPr>
          <w:p>
            <w:pPr>
              <w:snapToGrid w:val="0"/>
              <w:spacing w:line="360" w:lineRule="auto"/>
              <w:ind w:firstLine="420" w:firstLineChars="200"/>
              <w:jc w:val="center"/>
              <w:rPr>
                <w:rFonts w:ascii="宋体" w:hAnsi="宋体"/>
                <w:color w:val="auto"/>
                <w:szCs w:val="21"/>
                <w:highlight w:val="none"/>
              </w:rPr>
            </w:pPr>
          </w:p>
        </w:tc>
        <w:tc>
          <w:tcPr>
            <w:tcW w:w="1134" w:type="dxa"/>
            <w:tcBorders>
              <w:top w:val="single" w:color="auto" w:sz="4" w:space="0"/>
              <w:left w:val="single" w:color="auto" w:sz="4" w:space="0"/>
              <w:bottom w:val="single" w:color="auto" w:sz="4" w:space="0"/>
              <w:right w:val="single" w:color="auto" w:sz="4" w:space="0"/>
            </w:tcBorders>
            <w:noWrap w:val="0"/>
            <w:vAlign w:val="center"/>
          </w:tcPr>
          <w:p>
            <w:pPr>
              <w:snapToGrid w:val="0"/>
              <w:spacing w:line="360" w:lineRule="auto"/>
              <w:jc w:val="center"/>
              <w:rPr>
                <w:rFonts w:hint="default" w:ascii="宋体" w:hAnsi="宋体" w:eastAsia="宋体"/>
                <w:color w:val="auto"/>
                <w:szCs w:val="21"/>
                <w:highlight w:val="none"/>
                <w:lang w:val="en-US" w:eastAsia="zh-CN"/>
              </w:rPr>
            </w:pPr>
            <w:r>
              <w:rPr>
                <w:rFonts w:hint="eastAsia" w:ascii="宋体" w:hAnsi="宋体"/>
                <w:color w:val="auto"/>
                <w:szCs w:val="21"/>
                <w:highlight w:val="none"/>
                <w:lang w:val="en-US" w:eastAsia="zh-CN"/>
              </w:rPr>
              <w:t>设计负责人</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1004" w:type="dxa"/>
            <w:tcBorders>
              <w:top w:val="single" w:color="auto" w:sz="4" w:space="0"/>
              <w:left w:val="single" w:color="auto" w:sz="4" w:space="0"/>
              <w:bottom w:val="single" w:color="auto" w:sz="4" w:space="0"/>
              <w:right w:val="single" w:color="auto" w:sz="4" w:space="0"/>
            </w:tcBorders>
            <w:noWrap w:val="0"/>
            <w:vAlign w:val="center"/>
          </w:tcPr>
          <w:p>
            <w:pPr>
              <w:snapToGrid w:val="0"/>
              <w:spacing w:line="360" w:lineRule="auto"/>
              <w:ind w:firstLine="420" w:firstLineChars="200"/>
              <w:jc w:val="center"/>
              <w:rPr>
                <w:rFonts w:ascii="宋体" w:hAnsi="宋体"/>
                <w:color w:val="auto"/>
                <w:szCs w:val="21"/>
                <w:highlight w:val="none"/>
              </w:rPr>
            </w:pPr>
          </w:p>
        </w:tc>
        <w:tc>
          <w:tcPr>
            <w:tcW w:w="1004" w:type="dxa"/>
            <w:tcBorders>
              <w:top w:val="single" w:color="auto" w:sz="4" w:space="0"/>
              <w:left w:val="single" w:color="auto" w:sz="4" w:space="0"/>
              <w:bottom w:val="single" w:color="auto" w:sz="4" w:space="0"/>
              <w:right w:val="single" w:color="auto" w:sz="4" w:space="0"/>
            </w:tcBorders>
            <w:noWrap w:val="0"/>
            <w:vAlign w:val="center"/>
          </w:tcPr>
          <w:p>
            <w:pPr>
              <w:snapToGrid w:val="0"/>
              <w:spacing w:line="360" w:lineRule="auto"/>
              <w:ind w:firstLine="420" w:firstLineChars="200"/>
              <w:jc w:val="center"/>
              <w:rPr>
                <w:rFonts w:ascii="宋体" w:hAnsi="宋体"/>
                <w:color w:val="auto"/>
                <w:szCs w:val="21"/>
                <w:highlight w:val="none"/>
              </w:rPr>
            </w:pPr>
          </w:p>
        </w:tc>
        <w:tc>
          <w:tcPr>
            <w:tcW w:w="1663" w:type="dxa"/>
            <w:tcBorders>
              <w:top w:val="single" w:color="auto" w:sz="4" w:space="0"/>
              <w:left w:val="single" w:color="auto" w:sz="4" w:space="0"/>
              <w:bottom w:val="single" w:color="auto" w:sz="4" w:space="0"/>
              <w:right w:val="single" w:color="auto" w:sz="4" w:space="0"/>
            </w:tcBorders>
            <w:noWrap w:val="0"/>
            <w:vAlign w:val="center"/>
          </w:tcPr>
          <w:p>
            <w:pPr>
              <w:pStyle w:val="31"/>
              <w:snapToGrid w:val="0"/>
              <w:spacing w:line="360" w:lineRule="auto"/>
              <w:ind w:leftChars="0" w:firstLine="420" w:firstLineChars="200"/>
              <w:jc w:val="center"/>
              <w:rPr>
                <w:rFonts w:ascii="宋体" w:hAnsi="宋体" w:eastAsia="宋体"/>
                <w:color w:val="auto"/>
                <w:sz w:val="21"/>
                <w:szCs w:val="21"/>
                <w:highlight w:val="none"/>
              </w:rPr>
            </w:pPr>
          </w:p>
        </w:tc>
        <w:tc>
          <w:tcPr>
            <w:tcW w:w="1260" w:type="dxa"/>
            <w:tcBorders>
              <w:top w:val="single" w:color="auto" w:sz="4" w:space="0"/>
              <w:left w:val="single" w:color="auto" w:sz="4" w:space="0"/>
              <w:bottom w:val="single" w:color="auto" w:sz="4" w:space="0"/>
              <w:right w:val="single" w:color="auto" w:sz="4" w:space="0"/>
            </w:tcBorders>
            <w:noWrap w:val="0"/>
            <w:vAlign w:val="center"/>
          </w:tcPr>
          <w:p>
            <w:pPr>
              <w:snapToGrid w:val="0"/>
              <w:spacing w:line="360" w:lineRule="auto"/>
              <w:ind w:firstLine="420" w:firstLineChars="200"/>
              <w:jc w:val="center"/>
              <w:rPr>
                <w:rFonts w:ascii="宋体" w:hAnsi="宋体"/>
                <w:color w:val="auto"/>
                <w:szCs w:val="21"/>
                <w:highlight w:val="none"/>
              </w:rPr>
            </w:pPr>
          </w:p>
        </w:tc>
        <w:tc>
          <w:tcPr>
            <w:tcW w:w="1274" w:type="dxa"/>
            <w:tcBorders>
              <w:top w:val="single" w:color="auto" w:sz="4" w:space="0"/>
              <w:left w:val="single" w:color="auto" w:sz="4" w:space="0"/>
              <w:bottom w:val="single" w:color="auto" w:sz="4" w:space="0"/>
              <w:right w:val="single" w:color="auto" w:sz="4" w:space="0"/>
            </w:tcBorders>
            <w:noWrap w:val="0"/>
            <w:vAlign w:val="center"/>
          </w:tcPr>
          <w:p>
            <w:pPr>
              <w:snapToGrid w:val="0"/>
              <w:spacing w:line="360" w:lineRule="auto"/>
              <w:ind w:firstLine="420" w:firstLineChars="200"/>
              <w:jc w:val="center"/>
              <w:rPr>
                <w:rFonts w:ascii="宋体" w:hAnsi="宋体"/>
                <w:color w:val="auto"/>
                <w:szCs w:val="21"/>
                <w:highlight w:val="none"/>
              </w:rPr>
            </w:pPr>
          </w:p>
        </w:tc>
        <w:tc>
          <w:tcPr>
            <w:tcW w:w="1559" w:type="dxa"/>
            <w:tcBorders>
              <w:top w:val="single" w:color="auto" w:sz="4" w:space="0"/>
              <w:left w:val="single" w:color="auto" w:sz="4" w:space="0"/>
              <w:bottom w:val="single" w:color="auto" w:sz="4" w:space="0"/>
              <w:right w:val="single" w:color="auto" w:sz="4" w:space="0"/>
            </w:tcBorders>
            <w:noWrap w:val="0"/>
            <w:vAlign w:val="center"/>
          </w:tcPr>
          <w:p>
            <w:pPr>
              <w:snapToGrid w:val="0"/>
              <w:spacing w:line="360" w:lineRule="auto"/>
              <w:ind w:firstLine="420" w:firstLineChars="200"/>
              <w:jc w:val="center"/>
              <w:rPr>
                <w:rFonts w:ascii="宋体" w:hAnsi="宋体"/>
                <w:color w:val="auto"/>
                <w:szCs w:val="21"/>
                <w:highlight w:val="none"/>
              </w:rPr>
            </w:pPr>
          </w:p>
        </w:tc>
        <w:tc>
          <w:tcPr>
            <w:tcW w:w="1134" w:type="dxa"/>
            <w:tcBorders>
              <w:top w:val="single" w:color="auto" w:sz="4" w:space="0"/>
              <w:left w:val="single" w:color="auto" w:sz="4" w:space="0"/>
              <w:bottom w:val="single" w:color="auto" w:sz="4" w:space="0"/>
              <w:right w:val="single" w:color="auto" w:sz="4" w:space="0"/>
            </w:tcBorders>
            <w:noWrap w:val="0"/>
            <w:vAlign w:val="top"/>
          </w:tcPr>
          <w:p>
            <w:pPr>
              <w:snapToGrid w:val="0"/>
              <w:spacing w:line="360" w:lineRule="auto"/>
              <w:jc w:val="both"/>
              <w:rPr>
                <w:rFonts w:hint="default" w:ascii="宋体" w:hAnsi="宋体" w:eastAsia="宋体"/>
                <w:color w:val="auto"/>
                <w:szCs w:val="21"/>
                <w:highlight w:val="none"/>
                <w:lang w:val="en-US" w:eastAsia="zh-CN"/>
              </w:rPr>
            </w:pPr>
            <w:r>
              <w:rPr>
                <w:rFonts w:hint="eastAsia" w:ascii="宋体" w:hAnsi="宋体"/>
                <w:color w:val="auto"/>
                <w:szCs w:val="21"/>
                <w:highlight w:val="none"/>
                <w:lang w:val="en-US" w:eastAsia="zh-CN"/>
              </w:rPr>
              <w:t>施工项目经理</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1004" w:type="dxa"/>
            <w:tcBorders>
              <w:top w:val="single" w:color="auto" w:sz="4" w:space="0"/>
              <w:left w:val="single" w:color="auto" w:sz="4" w:space="0"/>
              <w:bottom w:val="single" w:color="auto" w:sz="4" w:space="0"/>
              <w:right w:val="single" w:color="auto" w:sz="4" w:space="0"/>
            </w:tcBorders>
            <w:noWrap w:val="0"/>
            <w:vAlign w:val="center"/>
          </w:tcPr>
          <w:p>
            <w:pPr>
              <w:snapToGrid w:val="0"/>
              <w:spacing w:line="360" w:lineRule="auto"/>
              <w:ind w:firstLine="420" w:firstLineChars="200"/>
              <w:jc w:val="center"/>
              <w:rPr>
                <w:rFonts w:ascii="宋体" w:hAnsi="宋体"/>
                <w:color w:val="auto"/>
                <w:szCs w:val="21"/>
                <w:highlight w:val="none"/>
              </w:rPr>
            </w:pPr>
          </w:p>
        </w:tc>
        <w:tc>
          <w:tcPr>
            <w:tcW w:w="1004" w:type="dxa"/>
            <w:tcBorders>
              <w:top w:val="single" w:color="auto" w:sz="4" w:space="0"/>
              <w:left w:val="single" w:color="auto" w:sz="4" w:space="0"/>
              <w:bottom w:val="single" w:color="auto" w:sz="4" w:space="0"/>
              <w:right w:val="single" w:color="auto" w:sz="4" w:space="0"/>
            </w:tcBorders>
            <w:noWrap w:val="0"/>
            <w:vAlign w:val="center"/>
          </w:tcPr>
          <w:p>
            <w:pPr>
              <w:snapToGrid w:val="0"/>
              <w:spacing w:line="360" w:lineRule="auto"/>
              <w:ind w:firstLine="420" w:firstLineChars="200"/>
              <w:jc w:val="center"/>
              <w:rPr>
                <w:rFonts w:ascii="宋体" w:hAnsi="宋体"/>
                <w:color w:val="auto"/>
                <w:szCs w:val="21"/>
                <w:highlight w:val="none"/>
              </w:rPr>
            </w:pPr>
          </w:p>
        </w:tc>
        <w:tc>
          <w:tcPr>
            <w:tcW w:w="1663" w:type="dxa"/>
            <w:tcBorders>
              <w:top w:val="single" w:color="auto" w:sz="4" w:space="0"/>
              <w:left w:val="single" w:color="auto" w:sz="4" w:space="0"/>
              <w:bottom w:val="single" w:color="auto" w:sz="4" w:space="0"/>
              <w:right w:val="single" w:color="auto" w:sz="4" w:space="0"/>
            </w:tcBorders>
            <w:noWrap w:val="0"/>
            <w:vAlign w:val="center"/>
          </w:tcPr>
          <w:p>
            <w:pPr>
              <w:snapToGrid w:val="0"/>
              <w:spacing w:line="360" w:lineRule="auto"/>
              <w:ind w:firstLine="420" w:firstLineChars="200"/>
              <w:jc w:val="center"/>
              <w:rPr>
                <w:rFonts w:ascii="宋体" w:hAnsi="宋体"/>
                <w:color w:val="auto"/>
                <w:szCs w:val="21"/>
                <w:highlight w:val="none"/>
              </w:rPr>
            </w:pPr>
          </w:p>
        </w:tc>
        <w:tc>
          <w:tcPr>
            <w:tcW w:w="1260" w:type="dxa"/>
            <w:tcBorders>
              <w:top w:val="single" w:color="auto" w:sz="4" w:space="0"/>
              <w:left w:val="single" w:color="auto" w:sz="4" w:space="0"/>
              <w:bottom w:val="single" w:color="auto" w:sz="4" w:space="0"/>
              <w:right w:val="single" w:color="auto" w:sz="4" w:space="0"/>
            </w:tcBorders>
            <w:noWrap w:val="0"/>
            <w:vAlign w:val="center"/>
          </w:tcPr>
          <w:p>
            <w:pPr>
              <w:snapToGrid w:val="0"/>
              <w:spacing w:line="360" w:lineRule="auto"/>
              <w:ind w:firstLine="420" w:firstLineChars="200"/>
              <w:jc w:val="center"/>
              <w:rPr>
                <w:rFonts w:ascii="宋体" w:hAnsi="宋体"/>
                <w:color w:val="auto"/>
                <w:szCs w:val="21"/>
                <w:highlight w:val="none"/>
              </w:rPr>
            </w:pPr>
          </w:p>
        </w:tc>
        <w:tc>
          <w:tcPr>
            <w:tcW w:w="1274" w:type="dxa"/>
            <w:tcBorders>
              <w:top w:val="single" w:color="auto" w:sz="4" w:space="0"/>
              <w:left w:val="single" w:color="auto" w:sz="4" w:space="0"/>
              <w:bottom w:val="single" w:color="auto" w:sz="4" w:space="0"/>
              <w:right w:val="single" w:color="auto" w:sz="4" w:space="0"/>
            </w:tcBorders>
            <w:noWrap w:val="0"/>
            <w:vAlign w:val="center"/>
          </w:tcPr>
          <w:p>
            <w:pPr>
              <w:snapToGrid w:val="0"/>
              <w:spacing w:line="360" w:lineRule="auto"/>
              <w:ind w:firstLine="420" w:firstLineChars="200"/>
              <w:jc w:val="center"/>
              <w:rPr>
                <w:rFonts w:ascii="宋体" w:hAnsi="宋体"/>
                <w:color w:val="auto"/>
                <w:szCs w:val="21"/>
                <w:highlight w:val="none"/>
              </w:rPr>
            </w:pPr>
          </w:p>
        </w:tc>
        <w:tc>
          <w:tcPr>
            <w:tcW w:w="1559" w:type="dxa"/>
            <w:tcBorders>
              <w:top w:val="single" w:color="auto" w:sz="4" w:space="0"/>
              <w:left w:val="single" w:color="auto" w:sz="4" w:space="0"/>
              <w:bottom w:val="single" w:color="auto" w:sz="4" w:space="0"/>
              <w:right w:val="single" w:color="auto" w:sz="4" w:space="0"/>
            </w:tcBorders>
            <w:noWrap w:val="0"/>
            <w:vAlign w:val="center"/>
          </w:tcPr>
          <w:p>
            <w:pPr>
              <w:snapToGrid w:val="0"/>
              <w:spacing w:line="360" w:lineRule="auto"/>
              <w:ind w:firstLine="420" w:firstLineChars="200"/>
              <w:jc w:val="center"/>
              <w:rPr>
                <w:rFonts w:ascii="宋体" w:hAnsi="宋体"/>
                <w:color w:val="auto"/>
                <w:szCs w:val="21"/>
                <w:highlight w:val="none"/>
              </w:rPr>
            </w:pPr>
          </w:p>
        </w:tc>
        <w:tc>
          <w:tcPr>
            <w:tcW w:w="1134" w:type="dxa"/>
            <w:tcBorders>
              <w:top w:val="single" w:color="auto" w:sz="4" w:space="0"/>
              <w:left w:val="single" w:color="auto" w:sz="4" w:space="0"/>
              <w:bottom w:val="single" w:color="auto" w:sz="4" w:space="0"/>
              <w:right w:val="single" w:color="auto" w:sz="4" w:space="0"/>
            </w:tcBorders>
            <w:noWrap w:val="0"/>
            <w:vAlign w:val="top"/>
          </w:tcPr>
          <w:p>
            <w:pPr>
              <w:snapToGrid w:val="0"/>
              <w:spacing w:line="360" w:lineRule="auto"/>
              <w:ind w:firstLine="420" w:firstLineChars="200"/>
              <w:jc w:val="center"/>
              <w:rPr>
                <w:rFonts w:ascii="宋体" w:hAnsi="宋体"/>
                <w:color w:val="auto"/>
                <w:szCs w:val="21"/>
                <w:highlight w:val="none"/>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1004" w:type="dxa"/>
            <w:tcBorders>
              <w:top w:val="single" w:color="auto" w:sz="4" w:space="0"/>
              <w:left w:val="single" w:color="auto" w:sz="4" w:space="0"/>
              <w:bottom w:val="single" w:color="auto" w:sz="4" w:space="0"/>
              <w:right w:val="single" w:color="auto" w:sz="4" w:space="0"/>
            </w:tcBorders>
            <w:noWrap w:val="0"/>
            <w:vAlign w:val="center"/>
          </w:tcPr>
          <w:p>
            <w:pPr>
              <w:snapToGrid w:val="0"/>
              <w:spacing w:line="360" w:lineRule="auto"/>
              <w:ind w:firstLine="420" w:firstLineChars="200"/>
              <w:jc w:val="center"/>
              <w:rPr>
                <w:rFonts w:ascii="宋体" w:hAnsi="宋体"/>
                <w:color w:val="auto"/>
                <w:szCs w:val="21"/>
                <w:highlight w:val="none"/>
              </w:rPr>
            </w:pPr>
          </w:p>
        </w:tc>
        <w:tc>
          <w:tcPr>
            <w:tcW w:w="1004" w:type="dxa"/>
            <w:tcBorders>
              <w:top w:val="single" w:color="auto" w:sz="4" w:space="0"/>
              <w:left w:val="single" w:color="auto" w:sz="4" w:space="0"/>
              <w:bottom w:val="single" w:color="auto" w:sz="4" w:space="0"/>
              <w:right w:val="single" w:color="auto" w:sz="4" w:space="0"/>
            </w:tcBorders>
            <w:noWrap w:val="0"/>
            <w:vAlign w:val="center"/>
          </w:tcPr>
          <w:p>
            <w:pPr>
              <w:snapToGrid w:val="0"/>
              <w:spacing w:line="360" w:lineRule="auto"/>
              <w:ind w:firstLine="420" w:firstLineChars="200"/>
              <w:jc w:val="center"/>
              <w:rPr>
                <w:rFonts w:ascii="宋体" w:hAnsi="宋体"/>
                <w:color w:val="auto"/>
                <w:szCs w:val="21"/>
                <w:highlight w:val="none"/>
              </w:rPr>
            </w:pPr>
          </w:p>
        </w:tc>
        <w:tc>
          <w:tcPr>
            <w:tcW w:w="1663" w:type="dxa"/>
            <w:tcBorders>
              <w:top w:val="single" w:color="auto" w:sz="4" w:space="0"/>
              <w:left w:val="single" w:color="auto" w:sz="4" w:space="0"/>
              <w:bottom w:val="single" w:color="auto" w:sz="4" w:space="0"/>
              <w:right w:val="single" w:color="auto" w:sz="4" w:space="0"/>
            </w:tcBorders>
            <w:noWrap w:val="0"/>
            <w:vAlign w:val="center"/>
          </w:tcPr>
          <w:p>
            <w:pPr>
              <w:snapToGrid w:val="0"/>
              <w:spacing w:line="360" w:lineRule="auto"/>
              <w:ind w:firstLine="420" w:firstLineChars="200"/>
              <w:jc w:val="center"/>
              <w:rPr>
                <w:rFonts w:ascii="宋体" w:hAnsi="宋体"/>
                <w:color w:val="auto"/>
                <w:szCs w:val="21"/>
                <w:highlight w:val="none"/>
              </w:rPr>
            </w:pPr>
          </w:p>
        </w:tc>
        <w:tc>
          <w:tcPr>
            <w:tcW w:w="1260" w:type="dxa"/>
            <w:tcBorders>
              <w:top w:val="single" w:color="auto" w:sz="4" w:space="0"/>
              <w:left w:val="single" w:color="auto" w:sz="4" w:space="0"/>
              <w:bottom w:val="single" w:color="auto" w:sz="4" w:space="0"/>
              <w:right w:val="single" w:color="auto" w:sz="4" w:space="0"/>
            </w:tcBorders>
            <w:noWrap w:val="0"/>
            <w:vAlign w:val="center"/>
          </w:tcPr>
          <w:p>
            <w:pPr>
              <w:snapToGrid w:val="0"/>
              <w:spacing w:line="360" w:lineRule="auto"/>
              <w:ind w:firstLine="420" w:firstLineChars="200"/>
              <w:jc w:val="center"/>
              <w:rPr>
                <w:rFonts w:ascii="宋体" w:hAnsi="宋体"/>
                <w:color w:val="auto"/>
                <w:szCs w:val="21"/>
                <w:highlight w:val="none"/>
              </w:rPr>
            </w:pPr>
          </w:p>
        </w:tc>
        <w:tc>
          <w:tcPr>
            <w:tcW w:w="1274" w:type="dxa"/>
            <w:tcBorders>
              <w:top w:val="single" w:color="auto" w:sz="4" w:space="0"/>
              <w:left w:val="single" w:color="auto" w:sz="4" w:space="0"/>
              <w:bottom w:val="single" w:color="auto" w:sz="4" w:space="0"/>
              <w:right w:val="single" w:color="auto" w:sz="4" w:space="0"/>
            </w:tcBorders>
            <w:noWrap w:val="0"/>
            <w:vAlign w:val="center"/>
          </w:tcPr>
          <w:p>
            <w:pPr>
              <w:snapToGrid w:val="0"/>
              <w:spacing w:line="360" w:lineRule="auto"/>
              <w:ind w:firstLine="420" w:firstLineChars="200"/>
              <w:jc w:val="center"/>
              <w:rPr>
                <w:rFonts w:ascii="宋体" w:hAnsi="宋体"/>
                <w:color w:val="auto"/>
                <w:szCs w:val="21"/>
                <w:highlight w:val="none"/>
              </w:rPr>
            </w:pPr>
          </w:p>
        </w:tc>
        <w:tc>
          <w:tcPr>
            <w:tcW w:w="1559" w:type="dxa"/>
            <w:tcBorders>
              <w:top w:val="single" w:color="auto" w:sz="4" w:space="0"/>
              <w:left w:val="single" w:color="auto" w:sz="4" w:space="0"/>
              <w:bottom w:val="single" w:color="auto" w:sz="4" w:space="0"/>
              <w:right w:val="single" w:color="auto" w:sz="4" w:space="0"/>
            </w:tcBorders>
            <w:noWrap w:val="0"/>
            <w:vAlign w:val="center"/>
          </w:tcPr>
          <w:p>
            <w:pPr>
              <w:snapToGrid w:val="0"/>
              <w:spacing w:line="360" w:lineRule="auto"/>
              <w:ind w:firstLine="420" w:firstLineChars="200"/>
              <w:jc w:val="center"/>
              <w:rPr>
                <w:rFonts w:ascii="宋体" w:hAnsi="宋体"/>
                <w:color w:val="auto"/>
                <w:szCs w:val="21"/>
                <w:highlight w:val="none"/>
              </w:rPr>
            </w:pPr>
          </w:p>
        </w:tc>
        <w:tc>
          <w:tcPr>
            <w:tcW w:w="1134" w:type="dxa"/>
            <w:tcBorders>
              <w:top w:val="single" w:color="auto" w:sz="4" w:space="0"/>
              <w:left w:val="single" w:color="auto" w:sz="4" w:space="0"/>
              <w:bottom w:val="single" w:color="auto" w:sz="4" w:space="0"/>
              <w:right w:val="single" w:color="auto" w:sz="4" w:space="0"/>
            </w:tcBorders>
            <w:noWrap w:val="0"/>
            <w:vAlign w:val="top"/>
          </w:tcPr>
          <w:p>
            <w:pPr>
              <w:snapToGrid w:val="0"/>
              <w:spacing w:line="360" w:lineRule="auto"/>
              <w:ind w:firstLine="420" w:firstLineChars="200"/>
              <w:jc w:val="center"/>
              <w:rPr>
                <w:rFonts w:ascii="宋体" w:hAnsi="宋体"/>
                <w:color w:val="auto"/>
                <w:szCs w:val="21"/>
                <w:highlight w:val="none"/>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1004" w:type="dxa"/>
            <w:tcBorders>
              <w:top w:val="single" w:color="auto" w:sz="4" w:space="0"/>
              <w:left w:val="single" w:color="auto" w:sz="4" w:space="0"/>
              <w:bottom w:val="single" w:color="auto" w:sz="4" w:space="0"/>
              <w:right w:val="single" w:color="auto" w:sz="4" w:space="0"/>
            </w:tcBorders>
            <w:noWrap w:val="0"/>
            <w:vAlign w:val="center"/>
          </w:tcPr>
          <w:p>
            <w:pPr>
              <w:snapToGrid w:val="0"/>
              <w:spacing w:line="360" w:lineRule="auto"/>
              <w:ind w:firstLine="420" w:firstLineChars="200"/>
              <w:jc w:val="center"/>
              <w:rPr>
                <w:rFonts w:ascii="宋体" w:hAnsi="宋体"/>
                <w:color w:val="auto"/>
                <w:szCs w:val="21"/>
                <w:highlight w:val="none"/>
              </w:rPr>
            </w:pPr>
          </w:p>
        </w:tc>
        <w:tc>
          <w:tcPr>
            <w:tcW w:w="1004" w:type="dxa"/>
            <w:tcBorders>
              <w:top w:val="single" w:color="auto" w:sz="4" w:space="0"/>
              <w:left w:val="single" w:color="auto" w:sz="4" w:space="0"/>
              <w:bottom w:val="single" w:color="auto" w:sz="4" w:space="0"/>
              <w:right w:val="single" w:color="auto" w:sz="4" w:space="0"/>
            </w:tcBorders>
            <w:noWrap w:val="0"/>
            <w:vAlign w:val="center"/>
          </w:tcPr>
          <w:p>
            <w:pPr>
              <w:snapToGrid w:val="0"/>
              <w:spacing w:line="360" w:lineRule="auto"/>
              <w:ind w:firstLine="420" w:firstLineChars="200"/>
              <w:jc w:val="center"/>
              <w:rPr>
                <w:rFonts w:ascii="宋体" w:hAnsi="宋体"/>
                <w:color w:val="auto"/>
                <w:szCs w:val="21"/>
                <w:highlight w:val="none"/>
              </w:rPr>
            </w:pPr>
          </w:p>
        </w:tc>
        <w:tc>
          <w:tcPr>
            <w:tcW w:w="1663" w:type="dxa"/>
            <w:tcBorders>
              <w:top w:val="single" w:color="auto" w:sz="4" w:space="0"/>
              <w:left w:val="single" w:color="auto" w:sz="4" w:space="0"/>
              <w:bottom w:val="single" w:color="auto" w:sz="4" w:space="0"/>
              <w:right w:val="single" w:color="auto" w:sz="4" w:space="0"/>
            </w:tcBorders>
            <w:noWrap w:val="0"/>
            <w:vAlign w:val="center"/>
          </w:tcPr>
          <w:p>
            <w:pPr>
              <w:snapToGrid w:val="0"/>
              <w:spacing w:line="360" w:lineRule="auto"/>
              <w:ind w:firstLine="420" w:firstLineChars="200"/>
              <w:jc w:val="center"/>
              <w:rPr>
                <w:rFonts w:ascii="宋体" w:hAnsi="宋体"/>
                <w:color w:val="auto"/>
                <w:szCs w:val="21"/>
                <w:highlight w:val="none"/>
              </w:rPr>
            </w:pPr>
          </w:p>
        </w:tc>
        <w:tc>
          <w:tcPr>
            <w:tcW w:w="1260" w:type="dxa"/>
            <w:tcBorders>
              <w:top w:val="single" w:color="auto" w:sz="4" w:space="0"/>
              <w:left w:val="single" w:color="auto" w:sz="4" w:space="0"/>
              <w:bottom w:val="single" w:color="auto" w:sz="4" w:space="0"/>
              <w:right w:val="single" w:color="auto" w:sz="4" w:space="0"/>
            </w:tcBorders>
            <w:noWrap w:val="0"/>
            <w:vAlign w:val="center"/>
          </w:tcPr>
          <w:p>
            <w:pPr>
              <w:snapToGrid w:val="0"/>
              <w:spacing w:line="360" w:lineRule="auto"/>
              <w:ind w:firstLine="420" w:firstLineChars="200"/>
              <w:jc w:val="center"/>
              <w:rPr>
                <w:rFonts w:ascii="宋体" w:hAnsi="宋体"/>
                <w:color w:val="auto"/>
                <w:szCs w:val="21"/>
                <w:highlight w:val="none"/>
              </w:rPr>
            </w:pPr>
          </w:p>
        </w:tc>
        <w:tc>
          <w:tcPr>
            <w:tcW w:w="1274" w:type="dxa"/>
            <w:tcBorders>
              <w:top w:val="single" w:color="auto" w:sz="4" w:space="0"/>
              <w:left w:val="single" w:color="auto" w:sz="4" w:space="0"/>
              <w:bottom w:val="single" w:color="auto" w:sz="4" w:space="0"/>
              <w:right w:val="single" w:color="auto" w:sz="4" w:space="0"/>
            </w:tcBorders>
            <w:noWrap w:val="0"/>
            <w:vAlign w:val="center"/>
          </w:tcPr>
          <w:p>
            <w:pPr>
              <w:snapToGrid w:val="0"/>
              <w:spacing w:line="360" w:lineRule="auto"/>
              <w:ind w:firstLine="420" w:firstLineChars="200"/>
              <w:jc w:val="center"/>
              <w:rPr>
                <w:rFonts w:ascii="宋体" w:hAnsi="宋体"/>
                <w:color w:val="auto"/>
                <w:szCs w:val="21"/>
                <w:highlight w:val="none"/>
              </w:rPr>
            </w:pPr>
          </w:p>
        </w:tc>
        <w:tc>
          <w:tcPr>
            <w:tcW w:w="1559" w:type="dxa"/>
            <w:tcBorders>
              <w:top w:val="single" w:color="auto" w:sz="4" w:space="0"/>
              <w:left w:val="single" w:color="auto" w:sz="4" w:space="0"/>
              <w:bottom w:val="single" w:color="auto" w:sz="4" w:space="0"/>
              <w:right w:val="single" w:color="auto" w:sz="4" w:space="0"/>
            </w:tcBorders>
            <w:noWrap w:val="0"/>
            <w:vAlign w:val="center"/>
          </w:tcPr>
          <w:p>
            <w:pPr>
              <w:snapToGrid w:val="0"/>
              <w:spacing w:line="360" w:lineRule="auto"/>
              <w:ind w:firstLine="420" w:firstLineChars="200"/>
              <w:jc w:val="center"/>
              <w:rPr>
                <w:rFonts w:ascii="宋体" w:hAnsi="宋体"/>
                <w:color w:val="auto"/>
                <w:szCs w:val="21"/>
                <w:highlight w:val="none"/>
              </w:rPr>
            </w:pPr>
          </w:p>
        </w:tc>
        <w:tc>
          <w:tcPr>
            <w:tcW w:w="1134" w:type="dxa"/>
            <w:tcBorders>
              <w:top w:val="single" w:color="auto" w:sz="4" w:space="0"/>
              <w:left w:val="single" w:color="auto" w:sz="4" w:space="0"/>
              <w:bottom w:val="single" w:color="auto" w:sz="4" w:space="0"/>
              <w:right w:val="single" w:color="auto" w:sz="4" w:space="0"/>
            </w:tcBorders>
            <w:noWrap w:val="0"/>
            <w:vAlign w:val="top"/>
          </w:tcPr>
          <w:p>
            <w:pPr>
              <w:snapToGrid w:val="0"/>
              <w:spacing w:line="360" w:lineRule="auto"/>
              <w:ind w:firstLine="420" w:firstLineChars="200"/>
              <w:jc w:val="center"/>
              <w:rPr>
                <w:rFonts w:ascii="宋体" w:hAnsi="宋体"/>
                <w:color w:val="auto"/>
                <w:szCs w:val="21"/>
                <w:highlight w:val="none"/>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1004" w:type="dxa"/>
            <w:tcBorders>
              <w:top w:val="single" w:color="auto" w:sz="4" w:space="0"/>
              <w:left w:val="single" w:color="auto" w:sz="4" w:space="0"/>
              <w:bottom w:val="single" w:color="auto" w:sz="4" w:space="0"/>
              <w:right w:val="single" w:color="auto" w:sz="4" w:space="0"/>
            </w:tcBorders>
            <w:noWrap w:val="0"/>
            <w:vAlign w:val="center"/>
          </w:tcPr>
          <w:p>
            <w:pPr>
              <w:snapToGrid w:val="0"/>
              <w:spacing w:line="360" w:lineRule="auto"/>
              <w:ind w:firstLine="420" w:firstLineChars="200"/>
              <w:jc w:val="center"/>
              <w:rPr>
                <w:rFonts w:ascii="宋体" w:hAnsi="宋体"/>
                <w:color w:val="auto"/>
                <w:szCs w:val="21"/>
                <w:highlight w:val="none"/>
              </w:rPr>
            </w:pPr>
          </w:p>
        </w:tc>
        <w:tc>
          <w:tcPr>
            <w:tcW w:w="1004" w:type="dxa"/>
            <w:tcBorders>
              <w:top w:val="single" w:color="auto" w:sz="4" w:space="0"/>
              <w:left w:val="single" w:color="auto" w:sz="4" w:space="0"/>
              <w:bottom w:val="single" w:color="auto" w:sz="4" w:space="0"/>
              <w:right w:val="single" w:color="auto" w:sz="4" w:space="0"/>
            </w:tcBorders>
            <w:noWrap w:val="0"/>
            <w:vAlign w:val="center"/>
          </w:tcPr>
          <w:p>
            <w:pPr>
              <w:snapToGrid w:val="0"/>
              <w:spacing w:line="360" w:lineRule="auto"/>
              <w:ind w:firstLine="420" w:firstLineChars="200"/>
              <w:jc w:val="center"/>
              <w:rPr>
                <w:rFonts w:ascii="宋体" w:hAnsi="宋体"/>
                <w:color w:val="auto"/>
                <w:szCs w:val="21"/>
                <w:highlight w:val="none"/>
              </w:rPr>
            </w:pPr>
          </w:p>
        </w:tc>
        <w:tc>
          <w:tcPr>
            <w:tcW w:w="1663" w:type="dxa"/>
            <w:tcBorders>
              <w:top w:val="single" w:color="auto" w:sz="4" w:space="0"/>
              <w:left w:val="single" w:color="auto" w:sz="4" w:space="0"/>
              <w:bottom w:val="single" w:color="auto" w:sz="4" w:space="0"/>
              <w:right w:val="single" w:color="auto" w:sz="4" w:space="0"/>
            </w:tcBorders>
            <w:noWrap w:val="0"/>
            <w:vAlign w:val="center"/>
          </w:tcPr>
          <w:p>
            <w:pPr>
              <w:snapToGrid w:val="0"/>
              <w:spacing w:line="360" w:lineRule="auto"/>
              <w:ind w:firstLine="420" w:firstLineChars="200"/>
              <w:jc w:val="center"/>
              <w:rPr>
                <w:rFonts w:ascii="宋体" w:hAnsi="宋体"/>
                <w:color w:val="auto"/>
                <w:szCs w:val="21"/>
                <w:highlight w:val="none"/>
              </w:rPr>
            </w:pPr>
          </w:p>
        </w:tc>
        <w:tc>
          <w:tcPr>
            <w:tcW w:w="1260" w:type="dxa"/>
            <w:tcBorders>
              <w:top w:val="single" w:color="auto" w:sz="4" w:space="0"/>
              <w:left w:val="single" w:color="auto" w:sz="4" w:space="0"/>
              <w:bottom w:val="single" w:color="auto" w:sz="4" w:space="0"/>
              <w:right w:val="single" w:color="auto" w:sz="4" w:space="0"/>
            </w:tcBorders>
            <w:noWrap w:val="0"/>
            <w:vAlign w:val="center"/>
          </w:tcPr>
          <w:p>
            <w:pPr>
              <w:snapToGrid w:val="0"/>
              <w:spacing w:line="360" w:lineRule="auto"/>
              <w:ind w:firstLine="420" w:firstLineChars="200"/>
              <w:jc w:val="center"/>
              <w:rPr>
                <w:rFonts w:ascii="宋体" w:hAnsi="宋体"/>
                <w:color w:val="auto"/>
                <w:szCs w:val="21"/>
                <w:highlight w:val="none"/>
              </w:rPr>
            </w:pPr>
          </w:p>
        </w:tc>
        <w:tc>
          <w:tcPr>
            <w:tcW w:w="1274" w:type="dxa"/>
            <w:tcBorders>
              <w:top w:val="single" w:color="auto" w:sz="4" w:space="0"/>
              <w:left w:val="single" w:color="auto" w:sz="4" w:space="0"/>
              <w:bottom w:val="single" w:color="auto" w:sz="4" w:space="0"/>
              <w:right w:val="single" w:color="auto" w:sz="4" w:space="0"/>
            </w:tcBorders>
            <w:noWrap w:val="0"/>
            <w:vAlign w:val="center"/>
          </w:tcPr>
          <w:p>
            <w:pPr>
              <w:snapToGrid w:val="0"/>
              <w:spacing w:line="360" w:lineRule="auto"/>
              <w:ind w:firstLine="420" w:firstLineChars="200"/>
              <w:jc w:val="center"/>
              <w:rPr>
                <w:rFonts w:ascii="宋体" w:hAnsi="宋体"/>
                <w:color w:val="auto"/>
                <w:szCs w:val="21"/>
                <w:highlight w:val="none"/>
              </w:rPr>
            </w:pPr>
          </w:p>
        </w:tc>
        <w:tc>
          <w:tcPr>
            <w:tcW w:w="1559" w:type="dxa"/>
            <w:tcBorders>
              <w:top w:val="single" w:color="auto" w:sz="4" w:space="0"/>
              <w:left w:val="single" w:color="auto" w:sz="4" w:space="0"/>
              <w:bottom w:val="single" w:color="auto" w:sz="4" w:space="0"/>
              <w:right w:val="single" w:color="auto" w:sz="4" w:space="0"/>
            </w:tcBorders>
            <w:noWrap w:val="0"/>
            <w:vAlign w:val="center"/>
          </w:tcPr>
          <w:p>
            <w:pPr>
              <w:snapToGrid w:val="0"/>
              <w:spacing w:line="360" w:lineRule="auto"/>
              <w:ind w:firstLine="420" w:firstLineChars="200"/>
              <w:jc w:val="center"/>
              <w:rPr>
                <w:rFonts w:ascii="宋体" w:hAnsi="宋体"/>
                <w:color w:val="auto"/>
                <w:szCs w:val="21"/>
                <w:highlight w:val="none"/>
              </w:rPr>
            </w:pPr>
          </w:p>
        </w:tc>
        <w:tc>
          <w:tcPr>
            <w:tcW w:w="1134" w:type="dxa"/>
            <w:tcBorders>
              <w:top w:val="single" w:color="auto" w:sz="4" w:space="0"/>
              <w:left w:val="single" w:color="auto" w:sz="4" w:space="0"/>
              <w:bottom w:val="single" w:color="auto" w:sz="4" w:space="0"/>
              <w:right w:val="single" w:color="auto" w:sz="4" w:space="0"/>
            </w:tcBorders>
            <w:noWrap w:val="0"/>
            <w:vAlign w:val="top"/>
          </w:tcPr>
          <w:p>
            <w:pPr>
              <w:snapToGrid w:val="0"/>
              <w:spacing w:line="360" w:lineRule="auto"/>
              <w:ind w:firstLine="420" w:firstLineChars="200"/>
              <w:jc w:val="center"/>
              <w:rPr>
                <w:rFonts w:ascii="宋体" w:hAnsi="宋体"/>
                <w:color w:val="auto"/>
                <w:szCs w:val="21"/>
                <w:highlight w:val="none"/>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1004" w:type="dxa"/>
            <w:tcBorders>
              <w:top w:val="single" w:color="auto" w:sz="4" w:space="0"/>
              <w:left w:val="single" w:color="auto" w:sz="4" w:space="0"/>
              <w:bottom w:val="single" w:color="auto" w:sz="4" w:space="0"/>
              <w:right w:val="single" w:color="auto" w:sz="4" w:space="0"/>
            </w:tcBorders>
            <w:noWrap w:val="0"/>
            <w:vAlign w:val="center"/>
          </w:tcPr>
          <w:p>
            <w:pPr>
              <w:snapToGrid w:val="0"/>
              <w:spacing w:line="360" w:lineRule="auto"/>
              <w:ind w:firstLine="420" w:firstLineChars="200"/>
              <w:jc w:val="center"/>
              <w:rPr>
                <w:rFonts w:ascii="宋体" w:hAnsi="宋体"/>
                <w:color w:val="auto"/>
                <w:szCs w:val="21"/>
                <w:highlight w:val="none"/>
              </w:rPr>
            </w:pPr>
          </w:p>
        </w:tc>
        <w:tc>
          <w:tcPr>
            <w:tcW w:w="1004" w:type="dxa"/>
            <w:tcBorders>
              <w:top w:val="single" w:color="auto" w:sz="4" w:space="0"/>
              <w:left w:val="single" w:color="auto" w:sz="4" w:space="0"/>
              <w:bottom w:val="single" w:color="auto" w:sz="4" w:space="0"/>
              <w:right w:val="single" w:color="auto" w:sz="4" w:space="0"/>
            </w:tcBorders>
            <w:noWrap w:val="0"/>
            <w:vAlign w:val="center"/>
          </w:tcPr>
          <w:p>
            <w:pPr>
              <w:snapToGrid w:val="0"/>
              <w:spacing w:line="360" w:lineRule="auto"/>
              <w:ind w:firstLine="420" w:firstLineChars="200"/>
              <w:jc w:val="center"/>
              <w:rPr>
                <w:rFonts w:ascii="宋体" w:hAnsi="宋体"/>
                <w:color w:val="auto"/>
                <w:szCs w:val="21"/>
                <w:highlight w:val="none"/>
              </w:rPr>
            </w:pPr>
          </w:p>
        </w:tc>
        <w:tc>
          <w:tcPr>
            <w:tcW w:w="1663" w:type="dxa"/>
            <w:tcBorders>
              <w:top w:val="single" w:color="auto" w:sz="4" w:space="0"/>
              <w:left w:val="single" w:color="auto" w:sz="4" w:space="0"/>
              <w:bottom w:val="single" w:color="auto" w:sz="4" w:space="0"/>
              <w:right w:val="single" w:color="auto" w:sz="4" w:space="0"/>
            </w:tcBorders>
            <w:noWrap w:val="0"/>
            <w:vAlign w:val="center"/>
          </w:tcPr>
          <w:p>
            <w:pPr>
              <w:snapToGrid w:val="0"/>
              <w:spacing w:line="360" w:lineRule="auto"/>
              <w:ind w:firstLine="420" w:firstLineChars="200"/>
              <w:jc w:val="center"/>
              <w:rPr>
                <w:rFonts w:ascii="宋体" w:hAnsi="宋体"/>
                <w:color w:val="auto"/>
                <w:szCs w:val="21"/>
                <w:highlight w:val="none"/>
              </w:rPr>
            </w:pPr>
          </w:p>
        </w:tc>
        <w:tc>
          <w:tcPr>
            <w:tcW w:w="1260" w:type="dxa"/>
            <w:tcBorders>
              <w:top w:val="single" w:color="auto" w:sz="4" w:space="0"/>
              <w:left w:val="single" w:color="auto" w:sz="4" w:space="0"/>
              <w:bottom w:val="single" w:color="auto" w:sz="4" w:space="0"/>
              <w:right w:val="single" w:color="auto" w:sz="4" w:space="0"/>
            </w:tcBorders>
            <w:noWrap w:val="0"/>
            <w:vAlign w:val="center"/>
          </w:tcPr>
          <w:p>
            <w:pPr>
              <w:snapToGrid w:val="0"/>
              <w:spacing w:line="360" w:lineRule="auto"/>
              <w:ind w:firstLine="420" w:firstLineChars="200"/>
              <w:jc w:val="center"/>
              <w:rPr>
                <w:rFonts w:ascii="宋体" w:hAnsi="宋体"/>
                <w:color w:val="auto"/>
                <w:szCs w:val="21"/>
                <w:highlight w:val="none"/>
              </w:rPr>
            </w:pPr>
          </w:p>
        </w:tc>
        <w:tc>
          <w:tcPr>
            <w:tcW w:w="1274" w:type="dxa"/>
            <w:tcBorders>
              <w:top w:val="single" w:color="auto" w:sz="4" w:space="0"/>
              <w:left w:val="single" w:color="auto" w:sz="4" w:space="0"/>
              <w:bottom w:val="single" w:color="auto" w:sz="4" w:space="0"/>
              <w:right w:val="single" w:color="auto" w:sz="4" w:space="0"/>
            </w:tcBorders>
            <w:noWrap w:val="0"/>
            <w:vAlign w:val="center"/>
          </w:tcPr>
          <w:p>
            <w:pPr>
              <w:snapToGrid w:val="0"/>
              <w:spacing w:line="360" w:lineRule="auto"/>
              <w:ind w:firstLine="420" w:firstLineChars="200"/>
              <w:jc w:val="center"/>
              <w:rPr>
                <w:rFonts w:ascii="宋体" w:hAnsi="宋体"/>
                <w:color w:val="auto"/>
                <w:szCs w:val="21"/>
                <w:highlight w:val="none"/>
              </w:rPr>
            </w:pPr>
          </w:p>
        </w:tc>
        <w:tc>
          <w:tcPr>
            <w:tcW w:w="1559" w:type="dxa"/>
            <w:tcBorders>
              <w:top w:val="single" w:color="auto" w:sz="4" w:space="0"/>
              <w:left w:val="single" w:color="auto" w:sz="4" w:space="0"/>
              <w:bottom w:val="single" w:color="auto" w:sz="4" w:space="0"/>
              <w:right w:val="single" w:color="auto" w:sz="4" w:space="0"/>
            </w:tcBorders>
            <w:noWrap w:val="0"/>
            <w:vAlign w:val="center"/>
          </w:tcPr>
          <w:p>
            <w:pPr>
              <w:snapToGrid w:val="0"/>
              <w:spacing w:line="360" w:lineRule="auto"/>
              <w:ind w:firstLine="420" w:firstLineChars="200"/>
              <w:jc w:val="center"/>
              <w:rPr>
                <w:rFonts w:ascii="宋体" w:hAnsi="宋体"/>
                <w:color w:val="auto"/>
                <w:szCs w:val="21"/>
                <w:highlight w:val="none"/>
              </w:rPr>
            </w:pPr>
          </w:p>
        </w:tc>
        <w:tc>
          <w:tcPr>
            <w:tcW w:w="1134" w:type="dxa"/>
            <w:tcBorders>
              <w:top w:val="single" w:color="auto" w:sz="4" w:space="0"/>
              <w:left w:val="single" w:color="auto" w:sz="4" w:space="0"/>
              <w:bottom w:val="single" w:color="auto" w:sz="4" w:space="0"/>
              <w:right w:val="single" w:color="auto" w:sz="4" w:space="0"/>
            </w:tcBorders>
            <w:noWrap w:val="0"/>
            <w:vAlign w:val="top"/>
          </w:tcPr>
          <w:p>
            <w:pPr>
              <w:snapToGrid w:val="0"/>
              <w:spacing w:line="360" w:lineRule="auto"/>
              <w:ind w:firstLine="420" w:firstLineChars="200"/>
              <w:jc w:val="center"/>
              <w:rPr>
                <w:rFonts w:ascii="宋体" w:hAnsi="宋体"/>
                <w:color w:val="auto"/>
                <w:szCs w:val="21"/>
                <w:highlight w:val="none"/>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1004" w:type="dxa"/>
            <w:tcBorders>
              <w:top w:val="single" w:color="auto" w:sz="4" w:space="0"/>
              <w:left w:val="single" w:color="auto" w:sz="4" w:space="0"/>
              <w:bottom w:val="single" w:color="auto" w:sz="4" w:space="0"/>
              <w:right w:val="single" w:color="auto" w:sz="4" w:space="0"/>
            </w:tcBorders>
            <w:noWrap w:val="0"/>
            <w:vAlign w:val="center"/>
          </w:tcPr>
          <w:p>
            <w:pPr>
              <w:snapToGrid w:val="0"/>
              <w:spacing w:line="360" w:lineRule="auto"/>
              <w:ind w:firstLine="420" w:firstLineChars="200"/>
              <w:jc w:val="center"/>
              <w:rPr>
                <w:rFonts w:ascii="宋体" w:hAnsi="宋体"/>
                <w:color w:val="auto"/>
                <w:szCs w:val="21"/>
                <w:highlight w:val="none"/>
              </w:rPr>
            </w:pPr>
          </w:p>
        </w:tc>
        <w:tc>
          <w:tcPr>
            <w:tcW w:w="1004" w:type="dxa"/>
            <w:tcBorders>
              <w:top w:val="single" w:color="auto" w:sz="4" w:space="0"/>
              <w:left w:val="single" w:color="auto" w:sz="4" w:space="0"/>
              <w:bottom w:val="single" w:color="auto" w:sz="4" w:space="0"/>
              <w:right w:val="single" w:color="auto" w:sz="4" w:space="0"/>
            </w:tcBorders>
            <w:noWrap w:val="0"/>
            <w:vAlign w:val="center"/>
          </w:tcPr>
          <w:p>
            <w:pPr>
              <w:snapToGrid w:val="0"/>
              <w:spacing w:line="360" w:lineRule="auto"/>
              <w:ind w:firstLine="420" w:firstLineChars="200"/>
              <w:jc w:val="center"/>
              <w:rPr>
                <w:rFonts w:ascii="宋体" w:hAnsi="宋体"/>
                <w:color w:val="auto"/>
                <w:szCs w:val="21"/>
                <w:highlight w:val="none"/>
              </w:rPr>
            </w:pPr>
          </w:p>
        </w:tc>
        <w:tc>
          <w:tcPr>
            <w:tcW w:w="1663" w:type="dxa"/>
            <w:tcBorders>
              <w:top w:val="single" w:color="auto" w:sz="4" w:space="0"/>
              <w:left w:val="single" w:color="auto" w:sz="4" w:space="0"/>
              <w:bottom w:val="single" w:color="auto" w:sz="4" w:space="0"/>
              <w:right w:val="single" w:color="auto" w:sz="4" w:space="0"/>
            </w:tcBorders>
            <w:noWrap w:val="0"/>
            <w:vAlign w:val="center"/>
          </w:tcPr>
          <w:p>
            <w:pPr>
              <w:snapToGrid w:val="0"/>
              <w:spacing w:line="360" w:lineRule="auto"/>
              <w:ind w:firstLine="420" w:firstLineChars="200"/>
              <w:jc w:val="center"/>
              <w:rPr>
                <w:rFonts w:ascii="宋体" w:hAnsi="宋体"/>
                <w:color w:val="auto"/>
                <w:szCs w:val="21"/>
                <w:highlight w:val="none"/>
              </w:rPr>
            </w:pPr>
          </w:p>
        </w:tc>
        <w:tc>
          <w:tcPr>
            <w:tcW w:w="1260" w:type="dxa"/>
            <w:tcBorders>
              <w:top w:val="single" w:color="auto" w:sz="4" w:space="0"/>
              <w:left w:val="single" w:color="auto" w:sz="4" w:space="0"/>
              <w:bottom w:val="single" w:color="auto" w:sz="4" w:space="0"/>
              <w:right w:val="single" w:color="auto" w:sz="4" w:space="0"/>
            </w:tcBorders>
            <w:noWrap w:val="0"/>
            <w:vAlign w:val="center"/>
          </w:tcPr>
          <w:p>
            <w:pPr>
              <w:snapToGrid w:val="0"/>
              <w:spacing w:line="360" w:lineRule="auto"/>
              <w:ind w:firstLine="420" w:firstLineChars="200"/>
              <w:jc w:val="center"/>
              <w:rPr>
                <w:rFonts w:ascii="宋体" w:hAnsi="宋体"/>
                <w:color w:val="auto"/>
                <w:szCs w:val="21"/>
                <w:highlight w:val="none"/>
              </w:rPr>
            </w:pPr>
          </w:p>
        </w:tc>
        <w:tc>
          <w:tcPr>
            <w:tcW w:w="1274" w:type="dxa"/>
            <w:tcBorders>
              <w:top w:val="single" w:color="auto" w:sz="4" w:space="0"/>
              <w:left w:val="single" w:color="auto" w:sz="4" w:space="0"/>
              <w:bottom w:val="single" w:color="auto" w:sz="4" w:space="0"/>
              <w:right w:val="single" w:color="auto" w:sz="4" w:space="0"/>
            </w:tcBorders>
            <w:noWrap w:val="0"/>
            <w:vAlign w:val="center"/>
          </w:tcPr>
          <w:p>
            <w:pPr>
              <w:snapToGrid w:val="0"/>
              <w:spacing w:line="360" w:lineRule="auto"/>
              <w:ind w:firstLine="420" w:firstLineChars="200"/>
              <w:jc w:val="center"/>
              <w:rPr>
                <w:rFonts w:ascii="宋体" w:hAnsi="宋体"/>
                <w:color w:val="auto"/>
                <w:szCs w:val="21"/>
                <w:highlight w:val="none"/>
              </w:rPr>
            </w:pPr>
          </w:p>
        </w:tc>
        <w:tc>
          <w:tcPr>
            <w:tcW w:w="1559" w:type="dxa"/>
            <w:tcBorders>
              <w:top w:val="single" w:color="auto" w:sz="4" w:space="0"/>
              <w:left w:val="single" w:color="auto" w:sz="4" w:space="0"/>
              <w:bottom w:val="single" w:color="auto" w:sz="4" w:space="0"/>
              <w:right w:val="single" w:color="auto" w:sz="4" w:space="0"/>
            </w:tcBorders>
            <w:noWrap w:val="0"/>
            <w:vAlign w:val="center"/>
          </w:tcPr>
          <w:p>
            <w:pPr>
              <w:snapToGrid w:val="0"/>
              <w:spacing w:line="360" w:lineRule="auto"/>
              <w:ind w:firstLine="420" w:firstLineChars="200"/>
              <w:jc w:val="center"/>
              <w:rPr>
                <w:rFonts w:ascii="宋体" w:hAnsi="宋体"/>
                <w:color w:val="auto"/>
                <w:szCs w:val="21"/>
                <w:highlight w:val="none"/>
              </w:rPr>
            </w:pPr>
          </w:p>
        </w:tc>
        <w:tc>
          <w:tcPr>
            <w:tcW w:w="1134" w:type="dxa"/>
            <w:tcBorders>
              <w:top w:val="single" w:color="auto" w:sz="4" w:space="0"/>
              <w:left w:val="single" w:color="auto" w:sz="4" w:space="0"/>
              <w:bottom w:val="single" w:color="auto" w:sz="4" w:space="0"/>
              <w:right w:val="single" w:color="auto" w:sz="4" w:space="0"/>
            </w:tcBorders>
            <w:noWrap w:val="0"/>
            <w:vAlign w:val="top"/>
          </w:tcPr>
          <w:p>
            <w:pPr>
              <w:snapToGrid w:val="0"/>
              <w:spacing w:line="360" w:lineRule="auto"/>
              <w:ind w:firstLine="420" w:firstLineChars="200"/>
              <w:jc w:val="center"/>
              <w:rPr>
                <w:rFonts w:ascii="宋体" w:hAnsi="宋体"/>
                <w:color w:val="auto"/>
                <w:szCs w:val="21"/>
                <w:highlight w:val="none"/>
              </w:rPr>
            </w:pPr>
          </w:p>
        </w:tc>
      </w:tr>
    </w:tbl>
    <w:p>
      <w:pPr>
        <w:snapToGrid w:val="0"/>
        <w:spacing w:line="360" w:lineRule="auto"/>
        <w:ind w:firstLine="420" w:firstLineChars="200"/>
        <w:jc w:val="left"/>
        <w:rPr>
          <w:rFonts w:ascii="宋体" w:hAnsi="宋体"/>
          <w:color w:val="auto"/>
          <w:szCs w:val="21"/>
          <w:highlight w:val="none"/>
        </w:rPr>
      </w:pPr>
      <w:r>
        <w:rPr>
          <w:rFonts w:hint="eastAsia" w:ascii="宋体" w:hAnsi="宋体"/>
          <w:color w:val="auto"/>
          <w:szCs w:val="21"/>
          <w:highlight w:val="none"/>
        </w:rPr>
        <w:t>注：在填写时，如本表格不适合投标单位的实际情况，可根据本表格式自行划表填写。</w:t>
      </w:r>
    </w:p>
    <w:p>
      <w:pPr>
        <w:pStyle w:val="29"/>
        <w:spacing w:line="360" w:lineRule="auto"/>
        <w:ind w:firstLine="420" w:firstLineChars="200"/>
        <w:jc w:val="left"/>
        <w:rPr>
          <w:rFonts w:hAnsi="宋体"/>
          <w:color w:val="auto"/>
          <w:szCs w:val="21"/>
          <w:highlight w:val="none"/>
        </w:rPr>
      </w:pPr>
      <w:r>
        <w:rPr>
          <w:rFonts w:hint="eastAsia" w:hAnsi="宋体"/>
          <w:color w:val="auto"/>
          <w:szCs w:val="21"/>
          <w:highlight w:val="none"/>
        </w:rPr>
        <w:t>被授权人签字（或盖章）：</w:t>
      </w:r>
    </w:p>
    <w:p>
      <w:pPr>
        <w:adjustRightInd w:val="0"/>
        <w:spacing w:line="360" w:lineRule="auto"/>
        <w:ind w:right="480" w:firstLine="420" w:firstLineChars="200"/>
        <w:textAlignment w:val="baseline"/>
        <w:rPr>
          <w:color w:val="auto"/>
          <w:highlight w:val="none"/>
        </w:rPr>
        <w:sectPr>
          <w:pgSz w:w="11906" w:h="16838"/>
          <w:pgMar w:top="1474" w:right="1797" w:bottom="1247" w:left="1797" w:header="851" w:footer="851" w:gutter="0"/>
          <w:cols w:space="720" w:num="1"/>
          <w:docGrid w:linePitch="312" w:charSpace="0"/>
        </w:sectPr>
      </w:pPr>
      <w:r>
        <w:rPr>
          <w:rFonts w:hint="eastAsia" w:ascii="宋体" w:hAnsi="宋体"/>
          <w:color w:val="auto"/>
          <w:szCs w:val="21"/>
          <w:highlight w:val="none"/>
          <w:lang w:eastAsia="zh-CN"/>
        </w:rPr>
        <w:t>供应商</w:t>
      </w:r>
      <w:r>
        <w:rPr>
          <w:rFonts w:hint="eastAsia" w:ascii="宋体" w:hAnsi="宋体"/>
          <w:color w:val="auto"/>
          <w:szCs w:val="21"/>
          <w:highlight w:val="none"/>
        </w:rPr>
        <w:t>公章：                   年  月  日</w:t>
      </w:r>
    </w:p>
    <w:p>
      <w:pPr>
        <w:snapToGrid w:val="0"/>
        <w:spacing w:line="360" w:lineRule="auto"/>
        <w:ind w:firstLine="420" w:firstLineChars="200"/>
        <w:jc w:val="left"/>
        <w:rPr>
          <w:rFonts w:ascii="宋体" w:hAnsi="宋体"/>
          <w:color w:val="auto"/>
          <w:szCs w:val="21"/>
          <w:highlight w:val="none"/>
        </w:rPr>
      </w:pPr>
      <w:r>
        <w:rPr>
          <w:rFonts w:hint="eastAsia" w:ascii="宋体" w:hAnsi="宋体"/>
          <w:color w:val="auto"/>
          <w:szCs w:val="21"/>
          <w:highlight w:val="none"/>
        </w:rPr>
        <w:t>投标函格式：</w:t>
      </w:r>
    </w:p>
    <w:p>
      <w:pPr>
        <w:snapToGrid w:val="0"/>
        <w:spacing w:line="360" w:lineRule="auto"/>
        <w:ind w:firstLine="422" w:firstLineChars="200"/>
        <w:jc w:val="center"/>
        <w:rPr>
          <w:rFonts w:ascii="宋体" w:hAnsi="宋体"/>
          <w:b/>
          <w:color w:val="auto"/>
          <w:szCs w:val="21"/>
          <w:highlight w:val="none"/>
        </w:rPr>
      </w:pPr>
      <w:r>
        <w:rPr>
          <w:rFonts w:hint="eastAsia" w:ascii="宋体" w:hAnsi="宋体"/>
          <w:b/>
          <w:color w:val="auto"/>
          <w:szCs w:val="21"/>
          <w:highlight w:val="none"/>
        </w:rPr>
        <w:t>投标函</w:t>
      </w:r>
    </w:p>
    <w:p>
      <w:pPr>
        <w:snapToGrid w:val="0"/>
        <w:spacing w:line="360" w:lineRule="auto"/>
        <w:ind w:firstLine="420" w:firstLineChars="200"/>
        <w:jc w:val="left"/>
        <w:rPr>
          <w:rFonts w:ascii="宋体" w:hAnsi="宋体"/>
          <w:color w:val="auto"/>
          <w:szCs w:val="21"/>
          <w:highlight w:val="none"/>
        </w:rPr>
      </w:pPr>
      <w:r>
        <w:rPr>
          <w:rFonts w:hint="eastAsia" w:ascii="宋体" w:hAnsi="宋体"/>
          <w:color w:val="auto"/>
          <w:szCs w:val="21"/>
          <w:highlight w:val="none"/>
        </w:rPr>
        <w:t>致：</w:t>
      </w:r>
      <w:r>
        <w:rPr>
          <w:rFonts w:hint="eastAsia" w:ascii="宋体" w:hAnsi="宋体"/>
          <w:color w:val="auto"/>
          <w:szCs w:val="21"/>
          <w:highlight w:val="none"/>
          <w:u w:val="single"/>
        </w:rPr>
        <w:t>（招标采购单位名称）</w:t>
      </w:r>
      <w:r>
        <w:rPr>
          <w:rFonts w:hint="eastAsia" w:ascii="宋体" w:hAnsi="宋体"/>
          <w:color w:val="auto"/>
          <w:szCs w:val="21"/>
          <w:highlight w:val="none"/>
        </w:rPr>
        <w:t>：</w:t>
      </w:r>
    </w:p>
    <w:p>
      <w:pPr>
        <w:snapToGrid w:val="0"/>
        <w:spacing w:line="360" w:lineRule="auto"/>
        <w:ind w:firstLine="420" w:firstLineChars="200"/>
        <w:jc w:val="left"/>
        <w:rPr>
          <w:rFonts w:ascii="宋体" w:hAnsi="宋体"/>
          <w:color w:val="auto"/>
          <w:szCs w:val="21"/>
          <w:highlight w:val="none"/>
        </w:rPr>
      </w:pPr>
      <w:r>
        <w:rPr>
          <w:rFonts w:hint="eastAsia" w:ascii="宋体" w:hAnsi="宋体"/>
          <w:color w:val="auto"/>
          <w:szCs w:val="21"/>
          <w:highlight w:val="none"/>
        </w:rPr>
        <w:t xml:space="preserve">根据贵方为 </w:t>
      </w:r>
      <w:r>
        <w:rPr>
          <w:rFonts w:hint="eastAsia" w:ascii="宋体" w:hAnsi="宋体"/>
          <w:color w:val="auto"/>
          <w:szCs w:val="21"/>
          <w:highlight w:val="none"/>
          <w:u w:val="single"/>
        </w:rPr>
        <w:t xml:space="preserve">          </w:t>
      </w:r>
      <w:r>
        <w:rPr>
          <w:rFonts w:hint="eastAsia" w:ascii="宋体" w:hAnsi="宋体"/>
          <w:color w:val="auto"/>
          <w:szCs w:val="21"/>
          <w:highlight w:val="none"/>
        </w:rPr>
        <w:t>项目的招标公告</w:t>
      </w:r>
      <w:r>
        <w:rPr>
          <w:rFonts w:ascii="宋体" w:hAnsi="宋体"/>
          <w:color w:val="auto"/>
          <w:szCs w:val="21"/>
          <w:highlight w:val="none"/>
        </w:rPr>
        <w:t>/</w:t>
      </w:r>
      <w:r>
        <w:rPr>
          <w:rFonts w:hint="eastAsia" w:ascii="宋体" w:hAnsi="宋体"/>
          <w:color w:val="auto"/>
          <w:szCs w:val="21"/>
          <w:highlight w:val="none"/>
        </w:rPr>
        <w:t>投标邀请书（项目编号：</w:t>
      </w:r>
      <w:r>
        <w:rPr>
          <w:rFonts w:hint="eastAsia" w:ascii="宋体" w:hAnsi="宋体"/>
          <w:color w:val="auto"/>
          <w:szCs w:val="21"/>
          <w:highlight w:val="none"/>
          <w:u w:val="single"/>
        </w:rPr>
        <w:t xml:space="preserve">          </w:t>
      </w:r>
      <w:r>
        <w:rPr>
          <w:rFonts w:hint="eastAsia" w:ascii="宋体" w:hAnsi="宋体"/>
          <w:color w:val="auto"/>
          <w:szCs w:val="21"/>
          <w:highlight w:val="none"/>
        </w:rPr>
        <w:t>），签字代表</w:t>
      </w:r>
      <w:r>
        <w:rPr>
          <w:rFonts w:hint="eastAsia" w:ascii="宋体" w:hAnsi="宋体"/>
          <w:color w:val="auto"/>
          <w:szCs w:val="21"/>
          <w:highlight w:val="none"/>
          <w:u w:val="single"/>
        </w:rPr>
        <w:t>（全名）</w:t>
      </w:r>
      <w:r>
        <w:rPr>
          <w:rFonts w:hint="eastAsia" w:ascii="宋体" w:hAnsi="宋体"/>
          <w:color w:val="auto"/>
          <w:szCs w:val="21"/>
          <w:highlight w:val="none"/>
        </w:rPr>
        <w:t>经正式授权并代表</w:t>
      </w:r>
      <w:r>
        <w:rPr>
          <w:rFonts w:hint="eastAsia" w:ascii="宋体" w:hAnsi="宋体"/>
          <w:color w:val="auto"/>
          <w:szCs w:val="21"/>
          <w:highlight w:val="none"/>
          <w:lang w:eastAsia="zh-CN"/>
        </w:rPr>
        <w:t>供应商</w:t>
      </w:r>
      <w:r>
        <w:rPr>
          <w:rFonts w:hint="eastAsia" w:ascii="宋体" w:hAnsi="宋体"/>
          <w:color w:val="auto"/>
          <w:szCs w:val="21"/>
          <w:highlight w:val="none"/>
          <w:u w:val="single"/>
        </w:rPr>
        <w:t>（</w:t>
      </w:r>
      <w:r>
        <w:rPr>
          <w:rFonts w:hint="eastAsia" w:ascii="宋体" w:hAnsi="宋体"/>
          <w:color w:val="auto"/>
          <w:szCs w:val="21"/>
          <w:highlight w:val="none"/>
          <w:u w:val="single"/>
          <w:lang w:eastAsia="zh-CN"/>
        </w:rPr>
        <w:t>供应商</w:t>
      </w:r>
      <w:r>
        <w:rPr>
          <w:rFonts w:hint="eastAsia" w:ascii="宋体" w:hAnsi="宋体"/>
          <w:color w:val="auto"/>
          <w:szCs w:val="21"/>
          <w:highlight w:val="none"/>
          <w:u w:val="single"/>
        </w:rPr>
        <w:t>名称）</w:t>
      </w:r>
      <w:r>
        <w:rPr>
          <w:rFonts w:hint="eastAsia" w:ascii="宋体" w:hAnsi="宋体"/>
          <w:color w:val="auto"/>
          <w:szCs w:val="21"/>
          <w:highlight w:val="none"/>
        </w:rPr>
        <w:t>提交资信商务文件及技术文件</w:t>
      </w:r>
      <w:r>
        <w:rPr>
          <w:rFonts w:hint="eastAsia" w:ascii="宋体" w:hAnsi="宋体"/>
          <w:color w:val="auto"/>
          <w:szCs w:val="21"/>
          <w:highlight w:val="none"/>
          <w:u w:val="single"/>
        </w:rPr>
        <w:t xml:space="preserve">  </w:t>
      </w:r>
      <w:r>
        <w:rPr>
          <w:rFonts w:hint="eastAsia" w:ascii="宋体" w:hAnsi="宋体"/>
          <w:color w:val="auto"/>
          <w:szCs w:val="21"/>
          <w:highlight w:val="none"/>
          <w:u w:val="single"/>
          <w:lang w:val="en-US" w:eastAsia="zh-CN"/>
        </w:rPr>
        <w:t>1</w:t>
      </w:r>
      <w:r>
        <w:rPr>
          <w:rFonts w:hint="eastAsia" w:ascii="宋体" w:hAnsi="宋体"/>
          <w:color w:val="auto"/>
          <w:szCs w:val="21"/>
          <w:highlight w:val="none"/>
          <w:u w:val="single"/>
        </w:rPr>
        <w:t xml:space="preserve"> </w:t>
      </w:r>
      <w:r>
        <w:rPr>
          <w:rFonts w:hint="eastAsia" w:ascii="宋体" w:hAnsi="宋体"/>
          <w:color w:val="auto"/>
          <w:szCs w:val="21"/>
          <w:highlight w:val="none"/>
        </w:rPr>
        <w:t>份；投标报价文件</w:t>
      </w:r>
      <w:r>
        <w:rPr>
          <w:rFonts w:hint="eastAsia" w:ascii="宋体" w:hAnsi="宋体"/>
          <w:color w:val="auto"/>
          <w:szCs w:val="21"/>
          <w:highlight w:val="none"/>
          <w:u w:val="single"/>
        </w:rPr>
        <w:t xml:space="preserve">     </w:t>
      </w:r>
      <w:r>
        <w:rPr>
          <w:rFonts w:hint="eastAsia" w:ascii="宋体" w:hAnsi="宋体"/>
          <w:color w:val="auto"/>
          <w:szCs w:val="21"/>
          <w:highlight w:val="none"/>
          <w:u w:val="single"/>
          <w:lang w:val="en-US" w:eastAsia="zh-CN"/>
        </w:rPr>
        <w:t>1</w:t>
      </w:r>
      <w:r>
        <w:rPr>
          <w:rFonts w:hint="eastAsia" w:ascii="宋体" w:hAnsi="宋体"/>
          <w:color w:val="auto"/>
          <w:szCs w:val="21"/>
          <w:highlight w:val="none"/>
          <w:u w:val="single"/>
        </w:rPr>
        <w:t xml:space="preserve">  </w:t>
      </w:r>
      <w:r>
        <w:rPr>
          <w:rFonts w:hint="eastAsia" w:ascii="宋体" w:hAnsi="宋体"/>
          <w:color w:val="auto"/>
          <w:szCs w:val="21"/>
          <w:highlight w:val="none"/>
        </w:rPr>
        <w:t>份。</w:t>
      </w:r>
    </w:p>
    <w:p>
      <w:pPr>
        <w:snapToGrid w:val="0"/>
        <w:spacing w:line="360" w:lineRule="auto"/>
        <w:ind w:firstLine="420" w:firstLineChars="200"/>
        <w:jc w:val="left"/>
        <w:rPr>
          <w:rFonts w:ascii="宋体" w:hAnsi="宋体"/>
          <w:color w:val="auto"/>
          <w:szCs w:val="21"/>
          <w:highlight w:val="none"/>
        </w:rPr>
      </w:pPr>
      <w:r>
        <w:rPr>
          <w:rFonts w:hint="eastAsia" w:ascii="宋体" w:hAnsi="宋体"/>
          <w:color w:val="auto"/>
          <w:szCs w:val="21"/>
          <w:highlight w:val="none"/>
        </w:rPr>
        <w:t>据此函，签字代表宣布同意如下：</w:t>
      </w:r>
    </w:p>
    <w:p>
      <w:pPr>
        <w:snapToGrid w:val="0"/>
        <w:spacing w:line="360" w:lineRule="auto"/>
        <w:ind w:firstLine="420" w:firstLineChars="200"/>
        <w:jc w:val="left"/>
        <w:rPr>
          <w:rFonts w:ascii="宋体" w:hAnsi="宋体"/>
          <w:color w:val="auto"/>
          <w:szCs w:val="21"/>
          <w:highlight w:val="none"/>
        </w:rPr>
      </w:pPr>
      <w:r>
        <w:rPr>
          <w:rFonts w:ascii="宋体" w:hAnsi="宋体"/>
          <w:color w:val="auto"/>
          <w:szCs w:val="21"/>
          <w:highlight w:val="none"/>
        </w:rPr>
        <w:t>1</w:t>
      </w:r>
      <w:r>
        <w:rPr>
          <w:rFonts w:hint="eastAsia" w:ascii="宋体" w:hAnsi="宋体"/>
          <w:color w:val="auto"/>
          <w:szCs w:val="21"/>
          <w:highlight w:val="none"/>
        </w:rPr>
        <w:t>、</w:t>
      </w:r>
      <w:r>
        <w:rPr>
          <w:rFonts w:hint="eastAsia" w:ascii="宋体" w:hAnsi="宋体"/>
          <w:color w:val="auto"/>
          <w:szCs w:val="21"/>
          <w:highlight w:val="none"/>
          <w:lang w:eastAsia="zh-CN"/>
        </w:rPr>
        <w:t>供应商</w:t>
      </w:r>
      <w:r>
        <w:rPr>
          <w:rFonts w:hint="eastAsia" w:ascii="宋体" w:hAnsi="宋体"/>
          <w:color w:val="auto"/>
          <w:szCs w:val="21"/>
          <w:highlight w:val="none"/>
        </w:rPr>
        <w:t>已详细审查全部“招标文件”，包括修改文件（如有的话）以及全部参考资料和有关附件，已经了解我方对于招标文件、采购过程、采购结果有依法进行询问、质疑、投诉的权利及相关渠道和要求。</w:t>
      </w:r>
    </w:p>
    <w:p>
      <w:pPr>
        <w:snapToGrid w:val="0"/>
        <w:spacing w:line="360" w:lineRule="auto"/>
        <w:ind w:firstLine="420" w:firstLineChars="200"/>
        <w:jc w:val="left"/>
        <w:rPr>
          <w:rFonts w:ascii="宋体" w:hAnsi="宋体"/>
          <w:color w:val="auto"/>
          <w:szCs w:val="21"/>
          <w:highlight w:val="none"/>
        </w:rPr>
      </w:pPr>
      <w:r>
        <w:rPr>
          <w:rFonts w:ascii="宋体" w:hAnsi="宋体"/>
          <w:color w:val="auto"/>
          <w:szCs w:val="21"/>
          <w:highlight w:val="none"/>
        </w:rPr>
        <w:t>2</w:t>
      </w:r>
      <w:r>
        <w:rPr>
          <w:rFonts w:hint="eastAsia" w:ascii="宋体" w:hAnsi="宋体"/>
          <w:color w:val="auto"/>
          <w:szCs w:val="21"/>
          <w:highlight w:val="none"/>
        </w:rPr>
        <w:t>、</w:t>
      </w:r>
      <w:r>
        <w:rPr>
          <w:rFonts w:hint="eastAsia" w:ascii="宋体" w:hAnsi="宋体"/>
          <w:color w:val="auto"/>
          <w:szCs w:val="21"/>
          <w:highlight w:val="none"/>
          <w:lang w:eastAsia="zh-CN"/>
        </w:rPr>
        <w:t>供应商</w:t>
      </w:r>
      <w:r>
        <w:rPr>
          <w:rFonts w:hint="eastAsia" w:ascii="宋体" w:hAnsi="宋体"/>
          <w:color w:val="auto"/>
          <w:szCs w:val="21"/>
          <w:highlight w:val="none"/>
        </w:rPr>
        <w:t>在投标之前已经与贵方进行了充分的沟通，完全理解并接受招标文件的各项规定和要求，对招标文件的合理性、合法性不再有异议。</w:t>
      </w:r>
    </w:p>
    <w:p>
      <w:pPr>
        <w:snapToGrid w:val="0"/>
        <w:spacing w:line="360" w:lineRule="auto"/>
        <w:ind w:firstLine="420" w:firstLineChars="200"/>
        <w:jc w:val="left"/>
        <w:rPr>
          <w:rFonts w:ascii="宋体" w:hAnsi="宋体"/>
          <w:color w:val="auto"/>
          <w:szCs w:val="21"/>
          <w:highlight w:val="none"/>
        </w:rPr>
      </w:pPr>
      <w:r>
        <w:rPr>
          <w:rFonts w:ascii="宋体" w:hAnsi="宋体"/>
          <w:color w:val="auto"/>
          <w:szCs w:val="21"/>
          <w:highlight w:val="none"/>
        </w:rPr>
        <w:t>3</w:t>
      </w:r>
      <w:r>
        <w:rPr>
          <w:rFonts w:hint="eastAsia" w:ascii="宋体" w:hAnsi="宋体"/>
          <w:color w:val="auto"/>
          <w:szCs w:val="21"/>
          <w:highlight w:val="none"/>
        </w:rPr>
        <w:t>、本投标有效期自开标日起</w:t>
      </w:r>
      <w:r>
        <w:rPr>
          <w:rFonts w:ascii="宋体" w:hAnsi="宋体"/>
          <w:color w:val="auto"/>
          <w:szCs w:val="21"/>
          <w:highlight w:val="none"/>
        </w:rPr>
        <w:t xml:space="preserve"> ______</w:t>
      </w:r>
      <w:r>
        <w:rPr>
          <w:rFonts w:hint="eastAsia" w:ascii="宋体" w:hAnsi="宋体"/>
          <w:color w:val="auto"/>
          <w:szCs w:val="21"/>
          <w:highlight w:val="none"/>
        </w:rPr>
        <w:t>个日。</w:t>
      </w:r>
    </w:p>
    <w:p>
      <w:pPr>
        <w:snapToGrid w:val="0"/>
        <w:spacing w:line="360" w:lineRule="auto"/>
        <w:ind w:firstLine="420" w:firstLineChars="200"/>
        <w:jc w:val="left"/>
        <w:rPr>
          <w:rFonts w:ascii="宋体" w:hAnsi="宋体"/>
          <w:color w:val="auto"/>
          <w:szCs w:val="21"/>
          <w:highlight w:val="none"/>
        </w:rPr>
      </w:pPr>
      <w:r>
        <w:rPr>
          <w:rFonts w:ascii="宋体" w:hAnsi="宋体"/>
          <w:color w:val="auto"/>
          <w:szCs w:val="21"/>
          <w:highlight w:val="none"/>
        </w:rPr>
        <w:t>4</w:t>
      </w:r>
      <w:r>
        <w:rPr>
          <w:rFonts w:hint="eastAsia" w:ascii="宋体" w:hAnsi="宋体"/>
          <w:color w:val="auto"/>
          <w:szCs w:val="21"/>
          <w:highlight w:val="none"/>
        </w:rPr>
        <w:t>、如中标，本投标文件至本项目合同履行完毕止均保持有效，本</w:t>
      </w:r>
      <w:r>
        <w:rPr>
          <w:rFonts w:hint="eastAsia" w:ascii="宋体" w:hAnsi="宋体"/>
          <w:color w:val="auto"/>
          <w:szCs w:val="21"/>
          <w:highlight w:val="none"/>
          <w:lang w:eastAsia="zh-CN"/>
        </w:rPr>
        <w:t>供应商</w:t>
      </w:r>
      <w:r>
        <w:rPr>
          <w:rFonts w:hint="eastAsia" w:ascii="宋体" w:hAnsi="宋体"/>
          <w:color w:val="auto"/>
          <w:szCs w:val="21"/>
          <w:highlight w:val="none"/>
        </w:rPr>
        <w:t>将按“招标文件”及政府采购法律、法规的规定履行合同责任和义务。</w:t>
      </w:r>
    </w:p>
    <w:p>
      <w:pPr>
        <w:snapToGrid w:val="0"/>
        <w:spacing w:line="360" w:lineRule="auto"/>
        <w:ind w:firstLine="420" w:firstLineChars="200"/>
        <w:jc w:val="left"/>
        <w:rPr>
          <w:rFonts w:ascii="宋体" w:hAnsi="宋体"/>
          <w:color w:val="auto"/>
          <w:szCs w:val="21"/>
          <w:highlight w:val="none"/>
        </w:rPr>
      </w:pPr>
      <w:r>
        <w:rPr>
          <w:rFonts w:ascii="宋体" w:hAnsi="宋体"/>
          <w:color w:val="auto"/>
          <w:szCs w:val="21"/>
          <w:highlight w:val="none"/>
        </w:rPr>
        <w:t>5</w:t>
      </w:r>
      <w:r>
        <w:rPr>
          <w:rFonts w:hint="eastAsia" w:ascii="宋体" w:hAnsi="宋体"/>
          <w:color w:val="auto"/>
          <w:szCs w:val="21"/>
          <w:highlight w:val="none"/>
        </w:rPr>
        <w:t>、</w:t>
      </w:r>
      <w:r>
        <w:rPr>
          <w:rFonts w:hint="eastAsia" w:ascii="宋体" w:hAnsi="宋体"/>
          <w:color w:val="auto"/>
          <w:szCs w:val="21"/>
          <w:highlight w:val="none"/>
          <w:lang w:eastAsia="zh-CN"/>
        </w:rPr>
        <w:t>供应商</w:t>
      </w:r>
      <w:r>
        <w:rPr>
          <w:rFonts w:hint="eastAsia" w:ascii="宋体" w:hAnsi="宋体"/>
          <w:color w:val="auto"/>
          <w:szCs w:val="21"/>
          <w:highlight w:val="none"/>
        </w:rPr>
        <w:t>同意按照贵方要求提供与投标有关的一切数据或资料。</w:t>
      </w:r>
    </w:p>
    <w:p>
      <w:pPr>
        <w:snapToGrid w:val="0"/>
        <w:spacing w:line="360" w:lineRule="auto"/>
        <w:ind w:firstLine="420" w:firstLineChars="200"/>
        <w:jc w:val="left"/>
        <w:rPr>
          <w:rFonts w:ascii="宋体" w:hAnsi="宋体"/>
          <w:color w:val="auto"/>
          <w:szCs w:val="21"/>
          <w:highlight w:val="none"/>
        </w:rPr>
      </w:pPr>
      <w:r>
        <w:rPr>
          <w:rFonts w:ascii="宋体" w:hAnsi="宋体"/>
          <w:color w:val="auto"/>
          <w:szCs w:val="21"/>
          <w:highlight w:val="none"/>
        </w:rPr>
        <w:t>6</w:t>
      </w:r>
      <w:r>
        <w:rPr>
          <w:rFonts w:hint="eastAsia" w:ascii="宋体" w:hAnsi="宋体"/>
          <w:color w:val="auto"/>
          <w:szCs w:val="21"/>
          <w:highlight w:val="none"/>
        </w:rPr>
        <w:t>、与本投标有关的一切正式往来信函请寄：</w:t>
      </w:r>
    </w:p>
    <w:p>
      <w:pPr>
        <w:snapToGrid w:val="0"/>
        <w:spacing w:line="360" w:lineRule="auto"/>
        <w:ind w:firstLine="420" w:firstLineChars="200"/>
        <w:jc w:val="left"/>
        <w:rPr>
          <w:rFonts w:ascii="宋体" w:hAnsi="宋体"/>
          <w:color w:val="auto"/>
          <w:szCs w:val="21"/>
          <w:highlight w:val="none"/>
        </w:rPr>
      </w:pPr>
    </w:p>
    <w:p>
      <w:pPr>
        <w:snapToGrid w:val="0"/>
        <w:spacing w:line="360" w:lineRule="auto"/>
        <w:ind w:firstLine="420" w:firstLineChars="200"/>
        <w:jc w:val="left"/>
        <w:rPr>
          <w:rFonts w:ascii="宋体" w:hAnsi="宋体"/>
          <w:color w:val="auto"/>
          <w:szCs w:val="21"/>
          <w:highlight w:val="none"/>
        </w:rPr>
      </w:pPr>
      <w:r>
        <w:rPr>
          <w:rFonts w:hint="eastAsia" w:ascii="宋体" w:hAnsi="宋体"/>
          <w:color w:val="auto"/>
          <w:szCs w:val="21"/>
          <w:highlight w:val="none"/>
        </w:rPr>
        <w:t>地址： 邮编：</w:t>
      </w:r>
      <w:r>
        <w:rPr>
          <w:rFonts w:ascii="宋体" w:hAnsi="宋体"/>
          <w:color w:val="auto"/>
          <w:szCs w:val="21"/>
          <w:highlight w:val="none"/>
        </w:rPr>
        <w:t xml:space="preserve">__________   </w:t>
      </w:r>
      <w:r>
        <w:rPr>
          <w:rFonts w:hint="eastAsia" w:ascii="宋体" w:hAnsi="宋体"/>
          <w:color w:val="auto"/>
          <w:szCs w:val="21"/>
          <w:highlight w:val="none"/>
        </w:rPr>
        <w:t>电话：</w:t>
      </w:r>
      <w:r>
        <w:rPr>
          <w:rFonts w:ascii="宋体" w:hAnsi="宋体"/>
          <w:color w:val="auto"/>
          <w:szCs w:val="21"/>
          <w:highlight w:val="none"/>
        </w:rPr>
        <w:t>______________</w:t>
      </w:r>
    </w:p>
    <w:p>
      <w:pPr>
        <w:snapToGrid w:val="0"/>
        <w:spacing w:line="360" w:lineRule="auto"/>
        <w:ind w:firstLine="420" w:firstLineChars="200"/>
        <w:jc w:val="left"/>
        <w:rPr>
          <w:rFonts w:ascii="宋体" w:hAnsi="宋体"/>
          <w:color w:val="auto"/>
          <w:szCs w:val="21"/>
          <w:highlight w:val="none"/>
        </w:rPr>
      </w:pPr>
      <w:r>
        <w:rPr>
          <w:rFonts w:hint="eastAsia" w:ascii="宋体" w:hAnsi="宋体"/>
          <w:color w:val="auto"/>
          <w:szCs w:val="21"/>
          <w:highlight w:val="none"/>
        </w:rPr>
        <w:t>传真：</w:t>
      </w:r>
      <w:r>
        <w:rPr>
          <w:rFonts w:ascii="宋体" w:hAnsi="宋体"/>
          <w:color w:val="auto"/>
          <w:szCs w:val="21"/>
          <w:highlight w:val="none"/>
        </w:rPr>
        <w:t>______________</w:t>
      </w:r>
      <w:r>
        <w:rPr>
          <w:rFonts w:hint="eastAsia" w:ascii="宋体" w:hAnsi="宋体"/>
          <w:color w:val="auto"/>
          <w:szCs w:val="21"/>
          <w:highlight w:val="none"/>
          <w:lang w:eastAsia="zh-CN"/>
        </w:rPr>
        <w:t>供应商</w:t>
      </w:r>
      <w:r>
        <w:rPr>
          <w:rFonts w:hint="eastAsia" w:ascii="宋体" w:hAnsi="宋体"/>
          <w:color w:val="auto"/>
          <w:szCs w:val="21"/>
          <w:highlight w:val="none"/>
        </w:rPr>
        <w:t>代表姓名</w:t>
      </w:r>
      <w:r>
        <w:rPr>
          <w:rFonts w:ascii="宋体" w:hAnsi="宋体"/>
          <w:color w:val="auto"/>
          <w:szCs w:val="21"/>
          <w:highlight w:val="none"/>
        </w:rPr>
        <w:t xml:space="preserve"> ___________  </w:t>
      </w:r>
      <w:r>
        <w:rPr>
          <w:rFonts w:hint="eastAsia" w:ascii="宋体" w:hAnsi="宋体"/>
          <w:color w:val="auto"/>
          <w:szCs w:val="21"/>
          <w:highlight w:val="none"/>
        </w:rPr>
        <w:t>职务：</w:t>
      </w:r>
      <w:r>
        <w:rPr>
          <w:rFonts w:ascii="宋体" w:hAnsi="宋体"/>
          <w:color w:val="auto"/>
          <w:szCs w:val="21"/>
          <w:highlight w:val="none"/>
        </w:rPr>
        <w:t>_____________</w:t>
      </w:r>
    </w:p>
    <w:p>
      <w:pPr>
        <w:snapToGrid w:val="0"/>
        <w:spacing w:line="360" w:lineRule="auto"/>
        <w:ind w:firstLine="420" w:firstLineChars="200"/>
        <w:jc w:val="left"/>
        <w:rPr>
          <w:rFonts w:ascii="宋体" w:hAnsi="宋体"/>
          <w:color w:val="auto"/>
          <w:szCs w:val="21"/>
          <w:highlight w:val="none"/>
        </w:rPr>
      </w:pPr>
      <w:r>
        <w:rPr>
          <w:rFonts w:hint="eastAsia" w:ascii="宋体" w:hAnsi="宋体"/>
          <w:color w:val="auto"/>
          <w:szCs w:val="21"/>
          <w:highlight w:val="none"/>
          <w:lang w:eastAsia="zh-CN"/>
        </w:rPr>
        <w:t>供应商</w:t>
      </w:r>
      <w:r>
        <w:rPr>
          <w:rFonts w:hint="eastAsia" w:ascii="宋体" w:hAnsi="宋体"/>
          <w:color w:val="auto"/>
          <w:szCs w:val="21"/>
          <w:highlight w:val="none"/>
        </w:rPr>
        <w:t>名称</w:t>
      </w:r>
      <w:r>
        <w:rPr>
          <w:rFonts w:ascii="宋体" w:hAnsi="宋体"/>
          <w:color w:val="auto"/>
          <w:szCs w:val="21"/>
          <w:highlight w:val="none"/>
        </w:rPr>
        <w:t>(</w:t>
      </w:r>
      <w:r>
        <w:rPr>
          <w:rFonts w:hint="eastAsia" w:ascii="宋体" w:hAnsi="宋体"/>
          <w:color w:val="auto"/>
          <w:szCs w:val="21"/>
          <w:highlight w:val="none"/>
        </w:rPr>
        <w:t>公章</w:t>
      </w:r>
      <w:r>
        <w:rPr>
          <w:rFonts w:ascii="宋体" w:hAnsi="宋体"/>
          <w:color w:val="auto"/>
          <w:szCs w:val="21"/>
          <w:highlight w:val="none"/>
        </w:rPr>
        <w:t>): _____________</w:t>
      </w:r>
    </w:p>
    <w:p>
      <w:pPr>
        <w:snapToGrid w:val="0"/>
        <w:spacing w:line="360" w:lineRule="auto"/>
        <w:ind w:firstLine="420" w:firstLineChars="200"/>
        <w:jc w:val="left"/>
        <w:rPr>
          <w:rFonts w:ascii="宋体" w:hAnsi="宋体"/>
          <w:color w:val="auto"/>
          <w:szCs w:val="21"/>
          <w:highlight w:val="none"/>
        </w:rPr>
      </w:pPr>
      <w:r>
        <w:rPr>
          <w:rFonts w:hint="eastAsia" w:ascii="宋体" w:hAnsi="宋体"/>
          <w:color w:val="auto"/>
          <w:szCs w:val="21"/>
          <w:highlight w:val="none"/>
        </w:rPr>
        <w:t>开户银行：银行帐号：</w:t>
      </w:r>
    </w:p>
    <w:p>
      <w:pPr>
        <w:snapToGrid w:val="0"/>
        <w:spacing w:line="360" w:lineRule="auto"/>
        <w:ind w:firstLine="420" w:firstLineChars="200"/>
        <w:jc w:val="left"/>
        <w:rPr>
          <w:rFonts w:ascii="宋体" w:hAnsi="宋体"/>
          <w:color w:val="auto"/>
          <w:szCs w:val="21"/>
          <w:highlight w:val="none"/>
        </w:rPr>
      </w:pPr>
      <w:r>
        <w:rPr>
          <w:rFonts w:hint="eastAsia" w:ascii="宋体" w:hAnsi="宋体"/>
          <w:color w:val="auto"/>
          <w:szCs w:val="21"/>
          <w:highlight w:val="none"/>
        </w:rPr>
        <w:t>法定代表人或其委托代理人签名（或盖章）</w:t>
      </w:r>
      <w:r>
        <w:rPr>
          <w:rFonts w:ascii="宋体" w:hAnsi="宋体"/>
          <w:color w:val="auto"/>
          <w:szCs w:val="21"/>
          <w:highlight w:val="none"/>
        </w:rPr>
        <w:t xml:space="preserve">:___________                      </w:t>
      </w:r>
    </w:p>
    <w:p>
      <w:pPr>
        <w:snapToGrid w:val="0"/>
        <w:spacing w:line="360" w:lineRule="auto"/>
        <w:ind w:firstLine="420" w:firstLineChars="200"/>
        <w:jc w:val="left"/>
        <w:rPr>
          <w:rFonts w:ascii="宋体" w:hAnsi="宋体"/>
          <w:color w:val="auto"/>
          <w:szCs w:val="21"/>
          <w:highlight w:val="none"/>
        </w:rPr>
      </w:pPr>
      <w:r>
        <w:rPr>
          <w:rFonts w:hint="eastAsia" w:ascii="宋体" w:hAnsi="宋体"/>
          <w:color w:val="auto"/>
          <w:szCs w:val="21"/>
          <w:highlight w:val="none"/>
        </w:rPr>
        <w:t>日期</w:t>
      </w:r>
      <w:r>
        <w:rPr>
          <w:rFonts w:ascii="宋体" w:hAnsi="宋体"/>
          <w:color w:val="auto"/>
          <w:szCs w:val="21"/>
          <w:highlight w:val="none"/>
        </w:rPr>
        <w:t>:_____</w:t>
      </w:r>
      <w:r>
        <w:rPr>
          <w:rFonts w:hint="eastAsia" w:ascii="宋体" w:hAnsi="宋体"/>
          <w:color w:val="auto"/>
          <w:szCs w:val="21"/>
          <w:highlight w:val="none"/>
        </w:rPr>
        <w:t>年</w:t>
      </w:r>
      <w:r>
        <w:rPr>
          <w:rFonts w:ascii="宋体" w:hAnsi="宋体"/>
          <w:color w:val="auto"/>
          <w:szCs w:val="21"/>
          <w:highlight w:val="none"/>
        </w:rPr>
        <w:t>___</w:t>
      </w:r>
      <w:r>
        <w:rPr>
          <w:rFonts w:hint="eastAsia" w:ascii="宋体" w:hAnsi="宋体"/>
          <w:color w:val="auto"/>
          <w:szCs w:val="21"/>
          <w:highlight w:val="none"/>
        </w:rPr>
        <w:t>月</w:t>
      </w:r>
      <w:r>
        <w:rPr>
          <w:rFonts w:ascii="宋体" w:hAnsi="宋体"/>
          <w:color w:val="auto"/>
          <w:szCs w:val="21"/>
          <w:highlight w:val="none"/>
        </w:rPr>
        <w:t>___</w:t>
      </w:r>
      <w:r>
        <w:rPr>
          <w:rFonts w:hint="eastAsia" w:ascii="宋体" w:hAnsi="宋体"/>
          <w:color w:val="auto"/>
          <w:szCs w:val="21"/>
          <w:highlight w:val="none"/>
        </w:rPr>
        <w:t>日</w:t>
      </w:r>
    </w:p>
    <w:p>
      <w:pPr>
        <w:pStyle w:val="53"/>
        <w:ind w:firstLine="464"/>
        <w:rPr>
          <w:rFonts w:hAnsi="宋体"/>
          <w:color w:val="auto"/>
          <w:szCs w:val="21"/>
          <w:highlight w:val="none"/>
        </w:rPr>
      </w:pPr>
    </w:p>
    <w:p>
      <w:pPr>
        <w:pStyle w:val="53"/>
        <w:ind w:firstLine="464"/>
        <w:rPr>
          <w:rFonts w:hAnsi="宋体"/>
          <w:color w:val="auto"/>
          <w:szCs w:val="21"/>
          <w:highlight w:val="none"/>
        </w:rPr>
      </w:pPr>
    </w:p>
    <w:p>
      <w:pPr>
        <w:pStyle w:val="53"/>
        <w:ind w:firstLine="464"/>
        <w:rPr>
          <w:rFonts w:hAnsi="宋体"/>
          <w:color w:val="auto"/>
          <w:szCs w:val="21"/>
          <w:highlight w:val="none"/>
        </w:rPr>
      </w:pPr>
    </w:p>
    <w:p>
      <w:pPr>
        <w:pStyle w:val="53"/>
        <w:ind w:firstLine="464"/>
        <w:rPr>
          <w:rFonts w:hAnsi="宋体"/>
          <w:color w:val="auto"/>
          <w:szCs w:val="21"/>
          <w:highlight w:val="none"/>
        </w:rPr>
      </w:pPr>
    </w:p>
    <w:p>
      <w:pPr>
        <w:pStyle w:val="53"/>
        <w:ind w:firstLine="464"/>
        <w:rPr>
          <w:rFonts w:hAnsi="宋体"/>
          <w:color w:val="auto"/>
          <w:szCs w:val="21"/>
          <w:highlight w:val="none"/>
        </w:rPr>
      </w:pPr>
    </w:p>
    <w:p>
      <w:pPr>
        <w:pStyle w:val="53"/>
        <w:ind w:firstLine="464"/>
        <w:rPr>
          <w:rFonts w:hAnsi="宋体"/>
          <w:color w:val="auto"/>
          <w:szCs w:val="21"/>
          <w:highlight w:val="none"/>
        </w:rPr>
      </w:pPr>
    </w:p>
    <w:p>
      <w:pPr>
        <w:rPr>
          <w:rFonts w:hAnsi="宋体"/>
          <w:color w:val="auto"/>
          <w:szCs w:val="21"/>
          <w:highlight w:val="none"/>
        </w:rPr>
      </w:pPr>
    </w:p>
    <w:p>
      <w:pPr>
        <w:pStyle w:val="100"/>
        <w:rPr>
          <w:rFonts w:hAnsi="宋体"/>
          <w:color w:val="auto"/>
          <w:szCs w:val="21"/>
          <w:highlight w:val="none"/>
        </w:rPr>
      </w:pPr>
    </w:p>
    <w:p>
      <w:pPr>
        <w:pStyle w:val="20"/>
        <w:rPr>
          <w:rFonts w:hAnsi="宋体"/>
          <w:color w:val="auto"/>
          <w:szCs w:val="21"/>
          <w:highlight w:val="none"/>
        </w:rPr>
      </w:pPr>
    </w:p>
    <w:p>
      <w:pPr>
        <w:pStyle w:val="21"/>
        <w:rPr>
          <w:color w:val="auto"/>
          <w:highlight w:val="none"/>
        </w:rPr>
      </w:pPr>
    </w:p>
    <w:p>
      <w:pPr>
        <w:pStyle w:val="53"/>
        <w:ind w:firstLine="464"/>
        <w:rPr>
          <w:rFonts w:hAnsi="宋体"/>
          <w:color w:val="auto"/>
          <w:szCs w:val="21"/>
          <w:highlight w:val="none"/>
        </w:rPr>
      </w:pPr>
    </w:p>
    <w:p>
      <w:pPr>
        <w:snapToGrid w:val="0"/>
        <w:spacing w:line="360" w:lineRule="auto"/>
        <w:rPr>
          <w:rFonts w:ascii="宋体" w:hAnsi="宋体"/>
          <w:color w:val="auto"/>
          <w:szCs w:val="21"/>
          <w:highlight w:val="none"/>
        </w:rPr>
      </w:pPr>
    </w:p>
    <w:p>
      <w:pPr>
        <w:snapToGrid w:val="0"/>
        <w:spacing w:line="360" w:lineRule="auto"/>
        <w:ind w:firstLine="420" w:firstLineChars="200"/>
        <w:jc w:val="center"/>
        <w:rPr>
          <w:rFonts w:ascii="宋体" w:hAnsi="宋体"/>
          <w:color w:val="auto"/>
          <w:szCs w:val="21"/>
          <w:highlight w:val="none"/>
        </w:rPr>
      </w:pPr>
      <w:r>
        <w:rPr>
          <w:rFonts w:hint="eastAsia" w:ascii="宋体" w:hAnsi="宋体"/>
          <w:color w:val="auto"/>
          <w:szCs w:val="21"/>
          <w:highlight w:val="none"/>
        </w:rPr>
        <w:t>开标一览表</w:t>
      </w:r>
    </w:p>
    <w:p>
      <w:pPr>
        <w:snapToGrid w:val="0"/>
        <w:spacing w:line="360" w:lineRule="auto"/>
        <w:ind w:firstLine="420" w:firstLineChars="200"/>
        <w:jc w:val="left"/>
        <w:rPr>
          <w:rFonts w:ascii="宋体" w:hAnsi="宋体"/>
          <w:color w:val="auto"/>
          <w:szCs w:val="21"/>
          <w:highlight w:val="none"/>
        </w:rPr>
      </w:pPr>
    </w:p>
    <w:p>
      <w:pPr>
        <w:tabs>
          <w:tab w:val="left" w:pos="2520"/>
        </w:tabs>
        <w:snapToGrid w:val="0"/>
        <w:spacing w:line="360" w:lineRule="auto"/>
        <w:rPr>
          <w:rFonts w:ascii="宋体" w:hAnsi="宋体"/>
          <w:color w:val="auto"/>
          <w:szCs w:val="21"/>
          <w:highlight w:val="none"/>
        </w:rPr>
      </w:pPr>
      <w:r>
        <w:rPr>
          <w:rFonts w:ascii="宋体" w:hAnsi="宋体"/>
          <w:color w:val="auto"/>
          <w:szCs w:val="21"/>
          <w:highlight w:val="none"/>
        </w:rPr>
        <w:t xml:space="preserve">招标编号： </w:t>
      </w:r>
      <w:r>
        <w:rPr>
          <w:rFonts w:hint="eastAsia" w:ascii="宋体" w:hAnsi="宋体"/>
          <w:color w:val="auto"/>
          <w:szCs w:val="21"/>
          <w:highlight w:val="none"/>
          <w:lang w:eastAsia="zh-CN"/>
        </w:rPr>
        <w:t>FLCX-2023-</w:t>
      </w:r>
      <w:r>
        <w:rPr>
          <w:rFonts w:hint="eastAsia" w:ascii="宋体" w:hAnsi="宋体"/>
          <w:color w:val="auto"/>
          <w:szCs w:val="21"/>
          <w:highlight w:val="none"/>
          <w:lang w:val="en-US" w:eastAsia="zh-CN"/>
        </w:rPr>
        <w:t xml:space="preserve">45    </w:t>
      </w:r>
      <w:r>
        <w:rPr>
          <w:rFonts w:hint="eastAsia" w:ascii="宋体" w:hAnsi="宋体"/>
          <w:color w:val="auto"/>
          <w:szCs w:val="21"/>
          <w:highlight w:val="none"/>
          <w:lang w:eastAsia="zh-CN"/>
        </w:rPr>
        <w:t>供应商</w:t>
      </w:r>
      <w:r>
        <w:rPr>
          <w:rFonts w:ascii="宋体" w:hAnsi="宋体"/>
          <w:color w:val="auto"/>
          <w:szCs w:val="21"/>
          <w:highlight w:val="none"/>
        </w:rPr>
        <w:t>名称：</w:t>
      </w:r>
    </w:p>
    <w:tbl>
      <w:tblPr>
        <w:tblStyle w:val="54"/>
        <w:tblW w:w="9412" w:type="dxa"/>
        <w:jc w:val="center"/>
        <w:tblLayout w:type="fixed"/>
        <w:tblCellMar>
          <w:top w:w="15" w:type="dxa"/>
          <w:left w:w="15" w:type="dxa"/>
          <w:bottom w:w="15" w:type="dxa"/>
          <w:right w:w="15" w:type="dxa"/>
        </w:tblCellMar>
      </w:tblPr>
      <w:tblGrid>
        <w:gridCol w:w="782"/>
        <w:gridCol w:w="1512"/>
        <w:gridCol w:w="2918"/>
        <w:gridCol w:w="1050"/>
        <w:gridCol w:w="1050"/>
        <w:gridCol w:w="1050"/>
        <w:gridCol w:w="1050"/>
      </w:tblGrid>
      <w:tr>
        <w:tblPrEx>
          <w:tblCellMar>
            <w:top w:w="15" w:type="dxa"/>
            <w:left w:w="15" w:type="dxa"/>
            <w:bottom w:w="15" w:type="dxa"/>
            <w:right w:w="15" w:type="dxa"/>
          </w:tblCellMar>
        </w:tblPrEx>
        <w:trPr>
          <w:trHeight w:val="753" w:hRule="atLeast"/>
          <w:jc w:val="center"/>
        </w:trPr>
        <w:tc>
          <w:tcPr>
            <w:tcW w:w="782" w:type="dxa"/>
            <w:tcBorders>
              <w:top w:val="single" w:color="auto" w:sz="4" w:space="0"/>
              <w:left w:val="single" w:color="auto" w:sz="4" w:space="0"/>
              <w:bottom w:val="single" w:color="auto" w:sz="4" w:space="0"/>
              <w:right w:val="single" w:color="auto" w:sz="4" w:space="0"/>
            </w:tcBorders>
            <w:noWrap w:val="0"/>
            <w:vAlign w:val="center"/>
          </w:tcPr>
          <w:p>
            <w:pPr>
              <w:snapToGrid w:val="0"/>
              <w:jc w:val="center"/>
              <w:rPr>
                <w:rFonts w:ascii="宋体" w:cs="宋体"/>
                <w:b/>
                <w:bCs/>
                <w:color w:val="auto"/>
                <w:sz w:val="18"/>
                <w:szCs w:val="18"/>
                <w:highlight w:val="none"/>
              </w:rPr>
            </w:pPr>
            <w:r>
              <w:rPr>
                <w:rFonts w:hint="eastAsia" w:ascii="宋体" w:hAnsi="宋体" w:cs="宋体"/>
                <w:b/>
                <w:bCs/>
                <w:color w:val="auto"/>
                <w:sz w:val="18"/>
                <w:szCs w:val="18"/>
                <w:highlight w:val="none"/>
              </w:rPr>
              <w:t>序号</w:t>
            </w:r>
          </w:p>
        </w:tc>
        <w:tc>
          <w:tcPr>
            <w:tcW w:w="1512" w:type="dxa"/>
            <w:tcBorders>
              <w:top w:val="single" w:color="auto" w:sz="4" w:space="0"/>
              <w:left w:val="single" w:color="auto" w:sz="4" w:space="0"/>
              <w:bottom w:val="single" w:color="auto" w:sz="4" w:space="0"/>
              <w:right w:val="single" w:color="auto" w:sz="4" w:space="0"/>
            </w:tcBorders>
            <w:noWrap w:val="0"/>
            <w:vAlign w:val="center"/>
          </w:tcPr>
          <w:p>
            <w:pPr>
              <w:snapToGrid w:val="0"/>
              <w:jc w:val="center"/>
              <w:rPr>
                <w:rFonts w:ascii="宋体" w:cs="宋体"/>
                <w:b/>
                <w:bCs/>
                <w:color w:val="auto"/>
                <w:sz w:val="18"/>
                <w:szCs w:val="18"/>
                <w:highlight w:val="none"/>
              </w:rPr>
            </w:pPr>
            <w:r>
              <w:rPr>
                <w:rFonts w:hint="eastAsia" w:ascii="宋体" w:hAnsi="宋体" w:cs="宋体"/>
                <w:b/>
                <w:bCs/>
                <w:color w:val="auto"/>
                <w:sz w:val="18"/>
                <w:szCs w:val="18"/>
                <w:highlight w:val="none"/>
              </w:rPr>
              <w:t>采购内容</w:t>
            </w:r>
          </w:p>
        </w:tc>
        <w:tc>
          <w:tcPr>
            <w:tcW w:w="2918" w:type="dxa"/>
            <w:tcBorders>
              <w:top w:val="single" w:color="auto" w:sz="4" w:space="0"/>
              <w:left w:val="single" w:color="auto" w:sz="4" w:space="0"/>
              <w:bottom w:val="single" w:color="auto" w:sz="4" w:space="0"/>
              <w:right w:val="single" w:color="auto" w:sz="4" w:space="0"/>
            </w:tcBorders>
            <w:noWrap w:val="0"/>
            <w:vAlign w:val="center"/>
          </w:tcPr>
          <w:p>
            <w:pPr>
              <w:snapToGrid w:val="0"/>
              <w:jc w:val="center"/>
              <w:rPr>
                <w:rFonts w:ascii="宋体" w:cs="宋体"/>
                <w:b/>
                <w:bCs/>
                <w:color w:val="auto"/>
                <w:sz w:val="18"/>
                <w:szCs w:val="18"/>
                <w:highlight w:val="none"/>
              </w:rPr>
            </w:pPr>
            <w:r>
              <w:rPr>
                <w:rFonts w:hint="eastAsia" w:ascii="宋体" w:hAnsi="宋体" w:cs="宋体"/>
                <w:b/>
                <w:bCs/>
                <w:color w:val="auto"/>
                <w:sz w:val="18"/>
                <w:szCs w:val="18"/>
                <w:highlight w:val="none"/>
              </w:rPr>
              <w:t>投标报价</w:t>
            </w:r>
          </w:p>
        </w:tc>
        <w:tc>
          <w:tcPr>
            <w:tcW w:w="1050" w:type="dxa"/>
            <w:tcBorders>
              <w:top w:val="single" w:color="auto" w:sz="4" w:space="0"/>
              <w:left w:val="single" w:color="auto" w:sz="4" w:space="0"/>
              <w:bottom w:val="single" w:color="auto" w:sz="4" w:space="0"/>
              <w:right w:val="single" w:color="auto" w:sz="4" w:space="0"/>
            </w:tcBorders>
            <w:noWrap w:val="0"/>
            <w:vAlign w:val="center"/>
          </w:tcPr>
          <w:p>
            <w:pPr>
              <w:snapToGrid w:val="0"/>
              <w:jc w:val="center"/>
              <w:rPr>
                <w:rFonts w:ascii="宋体" w:hAnsi="宋体" w:cs="宋体"/>
                <w:b/>
                <w:bCs/>
                <w:color w:val="auto"/>
                <w:sz w:val="18"/>
                <w:szCs w:val="18"/>
                <w:highlight w:val="none"/>
              </w:rPr>
            </w:pPr>
            <w:r>
              <w:rPr>
                <w:rFonts w:hint="eastAsia" w:ascii="宋体" w:hAnsi="宋体" w:cs="宋体"/>
                <w:b/>
                <w:bCs/>
                <w:color w:val="auto"/>
                <w:sz w:val="18"/>
                <w:szCs w:val="18"/>
                <w:highlight w:val="none"/>
              </w:rPr>
              <w:t>工期</w:t>
            </w:r>
          </w:p>
        </w:tc>
        <w:tc>
          <w:tcPr>
            <w:tcW w:w="1050" w:type="dxa"/>
            <w:tcBorders>
              <w:top w:val="single" w:color="auto" w:sz="4" w:space="0"/>
              <w:left w:val="single" w:color="auto" w:sz="4" w:space="0"/>
              <w:bottom w:val="single" w:color="auto" w:sz="4" w:space="0"/>
              <w:right w:val="single" w:color="auto" w:sz="4" w:space="0"/>
            </w:tcBorders>
            <w:noWrap w:val="0"/>
            <w:vAlign w:val="center"/>
          </w:tcPr>
          <w:p>
            <w:pPr>
              <w:snapToGrid w:val="0"/>
              <w:jc w:val="center"/>
              <w:rPr>
                <w:rFonts w:hint="default" w:ascii="宋体" w:hAnsi="宋体" w:eastAsia="宋体" w:cs="宋体"/>
                <w:b/>
                <w:bCs/>
                <w:color w:val="auto"/>
                <w:sz w:val="18"/>
                <w:szCs w:val="18"/>
                <w:highlight w:val="none"/>
                <w:lang w:val="en-US" w:eastAsia="zh-CN"/>
              </w:rPr>
            </w:pPr>
            <w:r>
              <w:rPr>
                <w:rFonts w:hint="eastAsia" w:ascii="宋体" w:hAnsi="宋体" w:cs="宋体"/>
                <w:b/>
                <w:bCs/>
                <w:color w:val="auto"/>
                <w:sz w:val="18"/>
                <w:szCs w:val="18"/>
                <w:highlight w:val="none"/>
                <w:lang w:val="en-US" w:eastAsia="zh-CN"/>
              </w:rPr>
              <w:t>项目总负责人</w:t>
            </w:r>
          </w:p>
        </w:tc>
        <w:tc>
          <w:tcPr>
            <w:tcW w:w="1050" w:type="dxa"/>
            <w:tcBorders>
              <w:top w:val="single" w:color="auto" w:sz="4" w:space="0"/>
              <w:left w:val="single" w:color="auto" w:sz="4" w:space="0"/>
              <w:bottom w:val="single" w:color="auto" w:sz="4" w:space="0"/>
              <w:right w:val="single" w:color="auto" w:sz="4" w:space="0"/>
            </w:tcBorders>
            <w:noWrap w:val="0"/>
            <w:vAlign w:val="center"/>
          </w:tcPr>
          <w:p>
            <w:pPr>
              <w:snapToGrid w:val="0"/>
              <w:jc w:val="center"/>
              <w:rPr>
                <w:rFonts w:hint="default" w:ascii="宋体" w:hAnsi="宋体" w:cs="宋体"/>
                <w:b/>
                <w:bCs/>
                <w:color w:val="auto"/>
                <w:sz w:val="18"/>
                <w:szCs w:val="18"/>
                <w:highlight w:val="none"/>
                <w:lang w:val="en-US" w:eastAsia="zh-CN"/>
              </w:rPr>
            </w:pPr>
            <w:r>
              <w:rPr>
                <w:rFonts w:hint="eastAsia" w:ascii="宋体" w:hAnsi="宋体" w:cs="宋体"/>
                <w:b/>
                <w:bCs/>
                <w:color w:val="auto"/>
                <w:sz w:val="18"/>
                <w:szCs w:val="18"/>
                <w:highlight w:val="none"/>
                <w:lang w:val="en-US" w:eastAsia="zh-CN"/>
              </w:rPr>
              <w:t>设计负责人</w:t>
            </w:r>
          </w:p>
        </w:tc>
        <w:tc>
          <w:tcPr>
            <w:tcW w:w="1050" w:type="dxa"/>
            <w:tcBorders>
              <w:top w:val="single" w:color="auto" w:sz="4" w:space="0"/>
              <w:left w:val="single" w:color="auto" w:sz="4" w:space="0"/>
              <w:bottom w:val="single" w:color="auto" w:sz="4" w:space="0"/>
              <w:right w:val="single" w:color="auto" w:sz="4" w:space="0"/>
            </w:tcBorders>
            <w:noWrap w:val="0"/>
            <w:vAlign w:val="center"/>
          </w:tcPr>
          <w:p>
            <w:pPr>
              <w:snapToGrid w:val="0"/>
              <w:jc w:val="center"/>
              <w:rPr>
                <w:rFonts w:hint="default" w:ascii="宋体" w:hAnsi="宋体" w:cs="宋体"/>
                <w:b/>
                <w:bCs/>
                <w:color w:val="auto"/>
                <w:sz w:val="18"/>
                <w:szCs w:val="18"/>
                <w:highlight w:val="none"/>
                <w:lang w:val="en-US" w:eastAsia="zh-CN"/>
              </w:rPr>
            </w:pPr>
            <w:r>
              <w:rPr>
                <w:rFonts w:hint="eastAsia" w:ascii="宋体" w:hAnsi="宋体" w:cs="宋体"/>
                <w:b/>
                <w:bCs/>
                <w:color w:val="auto"/>
                <w:sz w:val="18"/>
                <w:szCs w:val="18"/>
                <w:highlight w:val="none"/>
                <w:lang w:val="en-US" w:eastAsia="zh-CN"/>
              </w:rPr>
              <w:t>施工项目经理</w:t>
            </w:r>
          </w:p>
        </w:tc>
      </w:tr>
      <w:tr>
        <w:tblPrEx>
          <w:tblCellMar>
            <w:top w:w="15" w:type="dxa"/>
            <w:left w:w="15" w:type="dxa"/>
            <w:bottom w:w="15" w:type="dxa"/>
            <w:right w:w="15" w:type="dxa"/>
          </w:tblCellMar>
        </w:tblPrEx>
        <w:trPr>
          <w:trHeight w:val="861" w:hRule="atLeast"/>
          <w:jc w:val="center"/>
        </w:trPr>
        <w:tc>
          <w:tcPr>
            <w:tcW w:w="782" w:type="dxa"/>
            <w:vMerge w:val="restart"/>
            <w:tcBorders>
              <w:top w:val="single" w:color="auto" w:sz="4" w:space="0"/>
              <w:left w:val="single" w:color="auto" w:sz="4" w:space="0"/>
              <w:right w:val="single" w:color="auto" w:sz="4" w:space="0"/>
            </w:tcBorders>
            <w:noWrap w:val="0"/>
            <w:vAlign w:val="center"/>
          </w:tcPr>
          <w:p>
            <w:pPr>
              <w:snapToGrid w:val="0"/>
              <w:jc w:val="center"/>
              <w:rPr>
                <w:rFonts w:ascii="宋体" w:cs="宋体"/>
                <w:color w:val="auto"/>
                <w:sz w:val="22"/>
                <w:szCs w:val="22"/>
                <w:highlight w:val="none"/>
              </w:rPr>
            </w:pPr>
            <w:r>
              <w:rPr>
                <w:rFonts w:ascii="宋体" w:hAnsi="宋体" w:cs="宋体"/>
                <w:color w:val="auto"/>
                <w:sz w:val="18"/>
                <w:szCs w:val="18"/>
                <w:highlight w:val="none"/>
              </w:rPr>
              <w:t>1</w:t>
            </w:r>
          </w:p>
        </w:tc>
        <w:tc>
          <w:tcPr>
            <w:tcW w:w="1512" w:type="dxa"/>
            <w:vMerge w:val="restart"/>
            <w:tcBorders>
              <w:top w:val="single" w:color="auto" w:sz="4" w:space="0"/>
              <w:left w:val="single" w:color="auto" w:sz="4" w:space="0"/>
              <w:right w:val="single" w:color="auto" w:sz="4" w:space="0"/>
            </w:tcBorders>
            <w:noWrap w:val="0"/>
            <w:vAlign w:val="center"/>
          </w:tcPr>
          <w:p>
            <w:pPr>
              <w:spacing w:line="360" w:lineRule="auto"/>
              <w:jc w:val="left"/>
              <w:rPr>
                <w:rFonts w:ascii="宋体" w:cs="宋体"/>
                <w:color w:val="auto"/>
                <w:sz w:val="22"/>
                <w:szCs w:val="22"/>
                <w:highlight w:val="none"/>
              </w:rPr>
            </w:pPr>
            <w:r>
              <w:rPr>
                <w:rFonts w:hint="eastAsia"/>
                <w:color w:val="auto"/>
                <w:szCs w:val="22"/>
                <w:highlight w:val="none"/>
                <w:lang w:eastAsia="zh-CN"/>
              </w:rPr>
              <w:t xml:space="preserve"> 嘉兴市实验初级中学教育集团艺术教室室内装修工程设计施工一体化项目</w:t>
            </w:r>
            <w:r>
              <w:rPr>
                <w:rFonts w:hint="eastAsia"/>
                <w:color w:val="auto"/>
                <w:szCs w:val="22"/>
                <w:highlight w:val="none"/>
              </w:rPr>
              <w:t xml:space="preserve"> </w:t>
            </w:r>
          </w:p>
        </w:tc>
        <w:tc>
          <w:tcPr>
            <w:tcW w:w="2918" w:type="dxa"/>
            <w:tcBorders>
              <w:top w:val="single" w:color="auto" w:sz="4" w:space="0"/>
              <w:left w:val="single" w:color="auto" w:sz="4" w:space="0"/>
              <w:bottom w:val="single" w:color="auto" w:sz="4" w:space="0"/>
              <w:right w:val="single" w:color="auto" w:sz="4" w:space="0"/>
            </w:tcBorders>
            <w:noWrap w:val="0"/>
            <w:vAlign w:val="center"/>
          </w:tcPr>
          <w:p>
            <w:pPr>
              <w:pStyle w:val="2"/>
              <w:jc w:val="left"/>
              <w:rPr>
                <w:rFonts w:hint="default" w:eastAsia="宋体"/>
                <w:color w:val="auto"/>
                <w:highlight w:val="none"/>
                <w:lang w:val="en-US" w:eastAsia="zh-CN"/>
              </w:rPr>
            </w:pPr>
            <w:r>
              <w:rPr>
                <w:rFonts w:hint="eastAsia"/>
                <w:color w:val="auto"/>
                <w:highlight w:val="none"/>
              </w:rPr>
              <w:t>设计费：</w:t>
            </w:r>
            <w:r>
              <w:rPr>
                <w:rFonts w:hint="eastAsia"/>
                <w:color w:val="auto"/>
                <w:highlight w:val="none"/>
                <w:u w:val="single"/>
                <w:lang w:val="en-US" w:eastAsia="zh-CN"/>
              </w:rPr>
              <w:t xml:space="preserve">    </w:t>
            </w:r>
            <w:r>
              <w:rPr>
                <w:rFonts w:hint="eastAsia"/>
                <w:color w:val="auto"/>
                <w:highlight w:val="none"/>
                <w:lang w:val="en-US" w:eastAsia="zh-CN"/>
              </w:rPr>
              <w:t xml:space="preserve"> %</w:t>
            </w:r>
          </w:p>
          <w:p>
            <w:pPr>
              <w:pStyle w:val="2"/>
              <w:jc w:val="left"/>
              <w:rPr>
                <w:color w:val="auto"/>
                <w:highlight w:val="none"/>
              </w:rPr>
            </w:pPr>
            <w:r>
              <w:rPr>
                <w:rFonts w:hint="eastAsia"/>
                <w:color w:val="auto"/>
                <w:highlight w:val="none"/>
                <w:lang w:val="en-US" w:eastAsia="zh-CN"/>
              </w:rPr>
              <w:t>即：</w:t>
            </w:r>
            <w:r>
              <w:rPr>
                <w:rFonts w:hint="eastAsia"/>
                <w:color w:val="auto"/>
                <w:highlight w:val="none"/>
              </w:rPr>
              <w:t xml:space="preserve">大写： </w:t>
            </w:r>
            <w:r>
              <w:rPr>
                <w:rFonts w:hint="eastAsia"/>
                <w:color w:val="auto"/>
                <w:highlight w:val="none"/>
                <w:u w:val="single"/>
                <w:lang w:val="en-US" w:eastAsia="zh-CN"/>
              </w:rPr>
              <w:t xml:space="preserve">            </w:t>
            </w:r>
            <w:r>
              <w:rPr>
                <w:rFonts w:hint="eastAsia"/>
                <w:color w:val="auto"/>
                <w:highlight w:val="none"/>
                <w:lang w:val="en-US" w:eastAsia="zh-CN"/>
              </w:rPr>
              <w:t>元；</w:t>
            </w:r>
            <w:r>
              <w:rPr>
                <w:rFonts w:hint="eastAsia"/>
                <w:color w:val="auto"/>
                <w:highlight w:val="none"/>
              </w:rPr>
              <w:t>小写：</w:t>
            </w:r>
            <w:r>
              <w:rPr>
                <w:rFonts w:hint="eastAsia"/>
                <w:color w:val="auto"/>
                <w:highlight w:val="none"/>
                <w:u w:val="single"/>
                <w:lang w:val="en-US" w:eastAsia="zh-CN"/>
              </w:rPr>
              <w:t xml:space="preserve">    </w:t>
            </w:r>
            <w:r>
              <w:rPr>
                <w:rFonts w:hint="eastAsia"/>
                <w:color w:val="auto"/>
                <w:highlight w:val="none"/>
                <w:lang w:val="en-US" w:eastAsia="zh-CN"/>
              </w:rPr>
              <w:t>元</w:t>
            </w:r>
          </w:p>
        </w:tc>
        <w:tc>
          <w:tcPr>
            <w:tcW w:w="1050" w:type="dxa"/>
            <w:vMerge w:val="restart"/>
            <w:tcBorders>
              <w:top w:val="single" w:color="auto" w:sz="4" w:space="0"/>
              <w:left w:val="single" w:color="auto" w:sz="4" w:space="0"/>
              <w:right w:val="single" w:color="auto" w:sz="4" w:space="0"/>
            </w:tcBorders>
            <w:noWrap w:val="0"/>
            <w:vAlign w:val="center"/>
          </w:tcPr>
          <w:p>
            <w:pPr>
              <w:pStyle w:val="2"/>
              <w:jc w:val="left"/>
              <w:rPr>
                <w:color w:val="auto"/>
                <w:highlight w:val="none"/>
              </w:rPr>
            </w:pPr>
          </w:p>
        </w:tc>
        <w:tc>
          <w:tcPr>
            <w:tcW w:w="1050" w:type="dxa"/>
            <w:vMerge w:val="restart"/>
            <w:tcBorders>
              <w:top w:val="single" w:color="auto" w:sz="4" w:space="0"/>
              <w:left w:val="single" w:color="auto" w:sz="4" w:space="0"/>
              <w:right w:val="single" w:color="auto" w:sz="4" w:space="0"/>
            </w:tcBorders>
            <w:noWrap w:val="0"/>
            <w:vAlign w:val="center"/>
          </w:tcPr>
          <w:p>
            <w:pPr>
              <w:pStyle w:val="2"/>
              <w:jc w:val="left"/>
              <w:rPr>
                <w:color w:val="auto"/>
                <w:highlight w:val="none"/>
              </w:rPr>
            </w:pPr>
          </w:p>
        </w:tc>
        <w:tc>
          <w:tcPr>
            <w:tcW w:w="1050" w:type="dxa"/>
            <w:vMerge w:val="restart"/>
            <w:tcBorders>
              <w:top w:val="single" w:color="auto" w:sz="4" w:space="0"/>
              <w:left w:val="single" w:color="auto" w:sz="4" w:space="0"/>
              <w:right w:val="single" w:color="auto" w:sz="4" w:space="0"/>
            </w:tcBorders>
            <w:noWrap w:val="0"/>
            <w:vAlign w:val="center"/>
          </w:tcPr>
          <w:p>
            <w:pPr>
              <w:pStyle w:val="2"/>
              <w:jc w:val="left"/>
              <w:rPr>
                <w:color w:val="auto"/>
                <w:highlight w:val="none"/>
              </w:rPr>
            </w:pPr>
          </w:p>
        </w:tc>
        <w:tc>
          <w:tcPr>
            <w:tcW w:w="1050" w:type="dxa"/>
            <w:vMerge w:val="restart"/>
            <w:tcBorders>
              <w:top w:val="single" w:color="auto" w:sz="4" w:space="0"/>
              <w:left w:val="single" w:color="auto" w:sz="4" w:space="0"/>
              <w:right w:val="single" w:color="auto" w:sz="4" w:space="0"/>
            </w:tcBorders>
            <w:noWrap w:val="0"/>
            <w:vAlign w:val="center"/>
          </w:tcPr>
          <w:p>
            <w:pPr>
              <w:pStyle w:val="2"/>
              <w:jc w:val="left"/>
              <w:rPr>
                <w:color w:val="auto"/>
                <w:highlight w:val="none"/>
              </w:rPr>
            </w:pPr>
          </w:p>
        </w:tc>
      </w:tr>
      <w:tr>
        <w:tblPrEx>
          <w:tblCellMar>
            <w:top w:w="15" w:type="dxa"/>
            <w:left w:w="15" w:type="dxa"/>
            <w:bottom w:w="15" w:type="dxa"/>
            <w:right w:w="15" w:type="dxa"/>
          </w:tblCellMar>
        </w:tblPrEx>
        <w:trPr>
          <w:trHeight w:val="861" w:hRule="atLeast"/>
          <w:jc w:val="center"/>
        </w:trPr>
        <w:tc>
          <w:tcPr>
            <w:tcW w:w="782" w:type="dxa"/>
            <w:vMerge w:val="continue"/>
            <w:tcBorders>
              <w:left w:val="single" w:color="auto" w:sz="4" w:space="0"/>
              <w:right w:val="single" w:color="auto" w:sz="4" w:space="0"/>
            </w:tcBorders>
            <w:noWrap w:val="0"/>
            <w:vAlign w:val="center"/>
          </w:tcPr>
          <w:p>
            <w:pPr>
              <w:snapToGrid w:val="0"/>
              <w:jc w:val="center"/>
              <w:rPr>
                <w:rFonts w:ascii="宋体" w:hAnsi="宋体" w:cs="宋体"/>
                <w:color w:val="auto"/>
                <w:sz w:val="18"/>
                <w:szCs w:val="18"/>
                <w:highlight w:val="none"/>
              </w:rPr>
            </w:pPr>
          </w:p>
        </w:tc>
        <w:tc>
          <w:tcPr>
            <w:tcW w:w="1512" w:type="dxa"/>
            <w:vMerge w:val="continue"/>
            <w:tcBorders>
              <w:left w:val="single" w:color="auto" w:sz="4" w:space="0"/>
              <w:right w:val="single" w:color="auto" w:sz="4" w:space="0"/>
            </w:tcBorders>
            <w:noWrap w:val="0"/>
            <w:vAlign w:val="center"/>
          </w:tcPr>
          <w:p>
            <w:pPr>
              <w:spacing w:line="360" w:lineRule="auto"/>
              <w:jc w:val="left"/>
              <w:rPr>
                <w:color w:val="auto"/>
                <w:szCs w:val="22"/>
                <w:highlight w:val="none"/>
              </w:rPr>
            </w:pPr>
          </w:p>
        </w:tc>
        <w:tc>
          <w:tcPr>
            <w:tcW w:w="2918" w:type="dxa"/>
            <w:tcBorders>
              <w:top w:val="single" w:color="auto" w:sz="4" w:space="0"/>
              <w:left w:val="single" w:color="auto" w:sz="4" w:space="0"/>
              <w:bottom w:val="single" w:color="auto" w:sz="4" w:space="0"/>
              <w:right w:val="single" w:color="auto" w:sz="4" w:space="0"/>
            </w:tcBorders>
            <w:noWrap w:val="0"/>
            <w:vAlign w:val="center"/>
          </w:tcPr>
          <w:p>
            <w:pPr>
              <w:pStyle w:val="2"/>
              <w:jc w:val="left"/>
              <w:rPr>
                <w:color w:val="auto"/>
                <w:highlight w:val="none"/>
              </w:rPr>
            </w:pPr>
            <w:r>
              <w:rPr>
                <w:rFonts w:hint="eastAsia"/>
                <w:color w:val="auto"/>
                <w:highlight w:val="none"/>
              </w:rPr>
              <w:t>建筑安装工程费：</w:t>
            </w:r>
          </w:p>
          <w:p>
            <w:pPr>
              <w:pStyle w:val="2"/>
              <w:jc w:val="left"/>
              <w:rPr>
                <w:color w:val="auto"/>
                <w:highlight w:val="none"/>
              </w:rPr>
            </w:pPr>
            <w:r>
              <w:rPr>
                <w:rFonts w:hint="eastAsia"/>
                <w:color w:val="auto"/>
                <w:highlight w:val="none"/>
              </w:rPr>
              <w:t xml:space="preserve">大写： </w:t>
            </w:r>
            <w:r>
              <w:rPr>
                <w:rFonts w:hint="eastAsia"/>
                <w:color w:val="auto"/>
                <w:highlight w:val="none"/>
                <w:u w:val="single"/>
                <w:lang w:val="en-US" w:eastAsia="zh-CN"/>
              </w:rPr>
              <w:t xml:space="preserve">            </w:t>
            </w:r>
            <w:r>
              <w:rPr>
                <w:rFonts w:hint="eastAsia"/>
                <w:color w:val="auto"/>
                <w:highlight w:val="none"/>
                <w:lang w:val="en-US" w:eastAsia="zh-CN"/>
              </w:rPr>
              <w:t>元；</w:t>
            </w:r>
            <w:r>
              <w:rPr>
                <w:rFonts w:hint="eastAsia"/>
                <w:color w:val="auto"/>
                <w:highlight w:val="none"/>
              </w:rPr>
              <w:t>小写：</w:t>
            </w:r>
            <w:r>
              <w:rPr>
                <w:rFonts w:hint="eastAsia"/>
                <w:color w:val="auto"/>
                <w:highlight w:val="none"/>
                <w:u w:val="single"/>
                <w:lang w:val="en-US" w:eastAsia="zh-CN"/>
              </w:rPr>
              <w:t xml:space="preserve">    </w:t>
            </w:r>
            <w:r>
              <w:rPr>
                <w:rFonts w:hint="eastAsia"/>
                <w:color w:val="auto"/>
                <w:highlight w:val="none"/>
                <w:lang w:val="en-US" w:eastAsia="zh-CN"/>
              </w:rPr>
              <w:t>元</w:t>
            </w:r>
          </w:p>
        </w:tc>
        <w:tc>
          <w:tcPr>
            <w:tcW w:w="1050" w:type="dxa"/>
            <w:vMerge w:val="continue"/>
            <w:tcBorders>
              <w:left w:val="single" w:color="auto" w:sz="4" w:space="0"/>
              <w:right w:val="single" w:color="auto" w:sz="4" w:space="0"/>
            </w:tcBorders>
            <w:noWrap w:val="0"/>
            <w:vAlign w:val="center"/>
          </w:tcPr>
          <w:p>
            <w:pPr>
              <w:pStyle w:val="2"/>
              <w:jc w:val="left"/>
              <w:rPr>
                <w:color w:val="auto"/>
                <w:highlight w:val="none"/>
              </w:rPr>
            </w:pPr>
          </w:p>
        </w:tc>
        <w:tc>
          <w:tcPr>
            <w:tcW w:w="1050" w:type="dxa"/>
            <w:vMerge w:val="continue"/>
            <w:tcBorders>
              <w:left w:val="single" w:color="auto" w:sz="4" w:space="0"/>
              <w:right w:val="single" w:color="auto" w:sz="4" w:space="0"/>
            </w:tcBorders>
            <w:noWrap w:val="0"/>
            <w:vAlign w:val="center"/>
          </w:tcPr>
          <w:p>
            <w:pPr>
              <w:pStyle w:val="2"/>
              <w:jc w:val="left"/>
              <w:rPr>
                <w:color w:val="auto"/>
                <w:highlight w:val="none"/>
              </w:rPr>
            </w:pPr>
          </w:p>
        </w:tc>
        <w:tc>
          <w:tcPr>
            <w:tcW w:w="1050" w:type="dxa"/>
            <w:vMerge w:val="continue"/>
            <w:tcBorders>
              <w:left w:val="single" w:color="auto" w:sz="4" w:space="0"/>
              <w:right w:val="single" w:color="auto" w:sz="4" w:space="0"/>
            </w:tcBorders>
            <w:noWrap w:val="0"/>
            <w:vAlign w:val="center"/>
          </w:tcPr>
          <w:p>
            <w:pPr>
              <w:pStyle w:val="2"/>
              <w:jc w:val="left"/>
              <w:rPr>
                <w:color w:val="auto"/>
                <w:highlight w:val="none"/>
              </w:rPr>
            </w:pPr>
          </w:p>
        </w:tc>
        <w:tc>
          <w:tcPr>
            <w:tcW w:w="1050" w:type="dxa"/>
            <w:vMerge w:val="continue"/>
            <w:tcBorders>
              <w:left w:val="single" w:color="auto" w:sz="4" w:space="0"/>
              <w:right w:val="single" w:color="auto" w:sz="4" w:space="0"/>
            </w:tcBorders>
            <w:noWrap w:val="0"/>
            <w:vAlign w:val="center"/>
          </w:tcPr>
          <w:p>
            <w:pPr>
              <w:pStyle w:val="2"/>
              <w:jc w:val="left"/>
              <w:rPr>
                <w:color w:val="auto"/>
                <w:highlight w:val="none"/>
              </w:rPr>
            </w:pPr>
          </w:p>
        </w:tc>
      </w:tr>
      <w:tr>
        <w:tblPrEx>
          <w:tblCellMar>
            <w:top w:w="15" w:type="dxa"/>
            <w:left w:w="15" w:type="dxa"/>
            <w:bottom w:w="15" w:type="dxa"/>
            <w:right w:w="15" w:type="dxa"/>
          </w:tblCellMar>
        </w:tblPrEx>
        <w:trPr>
          <w:trHeight w:val="861" w:hRule="atLeast"/>
          <w:jc w:val="center"/>
        </w:trPr>
        <w:tc>
          <w:tcPr>
            <w:tcW w:w="782" w:type="dxa"/>
            <w:vMerge w:val="continue"/>
            <w:tcBorders>
              <w:left w:val="single" w:color="auto" w:sz="4" w:space="0"/>
              <w:bottom w:val="single" w:color="auto" w:sz="4" w:space="0"/>
              <w:right w:val="single" w:color="auto" w:sz="4" w:space="0"/>
            </w:tcBorders>
            <w:noWrap w:val="0"/>
            <w:vAlign w:val="center"/>
          </w:tcPr>
          <w:p>
            <w:pPr>
              <w:snapToGrid w:val="0"/>
              <w:jc w:val="center"/>
              <w:rPr>
                <w:rFonts w:ascii="宋体" w:hAnsi="宋体" w:cs="宋体"/>
                <w:color w:val="auto"/>
                <w:sz w:val="18"/>
                <w:szCs w:val="18"/>
                <w:highlight w:val="none"/>
              </w:rPr>
            </w:pPr>
          </w:p>
        </w:tc>
        <w:tc>
          <w:tcPr>
            <w:tcW w:w="1512" w:type="dxa"/>
            <w:vMerge w:val="continue"/>
            <w:tcBorders>
              <w:left w:val="single" w:color="auto" w:sz="4" w:space="0"/>
              <w:bottom w:val="single" w:color="auto" w:sz="4" w:space="0"/>
              <w:right w:val="single" w:color="auto" w:sz="4" w:space="0"/>
            </w:tcBorders>
            <w:noWrap w:val="0"/>
            <w:vAlign w:val="center"/>
          </w:tcPr>
          <w:p>
            <w:pPr>
              <w:spacing w:line="360" w:lineRule="auto"/>
              <w:jc w:val="left"/>
              <w:rPr>
                <w:color w:val="auto"/>
                <w:szCs w:val="22"/>
                <w:highlight w:val="none"/>
              </w:rPr>
            </w:pPr>
          </w:p>
        </w:tc>
        <w:tc>
          <w:tcPr>
            <w:tcW w:w="2918" w:type="dxa"/>
            <w:tcBorders>
              <w:top w:val="single" w:color="auto" w:sz="4" w:space="0"/>
              <w:left w:val="single" w:color="auto" w:sz="4" w:space="0"/>
              <w:bottom w:val="single" w:color="auto" w:sz="4" w:space="0"/>
              <w:right w:val="single" w:color="auto" w:sz="4" w:space="0"/>
            </w:tcBorders>
            <w:noWrap w:val="0"/>
            <w:vAlign w:val="center"/>
          </w:tcPr>
          <w:p>
            <w:pPr>
              <w:pStyle w:val="2"/>
              <w:jc w:val="left"/>
              <w:rPr>
                <w:color w:val="auto"/>
                <w:highlight w:val="none"/>
              </w:rPr>
            </w:pPr>
            <w:r>
              <w:rPr>
                <w:rFonts w:hint="eastAsia"/>
                <w:color w:val="auto"/>
                <w:highlight w:val="none"/>
              </w:rPr>
              <w:t>合计（设计费+建筑安装工程费）：</w:t>
            </w:r>
          </w:p>
          <w:p>
            <w:pPr>
              <w:pStyle w:val="2"/>
              <w:jc w:val="left"/>
              <w:rPr>
                <w:color w:val="auto"/>
                <w:highlight w:val="none"/>
              </w:rPr>
            </w:pPr>
            <w:r>
              <w:rPr>
                <w:rFonts w:hint="eastAsia"/>
                <w:color w:val="auto"/>
                <w:highlight w:val="none"/>
              </w:rPr>
              <w:t xml:space="preserve">大写： </w:t>
            </w:r>
            <w:r>
              <w:rPr>
                <w:rFonts w:hint="eastAsia"/>
                <w:color w:val="auto"/>
                <w:highlight w:val="none"/>
                <w:u w:val="single"/>
                <w:lang w:val="en-US" w:eastAsia="zh-CN"/>
              </w:rPr>
              <w:t xml:space="preserve">            </w:t>
            </w:r>
            <w:r>
              <w:rPr>
                <w:rFonts w:hint="eastAsia"/>
                <w:color w:val="auto"/>
                <w:highlight w:val="none"/>
                <w:lang w:val="en-US" w:eastAsia="zh-CN"/>
              </w:rPr>
              <w:t>元；</w:t>
            </w:r>
            <w:r>
              <w:rPr>
                <w:rFonts w:hint="eastAsia"/>
                <w:color w:val="auto"/>
                <w:highlight w:val="none"/>
              </w:rPr>
              <w:t>小写：</w:t>
            </w:r>
            <w:r>
              <w:rPr>
                <w:rFonts w:hint="eastAsia"/>
                <w:color w:val="auto"/>
                <w:highlight w:val="none"/>
                <w:u w:val="single"/>
                <w:lang w:val="en-US" w:eastAsia="zh-CN"/>
              </w:rPr>
              <w:t xml:space="preserve">    </w:t>
            </w:r>
            <w:r>
              <w:rPr>
                <w:rFonts w:hint="eastAsia"/>
                <w:color w:val="auto"/>
                <w:highlight w:val="none"/>
                <w:lang w:val="en-US" w:eastAsia="zh-CN"/>
              </w:rPr>
              <w:t>元</w:t>
            </w:r>
          </w:p>
        </w:tc>
        <w:tc>
          <w:tcPr>
            <w:tcW w:w="1050" w:type="dxa"/>
            <w:vMerge w:val="continue"/>
            <w:tcBorders>
              <w:left w:val="single" w:color="auto" w:sz="4" w:space="0"/>
              <w:bottom w:val="single" w:color="auto" w:sz="4" w:space="0"/>
              <w:right w:val="single" w:color="auto" w:sz="4" w:space="0"/>
            </w:tcBorders>
            <w:noWrap w:val="0"/>
            <w:vAlign w:val="center"/>
          </w:tcPr>
          <w:p>
            <w:pPr>
              <w:pStyle w:val="2"/>
              <w:jc w:val="left"/>
              <w:rPr>
                <w:color w:val="auto"/>
                <w:highlight w:val="none"/>
              </w:rPr>
            </w:pPr>
          </w:p>
        </w:tc>
        <w:tc>
          <w:tcPr>
            <w:tcW w:w="1050" w:type="dxa"/>
            <w:vMerge w:val="continue"/>
            <w:tcBorders>
              <w:left w:val="single" w:color="auto" w:sz="4" w:space="0"/>
              <w:bottom w:val="single" w:color="auto" w:sz="4" w:space="0"/>
              <w:right w:val="single" w:color="auto" w:sz="4" w:space="0"/>
            </w:tcBorders>
            <w:noWrap w:val="0"/>
            <w:vAlign w:val="center"/>
          </w:tcPr>
          <w:p>
            <w:pPr>
              <w:pStyle w:val="2"/>
              <w:jc w:val="left"/>
              <w:rPr>
                <w:color w:val="auto"/>
                <w:highlight w:val="none"/>
              </w:rPr>
            </w:pPr>
          </w:p>
        </w:tc>
        <w:tc>
          <w:tcPr>
            <w:tcW w:w="1050" w:type="dxa"/>
            <w:vMerge w:val="continue"/>
            <w:tcBorders>
              <w:left w:val="single" w:color="auto" w:sz="4" w:space="0"/>
              <w:bottom w:val="single" w:color="auto" w:sz="4" w:space="0"/>
              <w:right w:val="single" w:color="auto" w:sz="4" w:space="0"/>
            </w:tcBorders>
            <w:noWrap w:val="0"/>
            <w:vAlign w:val="center"/>
          </w:tcPr>
          <w:p>
            <w:pPr>
              <w:pStyle w:val="2"/>
              <w:jc w:val="left"/>
              <w:rPr>
                <w:color w:val="auto"/>
                <w:highlight w:val="none"/>
              </w:rPr>
            </w:pPr>
          </w:p>
        </w:tc>
        <w:tc>
          <w:tcPr>
            <w:tcW w:w="1050" w:type="dxa"/>
            <w:vMerge w:val="continue"/>
            <w:tcBorders>
              <w:left w:val="single" w:color="auto" w:sz="4" w:space="0"/>
              <w:bottom w:val="single" w:color="auto" w:sz="4" w:space="0"/>
              <w:right w:val="single" w:color="auto" w:sz="4" w:space="0"/>
            </w:tcBorders>
            <w:noWrap w:val="0"/>
            <w:vAlign w:val="center"/>
          </w:tcPr>
          <w:p>
            <w:pPr>
              <w:pStyle w:val="2"/>
              <w:jc w:val="left"/>
              <w:rPr>
                <w:color w:val="auto"/>
                <w:highlight w:val="none"/>
              </w:rPr>
            </w:pPr>
          </w:p>
        </w:tc>
      </w:tr>
    </w:tbl>
    <w:p>
      <w:pPr>
        <w:snapToGrid w:val="0"/>
        <w:spacing w:line="360" w:lineRule="auto"/>
        <w:rPr>
          <w:rFonts w:ascii="宋体" w:hAnsi="宋体"/>
          <w:color w:val="auto"/>
          <w:szCs w:val="21"/>
          <w:highlight w:val="none"/>
        </w:rPr>
      </w:pPr>
    </w:p>
    <w:p>
      <w:pPr>
        <w:pStyle w:val="29"/>
        <w:snapToGrid w:val="0"/>
        <w:spacing w:line="400" w:lineRule="exact"/>
        <w:ind w:firstLine="420" w:firstLineChars="200"/>
        <w:rPr>
          <w:rFonts w:hAnsi="宋体"/>
          <w:color w:val="auto"/>
          <w:sz w:val="21"/>
          <w:szCs w:val="21"/>
          <w:highlight w:val="none"/>
          <w:shd w:val="clear" w:color="auto" w:fill="FFFFFF"/>
        </w:rPr>
      </w:pPr>
      <w:r>
        <w:rPr>
          <w:rFonts w:hAnsi="宋体"/>
          <w:color w:val="auto"/>
          <w:sz w:val="21"/>
          <w:szCs w:val="21"/>
          <w:highlight w:val="none"/>
          <w:shd w:val="clear" w:color="auto" w:fill="FFFFFF"/>
        </w:rPr>
        <w:t>注: 1、报价一经涂改，应在涂改处加盖单位公章或者由法定代表人或授权委托人签字或盖章，否则其投标作无效标处理。</w:t>
      </w:r>
    </w:p>
    <w:p>
      <w:pPr>
        <w:spacing w:line="400" w:lineRule="exact"/>
        <w:ind w:firstLine="422" w:firstLineChars="200"/>
        <w:rPr>
          <w:rFonts w:ascii="宋体" w:hAnsi="宋体" w:eastAsia="宋体" w:cs="微软雅黑"/>
          <w:b/>
          <w:color w:val="0000FF"/>
          <w:sz w:val="21"/>
          <w:szCs w:val="21"/>
          <w:highlight w:val="none"/>
        </w:rPr>
      </w:pPr>
      <w:r>
        <w:rPr>
          <w:rFonts w:hint="eastAsia" w:ascii="Times New Roman" w:hAnsi="Times New Roman" w:eastAsia="宋体" w:cs="Times New Roman"/>
          <w:b/>
          <w:bCs/>
          <w:color w:val="auto"/>
          <w:szCs w:val="21"/>
          <w:highlight w:val="none"/>
          <w:lang w:val="en-US" w:eastAsia="zh-CN"/>
        </w:rPr>
        <w:t xml:space="preserve"> 2、▲预算金额：200万元。本项目最高投标限价为196.0926万元，其中设计费最高投标限价为2.5%（即4.78万元，计费取费以建筑安装工程费磋商响应报价为基数计算），建筑安装工程费最高投标限价为 191.3126万元。供应商的投标总报价、设计费报价、建筑安装工程费均不得超出相应的最高投标限价。各磋商响应报价精确至元。</w:t>
      </w:r>
    </w:p>
    <w:p>
      <w:pPr>
        <w:spacing w:line="400" w:lineRule="exact"/>
        <w:ind w:firstLine="422" w:firstLineChars="200"/>
        <w:rPr>
          <w:rFonts w:hint="eastAsia" w:ascii="Times New Roman" w:hAnsi="Times New Roman" w:eastAsia="宋体" w:cs="Times New Roman"/>
          <w:b/>
          <w:bCs/>
          <w:color w:val="auto"/>
          <w:szCs w:val="21"/>
          <w:highlight w:val="none"/>
          <w:lang w:val="en-US" w:eastAsia="zh-CN"/>
        </w:rPr>
      </w:pPr>
      <w:r>
        <w:rPr>
          <w:rFonts w:hint="eastAsia" w:ascii="Times New Roman" w:hAnsi="Times New Roman" w:eastAsia="宋体" w:cs="Times New Roman"/>
          <w:b/>
          <w:bCs/>
          <w:color w:val="auto"/>
          <w:szCs w:val="21"/>
          <w:highlight w:val="none"/>
          <w:lang w:val="en-US" w:eastAsia="zh-CN"/>
        </w:rPr>
        <w:t xml:space="preserve"> 3、磋商响应报价应是招标文件所确定的招标范围内全部工作内容的价格表现。其应包括施工设备、劳务、管理、材料、安装、维护、利润、税金及政策性文件规定等各项应有费用。</w:t>
      </w:r>
    </w:p>
    <w:p>
      <w:pPr>
        <w:pStyle w:val="29"/>
        <w:snapToGrid w:val="0"/>
        <w:spacing w:line="400" w:lineRule="exact"/>
        <w:rPr>
          <w:rFonts w:hAnsi="宋体"/>
          <w:color w:val="auto"/>
          <w:sz w:val="18"/>
          <w:szCs w:val="18"/>
          <w:highlight w:val="none"/>
          <w:shd w:val="clear" w:color="auto" w:fill="FFFFFF"/>
        </w:rPr>
      </w:pPr>
    </w:p>
    <w:p>
      <w:pPr>
        <w:pStyle w:val="29"/>
        <w:snapToGrid w:val="0"/>
        <w:spacing w:line="360" w:lineRule="auto"/>
        <w:rPr>
          <w:rFonts w:hAnsi="宋体"/>
          <w:color w:val="auto"/>
          <w:szCs w:val="21"/>
          <w:highlight w:val="none"/>
          <w:shd w:val="clear" w:color="auto" w:fill="FFFFFF"/>
        </w:rPr>
      </w:pPr>
    </w:p>
    <w:p>
      <w:pPr>
        <w:pStyle w:val="29"/>
        <w:snapToGrid w:val="0"/>
        <w:spacing w:line="360" w:lineRule="auto"/>
        <w:rPr>
          <w:rFonts w:hAnsi="宋体"/>
          <w:color w:val="auto"/>
          <w:szCs w:val="21"/>
          <w:highlight w:val="none"/>
          <w:shd w:val="clear" w:color="auto" w:fill="FFFFFF"/>
        </w:rPr>
      </w:pPr>
    </w:p>
    <w:p>
      <w:pPr>
        <w:pStyle w:val="29"/>
        <w:snapToGrid w:val="0"/>
        <w:spacing w:line="360" w:lineRule="auto"/>
        <w:rPr>
          <w:rFonts w:hAnsi="宋体"/>
          <w:color w:val="auto"/>
          <w:szCs w:val="21"/>
          <w:highlight w:val="none"/>
          <w:shd w:val="clear" w:color="auto" w:fill="FFFFFF"/>
        </w:rPr>
      </w:pPr>
      <w:r>
        <w:rPr>
          <w:rFonts w:hAnsi="宋体"/>
          <w:color w:val="auto"/>
          <w:szCs w:val="21"/>
          <w:highlight w:val="none"/>
          <w:shd w:val="clear" w:color="auto" w:fill="FFFFFF"/>
        </w:rPr>
        <w:t xml:space="preserve">法定代表人或授权代表（签字或盖章）： </w:t>
      </w:r>
    </w:p>
    <w:p>
      <w:pPr>
        <w:pStyle w:val="29"/>
        <w:snapToGrid w:val="0"/>
        <w:spacing w:line="360" w:lineRule="auto"/>
        <w:rPr>
          <w:rFonts w:hAnsi="宋体"/>
          <w:color w:val="auto"/>
          <w:szCs w:val="21"/>
          <w:highlight w:val="none"/>
          <w:shd w:val="clear" w:color="auto" w:fill="FFFFFF"/>
        </w:rPr>
      </w:pPr>
    </w:p>
    <w:p>
      <w:pPr>
        <w:pStyle w:val="29"/>
        <w:snapToGrid w:val="0"/>
        <w:spacing w:line="360" w:lineRule="auto"/>
        <w:rPr>
          <w:rFonts w:hAnsi="宋体"/>
          <w:color w:val="auto"/>
          <w:szCs w:val="21"/>
          <w:highlight w:val="none"/>
          <w:shd w:val="clear" w:color="auto" w:fill="FFFFFF"/>
        </w:rPr>
      </w:pPr>
      <w:r>
        <w:rPr>
          <w:rFonts w:hint="eastAsia" w:hAnsi="宋体"/>
          <w:color w:val="auto"/>
          <w:szCs w:val="21"/>
          <w:highlight w:val="none"/>
          <w:shd w:val="clear" w:color="auto" w:fill="FFFFFF"/>
          <w:lang w:eastAsia="zh-CN"/>
        </w:rPr>
        <w:t>供应商</w:t>
      </w:r>
      <w:r>
        <w:rPr>
          <w:rFonts w:hint="eastAsia" w:hAnsi="宋体"/>
          <w:color w:val="auto"/>
          <w:szCs w:val="21"/>
          <w:highlight w:val="none"/>
          <w:shd w:val="clear" w:color="auto" w:fill="FFFFFF"/>
        </w:rPr>
        <w:t>名称：（盖章）</w:t>
      </w:r>
      <w:r>
        <w:rPr>
          <w:rFonts w:hAnsi="宋体"/>
          <w:color w:val="auto"/>
          <w:szCs w:val="21"/>
          <w:highlight w:val="none"/>
          <w:shd w:val="clear" w:color="auto" w:fill="FFFFFF"/>
        </w:rPr>
        <w:t>：</w:t>
      </w:r>
    </w:p>
    <w:p>
      <w:pPr>
        <w:pStyle w:val="29"/>
        <w:snapToGrid w:val="0"/>
        <w:spacing w:line="360" w:lineRule="auto"/>
        <w:rPr>
          <w:rFonts w:hAnsi="宋体"/>
          <w:color w:val="auto"/>
          <w:szCs w:val="21"/>
          <w:highlight w:val="none"/>
        </w:rPr>
      </w:pPr>
    </w:p>
    <w:p>
      <w:pPr>
        <w:pStyle w:val="29"/>
        <w:snapToGrid w:val="0"/>
        <w:spacing w:line="360" w:lineRule="auto"/>
        <w:rPr>
          <w:rFonts w:hAnsi="宋体"/>
          <w:color w:val="auto"/>
          <w:szCs w:val="21"/>
          <w:highlight w:val="none"/>
          <w:shd w:val="clear" w:color="auto" w:fill="FFFFFF"/>
        </w:rPr>
      </w:pPr>
      <w:r>
        <w:rPr>
          <w:rFonts w:hint="eastAsia" w:hAnsi="宋体"/>
          <w:color w:val="auto"/>
          <w:szCs w:val="21"/>
          <w:highlight w:val="none"/>
          <w:shd w:val="clear" w:color="auto" w:fill="FFFFFF"/>
        </w:rPr>
        <w:t>日期：</w:t>
      </w:r>
    </w:p>
    <w:p>
      <w:pPr>
        <w:pStyle w:val="2"/>
        <w:spacing w:line="360" w:lineRule="auto"/>
        <w:rPr>
          <w:rFonts w:ascii="宋体" w:hAnsi="宋体"/>
          <w:color w:val="auto"/>
          <w:highlight w:val="none"/>
        </w:rPr>
      </w:pPr>
    </w:p>
    <w:p>
      <w:pPr>
        <w:pStyle w:val="2"/>
        <w:spacing w:line="360" w:lineRule="auto"/>
        <w:rPr>
          <w:rFonts w:ascii="宋体" w:hAnsi="宋体"/>
          <w:color w:val="auto"/>
          <w:highlight w:val="none"/>
        </w:rPr>
      </w:pPr>
    </w:p>
    <w:p>
      <w:pPr>
        <w:pStyle w:val="2"/>
        <w:spacing w:line="360" w:lineRule="auto"/>
        <w:rPr>
          <w:rFonts w:ascii="宋体" w:hAnsi="宋体"/>
          <w:color w:val="auto"/>
          <w:highlight w:val="none"/>
        </w:rPr>
      </w:pPr>
    </w:p>
    <w:p>
      <w:pPr>
        <w:pStyle w:val="2"/>
        <w:spacing w:line="360" w:lineRule="auto"/>
        <w:rPr>
          <w:rFonts w:ascii="宋体" w:hAnsi="宋体"/>
          <w:color w:val="auto"/>
          <w:highlight w:val="none"/>
        </w:rPr>
      </w:pPr>
    </w:p>
    <w:p>
      <w:pPr>
        <w:pStyle w:val="2"/>
        <w:spacing w:line="360" w:lineRule="auto"/>
        <w:rPr>
          <w:rFonts w:ascii="宋体" w:hAnsi="宋体"/>
          <w:color w:val="auto"/>
          <w:highlight w:val="none"/>
        </w:rPr>
      </w:pPr>
    </w:p>
    <w:p>
      <w:pPr>
        <w:spacing w:line="360" w:lineRule="auto"/>
        <w:ind w:right="42" w:rightChars="20"/>
        <w:rPr>
          <w:rFonts w:ascii="宋体" w:hAnsi="宋体" w:eastAsia="宋体"/>
          <w:b/>
          <w:bCs/>
          <w:color w:val="auto"/>
          <w:szCs w:val="21"/>
          <w:highlight w:val="none"/>
        </w:rPr>
      </w:pPr>
      <w:r>
        <w:rPr>
          <w:rFonts w:hint="eastAsia" w:ascii="宋体" w:hAnsi="宋体" w:eastAsia="宋体"/>
          <w:b/>
          <w:bCs/>
          <w:color w:val="auto"/>
          <w:szCs w:val="21"/>
          <w:highlight w:val="none"/>
        </w:rPr>
        <w:t>分项报价明细表</w:t>
      </w:r>
    </w:p>
    <w:p>
      <w:pPr>
        <w:pStyle w:val="2"/>
        <w:rPr>
          <w:color w:val="auto"/>
          <w:highlight w:val="none"/>
        </w:rPr>
      </w:pPr>
    </w:p>
    <w:tbl>
      <w:tblPr>
        <w:tblStyle w:val="54"/>
        <w:tblW w:w="8940" w:type="dxa"/>
        <w:tblInd w:w="288"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008"/>
        <w:gridCol w:w="3274"/>
        <w:gridCol w:w="1010"/>
        <w:gridCol w:w="1008"/>
        <w:gridCol w:w="264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897" w:hRule="atLeast"/>
        </w:trPr>
        <w:tc>
          <w:tcPr>
            <w:tcW w:w="1008" w:type="dxa"/>
            <w:noWrap w:val="0"/>
            <w:vAlign w:val="center"/>
          </w:tcPr>
          <w:p>
            <w:pPr>
              <w:spacing w:line="360" w:lineRule="auto"/>
              <w:ind w:right="42" w:rightChars="20"/>
              <w:jc w:val="center"/>
              <w:rPr>
                <w:rFonts w:ascii="宋体" w:hAnsi="宋体" w:eastAsia="宋体"/>
                <w:b/>
                <w:color w:val="auto"/>
                <w:szCs w:val="21"/>
                <w:highlight w:val="none"/>
              </w:rPr>
            </w:pPr>
            <w:r>
              <w:rPr>
                <w:rFonts w:hint="eastAsia" w:ascii="宋体" w:hAnsi="宋体" w:eastAsia="宋体"/>
                <w:b/>
                <w:bCs/>
                <w:color w:val="auto"/>
                <w:szCs w:val="21"/>
                <w:highlight w:val="none"/>
              </w:rPr>
              <w:t>序号</w:t>
            </w:r>
          </w:p>
        </w:tc>
        <w:tc>
          <w:tcPr>
            <w:tcW w:w="3274" w:type="dxa"/>
            <w:noWrap w:val="0"/>
            <w:vAlign w:val="center"/>
          </w:tcPr>
          <w:p>
            <w:pPr>
              <w:spacing w:line="360" w:lineRule="auto"/>
              <w:ind w:left="102" w:right="42" w:rightChars="20"/>
              <w:jc w:val="center"/>
              <w:rPr>
                <w:rFonts w:ascii="宋体" w:hAnsi="宋体" w:eastAsia="宋体"/>
                <w:b/>
                <w:color w:val="auto"/>
                <w:szCs w:val="21"/>
                <w:highlight w:val="none"/>
              </w:rPr>
            </w:pPr>
            <w:r>
              <w:rPr>
                <w:rFonts w:hint="eastAsia" w:ascii="宋体" w:hAnsi="宋体" w:eastAsia="宋体"/>
                <w:b/>
                <w:color w:val="auto"/>
                <w:szCs w:val="21"/>
                <w:highlight w:val="none"/>
              </w:rPr>
              <w:t>分项内容（包括人员、设备、</w:t>
            </w:r>
            <w:r>
              <w:rPr>
                <w:rFonts w:hint="eastAsia" w:ascii="宋体" w:hAnsi="宋体" w:eastAsia="宋体"/>
                <w:b/>
                <w:color w:val="auto"/>
                <w:szCs w:val="21"/>
                <w:highlight w:val="none"/>
                <w:lang w:val="en-US" w:eastAsia="zh-CN"/>
              </w:rPr>
              <w:t>材料、</w:t>
            </w:r>
            <w:r>
              <w:rPr>
                <w:rFonts w:hint="eastAsia" w:ascii="宋体" w:hAnsi="宋体" w:eastAsia="宋体"/>
                <w:b/>
                <w:color w:val="auto"/>
                <w:szCs w:val="21"/>
                <w:highlight w:val="none"/>
              </w:rPr>
              <w:t>场地等）</w:t>
            </w:r>
          </w:p>
        </w:tc>
        <w:tc>
          <w:tcPr>
            <w:tcW w:w="1010" w:type="dxa"/>
            <w:noWrap w:val="0"/>
            <w:vAlign w:val="center"/>
          </w:tcPr>
          <w:p>
            <w:pPr>
              <w:spacing w:line="360" w:lineRule="auto"/>
              <w:ind w:right="42" w:rightChars="20"/>
              <w:jc w:val="center"/>
              <w:rPr>
                <w:rFonts w:ascii="宋体" w:hAnsi="宋体" w:eastAsia="宋体"/>
                <w:b/>
                <w:color w:val="auto"/>
                <w:szCs w:val="21"/>
                <w:highlight w:val="none"/>
              </w:rPr>
            </w:pPr>
            <w:r>
              <w:rPr>
                <w:rFonts w:hint="eastAsia" w:ascii="宋体" w:hAnsi="宋体" w:eastAsia="宋体"/>
                <w:b/>
                <w:color w:val="auto"/>
                <w:szCs w:val="21"/>
                <w:highlight w:val="none"/>
              </w:rPr>
              <w:t>单位</w:t>
            </w:r>
          </w:p>
        </w:tc>
        <w:tc>
          <w:tcPr>
            <w:tcW w:w="1008" w:type="dxa"/>
            <w:noWrap w:val="0"/>
            <w:vAlign w:val="center"/>
          </w:tcPr>
          <w:p>
            <w:pPr>
              <w:spacing w:line="360" w:lineRule="auto"/>
              <w:ind w:right="42" w:rightChars="20"/>
              <w:jc w:val="center"/>
              <w:rPr>
                <w:rFonts w:ascii="宋体" w:hAnsi="宋体" w:eastAsia="宋体"/>
                <w:b/>
                <w:color w:val="auto"/>
                <w:szCs w:val="21"/>
                <w:highlight w:val="none"/>
              </w:rPr>
            </w:pPr>
            <w:r>
              <w:rPr>
                <w:rFonts w:hint="eastAsia" w:ascii="宋体" w:hAnsi="宋体" w:eastAsia="宋体"/>
                <w:b/>
                <w:color w:val="auto"/>
                <w:szCs w:val="21"/>
                <w:highlight w:val="none"/>
              </w:rPr>
              <w:t>数量</w:t>
            </w:r>
          </w:p>
        </w:tc>
        <w:tc>
          <w:tcPr>
            <w:tcW w:w="2640" w:type="dxa"/>
            <w:noWrap w:val="0"/>
            <w:vAlign w:val="center"/>
          </w:tcPr>
          <w:p>
            <w:pPr>
              <w:spacing w:line="360" w:lineRule="auto"/>
              <w:ind w:right="42" w:rightChars="20"/>
              <w:jc w:val="center"/>
              <w:rPr>
                <w:rFonts w:ascii="宋体" w:hAnsi="宋体" w:eastAsia="宋体"/>
                <w:b/>
                <w:color w:val="auto"/>
                <w:szCs w:val="21"/>
                <w:highlight w:val="none"/>
              </w:rPr>
            </w:pPr>
            <w:r>
              <w:rPr>
                <w:rFonts w:hint="eastAsia" w:ascii="宋体" w:hAnsi="宋体" w:eastAsia="宋体"/>
                <w:b/>
                <w:color w:val="auto"/>
                <w:szCs w:val="21"/>
                <w:highlight w:val="none"/>
              </w:rPr>
              <w:t>投标报价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731" w:hRule="atLeast"/>
        </w:trPr>
        <w:tc>
          <w:tcPr>
            <w:tcW w:w="1008" w:type="dxa"/>
            <w:noWrap w:val="0"/>
            <w:vAlign w:val="center"/>
          </w:tcPr>
          <w:p>
            <w:pPr>
              <w:spacing w:line="360" w:lineRule="auto"/>
              <w:ind w:right="42" w:rightChars="20"/>
              <w:jc w:val="center"/>
              <w:rPr>
                <w:rFonts w:ascii="宋体" w:hAnsi="宋体" w:eastAsia="宋体"/>
                <w:color w:val="auto"/>
                <w:szCs w:val="21"/>
                <w:highlight w:val="none"/>
              </w:rPr>
            </w:pPr>
            <w:r>
              <w:rPr>
                <w:rFonts w:hint="eastAsia" w:ascii="宋体" w:hAnsi="宋体" w:eastAsia="宋体"/>
                <w:color w:val="auto"/>
                <w:szCs w:val="21"/>
                <w:highlight w:val="none"/>
              </w:rPr>
              <w:t>1</w:t>
            </w:r>
          </w:p>
        </w:tc>
        <w:tc>
          <w:tcPr>
            <w:tcW w:w="3274" w:type="dxa"/>
            <w:noWrap w:val="0"/>
            <w:vAlign w:val="center"/>
          </w:tcPr>
          <w:p>
            <w:pPr>
              <w:spacing w:line="360" w:lineRule="auto"/>
              <w:ind w:right="42" w:rightChars="20"/>
              <w:jc w:val="center"/>
              <w:rPr>
                <w:rFonts w:ascii="宋体" w:hAnsi="宋体" w:eastAsia="宋体"/>
                <w:color w:val="auto"/>
                <w:szCs w:val="21"/>
                <w:highlight w:val="none"/>
              </w:rPr>
            </w:pPr>
          </w:p>
        </w:tc>
        <w:tc>
          <w:tcPr>
            <w:tcW w:w="1010" w:type="dxa"/>
            <w:noWrap w:val="0"/>
            <w:vAlign w:val="center"/>
          </w:tcPr>
          <w:p>
            <w:pPr>
              <w:spacing w:line="360" w:lineRule="auto"/>
              <w:ind w:right="42" w:rightChars="20"/>
              <w:jc w:val="center"/>
              <w:rPr>
                <w:rFonts w:ascii="宋体" w:hAnsi="宋体" w:eastAsia="宋体"/>
                <w:color w:val="auto"/>
                <w:szCs w:val="21"/>
                <w:highlight w:val="none"/>
              </w:rPr>
            </w:pPr>
          </w:p>
        </w:tc>
        <w:tc>
          <w:tcPr>
            <w:tcW w:w="1008" w:type="dxa"/>
            <w:noWrap w:val="0"/>
            <w:vAlign w:val="center"/>
          </w:tcPr>
          <w:p>
            <w:pPr>
              <w:spacing w:line="360" w:lineRule="auto"/>
              <w:ind w:right="42" w:rightChars="20"/>
              <w:jc w:val="center"/>
              <w:rPr>
                <w:rFonts w:ascii="宋体" w:hAnsi="宋体" w:eastAsia="宋体"/>
                <w:color w:val="auto"/>
                <w:szCs w:val="21"/>
                <w:highlight w:val="none"/>
              </w:rPr>
            </w:pPr>
          </w:p>
        </w:tc>
        <w:tc>
          <w:tcPr>
            <w:tcW w:w="2640" w:type="dxa"/>
            <w:noWrap w:val="0"/>
            <w:vAlign w:val="center"/>
          </w:tcPr>
          <w:p>
            <w:pPr>
              <w:spacing w:line="360" w:lineRule="auto"/>
              <w:ind w:right="42" w:rightChars="20"/>
              <w:jc w:val="center"/>
              <w:rPr>
                <w:rFonts w:ascii="宋体" w:hAnsi="宋体" w:eastAsia="宋体"/>
                <w:color w:val="auto"/>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731" w:hRule="atLeast"/>
        </w:trPr>
        <w:tc>
          <w:tcPr>
            <w:tcW w:w="1008" w:type="dxa"/>
            <w:noWrap w:val="0"/>
            <w:vAlign w:val="center"/>
          </w:tcPr>
          <w:p>
            <w:pPr>
              <w:spacing w:line="360" w:lineRule="auto"/>
              <w:ind w:right="42" w:rightChars="20"/>
              <w:jc w:val="center"/>
              <w:rPr>
                <w:rFonts w:ascii="宋体" w:hAnsi="宋体" w:eastAsia="宋体"/>
                <w:color w:val="auto"/>
                <w:szCs w:val="21"/>
                <w:highlight w:val="none"/>
              </w:rPr>
            </w:pPr>
            <w:r>
              <w:rPr>
                <w:rFonts w:hint="eastAsia" w:ascii="宋体" w:hAnsi="宋体" w:eastAsia="宋体"/>
                <w:color w:val="auto"/>
                <w:szCs w:val="21"/>
                <w:highlight w:val="none"/>
              </w:rPr>
              <w:t>2</w:t>
            </w:r>
          </w:p>
        </w:tc>
        <w:tc>
          <w:tcPr>
            <w:tcW w:w="3274" w:type="dxa"/>
            <w:noWrap w:val="0"/>
            <w:vAlign w:val="center"/>
          </w:tcPr>
          <w:p>
            <w:pPr>
              <w:spacing w:line="360" w:lineRule="auto"/>
              <w:ind w:right="42" w:rightChars="20"/>
              <w:jc w:val="center"/>
              <w:rPr>
                <w:rFonts w:ascii="宋体" w:hAnsi="宋体" w:eastAsia="宋体"/>
                <w:color w:val="auto"/>
                <w:szCs w:val="21"/>
                <w:highlight w:val="none"/>
              </w:rPr>
            </w:pPr>
          </w:p>
        </w:tc>
        <w:tc>
          <w:tcPr>
            <w:tcW w:w="1010" w:type="dxa"/>
            <w:noWrap w:val="0"/>
            <w:vAlign w:val="center"/>
          </w:tcPr>
          <w:p>
            <w:pPr>
              <w:spacing w:line="360" w:lineRule="auto"/>
              <w:ind w:right="42" w:rightChars="20"/>
              <w:jc w:val="center"/>
              <w:rPr>
                <w:rFonts w:ascii="宋体" w:hAnsi="宋体" w:eastAsia="宋体"/>
                <w:color w:val="auto"/>
                <w:szCs w:val="21"/>
                <w:highlight w:val="none"/>
              </w:rPr>
            </w:pPr>
          </w:p>
        </w:tc>
        <w:tc>
          <w:tcPr>
            <w:tcW w:w="1008" w:type="dxa"/>
            <w:noWrap w:val="0"/>
            <w:vAlign w:val="center"/>
          </w:tcPr>
          <w:p>
            <w:pPr>
              <w:spacing w:line="360" w:lineRule="auto"/>
              <w:ind w:right="42" w:rightChars="20"/>
              <w:jc w:val="center"/>
              <w:rPr>
                <w:rFonts w:ascii="宋体" w:hAnsi="宋体" w:eastAsia="宋体"/>
                <w:color w:val="auto"/>
                <w:szCs w:val="21"/>
                <w:highlight w:val="none"/>
              </w:rPr>
            </w:pPr>
          </w:p>
        </w:tc>
        <w:tc>
          <w:tcPr>
            <w:tcW w:w="2640" w:type="dxa"/>
            <w:noWrap w:val="0"/>
            <w:vAlign w:val="center"/>
          </w:tcPr>
          <w:p>
            <w:pPr>
              <w:spacing w:line="360" w:lineRule="auto"/>
              <w:ind w:right="42" w:rightChars="20"/>
              <w:jc w:val="center"/>
              <w:rPr>
                <w:rFonts w:ascii="宋体" w:hAnsi="宋体" w:eastAsia="宋体"/>
                <w:color w:val="auto"/>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731" w:hRule="atLeast"/>
        </w:trPr>
        <w:tc>
          <w:tcPr>
            <w:tcW w:w="1008" w:type="dxa"/>
            <w:noWrap w:val="0"/>
            <w:vAlign w:val="center"/>
          </w:tcPr>
          <w:p>
            <w:pPr>
              <w:spacing w:line="360" w:lineRule="auto"/>
              <w:ind w:right="42" w:rightChars="20"/>
              <w:jc w:val="center"/>
              <w:rPr>
                <w:rFonts w:ascii="宋体" w:hAnsi="宋体" w:eastAsia="宋体"/>
                <w:color w:val="auto"/>
                <w:szCs w:val="21"/>
                <w:highlight w:val="none"/>
              </w:rPr>
            </w:pPr>
            <w:r>
              <w:rPr>
                <w:rFonts w:hint="eastAsia" w:ascii="宋体" w:hAnsi="宋体" w:eastAsia="宋体"/>
                <w:color w:val="auto"/>
                <w:szCs w:val="21"/>
                <w:highlight w:val="none"/>
              </w:rPr>
              <w:t>3</w:t>
            </w:r>
          </w:p>
        </w:tc>
        <w:tc>
          <w:tcPr>
            <w:tcW w:w="3274" w:type="dxa"/>
            <w:noWrap w:val="0"/>
            <w:vAlign w:val="center"/>
          </w:tcPr>
          <w:p>
            <w:pPr>
              <w:spacing w:line="360" w:lineRule="auto"/>
              <w:ind w:right="42" w:rightChars="20"/>
              <w:jc w:val="center"/>
              <w:rPr>
                <w:rFonts w:ascii="宋体" w:hAnsi="宋体" w:eastAsia="宋体"/>
                <w:color w:val="auto"/>
                <w:szCs w:val="21"/>
                <w:highlight w:val="none"/>
              </w:rPr>
            </w:pPr>
          </w:p>
        </w:tc>
        <w:tc>
          <w:tcPr>
            <w:tcW w:w="1010" w:type="dxa"/>
            <w:noWrap w:val="0"/>
            <w:vAlign w:val="center"/>
          </w:tcPr>
          <w:p>
            <w:pPr>
              <w:spacing w:line="360" w:lineRule="auto"/>
              <w:ind w:right="42" w:rightChars="20"/>
              <w:jc w:val="center"/>
              <w:rPr>
                <w:rFonts w:ascii="宋体" w:hAnsi="宋体" w:eastAsia="宋体"/>
                <w:color w:val="auto"/>
                <w:szCs w:val="21"/>
                <w:highlight w:val="none"/>
              </w:rPr>
            </w:pPr>
          </w:p>
        </w:tc>
        <w:tc>
          <w:tcPr>
            <w:tcW w:w="1008" w:type="dxa"/>
            <w:noWrap w:val="0"/>
            <w:vAlign w:val="center"/>
          </w:tcPr>
          <w:p>
            <w:pPr>
              <w:spacing w:line="360" w:lineRule="auto"/>
              <w:ind w:right="42" w:rightChars="20"/>
              <w:jc w:val="center"/>
              <w:rPr>
                <w:rFonts w:ascii="宋体" w:hAnsi="宋体" w:eastAsia="宋体"/>
                <w:color w:val="auto"/>
                <w:szCs w:val="21"/>
                <w:highlight w:val="none"/>
              </w:rPr>
            </w:pPr>
          </w:p>
        </w:tc>
        <w:tc>
          <w:tcPr>
            <w:tcW w:w="2640" w:type="dxa"/>
            <w:noWrap w:val="0"/>
            <w:vAlign w:val="center"/>
          </w:tcPr>
          <w:p>
            <w:pPr>
              <w:spacing w:line="360" w:lineRule="auto"/>
              <w:ind w:right="42" w:rightChars="20"/>
              <w:jc w:val="center"/>
              <w:rPr>
                <w:rFonts w:ascii="宋体" w:hAnsi="宋体" w:eastAsia="宋体"/>
                <w:color w:val="auto"/>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731" w:hRule="atLeast"/>
        </w:trPr>
        <w:tc>
          <w:tcPr>
            <w:tcW w:w="1008" w:type="dxa"/>
            <w:noWrap w:val="0"/>
            <w:vAlign w:val="center"/>
          </w:tcPr>
          <w:p>
            <w:pPr>
              <w:spacing w:line="360" w:lineRule="auto"/>
              <w:ind w:right="42" w:rightChars="20"/>
              <w:jc w:val="center"/>
              <w:rPr>
                <w:rFonts w:ascii="宋体" w:hAnsi="宋体" w:eastAsia="宋体"/>
                <w:color w:val="auto"/>
                <w:szCs w:val="21"/>
                <w:highlight w:val="none"/>
              </w:rPr>
            </w:pPr>
            <w:r>
              <w:rPr>
                <w:rFonts w:hint="eastAsia" w:ascii="宋体" w:hAnsi="宋体" w:eastAsia="宋体"/>
                <w:color w:val="auto"/>
                <w:szCs w:val="21"/>
                <w:highlight w:val="none"/>
              </w:rPr>
              <w:t>4</w:t>
            </w:r>
          </w:p>
        </w:tc>
        <w:tc>
          <w:tcPr>
            <w:tcW w:w="3274" w:type="dxa"/>
            <w:noWrap w:val="0"/>
            <w:vAlign w:val="center"/>
          </w:tcPr>
          <w:p>
            <w:pPr>
              <w:spacing w:line="360" w:lineRule="auto"/>
              <w:ind w:right="42" w:rightChars="20"/>
              <w:jc w:val="center"/>
              <w:rPr>
                <w:rFonts w:ascii="宋体" w:hAnsi="宋体" w:eastAsia="宋体"/>
                <w:color w:val="auto"/>
                <w:szCs w:val="21"/>
                <w:highlight w:val="none"/>
              </w:rPr>
            </w:pPr>
          </w:p>
        </w:tc>
        <w:tc>
          <w:tcPr>
            <w:tcW w:w="1010" w:type="dxa"/>
            <w:noWrap w:val="0"/>
            <w:vAlign w:val="center"/>
          </w:tcPr>
          <w:p>
            <w:pPr>
              <w:spacing w:line="360" w:lineRule="auto"/>
              <w:ind w:right="42" w:rightChars="20"/>
              <w:jc w:val="center"/>
              <w:rPr>
                <w:rFonts w:ascii="宋体" w:hAnsi="宋体" w:eastAsia="宋体"/>
                <w:color w:val="auto"/>
                <w:szCs w:val="21"/>
                <w:highlight w:val="none"/>
              </w:rPr>
            </w:pPr>
          </w:p>
        </w:tc>
        <w:tc>
          <w:tcPr>
            <w:tcW w:w="1008" w:type="dxa"/>
            <w:noWrap w:val="0"/>
            <w:vAlign w:val="center"/>
          </w:tcPr>
          <w:p>
            <w:pPr>
              <w:spacing w:line="360" w:lineRule="auto"/>
              <w:ind w:right="42" w:rightChars="20"/>
              <w:jc w:val="center"/>
              <w:rPr>
                <w:rFonts w:ascii="宋体" w:hAnsi="宋体" w:eastAsia="宋体"/>
                <w:color w:val="auto"/>
                <w:szCs w:val="21"/>
                <w:highlight w:val="none"/>
              </w:rPr>
            </w:pPr>
          </w:p>
        </w:tc>
        <w:tc>
          <w:tcPr>
            <w:tcW w:w="2640" w:type="dxa"/>
            <w:noWrap w:val="0"/>
            <w:vAlign w:val="center"/>
          </w:tcPr>
          <w:p>
            <w:pPr>
              <w:spacing w:line="360" w:lineRule="auto"/>
              <w:ind w:right="42" w:rightChars="20"/>
              <w:jc w:val="center"/>
              <w:rPr>
                <w:rFonts w:ascii="宋体" w:hAnsi="宋体" w:eastAsia="宋体"/>
                <w:color w:val="auto"/>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782" w:hRule="atLeast"/>
        </w:trPr>
        <w:tc>
          <w:tcPr>
            <w:tcW w:w="1008" w:type="dxa"/>
            <w:noWrap w:val="0"/>
            <w:vAlign w:val="center"/>
          </w:tcPr>
          <w:p>
            <w:pPr>
              <w:spacing w:line="360" w:lineRule="auto"/>
              <w:ind w:right="42" w:rightChars="20"/>
              <w:jc w:val="center"/>
              <w:rPr>
                <w:rFonts w:ascii="宋体" w:hAnsi="宋体" w:eastAsia="宋体"/>
                <w:color w:val="auto"/>
                <w:szCs w:val="21"/>
                <w:highlight w:val="none"/>
              </w:rPr>
            </w:pPr>
            <w:r>
              <w:rPr>
                <w:rFonts w:ascii="宋体" w:hAnsi="宋体" w:eastAsia="宋体"/>
                <w:color w:val="auto"/>
                <w:szCs w:val="21"/>
                <w:highlight w:val="none"/>
              </w:rPr>
              <w:t>…</w:t>
            </w:r>
          </w:p>
        </w:tc>
        <w:tc>
          <w:tcPr>
            <w:tcW w:w="3274" w:type="dxa"/>
            <w:noWrap w:val="0"/>
            <w:vAlign w:val="center"/>
          </w:tcPr>
          <w:p>
            <w:pPr>
              <w:spacing w:line="360" w:lineRule="auto"/>
              <w:ind w:right="42" w:rightChars="20"/>
              <w:jc w:val="center"/>
              <w:rPr>
                <w:rFonts w:ascii="宋体" w:hAnsi="宋体" w:eastAsia="宋体"/>
                <w:color w:val="auto"/>
                <w:szCs w:val="21"/>
                <w:highlight w:val="none"/>
              </w:rPr>
            </w:pPr>
          </w:p>
        </w:tc>
        <w:tc>
          <w:tcPr>
            <w:tcW w:w="1010" w:type="dxa"/>
            <w:noWrap w:val="0"/>
            <w:vAlign w:val="center"/>
          </w:tcPr>
          <w:p>
            <w:pPr>
              <w:spacing w:line="360" w:lineRule="auto"/>
              <w:ind w:right="42" w:rightChars="20"/>
              <w:jc w:val="center"/>
              <w:rPr>
                <w:rFonts w:ascii="宋体" w:hAnsi="宋体" w:eastAsia="宋体"/>
                <w:color w:val="auto"/>
                <w:szCs w:val="21"/>
                <w:highlight w:val="none"/>
              </w:rPr>
            </w:pPr>
          </w:p>
        </w:tc>
        <w:tc>
          <w:tcPr>
            <w:tcW w:w="1008" w:type="dxa"/>
            <w:noWrap w:val="0"/>
            <w:vAlign w:val="center"/>
          </w:tcPr>
          <w:p>
            <w:pPr>
              <w:spacing w:line="360" w:lineRule="auto"/>
              <w:ind w:right="42" w:rightChars="20"/>
              <w:jc w:val="center"/>
              <w:rPr>
                <w:rFonts w:ascii="宋体" w:hAnsi="宋体" w:eastAsia="宋体"/>
                <w:color w:val="auto"/>
                <w:szCs w:val="21"/>
                <w:highlight w:val="none"/>
              </w:rPr>
            </w:pPr>
          </w:p>
        </w:tc>
        <w:tc>
          <w:tcPr>
            <w:tcW w:w="2640" w:type="dxa"/>
            <w:noWrap w:val="0"/>
            <w:vAlign w:val="center"/>
          </w:tcPr>
          <w:p>
            <w:pPr>
              <w:spacing w:line="360" w:lineRule="auto"/>
              <w:ind w:right="42" w:rightChars="20"/>
              <w:jc w:val="center"/>
              <w:rPr>
                <w:rFonts w:ascii="宋体" w:hAnsi="宋体" w:eastAsia="宋体"/>
                <w:color w:val="auto"/>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782" w:hRule="atLeast"/>
        </w:trPr>
        <w:tc>
          <w:tcPr>
            <w:tcW w:w="1008" w:type="dxa"/>
            <w:noWrap w:val="0"/>
            <w:vAlign w:val="center"/>
          </w:tcPr>
          <w:p>
            <w:pPr>
              <w:spacing w:line="360" w:lineRule="auto"/>
              <w:ind w:right="42" w:rightChars="20"/>
              <w:jc w:val="center"/>
              <w:rPr>
                <w:rFonts w:ascii="宋体" w:hAnsi="宋体" w:eastAsia="宋体"/>
                <w:color w:val="auto"/>
                <w:szCs w:val="21"/>
                <w:highlight w:val="none"/>
              </w:rPr>
            </w:pPr>
          </w:p>
        </w:tc>
        <w:tc>
          <w:tcPr>
            <w:tcW w:w="5292" w:type="dxa"/>
            <w:gridSpan w:val="3"/>
            <w:noWrap w:val="0"/>
            <w:vAlign w:val="center"/>
          </w:tcPr>
          <w:p>
            <w:pPr>
              <w:spacing w:line="360" w:lineRule="auto"/>
              <w:ind w:right="42" w:rightChars="20"/>
              <w:jc w:val="center"/>
              <w:rPr>
                <w:rFonts w:ascii="宋体" w:hAnsi="宋体" w:eastAsia="宋体"/>
                <w:color w:val="auto"/>
                <w:szCs w:val="21"/>
                <w:highlight w:val="none"/>
              </w:rPr>
            </w:pPr>
            <w:r>
              <w:rPr>
                <w:rFonts w:hint="eastAsia" w:ascii="宋体" w:hAnsi="宋体" w:eastAsia="宋体"/>
                <w:color w:val="auto"/>
                <w:szCs w:val="21"/>
                <w:highlight w:val="none"/>
              </w:rPr>
              <w:t>合计总价</w:t>
            </w:r>
          </w:p>
        </w:tc>
        <w:tc>
          <w:tcPr>
            <w:tcW w:w="2640" w:type="dxa"/>
            <w:noWrap w:val="0"/>
            <w:vAlign w:val="center"/>
          </w:tcPr>
          <w:p>
            <w:pPr>
              <w:spacing w:line="360" w:lineRule="auto"/>
              <w:ind w:right="42" w:rightChars="20"/>
              <w:jc w:val="center"/>
              <w:rPr>
                <w:rFonts w:ascii="宋体" w:hAnsi="宋体" w:eastAsia="宋体"/>
                <w:color w:val="auto"/>
                <w:szCs w:val="21"/>
                <w:highlight w:val="none"/>
              </w:rPr>
            </w:pPr>
          </w:p>
        </w:tc>
      </w:tr>
    </w:tbl>
    <w:p>
      <w:pPr>
        <w:pStyle w:val="2"/>
        <w:spacing w:line="360" w:lineRule="auto"/>
        <w:rPr>
          <w:rFonts w:hint="eastAsia" w:ascii="宋体" w:hAnsi="宋体" w:eastAsia="宋体"/>
          <w:color w:val="auto"/>
          <w:highlight w:val="none"/>
          <w:lang w:eastAsia="zh-CN"/>
        </w:rPr>
      </w:pPr>
    </w:p>
    <w:p>
      <w:pPr>
        <w:pStyle w:val="2"/>
        <w:spacing w:line="360" w:lineRule="auto"/>
        <w:rPr>
          <w:rFonts w:hint="eastAsia" w:ascii="宋体" w:hAnsi="宋体" w:eastAsia="宋体"/>
          <w:color w:val="auto"/>
          <w:highlight w:val="none"/>
          <w:lang w:eastAsia="zh-CN"/>
        </w:rPr>
      </w:pPr>
    </w:p>
    <w:p>
      <w:pPr>
        <w:tabs>
          <w:tab w:val="left" w:pos="540"/>
        </w:tabs>
        <w:autoSpaceDE w:val="0"/>
        <w:autoSpaceDN w:val="0"/>
        <w:adjustRightInd w:val="0"/>
        <w:spacing w:line="360" w:lineRule="auto"/>
        <w:ind w:right="42" w:rightChars="20" w:firstLine="411" w:firstLineChars="196"/>
        <w:jc w:val="left"/>
        <w:rPr>
          <w:rFonts w:ascii="宋体" w:hAnsi="宋体" w:eastAsia="宋体"/>
          <w:color w:val="auto"/>
          <w:szCs w:val="21"/>
          <w:highlight w:val="none"/>
        </w:rPr>
      </w:pPr>
      <w:r>
        <w:rPr>
          <w:rFonts w:hint="eastAsia" w:ascii="宋体" w:hAnsi="宋体"/>
          <w:color w:val="auto"/>
          <w:szCs w:val="21"/>
          <w:highlight w:val="none"/>
        </w:rPr>
        <w:t>注：</w:t>
      </w:r>
      <w:r>
        <w:rPr>
          <w:rFonts w:hint="eastAsia" w:ascii="宋体" w:hAnsi="宋体" w:eastAsia="宋体"/>
          <w:color w:val="auto"/>
          <w:szCs w:val="21"/>
          <w:highlight w:val="none"/>
        </w:rPr>
        <w:t xml:space="preserve"> 1、以上表格中各项可进一步细分，栏数不够可自加，要求服务内容细分项目及报价。本投标文件及其所附文件涵盖了我方要约的全部内容。</w:t>
      </w:r>
    </w:p>
    <w:p>
      <w:pPr>
        <w:tabs>
          <w:tab w:val="left" w:pos="540"/>
        </w:tabs>
        <w:autoSpaceDE w:val="0"/>
        <w:autoSpaceDN w:val="0"/>
        <w:adjustRightInd w:val="0"/>
        <w:spacing w:line="360" w:lineRule="auto"/>
        <w:ind w:firstLine="411" w:firstLineChars="196"/>
        <w:jc w:val="left"/>
        <w:rPr>
          <w:rFonts w:ascii="宋体" w:hAnsi="宋体"/>
          <w:color w:val="auto"/>
          <w:spacing w:val="20"/>
          <w:sz w:val="22"/>
          <w:szCs w:val="22"/>
          <w:highlight w:val="none"/>
        </w:rPr>
      </w:pPr>
      <w:r>
        <w:rPr>
          <w:rFonts w:hint="eastAsia" w:ascii="宋体" w:hAnsi="宋体" w:eastAsia="宋体"/>
          <w:color w:val="auto"/>
          <w:szCs w:val="21"/>
          <w:highlight w:val="none"/>
        </w:rPr>
        <w:t>2、本明细清单合计总价应与投标（开标）一览表报价保持一致。</w:t>
      </w:r>
    </w:p>
    <w:p>
      <w:pPr>
        <w:snapToGrid w:val="0"/>
        <w:spacing w:before="50" w:after="50" w:line="360" w:lineRule="auto"/>
        <w:rPr>
          <w:rFonts w:ascii="宋体" w:hAnsi="宋体"/>
          <w:color w:val="auto"/>
          <w:spacing w:val="20"/>
          <w:sz w:val="22"/>
          <w:szCs w:val="22"/>
          <w:highlight w:val="none"/>
        </w:rPr>
      </w:pPr>
    </w:p>
    <w:p>
      <w:pPr>
        <w:pStyle w:val="29"/>
        <w:snapToGrid w:val="0"/>
        <w:spacing w:line="360" w:lineRule="auto"/>
        <w:rPr>
          <w:rFonts w:hAnsi="宋体"/>
          <w:color w:val="auto"/>
          <w:szCs w:val="21"/>
          <w:highlight w:val="none"/>
          <w:shd w:val="clear" w:color="auto" w:fill="FFFFFF"/>
        </w:rPr>
      </w:pPr>
      <w:r>
        <w:rPr>
          <w:rFonts w:hAnsi="宋体"/>
          <w:color w:val="auto"/>
          <w:szCs w:val="21"/>
          <w:highlight w:val="none"/>
          <w:shd w:val="clear" w:color="auto" w:fill="FFFFFF"/>
        </w:rPr>
        <w:t xml:space="preserve">法定代表人或授权代表（签字或盖章）： </w:t>
      </w:r>
    </w:p>
    <w:p>
      <w:pPr>
        <w:pStyle w:val="29"/>
        <w:snapToGrid w:val="0"/>
        <w:spacing w:line="360" w:lineRule="auto"/>
        <w:rPr>
          <w:rFonts w:hAnsi="宋体"/>
          <w:color w:val="auto"/>
          <w:szCs w:val="21"/>
          <w:highlight w:val="none"/>
          <w:shd w:val="clear" w:color="auto" w:fill="FFFFFF"/>
        </w:rPr>
      </w:pPr>
    </w:p>
    <w:p>
      <w:pPr>
        <w:pStyle w:val="29"/>
        <w:snapToGrid w:val="0"/>
        <w:spacing w:line="360" w:lineRule="auto"/>
        <w:rPr>
          <w:rFonts w:hAnsi="宋体"/>
          <w:color w:val="auto"/>
          <w:szCs w:val="21"/>
          <w:highlight w:val="none"/>
          <w:shd w:val="clear" w:color="auto" w:fill="FFFFFF"/>
        </w:rPr>
      </w:pPr>
      <w:r>
        <w:rPr>
          <w:rFonts w:hint="eastAsia" w:hAnsi="宋体"/>
          <w:color w:val="auto"/>
          <w:szCs w:val="21"/>
          <w:highlight w:val="none"/>
          <w:shd w:val="clear" w:color="auto" w:fill="FFFFFF"/>
          <w:lang w:eastAsia="zh-CN"/>
        </w:rPr>
        <w:t>供应商</w:t>
      </w:r>
      <w:r>
        <w:rPr>
          <w:rFonts w:hint="eastAsia" w:hAnsi="宋体"/>
          <w:color w:val="auto"/>
          <w:szCs w:val="21"/>
          <w:highlight w:val="none"/>
          <w:shd w:val="clear" w:color="auto" w:fill="FFFFFF"/>
        </w:rPr>
        <w:t>名称：（盖章）</w:t>
      </w:r>
      <w:r>
        <w:rPr>
          <w:rFonts w:hAnsi="宋体"/>
          <w:color w:val="auto"/>
          <w:szCs w:val="21"/>
          <w:highlight w:val="none"/>
          <w:shd w:val="clear" w:color="auto" w:fill="FFFFFF"/>
        </w:rPr>
        <w:t>：</w:t>
      </w:r>
    </w:p>
    <w:p>
      <w:pPr>
        <w:pStyle w:val="29"/>
        <w:snapToGrid w:val="0"/>
        <w:spacing w:line="360" w:lineRule="auto"/>
        <w:rPr>
          <w:rFonts w:hAnsi="宋体"/>
          <w:color w:val="auto"/>
          <w:szCs w:val="21"/>
          <w:highlight w:val="none"/>
          <w:shd w:val="clear" w:color="auto" w:fill="FFFFFF"/>
        </w:rPr>
      </w:pPr>
    </w:p>
    <w:p>
      <w:pPr>
        <w:pStyle w:val="29"/>
        <w:snapToGrid w:val="0"/>
        <w:spacing w:line="360" w:lineRule="auto"/>
        <w:rPr>
          <w:rFonts w:hAnsi="宋体"/>
          <w:color w:val="auto"/>
          <w:szCs w:val="21"/>
          <w:highlight w:val="none"/>
          <w:shd w:val="clear" w:color="auto" w:fill="FFFFFF"/>
        </w:rPr>
      </w:pPr>
      <w:r>
        <w:rPr>
          <w:rFonts w:hint="eastAsia" w:hAnsi="宋体"/>
          <w:color w:val="auto"/>
          <w:szCs w:val="21"/>
          <w:highlight w:val="none"/>
          <w:shd w:val="clear" w:color="auto" w:fill="FFFFFF"/>
        </w:rPr>
        <w:t>日期：</w:t>
      </w:r>
    </w:p>
    <w:p>
      <w:pPr>
        <w:pStyle w:val="29"/>
        <w:snapToGrid w:val="0"/>
        <w:spacing w:line="360" w:lineRule="auto"/>
        <w:rPr>
          <w:rFonts w:hAnsi="宋体"/>
          <w:color w:val="auto"/>
          <w:szCs w:val="21"/>
          <w:highlight w:val="none"/>
          <w:shd w:val="clear" w:color="auto" w:fill="FFFFFF"/>
        </w:rPr>
      </w:pPr>
    </w:p>
    <w:p>
      <w:pPr>
        <w:pStyle w:val="29"/>
        <w:snapToGrid w:val="0"/>
        <w:spacing w:line="360" w:lineRule="auto"/>
        <w:rPr>
          <w:rFonts w:hAnsi="宋体"/>
          <w:color w:val="auto"/>
          <w:szCs w:val="21"/>
          <w:highlight w:val="none"/>
          <w:shd w:val="clear" w:color="auto" w:fill="FFFFFF"/>
        </w:rPr>
      </w:pPr>
    </w:p>
    <w:p>
      <w:pPr>
        <w:pStyle w:val="29"/>
        <w:snapToGrid w:val="0"/>
        <w:spacing w:line="360" w:lineRule="auto"/>
        <w:rPr>
          <w:rFonts w:hAnsi="宋体"/>
          <w:color w:val="auto"/>
          <w:szCs w:val="21"/>
          <w:highlight w:val="none"/>
          <w:shd w:val="clear" w:color="auto" w:fill="FFFFFF"/>
        </w:rPr>
      </w:pPr>
    </w:p>
    <w:p>
      <w:pPr>
        <w:pStyle w:val="29"/>
        <w:snapToGrid w:val="0"/>
        <w:spacing w:line="360" w:lineRule="auto"/>
        <w:rPr>
          <w:rFonts w:hAnsi="宋体"/>
          <w:color w:val="auto"/>
          <w:szCs w:val="21"/>
          <w:highlight w:val="none"/>
          <w:shd w:val="clear" w:color="auto" w:fill="FFFFFF"/>
        </w:rPr>
      </w:pPr>
    </w:p>
    <w:p>
      <w:pPr>
        <w:pStyle w:val="29"/>
        <w:snapToGrid w:val="0"/>
        <w:spacing w:line="360" w:lineRule="auto"/>
        <w:rPr>
          <w:rFonts w:hAnsi="宋体"/>
          <w:color w:val="auto"/>
          <w:szCs w:val="21"/>
          <w:highlight w:val="none"/>
          <w:shd w:val="clear" w:color="auto" w:fill="FFFFFF"/>
        </w:rPr>
      </w:pPr>
    </w:p>
    <w:p>
      <w:pPr>
        <w:pStyle w:val="29"/>
        <w:snapToGrid w:val="0"/>
        <w:spacing w:line="360" w:lineRule="auto"/>
        <w:rPr>
          <w:rFonts w:hAnsi="宋体"/>
          <w:color w:val="auto"/>
          <w:szCs w:val="21"/>
          <w:highlight w:val="none"/>
          <w:shd w:val="clear" w:color="auto" w:fill="FFFFFF"/>
        </w:rPr>
      </w:pPr>
    </w:p>
    <w:p>
      <w:pPr>
        <w:pStyle w:val="29"/>
        <w:snapToGrid w:val="0"/>
        <w:spacing w:line="360" w:lineRule="auto"/>
        <w:rPr>
          <w:rFonts w:hAnsi="宋体"/>
          <w:color w:val="auto"/>
          <w:szCs w:val="21"/>
          <w:highlight w:val="none"/>
          <w:shd w:val="clear" w:color="auto" w:fill="FFFFFF"/>
        </w:rPr>
      </w:pPr>
    </w:p>
    <w:p>
      <w:pPr>
        <w:pStyle w:val="29"/>
        <w:snapToGrid w:val="0"/>
        <w:spacing w:line="360" w:lineRule="auto"/>
        <w:rPr>
          <w:rFonts w:hAnsi="宋体"/>
          <w:color w:val="auto"/>
          <w:szCs w:val="21"/>
          <w:highlight w:val="none"/>
          <w:shd w:val="clear" w:color="auto" w:fill="FFFFFF"/>
        </w:rPr>
      </w:pPr>
    </w:p>
    <w:p>
      <w:pPr>
        <w:snapToGrid w:val="0"/>
        <w:spacing w:before="50" w:after="156" w:afterLines="50" w:line="440" w:lineRule="exact"/>
        <w:jc w:val="center"/>
        <w:rPr>
          <w:rFonts w:ascii="宋体" w:hAnsi="宋体" w:eastAsia="宋体" w:cs="宋体"/>
          <w:color w:val="auto"/>
          <w:sz w:val="32"/>
          <w:szCs w:val="32"/>
          <w:highlight w:val="none"/>
        </w:rPr>
      </w:pPr>
      <w:r>
        <w:rPr>
          <w:rFonts w:hint="eastAsia" w:ascii="宋体" w:hAnsi="宋体" w:eastAsia="宋体" w:cs="宋体"/>
          <w:b/>
          <w:color w:val="auto"/>
          <w:sz w:val="32"/>
          <w:szCs w:val="32"/>
          <w:highlight w:val="none"/>
        </w:rPr>
        <w:t>劳动用工书面承诺</w:t>
      </w:r>
    </w:p>
    <w:p>
      <w:pPr>
        <w:pStyle w:val="29"/>
        <w:spacing w:line="480" w:lineRule="exact"/>
        <w:ind w:firstLine="480" w:firstLineChars="200"/>
        <w:rPr>
          <w:rFonts w:ascii="宋体" w:hAnsi="宋体" w:eastAsia="宋体" w:cs="宋体"/>
          <w:color w:val="auto"/>
          <w:sz w:val="24"/>
          <w:szCs w:val="24"/>
          <w:highlight w:val="none"/>
        </w:rPr>
      </w:pPr>
      <w:r>
        <w:rPr>
          <w:rFonts w:hint="eastAsia" w:ascii="宋体" w:hAnsi="宋体" w:eastAsia="宋体" w:cs="宋体"/>
          <w:color w:val="auto"/>
          <w:sz w:val="24"/>
          <w:szCs w:val="24"/>
          <w:highlight w:val="none"/>
        </w:rPr>
        <w:t>如我公司中标，我公司将严格遵守《民法典》的相关规定，按招标文件的要求配置服务人员，按国家规定为员工缴纳社会保险，员工的工资标准不低于嘉兴市最低工资标准，并将所有条款写入劳动用工合同。</w:t>
      </w:r>
    </w:p>
    <w:p>
      <w:pPr>
        <w:pStyle w:val="29"/>
        <w:spacing w:line="480" w:lineRule="exact"/>
        <w:ind w:firstLine="480" w:firstLineChars="200"/>
        <w:rPr>
          <w:rFonts w:ascii="宋体" w:hAnsi="宋体" w:eastAsia="宋体" w:cs="宋体"/>
          <w:color w:val="auto"/>
          <w:sz w:val="24"/>
          <w:szCs w:val="24"/>
          <w:highlight w:val="none"/>
        </w:rPr>
      </w:pPr>
      <w:r>
        <w:rPr>
          <w:rFonts w:hint="eastAsia" w:ascii="宋体" w:hAnsi="宋体" w:eastAsia="宋体" w:cs="宋体"/>
          <w:color w:val="auto"/>
          <w:sz w:val="24"/>
          <w:szCs w:val="24"/>
          <w:highlight w:val="none"/>
        </w:rPr>
        <w:t>特此承诺。</w:t>
      </w:r>
    </w:p>
    <w:p>
      <w:pPr>
        <w:pStyle w:val="29"/>
        <w:spacing w:line="480" w:lineRule="exact"/>
        <w:ind w:firstLine="480" w:firstLineChars="200"/>
        <w:rPr>
          <w:rFonts w:ascii="宋体" w:hAnsi="宋体" w:eastAsia="宋体" w:cs="宋体"/>
          <w:color w:val="auto"/>
          <w:sz w:val="24"/>
          <w:szCs w:val="24"/>
          <w:highlight w:val="none"/>
        </w:rPr>
      </w:pPr>
    </w:p>
    <w:p>
      <w:pPr>
        <w:pStyle w:val="29"/>
        <w:spacing w:line="480" w:lineRule="exact"/>
        <w:ind w:firstLine="480" w:firstLineChars="200"/>
        <w:rPr>
          <w:rFonts w:ascii="宋体" w:hAnsi="宋体" w:eastAsia="宋体" w:cs="宋体"/>
          <w:color w:val="auto"/>
          <w:sz w:val="24"/>
          <w:szCs w:val="24"/>
          <w:highlight w:val="none"/>
        </w:rPr>
      </w:pPr>
    </w:p>
    <w:p>
      <w:pPr>
        <w:snapToGrid w:val="0"/>
        <w:spacing w:before="50" w:after="50" w:line="360" w:lineRule="auto"/>
        <w:ind w:firstLine="480" w:firstLineChars="200"/>
        <w:rPr>
          <w:rFonts w:ascii="宋体" w:hAnsi="宋体" w:eastAsia="宋体" w:cs="宋体"/>
          <w:color w:val="auto"/>
          <w:spacing w:val="20"/>
          <w:sz w:val="24"/>
          <w:highlight w:val="none"/>
          <w:u w:val="single"/>
        </w:rPr>
      </w:pPr>
      <w:r>
        <w:rPr>
          <w:rFonts w:hint="eastAsia" w:ascii="宋体" w:hAnsi="宋体" w:eastAsia="宋体" w:cs="宋体"/>
          <w:color w:val="auto"/>
          <w:sz w:val="24"/>
          <w:highlight w:val="none"/>
        </w:rPr>
        <w:t>被授权人签字（或盖章）</w:t>
      </w:r>
      <w:r>
        <w:rPr>
          <w:rFonts w:hint="eastAsia" w:ascii="宋体" w:hAnsi="宋体" w:eastAsia="宋体" w:cs="宋体"/>
          <w:color w:val="auto"/>
          <w:spacing w:val="20"/>
          <w:sz w:val="24"/>
          <w:highlight w:val="none"/>
        </w:rPr>
        <w:t>：</w:t>
      </w:r>
      <w:r>
        <w:rPr>
          <w:rFonts w:hint="eastAsia" w:ascii="宋体" w:hAnsi="宋体" w:eastAsia="宋体" w:cs="宋体"/>
          <w:color w:val="auto"/>
          <w:spacing w:val="20"/>
          <w:sz w:val="24"/>
          <w:highlight w:val="none"/>
          <w:u w:val="single"/>
        </w:rPr>
        <w:t xml:space="preserve">        </w:t>
      </w:r>
    </w:p>
    <w:p>
      <w:pPr>
        <w:spacing w:line="460" w:lineRule="atLeast"/>
        <w:ind w:firstLine="480" w:firstLineChars="200"/>
        <w:rPr>
          <w:rFonts w:ascii="宋体" w:hAnsi="宋体" w:eastAsia="宋体" w:cs="宋体"/>
          <w:color w:val="auto"/>
          <w:sz w:val="24"/>
          <w:highlight w:val="none"/>
        </w:rPr>
      </w:pPr>
      <w:r>
        <w:rPr>
          <w:rFonts w:hint="eastAsia" w:ascii="宋体" w:hAnsi="宋体" w:eastAsia="宋体" w:cs="宋体"/>
          <w:color w:val="auto"/>
          <w:sz w:val="24"/>
          <w:highlight w:val="none"/>
          <w:lang w:eastAsia="zh-CN"/>
        </w:rPr>
        <w:t>供应商</w:t>
      </w:r>
      <w:r>
        <w:rPr>
          <w:rFonts w:hint="eastAsia" w:ascii="宋体" w:hAnsi="宋体" w:eastAsia="宋体" w:cs="宋体"/>
          <w:color w:val="auto"/>
          <w:sz w:val="24"/>
          <w:highlight w:val="none"/>
        </w:rPr>
        <w:t xml:space="preserve">公章：                    </w:t>
      </w:r>
    </w:p>
    <w:p>
      <w:pPr>
        <w:spacing w:line="460" w:lineRule="atLeast"/>
        <w:ind w:firstLine="240" w:firstLineChars="100"/>
        <w:rPr>
          <w:rFonts w:ascii="宋体" w:hAnsi="宋体" w:eastAsia="宋体" w:cs="宋体"/>
          <w:b/>
          <w:color w:val="auto"/>
          <w:sz w:val="24"/>
          <w:highlight w:val="none"/>
        </w:rPr>
      </w:pPr>
      <w:r>
        <w:rPr>
          <w:rFonts w:hint="eastAsia" w:ascii="宋体" w:hAnsi="宋体" w:eastAsia="宋体" w:cs="宋体"/>
          <w:color w:val="auto"/>
          <w:sz w:val="24"/>
          <w:highlight w:val="none"/>
        </w:rPr>
        <w:t xml:space="preserve">      年    月    日</w:t>
      </w:r>
    </w:p>
    <w:p>
      <w:pPr>
        <w:pStyle w:val="29"/>
        <w:snapToGrid w:val="0"/>
        <w:spacing w:line="360" w:lineRule="auto"/>
        <w:rPr>
          <w:rFonts w:ascii="宋体" w:hAnsi="宋体" w:eastAsia="宋体" w:cs="宋体"/>
          <w:color w:val="auto"/>
          <w:highlight w:val="none"/>
        </w:rPr>
      </w:pPr>
    </w:p>
    <w:p>
      <w:pPr>
        <w:pStyle w:val="29"/>
        <w:snapToGrid w:val="0"/>
        <w:spacing w:line="360" w:lineRule="auto"/>
        <w:rPr>
          <w:rFonts w:ascii="宋体" w:hAnsi="宋体" w:eastAsia="宋体" w:cs="宋体"/>
          <w:color w:val="auto"/>
          <w:highlight w:val="none"/>
        </w:rPr>
      </w:pPr>
    </w:p>
    <w:p>
      <w:pPr>
        <w:pStyle w:val="29"/>
        <w:snapToGrid w:val="0"/>
        <w:spacing w:line="360" w:lineRule="auto"/>
        <w:rPr>
          <w:rFonts w:ascii="宋体" w:hAnsi="宋体" w:eastAsia="宋体" w:cs="宋体"/>
          <w:color w:val="auto"/>
          <w:highlight w:val="none"/>
        </w:rPr>
      </w:pPr>
    </w:p>
    <w:p>
      <w:pPr>
        <w:pStyle w:val="29"/>
        <w:snapToGrid w:val="0"/>
        <w:spacing w:line="360" w:lineRule="auto"/>
        <w:rPr>
          <w:rFonts w:ascii="宋体" w:hAnsi="宋体" w:eastAsia="宋体" w:cs="宋体"/>
          <w:color w:val="auto"/>
          <w:highlight w:val="none"/>
        </w:rPr>
      </w:pPr>
    </w:p>
    <w:p>
      <w:pPr>
        <w:pStyle w:val="29"/>
        <w:snapToGrid w:val="0"/>
        <w:spacing w:line="360" w:lineRule="auto"/>
        <w:rPr>
          <w:rFonts w:ascii="宋体" w:hAnsi="宋体" w:eastAsia="宋体" w:cs="宋体"/>
          <w:color w:val="auto"/>
          <w:highlight w:val="none"/>
        </w:rPr>
      </w:pPr>
    </w:p>
    <w:p>
      <w:pPr>
        <w:pStyle w:val="29"/>
        <w:snapToGrid w:val="0"/>
        <w:spacing w:line="360" w:lineRule="auto"/>
        <w:rPr>
          <w:rFonts w:ascii="宋体" w:hAnsi="宋体" w:eastAsia="宋体" w:cs="宋体"/>
          <w:color w:val="auto"/>
          <w:highlight w:val="none"/>
        </w:rPr>
      </w:pPr>
    </w:p>
    <w:p>
      <w:pPr>
        <w:pStyle w:val="29"/>
        <w:snapToGrid w:val="0"/>
        <w:spacing w:line="360" w:lineRule="auto"/>
        <w:rPr>
          <w:rFonts w:ascii="宋体" w:hAnsi="宋体" w:eastAsia="宋体" w:cs="宋体"/>
          <w:color w:val="auto"/>
          <w:highlight w:val="none"/>
        </w:rPr>
      </w:pPr>
    </w:p>
    <w:p>
      <w:pPr>
        <w:pStyle w:val="29"/>
        <w:snapToGrid w:val="0"/>
        <w:spacing w:line="360" w:lineRule="auto"/>
        <w:rPr>
          <w:rFonts w:ascii="宋体" w:hAnsi="宋体" w:eastAsia="宋体" w:cs="宋体"/>
          <w:color w:val="auto"/>
          <w:highlight w:val="none"/>
        </w:rPr>
      </w:pPr>
    </w:p>
    <w:p>
      <w:pPr>
        <w:pStyle w:val="29"/>
        <w:snapToGrid w:val="0"/>
        <w:spacing w:line="360" w:lineRule="auto"/>
        <w:rPr>
          <w:rFonts w:ascii="宋体" w:hAnsi="宋体" w:eastAsia="宋体" w:cs="宋体"/>
          <w:color w:val="auto"/>
          <w:highlight w:val="none"/>
        </w:rPr>
      </w:pPr>
    </w:p>
    <w:p>
      <w:pPr>
        <w:pStyle w:val="29"/>
        <w:snapToGrid w:val="0"/>
        <w:spacing w:line="360" w:lineRule="auto"/>
        <w:rPr>
          <w:rFonts w:ascii="宋体" w:hAnsi="宋体" w:eastAsia="宋体" w:cs="宋体"/>
          <w:color w:val="auto"/>
          <w:highlight w:val="none"/>
        </w:rPr>
      </w:pPr>
    </w:p>
    <w:p>
      <w:pPr>
        <w:pStyle w:val="29"/>
        <w:snapToGrid w:val="0"/>
        <w:spacing w:line="360" w:lineRule="auto"/>
        <w:rPr>
          <w:rFonts w:ascii="宋体" w:hAnsi="宋体" w:eastAsia="宋体" w:cs="宋体"/>
          <w:color w:val="auto"/>
          <w:highlight w:val="none"/>
        </w:rPr>
      </w:pPr>
    </w:p>
    <w:p>
      <w:pPr>
        <w:pStyle w:val="29"/>
        <w:snapToGrid w:val="0"/>
        <w:spacing w:line="360" w:lineRule="auto"/>
        <w:rPr>
          <w:rFonts w:ascii="宋体" w:hAnsi="宋体" w:eastAsia="宋体" w:cs="宋体"/>
          <w:color w:val="auto"/>
          <w:highlight w:val="none"/>
        </w:rPr>
      </w:pPr>
    </w:p>
    <w:p>
      <w:pPr>
        <w:pStyle w:val="29"/>
        <w:snapToGrid w:val="0"/>
        <w:spacing w:line="360" w:lineRule="auto"/>
        <w:rPr>
          <w:rFonts w:ascii="宋体" w:hAnsi="宋体" w:eastAsia="宋体" w:cs="宋体"/>
          <w:color w:val="auto"/>
          <w:highlight w:val="none"/>
        </w:rPr>
      </w:pPr>
    </w:p>
    <w:p>
      <w:pPr>
        <w:pStyle w:val="29"/>
        <w:snapToGrid w:val="0"/>
        <w:spacing w:line="360" w:lineRule="auto"/>
        <w:rPr>
          <w:rFonts w:ascii="宋体" w:hAnsi="宋体" w:eastAsia="宋体" w:cs="宋体"/>
          <w:color w:val="auto"/>
          <w:highlight w:val="none"/>
        </w:rPr>
      </w:pPr>
    </w:p>
    <w:p>
      <w:pPr>
        <w:pStyle w:val="29"/>
        <w:snapToGrid w:val="0"/>
        <w:spacing w:line="360" w:lineRule="auto"/>
        <w:rPr>
          <w:rFonts w:ascii="宋体" w:hAnsi="宋体" w:eastAsia="宋体" w:cs="宋体"/>
          <w:color w:val="auto"/>
          <w:highlight w:val="none"/>
        </w:rPr>
      </w:pPr>
    </w:p>
    <w:p>
      <w:pPr>
        <w:pStyle w:val="29"/>
        <w:snapToGrid w:val="0"/>
        <w:spacing w:line="360" w:lineRule="auto"/>
        <w:rPr>
          <w:rFonts w:ascii="宋体" w:hAnsi="宋体" w:eastAsia="宋体" w:cs="宋体"/>
          <w:color w:val="auto"/>
          <w:highlight w:val="none"/>
        </w:rPr>
      </w:pPr>
    </w:p>
    <w:p>
      <w:pPr>
        <w:pStyle w:val="29"/>
        <w:snapToGrid w:val="0"/>
        <w:spacing w:line="360" w:lineRule="auto"/>
        <w:rPr>
          <w:rFonts w:ascii="宋体" w:hAnsi="宋体" w:eastAsia="宋体" w:cs="宋体"/>
          <w:color w:val="auto"/>
          <w:highlight w:val="none"/>
        </w:rPr>
      </w:pPr>
    </w:p>
    <w:p>
      <w:pPr>
        <w:pStyle w:val="29"/>
        <w:snapToGrid w:val="0"/>
        <w:spacing w:line="360" w:lineRule="auto"/>
        <w:rPr>
          <w:rFonts w:ascii="宋体" w:hAnsi="宋体" w:eastAsia="宋体" w:cs="宋体"/>
          <w:color w:val="auto"/>
          <w:highlight w:val="none"/>
        </w:rPr>
      </w:pPr>
    </w:p>
    <w:p>
      <w:pPr>
        <w:pStyle w:val="29"/>
        <w:snapToGrid w:val="0"/>
        <w:spacing w:line="360" w:lineRule="auto"/>
        <w:rPr>
          <w:rFonts w:ascii="宋体" w:hAnsi="宋体" w:eastAsia="宋体" w:cs="宋体"/>
          <w:color w:val="auto"/>
          <w:highlight w:val="none"/>
        </w:rPr>
      </w:pPr>
    </w:p>
    <w:p>
      <w:pPr>
        <w:pStyle w:val="29"/>
        <w:snapToGrid w:val="0"/>
        <w:spacing w:line="360" w:lineRule="auto"/>
        <w:rPr>
          <w:rFonts w:ascii="宋体" w:hAnsi="宋体" w:eastAsia="宋体" w:cs="宋体"/>
          <w:color w:val="auto"/>
          <w:highlight w:val="none"/>
        </w:rPr>
      </w:pPr>
    </w:p>
    <w:p>
      <w:pPr>
        <w:pStyle w:val="29"/>
        <w:snapToGrid w:val="0"/>
        <w:spacing w:line="360" w:lineRule="auto"/>
        <w:rPr>
          <w:rFonts w:ascii="宋体" w:hAnsi="宋体" w:eastAsia="宋体" w:cs="宋体"/>
          <w:color w:val="auto"/>
          <w:highlight w:val="none"/>
        </w:rPr>
      </w:pPr>
    </w:p>
    <w:p>
      <w:pPr>
        <w:shd w:val="clear" w:color="auto" w:fill="FFFFFF"/>
        <w:spacing w:line="400" w:lineRule="atLeast"/>
        <w:ind w:firstLine="480"/>
        <w:rPr>
          <w:rFonts w:ascii="华文中宋" w:hAnsi="华文中宋" w:eastAsia="华文中宋" w:cs="宋体"/>
          <w:b/>
          <w:color w:val="auto"/>
          <w:szCs w:val="21"/>
          <w:highlight w:val="none"/>
        </w:rPr>
      </w:pPr>
      <w:r>
        <w:rPr>
          <w:rFonts w:hint="eastAsia" w:ascii="华文中宋" w:hAnsi="华文中宋" w:eastAsia="华文中宋" w:cs="宋体"/>
          <w:b/>
          <w:color w:val="auto"/>
          <w:szCs w:val="21"/>
          <w:highlight w:val="none"/>
        </w:rPr>
        <w:t>附</w:t>
      </w:r>
      <w:r>
        <w:rPr>
          <w:rFonts w:ascii="华文中宋" w:hAnsi="华文中宋" w:eastAsia="华文中宋" w:cs="宋体"/>
          <w:b/>
          <w:color w:val="auto"/>
          <w:szCs w:val="21"/>
          <w:highlight w:val="none"/>
        </w:rPr>
        <w:t>件：</w:t>
      </w:r>
    </w:p>
    <w:p>
      <w:pPr>
        <w:shd w:val="clear" w:color="auto" w:fill="FFFFFF"/>
        <w:spacing w:line="400" w:lineRule="atLeast"/>
        <w:ind w:firstLine="480"/>
        <w:jc w:val="center"/>
        <w:rPr>
          <w:rFonts w:ascii="华文中宋" w:hAnsi="华文中宋" w:eastAsia="华文中宋" w:cs="宋体"/>
          <w:b/>
          <w:color w:val="auto"/>
          <w:szCs w:val="21"/>
          <w:highlight w:val="none"/>
        </w:rPr>
      </w:pPr>
    </w:p>
    <w:p>
      <w:pPr>
        <w:shd w:val="clear" w:color="auto" w:fill="FFFFFF"/>
        <w:spacing w:line="400" w:lineRule="atLeast"/>
        <w:ind w:firstLine="480"/>
        <w:jc w:val="center"/>
        <w:rPr>
          <w:rFonts w:ascii="华文中宋" w:hAnsi="华文中宋" w:eastAsia="华文中宋" w:cs="宋体"/>
          <w:bCs/>
          <w:color w:val="auto"/>
          <w:szCs w:val="21"/>
          <w:highlight w:val="none"/>
        </w:rPr>
      </w:pPr>
      <w:r>
        <w:rPr>
          <w:rFonts w:hint="eastAsia" w:ascii="华文中宋" w:hAnsi="华文中宋" w:eastAsia="华文中宋" w:cs="宋体"/>
          <w:b/>
          <w:color w:val="auto"/>
          <w:szCs w:val="21"/>
          <w:highlight w:val="none"/>
        </w:rPr>
        <w:t>国家统计局关于印发统计上大中小微型企业划分办法的通知</w:t>
      </w:r>
    </w:p>
    <w:p>
      <w:pPr>
        <w:shd w:val="clear" w:color="auto" w:fill="FFFFFF"/>
        <w:spacing w:line="400" w:lineRule="atLeast"/>
        <w:ind w:firstLine="480"/>
        <w:jc w:val="center"/>
        <w:rPr>
          <w:rFonts w:ascii="华文中宋" w:hAnsi="华文中宋" w:eastAsia="华文中宋" w:cs="宋体"/>
          <w:bCs/>
          <w:color w:val="auto"/>
          <w:szCs w:val="21"/>
          <w:highlight w:val="none"/>
        </w:rPr>
      </w:pPr>
      <w:r>
        <w:rPr>
          <w:rFonts w:hint="eastAsia" w:ascii="华文中宋" w:hAnsi="华文中宋" w:eastAsia="华文中宋" w:cs="宋体"/>
          <w:color w:val="auto"/>
          <w:szCs w:val="21"/>
          <w:highlight w:val="none"/>
        </w:rPr>
        <w:t>国统字〔</w:t>
      </w:r>
      <w:r>
        <w:rPr>
          <w:rFonts w:ascii="华文中宋" w:hAnsi="华文中宋" w:eastAsia="华文中宋"/>
          <w:color w:val="auto"/>
          <w:szCs w:val="21"/>
          <w:highlight w:val="none"/>
        </w:rPr>
        <w:t>2011</w:t>
      </w:r>
      <w:r>
        <w:rPr>
          <w:rFonts w:hint="eastAsia" w:ascii="华文中宋" w:hAnsi="华文中宋" w:eastAsia="华文中宋" w:cs="宋体"/>
          <w:color w:val="auto"/>
          <w:szCs w:val="21"/>
          <w:highlight w:val="none"/>
        </w:rPr>
        <w:t>〕</w:t>
      </w:r>
      <w:r>
        <w:rPr>
          <w:rFonts w:ascii="华文中宋" w:hAnsi="华文中宋" w:eastAsia="华文中宋"/>
          <w:color w:val="auto"/>
          <w:szCs w:val="21"/>
          <w:highlight w:val="none"/>
        </w:rPr>
        <w:t>75</w:t>
      </w:r>
      <w:r>
        <w:rPr>
          <w:rFonts w:hint="eastAsia" w:ascii="华文中宋" w:hAnsi="华文中宋" w:eastAsia="华文中宋" w:cs="宋体"/>
          <w:color w:val="auto"/>
          <w:szCs w:val="21"/>
          <w:highlight w:val="none"/>
        </w:rPr>
        <w:t>号</w:t>
      </w:r>
    </w:p>
    <w:p>
      <w:pPr>
        <w:shd w:val="clear" w:color="auto" w:fill="FFFFFF"/>
        <w:spacing w:line="400" w:lineRule="atLeast"/>
        <w:ind w:firstLine="480"/>
        <w:rPr>
          <w:rFonts w:ascii="华文中宋" w:hAnsi="华文中宋" w:eastAsia="华文中宋" w:cs="宋体"/>
          <w:bCs/>
          <w:color w:val="auto"/>
          <w:szCs w:val="21"/>
          <w:highlight w:val="none"/>
        </w:rPr>
      </w:pPr>
      <w:r>
        <w:rPr>
          <w:rFonts w:ascii="华文中宋" w:hAnsi="华文中宋" w:eastAsia="华文中宋"/>
          <w:color w:val="auto"/>
          <w:szCs w:val="21"/>
          <w:highlight w:val="none"/>
        </w:rPr>
        <w:t> </w:t>
      </w:r>
    </w:p>
    <w:p>
      <w:pPr>
        <w:shd w:val="clear" w:color="auto" w:fill="FFFFFF"/>
        <w:spacing w:line="400" w:lineRule="atLeast"/>
        <w:ind w:firstLine="480"/>
        <w:rPr>
          <w:rFonts w:ascii="华文中宋" w:hAnsi="华文中宋" w:eastAsia="华文中宋" w:cs="宋体"/>
          <w:bCs/>
          <w:color w:val="auto"/>
          <w:szCs w:val="21"/>
          <w:highlight w:val="none"/>
        </w:rPr>
      </w:pPr>
      <w:r>
        <w:rPr>
          <w:rFonts w:hint="eastAsia" w:ascii="华文中宋" w:hAnsi="华文中宋" w:eastAsia="华文中宋" w:cs="宋体"/>
          <w:color w:val="auto"/>
          <w:szCs w:val="21"/>
          <w:highlight w:val="none"/>
        </w:rPr>
        <w:t>各省、自治区、直辖市统计局，新疆生产建设兵团统计局，国家统计局各调查总队，国务院有关部门：</w:t>
      </w:r>
    </w:p>
    <w:p>
      <w:pPr>
        <w:shd w:val="clear" w:color="auto" w:fill="FFFFFF"/>
        <w:spacing w:line="400" w:lineRule="atLeast"/>
        <w:ind w:firstLine="480"/>
        <w:rPr>
          <w:rFonts w:ascii="华文中宋" w:hAnsi="华文中宋" w:eastAsia="华文中宋" w:cs="宋体"/>
          <w:bCs/>
          <w:color w:val="auto"/>
          <w:szCs w:val="21"/>
          <w:highlight w:val="none"/>
        </w:rPr>
      </w:pPr>
      <w:r>
        <w:rPr>
          <w:rFonts w:ascii="华文中宋" w:hAnsi="华文中宋" w:eastAsia="华文中宋"/>
          <w:color w:val="auto"/>
          <w:szCs w:val="21"/>
          <w:highlight w:val="none"/>
        </w:rPr>
        <w:t> </w:t>
      </w:r>
    </w:p>
    <w:p>
      <w:pPr>
        <w:shd w:val="clear" w:color="auto" w:fill="FFFFFF"/>
        <w:spacing w:line="400" w:lineRule="atLeast"/>
        <w:ind w:firstLine="480"/>
        <w:rPr>
          <w:rFonts w:ascii="华文中宋" w:hAnsi="华文中宋" w:eastAsia="华文中宋" w:cs="宋体"/>
          <w:bCs/>
          <w:color w:val="auto"/>
          <w:szCs w:val="21"/>
          <w:highlight w:val="none"/>
        </w:rPr>
      </w:pPr>
      <w:r>
        <w:rPr>
          <w:rFonts w:hint="eastAsia" w:ascii="华文中宋" w:hAnsi="华文中宋" w:eastAsia="华文中宋" w:cs="宋体"/>
          <w:color w:val="auto"/>
          <w:szCs w:val="21"/>
          <w:highlight w:val="none"/>
        </w:rPr>
        <w:t>　　为贯彻落实工业和信息化部、国家统计局、国家发展改革委、财政部《关于印发中小企业划型标准规定的通知》（工信部联企业〔</w:t>
      </w:r>
      <w:r>
        <w:rPr>
          <w:rFonts w:ascii="华文中宋" w:hAnsi="华文中宋" w:eastAsia="华文中宋"/>
          <w:color w:val="auto"/>
          <w:szCs w:val="21"/>
          <w:highlight w:val="none"/>
        </w:rPr>
        <w:t>2011</w:t>
      </w:r>
      <w:r>
        <w:rPr>
          <w:rFonts w:hint="eastAsia" w:ascii="华文中宋" w:hAnsi="华文中宋" w:eastAsia="华文中宋" w:cs="宋体"/>
          <w:color w:val="auto"/>
          <w:szCs w:val="21"/>
          <w:highlight w:val="none"/>
        </w:rPr>
        <w:t>〕</w:t>
      </w:r>
      <w:r>
        <w:rPr>
          <w:rFonts w:ascii="华文中宋" w:hAnsi="华文中宋" w:eastAsia="华文中宋"/>
          <w:color w:val="auto"/>
          <w:szCs w:val="21"/>
          <w:highlight w:val="none"/>
        </w:rPr>
        <w:t>300</w:t>
      </w:r>
      <w:r>
        <w:rPr>
          <w:rFonts w:hint="eastAsia" w:ascii="华文中宋" w:hAnsi="华文中宋" w:eastAsia="华文中宋" w:cs="宋体"/>
          <w:color w:val="auto"/>
          <w:szCs w:val="21"/>
          <w:highlight w:val="none"/>
        </w:rPr>
        <w:t>号），结合统计工作的实际情况，我们制定了《统计上大中小微型企业划分办法》。现印发给你们，请遵照执行。</w:t>
      </w:r>
    </w:p>
    <w:p>
      <w:pPr>
        <w:shd w:val="clear" w:color="auto" w:fill="FFFFFF"/>
        <w:spacing w:line="400" w:lineRule="atLeast"/>
        <w:ind w:firstLine="480"/>
        <w:rPr>
          <w:rFonts w:ascii="华文中宋" w:hAnsi="华文中宋" w:eastAsia="华文中宋" w:cs="宋体"/>
          <w:bCs/>
          <w:color w:val="auto"/>
          <w:szCs w:val="21"/>
          <w:highlight w:val="none"/>
        </w:rPr>
      </w:pPr>
      <w:r>
        <w:rPr>
          <w:rFonts w:ascii="华文中宋" w:hAnsi="华文中宋" w:eastAsia="华文中宋"/>
          <w:color w:val="auto"/>
          <w:szCs w:val="21"/>
          <w:highlight w:val="none"/>
        </w:rPr>
        <w:t> </w:t>
      </w:r>
    </w:p>
    <w:p>
      <w:pPr>
        <w:shd w:val="clear" w:color="auto" w:fill="FFFFFF"/>
        <w:spacing w:line="400" w:lineRule="atLeast"/>
        <w:ind w:firstLine="480"/>
        <w:jc w:val="right"/>
        <w:rPr>
          <w:rFonts w:ascii="华文中宋" w:hAnsi="华文中宋" w:eastAsia="华文中宋" w:cs="宋体"/>
          <w:bCs/>
          <w:color w:val="auto"/>
          <w:szCs w:val="21"/>
          <w:highlight w:val="none"/>
        </w:rPr>
      </w:pPr>
      <w:r>
        <w:rPr>
          <w:rFonts w:hint="eastAsia" w:ascii="华文中宋" w:hAnsi="华文中宋" w:eastAsia="华文中宋" w:cs="宋体"/>
          <w:color w:val="auto"/>
          <w:szCs w:val="21"/>
          <w:highlight w:val="none"/>
        </w:rPr>
        <w:t>　　国家统计局</w:t>
      </w:r>
      <w:r>
        <w:rPr>
          <w:rFonts w:ascii="华文中宋" w:hAnsi="华文中宋" w:eastAsia="华文中宋"/>
          <w:color w:val="auto"/>
          <w:szCs w:val="21"/>
          <w:highlight w:val="none"/>
        </w:rPr>
        <w:t> </w:t>
      </w:r>
    </w:p>
    <w:p>
      <w:pPr>
        <w:shd w:val="clear" w:color="auto" w:fill="FFFFFF"/>
        <w:spacing w:line="400" w:lineRule="atLeast"/>
        <w:ind w:firstLine="480"/>
        <w:jc w:val="right"/>
        <w:rPr>
          <w:rFonts w:ascii="华文中宋" w:hAnsi="华文中宋" w:eastAsia="华文中宋" w:cs="宋体"/>
          <w:bCs/>
          <w:color w:val="auto"/>
          <w:szCs w:val="21"/>
          <w:highlight w:val="none"/>
        </w:rPr>
      </w:pPr>
      <w:r>
        <w:rPr>
          <w:rFonts w:hint="eastAsia" w:ascii="华文中宋" w:hAnsi="华文中宋" w:eastAsia="华文中宋" w:cs="宋体"/>
          <w:color w:val="auto"/>
          <w:szCs w:val="21"/>
          <w:highlight w:val="none"/>
        </w:rPr>
        <w:t>　　二〇一一年九月二日</w:t>
      </w:r>
    </w:p>
    <w:p>
      <w:pPr>
        <w:shd w:val="clear" w:color="auto" w:fill="FFFFFF"/>
        <w:spacing w:line="400" w:lineRule="atLeast"/>
        <w:ind w:firstLine="480"/>
        <w:rPr>
          <w:rFonts w:ascii="华文中宋" w:hAnsi="华文中宋" w:eastAsia="华文中宋" w:cs="宋体"/>
          <w:bCs/>
          <w:color w:val="auto"/>
          <w:szCs w:val="21"/>
          <w:highlight w:val="none"/>
        </w:rPr>
      </w:pPr>
      <w:r>
        <w:rPr>
          <w:rFonts w:ascii="华文中宋" w:hAnsi="华文中宋" w:eastAsia="华文中宋"/>
          <w:color w:val="auto"/>
          <w:szCs w:val="21"/>
          <w:highlight w:val="none"/>
        </w:rPr>
        <w:t> </w:t>
      </w:r>
    </w:p>
    <w:p>
      <w:pPr>
        <w:shd w:val="clear" w:color="auto" w:fill="FFFFFF"/>
        <w:spacing w:line="400" w:lineRule="atLeast"/>
        <w:ind w:firstLine="480"/>
        <w:jc w:val="center"/>
        <w:rPr>
          <w:rFonts w:ascii="华文中宋" w:hAnsi="华文中宋" w:eastAsia="华文中宋" w:cs="宋体"/>
          <w:bCs/>
          <w:color w:val="auto"/>
          <w:szCs w:val="21"/>
          <w:highlight w:val="none"/>
        </w:rPr>
      </w:pPr>
      <w:r>
        <w:rPr>
          <w:rFonts w:hint="eastAsia" w:ascii="华文中宋" w:hAnsi="华文中宋" w:eastAsia="华文中宋" w:cs="宋体"/>
          <w:b/>
          <w:color w:val="auto"/>
          <w:szCs w:val="21"/>
          <w:highlight w:val="none"/>
        </w:rPr>
        <w:t>统计上大中小微型企业划分办法</w:t>
      </w:r>
    </w:p>
    <w:p>
      <w:pPr>
        <w:shd w:val="clear" w:color="auto" w:fill="FFFFFF"/>
        <w:spacing w:line="400" w:lineRule="atLeast"/>
        <w:ind w:firstLine="480"/>
        <w:rPr>
          <w:rFonts w:ascii="华文中宋" w:hAnsi="华文中宋" w:eastAsia="华文中宋" w:cs="宋体"/>
          <w:bCs/>
          <w:color w:val="auto"/>
          <w:szCs w:val="21"/>
          <w:highlight w:val="none"/>
        </w:rPr>
      </w:pPr>
      <w:r>
        <w:rPr>
          <w:rFonts w:hint="eastAsia" w:ascii="华文中宋" w:hAnsi="华文中宋" w:eastAsia="华文中宋" w:cs="宋体"/>
          <w:color w:val="auto"/>
          <w:szCs w:val="21"/>
          <w:highlight w:val="none"/>
        </w:rPr>
        <w:t> </w:t>
      </w:r>
    </w:p>
    <w:p>
      <w:pPr>
        <w:shd w:val="clear" w:color="auto" w:fill="FFFFFF"/>
        <w:spacing w:line="400" w:lineRule="atLeast"/>
        <w:ind w:firstLine="480"/>
        <w:rPr>
          <w:rFonts w:ascii="华文中宋" w:hAnsi="华文中宋" w:eastAsia="华文中宋" w:cs="宋体"/>
          <w:bCs/>
          <w:color w:val="auto"/>
          <w:szCs w:val="21"/>
          <w:highlight w:val="none"/>
        </w:rPr>
      </w:pPr>
      <w:r>
        <w:rPr>
          <w:rFonts w:hint="eastAsia" w:ascii="华文中宋" w:hAnsi="华文中宋" w:eastAsia="华文中宋" w:cs="宋体"/>
          <w:color w:val="auto"/>
          <w:szCs w:val="21"/>
          <w:highlight w:val="none"/>
        </w:rPr>
        <w:t>一、根据工业和信息化部、国家统计局、国家发展改革委、财政部《关于印发中小企业划型标准规定的通知》（工信部联企业〔</w:t>
      </w:r>
      <w:r>
        <w:rPr>
          <w:rFonts w:ascii="华文中宋" w:hAnsi="华文中宋" w:eastAsia="华文中宋"/>
          <w:color w:val="auto"/>
          <w:szCs w:val="21"/>
          <w:highlight w:val="none"/>
        </w:rPr>
        <w:t>2011</w:t>
      </w:r>
      <w:r>
        <w:rPr>
          <w:rFonts w:hint="eastAsia" w:ascii="华文中宋" w:hAnsi="华文中宋" w:eastAsia="华文中宋" w:cs="宋体"/>
          <w:color w:val="auto"/>
          <w:szCs w:val="21"/>
          <w:highlight w:val="none"/>
        </w:rPr>
        <w:t>〕</w:t>
      </w:r>
      <w:r>
        <w:rPr>
          <w:rFonts w:ascii="华文中宋" w:hAnsi="华文中宋" w:eastAsia="华文中宋"/>
          <w:color w:val="auto"/>
          <w:szCs w:val="21"/>
          <w:highlight w:val="none"/>
        </w:rPr>
        <w:t>300</w:t>
      </w:r>
      <w:r>
        <w:rPr>
          <w:rFonts w:hint="eastAsia" w:ascii="华文中宋" w:hAnsi="华文中宋" w:eastAsia="华文中宋" w:cs="宋体"/>
          <w:color w:val="auto"/>
          <w:szCs w:val="21"/>
          <w:highlight w:val="none"/>
        </w:rPr>
        <w:t>号），结合统计工作的实际情况，特制定本办法。</w:t>
      </w:r>
    </w:p>
    <w:p>
      <w:pPr>
        <w:shd w:val="clear" w:color="auto" w:fill="FFFFFF"/>
        <w:spacing w:line="400" w:lineRule="atLeast"/>
        <w:ind w:firstLine="480"/>
        <w:rPr>
          <w:rFonts w:ascii="华文中宋" w:hAnsi="华文中宋" w:eastAsia="华文中宋" w:cs="宋体"/>
          <w:bCs/>
          <w:color w:val="auto"/>
          <w:szCs w:val="21"/>
          <w:highlight w:val="none"/>
        </w:rPr>
      </w:pPr>
      <w:r>
        <w:rPr>
          <w:rFonts w:ascii="华文中宋" w:hAnsi="华文中宋" w:eastAsia="华文中宋"/>
          <w:color w:val="auto"/>
          <w:szCs w:val="21"/>
          <w:highlight w:val="none"/>
        </w:rPr>
        <w:t> </w:t>
      </w:r>
    </w:p>
    <w:p>
      <w:pPr>
        <w:shd w:val="clear" w:color="auto" w:fill="FFFFFF"/>
        <w:spacing w:line="400" w:lineRule="atLeast"/>
        <w:ind w:firstLine="480"/>
        <w:rPr>
          <w:rFonts w:ascii="华文中宋" w:hAnsi="华文中宋" w:eastAsia="华文中宋" w:cs="宋体"/>
          <w:bCs/>
          <w:color w:val="auto"/>
          <w:szCs w:val="21"/>
          <w:highlight w:val="none"/>
        </w:rPr>
      </w:pPr>
      <w:r>
        <w:rPr>
          <w:rFonts w:hint="eastAsia" w:ascii="华文中宋" w:hAnsi="华文中宋" w:eastAsia="华文中宋" w:cs="宋体"/>
          <w:color w:val="auto"/>
          <w:szCs w:val="21"/>
          <w:highlight w:val="none"/>
        </w:rPr>
        <w:t>二、本办法适用对象为在中华人民共和国境内依法设立的各种组织形式的法人企业或单位。个体工商户参照本办法进行划分。</w:t>
      </w:r>
    </w:p>
    <w:p>
      <w:pPr>
        <w:shd w:val="clear" w:color="auto" w:fill="FFFFFF"/>
        <w:spacing w:line="400" w:lineRule="atLeast"/>
        <w:ind w:firstLine="480"/>
        <w:rPr>
          <w:rFonts w:ascii="华文中宋" w:hAnsi="华文中宋" w:eastAsia="华文中宋" w:cs="宋体"/>
          <w:bCs/>
          <w:color w:val="auto"/>
          <w:szCs w:val="21"/>
          <w:highlight w:val="none"/>
        </w:rPr>
      </w:pPr>
      <w:r>
        <w:rPr>
          <w:rFonts w:ascii="华文中宋" w:hAnsi="华文中宋" w:eastAsia="华文中宋"/>
          <w:color w:val="auto"/>
          <w:szCs w:val="21"/>
          <w:highlight w:val="none"/>
        </w:rPr>
        <w:t> </w:t>
      </w:r>
      <w:r>
        <w:rPr>
          <w:rFonts w:hint="eastAsia" w:ascii="华文中宋" w:hAnsi="华文中宋" w:eastAsia="华文中宋" w:cs="宋体"/>
          <w:color w:val="auto"/>
          <w:szCs w:val="21"/>
          <w:highlight w:val="none"/>
        </w:rPr>
        <w:t>三、本办法适用范围包括：农、林、牧、渔业，采矿业，制造业，电力、热力、燃气及水生产和供应业，建筑业，批发和零售业，交通运输、仓储和邮政业，住宿和餐饮业，信息传输、软件和信息技术服务业，房地产业，租赁和商务服务业，科学研究和技术服务业，水利、环境和公共设施管理业，居民服务、修理和其他服务业，文化、体育和娱乐业等</w:t>
      </w:r>
      <w:r>
        <w:rPr>
          <w:rFonts w:ascii="华文中宋" w:hAnsi="华文中宋" w:eastAsia="华文中宋"/>
          <w:color w:val="auto"/>
          <w:szCs w:val="21"/>
          <w:highlight w:val="none"/>
        </w:rPr>
        <w:t>15</w:t>
      </w:r>
      <w:r>
        <w:rPr>
          <w:rFonts w:hint="eastAsia" w:ascii="华文中宋" w:hAnsi="华文中宋" w:eastAsia="华文中宋" w:cs="宋体"/>
          <w:color w:val="auto"/>
          <w:szCs w:val="21"/>
          <w:highlight w:val="none"/>
        </w:rPr>
        <w:t>个行业门类以及社会工作行业大类。</w:t>
      </w:r>
    </w:p>
    <w:p>
      <w:pPr>
        <w:shd w:val="clear" w:color="auto" w:fill="FFFFFF"/>
        <w:spacing w:line="400" w:lineRule="atLeast"/>
        <w:ind w:firstLine="480"/>
        <w:rPr>
          <w:rFonts w:ascii="华文中宋" w:hAnsi="华文中宋" w:eastAsia="华文中宋" w:cs="宋体"/>
          <w:bCs/>
          <w:color w:val="auto"/>
          <w:szCs w:val="21"/>
          <w:highlight w:val="none"/>
        </w:rPr>
      </w:pPr>
      <w:r>
        <w:rPr>
          <w:rFonts w:hint="eastAsia" w:ascii="华文中宋" w:hAnsi="华文中宋" w:eastAsia="华文中宋" w:cs="宋体"/>
          <w:color w:val="auto"/>
          <w:szCs w:val="21"/>
          <w:highlight w:val="none"/>
        </w:rPr>
        <w:t>四、本办法按照行业门类、大类、中类和组合类别，依据从业人员、营业收入、资产总额等指标或替代指标，将我国的企业划分为大型、中型、小型、微型等四种类型。具体划分标准见附表。</w:t>
      </w:r>
    </w:p>
    <w:p>
      <w:pPr>
        <w:shd w:val="clear" w:color="auto" w:fill="FFFFFF"/>
        <w:spacing w:line="400" w:lineRule="atLeast"/>
        <w:ind w:firstLine="480"/>
        <w:rPr>
          <w:rFonts w:ascii="华文中宋" w:hAnsi="华文中宋" w:eastAsia="华文中宋" w:cs="宋体"/>
          <w:bCs/>
          <w:color w:val="auto"/>
          <w:szCs w:val="21"/>
          <w:highlight w:val="none"/>
        </w:rPr>
      </w:pPr>
      <w:r>
        <w:rPr>
          <w:rFonts w:ascii="华文中宋" w:hAnsi="华文中宋" w:eastAsia="华文中宋"/>
          <w:color w:val="auto"/>
          <w:szCs w:val="21"/>
          <w:highlight w:val="none"/>
        </w:rPr>
        <w:t> </w:t>
      </w:r>
      <w:r>
        <w:rPr>
          <w:rFonts w:hint="eastAsia" w:ascii="华文中宋" w:hAnsi="华文中宋" w:eastAsia="华文中宋" w:cs="宋体"/>
          <w:color w:val="auto"/>
          <w:szCs w:val="21"/>
          <w:highlight w:val="none"/>
        </w:rPr>
        <w:t>五、企业划分由政府综合统计部门根据统计年报每年确定一次，定报统计原则上不进行调整。</w:t>
      </w:r>
    </w:p>
    <w:p>
      <w:pPr>
        <w:shd w:val="clear" w:color="auto" w:fill="FFFFFF"/>
        <w:spacing w:line="400" w:lineRule="atLeast"/>
        <w:ind w:firstLine="480"/>
        <w:rPr>
          <w:rFonts w:ascii="华文中宋" w:hAnsi="华文中宋" w:eastAsia="华文中宋" w:cs="宋体"/>
          <w:bCs/>
          <w:color w:val="auto"/>
          <w:szCs w:val="21"/>
          <w:highlight w:val="none"/>
        </w:rPr>
      </w:pPr>
      <w:r>
        <w:rPr>
          <w:rFonts w:hint="eastAsia" w:ascii="华文中宋" w:hAnsi="华文中宋" w:eastAsia="华文中宋" w:cs="宋体"/>
          <w:color w:val="auto"/>
          <w:szCs w:val="21"/>
          <w:highlight w:val="none"/>
        </w:rPr>
        <w:t>六、本办法自印发之日起执行，国家统计局</w:t>
      </w:r>
      <w:r>
        <w:rPr>
          <w:rFonts w:ascii="华文中宋" w:hAnsi="华文中宋" w:eastAsia="华文中宋"/>
          <w:color w:val="auto"/>
          <w:szCs w:val="21"/>
          <w:highlight w:val="none"/>
        </w:rPr>
        <w:t>2003</w:t>
      </w:r>
      <w:r>
        <w:rPr>
          <w:rFonts w:hint="eastAsia" w:ascii="华文中宋" w:hAnsi="华文中宋" w:eastAsia="华文中宋" w:cs="宋体"/>
          <w:color w:val="auto"/>
          <w:szCs w:val="21"/>
          <w:highlight w:val="none"/>
        </w:rPr>
        <w:t>年印发的《统计上大中小型企业划分办法（暂行）》（国统字〔</w:t>
      </w:r>
      <w:r>
        <w:rPr>
          <w:rFonts w:ascii="华文中宋" w:hAnsi="华文中宋" w:eastAsia="华文中宋"/>
          <w:color w:val="auto"/>
          <w:szCs w:val="21"/>
          <w:highlight w:val="none"/>
        </w:rPr>
        <w:t>2003</w:t>
      </w:r>
      <w:r>
        <w:rPr>
          <w:rFonts w:hint="eastAsia" w:ascii="华文中宋" w:hAnsi="华文中宋" w:eastAsia="华文中宋" w:cs="宋体"/>
          <w:color w:val="auto"/>
          <w:szCs w:val="21"/>
          <w:highlight w:val="none"/>
        </w:rPr>
        <w:t>〕</w:t>
      </w:r>
      <w:r>
        <w:rPr>
          <w:rFonts w:ascii="华文中宋" w:hAnsi="华文中宋" w:eastAsia="华文中宋"/>
          <w:color w:val="auto"/>
          <w:szCs w:val="21"/>
          <w:highlight w:val="none"/>
        </w:rPr>
        <w:t>17</w:t>
      </w:r>
      <w:r>
        <w:rPr>
          <w:rFonts w:hint="eastAsia" w:ascii="华文中宋" w:hAnsi="华文中宋" w:eastAsia="华文中宋" w:cs="宋体"/>
          <w:color w:val="auto"/>
          <w:szCs w:val="21"/>
          <w:highlight w:val="none"/>
        </w:rPr>
        <w:t>号）同时废止。</w:t>
      </w:r>
    </w:p>
    <w:p>
      <w:pPr>
        <w:shd w:val="clear" w:color="auto" w:fill="FFFFFF"/>
        <w:spacing w:line="400" w:lineRule="atLeast"/>
        <w:ind w:firstLine="480"/>
        <w:rPr>
          <w:rFonts w:hint="eastAsia" w:ascii="华文中宋" w:hAnsi="华文中宋" w:eastAsia="华文中宋" w:cs="宋体"/>
          <w:color w:val="auto"/>
          <w:szCs w:val="21"/>
          <w:highlight w:val="none"/>
        </w:rPr>
      </w:pPr>
      <w:r>
        <w:rPr>
          <w:rFonts w:ascii="华文中宋" w:hAnsi="华文中宋" w:eastAsia="华文中宋"/>
          <w:b/>
          <w:color w:val="auto"/>
          <w:highlight w:val="none"/>
        </w:rPr>
        <w:t> </w:t>
      </w:r>
      <w:r>
        <w:rPr>
          <w:rFonts w:hint="eastAsia" w:ascii="华文中宋" w:hAnsi="华文中宋" w:eastAsia="华文中宋" w:cs="宋体"/>
          <w:color w:val="auto"/>
          <w:szCs w:val="21"/>
          <w:highlight w:val="none"/>
        </w:rPr>
        <w:t>　</w:t>
      </w:r>
    </w:p>
    <w:p>
      <w:pPr>
        <w:shd w:val="clear" w:color="auto" w:fill="FFFFFF"/>
        <w:spacing w:line="400" w:lineRule="atLeast"/>
        <w:ind w:firstLine="480"/>
        <w:rPr>
          <w:rFonts w:hint="eastAsia" w:ascii="华文中宋" w:hAnsi="华文中宋" w:eastAsia="华文中宋" w:cs="宋体"/>
          <w:color w:val="auto"/>
          <w:szCs w:val="21"/>
          <w:highlight w:val="none"/>
        </w:rPr>
      </w:pPr>
    </w:p>
    <w:p>
      <w:pPr>
        <w:shd w:val="clear" w:color="auto" w:fill="FFFFFF"/>
        <w:spacing w:line="400" w:lineRule="atLeast"/>
        <w:ind w:firstLine="480"/>
        <w:rPr>
          <w:rFonts w:ascii="华文中宋" w:hAnsi="华文中宋" w:eastAsia="华文中宋" w:cs="宋体"/>
          <w:bCs/>
          <w:color w:val="auto"/>
          <w:szCs w:val="21"/>
          <w:highlight w:val="none"/>
        </w:rPr>
      </w:pPr>
      <w:r>
        <w:rPr>
          <w:rFonts w:hint="eastAsia" w:ascii="华文中宋" w:hAnsi="华文中宋" w:eastAsia="华文中宋" w:cs="宋体"/>
          <w:color w:val="auto"/>
          <w:szCs w:val="21"/>
          <w:highlight w:val="none"/>
        </w:rPr>
        <w:t>　附表：</w:t>
      </w:r>
    </w:p>
    <w:p>
      <w:pPr>
        <w:shd w:val="clear" w:color="auto" w:fill="FFFFFF"/>
        <w:spacing w:line="400" w:lineRule="atLeast"/>
        <w:ind w:firstLine="480"/>
        <w:rPr>
          <w:rFonts w:ascii="华文中宋" w:hAnsi="华文中宋" w:eastAsia="华文中宋" w:cs="宋体"/>
          <w:bCs/>
          <w:color w:val="auto"/>
          <w:szCs w:val="21"/>
          <w:highlight w:val="none"/>
        </w:rPr>
      </w:pPr>
      <w:r>
        <w:rPr>
          <w:rFonts w:ascii="华文中宋" w:hAnsi="华文中宋" w:eastAsia="华文中宋"/>
          <w:color w:val="auto"/>
          <w:szCs w:val="21"/>
          <w:highlight w:val="none"/>
        </w:rPr>
        <w:t> </w:t>
      </w:r>
      <w:r>
        <w:rPr>
          <w:rFonts w:hint="eastAsia" w:ascii="华文中宋" w:hAnsi="华文中宋" w:eastAsia="华文中宋" w:cs="宋体"/>
          <w:b/>
          <w:color w:val="auto"/>
          <w:szCs w:val="21"/>
          <w:highlight w:val="none"/>
        </w:rPr>
        <w:t>统计上大中小微型企业划分标准</w:t>
      </w:r>
    </w:p>
    <w:tbl>
      <w:tblPr>
        <w:tblStyle w:val="54"/>
        <w:tblW w:w="8306"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
      <w:tblGrid>
        <w:gridCol w:w="1560"/>
        <w:gridCol w:w="1281"/>
        <w:gridCol w:w="758"/>
        <w:gridCol w:w="993"/>
        <w:gridCol w:w="1491"/>
        <w:gridCol w:w="1315"/>
        <w:gridCol w:w="908"/>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54" w:hRule="atLeast"/>
          <w:jc w:val="center"/>
        </w:trPr>
        <w:tc>
          <w:tcPr>
            <w:tcW w:w="1560" w:type="dxa"/>
            <w:noWrap w:val="0"/>
            <w:tcMar>
              <w:top w:w="0" w:type="dxa"/>
              <w:left w:w="108" w:type="dxa"/>
              <w:bottom w:w="0" w:type="dxa"/>
              <w:right w:w="108" w:type="dxa"/>
            </w:tcMar>
            <w:vAlign w:val="center"/>
          </w:tcPr>
          <w:p>
            <w:pPr>
              <w:spacing w:line="240" w:lineRule="atLeast"/>
              <w:jc w:val="center"/>
              <w:rPr>
                <w:rFonts w:ascii="华文中宋" w:hAnsi="华文中宋" w:eastAsia="华文中宋" w:cs="宋体"/>
                <w:bCs/>
                <w:color w:val="auto"/>
                <w:highlight w:val="none"/>
              </w:rPr>
            </w:pPr>
            <w:r>
              <w:rPr>
                <w:rFonts w:ascii="华文中宋" w:hAnsi="华文中宋" w:eastAsia="华文中宋"/>
                <w:color w:val="auto"/>
                <w:highlight w:val="none"/>
              </w:rPr>
              <w:t> </w:t>
            </w:r>
            <w:r>
              <w:rPr>
                <w:rFonts w:hint="eastAsia" w:ascii="华文中宋" w:hAnsi="华文中宋" w:eastAsia="华文中宋" w:cs="宋体"/>
                <w:b/>
                <w:color w:val="auto"/>
                <w:sz w:val="18"/>
                <w:szCs w:val="18"/>
                <w:highlight w:val="none"/>
              </w:rPr>
              <w:t>行业名称</w:t>
            </w:r>
          </w:p>
        </w:tc>
        <w:tc>
          <w:tcPr>
            <w:tcW w:w="1281" w:type="dxa"/>
            <w:noWrap w:val="0"/>
            <w:tcMar>
              <w:top w:w="0" w:type="dxa"/>
              <w:left w:w="108" w:type="dxa"/>
              <w:bottom w:w="0" w:type="dxa"/>
              <w:right w:w="108" w:type="dxa"/>
            </w:tcMar>
            <w:vAlign w:val="center"/>
          </w:tcPr>
          <w:p>
            <w:pPr>
              <w:jc w:val="center"/>
              <w:rPr>
                <w:rFonts w:ascii="华文中宋" w:hAnsi="华文中宋" w:eastAsia="华文中宋" w:cs="宋体"/>
                <w:bCs/>
                <w:color w:val="auto"/>
                <w:highlight w:val="none"/>
              </w:rPr>
            </w:pPr>
            <w:r>
              <w:rPr>
                <w:rFonts w:hint="eastAsia" w:ascii="华文中宋" w:hAnsi="华文中宋" w:eastAsia="华文中宋" w:cs="宋体"/>
                <w:b/>
                <w:color w:val="auto"/>
                <w:sz w:val="18"/>
                <w:szCs w:val="18"/>
                <w:highlight w:val="none"/>
              </w:rPr>
              <w:t>指标名称</w:t>
            </w:r>
          </w:p>
        </w:tc>
        <w:tc>
          <w:tcPr>
            <w:tcW w:w="758" w:type="dxa"/>
            <w:noWrap w:val="0"/>
            <w:tcMar>
              <w:top w:w="0" w:type="dxa"/>
              <w:left w:w="108" w:type="dxa"/>
              <w:bottom w:w="0" w:type="dxa"/>
              <w:right w:w="108" w:type="dxa"/>
            </w:tcMar>
            <w:vAlign w:val="center"/>
          </w:tcPr>
          <w:p>
            <w:pPr>
              <w:jc w:val="center"/>
              <w:rPr>
                <w:rFonts w:ascii="华文中宋" w:hAnsi="华文中宋" w:eastAsia="华文中宋" w:cs="宋体"/>
                <w:b/>
                <w:color w:val="auto"/>
                <w:sz w:val="18"/>
                <w:szCs w:val="18"/>
                <w:highlight w:val="none"/>
              </w:rPr>
            </w:pPr>
            <w:r>
              <w:rPr>
                <w:rFonts w:hint="eastAsia" w:ascii="华文中宋" w:hAnsi="华文中宋" w:eastAsia="华文中宋" w:cs="宋体"/>
                <w:b/>
                <w:color w:val="auto"/>
                <w:sz w:val="18"/>
                <w:szCs w:val="18"/>
                <w:highlight w:val="none"/>
              </w:rPr>
              <w:t>计量</w:t>
            </w:r>
          </w:p>
          <w:p>
            <w:pPr>
              <w:jc w:val="center"/>
              <w:rPr>
                <w:rFonts w:ascii="华文中宋" w:hAnsi="华文中宋" w:eastAsia="华文中宋" w:cs="宋体"/>
                <w:bCs/>
                <w:color w:val="auto"/>
                <w:highlight w:val="none"/>
              </w:rPr>
            </w:pPr>
            <w:r>
              <w:rPr>
                <w:rFonts w:hint="eastAsia" w:ascii="华文中宋" w:hAnsi="华文中宋" w:eastAsia="华文中宋" w:cs="宋体"/>
                <w:b/>
                <w:color w:val="auto"/>
                <w:sz w:val="18"/>
                <w:szCs w:val="18"/>
                <w:highlight w:val="none"/>
              </w:rPr>
              <w:t>单位</w:t>
            </w:r>
          </w:p>
        </w:tc>
        <w:tc>
          <w:tcPr>
            <w:tcW w:w="993" w:type="dxa"/>
            <w:noWrap w:val="0"/>
            <w:tcMar>
              <w:top w:w="0" w:type="dxa"/>
              <w:left w:w="108" w:type="dxa"/>
              <w:bottom w:w="0" w:type="dxa"/>
              <w:right w:w="108" w:type="dxa"/>
            </w:tcMar>
            <w:vAlign w:val="center"/>
          </w:tcPr>
          <w:p>
            <w:pPr>
              <w:jc w:val="center"/>
              <w:rPr>
                <w:rFonts w:ascii="华文中宋" w:hAnsi="华文中宋" w:eastAsia="华文中宋" w:cs="宋体"/>
                <w:bCs/>
                <w:color w:val="auto"/>
                <w:highlight w:val="none"/>
              </w:rPr>
            </w:pPr>
            <w:r>
              <w:rPr>
                <w:rFonts w:hint="eastAsia" w:ascii="华文中宋" w:hAnsi="华文中宋" w:eastAsia="华文中宋" w:cs="宋体"/>
                <w:b/>
                <w:color w:val="auto"/>
                <w:sz w:val="18"/>
                <w:szCs w:val="18"/>
                <w:highlight w:val="none"/>
              </w:rPr>
              <w:t>大型</w:t>
            </w:r>
          </w:p>
        </w:tc>
        <w:tc>
          <w:tcPr>
            <w:tcW w:w="1491" w:type="dxa"/>
            <w:noWrap w:val="0"/>
            <w:tcMar>
              <w:top w:w="0" w:type="dxa"/>
              <w:left w:w="108" w:type="dxa"/>
              <w:bottom w:w="0" w:type="dxa"/>
              <w:right w:w="108" w:type="dxa"/>
            </w:tcMar>
            <w:vAlign w:val="center"/>
          </w:tcPr>
          <w:p>
            <w:pPr>
              <w:jc w:val="center"/>
              <w:rPr>
                <w:rFonts w:ascii="华文中宋" w:hAnsi="华文中宋" w:eastAsia="华文中宋" w:cs="宋体"/>
                <w:bCs/>
                <w:color w:val="auto"/>
                <w:highlight w:val="none"/>
              </w:rPr>
            </w:pPr>
            <w:r>
              <w:rPr>
                <w:rFonts w:hint="eastAsia" w:ascii="华文中宋" w:hAnsi="华文中宋" w:eastAsia="华文中宋" w:cs="宋体"/>
                <w:b/>
                <w:color w:val="auto"/>
                <w:sz w:val="18"/>
                <w:szCs w:val="18"/>
                <w:highlight w:val="none"/>
              </w:rPr>
              <w:t>中型</w:t>
            </w:r>
          </w:p>
        </w:tc>
        <w:tc>
          <w:tcPr>
            <w:tcW w:w="1315" w:type="dxa"/>
            <w:noWrap w:val="0"/>
            <w:tcMar>
              <w:top w:w="0" w:type="dxa"/>
              <w:left w:w="108" w:type="dxa"/>
              <w:bottom w:w="0" w:type="dxa"/>
              <w:right w:w="108" w:type="dxa"/>
            </w:tcMar>
            <w:vAlign w:val="center"/>
          </w:tcPr>
          <w:p>
            <w:pPr>
              <w:jc w:val="center"/>
              <w:rPr>
                <w:rFonts w:ascii="华文中宋" w:hAnsi="华文中宋" w:eastAsia="华文中宋" w:cs="宋体"/>
                <w:bCs/>
                <w:color w:val="auto"/>
                <w:highlight w:val="none"/>
              </w:rPr>
            </w:pPr>
            <w:r>
              <w:rPr>
                <w:rFonts w:hint="eastAsia" w:ascii="华文中宋" w:hAnsi="华文中宋" w:eastAsia="华文中宋" w:cs="宋体"/>
                <w:b/>
                <w:color w:val="auto"/>
                <w:sz w:val="18"/>
                <w:szCs w:val="18"/>
                <w:highlight w:val="none"/>
              </w:rPr>
              <w:t>小型</w:t>
            </w:r>
          </w:p>
        </w:tc>
        <w:tc>
          <w:tcPr>
            <w:tcW w:w="908" w:type="dxa"/>
            <w:noWrap w:val="0"/>
            <w:tcMar>
              <w:top w:w="0" w:type="dxa"/>
              <w:left w:w="108" w:type="dxa"/>
              <w:bottom w:w="0" w:type="dxa"/>
              <w:right w:w="108" w:type="dxa"/>
            </w:tcMar>
            <w:vAlign w:val="center"/>
          </w:tcPr>
          <w:p>
            <w:pPr>
              <w:jc w:val="center"/>
              <w:rPr>
                <w:rFonts w:ascii="华文中宋" w:hAnsi="华文中宋" w:eastAsia="华文中宋" w:cs="宋体"/>
                <w:bCs/>
                <w:color w:val="auto"/>
                <w:highlight w:val="none"/>
              </w:rPr>
            </w:pPr>
            <w:r>
              <w:rPr>
                <w:rFonts w:hint="eastAsia" w:ascii="华文中宋" w:hAnsi="华文中宋" w:eastAsia="华文中宋" w:cs="宋体"/>
                <w:b/>
                <w:color w:val="auto"/>
                <w:sz w:val="18"/>
                <w:szCs w:val="18"/>
                <w:highlight w:val="none"/>
              </w:rPr>
              <w:t>微型</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97" w:hRule="atLeast"/>
          <w:jc w:val="center"/>
        </w:trPr>
        <w:tc>
          <w:tcPr>
            <w:tcW w:w="1560" w:type="dxa"/>
            <w:noWrap w:val="0"/>
            <w:tcMar>
              <w:top w:w="0" w:type="dxa"/>
              <w:left w:w="108" w:type="dxa"/>
              <w:bottom w:w="0" w:type="dxa"/>
              <w:right w:w="108" w:type="dxa"/>
            </w:tcMar>
            <w:vAlign w:val="center"/>
          </w:tcPr>
          <w:p>
            <w:pPr>
              <w:spacing w:line="240" w:lineRule="atLeast"/>
              <w:rPr>
                <w:rFonts w:ascii="华文中宋" w:hAnsi="华文中宋" w:eastAsia="华文中宋" w:cs="宋体"/>
                <w:bCs/>
                <w:color w:val="auto"/>
                <w:highlight w:val="none"/>
              </w:rPr>
            </w:pPr>
            <w:r>
              <w:rPr>
                <w:rFonts w:hint="eastAsia" w:ascii="华文中宋" w:hAnsi="华文中宋" w:eastAsia="华文中宋" w:cs="宋体"/>
                <w:color w:val="auto"/>
                <w:sz w:val="18"/>
                <w:szCs w:val="18"/>
                <w:highlight w:val="none"/>
              </w:rPr>
              <w:t>农、林、牧、渔业</w:t>
            </w:r>
          </w:p>
        </w:tc>
        <w:tc>
          <w:tcPr>
            <w:tcW w:w="1281" w:type="dxa"/>
            <w:noWrap w:val="0"/>
            <w:tcMar>
              <w:top w:w="0" w:type="dxa"/>
              <w:left w:w="108" w:type="dxa"/>
              <w:bottom w:w="0" w:type="dxa"/>
              <w:right w:w="108" w:type="dxa"/>
            </w:tcMar>
            <w:vAlign w:val="center"/>
          </w:tcPr>
          <w:p>
            <w:pPr>
              <w:rPr>
                <w:rFonts w:ascii="华文中宋" w:hAnsi="华文中宋" w:eastAsia="华文中宋" w:cs="宋体"/>
                <w:bCs/>
                <w:color w:val="auto"/>
                <w:highlight w:val="none"/>
              </w:rPr>
            </w:pPr>
            <w:r>
              <w:rPr>
                <w:rFonts w:hint="eastAsia" w:ascii="华文中宋" w:hAnsi="华文中宋" w:eastAsia="华文中宋" w:cs="宋体"/>
                <w:color w:val="auto"/>
                <w:sz w:val="18"/>
                <w:szCs w:val="18"/>
                <w:highlight w:val="none"/>
              </w:rPr>
              <w:t>营业收入(Y)</w:t>
            </w:r>
          </w:p>
        </w:tc>
        <w:tc>
          <w:tcPr>
            <w:tcW w:w="758" w:type="dxa"/>
            <w:noWrap w:val="0"/>
            <w:tcMar>
              <w:top w:w="0" w:type="dxa"/>
              <w:left w:w="108" w:type="dxa"/>
              <w:bottom w:w="0" w:type="dxa"/>
              <w:right w:w="108" w:type="dxa"/>
            </w:tcMar>
            <w:vAlign w:val="center"/>
          </w:tcPr>
          <w:p>
            <w:pPr>
              <w:rPr>
                <w:rFonts w:ascii="华文中宋" w:hAnsi="华文中宋" w:eastAsia="华文中宋" w:cs="宋体"/>
                <w:bCs/>
                <w:color w:val="auto"/>
                <w:highlight w:val="none"/>
              </w:rPr>
            </w:pPr>
            <w:r>
              <w:rPr>
                <w:rFonts w:hint="eastAsia" w:ascii="华文中宋" w:hAnsi="华文中宋" w:eastAsia="华文中宋" w:cs="宋体"/>
                <w:color w:val="auto"/>
                <w:sz w:val="18"/>
                <w:szCs w:val="18"/>
                <w:highlight w:val="none"/>
              </w:rPr>
              <w:t>万元</w:t>
            </w:r>
          </w:p>
        </w:tc>
        <w:tc>
          <w:tcPr>
            <w:tcW w:w="993" w:type="dxa"/>
            <w:noWrap w:val="0"/>
            <w:tcMar>
              <w:top w:w="0" w:type="dxa"/>
              <w:left w:w="108" w:type="dxa"/>
              <w:bottom w:w="0" w:type="dxa"/>
              <w:right w:w="108" w:type="dxa"/>
            </w:tcMar>
            <w:vAlign w:val="center"/>
          </w:tcPr>
          <w:p>
            <w:pPr>
              <w:rPr>
                <w:rFonts w:ascii="华文中宋" w:hAnsi="华文中宋" w:eastAsia="华文中宋" w:cs="宋体"/>
                <w:bCs/>
                <w:color w:val="auto"/>
                <w:highlight w:val="none"/>
              </w:rPr>
            </w:pPr>
            <w:r>
              <w:rPr>
                <w:rFonts w:hint="eastAsia" w:ascii="华文中宋" w:hAnsi="华文中宋" w:eastAsia="华文中宋" w:cs="宋体"/>
                <w:color w:val="auto"/>
                <w:sz w:val="18"/>
                <w:szCs w:val="18"/>
                <w:highlight w:val="none"/>
              </w:rPr>
              <w:t>Y≥20000</w:t>
            </w:r>
          </w:p>
        </w:tc>
        <w:tc>
          <w:tcPr>
            <w:tcW w:w="1491" w:type="dxa"/>
            <w:noWrap w:val="0"/>
            <w:tcMar>
              <w:top w:w="0" w:type="dxa"/>
              <w:left w:w="108" w:type="dxa"/>
              <w:bottom w:w="0" w:type="dxa"/>
              <w:right w:w="108" w:type="dxa"/>
            </w:tcMar>
            <w:vAlign w:val="center"/>
          </w:tcPr>
          <w:p>
            <w:pPr>
              <w:rPr>
                <w:rFonts w:ascii="华文中宋" w:hAnsi="华文中宋" w:eastAsia="华文中宋" w:cs="宋体"/>
                <w:bCs/>
                <w:color w:val="auto"/>
                <w:highlight w:val="none"/>
              </w:rPr>
            </w:pPr>
            <w:r>
              <w:rPr>
                <w:rFonts w:hint="eastAsia" w:ascii="华文中宋" w:hAnsi="华文中宋" w:eastAsia="华文中宋" w:cs="宋体"/>
                <w:color w:val="auto"/>
                <w:sz w:val="18"/>
                <w:szCs w:val="18"/>
                <w:highlight w:val="none"/>
              </w:rPr>
              <w:t>500≤Y＜20000</w:t>
            </w:r>
          </w:p>
        </w:tc>
        <w:tc>
          <w:tcPr>
            <w:tcW w:w="1315" w:type="dxa"/>
            <w:noWrap w:val="0"/>
            <w:tcMar>
              <w:top w:w="0" w:type="dxa"/>
              <w:left w:w="108" w:type="dxa"/>
              <w:bottom w:w="0" w:type="dxa"/>
              <w:right w:w="108" w:type="dxa"/>
            </w:tcMar>
            <w:vAlign w:val="center"/>
          </w:tcPr>
          <w:p>
            <w:pPr>
              <w:rPr>
                <w:rFonts w:ascii="华文中宋" w:hAnsi="华文中宋" w:eastAsia="华文中宋" w:cs="宋体"/>
                <w:bCs/>
                <w:color w:val="auto"/>
                <w:highlight w:val="none"/>
              </w:rPr>
            </w:pPr>
            <w:r>
              <w:rPr>
                <w:rFonts w:hint="eastAsia" w:ascii="华文中宋" w:hAnsi="华文中宋" w:eastAsia="华文中宋" w:cs="宋体"/>
                <w:color w:val="auto"/>
                <w:sz w:val="18"/>
                <w:szCs w:val="18"/>
                <w:highlight w:val="none"/>
              </w:rPr>
              <w:t>50≤Y＜500</w:t>
            </w:r>
          </w:p>
        </w:tc>
        <w:tc>
          <w:tcPr>
            <w:tcW w:w="908" w:type="dxa"/>
            <w:noWrap w:val="0"/>
            <w:tcMar>
              <w:top w:w="0" w:type="dxa"/>
              <w:left w:w="108" w:type="dxa"/>
              <w:bottom w:w="0" w:type="dxa"/>
              <w:right w:w="108" w:type="dxa"/>
            </w:tcMar>
            <w:vAlign w:val="center"/>
          </w:tcPr>
          <w:p>
            <w:pPr>
              <w:rPr>
                <w:rFonts w:ascii="华文中宋" w:hAnsi="华文中宋" w:eastAsia="华文中宋" w:cs="宋体"/>
                <w:bCs/>
                <w:color w:val="auto"/>
                <w:highlight w:val="none"/>
              </w:rPr>
            </w:pPr>
            <w:r>
              <w:rPr>
                <w:rFonts w:hint="eastAsia" w:ascii="华文中宋" w:hAnsi="华文中宋" w:eastAsia="华文中宋" w:cs="宋体"/>
                <w:color w:val="auto"/>
                <w:sz w:val="18"/>
                <w:szCs w:val="18"/>
                <w:highlight w:val="none"/>
              </w:rPr>
              <w:t>Y＜50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97" w:hRule="atLeast"/>
          <w:jc w:val="center"/>
        </w:trPr>
        <w:tc>
          <w:tcPr>
            <w:tcW w:w="1560" w:type="dxa"/>
            <w:vMerge w:val="restart"/>
            <w:noWrap w:val="0"/>
            <w:tcMar>
              <w:top w:w="0" w:type="dxa"/>
              <w:left w:w="108" w:type="dxa"/>
              <w:bottom w:w="0" w:type="dxa"/>
              <w:right w:w="108" w:type="dxa"/>
            </w:tcMar>
            <w:vAlign w:val="center"/>
          </w:tcPr>
          <w:p>
            <w:pPr>
              <w:spacing w:line="240" w:lineRule="atLeast"/>
              <w:rPr>
                <w:rFonts w:ascii="华文中宋" w:hAnsi="华文中宋" w:eastAsia="华文中宋" w:cs="宋体"/>
                <w:bCs/>
                <w:color w:val="auto"/>
                <w:highlight w:val="none"/>
              </w:rPr>
            </w:pPr>
            <w:r>
              <w:rPr>
                <w:rFonts w:hint="eastAsia" w:ascii="华文中宋" w:hAnsi="华文中宋" w:eastAsia="华文中宋" w:cs="宋体"/>
                <w:color w:val="auto"/>
                <w:sz w:val="18"/>
                <w:szCs w:val="18"/>
                <w:highlight w:val="none"/>
              </w:rPr>
              <w:t>工业 *</w:t>
            </w:r>
          </w:p>
        </w:tc>
        <w:tc>
          <w:tcPr>
            <w:tcW w:w="1281" w:type="dxa"/>
            <w:noWrap w:val="0"/>
            <w:tcMar>
              <w:top w:w="0" w:type="dxa"/>
              <w:left w:w="108" w:type="dxa"/>
              <w:bottom w:w="0" w:type="dxa"/>
              <w:right w:w="108" w:type="dxa"/>
            </w:tcMar>
            <w:vAlign w:val="center"/>
          </w:tcPr>
          <w:p>
            <w:pPr>
              <w:rPr>
                <w:rFonts w:ascii="华文中宋" w:hAnsi="华文中宋" w:eastAsia="华文中宋" w:cs="宋体"/>
                <w:bCs/>
                <w:color w:val="auto"/>
                <w:highlight w:val="none"/>
              </w:rPr>
            </w:pPr>
            <w:r>
              <w:rPr>
                <w:rFonts w:hint="eastAsia" w:ascii="华文中宋" w:hAnsi="华文中宋" w:eastAsia="华文中宋" w:cs="宋体"/>
                <w:color w:val="auto"/>
                <w:sz w:val="18"/>
                <w:szCs w:val="18"/>
                <w:highlight w:val="none"/>
              </w:rPr>
              <w:t>从业人员(X)</w:t>
            </w:r>
          </w:p>
        </w:tc>
        <w:tc>
          <w:tcPr>
            <w:tcW w:w="758" w:type="dxa"/>
            <w:noWrap w:val="0"/>
            <w:tcMar>
              <w:top w:w="0" w:type="dxa"/>
              <w:left w:w="108" w:type="dxa"/>
              <w:bottom w:w="0" w:type="dxa"/>
              <w:right w:w="108" w:type="dxa"/>
            </w:tcMar>
            <w:vAlign w:val="center"/>
          </w:tcPr>
          <w:p>
            <w:pPr>
              <w:rPr>
                <w:rFonts w:ascii="华文中宋" w:hAnsi="华文中宋" w:eastAsia="华文中宋" w:cs="宋体"/>
                <w:bCs/>
                <w:color w:val="auto"/>
                <w:highlight w:val="none"/>
              </w:rPr>
            </w:pPr>
            <w:r>
              <w:rPr>
                <w:rFonts w:hint="eastAsia" w:ascii="华文中宋" w:hAnsi="华文中宋" w:eastAsia="华文中宋" w:cs="宋体"/>
                <w:color w:val="auto"/>
                <w:sz w:val="18"/>
                <w:szCs w:val="18"/>
                <w:highlight w:val="none"/>
              </w:rPr>
              <w:t>人</w:t>
            </w:r>
          </w:p>
        </w:tc>
        <w:tc>
          <w:tcPr>
            <w:tcW w:w="993" w:type="dxa"/>
            <w:noWrap w:val="0"/>
            <w:tcMar>
              <w:top w:w="0" w:type="dxa"/>
              <w:left w:w="108" w:type="dxa"/>
              <w:bottom w:w="0" w:type="dxa"/>
              <w:right w:w="108" w:type="dxa"/>
            </w:tcMar>
            <w:vAlign w:val="center"/>
          </w:tcPr>
          <w:p>
            <w:pPr>
              <w:rPr>
                <w:rFonts w:ascii="华文中宋" w:hAnsi="华文中宋" w:eastAsia="华文中宋" w:cs="宋体"/>
                <w:bCs/>
                <w:color w:val="auto"/>
                <w:highlight w:val="none"/>
              </w:rPr>
            </w:pPr>
            <w:r>
              <w:rPr>
                <w:rFonts w:hint="eastAsia" w:ascii="华文中宋" w:hAnsi="华文中宋" w:eastAsia="华文中宋" w:cs="宋体"/>
                <w:color w:val="auto"/>
                <w:sz w:val="18"/>
                <w:szCs w:val="18"/>
                <w:highlight w:val="none"/>
              </w:rPr>
              <w:t>X≥1000</w:t>
            </w:r>
          </w:p>
        </w:tc>
        <w:tc>
          <w:tcPr>
            <w:tcW w:w="1491" w:type="dxa"/>
            <w:noWrap w:val="0"/>
            <w:tcMar>
              <w:top w:w="0" w:type="dxa"/>
              <w:left w:w="108" w:type="dxa"/>
              <w:bottom w:w="0" w:type="dxa"/>
              <w:right w:w="108" w:type="dxa"/>
            </w:tcMar>
            <w:vAlign w:val="center"/>
          </w:tcPr>
          <w:p>
            <w:pPr>
              <w:rPr>
                <w:rFonts w:ascii="华文中宋" w:hAnsi="华文中宋" w:eastAsia="华文中宋" w:cs="宋体"/>
                <w:bCs/>
                <w:color w:val="auto"/>
                <w:highlight w:val="none"/>
              </w:rPr>
            </w:pPr>
            <w:r>
              <w:rPr>
                <w:rFonts w:hint="eastAsia" w:ascii="华文中宋" w:hAnsi="华文中宋" w:eastAsia="华文中宋" w:cs="宋体"/>
                <w:color w:val="auto"/>
                <w:sz w:val="18"/>
                <w:szCs w:val="18"/>
                <w:highlight w:val="none"/>
              </w:rPr>
              <w:t>300≤X＜1000</w:t>
            </w:r>
          </w:p>
        </w:tc>
        <w:tc>
          <w:tcPr>
            <w:tcW w:w="1315" w:type="dxa"/>
            <w:noWrap w:val="0"/>
            <w:tcMar>
              <w:top w:w="0" w:type="dxa"/>
              <w:left w:w="108" w:type="dxa"/>
              <w:bottom w:w="0" w:type="dxa"/>
              <w:right w:w="108" w:type="dxa"/>
            </w:tcMar>
            <w:vAlign w:val="center"/>
          </w:tcPr>
          <w:p>
            <w:pPr>
              <w:rPr>
                <w:rFonts w:ascii="华文中宋" w:hAnsi="华文中宋" w:eastAsia="华文中宋" w:cs="宋体"/>
                <w:bCs/>
                <w:color w:val="auto"/>
                <w:highlight w:val="none"/>
              </w:rPr>
            </w:pPr>
            <w:r>
              <w:rPr>
                <w:rFonts w:hint="eastAsia" w:ascii="华文中宋" w:hAnsi="华文中宋" w:eastAsia="华文中宋" w:cs="宋体"/>
                <w:color w:val="auto"/>
                <w:sz w:val="18"/>
                <w:szCs w:val="18"/>
                <w:highlight w:val="none"/>
              </w:rPr>
              <w:t>20≤X＜300</w:t>
            </w:r>
          </w:p>
        </w:tc>
        <w:tc>
          <w:tcPr>
            <w:tcW w:w="908" w:type="dxa"/>
            <w:noWrap w:val="0"/>
            <w:tcMar>
              <w:top w:w="0" w:type="dxa"/>
              <w:left w:w="108" w:type="dxa"/>
              <w:bottom w:w="0" w:type="dxa"/>
              <w:right w:w="108" w:type="dxa"/>
            </w:tcMar>
            <w:vAlign w:val="center"/>
          </w:tcPr>
          <w:p>
            <w:pPr>
              <w:rPr>
                <w:rFonts w:ascii="华文中宋" w:hAnsi="华文中宋" w:eastAsia="华文中宋" w:cs="宋体"/>
                <w:bCs/>
                <w:color w:val="auto"/>
                <w:highlight w:val="none"/>
              </w:rPr>
            </w:pPr>
            <w:r>
              <w:rPr>
                <w:rFonts w:hint="eastAsia" w:ascii="华文中宋" w:hAnsi="华文中宋" w:eastAsia="华文中宋" w:cs="宋体"/>
                <w:color w:val="auto"/>
                <w:sz w:val="18"/>
                <w:szCs w:val="18"/>
                <w:highlight w:val="none"/>
              </w:rPr>
              <w:t>X＜20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97" w:hRule="atLeast"/>
          <w:jc w:val="center"/>
        </w:trPr>
        <w:tc>
          <w:tcPr>
            <w:tcW w:w="1560" w:type="dxa"/>
            <w:vMerge w:val="continue"/>
            <w:noWrap w:val="0"/>
            <w:vAlign w:val="center"/>
          </w:tcPr>
          <w:p>
            <w:pPr>
              <w:ind w:firstLine="480"/>
              <w:rPr>
                <w:rFonts w:ascii="华文中宋" w:hAnsi="华文中宋" w:eastAsia="华文中宋" w:cs="宋体"/>
                <w:bCs/>
                <w:color w:val="auto"/>
                <w:highlight w:val="none"/>
              </w:rPr>
            </w:pPr>
          </w:p>
        </w:tc>
        <w:tc>
          <w:tcPr>
            <w:tcW w:w="1281" w:type="dxa"/>
            <w:noWrap w:val="0"/>
            <w:tcMar>
              <w:top w:w="0" w:type="dxa"/>
              <w:left w:w="108" w:type="dxa"/>
              <w:bottom w:w="0" w:type="dxa"/>
              <w:right w:w="108" w:type="dxa"/>
            </w:tcMar>
            <w:vAlign w:val="center"/>
          </w:tcPr>
          <w:p>
            <w:pPr>
              <w:spacing w:line="240" w:lineRule="atLeast"/>
              <w:rPr>
                <w:rFonts w:ascii="华文中宋" w:hAnsi="华文中宋" w:eastAsia="华文中宋" w:cs="宋体"/>
                <w:bCs/>
                <w:color w:val="auto"/>
                <w:highlight w:val="none"/>
              </w:rPr>
            </w:pPr>
            <w:r>
              <w:rPr>
                <w:rFonts w:hint="eastAsia" w:ascii="华文中宋" w:hAnsi="华文中宋" w:eastAsia="华文中宋" w:cs="宋体"/>
                <w:color w:val="auto"/>
                <w:sz w:val="18"/>
                <w:szCs w:val="18"/>
                <w:highlight w:val="none"/>
              </w:rPr>
              <w:t>营业收入(Y)</w:t>
            </w:r>
          </w:p>
        </w:tc>
        <w:tc>
          <w:tcPr>
            <w:tcW w:w="758" w:type="dxa"/>
            <w:noWrap w:val="0"/>
            <w:tcMar>
              <w:top w:w="0" w:type="dxa"/>
              <w:left w:w="108" w:type="dxa"/>
              <w:bottom w:w="0" w:type="dxa"/>
              <w:right w:w="108" w:type="dxa"/>
            </w:tcMar>
            <w:vAlign w:val="center"/>
          </w:tcPr>
          <w:p>
            <w:pPr>
              <w:rPr>
                <w:rFonts w:ascii="华文中宋" w:hAnsi="华文中宋" w:eastAsia="华文中宋" w:cs="宋体"/>
                <w:bCs/>
                <w:color w:val="auto"/>
                <w:highlight w:val="none"/>
              </w:rPr>
            </w:pPr>
            <w:r>
              <w:rPr>
                <w:rFonts w:hint="eastAsia" w:ascii="华文中宋" w:hAnsi="华文中宋" w:eastAsia="华文中宋" w:cs="宋体"/>
                <w:color w:val="auto"/>
                <w:sz w:val="18"/>
                <w:szCs w:val="18"/>
                <w:highlight w:val="none"/>
              </w:rPr>
              <w:t>万元</w:t>
            </w:r>
          </w:p>
        </w:tc>
        <w:tc>
          <w:tcPr>
            <w:tcW w:w="993" w:type="dxa"/>
            <w:noWrap w:val="0"/>
            <w:tcMar>
              <w:top w:w="0" w:type="dxa"/>
              <w:left w:w="108" w:type="dxa"/>
              <w:bottom w:w="0" w:type="dxa"/>
              <w:right w:w="108" w:type="dxa"/>
            </w:tcMar>
            <w:vAlign w:val="center"/>
          </w:tcPr>
          <w:p>
            <w:pPr>
              <w:rPr>
                <w:rFonts w:ascii="华文中宋" w:hAnsi="华文中宋" w:eastAsia="华文中宋" w:cs="宋体"/>
                <w:bCs/>
                <w:color w:val="auto"/>
                <w:highlight w:val="none"/>
              </w:rPr>
            </w:pPr>
            <w:r>
              <w:rPr>
                <w:rFonts w:hint="eastAsia" w:ascii="华文中宋" w:hAnsi="华文中宋" w:eastAsia="华文中宋" w:cs="宋体"/>
                <w:color w:val="auto"/>
                <w:sz w:val="18"/>
                <w:szCs w:val="18"/>
                <w:highlight w:val="none"/>
              </w:rPr>
              <w:t>Y≥40000</w:t>
            </w:r>
          </w:p>
        </w:tc>
        <w:tc>
          <w:tcPr>
            <w:tcW w:w="1491" w:type="dxa"/>
            <w:noWrap w:val="0"/>
            <w:tcMar>
              <w:top w:w="0" w:type="dxa"/>
              <w:left w:w="108" w:type="dxa"/>
              <w:bottom w:w="0" w:type="dxa"/>
              <w:right w:w="108" w:type="dxa"/>
            </w:tcMar>
            <w:vAlign w:val="center"/>
          </w:tcPr>
          <w:p>
            <w:pPr>
              <w:rPr>
                <w:rFonts w:ascii="华文中宋" w:hAnsi="华文中宋" w:eastAsia="华文中宋" w:cs="宋体"/>
                <w:bCs/>
                <w:color w:val="auto"/>
                <w:highlight w:val="none"/>
              </w:rPr>
            </w:pPr>
            <w:r>
              <w:rPr>
                <w:rFonts w:hint="eastAsia" w:ascii="华文中宋" w:hAnsi="华文中宋" w:eastAsia="华文中宋" w:cs="宋体"/>
                <w:color w:val="auto"/>
                <w:sz w:val="18"/>
                <w:szCs w:val="18"/>
                <w:highlight w:val="none"/>
              </w:rPr>
              <w:t>2000≤Y＜40000</w:t>
            </w:r>
          </w:p>
        </w:tc>
        <w:tc>
          <w:tcPr>
            <w:tcW w:w="1315" w:type="dxa"/>
            <w:noWrap w:val="0"/>
            <w:tcMar>
              <w:top w:w="0" w:type="dxa"/>
              <w:left w:w="108" w:type="dxa"/>
              <w:bottom w:w="0" w:type="dxa"/>
              <w:right w:w="108" w:type="dxa"/>
            </w:tcMar>
            <w:vAlign w:val="center"/>
          </w:tcPr>
          <w:p>
            <w:pPr>
              <w:rPr>
                <w:rFonts w:ascii="华文中宋" w:hAnsi="华文中宋" w:eastAsia="华文中宋" w:cs="宋体"/>
                <w:bCs/>
                <w:color w:val="auto"/>
                <w:highlight w:val="none"/>
              </w:rPr>
            </w:pPr>
            <w:r>
              <w:rPr>
                <w:rFonts w:hint="eastAsia" w:ascii="华文中宋" w:hAnsi="华文中宋" w:eastAsia="华文中宋" w:cs="宋体"/>
                <w:color w:val="auto"/>
                <w:sz w:val="18"/>
                <w:szCs w:val="18"/>
                <w:highlight w:val="none"/>
              </w:rPr>
              <w:t>300≤Y＜2000</w:t>
            </w:r>
          </w:p>
        </w:tc>
        <w:tc>
          <w:tcPr>
            <w:tcW w:w="908" w:type="dxa"/>
            <w:noWrap w:val="0"/>
            <w:tcMar>
              <w:top w:w="0" w:type="dxa"/>
              <w:left w:w="108" w:type="dxa"/>
              <w:bottom w:w="0" w:type="dxa"/>
              <w:right w:w="108" w:type="dxa"/>
            </w:tcMar>
            <w:vAlign w:val="center"/>
          </w:tcPr>
          <w:p>
            <w:pPr>
              <w:rPr>
                <w:rFonts w:ascii="华文中宋" w:hAnsi="华文中宋" w:eastAsia="华文中宋" w:cs="宋体"/>
                <w:bCs/>
                <w:color w:val="auto"/>
                <w:highlight w:val="none"/>
              </w:rPr>
            </w:pPr>
            <w:r>
              <w:rPr>
                <w:rFonts w:hint="eastAsia" w:ascii="华文中宋" w:hAnsi="华文中宋" w:eastAsia="华文中宋" w:cs="宋体"/>
                <w:color w:val="auto"/>
                <w:sz w:val="18"/>
                <w:szCs w:val="18"/>
                <w:highlight w:val="none"/>
              </w:rPr>
              <w:t>Y＜300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97" w:hRule="atLeast"/>
          <w:jc w:val="center"/>
        </w:trPr>
        <w:tc>
          <w:tcPr>
            <w:tcW w:w="1560" w:type="dxa"/>
            <w:vMerge w:val="restart"/>
            <w:noWrap w:val="0"/>
            <w:tcMar>
              <w:top w:w="0" w:type="dxa"/>
              <w:left w:w="108" w:type="dxa"/>
              <w:bottom w:w="0" w:type="dxa"/>
              <w:right w:w="108" w:type="dxa"/>
            </w:tcMar>
            <w:vAlign w:val="center"/>
          </w:tcPr>
          <w:p>
            <w:pPr>
              <w:spacing w:line="240" w:lineRule="atLeast"/>
              <w:rPr>
                <w:rFonts w:ascii="华文中宋" w:hAnsi="华文中宋" w:eastAsia="华文中宋" w:cs="宋体"/>
                <w:bCs/>
                <w:color w:val="auto"/>
                <w:highlight w:val="none"/>
              </w:rPr>
            </w:pPr>
            <w:r>
              <w:rPr>
                <w:rFonts w:hint="eastAsia" w:ascii="华文中宋" w:hAnsi="华文中宋" w:eastAsia="华文中宋" w:cs="宋体"/>
                <w:color w:val="auto"/>
                <w:sz w:val="18"/>
                <w:szCs w:val="18"/>
                <w:highlight w:val="none"/>
              </w:rPr>
              <w:t>建筑业</w:t>
            </w:r>
          </w:p>
        </w:tc>
        <w:tc>
          <w:tcPr>
            <w:tcW w:w="1281" w:type="dxa"/>
            <w:noWrap w:val="0"/>
            <w:tcMar>
              <w:top w:w="0" w:type="dxa"/>
              <w:left w:w="108" w:type="dxa"/>
              <w:bottom w:w="0" w:type="dxa"/>
              <w:right w:w="108" w:type="dxa"/>
            </w:tcMar>
            <w:vAlign w:val="center"/>
          </w:tcPr>
          <w:p>
            <w:pPr>
              <w:rPr>
                <w:rFonts w:ascii="华文中宋" w:hAnsi="华文中宋" w:eastAsia="华文中宋" w:cs="宋体"/>
                <w:bCs/>
                <w:color w:val="auto"/>
                <w:highlight w:val="none"/>
              </w:rPr>
            </w:pPr>
            <w:r>
              <w:rPr>
                <w:rFonts w:hint="eastAsia" w:ascii="华文中宋" w:hAnsi="华文中宋" w:eastAsia="华文中宋" w:cs="宋体"/>
                <w:color w:val="auto"/>
                <w:sz w:val="18"/>
                <w:szCs w:val="18"/>
                <w:highlight w:val="none"/>
              </w:rPr>
              <w:t>营业收入(Y)</w:t>
            </w:r>
          </w:p>
        </w:tc>
        <w:tc>
          <w:tcPr>
            <w:tcW w:w="758" w:type="dxa"/>
            <w:noWrap w:val="0"/>
            <w:tcMar>
              <w:top w:w="0" w:type="dxa"/>
              <w:left w:w="108" w:type="dxa"/>
              <w:bottom w:w="0" w:type="dxa"/>
              <w:right w:w="108" w:type="dxa"/>
            </w:tcMar>
            <w:vAlign w:val="center"/>
          </w:tcPr>
          <w:p>
            <w:pPr>
              <w:rPr>
                <w:rFonts w:ascii="华文中宋" w:hAnsi="华文中宋" w:eastAsia="华文中宋" w:cs="宋体"/>
                <w:bCs/>
                <w:color w:val="auto"/>
                <w:highlight w:val="none"/>
              </w:rPr>
            </w:pPr>
            <w:r>
              <w:rPr>
                <w:rFonts w:hint="eastAsia" w:ascii="华文中宋" w:hAnsi="华文中宋" w:eastAsia="华文中宋" w:cs="宋体"/>
                <w:color w:val="auto"/>
                <w:sz w:val="18"/>
                <w:szCs w:val="18"/>
                <w:highlight w:val="none"/>
              </w:rPr>
              <w:t>万元</w:t>
            </w:r>
          </w:p>
        </w:tc>
        <w:tc>
          <w:tcPr>
            <w:tcW w:w="993" w:type="dxa"/>
            <w:noWrap w:val="0"/>
            <w:tcMar>
              <w:top w:w="0" w:type="dxa"/>
              <w:left w:w="108" w:type="dxa"/>
              <w:bottom w:w="0" w:type="dxa"/>
              <w:right w:w="108" w:type="dxa"/>
            </w:tcMar>
            <w:vAlign w:val="center"/>
          </w:tcPr>
          <w:p>
            <w:pPr>
              <w:rPr>
                <w:rFonts w:ascii="华文中宋" w:hAnsi="华文中宋" w:eastAsia="华文中宋" w:cs="宋体"/>
                <w:bCs/>
                <w:color w:val="auto"/>
                <w:highlight w:val="none"/>
              </w:rPr>
            </w:pPr>
            <w:r>
              <w:rPr>
                <w:rFonts w:hint="eastAsia" w:ascii="华文中宋" w:hAnsi="华文中宋" w:eastAsia="华文中宋" w:cs="宋体"/>
                <w:color w:val="auto"/>
                <w:sz w:val="18"/>
                <w:szCs w:val="18"/>
                <w:highlight w:val="none"/>
              </w:rPr>
              <w:t>Y≥80000</w:t>
            </w:r>
          </w:p>
        </w:tc>
        <w:tc>
          <w:tcPr>
            <w:tcW w:w="1491" w:type="dxa"/>
            <w:noWrap w:val="0"/>
            <w:tcMar>
              <w:top w:w="0" w:type="dxa"/>
              <w:left w:w="108" w:type="dxa"/>
              <w:bottom w:w="0" w:type="dxa"/>
              <w:right w:w="108" w:type="dxa"/>
            </w:tcMar>
            <w:vAlign w:val="center"/>
          </w:tcPr>
          <w:p>
            <w:pPr>
              <w:rPr>
                <w:rFonts w:ascii="华文中宋" w:hAnsi="华文中宋" w:eastAsia="华文中宋" w:cs="宋体"/>
                <w:bCs/>
                <w:color w:val="auto"/>
                <w:highlight w:val="none"/>
              </w:rPr>
            </w:pPr>
            <w:r>
              <w:rPr>
                <w:rFonts w:hint="eastAsia" w:ascii="华文中宋" w:hAnsi="华文中宋" w:eastAsia="华文中宋" w:cs="宋体"/>
                <w:color w:val="auto"/>
                <w:sz w:val="18"/>
                <w:szCs w:val="18"/>
                <w:highlight w:val="none"/>
              </w:rPr>
              <w:t>6000≤Y＜80000</w:t>
            </w:r>
          </w:p>
        </w:tc>
        <w:tc>
          <w:tcPr>
            <w:tcW w:w="1315" w:type="dxa"/>
            <w:noWrap w:val="0"/>
            <w:tcMar>
              <w:top w:w="0" w:type="dxa"/>
              <w:left w:w="108" w:type="dxa"/>
              <w:bottom w:w="0" w:type="dxa"/>
              <w:right w:w="108" w:type="dxa"/>
            </w:tcMar>
            <w:vAlign w:val="center"/>
          </w:tcPr>
          <w:p>
            <w:pPr>
              <w:rPr>
                <w:rFonts w:ascii="华文中宋" w:hAnsi="华文中宋" w:eastAsia="华文中宋" w:cs="宋体"/>
                <w:bCs/>
                <w:color w:val="auto"/>
                <w:highlight w:val="none"/>
              </w:rPr>
            </w:pPr>
            <w:r>
              <w:rPr>
                <w:rFonts w:hint="eastAsia" w:ascii="华文中宋" w:hAnsi="华文中宋" w:eastAsia="华文中宋" w:cs="宋体"/>
                <w:color w:val="auto"/>
                <w:sz w:val="18"/>
                <w:szCs w:val="18"/>
                <w:highlight w:val="none"/>
              </w:rPr>
              <w:t>300≤Y＜6000</w:t>
            </w:r>
          </w:p>
        </w:tc>
        <w:tc>
          <w:tcPr>
            <w:tcW w:w="908" w:type="dxa"/>
            <w:noWrap w:val="0"/>
            <w:tcMar>
              <w:top w:w="0" w:type="dxa"/>
              <w:left w:w="108" w:type="dxa"/>
              <w:bottom w:w="0" w:type="dxa"/>
              <w:right w:w="108" w:type="dxa"/>
            </w:tcMar>
            <w:vAlign w:val="center"/>
          </w:tcPr>
          <w:p>
            <w:pPr>
              <w:rPr>
                <w:rFonts w:ascii="华文中宋" w:hAnsi="华文中宋" w:eastAsia="华文中宋" w:cs="宋体"/>
                <w:bCs/>
                <w:color w:val="auto"/>
                <w:highlight w:val="none"/>
              </w:rPr>
            </w:pPr>
            <w:r>
              <w:rPr>
                <w:rFonts w:hint="eastAsia" w:ascii="华文中宋" w:hAnsi="华文中宋" w:eastAsia="华文中宋" w:cs="宋体"/>
                <w:color w:val="auto"/>
                <w:sz w:val="18"/>
                <w:szCs w:val="18"/>
                <w:highlight w:val="none"/>
              </w:rPr>
              <w:t>Y＜300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97" w:hRule="atLeast"/>
          <w:jc w:val="center"/>
        </w:trPr>
        <w:tc>
          <w:tcPr>
            <w:tcW w:w="1560" w:type="dxa"/>
            <w:vMerge w:val="continue"/>
            <w:noWrap w:val="0"/>
            <w:vAlign w:val="center"/>
          </w:tcPr>
          <w:p>
            <w:pPr>
              <w:ind w:firstLine="480"/>
              <w:rPr>
                <w:rFonts w:ascii="华文中宋" w:hAnsi="华文中宋" w:eastAsia="华文中宋" w:cs="宋体"/>
                <w:bCs/>
                <w:color w:val="auto"/>
                <w:highlight w:val="none"/>
              </w:rPr>
            </w:pPr>
          </w:p>
        </w:tc>
        <w:tc>
          <w:tcPr>
            <w:tcW w:w="1281" w:type="dxa"/>
            <w:noWrap w:val="0"/>
            <w:tcMar>
              <w:top w:w="0" w:type="dxa"/>
              <w:left w:w="108" w:type="dxa"/>
              <w:bottom w:w="0" w:type="dxa"/>
              <w:right w:w="108" w:type="dxa"/>
            </w:tcMar>
            <w:vAlign w:val="center"/>
          </w:tcPr>
          <w:p>
            <w:pPr>
              <w:spacing w:line="240" w:lineRule="atLeast"/>
              <w:rPr>
                <w:rFonts w:ascii="华文中宋" w:hAnsi="华文中宋" w:eastAsia="华文中宋" w:cs="宋体"/>
                <w:bCs/>
                <w:color w:val="auto"/>
                <w:highlight w:val="none"/>
              </w:rPr>
            </w:pPr>
            <w:r>
              <w:rPr>
                <w:rFonts w:hint="eastAsia" w:ascii="华文中宋" w:hAnsi="华文中宋" w:eastAsia="华文中宋" w:cs="宋体"/>
                <w:color w:val="auto"/>
                <w:sz w:val="18"/>
                <w:szCs w:val="18"/>
                <w:highlight w:val="none"/>
              </w:rPr>
              <w:t>资产总额(Z)</w:t>
            </w:r>
          </w:p>
        </w:tc>
        <w:tc>
          <w:tcPr>
            <w:tcW w:w="758" w:type="dxa"/>
            <w:noWrap w:val="0"/>
            <w:tcMar>
              <w:top w:w="0" w:type="dxa"/>
              <w:left w:w="108" w:type="dxa"/>
              <w:bottom w:w="0" w:type="dxa"/>
              <w:right w:w="108" w:type="dxa"/>
            </w:tcMar>
            <w:vAlign w:val="center"/>
          </w:tcPr>
          <w:p>
            <w:pPr>
              <w:rPr>
                <w:rFonts w:ascii="华文中宋" w:hAnsi="华文中宋" w:eastAsia="华文中宋" w:cs="宋体"/>
                <w:bCs/>
                <w:color w:val="auto"/>
                <w:highlight w:val="none"/>
              </w:rPr>
            </w:pPr>
            <w:r>
              <w:rPr>
                <w:rFonts w:hint="eastAsia" w:ascii="华文中宋" w:hAnsi="华文中宋" w:eastAsia="华文中宋" w:cs="宋体"/>
                <w:color w:val="auto"/>
                <w:sz w:val="18"/>
                <w:szCs w:val="18"/>
                <w:highlight w:val="none"/>
              </w:rPr>
              <w:t>万元</w:t>
            </w:r>
          </w:p>
        </w:tc>
        <w:tc>
          <w:tcPr>
            <w:tcW w:w="993" w:type="dxa"/>
            <w:noWrap w:val="0"/>
            <w:tcMar>
              <w:top w:w="0" w:type="dxa"/>
              <w:left w:w="108" w:type="dxa"/>
              <w:bottom w:w="0" w:type="dxa"/>
              <w:right w:w="108" w:type="dxa"/>
            </w:tcMar>
            <w:vAlign w:val="center"/>
          </w:tcPr>
          <w:p>
            <w:pPr>
              <w:rPr>
                <w:rFonts w:ascii="华文中宋" w:hAnsi="华文中宋" w:eastAsia="华文中宋" w:cs="宋体"/>
                <w:bCs/>
                <w:color w:val="auto"/>
                <w:highlight w:val="none"/>
              </w:rPr>
            </w:pPr>
            <w:r>
              <w:rPr>
                <w:rFonts w:hint="eastAsia" w:ascii="华文中宋" w:hAnsi="华文中宋" w:eastAsia="华文中宋" w:cs="宋体"/>
                <w:color w:val="auto"/>
                <w:sz w:val="18"/>
                <w:szCs w:val="18"/>
                <w:highlight w:val="none"/>
              </w:rPr>
              <w:t>Z≥80000</w:t>
            </w:r>
          </w:p>
        </w:tc>
        <w:tc>
          <w:tcPr>
            <w:tcW w:w="1491" w:type="dxa"/>
            <w:noWrap w:val="0"/>
            <w:tcMar>
              <w:top w:w="0" w:type="dxa"/>
              <w:left w:w="108" w:type="dxa"/>
              <w:bottom w:w="0" w:type="dxa"/>
              <w:right w:w="108" w:type="dxa"/>
            </w:tcMar>
            <w:vAlign w:val="center"/>
          </w:tcPr>
          <w:p>
            <w:pPr>
              <w:rPr>
                <w:rFonts w:ascii="华文中宋" w:hAnsi="华文中宋" w:eastAsia="华文中宋" w:cs="宋体"/>
                <w:bCs/>
                <w:color w:val="auto"/>
                <w:highlight w:val="none"/>
              </w:rPr>
            </w:pPr>
            <w:r>
              <w:rPr>
                <w:rFonts w:hint="eastAsia" w:ascii="华文中宋" w:hAnsi="华文中宋" w:eastAsia="华文中宋" w:cs="宋体"/>
                <w:color w:val="auto"/>
                <w:sz w:val="18"/>
                <w:szCs w:val="18"/>
                <w:highlight w:val="none"/>
              </w:rPr>
              <w:t>5000≤Z＜80000</w:t>
            </w:r>
          </w:p>
        </w:tc>
        <w:tc>
          <w:tcPr>
            <w:tcW w:w="1315" w:type="dxa"/>
            <w:noWrap w:val="0"/>
            <w:tcMar>
              <w:top w:w="0" w:type="dxa"/>
              <w:left w:w="108" w:type="dxa"/>
              <w:bottom w:w="0" w:type="dxa"/>
              <w:right w:w="108" w:type="dxa"/>
            </w:tcMar>
            <w:vAlign w:val="center"/>
          </w:tcPr>
          <w:p>
            <w:pPr>
              <w:rPr>
                <w:rFonts w:ascii="华文中宋" w:hAnsi="华文中宋" w:eastAsia="华文中宋" w:cs="宋体"/>
                <w:bCs/>
                <w:color w:val="auto"/>
                <w:highlight w:val="none"/>
              </w:rPr>
            </w:pPr>
            <w:r>
              <w:rPr>
                <w:rFonts w:hint="eastAsia" w:ascii="华文中宋" w:hAnsi="华文中宋" w:eastAsia="华文中宋" w:cs="宋体"/>
                <w:color w:val="auto"/>
                <w:sz w:val="18"/>
                <w:szCs w:val="18"/>
                <w:highlight w:val="none"/>
              </w:rPr>
              <w:t>300≤Z＜5000</w:t>
            </w:r>
          </w:p>
        </w:tc>
        <w:tc>
          <w:tcPr>
            <w:tcW w:w="908" w:type="dxa"/>
            <w:noWrap w:val="0"/>
            <w:tcMar>
              <w:top w:w="0" w:type="dxa"/>
              <w:left w:w="108" w:type="dxa"/>
              <w:bottom w:w="0" w:type="dxa"/>
              <w:right w:w="108" w:type="dxa"/>
            </w:tcMar>
            <w:vAlign w:val="center"/>
          </w:tcPr>
          <w:p>
            <w:pPr>
              <w:rPr>
                <w:rFonts w:ascii="华文中宋" w:hAnsi="华文中宋" w:eastAsia="华文中宋" w:cs="宋体"/>
                <w:bCs/>
                <w:color w:val="auto"/>
                <w:highlight w:val="none"/>
              </w:rPr>
            </w:pPr>
            <w:r>
              <w:rPr>
                <w:rFonts w:hint="eastAsia" w:ascii="华文中宋" w:hAnsi="华文中宋" w:eastAsia="华文中宋" w:cs="宋体"/>
                <w:color w:val="auto"/>
                <w:sz w:val="18"/>
                <w:szCs w:val="18"/>
                <w:highlight w:val="none"/>
              </w:rPr>
              <w:t>Z＜300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97" w:hRule="atLeast"/>
          <w:jc w:val="center"/>
        </w:trPr>
        <w:tc>
          <w:tcPr>
            <w:tcW w:w="1560" w:type="dxa"/>
            <w:vMerge w:val="restart"/>
            <w:noWrap w:val="0"/>
            <w:tcMar>
              <w:top w:w="0" w:type="dxa"/>
              <w:left w:w="108" w:type="dxa"/>
              <w:bottom w:w="0" w:type="dxa"/>
              <w:right w:w="108" w:type="dxa"/>
            </w:tcMar>
            <w:vAlign w:val="center"/>
          </w:tcPr>
          <w:p>
            <w:pPr>
              <w:spacing w:line="240" w:lineRule="atLeast"/>
              <w:rPr>
                <w:rFonts w:ascii="华文中宋" w:hAnsi="华文中宋" w:eastAsia="华文中宋" w:cs="宋体"/>
                <w:bCs/>
                <w:color w:val="auto"/>
                <w:highlight w:val="none"/>
              </w:rPr>
            </w:pPr>
            <w:r>
              <w:rPr>
                <w:rFonts w:hint="eastAsia" w:ascii="华文中宋" w:hAnsi="华文中宋" w:eastAsia="华文中宋" w:cs="宋体"/>
                <w:color w:val="auto"/>
                <w:sz w:val="18"/>
                <w:szCs w:val="18"/>
                <w:highlight w:val="none"/>
              </w:rPr>
              <w:t>批发业</w:t>
            </w:r>
          </w:p>
        </w:tc>
        <w:tc>
          <w:tcPr>
            <w:tcW w:w="1281" w:type="dxa"/>
            <w:noWrap w:val="0"/>
            <w:tcMar>
              <w:top w:w="0" w:type="dxa"/>
              <w:left w:w="108" w:type="dxa"/>
              <w:bottom w:w="0" w:type="dxa"/>
              <w:right w:w="108" w:type="dxa"/>
            </w:tcMar>
            <w:vAlign w:val="center"/>
          </w:tcPr>
          <w:p>
            <w:pPr>
              <w:rPr>
                <w:rFonts w:ascii="华文中宋" w:hAnsi="华文中宋" w:eastAsia="华文中宋" w:cs="宋体"/>
                <w:bCs/>
                <w:color w:val="auto"/>
                <w:highlight w:val="none"/>
              </w:rPr>
            </w:pPr>
            <w:r>
              <w:rPr>
                <w:rFonts w:hint="eastAsia" w:ascii="华文中宋" w:hAnsi="华文中宋" w:eastAsia="华文中宋" w:cs="宋体"/>
                <w:color w:val="auto"/>
                <w:sz w:val="18"/>
                <w:szCs w:val="18"/>
                <w:highlight w:val="none"/>
              </w:rPr>
              <w:t>从业人员(X)</w:t>
            </w:r>
          </w:p>
        </w:tc>
        <w:tc>
          <w:tcPr>
            <w:tcW w:w="758" w:type="dxa"/>
            <w:noWrap w:val="0"/>
            <w:tcMar>
              <w:top w:w="0" w:type="dxa"/>
              <w:left w:w="108" w:type="dxa"/>
              <w:bottom w:w="0" w:type="dxa"/>
              <w:right w:w="108" w:type="dxa"/>
            </w:tcMar>
            <w:vAlign w:val="center"/>
          </w:tcPr>
          <w:p>
            <w:pPr>
              <w:rPr>
                <w:rFonts w:ascii="华文中宋" w:hAnsi="华文中宋" w:eastAsia="华文中宋" w:cs="宋体"/>
                <w:bCs/>
                <w:color w:val="auto"/>
                <w:highlight w:val="none"/>
              </w:rPr>
            </w:pPr>
            <w:r>
              <w:rPr>
                <w:rFonts w:hint="eastAsia" w:ascii="华文中宋" w:hAnsi="华文中宋" w:eastAsia="华文中宋" w:cs="宋体"/>
                <w:color w:val="auto"/>
                <w:sz w:val="18"/>
                <w:szCs w:val="18"/>
                <w:highlight w:val="none"/>
              </w:rPr>
              <w:t>人</w:t>
            </w:r>
          </w:p>
        </w:tc>
        <w:tc>
          <w:tcPr>
            <w:tcW w:w="993" w:type="dxa"/>
            <w:noWrap w:val="0"/>
            <w:tcMar>
              <w:top w:w="0" w:type="dxa"/>
              <w:left w:w="108" w:type="dxa"/>
              <w:bottom w:w="0" w:type="dxa"/>
              <w:right w:w="108" w:type="dxa"/>
            </w:tcMar>
            <w:vAlign w:val="center"/>
          </w:tcPr>
          <w:p>
            <w:pPr>
              <w:rPr>
                <w:rFonts w:ascii="华文中宋" w:hAnsi="华文中宋" w:eastAsia="华文中宋" w:cs="宋体"/>
                <w:bCs/>
                <w:color w:val="auto"/>
                <w:highlight w:val="none"/>
              </w:rPr>
            </w:pPr>
            <w:r>
              <w:rPr>
                <w:rFonts w:hint="eastAsia" w:ascii="华文中宋" w:hAnsi="华文中宋" w:eastAsia="华文中宋" w:cs="宋体"/>
                <w:color w:val="auto"/>
                <w:sz w:val="18"/>
                <w:szCs w:val="18"/>
                <w:highlight w:val="none"/>
              </w:rPr>
              <w:t>X≥200</w:t>
            </w:r>
          </w:p>
        </w:tc>
        <w:tc>
          <w:tcPr>
            <w:tcW w:w="1491" w:type="dxa"/>
            <w:noWrap w:val="0"/>
            <w:tcMar>
              <w:top w:w="0" w:type="dxa"/>
              <w:left w:w="108" w:type="dxa"/>
              <w:bottom w:w="0" w:type="dxa"/>
              <w:right w:w="108" w:type="dxa"/>
            </w:tcMar>
            <w:vAlign w:val="center"/>
          </w:tcPr>
          <w:p>
            <w:pPr>
              <w:rPr>
                <w:rFonts w:ascii="华文中宋" w:hAnsi="华文中宋" w:eastAsia="华文中宋" w:cs="宋体"/>
                <w:bCs/>
                <w:color w:val="auto"/>
                <w:highlight w:val="none"/>
              </w:rPr>
            </w:pPr>
            <w:r>
              <w:rPr>
                <w:rFonts w:hint="eastAsia" w:ascii="华文中宋" w:hAnsi="华文中宋" w:eastAsia="华文中宋" w:cs="宋体"/>
                <w:color w:val="auto"/>
                <w:sz w:val="18"/>
                <w:szCs w:val="18"/>
                <w:highlight w:val="none"/>
              </w:rPr>
              <w:t>20≤X＜200</w:t>
            </w:r>
          </w:p>
        </w:tc>
        <w:tc>
          <w:tcPr>
            <w:tcW w:w="1315" w:type="dxa"/>
            <w:noWrap w:val="0"/>
            <w:tcMar>
              <w:top w:w="0" w:type="dxa"/>
              <w:left w:w="108" w:type="dxa"/>
              <w:bottom w:w="0" w:type="dxa"/>
              <w:right w:w="108" w:type="dxa"/>
            </w:tcMar>
            <w:vAlign w:val="center"/>
          </w:tcPr>
          <w:p>
            <w:pPr>
              <w:rPr>
                <w:rFonts w:ascii="华文中宋" w:hAnsi="华文中宋" w:eastAsia="华文中宋" w:cs="宋体"/>
                <w:bCs/>
                <w:color w:val="auto"/>
                <w:highlight w:val="none"/>
              </w:rPr>
            </w:pPr>
            <w:r>
              <w:rPr>
                <w:rFonts w:hint="eastAsia" w:ascii="华文中宋" w:hAnsi="华文中宋" w:eastAsia="华文中宋" w:cs="宋体"/>
                <w:color w:val="auto"/>
                <w:sz w:val="18"/>
                <w:szCs w:val="18"/>
                <w:highlight w:val="none"/>
              </w:rPr>
              <w:t>5≤X＜20</w:t>
            </w:r>
          </w:p>
        </w:tc>
        <w:tc>
          <w:tcPr>
            <w:tcW w:w="908" w:type="dxa"/>
            <w:noWrap w:val="0"/>
            <w:tcMar>
              <w:top w:w="0" w:type="dxa"/>
              <w:left w:w="108" w:type="dxa"/>
              <w:bottom w:w="0" w:type="dxa"/>
              <w:right w:w="108" w:type="dxa"/>
            </w:tcMar>
            <w:vAlign w:val="center"/>
          </w:tcPr>
          <w:p>
            <w:pPr>
              <w:rPr>
                <w:rFonts w:ascii="华文中宋" w:hAnsi="华文中宋" w:eastAsia="华文中宋" w:cs="宋体"/>
                <w:bCs/>
                <w:color w:val="auto"/>
                <w:highlight w:val="none"/>
              </w:rPr>
            </w:pPr>
            <w:r>
              <w:rPr>
                <w:rFonts w:hint="eastAsia" w:ascii="华文中宋" w:hAnsi="华文中宋" w:eastAsia="华文中宋" w:cs="宋体"/>
                <w:color w:val="auto"/>
                <w:sz w:val="18"/>
                <w:szCs w:val="18"/>
                <w:highlight w:val="none"/>
              </w:rPr>
              <w:t>X＜5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97" w:hRule="atLeast"/>
          <w:jc w:val="center"/>
        </w:trPr>
        <w:tc>
          <w:tcPr>
            <w:tcW w:w="1560" w:type="dxa"/>
            <w:vMerge w:val="continue"/>
            <w:noWrap w:val="0"/>
            <w:vAlign w:val="center"/>
          </w:tcPr>
          <w:p>
            <w:pPr>
              <w:ind w:firstLine="480"/>
              <w:rPr>
                <w:rFonts w:ascii="华文中宋" w:hAnsi="华文中宋" w:eastAsia="华文中宋" w:cs="宋体"/>
                <w:bCs/>
                <w:color w:val="auto"/>
                <w:highlight w:val="none"/>
              </w:rPr>
            </w:pPr>
          </w:p>
        </w:tc>
        <w:tc>
          <w:tcPr>
            <w:tcW w:w="1281" w:type="dxa"/>
            <w:noWrap w:val="0"/>
            <w:tcMar>
              <w:top w:w="0" w:type="dxa"/>
              <w:left w:w="108" w:type="dxa"/>
              <w:bottom w:w="0" w:type="dxa"/>
              <w:right w:w="108" w:type="dxa"/>
            </w:tcMar>
            <w:vAlign w:val="center"/>
          </w:tcPr>
          <w:p>
            <w:pPr>
              <w:spacing w:line="240" w:lineRule="atLeast"/>
              <w:rPr>
                <w:rFonts w:ascii="华文中宋" w:hAnsi="华文中宋" w:eastAsia="华文中宋" w:cs="宋体"/>
                <w:bCs/>
                <w:color w:val="auto"/>
                <w:highlight w:val="none"/>
              </w:rPr>
            </w:pPr>
            <w:r>
              <w:rPr>
                <w:rFonts w:hint="eastAsia" w:ascii="华文中宋" w:hAnsi="华文中宋" w:eastAsia="华文中宋" w:cs="宋体"/>
                <w:color w:val="auto"/>
                <w:sz w:val="18"/>
                <w:szCs w:val="18"/>
                <w:highlight w:val="none"/>
              </w:rPr>
              <w:t>营业收入(Y)</w:t>
            </w:r>
          </w:p>
        </w:tc>
        <w:tc>
          <w:tcPr>
            <w:tcW w:w="758" w:type="dxa"/>
            <w:noWrap w:val="0"/>
            <w:tcMar>
              <w:top w:w="0" w:type="dxa"/>
              <w:left w:w="108" w:type="dxa"/>
              <w:bottom w:w="0" w:type="dxa"/>
              <w:right w:w="108" w:type="dxa"/>
            </w:tcMar>
            <w:vAlign w:val="center"/>
          </w:tcPr>
          <w:p>
            <w:pPr>
              <w:rPr>
                <w:rFonts w:ascii="华文中宋" w:hAnsi="华文中宋" w:eastAsia="华文中宋" w:cs="宋体"/>
                <w:bCs/>
                <w:color w:val="auto"/>
                <w:highlight w:val="none"/>
              </w:rPr>
            </w:pPr>
            <w:r>
              <w:rPr>
                <w:rFonts w:hint="eastAsia" w:ascii="华文中宋" w:hAnsi="华文中宋" w:eastAsia="华文中宋" w:cs="宋体"/>
                <w:color w:val="auto"/>
                <w:sz w:val="18"/>
                <w:szCs w:val="18"/>
                <w:highlight w:val="none"/>
              </w:rPr>
              <w:t>万元</w:t>
            </w:r>
          </w:p>
        </w:tc>
        <w:tc>
          <w:tcPr>
            <w:tcW w:w="993" w:type="dxa"/>
            <w:noWrap w:val="0"/>
            <w:tcMar>
              <w:top w:w="0" w:type="dxa"/>
              <w:left w:w="108" w:type="dxa"/>
              <w:bottom w:w="0" w:type="dxa"/>
              <w:right w:w="108" w:type="dxa"/>
            </w:tcMar>
            <w:vAlign w:val="center"/>
          </w:tcPr>
          <w:p>
            <w:pPr>
              <w:rPr>
                <w:rFonts w:ascii="华文中宋" w:hAnsi="华文中宋" w:eastAsia="华文中宋" w:cs="宋体"/>
                <w:bCs/>
                <w:color w:val="auto"/>
                <w:highlight w:val="none"/>
              </w:rPr>
            </w:pPr>
            <w:r>
              <w:rPr>
                <w:rFonts w:hint="eastAsia" w:ascii="华文中宋" w:hAnsi="华文中宋" w:eastAsia="华文中宋" w:cs="宋体"/>
                <w:color w:val="auto"/>
                <w:sz w:val="18"/>
                <w:szCs w:val="18"/>
                <w:highlight w:val="none"/>
              </w:rPr>
              <w:t>Y≥40000</w:t>
            </w:r>
          </w:p>
        </w:tc>
        <w:tc>
          <w:tcPr>
            <w:tcW w:w="1491" w:type="dxa"/>
            <w:noWrap w:val="0"/>
            <w:tcMar>
              <w:top w:w="0" w:type="dxa"/>
              <w:left w:w="108" w:type="dxa"/>
              <w:bottom w:w="0" w:type="dxa"/>
              <w:right w:w="108" w:type="dxa"/>
            </w:tcMar>
            <w:vAlign w:val="center"/>
          </w:tcPr>
          <w:p>
            <w:pPr>
              <w:rPr>
                <w:rFonts w:ascii="华文中宋" w:hAnsi="华文中宋" w:eastAsia="华文中宋" w:cs="宋体"/>
                <w:bCs/>
                <w:color w:val="auto"/>
                <w:highlight w:val="none"/>
              </w:rPr>
            </w:pPr>
            <w:r>
              <w:rPr>
                <w:rFonts w:hint="eastAsia" w:ascii="华文中宋" w:hAnsi="华文中宋" w:eastAsia="华文中宋" w:cs="宋体"/>
                <w:color w:val="auto"/>
                <w:sz w:val="18"/>
                <w:szCs w:val="18"/>
                <w:highlight w:val="none"/>
              </w:rPr>
              <w:t>5000≤Y＜40000</w:t>
            </w:r>
          </w:p>
        </w:tc>
        <w:tc>
          <w:tcPr>
            <w:tcW w:w="1315" w:type="dxa"/>
            <w:noWrap w:val="0"/>
            <w:tcMar>
              <w:top w:w="0" w:type="dxa"/>
              <w:left w:w="108" w:type="dxa"/>
              <w:bottom w:w="0" w:type="dxa"/>
              <w:right w:w="108" w:type="dxa"/>
            </w:tcMar>
            <w:vAlign w:val="center"/>
          </w:tcPr>
          <w:p>
            <w:pPr>
              <w:ind w:left="-1"/>
              <w:rPr>
                <w:rFonts w:ascii="华文中宋" w:hAnsi="华文中宋" w:eastAsia="华文中宋" w:cs="宋体"/>
                <w:bCs/>
                <w:color w:val="auto"/>
                <w:highlight w:val="none"/>
              </w:rPr>
            </w:pPr>
            <w:r>
              <w:rPr>
                <w:rFonts w:hint="eastAsia" w:ascii="华文中宋" w:hAnsi="华文中宋" w:eastAsia="华文中宋" w:cs="宋体"/>
                <w:color w:val="auto"/>
                <w:sz w:val="18"/>
                <w:szCs w:val="18"/>
                <w:highlight w:val="none"/>
              </w:rPr>
              <w:t>1000≤Y＜5000</w:t>
            </w:r>
          </w:p>
        </w:tc>
        <w:tc>
          <w:tcPr>
            <w:tcW w:w="908" w:type="dxa"/>
            <w:noWrap w:val="0"/>
            <w:tcMar>
              <w:top w:w="0" w:type="dxa"/>
              <w:left w:w="108" w:type="dxa"/>
              <w:bottom w:w="0" w:type="dxa"/>
              <w:right w:w="108" w:type="dxa"/>
            </w:tcMar>
            <w:vAlign w:val="center"/>
          </w:tcPr>
          <w:p>
            <w:pPr>
              <w:rPr>
                <w:rFonts w:ascii="华文中宋" w:hAnsi="华文中宋" w:eastAsia="华文中宋" w:cs="宋体"/>
                <w:bCs/>
                <w:color w:val="auto"/>
                <w:highlight w:val="none"/>
              </w:rPr>
            </w:pPr>
            <w:r>
              <w:rPr>
                <w:rFonts w:hint="eastAsia" w:ascii="华文中宋" w:hAnsi="华文中宋" w:eastAsia="华文中宋" w:cs="宋体"/>
                <w:color w:val="auto"/>
                <w:sz w:val="18"/>
                <w:szCs w:val="18"/>
                <w:highlight w:val="none"/>
              </w:rPr>
              <w:t>Y＜1000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97" w:hRule="atLeast"/>
          <w:jc w:val="center"/>
        </w:trPr>
        <w:tc>
          <w:tcPr>
            <w:tcW w:w="1560" w:type="dxa"/>
            <w:vMerge w:val="restart"/>
            <w:noWrap w:val="0"/>
            <w:tcMar>
              <w:top w:w="0" w:type="dxa"/>
              <w:left w:w="108" w:type="dxa"/>
              <w:bottom w:w="0" w:type="dxa"/>
              <w:right w:w="108" w:type="dxa"/>
            </w:tcMar>
            <w:vAlign w:val="center"/>
          </w:tcPr>
          <w:p>
            <w:pPr>
              <w:spacing w:line="240" w:lineRule="atLeast"/>
              <w:rPr>
                <w:rFonts w:ascii="华文中宋" w:hAnsi="华文中宋" w:eastAsia="华文中宋" w:cs="宋体"/>
                <w:bCs/>
                <w:color w:val="auto"/>
                <w:highlight w:val="none"/>
              </w:rPr>
            </w:pPr>
            <w:r>
              <w:rPr>
                <w:rFonts w:hint="eastAsia" w:ascii="华文中宋" w:hAnsi="华文中宋" w:eastAsia="华文中宋" w:cs="宋体"/>
                <w:color w:val="auto"/>
                <w:sz w:val="18"/>
                <w:szCs w:val="18"/>
                <w:highlight w:val="none"/>
              </w:rPr>
              <w:t>零售业</w:t>
            </w:r>
          </w:p>
        </w:tc>
        <w:tc>
          <w:tcPr>
            <w:tcW w:w="1281" w:type="dxa"/>
            <w:noWrap w:val="0"/>
            <w:tcMar>
              <w:top w:w="0" w:type="dxa"/>
              <w:left w:w="108" w:type="dxa"/>
              <w:bottom w:w="0" w:type="dxa"/>
              <w:right w:w="108" w:type="dxa"/>
            </w:tcMar>
            <w:vAlign w:val="center"/>
          </w:tcPr>
          <w:p>
            <w:pPr>
              <w:rPr>
                <w:rFonts w:ascii="华文中宋" w:hAnsi="华文中宋" w:eastAsia="华文中宋" w:cs="宋体"/>
                <w:bCs/>
                <w:color w:val="auto"/>
                <w:highlight w:val="none"/>
              </w:rPr>
            </w:pPr>
            <w:r>
              <w:rPr>
                <w:rFonts w:hint="eastAsia" w:ascii="华文中宋" w:hAnsi="华文中宋" w:eastAsia="华文中宋" w:cs="宋体"/>
                <w:color w:val="auto"/>
                <w:sz w:val="18"/>
                <w:szCs w:val="18"/>
                <w:highlight w:val="none"/>
              </w:rPr>
              <w:t>从业人员(X)</w:t>
            </w:r>
          </w:p>
        </w:tc>
        <w:tc>
          <w:tcPr>
            <w:tcW w:w="758" w:type="dxa"/>
            <w:noWrap w:val="0"/>
            <w:tcMar>
              <w:top w:w="0" w:type="dxa"/>
              <w:left w:w="108" w:type="dxa"/>
              <w:bottom w:w="0" w:type="dxa"/>
              <w:right w:w="108" w:type="dxa"/>
            </w:tcMar>
            <w:vAlign w:val="center"/>
          </w:tcPr>
          <w:p>
            <w:pPr>
              <w:rPr>
                <w:rFonts w:ascii="华文中宋" w:hAnsi="华文中宋" w:eastAsia="华文中宋" w:cs="宋体"/>
                <w:bCs/>
                <w:color w:val="auto"/>
                <w:highlight w:val="none"/>
              </w:rPr>
            </w:pPr>
            <w:r>
              <w:rPr>
                <w:rFonts w:hint="eastAsia" w:ascii="华文中宋" w:hAnsi="华文中宋" w:eastAsia="华文中宋" w:cs="宋体"/>
                <w:color w:val="auto"/>
                <w:sz w:val="18"/>
                <w:szCs w:val="18"/>
                <w:highlight w:val="none"/>
              </w:rPr>
              <w:t>人</w:t>
            </w:r>
          </w:p>
        </w:tc>
        <w:tc>
          <w:tcPr>
            <w:tcW w:w="993" w:type="dxa"/>
            <w:noWrap w:val="0"/>
            <w:tcMar>
              <w:top w:w="0" w:type="dxa"/>
              <w:left w:w="108" w:type="dxa"/>
              <w:bottom w:w="0" w:type="dxa"/>
              <w:right w:w="108" w:type="dxa"/>
            </w:tcMar>
            <w:vAlign w:val="center"/>
          </w:tcPr>
          <w:p>
            <w:pPr>
              <w:rPr>
                <w:rFonts w:ascii="华文中宋" w:hAnsi="华文中宋" w:eastAsia="华文中宋" w:cs="宋体"/>
                <w:bCs/>
                <w:color w:val="auto"/>
                <w:highlight w:val="none"/>
              </w:rPr>
            </w:pPr>
            <w:r>
              <w:rPr>
                <w:rFonts w:hint="eastAsia" w:ascii="华文中宋" w:hAnsi="华文中宋" w:eastAsia="华文中宋" w:cs="宋体"/>
                <w:color w:val="auto"/>
                <w:sz w:val="18"/>
                <w:szCs w:val="18"/>
                <w:highlight w:val="none"/>
              </w:rPr>
              <w:t>X≥300</w:t>
            </w:r>
          </w:p>
        </w:tc>
        <w:tc>
          <w:tcPr>
            <w:tcW w:w="1491" w:type="dxa"/>
            <w:noWrap w:val="0"/>
            <w:tcMar>
              <w:top w:w="0" w:type="dxa"/>
              <w:left w:w="108" w:type="dxa"/>
              <w:bottom w:w="0" w:type="dxa"/>
              <w:right w:w="108" w:type="dxa"/>
            </w:tcMar>
            <w:vAlign w:val="center"/>
          </w:tcPr>
          <w:p>
            <w:pPr>
              <w:rPr>
                <w:rFonts w:ascii="华文中宋" w:hAnsi="华文中宋" w:eastAsia="华文中宋" w:cs="宋体"/>
                <w:bCs/>
                <w:color w:val="auto"/>
                <w:highlight w:val="none"/>
              </w:rPr>
            </w:pPr>
            <w:r>
              <w:rPr>
                <w:rFonts w:hint="eastAsia" w:ascii="华文中宋" w:hAnsi="华文中宋" w:eastAsia="华文中宋" w:cs="宋体"/>
                <w:color w:val="auto"/>
                <w:sz w:val="18"/>
                <w:szCs w:val="18"/>
                <w:highlight w:val="none"/>
              </w:rPr>
              <w:t>50≤X＜300</w:t>
            </w:r>
          </w:p>
        </w:tc>
        <w:tc>
          <w:tcPr>
            <w:tcW w:w="1315" w:type="dxa"/>
            <w:noWrap w:val="0"/>
            <w:tcMar>
              <w:top w:w="0" w:type="dxa"/>
              <w:left w:w="108" w:type="dxa"/>
              <w:bottom w:w="0" w:type="dxa"/>
              <w:right w:w="108" w:type="dxa"/>
            </w:tcMar>
            <w:vAlign w:val="center"/>
          </w:tcPr>
          <w:p>
            <w:pPr>
              <w:ind w:left="-1"/>
              <w:rPr>
                <w:rFonts w:ascii="华文中宋" w:hAnsi="华文中宋" w:eastAsia="华文中宋" w:cs="宋体"/>
                <w:bCs/>
                <w:color w:val="auto"/>
                <w:highlight w:val="none"/>
              </w:rPr>
            </w:pPr>
            <w:r>
              <w:rPr>
                <w:rFonts w:hint="eastAsia" w:ascii="华文中宋" w:hAnsi="华文中宋" w:eastAsia="华文中宋" w:cs="宋体"/>
                <w:color w:val="auto"/>
                <w:sz w:val="18"/>
                <w:szCs w:val="18"/>
                <w:highlight w:val="none"/>
              </w:rPr>
              <w:t>10≤X＜50</w:t>
            </w:r>
          </w:p>
        </w:tc>
        <w:tc>
          <w:tcPr>
            <w:tcW w:w="908" w:type="dxa"/>
            <w:noWrap w:val="0"/>
            <w:tcMar>
              <w:top w:w="0" w:type="dxa"/>
              <w:left w:w="108" w:type="dxa"/>
              <w:bottom w:w="0" w:type="dxa"/>
              <w:right w:w="108" w:type="dxa"/>
            </w:tcMar>
            <w:vAlign w:val="center"/>
          </w:tcPr>
          <w:p>
            <w:pPr>
              <w:rPr>
                <w:rFonts w:ascii="华文中宋" w:hAnsi="华文中宋" w:eastAsia="华文中宋" w:cs="宋体"/>
                <w:bCs/>
                <w:color w:val="auto"/>
                <w:highlight w:val="none"/>
              </w:rPr>
            </w:pPr>
            <w:r>
              <w:rPr>
                <w:rFonts w:hint="eastAsia" w:ascii="华文中宋" w:hAnsi="华文中宋" w:eastAsia="华文中宋" w:cs="宋体"/>
                <w:color w:val="auto"/>
                <w:sz w:val="18"/>
                <w:szCs w:val="18"/>
                <w:highlight w:val="none"/>
              </w:rPr>
              <w:t>X＜10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97" w:hRule="atLeast"/>
          <w:jc w:val="center"/>
        </w:trPr>
        <w:tc>
          <w:tcPr>
            <w:tcW w:w="1560" w:type="dxa"/>
            <w:vMerge w:val="continue"/>
            <w:noWrap w:val="0"/>
            <w:vAlign w:val="center"/>
          </w:tcPr>
          <w:p>
            <w:pPr>
              <w:ind w:firstLine="480"/>
              <w:rPr>
                <w:rFonts w:ascii="华文中宋" w:hAnsi="华文中宋" w:eastAsia="华文中宋" w:cs="宋体"/>
                <w:bCs/>
                <w:color w:val="auto"/>
                <w:highlight w:val="none"/>
              </w:rPr>
            </w:pPr>
          </w:p>
        </w:tc>
        <w:tc>
          <w:tcPr>
            <w:tcW w:w="1281" w:type="dxa"/>
            <w:noWrap w:val="0"/>
            <w:tcMar>
              <w:top w:w="0" w:type="dxa"/>
              <w:left w:w="108" w:type="dxa"/>
              <w:bottom w:w="0" w:type="dxa"/>
              <w:right w:w="108" w:type="dxa"/>
            </w:tcMar>
            <w:vAlign w:val="center"/>
          </w:tcPr>
          <w:p>
            <w:pPr>
              <w:spacing w:line="240" w:lineRule="atLeast"/>
              <w:rPr>
                <w:rFonts w:ascii="华文中宋" w:hAnsi="华文中宋" w:eastAsia="华文中宋" w:cs="宋体"/>
                <w:bCs/>
                <w:color w:val="auto"/>
                <w:highlight w:val="none"/>
              </w:rPr>
            </w:pPr>
            <w:r>
              <w:rPr>
                <w:rFonts w:hint="eastAsia" w:ascii="华文中宋" w:hAnsi="华文中宋" w:eastAsia="华文中宋" w:cs="宋体"/>
                <w:color w:val="auto"/>
                <w:sz w:val="18"/>
                <w:szCs w:val="18"/>
                <w:highlight w:val="none"/>
              </w:rPr>
              <w:t>营业收入(Y)</w:t>
            </w:r>
          </w:p>
        </w:tc>
        <w:tc>
          <w:tcPr>
            <w:tcW w:w="758" w:type="dxa"/>
            <w:noWrap w:val="0"/>
            <w:tcMar>
              <w:top w:w="0" w:type="dxa"/>
              <w:left w:w="108" w:type="dxa"/>
              <w:bottom w:w="0" w:type="dxa"/>
              <w:right w:w="108" w:type="dxa"/>
            </w:tcMar>
            <w:vAlign w:val="center"/>
          </w:tcPr>
          <w:p>
            <w:pPr>
              <w:rPr>
                <w:rFonts w:ascii="华文中宋" w:hAnsi="华文中宋" w:eastAsia="华文中宋" w:cs="宋体"/>
                <w:bCs/>
                <w:color w:val="auto"/>
                <w:highlight w:val="none"/>
              </w:rPr>
            </w:pPr>
            <w:r>
              <w:rPr>
                <w:rFonts w:hint="eastAsia" w:ascii="华文中宋" w:hAnsi="华文中宋" w:eastAsia="华文中宋" w:cs="宋体"/>
                <w:color w:val="auto"/>
                <w:sz w:val="18"/>
                <w:szCs w:val="18"/>
                <w:highlight w:val="none"/>
              </w:rPr>
              <w:t>万元</w:t>
            </w:r>
          </w:p>
        </w:tc>
        <w:tc>
          <w:tcPr>
            <w:tcW w:w="993" w:type="dxa"/>
            <w:noWrap w:val="0"/>
            <w:tcMar>
              <w:top w:w="0" w:type="dxa"/>
              <w:left w:w="108" w:type="dxa"/>
              <w:bottom w:w="0" w:type="dxa"/>
              <w:right w:w="108" w:type="dxa"/>
            </w:tcMar>
            <w:vAlign w:val="center"/>
          </w:tcPr>
          <w:p>
            <w:pPr>
              <w:rPr>
                <w:rFonts w:ascii="华文中宋" w:hAnsi="华文中宋" w:eastAsia="华文中宋" w:cs="宋体"/>
                <w:bCs/>
                <w:color w:val="auto"/>
                <w:highlight w:val="none"/>
              </w:rPr>
            </w:pPr>
            <w:r>
              <w:rPr>
                <w:rFonts w:hint="eastAsia" w:ascii="华文中宋" w:hAnsi="华文中宋" w:eastAsia="华文中宋" w:cs="宋体"/>
                <w:color w:val="auto"/>
                <w:sz w:val="18"/>
                <w:szCs w:val="18"/>
                <w:highlight w:val="none"/>
              </w:rPr>
              <w:t>Y≥20000</w:t>
            </w:r>
          </w:p>
        </w:tc>
        <w:tc>
          <w:tcPr>
            <w:tcW w:w="1491" w:type="dxa"/>
            <w:noWrap w:val="0"/>
            <w:tcMar>
              <w:top w:w="0" w:type="dxa"/>
              <w:left w:w="108" w:type="dxa"/>
              <w:bottom w:w="0" w:type="dxa"/>
              <w:right w:w="108" w:type="dxa"/>
            </w:tcMar>
            <w:vAlign w:val="center"/>
          </w:tcPr>
          <w:p>
            <w:pPr>
              <w:rPr>
                <w:rFonts w:ascii="华文中宋" w:hAnsi="华文中宋" w:eastAsia="华文中宋" w:cs="宋体"/>
                <w:bCs/>
                <w:color w:val="auto"/>
                <w:highlight w:val="none"/>
              </w:rPr>
            </w:pPr>
            <w:r>
              <w:rPr>
                <w:rFonts w:hint="eastAsia" w:ascii="华文中宋" w:hAnsi="华文中宋" w:eastAsia="华文中宋" w:cs="宋体"/>
                <w:color w:val="auto"/>
                <w:sz w:val="18"/>
                <w:szCs w:val="18"/>
                <w:highlight w:val="none"/>
              </w:rPr>
              <w:t>500≤Y＜20000</w:t>
            </w:r>
          </w:p>
        </w:tc>
        <w:tc>
          <w:tcPr>
            <w:tcW w:w="1315" w:type="dxa"/>
            <w:noWrap w:val="0"/>
            <w:tcMar>
              <w:top w:w="0" w:type="dxa"/>
              <w:left w:w="108" w:type="dxa"/>
              <w:bottom w:w="0" w:type="dxa"/>
              <w:right w:w="108" w:type="dxa"/>
            </w:tcMar>
            <w:vAlign w:val="center"/>
          </w:tcPr>
          <w:p>
            <w:pPr>
              <w:ind w:left="-1"/>
              <w:rPr>
                <w:rFonts w:ascii="华文中宋" w:hAnsi="华文中宋" w:eastAsia="华文中宋" w:cs="宋体"/>
                <w:bCs/>
                <w:color w:val="auto"/>
                <w:highlight w:val="none"/>
              </w:rPr>
            </w:pPr>
            <w:r>
              <w:rPr>
                <w:rFonts w:hint="eastAsia" w:ascii="华文中宋" w:hAnsi="华文中宋" w:eastAsia="华文中宋" w:cs="宋体"/>
                <w:color w:val="auto"/>
                <w:sz w:val="18"/>
                <w:szCs w:val="18"/>
                <w:highlight w:val="none"/>
              </w:rPr>
              <w:t>100≤Y＜500</w:t>
            </w:r>
          </w:p>
        </w:tc>
        <w:tc>
          <w:tcPr>
            <w:tcW w:w="908" w:type="dxa"/>
            <w:noWrap w:val="0"/>
            <w:tcMar>
              <w:top w:w="0" w:type="dxa"/>
              <w:left w:w="108" w:type="dxa"/>
              <w:bottom w:w="0" w:type="dxa"/>
              <w:right w:w="108" w:type="dxa"/>
            </w:tcMar>
            <w:vAlign w:val="center"/>
          </w:tcPr>
          <w:p>
            <w:pPr>
              <w:rPr>
                <w:rFonts w:ascii="华文中宋" w:hAnsi="华文中宋" w:eastAsia="华文中宋" w:cs="宋体"/>
                <w:bCs/>
                <w:color w:val="auto"/>
                <w:highlight w:val="none"/>
              </w:rPr>
            </w:pPr>
            <w:r>
              <w:rPr>
                <w:rFonts w:hint="eastAsia" w:ascii="华文中宋" w:hAnsi="华文中宋" w:eastAsia="华文中宋" w:cs="宋体"/>
                <w:color w:val="auto"/>
                <w:sz w:val="18"/>
                <w:szCs w:val="18"/>
                <w:highlight w:val="none"/>
              </w:rPr>
              <w:t>Y＜100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97" w:hRule="atLeast"/>
          <w:jc w:val="center"/>
        </w:trPr>
        <w:tc>
          <w:tcPr>
            <w:tcW w:w="1560" w:type="dxa"/>
            <w:vMerge w:val="restart"/>
            <w:noWrap w:val="0"/>
            <w:tcMar>
              <w:top w:w="0" w:type="dxa"/>
              <w:left w:w="108" w:type="dxa"/>
              <w:bottom w:w="0" w:type="dxa"/>
              <w:right w:w="108" w:type="dxa"/>
            </w:tcMar>
            <w:vAlign w:val="center"/>
          </w:tcPr>
          <w:p>
            <w:pPr>
              <w:spacing w:line="240" w:lineRule="atLeast"/>
              <w:rPr>
                <w:rFonts w:ascii="华文中宋" w:hAnsi="华文中宋" w:eastAsia="华文中宋" w:cs="宋体"/>
                <w:bCs/>
                <w:color w:val="auto"/>
                <w:highlight w:val="none"/>
              </w:rPr>
            </w:pPr>
            <w:r>
              <w:rPr>
                <w:rFonts w:hint="eastAsia" w:ascii="华文中宋" w:hAnsi="华文中宋" w:eastAsia="华文中宋" w:cs="宋体"/>
                <w:color w:val="auto"/>
                <w:sz w:val="18"/>
                <w:szCs w:val="18"/>
                <w:highlight w:val="none"/>
              </w:rPr>
              <w:t>交通运输业 *</w:t>
            </w:r>
          </w:p>
        </w:tc>
        <w:tc>
          <w:tcPr>
            <w:tcW w:w="1281" w:type="dxa"/>
            <w:noWrap w:val="0"/>
            <w:tcMar>
              <w:top w:w="0" w:type="dxa"/>
              <w:left w:w="108" w:type="dxa"/>
              <w:bottom w:w="0" w:type="dxa"/>
              <w:right w:w="108" w:type="dxa"/>
            </w:tcMar>
            <w:vAlign w:val="center"/>
          </w:tcPr>
          <w:p>
            <w:pPr>
              <w:rPr>
                <w:rFonts w:ascii="华文中宋" w:hAnsi="华文中宋" w:eastAsia="华文中宋" w:cs="宋体"/>
                <w:bCs/>
                <w:color w:val="auto"/>
                <w:highlight w:val="none"/>
              </w:rPr>
            </w:pPr>
            <w:r>
              <w:rPr>
                <w:rFonts w:hint="eastAsia" w:ascii="华文中宋" w:hAnsi="华文中宋" w:eastAsia="华文中宋" w:cs="宋体"/>
                <w:color w:val="auto"/>
                <w:sz w:val="18"/>
                <w:szCs w:val="18"/>
                <w:highlight w:val="none"/>
              </w:rPr>
              <w:t>从业人员(X)</w:t>
            </w:r>
          </w:p>
        </w:tc>
        <w:tc>
          <w:tcPr>
            <w:tcW w:w="758" w:type="dxa"/>
            <w:noWrap w:val="0"/>
            <w:tcMar>
              <w:top w:w="0" w:type="dxa"/>
              <w:left w:w="108" w:type="dxa"/>
              <w:bottom w:w="0" w:type="dxa"/>
              <w:right w:w="108" w:type="dxa"/>
            </w:tcMar>
            <w:vAlign w:val="center"/>
          </w:tcPr>
          <w:p>
            <w:pPr>
              <w:rPr>
                <w:rFonts w:ascii="华文中宋" w:hAnsi="华文中宋" w:eastAsia="华文中宋" w:cs="宋体"/>
                <w:bCs/>
                <w:color w:val="auto"/>
                <w:highlight w:val="none"/>
              </w:rPr>
            </w:pPr>
            <w:r>
              <w:rPr>
                <w:rFonts w:hint="eastAsia" w:ascii="华文中宋" w:hAnsi="华文中宋" w:eastAsia="华文中宋" w:cs="宋体"/>
                <w:color w:val="auto"/>
                <w:sz w:val="18"/>
                <w:szCs w:val="18"/>
                <w:highlight w:val="none"/>
              </w:rPr>
              <w:t>人</w:t>
            </w:r>
          </w:p>
        </w:tc>
        <w:tc>
          <w:tcPr>
            <w:tcW w:w="993" w:type="dxa"/>
            <w:noWrap w:val="0"/>
            <w:tcMar>
              <w:top w:w="0" w:type="dxa"/>
              <w:left w:w="108" w:type="dxa"/>
              <w:bottom w:w="0" w:type="dxa"/>
              <w:right w:w="108" w:type="dxa"/>
            </w:tcMar>
            <w:vAlign w:val="center"/>
          </w:tcPr>
          <w:p>
            <w:pPr>
              <w:rPr>
                <w:rFonts w:ascii="华文中宋" w:hAnsi="华文中宋" w:eastAsia="华文中宋" w:cs="宋体"/>
                <w:bCs/>
                <w:color w:val="auto"/>
                <w:highlight w:val="none"/>
              </w:rPr>
            </w:pPr>
            <w:r>
              <w:rPr>
                <w:rFonts w:hint="eastAsia" w:ascii="华文中宋" w:hAnsi="华文中宋" w:eastAsia="华文中宋" w:cs="宋体"/>
                <w:color w:val="auto"/>
                <w:sz w:val="18"/>
                <w:szCs w:val="18"/>
                <w:highlight w:val="none"/>
              </w:rPr>
              <w:t>X≥1000</w:t>
            </w:r>
          </w:p>
        </w:tc>
        <w:tc>
          <w:tcPr>
            <w:tcW w:w="1491" w:type="dxa"/>
            <w:noWrap w:val="0"/>
            <w:tcMar>
              <w:top w:w="0" w:type="dxa"/>
              <w:left w:w="108" w:type="dxa"/>
              <w:bottom w:w="0" w:type="dxa"/>
              <w:right w:w="108" w:type="dxa"/>
            </w:tcMar>
            <w:vAlign w:val="center"/>
          </w:tcPr>
          <w:p>
            <w:pPr>
              <w:rPr>
                <w:rFonts w:ascii="华文中宋" w:hAnsi="华文中宋" w:eastAsia="华文中宋" w:cs="宋体"/>
                <w:bCs/>
                <w:color w:val="auto"/>
                <w:highlight w:val="none"/>
              </w:rPr>
            </w:pPr>
            <w:r>
              <w:rPr>
                <w:rFonts w:hint="eastAsia" w:ascii="华文中宋" w:hAnsi="华文中宋" w:eastAsia="华文中宋" w:cs="宋体"/>
                <w:color w:val="auto"/>
                <w:sz w:val="18"/>
                <w:szCs w:val="18"/>
                <w:highlight w:val="none"/>
              </w:rPr>
              <w:t>300≤X＜1000</w:t>
            </w:r>
          </w:p>
        </w:tc>
        <w:tc>
          <w:tcPr>
            <w:tcW w:w="1315" w:type="dxa"/>
            <w:noWrap w:val="0"/>
            <w:tcMar>
              <w:top w:w="0" w:type="dxa"/>
              <w:left w:w="108" w:type="dxa"/>
              <w:bottom w:w="0" w:type="dxa"/>
              <w:right w:w="108" w:type="dxa"/>
            </w:tcMar>
            <w:vAlign w:val="center"/>
          </w:tcPr>
          <w:p>
            <w:pPr>
              <w:rPr>
                <w:rFonts w:ascii="华文中宋" w:hAnsi="华文中宋" w:eastAsia="华文中宋" w:cs="宋体"/>
                <w:bCs/>
                <w:color w:val="auto"/>
                <w:highlight w:val="none"/>
              </w:rPr>
            </w:pPr>
            <w:r>
              <w:rPr>
                <w:rFonts w:hint="eastAsia" w:ascii="华文中宋" w:hAnsi="华文中宋" w:eastAsia="华文中宋" w:cs="宋体"/>
                <w:color w:val="auto"/>
                <w:sz w:val="18"/>
                <w:szCs w:val="18"/>
                <w:highlight w:val="none"/>
              </w:rPr>
              <w:t>20≤X＜300</w:t>
            </w:r>
          </w:p>
        </w:tc>
        <w:tc>
          <w:tcPr>
            <w:tcW w:w="908" w:type="dxa"/>
            <w:noWrap w:val="0"/>
            <w:tcMar>
              <w:top w:w="0" w:type="dxa"/>
              <w:left w:w="108" w:type="dxa"/>
              <w:bottom w:w="0" w:type="dxa"/>
              <w:right w:w="108" w:type="dxa"/>
            </w:tcMar>
            <w:vAlign w:val="center"/>
          </w:tcPr>
          <w:p>
            <w:pPr>
              <w:rPr>
                <w:rFonts w:ascii="华文中宋" w:hAnsi="华文中宋" w:eastAsia="华文中宋" w:cs="宋体"/>
                <w:bCs/>
                <w:color w:val="auto"/>
                <w:highlight w:val="none"/>
              </w:rPr>
            </w:pPr>
            <w:r>
              <w:rPr>
                <w:rFonts w:hint="eastAsia" w:ascii="华文中宋" w:hAnsi="华文中宋" w:eastAsia="华文中宋" w:cs="宋体"/>
                <w:color w:val="auto"/>
                <w:sz w:val="18"/>
                <w:szCs w:val="18"/>
                <w:highlight w:val="none"/>
              </w:rPr>
              <w:t>X＜20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97" w:hRule="atLeast"/>
          <w:jc w:val="center"/>
        </w:trPr>
        <w:tc>
          <w:tcPr>
            <w:tcW w:w="1560" w:type="dxa"/>
            <w:vMerge w:val="continue"/>
            <w:noWrap w:val="0"/>
            <w:vAlign w:val="center"/>
          </w:tcPr>
          <w:p>
            <w:pPr>
              <w:ind w:firstLine="480"/>
              <w:rPr>
                <w:rFonts w:ascii="华文中宋" w:hAnsi="华文中宋" w:eastAsia="华文中宋" w:cs="宋体"/>
                <w:bCs/>
                <w:color w:val="auto"/>
                <w:highlight w:val="none"/>
              </w:rPr>
            </w:pPr>
          </w:p>
        </w:tc>
        <w:tc>
          <w:tcPr>
            <w:tcW w:w="1281" w:type="dxa"/>
            <w:noWrap w:val="0"/>
            <w:tcMar>
              <w:top w:w="0" w:type="dxa"/>
              <w:left w:w="108" w:type="dxa"/>
              <w:bottom w:w="0" w:type="dxa"/>
              <w:right w:w="108" w:type="dxa"/>
            </w:tcMar>
            <w:vAlign w:val="center"/>
          </w:tcPr>
          <w:p>
            <w:pPr>
              <w:spacing w:line="240" w:lineRule="atLeast"/>
              <w:rPr>
                <w:rFonts w:ascii="华文中宋" w:hAnsi="华文中宋" w:eastAsia="华文中宋" w:cs="宋体"/>
                <w:bCs/>
                <w:color w:val="auto"/>
                <w:highlight w:val="none"/>
              </w:rPr>
            </w:pPr>
            <w:r>
              <w:rPr>
                <w:rFonts w:hint="eastAsia" w:ascii="华文中宋" w:hAnsi="华文中宋" w:eastAsia="华文中宋" w:cs="宋体"/>
                <w:color w:val="auto"/>
                <w:sz w:val="18"/>
                <w:szCs w:val="18"/>
                <w:highlight w:val="none"/>
              </w:rPr>
              <w:t>营业收入(Y)</w:t>
            </w:r>
          </w:p>
        </w:tc>
        <w:tc>
          <w:tcPr>
            <w:tcW w:w="758" w:type="dxa"/>
            <w:noWrap w:val="0"/>
            <w:tcMar>
              <w:top w:w="0" w:type="dxa"/>
              <w:left w:w="108" w:type="dxa"/>
              <w:bottom w:w="0" w:type="dxa"/>
              <w:right w:w="108" w:type="dxa"/>
            </w:tcMar>
            <w:vAlign w:val="center"/>
          </w:tcPr>
          <w:p>
            <w:pPr>
              <w:rPr>
                <w:rFonts w:ascii="华文中宋" w:hAnsi="华文中宋" w:eastAsia="华文中宋" w:cs="宋体"/>
                <w:bCs/>
                <w:color w:val="auto"/>
                <w:highlight w:val="none"/>
              </w:rPr>
            </w:pPr>
            <w:r>
              <w:rPr>
                <w:rFonts w:hint="eastAsia" w:ascii="华文中宋" w:hAnsi="华文中宋" w:eastAsia="华文中宋" w:cs="宋体"/>
                <w:color w:val="auto"/>
                <w:sz w:val="18"/>
                <w:szCs w:val="18"/>
                <w:highlight w:val="none"/>
              </w:rPr>
              <w:t>万元</w:t>
            </w:r>
          </w:p>
        </w:tc>
        <w:tc>
          <w:tcPr>
            <w:tcW w:w="993" w:type="dxa"/>
            <w:noWrap w:val="0"/>
            <w:tcMar>
              <w:top w:w="0" w:type="dxa"/>
              <w:left w:w="108" w:type="dxa"/>
              <w:bottom w:w="0" w:type="dxa"/>
              <w:right w:w="108" w:type="dxa"/>
            </w:tcMar>
            <w:vAlign w:val="center"/>
          </w:tcPr>
          <w:p>
            <w:pPr>
              <w:rPr>
                <w:rFonts w:ascii="华文中宋" w:hAnsi="华文中宋" w:eastAsia="华文中宋" w:cs="宋体"/>
                <w:bCs/>
                <w:color w:val="auto"/>
                <w:highlight w:val="none"/>
              </w:rPr>
            </w:pPr>
            <w:r>
              <w:rPr>
                <w:rFonts w:hint="eastAsia" w:ascii="华文中宋" w:hAnsi="华文中宋" w:eastAsia="华文中宋" w:cs="宋体"/>
                <w:color w:val="auto"/>
                <w:sz w:val="18"/>
                <w:szCs w:val="18"/>
                <w:highlight w:val="none"/>
              </w:rPr>
              <w:t>Y≥30000</w:t>
            </w:r>
          </w:p>
        </w:tc>
        <w:tc>
          <w:tcPr>
            <w:tcW w:w="1491" w:type="dxa"/>
            <w:noWrap w:val="0"/>
            <w:tcMar>
              <w:top w:w="0" w:type="dxa"/>
              <w:left w:w="108" w:type="dxa"/>
              <w:bottom w:w="0" w:type="dxa"/>
              <w:right w:w="108" w:type="dxa"/>
            </w:tcMar>
            <w:vAlign w:val="center"/>
          </w:tcPr>
          <w:p>
            <w:pPr>
              <w:rPr>
                <w:rFonts w:ascii="华文中宋" w:hAnsi="华文中宋" w:eastAsia="华文中宋" w:cs="宋体"/>
                <w:bCs/>
                <w:color w:val="auto"/>
                <w:highlight w:val="none"/>
              </w:rPr>
            </w:pPr>
            <w:r>
              <w:rPr>
                <w:rFonts w:hint="eastAsia" w:ascii="华文中宋" w:hAnsi="华文中宋" w:eastAsia="华文中宋" w:cs="宋体"/>
                <w:color w:val="auto"/>
                <w:sz w:val="18"/>
                <w:szCs w:val="18"/>
                <w:highlight w:val="none"/>
              </w:rPr>
              <w:t>3000≤Y＜30000</w:t>
            </w:r>
          </w:p>
        </w:tc>
        <w:tc>
          <w:tcPr>
            <w:tcW w:w="1315" w:type="dxa"/>
            <w:noWrap w:val="0"/>
            <w:tcMar>
              <w:top w:w="0" w:type="dxa"/>
              <w:left w:w="108" w:type="dxa"/>
              <w:bottom w:w="0" w:type="dxa"/>
              <w:right w:w="108" w:type="dxa"/>
            </w:tcMar>
            <w:vAlign w:val="center"/>
          </w:tcPr>
          <w:p>
            <w:pPr>
              <w:rPr>
                <w:rFonts w:ascii="华文中宋" w:hAnsi="华文中宋" w:eastAsia="华文中宋" w:cs="宋体"/>
                <w:bCs/>
                <w:color w:val="auto"/>
                <w:highlight w:val="none"/>
              </w:rPr>
            </w:pPr>
            <w:r>
              <w:rPr>
                <w:rFonts w:hint="eastAsia" w:ascii="华文中宋" w:hAnsi="华文中宋" w:eastAsia="华文中宋" w:cs="宋体"/>
                <w:color w:val="auto"/>
                <w:sz w:val="18"/>
                <w:szCs w:val="18"/>
                <w:highlight w:val="none"/>
              </w:rPr>
              <w:t>200≤Y＜3000</w:t>
            </w:r>
          </w:p>
        </w:tc>
        <w:tc>
          <w:tcPr>
            <w:tcW w:w="908" w:type="dxa"/>
            <w:noWrap w:val="0"/>
            <w:tcMar>
              <w:top w:w="0" w:type="dxa"/>
              <w:left w:w="108" w:type="dxa"/>
              <w:bottom w:w="0" w:type="dxa"/>
              <w:right w:w="108" w:type="dxa"/>
            </w:tcMar>
            <w:vAlign w:val="center"/>
          </w:tcPr>
          <w:p>
            <w:pPr>
              <w:rPr>
                <w:rFonts w:ascii="华文中宋" w:hAnsi="华文中宋" w:eastAsia="华文中宋" w:cs="宋体"/>
                <w:bCs/>
                <w:color w:val="auto"/>
                <w:highlight w:val="none"/>
              </w:rPr>
            </w:pPr>
            <w:r>
              <w:rPr>
                <w:rFonts w:hint="eastAsia" w:ascii="华文中宋" w:hAnsi="华文中宋" w:eastAsia="华文中宋" w:cs="宋体"/>
                <w:color w:val="auto"/>
                <w:sz w:val="18"/>
                <w:szCs w:val="18"/>
                <w:highlight w:val="none"/>
              </w:rPr>
              <w:t>Y＜200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97" w:hRule="atLeast"/>
          <w:jc w:val="center"/>
        </w:trPr>
        <w:tc>
          <w:tcPr>
            <w:tcW w:w="1560" w:type="dxa"/>
            <w:vMerge w:val="restart"/>
            <w:noWrap w:val="0"/>
            <w:tcMar>
              <w:top w:w="0" w:type="dxa"/>
              <w:left w:w="108" w:type="dxa"/>
              <w:bottom w:w="0" w:type="dxa"/>
              <w:right w:w="108" w:type="dxa"/>
            </w:tcMar>
            <w:vAlign w:val="center"/>
          </w:tcPr>
          <w:p>
            <w:pPr>
              <w:spacing w:line="240" w:lineRule="atLeast"/>
              <w:rPr>
                <w:rFonts w:ascii="华文中宋" w:hAnsi="华文中宋" w:eastAsia="华文中宋" w:cs="宋体"/>
                <w:bCs/>
                <w:color w:val="auto"/>
                <w:highlight w:val="none"/>
              </w:rPr>
            </w:pPr>
            <w:r>
              <w:rPr>
                <w:rFonts w:hint="eastAsia" w:ascii="华文中宋" w:hAnsi="华文中宋" w:eastAsia="华文中宋" w:cs="宋体"/>
                <w:color w:val="auto"/>
                <w:sz w:val="18"/>
                <w:szCs w:val="18"/>
                <w:highlight w:val="none"/>
              </w:rPr>
              <w:t>仓储业</w:t>
            </w:r>
          </w:p>
        </w:tc>
        <w:tc>
          <w:tcPr>
            <w:tcW w:w="1281" w:type="dxa"/>
            <w:noWrap w:val="0"/>
            <w:tcMar>
              <w:top w:w="0" w:type="dxa"/>
              <w:left w:w="108" w:type="dxa"/>
              <w:bottom w:w="0" w:type="dxa"/>
              <w:right w:w="108" w:type="dxa"/>
            </w:tcMar>
            <w:vAlign w:val="center"/>
          </w:tcPr>
          <w:p>
            <w:pPr>
              <w:rPr>
                <w:rFonts w:ascii="华文中宋" w:hAnsi="华文中宋" w:eastAsia="华文中宋" w:cs="宋体"/>
                <w:bCs/>
                <w:color w:val="auto"/>
                <w:highlight w:val="none"/>
              </w:rPr>
            </w:pPr>
            <w:r>
              <w:rPr>
                <w:rFonts w:hint="eastAsia" w:ascii="华文中宋" w:hAnsi="华文中宋" w:eastAsia="华文中宋" w:cs="宋体"/>
                <w:color w:val="auto"/>
                <w:sz w:val="18"/>
                <w:szCs w:val="18"/>
                <w:highlight w:val="none"/>
              </w:rPr>
              <w:t>从业人员(X)</w:t>
            </w:r>
          </w:p>
        </w:tc>
        <w:tc>
          <w:tcPr>
            <w:tcW w:w="758" w:type="dxa"/>
            <w:noWrap w:val="0"/>
            <w:tcMar>
              <w:top w:w="0" w:type="dxa"/>
              <w:left w:w="108" w:type="dxa"/>
              <w:bottom w:w="0" w:type="dxa"/>
              <w:right w:w="108" w:type="dxa"/>
            </w:tcMar>
            <w:vAlign w:val="center"/>
          </w:tcPr>
          <w:p>
            <w:pPr>
              <w:rPr>
                <w:rFonts w:ascii="华文中宋" w:hAnsi="华文中宋" w:eastAsia="华文中宋" w:cs="宋体"/>
                <w:bCs/>
                <w:color w:val="auto"/>
                <w:highlight w:val="none"/>
              </w:rPr>
            </w:pPr>
            <w:r>
              <w:rPr>
                <w:rFonts w:hint="eastAsia" w:ascii="华文中宋" w:hAnsi="华文中宋" w:eastAsia="华文中宋" w:cs="宋体"/>
                <w:color w:val="auto"/>
                <w:sz w:val="18"/>
                <w:szCs w:val="18"/>
                <w:highlight w:val="none"/>
              </w:rPr>
              <w:t>人</w:t>
            </w:r>
          </w:p>
        </w:tc>
        <w:tc>
          <w:tcPr>
            <w:tcW w:w="993" w:type="dxa"/>
            <w:noWrap w:val="0"/>
            <w:tcMar>
              <w:top w:w="0" w:type="dxa"/>
              <w:left w:w="108" w:type="dxa"/>
              <w:bottom w:w="0" w:type="dxa"/>
              <w:right w:w="108" w:type="dxa"/>
            </w:tcMar>
            <w:vAlign w:val="center"/>
          </w:tcPr>
          <w:p>
            <w:pPr>
              <w:rPr>
                <w:rFonts w:ascii="华文中宋" w:hAnsi="华文中宋" w:eastAsia="华文中宋" w:cs="宋体"/>
                <w:bCs/>
                <w:color w:val="auto"/>
                <w:highlight w:val="none"/>
              </w:rPr>
            </w:pPr>
            <w:r>
              <w:rPr>
                <w:rFonts w:hint="eastAsia" w:ascii="华文中宋" w:hAnsi="华文中宋" w:eastAsia="华文中宋" w:cs="宋体"/>
                <w:color w:val="auto"/>
                <w:sz w:val="18"/>
                <w:szCs w:val="18"/>
                <w:highlight w:val="none"/>
              </w:rPr>
              <w:t>X≥200</w:t>
            </w:r>
          </w:p>
        </w:tc>
        <w:tc>
          <w:tcPr>
            <w:tcW w:w="1491" w:type="dxa"/>
            <w:noWrap w:val="0"/>
            <w:tcMar>
              <w:top w:w="0" w:type="dxa"/>
              <w:left w:w="108" w:type="dxa"/>
              <w:bottom w:w="0" w:type="dxa"/>
              <w:right w:w="108" w:type="dxa"/>
            </w:tcMar>
            <w:vAlign w:val="center"/>
          </w:tcPr>
          <w:p>
            <w:pPr>
              <w:ind w:left="1"/>
              <w:rPr>
                <w:rFonts w:ascii="华文中宋" w:hAnsi="华文中宋" w:eastAsia="华文中宋" w:cs="宋体"/>
                <w:bCs/>
                <w:color w:val="auto"/>
                <w:highlight w:val="none"/>
              </w:rPr>
            </w:pPr>
            <w:r>
              <w:rPr>
                <w:rFonts w:hint="eastAsia" w:ascii="华文中宋" w:hAnsi="华文中宋" w:eastAsia="华文中宋" w:cs="宋体"/>
                <w:color w:val="auto"/>
                <w:sz w:val="18"/>
                <w:szCs w:val="18"/>
                <w:highlight w:val="none"/>
              </w:rPr>
              <w:t>100≤X＜200</w:t>
            </w:r>
          </w:p>
        </w:tc>
        <w:tc>
          <w:tcPr>
            <w:tcW w:w="1315" w:type="dxa"/>
            <w:noWrap w:val="0"/>
            <w:tcMar>
              <w:top w:w="0" w:type="dxa"/>
              <w:left w:w="108" w:type="dxa"/>
              <w:bottom w:w="0" w:type="dxa"/>
              <w:right w:w="108" w:type="dxa"/>
            </w:tcMar>
            <w:vAlign w:val="center"/>
          </w:tcPr>
          <w:p>
            <w:pPr>
              <w:rPr>
                <w:rFonts w:ascii="华文中宋" w:hAnsi="华文中宋" w:eastAsia="华文中宋" w:cs="宋体"/>
                <w:bCs/>
                <w:color w:val="auto"/>
                <w:highlight w:val="none"/>
              </w:rPr>
            </w:pPr>
            <w:r>
              <w:rPr>
                <w:rFonts w:hint="eastAsia" w:ascii="华文中宋" w:hAnsi="华文中宋" w:eastAsia="华文中宋" w:cs="宋体"/>
                <w:color w:val="auto"/>
                <w:sz w:val="18"/>
                <w:szCs w:val="18"/>
                <w:highlight w:val="none"/>
              </w:rPr>
              <w:t>20≤X＜100</w:t>
            </w:r>
          </w:p>
        </w:tc>
        <w:tc>
          <w:tcPr>
            <w:tcW w:w="908" w:type="dxa"/>
            <w:noWrap w:val="0"/>
            <w:tcMar>
              <w:top w:w="0" w:type="dxa"/>
              <w:left w:w="108" w:type="dxa"/>
              <w:bottom w:w="0" w:type="dxa"/>
              <w:right w:w="108" w:type="dxa"/>
            </w:tcMar>
            <w:vAlign w:val="center"/>
          </w:tcPr>
          <w:p>
            <w:pPr>
              <w:rPr>
                <w:rFonts w:ascii="华文中宋" w:hAnsi="华文中宋" w:eastAsia="华文中宋" w:cs="宋体"/>
                <w:bCs/>
                <w:color w:val="auto"/>
                <w:highlight w:val="none"/>
              </w:rPr>
            </w:pPr>
            <w:r>
              <w:rPr>
                <w:rFonts w:hint="eastAsia" w:ascii="华文中宋" w:hAnsi="华文中宋" w:eastAsia="华文中宋" w:cs="宋体"/>
                <w:color w:val="auto"/>
                <w:sz w:val="18"/>
                <w:szCs w:val="18"/>
                <w:highlight w:val="none"/>
              </w:rPr>
              <w:t>X＜20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97" w:hRule="atLeast"/>
          <w:jc w:val="center"/>
        </w:trPr>
        <w:tc>
          <w:tcPr>
            <w:tcW w:w="1560" w:type="dxa"/>
            <w:vMerge w:val="continue"/>
            <w:noWrap w:val="0"/>
            <w:vAlign w:val="center"/>
          </w:tcPr>
          <w:p>
            <w:pPr>
              <w:ind w:firstLine="480"/>
              <w:rPr>
                <w:rFonts w:ascii="华文中宋" w:hAnsi="华文中宋" w:eastAsia="华文中宋" w:cs="宋体"/>
                <w:bCs/>
                <w:color w:val="auto"/>
                <w:highlight w:val="none"/>
              </w:rPr>
            </w:pPr>
          </w:p>
        </w:tc>
        <w:tc>
          <w:tcPr>
            <w:tcW w:w="1281" w:type="dxa"/>
            <w:noWrap w:val="0"/>
            <w:tcMar>
              <w:top w:w="0" w:type="dxa"/>
              <w:left w:w="108" w:type="dxa"/>
              <w:bottom w:w="0" w:type="dxa"/>
              <w:right w:w="108" w:type="dxa"/>
            </w:tcMar>
            <w:vAlign w:val="center"/>
          </w:tcPr>
          <w:p>
            <w:pPr>
              <w:spacing w:line="240" w:lineRule="atLeast"/>
              <w:rPr>
                <w:rFonts w:ascii="华文中宋" w:hAnsi="华文中宋" w:eastAsia="华文中宋" w:cs="宋体"/>
                <w:bCs/>
                <w:color w:val="auto"/>
                <w:highlight w:val="none"/>
              </w:rPr>
            </w:pPr>
            <w:r>
              <w:rPr>
                <w:rFonts w:hint="eastAsia" w:ascii="华文中宋" w:hAnsi="华文中宋" w:eastAsia="华文中宋" w:cs="宋体"/>
                <w:color w:val="auto"/>
                <w:sz w:val="18"/>
                <w:szCs w:val="18"/>
                <w:highlight w:val="none"/>
              </w:rPr>
              <w:t>营业收入(Y)</w:t>
            </w:r>
          </w:p>
        </w:tc>
        <w:tc>
          <w:tcPr>
            <w:tcW w:w="758" w:type="dxa"/>
            <w:noWrap w:val="0"/>
            <w:tcMar>
              <w:top w:w="0" w:type="dxa"/>
              <w:left w:w="108" w:type="dxa"/>
              <w:bottom w:w="0" w:type="dxa"/>
              <w:right w:w="108" w:type="dxa"/>
            </w:tcMar>
            <w:vAlign w:val="center"/>
          </w:tcPr>
          <w:p>
            <w:pPr>
              <w:rPr>
                <w:rFonts w:ascii="华文中宋" w:hAnsi="华文中宋" w:eastAsia="华文中宋" w:cs="宋体"/>
                <w:bCs/>
                <w:color w:val="auto"/>
                <w:highlight w:val="none"/>
              </w:rPr>
            </w:pPr>
            <w:r>
              <w:rPr>
                <w:rFonts w:hint="eastAsia" w:ascii="华文中宋" w:hAnsi="华文中宋" w:eastAsia="华文中宋" w:cs="宋体"/>
                <w:color w:val="auto"/>
                <w:sz w:val="18"/>
                <w:szCs w:val="18"/>
                <w:highlight w:val="none"/>
              </w:rPr>
              <w:t>万元</w:t>
            </w:r>
          </w:p>
        </w:tc>
        <w:tc>
          <w:tcPr>
            <w:tcW w:w="993" w:type="dxa"/>
            <w:noWrap w:val="0"/>
            <w:tcMar>
              <w:top w:w="0" w:type="dxa"/>
              <w:left w:w="108" w:type="dxa"/>
              <w:bottom w:w="0" w:type="dxa"/>
              <w:right w:w="108" w:type="dxa"/>
            </w:tcMar>
            <w:vAlign w:val="center"/>
          </w:tcPr>
          <w:p>
            <w:pPr>
              <w:rPr>
                <w:rFonts w:ascii="华文中宋" w:hAnsi="华文中宋" w:eastAsia="华文中宋" w:cs="宋体"/>
                <w:bCs/>
                <w:color w:val="auto"/>
                <w:highlight w:val="none"/>
              </w:rPr>
            </w:pPr>
            <w:r>
              <w:rPr>
                <w:rFonts w:hint="eastAsia" w:ascii="华文中宋" w:hAnsi="华文中宋" w:eastAsia="华文中宋" w:cs="宋体"/>
                <w:color w:val="auto"/>
                <w:sz w:val="18"/>
                <w:szCs w:val="18"/>
                <w:highlight w:val="none"/>
              </w:rPr>
              <w:t>Y≥30000</w:t>
            </w:r>
          </w:p>
        </w:tc>
        <w:tc>
          <w:tcPr>
            <w:tcW w:w="1491" w:type="dxa"/>
            <w:noWrap w:val="0"/>
            <w:tcMar>
              <w:top w:w="0" w:type="dxa"/>
              <w:left w:w="108" w:type="dxa"/>
              <w:bottom w:w="0" w:type="dxa"/>
              <w:right w:w="108" w:type="dxa"/>
            </w:tcMar>
            <w:vAlign w:val="center"/>
          </w:tcPr>
          <w:p>
            <w:pPr>
              <w:rPr>
                <w:rFonts w:ascii="华文中宋" w:hAnsi="华文中宋" w:eastAsia="华文中宋" w:cs="宋体"/>
                <w:bCs/>
                <w:color w:val="auto"/>
                <w:highlight w:val="none"/>
              </w:rPr>
            </w:pPr>
            <w:r>
              <w:rPr>
                <w:rFonts w:hint="eastAsia" w:ascii="华文中宋" w:hAnsi="华文中宋" w:eastAsia="华文中宋" w:cs="宋体"/>
                <w:color w:val="auto"/>
                <w:sz w:val="18"/>
                <w:szCs w:val="18"/>
                <w:highlight w:val="none"/>
              </w:rPr>
              <w:t>1000≤Y＜30000</w:t>
            </w:r>
          </w:p>
        </w:tc>
        <w:tc>
          <w:tcPr>
            <w:tcW w:w="1315" w:type="dxa"/>
            <w:noWrap w:val="0"/>
            <w:tcMar>
              <w:top w:w="0" w:type="dxa"/>
              <w:left w:w="108" w:type="dxa"/>
              <w:bottom w:w="0" w:type="dxa"/>
              <w:right w:w="108" w:type="dxa"/>
            </w:tcMar>
            <w:vAlign w:val="center"/>
          </w:tcPr>
          <w:p>
            <w:pPr>
              <w:rPr>
                <w:rFonts w:ascii="华文中宋" w:hAnsi="华文中宋" w:eastAsia="华文中宋" w:cs="宋体"/>
                <w:bCs/>
                <w:color w:val="auto"/>
                <w:highlight w:val="none"/>
              </w:rPr>
            </w:pPr>
            <w:r>
              <w:rPr>
                <w:rFonts w:hint="eastAsia" w:ascii="华文中宋" w:hAnsi="华文中宋" w:eastAsia="华文中宋" w:cs="宋体"/>
                <w:color w:val="auto"/>
                <w:sz w:val="18"/>
                <w:szCs w:val="18"/>
                <w:highlight w:val="none"/>
              </w:rPr>
              <w:t>100≤Y＜1000</w:t>
            </w:r>
          </w:p>
        </w:tc>
        <w:tc>
          <w:tcPr>
            <w:tcW w:w="908" w:type="dxa"/>
            <w:noWrap w:val="0"/>
            <w:tcMar>
              <w:top w:w="0" w:type="dxa"/>
              <w:left w:w="108" w:type="dxa"/>
              <w:bottom w:w="0" w:type="dxa"/>
              <w:right w:w="108" w:type="dxa"/>
            </w:tcMar>
            <w:vAlign w:val="center"/>
          </w:tcPr>
          <w:p>
            <w:pPr>
              <w:rPr>
                <w:rFonts w:ascii="华文中宋" w:hAnsi="华文中宋" w:eastAsia="华文中宋" w:cs="宋体"/>
                <w:bCs/>
                <w:color w:val="auto"/>
                <w:highlight w:val="none"/>
              </w:rPr>
            </w:pPr>
            <w:r>
              <w:rPr>
                <w:rFonts w:hint="eastAsia" w:ascii="华文中宋" w:hAnsi="华文中宋" w:eastAsia="华文中宋" w:cs="宋体"/>
                <w:color w:val="auto"/>
                <w:sz w:val="18"/>
                <w:szCs w:val="18"/>
                <w:highlight w:val="none"/>
              </w:rPr>
              <w:t>Y＜100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97" w:hRule="atLeast"/>
          <w:jc w:val="center"/>
        </w:trPr>
        <w:tc>
          <w:tcPr>
            <w:tcW w:w="1560" w:type="dxa"/>
            <w:vMerge w:val="restart"/>
            <w:noWrap w:val="0"/>
            <w:tcMar>
              <w:top w:w="0" w:type="dxa"/>
              <w:left w:w="108" w:type="dxa"/>
              <w:bottom w:w="0" w:type="dxa"/>
              <w:right w:w="108" w:type="dxa"/>
            </w:tcMar>
            <w:vAlign w:val="center"/>
          </w:tcPr>
          <w:p>
            <w:pPr>
              <w:spacing w:line="240" w:lineRule="atLeast"/>
              <w:rPr>
                <w:rFonts w:ascii="华文中宋" w:hAnsi="华文中宋" w:eastAsia="华文中宋" w:cs="宋体"/>
                <w:bCs/>
                <w:color w:val="auto"/>
                <w:highlight w:val="none"/>
              </w:rPr>
            </w:pPr>
            <w:r>
              <w:rPr>
                <w:rFonts w:hint="eastAsia" w:ascii="华文中宋" w:hAnsi="华文中宋" w:eastAsia="华文中宋" w:cs="宋体"/>
                <w:color w:val="auto"/>
                <w:sz w:val="18"/>
                <w:szCs w:val="18"/>
                <w:highlight w:val="none"/>
              </w:rPr>
              <w:t>邮政业</w:t>
            </w:r>
          </w:p>
        </w:tc>
        <w:tc>
          <w:tcPr>
            <w:tcW w:w="1281" w:type="dxa"/>
            <w:noWrap w:val="0"/>
            <w:tcMar>
              <w:top w:w="0" w:type="dxa"/>
              <w:left w:w="108" w:type="dxa"/>
              <w:bottom w:w="0" w:type="dxa"/>
              <w:right w:w="108" w:type="dxa"/>
            </w:tcMar>
            <w:vAlign w:val="center"/>
          </w:tcPr>
          <w:p>
            <w:pPr>
              <w:rPr>
                <w:rFonts w:ascii="华文中宋" w:hAnsi="华文中宋" w:eastAsia="华文中宋" w:cs="宋体"/>
                <w:bCs/>
                <w:color w:val="auto"/>
                <w:highlight w:val="none"/>
              </w:rPr>
            </w:pPr>
            <w:r>
              <w:rPr>
                <w:rFonts w:hint="eastAsia" w:ascii="华文中宋" w:hAnsi="华文中宋" w:eastAsia="华文中宋" w:cs="宋体"/>
                <w:color w:val="auto"/>
                <w:sz w:val="18"/>
                <w:szCs w:val="18"/>
                <w:highlight w:val="none"/>
              </w:rPr>
              <w:t>从业人员(X)</w:t>
            </w:r>
          </w:p>
        </w:tc>
        <w:tc>
          <w:tcPr>
            <w:tcW w:w="758" w:type="dxa"/>
            <w:noWrap w:val="0"/>
            <w:tcMar>
              <w:top w:w="0" w:type="dxa"/>
              <w:left w:w="108" w:type="dxa"/>
              <w:bottom w:w="0" w:type="dxa"/>
              <w:right w:w="108" w:type="dxa"/>
            </w:tcMar>
            <w:vAlign w:val="center"/>
          </w:tcPr>
          <w:p>
            <w:pPr>
              <w:rPr>
                <w:rFonts w:ascii="华文中宋" w:hAnsi="华文中宋" w:eastAsia="华文中宋" w:cs="宋体"/>
                <w:bCs/>
                <w:color w:val="auto"/>
                <w:highlight w:val="none"/>
              </w:rPr>
            </w:pPr>
            <w:r>
              <w:rPr>
                <w:rFonts w:hint="eastAsia" w:ascii="华文中宋" w:hAnsi="华文中宋" w:eastAsia="华文中宋" w:cs="宋体"/>
                <w:color w:val="auto"/>
                <w:sz w:val="18"/>
                <w:szCs w:val="18"/>
                <w:highlight w:val="none"/>
              </w:rPr>
              <w:t>人</w:t>
            </w:r>
          </w:p>
        </w:tc>
        <w:tc>
          <w:tcPr>
            <w:tcW w:w="993" w:type="dxa"/>
            <w:noWrap w:val="0"/>
            <w:tcMar>
              <w:top w:w="0" w:type="dxa"/>
              <w:left w:w="108" w:type="dxa"/>
              <w:bottom w:w="0" w:type="dxa"/>
              <w:right w:w="108" w:type="dxa"/>
            </w:tcMar>
            <w:vAlign w:val="center"/>
          </w:tcPr>
          <w:p>
            <w:pPr>
              <w:rPr>
                <w:rFonts w:ascii="华文中宋" w:hAnsi="华文中宋" w:eastAsia="华文中宋" w:cs="宋体"/>
                <w:bCs/>
                <w:color w:val="auto"/>
                <w:highlight w:val="none"/>
              </w:rPr>
            </w:pPr>
            <w:r>
              <w:rPr>
                <w:rFonts w:hint="eastAsia" w:ascii="华文中宋" w:hAnsi="华文中宋" w:eastAsia="华文中宋" w:cs="宋体"/>
                <w:color w:val="auto"/>
                <w:sz w:val="18"/>
                <w:szCs w:val="18"/>
                <w:highlight w:val="none"/>
              </w:rPr>
              <w:t>X≥1000</w:t>
            </w:r>
          </w:p>
        </w:tc>
        <w:tc>
          <w:tcPr>
            <w:tcW w:w="1491" w:type="dxa"/>
            <w:noWrap w:val="0"/>
            <w:tcMar>
              <w:top w:w="0" w:type="dxa"/>
              <w:left w:w="108" w:type="dxa"/>
              <w:bottom w:w="0" w:type="dxa"/>
              <w:right w:w="108" w:type="dxa"/>
            </w:tcMar>
            <w:vAlign w:val="center"/>
          </w:tcPr>
          <w:p>
            <w:pPr>
              <w:rPr>
                <w:rFonts w:ascii="华文中宋" w:hAnsi="华文中宋" w:eastAsia="华文中宋" w:cs="宋体"/>
                <w:bCs/>
                <w:color w:val="auto"/>
                <w:highlight w:val="none"/>
              </w:rPr>
            </w:pPr>
            <w:r>
              <w:rPr>
                <w:rFonts w:hint="eastAsia" w:ascii="华文中宋" w:hAnsi="华文中宋" w:eastAsia="华文中宋" w:cs="宋体"/>
                <w:color w:val="auto"/>
                <w:sz w:val="18"/>
                <w:szCs w:val="18"/>
                <w:highlight w:val="none"/>
              </w:rPr>
              <w:t>300≤X＜1000</w:t>
            </w:r>
          </w:p>
        </w:tc>
        <w:tc>
          <w:tcPr>
            <w:tcW w:w="1315" w:type="dxa"/>
            <w:noWrap w:val="0"/>
            <w:tcMar>
              <w:top w:w="0" w:type="dxa"/>
              <w:left w:w="108" w:type="dxa"/>
              <w:bottom w:w="0" w:type="dxa"/>
              <w:right w:w="108" w:type="dxa"/>
            </w:tcMar>
            <w:vAlign w:val="center"/>
          </w:tcPr>
          <w:p>
            <w:pPr>
              <w:rPr>
                <w:rFonts w:ascii="华文中宋" w:hAnsi="华文中宋" w:eastAsia="华文中宋" w:cs="宋体"/>
                <w:bCs/>
                <w:color w:val="auto"/>
                <w:highlight w:val="none"/>
              </w:rPr>
            </w:pPr>
            <w:r>
              <w:rPr>
                <w:rFonts w:hint="eastAsia" w:ascii="华文中宋" w:hAnsi="华文中宋" w:eastAsia="华文中宋" w:cs="宋体"/>
                <w:color w:val="auto"/>
                <w:sz w:val="18"/>
                <w:szCs w:val="18"/>
                <w:highlight w:val="none"/>
              </w:rPr>
              <w:t>20≤X＜300</w:t>
            </w:r>
          </w:p>
        </w:tc>
        <w:tc>
          <w:tcPr>
            <w:tcW w:w="908" w:type="dxa"/>
            <w:noWrap w:val="0"/>
            <w:tcMar>
              <w:top w:w="0" w:type="dxa"/>
              <w:left w:w="108" w:type="dxa"/>
              <w:bottom w:w="0" w:type="dxa"/>
              <w:right w:w="108" w:type="dxa"/>
            </w:tcMar>
            <w:vAlign w:val="center"/>
          </w:tcPr>
          <w:p>
            <w:pPr>
              <w:rPr>
                <w:rFonts w:ascii="华文中宋" w:hAnsi="华文中宋" w:eastAsia="华文中宋" w:cs="宋体"/>
                <w:bCs/>
                <w:color w:val="auto"/>
                <w:highlight w:val="none"/>
              </w:rPr>
            </w:pPr>
            <w:r>
              <w:rPr>
                <w:rFonts w:hint="eastAsia" w:ascii="华文中宋" w:hAnsi="华文中宋" w:eastAsia="华文中宋" w:cs="宋体"/>
                <w:color w:val="auto"/>
                <w:sz w:val="18"/>
                <w:szCs w:val="18"/>
                <w:highlight w:val="none"/>
              </w:rPr>
              <w:t>X＜20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97" w:hRule="atLeast"/>
          <w:jc w:val="center"/>
        </w:trPr>
        <w:tc>
          <w:tcPr>
            <w:tcW w:w="1560" w:type="dxa"/>
            <w:vMerge w:val="continue"/>
            <w:noWrap w:val="0"/>
            <w:vAlign w:val="center"/>
          </w:tcPr>
          <w:p>
            <w:pPr>
              <w:ind w:firstLine="480"/>
              <w:rPr>
                <w:rFonts w:ascii="华文中宋" w:hAnsi="华文中宋" w:eastAsia="华文中宋" w:cs="宋体"/>
                <w:bCs/>
                <w:color w:val="auto"/>
                <w:highlight w:val="none"/>
              </w:rPr>
            </w:pPr>
          </w:p>
        </w:tc>
        <w:tc>
          <w:tcPr>
            <w:tcW w:w="1281" w:type="dxa"/>
            <w:noWrap w:val="0"/>
            <w:tcMar>
              <w:top w:w="0" w:type="dxa"/>
              <w:left w:w="108" w:type="dxa"/>
              <w:bottom w:w="0" w:type="dxa"/>
              <w:right w:w="108" w:type="dxa"/>
            </w:tcMar>
            <w:vAlign w:val="center"/>
          </w:tcPr>
          <w:p>
            <w:pPr>
              <w:spacing w:line="240" w:lineRule="atLeast"/>
              <w:rPr>
                <w:rFonts w:ascii="华文中宋" w:hAnsi="华文中宋" w:eastAsia="华文中宋" w:cs="宋体"/>
                <w:bCs/>
                <w:color w:val="auto"/>
                <w:highlight w:val="none"/>
              </w:rPr>
            </w:pPr>
            <w:r>
              <w:rPr>
                <w:rFonts w:hint="eastAsia" w:ascii="华文中宋" w:hAnsi="华文中宋" w:eastAsia="华文中宋" w:cs="宋体"/>
                <w:color w:val="auto"/>
                <w:sz w:val="18"/>
                <w:szCs w:val="18"/>
                <w:highlight w:val="none"/>
              </w:rPr>
              <w:t>营业收入(Y)</w:t>
            </w:r>
          </w:p>
        </w:tc>
        <w:tc>
          <w:tcPr>
            <w:tcW w:w="758" w:type="dxa"/>
            <w:noWrap w:val="0"/>
            <w:tcMar>
              <w:top w:w="0" w:type="dxa"/>
              <w:left w:w="108" w:type="dxa"/>
              <w:bottom w:w="0" w:type="dxa"/>
              <w:right w:w="108" w:type="dxa"/>
            </w:tcMar>
            <w:vAlign w:val="center"/>
          </w:tcPr>
          <w:p>
            <w:pPr>
              <w:rPr>
                <w:rFonts w:ascii="华文中宋" w:hAnsi="华文中宋" w:eastAsia="华文中宋" w:cs="宋体"/>
                <w:bCs/>
                <w:color w:val="auto"/>
                <w:highlight w:val="none"/>
              </w:rPr>
            </w:pPr>
            <w:r>
              <w:rPr>
                <w:rFonts w:hint="eastAsia" w:ascii="华文中宋" w:hAnsi="华文中宋" w:eastAsia="华文中宋" w:cs="宋体"/>
                <w:color w:val="auto"/>
                <w:sz w:val="18"/>
                <w:szCs w:val="18"/>
                <w:highlight w:val="none"/>
              </w:rPr>
              <w:t>万元</w:t>
            </w:r>
          </w:p>
        </w:tc>
        <w:tc>
          <w:tcPr>
            <w:tcW w:w="993" w:type="dxa"/>
            <w:noWrap w:val="0"/>
            <w:tcMar>
              <w:top w:w="0" w:type="dxa"/>
              <w:left w:w="108" w:type="dxa"/>
              <w:bottom w:w="0" w:type="dxa"/>
              <w:right w:w="108" w:type="dxa"/>
            </w:tcMar>
            <w:vAlign w:val="center"/>
          </w:tcPr>
          <w:p>
            <w:pPr>
              <w:rPr>
                <w:rFonts w:ascii="华文中宋" w:hAnsi="华文中宋" w:eastAsia="华文中宋" w:cs="宋体"/>
                <w:bCs/>
                <w:color w:val="auto"/>
                <w:highlight w:val="none"/>
              </w:rPr>
            </w:pPr>
            <w:r>
              <w:rPr>
                <w:rFonts w:hint="eastAsia" w:ascii="华文中宋" w:hAnsi="华文中宋" w:eastAsia="华文中宋" w:cs="宋体"/>
                <w:color w:val="auto"/>
                <w:sz w:val="18"/>
                <w:szCs w:val="18"/>
                <w:highlight w:val="none"/>
              </w:rPr>
              <w:t>Y≥30000</w:t>
            </w:r>
          </w:p>
        </w:tc>
        <w:tc>
          <w:tcPr>
            <w:tcW w:w="1491" w:type="dxa"/>
            <w:noWrap w:val="0"/>
            <w:tcMar>
              <w:top w:w="0" w:type="dxa"/>
              <w:left w:w="108" w:type="dxa"/>
              <w:bottom w:w="0" w:type="dxa"/>
              <w:right w:w="108" w:type="dxa"/>
            </w:tcMar>
            <w:vAlign w:val="center"/>
          </w:tcPr>
          <w:p>
            <w:pPr>
              <w:rPr>
                <w:rFonts w:ascii="华文中宋" w:hAnsi="华文中宋" w:eastAsia="华文中宋" w:cs="宋体"/>
                <w:bCs/>
                <w:color w:val="auto"/>
                <w:highlight w:val="none"/>
              </w:rPr>
            </w:pPr>
            <w:r>
              <w:rPr>
                <w:rFonts w:hint="eastAsia" w:ascii="华文中宋" w:hAnsi="华文中宋" w:eastAsia="华文中宋" w:cs="宋体"/>
                <w:color w:val="auto"/>
                <w:sz w:val="18"/>
                <w:szCs w:val="18"/>
                <w:highlight w:val="none"/>
              </w:rPr>
              <w:t>2000≤Y＜30000</w:t>
            </w:r>
          </w:p>
        </w:tc>
        <w:tc>
          <w:tcPr>
            <w:tcW w:w="1315" w:type="dxa"/>
            <w:noWrap w:val="0"/>
            <w:tcMar>
              <w:top w:w="0" w:type="dxa"/>
              <w:left w:w="108" w:type="dxa"/>
              <w:bottom w:w="0" w:type="dxa"/>
              <w:right w:w="108" w:type="dxa"/>
            </w:tcMar>
            <w:vAlign w:val="center"/>
          </w:tcPr>
          <w:p>
            <w:pPr>
              <w:rPr>
                <w:rFonts w:ascii="华文中宋" w:hAnsi="华文中宋" w:eastAsia="华文中宋" w:cs="宋体"/>
                <w:bCs/>
                <w:color w:val="auto"/>
                <w:highlight w:val="none"/>
              </w:rPr>
            </w:pPr>
            <w:r>
              <w:rPr>
                <w:rFonts w:hint="eastAsia" w:ascii="华文中宋" w:hAnsi="华文中宋" w:eastAsia="华文中宋" w:cs="宋体"/>
                <w:color w:val="auto"/>
                <w:sz w:val="18"/>
                <w:szCs w:val="18"/>
                <w:highlight w:val="none"/>
              </w:rPr>
              <w:t>100≤Y＜2000</w:t>
            </w:r>
          </w:p>
        </w:tc>
        <w:tc>
          <w:tcPr>
            <w:tcW w:w="908" w:type="dxa"/>
            <w:noWrap w:val="0"/>
            <w:tcMar>
              <w:top w:w="0" w:type="dxa"/>
              <w:left w:w="108" w:type="dxa"/>
              <w:bottom w:w="0" w:type="dxa"/>
              <w:right w:w="108" w:type="dxa"/>
            </w:tcMar>
            <w:vAlign w:val="center"/>
          </w:tcPr>
          <w:p>
            <w:pPr>
              <w:rPr>
                <w:rFonts w:ascii="华文中宋" w:hAnsi="华文中宋" w:eastAsia="华文中宋" w:cs="宋体"/>
                <w:bCs/>
                <w:color w:val="auto"/>
                <w:highlight w:val="none"/>
              </w:rPr>
            </w:pPr>
            <w:r>
              <w:rPr>
                <w:rFonts w:hint="eastAsia" w:ascii="华文中宋" w:hAnsi="华文中宋" w:eastAsia="华文中宋" w:cs="宋体"/>
                <w:color w:val="auto"/>
                <w:sz w:val="18"/>
                <w:szCs w:val="18"/>
                <w:highlight w:val="none"/>
              </w:rPr>
              <w:t>Y＜100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97" w:hRule="atLeast"/>
          <w:jc w:val="center"/>
        </w:trPr>
        <w:tc>
          <w:tcPr>
            <w:tcW w:w="1560" w:type="dxa"/>
            <w:vMerge w:val="restart"/>
            <w:noWrap w:val="0"/>
            <w:tcMar>
              <w:top w:w="0" w:type="dxa"/>
              <w:left w:w="108" w:type="dxa"/>
              <w:bottom w:w="0" w:type="dxa"/>
              <w:right w:w="108" w:type="dxa"/>
            </w:tcMar>
            <w:vAlign w:val="center"/>
          </w:tcPr>
          <w:p>
            <w:pPr>
              <w:spacing w:line="240" w:lineRule="atLeast"/>
              <w:rPr>
                <w:rFonts w:ascii="华文中宋" w:hAnsi="华文中宋" w:eastAsia="华文中宋" w:cs="宋体"/>
                <w:bCs/>
                <w:color w:val="auto"/>
                <w:highlight w:val="none"/>
              </w:rPr>
            </w:pPr>
            <w:r>
              <w:rPr>
                <w:rFonts w:hint="eastAsia" w:ascii="华文中宋" w:hAnsi="华文中宋" w:eastAsia="华文中宋" w:cs="宋体"/>
                <w:color w:val="auto"/>
                <w:sz w:val="18"/>
                <w:szCs w:val="18"/>
                <w:highlight w:val="none"/>
              </w:rPr>
              <w:t>住宿业</w:t>
            </w:r>
          </w:p>
        </w:tc>
        <w:tc>
          <w:tcPr>
            <w:tcW w:w="1281" w:type="dxa"/>
            <w:noWrap w:val="0"/>
            <w:tcMar>
              <w:top w:w="0" w:type="dxa"/>
              <w:left w:w="108" w:type="dxa"/>
              <w:bottom w:w="0" w:type="dxa"/>
              <w:right w:w="108" w:type="dxa"/>
            </w:tcMar>
            <w:vAlign w:val="center"/>
          </w:tcPr>
          <w:p>
            <w:pPr>
              <w:rPr>
                <w:rFonts w:ascii="华文中宋" w:hAnsi="华文中宋" w:eastAsia="华文中宋" w:cs="宋体"/>
                <w:bCs/>
                <w:color w:val="auto"/>
                <w:highlight w:val="none"/>
              </w:rPr>
            </w:pPr>
            <w:r>
              <w:rPr>
                <w:rFonts w:hint="eastAsia" w:ascii="华文中宋" w:hAnsi="华文中宋" w:eastAsia="华文中宋" w:cs="宋体"/>
                <w:color w:val="auto"/>
                <w:sz w:val="18"/>
                <w:szCs w:val="18"/>
                <w:highlight w:val="none"/>
              </w:rPr>
              <w:t>从业人员(X)</w:t>
            </w:r>
          </w:p>
        </w:tc>
        <w:tc>
          <w:tcPr>
            <w:tcW w:w="758" w:type="dxa"/>
            <w:noWrap w:val="0"/>
            <w:tcMar>
              <w:top w:w="0" w:type="dxa"/>
              <w:left w:w="108" w:type="dxa"/>
              <w:bottom w:w="0" w:type="dxa"/>
              <w:right w:w="108" w:type="dxa"/>
            </w:tcMar>
            <w:vAlign w:val="center"/>
          </w:tcPr>
          <w:p>
            <w:pPr>
              <w:rPr>
                <w:rFonts w:ascii="华文中宋" w:hAnsi="华文中宋" w:eastAsia="华文中宋" w:cs="宋体"/>
                <w:bCs/>
                <w:color w:val="auto"/>
                <w:highlight w:val="none"/>
              </w:rPr>
            </w:pPr>
            <w:r>
              <w:rPr>
                <w:rFonts w:hint="eastAsia" w:ascii="华文中宋" w:hAnsi="华文中宋" w:eastAsia="华文中宋" w:cs="宋体"/>
                <w:color w:val="auto"/>
                <w:sz w:val="18"/>
                <w:szCs w:val="18"/>
                <w:highlight w:val="none"/>
              </w:rPr>
              <w:t>人</w:t>
            </w:r>
          </w:p>
        </w:tc>
        <w:tc>
          <w:tcPr>
            <w:tcW w:w="993" w:type="dxa"/>
            <w:noWrap w:val="0"/>
            <w:tcMar>
              <w:top w:w="0" w:type="dxa"/>
              <w:left w:w="108" w:type="dxa"/>
              <w:bottom w:w="0" w:type="dxa"/>
              <w:right w:w="108" w:type="dxa"/>
            </w:tcMar>
            <w:vAlign w:val="center"/>
          </w:tcPr>
          <w:p>
            <w:pPr>
              <w:rPr>
                <w:rFonts w:ascii="华文中宋" w:hAnsi="华文中宋" w:eastAsia="华文中宋" w:cs="宋体"/>
                <w:bCs/>
                <w:color w:val="auto"/>
                <w:highlight w:val="none"/>
              </w:rPr>
            </w:pPr>
            <w:r>
              <w:rPr>
                <w:rFonts w:hint="eastAsia" w:ascii="华文中宋" w:hAnsi="华文中宋" w:eastAsia="华文中宋" w:cs="宋体"/>
                <w:color w:val="auto"/>
                <w:sz w:val="18"/>
                <w:szCs w:val="18"/>
                <w:highlight w:val="none"/>
              </w:rPr>
              <w:t>X≥300</w:t>
            </w:r>
          </w:p>
        </w:tc>
        <w:tc>
          <w:tcPr>
            <w:tcW w:w="1491" w:type="dxa"/>
            <w:noWrap w:val="0"/>
            <w:tcMar>
              <w:top w:w="0" w:type="dxa"/>
              <w:left w:w="108" w:type="dxa"/>
              <w:bottom w:w="0" w:type="dxa"/>
              <w:right w:w="108" w:type="dxa"/>
            </w:tcMar>
            <w:vAlign w:val="center"/>
          </w:tcPr>
          <w:p>
            <w:pPr>
              <w:ind w:left="1"/>
              <w:rPr>
                <w:rFonts w:ascii="华文中宋" w:hAnsi="华文中宋" w:eastAsia="华文中宋" w:cs="宋体"/>
                <w:bCs/>
                <w:color w:val="auto"/>
                <w:highlight w:val="none"/>
              </w:rPr>
            </w:pPr>
            <w:r>
              <w:rPr>
                <w:rFonts w:hint="eastAsia" w:ascii="华文中宋" w:hAnsi="华文中宋" w:eastAsia="华文中宋" w:cs="宋体"/>
                <w:color w:val="auto"/>
                <w:sz w:val="18"/>
                <w:szCs w:val="18"/>
                <w:highlight w:val="none"/>
              </w:rPr>
              <w:t>100≤X＜300</w:t>
            </w:r>
          </w:p>
        </w:tc>
        <w:tc>
          <w:tcPr>
            <w:tcW w:w="1315" w:type="dxa"/>
            <w:noWrap w:val="0"/>
            <w:tcMar>
              <w:top w:w="0" w:type="dxa"/>
              <w:left w:w="108" w:type="dxa"/>
              <w:bottom w:w="0" w:type="dxa"/>
              <w:right w:w="108" w:type="dxa"/>
            </w:tcMar>
            <w:vAlign w:val="center"/>
          </w:tcPr>
          <w:p>
            <w:pPr>
              <w:rPr>
                <w:rFonts w:ascii="华文中宋" w:hAnsi="华文中宋" w:eastAsia="华文中宋" w:cs="宋体"/>
                <w:bCs/>
                <w:color w:val="auto"/>
                <w:highlight w:val="none"/>
              </w:rPr>
            </w:pPr>
            <w:r>
              <w:rPr>
                <w:rFonts w:hint="eastAsia" w:ascii="华文中宋" w:hAnsi="华文中宋" w:eastAsia="华文中宋" w:cs="宋体"/>
                <w:color w:val="auto"/>
                <w:sz w:val="18"/>
                <w:szCs w:val="18"/>
                <w:highlight w:val="none"/>
              </w:rPr>
              <w:t>10≤X＜100</w:t>
            </w:r>
          </w:p>
        </w:tc>
        <w:tc>
          <w:tcPr>
            <w:tcW w:w="908" w:type="dxa"/>
            <w:noWrap w:val="0"/>
            <w:tcMar>
              <w:top w:w="0" w:type="dxa"/>
              <w:left w:w="108" w:type="dxa"/>
              <w:bottom w:w="0" w:type="dxa"/>
              <w:right w:w="108" w:type="dxa"/>
            </w:tcMar>
            <w:vAlign w:val="center"/>
          </w:tcPr>
          <w:p>
            <w:pPr>
              <w:rPr>
                <w:rFonts w:ascii="华文中宋" w:hAnsi="华文中宋" w:eastAsia="华文中宋" w:cs="宋体"/>
                <w:bCs/>
                <w:color w:val="auto"/>
                <w:highlight w:val="none"/>
              </w:rPr>
            </w:pPr>
            <w:r>
              <w:rPr>
                <w:rFonts w:hint="eastAsia" w:ascii="华文中宋" w:hAnsi="华文中宋" w:eastAsia="华文中宋" w:cs="宋体"/>
                <w:color w:val="auto"/>
                <w:sz w:val="18"/>
                <w:szCs w:val="18"/>
                <w:highlight w:val="none"/>
              </w:rPr>
              <w:t>X＜10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97" w:hRule="atLeast"/>
          <w:jc w:val="center"/>
        </w:trPr>
        <w:tc>
          <w:tcPr>
            <w:tcW w:w="1560" w:type="dxa"/>
            <w:vMerge w:val="continue"/>
            <w:noWrap w:val="0"/>
            <w:vAlign w:val="center"/>
          </w:tcPr>
          <w:p>
            <w:pPr>
              <w:ind w:firstLine="480"/>
              <w:rPr>
                <w:rFonts w:ascii="华文中宋" w:hAnsi="华文中宋" w:eastAsia="华文中宋" w:cs="宋体"/>
                <w:bCs/>
                <w:color w:val="auto"/>
                <w:highlight w:val="none"/>
              </w:rPr>
            </w:pPr>
          </w:p>
        </w:tc>
        <w:tc>
          <w:tcPr>
            <w:tcW w:w="1281" w:type="dxa"/>
            <w:noWrap w:val="0"/>
            <w:tcMar>
              <w:top w:w="0" w:type="dxa"/>
              <w:left w:w="108" w:type="dxa"/>
              <w:bottom w:w="0" w:type="dxa"/>
              <w:right w:w="108" w:type="dxa"/>
            </w:tcMar>
            <w:vAlign w:val="center"/>
          </w:tcPr>
          <w:p>
            <w:pPr>
              <w:spacing w:line="240" w:lineRule="atLeast"/>
              <w:rPr>
                <w:rFonts w:ascii="华文中宋" w:hAnsi="华文中宋" w:eastAsia="华文中宋" w:cs="宋体"/>
                <w:bCs/>
                <w:color w:val="auto"/>
                <w:highlight w:val="none"/>
              </w:rPr>
            </w:pPr>
            <w:r>
              <w:rPr>
                <w:rFonts w:hint="eastAsia" w:ascii="华文中宋" w:hAnsi="华文中宋" w:eastAsia="华文中宋" w:cs="宋体"/>
                <w:color w:val="auto"/>
                <w:sz w:val="18"/>
                <w:szCs w:val="18"/>
                <w:highlight w:val="none"/>
              </w:rPr>
              <w:t>营业收入(Y)</w:t>
            </w:r>
          </w:p>
        </w:tc>
        <w:tc>
          <w:tcPr>
            <w:tcW w:w="758" w:type="dxa"/>
            <w:noWrap w:val="0"/>
            <w:tcMar>
              <w:top w:w="0" w:type="dxa"/>
              <w:left w:w="108" w:type="dxa"/>
              <w:bottom w:w="0" w:type="dxa"/>
              <w:right w:w="108" w:type="dxa"/>
            </w:tcMar>
            <w:vAlign w:val="center"/>
          </w:tcPr>
          <w:p>
            <w:pPr>
              <w:rPr>
                <w:rFonts w:ascii="华文中宋" w:hAnsi="华文中宋" w:eastAsia="华文中宋" w:cs="宋体"/>
                <w:bCs/>
                <w:color w:val="auto"/>
                <w:highlight w:val="none"/>
              </w:rPr>
            </w:pPr>
            <w:r>
              <w:rPr>
                <w:rFonts w:hint="eastAsia" w:ascii="华文中宋" w:hAnsi="华文中宋" w:eastAsia="华文中宋" w:cs="宋体"/>
                <w:color w:val="auto"/>
                <w:sz w:val="18"/>
                <w:szCs w:val="18"/>
                <w:highlight w:val="none"/>
              </w:rPr>
              <w:t>万元</w:t>
            </w:r>
          </w:p>
        </w:tc>
        <w:tc>
          <w:tcPr>
            <w:tcW w:w="993" w:type="dxa"/>
            <w:noWrap w:val="0"/>
            <w:tcMar>
              <w:top w:w="0" w:type="dxa"/>
              <w:left w:w="108" w:type="dxa"/>
              <w:bottom w:w="0" w:type="dxa"/>
              <w:right w:w="108" w:type="dxa"/>
            </w:tcMar>
            <w:vAlign w:val="center"/>
          </w:tcPr>
          <w:p>
            <w:pPr>
              <w:rPr>
                <w:rFonts w:ascii="华文中宋" w:hAnsi="华文中宋" w:eastAsia="华文中宋" w:cs="宋体"/>
                <w:bCs/>
                <w:color w:val="auto"/>
                <w:highlight w:val="none"/>
              </w:rPr>
            </w:pPr>
            <w:r>
              <w:rPr>
                <w:rFonts w:hint="eastAsia" w:ascii="华文中宋" w:hAnsi="华文中宋" w:eastAsia="华文中宋" w:cs="宋体"/>
                <w:color w:val="auto"/>
                <w:sz w:val="18"/>
                <w:szCs w:val="18"/>
                <w:highlight w:val="none"/>
              </w:rPr>
              <w:t>Y≥10000</w:t>
            </w:r>
          </w:p>
        </w:tc>
        <w:tc>
          <w:tcPr>
            <w:tcW w:w="1491" w:type="dxa"/>
            <w:noWrap w:val="0"/>
            <w:tcMar>
              <w:top w:w="0" w:type="dxa"/>
              <w:left w:w="108" w:type="dxa"/>
              <w:bottom w:w="0" w:type="dxa"/>
              <w:right w:w="108" w:type="dxa"/>
            </w:tcMar>
            <w:vAlign w:val="center"/>
          </w:tcPr>
          <w:p>
            <w:pPr>
              <w:rPr>
                <w:rFonts w:ascii="华文中宋" w:hAnsi="华文中宋" w:eastAsia="华文中宋" w:cs="宋体"/>
                <w:bCs/>
                <w:color w:val="auto"/>
                <w:highlight w:val="none"/>
              </w:rPr>
            </w:pPr>
            <w:r>
              <w:rPr>
                <w:rFonts w:hint="eastAsia" w:ascii="华文中宋" w:hAnsi="华文中宋" w:eastAsia="华文中宋" w:cs="宋体"/>
                <w:color w:val="auto"/>
                <w:sz w:val="18"/>
                <w:szCs w:val="18"/>
                <w:highlight w:val="none"/>
              </w:rPr>
              <w:t>2000≤Y＜10000</w:t>
            </w:r>
          </w:p>
        </w:tc>
        <w:tc>
          <w:tcPr>
            <w:tcW w:w="1315" w:type="dxa"/>
            <w:noWrap w:val="0"/>
            <w:tcMar>
              <w:top w:w="0" w:type="dxa"/>
              <w:left w:w="108" w:type="dxa"/>
              <w:bottom w:w="0" w:type="dxa"/>
              <w:right w:w="108" w:type="dxa"/>
            </w:tcMar>
            <w:vAlign w:val="center"/>
          </w:tcPr>
          <w:p>
            <w:pPr>
              <w:rPr>
                <w:rFonts w:ascii="华文中宋" w:hAnsi="华文中宋" w:eastAsia="华文中宋" w:cs="宋体"/>
                <w:bCs/>
                <w:color w:val="auto"/>
                <w:highlight w:val="none"/>
              </w:rPr>
            </w:pPr>
            <w:r>
              <w:rPr>
                <w:rFonts w:hint="eastAsia" w:ascii="华文中宋" w:hAnsi="华文中宋" w:eastAsia="华文中宋" w:cs="宋体"/>
                <w:color w:val="auto"/>
                <w:sz w:val="18"/>
                <w:szCs w:val="18"/>
                <w:highlight w:val="none"/>
              </w:rPr>
              <w:t>100≤Y＜2000</w:t>
            </w:r>
          </w:p>
        </w:tc>
        <w:tc>
          <w:tcPr>
            <w:tcW w:w="908" w:type="dxa"/>
            <w:noWrap w:val="0"/>
            <w:tcMar>
              <w:top w:w="0" w:type="dxa"/>
              <w:left w:w="108" w:type="dxa"/>
              <w:bottom w:w="0" w:type="dxa"/>
              <w:right w:w="108" w:type="dxa"/>
            </w:tcMar>
            <w:vAlign w:val="center"/>
          </w:tcPr>
          <w:p>
            <w:pPr>
              <w:rPr>
                <w:rFonts w:ascii="华文中宋" w:hAnsi="华文中宋" w:eastAsia="华文中宋" w:cs="宋体"/>
                <w:bCs/>
                <w:color w:val="auto"/>
                <w:highlight w:val="none"/>
              </w:rPr>
            </w:pPr>
            <w:r>
              <w:rPr>
                <w:rFonts w:hint="eastAsia" w:ascii="华文中宋" w:hAnsi="华文中宋" w:eastAsia="华文中宋" w:cs="宋体"/>
                <w:color w:val="auto"/>
                <w:sz w:val="18"/>
                <w:szCs w:val="18"/>
                <w:highlight w:val="none"/>
              </w:rPr>
              <w:t>Y＜100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97" w:hRule="atLeast"/>
          <w:jc w:val="center"/>
        </w:trPr>
        <w:tc>
          <w:tcPr>
            <w:tcW w:w="1560" w:type="dxa"/>
            <w:vMerge w:val="restart"/>
            <w:noWrap w:val="0"/>
            <w:tcMar>
              <w:top w:w="0" w:type="dxa"/>
              <w:left w:w="108" w:type="dxa"/>
              <w:bottom w:w="0" w:type="dxa"/>
              <w:right w:w="108" w:type="dxa"/>
            </w:tcMar>
            <w:vAlign w:val="center"/>
          </w:tcPr>
          <w:p>
            <w:pPr>
              <w:spacing w:line="240" w:lineRule="atLeast"/>
              <w:rPr>
                <w:rFonts w:ascii="华文中宋" w:hAnsi="华文中宋" w:eastAsia="华文中宋" w:cs="宋体"/>
                <w:bCs/>
                <w:color w:val="auto"/>
                <w:highlight w:val="none"/>
              </w:rPr>
            </w:pPr>
            <w:r>
              <w:rPr>
                <w:rFonts w:hint="eastAsia" w:ascii="华文中宋" w:hAnsi="华文中宋" w:eastAsia="华文中宋" w:cs="宋体"/>
                <w:color w:val="auto"/>
                <w:sz w:val="18"/>
                <w:szCs w:val="18"/>
                <w:highlight w:val="none"/>
              </w:rPr>
              <w:t>餐饮业</w:t>
            </w:r>
          </w:p>
        </w:tc>
        <w:tc>
          <w:tcPr>
            <w:tcW w:w="1281" w:type="dxa"/>
            <w:noWrap w:val="0"/>
            <w:tcMar>
              <w:top w:w="0" w:type="dxa"/>
              <w:left w:w="108" w:type="dxa"/>
              <w:bottom w:w="0" w:type="dxa"/>
              <w:right w:w="108" w:type="dxa"/>
            </w:tcMar>
            <w:vAlign w:val="center"/>
          </w:tcPr>
          <w:p>
            <w:pPr>
              <w:rPr>
                <w:rFonts w:ascii="华文中宋" w:hAnsi="华文中宋" w:eastAsia="华文中宋" w:cs="宋体"/>
                <w:bCs/>
                <w:color w:val="auto"/>
                <w:highlight w:val="none"/>
              </w:rPr>
            </w:pPr>
            <w:r>
              <w:rPr>
                <w:rFonts w:hint="eastAsia" w:ascii="华文中宋" w:hAnsi="华文中宋" w:eastAsia="华文中宋" w:cs="宋体"/>
                <w:color w:val="auto"/>
                <w:sz w:val="18"/>
                <w:szCs w:val="18"/>
                <w:highlight w:val="none"/>
              </w:rPr>
              <w:t>从业人员(X)</w:t>
            </w:r>
          </w:p>
        </w:tc>
        <w:tc>
          <w:tcPr>
            <w:tcW w:w="758" w:type="dxa"/>
            <w:noWrap w:val="0"/>
            <w:tcMar>
              <w:top w:w="0" w:type="dxa"/>
              <w:left w:w="108" w:type="dxa"/>
              <w:bottom w:w="0" w:type="dxa"/>
              <w:right w:w="108" w:type="dxa"/>
            </w:tcMar>
            <w:vAlign w:val="center"/>
          </w:tcPr>
          <w:p>
            <w:pPr>
              <w:rPr>
                <w:rFonts w:ascii="华文中宋" w:hAnsi="华文中宋" w:eastAsia="华文中宋" w:cs="宋体"/>
                <w:bCs/>
                <w:color w:val="auto"/>
                <w:highlight w:val="none"/>
              </w:rPr>
            </w:pPr>
            <w:r>
              <w:rPr>
                <w:rFonts w:hint="eastAsia" w:ascii="华文中宋" w:hAnsi="华文中宋" w:eastAsia="华文中宋" w:cs="宋体"/>
                <w:color w:val="auto"/>
                <w:sz w:val="18"/>
                <w:szCs w:val="18"/>
                <w:highlight w:val="none"/>
              </w:rPr>
              <w:t>人</w:t>
            </w:r>
          </w:p>
        </w:tc>
        <w:tc>
          <w:tcPr>
            <w:tcW w:w="993" w:type="dxa"/>
            <w:noWrap w:val="0"/>
            <w:tcMar>
              <w:top w:w="0" w:type="dxa"/>
              <w:left w:w="108" w:type="dxa"/>
              <w:bottom w:w="0" w:type="dxa"/>
              <w:right w:w="108" w:type="dxa"/>
            </w:tcMar>
            <w:vAlign w:val="center"/>
          </w:tcPr>
          <w:p>
            <w:pPr>
              <w:rPr>
                <w:rFonts w:ascii="华文中宋" w:hAnsi="华文中宋" w:eastAsia="华文中宋" w:cs="宋体"/>
                <w:bCs/>
                <w:color w:val="auto"/>
                <w:highlight w:val="none"/>
              </w:rPr>
            </w:pPr>
            <w:r>
              <w:rPr>
                <w:rFonts w:hint="eastAsia" w:ascii="华文中宋" w:hAnsi="华文中宋" w:eastAsia="华文中宋" w:cs="宋体"/>
                <w:color w:val="auto"/>
                <w:sz w:val="18"/>
                <w:szCs w:val="18"/>
                <w:highlight w:val="none"/>
              </w:rPr>
              <w:t>X≥300</w:t>
            </w:r>
          </w:p>
        </w:tc>
        <w:tc>
          <w:tcPr>
            <w:tcW w:w="1491" w:type="dxa"/>
            <w:noWrap w:val="0"/>
            <w:tcMar>
              <w:top w:w="0" w:type="dxa"/>
              <w:left w:w="108" w:type="dxa"/>
              <w:bottom w:w="0" w:type="dxa"/>
              <w:right w:w="108" w:type="dxa"/>
            </w:tcMar>
            <w:vAlign w:val="center"/>
          </w:tcPr>
          <w:p>
            <w:pPr>
              <w:ind w:left="1"/>
              <w:rPr>
                <w:rFonts w:ascii="华文中宋" w:hAnsi="华文中宋" w:eastAsia="华文中宋" w:cs="宋体"/>
                <w:bCs/>
                <w:color w:val="auto"/>
                <w:highlight w:val="none"/>
              </w:rPr>
            </w:pPr>
            <w:r>
              <w:rPr>
                <w:rFonts w:hint="eastAsia" w:ascii="华文中宋" w:hAnsi="华文中宋" w:eastAsia="华文中宋" w:cs="宋体"/>
                <w:color w:val="auto"/>
                <w:sz w:val="18"/>
                <w:szCs w:val="18"/>
                <w:highlight w:val="none"/>
              </w:rPr>
              <w:t>100≤X＜300</w:t>
            </w:r>
          </w:p>
        </w:tc>
        <w:tc>
          <w:tcPr>
            <w:tcW w:w="1315" w:type="dxa"/>
            <w:noWrap w:val="0"/>
            <w:tcMar>
              <w:top w:w="0" w:type="dxa"/>
              <w:left w:w="108" w:type="dxa"/>
              <w:bottom w:w="0" w:type="dxa"/>
              <w:right w:w="108" w:type="dxa"/>
            </w:tcMar>
            <w:vAlign w:val="center"/>
          </w:tcPr>
          <w:p>
            <w:pPr>
              <w:rPr>
                <w:rFonts w:ascii="华文中宋" w:hAnsi="华文中宋" w:eastAsia="华文中宋" w:cs="宋体"/>
                <w:bCs/>
                <w:color w:val="auto"/>
                <w:highlight w:val="none"/>
              </w:rPr>
            </w:pPr>
            <w:r>
              <w:rPr>
                <w:rFonts w:hint="eastAsia" w:ascii="华文中宋" w:hAnsi="华文中宋" w:eastAsia="华文中宋" w:cs="宋体"/>
                <w:color w:val="auto"/>
                <w:sz w:val="18"/>
                <w:szCs w:val="18"/>
                <w:highlight w:val="none"/>
              </w:rPr>
              <w:t>10≤X＜100</w:t>
            </w:r>
          </w:p>
        </w:tc>
        <w:tc>
          <w:tcPr>
            <w:tcW w:w="908" w:type="dxa"/>
            <w:noWrap w:val="0"/>
            <w:tcMar>
              <w:top w:w="0" w:type="dxa"/>
              <w:left w:w="108" w:type="dxa"/>
              <w:bottom w:w="0" w:type="dxa"/>
              <w:right w:w="108" w:type="dxa"/>
            </w:tcMar>
            <w:vAlign w:val="center"/>
          </w:tcPr>
          <w:p>
            <w:pPr>
              <w:rPr>
                <w:rFonts w:ascii="华文中宋" w:hAnsi="华文中宋" w:eastAsia="华文中宋" w:cs="宋体"/>
                <w:bCs/>
                <w:color w:val="auto"/>
                <w:highlight w:val="none"/>
              </w:rPr>
            </w:pPr>
            <w:r>
              <w:rPr>
                <w:rFonts w:hint="eastAsia" w:ascii="华文中宋" w:hAnsi="华文中宋" w:eastAsia="华文中宋" w:cs="宋体"/>
                <w:color w:val="auto"/>
                <w:sz w:val="18"/>
                <w:szCs w:val="18"/>
                <w:highlight w:val="none"/>
              </w:rPr>
              <w:t>X＜10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97" w:hRule="atLeast"/>
          <w:jc w:val="center"/>
        </w:trPr>
        <w:tc>
          <w:tcPr>
            <w:tcW w:w="1560" w:type="dxa"/>
            <w:vMerge w:val="continue"/>
            <w:noWrap w:val="0"/>
            <w:vAlign w:val="center"/>
          </w:tcPr>
          <w:p>
            <w:pPr>
              <w:ind w:firstLine="480"/>
              <w:rPr>
                <w:rFonts w:ascii="华文中宋" w:hAnsi="华文中宋" w:eastAsia="华文中宋" w:cs="宋体"/>
                <w:bCs/>
                <w:color w:val="auto"/>
                <w:highlight w:val="none"/>
              </w:rPr>
            </w:pPr>
          </w:p>
        </w:tc>
        <w:tc>
          <w:tcPr>
            <w:tcW w:w="1281" w:type="dxa"/>
            <w:noWrap w:val="0"/>
            <w:tcMar>
              <w:top w:w="0" w:type="dxa"/>
              <w:left w:w="108" w:type="dxa"/>
              <w:bottom w:w="0" w:type="dxa"/>
              <w:right w:w="108" w:type="dxa"/>
            </w:tcMar>
            <w:vAlign w:val="center"/>
          </w:tcPr>
          <w:p>
            <w:pPr>
              <w:spacing w:line="240" w:lineRule="atLeast"/>
              <w:rPr>
                <w:rFonts w:ascii="华文中宋" w:hAnsi="华文中宋" w:eastAsia="华文中宋" w:cs="宋体"/>
                <w:bCs/>
                <w:color w:val="auto"/>
                <w:highlight w:val="none"/>
              </w:rPr>
            </w:pPr>
            <w:r>
              <w:rPr>
                <w:rFonts w:hint="eastAsia" w:ascii="华文中宋" w:hAnsi="华文中宋" w:eastAsia="华文中宋" w:cs="宋体"/>
                <w:color w:val="auto"/>
                <w:sz w:val="18"/>
                <w:szCs w:val="18"/>
                <w:highlight w:val="none"/>
              </w:rPr>
              <w:t>营业收入(Y)</w:t>
            </w:r>
          </w:p>
        </w:tc>
        <w:tc>
          <w:tcPr>
            <w:tcW w:w="758" w:type="dxa"/>
            <w:noWrap w:val="0"/>
            <w:tcMar>
              <w:top w:w="0" w:type="dxa"/>
              <w:left w:w="108" w:type="dxa"/>
              <w:bottom w:w="0" w:type="dxa"/>
              <w:right w:w="108" w:type="dxa"/>
            </w:tcMar>
            <w:vAlign w:val="center"/>
          </w:tcPr>
          <w:p>
            <w:pPr>
              <w:rPr>
                <w:rFonts w:ascii="华文中宋" w:hAnsi="华文中宋" w:eastAsia="华文中宋" w:cs="宋体"/>
                <w:bCs/>
                <w:color w:val="auto"/>
                <w:highlight w:val="none"/>
              </w:rPr>
            </w:pPr>
            <w:r>
              <w:rPr>
                <w:rFonts w:hint="eastAsia" w:ascii="华文中宋" w:hAnsi="华文中宋" w:eastAsia="华文中宋" w:cs="宋体"/>
                <w:color w:val="auto"/>
                <w:sz w:val="18"/>
                <w:szCs w:val="18"/>
                <w:highlight w:val="none"/>
              </w:rPr>
              <w:t>万元</w:t>
            </w:r>
          </w:p>
        </w:tc>
        <w:tc>
          <w:tcPr>
            <w:tcW w:w="993" w:type="dxa"/>
            <w:noWrap w:val="0"/>
            <w:tcMar>
              <w:top w:w="0" w:type="dxa"/>
              <w:left w:w="108" w:type="dxa"/>
              <w:bottom w:w="0" w:type="dxa"/>
              <w:right w:w="108" w:type="dxa"/>
            </w:tcMar>
            <w:vAlign w:val="center"/>
          </w:tcPr>
          <w:p>
            <w:pPr>
              <w:rPr>
                <w:rFonts w:ascii="华文中宋" w:hAnsi="华文中宋" w:eastAsia="华文中宋" w:cs="宋体"/>
                <w:bCs/>
                <w:color w:val="auto"/>
                <w:highlight w:val="none"/>
              </w:rPr>
            </w:pPr>
            <w:r>
              <w:rPr>
                <w:rFonts w:hint="eastAsia" w:ascii="华文中宋" w:hAnsi="华文中宋" w:eastAsia="华文中宋" w:cs="宋体"/>
                <w:color w:val="auto"/>
                <w:sz w:val="18"/>
                <w:szCs w:val="18"/>
                <w:highlight w:val="none"/>
              </w:rPr>
              <w:t>Y≥10000</w:t>
            </w:r>
          </w:p>
        </w:tc>
        <w:tc>
          <w:tcPr>
            <w:tcW w:w="1491" w:type="dxa"/>
            <w:noWrap w:val="0"/>
            <w:tcMar>
              <w:top w:w="0" w:type="dxa"/>
              <w:left w:w="108" w:type="dxa"/>
              <w:bottom w:w="0" w:type="dxa"/>
              <w:right w:w="108" w:type="dxa"/>
            </w:tcMar>
            <w:vAlign w:val="center"/>
          </w:tcPr>
          <w:p>
            <w:pPr>
              <w:rPr>
                <w:rFonts w:ascii="华文中宋" w:hAnsi="华文中宋" w:eastAsia="华文中宋" w:cs="宋体"/>
                <w:bCs/>
                <w:color w:val="auto"/>
                <w:highlight w:val="none"/>
              </w:rPr>
            </w:pPr>
            <w:r>
              <w:rPr>
                <w:rFonts w:hint="eastAsia" w:ascii="华文中宋" w:hAnsi="华文中宋" w:eastAsia="华文中宋" w:cs="宋体"/>
                <w:color w:val="auto"/>
                <w:sz w:val="18"/>
                <w:szCs w:val="18"/>
                <w:highlight w:val="none"/>
              </w:rPr>
              <w:t>2000≤Y＜10000</w:t>
            </w:r>
          </w:p>
        </w:tc>
        <w:tc>
          <w:tcPr>
            <w:tcW w:w="1315" w:type="dxa"/>
            <w:noWrap w:val="0"/>
            <w:tcMar>
              <w:top w:w="0" w:type="dxa"/>
              <w:left w:w="108" w:type="dxa"/>
              <w:bottom w:w="0" w:type="dxa"/>
              <w:right w:w="108" w:type="dxa"/>
            </w:tcMar>
            <w:vAlign w:val="center"/>
          </w:tcPr>
          <w:p>
            <w:pPr>
              <w:ind w:firstLine="360"/>
              <w:jc w:val="center"/>
              <w:rPr>
                <w:rFonts w:ascii="华文中宋" w:hAnsi="华文中宋" w:eastAsia="华文中宋" w:cs="宋体"/>
                <w:bCs/>
                <w:color w:val="auto"/>
                <w:highlight w:val="none"/>
              </w:rPr>
            </w:pPr>
            <w:r>
              <w:rPr>
                <w:rFonts w:hint="eastAsia" w:ascii="华文中宋" w:hAnsi="华文中宋" w:eastAsia="华文中宋" w:cs="宋体"/>
                <w:color w:val="auto"/>
                <w:sz w:val="18"/>
                <w:szCs w:val="18"/>
                <w:highlight w:val="none"/>
              </w:rPr>
              <w:t> 100≤Y＜2000</w:t>
            </w:r>
          </w:p>
        </w:tc>
        <w:tc>
          <w:tcPr>
            <w:tcW w:w="908" w:type="dxa"/>
            <w:noWrap w:val="0"/>
            <w:tcMar>
              <w:top w:w="0" w:type="dxa"/>
              <w:left w:w="108" w:type="dxa"/>
              <w:bottom w:w="0" w:type="dxa"/>
              <w:right w:w="108" w:type="dxa"/>
            </w:tcMar>
            <w:vAlign w:val="center"/>
          </w:tcPr>
          <w:p>
            <w:pPr>
              <w:rPr>
                <w:rFonts w:ascii="华文中宋" w:hAnsi="华文中宋" w:eastAsia="华文中宋" w:cs="宋体"/>
                <w:bCs/>
                <w:color w:val="auto"/>
                <w:highlight w:val="none"/>
              </w:rPr>
            </w:pPr>
            <w:r>
              <w:rPr>
                <w:rFonts w:hint="eastAsia" w:ascii="华文中宋" w:hAnsi="华文中宋" w:eastAsia="华文中宋" w:cs="宋体"/>
                <w:color w:val="auto"/>
                <w:sz w:val="18"/>
                <w:szCs w:val="18"/>
                <w:highlight w:val="none"/>
              </w:rPr>
              <w:t>Y＜100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97" w:hRule="atLeast"/>
          <w:jc w:val="center"/>
        </w:trPr>
        <w:tc>
          <w:tcPr>
            <w:tcW w:w="1560" w:type="dxa"/>
            <w:vMerge w:val="restart"/>
            <w:noWrap w:val="0"/>
            <w:tcMar>
              <w:top w:w="0" w:type="dxa"/>
              <w:left w:w="108" w:type="dxa"/>
              <w:bottom w:w="0" w:type="dxa"/>
              <w:right w:w="108" w:type="dxa"/>
            </w:tcMar>
            <w:vAlign w:val="center"/>
          </w:tcPr>
          <w:p>
            <w:pPr>
              <w:spacing w:line="240" w:lineRule="atLeast"/>
              <w:rPr>
                <w:rFonts w:ascii="华文中宋" w:hAnsi="华文中宋" w:eastAsia="华文中宋" w:cs="宋体"/>
                <w:bCs/>
                <w:color w:val="auto"/>
                <w:highlight w:val="none"/>
              </w:rPr>
            </w:pPr>
            <w:r>
              <w:rPr>
                <w:rFonts w:hint="eastAsia" w:ascii="华文中宋" w:hAnsi="华文中宋" w:eastAsia="华文中宋" w:cs="宋体"/>
                <w:color w:val="auto"/>
                <w:sz w:val="18"/>
                <w:szCs w:val="18"/>
                <w:highlight w:val="none"/>
              </w:rPr>
              <w:t>信息传输业 *</w:t>
            </w:r>
          </w:p>
        </w:tc>
        <w:tc>
          <w:tcPr>
            <w:tcW w:w="1281" w:type="dxa"/>
            <w:noWrap w:val="0"/>
            <w:tcMar>
              <w:top w:w="0" w:type="dxa"/>
              <w:left w:w="108" w:type="dxa"/>
              <w:bottom w:w="0" w:type="dxa"/>
              <w:right w:w="108" w:type="dxa"/>
            </w:tcMar>
            <w:vAlign w:val="center"/>
          </w:tcPr>
          <w:p>
            <w:pPr>
              <w:rPr>
                <w:rFonts w:ascii="华文中宋" w:hAnsi="华文中宋" w:eastAsia="华文中宋" w:cs="宋体"/>
                <w:bCs/>
                <w:color w:val="auto"/>
                <w:highlight w:val="none"/>
              </w:rPr>
            </w:pPr>
            <w:r>
              <w:rPr>
                <w:rFonts w:hint="eastAsia" w:ascii="华文中宋" w:hAnsi="华文中宋" w:eastAsia="华文中宋" w:cs="宋体"/>
                <w:color w:val="auto"/>
                <w:sz w:val="18"/>
                <w:szCs w:val="18"/>
                <w:highlight w:val="none"/>
              </w:rPr>
              <w:t>从业人员(X)</w:t>
            </w:r>
          </w:p>
        </w:tc>
        <w:tc>
          <w:tcPr>
            <w:tcW w:w="758" w:type="dxa"/>
            <w:noWrap w:val="0"/>
            <w:tcMar>
              <w:top w:w="0" w:type="dxa"/>
              <w:left w:w="108" w:type="dxa"/>
              <w:bottom w:w="0" w:type="dxa"/>
              <w:right w:w="108" w:type="dxa"/>
            </w:tcMar>
            <w:vAlign w:val="center"/>
          </w:tcPr>
          <w:p>
            <w:pPr>
              <w:rPr>
                <w:rFonts w:ascii="华文中宋" w:hAnsi="华文中宋" w:eastAsia="华文中宋" w:cs="宋体"/>
                <w:bCs/>
                <w:color w:val="auto"/>
                <w:highlight w:val="none"/>
              </w:rPr>
            </w:pPr>
            <w:r>
              <w:rPr>
                <w:rFonts w:hint="eastAsia" w:ascii="华文中宋" w:hAnsi="华文中宋" w:eastAsia="华文中宋" w:cs="宋体"/>
                <w:color w:val="auto"/>
                <w:sz w:val="18"/>
                <w:szCs w:val="18"/>
                <w:highlight w:val="none"/>
              </w:rPr>
              <w:t>人</w:t>
            </w:r>
          </w:p>
        </w:tc>
        <w:tc>
          <w:tcPr>
            <w:tcW w:w="993" w:type="dxa"/>
            <w:noWrap w:val="0"/>
            <w:tcMar>
              <w:top w:w="0" w:type="dxa"/>
              <w:left w:w="108" w:type="dxa"/>
              <w:bottom w:w="0" w:type="dxa"/>
              <w:right w:w="108" w:type="dxa"/>
            </w:tcMar>
            <w:vAlign w:val="center"/>
          </w:tcPr>
          <w:p>
            <w:pPr>
              <w:rPr>
                <w:rFonts w:ascii="华文中宋" w:hAnsi="华文中宋" w:eastAsia="华文中宋" w:cs="宋体"/>
                <w:bCs/>
                <w:color w:val="auto"/>
                <w:highlight w:val="none"/>
              </w:rPr>
            </w:pPr>
            <w:r>
              <w:rPr>
                <w:rFonts w:hint="eastAsia" w:ascii="华文中宋" w:hAnsi="华文中宋" w:eastAsia="华文中宋" w:cs="宋体"/>
                <w:color w:val="auto"/>
                <w:sz w:val="18"/>
                <w:szCs w:val="18"/>
                <w:highlight w:val="none"/>
              </w:rPr>
              <w:t>X≥2000</w:t>
            </w:r>
          </w:p>
        </w:tc>
        <w:tc>
          <w:tcPr>
            <w:tcW w:w="1491" w:type="dxa"/>
            <w:noWrap w:val="0"/>
            <w:tcMar>
              <w:top w:w="0" w:type="dxa"/>
              <w:left w:w="108" w:type="dxa"/>
              <w:bottom w:w="0" w:type="dxa"/>
              <w:right w:w="108" w:type="dxa"/>
            </w:tcMar>
            <w:vAlign w:val="center"/>
          </w:tcPr>
          <w:p>
            <w:pPr>
              <w:rPr>
                <w:rFonts w:ascii="华文中宋" w:hAnsi="华文中宋" w:eastAsia="华文中宋" w:cs="宋体"/>
                <w:bCs/>
                <w:color w:val="auto"/>
                <w:highlight w:val="none"/>
              </w:rPr>
            </w:pPr>
            <w:r>
              <w:rPr>
                <w:rFonts w:hint="eastAsia" w:ascii="华文中宋" w:hAnsi="华文中宋" w:eastAsia="华文中宋" w:cs="宋体"/>
                <w:color w:val="auto"/>
                <w:sz w:val="18"/>
                <w:szCs w:val="18"/>
                <w:highlight w:val="none"/>
              </w:rPr>
              <w:t>100≤X＜2000</w:t>
            </w:r>
          </w:p>
        </w:tc>
        <w:tc>
          <w:tcPr>
            <w:tcW w:w="1315" w:type="dxa"/>
            <w:noWrap w:val="0"/>
            <w:tcMar>
              <w:top w:w="0" w:type="dxa"/>
              <w:left w:w="108" w:type="dxa"/>
              <w:bottom w:w="0" w:type="dxa"/>
              <w:right w:w="108" w:type="dxa"/>
            </w:tcMar>
            <w:vAlign w:val="center"/>
          </w:tcPr>
          <w:p>
            <w:pPr>
              <w:rPr>
                <w:rFonts w:ascii="华文中宋" w:hAnsi="华文中宋" w:eastAsia="华文中宋" w:cs="宋体"/>
                <w:bCs/>
                <w:color w:val="auto"/>
                <w:highlight w:val="none"/>
              </w:rPr>
            </w:pPr>
            <w:r>
              <w:rPr>
                <w:rFonts w:hint="eastAsia" w:ascii="华文中宋" w:hAnsi="华文中宋" w:eastAsia="华文中宋" w:cs="宋体"/>
                <w:color w:val="auto"/>
                <w:sz w:val="18"/>
                <w:szCs w:val="18"/>
                <w:highlight w:val="none"/>
              </w:rPr>
              <w:t>10≤X＜100</w:t>
            </w:r>
          </w:p>
        </w:tc>
        <w:tc>
          <w:tcPr>
            <w:tcW w:w="908" w:type="dxa"/>
            <w:noWrap w:val="0"/>
            <w:tcMar>
              <w:top w:w="0" w:type="dxa"/>
              <w:left w:w="108" w:type="dxa"/>
              <w:bottom w:w="0" w:type="dxa"/>
              <w:right w:w="108" w:type="dxa"/>
            </w:tcMar>
            <w:vAlign w:val="center"/>
          </w:tcPr>
          <w:p>
            <w:pPr>
              <w:rPr>
                <w:rFonts w:ascii="华文中宋" w:hAnsi="华文中宋" w:eastAsia="华文中宋" w:cs="宋体"/>
                <w:bCs/>
                <w:color w:val="auto"/>
                <w:highlight w:val="none"/>
              </w:rPr>
            </w:pPr>
            <w:r>
              <w:rPr>
                <w:rFonts w:hint="eastAsia" w:ascii="华文中宋" w:hAnsi="华文中宋" w:eastAsia="华文中宋" w:cs="宋体"/>
                <w:color w:val="auto"/>
                <w:sz w:val="18"/>
                <w:szCs w:val="18"/>
                <w:highlight w:val="none"/>
              </w:rPr>
              <w:t>X＜10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97" w:hRule="atLeast"/>
          <w:jc w:val="center"/>
        </w:trPr>
        <w:tc>
          <w:tcPr>
            <w:tcW w:w="1560" w:type="dxa"/>
            <w:vMerge w:val="continue"/>
            <w:noWrap w:val="0"/>
            <w:vAlign w:val="center"/>
          </w:tcPr>
          <w:p>
            <w:pPr>
              <w:ind w:firstLine="480"/>
              <w:rPr>
                <w:rFonts w:ascii="华文中宋" w:hAnsi="华文中宋" w:eastAsia="华文中宋" w:cs="宋体"/>
                <w:bCs/>
                <w:color w:val="auto"/>
                <w:highlight w:val="none"/>
              </w:rPr>
            </w:pPr>
          </w:p>
        </w:tc>
        <w:tc>
          <w:tcPr>
            <w:tcW w:w="1281" w:type="dxa"/>
            <w:noWrap w:val="0"/>
            <w:tcMar>
              <w:top w:w="0" w:type="dxa"/>
              <w:left w:w="108" w:type="dxa"/>
              <w:bottom w:w="0" w:type="dxa"/>
              <w:right w:w="108" w:type="dxa"/>
            </w:tcMar>
            <w:vAlign w:val="center"/>
          </w:tcPr>
          <w:p>
            <w:pPr>
              <w:spacing w:line="240" w:lineRule="atLeast"/>
              <w:rPr>
                <w:rFonts w:ascii="华文中宋" w:hAnsi="华文中宋" w:eastAsia="华文中宋" w:cs="宋体"/>
                <w:bCs/>
                <w:color w:val="auto"/>
                <w:highlight w:val="none"/>
              </w:rPr>
            </w:pPr>
            <w:r>
              <w:rPr>
                <w:rFonts w:hint="eastAsia" w:ascii="华文中宋" w:hAnsi="华文中宋" w:eastAsia="华文中宋" w:cs="宋体"/>
                <w:color w:val="auto"/>
                <w:sz w:val="18"/>
                <w:szCs w:val="18"/>
                <w:highlight w:val="none"/>
              </w:rPr>
              <w:t>营业收入(Y)</w:t>
            </w:r>
          </w:p>
        </w:tc>
        <w:tc>
          <w:tcPr>
            <w:tcW w:w="758" w:type="dxa"/>
            <w:noWrap w:val="0"/>
            <w:tcMar>
              <w:top w:w="0" w:type="dxa"/>
              <w:left w:w="108" w:type="dxa"/>
              <w:bottom w:w="0" w:type="dxa"/>
              <w:right w:w="108" w:type="dxa"/>
            </w:tcMar>
            <w:vAlign w:val="center"/>
          </w:tcPr>
          <w:p>
            <w:pPr>
              <w:rPr>
                <w:rFonts w:ascii="华文中宋" w:hAnsi="华文中宋" w:eastAsia="华文中宋" w:cs="宋体"/>
                <w:bCs/>
                <w:color w:val="auto"/>
                <w:highlight w:val="none"/>
              </w:rPr>
            </w:pPr>
            <w:r>
              <w:rPr>
                <w:rFonts w:hint="eastAsia" w:ascii="华文中宋" w:hAnsi="华文中宋" w:eastAsia="华文中宋" w:cs="宋体"/>
                <w:color w:val="auto"/>
                <w:sz w:val="18"/>
                <w:szCs w:val="18"/>
                <w:highlight w:val="none"/>
              </w:rPr>
              <w:t>万元</w:t>
            </w:r>
          </w:p>
        </w:tc>
        <w:tc>
          <w:tcPr>
            <w:tcW w:w="993" w:type="dxa"/>
            <w:noWrap w:val="0"/>
            <w:tcMar>
              <w:top w:w="0" w:type="dxa"/>
              <w:left w:w="108" w:type="dxa"/>
              <w:bottom w:w="0" w:type="dxa"/>
              <w:right w:w="108" w:type="dxa"/>
            </w:tcMar>
            <w:vAlign w:val="center"/>
          </w:tcPr>
          <w:p>
            <w:pPr>
              <w:rPr>
                <w:rFonts w:ascii="华文中宋" w:hAnsi="华文中宋" w:eastAsia="华文中宋" w:cs="宋体"/>
                <w:bCs/>
                <w:color w:val="auto"/>
                <w:highlight w:val="none"/>
              </w:rPr>
            </w:pPr>
            <w:r>
              <w:rPr>
                <w:rFonts w:hint="eastAsia" w:ascii="华文中宋" w:hAnsi="华文中宋" w:eastAsia="华文中宋" w:cs="宋体"/>
                <w:color w:val="auto"/>
                <w:sz w:val="18"/>
                <w:szCs w:val="18"/>
                <w:highlight w:val="none"/>
              </w:rPr>
              <w:t>Y≥100000</w:t>
            </w:r>
          </w:p>
        </w:tc>
        <w:tc>
          <w:tcPr>
            <w:tcW w:w="1491" w:type="dxa"/>
            <w:noWrap w:val="0"/>
            <w:tcMar>
              <w:top w:w="0" w:type="dxa"/>
              <w:left w:w="108" w:type="dxa"/>
              <w:bottom w:w="0" w:type="dxa"/>
              <w:right w:w="108" w:type="dxa"/>
            </w:tcMar>
            <w:vAlign w:val="center"/>
          </w:tcPr>
          <w:p>
            <w:pPr>
              <w:rPr>
                <w:rFonts w:ascii="华文中宋" w:hAnsi="华文中宋" w:eastAsia="华文中宋" w:cs="宋体"/>
                <w:bCs/>
                <w:color w:val="auto"/>
                <w:highlight w:val="none"/>
              </w:rPr>
            </w:pPr>
            <w:r>
              <w:rPr>
                <w:rFonts w:hint="eastAsia" w:ascii="华文中宋" w:hAnsi="华文中宋" w:eastAsia="华文中宋" w:cs="宋体"/>
                <w:color w:val="auto"/>
                <w:sz w:val="18"/>
                <w:szCs w:val="18"/>
                <w:highlight w:val="none"/>
              </w:rPr>
              <w:t>1000≤Y＜100000</w:t>
            </w:r>
          </w:p>
        </w:tc>
        <w:tc>
          <w:tcPr>
            <w:tcW w:w="1315" w:type="dxa"/>
            <w:noWrap w:val="0"/>
            <w:tcMar>
              <w:top w:w="0" w:type="dxa"/>
              <w:left w:w="108" w:type="dxa"/>
              <w:bottom w:w="0" w:type="dxa"/>
              <w:right w:w="108" w:type="dxa"/>
            </w:tcMar>
            <w:vAlign w:val="center"/>
          </w:tcPr>
          <w:p>
            <w:pPr>
              <w:rPr>
                <w:rFonts w:ascii="华文中宋" w:hAnsi="华文中宋" w:eastAsia="华文中宋" w:cs="宋体"/>
                <w:bCs/>
                <w:color w:val="auto"/>
                <w:highlight w:val="none"/>
              </w:rPr>
            </w:pPr>
            <w:r>
              <w:rPr>
                <w:rFonts w:hint="eastAsia" w:ascii="华文中宋" w:hAnsi="华文中宋" w:eastAsia="华文中宋" w:cs="宋体"/>
                <w:color w:val="auto"/>
                <w:sz w:val="18"/>
                <w:szCs w:val="18"/>
                <w:highlight w:val="none"/>
              </w:rPr>
              <w:t>100≤Y＜1000</w:t>
            </w:r>
          </w:p>
        </w:tc>
        <w:tc>
          <w:tcPr>
            <w:tcW w:w="908" w:type="dxa"/>
            <w:noWrap w:val="0"/>
            <w:tcMar>
              <w:top w:w="0" w:type="dxa"/>
              <w:left w:w="108" w:type="dxa"/>
              <w:bottom w:w="0" w:type="dxa"/>
              <w:right w:w="108" w:type="dxa"/>
            </w:tcMar>
            <w:vAlign w:val="center"/>
          </w:tcPr>
          <w:p>
            <w:pPr>
              <w:rPr>
                <w:rFonts w:ascii="华文中宋" w:hAnsi="华文中宋" w:eastAsia="华文中宋" w:cs="宋体"/>
                <w:bCs/>
                <w:color w:val="auto"/>
                <w:highlight w:val="none"/>
              </w:rPr>
            </w:pPr>
            <w:r>
              <w:rPr>
                <w:rFonts w:hint="eastAsia" w:ascii="华文中宋" w:hAnsi="华文中宋" w:eastAsia="华文中宋" w:cs="宋体"/>
                <w:color w:val="auto"/>
                <w:sz w:val="18"/>
                <w:szCs w:val="18"/>
                <w:highlight w:val="none"/>
              </w:rPr>
              <w:t>Y＜100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40" w:hRule="atLeast"/>
          <w:jc w:val="center"/>
        </w:trPr>
        <w:tc>
          <w:tcPr>
            <w:tcW w:w="1560" w:type="dxa"/>
            <w:vMerge w:val="restart"/>
            <w:noWrap w:val="0"/>
            <w:tcMar>
              <w:top w:w="0" w:type="dxa"/>
              <w:left w:w="108" w:type="dxa"/>
              <w:bottom w:w="0" w:type="dxa"/>
              <w:right w:w="108" w:type="dxa"/>
            </w:tcMar>
            <w:vAlign w:val="center"/>
          </w:tcPr>
          <w:p>
            <w:pPr>
              <w:spacing w:line="240" w:lineRule="atLeast"/>
              <w:rPr>
                <w:rFonts w:ascii="华文中宋" w:hAnsi="华文中宋" w:eastAsia="华文中宋" w:cs="宋体"/>
                <w:bCs/>
                <w:color w:val="auto"/>
                <w:highlight w:val="none"/>
              </w:rPr>
            </w:pPr>
            <w:r>
              <w:rPr>
                <w:rFonts w:hint="eastAsia" w:ascii="华文中宋" w:hAnsi="华文中宋" w:eastAsia="华文中宋" w:cs="宋体"/>
                <w:color w:val="auto"/>
                <w:spacing w:val="-12"/>
                <w:sz w:val="18"/>
                <w:szCs w:val="18"/>
                <w:highlight w:val="none"/>
              </w:rPr>
              <w:t>软件和信息技术服</w:t>
            </w:r>
            <w:r>
              <w:rPr>
                <w:rFonts w:hint="eastAsia" w:ascii="华文中宋" w:hAnsi="华文中宋" w:eastAsia="华文中宋" w:cs="宋体"/>
                <w:color w:val="auto"/>
                <w:sz w:val="18"/>
                <w:szCs w:val="18"/>
                <w:highlight w:val="none"/>
              </w:rPr>
              <w:t>务业</w:t>
            </w:r>
          </w:p>
        </w:tc>
        <w:tc>
          <w:tcPr>
            <w:tcW w:w="1281" w:type="dxa"/>
            <w:noWrap w:val="0"/>
            <w:tcMar>
              <w:top w:w="0" w:type="dxa"/>
              <w:left w:w="108" w:type="dxa"/>
              <w:bottom w:w="0" w:type="dxa"/>
              <w:right w:w="108" w:type="dxa"/>
            </w:tcMar>
            <w:vAlign w:val="center"/>
          </w:tcPr>
          <w:p>
            <w:pPr>
              <w:rPr>
                <w:rFonts w:ascii="华文中宋" w:hAnsi="华文中宋" w:eastAsia="华文中宋" w:cs="宋体"/>
                <w:bCs/>
                <w:color w:val="auto"/>
                <w:highlight w:val="none"/>
              </w:rPr>
            </w:pPr>
            <w:r>
              <w:rPr>
                <w:rFonts w:hint="eastAsia" w:ascii="华文中宋" w:hAnsi="华文中宋" w:eastAsia="华文中宋" w:cs="宋体"/>
                <w:color w:val="auto"/>
                <w:sz w:val="18"/>
                <w:szCs w:val="18"/>
                <w:highlight w:val="none"/>
              </w:rPr>
              <w:t>从业人员(X)</w:t>
            </w:r>
          </w:p>
        </w:tc>
        <w:tc>
          <w:tcPr>
            <w:tcW w:w="758" w:type="dxa"/>
            <w:noWrap w:val="0"/>
            <w:tcMar>
              <w:top w:w="0" w:type="dxa"/>
              <w:left w:w="108" w:type="dxa"/>
              <w:bottom w:w="0" w:type="dxa"/>
              <w:right w:w="108" w:type="dxa"/>
            </w:tcMar>
            <w:vAlign w:val="center"/>
          </w:tcPr>
          <w:p>
            <w:pPr>
              <w:rPr>
                <w:rFonts w:ascii="华文中宋" w:hAnsi="华文中宋" w:eastAsia="华文中宋" w:cs="宋体"/>
                <w:bCs/>
                <w:color w:val="auto"/>
                <w:highlight w:val="none"/>
              </w:rPr>
            </w:pPr>
            <w:r>
              <w:rPr>
                <w:rFonts w:hint="eastAsia" w:ascii="华文中宋" w:hAnsi="华文中宋" w:eastAsia="华文中宋" w:cs="宋体"/>
                <w:color w:val="auto"/>
                <w:sz w:val="18"/>
                <w:szCs w:val="18"/>
                <w:highlight w:val="none"/>
              </w:rPr>
              <w:t>人</w:t>
            </w:r>
          </w:p>
        </w:tc>
        <w:tc>
          <w:tcPr>
            <w:tcW w:w="993" w:type="dxa"/>
            <w:noWrap w:val="0"/>
            <w:tcMar>
              <w:top w:w="0" w:type="dxa"/>
              <w:left w:w="108" w:type="dxa"/>
              <w:bottom w:w="0" w:type="dxa"/>
              <w:right w:w="108" w:type="dxa"/>
            </w:tcMar>
            <w:vAlign w:val="center"/>
          </w:tcPr>
          <w:p>
            <w:pPr>
              <w:ind w:firstLine="360"/>
              <w:jc w:val="center"/>
              <w:rPr>
                <w:rFonts w:ascii="华文中宋" w:hAnsi="华文中宋" w:eastAsia="华文中宋" w:cs="宋体"/>
                <w:bCs/>
                <w:color w:val="auto"/>
                <w:highlight w:val="none"/>
              </w:rPr>
            </w:pPr>
            <w:r>
              <w:rPr>
                <w:rFonts w:hint="eastAsia" w:ascii="华文中宋" w:hAnsi="华文中宋" w:eastAsia="华文中宋" w:cs="宋体"/>
                <w:color w:val="auto"/>
                <w:sz w:val="18"/>
                <w:szCs w:val="18"/>
                <w:highlight w:val="none"/>
              </w:rPr>
              <w:t>X≥300</w:t>
            </w:r>
          </w:p>
        </w:tc>
        <w:tc>
          <w:tcPr>
            <w:tcW w:w="1491" w:type="dxa"/>
            <w:noWrap w:val="0"/>
            <w:tcMar>
              <w:top w:w="0" w:type="dxa"/>
              <w:left w:w="108" w:type="dxa"/>
              <w:bottom w:w="0" w:type="dxa"/>
              <w:right w:w="108" w:type="dxa"/>
            </w:tcMar>
            <w:vAlign w:val="center"/>
          </w:tcPr>
          <w:p>
            <w:pPr>
              <w:ind w:left="1" w:firstLine="360"/>
              <w:jc w:val="center"/>
              <w:rPr>
                <w:rFonts w:ascii="华文中宋" w:hAnsi="华文中宋" w:eastAsia="华文中宋" w:cs="宋体"/>
                <w:bCs/>
                <w:color w:val="auto"/>
                <w:highlight w:val="none"/>
              </w:rPr>
            </w:pPr>
            <w:r>
              <w:rPr>
                <w:rFonts w:hint="eastAsia" w:ascii="华文中宋" w:hAnsi="华文中宋" w:eastAsia="华文中宋" w:cs="宋体"/>
                <w:color w:val="auto"/>
                <w:sz w:val="18"/>
                <w:szCs w:val="18"/>
                <w:highlight w:val="none"/>
              </w:rPr>
              <w:t>100≤X＜300</w:t>
            </w:r>
          </w:p>
        </w:tc>
        <w:tc>
          <w:tcPr>
            <w:tcW w:w="1315" w:type="dxa"/>
            <w:noWrap w:val="0"/>
            <w:tcMar>
              <w:top w:w="0" w:type="dxa"/>
              <w:left w:w="108" w:type="dxa"/>
              <w:bottom w:w="0" w:type="dxa"/>
              <w:right w:w="108" w:type="dxa"/>
            </w:tcMar>
            <w:vAlign w:val="center"/>
          </w:tcPr>
          <w:p>
            <w:pPr>
              <w:rPr>
                <w:rFonts w:ascii="华文中宋" w:hAnsi="华文中宋" w:eastAsia="华文中宋" w:cs="宋体"/>
                <w:bCs/>
                <w:color w:val="auto"/>
                <w:highlight w:val="none"/>
              </w:rPr>
            </w:pPr>
            <w:r>
              <w:rPr>
                <w:rFonts w:hint="eastAsia" w:ascii="华文中宋" w:hAnsi="华文中宋" w:eastAsia="华文中宋" w:cs="宋体"/>
                <w:color w:val="auto"/>
                <w:sz w:val="18"/>
                <w:szCs w:val="18"/>
                <w:highlight w:val="none"/>
              </w:rPr>
              <w:t>10≤X＜100</w:t>
            </w:r>
          </w:p>
        </w:tc>
        <w:tc>
          <w:tcPr>
            <w:tcW w:w="908" w:type="dxa"/>
            <w:noWrap w:val="0"/>
            <w:tcMar>
              <w:top w:w="0" w:type="dxa"/>
              <w:left w:w="108" w:type="dxa"/>
              <w:bottom w:w="0" w:type="dxa"/>
              <w:right w:w="108" w:type="dxa"/>
            </w:tcMar>
            <w:vAlign w:val="center"/>
          </w:tcPr>
          <w:p>
            <w:pPr>
              <w:rPr>
                <w:rFonts w:ascii="华文中宋" w:hAnsi="华文中宋" w:eastAsia="华文中宋" w:cs="宋体"/>
                <w:bCs/>
                <w:color w:val="auto"/>
                <w:highlight w:val="none"/>
              </w:rPr>
            </w:pPr>
            <w:r>
              <w:rPr>
                <w:rFonts w:hint="eastAsia" w:ascii="华文中宋" w:hAnsi="华文中宋" w:eastAsia="华文中宋" w:cs="宋体"/>
                <w:color w:val="auto"/>
                <w:sz w:val="18"/>
                <w:szCs w:val="18"/>
                <w:highlight w:val="none"/>
              </w:rPr>
              <w:t>X＜10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40" w:hRule="atLeast"/>
          <w:jc w:val="center"/>
        </w:trPr>
        <w:tc>
          <w:tcPr>
            <w:tcW w:w="1560" w:type="dxa"/>
            <w:vMerge w:val="continue"/>
            <w:noWrap w:val="0"/>
            <w:vAlign w:val="center"/>
          </w:tcPr>
          <w:p>
            <w:pPr>
              <w:ind w:firstLine="480"/>
              <w:rPr>
                <w:rFonts w:ascii="华文中宋" w:hAnsi="华文中宋" w:eastAsia="华文中宋" w:cs="宋体"/>
                <w:bCs/>
                <w:color w:val="auto"/>
                <w:highlight w:val="none"/>
              </w:rPr>
            </w:pPr>
          </w:p>
        </w:tc>
        <w:tc>
          <w:tcPr>
            <w:tcW w:w="1281" w:type="dxa"/>
            <w:noWrap w:val="0"/>
            <w:tcMar>
              <w:top w:w="0" w:type="dxa"/>
              <w:left w:w="108" w:type="dxa"/>
              <w:bottom w:w="0" w:type="dxa"/>
              <w:right w:w="108" w:type="dxa"/>
            </w:tcMar>
            <w:vAlign w:val="center"/>
          </w:tcPr>
          <w:p>
            <w:pPr>
              <w:rPr>
                <w:rFonts w:ascii="华文中宋" w:hAnsi="华文中宋" w:eastAsia="华文中宋" w:cs="宋体"/>
                <w:bCs/>
                <w:color w:val="auto"/>
                <w:highlight w:val="none"/>
              </w:rPr>
            </w:pPr>
            <w:r>
              <w:rPr>
                <w:rFonts w:hint="eastAsia" w:ascii="华文中宋" w:hAnsi="华文中宋" w:eastAsia="华文中宋" w:cs="宋体"/>
                <w:color w:val="auto"/>
                <w:sz w:val="18"/>
                <w:szCs w:val="18"/>
                <w:highlight w:val="none"/>
              </w:rPr>
              <w:t>营业收入(Y)</w:t>
            </w:r>
          </w:p>
        </w:tc>
        <w:tc>
          <w:tcPr>
            <w:tcW w:w="758" w:type="dxa"/>
            <w:noWrap w:val="0"/>
            <w:tcMar>
              <w:top w:w="0" w:type="dxa"/>
              <w:left w:w="108" w:type="dxa"/>
              <w:bottom w:w="0" w:type="dxa"/>
              <w:right w:w="108" w:type="dxa"/>
            </w:tcMar>
            <w:vAlign w:val="center"/>
          </w:tcPr>
          <w:p>
            <w:pPr>
              <w:rPr>
                <w:rFonts w:ascii="华文中宋" w:hAnsi="华文中宋" w:eastAsia="华文中宋" w:cs="宋体"/>
                <w:bCs/>
                <w:color w:val="auto"/>
                <w:highlight w:val="none"/>
              </w:rPr>
            </w:pPr>
            <w:r>
              <w:rPr>
                <w:rFonts w:hint="eastAsia" w:ascii="华文中宋" w:hAnsi="华文中宋" w:eastAsia="华文中宋" w:cs="宋体"/>
                <w:color w:val="auto"/>
                <w:sz w:val="18"/>
                <w:szCs w:val="18"/>
                <w:highlight w:val="none"/>
              </w:rPr>
              <w:t>万元</w:t>
            </w:r>
          </w:p>
        </w:tc>
        <w:tc>
          <w:tcPr>
            <w:tcW w:w="993" w:type="dxa"/>
            <w:noWrap w:val="0"/>
            <w:tcMar>
              <w:top w:w="0" w:type="dxa"/>
              <w:left w:w="108" w:type="dxa"/>
              <w:bottom w:w="0" w:type="dxa"/>
              <w:right w:w="108" w:type="dxa"/>
            </w:tcMar>
            <w:vAlign w:val="center"/>
          </w:tcPr>
          <w:p>
            <w:pPr>
              <w:ind w:firstLine="360"/>
              <w:jc w:val="center"/>
              <w:rPr>
                <w:rFonts w:ascii="华文中宋" w:hAnsi="华文中宋" w:eastAsia="华文中宋" w:cs="宋体"/>
                <w:bCs/>
                <w:color w:val="auto"/>
                <w:highlight w:val="none"/>
              </w:rPr>
            </w:pPr>
            <w:r>
              <w:rPr>
                <w:rFonts w:hint="eastAsia" w:ascii="华文中宋" w:hAnsi="华文中宋" w:eastAsia="华文中宋" w:cs="宋体"/>
                <w:color w:val="auto"/>
                <w:sz w:val="18"/>
                <w:szCs w:val="18"/>
                <w:highlight w:val="none"/>
              </w:rPr>
              <w:t>Y≥10000</w:t>
            </w:r>
          </w:p>
        </w:tc>
        <w:tc>
          <w:tcPr>
            <w:tcW w:w="1491" w:type="dxa"/>
            <w:noWrap w:val="0"/>
            <w:tcMar>
              <w:top w:w="0" w:type="dxa"/>
              <w:left w:w="108" w:type="dxa"/>
              <w:bottom w:w="0" w:type="dxa"/>
              <w:right w:w="108" w:type="dxa"/>
            </w:tcMar>
            <w:vAlign w:val="center"/>
          </w:tcPr>
          <w:p>
            <w:pPr>
              <w:ind w:firstLine="360"/>
              <w:jc w:val="center"/>
              <w:rPr>
                <w:rFonts w:ascii="华文中宋" w:hAnsi="华文中宋" w:eastAsia="华文中宋" w:cs="宋体"/>
                <w:bCs/>
                <w:color w:val="auto"/>
                <w:highlight w:val="none"/>
              </w:rPr>
            </w:pPr>
            <w:r>
              <w:rPr>
                <w:rFonts w:hint="eastAsia" w:ascii="华文中宋" w:hAnsi="华文中宋" w:eastAsia="华文中宋" w:cs="宋体"/>
                <w:color w:val="auto"/>
                <w:sz w:val="18"/>
                <w:szCs w:val="18"/>
                <w:highlight w:val="none"/>
              </w:rPr>
              <w:t>1000≤Y＜10000</w:t>
            </w:r>
          </w:p>
        </w:tc>
        <w:tc>
          <w:tcPr>
            <w:tcW w:w="1315" w:type="dxa"/>
            <w:noWrap w:val="0"/>
            <w:tcMar>
              <w:top w:w="0" w:type="dxa"/>
              <w:left w:w="108" w:type="dxa"/>
              <w:bottom w:w="0" w:type="dxa"/>
              <w:right w:w="108" w:type="dxa"/>
            </w:tcMar>
            <w:vAlign w:val="center"/>
          </w:tcPr>
          <w:p>
            <w:pPr>
              <w:rPr>
                <w:rFonts w:ascii="华文中宋" w:hAnsi="华文中宋" w:eastAsia="华文中宋" w:cs="宋体"/>
                <w:bCs/>
                <w:color w:val="auto"/>
                <w:highlight w:val="none"/>
              </w:rPr>
            </w:pPr>
            <w:r>
              <w:rPr>
                <w:rFonts w:hint="eastAsia" w:ascii="华文中宋" w:hAnsi="华文中宋" w:eastAsia="华文中宋" w:cs="宋体"/>
                <w:color w:val="auto"/>
                <w:sz w:val="18"/>
                <w:szCs w:val="18"/>
                <w:highlight w:val="none"/>
              </w:rPr>
              <w:t>50≤Y＜1000</w:t>
            </w:r>
          </w:p>
        </w:tc>
        <w:tc>
          <w:tcPr>
            <w:tcW w:w="908" w:type="dxa"/>
            <w:noWrap w:val="0"/>
            <w:tcMar>
              <w:top w:w="0" w:type="dxa"/>
              <w:left w:w="108" w:type="dxa"/>
              <w:bottom w:w="0" w:type="dxa"/>
              <w:right w:w="108" w:type="dxa"/>
            </w:tcMar>
            <w:vAlign w:val="center"/>
          </w:tcPr>
          <w:p>
            <w:pPr>
              <w:rPr>
                <w:rFonts w:ascii="华文中宋" w:hAnsi="华文中宋" w:eastAsia="华文中宋" w:cs="宋体"/>
                <w:bCs/>
                <w:color w:val="auto"/>
                <w:highlight w:val="none"/>
              </w:rPr>
            </w:pPr>
            <w:r>
              <w:rPr>
                <w:rFonts w:hint="eastAsia" w:ascii="华文中宋" w:hAnsi="华文中宋" w:eastAsia="华文中宋" w:cs="宋体"/>
                <w:color w:val="auto"/>
                <w:sz w:val="18"/>
                <w:szCs w:val="18"/>
                <w:highlight w:val="none"/>
              </w:rPr>
              <w:t>Y＜50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40" w:hRule="atLeast"/>
          <w:jc w:val="center"/>
        </w:trPr>
        <w:tc>
          <w:tcPr>
            <w:tcW w:w="1560" w:type="dxa"/>
            <w:vMerge w:val="restart"/>
            <w:noWrap w:val="0"/>
            <w:tcMar>
              <w:top w:w="0" w:type="dxa"/>
              <w:left w:w="108" w:type="dxa"/>
              <w:bottom w:w="0" w:type="dxa"/>
              <w:right w:w="108" w:type="dxa"/>
            </w:tcMar>
            <w:vAlign w:val="center"/>
          </w:tcPr>
          <w:p>
            <w:pPr>
              <w:spacing w:line="240" w:lineRule="atLeast"/>
              <w:rPr>
                <w:rFonts w:ascii="华文中宋" w:hAnsi="华文中宋" w:eastAsia="华文中宋" w:cs="宋体"/>
                <w:bCs/>
                <w:color w:val="auto"/>
                <w:highlight w:val="none"/>
              </w:rPr>
            </w:pPr>
            <w:r>
              <w:rPr>
                <w:rFonts w:hint="eastAsia" w:ascii="华文中宋" w:hAnsi="华文中宋" w:eastAsia="华文中宋" w:cs="宋体"/>
                <w:color w:val="auto"/>
                <w:sz w:val="18"/>
                <w:szCs w:val="18"/>
                <w:highlight w:val="none"/>
              </w:rPr>
              <w:t>房地产开发经营</w:t>
            </w:r>
          </w:p>
        </w:tc>
        <w:tc>
          <w:tcPr>
            <w:tcW w:w="1281" w:type="dxa"/>
            <w:noWrap w:val="0"/>
            <w:tcMar>
              <w:top w:w="0" w:type="dxa"/>
              <w:left w:w="108" w:type="dxa"/>
              <w:bottom w:w="0" w:type="dxa"/>
              <w:right w:w="108" w:type="dxa"/>
            </w:tcMar>
            <w:vAlign w:val="center"/>
          </w:tcPr>
          <w:p>
            <w:pPr>
              <w:rPr>
                <w:rFonts w:ascii="华文中宋" w:hAnsi="华文中宋" w:eastAsia="华文中宋" w:cs="宋体"/>
                <w:bCs/>
                <w:color w:val="auto"/>
                <w:highlight w:val="none"/>
              </w:rPr>
            </w:pPr>
            <w:r>
              <w:rPr>
                <w:rFonts w:hint="eastAsia" w:ascii="华文中宋" w:hAnsi="华文中宋" w:eastAsia="华文中宋" w:cs="宋体"/>
                <w:color w:val="auto"/>
                <w:sz w:val="18"/>
                <w:szCs w:val="18"/>
                <w:highlight w:val="none"/>
              </w:rPr>
              <w:t>营业收入(Y)</w:t>
            </w:r>
          </w:p>
        </w:tc>
        <w:tc>
          <w:tcPr>
            <w:tcW w:w="758" w:type="dxa"/>
            <w:noWrap w:val="0"/>
            <w:tcMar>
              <w:top w:w="0" w:type="dxa"/>
              <w:left w:w="108" w:type="dxa"/>
              <w:bottom w:w="0" w:type="dxa"/>
              <w:right w:w="108" w:type="dxa"/>
            </w:tcMar>
            <w:vAlign w:val="center"/>
          </w:tcPr>
          <w:p>
            <w:pPr>
              <w:rPr>
                <w:rFonts w:ascii="华文中宋" w:hAnsi="华文中宋" w:eastAsia="华文中宋" w:cs="宋体"/>
                <w:bCs/>
                <w:color w:val="auto"/>
                <w:highlight w:val="none"/>
              </w:rPr>
            </w:pPr>
            <w:r>
              <w:rPr>
                <w:rFonts w:hint="eastAsia" w:ascii="华文中宋" w:hAnsi="华文中宋" w:eastAsia="华文中宋" w:cs="宋体"/>
                <w:color w:val="auto"/>
                <w:sz w:val="18"/>
                <w:szCs w:val="18"/>
                <w:highlight w:val="none"/>
              </w:rPr>
              <w:t>万元</w:t>
            </w:r>
          </w:p>
        </w:tc>
        <w:tc>
          <w:tcPr>
            <w:tcW w:w="993" w:type="dxa"/>
            <w:noWrap w:val="0"/>
            <w:tcMar>
              <w:top w:w="0" w:type="dxa"/>
              <w:left w:w="108" w:type="dxa"/>
              <w:bottom w:w="0" w:type="dxa"/>
              <w:right w:w="108" w:type="dxa"/>
            </w:tcMar>
            <w:vAlign w:val="center"/>
          </w:tcPr>
          <w:p>
            <w:pPr>
              <w:rPr>
                <w:rFonts w:ascii="华文中宋" w:hAnsi="华文中宋" w:eastAsia="华文中宋" w:cs="宋体"/>
                <w:bCs/>
                <w:color w:val="auto"/>
                <w:highlight w:val="none"/>
              </w:rPr>
            </w:pPr>
            <w:r>
              <w:rPr>
                <w:rFonts w:hint="eastAsia" w:ascii="华文中宋" w:hAnsi="华文中宋" w:eastAsia="华文中宋" w:cs="宋体"/>
                <w:color w:val="auto"/>
                <w:sz w:val="18"/>
                <w:szCs w:val="18"/>
                <w:highlight w:val="none"/>
              </w:rPr>
              <w:t>Y≥200000</w:t>
            </w:r>
          </w:p>
        </w:tc>
        <w:tc>
          <w:tcPr>
            <w:tcW w:w="1491" w:type="dxa"/>
            <w:noWrap w:val="0"/>
            <w:tcMar>
              <w:top w:w="0" w:type="dxa"/>
              <w:left w:w="108" w:type="dxa"/>
              <w:bottom w:w="0" w:type="dxa"/>
              <w:right w:w="108" w:type="dxa"/>
            </w:tcMar>
            <w:vAlign w:val="center"/>
          </w:tcPr>
          <w:p>
            <w:pPr>
              <w:ind w:firstLine="360"/>
              <w:jc w:val="center"/>
              <w:rPr>
                <w:rFonts w:ascii="华文中宋" w:hAnsi="华文中宋" w:eastAsia="华文中宋" w:cs="宋体"/>
                <w:bCs/>
                <w:color w:val="auto"/>
                <w:highlight w:val="none"/>
              </w:rPr>
            </w:pPr>
            <w:r>
              <w:rPr>
                <w:rFonts w:hint="eastAsia" w:ascii="华文中宋" w:hAnsi="华文中宋" w:eastAsia="华文中宋" w:cs="宋体"/>
                <w:color w:val="auto"/>
                <w:sz w:val="18"/>
                <w:szCs w:val="18"/>
                <w:highlight w:val="none"/>
              </w:rPr>
              <w:t> 1000≤Y＜200000</w:t>
            </w:r>
          </w:p>
        </w:tc>
        <w:tc>
          <w:tcPr>
            <w:tcW w:w="1315" w:type="dxa"/>
            <w:noWrap w:val="0"/>
            <w:tcMar>
              <w:top w:w="0" w:type="dxa"/>
              <w:left w:w="108" w:type="dxa"/>
              <w:bottom w:w="0" w:type="dxa"/>
              <w:right w:w="108" w:type="dxa"/>
            </w:tcMar>
            <w:vAlign w:val="center"/>
          </w:tcPr>
          <w:p>
            <w:pPr>
              <w:rPr>
                <w:rFonts w:ascii="华文中宋" w:hAnsi="华文中宋" w:eastAsia="华文中宋" w:cs="宋体"/>
                <w:bCs/>
                <w:color w:val="auto"/>
                <w:highlight w:val="none"/>
              </w:rPr>
            </w:pPr>
            <w:r>
              <w:rPr>
                <w:rFonts w:hint="eastAsia" w:ascii="华文中宋" w:hAnsi="华文中宋" w:eastAsia="华文中宋" w:cs="宋体"/>
                <w:color w:val="auto"/>
                <w:sz w:val="18"/>
                <w:szCs w:val="18"/>
                <w:highlight w:val="none"/>
              </w:rPr>
              <w:t>100≤Y＜1000</w:t>
            </w:r>
          </w:p>
        </w:tc>
        <w:tc>
          <w:tcPr>
            <w:tcW w:w="908" w:type="dxa"/>
            <w:noWrap w:val="0"/>
            <w:tcMar>
              <w:top w:w="0" w:type="dxa"/>
              <w:left w:w="108" w:type="dxa"/>
              <w:bottom w:w="0" w:type="dxa"/>
              <w:right w:w="108" w:type="dxa"/>
            </w:tcMar>
            <w:vAlign w:val="center"/>
          </w:tcPr>
          <w:p>
            <w:pPr>
              <w:rPr>
                <w:rFonts w:ascii="华文中宋" w:hAnsi="华文中宋" w:eastAsia="华文中宋" w:cs="宋体"/>
                <w:bCs/>
                <w:color w:val="auto"/>
                <w:highlight w:val="none"/>
              </w:rPr>
            </w:pPr>
            <w:r>
              <w:rPr>
                <w:rFonts w:hint="eastAsia" w:ascii="华文中宋" w:hAnsi="华文中宋" w:eastAsia="华文中宋" w:cs="宋体"/>
                <w:color w:val="auto"/>
                <w:sz w:val="18"/>
                <w:szCs w:val="18"/>
                <w:highlight w:val="none"/>
              </w:rPr>
              <w:t>Y＜100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40" w:hRule="atLeast"/>
          <w:jc w:val="center"/>
        </w:trPr>
        <w:tc>
          <w:tcPr>
            <w:tcW w:w="1560" w:type="dxa"/>
            <w:vMerge w:val="continue"/>
            <w:noWrap w:val="0"/>
            <w:vAlign w:val="center"/>
          </w:tcPr>
          <w:p>
            <w:pPr>
              <w:ind w:firstLine="480"/>
              <w:rPr>
                <w:rFonts w:ascii="华文中宋" w:hAnsi="华文中宋" w:eastAsia="华文中宋" w:cs="宋体"/>
                <w:bCs/>
                <w:color w:val="auto"/>
                <w:highlight w:val="none"/>
              </w:rPr>
            </w:pPr>
          </w:p>
        </w:tc>
        <w:tc>
          <w:tcPr>
            <w:tcW w:w="1281" w:type="dxa"/>
            <w:noWrap w:val="0"/>
            <w:tcMar>
              <w:top w:w="0" w:type="dxa"/>
              <w:left w:w="108" w:type="dxa"/>
              <w:bottom w:w="0" w:type="dxa"/>
              <w:right w:w="108" w:type="dxa"/>
            </w:tcMar>
            <w:vAlign w:val="center"/>
          </w:tcPr>
          <w:p>
            <w:pPr>
              <w:spacing w:line="240" w:lineRule="atLeast"/>
              <w:rPr>
                <w:rFonts w:ascii="华文中宋" w:hAnsi="华文中宋" w:eastAsia="华文中宋" w:cs="宋体"/>
                <w:bCs/>
                <w:color w:val="auto"/>
                <w:highlight w:val="none"/>
              </w:rPr>
            </w:pPr>
            <w:r>
              <w:rPr>
                <w:rFonts w:hint="eastAsia" w:ascii="华文中宋" w:hAnsi="华文中宋" w:eastAsia="华文中宋" w:cs="宋体"/>
                <w:color w:val="auto"/>
                <w:sz w:val="18"/>
                <w:szCs w:val="18"/>
                <w:highlight w:val="none"/>
              </w:rPr>
              <w:t>资产总额(Z)</w:t>
            </w:r>
          </w:p>
        </w:tc>
        <w:tc>
          <w:tcPr>
            <w:tcW w:w="758" w:type="dxa"/>
            <w:noWrap w:val="0"/>
            <w:tcMar>
              <w:top w:w="0" w:type="dxa"/>
              <w:left w:w="108" w:type="dxa"/>
              <w:bottom w:w="0" w:type="dxa"/>
              <w:right w:w="108" w:type="dxa"/>
            </w:tcMar>
            <w:vAlign w:val="center"/>
          </w:tcPr>
          <w:p>
            <w:pPr>
              <w:rPr>
                <w:rFonts w:ascii="华文中宋" w:hAnsi="华文中宋" w:eastAsia="华文中宋" w:cs="宋体"/>
                <w:bCs/>
                <w:color w:val="auto"/>
                <w:highlight w:val="none"/>
              </w:rPr>
            </w:pPr>
            <w:r>
              <w:rPr>
                <w:rFonts w:hint="eastAsia" w:ascii="华文中宋" w:hAnsi="华文中宋" w:eastAsia="华文中宋" w:cs="宋体"/>
                <w:color w:val="auto"/>
                <w:sz w:val="18"/>
                <w:szCs w:val="18"/>
                <w:highlight w:val="none"/>
              </w:rPr>
              <w:t>万元</w:t>
            </w:r>
          </w:p>
        </w:tc>
        <w:tc>
          <w:tcPr>
            <w:tcW w:w="993" w:type="dxa"/>
            <w:noWrap w:val="0"/>
            <w:tcMar>
              <w:top w:w="0" w:type="dxa"/>
              <w:left w:w="108" w:type="dxa"/>
              <w:bottom w:w="0" w:type="dxa"/>
              <w:right w:w="108" w:type="dxa"/>
            </w:tcMar>
            <w:vAlign w:val="center"/>
          </w:tcPr>
          <w:p>
            <w:pPr>
              <w:rPr>
                <w:rFonts w:ascii="华文中宋" w:hAnsi="华文中宋" w:eastAsia="华文中宋" w:cs="宋体"/>
                <w:bCs/>
                <w:color w:val="auto"/>
                <w:highlight w:val="none"/>
              </w:rPr>
            </w:pPr>
            <w:r>
              <w:rPr>
                <w:rFonts w:hint="eastAsia" w:ascii="华文中宋" w:hAnsi="华文中宋" w:eastAsia="华文中宋" w:cs="宋体"/>
                <w:color w:val="auto"/>
                <w:sz w:val="18"/>
                <w:szCs w:val="18"/>
                <w:highlight w:val="none"/>
              </w:rPr>
              <w:t>Z≥10000</w:t>
            </w:r>
          </w:p>
        </w:tc>
        <w:tc>
          <w:tcPr>
            <w:tcW w:w="1491" w:type="dxa"/>
            <w:noWrap w:val="0"/>
            <w:tcMar>
              <w:top w:w="0" w:type="dxa"/>
              <w:left w:w="108" w:type="dxa"/>
              <w:bottom w:w="0" w:type="dxa"/>
              <w:right w:w="108" w:type="dxa"/>
            </w:tcMar>
            <w:vAlign w:val="center"/>
          </w:tcPr>
          <w:p>
            <w:pPr>
              <w:ind w:firstLine="360"/>
              <w:jc w:val="center"/>
              <w:rPr>
                <w:rFonts w:ascii="华文中宋" w:hAnsi="华文中宋" w:eastAsia="华文中宋" w:cs="宋体"/>
                <w:bCs/>
                <w:color w:val="auto"/>
                <w:highlight w:val="none"/>
              </w:rPr>
            </w:pPr>
            <w:r>
              <w:rPr>
                <w:rFonts w:hint="eastAsia" w:ascii="华文中宋" w:hAnsi="华文中宋" w:eastAsia="华文中宋" w:cs="宋体"/>
                <w:color w:val="auto"/>
                <w:sz w:val="18"/>
                <w:szCs w:val="18"/>
                <w:highlight w:val="none"/>
              </w:rPr>
              <w:t>5000≤Z＜10000</w:t>
            </w:r>
          </w:p>
        </w:tc>
        <w:tc>
          <w:tcPr>
            <w:tcW w:w="1315" w:type="dxa"/>
            <w:noWrap w:val="0"/>
            <w:tcMar>
              <w:top w:w="0" w:type="dxa"/>
              <w:left w:w="108" w:type="dxa"/>
              <w:bottom w:w="0" w:type="dxa"/>
              <w:right w:w="108" w:type="dxa"/>
            </w:tcMar>
            <w:vAlign w:val="center"/>
          </w:tcPr>
          <w:p>
            <w:pPr>
              <w:rPr>
                <w:rFonts w:ascii="华文中宋" w:hAnsi="华文中宋" w:eastAsia="华文中宋" w:cs="宋体"/>
                <w:bCs/>
                <w:color w:val="auto"/>
                <w:highlight w:val="none"/>
              </w:rPr>
            </w:pPr>
            <w:r>
              <w:rPr>
                <w:rFonts w:hint="eastAsia" w:ascii="华文中宋" w:hAnsi="华文中宋" w:eastAsia="华文中宋" w:cs="宋体"/>
                <w:color w:val="auto"/>
                <w:sz w:val="18"/>
                <w:szCs w:val="18"/>
                <w:highlight w:val="none"/>
              </w:rPr>
              <w:t>2000≤Z＜5000  </w:t>
            </w:r>
          </w:p>
        </w:tc>
        <w:tc>
          <w:tcPr>
            <w:tcW w:w="908" w:type="dxa"/>
            <w:noWrap w:val="0"/>
            <w:tcMar>
              <w:top w:w="0" w:type="dxa"/>
              <w:left w:w="108" w:type="dxa"/>
              <w:bottom w:w="0" w:type="dxa"/>
              <w:right w:w="108" w:type="dxa"/>
            </w:tcMar>
            <w:vAlign w:val="center"/>
          </w:tcPr>
          <w:p>
            <w:pPr>
              <w:rPr>
                <w:rFonts w:ascii="华文中宋" w:hAnsi="华文中宋" w:eastAsia="华文中宋" w:cs="宋体"/>
                <w:bCs/>
                <w:color w:val="auto"/>
                <w:highlight w:val="none"/>
              </w:rPr>
            </w:pPr>
            <w:r>
              <w:rPr>
                <w:rFonts w:hint="eastAsia" w:ascii="华文中宋" w:hAnsi="华文中宋" w:eastAsia="华文中宋" w:cs="宋体"/>
                <w:color w:val="auto"/>
                <w:sz w:val="18"/>
                <w:szCs w:val="18"/>
                <w:highlight w:val="none"/>
              </w:rPr>
              <w:t>Z＜2000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40" w:hRule="atLeast"/>
          <w:jc w:val="center"/>
        </w:trPr>
        <w:tc>
          <w:tcPr>
            <w:tcW w:w="1560" w:type="dxa"/>
            <w:vMerge w:val="restart"/>
            <w:noWrap w:val="0"/>
            <w:tcMar>
              <w:top w:w="0" w:type="dxa"/>
              <w:left w:w="108" w:type="dxa"/>
              <w:bottom w:w="0" w:type="dxa"/>
              <w:right w:w="108" w:type="dxa"/>
            </w:tcMar>
            <w:vAlign w:val="center"/>
          </w:tcPr>
          <w:p>
            <w:pPr>
              <w:spacing w:line="240" w:lineRule="atLeast"/>
              <w:rPr>
                <w:rFonts w:ascii="华文中宋" w:hAnsi="华文中宋" w:eastAsia="华文中宋" w:cs="宋体"/>
                <w:bCs/>
                <w:color w:val="auto"/>
                <w:highlight w:val="none"/>
              </w:rPr>
            </w:pPr>
            <w:r>
              <w:rPr>
                <w:rFonts w:hint="eastAsia" w:ascii="华文中宋" w:hAnsi="华文中宋" w:eastAsia="华文中宋" w:cs="宋体"/>
                <w:color w:val="auto"/>
                <w:sz w:val="18"/>
                <w:szCs w:val="18"/>
                <w:highlight w:val="none"/>
              </w:rPr>
              <w:t>物业管理</w:t>
            </w:r>
          </w:p>
        </w:tc>
        <w:tc>
          <w:tcPr>
            <w:tcW w:w="1281" w:type="dxa"/>
            <w:noWrap w:val="0"/>
            <w:tcMar>
              <w:top w:w="0" w:type="dxa"/>
              <w:left w:w="108" w:type="dxa"/>
              <w:bottom w:w="0" w:type="dxa"/>
              <w:right w:w="108" w:type="dxa"/>
            </w:tcMar>
            <w:vAlign w:val="center"/>
          </w:tcPr>
          <w:p>
            <w:pPr>
              <w:rPr>
                <w:rFonts w:ascii="华文中宋" w:hAnsi="华文中宋" w:eastAsia="华文中宋" w:cs="宋体"/>
                <w:bCs/>
                <w:color w:val="auto"/>
                <w:highlight w:val="none"/>
              </w:rPr>
            </w:pPr>
            <w:r>
              <w:rPr>
                <w:rFonts w:hint="eastAsia" w:ascii="华文中宋" w:hAnsi="华文中宋" w:eastAsia="华文中宋" w:cs="宋体"/>
                <w:color w:val="auto"/>
                <w:sz w:val="18"/>
                <w:szCs w:val="18"/>
                <w:highlight w:val="none"/>
              </w:rPr>
              <w:t>从业人员(X)</w:t>
            </w:r>
          </w:p>
        </w:tc>
        <w:tc>
          <w:tcPr>
            <w:tcW w:w="758" w:type="dxa"/>
            <w:noWrap w:val="0"/>
            <w:tcMar>
              <w:top w:w="0" w:type="dxa"/>
              <w:left w:w="108" w:type="dxa"/>
              <w:bottom w:w="0" w:type="dxa"/>
              <w:right w:w="108" w:type="dxa"/>
            </w:tcMar>
            <w:vAlign w:val="center"/>
          </w:tcPr>
          <w:p>
            <w:pPr>
              <w:rPr>
                <w:rFonts w:ascii="华文中宋" w:hAnsi="华文中宋" w:eastAsia="华文中宋" w:cs="宋体"/>
                <w:bCs/>
                <w:color w:val="auto"/>
                <w:highlight w:val="none"/>
              </w:rPr>
            </w:pPr>
            <w:r>
              <w:rPr>
                <w:rFonts w:hint="eastAsia" w:ascii="华文中宋" w:hAnsi="华文中宋" w:eastAsia="华文中宋" w:cs="宋体"/>
                <w:color w:val="auto"/>
                <w:sz w:val="18"/>
                <w:szCs w:val="18"/>
                <w:highlight w:val="none"/>
              </w:rPr>
              <w:t>人</w:t>
            </w:r>
          </w:p>
        </w:tc>
        <w:tc>
          <w:tcPr>
            <w:tcW w:w="993" w:type="dxa"/>
            <w:noWrap w:val="0"/>
            <w:tcMar>
              <w:top w:w="0" w:type="dxa"/>
              <w:left w:w="108" w:type="dxa"/>
              <w:bottom w:w="0" w:type="dxa"/>
              <w:right w:w="108" w:type="dxa"/>
            </w:tcMar>
            <w:vAlign w:val="center"/>
          </w:tcPr>
          <w:p>
            <w:pPr>
              <w:rPr>
                <w:rFonts w:ascii="华文中宋" w:hAnsi="华文中宋" w:eastAsia="华文中宋" w:cs="宋体"/>
                <w:bCs/>
                <w:color w:val="auto"/>
                <w:highlight w:val="none"/>
              </w:rPr>
            </w:pPr>
            <w:r>
              <w:rPr>
                <w:rFonts w:hint="eastAsia" w:ascii="华文中宋" w:hAnsi="华文中宋" w:eastAsia="华文中宋" w:cs="宋体"/>
                <w:color w:val="auto"/>
                <w:sz w:val="18"/>
                <w:szCs w:val="18"/>
                <w:highlight w:val="none"/>
              </w:rPr>
              <w:t>X≥1000</w:t>
            </w:r>
          </w:p>
        </w:tc>
        <w:tc>
          <w:tcPr>
            <w:tcW w:w="1491" w:type="dxa"/>
            <w:noWrap w:val="0"/>
            <w:tcMar>
              <w:top w:w="0" w:type="dxa"/>
              <w:left w:w="108" w:type="dxa"/>
              <w:bottom w:w="0" w:type="dxa"/>
              <w:right w:w="108" w:type="dxa"/>
            </w:tcMar>
            <w:vAlign w:val="center"/>
          </w:tcPr>
          <w:p>
            <w:pPr>
              <w:rPr>
                <w:rFonts w:ascii="华文中宋" w:hAnsi="华文中宋" w:eastAsia="华文中宋" w:cs="宋体"/>
                <w:bCs/>
                <w:color w:val="auto"/>
                <w:highlight w:val="none"/>
              </w:rPr>
            </w:pPr>
            <w:r>
              <w:rPr>
                <w:rFonts w:hint="eastAsia" w:ascii="华文中宋" w:hAnsi="华文中宋" w:eastAsia="华文中宋" w:cs="宋体"/>
                <w:color w:val="auto"/>
                <w:sz w:val="18"/>
                <w:szCs w:val="18"/>
                <w:highlight w:val="none"/>
              </w:rPr>
              <w:t>300≤X＜1000</w:t>
            </w:r>
          </w:p>
        </w:tc>
        <w:tc>
          <w:tcPr>
            <w:tcW w:w="1315" w:type="dxa"/>
            <w:noWrap w:val="0"/>
            <w:tcMar>
              <w:top w:w="0" w:type="dxa"/>
              <w:left w:w="108" w:type="dxa"/>
              <w:bottom w:w="0" w:type="dxa"/>
              <w:right w:w="108" w:type="dxa"/>
            </w:tcMar>
            <w:vAlign w:val="center"/>
          </w:tcPr>
          <w:p>
            <w:pPr>
              <w:rPr>
                <w:rFonts w:ascii="华文中宋" w:hAnsi="华文中宋" w:eastAsia="华文中宋" w:cs="宋体"/>
                <w:bCs/>
                <w:color w:val="auto"/>
                <w:highlight w:val="none"/>
              </w:rPr>
            </w:pPr>
            <w:r>
              <w:rPr>
                <w:rFonts w:hint="eastAsia" w:ascii="华文中宋" w:hAnsi="华文中宋" w:eastAsia="华文中宋" w:cs="宋体"/>
                <w:color w:val="auto"/>
                <w:sz w:val="18"/>
                <w:szCs w:val="18"/>
                <w:highlight w:val="none"/>
              </w:rPr>
              <w:t>100≤X＜300</w:t>
            </w:r>
          </w:p>
        </w:tc>
        <w:tc>
          <w:tcPr>
            <w:tcW w:w="908" w:type="dxa"/>
            <w:noWrap w:val="0"/>
            <w:tcMar>
              <w:top w:w="0" w:type="dxa"/>
              <w:left w:w="108" w:type="dxa"/>
              <w:bottom w:w="0" w:type="dxa"/>
              <w:right w:w="108" w:type="dxa"/>
            </w:tcMar>
            <w:vAlign w:val="center"/>
          </w:tcPr>
          <w:p>
            <w:pPr>
              <w:rPr>
                <w:rFonts w:ascii="华文中宋" w:hAnsi="华文中宋" w:eastAsia="华文中宋" w:cs="宋体"/>
                <w:bCs/>
                <w:color w:val="auto"/>
                <w:highlight w:val="none"/>
              </w:rPr>
            </w:pPr>
            <w:r>
              <w:rPr>
                <w:rFonts w:hint="eastAsia" w:ascii="华文中宋" w:hAnsi="华文中宋" w:eastAsia="华文中宋" w:cs="宋体"/>
                <w:color w:val="auto"/>
                <w:sz w:val="18"/>
                <w:szCs w:val="18"/>
                <w:highlight w:val="none"/>
              </w:rPr>
              <w:t>X＜100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40" w:hRule="atLeast"/>
          <w:jc w:val="center"/>
        </w:trPr>
        <w:tc>
          <w:tcPr>
            <w:tcW w:w="1560" w:type="dxa"/>
            <w:vMerge w:val="continue"/>
            <w:noWrap w:val="0"/>
            <w:vAlign w:val="center"/>
          </w:tcPr>
          <w:p>
            <w:pPr>
              <w:ind w:firstLine="480"/>
              <w:rPr>
                <w:rFonts w:ascii="华文中宋" w:hAnsi="华文中宋" w:eastAsia="华文中宋" w:cs="宋体"/>
                <w:bCs/>
                <w:color w:val="auto"/>
                <w:highlight w:val="none"/>
              </w:rPr>
            </w:pPr>
          </w:p>
        </w:tc>
        <w:tc>
          <w:tcPr>
            <w:tcW w:w="1281" w:type="dxa"/>
            <w:noWrap w:val="0"/>
            <w:tcMar>
              <w:top w:w="0" w:type="dxa"/>
              <w:left w:w="108" w:type="dxa"/>
              <w:bottom w:w="0" w:type="dxa"/>
              <w:right w:w="108" w:type="dxa"/>
            </w:tcMar>
            <w:vAlign w:val="center"/>
          </w:tcPr>
          <w:p>
            <w:pPr>
              <w:spacing w:line="240" w:lineRule="atLeast"/>
              <w:rPr>
                <w:rFonts w:ascii="华文中宋" w:hAnsi="华文中宋" w:eastAsia="华文中宋" w:cs="宋体"/>
                <w:bCs/>
                <w:color w:val="auto"/>
                <w:highlight w:val="none"/>
              </w:rPr>
            </w:pPr>
            <w:r>
              <w:rPr>
                <w:rFonts w:hint="eastAsia" w:ascii="华文中宋" w:hAnsi="华文中宋" w:eastAsia="华文中宋" w:cs="宋体"/>
                <w:color w:val="auto"/>
                <w:sz w:val="18"/>
                <w:szCs w:val="18"/>
                <w:highlight w:val="none"/>
              </w:rPr>
              <w:t>营业收入(Y)</w:t>
            </w:r>
          </w:p>
        </w:tc>
        <w:tc>
          <w:tcPr>
            <w:tcW w:w="758" w:type="dxa"/>
            <w:noWrap w:val="0"/>
            <w:tcMar>
              <w:top w:w="0" w:type="dxa"/>
              <w:left w:w="108" w:type="dxa"/>
              <w:bottom w:w="0" w:type="dxa"/>
              <w:right w:w="108" w:type="dxa"/>
            </w:tcMar>
            <w:vAlign w:val="center"/>
          </w:tcPr>
          <w:p>
            <w:pPr>
              <w:rPr>
                <w:rFonts w:ascii="华文中宋" w:hAnsi="华文中宋" w:eastAsia="华文中宋" w:cs="宋体"/>
                <w:bCs/>
                <w:color w:val="auto"/>
                <w:highlight w:val="none"/>
              </w:rPr>
            </w:pPr>
            <w:r>
              <w:rPr>
                <w:rFonts w:hint="eastAsia" w:ascii="华文中宋" w:hAnsi="华文中宋" w:eastAsia="华文中宋" w:cs="宋体"/>
                <w:color w:val="auto"/>
                <w:sz w:val="18"/>
                <w:szCs w:val="18"/>
                <w:highlight w:val="none"/>
              </w:rPr>
              <w:t>万元</w:t>
            </w:r>
          </w:p>
        </w:tc>
        <w:tc>
          <w:tcPr>
            <w:tcW w:w="993" w:type="dxa"/>
            <w:noWrap w:val="0"/>
            <w:tcMar>
              <w:top w:w="0" w:type="dxa"/>
              <w:left w:w="108" w:type="dxa"/>
              <w:bottom w:w="0" w:type="dxa"/>
              <w:right w:w="108" w:type="dxa"/>
            </w:tcMar>
            <w:vAlign w:val="center"/>
          </w:tcPr>
          <w:p>
            <w:pPr>
              <w:rPr>
                <w:rFonts w:ascii="华文中宋" w:hAnsi="华文中宋" w:eastAsia="华文中宋" w:cs="宋体"/>
                <w:bCs/>
                <w:color w:val="auto"/>
                <w:highlight w:val="none"/>
              </w:rPr>
            </w:pPr>
            <w:r>
              <w:rPr>
                <w:rFonts w:hint="eastAsia" w:ascii="华文中宋" w:hAnsi="华文中宋" w:eastAsia="华文中宋" w:cs="宋体"/>
                <w:color w:val="auto"/>
                <w:sz w:val="18"/>
                <w:szCs w:val="18"/>
                <w:highlight w:val="none"/>
              </w:rPr>
              <w:t>Y≥5000</w:t>
            </w:r>
          </w:p>
        </w:tc>
        <w:tc>
          <w:tcPr>
            <w:tcW w:w="1491" w:type="dxa"/>
            <w:noWrap w:val="0"/>
            <w:tcMar>
              <w:top w:w="0" w:type="dxa"/>
              <w:left w:w="108" w:type="dxa"/>
              <w:bottom w:w="0" w:type="dxa"/>
              <w:right w:w="108" w:type="dxa"/>
            </w:tcMar>
            <w:vAlign w:val="center"/>
          </w:tcPr>
          <w:p>
            <w:pPr>
              <w:ind w:left="1"/>
              <w:rPr>
                <w:rFonts w:ascii="华文中宋" w:hAnsi="华文中宋" w:eastAsia="华文中宋" w:cs="宋体"/>
                <w:bCs/>
                <w:color w:val="auto"/>
                <w:highlight w:val="none"/>
              </w:rPr>
            </w:pPr>
            <w:r>
              <w:rPr>
                <w:rFonts w:hint="eastAsia" w:ascii="华文中宋" w:hAnsi="华文中宋" w:eastAsia="华文中宋" w:cs="宋体"/>
                <w:color w:val="auto"/>
                <w:sz w:val="18"/>
                <w:szCs w:val="18"/>
                <w:highlight w:val="none"/>
              </w:rPr>
              <w:t>1000≤Y＜5000</w:t>
            </w:r>
          </w:p>
        </w:tc>
        <w:tc>
          <w:tcPr>
            <w:tcW w:w="1315" w:type="dxa"/>
            <w:noWrap w:val="0"/>
            <w:tcMar>
              <w:top w:w="0" w:type="dxa"/>
              <w:left w:w="108" w:type="dxa"/>
              <w:bottom w:w="0" w:type="dxa"/>
              <w:right w:w="108" w:type="dxa"/>
            </w:tcMar>
            <w:vAlign w:val="center"/>
          </w:tcPr>
          <w:p>
            <w:pPr>
              <w:rPr>
                <w:rFonts w:ascii="华文中宋" w:hAnsi="华文中宋" w:eastAsia="华文中宋" w:cs="宋体"/>
                <w:bCs/>
                <w:color w:val="auto"/>
                <w:highlight w:val="none"/>
              </w:rPr>
            </w:pPr>
            <w:r>
              <w:rPr>
                <w:rFonts w:hint="eastAsia" w:ascii="华文中宋" w:hAnsi="华文中宋" w:eastAsia="华文中宋" w:cs="宋体"/>
                <w:color w:val="auto"/>
                <w:sz w:val="18"/>
                <w:szCs w:val="18"/>
                <w:highlight w:val="none"/>
              </w:rPr>
              <w:t>500≤Y＜1000</w:t>
            </w:r>
          </w:p>
        </w:tc>
        <w:tc>
          <w:tcPr>
            <w:tcW w:w="908" w:type="dxa"/>
            <w:noWrap w:val="0"/>
            <w:tcMar>
              <w:top w:w="0" w:type="dxa"/>
              <w:left w:w="108" w:type="dxa"/>
              <w:bottom w:w="0" w:type="dxa"/>
              <w:right w:w="108" w:type="dxa"/>
            </w:tcMar>
            <w:vAlign w:val="center"/>
          </w:tcPr>
          <w:p>
            <w:pPr>
              <w:rPr>
                <w:rFonts w:ascii="华文中宋" w:hAnsi="华文中宋" w:eastAsia="华文中宋" w:cs="宋体"/>
                <w:bCs/>
                <w:color w:val="auto"/>
                <w:highlight w:val="none"/>
              </w:rPr>
            </w:pPr>
            <w:r>
              <w:rPr>
                <w:rFonts w:hint="eastAsia" w:ascii="华文中宋" w:hAnsi="华文中宋" w:eastAsia="华文中宋" w:cs="宋体"/>
                <w:color w:val="auto"/>
                <w:sz w:val="18"/>
                <w:szCs w:val="18"/>
                <w:highlight w:val="none"/>
              </w:rPr>
              <w:t>Y＜500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40" w:hRule="atLeast"/>
          <w:jc w:val="center"/>
        </w:trPr>
        <w:tc>
          <w:tcPr>
            <w:tcW w:w="1560" w:type="dxa"/>
            <w:vMerge w:val="restart"/>
            <w:noWrap w:val="0"/>
            <w:tcMar>
              <w:top w:w="0" w:type="dxa"/>
              <w:left w:w="108" w:type="dxa"/>
              <w:bottom w:w="0" w:type="dxa"/>
              <w:right w:w="108" w:type="dxa"/>
            </w:tcMar>
            <w:vAlign w:val="center"/>
          </w:tcPr>
          <w:p>
            <w:pPr>
              <w:spacing w:line="240" w:lineRule="atLeast"/>
              <w:rPr>
                <w:rFonts w:ascii="华文中宋" w:hAnsi="华文中宋" w:eastAsia="华文中宋" w:cs="宋体"/>
                <w:bCs/>
                <w:color w:val="auto"/>
                <w:highlight w:val="none"/>
              </w:rPr>
            </w:pPr>
            <w:r>
              <w:rPr>
                <w:rFonts w:hint="eastAsia" w:ascii="华文中宋" w:hAnsi="华文中宋" w:eastAsia="华文中宋" w:cs="宋体"/>
                <w:color w:val="auto"/>
                <w:sz w:val="18"/>
                <w:szCs w:val="18"/>
                <w:highlight w:val="none"/>
              </w:rPr>
              <w:t>租赁和商务服务业</w:t>
            </w:r>
          </w:p>
        </w:tc>
        <w:tc>
          <w:tcPr>
            <w:tcW w:w="1281" w:type="dxa"/>
            <w:noWrap w:val="0"/>
            <w:tcMar>
              <w:top w:w="0" w:type="dxa"/>
              <w:left w:w="108" w:type="dxa"/>
              <w:bottom w:w="0" w:type="dxa"/>
              <w:right w:w="108" w:type="dxa"/>
            </w:tcMar>
            <w:vAlign w:val="center"/>
          </w:tcPr>
          <w:p>
            <w:pPr>
              <w:rPr>
                <w:rFonts w:ascii="华文中宋" w:hAnsi="华文中宋" w:eastAsia="华文中宋" w:cs="宋体"/>
                <w:bCs/>
                <w:color w:val="auto"/>
                <w:highlight w:val="none"/>
              </w:rPr>
            </w:pPr>
            <w:r>
              <w:rPr>
                <w:rFonts w:hint="eastAsia" w:ascii="华文中宋" w:hAnsi="华文中宋" w:eastAsia="华文中宋" w:cs="宋体"/>
                <w:color w:val="auto"/>
                <w:sz w:val="18"/>
                <w:szCs w:val="18"/>
                <w:highlight w:val="none"/>
              </w:rPr>
              <w:t>从业人员(X)</w:t>
            </w:r>
          </w:p>
        </w:tc>
        <w:tc>
          <w:tcPr>
            <w:tcW w:w="758" w:type="dxa"/>
            <w:noWrap w:val="0"/>
            <w:tcMar>
              <w:top w:w="0" w:type="dxa"/>
              <w:left w:w="108" w:type="dxa"/>
              <w:bottom w:w="0" w:type="dxa"/>
              <w:right w:w="108" w:type="dxa"/>
            </w:tcMar>
            <w:vAlign w:val="center"/>
          </w:tcPr>
          <w:p>
            <w:pPr>
              <w:rPr>
                <w:rFonts w:ascii="华文中宋" w:hAnsi="华文中宋" w:eastAsia="华文中宋" w:cs="宋体"/>
                <w:bCs/>
                <w:color w:val="auto"/>
                <w:highlight w:val="none"/>
              </w:rPr>
            </w:pPr>
            <w:r>
              <w:rPr>
                <w:rFonts w:hint="eastAsia" w:ascii="华文中宋" w:hAnsi="华文中宋" w:eastAsia="华文中宋" w:cs="宋体"/>
                <w:color w:val="auto"/>
                <w:sz w:val="18"/>
                <w:szCs w:val="18"/>
                <w:highlight w:val="none"/>
              </w:rPr>
              <w:t>人</w:t>
            </w:r>
          </w:p>
        </w:tc>
        <w:tc>
          <w:tcPr>
            <w:tcW w:w="993" w:type="dxa"/>
            <w:noWrap w:val="0"/>
            <w:tcMar>
              <w:top w:w="0" w:type="dxa"/>
              <w:left w:w="108" w:type="dxa"/>
              <w:bottom w:w="0" w:type="dxa"/>
              <w:right w:w="108" w:type="dxa"/>
            </w:tcMar>
            <w:vAlign w:val="center"/>
          </w:tcPr>
          <w:p>
            <w:pPr>
              <w:rPr>
                <w:rFonts w:ascii="华文中宋" w:hAnsi="华文中宋" w:eastAsia="华文中宋" w:cs="宋体"/>
                <w:bCs/>
                <w:color w:val="auto"/>
                <w:highlight w:val="none"/>
              </w:rPr>
            </w:pPr>
            <w:r>
              <w:rPr>
                <w:rFonts w:hint="eastAsia" w:ascii="华文中宋" w:hAnsi="华文中宋" w:eastAsia="华文中宋" w:cs="宋体"/>
                <w:color w:val="auto"/>
                <w:sz w:val="18"/>
                <w:szCs w:val="18"/>
                <w:highlight w:val="none"/>
              </w:rPr>
              <w:t>X≥300</w:t>
            </w:r>
          </w:p>
        </w:tc>
        <w:tc>
          <w:tcPr>
            <w:tcW w:w="1491" w:type="dxa"/>
            <w:noWrap w:val="0"/>
            <w:tcMar>
              <w:top w:w="0" w:type="dxa"/>
              <w:left w:w="108" w:type="dxa"/>
              <w:bottom w:w="0" w:type="dxa"/>
              <w:right w:w="108" w:type="dxa"/>
            </w:tcMar>
            <w:vAlign w:val="center"/>
          </w:tcPr>
          <w:p>
            <w:pPr>
              <w:ind w:left="1"/>
              <w:rPr>
                <w:rFonts w:ascii="华文中宋" w:hAnsi="华文中宋" w:eastAsia="华文中宋" w:cs="宋体"/>
                <w:bCs/>
                <w:color w:val="auto"/>
                <w:highlight w:val="none"/>
              </w:rPr>
            </w:pPr>
            <w:r>
              <w:rPr>
                <w:rFonts w:hint="eastAsia" w:ascii="华文中宋" w:hAnsi="华文中宋" w:eastAsia="华文中宋" w:cs="宋体"/>
                <w:color w:val="auto"/>
                <w:sz w:val="18"/>
                <w:szCs w:val="18"/>
                <w:highlight w:val="none"/>
              </w:rPr>
              <w:t>100≤X＜300</w:t>
            </w:r>
          </w:p>
        </w:tc>
        <w:tc>
          <w:tcPr>
            <w:tcW w:w="1315" w:type="dxa"/>
            <w:noWrap w:val="0"/>
            <w:tcMar>
              <w:top w:w="0" w:type="dxa"/>
              <w:left w:w="108" w:type="dxa"/>
              <w:bottom w:w="0" w:type="dxa"/>
              <w:right w:w="108" w:type="dxa"/>
            </w:tcMar>
            <w:vAlign w:val="center"/>
          </w:tcPr>
          <w:p>
            <w:pPr>
              <w:rPr>
                <w:rFonts w:ascii="华文中宋" w:hAnsi="华文中宋" w:eastAsia="华文中宋" w:cs="宋体"/>
                <w:bCs/>
                <w:color w:val="auto"/>
                <w:highlight w:val="none"/>
              </w:rPr>
            </w:pPr>
            <w:r>
              <w:rPr>
                <w:rFonts w:hint="eastAsia" w:ascii="华文中宋" w:hAnsi="华文中宋" w:eastAsia="华文中宋" w:cs="宋体"/>
                <w:color w:val="auto"/>
                <w:sz w:val="18"/>
                <w:szCs w:val="18"/>
                <w:highlight w:val="none"/>
              </w:rPr>
              <w:t>10≤X＜100</w:t>
            </w:r>
          </w:p>
        </w:tc>
        <w:tc>
          <w:tcPr>
            <w:tcW w:w="908" w:type="dxa"/>
            <w:noWrap w:val="0"/>
            <w:tcMar>
              <w:top w:w="0" w:type="dxa"/>
              <w:left w:w="108" w:type="dxa"/>
              <w:bottom w:w="0" w:type="dxa"/>
              <w:right w:w="108" w:type="dxa"/>
            </w:tcMar>
            <w:vAlign w:val="center"/>
          </w:tcPr>
          <w:p>
            <w:pPr>
              <w:rPr>
                <w:rFonts w:ascii="华文中宋" w:hAnsi="华文中宋" w:eastAsia="华文中宋" w:cs="宋体"/>
                <w:bCs/>
                <w:color w:val="auto"/>
                <w:highlight w:val="none"/>
              </w:rPr>
            </w:pPr>
            <w:r>
              <w:rPr>
                <w:rFonts w:hint="eastAsia" w:ascii="华文中宋" w:hAnsi="华文中宋" w:eastAsia="华文中宋" w:cs="宋体"/>
                <w:color w:val="auto"/>
                <w:sz w:val="18"/>
                <w:szCs w:val="18"/>
                <w:highlight w:val="none"/>
              </w:rPr>
              <w:t>X＜10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40" w:hRule="atLeast"/>
          <w:jc w:val="center"/>
        </w:trPr>
        <w:tc>
          <w:tcPr>
            <w:tcW w:w="1560" w:type="dxa"/>
            <w:vMerge w:val="continue"/>
            <w:noWrap w:val="0"/>
            <w:vAlign w:val="center"/>
          </w:tcPr>
          <w:p>
            <w:pPr>
              <w:ind w:firstLine="480"/>
              <w:rPr>
                <w:rFonts w:ascii="华文中宋" w:hAnsi="华文中宋" w:eastAsia="华文中宋" w:cs="宋体"/>
                <w:bCs/>
                <w:color w:val="auto"/>
                <w:highlight w:val="none"/>
              </w:rPr>
            </w:pPr>
          </w:p>
        </w:tc>
        <w:tc>
          <w:tcPr>
            <w:tcW w:w="1281" w:type="dxa"/>
            <w:noWrap w:val="0"/>
            <w:tcMar>
              <w:top w:w="0" w:type="dxa"/>
              <w:left w:w="108" w:type="dxa"/>
              <w:bottom w:w="0" w:type="dxa"/>
              <w:right w:w="108" w:type="dxa"/>
            </w:tcMar>
            <w:vAlign w:val="center"/>
          </w:tcPr>
          <w:p>
            <w:pPr>
              <w:spacing w:line="240" w:lineRule="atLeast"/>
              <w:rPr>
                <w:rFonts w:ascii="华文中宋" w:hAnsi="华文中宋" w:eastAsia="华文中宋" w:cs="宋体"/>
                <w:bCs/>
                <w:color w:val="auto"/>
                <w:highlight w:val="none"/>
              </w:rPr>
            </w:pPr>
            <w:r>
              <w:rPr>
                <w:rFonts w:hint="eastAsia" w:ascii="华文中宋" w:hAnsi="华文中宋" w:eastAsia="华文中宋" w:cs="宋体"/>
                <w:color w:val="auto"/>
                <w:sz w:val="18"/>
                <w:szCs w:val="18"/>
                <w:highlight w:val="none"/>
              </w:rPr>
              <w:t>资产总额(Z)</w:t>
            </w:r>
          </w:p>
        </w:tc>
        <w:tc>
          <w:tcPr>
            <w:tcW w:w="758" w:type="dxa"/>
            <w:noWrap w:val="0"/>
            <w:tcMar>
              <w:top w:w="0" w:type="dxa"/>
              <w:left w:w="108" w:type="dxa"/>
              <w:bottom w:w="0" w:type="dxa"/>
              <w:right w:w="108" w:type="dxa"/>
            </w:tcMar>
            <w:vAlign w:val="center"/>
          </w:tcPr>
          <w:p>
            <w:pPr>
              <w:rPr>
                <w:rFonts w:ascii="华文中宋" w:hAnsi="华文中宋" w:eastAsia="华文中宋" w:cs="宋体"/>
                <w:bCs/>
                <w:color w:val="auto"/>
                <w:highlight w:val="none"/>
              </w:rPr>
            </w:pPr>
            <w:r>
              <w:rPr>
                <w:rFonts w:hint="eastAsia" w:ascii="华文中宋" w:hAnsi="华文中宋" w:eastAsia="华文中宋" w:cs="宋体"/>
                <w:color w:val="auto"/>
                <w:sz w:val="18"/>
                <w:szCs w:val="18"/>
                <w:highlight w:val="none"/>
              </w:rPr>
              <w:t>万元</w:t>
            </w:r>
          </w:p>
        </w:tc>
        <w:tc>
          <w:tcPr>
            <w:tcW w:w="993" w:type="dxa"/>
            <w:noWrap w:val="0"/>
            <w:tcMar>
              <w:top w:w="0" w:type="dxa"/>
              <w:left w:w="108" w:type="dxa"/>
              <w:bottom w:w="0" w:type="dxa"/>
              <w:right w:w="108" w:type="dxa"/>
            </w:tcMar>
            <w:vAlign w:val="center"/>
          </w:tcPr>
          <w:p>
            <w:pPr>
              <w:rPr>
                <w:rFonts w:ascii="华文中宋" w:hAnsi="华文中宋" w:eastAsia="华文中宋" w:cs="宋体"/>
                <w:bCs/>
                <w:color w:val="auto"/>
                <w:highlight w:val="none"/>
              </w:rPr>
            </w:pPr>
            <w:r>
              <w:rPr>
                <w:rFonts w:hint="eastAsia" w:ascii="华文中宋" w:hAnsi="华文中宋" w:eastAsia="华文中宋" w:cs="宋体"/>
                <w:color w:val="auto"/>
                <w:sz w:val="18"/>
                <w:szCs w:val="18"/>
                <w:highlight w:val="none"/>
              </w:rPr>
              <w:t>Z≥120000</w:t>
            </w:r>
          </w:p>
        </w:tc>
        <w:tc>
          <w:tcPr>
            <w:tcW w:w="1491" w:type="dxa"/>
            <w:noWrap w:val="0"/>
            <w:tcMar>
              <w:top w:w="0" w:type="dxa"/>
              <w:left w:w="108" w:type="dxa"/>
              <w:bottom w:w="0" w:type="dxa"/>
              <w:right w:w="108" w:type="dxa"/>
            </w:tcMar>
            <w:vAlign w:val="center"/>
          </w:tcPr>
          <w:p>
            <w:pPr>
              <w:rPr>
                <w:rFonts w:ascii="华文中宋" w:hAnsi="华文中宋" w:eastAsia="华文中宋" w:cs="宋体"/>
                <w:bCs/>
                <w:color w:val="auto"/>
                <w:highlight w:val="none"/>
              </w:rPr>
            </w:pPr>
            <w:r>
              <w:rPr>
                <w:rFonts w:hint="eastAsia" w:ascii="华文中宋" w:hAnsi="华文中宋" w:eastAsia="华文中宋" w:cs="宋体"/>
                <w:color w:val="auto"/>
                <w:sz w:val="18"/>
                <w:szCs w:val="18"/>
                <w:highlight w:val="none"/>
              </w:rPr>
              <w:t>8000≤Z＜120000</w:t>
            </w:r>
          </w:p>
        </w:tc>
        <w:tc>
          <w:tcPr>
            <w:tcW w:w="1315" w:type="dxa"/>
            <w:noWrap w:val="0"/>
            <w:tcMar>
              <w:top w:w="0" w:type="dxa"/>
              <w:left w:w="108" w:type="dxa"/>
              <w:bottom w:w="0" w:type="dxa"/>
              <w:right w:w="108" w:type="dxa"/>
            </w:tcMar>
            <w:vAlign w:val="center"/>
          </w:tcPr>
          <w:p>
            <w:pPr>
              <w:rPr>
                <w:rFonts w:ascii="华文中宋" w:hAnsi="华文中宋" w:eastAsia="华文中宋" w:cs="宋体"/>
                <w:bCs/>
                <w:color w:val="auto"/>
                <w:highlight w:val="none"/>
              </w:rPr>
            </w:pPr>
            <w:r>
              <w:rPr>
                <w:rFonts w:hint="eastAsia" w:ascii="华文中宋" w:hAnsi="华文中宋" w:eastAsia="华文中宋" w:cs="宋体"/>
                <w:color w:val="auto"/>
                <w:sz w:val="18"/>
                <w:szCs w:val="18"/>
                <w:highlight w:val="none"/>
              </w:rPr>
              <w:t>100≤Z＜8000</w:t>
            </w:r>
          </w:p>
        </w:tc>
        <w:tc>
          <w:tcPr>
            <w:tcW w:w="908" w:type="dxa"/>
            <w:noWrap w:val="0"/>
            <w:tcMar>
              <w:top w:w="0" w:type="dxa"/>
              <w:left w:w="108" w:type="dxa"/>
              <w:bottom w:w="0" w:type="dxa"/>
              <w:right w:w="108" w:type="dxa"/>
            </w:tcMar>
            <w:vAlign w:val="center"/>
          </w:tcPr>
          <w:p>
            <w:pPr>
              <w:rPr>
                <w:rFonts w:ascii="华文中宋" w:hAnsi="华文中宋" w:eastAsia="华文中宋" w:cs="宋体"/>
                <w:bCs/>
                <w:color w:val="auto"/>
                <w:highlight w:val="none"/>
              </w:rPr>
            </w:pPr>
            <w:r>
              <w:rPr>
                <w:rFonts w:hint="eastAsia" w:ascii="华文中宋" w:hAnsi="华文中宋" w:eastAsia="华文中宋" w:cs="宋体"/>
                <w:color w:val="auto"/>
                <w:sz w:val="18"/>
                <w:szCs w:val="18"/>
                <w:highlight w:val="none"/>
              </w:rPr>
              <w:t>Z＜100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97" w:hRule="atLeast"/>
          <w:jc w:val="center"/>
        </w:trPr>
        <w:tc>
          <w:tcPr>
            <w:tcW w:w="1560" w:type="dxa"/>
            <w:noWrap w:val="0"/>
            <w:tcMar>
              <w:top w:w="0" w:type="dxa"/>
              <w:left w:w="108" w:type="dxa"/>
              <w:bottom w:w="0" w:type="dxa"/>
              <w:right w:w="108" w:type="dxa"/>
            </w:tcMar>
            <w:vAlign w:val="center"/>
          </w:tcPr>
          <w:p>
            <w:pPr>
              <w:spacing w:line="240" w:lineRule="atLeast"/>
              <w:rPr>
                <w:rFonts w:ascii="华文中宋" w:hAnsi="华文中宋" w:eastAsia="华文中宋" w:cs="宋体"/>
                <w:bCs/>
                <w:color w:val="auto"/>
                <w:highlight w:val="none"/>
              </w:rPr>
            </w:pPr>
            <w:r>
              <w:rPr>
                <w:rFonts w:hint="eastAsia" w:ascii="华文中宋" w:hAnsi="华文中宋" w:eastAsia="华文中宋" w:cs="宋体"/>
                <w:color w:val="auto"/>
                <w:sz w:val="18"/>
                <w:szCs w:val="18"/>
                <w:highlight w:val="none"/>
              </w:rPr>
              <w:t>其他未列明行业 *</w:t>
            </w:r>
          </w:p>
        </w:tc>
        <w:tc>
          <w:tcPr>
            <w:tcW w:w="1281" w:type="dxa"/>
            <w:noWrap w:val="0"/>
            <w:tcMar>
              <w:top w:w="0" w:type="dxa"/>
              <w:left w:w="108" w:type="dxa"/>
              <w:bottom w:w="0" w:type="dxa"/>
              <w:right w:w="108" w:type="dxa"/>
            </w:tcMar>
            <w:vAlign w:val="center"/>
          </w:tcPr>
          <w:p>
            <w:pPr>
              <w:rPr>
                <w:rFonts w:ascii="华文中宋" w:hAnsi="华文中宋" w:eastAsia="华文中宋" w:cs="宋体"/>
                <w:bCs/>
                <w:color w:val="auto"/>
                <w:highlight w:val="none"/>
              </w:rPr>
            </w:pPr>
            <w:r>
              <w:rPr>
                <w:rFonts w:hint="eastAsia" w:ascii="华文中宋" w:hAnsi="华文中宋" w:eastAsia="华文中宋" w:cs="宋体"/>
                <w:color w:val="auto"/>
                <w:sz w:val="18"/>
                <w:szCs w:val="18"/>
                <w:highlight w:val="none"/>
              </w:rPr>
              <w:t>从业人员(X)</w:t>
            </w:r>
          </w:p>
        </w:tc>
        <w:tc>
          <w:tcPr>
            <w:tcW w:w="758" w:type="dxa"/>
            <w:noWrap w:val="0"/>
            <w:tcMar>
              <w:top w:w="0" w:type="dxa"/>
              <w:left w:w="108" w:type="dxa"/>
              <w:bottom w:w="0" w:type="dxa"/>
              <w:right w:w="108" w:type="dxa"/>
            </w:tcMar>
            <w:vAlign w:val="center"/>
          </w:tcPr>
          <w:p>
            <w:pPr>
              <w:rPr>
                <w:rFonts w:ascii="华文中宋" w:hAnsi="华文中宋" w:eastAsia="华文中宋" w:cs="宋体"/>
                <w:bCs/>
                <w:color w:val="auto"/>
                <w:highlight w:val="none"/>
              </w:rPr>
            </w:pPr>
            <w:r>
              <w:rPr>
                <w:rFonts w:hint="eastAsia" w:ascii="华文中宋" w:hAnsi="华文中宋" w:eastAsia="华文中宋" w:cs="宋体"/>
                <w:color w:val="auto"/>
                <w:sz w:val="18"/>
                <w:szCs w:val="18"/>
                <w:highlight w:val="none"/>
              </w:rPr>
              <w:t>人</w:t>
            </w:r>
          </w:p>
        </w:tc>
        <w:tc>
          <w:tcPr>
            <w:tcW w:w="993" w:type="dxa"/>
            <w:noWrap w:val="0"/>
            <w:tcMar>
              <w:top w:w="0" w:type="dxa"/>
              <w:left w:w="108" w:type="dxa"/>
              <w:bottom w:w="0" w:type="dxa"/>
              <w:right w:w="108" w:type="dxa"/>
            </w:tcMar>
            <w:vAlign w:val="center"/>
          </w:tcPr>
          <w:p>
            <w:pPr>
              <w:rPr>
                <w:rFonts w:ascii="华文中宋" w:hAnsi="华文中宋" w:eastAsia="华文中宋" w:cs="宋体"/>
                <w:bCs/>
                <w:color w:val="auto"/>
                <w:highlight w:val="none"/>
              </w:rPr>
            </w:pPr>
            <w:r>
              <w:rPr>
                <w:rFonts w:hint="eastAsia" w:ascii="华文中宋" w:hAnsi="华文中宋" w:eastAsia="华文中宋" w:cs="宋体"/>
                <w:color w:val="auto"/>
                <w:sz w:val="18"/>
                <w:szCs w:val="18"/>
                <w:highlight w:val="none"/>
              </w:rPr>
              <w:t>X≥300</w:t>
            </w:r>
          </w:p>
        </w:tc>
        <w:tc>
          <w:tcPr>
            <w:tcW w:w="1491" w:type="dxa"/>
            <w:noWrap w:val="0"/>
            <w:tcMar>
              <w:top w:w="0" w:type="dxa"/>
              <w:left w:w="108" w:type="dxa"/>
              <w:bottom w:w="0" w:type="dxa"/>
              <w:right w:w="108" w:type="dxa"/>
            </w:tcMar>
            <w:vAlign w:val="center"/>
          </w:tcPr>
          <w:p>
            <w:pPr>
              <w:ind w:left="1"/>
              <w:rPr>
                <w:rFonts w:ascii="华文中宋" w:hAnsi="华文中宋" w:eastAsia="华文中宋" w:cs="宋体"/>
                <w:bCs/>
                <w:color w:val="auto"/>
                <w:highlight w:val="none"/>
              </w:rPr>
            </w:pPr>
            <w:r>
              <w:rPr>
                <w:rFonts w:hint="eastAsia" w:ascii="华文中宋" w:hAnsi="华文中宋" w:eastAsia="华文中宋" w:cs="宋体"/>
                <w:color w:val="auto"/>
                <w:sz w:val="18"/>
                <w:szCs w:val="18"/>
                <w:highlight w:val="none"/>
              </w:rPr>
              <w:t>100≤X＜300</w:t>
            </w:r>
          </w:p>
        </w:tc>
        <w:tc>
          <w:tcPr>
            <w:tcW w:w="1315" w:type="dxa"/>
            <w:noWrap w:val="0"/>
            <w:tcMar>
              <w:top w:w="0" w:type="dxa"/>
              <w:left w:w="108" w:type="dxa"/>
              <w:bottom w:w="0" w:type="dxa"/>
              <w:right w:w="108" w:type="dxa"/>
            </w:tcMar>
            <w:vAlign w:val="center"/>
          </w:tcPr>
          <w:p>
            <w:pPr>
              <w:rPr>
                <w:rFonts w:ascii="华文中宋" w:hAnsi="华文中宋" w:eastAsia="华文中宋" w:cs="宋体"/>
                <w:bCs/>
                <w:color w:val="auto"/>
                <w:highlight w:val="none"/>
              </w:rPr>
            </w:pPr>
            <w:r>
              <w:rPr>
                <w:rFonts w:hint="eastAsia" w:ascii="华文中宋" w:hAnsi="华文中宋" w:eastAsia="华文中宋" w:cs="宋体"/>
                <w:color w:val="auto"/>
                <w:sz w:val="18"/>
                <w:szCs w:val="18"/>
                <w:highlight w:val="none"/>
              </w:rPr>
              <w:t>10≤X＜100</w:t>
            </w:r>
          </w:p>
        </w:tc>
        <w:tc>
          <w:tcPr>
            <w:tcW w:w="908" w:type="dxa"/>
            <w:noWrap w:val="0"/>
            <w:tcMar>
              <w:top w:w="0" w:type="dxa"/>
              <w:left w:w="108" w:type="dxa"/>
              <w:bottom w:w="0" w:type="dxa"/>
              <w:right w:w="108" w:type="dxa"/>
            </w:tcMar>
            <w:vAlign w:val="center"/>
          </w:tcPr>
          <w:p>
            <w:pPr>
              <w:rPr>
                <w:rFonts w:ascii="华文中宋" w:hAnsi="华文中宋" w:eastAsia="华文中宋" w:cs="宋体"/>
                <w:bCs/>
                <w:color w:val="auto"/>
                <w:highlight w:val="none"/>
              </w:rPr>
            </w:pPr>
            <w:r>
              <w:rPr>
                <w:rFonts w:hint="eastAsia" w:ascii="华文中宋" w:hAnsi="华文中宋" w:eastAsia="华文中宋" w:cs="宋体"/>
                <w:color w:val="auto"/>
                <w:sz w:val="18"/>
                <w:szCs w:val="18"/>
                <w:highlight w:val="none"/>
              </w:rPr>
              <w:t>X＜10</w:t>
            </w:r>
          </w:p>
        </w:tc>
      </w:tr>
    </w:tbl>
    <w:p>
      <w:pPr>
        <w:shd w:val="clear" w:color="auto" w:fill="FFFFFF"/>
        <w:spacing w:line="400" w:lineRule="exact"/>
        <w:rPr>
          <w:rFonts w:ascii="华文中宋" w:hAnsi="华文中宋" w:eastAsia="华文中宋" w:cs="宋体"/>
          <w:bCs/>
          <w:color w:val="auto"/>
          <w:szCs w:val="21"/>
          <w:highlight w:val="none"/>
        </w:rPr>
      </w:pPr>
      <w:r>
        <w:rPr>
          <w:rFonts w:hint="eastAsia" w:ascii="华文中宋" w:hAnsi="华文中宋" w:eastAsia="华文中宋" w:cs="宋体"/>
          <w:color w:val="auto"/>
          <w:sz w:val="18"/>
          <w:szCs w:val="18"/>
          <w:highlight w:val="none"/>
        </w:rPr>
        <w:t> </w:t>
      </w:r>
      <w:r>
        <w:rPr>
          <w:rFonts w:hint="eastAsia" w:ascii="华文中宋" w:hAnsi="华文中宋" w:eastAsia="华文中宋" w:cs="宋体"/>
          <w:color w:val="auto"/>
          <w:spacing w:val="8"/>
          <w:highlight w:val="none"/>
        </w:rPr>
        <w:t>　</w:t>
      </w:r>
      <w:r>
        <w:rPr>
          <w:rFonts w:hint="eastAsia" w:ascii="华文中宋" w:hAnsi="华文中宋" w:eastAsia="华文中宋" w:cs="宋体"/>
          <w:color w:val="auto"/>
          <w:spacing w:val="8"/>
          <w:szCs w:val="21"/>
          <w:highlight w:val="none"/>
        </w:rPr>
        <w:t>　说明：</w:t>
      </w:r>
    </w:p>
    <w:p>
      <w:pPr>
        <w:shd w:val="clear" w:color="auto" w:fill="FFFFFF"/>
        <w:spacing w:line="400" w:lineRule="exact"/>
        <w:rPr>
          <w:rFonts w:ascii="华文中宋" w:hAnsi="华文中宋" w:eastAsia="华文中宋" w:cs="宋体"/>
          <w:bCs/>
          <w:color w:val="auto"/>
          <w:szCs w:val="21"/>
          <w:highlight w:val="none"/>
        </w:rPr>
      </w:pPr>
      <w:r>
        <w:rPr>
          <w:rFonts w:ascii="华文中宋" w:hAnsi="华文中宋" w:eastAsia="华文中宋"/>
          <w:color w:val="auto"/>
          <w:spacing w:val="8"/>
          <w:szCs w:val="21"/>
          <w:highlight w:val="none"/>
        </w:rPr>
        <w:t> </w:t>
      </w:r>
      <w:r>
        <w:rPr>
          <w:rFonts w:hint="eastAsia" w:ascii="华文中宋" w:hAnsi="华文中宋" w:eastAsia="华文中宋" w:cs="宋体"/>
          <w:color w:val="auto"/>
          <w:spacing w:val="8"/>
          <w:szCs w:val="21"/>
          <w:highlight w:val="none"/>
        </w:rPr>
        <w:t>　　</w:t>
      </w:r>
      <w:r>
        <w:rPr>
          <w:rFonts w:ascii="华文中宋" w:hAnsi="华文中宋" w:eastAsia="华文中宋"/>
          <w:color w:val="auto"/>
          <w:spacing w:val="8"/>
          <w:szCs w:val="21"/>
          <w:highlight w:val="none"/>
        </w:rPr>
        <w:t>1.</w:t>
      </w:r>
      <w:r>
        <w:rPr>
          <w:rFonts w:hint="eastAsia" w:ascii="华文中宋" w:hAnsi="华文中宋" w:eastAsia="华文中宋" w:cs="宋体"/>
          <w:color w:val="auto"/>
          <w:spacing w:val="8"/>
          <w:szCs w:val="21"/>
          <w:highlight w:val="none"/>
        </w:rPr>
        <w:t>大型、中型和小型企业须同时满足所列指标的下限，否则下划一档；微型企业只须满足所列指标中的一项即可。</w:t>
      </w:r>
    </w:p>
    <w:p>
      <w:pPr>
        <w:shd w:val="clear" w:color="auto" w:fill="FFFFFF"/>
        <w:spacing w:line="400" w:lineRule="exact"/>
        <w:rPr>
          <w:rFonts w:ascii="华文中宋" w:hAnsi="华文中宋" w:eastAsia="华文中宋" w:cs="宋体"/>
          <w:bCs/>
          <w:color w:val="auto"/>
          <w:szCs w:val="21"/>
          <w:highlight w:val="none"/>
        </w:rPr>
      </w:pPr>
      <w:r>
        <w:rPr>
          <w:rFonts w:ascii="华文中宋" w:hAnsi="华文中宋" w:eastAsia="华文中宋"/>
          <w:color w:val="auto"/>
          <w:spacing w:val="8"/>
          <w:szCs w:val="21"/>
          <w:highlight w:val="none"/>
        </w:rPr>
        <w:t> </w:t>
      </w:r>
      <w:r>
        <w:rPr>
          <w:rFonts w:hint="eastAsia" w:ascii="华文中宋" w:hAnsi="华文中宋" w:eastAsia="华文中宋" w:cs="宋体"/>
          <w:color w:val="auto"/>
          <w:spacing w:val="8"/>
          <w:szCs w:val="21"/>
          <w:highlight w:val="none"/>
        </w:rPr>
        <w:t>　　</w:t>
      </w:r>
      <w:r>
        <w:rPr>
          <w:rFonts w:ascii="华文中宋" w:hAnsi="华文中宋" w:eastAsia="华文中宋"/>
          <w:color w:val="auto"/>
          <w:spacing w:val="8"/>
          <w:szCs w:val="21"/>
          <w:highlight w:val="none"/>
        </w:rPr>
        <w:t>2.</w:t>
      </w:r>
      <w:r>
        <w:rPr>
          <w:rFonts w:hint="eastAsia" w:ascii="华文中宋" w:hAnsi="华文中宋" w:eastAsia="华文中宋" w:cs="宋体"/>
          <w:color w:val="auto"/>
          <w:spacing w:val="8"/>
          <w:szCs w:val="21"/>
          <w:highlight w:val="none"/>
        </w:rPr>
        <w:t>附表中各行业的范围以《国民经济行业分类》（</w:t>
      </w:r>
      <w:r>
        <w:rPr>
          <w:rFonts w:ascii="华文中宋" w:hAnsi="华文中宋" w:eastAsia="华文中宋"/>
          <w:color w:val="auto"/>
          <w:spacing w:val="8"/>
          <w:szCs w:val="21"/>
          <w:highlight w:val="none"/>
        </w:rPr>
        <w:t>GB/T4754-2011</w:t>
      </w:r>
      <w:r>
        <w:rPr>
          <w:rFonts w:hint="eastAsia" w:ascii="华文中宋" w:hAnsi="华文中宋" w:eastAsia="华文中宋" w:cs="宋体"/>
          <w:color w:val="auto"/>
          <w:spacing w:val="8"/>
          <w:szCs w:val="21"/>
          <w:highlight w:val="none"/>
        </w:rPr>
        <w:t>）为准。带</w:t>
      </w:r>
      <w:r>
        <w:rPr>
          <w:rFonts w:ascii="华文中宋" w:hAnsi="华文中宋" w:eastAsia="华文中宋"/>
          <w:color w:val="auto"/>
          <w:spacing w:val="8"/>
          <w:szCs w:val="21"/>
          <w:highlight w:val="none"/>
        </w:rPr>
        <w:t>*</w:t>
      </w:r>
      <w:r>
        <w:rPr>
          <w:rFonts w:hint="eastAsia" w:ascii="华文中宋" w:hAnsi="华文中宋" w:eastAsia="华文中宋" w:cs="宋体"/>
          <w:color w:val="auto"/>
          <w:spacing w:val="8"/>
          <w:szCs w:val="21"/>
          <w:highlight w:val="none"/>
        </w:rPr>
        <w:t>的项为行业组合类别，其中，工业包括采矿业，制造业，电力、热力、燃气及水生产和供应业；交通运输业包括道路运输业，水上运输业，航空运输业，管道运输业，装卸搬运和运输代理业，不包括铁路运输业；信息传输业包括电信、广播电视和卫星传输服务，互联网和相关服务；其他未列明行业包括科学研究和技术服务业，水利、环境和公共设施管理业，居民服务、修理和其他服务业，社会工作，文化、体育和娱乐业，以及房地产中介服务，其他房地产业等，不包括自有房地产经营活动。</w:t>
      </w:r>
    </w:p>
    <w:p>
      <w:pPr>
        <w:shd w:val="clear" w:color="auto" w:fill="FFFFFF"/>
        <w:spacing w:line="400" w:lineRule="exact"/>
        <w:rPr>
          <w:rFonts w:ascii="华文中宋" w:hAnsi="华文中宋" w:eastAsia="华文中宋"/>
          <w:color w:val="auto"/>
          <w:highlight w:val="none"/>
        </w:rPr>
      </w:pPr>
      <w:r>
        <w:rPr>
          <w:rFonts w:ascii="华文中宋" w:hAnsi="华文中宋" w:eastAsia="华文中宋"/>
          <w:color w:val="auto"/>
          <w:spacing w:val="8"/>
          <w:szCs w:val="21"/>
          <w:highlight w:val="none"/>
        </w:rPr>
        <w:t> </w:t>
      </w:r>
      <w:r>
        <w:rPr>
          <w:rFonts w:hint="eastAsia" w:ascii="华文中宋" w:hAnsi="华文中宋" w:eastAsia="华文中宋" w:cs="宋体"/>
          <w:color w:val="auto"/>
          <w:spacing w:val="8"/>
          <w:szCs w:val="21"/>
          <w:highlight w:val="none"/>
        </w:rPr>
        <w:t>　　</w:t>
      </w:r>
      <w:r>
        <w:rPr>
          <w:rFonts w:ascii="华文中宋" w:hAnsi="华文中宋" w:eastAsia="华文中宋"/>
          <w:color w:val="auto"/>
          <w:spacing w:val="8"/>
          <w:szCs w:val="21"/>
          <w:highlight w:val="none"/>
        </w:rPr>
        <w:t>3.</w:t>
      </w:r>
      <w:r>
        <w:rPr>
          <w:rFonts w:hint="eastAsia" w:ascii="华文中宋" w:hAnsi="华文中宋" w:eastAsia="华文中宋" w:cs="宋体"/>
          <w:color w:val="auto"/>
          <w:spacing w:val="8"/>
          <w:szCs w:val="21"/>
          <w:highlight w:val="none"/>
        </w:rPr>
        <w:t>企业划分指标以现行统计制度为准。（</w:t>
      </w:r>
      <w:r>
        <w:rPr>
          <w:rFonts w:ascii="华文中宋" w:hAnsi="华文中宋" w:eastAsia="华文中宋"/>
          <w:color w:val="auto"/>
          <w:spacing w:val="8"/>
          <w:szCs w:val="21"/>
          <w:highlight w:val="none"/>
        </w:rPr>
        <w:t>1</w:t>
      </w:r>
      <w:r>
        <w:rPr>
          <w:rFonts w:hint="eastAsia" w:ascii="华文中宋" w:hAnsi="华文中宋" w:eastAsia="华文中宋" w:cs="宋体"/>
          <w:color w:val="auto"/>
          <w:spacing w:val="8"/>
          <w:szCs w:val="21"/>
          <w:highlight w:val="none"/>
        </w:rPr>
        <w:t>）从业人员，是指期末从业人员数，没有期末从业人员数的，采用全年平均人员数代替。（</w:t>
      </w:r>
      <w:r>
        <w:rPr>
          <w:rFonts w:ascii="华文中宋" w:hAnsi="华文中宋" w:eastAsia="华文中宋"/>
          <w:color w:val="auto"/>
          <w:spacing w:val="8"/>
          <w:szCs w:val="21"/>
          <w:highlight w:val="none"/>
        </w:rPr>
        <w:t>2</w:t>
      </w:r>
      <w:r>
        <w:rPr>
          <w:rFonts w:hint="eastAsia" w:ascii="华文中宋" w:hAnsi="华文中宋" w:eastAsia="华文中宋" w:cs="宋体"/>
          <w:color w:val="auto"/>
          <w:spacing w:val="8"/>
          <w:szCs w:val="21"/>
          <w:highlight w:val="none"/>
        </w:rPr>
        <w:t>）营业收入，工业、建筑业、限额以上批发和零售业、限额以上住宿和餐饮业以及其他设置主营业务收入指标的行业，采用主营业务收入；限额以下批发与零售业企业采用商品销售额代替；限额以下住宿与餐饮业企业采用营业额代替；农、林、牧、渔业企业采用营业总收入代替；其他未设置主营业务收入的行业，采用营业收入指标。（</w:t>
      </w:r>
      <w:r>
        <w:rPr>
          <w:rFonts w:ascii="华文中宋" w:hAnsi="华文中宋" w:eastAsia="华文中宋"/>
          <w:color w:val="auto"/>
          <w:spacing w:val="8"/>
          <w:szCs w:val="21"/>
          <w:highlight w:val="none"/>
        </w:rPr>
        <w:t>3</w:t>
      </w:r>
      <w:r>
        <w:rPr>
          <w:rFonts w:hint="eastAsia" w:ascii="华文中宋" w:hAnsi="华文中宋" w:eastAsia="华文中宋" w:cs="宋体"/>
          <w:color w:val="auto"/>
          <w:spacing w:val="8"/>
          <w:szCs w:val="21"/>
          <w:highlight w:val="none"/>
        </w:rPr>
        <w:t>）资产总额，采用资产总计代替。</w:t>
      </w:r>
    </w:p>
    <w:p>
      <w:pPr>
        <w:spacing w:line="460" w:lineRule="exact"/>
        <w:rPr>
          <w:rFonts w:ascii="华文中宋" w:hAnsi="华文中宋" w:eastAsia="华文中宋"/>
          <w:color w:val="auto"/>
          <w:szCs w:val="21"/>
          <w:highlight w:val="none"/>
        </w:rPr>
      </w:pPr>
    </w:p>
    <w:p>
      <w:pPr>
        <w:pStyle w:val="29"/>
        <w:snapToGrid w:val="0"/>
        <w:spacing w:line="360" w:lineRule="auto"/>
        <w:rPr>
          <w:rFonts w:ascii="宋体" w:hAnsi="宋体" w:eastAsia="宋体" w:cs="宋体"/>
          <w:color w:val="auto"/>
          <w:highlight w:val="none"/>
        </w:rPr>
      </w:pPr>
    </w:p>
    <w:p>
      <w:pPr>
        <w:pStyle w:val="29"/>
        <w:snapToGrid w:val="0"/>
        <w:spacing w:line="360" w:lineRule="auto"/>
        <w:rPr>
          <w:rFonts w:hint="eastAsia" w:hAnsi="宋体"/>
          <w:b/>
          <w:color w:val="auto"/>
          <w:szCs w:val="21"/>
          <w:highlight w:val="none"/>
        </w:rPr>
      </w:pPr>
    </w:p>
    <w:sectPr>
      <w:headerReference r:id="rId5" w:type="default"/>
      <w:footerReference r:id="rId6" w:type="default"/>
      <w:pgSz w:w="11906" w:h="16838"/>
      <w:pgMar w:top="1440" w:right="1440" w:bottom="1440" w:left="1440" w:header="850" w:footer="992" w:gutter="0"/>
      <w:cols w:space="720" w:num="1"/>
      <w:docGrid w:linePitch="318"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A1"/>
    <w:family w:val="swiss"/>
    <w:pitch w:val="default"/>
    <w:sig w:usb0="E0002EFF" w:usb1="C000785B" w:usb2="00000009" w:usb3="00000000" w:csb0="400001FF" w:csb1="FFFF0000"/>
  </w:font>
  <w:font w:name="宋体">
    <w:panose1 w:val="02010600030101010101"/>
    <w:charset w:val="7A"/>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200247B" w:usb2="00000009" w:usb3="00000000" w:csb0="200001FF" w:csb1="00000000"/>
  </w:font>
  <w:font w:name="Cambria">
    <w:panose1 w:val="02040503050406030204"/>
    <w:charset w:val="00"/>
    <w:family w:val="roman"/>
    <w:pitch w:val="default"/>
    <w:sig w:usb0="E00006FF" w:usb1="420024FF" w:usb2="02000000" w:usb3="00000000" w:csb0="2000019F" w:csb1="00000000"/>
  </w:font>
  <w:font w:name="Arial">
    <w:panose1 w:val="020B0604020202020204"/>
    <w:charset w:val="00"/>
    <w:family w:val="swiss"/>
    <w:pitch w:val="default"/>
    <w:sig w:usb0="E0002EFF" w:usb1="C000785B" w:usb2="00000009" w:usb3="00000000" w:csb0="400001FF" w:csb1="FFFF0000"/>
  </w:font>
  <w:font w:name="Arial Narrow">
    <w:panose1 w:val="020B0606020202030204"/>
    <w:charset w:val="00"/>
    <w:family w:val="swiss"/>
    <w:pitch w:val="default"/>
    <w:sig w:usb0="00000287" w:usb1="00000800" w:usb2="00000000" w:usb3="00000000" w:csb0="2000009F" w:csb1="DFD70000"/>
  </w:font>
  <w:font w:name="微软繁隶书">
    <w:altName w:val="宋体"/>
    <w:panose1 w:val="00000000000000000000"/>
    <w:charset w:val="86"/>
    <w:family w:val="auto"/>
    <w:pitch w:val="default"/>
    <w:sig w:usb0="00000001" w:usb1="080E0000" w:usb2="00000010" w:usb3="00000000" w:csb0="00040000" w:csb1="00000000"/>
  </w:font>
  <w:font w:name="楷体_GB2312">
    <w:altName w:val="楷体"/>
    <w:panose1 w:val="00000000000000000000"/>
    <w:charset w:val="86"/>
    <w:family w:val="auto"/>
    <w:pitch w:val="default"/>
    <w:sig w:usb0="00000000" w:usb1="00000000" w:usb2="00000010" w:usb3="00000000" w:csb0="00040000" w:csb1="00000000"/>
  </w:font>
  <w:font w:name="Courier New">
    <w:panose1 w:val="02070309020205020404"/>
    <w:charset w:val="00"/>
    <w:family w:val="modern"/>
    <w:pitch w:val="default"/>
    <w:sig w:usb0="E0002EFF" w:usb1="C0007843" w:usb2="00000009" w:usb3="00000000" w:csb0="400001FF" w:csb1="FFFF0000"/>
  </w:font>
  <w:font w:name="Arial Unicode MS">
    <w:altName w:val="宋体"/>
    <w:panose1 w:val="020B0604020202020204"/>
    <w:charset w:val="86"/>
    <w:family w:val="roman"/>
    <w:pitch w:val="default"/>
    <w:sig w:usb0="FFFFFFFF" w:usb1="E9FFFFFF" w:usb2="0000003F" w:usb3="00000000" w:csb0="603F01FF" w:csb1="FFFF0000"/>
  </w:font>
  <w:font w:name="仿宋_GB2312">
    <w:altName w:val="仿宋"/>
    <w:panose1 w:val="00000000000000000000"/>
    <w:charset w:val="86"/>
    <w:family w:val="auto"/>
    <w:pitch w:val="default"/>
    <w:sig w:usb0="00000000" w:usb1="00000000" w:usb2="00000010" w:usb3="00000000" w:csb0="00040000" w:csb1="00000000"/>
  </w:font>
  <w:font w:name="Segoe UI">
    <w:panose1 w:val="020B0502040204020203"/>
    <w:charset w:val="00"/>
    <w:family w:val="swiss"/>
    <w:pitch w:val="default"/>
    <w:sig w:usb0="E4002EFF" w:usb1="C000E47F" w:usb2="00000009" w:usb3="00000000" w:csb0="200001FF" w:csb1="00000000"/>
  </w:font>
  <w:font w:name="??">
    <w:altName w:val="Times New Roman"/>
    <w:panose1 w:val="00000000000000000000"/>
    <w:charset w:val="00"/>
    <w:family w:val="roman"/>
    <w:pitch w:val="default"/>
    <w:sig w:usb0="00000003" w:usb1="00000000" w:usb2="00000000" w:usb3="00000000" w:csb0="00000001" w:csb1="00000000"/>
  </w:font>
  <w:font w:name="_x000B__x000C_">
    <w:altName w:val="Times New Roman"/>
    <w:panose1 w:val="00000000000000000000"/>
    <w:charset w:val="00"/>
    <w:family w:val="roman"/>
    <w:pitch w:val="default"/>
    <w:sig w:usb0="00000000" w:usb1="00000000" w:usb2="00000000" w:usb3="00000000" w:csb0="00040001" w:csb1="00000000"/>
  </w:font>
  <w:font w:name="Tahoma">
    <w:panose1 w:val="020B0604030504040204"/>
    <w:charset w:val="00"/>
    <w:family w:val="swiss"/>
    <w:pitch w:val="default"/>
    <w:sig w:usb0="E1002EFF" w:usb1="C000605B" w:usb2="00000029" w:usb3="00000000" w:csb0="200101FF" w:csb1="20280000"/>
  </w:font>
  <w:font w:name="Verdana">
    <w:panose1 w:val="020B0604030504040204"/>
    <w:charset w:val="00"/>
    <w:family w:val="swiss"/>
    <w:pitch w:val="default"/>
    <w:sig w:usb0="A00006FF" w:usb1="4000205B" w:usb2="00000010" w:usb3="00000000" w:csb0="2000019F" w:csb1="00000000"/>
  </w:font>
  <w:font w:name="???|CS?o｡ﾀ?">
    <w:altName w:val="MS PGothic"/>
    <w:panose1 w:val="00000000000000000000"/>
    <w:charset w:val="80"/>
    <w:family w:val="modern"/>
    <w:pitch w:val="default"/>
    <w:sig w:usb0="00000000" w:usb1="00000000" w:usb2="00000010" w:usb3="00000000" w:csb0="00020000" w:csb1="00000000"/>
  </w:font>
  <w:font w:name="微软雅黑">
    <w:panose1 w:val="020B0503020204020204"/>
    <w:charset w:val="86"/>
    <w:family w:val="swiss"/>
    <w:pitch w:val="default"/>
    <w:sig w:usb0="80000287" w:usb1="2ACF3C50" w:usb2="00000016" w:usb3="00000000" w:csb0="0004001F" w:csb1="00000000"/>
  </w:font>
  <w:font w:name="华文细黑">
    <w:panose1 w:val="02010600040101010101"/>
    <w:charset w:val="86"/>
    <w:family w:val="auto"/>
    <w:pitch w:val="default"/>
    <w:sig w:usb0="00000287" w:usb1="080F0000" w:usb2="00000000" w:usb3="00000000" w:csb0="0004009F" w:csb1="DFD70000"/>
  </w:font>
  <w:font w:name="华文中宋">
    <w:panose1 w:val="02010600040101010101"/>
    <w:charset w:val="86"/>
    <w:family w:val="auto"/>
    <w:pitch w:val="default"/>
    <w:sig w:usb0="00000287" w:usb1="080F0000" w:usb2="00000000" w:usb3="00000000" w:csb0="0004009F" w:csb1="DFD70000"/>
  </w:font>
  <w:font w:name="仿宋">
    <w:panose1 w:val="02010609060101010101"/>
    <w:charset w:val="86"/>
    <w:family w:val="modern"/>
    <w:pitch w:val="default"/>
    <w:sig w:usb0="800002BF" w:usb1="38CF7CFA" w:usb2="00000016" w:usb3="00000000" w:csb0="00040001" w:csb1="00000000"/>
  </w:font>
  <w:font w:name="宋体-18030">
    <w:altName w:val="宋体"/>
    <w:panose1 w:val="00000000000000000000"/>
    <w:charset w:val="86"/>
    <w:family w:val="modern"/>
    <w:pitch w:val="default"/>
    <w:sig w:usb0="00000000" w:usb1="00000000" w:usb2="0000005E" w:usb3="00000000" w:csb0="00040001" w:csb1="00000000"/>
  </w:font>
  <w:font w:name="Wingdings 2">
    <w:panose1 w:val="05020102010507070707"/>
    <w:charset w:val="02"/>
    <w:family w:val="roman"/>
    <w:pitch w:val="default"/>
    <w:sig w:usb0="00000000" w:usb1="00000000" w:usb2="00000000" w:usb3="00000000" w:csb0="80000000" w:csb1="00000000"/>
  </w:font>
  <w:font w:name="楷体">
    <w:panose1 w:val="02010609060101010101"/>
    <w:charset w:val="86"/>
    <w:family w:val="auto"/>
    <w:pitch w:val="default"/>
    <w:sig w:usb0="800002BF" w:usb1="38CF7CFA" w:usb2="00000016" w:usb3="00000000" w:csb0="00040001" w:csb1="00000000"/>
  </w:font>
  <w:font w:name="MS PGothic">
    <w:panose1 w:val="020B0600070205080204"/>
    <w:charset w:val="80"/>
    <w:family w:val="auto"/>
    <w:pitch w:val="default"/>
    <w:sig w:usb0="E00002FF" w:usb1="6AC7FDFB" w:usb2="08000012" w:usb3="00000000" w:csb0="4002009F" w:csb1="DFD7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5"/>
      <w:jc w:val="center"/>
    </w:pPr>
    <w:r>
      <w:fldChar w:fldCharType="begin"/>
    </w:r>
    <w:r>
      <w:instrText xml:space="preserve">PAGE   \* MERGEFORMAT</w:instrText>
    </w:r>
    <w:r>
      <w:fldChar w:fldCharType="separate"/>
    </w:r>
    <w:r>
      <w:rPr>
        <w:lang w:val="zh-CN"/>
      </w:rPr>
      <w:t>2</w:t>
    </w:r>
    <w:r>
      <w:fldChar w:fldCharType="end"/>
    </w:r>
  </w:p>
  <w:p>
    <w:pPr>
      <w:pStyle w:val="35"/>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5"/>
    </w:pPr>
    <w: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90500" cy="262890"/>
              <wp:effectExtent l="0" t="0" r="0" b="0"/>
              <wp:wrapNone/>
              <wp:docPr id="1" name="文本框 6"/>
              <wp:cNvGraphicFramePr/>
              <a:graphic xmlns:a="http://schemas.openxmlformats.org/drawingml/2006/main">
                <a:graphicData uri="http://schemas.microsoft.com/office/word/2010/wordprocessingShape">
                  <wps:wsp>
                    <wps:cNvSpPr txBox="1"/>
                    <wps:spPr>
                      <a:xfrm>
                        <a:off x="0" y="0"/>
                        <a:ext cx="190500" cy="262890"/>
                      </a:xfrm>
                      <a:prstGeom prst="rect">
                        <a:avLst/>
                      </a:prstGeom>
                      <a:noFill/>
                      <a:ln>
                        <a:noFill/>
                      </a:ln>
                    </wps:spPr>
                    <wps:txbx>
                      <w:txbxContent>
                        <w:p>
                          <w:pPr>
                            <w:snapToGrid w:val="0"/>
                            <w:rPr>
                              <w:rFonts w:hint="eastAsia"/>
                              <w:sz w:val="18"/>
                            </w:rPr>
                          </w:pPr>
                          <w:r>
                            <w:rPr>
                              <w:rFonts w:hint="eastAsia"/>
                              <w:sz w:val="18"/>
                            </w:rPr>
                            <w:fldChar w:fldCharType="begin"/>
                          </w:r>
                          <w:r>
                            <w:rPr>
                              <w:rFonts w:hint="eastAsia"/>
                              <w:sz w:val="18"/>
                            </w:rPr>
                            <w:instrText xml:space="preserve"> PAGE  \* MERGEFORMAT </w:instrText>
                          </w:r>
                          <w:r>
                            <w:rPr>
                              <w:rFonts w:hint="eastAsia"/>
                              <w:sz w:val="18"/>
                            </w:rPr>
                            <w:fldChar w:fldCharType="separate"/>
                          </w:r>
                          <w:r>
                            <w:rPr>
                              <w:sz w:val="18"/>
                              <w:lang/>
                            </w:rPr>
                            <w:t>34</w:t>
                          </w:r>
                          <w:r>
                            <w:rPr>
                              <w:rFonts w:hint="eastAsia"/>
                              <w:sz w:val="18"/>
                            </w:rPr>
                            <w:fldChar w:fldCharType="end"/>
                          </w:r>
                        </w:p>
                      </w:txbxContent>
                    </wps:txbx>
                    <wps:bodyPr wrap="none" lIns="0" tIns="0" rIns="0" bIns="0" upright="0">
                      <a:spAutoFit/>
                    </wps:bodyPr>
                  </wps:wsp>
                </a:graphicData>
              </a:graphic>
            </wp:anchor>
          </w:drawing>
        </mc:Choice>
        <mc:Fallback>
          <w:pict>
            <v:shape id="文本框 6" o:spid="_x0000_s1026" o:spt="202" type="#_x0000_t202" style="position:absolute;left:0pt;margin-top:0pt;height:20.7pt;width:15pt;mso-position-horizontal:center;mso-position-horizontal-relative:margin;mso-wrap-style:none;z-index:251659264;mso-width-relative:page;mso-height-relative:page;" filled="f" stroked="f" coordsize="21600,21600" o:gfxdata="UEsDBAoAAAAAAIdO4kAAAAAAAAAAAAAAAAAEAAAAZHJzL1BLAwQUAAAACACHTuJAixxe3NAAAAAD AQAADwAAAGRycy9kb3ducmV2LnhtbE2PwU7DMBBE70j8g7VI3KgdqKAKcXqoxIUbBSH15sbbOMJe R7abJn/PwgUuI41mNfO22c7BiwlTHiJpqFYKBFIX7UC9ho/3l7sNiFwMWeMjoYYFM2zb66vG1DZe 6A2nfekFl1CujQZXylhLmTuHweRVHJE4O8UUTGGbemmTuXB58PJeqUcZzEC84MyIO4fd1/4cNDzN nxHHjDs8nKYuuWHZ+NdF69ubSj2DKDiXv2P4wWd0aJnpGM9ks/Aa+JHyq5w9KHZHDetqDbJt5H/2 9htQSwMEFAAAAAgAh07iQIYUMv7MAQAAlwMAAA4AAABkcnMvZTJvRG9jLnhtbK1TS27bMBDdF8gd CO5jKgZiJILloIWRoEDRFkhzAJoiLQL8gUNb8gXaG3TVTfc9l8/RISU7bbrJoht5NDN6896b8fJu sIbsZQTtXUOvZhUl0gnfardt6NOX+8sbSiBx13LjnWzoQQK9W128WfahlnPfedPKSBDEQd2HhnYp hZoxEJ20HGY+SIdF5aPlCV/jlrWR94huDZtX1YL1PrYheiEBMLsei3RCjK8B9EppIdde7Kx0aUSN 0vCEkqDTAeiqsFVKivRJKZCJmIai0lSeOATjTX6y1ZLX28hDp8VEgb+GwgtNlmuHQ89Qa5442UX9 D5TVInrwKs2Et2wUUhxBFVfVC28eOx5k0YJWQzibDv8PVnzcf45Et3gJlDhuceHH79+OP34df34l i2xPH6DGrseAfWl454fcOuUBk1n1oKLNv6iHYB3NPZzNlUMiIn90W11XWBFYmi/mN7fFfPb8cYiQ HqS3JAcNjbi7Yinff4CEA7H11JJnOX+vjSn7M+6vBDbmDMvMR4Y5SsNmmGhvfHtANT2uvaEOr5wS 896hq/lCTkE8BZtTsAtRb7tyQnkehLe7hCQKtzxhhJ0G474K5em28kH8+V66nv9Pq99QSwMECgAA AAAAh07iQAAAAAAAAAAAAAAAAAYAAABfcmVscy9QSwMEFAAAAAgAh07iQIoUZjzRAAAAlAEAAAsA AABfcmVscy8ucmVsc6WQwWrDMAyG74O9g9F9cZrDGKNOL6PQa+kewNiKYxpbRjLZ+vbzDoNl9Laj fqHvE//+8JkWtSJLpGxg1/WgMDvyMQcD75fj0wsoqTZ7u1BGAzcUOIyPD/szLra2I5ljEdUoWQzM tZZXrcXNmKx0VDC3zUScbG0jB12su9qAeuj7Z82/GTBumOrkDfDJD6Aut9LMf9gpOiahqXaOkqZp iu4eVQe2ZY7uyDbhG7lGsxywGvAsGgdqWdd+BH1fv/un3tNHPuO61X6HjOuPV2+6HL8AUEsDBBQA AAAIAIdO4kB+5uUg9wAAAOEBAAATAAAAW0NvbnRlbnRfVHlwZXNdLnhtbJWRQU7DMBBF90jcwfIW JU67QAgl6YK0S0CoHGBkTxKLZGx5TGhvj5O2G0SRWNoz/78nu9wcxkFMGNg6quQqL6RA0s5Y6ir5 vt9lD1JwBDIwOMJKHpHlpr69KfdHjyxSmriSfYz+USnWPY7AufNIadK6MEJMx9ApD/oDOlTrorhX 2lFEilmcO2RdNtjC5xDF9pCuTyYBB5bi6bQ4syoJ3g9WQ0ymaiLzg5KdCXlKLjvcW893SUOqXwnz 5DrgnHtJTxOsQfEKIT7DmDSUCayM+6KAU/53yWw5cuba1mrMm8BNir3hdLG61o5r1zj93/Ltkrp0 q+WD6m9QSwECFAAUAAAACACHTuJAfublIPcAAADhAQAAEwAAAAAAAAABACAAAAA1BAAAW0NvbnRl bnRfVHlwZXNdLnhtbFBLAQIUAAoAAAAAAIdO4kAAAAAAAAAAAAAAAAAGAAAAAAAAAAAAEAAAABcD AABfcmVscy9QSwECFAAUAAAACACHTuJAihRmPNEAAACUAQAACwAAAAAAAAABACAAAAA7AwAAX3Jl bHMvLnJlbHNQSwECFAAKAAAAAACHTuJAAAAAAAAAAAAAAAAABAAAAAAAAAAAABAAAAAAAAAAZHJz L1BLAQIUABQAAAAIAIdO4kCLHF7c0AAAAAMBAAAPAAAAAAAAAAEAIAAAACIAAABkcnMvZG93bnJl di54bWxQSwECFAAUAAAACACHTuJAhhQy/swBAACXAwAADgAAAAAAAAABACAAAAAfAQAAZHJzL2Uy b0RvYy54bWxQSwUGAAAAAAYABgBZAQAAXQUAAAAA ">
              <v:fill on="f" focussize="0,0"/>
              <v:stroke on="f"/>
              <v:imagedata o:title=""/>
              <o:lock v:ext="edit" aspectratio="f"/>
              <v:textbox inset="0mm,0mm,0mm,0mm" style="mso-fit-shape-to-text:t;">
                <w:txbxContent>
                  <w:p>
                    <w:pPr>
                      <w:snapToGrid w:val="0"/>
                      <w:rPr>
                        <w:rFonts w:hint="eastAsia"/>
                        <w:sz w:val="18"/>
                      </w:rPr>
                    </w:pPr>
                    <w:r>
                      <w:rPr>
                        <w:rFonts w:hint="eastAsia"/>
                        <w:sz w:val="18"/>
                      </w:rPr>
                      <w:fldChar w:fldCharType="begin"/>
                    </w:r>
                    <w:r>
                      <w:rPr>
                        <w:rFonts w:hint="eastAsia"/>
                        <w:sz w:val="18"/>
                      </w:rPr>
                      <w:instrText xml:space="preserve"> PAGE  \* MERGEFORMAT </w:instrText>
                    </w:r>
                    <w:r>
                      <w:rPr>
                        <w:rFonts w:hint="eastAsia"/>
                        <w:sz w:val="18"/>
                      </w:rPr>
                      <w:fldChar w:fldCharType="separate"/>
                    </w:r>
                    <w:r>
                      <w:rPr>
                        <w:sz w:val="18"/>
                        <w:lang/>
                      </w:rPr>
                      <w:t>34</w:t>
                    </w:r>
                    <w:r>
                      <w:rPr>
                        <w:rFonts w:hint="eastAsia"/>
                        <w:sz w:val="18"/>
                      </w:rPr>
                      <w:fldChar w:fldCharType="end"/>
                    </w:r>
                  </w:p>
                </w:txbxContent>
              </v:textbox>
            </v:shape>
          </w:pict>
        </mc:Fallback>
      </mc:AlternateContent>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6"/>
      <w:pBdr>
        <w:bottom w:val="none" w:color="auto" w:sz="0" w:space="0"/>
      </w:pBd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6"/>
      <w:pBdr>
        <w:bottom w:val="none" w:color="auto" w:sz="0" w:space="0"/>
      </w:pBd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A1EA13FA"/>
    <w:multiLevelType w:val="singleLevel"/>
    <w:tmpl w:val="A1EA13FA"/>
    <w:lvl w:ilvl="0" w:tentative="0">
      <w:start w:val="2"/>
      <w:numFmt w:val="chineseCounting"/>
      <w:suff w:val="nothing"/>
      <w:lvlText w:val="%1、"/>
      <w:lvlJc w:val="left"/>
      <w:pPr>
        <w:ind w:left="315" w:firstLine="0"/>
      </w:pPr>
      <w:rPr>
        <w:rFonts w:hint="eastAsia"/>
      </w:rPr>
    </w:lvl>
  </w:abstractNum>
  <w:abstractNum w:abstractNumId="1">
    <w:nsid w:val="CF6E4CD1"/>
    <w:multiLevelType w:val="singleLevel"/>
    <w:tmpl w:val="CF6E4CD1"/>
    <w:lvl w:ilvl="0" w:tentative="0">
      <w:start w:val="1"/>
      <w:numFmt w:val="chineseCounting"/>
      <w:suff w:val="space"/>
      <w:lvlText w:val="第%1部分"/>
      <w:lvlJc w:val="left"/>
      <w:rPr>
        <w:rFonts w:hint="eastAsia"/>
      </w:rPr>
    </w:lvl>
  </w:abstractNum>
  <w:abstractNum w:abstractNumId="2">
    <w:nsid w:val="CFAC7717"/>
    <w:multiLevelType w:val="singleLevel"/>
    <w:tmpl w:val="CFAC7717"/>
    <w:lvl w:ilvl="0" w:tentative="0">
      <w:start w:val="2"/>
      <w:numFmt w:val="decimal"/>
      <w:pStyle w:val="113"/>
      <w:suff w:val="nothing"/>
      <w:lvlText w:val="%1、"/>
      <w:lvlJc w:val="left"/>
    </w:lvl>
  </w:abstractNum>
  <w:abstractNum w:abstractNumId="3">
    <w:nsid w:val="E799468D"/>
    <w:multiLevelType w:val="singleLevel"/>
    <w:tmpl w:val="E799468D"/>
    <w:lvl w:ilvl="0" w:tentative="0">
      <w:start w:val="2"/>
      <w:numFmt w:val="chineseCounting"/>
      <w:suff w:val="space"/>
      <w:lvlText w:val="第%1章"/>
      <w:lvlJc w:val="left"/>
      <w:rPr>
        <w:rFonts w:hint="eastAsia"/>
      </w:rPr>
    </w:lvl>
  </w:abstractNum>
  <w:abstractNum w:abstractNumId="4">
    <w:nsid w:val="F9F8FFFE"/>
    <w:multiLevelType w:val="singleLevel"/>
    <w:tmpl w:val="F9F8FFFE"/>
    <w:lvl w:ilvl="0" w:tentative="0">
      <w:start w:val="1"/>
      <w:numFmt w:val="decimal"/>
      <w:suff w:val="nothing"/>
      <w:lvlText w:val="%1、"/>
      <w:lvlJc w:val="left"/>
    </w:lvl>
  </w:abstractNum>
  <w:abstractNum w:abstractNumId="5">
    <w:nsid w:val="12E351EE"/>
    <w:multiLevelType w:val="multilevel"/>
    <w:tmpl w:val="12E351EE"/>
    <w:lvl w:ilvl="0" w:tentative="0">
      <w:start w:val="1"/>
      <w:numFmt w:val="decimal"/>
      <w:suff w:val="nothing"/>
      <w:lvlText w:val="%1、"/>
      <w:lvlJc w:val="left"/>
      <w:pPr>
        <w:ind w:left="0" w:firstLine="0"/>
      </w:pPr>
      <w:rPr>
        <w:rFonts w:hint="default"/>
      </w:rPr>
    </w:lvl>
    <w:lvl w:ilvl="1" w:tentative="0">
      <w:start w:val="1"/>
      <w:numFmt w:val="decimal"/>
      <w:suff w:val="nothing"/>
      <w:lvlText w:val="%1.%2、"/>
      <w:lvlJc w:val="left"/>
      <w:pPr>
        <w:ind w:left="0" w:firstLine="0"/>
      </w:pPr>
      <w:rPr>
        <w:rFonts w:hint="default"/>
      </w:rPr>
    </w:lvl>
    <w:lvl w:ilvl="2" w:tentative="0">
      <w:start w:val="1"/>
      <w:numFmt w:val="decimal"/>
      <w:suff w:val="nothing"/>
      <w:lvlText w:val="%1.%2.%3、"/>
      <w:lvlJc w:val="left"/>
      <w:pPr>
        <w:ind w:left="0" w:firstLine="0"/>
      </w:pPr>
      <w:rPr>
        <w:rFonts w:hint="default"/>
      </w:rPr>
    </w:lvl>
    <w:lvl w:ilvl="3" w:tentative="0">
      <w:start w:val="1"/>
      <w:numFmt w:val="decimal"/>
      <w:suff w:val="nothing"/>
      <w:lvlText w:val="%1.%2.%3.%4、"/>
      <w:lvlJc w:val="left"/>
      <w:pPr>
        <w:ind w:left="0" w:firstLine="0"/>
      </w:pPr>
      <w:rPr>
        <w:rFonts w:hint="default"/>
      </w:rPr>
    </w:lvl>
    <w:lvl w:ilvl="4" w:tentative="0">
      <w:start w:val="1"/>
      <w:numFmt w:val="decimal"/>
      <w:suff w:val="nothing"/>
      <w:lvlText w:val="%1.%2.%3.%4.%5、"/>
      <w:lvlJc w:val="left"/>
      <w:pPr>
        <w:ind w:left="0" w:firstLine="0"/>
      </w:pPr>
      <w:rPr>
        <w:rFonts w:hint="default"/>
      </w:rPr>
    </w:lvl>
    <w:lvl w:ilvl="5" w:tentative="0">
      <w:start w:val="1"/>
      <w:numFmt w:val="decimal"/>
      <w:suff w:val="nothing"/>
      <w:lvlText w:val="%1.%2.%3.%4.%5.%6、"/>
      <w:lvlJc w:val="left"/>
      <w:pPr>
        <w:ind w:left="0" w:firstLine="0"/>
      </w:pPr>
      <w:rPr>
        <w:rFonts w:hint="default"/>
      </w:rPr>
    </w:lvl>
    <w:lvl w:ilvl="6" w:tentative="0">
      <w:start w:val="1"/>
      <w:numFmt w:val="decimal"/>
      <w:suff w:val="nothing"/>
      <w:lvlText w:val="%1.%2.%3.%4.%5.%6.%7、"/>
      <w:lvlJc w:val="left"/>
      <w:pPr>
        <w:ind w:left="0" w:firstLine="0"/>
      </w:pPr>
      <w:rPr>
        <w:rFonts w:hint="default"/>
      </w:rPr>
    </w:lvl>
    <w:lvl w:ilvl="7" w:tentative="0">
      <w:start w:val="1"/>
      <w:numFmt w:val="decimal"/>
      <w:suff w:val="nothing"/>
      <w:lvlText w:val="%1.%2.%3.%4.%5.%6.%7.%8、"/>
      <w:lvlJc w:val="left"/>
      <w:pPr>
        <w:ind w:left="0" w:firstLine="0"/>
      </w:pPr>
      <w:rPr>
        <w:rFonts w:hint="default"/>
      </w:rPr>
    </w:lvl>
    <w:lvl w:ilvl="8" w:tentative="0">
      <w:start w:val="1"/>
      <w:numFmt w:val="decimal"/>
      <w:suff w:val="nothing"/>
      <w:lvlText w:val="%1.%2.%3.%4.%5.%6.%7.%8.%9、"/>
      <w:lvlJc w:val="left"/>
      <w:pPr>
        <w:ind w:left="0" w:firstLine="0"/>
      </w:pPr>
      <w:rPr>
        <w:rFonts w:hint="default"/>
      </w:rPr>
    </w:lvl>
  </w:abstractNum>
  <w:abstractNum w:abstractNumId="6">
    <w:nsid w:val="41774699"/>
    <w:multiLevelType w:val="multilevel"/>
    <w:tmpl w:val="41774699"/>
    <w:lvl w:ilvl="0" w:tentative="0">
      <w:start w:val="5"/>
      <w:numFmt w:val="bullet"/>
      <w:lvlText w:val="□"/>
      <w:lvlJc w:val="left"/>
      <w:pPr>
        <w:ind w:left="840" w:hanging="360"/>
      </w:pPr>
      <w:rPr>
        <w:rFonts w:hint="eastAsia" w:ascii="宋体" w:hAnsi="宋体" w:eastAsia="宋体" w:cs="Times New Roman"/>
        <w:u w:val="none"/>
      </w:rPr>
    </w:lvl>
    <w:lvl w:ilvl="1" w:tentative="0">
      <w:start w:val="1"/>
      <w:numFmt w:val="bullet"/>
      <w:lvlText w:val=""/>
      <w:lvlJc w:val="left"/>
      <w:pPr>
        <w:ind w:left="1320" w:hanging="420"/>
      </w:pPr>
      <w:rPr>
        <w:rFonts w:hint="default" w:ascii="Wingdings" w:hAnsi="Wingdings"/>
      </w:rPr>
    </w:lvl>
    <w:lvl w:ilvl="2" w:tentative="0">
      <w:start w:val="1"/>
      <w:numFmt w:val="bullet"/>
      <w:lvlText w:val=""/>
      <w:lvlJc w:val="left"/>
      <w:pPr>
        <w:ind w:left="1740" w:hanging="420"/>
      </w:pPr>
      <w:rPr>
        <w:rFonts w:hint="default" w:ascii="Wingdings" w:hAnsi="Wingdings"/>
      </w:rPr>
    </w:lvl>
    <w:lvl w:ilvl="3" w:tentative="0">
      <w:start w:val="1"/>
      <w:numFmt w:val="bullet"/>
      <w:lvlText w:val=""/>
      <w:lvlJc w:val="left"/>
      <w:pPr>
        <w:ind w:left="2160" w:hanging="420"/>
      </w:pPr>
      <w:rPr>
        <w:rFonts w:hint="default" w:ascii="Wingdings" w:hAnsi="Wingdings"/>
      </w:rPr>
    </w:lvl>
    <w:lvl w:ilvl="4" w:tentative="0">
      <w:start w:val="1"/>
      <w:numFmt w:val="bullet"/>
      <w:lvlText w:val=""/>
      <w:lvlJc w:val="left"/>
      <w:pPr>
        <w:ind w:left="2580" w:hanging="420"/>
      </w:pPr>
      <w:rPr>
        <w:rFonts w:hint="default" w:ascii="Wingdings" w:hAnsi="Wingdings"/>
      </w:rPr>
    </w:lvl>
    <w:lvl w:ilvl="5" w:tentative="0">
      <w:start w:val="1"/>
      <w:numFmt w:val="bullet"/>
      <w:lvlText w:val=""/>
      <w:lvlJc w:val="left"/>
      <w:pPr>
        <w:ind w:left="3000" w:hanging="420"/>
      </w:pPr>
      <w:rPr>
        <w:rFonts w:hint="default" w:ascii="Wingdings" w:hAnsi="Wingdings"/>
      </w:rPr>
    </w:lvl>
    <w:lvl w:ilvl="6" w:tentative="0">
      <w:start w:val="1"/>
      <w:numFmt w:val="bullet"/>
      <w:lvlText w:val=""/>
      <w:lvlJc w:val="left"/>
      <w:pPr>
        <w:ind w:left="3420" w:hanging="420"/>
      </w:pPr>
      <w:rPr>
        <w:rFonts w:hint="default" w:ascii="Wingdings" w:hAnsi="Wingdings"/>
      </w:rPr>
    </w:lvl>
    <w:lvl w:ilvl="7" w:tentative="0">
      <w:start w:val="1"/>
      <w:numFmt w:val="bullet"/>
      <w:lvlText w:val=""/>
      <w:lvlJc w:val="left"/>
      <w:pPr>
        <w:ind w:left="3840" w:hanging="420"/>
      </w:pPr>
      <w:rPr>
        <w:rFonts w:hint="default" w:ascii="Wingdings" w:hAnsi="Wingdings"/>
      </w:rPr>
    </w:lvl>
    <w:lvl w:ilvl="8" w:tentative="0">
      <w:start w:val="1"/>
      <w:numFmt w:val="bullet"/>
      <w:lvlText w:val=""/>
      <w:lvlJc w:val="left"/>
      <w:pPr>
        <w:ind w:left="4260" w:hanging="420"/>
      </w:pPr>
      <w:rPr>
        <w:rFonts w:hint="default" w:ascii="Wingdings" w:hAnsi="Wingdings"/>
      </w:rPr>
    </w:lvl>
  </w:abstractNum>
  <w:abstractNum w:abstractNumId="7">
    <w:nsid w:val="5370D9AC"/>
    <w:multiLevelType w:val="singleLevel"/>
    <w:tmpl w:val="5370D9AC"/>
    <w:lvl w:ilvl="0" w:tentative="0">
      <w:start w:val="1"/>
      <w:numFmt w:val="chineseCounting"/>
      <w:pStyle w:val="14"/>
      <w:suff w:val="space"/>
      <w:lvlText w:val="第%1条"/>
      <w:lvlJc w:val="left"/>
    </w:lvl>
  </w:abstractNum>
  <w:abstractNum w:abstractNumId="8">
    <w:nsid w:val="6F05BE2E"/>
    <w:multiLevelType w:val="singleLevel"/>
    <w:tmpl w:val="6F05BE2E"/>
    <w:lvl w:ilvl="0" w:tentative="0">
      <w:start w:val="1"/>
      <w:numFmt w:val="chineseCounting"/>
      <w:suff w:val="nothing"/>
      <w:lvlText w:val="%1、"/>
      <w:lvlJc w:val="left"/>
      <w:rPr>
        <w:rFonts w:hint="eastAsia"/>
      </w:rPr>
    </w:lvl>
  </w:abstractNum>
  <w:num w:numId="1">
    <w:abstractNumId w:val="2"/>
  </w:num>
  <w:num w:numId="2">
    <w:abstractNumId w:val="7"/>
  </w:num>
  <w:num w:numId="3">
    <w:abstractNumId w:val="3"/>
  </w:num>
  <w:num w:numId="4">
    <w:abstractNumId w:val="4"/>
  </w:num>
  <w:num w:numId="5">
    <w:abstractNumId w:val="5"/>
  </w:num>
  <w:num w:numId="6">
    <w:abstractNumId w:val="8"/>
  </w:num>
  <w:num w:numId="7">
    <w:abstractNumId w:val="1"/>
  </w:num>
  <w:num w:numId="8">
    <w:abstractNumId w:val="0"/>
  </w:num>
  <w:num w:numId="9">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displayBackgroundShape w:val="1"/>
  <w:mirrorMargins w:val="1"/>
  <w:bordersDoNotSurroundHeader w:val="0"/>
  <w:bordersDoNotSurroundFooter w:val="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cumentProtection w:edit="readOnly" w:enforcement="0"/>
  <w:defaultTabStop w:val="420"/>
  <w:hyphenationZone w:val="360"/>
  <w:drawingGridHorizontalSpacing w:val="105"/>
  <w:drawingGridVerticalSpacing w:val="156"/>
  <w:displayHorizontalDrawingGridEvery w:val="1"/>
  <w:displayVerticalDrawingGridEvery w:val="1"/>
  <w:noPunctuationKerning w:val="1"/>
  <w:characterSpacingControl w:val="compressPunctuation"/>
  <w:doNotValidateAgainstSchema/>
  <w:doNotDemarcateInvalidXml/>
  <w:hdrShapeDefaults>
    <o:shapelayout v:ext="edit">
      <o:idmap v:ext="edit" data="1"/>
    </o:shapelayout>
  </w:hdrShapeDefaults>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Nzg3OGM3ZjM4MTAwMzdjYTMyODEyY2IzYjdmNTlmYzcifQ=="/>
  </w:docVars>
  <w:rsids>
    <w:rsidRoot w:val="00172A27"/>
    <w:rsid w:val="00000E21"/>
    <w:rsid w:val="00001AAF"/>
    <w:rsid w:val="00001BEE"/>
    <w:rsid w:val="000021F5"/>
    <w:rsid w:val="00002451"/>
    <w:rsid w:val="00003C5B"/>
    <w:rsid w:val="00003F63"/>
    <w:rsid w:val="000043A1"/>
    <w:rsid w:val="00004C4B"/>
    <w:rsid w:val="000051A0"/>
    <w:rsid w:val="000061DC"/>
    <w:rsid w:val="000077E5"/>
    <w:rsid w:val="00010F2E"/>
    <w:rsid w:val="00011D31"/>
    <w:rsid w:val="0001376D"/>
    <w:rsid w:val="00013C1A"/>
    <w:rsid w:val="00020163"/>
    <w:rsid w:val="0002314D"/>
    <w:rsid w:val="000238EA"/>
    <w:rsid w:val="00024B72"/>
    <w:rsid w:val="000253DF"/>
    <w:rsid w:val="0002574C"/>
    <w:rsid w:val="000300F1"/>
    <w:rsid w:val="0003087B"/>
    <w:rsid w:val="00030D6F"/>
    <w:rsid w:val="0003161F"/>
    <w:rsid w:val="00032BFA"/>
    <w:rsid w:val="0003322A"/>
    <w:rsid w:val="0003340B"/>
    <w:rsid w:val="00034985"/>
    <w:rsid w:val="0003539E"/>
    <w:rsid w:val="00037363"/>
    <w:rsid w:val="000375DB"/>
    <w:rsid w:val="00037A9A"/>
    <w:rsid w:val="00040333"/>
    <w:rsid w:val="00040CB5"/>
    <w:rsid w:val="00041D60"/>
    <w:rsid w:val="000429AF"/>
    <w:rsid w:val="00045155"/>
    <w:rsid w:val="00047334"/>
    <w:rsid w:val="000478B0"/>
    <w:rsid w:val="00055AF5"/>
    <w:rsid w:val="00062532"/>
    <w:rsid w:val="00064155"/>
    <w:rsid w:val="000649B0"/>
    <w:rsid w:val="00065059"/>
    <w:rsid w:val="000653FF"/>
    <w:rsid w:val="00066367"/>
    <w:rsid w:val="00067288"/>
    <w:rsid w:val="000676A9"/>
    <w:rsid w:val="0007109E"/>
    <w:rsid w:val="000714FA"/>
    <w:rsid w:val="00071C7D"/>
    <w:rsid w:val="00073641"/>
    <w:rsid w:val="00073BB5"/>
    <w:rsid w:val="00074104"/>
    <w:rsid w:val="00075BA3"/>
    <w:rsid w:val="00077506"/>
    <w:rsid w:val="00077D32"/>
    <w:rsid w:val="00080BEC"/>
    <w:rsid w:val="00080DE4"/>
    <w:rsid w:val="000813B6"/>
    <w:rsid w:val="00081FCE"/>
    <w:rsid w:val="00082224"/>
    <w:rsid w:val="0008306D"/>
    <w:rsid w:val="000845E6"/>
    <w:rsid w:val="00085B83"/>
    <w:rsid w:val="00086033"/>
    <w:rsid w:val="000861BA"/>
    <w:rsid w:val="0008694E"/>
    <w:rsid w:val="00086DF2"/>
    <w:rsid w:val="00087024"/>
    <w:rsid w:val="00087DFD"/>
    <w:rsid w:val="00087E62"/>
    <w:rsid w:val="00087F62"/>
    <w:rsid w:val="000903F3"/>
    <w:rsid w:val="00092898"/>
    <w:rsid w:val="00093865"/>
    <w:rsid w:val="00093900"/>
    <w:rsid w:val="00095443"/>
    <w:rsid w:val="00095479"/>
    <w:rsid w:val="000958EB"/>
    <w:rsid w:val="00096198"/>
    <w:rsid w:val="000962AC"/>
    <w:rsid w:val="00096503"/>
    <w:rsid w:val="000A06C0"/>
    <w:rsid w:val="000A2011"/>
    <w:rsid w:val="000A238D"/>
    <w:rsid w:val="000A50C6"/>
    <w:rsid w:val="000A510A"/>
    <w:rsid w:val="000A575B"/>
    <w:rsid w:val="000A5898"/>
    <w:rsid w:val="000A6C4B"/>
    <w:rsid w:val="000A7338"/>
    <w:rsid w:val="000A7A29"/>
    <w:rsid w:val="000B0F5B"/>
    <w:rsid w:val="000B2967"/>
    <w:rsid w:val="000B2C33"/>
    <w:rsid w:val="000B4F8C"/>
    <w:rsid w:val="000B50BE"/>
    <w:rsid w:val="000B51A9"/>
    <w:rsid w:val="000B5744"/>
    <w:rsid w:val="000B60BC"/>
    <w:rsid w:val="000B6DE3"/>
    <w:rsid w:val="000B6E6E"/>
    <w:rsid w:val="000B7093"/>
    <w:rsid w:val="000B7310"/>
    <w:rsid w:val="000C02DD"/>
    <w:rsid w:val="000C0E2C"/>
    <w:rsid w:val="000C1488"/>
    <w:rsid w:val="000C320D"/>
    <w:rsid w:val="000C586C"/>
    <w:rsid w:val="000C6176"/>
    <w:rsid w:val="000C6204"/>
    <w:rsid w:val="000C630D"/>
    <w:rsid w:val="000C6D0E"/>
    <w:rsid w:val="000C77DB"/>
    <w:rsid w:val="000C7C79"/>
    <w:rsid w:val="000D128A"/>
    <w:rsid w:val="000D29CE"/>
    <w:rsid w:val="000D34F7"/>
    <w:rsid w:val="000D599A"/>
    <w:rsid w:val="000D6956"/>
    <w:rsid w:val="000D76CF"/>
    <w:rsid w:val="000E157E"/>
    <w:rsid w:val="000E1D5A"/>
    <w:rsid w:val="000F04C0"/>
    <w:rsid w:val="000F05A7"/>
    <w:rsid w:val="000F254C"/>
    <w:rsid w:val="000F28AD"/>
    <w:rsid w:val="000F2E59"/>
    <w:rsid w:val="000F3FFF"/>
    <w:rsid w:val="000F448B"/>
    <w:rsid w:val="000F46E9"/>
    <w:rsid w:val="000F47AE"/>
    <w:rsid w:val="000F4BF6"/>
    <w:rsid w:val="000F4E78"/>
    <w:rsid w:val="000F619F"/>
    <w:rsid w:val="000F6319"/>
    <w:rsid w:val="000F67AB"/>
    <w:rsid w:val="000F68CE"/>
    <w:rsid w:val="000F6BEB"/>
    <w:rsid w:val="000F759E"/>
    <w:rsid w:val="00100070"/>
    <w:rsid w:val="00100180"/>
    <w:rsid w:val="001007E9"/>
    <w:rsid w:val="00101749"/>
    <w:rsid w:val="00102843"/>
    <w:rsid w:val="00102B92"/>
    <w:rsid w:val="00102F86"/>
    <w:rsid w:val="00111626"/>
    <w:rsid w:val="001116EA"/>
    <w:rsid w:val="00111761"/>
    <w:rsid w:val="00111CBE"/>
    <w:rsid w:val="0011225A"/>
    <w:rsid w:val="001135DC"/>
    <w:rsid w:val="001138D8"/>
    <w:rsid w:val="001154AC"/>
    <w:rsid w:val="0011763E"/>
    <w:rsid w:val="00117D67"/>
    <w:rsid w:val="001210CA"/>
    <w:rsid w:val="00121154"/>
    <w:rsid w:val="00121AA3"/>
    <w:rsid w:val="00121FBF"/>
    <w:rsid w:val="00123EC2"/>
    <w:rsid w:val="00124849"/>
    <w:rsid w:val="00125AA1"/>
    <w:rsid w:val="001306D1"/>
    <w:rsid w:val="00130E8D"/>
    <w:rsid w:val="001354DC"/>
    <w:rsid w:val="001355F9"/>
    <w:rsid w:val="00135B94"/>
    <w:rsid w:val="00140389"/>
    <w:rsid w:val="00140E88"/>
    <w:rsid w:val="00143501"/>
    <w:rsid w:val="0014464A"/>
    <w:rsid w:val="001453E9"/>
    <w:rsid w:val="00145A70"/>
    <w:rsid w:val="00145E01"/>
    <w:rsid w:val="00146F3E"/>
    <w:rsid w:val="00147176"/>
    <w:rsid w:val="00147425"/>
    <w:rsid w:val="00147C49"/>
    <w:rsid w:val="00147CFB"/>
    <w:rsid w:val="00147D48"/>
    <w:rsid w:val="00150050"/>
    <w:rsid w:val="00150258"/>
    <w:rsid w:val="001504DD"/>
    <w:rsid w:val="0015067F"/>
    <w:rsid w:val="00150EEA"/>
    <w:rsid w:val="00151020"/>
    <w:rsid w:val="00151AA5"/>
    <w:rsid w:val="00151EE8"/>
    <w:rsid w:val="00152122"/>
    <w:rsid w:val="00152514"/>
    <w:rsid w:val="00153CDD"/>
    <w:rsid w:val="0016083B"/>
    <w:rsid w:val="00160AA5"/>
    <w:rsid w:val="00163781"/>
    <w:rsid w:val="00165EC8"/>
    <w:rsid w:val="001663FE"/>
    <w:rsid w:val="001669D4"/>
    <w:rsid w:val="0016717A"/>
    <w:rsid w:val="0016754F"/>
    <w:rsid w:val="00167614"/>
    <w:rsid w:val="00170384"/>
    <w:rsid w:val="00171462"/>
    <w:rsid w:val="00171EE0"/>
    <w:rsid w:val="0017353A"/>
    <w:rsid w:val="001765CA"/>
    <w:rsid w:val="00176E6C"/>
    <w:rsid w:val="00176EAF"/>
    <w:rsid w:val="00177452"/>
    <w:rsid w:val="00177589"/>
    <w:rsid w:val="0017764A"/>
    <w:rsid w:val="00180D48"/>
    <w:rsid w:val="0018131B"/>
    <w:rsid w:val="00181BEF"/>
    <w:rsid w:val="00183B07"/>
    <w:rsid w:val="00184243"/>
    <w:rsid w:val="001847D3"/>
    <w:rsid w:val="001865EF"/>
    <w:rsid w:val="0019044D"/>
    <w:rsid w:val="00191B5C"/>
    <w:rsid w:val="00191E55"/>
    <w:rsid w:val="00192C43"/>
    <w:rsid w:val="0019312F"/>
    <w:rsid w:val="0019338C"/>
    <w:rsid w:val="001939CA"/>
    <w:rsid w:val="00194906"/>
    <w:rsid w:val="00195151"/>
    <w:rsid w:val="00197331"/>
    <w:rsid w:val="00197C48"/>
    <w:rsid w:val="001A0F42"/>
    <w:rsid w:val="001A1D88"/>
    <w:rsid w:val="001A1F5E"/>
    <w:rsid w:val="001A2BC5"/>
    <w:rsid w:val="001A2F4B"/>
    <w:rsid w:val="001A3427"/>
    <w:rsid w:val="001A35EC"/>
    <w:rsid w:val="001A56DE"/>
    <w:rsid w:val="001A65B8"/>
    <w:rsid w:val="001A6AC4"/>
    <w:rsid w:val="001A713E"/>
    <w:rsid w:val="001B0454"/>
    <w:rsid w:val="001B064B"/>
    <w:rsid w:val="001B0BD9"/>
    <w:rsid w:val="001B0D89"/>
    <w:rsid w:val="001B5691"/>
    <w:rsid w:val="001B70D2"/>
    <w:rsid w:val="001C0E99"/>
    <w:rsid w:val="001C11E5"/>
    <w:rsid w:val="001C1FED"/>
    <w:rsid w:val="001C4A2C"/>
    <w:rsid w:val="001C4A44"/>
    <w:rsid w:val="001C5199"/>
    <w:rsid w:val="001C60B2"/>
    <w:rsid w:val="001C719B"/>
    <w:rsid w:val="001D05F5"/>
    <w:rsid w:val="001D0B8D"/>
    <w:rsid w:val="001D0E89"/>
    <w:rsid w:val="001D284A"/>
    <w:rsid w:val="001D2A7F"/>
    <w:rsid w:val="001D3AB6"/>
    <w:rsid w:val="001D42DA"/>
    <w:rsid w:val="001D42FE"/>
    <w:rsid w:val="001D4E26"/>
    <w:rsid w:val="001D5885"/>
    <w:rsid w:val="001D75DE"/>
    <w:rsid w:val="001E2819"/>
    <w:rsid w:val="001E2B2B"/>
    <w:rsid w:val="001E37CB"/>
    <w:rsid w:val="001E44E0"/>
    <w:rsid w:val="001E44FC"/>
    <w:rsid w:val="001E5D74"/>
    <w:rsid w:val="001E68E0"/>
    <w:rsid w:val="001E68FF"/>
    <w:rsid w:val="001F0639"/>
    <w:rsid w:val="001F39DE"/>
    <w:rsid w:val="001F3DC9"/>
    <w:rsid w:val="001F6340"/>
    <w:rsid w:val="001F64EE"/>
    <w:rsid w:val="001F695A"/>
    <w:rsid w:val="001F6AA4"/>
    <w:rsid w:val="00201959"/>
    <w:rsid w:val="0020384D"/>
    <w:rsid w:val="00203CE8"/>
    <w:rsid w:val="002055B1"/>
    <w:rsid w:val="002059F1"/>
    <w:rsid w:val="00205D6D"/>
    <w:rsid w:val="00205E24"/>
    <w:rsid w:val="002063B0"/>
    <w:rsid w:val="0020733A"/>
    <w:rsid w:val="00207EBC"/>
    <w:rsid w:val="00210427"/>
    <w:rsid w:val="00210670"/>
    <w:rsid w:val="002108A2"/>
    <w:rsid w:val="00211D59"/>
    <w:rsid w:val="00211D9A"/>
    <w:rsid w:val="00212118"/>
    <w:rsid w:val="00212333"/>
    <w:rsid w:val="00212779"/>
    <w:rsid w:val="002133A5"/>
    <w:rsid w:val="00213670"/>
    <w:rsid w:val="00213A34"/>
    <w:rsid w:val="00213B4E"/>
    <w:rsid w:val="00214342"/>
    <w:rsid w:val="00215AA4"/>
    <w:rsid w:val="00216195"/>
    <w:rsid w:val="00221342"/>
    <w:rsid w:val="00221974"/>
    <w:rsid w:val="00221CF0"/>
    <w:rsid w:val="00222338"/>
    <w:rsid w:val="002228FC"/>
    <w:rsid w:val="00222EA2"/>
    <w:rsid w:val="002245C6"/>
    <w:rsid w:val="002250FE"/>
    <w:rsid w:val="002259FB"/>
    <w:rsid w:val="0022603B"/>
    <w:rsid w:val="00230B9B"/>
    <w:rsid w:val="00231928"/>
    <w:rsid w:val="00231A16"/>
    <w:rsid w:val="00232E97"/>
    <w:rsid w:val="00233F7A"/>
    <w:rsid w:val="00235B1C"/>
    <w:rsid w:val="00236A2C"/>
    <w:rsid w:val="00236A6F"/>
    <w:rsid w:val="0023724E"/>
    <w:rsid w:val="00237268"/>
    <w:rsid w:val="002405D0"/>
    <w:rsid w:val="00240640"/>
    <w:rsid w:val="00240C87"/>
    <w:rsid w:val="00242328"/>
    <w:rsid w:val="00242ECF"/>
    <w:rsid w:val="00242F99"/>
    <w:rsid w:val="00242FF0"/>
    <w:rsid w:val="0024553A"/>
    <w:rsid w:val="00245C62"/>
    <w:rsid w:val="00246406"/>
    <w:rsid w:val="00246E45"/>
    <w:rsid w:val="002500F9"/>
    <w:rsid w:val="00250106"/>
    <w:rsid w:val="0025343C"/>
    <w:rsid w:val="00253E80"/>
    <w:rsid w:val="00254053"/>
    <w:rsid w:val="002544FF"/>
    <w:rsid w:val="002545E0"/>
    <w:rsid w:val="00254DD5"/>
    <w:rsid w:val="002552BE"/>
    <w:rsid w:val="00255920"/>
    <w:rsid w:val="002559DB"/>
    <w:rsid w:val="00255B9C"/>
    <w:rsid w:val="00255D18"/>
    <w:rsid w:val="002564CB"/>
    <w:rsid w:val="00257000"/>
    <w:rsid w:val="0026011F"/>
    <w:rsid w:val="002604C5"/>
    <w:rsid w:val="002607F8"/>
    <w:rsid w:val="00260DAB"/>
    <w:rsid w:val="00261663"/>
    <w:rsid w:val="00262AAC"/>
    <w:rsid w:val="00265245"/>
    <w:rsid w:val="00265A1F"/>
    <w:rsid w:val="00265BD6"/>
    <w:rsid w:val="00266A51"/>
    <w:rsid w:val="0026755C"/>
    <w:rsid w:val="00270003"/>
    <w:rsid w:val="002709E9"/>
    <w:rsid w:val="00270A86"/>
    <w:rsid w:val="00270F58"/>
    <w:rsid w:val="0027187F"/>
    <w:rsid w:val="002722CB"/>
    <w:rsid w:val="00272E6A"/>
    <w:rsid w:val="00273366"/>
    <w:rsid w:val="002737EC"/>
    <w:rsid w:val="00274E77"/>
    <w:rsid w:val="00275160"/>
    <w:rsid w:val="00276138"/>
    <w:rsid w:val="002765F7"/>
    <w:rsid w:val="002772D0"/>
    <w:rsid w:val="00277C7E"/>
    <w:rsid w:val="00280D1C"/>
    <w:rsid w:val="00280F67"/>
    <w:rsid w:val="002820F0"/>
    <w:rsid w:val="002823DA"/>
    <w:rsid w:val="002825D6"/>
    <w:rsid w:val="00282F2F"/>
    <w:rsid w:val="0028344E"/>
    <w:rsid w:val="00284861"/>
    <w:rsid w:val="002856BA"/>
    <w:rsid w:val="00285959"/>
    <w:rsid w:val="00285C96"/>
    <w:rsid w:val="00286E3E"/>
    <w:rsid w:val="002903C4"/>
    <w:rsid w:val="00290928"/>
    <w:rsid w:val="002911FA"/>
    <w:rsid w:val="00292328"/>
    <w:rsid w:val="002925EE"/>
    <w:rsid w:val="00294885"/>
    <w:rsid w:val="00296B57"/>
    <w:rsid w:val="00296BF9"/>
    <w:rsid w:val="00296D05"/>
    <w:rsid w:val="00297013"/>
    <w:rsid w:val="00297297"/>
    <w:rsid w:val="00297438"/>
    <w:rsid w:val="0029743C"/>
    <w:rsid w:val="002A06FD"/>
    <w:rsid w:val="002A0E01"/>
    <w:rsid w:val="002A1FA9"/>
    <w:rsid w:val="002A27CB"/>
    <w:rsid w:val="002A2B16"/>
    <w:rsid w:val="002A3450"/>
    <w:rsid w:val="002A5F2F"/>
    <w:rsid w:val="002A616C"/>
    <w:rsid w:val="002A668D"/>
    <w:rsid w:val="002A6DF7"/>
    <w:rsid w:val="002A7750"/>
    <w:rsid w:val="002B038D"/>
    <w:rsid w:val="002B0AB5"/>
    <w:rsid w:val="002B1A8C"/>
    <w:rsid w:val="002B1B8C"/>
    <w:rsid w:val="002B24C3"/>
    <w:rsid w:val="002B3875"/>
    <w:rsid w:val="002B3CF8"/>
    <w:rsid w:val="002B4171"/>
    <w:rsid w:val="002B48C2"/>
    <w:rsid w:val="002B7BC2"/>
    <w:rsid w:val="002C1310"/>
    <w:rsid w:val="002C1B7A"/>
    <w:rsid w:val="002C333B"/>
    <w:rsid w:val="002C51BB"/>
    <w:rsid w:val="002C6591"/>
    <w:rsid w:val="002C65BB"/>
    <w:rsid w:val="002C6601"/>
    <w:rsid w:val="002C6C5A"/>
    <w:rsid w:val="002C7577"/>
    <w:rsid w:val="002C7EEE"/>
    <w:rsid w:val="002D0AA4"/>
    <w:rsid w:val="002D18BD"/>
    <w:rsid w:val="002D1988"/>
    <w:rsid w:val="002D1A64"/>
    <w:rsid w:val="002D22BF"/>
    <w:rsid w:val="002D43BA"/>
    <w:rsid w:val="002D4607"/>
    <w:rsid w:val="002D4FCF"/>
    <w:rsid w:val="002D62C0"/>
    <w:rsid w:val="002D64F0"/>
    <w:rsid w:val="002D6642"/>
    <w:rsid w:val="002E1272"/>
    <w:rsid w:val="002E2807"/>
    <w:rsid w:val="002E3C36"/>
    <w:rsid w:val="002E4248"/>
    <w:rsid w:val="002E537B"/>
    <w:rsid w:val="002E593D"/>
    <w:rsid w:val="002E649A"/>
    <w:rsid w:val="002E6831"/>
    <w:rsid w:val="002E68B4"/>
    <w:rsid w:val="002E7867"/>
    <w:rsid w:val="002F1C14"/>
    <w:rsid w:val="002F28D1"/>
    <w:rsid w:val="002F2BFC"/>
    <w:rsid w:val="002F2DB6"/>
    <w:rsid w:val="002F5AA7"/>
    <w:rsid w:val="002F630E"/>
    <w:rsid w:val="002F6EAC"/>
    <w:rsid w:val="00300B61"/>
    <w:rsid w:val="00300F71"/>
    <w:rsid w:val="0030166D"/>
    <w:rsid w:val="0030242A"/>
    <w:rsid w:val="0030265E"/>
    <w:rsid w:val="00303641"/>
    <w:rsid w:val="00303D2C"/>
    <w:rsid w:val="0030510E"/>
    <w:rsid w:val="0030513C"/>
    <w:rsid w:val="00307D5F"/>
    <w:rsid w:val="003101E3"/>
    <w:rsid w:val="003110B4"/>
    <w:rsid w:val="00311793"/>
    <w:rsid w:val="00311863"/>
    <w:rsid w:val="00312D47"/>
    <w:rsid w:val="00312D50"/>
    <w:rsid w:val="0031324B"/>
    <w:rsid w:val="00314308"/>
    <w:rsid w:val="00314A7F"/>
    <w:rsid w:val="003169C2"/>
    <w:rsid w:val="00316C3B"/>
    <w:rsid w:val="00316E3F"/>
    <w:rsid w:val="003170B5"/>
    <w:rsid w:val="0031753F"/>
    <w:rsid w:val="0031790F"/>
    <w:rsid w:val="00320FBB"/>
    <w:rsid w:val="00321182"/>
    <w:rsid w:val="003213F1"/>
    <w:rsid w:val="00321453"/>
    <w:rsid w:val="003215EF"/>
    <w:rsid w:val="003221EA"/>
    <w:rsid w:val="00322310"/>
    <w:rsid w:val="00322461"/>
    <w:rsid w:val="003231E3"/>
    <w:rsid w:val="003231E7"/>
    <w:rsid w:val="00323B54"/>
    <w:rsid w:val="003252CE"/>
    <w:rsid w:val="00325DB0"/>
    <w:rsid w:val="00326BCC"/>
    <w:rsid w:val="00326EC3"/>
    <w:rsid w:val="00330F1B"/>
    <w:rsid w:val="00332776"/>
    <w:rsid w:val="003329E4"/>
    <w:rsid w:val="00332A23"/>
    <w:rsid w:val="00333E41"/>
    <w:rsid w:val="00335495"/>
    <w:rsid w:val="003360AE"/>
    <w:rsid w:val="0034054F"/>
    <w:rsid w:val="00340770"/>
    <w:rsid w:val="00343D1F"/>
    <w:rsid w:val="00345968"/>
    <w:rsid w:val="0034640B"/>
    <w:rsid w:val="003477EF"/>
    <w:rsid w:val="00347969"/>
    <w:rsid w:val="0034797B"/>
    <w:rsid w:val="0035174D"/>
    <w:rsid w:val="00351DA1"/>
    <w:rsid w:val="00351FD9"/>
    <w:rsid w:val="003528FD"/>
    <w:rsid w:val="00353AF8"/>
    <w:rsid w:val="00353F76"/>
    <w:rsid w:val="0035494D"/>
    <w:rsid w:val="00355E89"/>
    <w:rsid w:val="003570DD"/>
    <w:rsid w:val="00357292"/>
    <w:rsid w:val="00361632"/>
    <w:rsid w:val="003619B7"/>
    <w:rsid w:val="0036321D"/>
    <w:rsid w:val="00363F80"/>
    <w:rsid w:val="00364A02"/>
    <w:rsid w:val="00365956"/>
    <w:rsid w:val="00367A8F"/>
    <w:rsid w:val="003727E0"/>
    <w:rsid w:val="0037308A"/>
    <w:rsid w:val="00373409"/>
    <w:rsid w:val="00373839"/>
    <w:rsid w:val="00373B5A"/>
    <w:rsid w:val="00374ABE"/>
    <w:rsid w:val="00375255"/>
    <w:rsid w:val="0037538D"/>
    <w:rsid w:val="003774DD"/>
    <w:rsid w:val="0037793E"/>
    <w:rsid w:val="003811D3"/>
    <w:rsid w:val="003827ED"/>
    <w:rsid w:val="003833A9"/>
    <w:rsid w:val="00384532"/>
    <w:rsid w:val="00384BE3"/>
    <w:rsid w:val="00385594"/>
    <w:rsid w:val="00385CA1"/>
    <w:rsid w:val="00385ED5"/>
    <w:rsid w:val="00385ED9"/>
    <w:rsid w:val="00391C43"/>
    <w:rsid w:val="00393AE2"/>
    <w:rsid w:val="00394EEE"/>
    <w:rsid w:val="003956B8"/>
    <w:rsid w:val="00395718"/>
    <w:rsid w:val="00396B06"/>
    <w:rsid w:val="00397B41"/>
    <w:rsid w:val="003A0A57"/>
    <w:rsid w:val="003A1065"/>
    <w:rsid w:val="003A1A9B"/>
    <w:rsid w:val="003A244D"/>
    <w:rsid w:val="003A2CD3"/>
    <w:rsid w:val="003A34AB"/>
    <w:rsid w:val="003A35F6"/>
    <w:rsid w:val="003A4187"/>
    <w:rsid w:val="003A4676"/>
    <w:rsid w:val="003A4969"/>
    <w:rsid w:val="003A4E43"/>
    <w:rsid w:val="003A6C25"/>
    <w:rsid w:val="003B0419"/>
    <w:rsid w:val="003B0AF1"/>
    <w:rsid w:val="003B0DC9"/>
    <w:rsid w:val="003B1900"/>
    <w:rsid w:val="003B2124"/>
    <w:rsid w:val="003B27AF"/>
    <w:rsid w:val="003B2D17"/>
    <w:rsid w:val="003B4CCF"/>
    <w:rsid w:val="003B4DC1"/>
    <w:rsid w:val="003B556D"/>
    <w:rsid w:val="003B6B8C"/>
    <w:rsid w:val="003B6F33"/>
    <w:rsid w:val="003B79A8"/>
    <w:rsid w:val="003B7DD5"/>
    <w:rsid w:val="003C0668"/>
    <w:rsid w:val="003C12CF"/>
    <w:rsid w:val="003C2BC1"/>
    <w:rsid w:val="003C416B"/>
    <w:rsid w:val="003C482C"/>
    <w:rsid w:val="003C702A"/>
    <w:rsid w:val="003C736C"/>
    <w:rsid w:val="003D03A5"/>
    <w:rsid w:val="003D0F8F"/>
    <w:rsid w:val="003D1396"/>
    <w:rsid w:val="003D1EAD"/>
    <w:rsid w:val="003D21D6"/>
    <w:rsid w:val="003D2A66"/>
    <w:rsid w:val="003D2B6C"/>
    <w:rsid w:val="003D3451"/>
    <w:rsid w:val="003D427C"/>
    <w:rsid w:val="003D4F5E"/>
    <w:rsid w:val="003D5098"/>
    <w:rsid w:val="003D5269"/>
    <w:rsid w:val="003D5547"/>
    <w:rsid w:val="003D5853"/>
    <w:rsid w:val="003D6582"/>
    <w:rsid w:val="003E0050"/>
    <w:rsid w:val="003E125C"/>
    <w:rsid w:val="003E2891"/>
    <w:rsid w:val="003E3417"/>
    <w:rsid w:val="003E451D"/>
    <w:rsid w:val="003E485F"/>
    <w:rsid w:val="003E4EAF"/>
    <w:rsid w:val="003E53D6"/>
    <w:rsid w:val="003E5A64"/>
    <w:rsid w:val="003E663A"/>
    <w:rsid w:val="003F034F"/>
    <w:rsid w:val="003F12E0"/>
    <w:rsid w:val="003F2556"/>
    <w:rsid w:val="003F2C54"/>
    <w:rsid w:val="003F2DA1"/>
    <w:rsid w:val="003F3F87"/>
    <w:rsid w:val="003F4060"/>
    <w:rsid w:val="003F4E13"/>
    <w:rsid w:val="003F4FBF"/>
    <w:rsid w:val="003F557E"/>
    <w:rsid w:val="003F58EF"/>
    <w:rsid w:val="003F5B22"/>
    <w:rsid w:val="003F71DA"/>
    <w:rsid w:val="003F7F75"/>
    <w:rsid w:val="00400A90"/>
    <w:rsid w:val="00400C4A"/>
    <w:rsid w:val="004026BB"/>
    <w:rsid w:val="0040278B"/>
    <w:rsid w:val="00402B3B"/>
    <w:rsid w:val="00403421"/>
    <w:rsid w:val="0040377D"/>
    <w:rsid w:val="00403EC7"/>
    <w:rsid w:val="00405292"/>
    <w:rsid w:val="004054E9"/>
    <w:rsid w:val="004065CB"/>
    <w:rsid w:val="004068BF"/>
    <w:rsid w:val="00406E72"/>
    <w:rsid w:val="00407594"/>
    <w:rsid w:val="00407599"/>
    <w:rsid w:val="0041079E"/>
    <w:rsid w:val="00410F65"/>
    <w:rsid w:val="0041117B"/>
    <w:rsid w:val="00412964"/>
    <w:rsid w:val="00413091"/>
    <w:rsid w:val="0041466D"/>
    <w:rsid w:val="0041637E"/>
    <w:rsid w:val="00416B25"/>
    <w:rsid w:val="004170E1"/>
    <w:rsid w:val="004173A2"/>
    <w:rsid w:val="00417EEA"/>
    <w:rsid w:val="004201E4"/>
    <w:rsid w:val="00420323"/>
    <w:rsid w:val="00420971"/>
    <w:rsid w:val="00420AF8"/>
    <w:rsid w:val="00421833"/>
    <w:rsid w:val="00422ACA"/>
    <w:rsid w:val="00422B59"/>
    <w:rsid w:val="0042416C"/>
    <w:rsid w:val="00425CED"/>
    <w:rsid w:val="00426147"/>
    <w:rsid w:val="004311A1"/>
    <w:rsid w:val="00433CE2"/>
    <w:rsid w:val="0043416C"/>
    <w:rsid w:val="00434406"/>
    <w:rsid w:val="00435093"/>
    <w:rsid w:val="004357E2"/>
    <w:rsid w:val="00436A70"/>
    <w:rsid w:val="00437319"/>
    <w:rsid w:val="00443D26"/>
    <w:rsid w:val="00444646"/>
    <w:rsid w:val="00445397"/>
    <w:rsid w:val="00445684"/>
    <w:rsid w:val="00446EAD"/>
    <w:rsid w:val="00447029"/>
    <w:rsid w:val="00450712"/>
    <w:rsid w:val="00450F2A"/>
    <w:rsid w:val="00450F69"/>
    <w:rsid w:val="0045109D"/>
    <w:rsid w:val="00452956"/>
    <w:rsid w:val="00452F0F"/>
    <w:rsid w:val="004530C4"/>
    <w:rsid w:val="00453B98"/>
    <w:rsid w:val="00455F72"/>
    <w:rsid w:val="00455FAE"/>
    <w:rsid w:val="00455FB6"/>
    <w:rsid w:val="004575A1"/>
    <w:rsid w:val="00457809"/>
    <w:rsid w:val="004608DC"/>
    <w:rsid w:val="00460FD3"/>
    <w:rsid w:val="004634EE"/>
    <w:rsid w:val="00464401"/>
    <w:rsid w:val="0046566D"/>
    <w:rsid w:val="00465D47"/>
    <w:rsid w:val="004674C4"/>
    <w:rsid w:val="00471252"/>
    <w:rsid w:val="004715DE"/>
    <w:rsid w:val="004719EE"/>
    <w:rsid w:val="00472082"/>
    <w:rsid w:val="004729F5"/>
    <w:rsid w:val="00472A45"/>
    <w:rsid w:val="00472AE3"/>
    <w:rsid w:val="004736A3"/>
    <w:rsid w:val="0047370E"/>
    <w:rsid w:val="00473E6D"/>
    <w:rsid w:val="004745C7"/>
    <w:rsid w:val="00474A16"/>
    <w:rsid w:val="00474C04"/>
    <w:rsid w:val="00475979"/>
    <w:rsid w:val="0047665C"/>
    <w:rsid w:val="00476AD7"/>
    <w:rsid w:val="00476E42"/>
    <w:rsid w:val="0047729C"/>
    <w:rsid w:val="00477958"/>
    <w:rsid w:val="00477FC7"/>
    <w:rsid w:val="004816EA"/>
    <w:rsid w:val="004817E9"/>
    <w:rsid w:val="00482B82"/>
    <w:rsid w:val="00484058"/>
    <w:rsid w:val="004845E0"/>
    <w:rsid w:val="00486154"/>
    <w:rsid w:val="00486259"/>
    <w:rsid w:val="00486BFB"/>
    <w:rsid w:val="0049026C"/>
    <w:rsid w:val="004924C0"/>
    <w:rsid w:val="00492ED9"/>
    <w:rsid w:val="0049300D"/>
    <w:rsid w:val="00493D12"/>
    <w:rsid w:val="00493D45"/>
    <w:rsid w:val="0049426D"/>
    <w:rsid w:val="00494B52"/>
    <w:rsid w:val="0049626A"/>
    <w:rsid w:val="004972D2"/>
    <w:rsid w:val="00497956"/>
    <w:rsid w:val="004A1912"/>
    <w:rsid w:val="004A247D"/>
    <w:rsid w:val="004A24C3"/>
    <w:rsid w:val="004A30B3"/>
    <w:rsid w:val="004A34E1"/>
    <w:rsid w:val="004A3836"/>
    <w:rsid w:val="004A4B90"/>
    <w:rsid w:val="004A5403"/>
    <w:rsid w:val="004A5511"/>
    <w:rsid w:val="004B0721"/>
    <w:rsid w:val="004B2742"/>
    <w:rsid w:val="004B7042"/>
    <w:rsid w:val="004B7C08"/>
    <w:rsid w:val="004C0475"/>
    <w:rsid w:val="004C1AD2"/>
    <w:rsid w:val="004C33D1"/>
    <w:rsid w:val="004C43AC"/>
    <w:rsid w:val="004C45FE"/>
    <w:rsid w:val="004C49FF"/>
    <w:rsid w:val="004C4F2B"/>
    <w:rsid w:val="004C6F9A"/>
    <w:rsid w:val="004D00E6"/>
    <w:rsid w:val="004D033B"/>
    <w:rsid w:val="004D1CBC"/>
    <w:rsid w:val="004D1DC3"/>
    <w:rsid w:val="004D3EC7"/>
    <w:rsid w:val="004D56BF"/>
    <w:rsid w:val="004D5C41"/>
    <w:rsid w:val="004D6A28"/>
    <w:rsid w:val="004D6C1A"/>
    <w:rsid w:val="004E0089"/>
    <w:rsid w:val="004E2975"/>
    <w:rsid w:val="004E382E"/>
    <w:rsid w:val="004E6555"/>
    <w:rsid w:val="004E6639"/>
    <w:rsid w:val="004E6B71"/>
    <w:rsid w:val="004E6B7F"/>
    <w:rsid w:val="004E7FBA"/>
    <w:rsid w:val="004F023F"/>
    <w:rsid w:val="004F0768"/>
    <w:rsid w:val="004F1F02"/>
    <w:rsid w:val="004F333A"/>
    <w:rsid w:val="004F3BDB"/>
    <w:rsid w:val="004F50C5"/>
    <w:rsid w:val="004F569E"/>
    <w:rsid w:val="005006D6"/>
    <w:rsid w:val="005007C7"/>
    <w:rsid w:val="00500A97"/>
    <w:rsid w:val="00501EE6"/>
    <w:rsid w:val="005022E5"/>
    <w:rsid w:val="005026AF"/>
    <w:rsid w:val="00503408"/>
    <w:rsid w:val="00503C71"/>
    <w:rsid w:val="00504C9F"/>
    <w:rsid w:val="005053DE"/>
    <w:rsid w:val="00505968"/>
    <w:rsid w:val="00505A25"/>
    <w:rsid w:val="0050610E"/>
    <w:rsid w:val="00507896"/>
    <w:rsid w:val="005115E1"/>
    <w:rsid w:val="005115E7"/>
    <w:rsid w:val="0051160F"/>
    <w:rsid w:val="00512CD5"/>
    <w:rsid w:val="00514220"/>
    <w:rsid w:val="00514720"/>
    <w:rsid w:val="00514EF3"/>
    <w:rsid w:val="00515FF2"/>
    <w:rsid w:val="005168E7"/>
    <w:rsid w:val="005171C3"/>
    <w:rsid w:val="00517669"/>
    <w:rsid w:val="00517A87"/>
    <w:rsid w:val="00520728"/>
    <w:rsid w:val="005209FD"/>
    <w:rsid w:val="0052229F"/>
    <w:rsid w:val="005222DF"/>
    <w:rsid w:val="00522B25"/>
    <w:rsid w:val="00522D6C"/>
    <w:rsid w:val="00523950"/>
    <w:rsid w:val="00523B20"/>
    <w:rsid w:val="00523E6C"/>
    <w:rsid w:val="005246FA"/>
    <w:rsid w:val="00525BC7"/>
    <w:rsid w:val="00525D99"/>
    <w:rsid w:val="005279A7"/>
    <w:rsid w:val="00531114"/>
    <w:rsid w:val="00531C84"/>
    <w:rsid w:val="00532600"/>
    <w:rsid w:val="0053268F"/>
    <w:rsid w:val="00532954"/>
    <w:rsid w:val="00532A60"/>
    <w:rsid w:val="00532EE4"/>
    <w:rsid w:val="005338A7"/>
    <w:rsid w:val="00534E09"/>
    <w:rsid w:val="00535B27"/>
    <w:rsid w:val="00535CB2"/>
    <w:rsid w:val="00536A59"/>
    <w:rsid w:val="0054190C"/>
    <w:rsid w:val="005422AA"/>
    <w:rsid w:val="00542F1A"/>
    <w:rsid w:val="005435B5"/>
    <w:rsid w:val="005441AE"/>
    <w:rsid w:val="00544247"/>
    <w:rsid w:val="00544768"/>
    <w:rsid w:val="00544B3E"/>
    <w:rsid w:val="00545436"/>
    <w:rsid w:val="005465A1"/>
    <w:rsid w:val="00546755"/>
    <w:rsid w:val="00546B33"/>
    <w:rsid w:val="005475C7"/>
    <w:rsid w:val="00550CD7"/>
    <w:rsid w:val="0055197B"/>
    <w:rsid w:val="00551DDB"/>
    <w:rsid w:val="00552C4E"/>
    <w:rsid w:val="00553168"/>
    <w:rsid w:val="00554D83"/>
    <w:rsid w:val="00554F78"/>
    <w:rsid w:val="00555226"/>
    <w:rsid w:val="005553D4"/>
    <w:rsid w:val="00555849"/>
    <w:rsid w:val="00555FA5"/>
    <w:rsid w:val="00556452"/>
    <w:rsid w:val="00556AB9"/>
    <w:rsid w:val="00557172"/>
    <w:rsid w:val="00557F6D"/>
    <w:rsid w:val="00560046"/>
    <w:rsid w:val="00562EAC"/>
    <w:rsid w:val="0056464B"/>
    <w:rsid w:val="00565864"/>
    <w:rsid w:val="00565FC5"/>
    <w:rsid w:val="00566AE7"/>
    <w:rsid w:val="00566B16"/>
    <w:rsid w:val="0056774F"/>
    <w:rsid w:val="00570726"/>
    <w:rsid w:val="00570E57"/>
    <w:rsid w:val="00571013"/>
    <w:rsid w:val="005717EC"/>
    <w:rsid w:val="00571C4D"/>
    <w:rsid w:val="00571C51"/>
    <w:rsid w:val="00572837"/>
    <w:rsid w:val="00573B0E"/>
    <w:rsid w:val="005743CA"/>
    <w:rsid w:val="005745D1"/>
    <w:rsid w:val="00576850"/>
    <w:rsid w:val="005778D7"/>
    <w:rsid w:val="00580854"/>
    <w:rsid w:val="00582363"/>
    <w:rsid w:val="0058475D"/>
    <w:rsid w:val="00584E48"/>
    <w:rsid w:val="00586033"/>
    <w:rsid w:val="00586C57"/>
    <w:rsid w:val="00587C50"/>
    <w:rsid w:val="00587D4A"/>
    <w:rsid w:val="00591616"/>
    <w:rsid w:val="00592071"/>
    <w:rsid w:val="00592985"/>
    <w:rsid w:val="00593BAA"/>
    <w:rsid w:val="00593CCB"/>
    <w:rsid w:val="005959AF"/>
    <w:rsid w:val="00595B1E"/>
    <w:rsid w:val="00596190"/>
    <w:rsid w:val="00596578"/>
    <w:rsid w:val="00597749"/>
    <w:rsid w:val="005978AB"/>
    <w:rsid w:val="00597C6C"/>
    <w:rsid w:val="005A1DF8"/>
    <w:rsid w:val="005A2C55"/>
    <w:rsid w:val="005A2F09"/>
    <w:rsid w:val="005A336F"/>
    <w:rsid w:val="005A33B6"/>
    <w:rsid w:val="005A3ADA"/>
    <w:rsid w:val="005A4B16"/>
    <w:rsid w:val="005A4D74"/>
    <w:rsid w:val="005A6BE0"/>
    <w:rsid w:val="005B091F"/>
    <w:rsid w:val="005B0D4C"/>
    <w:rsid w:val="005B16F5"/>
    <w:rsid w:val="005B2425"/>
    <w:rsid w:val="005B2FD5"/>
    <w:rsid w:val="005B37FD"/>
    <w:rsid w:val="005B459E"/>
    <w:rsid w:val="005B49C6"/>
    <w:rsid w:val="005B4BC1"/>
    <w:rsid w:val="005B5FCC"/>
    <w:rsid w:val="005C11D5"/>
    <w:rsid w:val="005C1B99"/>
    <w:rsid w:val="005C2EE5"/>
    <w:rsid w:val="005C32DD"/>
    <w:rsid w:val="005C44A3"/>
    <w:rsid w:val="005C4F7E"/>
    <w:rsid w:val="005C67BB"/>
    <w:rsid w:val="005C7C13"/>
    <w:rsid w:val="005C7F99"/>
    <w:rsid w:val="005D198A"/>
    <w:rsid w:val="005D2A4A"/>
    <w:rsid w:val="005D38EE"/>
    <w:rsid w:val="005D46B1"/>
    <w:rsid w:val="005D4AD8"/>
    <w:rsid w:val="005D57CC"/>
    <w:rsid w:val="005D58D7"/>
    <w:rsid w:val="005D5B2C"/>
    <w:rsid w:val="005E254B"/>
    <w:rsid w:val="005E2659"/>
    <w:rsid w:val="005E2722"/>
    <w:rsid w:val="005E38D8"/>
    <w:rsid w:val="005E75BE"/>
    <w:rsid w:val="005F085D"/>
    <w:rsid w:val="005F135C"/>
    <w:rsid w:val="005F1CD0"/>
    <w:rsid w:val="005F2FE7"/>
    <w:rsid w:val="005F39D5"/>
    <w:rsid w:val="005F3AF5"/>
    <w:rsid w:val="005F52A6"/>
    <w:rsid w:val="005F6EFB"/>
    <w:rsid w:val="005F7AF6"/>
    <w:rsid w:val="005F7F69"/>
    <w:rsid w:val="006040BF"/>
    <w:rsid w:val="00605BBC"/>
    <w:rsid w:val="00605EDD"/>
    <w:rsid w:val="00607373"/>
    <w:rsid w:val="0060760F"/>
    <w:rsid w:val="00607F9A"/>
    <w:rsid w:val="00611BFE"/>
    <w:rsid w:val="00611FD9"/>
    <w:rsid w:val="00614F39"/>
    <w:rsid w:val="00616F83"/>
    <w:rsid w:val="00617942"/>
    <w:rsid w:val="00620216"/>
    <w:rsid w:val="00620C54"/>
    <w:rsid w:val="0062165B"/>
    <w:rsid w:val="0062221F"/>
    <w:rsid w:val="00622523"/>
    <w:rsid w:val="00625A4F"/>
    <w:rsid w:val="00626E7A"/>
    <w:rsid w:val="00630915"/>
    <w:rsid w:val="00631657"/>
    <w:rsid w:val="006328D4"/>
    <w:rsid w:val="00632D26"/>
    <w:rsid w:val="0063313F"/>
    <w:rsid w:val="0063467E"/>
    <w:rsid w:val="00634CEF"/>
    <w:rsid w:val="00634F7A"/>
    <w:rsid w:val="0063638C"/>
    <w:rsid w:val="00636529"/>
    <w:rsid w:val="00636CAB"/>
    <w:rsid w:val="00637A57"/>
    <w:rsid w:val="00640F37"/>
    <w:rsid w:val="00641567"/>
    <w:rsid w:val="0064247A"/>
    <w:rsid w:val="006448AF"/>
    <w:rsid w:val="0064666E"/>
    <w:rsid w:val="006473AF"/>
    <w:rsid w:val="00647426"/>
    <w:rsid w:val="006474CE"/>
    <w:rsid w:val="00647666"/>
    <w:rsid w:val="00650B73"/>
    <w:rsid w:val="006510B4"/>
    <w:rsid w:val="006510CE"/>
    <w:rsid w:val="006530E8"/>
    <w:rsid w:val="00654E65"/>
    <w:rsid w:val="00655193"/>
    <w:rsid w:val="006555A0"/>
    <w:rsid w:val="0065572C"/>
    <w:rsid w:val="00655B16"/>
    <w:rsid w:val="00655BB9"/>
    <w:rsid w:val="00656F58"/>
    <w:rsid w:val="006572CF"/>
    <w:rsid w:val="0065768C"/>
    <w:rsid w:val="00660187"/>
    <w:rsid w:val="00660282"/>
    <w:rsid w:val="0066033F"/>
    <w:rsid w:val="006613FA"/>
    <w:rsid w:val="0066179A"/>
    <w:rsid w:val="00661C69"/>
    <w:rsid w:val="006622E3"/>
    <w:rsid w:val="00662334"/>
    <w:rsid w:val="0066379D"/>
    <w:rsid w:val="00667723"/>
    <w:rsid w:val="006679C0"/>
    <w:rsid w:val="006711C3"/>
    <w:rsid w:val="006716BD"/>
    <w:rsid w:val="00671D7B"/>
    <w:rsid w:val="006730C0"/>
    <w:rsid w:val="00673F6F"/>
    <w:rsid w:val="0067451E"/>
    <w:rsid w:val="00674882"/>
    <w:rsid w:val="00676528"/>
    <w:rsid w:val="00676E95"/>
    <w:rsid w:val="00677DBE"/>
    <w:rsid w:val="00680A94"/>
    <w:rsid w:val="00680E82"/>
    <w:rsid w:val="00681891"/>
    <w:rsid w:val="00681E9B"/>
    <w:rsid w:val="00682427"/>
    <w:rsid w:val="00682480"/>
    <w:rsid w:val="0068281A"/>
    <w:rsid w:val="0068294D"/>
    <w:rsid w:val="00683BC2"/>
    <w:rsid w:val="00683E77"/>
    <w:rsid w:val="006866E9"/>
    <w:rsid w:val="00686ED5"/>
    <w:rsid w:val="006901D3"/>
    <w:rsid w:val="00690DF5"/>
    <w:rsid w:val="006911EC"/>
    <w:rsid w:val="0069247F"/>
    <w:rsid w:val="00693C14"/>
    <w:rsid w:val="00695CC4"/>
    <w:rsid w:val="00695DB3"/>
    <w:rsid w:val="00696412"/>
    <w:rsid w:val="006966EB"/>
    <w:rsid w:val="00697F8E"/>
    <w:rsid w:val="00697FE8"/>
    <w:rsid w:val="006A06F2"/>
    <w:rsid w:val="006A0CF9"/>
    <w:rsid w:val="006A0E03"/>
    <w:rsid w:val="006A0EF8"/>
    <w:rsid w:val="006A1645"/>
    <w:rsid w:val="006A1A89"/>
    <w:rsid w:val="006A3338"/>
    <w:rsid w:val="006A4854"/>
    <w:rsid w:val="006A49A3"/>
    <w:rsid w:val="006A5CE3"/>
    <w:rsid w:val="006A71E9"/>
    <w:rsid w:val="006A762E"/>
    <w:rsid w:val="006B1B3F"/>
    <w:rsid w:val="006B1D0C"/>
    <w:rsid w:val="006B6924"/>
    <w:rsid w:val="006B6C18"/>
    <w:rsid w:val="006B6D4C"/>
    <w:rsid w:val="006B7003"/>
    <w:rsid w:val="006B7A01"/>
    <w:rsid w:val="006B7CF5"/>
    <w:rsid w:val="006C1094"/>
    <w:rsid w:val="006C1BB0"/>
    <w:rsid w:val="006C3F44"/>
    <w:rsid w:val="006C4183"/>
    <w:rsid w:val="006C4537"/>
    <w:rsid w:val="006C5150"/>
    <w:rsid w:val="006C6570"/>
    <w:rsid w:val="006C75E3"/>
    <w:rsid w:val="006C7CB9"/>
    <w:rsid w:val="006D08FE"/>
    <w:rsid w:val="006D0BCF"/>
    <w:rsid w:val="006D22B8"/>
    <w:rsid w:val="006D2B6E"/>
    <w:rsid w:val="006D2C82"/>
    <w:rsid w:val="006D348A"/>
    <w:rsid w:val="006D4079"/>
    <w:rsid w:val="006D4CB2"/>
    <w:rsid w:val="006D5A30"/>
    <w:rsid w:val="006D5D9F"/>
    <w:rsid w:val="006D7AB4"/>
    <w:rsid w:val="006E04FF"/>
    <w:rsid w:val="006E070F"/>
    <w:rsid w:val="006E12D7"/>
    <w:rsid w:val="006E1E5B"/>
    <w:rsid w:val="006E21B5"/>
    <w:rsid w:val="006E3606"/>
    <w:rsid w:val="006E40A0"/>
    <w:rsid w:val="006E5515"/>
    <w:rsid w:val="006E5A70"/>
    <w:rsid w:val="006F6BA7"/>
    <w:rsid w:val="007009BE"/>
    <w:rsid w:val="0070153E"/>
    <w:rsid w:val="00701A86"/>
    <w:rsid w:val="00703C4D"/>
    <w:rsid w:val="0070415D"/>
    <w:rsid w:val="007046DF"/>
    <w:rsid w:val="00704F02"/>
    <w:rsid w:val="00705F35"/>
    <w:rsid w:val="00706BD0"/>
    <w:rsid w:val="007070EB"/>
    <w:rsid w:val="00710790"/>
    <w:rsid w:val="007118FF"/>
    <w:rsid w:val="00711E16"/>
    <w:rsid w:val="00713D0A"/>
    <w:rsid w:val="007150B7"/>
    <w:rsid w:val="00715BB0"/>
    <w:rsid w:val="00717DED"/>
    <w:rsid w:val="007204E8"/>
    <w:rsid w:val="007206C7"/>
    <w:rsid w:val="00721A76"/>
    <w:rsid w:val="00722E5C"/>
    <w:rsid w:val="007230E1"/>
    <w:rsid w:val="00724D64"/>
    <w:rsid w:val="00724E80"/>
    <w:rsid w:val="0072538C"/>
    <w:rsid w:val="007255A8"/>
    <w:rsid w:val="007256C5"/>
    <w:rsid w:val="00727AAD"/>
    <w:rsid w:val="00727CD4"/>
    <w:rsid w:val="00727FE7"/>
    <w:rsid w:val="00730356"/>
    <w:rsid w:val="00730362"/>
    <w:rsid w:val="007306DE"/>
    <w:rsid w:val="007317F0"/>
    <w:rsid w:val="00731DD6"/>
    <w:rsid w:val="00734B99"/>
    <w:rsid w:val="007355E6"/>
    <w:rsid w:val="00735BCD"/>
    <w:rsid w:val="00735E83"/>
    <w:rsid w:val="00737138"/>
    <w:rsid w:val="00737E3F"/>
    <w:rsid w:val="00742EA0"/>
    <w:rsid w:val="00743FD0"/>
    <w:rsid w:val="00744721"/>
    <w:rsid w:val="007450B5"/>
    <w:rsid w:val="007450D4"/>
    <w:rsid w:val="0074593C"/>
    <w:rsid w:val="0074638A"/>
    <w:rsid w:val="00746B17"/>
    <w:rsid w:val="00746C08"/>
    <w:rsid w:val="00747A19"/>
    <w:rsid w:val="00751132"/>
    <w:rsid w:val="007518BE"/>
    <w:rsid w:val="00751CB0"/>
    <w:rsid w:val="007527A3"/>
    <w:rsid w:val="007527E4"/>
    <w:rsid w:val="0075302A"/>
    <w:rsid w:val="007537C9"/>
    <w:rsid w:val="00754D99"/>
    <w:rsid w:val="00755F87"/>
    <w:rsid w:val="0076083B"/>
    <w:rsid w:val="00761884"/>
    <w:rsid w:val="007649D8"/>
    <w:rsid w:val="00764CA6"/>
    <w:rsid w:val="007651BA"/>
    <w:rsid w:val="00766559"/>
    <w:rsid w:val="0076734B"/>
    <w:rsid w:val="00767722"/>
    <w:rsid w:val="00770772"/>
    <w:rsid w:val="007712F1"/>
    <w:rsid w:val="00771EC8"/>
    <w:rsid w:val="00771FE1"/>
    <w:rsid w:val="00774BCE"/>
    <w:rsid w:val="007766D5"/>
    <w:rsid w:val="00776AC0"/>
    <w:rsid w:val="00777DF5"/>
    <w:rsid w:val="00777EF4"/>
    <w:rsid w:val="00780CB1"/>
    <w:rsid w:val="007811D1"/>
    <w:rsid w:val="0078346D"/>
    <w:rsid w:val="00783B41"/>
    <w:rsid w:val="00783F01"/>
    <w:rsid w:val="00784121"/>
    <w:rsid w:val="00785027"/>
    <w:rsid w:val="007862AF"/>
    <w:rsid w:val="00786C67"/>
    <w:rsid w:val="00787408"/>
    <w:rsid w:val="0078768E"/>
    <w:rsid w:val="00787C67"/>
    <w:rsid w:val="0079098E"/>
    <w:rsid w:val="00790F15"/>
    <w:rsid w:val="00791163"/>
    <w:rsid w:val="007915DF"/>
    <w:rsid w:val="00791F0E"/>
    <w:rsid w:val="00793995"/>
    <w:rsid w:val="00793D4E"/>
    <w:rsid w:val="00793EC0"/>
    <w:rsid w:val="00796A23"/>
    <w:rsid w:val="00796C75"/>
    <w:rsid w:val="007977EA"/>
    <w:rsid w:val="007A0279"/>
    <w:rsid w:val="007A0363"/>
    <w:rsid w:val="007A0B02"/>
    <w:rsid w:val="007A18A2"/>
    <w:rsid w:val="007A3468"/>
    <w:rsid w:val="007A398C"/>
    <w:rsid w:val="007A3A4B"/>
    <w:rsid w:val="007A4070"/>
    <w:rsid w:val="007A45EE"/>
    <w:rsid w:val="007A5BC5"/>
    <w:rsid w:val="007A6136"/>
    <w:rsid w:val="007A6F6F"/>
    <w:rsid w:val="007B17EA"/>
    <w:rsid w:val="007B1C54"/>
    <w:rsid w:val="007B1C9B"/>
    <w:rsid w:val="007B251F"/>
    <w:rsid w:val="007B2B71"/>
    <w:rsid w:val="007B2EF1"/>
    <w:rsid w:val="007B396B"/>
    <w:rsid w:val="007B3B50"/>
    <w:rsid w:val="007B4DC3"/>
    <w:rsid w:val="007B5221"/>
    <w:rsid w:val="007B5A47"/>
    <w:rsid w:val="007B71F1"/>
    <w:rsid w:val="007C013C"/>
    <w:rsid w:val="007C0977"/>
    <w:rsid w:val="007C108A"/>
    <w:rsid w:val="007C188A"/>
    <w:rsid w:val="007C2255"/>
    <w:rsid w:val="007C2616"/>
    <w:rsid w:val="007C2E64"/>
    <w:rsid w:val="007C3A40"/>
    <w:rsid w:val="007C3A5F"/>
    <w:rsid w:val="007C4099"/>
    <w:rsid w:val="007C4A79"/>
    <w:rsid w:val="007C4AFE"/>
    <w:rsid w:val="007C5406"/>
    <w:rsid w:val="007C5460"/>
    <w:rsid w:val="007C64E8"/>
    <w:rsid w:val="007D0446"/>
    <w:rsid w:val="007D1076"/>
    <w:rsid w:val="007D166E"/>
    <w:rsid w:val="007D1B0B"/>
    <w:rsid w:val="007D1C6D"/>
    <w:rsid w:val="007D1D1A"/>
    <w:rsid w:val="007D20DE"/>
    <w:rsid w:val="007D21BB"/>
    <w:rsid w:val="007D2385"/>
    <w:rsid w:val="007D2934"/>
    <w:rsid w:val="007D4371"/>
    <w:rsid w:val="007D46B8"/>
    <w:rsid w:val="007D4C9C"/>
    <w:rsid w:val="007D4D4D"/>
    <w:rsid w:val="007D5895"/>
    <w:rsid w:val="007D5F94"/>
    <w:rsid w:val="007D63F5"/>
    <w:rsid w:val="007D6A46"/>
    <w:rsid w:val="007D6DD0"/>
    <w:rsid w:val="007D700B"/>
    <w:rsid w:val="007E11E0"/>
    <w:rsid w:val="007E2E8C"/>
    <w:rsid w:val="007E333E"/>
    <w:rsid w:val="007E3E4D"/>
    <w:rsid w:val="007E4442"/>
    <w:rsid w:val="007E4489"/>
    <w:rsid w:val="007E4C1B"/>
    <w:rsid w:val="007E5319"/>
    <w:rsid w:val="007E5C2C"/>
    <w:rsid w:val="007E5CCB"/>
    <w:rsid w:val="007F0058"/>
    <w:rsid w:val="007F1C2B"/>
    <w:rsid w:val="007F1D88"/>
    <w:rsid w:val="007F24CE"/>
    <w:rsid w:val="007F2C7F"/>
    <w:rsid w:val="007F2D27"/>
    <w:rsid w:val="007F3599"/>
    <w:rsid w:val="007F3DED"/>
    <w:rsid w:val="007F4172"/>
    <w:rsid w:val="007F4320"/>
    <w:rsid w:val="007F442A"/>
    <w:rsid w:val="007F45CC"/>
    <w:rsid w:val="007F4793"/>
    <w:rsid w:val="007F6040"/>
    <w:rsid w:val="007F69E3"/>
    <w:rsid w:val="007F7132"/>
    <w:rsid w:val="007F724B"/>
    <w:rsid w:val="00800388"/>
    <w:rsid w:val="00800E50"/>
    <w:rsid w:val="008014B1"/>
    <w:rsid w:val="00801830"/>
    <w:rsid w:val="0080204B"/>
    <w:rsid w:val="0080251E"/>
    <w:rsid w:val="00802BF4"/>
    <w:rsid w:val="00802D3C"/>
    <w:rsid w:val="0080324D"/>
    <w:rsid w:val="008037E9"/>
    <w:rsid w:val="00803C5F"/>
    <w:rsid w:val="00803CFE"/>
    <w:rsid w:val="00804661"/>
    <w:rsid w:val="008051B7"/>
    <w:rsid w:val="00805C3E"/>
    <w:rsid w:val="00806483"/>
    <w:rsid w:val="0081006E"/>
    <w:rsid w:val="00811A5E"/>
    <w:rsid w:val="0081245C"/>
    <w:rsid w:val="00813837"/>
    <w:rsid w:val="0081452D"/>
    <w:rsid w:val="00814FAA"/>
    <w:rsid w:val="00815227"/>
    <w:rsid w:val="008158C0"/>
    <w:rsid w:val="00817C8A"/>
    <w:rsid w:val="00823D2D"/>
    <w:rsid w:val="00824970"/>
    <w:rsid w:val="00825556"/>
    <w:rsid w:val="00825941"/>
    <w:rsid w:val="00825E50"/>
    <w:rsid w:val="00826E62"/>
    <w:rsid w:val="00827303"/>
    <w:rsid w:val="0082772F"/>
    <w:rsid w:val="00827F09"/>
    <w:rsid w:val="00830496"/>
    <w:rsid w:val="00830FFB"/>
    <w:rsid w:val="00831DEE"/>
    <w:rsid w:val="008321DE"/>
    <w:rsid w:val="00833377"/>
    <w:rsid w:val="008339B3"/>
    <w:rsid w:val="008356FB"/>
    <w:rsid w:val="0083580A"/>
    <w:rsid w:val="00835C46"/>
    <w:rsid w:val="008363F8"/>
    <w:rsid w:val="00836DEA"/>
    <w:rsid w:val="00837244"/>
    <w:rsid w:val="00837289"/>
    <w:rsid w:val="0083742F"/>
    <w:rsid w:val="00837610"/>
    <w:rsid w:val="00837DE9"/>
    <w:rsid w:val="008403A5"/>
    <w:rsid w:val="008408D7"/>
    <w:rsid w:val="0084105E"/>
    <w:rsid w:val="008411CB"/>
    <w:rsid w:val="00841930"/>
    <w:rsid w:val="0084248F"/>
    <w:rsid w:val="00843110"/>
    <w:rsid w:val="00843412"/>
    <w:rsid w:val="00843981"/>
    <w:rsid w:val="00844709"/>
    <w:rsid w:val="008448B5"/>
    <w:rsid w:val="00844C99"/>
    <w:rsid w:val="0084521A"/>
    <w:rsid w:val="0084544D"/>
    <w:rsid w:val="00845A57"/>
    <w:rsid w:val="00846E2F"/>
    <w:rsid w:val="00850E1E"/>
    <w:rsid w:val="008516C1"/>
    <w:rsid w:val="00851ED4"/>
    <w:rsid w:val="00852060"/>
    <w:rsid w:val="00852337"/>
    <w:rsid w:val="00852AF6"/>
    <w:rsid w:val="0085321A"/>
    <w:rsid w:val="0085323A"/>
    <w:rsid w:val="00853DDA"/>
    <w:rsid w:val="00855100"/>
    <w:rsid w:val="008555A4"/>
    <w:rsid w:val="008565B6"/>
    <w:rsid w:val="0086087C"/>
    <w:rsid w:val="00860EED"/>
    <w:rsid w:val="00861A2B"/>
    <w:rsid w:val="00861CC1"/>
    <w:rsid w:val="00862B59"/>
    <w:rsid w:val="00864BA3"/>
    <w:rsid w:val="0086560D"/>
    <w:rsid w:val="00865AB8"/>
    <w:rsid w:val="00866369"/>
    <w:rsid w:val="00866E87"/>
    <w:rsid w:val="008702B8"/>
    <w:rsid w:val="00874970"/>
    <w:rsid w:val="008750BB"/>
    <w:rsid w:val="00876424"/>
    <w:rsid w:val="00881D25"/>
    <w:rsid w:val="00881D35"/>
    <w:rsid w:val="008827B6"/>
    <w:rsid w:val="00882D2E"/>
    <w:rsid w:val="00882E27"/>
    <w:rsid w:val="00884497"/>
    <w:rsid w:val="00884523"/>
    <w:rsid w:val="008876D0"/>
    <w:rsid w:val="008876F8"/>
    <w:rsid w:val="0088774C"/>
    <w:rsid w:val="00887EC5"/>
    <w:rsid w:val="00892099"/>
    <w:rsid w:val="00893358"/>
    <w:rsid w:val="008977D1"/>
    <w:rsid w:val="00897A45"/>
    <w:rsid w:val="008A056C"/>
    <w:rsid w:val="008A14CD"/>
    <w:rsid w:val="008A3E0E"/>
    <w:rsid w:val="008A506F"/>
    <w:rsid w:val="008A5132"/>
    <w:rsid w:val="008A7511"/>
    <w:rsid w:val="008A7D1F"/>
    <w:rsid w:val="008B2123"/>
    <w:rsid w:val="008B2E65"/>
    <w:rsid w:val="008B4EEE"/>
    <w:rsid w:val="008B5D69"/>
    <w:rsid w:val="008C25D1"/>
    <w:rsid w:val="008C2617"/>
    <w:rsid w:val="008C2D3C"/>
    <w:rsid w:val="008C47A6"/>
    <w:rsid w:val="008C4DF8"/>
    <w:rsid w:val="008C543B"/>
    <w:rsid w:val="008C568D"/>
    <w:rsid w:val="008C5F57"/>
    <w:rsid w:val="008D28FD"/>
    <w:rsid w:val="008D2F0A"/>
    <w:rsid w:val="008D483D"/>
    <w:rsid w:val="008D4ADF"/>
    <w:rsid w:val="008E21B7"/>
    <w:rsid w:val="008E2597"/>
    <w:rsid w:val="008E33B4"/>
    <w:rsid w:val="008E45F1"/>
    <w:rsid w:val="008E5790"/>
    <w:rsid w:val="008E57B3"/>
    <w:rsid w:val="008E5E45"/>
    <w:rsid w:val="008E5F79"/>
    <w:rsid w:val="008E6E67"/>
    <w:rsid w:val="008E76D3"/>
    <w:rsid w:val="008E7958"/>
    <w:rsid w:val="008E7C7E"/>
    <w:rsid w:val="008F05C5"/>
    <w:rsid w:val="008F09E0"/>
    <w:rsid w:val="008F0D5C"/>
    <w:rsid w:val="008F23AC"/>
    <w:rsid w:val="008F4143"/>
    <w:rsid w:val="008F426D"/>
    <w:rsid w:val="008F477B"/>
    <w:rsid w:val="008F498F"/>
    <w:rsid w:val="008F49FC"/>
    <w:rsid w:val="008F4DDB"/>
    <w:rsid w:val="008F54E8"/>
    <w:rsid w:val="008F55BF"/>
    <w:rsid w:val="008F587F"/>
    <w:rsid w:val="008F5A80"/>
    <w:rsid w:val="008F6AF3"/>
    <w:rsid w:val="008F6CDF"/>
    <w:rsid w:val="008F79C9"/>
    <w:rsid w:val="009002ED"/>
    <w:rsid w:val="009004C7"/>
    <w:rsid w:val="009018A2"/>
    <w:rsid w:val="009020CC"/>
    <w:rsid w:val="009024BA"/>
    <w:rsid w:val="009060F9"/>
    <w:rsid w:val="00906B39"/>
    <w:rsid w:val="00907AA9"/>
    <w:rsid w:val="00907BF0"/>
    <w:rsid w:val="00912C67"/>
    <w:rsid w:val="00913B05"/>
    <w:rsid w:val="00914805"/>
    <w:rsid w:val="00915464"/>
    <w:rsid w:val="0091637C"/>
    <w:rsid w:val="0091698A"/>
    <w:rsid w:val="00917548"/>
    <w:rsid w:val="00917645"/>
    <w:rsid w:val="0092020A"/>
    <w:rsid w:val="009203A9"/>
    <w:rsid w:val="00921196"/>
    <w:rsid w:val="009219DF"/>
    <w:rsid w:val="00921FE0"/>
    <w:rsid w:val="00922B56"/>
    <w:rsid w:val="009234D1"/>
    <w:rsid w:val="00923673"/>
    <w:rsid w:val="00923876"/>
    <w:rsid w:val="00923DDD"/>
    <w:rsid w:val="00923F2D"/>
    <w:rsid w:val="00925164"/>
    <w:rsid w:val="0092535A"/>
    <w:rsid w:val="00926777"/>
    <w:rsid w:val="00926DE5"/>
    <w:rsid w:val="0093092E"/>
    <w:rsid w:val="009314B3"/>
    <w:rsid w:val="00932455"/>
    <w:rsid w:val="00932A81"/>
    <w:rsid w:val="00932AC5"/>
    <w:rsid w:val="00933BB9"/>
    <w:rsid w:val="009341E6"/>
    <w:rsid w:val="00934A48"/>
    <w:rsid w:val="00935052"/>
    <w:rsid w:val="0093534F"/>
    <w:rsid w:val="009360F3"/>
    <w:rsid w:val="00936E4D"/>
    <w:rsid w:val="009420DF"/>
    <w:rsid w:val="0094270E"/>
    <w:rsid w:val="00942E89"/>
    <w:rsid w:val="0094413D"/>
    <w:rsid w:val="00947825"/>
    <w:rsid w:val="00950691"/>
    <w:rsid w:val="00950A83"/>
    <w:rsid w:val="00950DC1"/>
    <w:rsid w:val="009510D1"/>
    <w:rsid w:val="00951A74"/>
    <w:rsid w:val="00952EA9"/>
    <w:rsid w:val="00952FD7"/>
    <w:rsid w:val="0095323B"/>
    <w:rsid w:val="00953427"/>
    <w:rsid w:val="009551A7"/>
    <w:rsid w:val="0095748F"/>
    <w:rsid w:val="00957BD7"/>
    <w:rsid w:val="00957E93"/>
    <w:rsid w:val="00960BA8"/>
    <w:rsid w:val="00961AC9"/>
    <w:rsid w:val="00961C33"/>
    <w:rsid w:val="00961D71"/>
    <w:rsid w:val="00962070"/>
    <w:rsid w:val="009622F8"/>
    <w:rsid w:val="0096236B"/>
    <w:rsid w:val="00962EF7"/>
    <w:rsid w:val="00963035"/>
    <w:rsid w:val="00963067"/>
    <w:rsid w:val="009632B2"/>
    <w:rsid w:val="0096349B"/>
    <w:rsid w:val="009635FE"/>
    <w:rsid w:val="00964157"/>
    <w:rsid w:val="009644A2"/>
    <w:rsid w:val="00965667"/>
    <w:rsid w:val="009670DC"/>
    <w:rsid w:val="0096777F"/>
    <w:rsid w:val="0096797E"/>
    <w:rsid w:val="00967A8C"/>
    <w:rsid w:val="00970ABE"/>
    <w:rsid w:val="00970B33"/>
    <w:rsid w:val="009748BC"/>
    <w:rsid w:val="00974D7D"/>
    <w:rsid w:val="00974E8B"/>
    <w:rsid w:val="00975108"/>
    <w:rsid w:val="009761A0"/>
    <w:rsid w:val="009761CB"/>
    <w:rsid w:val="0097675A"/>
    <w:rsid w:val="00976B56"/>
    <w:rsid w:val="009770DD"/>
    <w:rsid w:val="00977CBA"/>
    <w:rsid w:val="00977DF5"/>
    <w:rsid w:val="00980C06"/>
    <w:rsid w:val="00982169"/>
    <w:rsid w:val="009839D2"/>
    <w:rsid w:val="009847E1"/>
    <w:rsid w:val="00984FF9"/>
    <w:rsid w:val="009853B3"/>
    <w:rsid w:val="00985438"/>
    <w:rsid w:val="009871E3"/>
    <w:rsid w:val="00990332"/>
    <w:rsid w:val="00990524"/>
    <w:rsid w:val="009908D0"/>
    <w:rsid w:val="00990F56"/>
    <w:rsid w:val="009928F6"/>
    <w:rsid w:val="009935FE"/>
    <w:rsid w:val="0099397E"/>
    <w:rsid w:val="00993E82"/>
    <w:rsid w:val="00994987"/>
    <w:rsid w:val="009970A0"/>
    <w:rsid w:val="00997F87"/>
    <w:rsid w:val="009A004E"/>
    <w:rsid w:val="009A0386"/>
    <w:rsid w:val="009A344C"/>
    <w:rsid w:val="009A34F3"/>
    <w:rsid w:val="009A34FB"/>
    <w:rsid w:val="009A3A9B"/>
    <w:rsid w:val="009A548D"/>
    <w:rsid w:val="009A5C34"/>
    <w:rsid w:val="009A7200"/>
    <w:rsid w:val="009A7323"/>
    <w:rsid w:val="009B02E5"/>
    <w:rsid w:val="009B1C7A"/>
    <w:rsid w:val="009B2125"/>
    <w:rsid w:val="009B58B2"/>
    <w:rsid w:val="009B596B"/>
    <w:rsid w:val="009B66E3"/>
    <w:rsid w:val="009B7960"/>
    <w:rsid w:val="009C24D7"/>
    <w:rsid w:val="009C28D0"/>
    <w:rsid w:val="009C51B7"/>
    <w:rsid w:val="009C51C3"/>
    <w:rsid w:val="009C5243"/>
    <w:rsid w:val="009C5749"/>
    <w:rsid w:val="009C59B8"/>
    <w:rsid w:val="009D01DF"/>
    <w:rsid w:val="009D07D8"/>
    <w:rsid w:val="009D0E2C"/>
    <w:rsid w:val="009D1CE5"/>
    <w:rsid w:val="009D2A07"/>
    <w:rsid w:val="009D2B56"/>
    <w:rsid w:val="009D2D43"/>
    <w:rsid w:val="009D4416"/>
    <w:rsid w:val="009D4F5D"/>
    <w:rsid w:val="009D5235"/>
    <w:rsid w:val="009D5656"/>
    <w:rsid w:val="009D5861"/>
    <w:rsid w:val="009D5B51"/>
    <w:rsid w:val="009D63DB"/>
    <w:rsid w:val="009D68D2"/>
    <w:rsid w:val="009E1029"/>
    <w:rsid w:val="009E1125"/>
    <w:rsid w:val="009E142A"/>
    <w:rsid w:val="009E164A"/>
    <w:rsid w:val="009E1921"/>
    <w:rsid w:val="009E19E8"/>
    <w:rsid w:val="009E1C56"/>
    <w:rsid w:val="009E21D8"/>
    <w:rsid w:val="009E2369"/>
    <w:rsid w:val="009E49E6"/>
    <w:rsid w:val="009E5763"/>
    <w:rsid w:val="009E7270"/>
    <w:rsid w:val="009E76AF"/>
    <w:rsid w:val="009F0330"/>
    <w:rsid w:val="009F0FEB"/>
    <w:rsid w:val="009F25F0"/>
    <w:rsid w:val="009F38E7"/>
    <w:rsid w:val="00A00221"/>
    <w:rsid w:val="00A01F7C"/>
    <w:rsid w:val="00A01FDE"/>
    <w:rsid w:val="00A01FFD"/>
    <w:rsid w:val="00A02A28"/>
    <w:rsid w:val="00A044B3"/>
    <w:rsid w:val="00A05809"/>
    <w:rsid w:val="00A06057"/>
    <w:rsid w:val="00A06FDC"/>
    <w:rsid w:val="00A10A6E"/>
    <w:rsid w:val="00A1285F"/>
    <w:rsid w:val="00A1361B"/>
    <w:rsid w:val="00A13814"/>
    <w:rsid w:val="00A145F5"/>
    <w:rsid w:val="00A1468F"/>
    <w:rsid w:val="00A167CD"/>
    <w:rsid w:val="00A173A6"/>
    <w:rsid w:val="00A17413"/>
    <w:rsid w:val="00A20223"/>
    <w:rsid w:val="00A21377"/>
    <w:rsid w:val="00A227EA"/>
    <w:rsid w:val="00A24D13"/>
    <w:rsid w:val="00A25489"/>
    <w:rsid w:val="00A25E0B"/>
    <w:rsid w:val="00A26053"/>
    <w:rsid w:val="00A26211"/>
    <w:rsid w:val="00A26A0B"/>
    <w:rsid w:val="00A26AC5"/>
    <w:rsid w:val="00A271CC"/>
    <w:rsid w:val="00A278C0"/>
    <w:rsid w:val="00A27FA0"/>
    <w:rsid w:val="00A3092B"/>
    <w:rsid w:val="00A31DE5"/>
    <w:rsid w:val="00A31EB8"/>
    <w:rsid w:val="00A33203"/>
    <w:rsid w:val="00A342C8"/>
    <w:rsid w:val="00A355B6"/>
    <w:rsid w:val="00A358FD"/>
    <w:rsid w:val="00A3648C"/>
    <w:rsid w:val="00A4077D"/>
    <w:rsid w:val="00A40E01"/>
    <w:rsid w:val="00A4159D"/>
    <w:rsid w:val="00A41FCC"/>
    <w:rsid w:val="00A4272C"/>
    <w:rsid w:val="00A42AF2"/>
    <w:rsid w:val="00A43422"/>
    <w:rsid w:val="00A43B1A"/>
    <w:rsid w:val="00A447B3"/>
    <w:rsid w:val="00A458CD"/>
    <w:rsid w:val="00A462D4"/>
    <w:rsid w:val="00A47069"/>
    <w:rsid w:val="00A50368"/>
    <w:rsid w:val="00A50627"/>
    <w:rsid w:val="00A51E2A"/>
    <w:rsid w:val="00A56656"/>
    <w:rsid w:val="00A5680B"/>
    <w:rsid w:val="00A57E98"/>
    <w:rsid w:val="00A60522"/>
    <w:rsid w:val="00A60A9B"/>
    <w:rsid w:val="00A612AF"/>
    <w:rsid w:val="00A617B6"/>
    <w:rsid w:val="00A623BF"/>
    <w:rsid w:val="00A63D08"/>
    <w:rsid w:val="00A65507"/>
    <w:rsid w:val="00A7002E"/>
    <w:rsid w:val="00A72B50"/>
    <w:rsid w:val="00A73762"/>
    <w:rsid w:val="00A73859"/>
    <w:rsid w:val="00A73B67"/>
    <w:rsid w:val="00A740D3"/>
    <w:rsid w:val="00A748DC"/>
    <w:rsid w:val="00A74996"/>
    <w:rsid w:val="00A74C8E"/>
    <w:rsid w:val="00A7559E"/>
    <w:rsid w:val="00A7592A"/>
    <w:rsid w:val="00A76BA6"/>
    <w:rsid w:val="00A77095"/>
    <w:rsid w:val="00A80705"/>
    <w:rsid w:val="00A80AC9"/>
    <w:rsid w:val="00A81479"/>
    <w:rsid w:val="00A81F42"/>
    <w:rsid w:val="00A82911"/>
    <w:rsid w:val="00A8375F"/>
    <w:rsid w:val="00A8392C"/>
    <w:rsid w:val="00A85632"/>
    <w:rsid w:val="00A86B2F"/>
    <w:rsid w:val="00A90816"/>
    <w:rsid w:val="00A90E54"/>
    <w:rsid w:val="00A912FD"/>
    <w:rsid w:val="00A92CE8"/>
    <w:rsid w:val="00A96438"/>
    <w:rsid w:val="00A96642"/>
    <w:rsid w:val="00AA05B7"/>
    <w:rsid w:val="00AA0985"/>
    <w:rsid w:val="00AA09E2"/>
    <w:rsid w:val="00AA1309"/>
    <w:rsid w:val="00AA1C38"/>
    <w:rsid w:val="00AA2D27"/>
    <w:rsid w:val="00AA31CC"/>
    <w:rsid w:val="00AA478D"/>
    <w:rsid w:val="00AA4BAC"/>
    <w:rsid w:val="00AA5699"/>
    <w:rsid w:val="00AA5944"/>
    <w:rsid w:val="00AA63FF"/>
    <w:rsid w:val="00AA673F"/>
    <w:rsid w:val="00AA79CD"/>
    <w:rsid w:val="00AA7C17"/>
    <w:rsid w:val="00AB05D3"/>
    <w:rsid w:val="00AB06F6"/>
    <w:rsid w:val="00AB0FF7"/>
    <w:rsid w:val="00AB10DD"/>
    <w:rsid w:val="00AB2DD9"/>
    <w:rsid w:val="00AB4D12"/>
    <w:rsid w:val="00AB7609"/>
    <w:rsid w:val="00AB7AD0"/>
    <w:rsid w:val="00AB7D1F"/>
    <w:rsid w:val="00AB7E1F"/>
    <w:rsid w:val="00AC0164"/>
    <w:rsid w:val="00AC066B"/>
    <w:rsid w:val="00AC1F92"/>
    <w:rsid w:val="00AC28A8"/>
    <w:rsid w:val="00AC319F"/>
    <w:rsid w:val="00AC530A"/>
    <w:rsid w:val="00AC7734"/>
    <w:rsid w:val="00AC79B4"/>
    <w:rsid w:val="00AD018F"/>
    <w:rsid w:val="00AD0617"/>
    <w:rsid w:val="00AD09B2"/>
    <w:rsid w:val="00AD27D7"/>
    <w:rsid w:val="00AD5C0A"/>
    <w:rsid w:val="00AE0D89"/>
    <w:rsid w:val="00AE37C3"/>
    <w:rsid w:val="00AE4032"/>
    <w:rsid w:val="00AE501E"/>
    <w:rsid w:val="00AE53EB"/>
    <w:rsid w:val="00AE6E07"/>
    <w:rsid w:val="00AE7F9A"/>
    <w:rsid w:val="00AF0321"/>
    <w:rsid w:val="00AF062C"/>
    <w:rsid w:val="00AF0ECA"/>
    <w:rsid w:val="00AF1ABB"/>
    <w:rsid w:val="00AF1EA6"/>
    <w:rsid w:val="00AF2618"/>
    <w:rsid w:val="00AF3791"/>
    <w:rsid w:val="00AF491E"/>
    <w:rsid w:val="00AF57D6"/>
    <w:rsid w:val="00AF64D4"/>
    <w:rsid w:val="00AF7CE4"/>
    <w:rsid w:val="00AF7E5E"/>
    <w:rsid w:val="00B017A7"/>
    <w:rsid w:val="00B0320E"/>
    <w:rsid w:val="00B034D0"/>
    <w:rsid w:val="00B04A8E"/>
    <w:rsid w:val="00B04F79"/>
    <w:rsid w:val="00B0546C"/>
    <w:rsid w:val="00B06B40"/>
    <w:rsid w:val="00B07FD7"/>
    <w:rsid w:val="00B11B6C"/>
    <w:rsid w:val="00B12B4E"/>
    <w:rsid w:val="00B1303A"/>
    <w:rsid w:val="00B13207"/>
    <w:rsid w:val="00B132F7"/>
    <w:rsid w:val="00B13EB3"/>
    <w:rsid w:val="00B13F11"/>
    <w:rsid w:val="00B147A5"/>
    <w:rsid w:val="00B14C86"/>
    <w:rsid w:val="00B16292"/>
    <w:rsid w:val="00B16F65"/>
    <w:rsid w:val="00B17742"/>
    <w:rsid w:val="00B20292"/>
    <w:rsid w:val="00B20E86"/>
    <w:rsid w:val="00B21C60"/>
    <w:rsid w:val="00B21C68"/>
    <w:rsid w:val="00B2348F"/>
    <w:rsid w:val="00B245BC"/>
    <w:rsid w:val="00B25049"/>
    <w:rsid w:val="00B252BF"/>
    <w:rsid w:val="00B25784"/>
    <w:rsid w:val="00B25D88"/>
    <w:rsid w:val="00B26269"/>
    <w:rsid w:val="00B2718C"/>
    <w:rsid w:val="00B275AF"/>
    <w:rsid w:val="00B27BC8"/>
    <w:rsid w:val="00B300AB"/>
    <w:rsid w:val="00B3014B"/>
    <w:rsid w:val="00B334C0"/>
    <w:rsid w:val="00B3355A"/>
    <w:rsid w:val="00B33593"/>
    <w:rsid w:val="00B33A53"/>
    <w:rsid w:val="00B34262"/>
    <w:rsid w:val="00B40128"/>
    <w:rsid w:val="00B40416"/>
    <w:rsid w:val="00B4379F"/>
    <w:rsid w:val="00B43A7C"/>
    <w:rsid w:val="00B441FC"/>
    <w:rsid w:val="00B466E9"/>
    <w:rsid w:val="00B46EC1"/>
    <w:rsid w:val="00B476B6"/>
    <w:rsid w:val="00B47D7D"/>
    <w:rsid w:val="00B50081"/>
    <w:rsid w:val="00B50B5D"/>
    <w:rsid w:val="00B512FE"/>
    <w:rsid w:val="00B52057"/>
    <w:rsid w:val="00B53697"/>
    <w:rsid w:val="00B54879"/>
    <w:rsid w:val="00B5507A"/>
    <w:rsid w:val="00B55DC5"/>
    <w:rsid w:val="00B5630F"/>
    <w:rsid w:val="00B579D3"/>
    <w:rsid w:val="00B57C36"/>
    <w:rsid w:val="00B57EAE"/>
    <w:rsid w:val="00B60186"/>
    <w:rsid w:val="00B603CF"/>
    <w:rsid w:val="00B606FF"/>
    <w:rsid w:val="00B61A80"/>
    <w:rsid w:val="00B61E8E"/>
    <w:rsid w:val="00B62998"/>
    <w:rsid w:val="00B63374"/>
    <w:rsid w:val="00B650B6"/>
    <w:rsid w:val="00B65AEB"/>
    <w:rsid w:val="00B66A66"/>
    <w:rsid w:val="00B67928"/>
    <w:rsid w:val="00B70144"/>
    <w:rsid w:val="00B717A3"/>
    <w:rsid w:val="00B72EC3"/>
    <w:rsid w:val="00B7446F"/>
    <w:rsid w:val="00B74BD5"/>
    <w:rsid w:val="00B74EBB"/>
    <w:rsid w:val="00B761E1"/>
    <w:rsid w:val="00B77BEA"/>
    <w:rsid w:val="00B80295"/>
    <w:rsid w:val="00B80A77"/>
    <w:rsid w:val="00B81225"/>
    <w:rsid w:val="00B8149F"/>
    <w:rsid w:val="00B82A45"/>
    <w:rsid w:val="00B82E59"/>
    <w:rsid w:val="00B85536"/>
    <w:rsid w:val="00B86678"/>
    <w:rsid w:val="00B86E09"/>
    <w:rsid w:val="00B915FB"/>
    <w:rsid w:val="00B91C3C"/>
    <w:rsid w:val="00B9294D"/>
    <w:rsid w:val="00B94957"/>
    <w:rsid w:val="00B94E2B"/>
    <w:rsid w:val="00B95238"/>
    <w:rsid w:val="00B95B80"/>
    <w:rsid w:val="00B96126"/>
    <w:rsid w:val="00B9627A"/>
    <w:rsid w:val="00B963BB"/>
    <w:rsid w:val="00B96696"/>
    <w:rsid w:val="00B967B3"/>
    <w:rsid w:val="00BA1D09"/>
    <w:rsid w:val="00BA4049"/>
    <w:rsid w:val="00BA4278"/>
    <w:rsid w:val="00BA43A9"/>
    <w:rsid w:val="00BA44C3"/>
    <w:rsid w:val="00BA4A40"/>
    <w:rsid w:val="00BA4B81"/>
    <w:rsid w:val="00BA54CF"/>
    <w:rsid w:val="00BA5684"/>
    <w:rsid w:val="00BA6883"/>
    <w:rsid w:val="00BA6AAC"/>
    <w:rsid w:val="00BA6C93"/>
    <w:rsid w:val="00BB045D"/>
    <w:rsid w:val="00BB0541"/>
    <w:rsid w:val="00BB0F53"/>
    <w:rsid w:val="00BB11A7"/>
    <w:rsid w:val="00BB1645"/>
    <w:rsid w:val="00BB1A99"/>
    <w:rsid w:val="00BB2008"/>
    <w:rsid w:val="00BB296F"/>
    <w:rsid w:val="00BB2B75"/>
    <w:rsid w:val="00BB326B"/>
    <w:rsid w:val="00BB3CF3"/>
    <w:rsid w:val="00BB4EEC"/>
    <w:rsid w:val="00BB672F"/>
    <w:rsid w:val="00BB6E1C"/>
    <w:rsid w:val="00BB7481"/>
    <w:rsid w:val="00BB7BCD"/>
    <w:rsid w:val="00BC057B"/>
    <w:rsid w:val="00BC1830"/>
    <w:rsid w:val="00BC1CAD"/>
    <w:rsid w:val="00BC25F8"/>
    <w:rsid w:val="00BC3A54"/>
    <w:rsid w:val="00BC55C1"/>
    <w:rsid w:val="00BC757B"/>
    <w:rsid w:val="00BC77C1"/>
    <w:rsid w:val="00BD1F57"/>
    <w:rsid w:val="00BD2144"/>
    <w:rsid w:val="00BD2428"/>
    <w:rsid w:val="00BD2456"/>
    <w:rsid w:val="00BD312E"/>
    <w:rsid w:val="00BD4442"/>
    <w:rsid w:val="00BD49DE"/>
    <w:rsid w:val="00BD4BC7"/>
    <w:rsid w:val="00BD5BCC"/>
    <w:rsid w:val="00BD6F80"/>
    <w:rsid w:val="00BD753F"/>
    <w:rsid w:val="00BD79A6"/>
    <w:rsid w:val="00BD79CF"/>
    <w:rsid w:val="00BE0B8B"/>
    <w:rsid w:val="00BE0BAE"/>
    <w:rsid w:val="00BE2FC8"/>
    <w:rsid w:val="00BE3273"/>
    <w:rsid w:val="00BE3286"/>
    <w:rsid w:val="00BE3389"/>
    <w:rsid w:val="00BE463B"/>
    <w:rsid w:val="00BF1813"/>
    <w:rsid w:val="00BF2C9D"/>
    <w:rsid w:val="00BF422A"/>
    <w:rsid w:val="00BF5A1A"/>
    <w:rsid w:val="00BF6346"/>
    <w:rsid w:val="00BF74C2"/>
    <w:rsid w:val="00BF7BA3"/>
    <w:rsid w:val="00C0109A"/>
    <w:rsid w:val="00C01787"/>
    <w:rsid w:val="00C02515"/>
    <w:rsid w:val="00C02C83"/>
    <w:rsid w:val="00C032D1"/>
    <w:rsid w:val="00C03B0E"/>
    <w:rsid w:val="00C048B0"/>
    <w:rsid w:val="00C06DD7"/>
    <w:rsid w:val="00C0772C"/>
    <w:rsid w:val="00C10A34"/>
    <w:rsid w:val="00C10D0C"/>
    <w:rsid w:val="00C118F1"/>
    <w:rsid w:val="00C1326B"/>
    <w:rsid w:val="00C136F0"/>
    <w:rsid w:val="00C14539"/>
    <w:rsid w:val="00C14692"/>
    <w:rsid w:val="00C14892"/>
    <w:rsid w:val="00C1602D"/>
    <w:rsid w:val="00C16CF7"/>
    <w:rsid w:val="00C17926"/>
    <w:rsid w:val="00C2016E"/>
    <w:rsid w:val="00C20275"/>
    <w:rsid w:val="00C20969"/>
    <w:rsid w:val="00C2121C"/>
    <w:rsid w:val="00C2153B"/>
    <w:rsid w:val="00C2208F"/>
    <w:rsid w:val="00C23D80"/>
    <w:rsid w:val="00C30572"/>
    <w:rsid w:val="00C31D25"/>
    <w:rsid w:val="00C32E4C"/>
    <w:rsid w:val="00C331FD"/>
    <w:rsid w:val="00C36185"/>
    <w:rsid w:val="00C36942"/>
    <w:rsid w:val="00C37170"/>
    <w:rsid w:val="00C376D5"/>
    <w:rsid w:val="00C40C7E"/>
    <w:rsid w:val="00C40CA9"/>
    <w:rsid w:val="00C40F07"/>
    <w:rsid w:val="00C40F3E"/>
    <w:rsid w:val="00C4253D"/>
    <w:rsid w:val="00C427E9"/>
    <w:rsid w:val="00C4330F"/>
    <w:rsid w:val="00C467A6"/>
    <w:rsid w:val="00C467CD"/>
    <w:rsid w:val="00C47561"/>
    <w:rsid w:val="00C5053E"/>
    <w:rsid w:val="00C508D7"/>
    <w:rsid w:val="00C50B99"/>
    <w:rsid w:val="00C50C0E"/>
    <w:rsid w:val="00C51994"/>
    <w:rsid w:val="00C52717"/>
    <w:rsid w:val="00C5298D"/>
    <w:rsid w:val="00C531C3"/>
    <w:rsid w:val="00C5343A"/>
    <w:rsid w:val="00C537A4"/>
    <w:rsid w:val="00C538E9"/>
    <w:rsid w:val="00C53B54"/>
    <w:rsid w:val="00C54C44"/>
    <w:rsid w:val="00C56297"/>
    <w:rsid w:val="00C5757C"/>
    <w:rsid w:val="00C57C96"/>
    <w:rsid w:val="00C60469"/>
    <w:rsid w:val="00C607A9"/>
    <w:rsid w:val="00C627D9"/>
    <w:rsid w:val="00C65C15"/>
    <w:rsid w:val="00C66F28"/>
    <w:rsid w:val="00C6730B"/>
    <w:rsid w:val="00C67825"/>
    <w:rsid w:val="00C67BCA"/>
    <w:rsid w:val="00C70103"/>
    <w:rsid w:val="00C70177"/>
    <w:rsid w:val="00C71BE5"/>
    <w:rsid w:val="00C72171"/>
    <w:rsid w:val="00C724E8"/>
    <w:rsid w:val="00C72B3E"/>
    <w:rsid w:val="00C73D30"/>
    <w:rsid w:val="00C7440B"/>
    <w:rsid w:val="00C74F50"/>
    <w:rsid w:val="00C76C73"/>
    <w:rsid w:val="00C7717E"/>
    <w:rsid w:val="00C80130"/>
    <w:rsid w:val="00C80595"/>
    <w:rsid w:val="00C80768"/>
    <w:rsid w:val="00C8089D"/>
    <w:rsid w:val="00C817A7"/>
    <w:rsid w:val="00C81C5D"/>
    <w:rsid w:val="00C82FBB"/>
    <w:rsid w:val="00C849C7"/>
    <w:rsid w:val="00C84BF3"/>
    <w:rsid w:val="00C85010"/>
    <w:rsid w:val="00C85ABA"/>
    <w:rsid w:val="00C85D79"/>
    <w:rsid w:val="00C85F94"/>
    <w:rsid w:val="00C86330"/>
    <w:rsid w:val="00C8641F"/>
    <w:rsid w:val="00C868F6"/>
    <w:rsid w:val="00C87641"/>
    <w:rsid w:val="00C90416"/>
    <w:rsid w:val="00C912C9"/>
    <w:rsid w:val="00C92125"/>
    <w:rsid w:val="00C922BA"/>
    <w:rsid w:val="00C92850"/>
    <w:rsid w:val="00C95309"/>
    <w:rsid w:val="00C96569"/>
    <w:rsid w:val="00C96DB8"/>
    <w:rsid w:val="00CA0823"/>
    <w:rsid w:val="00CA1981"/>
    <w:rsid w:val="00CA2140"/>
    <w:rsid w:val="00CA253A"/>
    <w:rsid w:val="00CA26FF"/>
    <w:rsid w:val="00CA395B"/>
    <w:rsid w:val="00CA5406"/>
    <w:rsid w:val="00CA7346"/>
    <w:rsid w:val="00CA7F1F"/>
    <w:rsid w:val="00CB0D51"/>
    <w:rsid w:val="00CB1D82"/>
    <w:rsid w:val="00CB20F2"/>
    <w:rsid w:val="00CB3709"/>
    <w:rsid w:val="00CB56B9"/>
    <w:rsid w:val="00CB5902"/>
    <w:rsid w:val="00CB5DF3"/>
    <w:rsid w:val="00CB670F"/>
    <w:rsid w:val="00CB7B96"/>
    <w:rsid w:val="00CC02CE"/>
    <w:rsid w:val="00CC28D1"/>
    <w:rsid w:val="00CC36A8"/>
    <w:rsid w:val="00CC3BD2"/>
    <w:rsid w:val="00CC51B9"/>
    <w:rsid w:val="00CC6297"/>
    <w:rsid w:val="00CC64AA"/>
    <w:rsid w:val="00CD22F1"/>
    <w:rsid w:val="00CD2B32"/>
    <w:rsid w:val="00CD2EA4"/>
    <w:rsid w:val="00CD5745"/>
    <w:rsid w:val="00CD5F5C"/>
    <w:rsid w:val="00CD5FEF"/>
    <w:rsid w:val="00CD63CC"/>
    <w:rsid w:val="00CD70EB"/>
    <w:rsid w:val="00CD787C"/>
    <w:rsid w:val="00CD7ACC"/>
    <w:rsid w:val="00CE0430"/>
    <w:rsid w:val="00CE31FC"/>
    <w:rsid w:val="00CE3474"/>
    <w:rsid w:val="00CE423D"/>
    <w:rsid w:val="00CE54FF"/>
    <w:rsid w:val="00CE657A"/>
    <w:rsid w:val="00CE6F2C"/>
    <w:rsid w:val="00CF0371"/>
    <w:rsid w:val="00CF0E09"/>
    <w:rsid w:val="00CF169F"/>
    <w:rsid w:val="00CF179A"/>
    <w:rsid w:val="00CF2BA2"/>
    <w:rsid w:val="00CF2CB2"/>
    <w:rsid w:val="00CF2D81"/>
    <w:rsid w:val="00CF2DEE"/>
    <w:rsid w:val="00CF46BF"/>
    <w:rsid w:val="00CF4BA9"/>
    <w:rsid w:val="00CF5275"/>
    <w:rsid w:val="00CF5A61"/>
    <w:rsid w:val="00CF5EF0"/>
    <w:rsid w:val="00CF6463"/>
    <w:rsid w:val="00CF6B65"/>
    <w:rsid w:val="00CF7285"/>
    <w:rsid w:val="00CF7463"/>
    <w:rsid w:val="00CF79EB"/>
    <w:rsid w:val="00D000CA"/>
    <w:rsid w:val="00D0065F"/>
    <w:rsid w:val="00D00A99"/>
    <w:rsid w:val="00D024E6"/>
    <w:rsid w:val="00D03D16"/>
    <w:rsid w:val="00D0517F"/>
    <w:rsid w:val="00D058F8"/>
    <w:rsid w:val="00D05CEE"/>
    <w:rsid w:val="00D06090"/>
    <w:rsid w:val="00D120AC"/>
    <w:rsid w:val="00D1262B"/>
    <w:rsid w:val="00D129ED"/>
    <w:rsid w:val="00D12F17"/>
    <w:rsid w:val="00D13235"/>
    <w:rsid w:val="00D14319"/>
    <w:rsid w:val="00D14B93"/>
    <w:rsid w:val="00D14C90"/>
    <w:rsid w:val="00D15A20"/>
    <w:rsid w:val="00D15C28"/>
    <w:rsid w:val="00D166DB"/>
    <w:rsid w:val="00D16C3D"/>
    <w:rsid w:val="00D17323"/>
    <w:rsid w:val="00D21A70"/>
    <w:rsid w:val="00D235CE"/>
    <w:rsid w:val="00D24208"/>
    <w:rsid w:val="00D25697"/>
    <w:rsid w:val="00D275C5"/>
    <w:rsid w:val="00D27C40"/>
    <w:rsid w:val="00D302E8"/>
    <w:rsid w:val="00D30800"/>
    <w:rsid w:val="00D3139B"/>
    <w:rsid w:val="00D31927"/>
    <w:rsid w:val="00D32C3D"/>
    <w:rsid w:val="00D33CB0"/>
    <w:rsid w:val="00D34BEF"/>
    <w:rsid w:val="00D364DD"/>
    <w:rsid w:val="00D37616"/>
    <w:rsid w:val="00D37AA6"/>
    <w:rsid w:val="00D40306"/>
    <w:rsid w:val="00D40E1B"/>
    <w:rsid w:val="00D431B1"/>
    <w:rsid w:val="00D4355A"/>
    <w:rsid w:val="00D45F82"/>
    <w:rsid w:val="00D461EC"/>
    <w:rsid w:val="00D479E1"/>
    <w:rsid w:val="00D47DC4"/>
    <w:rsid w:val="00D51599"/>
    <w:rsid w:val="00D54360"/>
    <w:rsid w:val="00D54AF5"/>
    <w:rsid w:val="00D55E70"/>
    <w:rsid w:val="00D57EC2"/>
    <w:rsid w:val="00D618B7"/>
    <w:rsid w:val="00D61B88"/>
    <w:rsid w:val="00D62313"/>
    <w:rsid w:val="00D63EE5"/>
    <w:rsid w:val="00D641CB"/>
    <w:rsid w:val="00D64972"/>
    <w:rsid w:val="00D6537F"/>
    <w:rsid w:val="00D65B1F"/>
    <w:rsid w:val="00D6685F"/>
    <w:rsid w:val="00D7048F"/>
    <w:rsid w:val="00D7136A"/>
    <w:rsid w:val="00D71451"/>
    <w:rsid w:val="00D71EE8"/>
    <w:rsid w:val="00D72AE8"/>
    <w:rsid w:val="00D7331F"/>
    <w:rsid w:val="00D74736"/>
    <w:rsid w:val="00D74C91"/>
    <w:rsid w:val="00D7544F"/>
    <w:rsid w:val="00D75688"/>
    <w:rsid w:val="00D75B79"/>
    <w:rsid w:val="00D761F4"/>
    <w:rsid w:val="00D76657"/>
    <w:rsid w:val="00D777C2"/>
    <w:rsid w:val="00D80ECD"/>
    <w:rsid w:val="00D8216D"/>
    <w:rsid w:val="00D8345C"/>
    <w:rsid w:val="00D84301"/>
    <w:rsid w:val="00D843A9"/>
    <w:rsid w:val="00D84444"/>
    <w:rsid w:val="00D85390"/>
    <w:rsid w:val="00D86125"/>
    <w:rsid w:val="00D876FE"/>
    <w:rsid w:val="00D90B86"/>
    <w:rsid w:val="00D92CAE"/>
    <w:rsid w:val="00D9424D"/>
    <w:rsid w:val="00D94520"/>
    <w:rsid w:val="00D94E5F"/>
    <w:rsid w:val="00D9691E"/>
    <w:rsid w:val="00DA00ED"/>
    <w:rsid w:val="00DA042C"/>
    <w:rsid w:val="00DA094A"/>
    <w:rsid w:val="00DA114B"/>
    <w:rsid w:val="00DA381C"/>
    <w:rsid w:val="00DA3B43"/>
    <w:rsid w:val="00DA423D"/>
    <w:rsid w:val="00DA51D3"/>
    <w:rsid w:val="00DA57BE"/>
    <w:rsid w:val="00DA7331"/>
    <w:rsid w:val="00DB0628"/>
    <w:rsid w:val="00DB114B"/>
    <w:rsid w:val="00DB24B2"/>
    <w:rsid w:val="00DB32A6"/>
    <w:rsid w:val="00DB4C40"/>
    <w:rsid w:val="00DB6FD8"/>
    <w:rsid w:val="00DB7BC7"/>
    <w:rsid w:val="00DC058E"/>
    <w:rsid w:val="00DC106B"/>
    <w:rsid w:val="00DC1086"/>
    <w:rsid w:val="00DC1F4F"/>
    <w:rsid w:val="00DC2F1D"/>
    <w:rsid w:val="00DC2FDE"/>
    <w:rsid w:val="00DC3048"/>
    <w:rsid w:val="00DC351C"/>
    <w:rsid w:val="00DC39B4"/>
    <w:rsid w:val="00DC43CA"/>
    <w:rsid w:val="00DC4531"/>
    <w:rsid w:val="00DC5F89"/>
    <w:rsid w:val="00DC68F3"/>
    <w:rsid w:val="00DC6AC7"/>
    <w:rsid w:val="00DC72A4"/>
    <w:rsid w:val="00DC7B3D"/>
    <w:rsid w:val="00DD03BF"/>
    <w:rsid w:val="00DD0DB9"/>
    <w:rsid w:val="00DD12B1"/>
    <w:rsid w:val="00DD1C8A"/>
    <w:rsid w:val="00DD28F3"/>
    <w:rsid w:val="00DD3BFE"/>
    <w:rsid w:val="00DD3FDD"/>
    <w:rsid w:val="00DD54BC"/>
    <w:rsid w:val="00DD59CE"/>
    <w:rsid w:val="00DD60F3"/>
    <w:rsid w:val="00DD69C1"/>
    <w:rsid w:val="00DD75EF"/>
    <w:rsid w:val="00DD7985"/>
    <w:rsid w:val="00DE012D"/>
    <w:rsid w:val="00DE02C4"/>
    <w:rsid w:val="00DE055D"/>
    <w:rsid w:val="00DE13B9"/>
    <w:rsid w:val="00DE186D"/>
    <w:rsid w:val="00DE1D22"/>
    <w:rsid w:val="00DE1F31"/>
    <w:rsid w:val="00DE1F41"/>
    <w:rsid w:val="00DE2C79"/>
    <w:rsid w:val="00DE31C5"/>
    <w:rsid w:val="00DE3AA2"/>
    <w:rsid w:val="00DE5669"/>
    <w:rsid w:val="00DE57A7"/>
    <w:rsid w:val="00DE633A"/>
    <w:rsid w:val="00DE648A"/>
    <w:rsid w:val="00DE664B"/>
    <w:rsid w:val="00DF0915"/>
    <w:rsid w:val="00DF0C2F"/>
    <w:rsid w:val="00DF2A67"/>
    <w:rsid w:val="00DF3E13"/>
    <w:rsid w:val="00DF3E20"/>
    <w:rsid w:val="00DF421A"/>
    <w:rsid w:val="00DF4796"/>
    <w:rsid w:val="00DF4C9C"/>
    <w:rsid w:val="00DF557A"/>
    <w:rsid w:val="00DF7865"/>
    <w:rsid w:val="00DF7A96"/>
    <w:rsid w:val="00E00E1C"/>
    <w:rsid w:val="00E01325"/>
    <w:rsid w:val="00E0252E"/>
    <w:rsid w:val="00E0365A"/>
    <w:rsid w:val="00E03920"/>
    <w:rsid w:val="00E0679F"/>
    <w:rsid w:val="00E06B10"/>
    <w:rsid w:val="00E10172"/>
    <w:rsid w:val="00E1196B"/>
    <w:rsid w:val="00E127F1"/>
    <w:rsid w:val="00E136B5"/>
    <w:rsid w:val="00E14C12"/>
    <w:rsid w:val="00E16075"/>
    <w:rsid w:val="00E16998"/>
    <w:rsid w:val="00E173E0"/>
    <w:rsid w:val="00E17877"/>
    <w:rsid w:val="00E204DE"/>
    <w:rsid w:val="00E20705"/>
    <w:rsid w:val="00E20FF0"/>
    <w:rsid w:val="00E21A09"/>
    <w:rsid w:val="00E22352"/>
    <w:rsid w:val="00E22984"/>
    <w:rsid w:val="00E22E8F"/>
    <w:rsid w:val="00E23772"/>
    <w:rsid w:val="00E24434"/>
    <w:rsid w:val="00E2480A"/>
    <w:rsid w:val="00E25599"/>
    <w:rsid w:val="00E27EAE"/>
    <w:rsid w:val="00E31183"/>
    <w:rsid w:val="00E31A59"/>
    <w:rsid w:val="00E32303"/>
    <w:rsid w:val="00E32596"/>
    <w:rsid w:val="00E332C5"/>
    <w:rsid w:val="00E33CD8"/>
    <w:rsid w:val="00E33D3A"/>
    <w:rsid w:val="00E34D72"/>
    <w:rsid w:val="00E3520E"/>
    <w:rsid w:val="00E359BB"/>
    <w:rsid w:val="00E361A8"/>
    <w:rsid w:val="00E361BE"/>
    <w:rsid w:val="00E367F7"/>
    <w:rsid w:val="00E36CE0"/>
    <w:rsid w:val="00E36FC5"/>
    <w:rsid w:val="00E40451"/>
    <w:rsid w:val="00E40683"/>
    <w:rsid w:val="00E40977"/>
    <w:rsid w:val="00E41252"/>
    <w:rsid w:val="00E413E7"/>
    <w:rsid w:val="00E41CB0"/>
    <w:rsid w:val="00E42ABD"/>
    <w:rsid w:val="00E4331E"/>
    <w:rsid w:val="00E43628"/>
    <w:rsid w:val="00E44512"/>
    <w:rsid w:val="00E44D66"/>
    <w:rsid w:val="00E462C0"/>
    <w:rsid w:val="00E4737F"/>
    <w:rsid w:val="00E4784B"/>
    <w:rsid w:val="00E50C8C"/>
    <w:rsid w:val="00E50E3C"/>
    <w:rsid w:val="00E51EB6"/>
    <w:rsid w:val="00E529B4"/>
    <w:rsid w:val="00E52BE9"/>
    <w:rsid w:val="00E54B8B"/>
    <w:rsid w:val="00E558B8"/>
    <w:rsid w:val="00E55A9F"/>
    <w:rsid w:val="00E56626"/>
    <w:rsid w:val="00E57914"/>
    <w:rsid w:val="00E60510"/>
    <w:rsid w:val="00E60FA3"/>
    <w:rsid w:val="00E61E9F"/>
    <w:rsid w:val="00E62300"/>
    <w:rsid w:val="00E627C7"/>
    <w:rsid w:val="00E6367F"/>
    <w:rsid w:val="00E63FE6"/>
    <w:rsid w:val="00E64BEC"/>
    <w:rsid w:val="00E652BF"/>
    <w:rsid w:val="00E65547"/>
    <w:rsid w:val="00E6591B"/>
    <w:rsid w:val="00E65E45"/>
    <w:rsid w:val="00E72661"/>
    <w:rsid w:val="00E73FCC"/>
    <w:rsid w:val="00E74D11"/>
    <w:rsid w:val="00E76608"/>
    <w:rsid w:val="00E7665D"/>
    <w:rsid w:val="00E76903"/>
    <w:rsid w:val="00E77B18"/>
    <w:rsid w:val="00E77DF2"/>
    <w:rsid w:val="00E806BE"/>
    <w:rsid w:val="00E8111B"/>
    <w:rsid w:val="00E8113F"/>
    <w:rsid w:val="00E82D4B"/>
    <w:rsid w:val="00E83047"/>
    <w:rsid w:val="00E83683"/>
    <w:rsid w:val="00E84DDC"/>
    <w:rsid w:val="00E84E88"/>
    <w:rsid w:val="00E85573"/>
    <w:rsid w:val="00E87C4F"/>
    <w:rsid w:val="00E90A98"/>
    <w:rsid w:val="00E90D72"/>
    <w:rsid w:val="00E91CE1"/>
    <w:rsid w:val="00E91D5E"/>
    <w:rsid w:val="00E9223A"/>
    <w:rsid w:val="00E93496"/>
    <w:rsid w:val="00E93694"/>
    <w:rsid w:val="00E93B42"/>
    <w:rsid w:val="00E94C4A"/>
    <w:rsid w:val="00E94F16"/>
    <w:rsid w:val="00E951F8"/>
    <w:rsid w:val="00E95F8C"/>
    <w:rsid w:val="00E962B3"/>
    <w:rsid w:val="00E9651A"/>
    <w:rsid w:val="00E96BDC"/>
    <w:rsid w:val="00E97615"/>
    <w:rsid w:val="00E97CBC"/>
    <w:rsid w:val="00EA1F8F"/>
    <w:rsid w:val="00EA20DC"/>
    <w:rsid w:val="00EA2B27"/>
    <w:rsid w:val="00EA3C89"/>
    <w:rsid w:val="00EA3FAF"/>
    <w:rsid w:val="00EA5098"/>
    <w:rsid w:val="00EA5654"/>
    <w:rsid w:val="00EB07C2"/>
    <w:rsid w:val="00EB111A"/>
    <w:rsid w:val="00EB376F"/>
    <w:rsid w:val="00EB48E6"/>
    <w:rsid w:val="00EB4C93"/>
    <w:rsid w:val="00EB53CE"/>
    <w:rsid w:val="00EB56EA"/>
    <w:rsid w:val="00EB6F7A"/>
    <w:rsid w:val="00EB7E60"/>
    <w:rsid w:val="00EC06CA"/>
    <w:rsid w:val="00EC0A3C"/>
    <w:rsid w:val="00EC2829"/>
    <w:rsid w:val="00EC3FFB"/>
    <w:rsid w:val="00EC4570"/>
    <w:rsid w:val="00EC4F8A"/>
    <w:rsid w:val="00ED003A"/>
    <w:rsid w:val="00ED093A"/>
    <w:rsid w:val="00ED2805"/>
    <w:rsid w:val="00ED2B77"/>
    <w:rsid w:val="00ED306E"/>
    <w:rsid w:val="00ED314F"/>
    <w:rsid w:val="00ED391B"/>
    <w:rsid w:val="00ED3D79"/>
    <w:rsid w:val="00ED5BA8"/>
    <w:rsid w:val="00ED62B5"/>
    <w:rsid w:val="00ED7C54"/>
    <w:rsid w:val="00EE115A"/>
    <w:rsid w:val="00EE119C"/>
    <w:rsid w:val="00EE2A67"/>
    <w:rsid w:val="00EE304C"/>
    <w:rsid w:val="00EE3CEA"/>
    <w:rsid w:val="00EE459F"/>
    <w:rsid w:val="00EE4CBF"/>
    <w:rsid w:val="00EE504E"/>
    <w:rsid w:val="00EE6A05"/>
    <w:rsid w:val="00EE6DD9"/>
    <w:rsid w:val="00EE744E"/>
    <w:rsid w:val="00EE7E05"/>
    <w:rsid w:val="00EF0525"/>
    <w:rsid w:val="00EF2651"/>
    <w:rsid w:val="00EF31F7"/>
    <w:rsid w:val="00EF3314"/>
    <w:rsid w:val="00EF33CE"/>
    <w:rsid w:val="00EF41E8"/>
    <w:rsid w:val="00EF4813"/>
    <w:rsid w:val="00EF59B6"/>
    <w:rsid w:val="00EF6148"/>
    <w:rsid w:val="00EF6449"/>
    <w:rsid w:val="00EF7950"/>
    <w:rsid w:val="00EF7AF2"/>
    <w:rsid w:val="00EF7EB0"/>
    <w:rsid w:val="00F00037"/>
    <w:rsid w:val="00F002BA"/>
    <w:rsid w:val="00F019CC"/>
    <w:rsid w:val="00F01DB3"/>
    <w:rsid w:val="00F0279D"/>
    <w:rsid w:val="00F0389D"/>
    <w:rsid w:val="00F047DF"/>
    <w:rsid w:val="00F05D41"/>
    <w:rsid w:val="00F07654"/>
    <w:rsid w:val="00F07D87"/>
    <w:rsid w:val="00F1096C"/>
    <w:rsid w:val="00F11756"/>
    <w:rsid w:val="00F1201C"/>
    <w:rsid w:val="00F12FF2"/>
    <w:rsid w:val="00F1310A"/>
    <w:rsid w:val="00F14FD0"/>
    <w:rsid w:val="00F154DF"/>
    <w:rsid w:val="00F156FD"/>
    <w:rsid w:val="00F15B7B"/>
    <w:rsid w:val="00F15DB9"/>
    <w:rsid w:val="00F166C9"/>
    <w:rsid w:val="00F16D1E"/>
    <w:rsid w:val="00F16DE1"/>
    <w:rsid w:val="00F171D1"/>
    <w:rsid w:val="00F17A52"/>
    <w:rsid w:val="00F17A7C"/>
    <w:rsid w:val="00F17B83"/>
    <w:rsid w:val="00F17EB3"/>
    <w:rsid w:val="00F20699"/>
    <w:rsid w:val="00F216E5"/>
    <w:rsid w:val="00F217AD"/>
    <w:rsid w:val="00F21A58"/>
    <w:rsid w:val="00F229F8"/>
    <w:rsid w:val="00F26D33"/>
    <w:rsid w:val="00F27157"/>
    <w:rsid w:val="00F2754E"/>
    <w:rsid w:val="00F276DC"/>
    <w:rsid w:val="00F27DD7"/>
    <w:rsid w:val="00F27EC0"/>
    <w:rsid w:val="00F30BB1"/>
    <w:rsid w:val="00F31B61"/>
    <w:rsid w:val="00F31F9A"/>
    <w:rsid w:val="00F3225E"/>
    <w:rsid w:val="00F325F7"/>
    <w:rsid w:val="00F32A4D"/>
    <w:rsid w:val="00F33705"/>
    <w:rsid w:val="00F3564E"/>
    <w:rsid w:val="00F36CDC"/>
    <w:rsid w:val="00F37375"/>
    <w:rsid w:val="00F37DA6"/>
    <w:rsid w:val="00F37F73"/>
    <w:rsid w:val="00F4058B"/>
    <w:rsid w:val="00F40D37"/>
    <w:rsid w:val="00F41690"/>
    <w:rsid w:val="00F41F4D"/>
    <w:rsid w:val="00F44F4B"/>
    <w:rsid w:val="00F45A23"/>
    <w:rsid w:val="00F46200"/>
    <w:rsid w:val="00F4680C"/>
    <w:rsid w:val="00F469DA"/>
    <w:rsid w:val="00F478DE"/>
    <w:rsid w:val="00F47B6C"/>
    <w:rsid w:val="00F50180"/>
    <w:rsid w:val="00F506B9"/>
    <w:rsid w:val="00F51976"/>
    <w:rsid w:val="00F5198A"/>
    <w:rsid w:val="00F51B53"/>
    <w:rsid w:val="00F525BA"/>
    <w:rsid w:val="00F526F3"/>
    <w:rsid w:val="00F536EE"/>
    <w:rsid w:val="00F54D8B"/>
    <w:rsid w:val="00F557D2"/>
    <w:rsid w:val="00F574A7"/>
    <w:rsid w:val="00F6035C"/>
    <w:rsid w:val="00F60E5F"/>
    <w:rsid w:val="00F62BCA"/>
    <w:rsid w:val="00F62FE1"/>
    <w:rsid w:val="00F63618"/>
    <w:rsid w:val="00F63C2A"/>
    <w:rsid w:val="00F64276"/>
    <w:rsid w:val="00F65103"/>
    <w:rsid w:val="00F652D7"/>
    <w:rsid w:val="00F656AD"/>
    <w:rsid w:val="00F662AF"/>
    <w:rsid w:val="00F668B4"/>
    <w:rsid w:val="00F67732"/>
    <w:rsid w:val="00F710C7"/>
    <w:rsid w:val="00F711C5"/>
    <w:rsid w:val="00F71B62"/>
    <w:rsid w:val="00F71E28"/>
    <w:rsid w:val="00F7283D"/>
    <w:rsid w:val="00F73EC4"/>
    <w:rsid w:val="00F7425B"/>
    <w:rsid w:val="00F75EBB"/>
    <w:rsid w:val="00F765A8"/>
    <w:rsid w:val="00F77A68"/>
    <w:rsid w:val="00F826F8"/>
    <w:rsid w:val="00F82A28"/>
    <w:rsid w:val="00F83501"/>
    <w:rsid w:val="00F83955"/>
    <w:rsid w:val="00F84420"/>
    <w:rsid w:val="00F8469E"/>
    <w:rsid w:val="00F8550F"/>
    <w:rsid w:val="00F86C44"/>
    <w:rsid w:val="00F87D05"/>
    <w:rsid w:val="00F901CC"/>
    <w:rsid w:val="00F920C7"/>
    <w:rsid w:val="00F93498"/>
    <w:rsid w:val="00F93B66"/>
    <w:rsid w:val="00F93C9E"/>
    <w:rsid w:val="00F95658"/>
    <w:rsid w:val="00F976D6"/>
    <w:rsid w:val="00FA0C13"/>
    <w:rsid w:val="00FA1059"/>
    <w:rsid w:val="00FA1505"/>
    <w:rsid w:val="00FA1B9A"/>
    <w:rsid w:val="00FA2606"/>
    <w:rsid w:val="00FA396A"/>
    <w:rsid w:val="00FA4071"/>
    <w:rsid w:val="00FA4534"/>
    <w:rsid w:val="00FA4E67"/>
    <w:rsid w:val="00FA501E"/>
    <w:rsid w:val="00FA56F1"/>
    <w:rsid w:val="00FA5B48"/>
    <w:rsid w:val="00FA681D"/>
    <w:rsid w:val="00FA7A2B"/>
    <w:rsid w:val="00FB12B3"/>
    <w:rsid w:val="00FB1520"/>
    <w:rsid w:val="00FB35A4"/>
    <w:rsid w:val="00FB35C6"/>
    <w:rsid w:val="00FB42A5"/>
    <w:rsid w:val="00FB4777"/>
    <w:rsid w:val="00FB549D"/>
    <w:rsid w:val="00FB5869"/>
    <w:rsid w:val="00FB6641"/>
    <w:rsid w:val="00FB6703"/>
    <w:rsid w:val="00FB7276"/>
    <w:rsid w:val="00FC0522"/>
    <w:rsid w:val="00FC4135"/>
    <w:rsid w:val="00FC5811"/>
    <w:rsid w:val="00FC635C"/>
    <w:rsid w:val="00FC7873"/>
    <w:rsid w:val="00FD050A"/>
    <w:rsid w:val="00FD1A82"/>
    <w:rsid w:val="00FD1C98"/>
    <w:rsid w:val="00FD2D65"/>
    <w:rsid w:val="00FD326A"/>
    <w:rsid w:val="00FD46D0"/>
    <w:rsid w:val="00FD698E"/>
    <w:rsid w:val="00FD740E"/>
    <w:rsid w:val="00FE164B"/>
    <w:rsid w:val="00FE1D12"/>
    <w:rsid w:val="00FE22D0"/>
    <w:rsid w:val="00FE31DF"/>
    <w:rsid w:val="00FE33B2"/>
    <w:rsid w:val="00FE42C1"/>
    <w:rsid w:val="00FE42CE"/>
    <w:rsid w:val="00FE42ED"/>
    <w:rsid w:val="00FE4C92"/>
    <w:rsid w:val="00FE522D"/>
    <w:rsid w:val="00FE60CF"/>
    <w:rsid w:val="00FE620D"/>
    <w:rsid w:val="00FE6DD8"/>
    <w:rsid w:val="00FF04F3"/>
    <w:rsid w:val="00FF0925"/>
    <w:rsid w:val="00FF0B69"/>
    <w:rsid w:val="00FF1190"/>
    <w:rsid w:val="00FF1726"/>
    <w:rsid w:val="00FF17AC"/>
    <w:rsid w:val="00FF1BA4"/>
    <w:rsid w:val="00FF2A55"/>
    <w:rsid w:val="00FF2D8E"/>
    <w:rsid w:val="00FF2E90"/>
    <w:rsid w:val="00FF51C4"/>
    <w:rsid w:val="00FF7243"/>
    <w:rsid w:val="010B22BF"/>
    <w:rsid w:val="011253ED"/>
    <w:rsid w:val="01477DF6"/>
    <w:rsid w:val="01585D83"/>
    <w:rsid w:val="016025FC"/>
    <w:rsid w:val="016043AA"/>
    <w:rsid w:val="01633E9B"/>
    <w:rsid w:val="01675C00"/>
    <w:rsid w:val="017F2F66"/>
    <w:rsid w:val="019236FF"/>
    <w:rsid w:val="01AA1AC9"/>
    <w:rsid w:val="01B14C06"/>
    <w:rsid w:val="01C12788"/>
    <w:rsid w:val="01C3078A"/>
    <w:rsid w:val="01D910C1"/>
    <w:rsid w:val="02070CCA"/>
    <w:rsid w:val="0213766F"/>
    <w:rsid w:val="02217FDE"/>
    <w:rsid w:val="0227311A"/>
    <w:rsid w:val="024617F2"/>
    <w:rsid w:val="026D2185"/>
    <w:rsid w:val="027E6549"/>
    <w:rsid w:val="029D6428"/>
    <w:rsid w:val="02BA21E0"/>
    <w:rsid w:val="02E1151B"/>
    <w:rsid w:val="02EB239A"/>
    <w:rsid w:val="03027F95"/>
    <w:rsid w:val="03042E1F"/>
    <w:rsid w:val="03086AA8"/>
    <w:rsid w:val="0321400D"/>
    <w:rsid w:val="03433F84"/>
    <w:rsid w:val="036363D4"/>
    <w:rsid w:val="036B581E"/>
    <w:rsid w:val="03951A9C"/>
    <w:rsid w:val="03B07793"/>
    <w:rsid w:val="03B95FF4"/>
    <w:rsid w:val="03C30C20"/>
    <w:rsid w:val="03CE329D"/>
    <w:rsid w:val="03CF3A69"/>
    <w:rsid w:val="03DA45DB"/>
    <w:rsid w:val="04015637"/>
    <w:rsid w:val="04061801"/>
    <w:rsid w:val="04402271"/>
    <w:rsid w:val="044A436A"/>
    <w:rsid w:val="04591674"/>
    <w:rsid w:val="045E3D03"/>
    <w:rsid w:val="047A5783"/>
    <w:rsid w:val="048E56D2"/>
    <w:rsid w:val="049820AD"/>
    <w:rsid w:val="04A70542"/>
    <w:rsid w:val="04B636B0"/>
    <w:rsid w:val="04B70785"/>
    <w:rsid w:val="04D1736D"/>
    <w:rsid w:val="04EB042F"/>
    <w:rsid w:val="05021CF5"/>
    <w:rsid w:val="0554767A"/>
    <w:rsid w:val="05553238"/>
    <w:rsid w:val="055C5361"/>
    <w:rsid w:val="05760640"/>
    <w:rsid w:val="05A607FA"/>
    <w:rsid w:val="05AA02EA"/>
    <w:rsid w:val="05BB42A5"/>
    <w:rsid w:val="05BC55FF"/>
    <w:rsid w:val="05F344C5"/>
    <w:rsid w:val="061340E1"/>
    <w:rsid w:val="06361B7E"/>
    <w:rsid w:val="063D4CBA"/>
    <w:rsid w:val="0647577E"/>
    <w:rsid w:val="064918B1"/>
    <w:rsid w:val="066A7A79"/>
    <w:rsid w:val="066C37F1"/>
    <w:rsid w:val="06764670"/>
    <w:rsid w:val="06AD62E4"/>
    <w:rsid w:val="06B01930"/>
    <w:rsid w:val="06DB44D3"/>
    <w:rsid w:val="06E94E42"/>
    <w:rsid w:val="06F7755F"/>
    <w:rsid w:val="06FE6B3F"/>
    <w:rsid w:val="07106873"/>
    <w:rsid w:val="071E3D6E"/>
    <w:rsid w:val="072401B6"/>
    <w:rsid w:val="07244F87"/>
    <w:rsid w:val="07287718"/>
    <w:rsid w:val="074579D3"/>
    <w:rsid w:val="07524999"/>
    <w:rsid w:val="07571DAC"/>
    <w:rsid w:val="0768045D"/>
    <w:rsid w:val="07715302"/>
    <w:rsid w:val="077205C0"/>
    <w:rsid w:val="077B4525"/>
    <w:rsid w:val="07A174CB"/>
    <w:rsid w:val="07CA6A21"/>
    <w:rsid w:val="080E623C"/>
    <w:rsid w:val="08195EF3"/>
    <w:rsid w:val="08235A4A"/>
    <w:rsid w:val="08236132"/>
    <w:rsid w:val="0834033F"/>
    <w:rsid w:val="085B33C8"/>
    <w:rsid w:val="085C46C4"/>
    <w:rsid w:val="086F58A2"/>
    <w:rsid w:val="089332B7"/>
    <w:rsid w:val="089502CD"/>
    <w:rsid w:val="089963F4"/>
    <w:rsid w:val="08A92ADB"/>
    <w:rsid w:val="08B35707"/>
    <w:rsid w:val="08C6543B"/>
    <w:rsid w:val="08E55977"/>
    <w:rsid w:val="08FA50E4"/>
    <w:rsid w:val="09011BE5"/>
    <w:rsid w:val="09077801"/>
    <w:rsid w:val="09104908"/>
    <w:rsid w:val="092E2FE0"/>
    <w:rsid w:val="093A3733"/>
    <w:rsid w:val="096526B6"/>
    <w:rsid w:val="098350DA"/>
    <w:rsid w:val="09866978"/>
    <w:rsid w:val="098B0432"/>
    <w:rsid w:val="09B039F5"/>
    <w:rsid w:val="09C851E3"/>
    <w:rsid w:val="09C94AB7"/>
    <w:rsid w:val="09E33DCA"/>
    <w:rsid w:val="09E84799"/>
    <w:rsid w:val="0A171CC6"/>
    <w:rsid w:val="0A1E3055"/>
    <w:rsid w:val="0A363AF0"/>
    <w:rsid w:val="0A481E7F"/>
    <w:rsid w:val="0A7D7D7B"/>
    <w:rsid w:val="0A8A06EA"/>
    <w:rsid w:val="0AA25A34"/>
    <w:rsid w:val="0ABB6AF5"/>
    <w:rsid w:val="0ACC2AB1"/>
    <w:rsid w:val="0AD025A1"/>
    <w:rsid w:val="0AE12395"/>
    <w:rsid w:val="0AFC7DFC"/>
    <w:rsid w:val="0B1A1A6E"/>
    <w:rsid w:val="0B3533C3"/>
    <w:rsid w:val="0B381EF4"/>
    <w:rsid w:val="0B41349E"/>
    <w:rsid w:val="0B582A62"/>
    <w:rsid w:val="0B86796D"/>
    <w:rsid w:val="0BA37CB5"/>
    <w:rsid w:val="0BA457DB"/>
    <w:rsid w:val="0BBF52B2"/>
    <w:rsid w:val="0BD82C3F"/>
    <w:rsid w:val="0BDA0738"/>
    <w:rsid w:val="0BFE792C"/>
    <w:rsid w:val="0C032502"/>
    <w:rsid w:val="0C1A0510"/>
    <w:rsid w:val="0C255D6D"/>
    <w:rsid w:val="0C3C77C2"/>
    <w:rsid w:val="0C4F74F5"/>
    <w:rsid w:val="0C6B185E"/>
    <w:rsid w:val="0CA228E5"/>
    <w:rsid w:val="0CA6063E"/>
    <w:rsid w:val="0CAC4948"/>
    <w:rsid w:val="0CB3217A"/>
    <w:rsid w:val="0CB8153E"/>
    <w:rsid w:val="0CEE6D0E"/>
    <w:rsid w:val="0D1A3FA7"/>
    <w:rsid w:val="0D1B5F95"/>
    <w:rsid w:val="0D3B3F1D"/>
    <w:rsid w:val="0D410293"/>
    <w:rsid w:val="0D5B58CD"/>
    <w:rsid w:val="0D6671EC"/>
    <w:rsid w:val="0D8238FA"/>
    <w:rsid w:val="0D9C676A"/>
    <w:rsid w:val="0DA25D4B"/>
    <w:rsid w:val="0DD04666"/>
    <w:rsid w:val="0DDF0D4D"/>
    <w:rsid w:val="0DE20272"/>
    <w:rsid w:val="0DFC2C13"/>
    <w:rsid w:val="0DFE7425"/>
    <w:rsid w:val="0E0407B3"/>
    <w:rsid w:val="0E2A1FC8"/>
    <w:rsid w:val="0E456E02"/>
    <w:rsid w:val="0E4B045A"/>
    <w:rsid w:val="0E7616B1"/>
    <w:rsid w:val="0EA578A0"/>
    <w:rsid w:val="0EE17FD7"/>
    <w:rsid w:val="0EFA6F28"/>
    <w:rsid w:val="0F015D1B"/>
    <w:rsid w:val="0F0925BE"/>
    <w:rsid w:val="0F16079E"/>
    <w:rsid w:val="0F184516"/>
    <w:rsid w:val="0F232ECD"/>
    <w:rsid w:val="0F331350"/>
    <w:rsid w:val="0F3A2AC9"/>
    <w:rsid w:val="0F4672D5"/>
    <w:rsid w:val="0F955B67"/>
    <w:rsid w:val="0FCC70AF"/>
    <w:rsid w:val="0FE10DAC"/>
    <w:rsid w:val="0FE71C93"/>
    <w:rsid w:val="0FF0485B"/>
    <w:rsid w:val="10022AD1"/>
    <w:rsid w:val="100827DD"/>
    <w:rsid w:val="101E3DAE"/>
    <w:rsid w:val="10294501"/>
    <w:rsid w:val="1033268E"/>
    <w:rsid w:val="10346C76"/>
    <w:rsid w:val="1045133B"/>
    <w:rsid w:val="10523A58"/>
    <w:rsid w:val="10574896"/>
    <w:rsid w:val="106A0DA2"/>
    <w:rsid w:val="10731F17"/>
    <w:rsid w:val="108913C8"/>
    <w:rsid w:val="108D45A8"/>
    <w:rsid w:val="109B71AD"/>
    <w:rsid w:val="111156C1"/>
    <w:rsid w:val="1134315E"/>
    <w:rsid w:val="114F1D45"/>
    <w:rsid w:val="11877731"/>
    <w:rsid w:val="119B31DD"/>
    <w:rsid w:val="119D6F55"/>
    <w:rsid w:val="11A70258"/>
    <w:rsid w:val="11B12A00"/>
    <w:rsid w:val="11BB562D"/>
    <w:rsid w:val="11C73FE1"/>
    <w:rsid w:val="11CC3396"/>
    <w:rsid w:val="11E22BBA"/>
    <w:rsid w:val="11EB4164"/>
    <w:rsid w:val="120F7599"/>
    <w:rsid w:val="121F5BBC"/>
    <w:rsid w:val="12432335"/>
    <w:rsid w:val="1283439D"/>
    <w:rsid w:val="128A572B"/>
    <w:rsid w:val="12D746E8"/>
    <w:rsid w:val="12E82B9B"/>
    <w:rsid w:val="12F1290D"/>
    <w:rsid w:val="1340104E"/>
    <w:rsid w:val="134C478E"/>
    <w:rsid w:val="13586309"/>
    <w:rsid w:val="135875D7"/>
    <w:rsid w:val="13653A41"/>
    <w:rsid w:val="137912FC"/>
    <w:rsid w:val="13B81E24"/>
    <w:rsid w:val="13BA3DEE"/>
    <w:rsid w:val="140C3397"/>
    <w:rsid w:val="143516C6"/>
    <w:rsid w:val="143809F8"/>
    <w:rsid w:val="14524026"/>
    <w:rsid w:val="145D22C7"/>
    <w:rsid w:val="146C4EE9"/>
    <w:rsid w:val="14720225"/>
    <w:rsid w:val="147A532B"/>
    <w:rsid w:val="14991C55"/>
    <w:rsid w:val="149D7253"/>
    <w:rsid w:val="14BE0A79"/>
    <w:rsid w:val="14C17E72"/>
    <w:rsid w:val="14C37442"/>
    <w:rsid w:val="14D42C8D"/>
    <w:rsid w:val="14F90946"/>
    <w:rsid w:val="1500003E"/>
    <w:rsid w:val="1522624C"/>
    <w:rsid w:val="15930665"/>
    <w:rsid w:val="1594066F"/>
    <w:rsid w:val="15AA1C40"/>
    <w:rsid w:val="15B42ABF"/>
    <w:rsid w:val="15B74C13"/>
    <w:rsid w:val="15B900D5"/>
    <w:rsid w:val="15BE22FF"/>
    <w:rsid w:val="15CC605B"/>
    <w:rsid w:val="15D85FE2"/>
    <w:rsid w:val="15EA028F"/>
    <w:rsid w:val="15EB4E45"/>
    <w:rsid w:val="16047358"/>
    <w:rsid w:val="1606331B"/>
    <w:rsid w:val="162004C2"/>
    <w:rsid w:val="1626496D"/>
    <w:rsid w:val="16504596"/>
    <w:rsid w:val="16946B78"/>
    <w:rsid w:val="16B079F9"/>
    <w:rsid w:val="16B8317A"/>
    <w:rsid w:val="16C43553"/>
    <w:rsid w:val="16EF7BA5"/>
    <w:rsid w:val="16FB6BF7"/>
    <w:rsid w:val="16FD008D"/>
    <w:rsid w:val="172C5003"/>
    <w:rsid w:val="17435EA8"/>
    <w:rsid w:val="174F0CF1"/>
    <w:rsid w:val="176C3651"/>
    <w:rsid w:val="17780248"/>
    <w:rsid w:val="17A728DB"/>
    <w:rsid w:val="17B46EBC"/>
    <w:rsid w:val="17BD20FF"/>
    <w:rsid w:val="17CD594A"/>
    <w:rsid w:val="17D47448"/>
    <w:rsid w:val="17DB07D7"/>
    <w:rsid w:val="17EB3DD8"/>
    <w:rsid w:val="18111F8B"/>
    <w:rsid w:val="181A12FF"/>
    <w:rsid w:val="181B6E25"/>
    <w:rsid w:val="183121A5"/>
    <w:rsid w:val="183B4C5D"/>
    <w:rsid w:val="18413FE2"/>
    <w:rsid w:val="18463EA2"/>
    <w:rsid w:val="184D0C7A"/>
    <w:rsid w:val="18592B10"/>
    <w:rsid w:val="185968F5"/>
    <w:rsid w:val="18782CC4"/>
    <w:rsid w:val="1881312C"/>
    <w:rsid w:val="18846779"/>
    <w:rsid w:val="189C1D14"/>
    <w:rsid w:val="18BC7A5E"/>
    <w:rsid w:val="18EB4A4A"/>
    <w:rsid w:val="18EB67F8"/>
    <w:rsid w:val="18FC0A05"/>
    <w:rsid w:val="19033734"/>
    <w:rsid w:val="19267830"/>
    <w:rsid w:val="192F0DDA"/>
    <w:rsid w:val="1932689D"/>
    <w:rsid w:val="193957B5"/>
    <w:rsid w:val="193C52A5"/>
    <w:rsid w:val="1941466A"/>
    <w:rsid w:val="194C54D7"/>
    <w:rsid w:val="19536E25"/>
    <w:rsid w:val="196D36B1"/>
    <w:rsid w:val="196F11D7"/>
    <w:rsid w:val="19742C91"/>
    <w:rsid w:val="198733AD"/>
    <w:rsid w:val="19946E8F"/>
    <w:rsid w:val="1997072D"/>
    <w:rsid w:val="19991EEC"/>
    <w:rsid w:val="19AA66B3"/>
    <w:rsid w:val="19AC242B"/>
    <w:rsid w:val="19CA28B1"/>
    <w:rsid w:val="19CA465F"/>
    <w:rsid w:val="19E82D37"/>
    <w:rsid w:val="19EA6197"/>
    <w:rsid w:val="1A0C4C78"/>
    <w:rsid w:val="1A0F4768"/>
    <w:rsid w:val="1A125EDC"/>
    <w:rsid w:val="1A246465"/>
    <w:rsid w:val="1A404921"/>
    <w:rsid w:val="1A617F9D"/>
    <w:rsid w:val="1A6B1655"/>
    <w:rsid w:val="1A917E62"/>
    <w:rsid w:val="1AAB41FD"/>
    <w:rsid w:val="1B102545"/>
    <w:rsid w:val="1B2D1349"/>
    <w:rsid w:val="1B4825F1"/>
    <w:rsid w:val="1B52084A"/>
    <w:rsid w:val="1B6B19AF"/>
    <w:rsid w:val="1B6B1E72"/>
    <w:rsid w:val="1B707488"/>
    <w:rsid w:val="1B7B4D26"/>
    <w:rsid w:val="1B7E3CB0"/>
    <w:rsid w:val="1B974B04"/>
    <w:rsid w:val="1BEE4193"/>
    <w:rsid w:val="1BFB31F6"/>
    <w:rsid w:val="1C1B3898"/>
    <w:rsid w:val="1C33473D"/>
    <w:rsid w:val="1C4526C3"/>
    <w:rsid w:val="1C5B1EE6"/>
    <w:rsid w:val="1C67088B"/>
    <w:rsid w:val="1C876837"/>
    <w:rsid w:val="1C8A6328"/>
    <w:rsid w:val="1C8A6593"/>
    <w:rsid w:val="1CD852E5"/>
    <w:rsid w:val="1CDA105D"/>
    <w:rsid w:val="1D085BCA"/>
    <w:rsid w:val="1D1D0F4A"/>
    <w:rsid w:val="1D1F4CC2"/>
    <w:rsid w:val="1D282EFD"/>
    <w:rsid w:val="1D2B7B0B"/>
    <w:rsid w:val="1D3C3AC6"/>
    <w:rsid w:val="1D4110DC"/>
    <w:rsid w:val="1D491D3F"/>
    <w:rsid w:val="1D5D0D7A"/>
    <w:rsid w:val="1D6B43AB"/>
    <w:rsid w:val="1D840FC9"/>
    <w:rsid w:val="1D8F1E47"/>
    <w:rsid w:val="1DE2466D"/>
    <w:rsid w:val="1DF443A0"/>
    <w:rsid w:val="1E1932E1"/>
    <w:rsid w:val="1E4C7D38"/>
    <w:rsid w:val="1E674FC9"/>
    <w:rsid w:val="1E8C6387"/>
    <w:rsid w:val="1E98103E"/>
    <w:rsid w:val="1EAB0F03"/>
    <w:rsid w:val="1EBF09D7"/>
    <w:rsid w:val="1EFA1543"/>
    <w:rsid w:val="1F073C5F"/>
    <w:rsid w:val="1F2209E9"/>
    <w:rsid w:val="1F242A63"/>
    <w:rsid w:val="1F6D440A"/>
    <w:rsid w:val="1F7F5EEC"/>
    <w:rsid w:val="1F851444"/>
    <w:rsid w:val="1FA85442"/>
    <w:rsid w:val="1FCB119D"/>
    <w:rsid w:val="1FD63FF1"/>
    <w:rsid w:val="1FF11142"/>
    <w:rsid w:val="20052895"/>
    <w:rsid w:val="200C59D1"/>
    <w:rsid w:val="20104D96"/>
    <w:rsid w:val="20280331"/>
    <w:rsid w:val="204038CD"/>
    <w:rsid w:val="20564E9E"/>
    <w:rsid w:val="20571479"/>
    <w:rsid w:val="208732AA"/>
    <w:rsid w:val="20B87907"/>
    <w:rsid w:val="20BB11A5"/>
    <w:rsid w:val="20BE0AEB"/>
    <w:rsid w:val="20F841A8"/>
    <w:rsid w:val="211D3931"/>
    <w:rsid w:val="212B30B6"/>
    <w:rsid w:val="214231F9"/>
    <w:rsid w:val="21604FB1"/>
    <w:rsid w:val="21674E89"/>
    <w:rsid w:val="217575A6"/>
    <w:rsid w:val="21905375"/>
    <w:rsid w:val="21932B58"/>
    <w:rsid w:val="21936E30"/>
    <w:rsid w:val="21A0524B"/>
    <w:rsid w:val="21CD2F3E"/>
    <w:rsid w:val="21CD54CF"/>
    <w:rsid w:val="21F86024"/>
    <w:rsid w:val="22175620"/>
    <w:rsid w:val="22212092"/>
    <w:rsid w:val="22237002"/>
    <w:rsid w:val="22252D7A"/>
    <w:rsid w:val="223C1E72"/>
    <w:rsid w:val="2245341D"/>
    <w:rsid w:val="224E750C"/>
    <w:rsid w:val="22761828"/>
    <w:rsid w:val="228F4DE2"/>
    <w:rsid w:val="22C90207"/>
    <w:rsid w:val="22CE51C0"/>
    <w:rsid w:val="22E42C35"/>
    <w:rsid w:val="22EE7610"/>
    <w:rsid w:val="22FB1D2D"/>
    <w:rsid w:val="231F3C6E"/>
    <w:rsid w:val="233174FD"/>
    <w:rsid w:val="23444129"/>
    <w:rsid w:val="235C5D56"/>
    <w:rsid w:val="2366364A"/>
    <w:rsid w:val="23694EE9"/>
    <w:rsid w:val="23734403"/>
    <w:rsid w:val="239C706C"/>
    <w:rsid w:val="23B4085A"/>
    <w:rsid w:val="23CD191B"/>
    <w:rsid w:val="23D031BA"/>
    <w:rsid w:val="23DA1943"/>
    <w:rsid w:val="23DD61F9"/>
    <w:rsid w:val="23EE3640"/>
    <w:rsid w:val="24187DC4"/>
    <w:rsid w:val="242A28CA"/>
    <w:rsid w:val="242F6132"/>
    <w:rsid w:val="24390D5F"/>
    <w:rsid w:val="243C25FD"/>
    <w:rsid w:val="244871F4"/>
    <w:rsid w:val="24843698"/>
    <w:rsid w:val="24857B00"/>
    <w:rsid w:val="24AE4580"/>
    <w:rsid w:val="24CC5617"/>
    <w:rsid w:val="24CE5D6E"/>
    <w:rsid w:val="24DD2E9C"/>
    <w:rsid w:val="24FB2E35"/>
    <w:rsid w:val="24FC0C90"/>
    <w:rsid w:val="25116156"/>
    <w:rsid w:val="251F7F55"/>
    <w:rsid w:val="25272A37"/>
    <w:rsid w:val="25292B82"/>
    <w:rsid w:val="252A0AD7"/>
    <w:rsid w:val="253432D4"/>
    <w:rsid w:val="2542309E"/>
    <w:rsid w:val="254F2F0D"/>
    <w:rsid w:val="255D6CCF"/>
    <w:rsid w:val="25645AAB"/>
    <w:rsid w:val="256C2A6E"/>
    <w:rsid w:val="257E1F49"/>
    <w:rsid w:val="25950217"/>
    <w:rsid w:val="25B368EF"/>
    <w:rsid w:val="25CD5C03"/>
    <w:rsid w:val="25DA20CE"/>
    <w:rsid w:val="25E22D30"/>
    <w:rsid w:val="25F468ED"/>
    <w:rsid w:val="26013F03"/>
    <w:rsid w:val="26056E8A"/>
    <w:rsid w:val="261F0AE6"/>
    <w:rsid w:val="262E7F58"/>
    <w:rsid w:val="263A491A"/>
    <w:rsid w:val="26526108"/>
    <w:rsid w:val="2674607E"/>
    <w:rsid w:val="267E5ADA"/>
    <w:rsid w:val="26B40B71"/>
    <w:rsid w:val="26D66D39"/>
    <w:rsid w:val="26EA575C"/>
    <w:rsid w:val="26EA6341"/>
    <w:rsid w:val="26FC2724"/>
    <w:rsid w:val="2705677C"/>
    <w:rsid w:val="270C4509"/>
    <w:rsid w:val="271909D4"/>
    <w:rsid w:val="27231581"/>
    <w:rsid w:val="272376E9"/>
    <w:rsid w:val="2734580E"/>
    <w:rsid w:val="2753664C"/>
    <w:rsid w:val="276205CD"/>
    <w:rsid w:val="27787DF0"/>
    <w:rsid w:val="2779710D"/>
    <w:rsid w:val="27912C60"/>
    <w:rsid w:val="279B588D"/>
    <w:rsid w:val="27AA1E24"/>
    <w:rsid w:val="27AC7A9A"/>
    <w:rsid w:val="27F05BD9"/>
    <w:rsid w:val="281D1919"/>
    <w:rsid w:val="284E121B"/>
    <w:rsid w:val="284F6DA3"/>
    <w:rsid w:val="28557F50"/>
    <w:rsid w:val="285A74F6"/>
    <w:rsid w:val="286B1A6F"/>
    <w:rsid w:val="288C38D8"/>
    <w:rsid w:val="28926C90"/>
    <w:rsid w:val="289522DC"/>
    <w:rsid w:val="289F35E5"/>
    <w:rsid w:val="28A06623"/>
    <w:rsid w:val="28FA1BF1"/>
    <w:rsid w:val="29226266"/>
    <w:rsid w:val="298F4F7D"/>
    <w:rsid w:val="29995B0D"/>
    <w:rsid w:val="299E1B7D"/>
    <w:rsid w:val="29B21742"/>
    <w:rsid w:val="29CD4867"/>
    <w:rsid w:val="29FA0F90"/>
    <w:rsid w:val="29FD45DD"/>
    <w:rsid w:val="2A063491"/>
    <w:rsid w:val="2A0E6D39"/>
    <w:rsid w:val="2A73664D"/>
    <w:rsid w:val="2A816277"/>
    <w:rsid w:val="2A8B1BE9"/>
    <w:rsid w:val="2A9C2048"/>
    <w:rsid w:val="2A9C3DF6"/>
    <w:rsid w:val="2AB63109"/>
    <w:rsid w:val="2ADC41F2"/>
    <w:rsid w:val="2AE610ED"/>
    <w:rsid w:val="2AEF3F25"/>
    <w:rsid w:val="2AF552B4"/>
    <w:rsid w:val="2B0F45C8"/>
    <w:rsid w:val="2B3C660D"/>
    <w:rsid w:val="2B3E4EAD"/>
    <w:rsid w:val="2B5A6805"/>
    <w:rsid w:val="2B667F60"/>
    <w:rsid w:val="2B870602"/>
    <w:rsid w:val="2B97636B"/>
    <w:rsid w:val="2BAA609E"/>
    <w:rsid w:val="2BB26C42"/>
    <w:rsid w:val="2BBF5FEE"/>
    <w:rsid w:val="2BD17ACF"/>
    <w:rsid w:val="2BDF21EC"/>
    <w:rsid w:val="2BE772F2"/>
    <w:rsid w:val="2C302A48"/>
    <w:rsid w:val="2C33078A"/>
    <w:rsid w:val="2C351E0C"/>
    <w:rsid w:val="2C5D75B5"/>
    <w:rsid w:val="2C7E3F14"/>
    <w:rsid w:val="2C820DC9"/>
    <w:rsid w:val="2C9373B1"/>
    <w:rsid w:val="2CBD3A81"/>
    <w:rsid w:val="2CF25F4F"/>
    <w:rsid w:val="2D0D0F6C"/>
    <w:rsid w:val="2D31190F"/>
    <w:rsid w:val="2D447E0E"/>
    <w:rsid w:val="2D5474A6"/>
    <w:rsid w:val="2D595FCE"/>
    <w:rsid w:val="2D5F2018"/>
    <w:rsid w:val="2D687FBF"/>
    <w:rsid w:val="2D856DC3"/>
    <w:rsid w:val="2D9E2BDC"/>
    <w:rsid w:val="2DA03BFD"/>
    <w:rsid w:val="2DC378EB"/>
    <w:rsid w:val="2DC53663"/>
    <w:rsid w:val="2DC55411"/>
    <w:rsid w:val="2DFB71A2"/>
    <w:rsid w:val="2E1920A8"/>
    <w:rsid w:val="2E2154A7"/>
    <w:rsid w:val="2E42139C"/>
    <w:rsid w:val="2E656FD2"/>
    <w:rsid w:val="2E6A7D67"/>
    <w:rsid w:val="2E894691"/>
    <w:rsid w:val="2E8E7EF9"/>
    <w:rsid w:val="2E9C205A"/>
    <w:rsid w:val="2EA65243"/>
    <w:rsid w:val="2EB4353D"/>
    <w:rsid w:val="2ECE02F6"/>
    <w:rsid w:val="2EF04710"/>
    <w:rsid w:val="2F560A17"/>
    <w:rsid w:val="2F5B427F"/>
    <w:rsid w:val="2F6173BC"/>
    <w:rsid w:val="2F631386"/>
    <w:rsid w:val="2F6B1FE9"/>
    <w:rsid w:val="2F7C58A4"/>
    <w:rsid w:val="2F8F217B"/>
    <w:rsid w:val="2FB27C17"/>
    <w:rsid w:val="2FC5794B"/>
    <w:rsid w:val="2FD22068"/>
    <w:rsid w:val="2FE17DD7"/>
    <w:rsid w:val="2FED0C50"/>
    <w:rsid w:val="2FEF6776"/>
    <w:rsid w:val="2FF16992"/>
    <w:rsid w:val="2FF63A3A"/>
    <w:rsid w:val="2FFE2E5D"/>
    <w:rsid w:val="30000983"/>
    <w:rsid w:val="30066D3C"/>
    <w:rsid w:val="30204B81"/>
    <w:rsid w:val="30244A7B"/>
    <w:rsid w:val="30330D58"/>
    <w:rsid w:val="304F5466"/>
    <w:rsid w:val="30500350"/>
    <w:rsid w:val="3058256D"/>
    <w:rsid w:val="306C7DC6"/>
    <w:rsid w:val="3078676B"/>
    <w:rsid w:val="307A0735"/>
    <w:rsid w:val="309C6923"/>
    <w:rsid w:val="30BE5C11"/>
    <w:rsid w:val="30C61205"/>
    <w:rsid w:val="30F84F44"/>
    <w:rsid w:val="30FF50DE"/>
    <w:rsid w:val="311A1F18"/>
    <w:rsid w:val="311B4858"/>
    <w:rsid w:val="311E5564"/>
    <w:rsid w:val="313B4368"/>
    <w:rsid w:val="319E1674"/>
    <w:rsid w:val="31B34F5B"/>
    <w:rsid w:val="31B9703B"/>
    <w:rsid w:val="31C76103"/>
    <w:rsid w:val="31CA749A"/>
    <w:rsid w:val="31DA682F"/>
    <w:rsid w:val="31E06798"/>
    <w:rsid w:val="31ED4F37"/>
    <w:rsid w:val="31F75CA1"/>
    <w:rsid w:val="31FD6AFC"/>
    <w:rsid w:val="320F6140"/>
    <w:rsid w:val="32184C4A"/>
    <w:rsid w:val="322C3CB1"/>
    <w:rsid w:val="322F1B9D"/>
    <w:rsid w:val="323B3EF4"/>
    <w:rsid w:val="324A05DB"/>
    <w:rsid w:val="327947E1"/>
    <w:rsid w:val="32851613"/>
    <w:rsid w:val="32917FB8"/>
    <w:rsid w:val="32943604"/>
    <w:rsid w:val="32A47CEB"/>
    <w:rsid w:val="32DF0D23"/>
    <w:rsid w:val="32E91BA2"/>
    <w:rsid w:val="32EC3A7E"/>
    <w:rsid w:val="331A6D5B"/>
    <w:rsid w:val="33447B2B"/>
    <w:rsid w:val="334B63B9"/>
    <w:rsid w:val="3354739B"/>
    <w:rsid w:val="33550FE6"/>
    <w:rsid w:val="336B250C"/>
    <w:rsid w:val="33707BCD"/>
    <w:rsid w:val="337A6C9E"/>
    <w:rsid w:val="339D29DC"/>
    <w:rsid w:val="33AB121A"/>
    <w:rsid w:val="33BB4FBE"/>
    <w:rsid w:val="33C06DA7"/>
    <w:rsid w:val="33C618D6"/>
    <w:rsid w:val="33FF2D73"/>
    <w:rsid w:val="34036C94"/>
    <w:rsid w:val="34120C85"/>
    <w:rsid w:val="342844FA"/>
    <w:rsid w:val="343839CB"/>
    <w:rsid w:val="345A6307"/>
    <w:rsid w:val="345E036E"/>
    <w:rsid w:val="346A0AC1"/>
    <w:rsid w:val="347F190D"/>
    <w:rsid w:val="34953D1C"/>
    <w:rsid w:val="34A73AC3"/>
    <w:rsid w:val="34B271AA"/>
    <w:rsid w:val="34BD5094"/>
    <w:rsid w:val="34E00D83"/>
    <w:rsid w:val="34E52484"/>
    <w:rsid w:val="34FA1E45"/>
    <w:rsid w:val="35132F06"/>
    <w:rsid w:val="351B1DBB"/>
    <w:rsid w:val="3529097C"/>
    <w:rsid w:val="35684401"/>
    <w:rsid w:val="356B543D"/>
    <w:rsid w:val="356D6ABA"/>
    <w:rsid w:val="35747E49"/>
    <w:rsid w:val="358D4A67"/>
    <w:rsid w:val="35C81757"/>
    <w:rsid w:val="35DC154A"/>
    <w:rsid w:val="35F03248"/>
    <w:rsid w:val="360A255B"/>
    <w:rsid w:val="36260A17"/>
    <w:rsid w:val="364610BA"/>
    <w:rsid w:val="368F2A60"/>
    <w:rsid w:val="36B85B13"/>
    <w:rsid w:val="36C26992"/>
    <w:rsid w:val="36D44917"/>
    <w:rsid w:val="36DA5A01"/>
    <w:rsid w:val="36E7464B"/>
    <w:rsid w:val="36E83F1F"/>
    <w:rsid w:val="36F31241"/>
    <w:rsid w:val="36F86282"/>
    <w:rsid w:val="37080424"/>
    <w:rsid w:val="37357164"/>
    <w:rsid w:val="373B711F"/>
    <w:rsid w:val="37525A26"/>
    <w:rsid w:val="37677539"/>
    <w:rsid w:val="378E4AC6"/>
    <w:rsid w:val="37927700"/>
    <w:rsid w:val="37B00EE0"/>
    <w:rsid w:val="37DA56D8"/>
    <w:rsid w:val="37DD1F80"/>
    <w:rsid w:val="37EA02D3"/>
    <w:rsid w:val="38015832"/>
    <w:rsid w:val="380B6117"/>
    <w:rsid w:val="384363D1"/>
    <w:rsid w:val="384F4255"/>
    <w:rsid w:val="38651CCB"/>
    <w:rsid w:val="38736D6A"/>
    <w:rsid w:val="38937FFA"/>
    <w:rsid w:val="38A10829"/>
    <w:rsid w:val="38AA3B82"/>
    <w:rsid w:val="38C10001"/>
    <w:rsid w:val="38C602AF"/>
    <w:rsid w:val="38C764E2"/>
    <w:rsid w:val="38CF72E8"/>
    <w:rsid w:val="391C69ED"/>
    <w:rsid w:val="391D3829"/>
    <w:rsid w:val="39285304"/>
    <w:rsid w:val="39303A2C"/>
    <w:rsid w:val="394C2E8B"/>
    <w:rsid w:val="39535FC7"/>
    <w:rsid w:val="39673821"/>
    <w:rsid w:val="397F2F54"/>
    <w:rsid w:val="397F6DBC"/>
    <w:rsid w:val="398F0FFC"/>
    <w:rsid w:val="398F3CA1"/>
    <w:rsid w:val="39A05CE8"/>
    <w:rsid w:val="39C12F31"/>
    <w:rsid w:val="39D72754"/>
    <w:rsid w:val="39DF3CFF"/>
    <w:rsid w:val="39E065C6"/>
    <w:rsid w:val="39E24237"/>
    <w:rsid w:val="39E3652C"/>
    <w:rsid w:val="39F72DF7"/>
    <w:rsid w:val="3A045513"/>
    <w:rsid w:val="3A1F234D"/>
    <w:rsid w:val="3A3556CD"/>
    <w:rsid w:val="3A38094C"/>
    <w:rsid w:val="3A4B6C9E"/>
    <w:rsid w:val="3A52627F"/>
    <w:rsid w:val="3A7206CF"/>
    <w:rsid w:val="3A7E47CB"/>
    <w:rsid w:val="3A850402"/>
    <w:rsid w:val="3AAA1C17"/>
    <w:rsid w:val="3AAD1707"/>
    <w:rsid w:val="3AB02FA5"/>
    <w:rsid w:val="3AD1189A"/>
    <w:rsid w:val="3AED7D56"/>
    <w:rsid w:val="3B0357CB"/>
    <w:rsid w:val="3B053B39"/>
    <w:rsid w:val="3B2D45F6"/>
    <w:rsid w:val="3B312338"/>
    <w:rsid w:val="3B3D36AA"/>
    <w:rsid w:val="3B4200A1"/>
    <w:rsid w:val="3B4A51A8"/>
    <w:rsid w:val="3B4F0A10"/>
    <w:rsid w:val="3B536376"/>
    <w:rsid w:val="3B7A783B"/>
    <w:rsid w:val="3B800BCA"/>
    <w:rsid w:val="3BB0325D"/>
    <w:rsid w:val="3BC4103C"/>
    <w:rsid w:val="3BD038FF"/>
    <w:rsid w:val="3BD3519D"/>
    <w:rsid w:val="3BE865EF"/>
    <w:rsid w:val="3C0B4937"/>
    <w:rsid w:val="3C0E2679"/>
    <w:rsid w:val="3C395948"/>
    <w:rsid w:val="3C53008C"/>
    <w:rsid w:val="3C5373A2"/>
    <w:rsid w:val="3C6C127E"/>
    <w:rsid w:val="3C797AF3"/>
    <w:rsid w:val="3CAD3B9A"/>
    <w:rsid w:val="3CB60D47"/>
    <w:rsid w:val="3CCB40C7"/>
    <w:rsid w:val="3CDE3DFA"/>
    <w:rsid w:val="3CEC4000"/>
    <w:rsid w:val="3CF4186F"/>
    <w:rsid w:val="3D1B32A0"/>
    <w:rsid w:val="3D202664"/>
    <w:rsid w:val="3D324146"/>
    <w:rsid w:val="3D9E2B22"/>
    <w:rsid w:val="3DE02F55"/>
    <w:rsid w:val="3DE05719"/>
    <w:rsid w:val="3DF02037"/>
    <w:rsid w:val="3DF25C70"/>
    <w:rsid w:val="3E0B0755"/>
    <w:rsid w:val="3E3F1672"/>
    <w:rsid w:val="3E4623E6"/>
    <w:rsid w:val="3E703177"/>
    <w:rsid w:val="3E720C9E"/>
    <w:rsid w:val="3EA35764"/>
    <w:rsid w:val="3EAB2402"/>
    <w:rsid w:val="3EC139D3"/>
    <w:rsid w:val="3ECC67EA"/>
    <w:rsid w:val="3EE13EE9"/>
    <w:rsid w:val="3EE80F60"/>
    <w:rsid w:val="3F1D43B8"/>
    <w:rsid w:val="3F20694C"/>
    <w:rsid w:val="3F2A77CA"/>
    <w:rsid w:val="3F3C2B8E"/>
    <w:rsid w:val="3F49343D"/>
    <w:rsid w:val="3F694895"/>
    <w:rsid w:val="3F830C89"/>
    <w:rsid w:val="3F9E7CF1"/>
    <w:rsid w:val="3FA330D9"/>
    <w:rsid w:val="3FAD78C7"/>
    <w:rsid w:val="3FB472AD"/>
    <w:rsid w:val="3FC1012F"/>
    <w:rsid w:val="3FDA3976"/>
    <w:rsid w:val="3FF52E19"/>
    <w:rsid w:val="400E0E9A"/>
    <w:rsid w:val="403E1960"/>
    <w:rsid w:val="40496A40"/>
    <w:rsid w:val="407C318D"/>
    <w:rsid w:val="408353E4"/>
    <w:rsid w:val="40B651B6"/>
    <w:rsid w:val="40C22711"/>
    <w:rsid w:val="40D65D0B"/>
    <w:rsid w:val="40E85247"/>
    <w:rsid w:val="40ED6D01"/>
    <w:rsid w:val="40F956A6"/>
    <w:rsid w:val="410B50C8"/>
    <w:rsid w:val="41350D1C"/>
    <w:rsid w:val="41517290"/>
    <w:rsid w:val="415775D8"/>
    <w:rsid w:val="415E6AEF"/>
    <w:rsid w:val="41720FB5"/>
    <w:rsid w:val="41821120"/>
    <w:rsid w:val="419E7FFC"/>
    <w:rsid w:val="41A85855"/>
    <w:rsid w:val="41B056FD"/>
    <w:rsid w:val="41B3357F"/>
    <w:rsid w:val="41B829FD"/>
    <w:rsid w:val="41BB0BAE"/>
    <w:rsid w:val="41BD104F"/>
    <w:rsid w:val="41BF069E"/>
    <w:rsid w:val="41C540D9"/>
    <w:rsid w:val="41D946F0"/>
    <w:rsid w:val="41E719A3"/>
    <w:rsid w:val="41F06FCC"/>
    <w:rsid w:val="42164036"/>
    <w:rsid w:val="42380450"/>
    <w:rsid w:val="423821FE"/>
    <w:rsid w:val="428C42F8"/>
    <w:rsid w:val="42DA5A94"/>
    <w:rsid w:val="42FA74B4"/>
    <w:rsid w:val="430950B9"/>
    <w:rsid w:val="430B346F"/>
    <w:rsid w:val="431A3F12"/>
    <w:rsid w:val="43252782"/>
    <w:rsid w:val="43352D37"/>
    <w:rsid w:val="4339622E"/>
    <w:rsid w:val="43601A0D"/>
    <w:rsid w:val="436A288B"/>
    <w:rsid w:val="437B6846"/>
    <w:rsid w:val="43A35D9D"/>
    <w:rsid w:val="44134CD1"/>
    <w:rsid w:val="44143923"/>
    <w:rsid w:val="444035EC"/>
    <w:rsid w:val="446318F4"/>
    <w:rsid w:val="446612A5"/>
    <w:rsid w:val="44DA57EF"/>
    <w:rsid w:val="44DF29F6"/>
    <w:rsid w:val="451F3201"/>
    <w:rsid w:val="452F446F"/>
    <w:rsid w:val="45350C77"/>
    <w:rsid w:val="453829F6"/>
    <w:rsid w:val="453D481B"/>
    <w:rsid w:val="453F5652"/>
    <w:rsid w:val="4561560D"/>
    <w:rsid w:val="458C3719"/>
    <w:rsid w:val="45AC0F39"/>
    <w:rsid w:val="45E22BAD"/>
    <w:rsid w:val="45EC73BA"/>
    <w:rsid w:val="46113492"/>
    <w:rsid w:val="46223E12"/>
    <w:rsid w:val="462B1DDD"/>
    <w:rsid w:val="46317690"/>
    <w:rsid w:val="463351B6"/>
    <w:rsid w:val="46491B6F"/>
    <w:rsid w:val="46492C2C"/>
    <w:rsid w:val="465B2D8B"/>
    <w:rsid w:val="466730B2"/>
    <w:rsid w:val="466B0DF4"/>
    <w:rsid w:val="466E4440"/>
    <w:rsid w:val="46933EA7"/>
    <w:rsid w:val="469B3313"/>
    <w:rsid w:val="469E790B"/>
    <w:rsid w:val="46BD2CD2"/>
    <w:rsid w:val="46D17B65"/>
    <w:rsid w:val="46D93CF1"/>
    <w:rsid w:val="470A538B"/>
    <w:rsid w:val="470E1891"/>
    <w:rsid w:val="47215957"/>
    <w:rsid w:val="475A41A2"/>
    <w:rsid w:val="47633879"/>
    <w:rsid w:val="47AB6FCE"/>
    <w:rsid w:val="47AF4D11"/>
    <w:rsid w:val="47B543C7"/>
    <w:rsid w:val="47FC5A7C"/>
    <w:rsid w:val="482F19AD"/>
    <w:rsid w:val="483D2B0E"/>
    <w:rsid w:val="48401E0D"/>
    <w:rsid w:val="484C6A03"/>
    <w:rsid w:val="48693CDB"/>
    <w:rsid w:val="48800D4D"/>
    <w:rsid w:val="489857A5"/>
    <w:rsid w:val="48A203D1"/>
    <w:rsid w:val="48A51C70"/>
    <w:rsid w:val="48BE3356"/>
    <w:rsid w:val="48BF2D31"/>
    <w:rsid w:val="48D525B6"/>
    <w:rsid w:val="48D573B2"/>
    <w:rsid w:val="48DB38E3"/>
    <w:rsid w:val="48EF0B1C"/>
    <w:rsid w:val="48EF6644"/>
    <w:rsid w:val="48FC3F85"/>
    <w:rsid w:val="4901632C"/>
    <w:rsid w:val="49284D7B"/>
    <w:rsid w:val="49367DCB"/>
    <w:rsid w:val="493E6225"/>
    <w:rsid w:val="49470F79"/>
    <w:rsid w:val="49507E2D"/>
    <w:rsid w:val="497004D0"/>
    <w:rsid w:val="498D1081"/>
    <w:rsid w:val="49AC5302"/>
    <w:rsid w:val="49B204CE"/>
    <w:rsid w:val="49F7299F"/>
    <w:rsid w:val="4A014102"/>
    <w:rsid w:val="4A0330F2"/>
    <w:rsid w:val="4A064990"/>
    <w:rsid w:val="4A1879D5"/>
    <w:rsid w:val="4A541B9F"/>
    <w:rsid w:val="4A6A4F1F"/>
    <w:rsid w:val="4A8E234E"/>
    <w:rsid w:val="4A912C8D"/>
    <w:rsid w:val="4ADF0021"/>
    <w:rsid w:val="4B054C48"/>
    <w:rsid w:val="4B0610EB"/>
    <w:rsid w:val="4B0C5FD6"/>
    <w:rsid w:val="4B2E0642"/>
    <w:rsid w:val="4B614574"/>
    <w:rsid w:val="4B6B2624"/>
    <w:rsid w:val="4B7163E4"/>
    <w:rsid w:val="4B95246F"/>
    <w:rsid w:val="4BA91A77"/>
    <w:rsid w:val="4BCF5A03"/>
    <w:rsid w:val="4BF54CBC"/>
    <w:rsid w:val="4BFA28DF"/>
    <w:rsid w:val="4C003D8D"/>
    <w:rsid w:val="4C096C91"/>
    <w:rsid w:val="4C1F4426"/>
    <w:rsid w:val="4C2F52B9"/>
    <w:rsid w:val="4C46376A"/>
    <w:rsid w:val="4C52210E"/>
    <w:rsid w:val="4C5E40D5"/>
    <w:rsid w:val="4C76404F"/>
    <w:rsid w:val="4C8062FB"/>
    <w:rsid w:val="4CA448D9"/>
    <w:rsid w:val="4CA50490"/>
    <w:rsid w:val="4CB03E07"/>
    <w:rsid w:val="4CCA578B"/>
    <w:rsid w:val="4CCE79E7"/>
    <w:rsid w:val="4CE6624D"/>
    <w:rsid w:val="4D022AC8"/>
    <w:rsid w:val="4D136991"/>
    <w:rsid w:val="4D183358"/>
    <w:rsid w:val="4D1B0752"/>
    <w:rsid w:val="4D2515D1"/>
    <w:rsid w:val="4D387556"/>
    <w:rsid w:val="4D4203D5"/>
    <w:rsid w:val="4D514C87"/>
    <w:rsid w:val="4D560C1D"/>
    <w:rsid w:val="4D6655FF"/>
    <w:rsid w:val="4D6B792C"/>
    <w:rsid w:val="4D862070"/>
    <w:rsid w:val="4D9A1FBF"/>
    <w:rsid w:val="4DA644C0"/>
    <w:rsid w:val="4DB43081"/>
    <w:rsid w:val="4DBC0010"/>
    <w:rsid w:val="4DC40DEA"/>
    <w:rsid w:val="4DCB2178"/>
    <w:rsid w:val="4DE4323A"/>
    <w:rsid w:val="4DFB1F60"/>
    <w:rsid w:val="4E2E6792"/>
    <w:rsid w:val="4E5959D6"/>
    <w:rsid w:val="4E636855"/>
    <w:rsid w:val="4E824F2D"/>
    <w:rsid w:val="4E872543"/>
    <w:rsid w:val="4E9764FE"/>
    <w:rsid w:val="4E9776CC"/>
    <w:rsid w:val="4EA24854"/>
    <w:rsid w:val="4EA604F0"/>
    <w:rsid w:val="4ECC4613"/>
    <w:rsid w:val="4ECF5C98"/>
    <w:rsid w:val="4EE96F7A"/>
    <w:rsid w:val="4EF678AF"/>
    <w:rsid w:val="4EFB6A8D"/>
    <w:rsid w:val="4F0771E0"/>
    <w:rsid w:val="4F2064F4"/>
    <w:rsid w:val="4F3B332E"/>
    <w:rsid w:val="4F644633"/>
    <w:rsid w:val="4F6C1739"/>
    <w:rsid w:val="4F9547EC"/>
    <w:rsid w:val="4F98252E"/>
    <w:rsid w:val="4F9A2C4A"/>
    <w:rsid w:val="4FC275AB"/>
    <w:rsid w:val="4FE01E6D"/>
    <w:rsid w:val="4FEA2CB9"/>
    <w:rsid w:val="5038161B"/>
    <w:rsid w:val="504F7091"/>
    <w:rsid w:val="505609E1"/>
    <w:rsid w:val="50597F0F"/>
    <w:rsid w:val="50673179"/>
    <w:rsid w:val="50C01D3C"/>
    <w:rsid w:val="50C335DB"/>
    <w:rsid w:val="50C8299F"/>
    <w:rsid w:val="50EF43D0"/>
    <w:rsid w:val="510C1AAD"/>
    <w:rsid w:val="510E79A5"/>
    <w:rsid w:val="512E314A"/>
    <w:rsid w:val="514C35D0"/>
    <w:rsid w:val="515240B4"/>
    <w:rsid w:val="51674809"/>
    <w:rsid w:val="51713037"/>
    <w:rsid w:val="51825244"/>
    <w:rsid w:val="518F49C1"/>
    <w:rsid w:val="51BD002A"/>
    <w:rsid w:val="51F66AA6"/>
    <w:rsid w:val="51F71ED3"/>
    <w:rsid w:val="520B4AAB"/>
    <w:rsid w:val="52117B0C"/>
    <w:rsid w:val="52232583"/>
    <w:rsid w:val="52450ED8"/>
    <w:rsid w:val="52757B0E"/>
    <w:rsid w:val="5276311A"/>
    <w:rsid w:val="52971A21"/>
    <w:rsid w:val="529E1C09"/>
    <w:rsid w:val="52A64F62"/>
    <w:rsid w:val="52B92EE7"/>
    <w:rsid w:val="52D95337"/>
    <w:rsid w:val="52D970E6"/>
    <w:rsid w:val="52EA4E4F"/>
    <w:rsid w:val="52ED1546"/>
    <w:rsid w:val="530D4FE1"/>
    <w:rsid w:val="530E2528"/>
    <w:rsid w:val="5336216F"/>
    <w:rsid w:val="535B7AFB"/>
    <w:rsid w:val="536476E1"/>
    <w:rsid w:val="537D695B"/>
    <w:rsid w:val="538637CC"/>
    <w:rsid w:val="53863D11"/>
    <w:rsid w:val="538C545F"/>
    <w:rsid w:val="53947B06"/>
    <w:rsid w:val="53B67427"/>
    <w:rsid w:val="53C96B19"/>
    <w:rsid w:val="53D33B35"/>
    <w:rsid w:val="53E2021C"/>
    <w:rsid w:val="53E43F94"/>
    <w:rsid w:val="53EB1A58"/>
    <w:rsid w:val="53EC4BF7"/>
    <w:rsid w:val="53FE2BC8"/>
    <w:rsid w:val="54181FF7"/>
    <w:rsid w:val="541E0424"/>
    <w:rsid w:val="54366A1C"/>
    <w:rsid w:val="543A1E06"/>
    <w:rsid w:val="54640C31"/>
    <w:rsid w:val="546E205D"/>
    <w:rsid w:val="547A5B6F"/>
    <w:rsid w:val="547C4F8D"/>
    <w:rsid w:val="54A51975"/>
    <w:rsid w:val="54C55B73"/>
    <w:rsid w:val="54C85664"/>
    <w:rsid w:val="54CD67D6"/>
    <w:rsid w:val="54D6605C"/>
    <w:rsid w:val="54DD64C8"/>
    <w:rsid w:val="54E3424B"/>
    <w:rsid w:val="54E35FFA"/>
    <w:rsid w:val="54F9581D"/>
    <w:rsid w:val="55055F70"/>
    <w:rsid w:val="550F6DEF"/>
    <w:rsid w:val="55450A62"/>
    <w:rsid w:val="555E1B24"/>
    <w:rsid w:val="556B7178"/>
    <w:rsid w:val="55773420"/>
    <w:rsid w:val="558C68FC"/>
    <w:rsid w:val="559E5A11"/>
    <w:rsid w:val="55A5347D"/>
    <w:rsid w:val="55AC288F"/>
    <w:rsid w:val="55AE2AAB"/>
    <w:rsid w:val="55E77D6B"/>
    <w:rsid w:val="56064695"/>
    <w:rsid w:val="56073F6A"/>
    <w:rsid w:val="564121B6"/>
    <w:rsid w:val="56705FB3"/>
    <w:rsid w:val="567710EF"/>
    <w:rsid w:val="56794E67"/>
    <w:rsid w:val="56B0015D"/>
    <w:rsid w:val="56D437F5"/>
    <w:rsid w:val="56E9366F"/>
    <w:rsid w:val="570A3D11"/>
    <w:rsid w:val="570B7A8A"/>
    <w:rsid w:val="57142670"/>
    <w:rsid w:val="572A43B4"/>
    <w:rsid w:val="57407733"/>
    <w:rsid w:val="57415259"/>
    <w:rsid w:val="574D57E6"/>
    <w:rsid w:val="578F4217"/>
    <w:rsid w:val="57A9177C"/>
    <w:rsid w:val="57BE4AFC"/>
    <w:rsid w:val="57CA0115"/>
    <w:rsid w:val="57D0743E"/>
    <w:rsid w:val="57F20686"/>
    <w:rsid w:val="58091BB9"/>
    <w:rsid w:val="580A1AEF"/>
    <w:rsid w:val="581A61D6"/>
    <w:rsid w:val="5827444F"/>
    <w:rsid w:val="583C03D8"/>
    <w:rsid w:val="586755A8"/>
    <w:rsid w:val="58692CBA"/>
    <w:rsid w:val="588B2C30"/>
    <w:rsid w:val="58B008E9"/>
    <w:rsid w:val="58B8154B"/>
    <w:rsid w:val="58C46142"/>
    <w:rsid w:val="58C77C4C"/>
    <w:rsid w:val="58CE431A"/>
    <w:rsid w:val="58D345D7"/>
    <w:rsid w:val="58F03C0A"/>
    <w:rsid w:val="58F16A74"/>
    <w:rsid w:val="58FF210C"/>
    <w:rsid w:val="59090384"/>
    <w:rsid w:val="59125105"/>
    <w:rsid w:val="5919648E"/>
    <w:rsid w:val="59406718"/>
    <w:rsid w:val="597A4A53"/>
    <w:rsid w:val="598633F7"/>
    <w:rsid w:val="599649A8"/>
    <w:rsid w:val="5999137D"/>
    <w:rsid w:val="59AA44AC"/>
    <w:rsid w:val="59E545C2"/>
    <w:rsid w:val="59EB516A"/>
    <w:rsid w:val="5A114393"/>
    <w:rsid w:val="5A2D5403"/>
    <w:rsid w:val="5A3E3CD2"/>
    <w:rsid w:val="5A582575"/>
    <w:rsid w:val="5A821E11"/>
    <w:rsid w:val="5A897643"/>
    <w:rsid w:val="5A9F4737"/>
    <w:rsid w:val="5AA47FD9"/>
    <w:rsid w:val="5AE623A0"/>
    <w:rsid w:val="5AE76118"/>
    <w:rsid w:val="5AFF3461"/>
    <w:rsid w:val="5B1F1D55"/>
    <w:rsid w:val="5B274488"/>
    <w:rsid w:val="5B532A3F"/>
    <w:rsid w:val="5B7D5C8B"/>
    <w:rsid w:val="5BA30291"/>
    <w:rsid w:val="5BA56A55"/>
    <w:rsid w:val="5BBA672B"/>
    <w:rsid w:val="5BCE3868"/>
    <w:rsid w:val="5BCF552A"/>
    <w:rsid w:val="5BDE1DC2"/>
    <w:rsid w:val="5BE014E5"/>
    <w:rsid w:val="5C593045"/>
    <w:rsid w:val="5C6914DA"/>
    <w:rsid w:val="5C732359"/>
    <w:rsid w:val="5C841E70"/>
    <w:rsid w:val="5C8E0F41"/>
    <w:rsid w:val="5CA07A90"/>
    <w:rsid w:val="5CB30787"/>
    <w:rsid w:val="5CB848A0"/>
    <w:rsid w:val="5CCC1A69"/>
    <w:rsid w:val="5CDD378B"/>
    <w:rsid w:val="5D041203"/>
    <w:rsid w:val="5D4C62B0"/>
    <w:rsid w:val="5D5338AC"/>
    <w:rsid w:val="5D722610"/>
    <w:rsid w:val="5D755C5D"/>
    <w:rsid w:val="5D790044"/>
    <w:rsid w:val="5D8D340D"/>
    <w:rsid w:val="5D94619C"/>
    <w:rsid w:val="5DB449D7"/>
    <w:rsid w:val="5DB76275"/>
    <w:rsid w:val="5DD2076A"/>
    <w:rsid w:val="5DD5494D"/>
    <w:rsid w:val="5E14191A"/>
    <w:rsid w:val="5E162F9C"/>
    <w:rsid w:val="5E331DA0"/>
    <w:rsid w:val="5E3E0745"/>
    <w:rsid w:val="5E8048B9"/>
    <w:rsid w:val="5E882E35"/>
    <w:rsid w:val="5EA60235"/>
    <w:rsid w:val="5EB159A8"/>
    <w:rsid w:val="5EE25574"/>
    <w:rsid w:val="5EEB267A"/>
    <w:rsid w:val="5F1020E1"/>
    <w:rsid w:val="5F160263"/>
    <w:rsid w:val="5F180C4D"/>
    <w:rsid w:val="5F7C32D2"/>
    <w:rsid w:val="5F8B1768"/>
    <w:rsid w:val="5F9920D6"/>
    <w:rsid w:val="5F9E593F"/>
    <w:rsid w:val="5FAD40F5"/>
    <w:rsid w:val="5FB02792"/>
    <w:rsid w:val="5FB32D21"/>
    <w:rsid w:val="5FB5513D"/>
    <w:rsid w:val="5FC91F92"/>
    <w:rsid w:val="5FCA43B9"/>
    <w:rsid w:val="5FD20458"/>
    <w:rsid w:val="5FDC6A46"/>
    <w:rsid w:val="5FE267CC"/>
    <w:rsid w:val="5FF27F8E"/>
    <w:rsid w:val="601E082E"/>
    <w:rsid w:val="60351019"/>
    <w:rsid w:val="60471B32"/>
    <w:rsid w:val="60517652"/>
    <w:rsid w:val="60671D01"/>
    <w:rsid w:val="60A76A75"/>
    <w:rsid w:val="60A82F9D"/>
    <w:rsid w:val="60BF59C2"/>
    <w:rsid w:val="60C154BA"/>
    <w:rsid w:val="60D55390"/>
    <w:rsid w:val="60D763FE"/>
    <w:rsid w:val="60F5158E"/>
    <w:rsid w:val="61090919"/>
    <w:rsid w:val="61361F5C"/>
    <w:rsid w:val="6142054C"/>
    <w:rsid w:val="614208AF"/>
    <w:rsid w:val="61502C69"/>
    <w:rsid w:val="61722BDF"/>
    <w:rsid w:val="618224EE"/>
    <w:rsid w:val="619A2136"/>
    <w:rsid w:val="61F5736C"/>
    <w:rsid w:val="61FD1633"/>
    <w:rsid w:val="6206374F"/>
    <w:rsid w:val="620D5F4E"/>
    <w:rsid w:val="62165C60"/>
    <w:rsid w:val="6243457B"/>
    <w:rsid w:val="62467BC8"/>
    <w:rsid w:val="62574B9F"/>
    <w:rsid w:val="626B63B9"/>
    <w:rsid w:val="626F6054"/>
    <w:rsid w:val="62750B1A"/>
    <w:rsid w:val="627B1F67"/>
    <w:rsid w:val="62A50D92"/>
    <w:rsid w:val="62AC0373"/>
    <w:rsid w:val="62BA1672"/>
    <w:rsid w:val="62C27B96"/>
    <w:rsid w:val="62C51434"/>
    <w:rsid w:val="62D75A47"/>
    <w:rsid w:val="62DF24F6"/>
    <w:rsid w:val="62E61C76"/>
    <w:rsid w:val="62F87114"/>
    <w:rsid w:val="62FB74EE"/>
    <w:rsid w:val="63127E64"/>
    <w:rsid w:val="631321A0"/>
    <w:rsid w:val="63181564"/>
    <w:rsid w:val="63236C18"/>
    <w:rsid w:val="63312626"/>
    <w:rsid w:val="63365E8E"/>
    <w:rsid w:val="633D3934"/>
    <w:rsid w:val="63656FAE"/>
    <w:rsid w:val="63827AFC"/>
    <w:rsid w:val="63862972"/>
    <w:rsid w:val="639826A5"/>
    <w:rsid w:val="639D0D3D"/>
    <w:rsid w:val="63A16AD9"/>
    <w:rsid w:val="63A70D24"/>
    <w:rsid w:val="63D556A7"/>
    <w:rsid w:val="642B52C7"/>
    <w:rsid w:val="64380F8E"/>
    <w:rsid w:val="64395C36"/>
    <w:rsid w:val="643C5726"/>
    <w:rsid w:val="644545DB"/>
    <w:rsid w:val="644902DF"/>
    <w:rsid w:val="64670A4D"/>
    <w:rsid w:val="647369F2"/>
    <w:rsid w:val="648010BA"/>
    <w:rsid w:val="64825AEF"/>
    <w:rsid w:val="64994927"/>
    <w:rsid w:val="64BC449E"/>
    <w:rsid w:val="64C25C2B"/>
    <w:rsid w:val="64C73242"/>
    <w:rsid w:val="64D94D23"/>
    <w:rsid w:val="64E161B1"/>
    <w:rsid w:val="64E536C8"/>
    <w:rsid w:val="6518256A"/>
    <w:rsid w:val="652E32C1"/>
    <w:rsid w:val="6531690D"/>
    <w:rsid w:val="653B397C"/>
    <w:rsid w:val="654F2A85"/>
    <w:rsid w:val="65560944"/>
    <w:rsid w:val="6582167A"/>
    <w:rsid w:val="658C6239"/>
    <w:rsid w:val="65903CFB"/>
    <w:rsid w:val="65C92FEA"/>
    <w:rsid w:val="65D379C4"/>
    <w:rsid w:val="65E22B7D"/>
    <w:rsid w:val="65E358E4"/>
    <w:rsid w:val="66061B48"/>
    <w:rsid w:val="660974CA"/>
    <w:rsid w:val="66144B02"/>
    <w:rsid w:val="661F1DE7"/>
    <w:rsid w:val="665E1984"/>
    <w:rsid w:val="66644AC0"/>
    <w:rsid w:val="66664CDC"/>
    <w:rsid w:val="66B80FD4"/>
    <w:rsid w:val="66C20165"/>
    <w:rsid w:val="66E53E53"/>
    <w:rsid w:val="674939D6"/>
    <w:rsid w:val="674F5092"/>
    <w:rsid w:val="674F5543"/>
    <w:rsid w:val="67542D87"/>
    <w:rsid w:val="67827ABF"/>
    <w:rsid w:val="67B53825"/>
    <w:rsid w:val="67B67DBB"/>
    <w:rsid w:val="67CC2F67"/>
    <w:rsid w:val="67CC543C"/>
    <w:rsid w:val="67D143D7"/>
    <w:rsid w:val="67DF4D46"/>
    <w:rsid w:val="67E54319"/>
    <w:rsid w:val="67F16764"/>
    <w:rsid w:val="67FF273B"/>
    <w:rsid w:val="680B78E9"/>
    <w:rsid w:val="681A4FC4"/>
    <w:rsid w:val="68420E31"/>
    <w:rsid w:val="685C6397"/>
    <w:rsid w:val="686C48BF"/>
    <w:rsid w:val="688D02FE"/>
    <w:rsid w:val="68917019"/>
    <w:rsid w:val="68C726A5"/>
    <w:rsid w:val="68D777CC"/>
    <w:rsid w:val="68DC4DE2"/>
    <w:rsid w:val="68E02B24"/>
    <w:rsid w:val="69036813"/>
    <w:rsid w:val="69085BD7"/>
    <w:rsid w:val="6938470E"/>
    <w:rsid w:val="694939DC"/>
    <w:rsid w:val="694C1F68"/>
    <w:rsid w:val="69561038"/>
    <w:rsid w:val="69586B5E"/>
    <w:rsid w:val="69791375"/>
    <w:rsid w:val="69820C2D"/>
    <w:rsid w:val="698352E7"/>
    <w:rsid w:val="6984327E"/>
    <w:rsid w:val="69873C4D"/>
    <w:rsid w:val="69A91168"/>
    <w:rsid w:val="69C015CA"/>
    <w:rsid w:val="69D02B99"/>
    <w:rsid w:val="69EE1271"/>
    <w:rsid w:val="6A2B7DCF"/>
    <w:rsid w:val="6A2C1D99"/>
    <w:rsid w:val="6A425119"/>
    <w:rsid w:val="6A48588C"/>
    <w:rsid w:val="6A4E3ABD"/>
    <w:rsid w:val="6A521800"/>
    <w:rsid w:val="6A5C01F5"/>
    <w:rsid w:val="6A620056"/>
    <w:rsid w:val="6A6D488B"/>
    <w:rsid w:val="6A7B356D"/>
    <w:rsid w:val="6A94006A"/>
    <w:rsid w:val="6ABC311D"/>
    <w:rsid w:val="6AC31DB0"/>
    <w:rsid w:val="6AE0505D"/>
    <w:rsid w:val="6AEF34F2"/>
    <w:rsid w:val="6B454B57"/>
    <w:rsid w:val="6B6C069F"/>
    <w:rsid w:val="6B873F51"/>
    <w:rsid w:val="6B8A321B"/>
    <w:rsid w:val="6B96396E"/>
    <w:rsid w:val="6B9D6AAA"/>
    <w:rsid w:val="6BAF67DE"/>
    <w:rsid w:val="6BBF2EC5"/>
    <w:rsid w:val="6BD82612"/>
    <w:rsid w:val="6C2D662E"/>
    <w:rsid w:val="6C3C4515"/>
    <w:rsid w:val="6C615D2A"/>
    <w:rsid w:val="6C7D068A"/>
    <w:rsid w:val="6CA134AA"/>
    <w:rsid w:val="6CA83A15"/>
    <w:rsid w:val="6CB322FE"/>
    <w:rsid w:val="6CC30793"/>
    <w:rsid w:val="6CCE0EE6"/>
    <w:rsid w:val="6CD85494"/>
    <w:rsid w:val="6CE4695B"/>
    <w:rsid w:val="6D2D20B0"/>
    <w:rsid w:val="6D4D62AE"/>
    <w:rsid w:val="6D5761CF"/>
    <w:rsid w:val="6D6F4477"/>
    <w:rsid w:val="6D77249B"/>
    <w:rsid w:val="6DA2484C"/>
    <w:rsid w:val="6DA71E62"/>
    <w:rsid w:val="6DB406A7"/>
    <w:rsid w:val="6DEE25FE"/>
    <w:rsid w:val="6DF53E4D"/>
    <w:rsid w:val="6E310F21"/>
    <w:rsid w:val="6E494CC8"/>
    <w:rsid w:val="6E4E6782"/>
    <w:rsid w:val="6E6E27A6"/>
    <w:rsid w:val="6E753F28"/>
    <w:rsid w:val="6E83368B"/>
    <w:rsid w:val="6EA2087C"/>
    <w:rsid w:val="6EA52E4E"/>
    <w:rsid w:val="6EA91C0A"/>
    <w:rsid w:val="6EA97457"/>
    <w:rsid w:val="6EC425A0"/>
    <w:rsid w:val="6ECE0C85"/>
    <w:rsid w:val="6ED4425D"/>
    <w:rsid w:val="6EE95BF5"/>
    <w:rsid w:val="6F045092"/>
    <w:rsid w:val="6F307C36"/>
    <w:rsid w:val="6F5B1156"/>
    <w:rsid w:val="6F6018A4"/>
    <w:rsid w:val="703B2D36"/>
    <w:rsid w:val="704C6CF1"/>
    <w:rsid w:val="70757CA8"/>
    <w:rsid w:val="70761FC0"/>
    <w:rsid w:val="70814BED"/>
    <w:rsid w:val="70AA32E1"/>
    <w:rsid w:val="70B26F93"/>
    <w:rsid w:val="70BB75A3"/>
    <w:rsid w:val="70DF7B65"/>
    <w:rsid w:val="70E50A34"/>
    <w:rsid w:val="70E92792"/>
    <w:rsid w:val="70FC24C5"/>
    <w:rsid w:val="71066EA0"/>
    <w:rsid w:val="710D7B51"/>
    <w:rsid w:val="710E21F8"/>
    <w:rsid w:val="711F4406"/>
    <w:rsid w:val="712D265E"/>
    <w:rsid w:val="71526B69"/>
    <w:rsid w:val="7160281F"/>
    <w:rsid w:val="719A6BE7"/>
    <w:rsid w:val="719C15B2"/>
    <w:rsid w:val="71AB5C99"/>
    <w:rsid w:val="71B6446A"/>
    <w:rsid w:val="71C823A7"/>
    <w:rsid w:val="71C923CC"/>
    <w:rsid w:val="71CB4BFC"/>
    <w:rsid w:val="71CC00E9"/>
    <w:rsid w:val="71D92806"/>
    <w:rsid w:val="71EB5739"/>
    <w:rsid w:val="71FD64F5"/>
    <w:rsid w:val="720D425E"/>
    <w:rsid w:val="720D5060"/>
    <w:rsid w:val="721D0945"/>
    <w:rsid w:val="72275320"/>
    <w:rsid w:val="72306B38"/>
    <w:rsid w:val="72361A07"/>
    <w:rsid w:val="724E0606"/>
    <w:rsid w:val="724F4877"/>
    <w:rsid w:val="725C63CE"/>
    <w:rsid w:val="72606A84"/>
    <w:rsid w:val="727367B7"/>
    <w:rsid w:val="727644F9"/>
    <w:rsid w:val="72794BD7"/>
    <w:rsid w:val="727A5985"/>
    <w:rsid w:val="727A7B45"/>
    <w:rsid w:val="727C6D52"/>
    <w:rsid w:val="72D54D7C"/>
    <w:rsid w:val="731B3719"/>
    <w:rsid w:val="73894A52"/>
    <w:rsid w:val="7397207E"/>
    <w:rsid w:val="73A17354"/>
    <w:rsid w:val="741E2752"/>
    <w:rsid w:val="742F670E"/>
    <w:rsid w:val="74312486"/>
    <w:rsid w:val="74530C41"/>
    <w:rsid w:val="746740F9"/>
    <w:rsid w:val="74687E72"/>
    <w:rsid w:val="746A18D5"/>
    <w:rsid w:val="7480340D"/>
    <w:rsid w:val="748C0004"/>
    <w:rsid w:val="748F72A5"/>
    <w:rsid w:val="74940C67"/>
    <w:rsid w:val="74956EB9"/>
    <w:rsid w:val="749B7E85"/>
    <w:rsid w:val="749C79C6"/>
    <w:rsid w:val="74B15D62"/>
    <w:rsid w:val="74B66E2F"/>
    <w:rsid w:val="74C07CAE"/>
    <w:rsid w:val="74E1677B"/>
    <w:rsid w:val="74F87447"/>
    <w:rsid w:val="75050C6E"/>
    <w:rsid w:val="75091655"/>
    <w:rsid w:val="751F6782"/>
    <w:rsid w:val="75521329"/>
    <w:rsid w:val="755F1275"/>
    <w:rsid w:val="75C86E1A"/>
    <w:rsid w:val="75CF01A8"/>
    <w:rsid w:val="75D43A11"/>
    <w:rsid w:val="75FE0A8D"/>
    <w:rsid w:val="760B4F58"/>
    <w:rsid w:val="760B6D06"/>
    <w:rsid w:val="76212B09"/>
    <w:rsid w:val="76366FA8"/>
    <w:rsid w:val="763B583E"/>
    <w:rsid w:val="76BC2E9C"/>
    <w:rsid w:val="76C820C1"/>
    <w:rsid w:val="7726029C"/>
    <w:rsid w:val="77387FCF"/>
    <w:rsid w:val="775A2047"/>
    <w:rsid w:val="775A7F45"/>
    <w:rsid w:val="775D17E4"/>
    <w:rsid w:val="77731007"/>
    <w:rsid w:val="777F1F06"/>
    <w:rsid w:val="778174BF"/>
    <w:rsid w:val="77822FF8"/>
    <w:rsid w:val="778C3E77"/>
    <w:rsid w:val="77905715"/>
    <w:rsid w:val="779A53B2"/>
    <w:rsid w:val="77A6318B"/>
    <w:rsid w:val="77AE3DED"/>
    <w:rsid w:val="77D537C7"/>
    <w:rsid w:val="77E872FF"/>
    <w:rsid w:val="77F008AA"/>
    <w:rsid w:val="780B7492"/>
    <w:rsid w:val="782642CC"/>
    <w:rsid w:val="78591FAB"/>
    <w:rsid w:val="785A6E89"/>
    <w:rsid w:val="78786AE6"/>
    <w:rsid w:val="78B33DB1"/>
    <w:rsid w:val="78B53B73"/>
    <w:rsid w:val="78BF11F1"/>
    <w:rsid w:val="78EE303B"/>
    <w:rsid w:val="78F9378E"/>
    <w:rsid w:val="7916585A"/>
    <w:rsid w:val="791F6B25"/>
    <w:rsid w:val="79257414"/>
    <w:rsid w:val="7956298E"/>
    <w:rsid w:val="799B60AC"/>
    <w:rsid w:val="79A24AE0"/>
    <w:rsid w:val="79A66D6A"/>
    <w:rsid w:val="79DC2E94"/>
    <w:rsid w:val="79E8413F"/>
    <w:rsid w:val="7A140EFA"/>
    <w:rsid w:val="7A195E96"/>
    <w:rsid w:val="7A3054FE"/>
    <w:rsid w:val="7A74131E"/>
    <w:rsid w:val="7A792DD8"/>
    <w:rsid w:val="7A8667B3"/>
    <w:rsid w:val="7A8F3AAE"/>
    <w:rsid w:val="7A911ED0"/>
    <w:rsid w:val="7A9D6AC7"/>
    <w:rsid w:val="7AA1406E"/>
    <w:rsid w:val="7AAD2A82"/>
    <w:rsid w:val="7AB41161"/>
    <w:rsid w:val="7AC8166A"/>
    <w:rsid w:val="7AE364A4"/>
    <w:rsid w:val="7AF216B7"/>
    <w:rsid w:val="7B072192"/>
    <w:rsid w:val="7B486EC0"/>
    <w:rsid w:val="7BC260B9"/>
    <w:rsid w:val="7BCE2CB0"/>
    <w:rsid w:val="7BE16FD0"/>
    <w:rsid w:val="7BF5648F"/>
    <w:rsid w:val="7C1A4147"/>
    <w:rsid w:val="7C2050E3"/>
    <w:rsid w:val="7C6C33AC"/>
    <w:rsid w:val="7C947A56"/>
    <w:rsid w:val="7C9977CC"/>
    <w:rsid w:val="7CA0464C"/>
    <w:rsid w:val="7CBA7768"/>
    <w:rsid w:val="7CC540B3"/>
    <w:rsid w:val="7CCA289C"/>
    <w:rsid w:val="7CCA791B"/>
    <w:rsid w:val="7CF229CE"/>
    <w:rsid w:val="7CFD384D"/>
    <w:rsid w:val="7D0668E7"/>
    <w:rsid w:val="7D431AA0"/>
    <w:rsid w:val="7D5611AF"/>
    <w:rsid w:val="7D80447E"/>
    <w:rsid w:val="7D86695B"/>
    <w:rsid w:val="7D871368"/>
    <w:rsid w:val="7D951CD7"/>
    <w:rsid w:val="7DA57A41"/>
    <w:rsid w:val="7DB20161"/>
    <w:rsid w:val="7DBE536A"/>
    <w:rsid w:val="7DD54C56"/>
    <w:rsid w:val="7DEF3717"/>
    <w:rsid w:val="7DFF35F5"/>
    <w:rsid w:val="7E006375"/>
    <w:rsid w:val="7E13206D"/>
    <w:rsid w:val="7E514C6E"/>
    <w:rsid w:val="7E5751DF"/>
    <w:rsid w:val="7E5C27F5"/>
    <w:rsid w:val="7E682726"/>
    <w:rsid w:val="7E811580"/>
    <w:rsid w:val="7E816FDA"/>
    <w:rsid w:val="7E8F758A"/>
    <w:rsid w:val="7EB80774"/>
    <w:rsid w:val="7EF0118F"/>
    <w:rsid w:val="7F0F1615"/>
    <w:rsid w:val="7F29457C"/>
    <w:rsid w:val="7F325C7E"/>
    <w:rsid w:val="7F4D22F5"/>
    <w:rsid w:val="7F52516C"/>
    <w:rsid w:val="7F7736ED"/>
    <w:rsid w:val="7F7818B1"/>
    <w:rsid w:val="7F7973D7"/>
    <w:rsid w:val="7F7B02A3"/>
    <w:rsid w:val="7F7C1CF8"/>
    <w:rsid w:val="7F82628B"/>
    <w:rsid w:val="7F8B3675"/>
    <w:rsid w:val="7F980CE9"/>
    <w:rsid w:val="7FA11504"/>
  </w:rsids>
  <m:mathPr>
    <m:brkBin m:val="before"/>
    <m:brkBinSub m:val="--"/>
    <m:smallFrac m:val="0"/>
    <m:dispDef/>
    <m:lMargin m:val="0"/>
    <m:rMargin m:val="0"/>
    <m:defJc m:val="centerGroup"/>
    <m:wrapIndent m:val="1440"/>
    <m:intLim m:val="subSup"/>
    <m:naryLim m:val="undOvr"/>
  </m:mathPr>
  <w:uiCompat97To2003/>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0" w:semiHidden="0" w:name="heading 2"/>
    <w:lsdException w:qFormat="1" w:unhideWhenUsed="0" w:uiPriority="0" w:semiHidden="0" w:name="heading 3"/>
    <w:lsdException w:qFormat="1" w:unhideWhenUsed="0" w:uiPriority="0" w:semiHidden="0" w:name="heading 4"/>
    <w:lsdException w:qFormat="1" w:unhideWhenUsed="0" w:uiPriority="0" w:semiHidden="0" w:name="heading 5"/>
    <w:lsdException w:qFormat="1" w:unhideWhenUsed="0" w:uiPriority="0" w:semiHidden="0" w:name="heading 6"/>
    <w:lsdException w:qFormat="1" w:unhideWhenUsed="0" w:uiPriority="0" w:semiHidden="0" w:name="heading 7"/>
    <w:lsdException w:qFormat="1" w:unhideWhenUsed="0" w:uiPriority="0" w:semiHidden="0" w:name="heading 8"/>
    <w:lsdException w:qFormat="1" w:unhideWhenUsed="0" w:uiPriority="0" w:semiHidden="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39" w:semiHidden="0" w:name="toc 1"/>
    <w:lsdException w:unhideWhenUsed="0" w:uiPriority="39" w:semiHidden="0" w:name="toc 2"/>
    <w:lsdException w:unhideWhenUsed="0" w:uiPriority="39"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qFormat="1" w:unhideWhenUsed="0" w:uiPriority="0" w:semiHidden="0" w:name="Normal Indent"/>
    <w:lsdException w:unhideWhenUsed="0" w:uiPriority="0" w:semiHidden="0" w:name="footnote text"/>
    <w:lsdException w:qFormat="1" w:unhideWhenUsed="0" w:uiPriority="0" w:semiHidden="0" w:name="annotation text"/>
    <w:lsdException w:unhideWhenUsed="0" w:uiPriority="0" w:semiHidden="0" w:name="header"/>
    <w:lsdException w:unhideWhenUsed="0" w:uiPriority="99" w:semiHidden="0" w:name="footer"/>
    <w:lsdException w:unhideWhenUsed="0" w:uiPriority="0" w:semiHidden="0" w:name="index heading"/>
    <w:lsdException w:qFormat="1" w:unhideWhenUsed="0" w:uiPriority="0" w:semiHidden="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semiHidden="0" w:name="Default Paragraph Font"/>
    <w:lsdException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qFormat="1" w:unhideWhenUsed="0" w:uiPriority="99"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qFormat="1" w:unhideWhenUsed="0" w:uiPriority="99" w:semiHidden="0" w:name="Hyperlink"/>
    <w:lsdException w:unhideWhenUsed="0" w:uiPriority="99" w:semiHidden="0" w:name="FollowedHyperlink"/>
    <w:lsdException w:qFormat="1" w:unhideWhenUsed="0" w:uiPriority="22" w:semiHidden="0" w:name="Strong"/>
    <w:lsdException w:qFormat="1" w:unhideWhenUsed="0" w:uiPriority="0" w:semiHidden="0" w:name="Emphasis"/>
    <w:lsdException w:unhideWhenUsed="0" w:uiPriority="0" w:semiHidden="0" w:name="Document Map"/>
    <w:lsdException w:qFormat="1"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59" w:semiHidden="0" w:name="Table Grid"/>
    <w:lsdException w:unhideWhenUsed="0" w:uiPriority="0" w:semiHidden="0" w:name="Table Theme"/>
    <w:lsdException w:qFormat="1" w:unhideWhenUsed="0" w:uiPriority="0" w:semiHidden="0" w:name="No Spacing"/>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rPr>
      <w:sz w:val="21"/>
      <w:lang w:val="en-US" w:eastAsia="zh-CN" w:bidi="ar-SA"/>
    </w:rPr>
  </w:style>
  <w:style w:type="paragraph" w:styleId="3">
    <w:name w:val="heading 1"/>
    <w:basedOn w:val="1"/>
    <w:next w:val="1"/>
    <w:link w:val="69"/>
    <w:qFormat/>
    <w:uiPriority w:val="0"/>
    <w:pPr>
      <w:keepNext/>
      <w:keepLines/>
      <w:widowControl w:val="0"/>
      <w:tabs>
        <w:tab w:val="left" w:pos="840"/>
      </w:tabs>
      <w:adjustRightInd w:val="0"/>
      <w:snapToGrid w:val="0"/>
      <w:spacing w:line="360" w:lineRule="auto"/>
      <w:jc w:val="both"/>
      <w:outlineLvl w:val="0"/>
    </w:pPr>
    <w:rPr>
      <w:rFonts w:ascii="宋体"/>
      <w:b/>
      <w:kern w:val="44"/>
      <w:sz w:val="24"/>
    </w:rPr>
  </w:style>
  <w:style w:type="paragraph" w:styleId="4">
    <w:name w:val="heading 2"/>
    <w:basedOn w:val="3"/>
    <w:next w:val="1"/>
    <w:link w:val="70"/>
    <w:qFormat/>
    <w:uiPriority w:val="0"/>
    <w:pPr>
      <w:keepNext/>
      <w:keepLines/>
      <w:spacing w:before="260" w:beforeLines="0" w:after="260" w:afterLines="0" w:line="416" w:lineRule="auto"/>
      <w:outlineLvl w:val="1"/>
    </w:pPr>
    <w:rPr>
      <w:rFonts w:ascii="Cambria" w:hAnsi="Cambria"/>
      <w:b w:val="0"/>
      <w:bCs/>
      <w:sz w:val="32"/>
      <w:szCs w:val="32"/>
    </w:rPr>
  </w:style>
  <w:style w:type="paragraph" w:styleId="5">
    <w:name w:val="heading 3"/>
    <w:basedOn w:val="1"/>
    <w:next w:val="1"/>
    <w:link w:val="71"/>
    <w:qFormat/>
    <w:uiPriority w:val="0"/>
    <w:pPr>
      <w:keepNext/>
      <w:keepLines/>
      <w:spacing w:before="260" w:beforeLines="0" w:after="260" w:afterLines="0" w:line="416" w:lineRule="auto"/>
      <w:outlineLvl w:val="2"/>
    </w:pPr>
    <w:rPr>
      <w:b/>
      <w:bCs/>
      <w:sz w:val="32"/>
      <w:szCs w:val="32"/>
    </w:rPr>
  </w:style>
  <w:style w:type="paragraph" w:styleId="6">
    <w:name w:val="heading 4"/>
    <w:basedOn w:val="1"/>
    <w:next w:val="1"/>
    <w:link w:val="72"/>
    <w:qFormat/>
    <w:uiPriority w:val="0"/>
    <w:pPr>
      <w:keepNext/>
      <w:keepLines/>
      <w:widowControl w:val="0"/>
      <w:numPr>
        <w:ilvl w:val="3"/>
        <w:numId w:val="1"/>
      </w:numPr>
      <w:tabs>
        <w:tab w:val="left" w:pos="864"/>
      </w:tabs>
      <w:spacing w:before="280" w:after="290" w:line="376" w:lineRule="auto"/>
      <w:jc w:val="both"/>
      <w:outlineLvl w:val="3"/>
    </w:pPr>
    <w:rPr>
      <w:rFonts w:ascii="Arial" w:hAnsi="Arial" w:eastAsia="黑体"/>
      <w:b/>
      <w:bCs/>
      <w:kern w:val="2"/>
      <w:sz w:val="28"/>
      <w:szCs w:val="28"/>
      <w:lang w:val="zh-CN"/>
    </w:rPr>
  </w:style>
  <w:style w:type="paragraph" w:styleId="7">
    <w:name w:val="heading 5"/>
    <w:basedOn w:val="1"/>
    <w:next w:val="1"/>
    <w:link w:val="73"/>
    <w:qFormat/>
    <w:uiPriority w:val="0"/>
    <w:pPr>
      <w:keepNext/>
      <w:keepLines/>
      <w:widowControl w:val="0"/>
      <w:numPr>
        <w:ilvl w:val="4"/>
        <w:numId w:val="1"/>
      </w:numPr>
      <w:tabs>
        <w:tab w:val="left" w:pos="1008"/>
      </w:tabs>
      <w:spacing w:before="280" w:after="290" w:line="376" w:lineRule="auto"/>
      <w:jc w:val="both"/>
      <w:outlineLvl w:val="4"/>
    </w:pPr>
    <w:rPr>
      <w:rFonts w:ascii="Calibri" w:hAnsi="Calibri"/>
      <w:b/>
      <w:bCs/>
      <w:kern w:val="2"/>
      <w:sz w:val="28"/>
      <w:szCs w:val="28"/>
    </w:rPr>
  </w:style>
  <w:style w:type="paragraph" w:styleId="8">
    <w:name w:val="heading 6"/>
    <w:basedOn w:val="1"/>
    <w:next w:val="1"/>
    <w:link w:val="74"/>
    <w:qFormat/>
    <w:uiPriority w:val="0"/>
    <w:pPr>
      <w:keepNext/>
      <w:keepLines/>
      <w:widowControl w:val="0"/>
      <w:numPr>
        <w:ilvl w:val="5"/>
        <w:numId w:val="1"/>
      </w:numPr>
      <w:tabs>
        <w:tab w:val="left" w:pos="1152"/>
      </w:tabs>
      <w:spacing w:before="240" w:after="64" w:line="320" w:lineRule="auto"/>
      <w:jc w:val="both"/>
      <w:outlineLvl w:val="5"/>
    </w:pPr>
    <w:rPr>
      <w:rFonts w:ascii="Arial" w:hAnsi="Arial" w:eastAsia="黑体"/>
      <w:b/>
      <w:bCs/>
      <w:kern w:val="2"/>
      <w:sz w:val="24"/>
      <w:szCs w:val="24"/>
    </w:rPr>
  </w:style>
  <w:style w:type="paragraph" w:styleId="9">
    <w:name w:val="heading 7"/>
    <w:basedOn w:val="1"/>
    <w:next w:val="1"/>
    <w:link w:val="75"/>
    <w:qFormat/>
    <w:uiPriority w:val="0"/>
    <w:pPr>
      <w:keepNext/>
      <w:keepLines/>
      <w:widowControl w:val="0"/>
      <w:numPr>
        <w:ilvl w:val="6"/>
        <w:numId w:val="1"/>
      </w:numPr>
      <w:tabs>
        <w:tab w:val="left" w:pos="1296"/>
      </w:tabs>
      <w:spacing w:before="240" w:after="64" w:line="320" w:lineRule="auto"/>
      <w:jc w:val="both"/>
      <w:outlineLvl w:val="6"/>
    </w:pPr>
    <w:rPr>
      <w:rFonts w:ascii="Calibri" w:hAnsi="Calibri"/>
      <w:b/>
      <w:bCs/>
      <w:kern w:val="2"/>
      <w:sz w:val="24"/>
      <w:szCs w:val="24"/>
    </w:rPr>
  </w:style>
  <w:style w:type="paragraph" w:styleId="10">
    <w:name w:val="heading 8"/>
    <w:basedOn w:val="1"/>
    <w:next w:val="1"/>
    <w:link w:val="76"/>
    <w:qFormat/>
    <w:uiPriority w:val="0"/>
    <w:pPr>
      <w:keepNext/>
      <w:keepLines/>
      <w:widowControl w:val="0"/>
      <w:numPr>
        <w:ilvl w:val="7"/>
        <w:numId w:val="1"/>
      </w:numPr>
      <w:tabs>
        <w:tab w:val="left" w:pos="1440"/>
      </w:tabs>
      <w:spacing w:before="240" w:after="64" w:line="320" w:lineRule="auto"/>
      <w:jc w:val="both"/>
      <w:outlineLvl w:val="7"/>
    </w:pPr>
    <w:rPr>
      <w:rFonts w:ascii="Arial" w:hAnsi="Arial" w:eastAsia="黑体"/>
      <w:kern w:val="2"/>
      <w:sz w:val="24"/>
      <w:szCs w:val="24"/>
    </w:rPr>
  </w:style>
  <w:style w:type="paragraph" w:styleId="11">
    <w:name w:val="heading 9"/>
    <w:basedOn w:val="1"/>
    <w:next w:val="1"/>
    <w:link w:val="77"/>
    <w:qFormat/>
    <w:uiPriority w:val="0"/>
    <w:pPr>
      <w:keepNext/>
      <w:keepLines/>
      <w:widowControl w:val="0"/>
      <w:numPr>
        <w:ilvl w:val="8"/>
        <w:numId w:val="1"/>
      </w:numPr>
      <w:tabs>
        <w:tab w:val="left" w:pos="1584"/>
      </w:tabs>
      <w:spacing w:before="240" w:after="64" w:line="320" w:lineRule="auto"/>
      <w:jc w:val="both"/>
      <w:outlineLvl w:val="8"/>
    </w:pPr>
    <w:rPr>
      <w:rFonts w:ascii="Arial" w:hAnsi="Arial" w:eastAsia="黑体"/>
      <w:kern w:val="2"/>
      <w:szCs w:val="21"/>
    </w:rPr>
  </w:style>
  <w:style w:type="character" w:default="1" w:styleId="56">
    <w:name w:val="Default Paragraph Font"/>
    <w:uiPriority w:val="0"/>
  </w:style>
  <w:style w:type="table" w:default="1" w:styleId="54">
    <w:name w:val="Normal Table"/>
    <w:semiHidden/>
    <w:uiPriority w:val="0"/>
    <w:tblPr>
      <w:tblStyle w:val="54"/>
      <w:tblCellMar>
        <w:top w:w="0" w:type="dxa"/>
        <w:left w:w="108" w:type="dxa"/>
        <w:bottom w:w="0" w:type="dxa"/>
        <w:right w:w="108" w:type="dxa"/>
      </w:tblCellMar>
    </w:tblPr>
  </w:style>
  <w:style w:type="paragraph" w:customStyle="1" w:styleId="2">
    <w:name w:val="_Style 3"/>
    <w:qFormat/>
    <w:uiPriority w:val="1"/>
    <w:pPr>
      <w:widowControl w:val="0"/>
      <w:jc w:val="both"/>
    </w:pPr>
    <w:rPr>
      <w:kern w:val="2"/>
      <w:sz w:val="21"/>
      <w:szCs w:val="22"/>
      <w:lang w:val="en-US" w:eastAsia="zh-CN" w:bidi="ar-SA"/>
    </w:rPr>
  </w:style>
  <w:style w:type="paragraph" w:styleId="12">
    <w:name w:val="List 3"/>
    <w:basedOn w:val="1"/>
    <w:uiPriority w:val="0"/>
    <w:pPr>
      <w:widowControl w:val="0"/>
      <w:ind w:left="100" w:leftChars="400" w:hanging="200" w:hangingChars="200"/>
      <w:jc w:val="both"/>
    </w:pPr>
    <w:rPr>
      <w:kern w:val="2"/>
      <w:szCs w:val="24"/>
    </w:rPr>
  </w:style>
  <w:style w:type="paragraph" w:styleId="13">
    <w:name w:val="toc 7"/>
    <w:basedOn w:val="1"/>
    <w:next w:val="1"/>
    <w:uiPriority w:val="0"/>
    <w:pPr>
      <w:ind w:left="1260"/>
    </w:pPr>
    <w:rPr>
      <w:rFonts w:ascii="Calibri" w:hAnsi="Calibri"/>
      <w:sz w:val="18"/>
      <w:szCs w:val="18"/>
    </w:rPr>
  </w:style>
  <w:style w:type="paragraph" w:styleId="14">
    <w:name w:val="List Number"/>
    <w:basedOn w:val="1"/>
    <w:uiPriority w:val="0"/>
    <w:pPr>
      <w:widowControl w:val="0"/>
      <w:numPr>
        <w:ilvl w:val="0"/>
        <w:numId w:val="2"/>
      </w:numPr>
      <w:tabs>
        <w:tab w:val="left" w:pos="360"/>
      </w:tabs>
      <w:jc w:val="both"/>
    </w:pPr>
    <w:rPr>
      <w:rFonts w:ascii="Calibri" w:hAnsi="Calibri"/>
      <w:kern w:val="2"/>
      <w:szCs w:val="24"/>
    </w:rPr>
  </w:style>
  <w:style w:type="paragraph" w:styleId="15">
    <w:name w:val="Normal Indent"/>
    <w:basedOn w:val="1"/>
    <w:link w:val="78"/>
    <w:qFormat/>
    <w:uiPriority w:val="0"/>
    <w:pPr>
      <w:ind w:firstLine="420"/>
    </w:pPr>
  </w:style>
  <w:style w:type="paragraph" w:styleId="16">
    <w:name w:val="caption"/>
    <w:basedOn w:val="1"/>
    <w:next w:val="1"/>
    <w:qFormat/>
    <w:uiPriority w:val="0"/>
    <w:pPr>
      <w:framePr w:w="9721" w:h="1873" w:hSpace="180" w:wrap="around" w:vAnchor="text" w:hAnchor="page" w:x="1621" w:y="1"/>
      <w:widowControl w:val="0"/>
      <w:shd w:val="clear" w:color="C0C0C0" w:fill="FFFFFF"/>
      <w:tabs>
        <w:tab w:val="left" w:pos="9000"/>
      </w:tabs>
      <w:ind w:firstLine="180" w:firstLineChars="75"/>
      <w:jc w:val="both"/>
    </w:pPr>
    <w:rPr>
      <w:rFonts w:ascii="Arial Narrow" w:hAnsi="Arial Narrow" w:eastAsia="微软繁隶书"/>
      <w:b/>
      <w:color w:val="FF0000"/>
      <w:kern w:val="2"/>
      <w:sz w:val="24"/>
      <w:szCs w:val="24"/>
    </w:rPr>
  </w:style>
  <w:style w:type="paragraph" w:styleId="17">
    <w:name w:val="Document Map"/>
    <w:basedOn w:val="1"/>
    <w:link w:val="79"/>
    <w:uiPriority w:val="0"/>
    <w:rPr>
      <w:rFonts w:ascii="宋体"/>
      <w:sz w:val="18"/>
      <w:szCs w:val="18"/>
    </w:rPr>
  </w:style>
  <w:style w:type="paragraph" w:styleId="18">
    <w:name w:val="annotation text"/>
    <w:basedOn w:val="1"/>
    <w:link w:val="80"/>
    <w:qFormat/>
    <w:uiPriority w:val="0"/>
  </w:style>
  <w:style w:type="paragraph" w:styleId="19">
    <w:name w:val="Body Text 3"/>
    <w:basedOn w:val="1"/>
    <w:link w:val="81"/>
    <w:uiPriority w:val="0"/>
    <w:pPr>
      <w:widowControl w:val="0"/>
      <w:jc w:val="both"/>
    </w:pPr>
    <w:rPr>
      <w:rFonts w:ascii="宋体"/>
      <w:kern w:val="2"/>
      <w:sz w:val="24"/>
    </w:rPr>
  </w:style>
  <w:style w:type="paragraph" w:styleId="20">
    <w:name w:val="Body Text"/>
    <w:basedOn w:val="1"/>
    <w:next w:val="21"/>
    <w:link w:val="82"/>
    <w:uiPriority w:val="0"/>
    <w:pPr>
      <w:widowControl w:val="0"/>
      <w:spacing w:line="360" w:lineRule="auto"/>
      <w:jc w:val="both"/>
    </w:pPr>
    <w:rPr>
      <w:rFonts w:ascii="楷体_GB2312" w:eastAsia="楷体_GB2312"/>
      <w:kern w:val="2"/>
      <w:sz w:val="32"/>
    </w:rPr>
  </w:style>
  <w:style w:type="paragraph" w:styleId="21">
    <w:name w:val="Body Text First Indent"/>
    <w:basedOn w:val="20"/>
    <w:next w:val="1"/>
    <w:link w:val="83"/>
    <w:uiPriority w:val="0"/>
    <w:pPr>
      <w:spacing w:after="120" w:line="240" w:lineRule="auto"/>
      <w:ind w:firstLine="420" w:firstLineChars="100"/>
    </w:pPr>
    <w:rPr>
      <w:rFonts w:ascii="Times New Roman" w:eastAsia="宋体"/>
      <w:sz w:val="21"/>
      <w:szCs w:val="24"/>
    </w:rPr>
  </w:style>
  <w:style w:type="paragraph" w:styleId="22">
    <w:name w:val="Body Text Indent"/>
    <w:basedOn w:val="1"/>
    <w:next w:val="20"/>
    <w:link w:val="84"/>
    <w:qFormat/>
    <w:uiPriority w:val="0"/>
    <w:pPr>
      <w:spacing w:after="120" w:afterLines="0"/>
      <w:ind w:left="420" w:leftChars="200"/>
    </w:pPr>
  </w:style>
  <w:style w:type="paragraph" w:styleId="23">
    <w:name w:val="List 2"/>
    <w:basedOn w:val="1"/>
    <w:uiPriority w:val="0"/>
    <w:pPr>
      <w:ind w:left="100" w:leftChars="200" w:hanging="200" w:hangingChars="200"/>
      <w:contextualSpacing/>
    </w:pPr>
  </w:style>
  <w:style w:type="paragraph" w:styleId="24">
    <w:name w:val="Block Text"/>
    <w:basedOn w:val="1"/>
    <w:uiPriority w:val="0"/>
    <w:pPr>
      <w:widowControl w:val="0"/>
      <w:adjustRightInd w:val="0"/>
      <w:ind w:left="420" w:right="33"/>
      <w:textAlignment w:val="baseline"/>
    </w:pPr>
    <w:rPr>
      <w:rFonts w:ascii="Calibri" w:hAnsi="Calibri"/>
      <w:sz w:val="24"/>
    </w:rPr>
  </w:style>
  <w:style w:type="paragraph" w:styleId="25">
    <w:name w:val="List Bullet 2"/>
    <w:basedOn w:val="1"/>
    <w:uiPriority w:val="0"/>
    <w:pPr>
      <w:widowControl w:val="0"/>
      <w:tabs>
        <w:tab w:val="left" w:pos="1200"/>
      </w:tabs>
      <w:spacing w:line="460" w:lineRule="exact"/>
      <w:ind w:left="1200" w:hanging="720"/>
      <w:jc w:val="both"/>
    </w:pPr>
    <w:rPr>
      <w:rFonts w:ascii="Calibri" w:hAnsi="Calibri"/>
      <w:spacing w:val="6"/>
      <w:kern w:val="2"/>
      <w:sz w:val="24"/>
    </w:rPr>
  </w:style>
  <w:style w:type="paragraph" w:styleId="26">
    <w:name w:val="index 4"/>
    <w:basedOn w:val="1"/>
    <w:next w:val="1"/>
    <w:uiPriority w:val="0"/>
    <w:pPr>
      <w:widowControl w:val="0"/>
      <w:ind w:left="600" w:leftChars="600"/>
      <w:jc w:val="both"/>
    </w:pPr>
    <w:rPr>
      <w:rFonts w:ascii="Calibri" w:hAnsi="Calibri"/>
      <w:kern w:val="2"/>
      <w:szCs w:val="24"/>
    </w:rPr>
  </w:style>
  <w:style w:type="paragraph" w:styleId="27">
    <w:name w:val="toc 5"/>
    <w:basedOn w:val="1"/>
    <w:next w:val="1"/>
    <w:uiPriority w:val="0"/>
    <w:pPr>
      <w:ind w:left="840"/>
    </w:pPr>
    <w:rPr>
      <w:rFonts w:ascii="Calibri" w:hAnsi="Calibri"/>
      <w:sz w:val="18"/>
      <w:szCs w:val="18"/>
    </w:rPr>
  </w:style>
  <w:style w:type="paragraph" w:styleId="28">
    <w:name w:val="toc 3"/>
    <w:basedOn w:val="1"/>
    <w:next w:val="1"/>
    <w:uiPriority w:val="39"/>
    <w:pPr>
      <w:ind w:left="420"/>
    </w:pPr>
    <w:rPr>
      <w:rFonts w:ascii="Calibri" w:hAnsi="Calibri"/>
      <w:i/>
      <w:iCs/>
      <w:sz w:val="20"/>
    </w:rPr>
  </w:style>
  <w:style w:type="paragraph" w:styleId="29">
    <w:name w:val="Plain Text"/>
    <w:basedOn w:val="1"/>
    <w:next w:val="1"/>
    <w:link w:val="85"/>
    <w:qFormat/>
    <w:uiPriority w:val="0"/>
    <w:pPr>
      <w:widowControl w:val="0"/>
      <w:jc w:val="both"/>
    </w:pPr>
    <w:rPr>
      <w:rFonts w:ascii="宋体" w:hAnsi="Courier New"/>
      <w:kern w:val="2"/>
    </w:rPr>
  </w:style>
  <w:style w:type="paragraph" w:styleId="30">
    <w:name w:val="toc 8"/>
    <w:basedOn w:val="1"/>
    <w:next w:val="1"/>
    <w:uiPriority w:val="0"/>
    <w:pPr>
      <w:ind w:left="1470"/>
    </w:pPr>
    <w:rPr>
      <w:rFonts w:ascii="Calibri" w:hAnsi="Calibri"/>
      <w:sz w:val="18"/>
      <w:szCs w:val="18"/>
    </w:rPr>
  </w:style>
  <w:style w:type="paragraph" w:styleId="31">
    <w:name w:val="Date"/>
    <w:basedOn w:val="1"/>
    <w:next w:val="1"/>
    <w:link w:val="86"/>
    <w:uiPriority w:val="0"/>
    <w:pPr>
      <w:widowControl w:val="0"/>
      <w:jc w:val="both"/>
    </w:pPr>
    <w:rPr>
      <w:rFonts w:ascii="宋体"/>
      <w:sz w:val="24"/>
    </w:rPr>
  </w:style>
  <w:style w:type="paragraph" w:styleId="32">
    <w:name w:val="Body Text Indent 2"/>
    <w:basedOn w:val="1"/>
    <w:link w:val="87"/>
    <w:uiPriority w:val="0"/>
    <w:pPr>
      <w:widowControl w:val="0"/>
      <w:spacing w:after="120" w:line="480" w:lineRule="auto"/>
      <w:ind w:left="420" w:leftChars="200"/>
      <w:jc w:val="both"/>
    </w:pPr>
    <w:rPr>
      <w:kern w:val="2"/>
      <w:szCs w:val="24"/>
    </w:rPr>
  </w:style>
  <w:style w:type="paragraph" w:styleId="33">
    <w:name w:val="endnote text"/>
    <w:basedOn w:val="1"/>
    <w:link w:val="88"/>
    <w:uiPriority w:val="0"/>
    <w:pPr>
      <w:widowControl w:val="0"/>
      <w:snapToGrid w:val="0"/>
    </w:pPr>
    <w:rPr>
      <w:kern w:val="2"/>
    </w:rPr>
  </w:style>
  <w:style w:type="paragraph" w:styleId="34">
    <w:name w:val="Balloon Text"/>
    <w:basedOn w:val="1"/>
    <w:link w:val="89"/>
    <w:uiPriority w:val="0"/>
    <w:rPr>
      <w:sz w:val="18"/>
      <w:szCs w:val="18"/>
    </w:rPr>
  </w:style>
  <w:style w:type="paragraph" w:styleId="35">
    <w:name w:val="footer"/>
    <w:basedOn w:val="1"/>
    <w:link w:val="90"/>
    <w:uiPriority w:val="99"/>
    <w:pPr>
      <w:tabs>
        <w:tab w:val="center" w:pos="4153"/>
        <w:tab w:val="right" w:pos="8306"/>
      </w:tabs>
      <w:snapToGrid w:val="0"/>
    </w:pPr>
    <w:rPr>
      <w:sz w:val="18"/>
    </w:rPr>
  </w:style>
  <w:style w:type="paragraph" w:styleId="36">
    <w:name w:val="header"/>
    <w:basedOn w:val="1"/>
    <w:link w:val="91"/>
    <w:uiPriority w:val="0"/>
    <w:pPr>
      <w:pBdr>
        <w:bottom w:val="single" w:color="auto" w:sz="6" w:space="1"/>
      </w:pBdr>
      <w:tabs>
        <w:tab w:val="center" w:pos="4153"/>
        <w:tab w:val="right" w:pos="8306"/>
      </w:tabs>
      <w:snapToGrid w:val="0"/>
      <w:jc w:val="center"/>
    </w:pPr>
    <w:rPr>
      <w:sz w:val="18"/>
      <w:szCs w:val="18"/>
    </w:rPr>
  </w:style>
  <w:style w:type="paragraph" w:styleId="37">
    <w:name w:val="toc 1"/>
    <w:basedOn w:val="1"/>
    <w:next w:val="1"/>
    <w:uiPriority w:val="39"/>
    <w:pPr>
      <w:spacing w:before="120" w:after="120"/>
    </w:pPr>
    <w:rPr>
      <w:rFonts w:ascii="Calibri" w:hAnsi="Calibri"/>
      <w:b/>
      <w:bCs/>
      <w:caps/>
      <w:sz w:val="20"/>
    </w:rPr>
  </w:style>
  <w:style w:type="paragraph" w:styleId="38">
    <w:name w:val="toc 4"/>
    <w:basedOn w:val="1"/>
    <w:next w:val="1"/>
    <w:uiPriority w:val="0"/>
    <w:pPr>
      <w:ind w:left="630"/>
    </w:pPr>
    <w:rPr>
      <w:rFonts w:ascii="Calibri" w:hAnsi="Calibri"/>
      <w:sz w:val="18"/>
      <w:szCs w:val="18"/>
    </w:rPr>
  </w:style>
  <w:style w:type="paragraph" w:styleId="39">
    <w:name w:val="Subtitle"/>
    <w:basedOn w:val="1"/>
    <w:next w:val="1"/>
    <w:link w:val="92"/>
    <w:qFormat/>
    <w:uiPriority w:val="0"/>
    <w:pPr>
      <w:widowControl w:val="0"/>
      <w:spacing w:before="240" w:after="60" w:line="312" w:lineRule="auto"/>
      <w:jc w:val="center"/>
      <w:outlineLvl w:val="1"/>
    </w:pPr>
    <w:rPr>
      <w:rFonts w:ascii="Cambria" w:hAnsi="Cambria"/>
      <w:b/>
      <w:kern w:val="28"/>
      <w:sz w:val="32"/>
    </w:rPr>
  </w:style>
  <w:style w:type="paragraph" w:styleId="40">
    <w:name w:val="List"/>
    <w:basedOn w:val="1"/>
    <w:uiPriority w:val="0"/>
    <w:pPr>
      <w:widowControl w:val="0"/>
      <w:ind w:left="200" w:hanging="200" w:hangingChars="200"/>
      <w:jc w:val="both"/>
    </w:pPr>
    <w:rPr>
      <w:rFonts w:ascii="Calibri" w:hAnsi="Calibri"/>
      <w:kern w:val="2"/>
      <w:szCs w:val="22"/>
    </w:rPr>
  </w:style>
  <w:style w:type="paragraph" w:styleId="41">
    <w:name w:val="footnote text"/>
    <w:basedOn w:val="1"/>
    <w:link w:val="93"/>
    <w:uiPriority w:val="0"/>
    <w:pPr>
      <w:widowControl w:val="0"/>
      <w:jc w:val="both"/>
    </w:pPr>
    <w:rPr>
      <w:kern w:val="2"/>
      <w:sz w:val="20"/>
    </w:rPr>
  </w:style>
  <w:style w:type="paragraph" w:styleId="42">
    <w:name w:val="toc 6"/>
    <w:basedOn w:val="1"/>
    <w:next w:val="1"/>
    <w:uiPriority w:val="0"/>
    <w:pPr>
      <w:ind w:left="1050"/>
    </w:pPr>
    <w:rPr>
      <w:rFonts w:ascii="Calibri" w:hAnsi="Calibri"/>
      <w:sz w:val="18"/>
      <w:szCs w:val="18"/>
    </w:rPr>
  </w:style>
  <w:style w:type="paragraph" w:styleId="43">
    <w:name w:val="Body Text Indent 3"/>
    <w:basedOn w:val="1"/>
    <w:link w:val="94"/>
    <w:uiPriority w:val="0"/>
    <w:pPr>
      <w:spacing w:after="120" w:afterLines="0"/>
      <w:ind w:left="420" w:leftChars="200"/>
    </w:pPr>
    <w:rPr>
      <w:sz w:val="16"/>
      <w:szCs w:val="16"/>
    </w:rPr>
  </w:style>
  <w:style w:type="paragraph" w:styleId="44">
    <w:name w:val="table of figures"/>
    <w:basedOn w:val="1"/>
    <w:next w:val="1"/>
    <w:uiPriority w:val="0"/>
    <w:pPr>
      <w:ind w:left="840" w:leftChars="200" w:hanging="420" w:hangingChars="200"/>
    </w:pPr>
  </w:style>
  <w:style w:type="paragraph" w:styleId="45">
    <w:name w:val="toc 2"/>
    <w:basedOn w:val="1"/>
    <w:next w:val="1"/>
    <w:uiPriority w:val="39"/>
    <w:pPr>
      <w:ind w:left="210"/>
    </w:pPr>
    <w:rPr>
      <w:rFonts w:ascii="Calibri" w:hAnsi="Calibri"/>
      <w:smallCaps/>
      <w:sz w:val="20"/>
    </w:rPr>
  </w:style>
  <w:style w:type="paragraph" w:styleId="46">
    <w:name w:val="toc 9"/>
    <w:basedOn w:val="1"/>
    <w:next w:val="1"/>
    <w:uiPriority w:val="0"/>
    <w:pPr>
      <w:ind w:left="1680"/>
    </w:pPr>
    <w:rPr>
      <w:rFonts w:ascii="Calibri" w:hAnsi="Calibri"/>
      <w:sz w:val="18"/>
      <w:szCs w:val="18"/>
    </w:rPr>
  </w:style>
  <w:style w:type="paragraph" w:styleId="47">
    <w:name w:val="Body Text 2"/>
    <w:basedOn w:val="1"/>
    <w:link w:val="95"/>
    <w:uiPriority w:val="0"/>
    <w:pPr>
      <w:widowControl w:val="0"/>
      <w:spacing w:line="500" w:lineRule="exact"/>
      <w:jc w:val="both"/>
    </w:pPr>
    <w:rPr>
      <w:rFonts w:ascii="宋体" w:hAnsi="宋体"/>
      <w:color w:val="000000"/>
      <w:kern w:val="2"/>
      <w:sz w:val="24"/>
      <w:szCs w:val="24"/>
    </w:rPr>
  </w:style>
  <w:style w:type="paragraph" w:styleId="48">
    <w:name w:val="HTML Preformatted"/>
    <w:basedOn w:val="1"/>
    <w:link w:val="96"/>
    <w:uiPriority w:val="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Arial Unicode MS" w:hAnsi="Arial Unicode MS" w:eastAsia="Times New Roman"/>
      <w:sz w:val="20"/>
    </w:rPr>
  </w:style>
  <w:style w:type="paragraph" w:styleId="49">
    <w:name w:val="Normal (Web)"/>
    <w:basedOn w:val="1"/>
    <w:link w:val="97"/>
    <w:qFormat/>
    <w:uiPriority w:val="0"/>
    <w:pPr>
      <w:spacing w:before="100" w:beforeLines="0" w:beforeAutospacing="1" w:after="100" w:afterLines="0" w:afterAutospacing="1"/>
    </w:pPr>
    <w:rPr>
      <w:rFonts w:ascii="Arial Unicode MS" w:hAnsi="Arial Unicode MS" w:eastAsia="Times New Roman"/>
      <w:color w:val="000000"/>
      <w:sz w:val="24"/>
      <w:szCs w:val="24"/>
    </w:rPr>
  </w:style>
  <w:style w:type="paragraph" w:styleId="50">
    <w:name w:val="index 1"/>
    <w:basedOn w:val="1"/>
    <w:next w:val="1"/>
    <w:uiPriority w:val="0"/>
    <w:pPr>
      <w:widowControl w:val="0"/>
      <w:spacing w:line="220" w:lineRule="exact"/>
      <w:jc w:val="center"/>
    </w:pPr>
    <w:rPr>
      <w:rFonts w:ascii="仿宋_GB2312" w:hAnsi="Calibri" w:eastAsia="仿宋_GB2312"/>
      <w:kern w:val="2"/>
      <w:szCs w:val="21"/>
    </w:rPr>
  </w:style>
  <w:style w:type="paragraph" w:styleId="51">
    <w:name w:val="Title"/>
    <w:basedOn w:val="1"/>
    <w:next w:val="1"/>
    <w:link w:val="98"/>
    <w:qFormat/>
    <w:uiPriority w:val="0"/>
    <w:pPr>
      <w:widowControl w:val="0"/>
      <w:adjustRightInd w:val="0"/>
      <w:spacing w:before="240" w:after="60" w:line="420" w:lineRule="atLeast"/>
      <w:jc w:val="center"/>
      <w:textAlignment w:val="baseline"/>
      <w:outlineLvl w:val="0"/>
    </w:pPr>
    <w:rPr>
      <w:rFonts w:ascii="Arial" w:hAnsi="Arial"/>
      <w:b/>
      <w:sz w:val="32"/>
    </w:rPr>
  </w:style>
  <w:style w:type="paragraph" w:styleId="52">
    <w:name w:val="annotation subject"/>
    <w:basedOn w:val="18"/>
    <w:next w:val="18"/>
    <w:link w:val="99"/>
    <w:uiPriority w:val="0"/>
    <w:rPr>
      <w:b/>
      <w:bCs/>
    </w:rPr>
  </w:style>
  <w:style w:type="paragraph" w:styleId="53">
    <w:name w:val="Body Text First Indent 2"/>
    <w:basedOn w:val="22"/>
    <w:next w:val="1"/>
    <w:qFormat/>
    <w:uiPriority w:val="99"/>
    <w:pPr>
      <w:spacing w:after="120" w:line="240" w:lineRule="auto"/>
      <w:ind w:left="420" w:leftChars="200" w:firstLine="420"/>
    </w:pPr>
    <w:rPr>
      <w:rFonts w:cs="宋体"/>
      <w:sz w:val="21"/>
      <w:szCs w:val="21"/>
    </w:rPr>
  </w:style>
  <w:style w:type="table" w:styleId="55">
    <w:name w:val="Table Grid"/>
    <w:basedOn w:val="54"/>
    <w:uiPriority w:val="59"/>
    <w:tblPr>
      <w:tblStyle w:val="54"/>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57">
    <w:name w:val="Strong"/>
    <w:qFormat/>
    <w:uiPriority w:val="22"/>
    <w:rPr>
      <w:b/>
      <w:bCs/>
    </w:rPr>
  </w:style>
  <w:style w:type="character" w:styleId="58">
    <w:name w:val="endnote reference"/>
    <w:uiPriority w:val="0"/>
    <w:rPr>
      <w:rFonts w:cs="Times New Roman"/>
      <w:vertAlign w:val="superscript"/>
    </w:rPr>
  </w:style>
  <w:style w:type="character" w:styleId="59">
    <w:name w:val="page number"/>
    <w:uiPriority w:val="0"/>
  </w:style>
  <w:style w:type="character" w:styleId="60">
    <w:name w:val="FollowedHyperlink"/>
    <w:uiPriority w:val="99"/>
    <w:rPr>
      <w:color w:val="800080"/>
      <w:u w:val="single"/>
    </w:rPr>
  </w:style>
  <w:style w:type="character" w:styleId="61">
    <w:name w:val="Emphasis"/>
    <w:qFormat/>
    <w:uiPriority w:val="0"/>
    <w:rPr>
      <w:i/>
    </w:rPr>
  </w:style>
  <w:style w:type="character" w:styleId="62">
    <w:name w:val="HTML Definition"/>
    <w:uiPriority w:val="0"/>
    <w:rPr>
      <w:i/>
    </w:rPr>
  </w:style>
  <w:style w:type="character" w:styleId="63">
    <w:name w:val="Hyperlink"/>
    <w:qFormat/>
    <w:uiPriority w:val="99"/>
    <w:rPr>
      <w:color w:val="0000FF"/>
      <w:u w:val="single"/>
    </w:rPr>
  </w:style>
  <w:style w:type="character" w:styleId="64">
    <w:name w:val="HTML Code"/>
    <w:uiPriority w:val="0"/>
    <w:rPr>
      <w:rFonts w:hint="default" w:ascii="Segoe UI" w:hAnsi="Segoe UI" w:eastAsia="Segoe UI" w:cs="Segoe UI"/>
      <w:sz w:val="21"/>
      <w:szCs w:val="21"/>
    </w:rPr>
  </w:style>
  <w:style w:type="character" w:styleId="65">
    <w:name w:val="annotation reference"/>
    <w:uiPriority w:val="0"/>
    <w:rPr>
      <w:sz w:val="21"/>
      <w:szCs w:val="21"/>
    </w:rPr>
  </w:style>
  <w:style w:type="character" w:styleId="66">
    <w:name w:val="footnote reference"/>
    <w:uiPriority w:val="0"/>
    <w:rPr>
      <w:rFonts w:cs="Times New Roman"/>
      <w:vertAlign w:val="superscript"/>
    </w:rPr>
  </w:style>
  <w:style w:type="character" w:styleId="67">
    <w:name w:val="HTML Keyboard"/>
    <w:uiPriority w:val="0"/>
    <w:rPr>
      <w:rFonts w:hint="default" w:ascii="Segoe UI" w:hAnsi="Segoe UI" w:eastAsia="Segoe UI" w:cs="Segoe UI"/>
      <w:sz w:val="21"/>
      <w:szCs w:val="21"/>
    </w:rPr>
  </w:style>
  <w:style w:type="character" w:styleId="68">
    <w:name w:val="HTML Sample"/>
    <w:uiPriority w:val="0"/>
    <w:rPr>
      <w:rFonts w:ascii="Segoe UI" w:hAnsi="Segoe UI" w:eastAsia="Segoe UI" w:cs="Segoe UI"/>
      <w:sz w:val="21"/>
      <w:szCs w:val="21"/>
    </w:rPr>
  </w:style>
  <w:style w:type="character" w:customStyle="1" w:styleId="69">
    <w:name w:val="标题 1 字符"/>
    <w:link w:val="3"/>
    <w:uiPriority w:val="0"/>
    <w:rPr>
      <w:rFonts w:ascii="宋体" w:hAnsi="Times New Roman" w:eastAsia="宋体" w:cs="Times New Roman"/>
      <w:b/>
      <w:kern w:val="44"/>
      <w:sz w:val="24"/>
      <w:szCs w:val="20"/>
    </w:rPr>
  </w:style>
  <w:style w:type="character" w:customStyle="1" w:styleId="70">
    <w:name w:val="标题 2 字符"/>
    <w:link w:val="4"/>
    <w:uiPriority w:val="0"/>
    <w:rPr>
      <w:rFonts w:ascii="Cambria" w:hAnsi="Cambria" w:eastAsia="宋体" w:cs="Times New Roman"/>
      <w:b/>
      <w:bCs/>
      <w:sz w:val="32"/>
      <w:szCs w:val="32"/>
    </w:rPr>
  </w:style>
  <w:style w:type="character" w:customStyle="1" w:styleId="71">
    <w:name w:val="标题 3 字符"/>
    <w:link w:val="5"/>
    <w:uiPriority w:val="0"/>
    <w:rPr>
      <w:rFonts w:ascii="Times New Roman" w:hAnsi="Times New Roman"/>
      <w:b/>
      <w:bCs/>
      <w:sz w:val="32"/>
      <w:szCs w:val="32"/>
    </w:rPr>
  </w:style>
  <w:style w:type="character" w:customStyle="1" w:styleId="72">
    <w:name w:val="标题 4 字符"/>
    <w:link w:val="6"/>
    <w:uiPriority w:val="0"/>
    <w:rPr>
      <w:rFonts w:ascii="Arial" w:hAnsi="Arial" w:eastAsia="黑体"/>
      <w:b/>
      <w:bCs/>
      <w:kern w:val="2"/>
      <w:sz w:val="28"/>
      <w:szCs w:val="28"/>
      <w:lang w:val="zh-CN"/>
    </w:rPr>
  </w:style>
  <w:style w:type="character" w:customStyle="1" w:styleId="73">
    <w:name w:val="标题 5 字符"/>
    <w:link w:val="7"/>
    <w:uiPriority w:val="0"/>
    <w:rPr>
      <w:rFonts w:ascii="Calibri" w:hAnsi="Calibri"/>
      <w:b/>
      <w:bCs/>
      <w:kern w:val="2"/>
      <w:sz w:val="28"/>
      <w:szCs w:val="28"/>
    </w:rPr>
  </w:style>
  <w:style w:type="character" w:customStyle="1" w:styleId="74">
    <w:name w:val="标题 6 字符"/>
    <w:link w:val="8"/>
    <w:uiPriority w:val="0"/>
    <w:rPr>
      <w:rFonts w:ascii="Arial" w:hAnsi="Arial" w:eastAsia="黑体"/>
      <w:b/>
      <w:bCs/>
      <w:kern w:val="2"/>
      <w:sz w:val="24"/>
      <w:szCs w:val="24"/>
    </w:rPr>
  </w:style>
  <w:style w:type="character" w:customStyle="1" w:styleId="75">
    <w:name w:val="标题 7 字符"/>
    <w:link w:val="9"/>
    <w:uiPriority w:val="0"/>
    <w:rPr>
      <w:rFonts w:ascii="Calibri" w:hAnsi="Calibri"/>
      <w:b/>
      <w:bCs/>
      <w:kern w:val="2"/>
      <w:sz w:val="24"/>
      <w:szCs w:val="24"/>
    </w:rPr>
  </w:style>
  <w:style w:type="character" w:customStyle="1" w:styleId="76">
    <w:name w:val="标题 8 字符"/>
    <w:link w:val="10"/>
    <w:uiPriority w:val="0"/>
    <w:rPr>
      <w:rFonts w:ascii="Arial" w:hAnsi="Arial" w:eastAsia="黑体"/>
      <w:kern w:val="2"/>
      <w:sz w:val="24"/>
      <w:szCs w:val="24"/>
    </w:rPr>
  </w:style>
  <w:style w:type="character" w:customStyle="1" w:styleId="77">
    <w:name w:val="标题 9 字符"/>
    <w:link w:val="11"/>
    <w:uiPriority w:val="0"/>
    <w:rPr>
      <w:rFonts w:ascii="Arial" w:hAnsi="Arial" w:eastAsia="黑体"/>
      <w:kern w:val="2"/>
      <w:sz w:val="21"/>
      <w:szCs w:val="21"/>
    </w:rPr>
  </w:style>
  <w:style w:type="character" w:customStyle="1" w:styleId="78">
    <w:name w:val="正文缩进 字符"/>
    <w:link w:val="15"/>
    <w:uiPriority w:val="0"/>
    <w:rPr>
      <w:rFonts w:ascii="Times New Roman" w:hAnsi="Times New Roman"/>
      <w:sz w:val="21"/>
    </w:rPr>
  </w:style>
  <w:style w:type="character" w:customStyle="1" w:styleId="79">
    <w:name w:val="文档结构图 字符"/>
    <w:link w:val="17"/>
    <w:uiPriority w:val="0"/>
    <w:rPr>
      <w:rFonts w:ascii="宋体" w:hAnsi="Times New Roman"/>
      <w:sz w:val="18"/>
      <w:szCs w:val="18"/>
    </w:rPr>
  </w:style>
  <w:style w:type="character" w:customStyle="1" w:styleId="80">
    <w:name w:val="批注文字 字符"/>
    <w:link w:val="18"/>
    <w:uiPriority w:val="0"/>
    <w:rPr>
      <w:rFonts w:ascii="Times New Roman" w:hAnsi="Times New Roman"/>
      <w:sz w:val="21"/>
    </w:rPr>
  </w:style>
  <w:style w:type="character" w:customStyle="1" w:styleId="81">
    <w:name w:val="正文文本 3 字符"/>
    <w:link w:val="19"/>
    <w:locked/>
    <w:uiPriority w:val="0"/>
    <w:rPr>
      <w:rFonts w:ascii="宋体"/>
      <w:kern w:val="2"/>
      <w:sz w:val="24"/>
    </w:rPr>
  </w:style>
  <w:style w:type="character" w:customStyle="1" w:styleId="82">
    <w:name w:val="正文文本 字符"/>
    <w:link w:val="20"/>
    <w:uiPriority w:val="0"/>
    <w:rPr>
      <w:rFonts w:ascii="楷体_GB2312" w:hAnsi="Times New Roman" w:eastAsia="楷体_GB2312"/>
      <w:kern w:val="2"/>
      <w:sz w:val="32"/>
    </w:rPr>
  </w:style>
  <w:style w:type="character" w:customStyle="1" w:styleId="83">
    <w:name w:val="正文文本首行缩进 字符"/>
    <w:link w:val="21"/>
    <w:locked/>
    <w:uiPriority w:val="0"/>
    <w:rPr>
      <w:kern w:val="2"/>
      <w:sz w:val="21"/>
      <w:szCs w:val="24"/>
    </w:rPr>
  </w:style>
  <w:style w:type="character" w:customStyle="1" w:styleId="84">
    <w:name w:val="正文文本缩进 字符1"/>
    <w:link w:val="22"/>
    <w:uiPriority w:val="0"/>
    <w:rPr>
      <w:sz w:val="21"/>
    </w:rPr>
  </w:style>
  <w:style w:type="character" w:customStyle="1" w:styleId="85">
    <w:name w:val="纯文本 字符3"/>
    <w:link w:val="29"/>
    <w:qFormat/>
    <w:uiPriority w:val="99"/>
    <w:rPr>
      <w:rFonts w:ascii="宋体" w:hAnsi="Courier New" w:eastAsia="宋体"/>
      <w:kern w:val="2"/>
      <w:sz w:val="21"/>
      <w:lang w:val="en-US" w:eastAsia="zh-CN" w:bidi="ar-SA"/>
    </w:rPr>
  </w:style>
  <w:style w:type="character" w:customStyle="1" w:styleId="86">
    <w:name w:val="日期 字符"/>
    <w:link w:val="31"/>
    <w:locked/>
    <w:uiPriority w:val="0"/>
    <w:rPr>
      <w:rFonts w:ascii="宋体"/>
      <w:sz w:val="24"/>
    </w:rPr>
  </w:style>
  <w:style w:type="character" w:customStyle="1" w:styleId="87">
    <w:name w:val="正文文本缩进 2 字符"/>
    <w:link w:val="32"/>
    <w:locked/>
    <w:uiPriority w:val="0"/>
    <w:rPr>
      <w:kern w:val="2"/>
      <w:sz w:val="21"/>
      <w:szCs w:val="24"/>
    </w:rPr>
  </w:style>
  <w:style w:type="character" w:customStyle="1" w:styleId="88">
    <w:name w:val="尾注文本 字符"/>
    <w:link w:val="33"/>
    <w:locked/>
    <w:uiPriority w:val="0"/>
    <w:rPr>
      <w:kern w:val="2"/>
      <w:sz w:val="21"/>
    </w:rPr>
  </w:style>
  <w:style w:type="character" w:customStyle="1" w:styleId="89">
    <w:name w:val="批注框文本 字符"/>
    <w:link w:val="34"/>
    <w:uiPriority w:val="0"/>
    <w:rPr>
      <w:rFonts w:ascii="Times New Roman" w:hAnsi="Times New Roman"/>
      <w:sz w:val="18"/>
      <w:szCs w:val="18"/>
    </w:rPr>
  </w:style>
  <w:style w:type="character" w:customStyle="1" w:styleId="90">
    <w:name w:val="页脚 字符"/>
    <w:link w:val="35"/>
    <w:uiPriority w:val="99"/>
    <w:rPr>
      <w:rFonts w:ascii="Times New Roman" w:hAnsi="Times New Roman" w:eastAsia="宋体" w:cs="Times New Roman"/>
      <w:kern w:val="0"/>
      <w:sz w:val="18"/>
      <w:szCs w:val="20"/>
    </w:rPr>
  </w:style>
  <w:style w:type="character" w:customStyle="1" w:styleId="91">
    <w:name w:val="页眉 字符"/>
    <w:link w:val="36"/>
    <w:uiPriority w:val="0"/>
    <w:rPr>
      <w:rFonts w:ascii="Times New Roman" w:hAnsi="Times New Roman" w:eastAsia="宋体" w:cs="Times New Roman"/>
      <w:kern w:val="0"/>
      <w:sz w:val="18"/>
      <w:szCs w:val="18"/>
    </w:rPr>
  </w:style>
  <w:style w:type="character" w:customStyle="1" w:styleId="92">
    <w:name w:val="副标题 字符"/>
    <w:link w:val="39"/>
    <w:qFormat/>
    <w:locked/>
    <w:uiPriority w:val="0"/>
    <w:rPr>
      <w:rFonts w:ascii="Cambria" w:hAnsi="Cambria"/>
      <w:b/>
      <w:kern w:val="28"/>
      <w:sz w:val="32"/>
    </w:rPr>
  </w:style>
  <w:style w:type="character" w:customStyle="1" w:styleId="93">
    <w:name w:val="脚注文本 字符"/>
    <w:link w:val="41"/>
    <w:locked/>
    <w:uiPriority w:val="0"/>
    <w:rPr>
      <w:kern w:val="2"/>
    </w:rPr>
  </w:style>
  <w:style w:type="character" w:customStyle="1" w:styleId="94">
    <w:name w:val="正文文本缩进 3 字符"/>
    <w:link w:val="43"/>
    <w:locked/>
    <w:uiPriority w:val="0"/>
    <w:rPr>
      <w:sz w:val="16"/>
      <w:szCs w:val="16"/>
    </w:rPr>
  </w:style>
  <w:style w:type="character" w:customStyle="1" w:styleId="95">
    <w:name w:val="正文文本 2 字符"/>
    <w:link w:val="47"/>
    <w:uiPriority w:val="0"/>
    <w:rPr>
      <w:rFonts w:ascii="宋体" w:hAnsi="宋体"/>
      <w:color w:val="000000"/>
      <w:kern w:val="2"/>
      <w:sz w:val="24"/>
      <w:szCs w:val="24"/>
    </w:rPr>
  </w:style>
  <w:style w:type="character" w:customStyle="1" w:styleId="96">
    <w:name w:val="HTML 预设格式 字符"/>
    <w:link w:val="48"/>
    <w:uiPriority w:val="0"/>
    <w:rPr>
      <w:rFonts w:ascii="Arial Unicode MS" w:hAnsi="Arial Unicode MS" w:eastAsia="Times New Roman"/>
    </w:rPr>
  </w:style>
  <w:style w:type="character" w:customStyle="1" w:styleId="97">
    <w:name w:val="普通(网站) 字符"/>
    <w:link w:val="49"/>
    <w:uiPriority w:val="0"/>
    <w:rPr>
      <w:rFonts w:ascii="Arial Unicode MS" w:hAnsi="Arial Unicode MS" w:eastAsia="Times New Roman"/>
      <w:color w:val="000000"/>
      <w:sz w:val="24"/>
      <w:szCs w:val="24"/>
    </w:rPr>
  </w:style>
  <w:style w:type="character" w:customStyle="1" w:styleId="98">
    <w:name w:val="标题 字符"/>
    <w:link w:val="51"/>
    <w:locked/>
    <w:uiPriority w:val="0"/>
    <w:rPr>
      <w:rFonts w:ascii="Arial" w:hAnsi="Arial"/>
      <w:b/>
      <w:sz w:val="32"/>
    </w:rPr>
  </w:style>
  <w:style w:type="character" w:customStyle="1" w:styleId="99">
    <w:name w:val="批注主题 字符"/>
    <w:link w:val="52"/>
    <w:uiPriority w:val="0"/>
    <w:rPr>
      <w:rFonts w:ascii="Times New Roman" w:hAnsi="Times New Roman"/>
      <w:b/>
      <w:bCs/>
      <w:sz w:val="21"/>
    </w:rPr>
  </w:style>
  <w:style w:type="paragraph" w:customStyle="1" w:styleId="100">
    <w:name w:val="一级标题"/>
    <w:basedOn w:val="1"/>
    <w:next w:val="20"/>
    <w:qFormat/>
    <w:uiPriority w:val="0"/>
    <w:pPr>
      <w:outlineLvl w:val="0"/>
    </w:pPr>
    <w:rPr>
      <w:b/>
      <w:bCs/>
      <w:sz w:val="32"/>
    </w:rPr>
  </w:style>
  <w:style w:type="paragraph" w:customStyle="1" w:styleId="101">
    <w:name w:val="标准正文"/>
    <w:basedOn w:val="1"/>
    <w:qFormat/>
    <w:uiPriority w:val="0"/>
    <w:pPr>
      <w:spacing w:line="360" w:lineRule="auto"/>
      <w:ind w:firstLine="200" w:firstLineChars="200"/>
    </w:pPr>
    <w:rPr>
      <w:sz w:val="24"/>
      <w:szCs w:val="20"/>
    </w:rPr>
  </w:style>
  <w:style w:type="character" w:customStyle="1" w:styleId="102">
    <w:name w:val="引用 Char1"/>
    <w:uiPriority w:val="0"/>
    <w:rPr>
      <w:rFonts w:cs="Times New Roman"/>
      <w:i/>
      <w:iCs/>
      <w:color w:val="000000"/>
      <w:kern w:val="2"/>
      <w:sz w:val="24"/>
      <w:szCs w:val="24"/>
    </w:rPr>
  </w:style>
  <w:style w:type="character" w:customStyle="1" w:styleId="103">
    <w:name w:val="方案正文-样式 小四 行距: 1.5 倍行距 Char Char"/>
    <w:link w:val="104"/>
    <w:uiPriority w:val="0"/>
    <w:rPr>
      <w:kern w:val="2"/>
      <w:sz w:val="24"/>
    </w:rPr>
  </w:style>
  <w:style w:type="paragraph" w:customStyle="1" w:styleId="104">
    <w:name w:val="方案正文-样式 小四 行距: 1.5 倍行距"/>
    <w:basedOn w:val="1"/>
    <w:link w:val="103"/>
    <w:uiPriority w:val="0"/>
    <w:pPr>
      <w:widowControl w:val="0"/>
      <w:spacing w:line="360" w:lineRule="auto"/>
      <w:ind w:firstLine="480" w:firstLineChars="200"/>
      <w:jc w:val="both"/>
    </w:pPr>
    <w:rPr>
      <w:kern w:val="2"/>
      <w:sz w:val="24"/>
    </w:rPr>
  </w:style>
  <w:style w:type="character" w:customStyle="1" w:styleId="105">
    <w:name w:val="纯文本 字符"/>
    <w:aliases w:val="普通文字 Char 字符,纯文本 Char Char 字符,普通文字 Char Char 字符,Texte 字符,普通文字1 字符,普通文字2 字符,普通文字3 字符,普通文字4 字符,普通文字5 字符,普通文字6 字符,普通文字11 字符,普通文字21 字符,普通文字31 字符,普通文字41 字符,普通文字7 字符,正 文 1 字符,普通文字 Char Char Char Char 字符,正文非缩进 Char Char 字符,正文非缩进 Char 字符,普通文 字符,普通文字 字符"/>
    <w:qFormat/>
    <w:uiPriority w:val="0"/>
    <w:rPr>
      <w:rFonts w:ascii="宋体" w:hAnsi="Courier New" w:eastAsia="宋体"/>
      <w:kern w:val="2"/>
      <w:sz w:val="21"/>
      <w:lang w:val="en-US" w:eastAsia="zh-CN" w:bidi="ar-SA"/>
    </w:rPr>
  </w:style>
  <w:style w:type="character" w:customStyle="1" w:styleId="106">
    <w:name w:val="ca-521"/>
    <w:uiPriority w:val="0"/>
    <w:rPr>
      <w:rFonts w:ascii="宋体" w:hAnsi="宋体" w:eastAsia="宋体" w:cs="Times New Roman"/>
      <w:b/>
      <w:bCs/>
      <w:spacing w:val="-20"/>
      <w:sz w:val="36"/>
      <w:szCs w:val="36"/>
    </w:rPr>
  </w:style>
  <w:style w:type="character" w:customStyle="1" w:styleId="107">
    <w:name w:val="正文首行缩进 Char"/>
    <w:uiPriority w:val="0"/>
    <w:rPr>
      <w:rFonts w:ascii="宋体" w:eastAsia="宋体" w:cs="Times New Roman"/>
      <w:kern w:val="2"/>
      <w:sz w:val="24"/>
      <w:szCs w:val="24"/>
      <w:lang w:val="zh-CN" w:eastAsia="zh-CN" w:bidi="ar-SA"/>
    </w:rPr>
  </w:style>
  <w:style w:type="character" w:customStyle="1" w:styleId="108">
    <w:name w:val="Normal Indent Char"/>
    <w:locked/>
    <w:uiPriority w:val="0"/>
    <w:rPr>
      <w:rFonts w:ascii="宋体" w:eastAsia="宋体" w:cs="Times New Roman"/>
      <w:snapToGrid w:val="0"/>
      <w:color w:val="000000"/>
      <w:kern w:val="28"/>
      <w:sz w:val="28"/>
      <w:lang w:val="en-US" w:eastAsia="zh-CN" w:bidi="ar-SA"/>
    </w:rPr>
  </w:style>
  <w:style w:type="character" w:customStyle="1" w:styleId="109">
    <w:name w:val="页眉 Char1"/>
    <w:uiPriority w:val="0"/>
    <w:rPr>
      <w:rFonts w:eastAsia="宋体" w:cs="Times New Roman"/>
      <w:kern w:val="2"/>
      <w:sz w:val="18"/>
      <w:szCs w:val="18"/>
      <w:lang w:val="en-US" w:eastAsia="zh-CN" w:bidi="ar-SA"/>
    </w:rPr>
  </w:style>
  <w:style w:type="character" w:customStyle="1" w:styleId="110">
    <w:name w:val="正文缩进 Char1"/>
    <w:uiPriority w:val="0"/>
    <w:rPr>
      <w:rFonts w:eastAsia="宋体"/>
      <w:kern w:val="2"/>
      <w:sz w:val="21"/>
      <w:lang w:val="en-US" w:eastAsia="zh-CN" w:bidi="ar-SA"/>
    </w:rPr>
  </w:style>
  <w:style w:type="character" w:customStyle="1" w:styleId="111">
    <w:name w:val="font31"/>
    <w:uiPriority w:val="0"/>
    <w:rPr>
      <w:rFonts w:hint="default" w:ascii="Times New Roman" w:hAnsi="Times New Roman" w:cs="Times New Roman"/>
      <w:color w:val="000000"/>
      <w:sz w:val="21"/>
      <w:szCs w:val="21"/>
      <w:u w:val="none"/>
    </w:rPr>
  </w:style>
  <w:style w:type="character" w:customStyle="1" w:styleId="112">
    <w:name w:val="投标书正文无序编号 Char Char"/>
    <w:link w:val="113"/>
    <w:uiPriority w:val="0"/>
    <w:rPr>
      <w:kern w:val="2"/>
      <w:sz w:val="24"/>
      <w:szCs w:val="24"/>
    </w:rPr>
  </w:style>
  <w:style w:type="paragraph" w:customStyle="1" w:styleId="113">
    <w:name w:val="投标书正文无序编号"/>
    <w:basedOn w:val="114"/>
    <w:link w:val="112"/>
    <w:uiPriority w:val="0"/>
    <w:pPr>
      <w:numPr>
        <w:ilvl w:val="0"/>
        <w:numId w:val="1"/>
      </w:numPr>
      <w:tabs>
        <w:tab w:val="left" w:pos="780"/>
        <w:tab w:val="left" w:pos="902"/>
      </w:tabs>
      <w:adjustRightInd w:val="0"/>
      <w:ind w:firstLineChars="0"/>
    </w:pPr>
    <w:rPr>
      <w:rFonts w:eastAsia="宋体"/>
    </w:rPr>
  </w:style>
  <w:style w:type="paragraph" w:customStyle="1" w:styleId="114">
    <w:name w:val="投标书正文"/>
    <w:link w:val="115"/>
    <w:uiPriority w:val="0"/>
    <w:pPr>
      <w:autoSpaceDE w:val="0"/>
      <w:spacing w:line="360" w:lineRule="auto"/>
      <w:ind w:firstLine="200" w:firstLineChars="200"/>
    </w:pPr>
    <w:rPr>
      <w:rFonts w:eastAsia="Times New Roman"/>
      <w:kern w:val="2"/>
      <w:sz w:val="24"/>
      <w:szCs w:val="24"/>
      <w:lang w:val="en-US" w:eastAsia="zh-CN" w:bidi="ar-SA"/>
    </w:rPr>
  </w:style>
  <w:style w:type="character" w:customStyle="1" w:styleId="115">
    <w:name w:val="投标书正文 Char Char"/>
    <w:link w:val="114"/>
    <w:uiPriority w:val="0"/>
    <w:rPr>
      <w:rFonts w:eastAsia="Times New Roman"/>
      <w:kern w:val="2"/>
      <w:sz w:val="24"/>
      <w:szCs w:val="24"/>
      <w:lang w:val="en-US" w:eastAsia="zh-CN" w:bidi="ar-SA"/>
    </w:rPr>
  </w:style>
  <w:style w:type="character" w:customStyle="1" w:styleId="116">
    <w:name w:val="ca-201"/>
    <w:uiPriority w:val="0"/>
    <w:rPr>
      <w:rFonts w:ascii="??" w:hAnsi="??" w:cs="Times New Roman"/>
      <w:color w:val="000000"/>
      <w:sz w:val="18"/>
      <w:szCs w:val="18"/>
    </w:rPr>
  </w:style>
  <w:style w:type="character" w:customStyle="1" w:styleId="117">
    <w:name w:val="ca-341"/>
    <w:uiPriority w:val="0"/>
    <w:rPr>
      <w:rFonts w:ascii="宋体" w:hAnsi="宋体" w:eastAsia="宋体" w:cs="Times New Roman"/>
      <w:color w:val="000000"/>
      <w:sz w:val="20"/>
      <w:szCs w:val="20"/>
    </w:rPr>
  </w:style>
  <w:style w:type="character" w:customStyle="1" w:styleId="118">
    <w:name w:val="标题 2 Char1"/>
    <w:uiPriority w:val="0"/>
    <w:rPr>
      <w:rFonts w:ascii="仿宋_GB2312" w:eastAsia="仿宋_GB2312"/>
      <w:b/>
      <w:sz w:val="36"/>
      <w:lang w:val="en-US" w:eastAsia="zh-CN" w:bidi="ar-SA"/>
    </w:rPr>
  </w:style>
  <w:style w:type="character" w:customStyle="1" w:styleId="119">
    <w:name w:val="个人答复风格"/>
    <w:uiPriority w:val="0"/>
    <w:rPr>
      <w:rFonts w:ascii="Arial" w:hAnsi="Arial" w:eastAsia="宋体" w:cs="Arial"/>
      <w:color w:val="auto"/>
      <w:sz w:val="20"/>
    </w:rPr>
  </w:style>
  <w:style w:type="character" w:customStyle="1" w:styleId="120">
    <w:name w:val="正文文本缩进 Char1"/>
    <w:uiPriority w:val="0"/>
    <w:rPr>
      <w:rFonts w:ascii="宋体" w:hAnsi="Courier New" w:eastAsia="宋体"/>
      <w:spacing w:val="-4"/>
      <w:kern w:val="2"/>
      <w:sz w:val="18"/>
      <w:lang w:val="en-US" w:eastAsia="zh-CN" w:bidi="ar-SA"/>
    </w:rPr>
  </w:style>
  <w:style w:type="character" w:customStyle="1" w:styleId="121">
    <w:name w:val="chs1"/>
    <w:uiPriority w:val="0"/>
    <w:rPr>
      <w:rFonts w:hint="default" w:ascii="_x000B__x000C_" w:hAnsi="_x000B__x000C_"/>
      <w:sz w:val="18"/>
      <w:szCs w:val="18"/>
    </w:rPr>
  </w:style>
  <w:style w:type="character" w:customStyle="1" w:styleId="122">
    <w:name w:val="文档结构图 Char1"/>
    <w:uiPriority w:val="0"/>
    <w:rPr>
      <w:rFonts w:ascii="宋体"/>
      <w:kern w:val="2"/>
      <w:sz w:val="18"/>
    </w:rPr>
  </w:style>
  <w:style w:type="character" w:customStyle="1" w:styleId="123">
    <w:name w:val="ca-451"/>
    <w:uiPriority w:val="0"/>
    <w:rPr>
      <w:rFonts w:ascii="宋体" w:hAnsi="宋体" w:eastAsia="宋体" w:cs="Times New Roman"/>
      <w:color w:val="000000"/>
      <w:sz w:val="72"/>
      <w:szCs w:val="72"/>
    </w:rPr>
  </w:style>
  <w:style w:type="character" w:customStyle="1" w:styleId="124">
    <w:name w:val="ca-271"/>
    <w:uiPriority w:val="0"/>
    <w:rPr>
      <w:rFonts w:ascii="宋体" w:hAnsi="宋体" w:eastAsia="宋体" w:cs="Times New Roman"/>
      <w:b/>
      <w:bCs/>
      <w:color w:val="002060"/>
      <w:spacing w:val="-20"/>
      <w:sz w:val="21"/>
      <w:szCs w:val="21"/>
    </w:rPr>
  </w:style>
  <w:style w:type="character" w:customStyle="1" w:styleId="125">
    <w:name w:val="明显引用 Char"/>
    <w:link w:val="126"/>
    <w:locked/>
    <w:uiPriority w:val="0"/>
    <w:rPr>
      <w:b/>
      <w:i/>
      <w:color w:val="4F81BD"/>
      <w:kern w:val="2"/>
      <w:sz w:val="22"/>
    </w:rPr>
  </w:style>
  <w:style w:type="paragraph" w:customStyle="1" w:styleId="126">
    <w:name w:val="Intense Quote1"/>
    <w:basedOn w:val="1"/>
    <w:next w:val="1"/>
    <w:link w:val="125"/>
    <w:uiPriority w:val="0"/>
    <w:pPr>
      <w:widowControl w:val="0"/>
      <w:pBdr>
        <w:bottom w:val="single" w:color="4F81BD" w:sz="4" w:space="4"/>
      </w:pBdr>
      <w:spacing w:before="200" w:after="280"/>
      <w:ind w:left="936" w:right="936"/>
      <w:jc w:val="both"/>
    </w:pPr>
    <w:rPr>
      <w:b/>
      <w:i/>
      <w:color w:val="4F81BD"/>
      <w:kern w:val="2"/>
      <w:sz w:val="22"/>
    </w:rPr>
  </w:style>
  <w:style w:type="character" w:customStyle="1" w:styleId="127">
    <w:name w:val="ca-151"/>
    <w:uiPriority w:val="0"/>
    <w:rPr>
      <w:rFonts w:ascii="宋体" w:hAnsi="宋体" w:eastAsia="宋体" w:cs="Times New Roman"/>
      <w:caps/>
      <w:color w:val="000000"/>
      <w:sz w:val="24"/>
      <w:szCs w:val="24"/>
    </w:rPr>
  </w:style>
  <w:style w:type="character" w:customStyle="1" w:styleId="128">
    <w:name w:val="纯文本 字符1"/>
    <w:qFormat/>
    <w:uiPriority w:val="0"/>
    <w:rPr>
      <w:rFonts w:ascii="宋体" w:hAnsi="Courier New" w:eastAsia="宋体"/>
      <w:kern w:val="2"/>
      <w:sz w:val="24"/>
      <w:szCs w:val="24"/>
      <w:lang w:val="en-US" w:eastAsia="zh-CN" w:bidi="ar-SA"/>
    </w:rPr>
  </w:style>
  <w:style w:type="character" w:customStyle="1" w:styleId="129">
    <w:name w:val="日期 Char1"/>
    <w:uiPriority w:val="0"/>
    <w:rPr>
      <w:kern w:val="2"/>
      <w:sz w:val="22"/>
    </w:rPr>
  </w:style>
  <w:style w:type="character" w:customStyle="1" w:styleId="130">
    <w:name w:val="标题 2 Char"/>
    <w:uiPriority w:val="0"/>
    <w:rPr>
      <w:rFonts w:ascii="Cambria" w:hAnsi="Cambria" w:eastAsia="宋体" w:cs="Times New Roman"/>
      <w:b/>
      <w:bCs/>
      <w:sz w:val="32"/>
      <w:szCs w:val="32"/>
    </w:rPr>
  </w:style>
  <w:style w:type="character" w:customStyle="1" w:styleId="131">
    <w:name w:val="font161"/>
    <w:uiPriority w:val="0"/>
    <w:rPr>
      <w:rFonts w:cs="Times New Roman"/>
      <w:b/>
      <w:bCs/>
      <w:sz w:val="32"/>
      <w:szCs w:val="32"/>
    </w:rPr>
  </w:style>
  <w:style w:type="character" w:customStyle="1" w:styleId="132">
    <w:name w:val="日期 Char2"/>
    <w:uiPriority w:val="0"/>
    <w:rPr>
      <w:rFonts w:ascii="宋体"/>
      <w:kern w:val="2"/>
      <w:sz w:val="28"/>
    </w:rPr>
  </w:style>
  <w:style w:type="character" w:customStyle="1" w:styleId="133">
    <w:name w:val="日期 Char3"/>
    <w:uiPriority w:val="0"/>
    <w:rPr>
      <w:rFonts w:eastAsia="仿宋_GB2312" w:cs="Times New Roman"/>
      <w:kern w:val="2"/>
      <w:sz w:val="28"/>
      <w:lang w:val="en-US" w:eastAsia="zh-CN" w:bidi="ar-SA"/>
    </w:rPr>
  </w:style>
  <w:style w:type="character" w:customStyle="1" w:styleId="134">
    <w:name w:val="locality"/>
    <w:uiPriority w:val="0"/>
    <w:rPr>
      <w:rFonts w:cs="Times New Roman"/>
    </w:rPr>
  </w:style>
  <w:style w:type="character" w:customStyle="1" w:styleId="135">
    <w:name w:val="正文文本 Char1"/>
    <w:uiPriority w:val="0"/>
    <w:rPr>
      <w:kern w:val="2"/>
      <w:sz w:val="22"/>
    </w:rPr>
  </w:style>
  <w:style w:type="character" w:customStyle="1" w:styleId="136">
    <w:name w:val="hour_am"/>
    <w:uiPriority w:val="0"/>
  </w:style>
  <w:style w:type="character" w:customStyle="1" w:styleId="137">
    <w:name w:val="ca-310"/>
    <w:uiPriority w:val="0"/>
    <w:rPr>
      <w:rFonts w:ascii="Times New Roman" w:hAnsi="Times New Roman" w:cs="Times New Roman"/>
      <w:b/>
      <w:bCs/>
      <w:color w:val="000000"/>
      <w:spacing w:val="-20"/>
      <w:sz w:val="48"/>
      <w:szCs w:val="48"/>
    </w:rPr>
  </w:style>
  <w:style w:type="character" w:customStyle="1" w:styleId="138">
    <w:name w:val="font41"/>
    <w:uiPriority w:val="0"/>
    <w:rPr>
      <w:rFonts w:hint="eastAsia" w:ascii="宋体" w:hAnsi="宋体" w:eastAsia="宋体" w:cs="宋体"/>
      <w:color w:val="000000"/>
      <w:sz w:val="21"/>
      <w:szCs w:val="21"/>
      <w:u w:val="none"/>
    </w:rPr>
  </w:style>
  <w:style w:type="character" w:customStyle="1" w:styleId="139">
    <w:name w:val="Char Char25"/>
    <w:link w:val="140"/>
    <w:locked/>
    <w:uiPriority w:val="0"/>
    <w:rPr>
      <w:rFonts w:ascii="Tahoma" w:hAnsi="Tahoma"/>
      <w:kern w:val="2"/>
      <w:sz w:val="24"/>
    </w:rPr>
  </w:style>
  <w:style w:type="paragraph" w:customStyle="1" w:styleId="140">
    <w:name w:val="Char3"/>
    <w:basedOn w:val="1"/>
    <w:link w:val="139"/>
    <w:uiPriority w:val="0"/>
    <w:pPr>
      <w:widowControl w:val="0"/>
      <w:jc w:val="both"/>
    </w:pPr>
    <w:rPr>
      <w:rFonts w:ascii="Tahoma" w:hAnsi="Tahoma"/>
      <w:kern w:val="2"/>
      <w:sz w:val="24"/>
    </w:rPr>
  </w:style>
  <w:style w:type="character" w:customStyle="1" w:styleId="141">
    <w:name w:val="页眉 Char2"/>
    <w:uiPriority w:val="0"/>
    <w:rPr>
      <w:rFonts w:eastAsia="宋体" w:cs="Times New Roman"/>
      <w:kern w:val="2"/>
      <w:sz w:val="18"/>
      <w:szCs w:val="18"/>
      <w:lang w:val="en-US" w:eastAsia="zh-CN" w:bidi="ar-SA"/>
    </w:rPr>
  </w:style>
  <w:style w:type="character" w:customStyle="1" w:styleId="142">
    <w:name w:val="Title Char"/>
    <w:locked/>
    <w:uiPriority w:val="0"/>
    <w:rPr>
      <w:rFonts w:ascii="Arial" w:hAnsi="Arial" w:eastAsia="宋体"/>
      <w:b/>
      <w:sz w:val="32"/>
      <w:lang w:val="en-US" w:eastAsia="zh-CN"/>
    </w:rPr>
  </w:style>
  <w:style w:type="character" w:customStyle="1" w:styleId="143">
    <w:name w:val="zbggtop11 style5"/>
    <w:uiPriority w:val="0"/>
    <w:rPr>
      <w:rFonts w:cs="Times New Roman"/>
    </w:rPr>
  </w:style>
  <w:style w:type="character" w:customStyle="1" w:styleId="144">
    <w:name w:val="Intense Quote Char"/>
    <w:link w:val="145"/>
    <w:locked/>
    <w:uiPriority w:val="0"/>
    <w:rPr>
      <w:b/>
      <w:i/>
      <w:color w:val="4F81BD"/>
      <w:kern w:val="2"/>
      <w:sz w:val="22"/>
    </w:rPr>
  </w:style>
  <w:style w:type="paragraph" w:customStyle="1" w:styleId="145">
    <w:name w:val="明显引用1"/>
    <w:basedOn w:val="1"/>
    <w:next w:val="1"/>
    <w:link w:val="144"/>
    <w:uiPriority w:val="0"/>
    <w:pPr>
      <w:widowControl w:val="0"/>
      <w:pBdr>
        <w:bottom w:val="single" w:color="4F81BD" w:sz="4" w:space="4"/>
      </w:pBdr>
      <w:spacing w:before="200" w:after="280"/>
      <w:ind w:left="936" w:right="936"/>
      <w:jc w:val="both"/>
    </w:pPr>
    <w:rPr>
      <w:b/>
      <w:i/>
      <w:color w:val="4F81BD"/>
      <w:kern w:val="2"/>
      <w:sz w:val="22"/>
    </w:rPr>
  </w:style>
  <w:style w:type="character" w:customStyle="1" w:styleId="146">
    <w:name w:val="htd01"/>
    <w:uiPriority w:val="0"/>
    <w:rPr>
      <w:rFonts w:cs="Times New Roman"/>
    </w:rPr>
  </w:style>
  <w:style w:type="character" w:customStyle="1" w:styleId="147">
    <w:name w:val="zbggmain style9"/>
    <w:uiPriority w:val="0"/>
    <w:rPr>
      <w:rFonts w:cs="Times New Roman"/>
    </w:rPr>
  </w:style>
  <w:style w:type="character" w:customStyle="1" w:styleId="148">
    <w:name w:val="页脚 Char1"/>
    <w:uiPriority w:val="0"/>
    <w:rPr>
      <w:rFonts w:eastAsia="宋体" w:cs="Times New Roman"/>
      <w:kern w:val="2"/>
      <w:sz w:val="18"/>
      <w:szCs w:val="18"/>
      <w:lang w:val="en-US" w:eastAsia="zh-CN" w:bidi="ar-SA"/>
    </w:rPr>
  </w:style>
  <w:style w:type="character" w:customStyle="1" w:styleId="149">
    <w:name w:val="2nd level Char"/>
    <w:uiPriority w:val="0"/>
    <w:rPr>
      <w:rFonts w:ascii="Arial" w:hAnsi="Arial" w:eastAsia="宋体" w:cs="Times New Roman"/>
      <w:b/>
      <w:bCs/>
      <w:kern w:val="2"/>
      <w:sz w:val="32"/>
      <w:szCs w:val="32"/>
      <w:lang w:val="en-US" w:eastAsia="zh-CN" w:bidi="ar-SA"/>
    </w:rPr>
  </w:style>
  <w:style w:type="character" w:customStyle="1" w:styleId="150">
    <w:name w:val="ca-161"/>
    <w:uiPriority w:val="0"/>
    <w:rPr>
      <w:rFonts w:ascii="宋体" w:hAnsi="宋体" w:eastAsia="宋体" w:cs="Times New Roman"/>
      <w:sz w:val="24"/>
      <w:szCs w:val="24"/>
    </w:rPr>
  </w:style>
  <w:style w:type="character" w:customStyle="1" w:styleId="151">
    <w:name w:val="脚注文本 Char1"/>
    <w:uiPriority w:val="0"/>
    <w:rPr>
      <w:sz w:val="18"/>
      <w:szCs w:val="18"/>
    </w:rPr>
  </w:style>
  <w:style w:type="character" w:customStyle="1" w:styleId="152">
    <w:name w:val="Body Text Indent 2 Char"/>
    <w:locked/>
    <w:uiPriority w:val="0"/>
    <w:rPr>
      <w:rFonts w:eastAsia="宋体"/>
      <w:kern w:val="2"/>
      <w:sz w:val="21"/>
      <w:szCs w:val="24"/>
      <w:lang w:val="en-US" w:eastAsia="zh-CN" w:bidi="ar-SA"/>
    </w:rPr>
  </w:style>
  <w:style w:type="character" w:customStyle="1" w:styleId="153">
    <w:name w:val="批注主题 Char3"/>
    <w:uiPriority w:val="0"/>
    <w:rPr>
      <w:rFonts w:eastAsia="宋体" w:cs="Times New Roman"/>
      <w:b/>
      <w:bCs/>
      <w:kern w:val="2"/>
      <w:sz w:val="24"/>
      <w:szCs w:val="24"/>
      <w:lang w:val="en-US" w:eastAsia="zh-CN" w:bidi="ar-SA"/>
    </w:rPr>
  </w:style>
  <w:style w:type="character" w:customStyle="1" w:styleId="154">
    <w:name w:val="ca-191"/>
    <w:uiPriority w:val="0"/>
    <w:rPr>
      <w:rFonts w:ascii="Times New Roman" w:hAnsi="Times New Roman" w:cs="Times New Roman"/>
      <w:sz w:val="18"/>
      <w:szCs w:val="18"/>
    </w:rPr>
  </w:style>
  <w:style w:type="character" w:customStyle="1" w:styleId="155">
    <w:name w:val="ca-511"/>
    <w:uiPriority w:val="0"/>
    <w:rPr>
      <w:rFonts w:ascii="Times New Roman" w:hAnsi="Times New Roman" w:cs="Times New Roman"/>
      <w:b/>
      <w:bCs/>
      <w:color w:val="000000"/>
      <w:spacing w:val="-20"/>
      <w:sz w:val="32"/>
      <w:szCs w:val="32"/>
    </w:rPr>
  </w:style>
  <w:style w:type="character" w:customStyle="1" w:styleId="156">
    <w:name w:val="副标题 Char1"/>
    <w:uiPriority w:val="0"/>
    <w:rPr>
      <w:rFonts w:ascii="Cambria" w:hAnsi="Cambria"/>
      <w:b/>
      <w:kern w:val="28"/>
      <w:sz w:val="32"/>
    </w:rPr>
  </w:style>
  <w:style w:type="character" w:customStyle="1" w:styleId="157">
    <w:name w:val="ca-361"/>
    <w:uiPriority w:val="0"/>
    <w:rPr>
      <w:rFonts w:ascii="宋体" w:hAnsi="宋体" w:eastAsia="宋体" w:cs="Times New Roman"/>
      <w:b/>
      <w:bCs/>
      <w:spacing w:val="-20"/>
      <w:sz w:val="21"/>
      <w:szCs w:val="21"/>
    </w:rPr>
  </w:style>
  <w:style w:type="character" w:customStyle="1" w:styleId="158">
    <w:name w:val="ca-211"/>
    <w:uiPriority w:val="0"/>
    <w:rPr>
      <w:rFonts w:ascii="宋体" w:hAnsi="宋体" w:eastAsia="宋体" w:cs="Times New Roman"/>
      <w:color w:val="000000"/>
      <w:sz w:val="21"/>
      <w:szCs w:val="21"/>
    </w:rPr>
  </w:style>
  <w:style w:type="character" w:customStyle="1" w:styleId="159">
    <w:name w:val="ca-321"/>
    <w:uiPriority w:val="0"/>
    <w:rPr>
      <w:rFonts w:ascii="宋体" w:hAnsi="宋体" w:eastAsia="宋体" w:cs="Times New Roman"/>
      <w:b/>
      <w:bCs/>
      <w:color w:val="C00000"/>
      <w:spacing w:val="-20"/>
      <w:sz w:val="21"/>
      <w:szCs w:val="21"/>
    </w:rPr>
  </w:style>
  <w:style w:type="character" w:customStyle="1" w:styleId="160">
    <w:name w:val="纯文本 Char"/>
    <w:aliases w:val="普通文字 Char Char3,纯文本 Char Char Char2,普通文字 Char Char Char2,普通文字 Char3,Texte Char1,小 Char1,正 文 1 Char1,0921 Char1,一般文字 字元 Char1,一般文字 字元 字元 字元 字元 Char1,一般文字 字元 字元 字元 字元 字元 字元 字元 字元 Char1,一般文字 字元 字元 字元 字元 字元 字元 字元 Char1"/>
    <w:qFormat/>
    <w:uiPriority w:val="0"/>
    <w:rPr>
      <w:rFonts w:ascii="宋体" w:cs="Courier New"/>
      <w:szCs w:val="21"/>
      <w:lang w:bidi="ar-SA"/>
    </w:rPr>
  </w:style>
  <w:style w:type="character" w:customStyle="1" w:styleId="161">
    <w:name w:val="List Paragraph Char"/>
    <w:link w:val="162"/>
    <w:uiPriority w:val="0"/>
    <w:rPr>
      <w:rFonts w:ascii="Arial" w:hAnsi="Arial" w:eastAsia="黑体"/>
      <w:sz w:val="24"/>
      <w:szCs w:val="24"/>
      <w:lang w:eastAsia="en-US" w:bidi="en-US"/>
    </w:rPr>
  </w:style>
  <w:style w:type="paragraph" w:customStyle="1" w:styleId="162">
    <w:name w:val="列出段落1"/>
    <w:basedOn w:val="1"/>
    <w:link w:val="161"/>
    <w:qFormat/>
    <w:uiPriority w:val="0"/>
    <w:pPr>
      <w:ind w:left="720"/>
      <w:contextualSpacing/>
    </w:pPr>
    <w:rPr>
      <w:rFonts w:ascii="Arial" w:hAnsi="Arial" w:eastAsia="黑体"/>
      <w:sz w:val="24"/>
      <w:szCs w:val="24"/>
      <w:lang w:eastAsia="en-US" w:bidi="en-US"/>
    </w:rPr>
  </w:style>
  <w:style w:type="character" w:customStyle="1" w:styleId="163">
    <w:name w:val="ca-210"/>
    <w:uiPriority w:val="0"/>
    <w:rPr>
      <w:rFonts w:ascii="Times New Roman" w:hAnsi="Times New Roman" w:cs="Times New Roman"/>
      <w:color w:val="000000"/>
      <w:sz w:val="36"/>
      <w:szCs w:val="36"/>
    </w:rPr>
  </w:style>
  <w:style w:type="character" w:customStyle="1" w:styleId="164">
    <w:name w:val="Heading 5 Char"/>
    <w:locked/>
    <w:uiPriority w:val="0"/>
    <w:rPr>
      <w:rFonts w:eastAsia="宋体"/>
      <w:b/>
      <w:kern w:val="2"/>
      <w:sz w:val="28"/>
      <w:lang w:val="en-US" w:eastAsia="zh-CN"/>
    </w:rPr>
  </w:style>
  <w:style w:type="character" w:customStyle="1" w:styleId="165">
    <w:name w:val="正文2 Char"/>
    <w:uiPriority w:val="0"/>
    <w:rPr>
      <w:rFonts w:eastAsia="宋体"/>
      <w:kern w:val="2"/>
      <w:sz w:val="24"/>
      <w:lang w:val="en-US" w:eastAsia="zh-CN" w:bidi="ar-SA"/>
    </w:rPr>
  </w:style>
  <w:style w:type="character" w:customStyle="1" w:styleId="166">
    <w:name w:val="Char Char Char Char Char Char Char Char Char"/>
    <w:uiPriority w:val="0"/>
    <w:rPr>
      <w:rFonts w:eastAsia="宋体" w:cs="Times New Roman"/>
      <w:kern w:val="2"/>
      <w:sz w:val="24"/>
      <w:szCs w:val="24"/>
      <w:lang w:val="en-US" w:eastAsia="zh-CN" w:bidi="ar-SA"/>
    </w:rPr>
  </w:style>
  <w:style w:type="character" w:customStyle="1" w:styleId="167">
    <w:name w:val="Header Char"/>
    <w:locked/>
    <w:uiPriority w:val="0"/>
    <w:rPr>
      <w:rFonts w:eastAsia="宋体"/>
      <w:kern w:val="2"/>
      <w:sz w:val="18"/>
      <w:lang w:val="en-US" w:eastAsia="zh-CN"/>
    </w:rPr>
  </w:style>
  <w:style w:type="character" w:customStyle="1" w:styleId="168">
    <w:name w:val="ca-381"/>
    <w:uiPriority w:val="0"/>
    <w:rPr>
      <w:rFonts w:ascii="Times New Roman" w:hAnsi="Times New Roman" w:cs="Times New Roman"/>
      <w:b/>
      <w:bCs/>
      <w:spacing w:val="-20"/>
      <w:sz w:val="21"/>
      <w:szCs w:val="21"/>
    </w:rPr>
  </w:style>
  <w:style w:type="character" w:customStyle="1" w:styleId="169">
    <w:name w:val="text"/>
    <w:uiPriority w:val="0"/>
    <w:rPr>
      <w:rFonts w:cs="Times New Roman"/>
    </w:rPr>
  </w:style>
  <w:style w:type="character" w:customStyle="1" w:styleId="170">
    <w:name w:val="Heading 3 Char1"/>
    <w:locked/>
    <w:uiPriority w:val="0"/>
    <w:rPr>
      <w:rFonts w:cs="Times New Roman"/>
      <w:b/>
      <w:bCs/>
      <w:kern w:val="2"/>
      <w:sz w:val="32"/>
      <w:szCs w:val="32"/>
    </w:rPr>
  </w:style>
  <w:style w:type="character" w:customStyle="1" w:styleId="171">
    <w:name w:val="ca-421"/>
    <w:uiPriority w:val="0"/>
    <w:rPr>
      <w:rFonts w:ascii="宋体" w:hAnsi="宋体" w:eastAsia="宋体" w:cs="Times New Roman"/>
      <w:color w:val="000000"/>
      <w:sz w:val="36"/>
      <w:szCs w:val="36"/>
    </w:rPr>
  </w:style>
  <w:style w:type="character" w:customStyle="1" w:styleId="172">
    <w:name w:val="by jerry Char1"/>
    <w:uiPriority w:val="0"/>
    <w:rPr>
      <w:rFonts w:cs="Times New Roman"/>
      <w:b/>
      <w:bCs/>
      <w:kern w:val="44"/>
      <w:sz w:val="44"/>
      <w:szCs w:val="44"/>
    </w:rPr>
  </w:style>
  <w:style w:type="character" w:customStyle="1" w:styleId="173">
    <w:name w:val="Para head"/>
    <w:uiPriority w:val="0"/>
    <w:rPr>
      <w:rFonts w:ascii="Arial" w:hAnsi="Arial" w:cs="Times New Roman"/>
      <w:sz w:val="20"/>
    </w:rPr>
  </w:style>
  <w:style w:type="character" w:customStyle="1" w:styleId="174">
    <w:name w:val="Comment Subject Char"/>
    <w:locked/>
    <w:uiPriority w:val="0"/>
    <w:rPr>
      <w:rFonts w:eastAsia="宋体"/>
      <w:b/>
      <w:kern w:val="2"/>
      <w:sz w:val="24"/>
      <w:lang w:val="en-US" w:eastAsia="zh-CN"/>
    </w:rPr>
  </w:style>
  <w:style w:type="character" w:customStyle="1" w:styleId="175">
    <w:name w:val="批注文字 Char1"/>
    <w:uiPriority w:val="0"/>
    <w:rPr>
      <w:rFonts w:eastAsia="宋体" w:cs="Times New Roman"/>
      <w:kern w:val="2"/>
      <w:sz w:val="24"/>
      <w:szCs w:val="24"/>
      <w:lang w:val="en-US" w:eastAsia="zh-CN" w:bidi="ar-SA"/>
    </w:rPr>
  </w:style>
  <w:style w:type="character" w:customStyle="1" w:styleId="176">
    <w:name w:val="正文首行缩进 Char2"/>
    <w:uiPriority w:val="0"/>
    <w:rPr>
      <w:rFonts w:ascii="楷体_GB2312" w:hAnsi="Times New Roman" w:eastAsia="楷体_GB2312"/>
      <w:kern w:val="2"/>
      <w:sz w:val="21"/>
    </w:rPr>
  </w:style>
  <w:style w:type="character" w:customStyle="1" w:styleId="177">
    <w:name w:val="Date Char1"/>
    <w:locked/>
    <w:uiPriority w:val="0"/>
    <w:rPr>
      <w:rFonts w:ascii="仿宋_GB2312" w:eastAsia="仿宋_GB2312"/>
      <w:sz w:val="28"/>
      <w:lang w:val="en-US" w:eastAsia="zh-CN" w:bidi="ar-SA"/>
    </w:rPr>
  </w:style>
  <w:style w:type="character" w:customStyle="1" w:styleId="178">
    <w:name w:val="尾注文本 Char1"/>
    <w:uiPriority w:val="0"/>
    <w:rPr>
      <w:sz w:val="21"/>
    </w:rPr>
  </w:style>
  <w:style w:type="character" w:customStyle="1" w:styleId="179">
    <w:name w:val="ca-181"/>
    <w:uiPriority w:val="0"/>
    <w:rPr>
      <w:rFonts w:ascii="宋体" w:hAnsi="宋体" w:eastAsia="宋体" w:cs="Times New Roman"/>
      <w:color w:val="000000"/>
      <w:sz w:val="18"/>
      <w:szCs w:val="18"/>
    </w:rPr>
  </w:style>
  <w:style w:type="character" w:customStyle="1" w:styleId="180">
    <w:name w:val="Char Char1"/>
    <w:uiPriority w:val="0"/>
    <w:rPr>
      <w:rFonts w:ascii="宋体" w:hAnsi="Courier New" w:eastAsia="宋体" w:cs="Courier New"/>
      <w:kern w:val="2"/>
      <w:sz w:val="21"/>
      <w:szCs w:val="21"/>
      <w:lang w:val="en-US" w:eastAsia="zh-CN" w:bidi="ar-SA"/>
    </w:rPr>
  </w:style>
  <w:style w:type="character" w:customStyle="1" w:styleId="181">
    <w:name w:val="Char Char2"/>
    <w:uiPriority w:val="0"/>
    <w:rPr>
      <w:rFonts w:eastAsia="宋体" w:cs="Times New Roman"/>
      <w:kern w:val="2"/>
      <w:sz w:val="24"/>
      <w:szCs w:val="24"/>
      <w:lang w:val="en-US" w:eastAsia="zh-CN" w:bidi="ar-SA"/>
    </w:rPr>
  </w:style>
  <w:style w:type="character" w:customStyle="1" w:styleId="182">
    <w:name w:val="style13"/>
    <w:uiPriority w:val="0"/>
  </w:style>
  <w:style w:type="character" w:customStyle="1" w:styleId="183">
    <w:name w:val="Body Text Indent Char"/>
    <w:locked/>
    <w:uiPriority w:val="0"/>
    <w:rPr>
      <w:rFonts w:ascii="宋体" w:hAnsi="宋体" w:eastAsia="宋体" w:cs="Times New Roman"/>
      <w:kern w:val="2"/>
      <w:sz w:val="24"/>
      <w:szCs w:val="24"/>
      <w:lang w:val="en-US" w:eastAsia="zh-CN" w:bidi="ar-SA"/>
    </w:rPr>
  </w:style>
  <w:style w:type="character" w:customStyle="1" w:styleId="184">
    <w:name w:val="ca-81"/>
    <w:uiPriority w:val="0"/>
    <w:rPr>
      <w:rFonts w:ascii="宋体" w:hAnsi="宋体" w:eastAsia="宋体" w:cs="Times New Roman"/>
      <w:color w:val="000000"/>
      <w:sz w:val="28"/>
      <w:szCs w:val="28"/>
    </w:rPr>
  </w:style>
  <w:style w:type="character" w:customStyle="1" w:styleId="185">
    <w:name w:val="Heading 1 Char"/>
    <w:locked/>
    <w:uiPriority w:val="0"/>
    <w:rPr>
      <w:rFonts w:cs="Times New Roman"/>
      <w:b/>
      <w:bCs/>
      <w:kern w:val="44"/>
      <w:sz w:val="44"/>
      <w:szCs w:val="44"/>
    </w:rPr>
  </w:style>
  <w:style w:type="character" w:customStyle="1" w:styleId="186">
    <w:name w:val="图表标题 Char"/>
    <w:aliases w:val="正文不缩进 Char,特点 Char1,首行缩进两字 Char,二 Char,表正文 Char2,正文非缩进 Char2,段1 Char2,四号 Char2,首行缩进 Char,缩进 Char,ALT+Z Char2,标题四 Char1,正文双线 Char Char Char Char Char Char Char,正文双线 Char Char Char Char Char,正文双线 Char,水上软件 Char,正文（首行无缩进） Char,正文对齐 Char,±í Char"/>
    <w:uiPriority w:val="0"/>
    <w:rPr>
      <w:rFonts w:ascii="宋体" w:eastAsia="宋体"/>
      <w:snapToGrid w:val="0"/>
      <w:color w:val="000000"/>
      <w:kern w:val="28"/>
      <w:sz w:val="28"/>
      <w:lang w:val="en-US" w:eastAsia="zh-CN" w:bidi="ar-SA"/>
    </w:rPr>
  </w:style>
  <w:style w:type="character" w:customStyle="1" w:styleId="187">
    <w:name w:val="标题 3 Char Char Char Char Char Char Char Char Char Char Char"/>
    <w:uiPriority w:val="0"/>
    <w:rPr>
      <w:rFonts w:cs="Times New Roman"/>
      <w:b/>
      <w:bCs/>
      <w:sz w:val="32"/>
      <w:szCs w:val="32"/>
    </w:rPr>
  </w:style>
  <w:style w:type="character" w:customStyle="1" w:styleId="188">
    <w:name w:val="hover10"/>
    <w:uiPriority w:val="0"/>
    <w:rPr>
      <w:shd w:val="clear" w:color="auto" w:fill="EEEEEE"/>
    </w:rPr>
  </w:style>
  <w:style w:type="character" w:customStyle="1" w:styleId="189">
    <w:name w:val="正文文字4 Char Char"/>
    <w:uiPriority w:val="0"/>
    <w:rPr>
      <w:rFonts w:eastAsia="宋体" w:cs="Times New Roman"/>
      <w:kern w:val="2"/>
      <w:sz w:val="24"/>
      <w:szCs w:val="24"/>
      <w:lang w:val="en-US" w:eastAsia="zh-CN" w:bidi="ar-SA"/>
    </w:rPr>
  </w:style>
  <w:style w:type="character" w:customStyle="1" w:styleId="190">
    <w:name w:val="Footer Char1"/>
    <w:locked/>
    <w:uiPriority w:val="0"/>
    <w:rPr>
      <w:rFonts w:eastAsia="宋体" w:cs="Times New Roman"/>
      <w:kern w:val="2"/>
      <w:sz w:val="18"/>
      <w:szCs w:val="18"/>
      <w:lang w:val="en-US" w:eastAsia="zh-CN" w:bidi="ar-SA"/>
    </w:rPr>
  </w:style>
  <w:style w:type="character" w:customStyle="1" w:styleId="191">
    <w:name w:val=" Char Char9"/>
    <w:uiPriority w:val="0"/>
    <w:rPr>
      <w:rFonts w:ascii="Times New Roman" w:hAnsi="Times New Roman"/>
      <w:b/>
      <w:bCs/>
      <w:sz w:val="32"/>
      <w:szCs w:val="32"/>
    </w:rPr>
  </w:style>
  <w:style w:type="character" w:customStyle="1" w:styleId="192">
    <w:name w:val="批注文字 Char2"/>
    <w:uiPriority w:val="0"/>
    <w:rPr>
      <w:rFonts w:eastAsia="宋体" w:cs="Times New Roman"/>
      <w:kern w:val="2"/>
      <w:sz w:val="24"/>
      <w:szCs w:val="24"/>
      <w:lang w:val="en-US" w:eastAsia="zh-CN" w:bidi="ar-SA"/>
    </w:rPr>
  </w:style>
  <w:style w:type="character" w:customStyle="1" w:styleId="193">
    <w:name w:val="grame"/>
    <w:uiPriority w:val="0"/>
  </w:style>
  <w:style w:type="character" w:customStyle="1" w:styleId="194">
    <w:name w:val="ca-531"/>
    <w:uiPriority w:val="0"/>
    <w:rPr>
      <w:rFonts w:ascii="Times New Roman" w:hAnsi="Times New Roman" w:cs="Times New Roman"/>
      <w:b/>
      <w:bCs/>
      <w:spacing w:val="-20"/>
      <w:sz w:val="36"/>
      <w:szCs w:val="36"/>
    </w:rPr>
  </w:style>
  <w:style w:type="character" w:customStyle="1" w:styleId="195">
    <w:name w:val="font11"/>
    <w:uiPriority w:val="0"/>
    <w:rPr>
      <w:rFonts w:hint="default" w:ascii="Calibri" w:hAnsi="Calibri" w:cs="Calibri"/>
      <w:color w:val="000000"/>
      <w:sz w:val="21"/>
      <w:szCs w:val="21"/>
      <w:u w:val="none"/>
    </w:rPr>
  </w:style>
  <w:style w:type="character" w:customStyle="1" w:styleId="196">
    <w:name w:val="ca-491"/>
    <w:uiPriority w:val="0"/>
    <w:rPr>
      <w:rFonts w:ascii="宋体" w:hAnsi="宋体" w:eastAsia="宋体" w:cs="Times New Roman"/>
      <w:spacing w:val="0"/>
      <w:sz w:val="32"/>
      <w:szCs w:val="32"/>
    </w:rPr>
  </w:style>
  <w:style w:type="character" w:customStyle="1" w:styleId="197">
    <w:name w:val="Heading 9 Char"/>
    <w:locked/>
    <w:uiPriority w:val="0"/>
    <w:rPr>
      <w:rFonts w:ascii="Arial" w:hAnsi="Arial" w:eastAsia="黑体"/>
      <w:sz w:val="21"/>
      <w:lang w:val="en-US" w:eastAsia="zh-CN"/>
    </w:rPr>
  </w:style>
  <w:style w:type="character" w:customStyle="1" w:styleId="198">
    <w:name w:val="Char Char7"/>
    <w:uiPriority w:val="0"/>
    <w:rPr>
      <w:rFonts w:ascii="Arial" w:hAnsi="Arial" w:eastAsia="黑体" w:cs="Times New Roman"/>
      <w:b/>
      <w:bCs/>
      <w:kern w:val="2"/>
      <w:sz w:val="32"/>
      <w:szCs w:val="32"/>
      <w:lang w:val="en-US" w:eastAsia="zh-CN" w:bidi="ar-SA"/>
    </w:rPr>
  </w:style>
  <w:style w:type="character" w:customStyle="1" w:styleId="199">
    <w:name w:val="批注主题 Char Char Char"/>
    <w:uiPriority w:val="0"/>
    <w:rPr>
      <w:b/>
      <w:bCs/>
      <w:kern w:val="2"/>
      <w:sz w:val="21"/>
      <w:szCs w:val="24"/>
    </w:rPr>
  </w:style>
  <w:style w:type="character" w:customStyle="1" w:styleId="200">
    <w:name w:val="Heading 4 Char"/>
    <w:locked/>
    <w:uiPriority w:val="0"/>
    <w:rPr>
      <w:rFonts w:ascii="Arial" w:hAnsi="Arial" w:eastAsia="黑体"/>
      <w:b/>
      <w:kern w:val="2"/>
      <w:sz w:val="28"/>
      <w:lang w:val="en-US" w:eastAsia="zh-CN"/>
    </w:rPr>
  </w:style>
  <w:style w:type="character" w:customStyle="1" w:styleId="201">
    <w:name w:val="ca-111"/>
    <w:uiPriority w:val="0"/>
    <w:rPr>
      <w:rFonts w:ascii="Times New Roman" w:hAnsi="Times New Roman" w:cs="Times New Roman"/>
      <w:color w:val="000000"/>
      <w:sz w:val="30"/>
      <w:szCs w:val="30"/>
    </w:rPr>
  </w:style>
  <w:style w:type="character" w:customStyle="1" w:styleId="202">
    <w:name w:val="ca-301"/>
    <w:uiPriority w:val="0"/>
    <w:rPr>
      <w:rFonts w:ascii="??" w:hAnsi="??" w:cs="Times New Roman"/>
      <w:color w:val="002060"/>
      <w:sz w:val="21"/>
      <w:szCs w:val="21"/>
    </w:rPr>
  </w:style>
  <w:style w:type="character" w:customStyle="1" w:styleId="203">
    <w:name w:val="op-map-singlepoint-info-right"/>
    <w:uiPriority w:val="0"/>
    <w:rPr>
      <w:rFonts w:cs="Times New Roman"/>
    </w:rPr>
  </w:style>
  <w:style w:type="character" w:customStyle="1" w:styleId="204">
    <w:name w:val="ca-501"/>
    <w:uiPriority w:val="0"/>
    <w:rPr>
      <w:rFonts w:ascii="宋体" w:hAnsi="宋体" w:eastAsia="宋体" w:cs="Times New Roman"/>
      <w:spacing w:val="0"/>
      <w:sz w:val="24"/>
      <w:szCs w:val="24"/>
    </w:rPr>
  </w:style>
  <w:style w:type="character" w:customStyle="1" w:styleId="205">
    <w:name w:val="普通文字 Char1"/>
    <w:aliases w:val="普通文字 Char Char,纯文本 Char Char Char,纯文本 Char Char1,普通文字 Char Char Char Char1,普通文字 Char Char Char Char Char,纯文本 Char Char Char Char Char Char Char Char Char Char Char Char Char Char,小 Char,正 文 1 Char,普通文字1 Char,普通文字2 Char,普通文字3 Char,普通文字4 Char"/>
    <w:uiPriority w:val="0"/>
    <w:rPr>
      <w:rFonts w:ascii="宋体" w:hAnsi="Courier New" w:eastAsia="宋体"/>
      <w:kern w:val="2"/>
      <w:sz w:val="21"/>
      <w:lang w:val="en-US" w:eastAsia="zh-CN" w:bidi="ar-SA"/>
    </w:rPr>
  </w:style>
  <w:style w:type="character" w:customStyle="1" w:styleId="206">
    <w:name w:val="Subtle Emphasis1"/>
    <w:uiPriority w:val="0"/>
    <w:rPr>
      <w:i/>
      <w:color w:val="808080"/>
    </w:rPr>
  </w:style>
  <w:style w:type="character" w:customStyle="1" w:styleId="207">
    <w:name w:val="批注主题 Char1"/>
    <w:uiPriority w:val="0"/>
    <w:rPr>
      <w:b/>
      <w:kern w:val="2"/>
      <w:sz w:val="22"/>
    </w:rPr>
  </w:style>
  <w:style w:type="character" w:customStyle="1" w:styleId="208">
    <w:name w:val="标题 1 Char1"/>
    <w:uiPriority w:val="0"/>
    <w:rPr>
      <w:rFonts w:eastAsia="宋体" w:cs="Times New Roman"/>
      <w:b/>
      <w:bCs/>
      <w:kern w:val="44"/>
      <w:sz w:val="44"/>
      <w:szCs w:val="44"/>
      <w:lang w:val="en-US" w:eastAsia="zh-CN" w:bidi="ar-SA"/>
    </w:rPr>
  </w:style>
  <w:style w:type="character" w:customStyle="1" w:styleId="209">
    <w:name w:val="Intense Emphasis1"/>
    <w:uiPriority w:val="0"/>
    <w:rPr>
      <w:b/>
      <w:i/>
      <w:color w:val="4F81BD"/>
    </w:rPr>
  </w:style>
  <w:style w:type="character" w:customStyle="1" w:styleId="210">
    <w:name w:val="正文文本 3 Char1"/>
    <w:uiPriority w:val="0"/>
    <w:rPr>
      <w:sz w:val="16"/>
      <w:szCs w:val="16"/>
    </w:rPr>
  </w:style>
  <w:style w:type="character" w:customStyle="1" w:styleId="211">
    <w:name w:val="textcontents"/>
    <w:uiPriority w:val="0"/>
  </w:style>
  <w:style w:type="character" w:customStyle="1" w:styleId="212">
    <w:name w:val="style11"/>
    <w:uiPriority w:val="0"/>
    <w:rPr>
      <w:rFonts w:cs="Times New Roman"/>
      <w:sz w:val="27"/>
      <w:szCs w:val="27"/>
    </w:rPr>
  </w:style>
  <w:style w:type="character" w:customStyle="1" w:styleId="213">
    <w:name w:val="ca-371"/>
    <w:uiPriority w:val="0"/>
    <w:rPr>
      <w:rFonts w:ascii="宋体" w:hAnsi="宋体" w:eastAsia="宋体" w:cs="Times New Roman"/>
      <w:color w:val="000000"/>
      <w:spacing w:val="0"/>
      <w:sz w:val="21"/>
      <w:szCs w:val="21"/>
    </w:rPr>
  </w:style>
  <w:style w:type="character" w:customStyle="1" w:styleId="214">
    <w:name w:val="正文（首行缩进两字） Char"/>
    <w:uiPriority w:val="0"/>
    <w:rPr>
      <w:rFonts w:eastAsia="宋体" w:cs="Times New Roman"/>
      <w:spacing w:val="14"/>
      <w:kern w:val="24"/>
      <w:sz w:val="24"/>
      <w:lang w:val="en-US" w:eastAsia="zh-CN" w:bidi="ar-SA"/>
    </w:rPr>
  </w:style>
  <w:style w:type="character" w:customStyle="1" w:styleId="215">
    <w:name w:val="ca-291"/>
    <w:uiPriority w:val="0"/>
    <w:rPr>
      <w:rFonts w:ascii="宋体" w:hAnsi="宋体" w:eastAsia="宋体" w:cs="Times New Roman"/>
      <w:color w:val="7030A0"/>
      <w:sz w:val="21"/>
      <w:szCs w:val="21"/>
    </w:rPr>
  </w:style>
  <w:style w:type="character" w:customStyle="1" w:styleId="216">
    <w:name w:val="样式 样式 首行缩进:  2.25 字符 + 首行缩进:  2.25 字符 Char"/>
    <w:link w:val="217"/>
    <w:uiPriority w:val="0"/>
    <w:rPr>
      <w:rFonts w:ascii="宋体" w:hAnsi="宋体" w:cs="宋体"/>
      <w:kern w:val="2"/>
      <w:sz w:val="21"/>
      <w:szCs w:val="21"/>
    </w:rPr>
  </w:style>
  <w:style w:type="paragraph" w:customStyle="1" w:styleId="217">
    <w:name w:val="样式 样式 首行缩进:  2.25 字符 + 首行缩进:  2.25 字符"/>
    <w:basedOn w:val="1"/>
    <w:link w:val="216"/>
    <w:uiPriority w:val="0"/>
    <w:pPr>
      <w:widowControl w:val="0"/>
      <w:spacing w:line="360" w:lineRule="auto"/>
      <w:ind w:firstLine="420" w:firstLineChars="200"/>
      <w:jc w:val="both"/>
    </w:pPr>
    <w:rPr>
      <w:rFonts w:ascii="宋体" w:hAnsi="宋体"/>
      <w:kern w:val="2"/>
      <w:szCs w:val="21"/>
    </w:rPr>
  </w:style>
  <w:style w:type="character" w:customStyle="1" w:styleId="218">
    <w:name w:val="hover9"/>
    <w:uiPriority w:val="0"/>
    <w:rPr>
      <w:shd w:val="clear" w:color="auto" w:fill="EEEEEE"/>
    </w:rPr>
  </w:style>
  <w:style w:type="character" w:customStyle="1" w:styleId="219">
    <w:name w:val="ca-311"/>
    <w:uiPriority w:val="0"/>
    <w:rPr>
      <w:rFonts w:ascii="??" w:hAnsi="??" w:cs="Times New Roman"/>
      <w:color w:val="000000"/>
      <w:sz w:val="21"/>
      <w:szCs w:val="21"/>
    </w:rPr>
  </w:style>
  <w:style w:type="character" w:customStyle="1" w:styleId="220">
    <w:name w:val="Heading 8 Char"/>
    <w:locked/>
    <w:uiPriority w:val="0"/>
    <w:rPr>
      <w:rFonts w:ascii="Arial" w:hAnsi="Arial" w:eastAsia="黑体"/>
      <w:sz w:val="24"/>
      <w:lang w:val="en-US" w:eastAsia="zh-CN"/>
    </w:rPr>
  </w:style>
  <w:style w:type="character" w:customStyle="1" w:styleId="221">
    <w:name w:val="Char Char9"/>
    <w:uiPriority w:val="0"/>
    <w:rPr>
      <w:rFonts w:eastAsia="宋体" w:cs="Times New Roman"/>
      <w:color w:val="000000"/>
      <w:kern w:val="2"/>
      <w:sz w:val="24"/>
      <w:lang w:val="en-US" w:eastAsia="zh-CN" w:bidi="ar-SA"/>
    </w:rPr>
  </w:style>
  <w:style w:type="character" w:customStyle="1" w:styleId="222">
    <w:name w:val="ca-261"/>
    <w:uiPriority w:val="0"/>
    <w:rPr>
      <w:rFonts w:ascii="宋体" w:hAnsi="宋体" w:eastAsia="宋体" w:cs="Times New Roman"/>
      <w:color w:val="002060"/>
      <w:sz w:val="21"/>
      <w:szCs w:val="21"/>
    </w:rPr>
  </w:style>
  <w:style w:type="character" w:customStyle="1" w:styleId="223">
    <w:name w:val="font21"/>
    <w:uiPriority w:val="0"/>
    <w:rPr>
      <w:rFonts w:hint="eastAsia" w:ascii="宋体" w:hAnsi="宋体" w:eastAsia="宋体" w:cs="宋体"/>
      <w:color w:val="000000"/>
      <w:sz w:val="16"/>
      <w:szCs w:val="16"/>
      <w:u w:val="none"/>
    </w:rPr>
  </w:style>
  <w:style w:type="character" w:customStyle="1" w:styleId="224">
    <w:name w:val="ca-141"/>
    <w:uiPriority w:val="0"/>
    <w:rPr>
      <w:rFonts w:ascii="Times New Roman" w:hAnsi="Times New Roman" w:cs="Times New Roman"/>
      <w:color w:val="000000"/>
      <w:sz w:val="24"/>
      <w:szCs w:val="24"/>
    </w:rPr>
  </w:style>
  <w:style w:type="character" w:customStyle="1" w:styleId="225">
    <w:name w:val="font01"/>
    <w:uiPriority w:val="0"/>
    <w:rPr>
      <w:rFonts w:ascii="Calibri" w:hAnsi="Calibri" w:cs="Calibri"/>
      <w:color w:val="000000"/>
      <w:sz w:val="22"/>
      <w:szCs w:val="22"/>
      <w:u w:val="none"/>
    </w:rPr>
  </w:style>
  <w:style w:type="character" w:customStyle="1" w:styleId="226">
    <w:name w:val="DeltaView Insertion"/>
    <w:uiPriority w:val="0"/>
  </w:style>
  <w:style w:type="character" w:customStyle="1" w:styleId="227">
    <w:name w:val="标题 Char2"/>
    <w:uiPriority w:val="0"/>
    <w:rPr>
      <w:rFonts w:ascii="Arial" w:hAnsi="Arial" w:eastAsia="宋体" w:cs="Times New Roman"/>
      <w:b/>
      <w:sz w:val="32"/>
      <w:lang w:val="en-US" w:eastAsia="zh-CN" w:bidi="ar-SA"/>
    </w:rPr>
  </w:style>
  <w:style w:type="character" w:customStyle="1" w:styleId="228">
    <w:name w:val="标题5 Char Char"/>
    <w:link w:val="229"/>
    <w:locked/>
    <w:uiPriority w:val="0"/>
    <w:rPr>
      <w:rFonts w:ascii="Arial" w:hAnsi="Arial"/>
      <w:b/>
      <w:sz w:val="32"/>
    </w:rPr>
  </w:style>
  <w:style w:type="paragraph" w:customStyle="1" w:styleId="229">
    <w:name w:val="标题5"/>
    <w:basedOn w:val="5"/>
    <w:link w:val="228"/>
    <w:uiPriority w:val="0"/>
    <w:pPr>
      <w:widowControl w:val="0"/>
      <w:spacing w:line="413" w:lineRule="auto"/>
      <w:ind w:left="720" w:hanging="720"/>
      <w:jc w:val="both"/>
    </w:pPr>
    <w:rPr>
      <w:rFonts w:ascii="Arial" w:hAnsi="Arial"/>
      <w:bCs w:val="0"/>
      <w:szCs w:val="20"/>
    </w:rPr>
  </w:style>
  <w:style w:type="character" w:customStyle="1" w:styleId="230">
    <w:name w:val="Char Char12"/>
    <w:uiPriority w:val="0"/>
    <w:rPr>
      <w:rFonts w:ascii="Courier New" w:hAnsi="Courier New" w:eastAsia="宋体" w:cs="Times New Roman"/>
      <w:kern w:val="2"/>
      <w:sz w:val="21"/>
      <w:lang w:val="en-US" w:eastAsia="zh-CN" w:bidi="ar-SA"/>
    </w:rPr>
  </w:style>
  <w:style w:type="character" w:customStyle="1" w:styleId="231">
    <w:name w:val="Heading 7 Char"/>
    <w:locked/>
    <w:uiPriority w:val="0"/>
    <w:rPr>
      <w:rFonts w:eastAsia="宋体"/>
      <w:b/>
      <w:sz w:val="24"/>
      <w:lang w:val="en-US" w:eastAsia="zh-CN"/>
    </w:rPr>
  </w:style>
  <w:style w:type="character" w:customStyle="1" w:styleId="232">
    <w:name w:val="ca-391"/>
    <w:uiPriority w:val="0"/>
    <w:rPr>
      <w:rFonts w:ascii="宋体" w:hAnsi="宋体" w:eastAsia="宋体" w:cs="Times New Roman"/>
      <w:b/>
      <w:bCs/>
      <w:color w:val="000000"/>
      <w:spacing w:val="-20"/>
      <w:sz w:val="28"/>
      <w:szCs w:val="28"/>
    </w:rPr>
  </w:style>
  <w:style w:type="character" w:customStyle="1" w:styleId="233">
    <w:name w:val="批注文字 Char"/>
    <w:uiPriority w:val="0"/>
    <w:rPr>
      <w:rFonts w:ascii="Calibri" w:hAnsi="Calibri"/>
      <w:kern w:val="2"/>
      <w:sz w:val="21"/>
      <w:szCs w:val="22"/>
    </w:rPr>
  </w:style>
  <w:style w:type="character" w:customStyle="1" w:styleId="234">
    <w:name w:val="标题4 Char Char"/>
    <w:link w:val="235"/>
    <w:locked/>
    <w:uiPriority w:val="0"/>
    <w:rPr>
      <w:rFonts w:ascii="Arial" w:hAnsi="Arial"/>
      <w:b/>
      <w:sz w:val="32"/>
    </w:rPr>
  </w:style>
  <w:style w:type="paragraph" w:customStyle="1" w:styleId="235">
    <w:name w:val="标题4"/>
    <w:basedOn w:val="4"/>
    <w:next w:val="26"/>
    <w:link w:val="234"/>
    <w:uiPriority w:val="0"/>
    <w:pPr>
      <w:widowControl w:val="0"/>
      <w:spacing w:line="413" w:lineRule="auto"/>
      <w:jc w:val="both"/>
    </w:pPr>
    <w:rPr>
      <w:rFonts w:ascii="Arial" w:hAnsi="Arial"/>
      <w:bCs w:val="0"/>
      <w:szCs w:val="20"/>
    </w:rPr>
  </w:style>
  <w:style w:type="character" w:customStyle="1" w:styleId="236">
    <w:name w:val="副标题 Char2"/>
    <w:uiPriority w:val="0"/>
    <w:rPr>
      <w:rFonts w:ascii="Cambria" w:hAnsi="Cambria" w:cs="Times New Roman"/>
      <w:b/>
      <w:bCs/>
      <w:kern w:val="28"/>
      <w:sz w:val="32"/>
      <w:szCs w:val="32"/>
    </w:rPr>
  </w:style>
  <w:style w:type="character" w:customStyle="1" w:styleId="237">
    <w:name w:val="ca-481"/>
    <w:uiPriority w:val="0"/>
    <w:rPr>
      <w:rFonts w:ascii="宋体" w:hAnsi="宋体" w:eastAsia="宋体" w:cs="Times New Roman"/>
      <w:color w:val="000000"/>
      <w:sz w:val="26"/>
      <w:szCs w:val="26"/>
    </w:rPr>
  </w:style>
  <w:style w:type="character" w:customStyle="1" w:styleId="238">
    <w:name w:val="ca-401"/>
    <w:uiPriority w:val="0"/>
    <w:rPr>
      <w:rFonts w:ascii="Times New Roman" w:hAnsi="Times New Roman" w:cs="Times New Roman"/>
      <w:sz w:val="20"/>
      <w:szCs w:val="20"/>
    </w:rPr>
  </w:style>
  <w:style w:type="character" w:customStyle="1" w:styleId="239">
    <w:name w:val="普通文字 Char Char1"/>
    <w:aliases w:val="普通文字5 Char,普通文字6 Char,普通文字11 Char,普通文字21 Char,普通文字31 Char,普通文字41 Char,普通文字7 Char,Texte Char"/>
    <w:uiPriority w:val="0"/>
    <w:rPr>
      <w:rFonts w:ascii="宋体" w:hAnsi="Courier New" w:eastAsia="宋体" w:cs="Times New Roman"/>
      <w:kern w:val="2"/>
      <w:sz w:val="21"/>
      <w:lang w:val="en-US" w:eastAsia="zh-CN" w:bidi="ar-SA"/>
    </w:rPr>
  </w:style>
  <w:style w:type="character" w:customStyle="1" w:styleId="240">
    <w:name w:val="正文2 Char Char"/>
    <w:link w:val="241"/>
    <w:uiPriority w:val="0"/>
    <w:rPr>
      <w:kern w:val="2"/>
      <w:sz w:val="24"/>
    </w:rPr>
  </w:style>
  <w:style w:type="paragraph" w:customStyle="1" w:styleId="241">
    <w:name w:val="正文2"/>
    <w:basedOn w:val="1"/>
    <w:link w:val="240"/>
    <w:qFormat/>
    <w:uiPriority w:val="0"/>
    <w:pPr>
      <w:widowControl w:val="0"/>
      <w:spacing w:before="156" w:line="360" w:lineRule="auto"/>
      <w:ind w:firstLine="510" w:firstLineChars="200"/>
      <w:jc w:val="both"/>
    </w:pPr>
    <w:rPr>
      <w:kern w:val="2"/>
      <w:sz w:val="24"/>
    </w:rPr>
  </w:style>
  <w:style w:type="character" w:customStyle="1" w:styleId="242">
    <w:name w:val="ca-91"/>
    <w:uiPriority w:val="0"/>
    <w:rPr>
      <w:rFonts w:ascii="楷体_GB2312" w:eastAsia="楷体_GB2312" w:cs="Times New Roman"/>
      <w:color w:val="000000"/>
      <w:spacing w:val="20"/>
      <w:sz w:val="96"/>
      <w:szCs w:val="96"/>
    </w:rPr>
  </w:style>
  <w:style w:type="character" w:customStyle="1" w:styleId="243">
    <w:name w:val="ca-231"/>
    <w:uiPriority w:val="0"/>
    <w:rPr>
      <w:rFonts w:ascii="Times New Roman" w:hAnsi="Times New Roman" w:cs="Times New Roman"/>
      <w:sz w:val="21"/>
      <w:szCs w:val="21"/>
    </w:rPr>
  </w:style>
  <w:style w:type="character" w:customStyle="1" w:styleId="244">
    <w:name w:val="by jerry Char Char"/>
    <w:uiPriority w:val="0"/>
    <w:rPr>
      <w:rFonts w:eastAsia="宋体" w:cs="Times New Roman"/>
      <w:b/>
      <w:bCs/>
      <w:kern w:val="44"/>
      <w:sz w:val="44"/>
      <w:szCs w:val="44"/>
      <w:lang w:val="en-US" w:eastAsia="zh-CN" w:bidi="ar-SA"/>
    </w:rPr>
  </w:style>
  <w:style w:type="character" w:customStyle="1" w:styleId="245">
    <w:name w:val="无间隔 字符"/>
    <w:link w:val="246"/>
    <w:uiPriority w:val="0"/>
    <w:rPr>
      <w:rFonts w:eastAsia="Times New Roman"/>
      <w:sz w:val="22"/>
      <w:szCs w:val="22"/>
      <w:lang w:val="en-US" w:eastAsia="zh-CN" w:bidi="ar-SA"/>
    </w:rPr>
  </w:style>
  <w:style w:type="paragraph" w:styleId="246">
    <w:name w:val="No Spacing"/>
    <w:link w:val="245"/>
    <w:qFormat/>
    <w:uiPriority w:val="0"/>
    <w:rPr>
      <w:rFonts w:eastAsia="Times New Roman"/>
      <w:sz w:val="22"/>
      <w:szCs w:val="22"/>
      <w:lang w:val="en-US" w:eastAsia="zh-CN" w:bidi="ar-SA"/>
    </w:rPr>
  </w:style>
  <w:style w:type="character" w:customStyle="1" w:styleId="247">
    <w:name w:val="批注主题 Char2"/>
    <w:uiPriority w:val="0"/>
    <w:rPr>
      <w:rFonts w:ascii="宋体" w:hAnsi="宋体" w:eastAsia="宋体"/>
      <w:b/>
      <w:kern w:val="2"/>
      <w:sz w:val="24"/>
      <w:lang w:val="en-US" w:eastAsia="zh-CN"/>
    </w:rPr>
  </w:style>
  <w:style w:type="character" w:customStyle="1" w:styleId="248">
    <w:name w:val="hour_pm"/>
    <w:uiPriority w:val="0"/>
  </w:style>
  <w:style w:type="character" w:customStyle="1" w:styleId="249">
    <w:name w:val="ca-71"/>
    <w:uiPriority w:val="0"/>
    <w:rPr>
      <w:rFonts w:ascii="Times New Roman" w:hAnsi="Times New Roman" w:cs="Times New Roman"/>
      <w:color w:val="000000"/>
      <w:sz w:val="28"/>
      <w:szCs w:val="28"/>
    </w:rPr>
  </w:style>
  <w:style w:type="character" w:customStyle="1" w:styleId="250">
    <w:name w:val="Char Char8"/>
    <w:uiPriority w:val="0"/>
    <w:rPr>
      <w:rFonts w:ascii="Arial" w:hAnsi="Arial" w:eastAsia="黑体" w:cs="Times New Roman"/>
      <w:b/>
      <w:bCs/>
      <w:kern w:val="2"/>
      <w:sz w:val="32"/>
      <w:szCs w:val="32"/>
      <w:lang w:val="en-US" w:eastAsia="zh-CN" w:bidi="ar-SA"/>
    </w:rPr>
  </w:style>
  <w:style w:type="character" w:customStyle="1" w:styleId="251">
    <w:name w:val="Heading 3 Char"/>
    <w:locked/>
    <w:uiPriority w:val="0"/>
    <w:rPr>
      <w:rFonts w:eastAsia="宋体"/>
      <w:b/>
      <w:kern w:val="2"/>
      <w:sz w:val="32"/>
      <w:lang w:val="en-US" w:eastAsia="zh-CN"/>
    </w:rPr>
  </w:style>
  <w:style w:type="character" w:customStyle="1" w:styleId="252">
    <w:name w:val="ca-131"/>
    <w:uiPriority w:val="0"/>
    <w:rPr>
      <w:rFonts w:ascii="宋体" w:hAnsi="宋体" w:eastAsia="宋体" w:cs="Times New Roman"/>
      <w:color w:val="000000"/>
      <w:sz w:val="32"/>
      <w:szCs w:val="32"/>
    </w:rPr>
  </w:style>
  <w:style w:type="character" w:customStyle="1" w:styleId="253">
    <w:name w:val="Char Char121"/>
    <w:uiPriority w:val="0"/>
    <w:rPr>
      <w:rFonts w:ascii="Arial" w:hAnsi="Arial" w:eastAsia="宋体" w:cs="Times New Roman"/>
      <w:b/>
      <w:sz w:val="32"/>
      <w:lang w:val="en-US" w:eastAsia="zh-CN" w:bidi="ar-SA"/>
    </w:rPr>
  </w:style>
  <w:style w:type="character" w:customStyle="1" w:styleId="254">
    <w:name w:val="ca-61"/>
    <w:uiPriority w:val="0"/>
    <w:rPr>
      <w:rFonts w:ascii="宋体" w:hAnsi="宋体" w:eastAsia="宋体" w:cs="Times New Roman"/>
      <w:color w:val="000000"/>
      <w:sz w:val="30"/>
      <w:szCs w:val="30"/>
    </w:rPr>
  </w:style>
  <w:style w:type="character" w:customStyle="1" w:styleId="255">
    <w:name w:val="ca-241"/>
    <w:uiPriority w:val="0"/>
    <w:rPr>
      <w:rFonts w:ascii="宋体" w:hAnsi="宋体" w:eastAsia="宋体" w:cs="Times New Roman"/>
      <w:sz w:val="24"/>
      <w:szCs w:val="24"/>
    </w:rPr>
  </w:style>
  <w:style w:type="character" w:customStyle="1" w:styleId="256">
    <w:name w:val="Heading 6 Char"/>
    <w:locked/>
    <w:uiPriority w:val="0"/>
    <w:rPr>
      <w:rFonts w:ascii="Arial" w:hAnsi="Arial" w:eastAsia="黑体"/>
      <w:b/>
      <w:sz w:val="24"/>
      <w:lang w:val="en-US" w:eastAsia="zh-CN"/>
    </w:rPr>
  </w:style>
  <w:style w:type="character" w:customStyle="1" w:styleId="257">
    <w:name w:val="ca-351"/>
    <w:uiPriority w:val="0"/>
    <w:rPr>
      <w:rFonts w:ascii="Times New Roman" w:hAnsi="Times New Roman" w:cs="Times New Roman"/>
      <w:sz w:val="10"/>
      <w:szCs w:val="10"/>
    </w:rPr>
  </w:style>
  <w:style w:type="character" w:customStyle="1" w:styleId="258">
    <w:name w:val="ca-251"/>
    <w:uiPriority w:val="0"/>
    <w:rPr>
      <w:rFonts w:ascii="Times New Roman" w:hAnsi="Times New Roman" w:cs="Times New Roman"/>
      <w:sz w:val="21"/>
      <w:szCs w:val="21"/>
    </w:rPr>
  </w:style>
  <w:style w:type="character" w:customStyle="1" w:styleId="259">
    <w:name w:val="标题 Char1"/>
    <w:uiPriority w:val="0"/>
    <w:rPr>
      <w:rFonts w:ascii="Arial" w:hAnsi="Arial" w:eastAsia="宋体" w:cs="Times New Roman"/>
      <w:b/>
      <w:sz w:val="32"/>
      <w:lang w:val="en-US" w:eastAsia="zh-CN" w:bidi="ar-SA"/>
    </w:rPr>
  </w:style>
  <w:style w:type="character" w:customStyle="1" w:styleId="260">
    <w:name w:val="署名 Char"/>
    <w:uiPriority w:val="0"/>
    <w:rPr>
      <w:rFonts w:ascii="宋体" w:eastAsia="宋体" w:cs="Times New Roman"/>
      <w:snapToGrid w:val="0"/>
      <w:color w:val="000000"/>
      <w:kern w:val="28"/>
      <w:sz w:val="28"/>
      <w:lang w:val="en-US" w:eastAsia="zh-CN" w:bidi="ar-SA"/>
    </w:rPr>
  </w:style>
  <w:style w:type="character" w:customStyle="1" w:styleId="261">
    <w:name w:val="样式 正文缩进正文（首行缩进两字）特点ALT+Z表正文正文非缩进四号段1Normal Indent Char2... Char"/>
    <w:uiPriority w:val="0"/>
    <w:rPr>
      <w:rFonts w:ascii="Arial" w:hAnsi="Arial" w:eastAsia="宋体"/>
      <w:b/>
      <w:bCs/>
      <w:kern w:val="2"/>
      <w:sz w:val="32"/>
      <w:szCs w:val="32"/>
      <w:lang w:val="en-US" w:eastAsia="zh-CN" w:bidi="ar-SA"/>
    </w:rPr>
  </w:style>
  <w:style w:type="character" w:customStyle="1" w:styleId="262">
    <w:name w:val="明显引用 Char1"/>
    <w:uiPriority w:val="0"/>
    <w:rPr>
      <w:rFonts w:cs="Times New Roman"/>
      <w:b/>
      <w:bCs/>
      <w:i/>
      <w:iCs/>
      <w:color w:val="4F81BD"/>
      <w:kern w:val="2"/>
      <w:sz w:val="24"/>
      <w:szCs w:val="24"/>
    </w:rPr>
  </w:style>
  <w:style w:type="character" w:customStyle="1" w:styleId="263">
    <w:name w:val="apple-style-span"/>
    <w:uiPriority w:val="0"/>
    <w:rPr>
      <w:rFonts w:cs="Times New Roman"/>
    </w:rPr>
  </w:style>
  <w:style w:type="character" w:customStyle="1" w:styleId="264">
    <w:name w:val="标书1 Char"/>
    <w:aliases w:val="h1 Char,H1 Char,章 Char Char"/>
    <w:uiPriority w:val="0"/>
    <w:rPr>
      <w:rFonts w:ascii="宋体" w:hAnsi="Times New Roman" w:eastAsia="宋体" w:cs="Times New Roman"/>
      <w:b/>
      <w:kern w:val="44"/>
      <w:sz w:val="24"/>
      <w:szCs w:val="20"/>
    </w:rPr>
  </w:style>
  <w:style w:type="character" w:customStyle="1" w:styleId="265">
    <w:name w:val="ca-171"/>
    <w:uiPriority w:val="0"/>
    <w:rPr>
      <w:rFonts w:ascii="Times New Roman" w:hAnsi="Times New Roman" w:cs="Times New Roman"/>
      <w:b/>
      <w:bCs/>
      <w:spacing w:val="-20"/>
      <w:sz w:val="24"/>
      <w:szCs w:val="24"/>
    </w:rPr>
  </w:style>
  <w:style w:type="character" w:customStyle="1" w:styleId="266">
    <w:name w:val="手改 Char Char"/>
    <w:uiPriority w:val="0"/>
    <w:rPr>
      <w:rFonts w:eastAsia="宋体" w:cs="Times New Roman"/>
      <w:kern w:val="2"/>
      <w:sz w:val="24"/>
      <w:szCs w:val="24"/>
      <w:lang w:val="en-US" w:eastAsia="zh-CN" w:bidi="ar-SA"/>
    </w:rPr>
  </w:style>
  <w:style w:type="character" w:customStyle="1" w:styleId="267">
    <w:name w:val="Footer-Even Char"/>
    <w:uiPriority w:val="0"/>
    <w:rPr>
      <w:rFonts w:eastAsia="宋体" w:cs="Times New Roman"/>
      <w:kern w:val="2"/>
      <w:sz w:val="18"/>
      <w:szCs w:val="18"/>
      <w:lang w:val="en-US" w:eastAsia="zh-CN" w:bidi="ar-SA"/>
    </w:rPr>
  </w:style>
  <w:style w:type="character" w:customStyle="1" w:styleId="268">
    <w:name w:val=" Char Char"/>
    <w:uiPriority w:val="0"/>
    <w:rPr>
      <w:rFonts w:ascii="楷体_GB2312" w:hAnsi="Times New Roman" w:eastAsia="楷体_GB2312"/>
      <w:kern w:val="2"/>
      <w:sz w:val="32"/>
    </w:rPr>
  </w:style>
  <w:style w:type="character" w:customStyle="1" w:styleId="269">
    <w:name w:val="标题 Char3"/>
    <w:uiPriority w:val="0"/>
    <w:rPr>
      <w:rFonts w:ascii="Cambria" w:hAnsi="Cambria" w:cs="Times New Roman"/>
      <w:b/>
      <w:bCs/>
      <w:sz w:val="32"/>
      <w:szCs w:val="32"/>
    </w:rPr>
  </w:style>
  <w:style w:type="character" w:customStyle="1" w:styleId="270">
    <w:name w:val="Book Title1"/>
    <w:uiPriority w:val="0"/>
    <w:rPr>
      <w:b/>
      <w:smallCaps/>
      <w:spacing w:val="5"/>
    </w:rPr>
  </w:style>
  <w:style w:type="character" w:customStyle="1" w:styleId="271">
    <w:name w:val="ca-101"/>
    <w:uiPriority w:val="0"/>
    <w:rPr>
      <w:rFonts w:ascii="Times New Roman" w:hAnsi="Times New Roman" w:cs="Times New Roman"/>
      <w:color w:val="000000"/>
      <w:sz w:val="52"/>
      <w:szCs w:val="52"/>
    </w:rPr>
  </w:style>
  <w:style w:type="character" w:customStyle="1" w:styleId="272">
    <w:name w:val="Header Char1"/>
    <w:locked/>
    <w:uiPriority w:val="0"/>
    <w:rPr>
      <w:rFonts w:eastAsia="宋体" w:cs="Times New Roman"/>
      <w:kern w:val="2"/>
      <w:sz w:val="18"/>
      <w:szCs w:val="18"/>
      <w:lang w:val="en-US" w:eastAsia="zh-CN" w:bidi="ar-SA"/>
    </w:rPr>
  </w:style>
  <w:style w:type="character" w:customStyle="1" w:styleId="273">
    <w:name w:val="正文文本缩进 2 Char"/>
    <w:uiPriority w:val="0"/>
    <w:rPr>
      <w:sz w:val="21"/>
    </w:rPr>
  </w:style>
  <w:style w:type="character" w:customStyle="1" w:styleId="274">
    <w:name w:val="ca-54"/>
    <w:uiPriority w:val="0"/>
    <w:rPr>
      <w:rFonts w:ascii="宋体" w:hAnsi="宋体" w:eastAsia="宋体" w:cs="Times New Roman"/>
      <w:b/>
      <w:bCs/>
      <w:color w:val="000000"/>
      <w:spacing w:val="40"/>
      <w:sz w:val="48"/>
      <w:szCs w:val="48"/>
    </w:rPr>
  </w:style>
  <w:style w:type="character" w:customStyle="1" w:styleId="275">
    <w:name w:val="h Char Char"/>
    <w:uiPriority w:val="0"/>
    <w:rPr>
      <w:rFonts w:eastAsia="宋体"/>
      <w:kern w:val="2"/>
      <w:sz w:val="18"/>
      <w:szCs w:val="18"/>
      <w:lang w:val="en-US" w:eastAsia="zh-CN" w:bidi="ar-SA"/>
    </w:rPr>
  </w:style>
  <w:style w:type="character" w:customStyle="1" w:styleId="276">
    <w:name w:val="ca-121"/>
    <w:uiPriority w:val="0"/>
    <w:rPr>
      <w:rFonts w:ascii="Times New Roman" w:hAnsi="Times New Roman" w:cs="Times New Roman"/>
      <w:color w:val="000000"/>
      <w:sz w:val="32"/>
      <w:szCs w:val="32"/>
    </w:rPr>
  </w:style>
  <w:style w:type="character" w:customStyle="1" w:styleId="277">
    <w:name w:val="font51"/>
    <w:uiPriority w:val="0"/>
    <w:rPr>
      <w:rFonts w:hint="eastAsia" w:ascii="宋体" w:hAnsi="宋体" w:eastAsia="宋体" w:cs="宋体"/>
      <w:color w:val="000000"/>
      <w:sz w:val="22"/>
      <w:szCs w:val="22"/>
      <w:u w:val="none"/>
    </w:rPr>
  </w:style>
  <w:style w:type="character" w:customStyle="1" w:styleId="278">
    <w:name w:val="Quote Char"/>
    <w:link w:val="279"/>
    <w:locked/>
    <w:uiPriority w:val="0"/>
    <w:rPr>
      <w:i/>
      <w:color w:val="000000"/>
      <w:kern w:val="2"/>
      <w:sz w:val="22"/>
    </w:rPr>
  </w:style>
  <w:style w:type="paragraph" w:customStyle="1" w:styleId="279">
    <w:name w:val="引用1"/>
    <w:basedOn w:val="1"/>
    <w:next w:val="1"/>
    <w:link w:val="278"/>
    <w:uiPriority w:val="0"/>
    <w:pPr>
      <w:widowControl w:val="0"/>
      <w:jc w:val="both"/>
    </w:pPr>
    <w:rPr>
      <w:i/>
      <w:color w:val="000000"/>
      <w:kern w:val="2"/>
      <w:sz w:val="22"/>
    </w:rPr>
  </w:style>
  <w:style w:type="character" w:customStyle="1" w:styleId="280">
    <w:name w:val="Heading 7 Char1"/>
    <w:locked/>
    <w:uiPriority w:val="0"/>
    <w:rPr>
      <w:rFonts w:cs="Times New Roman"/>
      <w:b/>
      <w:bCs/>
      <w:kern w:val="2"/>
      <w:sz w:val="24"/>
      <w:szCs w:val="24"/>
    </w:rPr>
  </w:style>
  <w:style w:type="character" w:customStyle="1" w:styleId="281">
    <w:name w:val="批注文字 Char Char"/>
    <w:uiPriority w:val="0"/>
    <w:rPr>
      <w:rFonts w:ascii="宋体" w:hAnsi="Times New Roman" w:eastAsia="宋体"/>
      <w:sz w:val="20"/>
    </w:rPr>
  </w:style>
  <w:style w:type="character" w:customStyle="1" w:styleId="282">
    <w:name w:val="Balloon Text Char"/>
    <w:locked/>
    <w:uiPriority w:val="0"/>
    <w:rPr>
      <w:rFonts w:eastAsia="宋体"/>
      <w:kern w:val="2"/>
      <w:sz w:val="18"/>
      <w:lang w:val="en-US" w:eastAsia="zh-CN"/>
    </w:rPr>
  </w:style>
  <w:style w:type="character" w:customStyle="1" w:styleId="283">
    <w:name w:val="Document Map Char"/>
    <w:locked/>
    <w:uiPriority w:val="0"/>
    <w:rPr>
      <w:rFonts w:eastAsia="宋体"/>
      <w:kern w:val="2"/>
      <w:sz w:val="24"/>
      <w:lang w:val="en-US" w:eastAsia="zh-CN"/>
    </w:rPr>
  </w:style>
  <w:style w:type="character" w:customStyle="1" w:styleId="284">
    <w:name w:val="ca-471"/>
    <w:uiPriority w:val="0"/>
    <w:rPr>
      <w:rFonts w:ascii="宋体" w:hAnsi="宋体" w:eastAsia="宋体" w:cs="Times New Roman"/>
      <w:b/>
      <w:bCs/>
      <w:color w:val="000000"/>
      <w:spacing w:val="-20"/>
      <w:sz w:val="24"/>
      <w:szCs w:val="24"/>
    </w:rPr>
  </w:style>
  <w:style w:type="character" w:customStyle="1" w:styleId="285">
    <w:name w:val="样式 纯文本普通文字 Char纯文本 Char Char普通文字纯文本 Char Char Char Char Char...6 Char Char"/>
    <w:link w:val="286"/>
    <w:locked/>
    <w:uiPriority w:val="0"/>
    <w:rPr>
      <w:rFonts w:ascii="宋体" w:hAnsi="Courier New"/>
      <w:color w:val="000000"/>
      <w:kern w:val="2"/>
      <w:sz w:val="21"/>
    </w:rPr>
  </w:style>
  <w:style w:type="paragraph" w:customStyle="1" w:styleId="286">
    <w:name w:val="样式 纯文本普通文字 Char纯文本 Char Char普通文字纯文本 Char Char Char Char Char...6"/>
    <w:basedOn w:val="29"/>
    <w:link w:val="285"/>
    <w:uiPriority w:val="0"/>
    <w:rPr>
      <w:color w:val="000000"/>
    </w:rPr>
  </w:style>
  <w:style w:type="character" w:customStyle="1" w:styleId="287">
    <w:name w:val="ca-410"/>
    <w:uiPriority w:val="0"/>
    <w:rPr>
      <w:rFonts w:ascii="宋体" w:hAnsi="宋体" w:eastAsia="宋体" w:cs="Times New Roman"/>
      <w:b/>
      <w:bCs/>
      <w:color w:val="000000"/>
      <w:spacing w:val="-20"/>
      <w:sz w:val="48"/>
      <w:szCs w:val="48"/>
    </w:rPr>
  </w:style>
  <w:style w:type="character" w:customStyle="1" w:styleId="288">
    <w:name w:val="ca-441"/>
    <w:uiPriority w:val="0"/>
    <w:rPr>
      <w:rFonts w:ascii="宋体" w:hAnsi="宋体" w:eastAsia="宋体" w:cs="Times New Roman"/>
      <w:color w:val="000000"/>
      <w:sz w:val="52"/>
      <w:szCs w:val="52"/>
    </w:rPr>
  </w:style>
  <w:style w:type="character" w:customStyle="1" w:styleId="289">
    <w:name w:val="个人撰写风格"/>
    <w:uiPriority w:val="0"/>
    <w:rPr>
      <w:rFonts w:ascii="Arial" w:hAnsi="Arial" w:eastAsia="宋体" w:cs="Arial"/>
      <w:color w:val="auto"/>
      <w:sz w:val="20"/>
    </w:rPr>
  </w:style>
  <w:style w:type="character" w:customStyle="1" w:styleId="290">
    <w:name w:val="ca-281"/>
    <w:uiPriority w:val="0"/>
    <w:rPr>
      <w:rFonts w:ascii="宋体" w:hAnsi="宋体" w:eastAsia="宋体" w:cs="Times New Roman"/>
      <w:color w:val="FF0000"/>
      <w:sz w:val="21"/>
      <w:szCs w:val="21"/>
    </w:rPr>
  </w:style>
  <w:style w:type="character" w:customStyle="1" w:styleId="291">
    <w:name w:val="Plain Text Char"/>
    <w:aliases w:val="普通文字 Char Char2,纯文本 Char Char Char1,普通文字 Char Char Char1,普通文字 Char2,普通文字 Char Char Char Char2,普通文字 Char Char Char Char Char1,普通文字1 Char1,普通文字2 Char1,普通文字3 Char1,普通文字4 Char1,普通文字5 Char1,普通文字6 Char1,普通文字11 Char1,普通文字21 Char1,普通文字31 Char1"/>
    <w:locked/>
    <w:uiPriority w:val="0"/>
    <w:rPr>
      <w:rFonts w:ascii="宋体" w:hAnsi="Courier New" w:eastAsia="宋体" w:cs="Times New Roman"/>
      <w:kern w:val="2"/>
      <w:sz w:val="21"/>
      <w:lang w:val="en-US" w:eastAsia="zh-CN" w:bidi="ar-SA"/>
    </w:rPr>
  </w:style>
  <w:style w:type="character" w:customStyle="1" w:styleId="292">
    <w:name w:val="Blockquote Char"/>
    <w:link w:val="293"/>
    <w:locked/>
    <w:uiPriority w:val="0"/>
    <w:rPr>
      <w:sz w:val="24"/>
    </w:rPr>
  </w:style>
  <w:style w:type="paragraph" w:customStyle="1" w:styleId="293">
    <w:name w:val="Blockquote"/>
    <w:basedOn w:val="1"/>
    <w:link w:val="292"/>
    <w:uiPriority w:val="0"/>
    <w:pPr>
      <w:widowControl w:val="0"/>
      <w:autoSpaceDE w:val="0"/>
      <w:autoSpaceDN w:val="0"/>
      <w:adjustRightInd w:val="0"/>
      <w:spacing w:before="100" w:after="100"/>
      <w:ind w:left="360" w:right="360"/>
    </w:pPr>
    <w:rPr>
      <w:sz w:val="24"/>
    </w:rPr>
  </w:style>
  <w:style w:type="character" w:customStyle="1" w:styleId="294">
    <w:name w:val="Body Text Char"/>
    <w:locked/>
    <w:uiPriority w:val="0"/>
    <w:rPr>
      <w:rFonts w:eastAsia="宋体"/>
      <w:kern w:val="2"/>
      <w:sz w:val="24"/>
      <w:lang w:val="en-US" w:eastAsia="zh-CN"/>
    </w:rPr>
  </w:style>
  <w:style w:type="character" w:customStyle="1" w:styleId="295">
    <w:name w:val="Date Char"/>
    <w:locked/>
    <w:uiPriority w:val="0"/>
    <w:rPr>
      <w:rFonts w:eastAsia="宋体"/>
      <w:kern w:val="2"/>
      <w:sz w:val="24"/>
      <w:lang w:val="en-US" w:eastAsia="zh-CN"/>
    </w:rPr>
  </w:style>
  <w:style w:type="character" w:customStyle="1" w:styleId="296">
    <w:name w:val="Footer Char"/>
    <w:locked/>
    <w:uiPriority w:val="0"/>
    <w:rPr>
      <w:rFonts w:eastAsia="宋体"/>
      <w:kern w:val="2"/>
      <w:sz w:val="18"/>
      <w:lang w:val="en-US" w:eastAsia="zh-CN"/>
    </w:rPr>
  </w:style>
  <w:style w:type="character" w:customStyle="1" w:styleId="297">
    <w:name w:val="ca-331"/>
    <w:uiPriority w:val="0"/>
    <w:rPr>
      <w:rFonts w:ascii="宋体" w:hAnsi="宋体" w:eastAsia="宋体" w:cs="Times New Roman"/>
      <w:b/>
      <w:bCs/>
      <w:color w:val="002060"/>
      <w:spacing w:val="-20"/>
      <w:sz w:val="20"/>
      <w:szCs w:val="20"/>
    </w:rPr>
  </w:style>
  <w:style w:type="character" w:customStyle="1" w:styleId="298">
    <w:name w:val="Char Char"/>
    <w:uiPriority w:val="0"/>
    <w:rPr>
      <w:rFonts w:ascii="Arial" w:hAnsi="Arial" w:eastAsia="黑体" w:cs="Times New Roman"/>
      <w:b/>
      <w:bCs/>
      <w:kern w:val="2"/>
      <w:sz w:val="32"/>
      <w:szCs w:val="32"/>
      <w:lang w:val="en-US" w:eastAsia="zh-CN" w:bidi="ar-SA"/>
    </w:rPr>
  </w:style>
  <w:style w:type="character" w:customStyle="1" w:styleId="299">
    <w:name w:val="Subtle Reference1"/>
    <w:uiPriority w:val="0"/>
    <w:rPr>
      <w:smallCaps/>
      <w:color w:val="C0504D"/>
      <w:u w:val="single"/>
    </w:rPr>
  </w:style>
  <w:style w:type="character" w:customStyle="1" w:styleId="300">
    <w:name w:val="样式 正文（首行缩进两字） + 宋体 Char"/>
    <w:uiPriority w:val="0"/>
    <w:rPr>
      <w:rFonts w:ascii="宋体" w:hAnsi="宋体" w:eastAsia="宋体" w:cs="Times New Roman"/>
      <w:spacing w:val="6"/>
      <w:kern w:val="24"/>
      <w:sz w:val="24"/>
      <w:szCs w:val="24"/>
      <w:lang w:val="en-US" w:eastAsia="zh-CN" w:bidi="ar-SA"/>
    </w:rPr>
  </w:style>
  <w:style w:type="character" w:customStyle="1" w:styleId="301">
    <w:name w:val="列表段落 字符"/>
    <w:link w:val="302"/>
    <w:uiPriority w:val="34"/>
    <w:rPr>
      <w:sz w:val="21"/>
    </w:rPr>
  </w:style>
  <w:style w:type="paragraph" w:styleId="302">
    <w:name w:val="List Paragraph"/>
    <w:basedOn w:val="1"/>
    <w:link w:val="301"/>
    <w:qFormat/>
    <w:uiPriority w:val="34"/>
    <w:pPr>
      <w:ind w:firstLine="420" w:firstLineChars="200"/>
    </w:pPr>
  </w:style>
  <w:style w:type="character" w:customStyle="1" w:styleId="303">
    <w:name w:val="ca-221"/>
    <w:uiPriority w:val="0"/>
    <w:rPr>
      <w:rFonts w:ascii="宋体" w:hAnsi="宋体" w:eastAsia="宋体" w:cs="Times New Roman"/>
      <w:sz w:val="21"/>
      <w:szCs w:val="21"/>
    </w:rPr>
  </w:style>
  <w:style w:type="character" w:customStyle="1" w:styleId="304">
    <w:name w:val="Heading 3 - old Char"/>
    <w:uiPriority w:val="0"/>
    <w:rPr>
      <w:rFonts w:eastAsia="宋体" w:cs="Times New Roman"/>
      <w:b/>
      <w:bCs/>
      <w:kern w:val="2"/>
      <w:sz w:val="32"/>
      <w:szCs w:val="32"/>
      <w:lang w:val="en-US" w:eastAsia="zh-CN" w:bidi="ar-SA"/>
    </w:rPr>
  </w:style>
  <w:style w:type="character" w:customStyle="1" w:styleId="305">
    <w:name w:val="样式 标题 4 + 非加粗 Char"/>
    <w:uiPriority w:val="0"/>
    <w:rPr>
      <w:rFonts w:ascii="Arial" w:hAnsi="Arial" w:eastAsia="宋体" w:cs="Times New Roman"/>
      <w:b/>
      <w:bCs/>
      <w:spacing w:val="4"/>
      <w:kern w:val="2"/>
      <w:sz w:val="24"/>
      <w:szCs w:val="24"/>
      <w:lang w:val="en-US" w:eastAsia="zh-CN" w:bidi="ar-SA"/>
    </w:rPr>
  </w:style>
  <w:style w:type="character" w:customStyle="1" w:styleId="306">
    <w:name w:val="country-name"/>
    <w:uiPriority w:val="0"/>
    <w:rPr>
      <w:rFonts w:cs="Times New Roman"/>
    </w:rPr>
  </w:style>
  <w:style w:type="character" w:customStyle="1" w:styleId="307">
    <w:name w:val="street-address"/>
    <w:uiPriority w:val="0"/>
    <w:rPr>
      <w:rFonts w:cs="Times New Roman"/>
    </w:rPr>
  </w:style>
  <w:style w:type="character" w:customStyle="1" w:styleId="308">
    <w:name w:val="批注框文本 Char1"/>
    <w:uiPriority w:val="0"/>
    <w:rPr>
      <w:kern w:val="2"/>
      <w:sz w:val="18"/>
    </w:rPr>
  </w:style>
  <w:style w:type="character" w:customStyle="1" w:styleId="309">
    <w:name w:val="表正文 Char1"/>
    <w:uiPriority w:val="0"/>
    <w:rPr>
      <w:rFonts w:eastAsia="宋体" w:cs="Times New Roman"/>
      <w:kern w:val="2"/>
      <w:sz w:val="24"/>
      <w:szCs w:val="24"/>
      <w:lang w:val="en-US" w:eastAsia="zh-CN" w:bidi="ar-SA"/>
    </w:rPr>
  </w:style>
  <w:style w:type="character" w:customStyle="1" w:styleId="310">
    <w:name w:val="引用 Char"/>
    <w:link w:val="311"/>
    <w:locked/>
    <w:uiPriority w:val="0"/>
    <w:rPr>
      <w:i/>
      <w:color w:val="000000"/>
      <w:kern w:val="2"/>
      <w:sz w:val="22"/>
    </w:rPr>
  </w:style>
  <w:style w:type="paragraph" w:customStyle="1" w:styleId="311">
    <w:name w:val="Quote1"/>
    <w:basedOn w:val="1"/>
    <w:next w:val="1"/>
    <w:link w:val="310"/>
    <w:uiPriority w:val="0"/>
    <w:pPr>
      <w:widowControl w:val="0"/>
      <w:jc w:val="both"/>
    </w:pPr>
    <w:rPr>
      <w:i/>
      <w:color w:val="000000"/>
      <w:kern w:val="2"/>
      <w:sz w:val="22"/>
    </w:rPr>
  </w:style>
  <w:style w:type="character" w:customStyle="1" w:styleId="312">
    <w:name w:val="ca-411"/>
    <w:uiPriority w:val="0"/>
    <w:rPr>
      <w:rFonts w:ascii="宋体" w:hAnsi="宋体" w:eastAsia="宋体" w:cs="Times New Roman"/>
      <w:b/>
      <w:bCs/>
      <w:color w:val="000000"/>
      <w:spacing w:val="-20"/>
      <w:sz w:val="32"/>
      <w:szCs w:val="32"/>
    </w:rPr>
  </w:style>
  <w:style w:type="character" w:customStyle="1" w:styleId="313">
    <w:name w:val="ca-461"/>
    <w:uiPriority w:val="0"/>
    <w:rPr>
      <w:rFonts w:ascii="宋体" w:hAnsi="宋体" w:eastAsia="宋体" w:cs="Times New Roman"/>
      <w:color w:val="000000"/>
      <w:spacing w:val="-20"/>
      <w:sz w:val="28"/>
      <w:szCs w:val="28"/>
    </w:rPr>
  </w:style>
  <w:style w:type="character" w:customStyle="1" w:styleId="314">
    <w:name w:val="内文 Char Char"/>
    <w:link w:val="315"/>
    <w:locked/>
    <w:uiPriority w:val="0"/>
    <w:rPr>
      <w:rFonts w:ascii="Arial" w:hAnsi="Arial" w:eastAsia="Times New Roman"/>
      <w:kern w:val="2"/>
      <w:sz w:val="21"/>
      <w:lang w:val="en-US" w:eastAsia="zh-CN" w:bidi="ar-SA"/>
    </w:rPr>
  </w:style>
  <w:style w:type="paragraph" w:customStyle="1" w:styleId="315">
    <w:name w:val="内文"/>
    <w:link w:val="314"/>
    <w:uiPriority w:val="0"/>
    <w:pPr>
      <w:adjustRightInd w:val="0"/>
      <w:snapToGrid w:val="0"/>
      <w:spacing w:line="400" w:lineRule="exact"/>
      <w:ind w:firstLine="200" w:firstLineChars="200"/>
      <w:jc w:val="both"/>
    </w:pPr>
    <w:rPr>
      <w:rFonts w:ascii="Arial" w:hAnsi="Arial" w:eastAsia="Times New Roman"/>
      <w:kern w:val="2"/>
      <w:sz w:val="21"/>
      <w:lang w:val="en-US" w:eastAsia="zh-CN" w:bidi="ar-SA"/>
    </w:rPr>
  </w:style>
  <w:style w:type="character" w:customStyle="1" w:styleId="316">
    <w:name w:val="Intense Reference1"/>
    <w:uiPriority w:val="0"/>
    <w:rPr>
      <w:b/>
      <w:smallCaps/>
      <w:color w:val="C0504D"/>
      <w:spacing w:val="5"/>
      <w:u w:val="single"/>
    </w:rPr>
  </w:style>
  <w:style w:type="character" w:customStyle="1" w:styleId="317">
    <w:name w:val="old"/>
    <w:uiPriority w:val="0"/>
    <w:rPr>
      <w:color w:val="999999"/>
    </w:rPr>
  </w:style>
  <w:style w:type="character" w:customStyle="1" w:styleId="318">
    <w:name w:val="批注框文本 Char2"/>
    <w:uiPriority w:val="0"/>
    <w:rPr>
      <w:rFonts w:ascii="宋体"/>
      <w:kern w:val="2"/>
      <w:sz w:val="18"/>
    </w:rPr>
  </w:style>
  <w:style w:type="character" w:customStyle="1" w:styleId="319">
    <w:name w:val="ca-431"/>
    <w:uiPriority w:val="0"/>
    <w:rPr>
      <w:rFonts w:ascii="宋体" w:hAnsi="宋体" w:eastAsia="宋体" w:cs="Times New Roman"/>
      <w:color w:val="000000"/>
      <w:sz w:val="44"/>
      <w:szCs w:val="44"/>
    </w:rPr>
  </w:style>
  <w:style w:type="character" w:customStyle="1" w:styleId="320">
    <w:name w:val="表格正文 Char"/>
    <w:link w:val="321"/>
    <w:uiPriority w:val="0"/>
    <w:rPr>
      <w:kern w:val="2"/>
      <w:sz w:val="21"/>
      <w:szCs w:val="24"/>
    </w:rPr>
  </w:style>
  <w:style w:type="paragraph" w:customStyle="1" w:styleId="321">
    <w:name w:val="表格正文"/>
    <w:basedOn w:val="1"/>
    <w:link w:val="320"/>
    <w:qFormat/>
    <w:uiPriority w:val="0"/>
    <w:pPr>
      <w:widowControl w:val="0"/>
      <w:jc w:val="both"/>
    </w:pPr>
    <w:rPr>
      <w:kern w:val="2"/>
      <w:szCs w:val="24"/>
    </w:rPr>
  </w:style>
  <w:style w:type="character" w:customStyle="1" w:styleId="322">
    <w:name w:val="正文文本缩进 字符"/>
    <w:uiPriority w:val="0"/>
    <w:rPr>
      <w:rFonts w:ascii="宋体" w:hAnsi="Courier New" w:eastAsia="宋体"/>
      <w:spacing w:val="-4"/>
      <w:kern w:val="2"/>
      <w:sz w:val="18"/>
      <w:lang w:val="en-US" w:eastAsia="zh-CN" w:bidi="ar-SA"/>
    </w:rPr>
  </w:style>
  <w:style w:type="character" w:customStyle="1" w:styleId="323">
    <w:name w:val="纯文本 字符2"/>
    <w:qFormat/>
    <w:uiPriority w:val="0"/>
    <w:rPr>
      <w:rFonts w:ascii="宋体" w:hAnsi="Courier New" w:eastAsia="宋体"/>
      <w:kern w:val="2"/>
      <w:sz w:val="24"/>
      <w:szCs w:val="24"/>
      <w:lang w:val="en-US" w:eastAsia="zh-CN" w:bidi="ar-SA"/>
    </w:rPr>
  </w:style>
  <w:style w:type="character" w:customStyle="1" w:styleId="324">
    <w:name w:val="bookmark-item"/>
    <w:uiPriority w:val="0"/>
  </w:style>
  <w:style w:type="paragraph" w:customStyle="1" w:styleId="325">
    <w:name w:val="xl82"/>
    <w:basedOn w:val="1"/>
    <w:uiPriority w:val="0"/>
    <w:pPr>
      <w:pBdr>
        <w:top w:val="single" w:color="auto" w:sz="4" w:space="0"/>
        <w:left w:val="single" w:color="auto" w:sz="4" w:space="0"/>
        <w:bottom w:val="single" w:color="auto" w:sz="4" w:space="0"/>
        <w:right w:val="single" w:color="auto" w:sz="4" w:space="0"/>
      </w:pBdr>
      <w:spacing w:before="100" w:beforeAutospacing="1" w:after="100" w:afterAutospacing="1"/>
      <w:jc w:val="center"/>
      <w:textAlignment w:val="top"/>
    </w:pPr>
    <w:rPr>
      <w:rFonts w:ascii="黑体" w:hAnsi="黑体" w:eastAsia="黑体" w:cs="宋体"/>
      <w:sz w:val="20"/>
    </w:rPr>
  </w:style>
  <w:style w:type="paragraph" w:customStyle="1" w:styleId="326">
    <w:name w:val="pa-46"/>
    <w:basedOn w:val="1"/>
    <w:uiPriority w:val="0"/>
    <w:pPr>
      <w:spacing w:line="280" w:lineRule="atLeast"/>
      <w:ind w:firstLine="420"/>
    </w:pPr>
    <w:rPr>
      <w:rFonts w:ascii="宋体" w:hAnsi="宋体" w:cs="宋体"/>
      <w:sz w:val="24"/>
      <w:szCs w:val="24"/>
    </w:rPr>
  </w:style>
  <w:style w:type="paragraph" w:customStyle="1" w:styleId="327">
    <w:name w:val="pa-69"/>
    <w:basedOn w:val="1"/>
    <w:uiPriority w:val="0"/>
    <w:pPr>
      <w:spacing w:line="240" w:lineRule="atLeast"/>
      <w:ind w:firstLine="1140"/>
      <w:jc w:val="both"/>
    </w:pPr>
    <w:rPr>
      <w:rFonts w:ascii="宋体" w:hAnsi="宋体" w:cs="宋体"/>
      <w:sz w:val="24"/>
      <w:szCs w:val="24"/>
    </w:rPr>
  </w:style>
  <w:style w:type="paragraph" w:customStyle="1" w:styleId="328">
    <w:name w:val="默认段落字体 Para Char Char Char Char Char Char Char"/>
    <w:basedOn w:val="1"/>
    <w:uiPriority w:val="0"/>
    <w:pPr>
      <w:widowControl w:val="0"/>
      <w:jc w:val="both"/>
    </w:pPr>
    <w:rPr>
      <w:rFonts w:ascii="Tahoma" w:hAnsi="Tahoma"/>
      <w:kern w:val="2"/>
      <w:sz w:val="24"/>
    </w:rPr>
  </w:style>
  <w:style w:type="paragraph" w:customStyle="1" w:styleId="329">
    <w:name w:val="xl108"/>
    <w:basedOn w:val="1"/>
    <w:uiPriority w:val="0"/>
    <w:pPr>
      <w:pBdr>
        <w:top w:val="single" w:color="auto" w:sz="4" w:space="0"/>
        <w:left w:val="single" w:color="auto" w:sz="4" w:space="0"/>
        <w:bottom w:val="single" w:color="auto" w:sz="4" w:space="0"/>
      </w:pBdr>
      <w:shd w:val="clear" w:color="000000" w:fill="C2E277"/>
      <w:spacing w:before="100" w:beforeAutospacing="1" w:after="100" w:afterAutospacing="1"/>
      <w:jc w:val="center"/>
      <w:textAlignment w:val="center"/>
    </w:pPr>
    <w:rPr>
      <w:rFonts w:ascii="宋体" w:hAnsi="宋体" w:cs="宋体"/>
      <w:b/>
      <w:bCs/>
      <w:sz w:val="24"/>
      <w:szCs w:val="24"/>
    </w:rPr>
  </w:style>
  <w:style w:type="paragraph" w:customStyle="1" w:styleId="330">
    <w:name w:val="pa-31"/>
    <w:basedOn w:val="1"/>
    <w:uiPriority w:val="0"/>
    <w:pPr>
      <w:spacing w:line="240" w:lineRule="atLeast"/>
      <w:ind w:firstLine="420"/>
    </w:pPr>
    <w:rPr>
      <w:rFonts w:ascii="宋体" w:hAnsi="宋体" w:cs="宋体"/>
      <w:sz w:val="24"/>
      <w:szCs w:val="24"/>
    </w:rPr>
  </w:style>
  <w:style w:type="paragraph" w:customStyle="1" w:styleId="331">
    <w:name w:val="pa-6"/>
    <w:basedOn w:val="1"/>
    <w:uiPriority w:val="0"/>
    <w:pPr>
      <w:spacing w:line="560" w:lineRule="atLeast"/>
      <w:jc w:val="both"/>
    </w:pPr>
    <w:rPr>
      <w:rFonts w:ascii="宋体" w:hAnsi="宋体" w:cs="宋体"/>
      <w:sz w:val="24"/>
      <w:szCs w:val="24"/>
    </w:rPr>
  </w:style>
  <w:style w:type="paragraph" w:customStyle="1" w:styleId="332">
    <w:name w:val="_Style 123"/>
    <w:basedOn w:val="1"/>
    <w:next w:val="302"/>
    <w:qFormat/>
    <w:uiPriority w:val="34"/>
    <w:pPr>
      <w:widowControl w:val="0"/>
      <w:ind w:firstLine="420" w:firstLineChars="200"/>
      <w:jc w:val="both"/>
    </w:pPr>
    <w:rPr>
      <w:rFonts w:ascii="Calibri" w:hAnsi="Calibri"/>
      <w:kern w:val="2"/>
      <w:szCs w:val="24"/>
    </w:rPr>
  </w:style>
  <w:style w:type="paragraph" w:customStyle="1" w:styleId="333">
    <w:name w:val="Char Char Char Char Char Char"/>
    <w:basedOn w:val="1"/>
    <w:uiPriority w:val="0"/>
    <w:pPr>
      <w:widowControl w:val="0"/>
      <w:jc w:val="both"/>
    </w:pPr>
    <w:rPr>
      <w:rFonts w:ascii="Calibri" w:hAnsi="Calibri"/>
      <w:kern w:val="2"/>
      <w:szCs w:val="24"/>
    </w:rPr>
  </w:style>
  <w:style w:type="paragraph" w:customStyle="1" w:styleId="334">
    <w:name w:val="xl45"/>
    <w:basedOn w:val="1"/>
    <w:uiPriority w:val="0"/>
    <w:pPr>
      <w:pBdr>
        <w:left w:val="single" w:color="auto" w:sz="4" w:space="0"/>
        <w:bottom w:val="single" w:color="auto" w:sz="4" w:space="0"/>
        <w:right w:val="single" w:color="auto" w:sz="4" w:space="0"/>
      </w:pBdr>
      <w:spacing w:before="100" w:beforeAutospacing="1" w:after="100" w:afterAutospacing="1"/>
      <w:jc w:val="center"/>
    </w:pPr>
    <w:rPr>
      <w:rFonts w:ascii="宋体" w:hAnsi="宋体"/>
      <w:bCs/>
      <w:sz w:val="24"/>
      <w:szCs w:val="24"/>
    </w:rPr>
  </w:style>
  <w:style w:type="paragraph" w:customStyle="1" w:styleId="335">
    <w:name w:val="部分1"/>
    <w:basedOn w:val="1"/>
    <w:uiPriority w:val="0"/>
    <w:pPr>
      <w:keepNext/>
      <w:pageBreakBefore/>
      <w:widowControl w:val="0"/>
      <w:tabs>
        <w:tab w:val="left" w:pos="720"/>
      </w:tabs>
      <w:spacing w:line="360" w:lineRule="auto"/>
      <w:jc w:val="center"/>
      <w:outlineLvl w:val="0"/>
    </w:pPr>
    <w:rPr>
      <w:rFonts w:ascii="Calibri" w:hAnsi="Calibri" w:eastAsia="黑体"/>
      <w:b/>
      <w:kern w:val="44"/>
      <w:sz w:val="36"/>
    </w:rPr>
  </w:style>
  <w:style w:type="paragraph" w:customStyle="1" w:styleId="336">
    <w:name w:val="pa-114"/>
    <w:basedOn w:val="1"/>
    <w:uiPriority w:val="0"/>
    <w:pPr>
      <w:spacing w:line="280" w:lineRule="atLeast"/>
      <w:ind w:firstLine="2220"/>
      <w:jc w:val="both"/>
    </w:pPr>
    <w:rPr>
      <w:rFonts w:ascii="宋体" w:hAnsi="宋体" w:cs="宋体"/>
      <w:sz w:val="24"/>
      <w:szCs w:val="24"/>
    </w:rPr>
  </w:style>
  <w:style w:type="paragraph" w:customStyle="1" w:styleId="337">
    <w:name w:val="td-1"/>
    <w:basedOn w:val="1"/>
    <w:uiPriority w:val="0"/>
    <w:pPr>
      <w:pBdr>
        <w:top w:val="single" w:color="000000" w:sz="6" w:space="0"/>
        <w:left w:val="single" w:color="000000" w:sz="6" w:space="4"/>
        <w:bottom w:val="single" w:color="000000" w:sz="6" w:space="0"/>
        <w:right w:val="single" w:color="000000" w:sz="6" w:space="0"/>
      </w:pBdr>
    </w:pPr>
    <w:rPr>
      <w:rFonts w:ascii="宋体" w:hAnsi="宋体" w:cs="宋体"/>
      <w:sz w:val="24"/>
      <w:szCs w:val="24"/>
    </w:rPr>
  </w:style>
  <w:style w:type="paragraph" w:customStyle="1" w:styleId="338">
    <w:name w:val="ca-36"/>
    <w:basedOn w:val="1"/>
    <w:uiPriority w:val="0"/>
    <w:rPr>
      <w:rFonts w:ascii="宋体" w:hAnsi="宋体" w:cs="宋体"/>
      <w:b/>
      <w:bCs/>
      <w:spacing w:val="-20"/>
      <w:szCs w:val="21"/>
    </w:rPr>
  </w:style>
  <w:style w:type="paragraph" w:customStyle="1" w:styleId="339">
    <w:name w:val="xl81"/>
    <w:basedOn w:val="1"/>
    <w:uiPriority w:val="0"/>
    <w:pPr>
      <w:pBdr>
        <w:top w:val="single" w:color="auto" w:sz="4" w:space="0"/>
        <w:bottom w:val="single" w:color="auto" w:sz="4" w:space="0"/>
        <w:right w:val="single" w:color="auto" w:sz="4" w:space="0"/>
      </w:pBdr>
      <w:spacing w:before="100" w:beforeAutospacing="1" w:after="100" w:afterAutospacing="1"/>
      <w:jc w:val="center"/>
    </w:pPr>
    <w:rPr>
      <w:rFonts w:ascii="宋体" w:hAnsi="宋体" w:cs="宋体"/>
      <w:b/>
      <w:bCs/>
      <w:sz w:val="20"/>
    </w:rPr>
  </w:style>
  <w:style w:type="paragraph" w:customStyle="1" w:styleId="340">
    <w:name w:val="pa-104"/>
    <w:basedOn w:val="1"/>
    <w:uiPriority w:val="0"/>
    <w:pPr>
      <w:spacing w:line="280" w:lineRule="atLeast"/>
      <w:ind w:firstLine="500"/>
    </w:pPr>
    <w:rPr>
      <w:rFonts w:ascii="宋体" w:hAnsi="宋体" w:cs="宋体"/>
      <w:sz w:val="24"/>
      <w:szCs w:val="24"/>
    </w:rPr>
  </w:style>
  <w:style w:type="paragraph" w:customStyle="1" w:styleId="341">
    <w:name w:val="目录"/>
    <w:basedOn w:val="1"/>
    <w:uiPriority w:val="0"/>
    <w:pPr>
      <w:jc w:val="center"/>
    </w:pPr>
    <w:rPr>
      <w:rFonts w:ascii="宋体" w:hAnsi="Calibri"/>
      <w:b/>
      <w:sz w:val="36"/>
    </w:rPr>
  </w:style>
  <w:style w:type="paragraph" w:customStyle="1" w:styleId="342">
    <w:name w:val="pa-56"/>
    <w:basedOn w:val="1"/>
    <w:uiPriority w:val="0"/>
    <w:pPr>
      <w:spacing w:line="300" w:lineRule="atLeast"/>
      <w:ind w:firstLine="420"/>
      <w:jc w:val="both"/>
    </w:pPr>
    <w:rPr>
      <w:rFonts w:ascii="宋体" w:hAnsi="宋体" w:cs="宋体"/>
      <w:sz w:val="24"/>
      <w:szCs w:val="24"/>
    </w:rPr>
  </w:style>
  <w:style w:type="paragraph" w:customStyle="1" w:styleId="343">
    <w:name w:val="pa-79"/>
    <w:basedOn w:val="1"/>
    <w:uiPriority w:val="0"/>
    <w:pPr>
      <w:spacing w:line="360" w:lineRule="atLeast"/>
      <w:ind w:firstLine="3040"/>
    </w:pPr>
    <w:rPr>
      <w:rFonts w:ascii="宋体" w:hAnsi="宋体" w:cs="宋体"/>
      <w:sz w:val="24"/>
      <w:szCs w:val="24"/>
    </w:rPr>
  </w:style>
  <w:style w:type="paragraph" w:customStyle="1" w:styleId="344">
    <w:name w:val="pa-99"/>
    <w:basedOn w:val="1"/>
    <w:uiPriority w:val="0"/>
    <w:pPr>
      <w:spacing w:line="300" w:lineRule="atLeast"/>
      <w:ind w:firstLine="520"/>
      <w:jc w:val="both"/>
    </w:pPr>
    <w:rPr>
      <w:rFonts w:ascii="宋体" w:hAnsi="宋体" w:cs="宋体"/>
      <w:sz w:val="24"/>
      <w:szCs w:val="24"/>
    </w:rPr>
  </w:style>
  <w:style w:type="paragraph" w:customStyle="1" w:styleId="345">
    <w:name w:val="pa-15"/>
    <w:basedOn w:val="1"/>
    <w:uiPriority w:val="0"/>
    <w:pPr>
      <w:spacing w:line="240" w:lineRule="atLeast"/>
    </w:pPr>
    <w:rPr>
      <w:rFonts w:ascii="宋体" w:hAnsi="宋体" w:cs="宋体"/>
      <w:sz w:val="24"/>
      <w:szCs w:val="24"/>
    </w:rPr>
  </w:style>
  <w:style w:type="paragraph" w:customStyle="1" w:styleId="346">
    <w:name w:val="pa-27"/>
    <w:basedOn w:val="1"/>
    <w:uiPriority w:val="0"/>
    <w:pPr>
      <w:spacing w:line="276" w:lineRule="atLeast"/>
      <w:ind w:firstLine="300"/>
      <w:jc w:val="both"/>
    </w:pPr>
    <w:rPr>
      <w:rFonts w:ascii="宋体" w:hAnsi="宋体" w:cs="宋体"/>
      <w:sz w:val="24"/>
      <w:szCs w:val="24"/>
    </w:rPr>
  </w:style>
  <w:style w:type="paragraph" w:customStyle="1" w:styleId="347">
    <w:name w:val=" Char Char1 Char Char Char Char Char Char Char Char Char Char"/>
    <w:basedOn w:val="1"/>
    <w:uiPriority w:val="0"/>
    <w:pPr>
      <w:widowControl w:val="0"/>
      <w:tabs>
        <w:tab w:val="left" w:pos="360"/>
      </w:tabs>
      <w:ind w:firstLine="420" w:firstLineChars="150"/>
      <w:jc w:val="both"/>
    </w:pPr>
    <w:rPr>
      <w:rFonts w:ascii="Arial" w:hAnsi="Arial" w:cs="Arial"/>
      <w:kern w:val="2"/>
      <w:sz w:val="20"/>
    </w:rPr>
  </w:style>
  <w:style w:type="paragraph" w:customStyle="1" w:styleId="348">
    <w:name w:val="pa-9"/>
    <w:basedOn w:val="1"/>
    <w:uiPriority w:val="0"/>
    <w:pPr>
      <w:spacing w:line="360" w:lineRule="atLeast"/>
      <w:ind w:firstLine="900"/>
      <w:jc w:val="both"/>
    </w:pPr>
    <w:rPr>
      <w:rFonts w:ascii="宋体" w:hAnsi="宋体" w:cs="宋体"/>
      <w:sz w:val="24"/>
      <w:szCs w:val="24"/>
    </w:rPr>
  </w:style>
  <w:style w:type="paragraph" w:customStyle="1" w:styleId="349">
    <w:name w:val="pa-8"/>
    <w:basedOn w:val="1"/>
    <w:uiPriority w:val="0"/>
    <w:pPr>
      <w:spacing w:line="360" w:lineRule="atLeast"/>
      <w:jc w:val="both"/>
    </w:pPr>
    <w:rPr>
      <w:rFonts w:ascii="宋体" w:hAnsi="宋体" w:cs="宋体"/>
      <w:sz w:val="24"/>
      <w:szCs w:val="24"/>
    </w:rPr>
  </w:style>
  <w:style w:type="paragraph" w:customStyle="1" w:styleId="350">
    <w:name w:val="xl69"/>
    <w:basedOn w:val="1"/>
    <w:uiPriority w:val="0"/>
    <w:pPr>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s="宋体"/>
      <w:b/>
      <w:bCs/>
      <w:sz w:val="20"/>
    </w:rPr>
  </w:style>
  <w:style w:type="paragraph" w:customStyle="1" w:styleId="351">
    <w:name w:val="xl115"/>
    <w:basedOn w:val="1"/>
    <w:uiPriority w:val="0"/>
    <w:pPr>
      <w:pBdr>
        <w:bottom w:val="single" w:color="auto" w:sz="4" w:space="0"/>
      </w:pBdr>
      <w:shd w:val="clear" w:color="000000" w:fill="FFFFFF"/>
      <w:spacing w:before="100" w:beforeAutospacing="1" w:after="100" w:afterAutospacing="1"/>
      <w:jc w:val="center"/>
      <w:textAlignment w:val="center"/>
    </w:pPr>
    <w:rPr>
      <w:rFonts w:ascii="宋体" w:hAnsi="宋体" w:cs="宋体"/>
      <w:sz w:val="36"/>
      <w:szCs w:val="36"/>
    </w:rPr>
  </w:style>
  <w:style w:type="paragraph" w:customStyle="1" w:styleId="352">
    <w:name w:val="pa-118"/>
    <w:basedOn w:val="1"/>
    <w:uiPriority w:val="0"/>
    <w:pPr>
      <w:spacing w:line="480" w:lineRule="atLeast"/>
      <w:ind w:firstLine="1440"/>
      <w:jc w:val="both"/>
    </w:pPr>
    <w:rPr>
      <w:rFonts w:ascii="宋体" w:hAnsi="宋体" w:cs="宋体"/>
      <w:sz w:val="24"/>
      <w:szCs w:val="24"/>
    </w:rPr>
  </w:style>
  <w:style w:type="paragraph" w:customStyle="1" w:styleId="353">
    <w:name w:val="ca-45"/>
    <w:basedOn w:val="1"/>
    <w:uiPriority w:val="0"/>
    <w:rPr>
      <w:rFonts w:ascii="宋体" w:hAnsi="宋体" w:cs="宋体"/>
      <w:color w:val="000000"/>
      <w:sz w:val="72"/>
      <w:szCs w:val="72"/>
    </w:rPr>
  </w:style>
  <w:style w:type="paragraph" w:customStyle="1" w:styleId="354">
    <w:name w:val="附件"/>
    <w:basedOn w:val="3"/>
    <w:qFormat/>
    <w:uiPriority w:val="0"/>
    <w:pPr>
      <w:keepNext w:val="0"/>
      <w:keepLines w:val="0"/>
      <w:pageBreakBefore/>
      <w:spacing w:before="312" w:beforeLines="100" w:after="312" w:afterLines="100" w:line="240" w:lineRule="auto"/>
      <w:jc w:val="center"/>
    </w:pPr>
    <w:rPr>
      <w:rFonts w:hAnsi="宋体"/>
      <w:sz w:val="28"/>
      <w:szCs w:val="36"/>
    </w:rPr>
  </w:style>
  <w:style w:type="paragraph" w:customStyle="1" w:styleId="355">
    <w:name w:val="pa-124"/>
    <w:basedOn w:val="1"/>
    <w:uiPriority w:val="0"/>
    <w:pPr>
      <w:spacing w:line="760" w:lineRule="atLeast"/>
      <w:jc w:val="both"/>
    </w:pPr>
    <w:rPr>
      <w:rFonts w:ascii="宋体" w:hAnsi="宋体" w:cs="宋体"/>
      <w:sz w:val="24"/>
      <w:szCs w:val="24"/>
    </w:rPr>
  </w:style>
  <w:style w:type="paragraph" w:customStyle="1" w:styleId="356">
    <w:name w:val="ca-29"/>
    <w:basedOn w:val="1"/>
    <w:uiPriority w:val="0"/>
    <w:rPr>
      <w:rFonts w:ascii="宋体" w:hAnsi="宋体" w:cs="宋体"/>
      <w:color w:val="7030A0"/>
      <w:szCs w:val="21"/>
    </w:rPr>
  </w:style>
  <w:style w:type="paragraph" w:customStyle="1" w:styleId="357">
    <w:name w:val="xl84"/>
    <w:basedOn w:val="1"/>
    <w:uiPriority w:val="0"/>
    <w:pPr>
      <w:pBdr>
        <w:top w:val="single" w:color="auto" w:sz="4" w:space="0"/>
        <w:left w:val="single" w:color="auto" w:sz="4" w:space="0"/>
        <w:bottom w:val="single" w:color="auto" w:sz="4" w:space="0"/>
        <w:right w:val="single" w:color="auto" w:sz="4" w:space="0"/>
      </w:pBdr>
      <w:spacing w:before="100" w:beforeAutospacing="1" w:after="100" w:afterAutospacing="1"/>
      <w:jc w:val="center"/>
      <w:textAlignment w:val="top"/>
    </w:pPr>
    <w:rPr>
      <w:rFonts w:ascii="宋体" w:hAnsi="宋体" w:cs="宋体"/>
      <w:sz w:val="20"/>
    </w:rPr>
  </w:style>
  <w:style w:type="paragraph" w:customStyle="1" w:styleId="358">
    <w:name w:val="ca-35"/>
    <w:basedOn w:val="1"/>
    <w:uiPriority w:val="0"/>
    <w:rPr>
      <w:rFonts w:ascii="Calibri" w:hAnsi="Calibri"/>
      <w:sz w:val="10"/>
      <w:szCs w:val="10"/>
    </w:rPr>
  </w:style>
  <w:style w:type="paragraph" w:customStyle="1" w:styleId="359">
    <w:name w:val="pa-66"/>
    <w:basedOn w:val="1"/>
    <w:uiPriority w:val="0"/>
    <w:pPr>
      <w:spacing w:line="240" w:lineRule="atLeast"/>
      <w:ind w:firstLine="200"/>
      <w:jc w:val="both"/>
    </w:pPr>
    <w:rPr>
      <w:rFonts w:ascii="宋体" w:hAnsi="宋体" w:cs="宋体"/>
      <w:sz w:val="24"/>
      <w:szCs w:val="24"/>
    </w:rPr>
  </w:style>
  <w:style w:type="paragraph" w:customStyle="1" w:styleId="360">
    <w:name w:val="p16"/>
    <w:basedOn w:val="1"/>
    <w:uiPriority w:val="0"/>
    <w:pPr>
      <w:jc w:val="both"/>
    </w:pPr>
    <w:rPr>
      <w:szCs w:val="21"/>
    </w:rPr>
  </w:style>
  <w:style w:type="paragraph" w:customStyle="1" w:styleId="361">
    <w:name w:val="Preformatted"/>
    <w:basedOn w:val="1"/>
    <w:uiPriority w:val="0"/>
    <w:pPr>
      <w:widowControl w:val="0"/>
      <w:tabs>
        <w:tab w:val="left" w:pos="0"/>
        <w:tab w:val="left" w:pos="959"/>
        <w:tab w:val="left" w:pos="1918"/>
        <w:tab w:val="left" w:pos="2877"/>
        <w:tab w:val="left" w:pos="3836"/>
        <w:tab w:val="left" w:pos="4795"/>
        <w:tab w:val="left" w:pos="5754"/>
        <w:tab w:val="left" w:pos="6713"/>
        <w:tab w:val="left" w:pos="7672"/>
        <w:tab w:val="left" w:pos="8631"/>
        <w:tab w:val="left" w:pos="9590"/>
      </w:tabs>
      <w:autoSpaceDE w:val="0"/>
      <w:autoSpaceDN w:val="0"/>
      <w:adjustRightInd w:val="0"/>
    </w:pPr>
    <w:rPr>
      <w:rFonts w:ascii="Courier New" w:hAnsi="Courier New"/>
      <w:sz w:val="20"/>
    </w:rPr>
  </w:style>
  <w:style w:type="paragraph" w:customStyle="1" w:styleId="362">
    <w:name w:val="td-10"/>
    <w:basedOn w:val="1"/>
    <w:uiPriority w:val="0"/>
    <w:pPr>
      <w:pBdr>
        <w:top w:val="single" w:color="000000" w:sz="4" w:space="0"/>
        <w:left w:val="single" w:color="000000" w:sz="4" w:space="4"/>
        <w:bottom w:val="single" w:color="000000" w:sz="12" w:space="0"/>
        <w:right w:val="single" w:color="000000" w:sz="4" w:space="0"/>
      </w:pBdr>
    </w:pPr>
    <w:rPr>
      <w:rFonts w:ascii="宋体" w:hAnsi="宋体" w:cs="宋体"/>
      <w:sz w:val="24"/>
      <w:szCs w:val="24"/>
    </w:rPr>
  </w:style>
  <w:style w:type="paragraph" w:customStyle="1" w:styleId="363">
    <w:name w:val="pa-57"/>
    <w:basedOn w:val="1"/>
    <w:uiPriority w:val="0"/>
    <w:pPr>
      <w:spacing w:line="300" w:lineRule="atLeast"/>
      <w:ind w:firstLine="560"/>
      <w:jc w:val="both"/>
    </w:pPr>
    <w:rPr>
      <w:rFonts w:ascii="宋体" w:hAnsi="宋体" w:cs="宋体"/>
      <w:sz w:val="24"/>
      <w:szCs w:val="24"/>
    </w:rPr>
  </w:style>
  <w:style w:type="paragraph" w:customStyle="1" w:styleId="364">
    <w:name w:val="xl80"/>
    <w:basedOn w:val="1"/>
    <w:uiPriority w:val="0"/>
    <w:pPr>
      <w:pBdr>
        <w:top w:val="single" w:color="auto" w:sz="4" w:space="0"/>
        <w:left w:val="single" w:color="auto" w:sz="4" w:space="0"/>
        <w:bottom w:val="single" w:color="auto" w:sz="4" w:space="0"/>
      </w:pBdr>
      <w:spacing w:before="100" w:beforeAutospacing="1" w:after="100" w:afterAutospacing="1"/>
      <w:jc w:val="center"/>
    </w:pPr>
    <w:rPr>
      <w:rFonts w:ascii="宋体" w:hAnsi="宋体" w:cs="宋体"/>
      <w:b/>
      <w:bCs/>
      <w:sz w:val="20"/>
    </w:rPr>
  </w:style>
  <w:style w:type="paragraph" w:customStyle="1" w:styleId="365">
    <w:name w:val="pa-54"/>
    <w:basedOn w:val="1"/>
    <w:uiPriority w:val="0"/>
    <w:pPr>
      <w:spacing w:line="280" w:lineRule="atLeast"/>
    </w:pPr>
    <w:rPr>
      <w:rFonts w:ascii="宋体" w:hAnsi="宋体" w:cs="宋体"/>
      <w:sz w:val="24"/>
      <w:szCs w:val="24"/>
    </w:rPr>
  </w:style>
  <w:style w:type="paragraph" w:customStyle="1" w:styleId="366">
    <w:name w:val="td-11"/>
    <w:basedOn w:val="1"/>
    <w:uiPriority w:val="0"/>
    <w:pPr>
      <w:pBdr>
        <w:top w:val="single" w:color="000000" w:sz="4" w:space="0"/>
        <w:left w:val="single" w:color="000000" w:sz="4" w:space="4"/>
        <w:bottom w:val="single" w:color="000000" w:sz="12" w:space="0"/>
        <w:right w:val="single" w:color="000000" w:sz="12" w:space="0"/>
      </w:pBdr>
    </w:pPr>
    <w:rPr>
      <w:rFonts w:ascii="宋体" w:hAnsi="宋体" w:cs="宋体"/>
      <w:sz w:val="24"/>
      <w:szCs w:val="24"/>
    </w:rPr>
  </w:style>
  <w:style w:type="paragraph" w:customStyle="1" w:styleId="367">
    <w:name w:val="pa-25"/>
    <w:basedOn w:val="1"/>
    <w:uiPriority w:val="0"/>
    <w:pPr>
      <w:spacing w:line="360" w:lineRule="atLeast"/>
      <w:ind w:firstLine="480"/>
      <w:jc w:val="center"/>
    </w:pPr>
    <w:rPr>
      <w:rFonts w:ascii="宋体" w:hAnsi="宋体" w:cs="宋体"/>
      <w:sz w:val="24"/>
      <w:szCs w:val="24"/>
    </w:rPr>
  </w:style>
  <w:style w:type="paragraph" w:customStyle="1" w:styleId="368">
    <w:name w:val="样式 正文缩进正文（首行缩进两字）特点ALT+Z表正文正文非缩进四号段1Normal Indent Char2..."/>
    <w:basedOn w:val="4"/>
    <w:next w:val="5"/>
    <w:uiPriority w:val="0"/>
    <w:pPr>
      <w:widowControl w:val="0"/>
      <w:spacing w:before="240" w:after="120" w:line="400" w:lineRule="exact"/>
      <w:ind w:left="1140" w:hanging="630"/>
      <w:jc w:val="center"/>
    </w:pPr>
    <w:rPr>
      <w:rFonts w:ascii="宋体" w:hAnsi="宋体" w:eastAsia="黑体"/>
      <w:bCs w:val="0"/>
      <w:kern w:val="2"/>
      <w:szCs w:val="20"/>
    </w:rPr>
  </w:style>
  <w:style w:type="paragraph" w:customStyle="1" w:styleId="369">
    <w:name w:val="ca-5"/>
    <w:basedOn w:val="1"/>
    <w:uiPriority w:val="0"/>
    <w:rPr>
      <w:rFonts w:ascii="宋体" w:hAnsi="宋体" w:cs="宋体"/>
      <w:b/>
      <w:bCs/>
      <w:color w:val="000000"/>
      <w:spacing w:val="40"/>
      <w:sz w:val="48"/>
      <w:szCs w:val="48"/>
    </w:rPr>
  </w:style>
  <w:style w:type="paragraph" w:customStyle="1" w:styleId="370">
    <w:name w:val="Char2"/>
    <w:basedOn w:val="1"/>
    <w:uiPriority w:val="0"/>
    <w:pPr>
      <w:widowControl w:val="0"/>
      <w:jc w:val="both"/>
    </w:pPr>
    <w:rPr>
      <w:rFonts w:ascii="宋体" w:hAnsi="Calibri"/>
      <w:kern w:val="2"/>
      <w:sz w:val="28"/>
    </w:rPr>
  </w:style>
  <w:style w:type="paragraph" w:customStyle="1" w:styleId="371">
    <w:name w:val="ca-20"/>
    <w:basedOn w:val="1"/>
    <w:uiPriority w:val="0"/>
    <w:rPr>
      <w:rFonts w:ascii="??" w:hAnsi="??" w:cs="宋体"/>
      <w:color w:val="000000"/>
      <w:sz w:val="18"/>
      <w:szCs w:val="18"/>
    </w:rPr>
  </w:style>
  <w:style w:type="paragraph" w:customStyle="1" w:styleId="372">
    <w:name w:val=" Char1"/>
    <w:basedOn w:val="1"/>
    <w:uiPriority w:val="0"/>
  </w:style>
  <w:style w:type="paragraph" w:customStyle="1" w:styleId="373">
    <w:name w:val="pa-49"/>
    <w:basedOn w:val="1"/>
    <w:uiPriority w:val="0"/>
    <w:pPr>
      <w:spacing w:line="280" w:lineRule="atLeast"/>
      <w:ind w:firstLine="440"/>
    </w:pPr>
    <w:rPr>
      <w:rFonts w:ascii="宋体" w:hAnsi="宋体" w:cs="宋体"/>
      <w:sz w:val="24"/>
      <w:szCs w:val="24"/>
    </w:rPr>
  </w:style>
  <w:style w:type="paragraph" w:customStyle="1" w:styleId="374">
    <w:name w:val="正文1"/>
    <w:qFormat/>
    <w:uiPriority w:val="0"/>
    <w:pPr>
      <w:widowControl w:val="0"/>
      <w:jc w:val="both"/>
    </w:pPr>
    <w:rPr>
      <w:kern w:val="2"/>
      <w:sz w:val="21"/>
      <w:lang w:val="en-US" w:eastAsia="zh-CN" w:bidi="ar-SA"/>
    </w:rPr>
  </w:style>
  <w:style w:type="paragraph" w:customStyle="1" w:styleId="375">
    <w:name w:val="ca-30"/>
    <w:basedOn w:val="1"/>
    <w:uiPriority w:val="0"/>
    <w:rPr>
      <w:rFonts w:ascii="??" w:hAnsi="??" w:cs="宋体"/>
      <w:color w:val="002060"/>
      <w:szCs w:val="21"/>
    </w:rPr>
  </w:style>
  <w:style w:type="paragraph" w:customStyle="1" w:styleId="376">
    <w:name w:val="xl88"/>
    <w:basedOn w:val="1"/>
    <w:uiPriority w:val="0"/>
    <w:pPr>
      <w:pBdr>
        <w:bottom w:val="single" w:color="auto" w:sz="4" w:space="0"/>
      </w:pBdr>
      <w:spacing w:before="100" w:beforeAutospacing="1" w:after="100" w:afterAutospacing="1"/>
      <w:jc w:val="center"/>
    </w:pPr>
    <w:rPr>
      <w:rFonts w:ascii="黑体" w:hAnsi="黑体" w:eastAsia="黑体" w:cs="宋体"/>
      <w:sz w:val="32"/>
      <w:szCs w:val="32"/>
    </w:rPr>
  </w:style>
  <w:style w:type="paragraph" w:customStyle="1" w:styleId="377">
    <w:name w:val="正文段"/>
    <w:basedOn w:val="1"/>
    <w:uiPriority w:val="0"/>
    <w:pPr>
      <w:snapToGrid w:val="0"/>
      <w:spacing w:afterLines="50"/>
      <w:ind w:firstLine="200" w:firstLineChars="200"/>
      <w:jc w:val="both"/>
    </w:pPr>
    <w:rPr>
      <w:rFonts w:ascii="Calibri" w:hAnsi="Calibri"/>
      <w:sz w:val="24"/>
    </w:rPr>
  </w:style>
  <w:style w:type="paragraph" w:customStyle="1" w:styleId="378">
    <w:name w:val="pa-40"/>
    <w:basedOn w:val="1"/>
    <w:uiPriority w:val="0"/>
    <w:pPr>
      <w:spacing w:line="280" w:lineRule="atLeast"/>
      <w:jc w:val="both"/>
    </w:pPr>
    <w:rPr>
      <w:rFonts w:ascii="宋体" w:hAnsi="宋体" w:cs="宋体"/>
      <w:sz w:val="24"/>
      <w:szCs w:val="24"/>
    </w:rPr>
  </w:style>
  <w:style w:type="paragraph" w:customStyle="1" w:styleId="379">
    <w:name w:val="xl112"/>
    <w:basedOn w:val="1"/>
    <w:uiPriority w:val="0"/>
    <w:pPr>
      <w:shd w:val="clear" w:color="000000" w:fill="FFFFFF"/>
      <w:spacing w:before="100" w:beforeAutospacing="1" w:after="100" w:afterAutospacing="1"/>
      <w:jc w:val="center"/>
      <w:textAlignment w:val="center"/>
    </w:pPr>
    <w:rPr>
      <w:rFonts w:ascii="宋体" w:hAnsi="宋体" w:cs="宋体"/>
      <w:sz w:val="36"/>
      <w:szCs w:val="36"/>
    </w:rPr>
  </w:style>
  <w:style w:type="paragraph" w:customStyle="1" w:styleId="380">
    <w:name w:val="表格文字"/>
    <w:basedOn w:val="1"/>
    <w:uiPriority w:val="0"/>
    <w:pPr>
      <w:widowControl w:val="0"/>
      <w:adjustRightInd w:val="0"/>
      <w:spacing w:line="420" w:lineRule="atLeast"/>
      <w:textAlignment w:val="baseline"/>
    </w:pPr>
    <w:rPr>
      <w:rFonts w:ascii="Calibri" w:hAnsi="Calibri"/>
    </w:rPr>
  </w:style>
  <w:style w:type="paragraph" w:customStyle="1" w:styleId="381">
    <w:name w:val="pa-63"/>
    <w:basedOn w:val="1"/>
    <w:uiPriority w:val="0"/>
    <w:pPr>
      <w:spacing w:line="360" w:lineRule="atLeast"/>
      <w:ind w:firstLine="300"/>
    </w:pPr>
    <w:rPr>
      <w:rFonts w:ascii="宋体" w:hAnsi="宋体" w:cs="宋体"/>
      <w:sz w:val="24"/>
      <w:szCs w:val="24"/>
    </w:rPr>
  </w:style>
  <w:style w:type="paragraph" w:customStyle="1" w:styleId="382">
    <w:name w:val="pa-71"/>
    <w:basedOn w:val="1"/>
    <w:uiPriority w:val="0"/>
    <w:pPr>
      <w:spacing w:line="240" w:lineRule="atLeast"/>
      <w:ind w:firstLine="320"/>
      <w:jc w:val="both"/>
    </w:pPr>
    <w:rPr>
      <w:rFonts w:ascii="宋体" w:hAnsi="宋体" w:cs="宋体"/>
      <w:sz w:val="24"/>
      <w:szCs w:val="24"/>
    </w:rPr>
  </w:style>
  <w:style w:type="paragraph" w:customStyle="1" w:styleId="383">
    <w:name w:val="ca-17"/>
    <w:basedOn w:val="1"/>
    <w:uiPriority w:val="0"/>
    <w:rPr>
      <w:rFonts w:ascii="Calibri" w:hAnsi="Calibri"/>
      <w:b/>
      <w:bCs/>
      <w:spacing w:val="-20"/>
      <w:sz w:val="24"/>
      <w:szCs w:val="24"/>
    </w:rPr>
  </w:style>
  <w:style w:type="paragraph" w:customStyle="1" w:styleId="384">
    <w:name w:val="样式 正文（首行缩进两字） + 宋体 左侧:  0 厘米 悬挂缩进: 1.43 字符"/>
    <w:basedOn w:val="15"/>
    <w:uiPriority w:val="0"/>
    <w:pPr>
      <w:widowControl w:val="0"/>
      <w:spacing w:line="460" w:lineRule="exact"/>
      <w:ind w:left="359" w:hanging="359" w:hangingChars="143"/>
      <w:jc w:val="both"/>
    </w:pPr>
    <w:rPr>
      <w:rFonts w:ascii="宋体" w:hAnsi="宋体" w:cs="宋体"/>
      <w:spacing w:val="6"/>
      <w:kern w:val="24"/>
      <w:sz w:val="24"/>
    </w:rPr>
  </w:style>
  <w:style w:type="paragraph" w:customStyle="1" w:styleId="385">
    <w:name w:val="表格(五号)"/>
    <w:basedOn w:val="1"/>
    <w:uiPriority w:val="0"/>
    <w:pPr>
      <w:widowControl w:val="0"/>
      <w:adjustRightInd w:val="0"/>
      <w:snapToGrid w:val="0"/>
      <w:spacing w:before="60" w:after="60"/>
      <w:ind w:left="11"/>
      <w:jc w:val="center"/>
    </w:pPr>
    <w:rPr>
      <w:rFonts w:ascii="Calibri" w:hAnsi="Calibri"/>
      <w:lang/>
    </w:rPr>
  </w:style>
  <w:style w:type="paragraph" w:customStyle="1" w:styleId="386">
    <w:name w:val="font5"/>
    <w:basedOn w:val="1"/>
    <w:uiPriority w:val="0"/>
    <w:pPr>
      <w:spacing w:before="100" w:beforeAutospacing="1" w:after="100" w:afterAutospacing="1"/>
    </w:pPr>
    <w:rPr>
      <w:rFonts w:ascii="宋体" w:hAnsi="宋体" w:cs="宋体"/>
      <w:sz w:val="18"/>
      <w:szCs w:val="18"/>
    </w:rPr>
  </w:style>
  <w:style w:type="paragraph" w:customStyle="1" w:styleId="387">
    <w:name w:val="pa-97"/>
    <w:basedOn w:val="1"/>
    <w:uiPriority w:val="0"/>
    <w:pPr>
      <w:spacing w:line="720" w:lineRule="atLeast"/>
      <w:jc w:val="both"/>
    </w:pPr>
    <w:rPr>
      <w:rFonts w:ascii="宋体" w:hAnsi="宋体" w:cs="宋体"/>
      <w:sz w:val="24"/>
      <w:szCs w:val="24"/>
    </w:rPr>
  </w:style>
  <w:style w:type="paragraph" w:customStyle="1" w:styleId="388">
    <w:name w:val="ca-14"/>
    <w:basedOn w:val="1"/>
    <w:uiPriority w:val="0"/>
    <w:rPr>
      <w:rFonts w:ascii="Calibri" w:hAnsi="Calibri"/>
      <w:color w:val="000000"/>
      <w:sz w:val="24"/>
      <w:szCs w:val="24"/>
    </w:rPr>
  </w:style>
  <w:style w:type="paragraph" w:customStyle="1" w:styleId="389">
    <w:name w:val="Default"/>
    <w:uiPriority w:val="0"/>
    <w:pPr>
      <w:widowControl w:val="0"/>
      <w:autoSpaceDE w:val="0"/>
      <w:autoSpaceDN w:val="0"/>
      <w:adjustRightInd w:val="0"/>
    </w:pPr>
    <w:rPr>
      <w:rFonts w:ascii="宋体" w:hAnsi="Calibri" w:cs="宋体"/>
      <w:color w:val="000000"/>
      <w:sz w:val="24"/>
      <w:szCs w:val="24"/>
      <w:lang w:val="en-US" w:eastAsia="zh-CN" w:bidi="ar-SA"/>
    </w:rPr>
  </w:style>
  <w:style w:type="paragraph" w:customStyle="1" w:styleId="390">
    <w:name w:val="pa-105"/>
    <w:basedOn w:val="1"/>
    <w:uiPriority w:val="0"/>
    <w:pPr>
      <w:spacing w:line="960" w:lineRule="atLeast"/>
      <w:jc w:val="both"/>
    </w:pPr>
    <w:rPr>
      <w:rFonts w:ascii="宋体" w:hAnsi="宋体" w:cs="宋体"/>
      <w:sz w:val="24"/>
      <w:szCs w:val="24"/>
    </w:rPr>
  </w:style>
  <w:style w:type="paragraph" w:customStyle="1" w:styleId="391">
    <w:name w:val="正文缩进1"/>
    <w:basedOn w:val="1"/>
    <w:qFormat/>
    <w:uiPriority w:val="0"/>
    <w:pPr>
      <w:widowControl w:val="0"/>
      <w:ind w:firstLine="420" w:firstLineChars="200"/>
      <w:jc w:val="both"/>
    </w:pPr>
    <w:rPr>
      <w:rFonts w:ascii="Calibri" w:hAnsi="Calibri"/>
      <w:kern w:val="2"/>
      <w:sz w:val="24"/>
      <w:szCs w:val="24"/>
    </w:rPr>
  </w:style>
  <w:style w:type="paragraph" w:customStyle="1" w:styleId="392">
    <w:name w:val="样式 宋体 首行缩进:  0.87 厘米"/>
    <w:basedOn w:val="1"/>
    <w:uiPriority w:val="0"/>
    <w:pPr>
      <w:widowControl w:val="0"/>
      <w:spacing w:line="480" w:lineRule="exact"/>
      <w:ind w:firstLine="493"/>
      <w:jc w:val="both"/>
    </w:pPr>
    <w:rPr>
      <w:rFonts w:ascii="宋体" w:hAnsi="宋体" w:cs="宋体"/>
      <w:spacing w:val="6"/>
      <w:kern w:val="2"/>
      <w:sz w:val="24"/>
      <w:szCs w:val="24"/>
    </w:rPr>
  </w:style>
  <w:style w:type="paragraph" w:customStyle="1" w:styleId="393">
    <w:name w:val="样式 标题 1 + 宋体 居中 段前: 48 磅 段后: 12 磅 行距: 1.5 倍行距"/>
    <w:basedOn w:val="3"/>
    <w:uiPriority w:val="0"/>
    <w:pPr>
      <w:tabs>
        <w:tab w:val="clear" w:pos="840"/>
      </w:tabs>
      <w:adjustRightInd/>
      <w:snapToGrid/>
      <w:spacing w:before="1560" w:after="240"/>
      <w:jc w:val="center"/>
    </w:pPr>
    <w:rPr>
      <w:rFonts w:hAnsi="宋体"/>
      <w:b w:val="0"/>
      <w:kern w:val="2"/>
      <w:sz w:val="36"/>
    </w:rPr>
  </w:style>
  <w:style w:type="paragraph" w:customStyle="1" w:styleId="394">
    <w:name w:val="文档正文"/>
    <w:basedOn w:val="1"/>
    <w:uiPriority w:val="0"/>
    <w:pPr>
      <w:widowControl w:val="0"/>
      <w:adjustRightInd w:val="0"/>
      <w:spacing w:line="480" w:lineRule="atLeast"/>
      <w:ind w:firstLine="567"/>
      <w:jc w:val="both"/>
      <w:textAlignment w:val="baseline"/>
    </w:pPr>
    <w:rPr>
      <w:rFonts w:ascii="仿宋_GB2312" w:hAnsi="Calibri" w:eastAsia="仿宋_GB2312"/>
      <w:sz w:val="28"/>
    </w:rPr>
  </w:style>
  <w:style w:type="paragraph" w:customStyle="1" w:styleId="395">
    <w:name w:val="样式 标题 3 + (符号) 宋体 四号 加粗 黑色 段前: 0 磅 段后: 0 磅 行距: 固定值 22 磅"/>
    <w:basedOn w:val="5"/>
    <w:uiPriority w:val="0"/>
    <w:pPr>
      <w:widowControl w:val="0"/>
      <w:spacing w:beforeLines="50" w:afterLines="50" w:line="460" w:lineRule="exact"/>
    </w:pPr>
    <w:rPr>
      <w:rFonts w:ascii="宋体" w:hAnsi="宋体"/>
      <w:color w:val="000000"/>
      <w:kern w:val="24"/>
      <w:sz w:val="28"/>
      <w:szCs w:val="20"/>
    </w:rPr>
  </w:style>
  <w:style w:type="paragraph" w:customStyle="1" w:styleId="396">
    <w:name w:val="ca-32"/>
    <w:basedOn w:val="1"/>
    <w:uiPriority w:val="0"/>
    <w:rPr>
      <w:rFonts w:ascii="宋体" w:hAnsi="宋体" w:cs="宋体"/>
      <w:b/>
      <w:bCs/>
      <w:color w:val="C00000"/>
      <w:spacing w:val="-20"/>
      <w:szCs w:val="21"/>
    </w:rPr>
  </w:style>
  <w:style w:type="paragraph" w:customStyle="1" w:styleId="397">
    <w:name w:val="正文文字2"/>
    <w:basedOn w:val="20"/>
    <w:uiPriority w:val="0"/>
    <w:pPr>
      <w:adjustRightInd w:val="0"/>
      <w:spacing w:after="60" w:line="360" w:lineRule="atLeast"/>
      <w:ind w:left="72" w:leftChars="30" w:right="72" w:rightChars="30"/>
      <w:jc w:val="center"/>
    </w:pPr>
    <w:rPr>
      <w:rFonts w:ascii="Arial" w:eastAsia="黑体"/>
      <w:kern w:val="0"/>
      <w:sz w:val="21"/>
    </w:rPr>
  </w:style>
  <w:style w:type="paragraph" w:customStyle="1" w:styleId="398">
    <w:name w:val="pa-77"/>
    <w:basedOn w:val="1"/>
    <w:uiPriority w:val="0"/>
    <w:pPr>
      <w:spacing w:line="360" w:lineRule="atLeast"/>
      <w:jc w:val="both"/>
    </w:pPr>
    <w:rPr>
      <w:rFonts w:ascii="宋体" w:hAnsi="宋体" w:cs="宋体"/>
      <w:sz w:val="24"/>
      <w:szCs w:val="24"/>
    </w:rPr>
  </w:style>
  <w:style w:type="paragraph" w:customStyle="1" w:styleId="399">
    <w:name w:val="节"/>
    <w:basedOn w:val="4"/>
    <w:uiPriority w:val="0"/>
    <w:pPr>
      <w:widowControl w:val="0"/>
      <w:spacing w:before="160" w:after="160" w:line="720" w:lineRule="exact"/>
      <w:jc w:val="center"/>
    </w:pPr>
    <w:rPr>
      <w:rFonts w:ascii="Arial" w:hAnsi="Arial" w:eastAsia="黑体"/>
      <w:b/>
      <w:bCs w:val="0"/>
      <w:spacing w:val="14"/>
      <w:kern w:val="24"/>
      <w:szCs w:val="20"/>
    </w:rPr>
  </w:style>
  <w:style w:type="paragraph" w:customStyle="1" w:styleId="400">
    <w:name w:val="菲页(卷)"/>
    <w:basedOn w:val="3"/>
    <w:next w:val="374"/>
    <w:uiPriority w:val="0"/>
    <w:pPr>
      <w:keepLines w:val="0"/>
      <w:widowControl/>
      <w:adjustRightInd/>
      <w:snapToGrid/>
      <w:spacing w:line="240" w:lineRule="auto"/>
      <w:ind w:left="840" w:hanging="420"/>
      <w:jc w:val="center"/>
      <w:outlineLvl w:val="1"/>
    </w:pPr>
    <w:rPr>
      <w:rFonts w:ascii="黑体" w:hAnsi="Calibri" w:eastAsia="黑体"/>
      <w:b w:val="0"/>
      <w:kern w:val="0"/>
      <w:sz w:val="52"/>
    </w:rPr>
  </w:style>
  <w:style w:type="paragraph" w:customStyle="1" w:styleId="401">
    <w:name w:val=" Char1 Char Char Char Char Char Char"/>
    <w:basedOn w:val="1"/>
    <w:uiPriority w:val="0"/>
    <w:pPr>
      <w:widowControl w:val="0"/>
      <w:jc w:val="both"/>
    </w:pPr>
    <w:rPr>
      <w:rFonts w:ascii="Tahoma" w:hAnsi="Tahoma"/>
      <w:kern w:val="2"/>
      <w:sz w:val="24"/>
    </w:rPr>
  </w:style>
  <w:style w:type="paragraph" w:customStyle="1" w:styleId="402">
    <w:name w:val="pa-55"/>
    <w:basedOn w:val="1"/>
    <w:uiPriority w:val="0"/>
    <w:pPr>
      <w:spacing w:line="300" w:lineRule="atLeast"/>
      <w:ind w:firstLine="480"/>
      <w:jc w:val="center"/>
    </w:pPr>
    <w:rPr>
      <w:rFonts w:ascii="宋体" w:hAnsi="宋体" w:cs="宋体"/>
      <w:sz w:val="24"/>
      <w:szCs w:val="24"/>
    </w:rPr>
  </w:style>
  <w:style w:type="paragraph" w:customStyle="1" w:styleId="403">
    <w:name w:val="0"/>
    <w:basedOn w:val="1"/>
    <w:uiPriority w:val="0"/>
    <w:pPr>
      <w:snapToGrid w:val="0"/>
      <w:jc w:val="both"/>
    </w:pPr>
    <w:rPr>
      <w:rFonts w:ascii="Calibri" w:hAnsi="Calibri"/>
      <w:sz w:val="20"/>
    </w:rPr>
  </w:style>
  <w:style w:type="paragraph" w:customStyle="1" w:styleId="404">
    <w:name w:val="Char Char1 Char"/>
    <w:basedOn w:val="1"/>
    <w:uiPriority w:val="0"/>
    <w:pPr>
      <w:widowControl w:val="0"/>
      <w:jc w:val="both"/>
    </w:pPr>
    <w:rPr>
      <w:rFonts w:ascii="Calibri" w:hAnsi="Calibri"/>
      <w:kern w:val="2"/>
      <w:szCs w:val="24"/>
    </w:rPr>
  </w:style>
  <w:style w:type="paragraph" w:customStyle="1" w:styleId="405">
    <w:name w:val="xl77"/>
    <w:basedOn w:val="1"/>
    <w:uiPriority w:val="0"/>
    <w:pPr>
      <w:pBdr>
        <w:left w:val="single" w:color="auto" w:sz="4" w:space="0"/>
        <w:right w:val="single" w:color="auto" w:sz="4" w:space="0"/>
      </w:pBdr>
      <w:spacing w:before="100" w:beforeAutospacing="1" w:after="100" w:afterAutospacing="1"/>
      <w:jc w:val="center"/>
    </w:pPr>
    <w:rPr>
      <w:rFonts w:ascii="宋体" w:hAnsi="宋体" w:cs="宋体"/>
      <w:sz w:val="20"/>
    </w:rPr>
  </w:style>
  <w:style w:type="paragraph" w:customStyle="1" w:styleId="406">
    <w:name w:val="段"/>
    <w:uiPriority w:val="0"/>
    <w:pPr>
      <w:autoSpaceDE w:val="0"/>
      <w:autoSpaceDN w:val="0"/>
      <w:ind w:firstLine="200" w:firstLineChars="200"/>
      <w:jc w:val="both"/>
    </w:pPr>
    <w:rPr>
      <w:rFonts w:ascii="宋体" w:hAnsi="Calibri"/>
      <w:sz w:val="21"/>
      <w:lang w:val="en-US" w:eastAsia="zh-CN" w:bidi="ar-SA"/>
    </w:rPr>
  </w:style>
  <w:style w:type="paragraph" w:customStyle="1" w:styleId="407">
    <w:name w:val="默认段落字体 Para Char Char Char Char Char Char Char Char Char1 Char"/>
    <w:basedOn w:val="1"/>
    <w:uiPriority w:val="0"/>
    <w:pPr>
      <w:widowControl w:val="0"/>
      <w:tabs>
        <w:tab w:val="left" w:pos="1260"/>
      </w:tabs>
      <w:spacing w:line="360" w:lineRule="auto"/>
      <w:ind w:left="1260" w:firstLine="480" w:firstLineChars="200"/>
      <w:jc w:val="both"/>
    </w:pPr>
    <w:rPr>
      <w:rFonts w:ascii="Tahoma" w:hAnsi="Tahoma"/>
      <w:kern w:val="2"/>
      <w:sz w:val="24"/>
    </w:rPr>
  </w:style>
  <w:style w:type="paragraph" w:customStyle="1" w:styleId="408">
    <w:name w:val="xl97"/>
    <w:basedOn w:val="1"/>
    <w:uiPriority w:val="0"/>
    <w:pPr>
      <w:pBdr>
        <w:left w:val="single" w:color="auto" w:sz="4" w:space="0"/>
        <w:bottom w:val="single" w:color="auto" w:sz="4" w:space="0"/>
        <w:right w:val="single" w:color="auto" w:sz="4" w:space="0"/>
      </w:pBdr>
      <w:spacing w:before="100" w:beforeAutospacing="1" w:after="100" w:afterAutospacing="1"/>
      <w:textAlignment w:val="center"/>
    </w:pPr>
    <w:rPr>
      <w:rFonts w:ascii="宋体" w:hAnsi="宋体" w:cs="宋体"/>
      <w:sz w:val="16"/>
      <w:szCs w:val="16"/>
    </w:rPr>
  </w:style>
  <w:style w:type="paragraph" w:customStyle="1" w:styleId="409">
    <w:name w:val="ca-43"/>
    <w:basedOn w:val="1"/>
    <w:uiPriority w:val="0"/>
    <w:rPr>
      <w:rFonts w:ascii="宋体" w:hAnsi="宋体" w:cs="宋体"/>
      <w:color w:val="000000"/>
      <w:sz w:val="44"/>
      <w:szCs w:val="44"/>
    </w:rPr>
  </w:style>
  <w:style w:type="paragraph" w:customStyle="1" w:styleId="410">
    <w:name w:val="font6"/>
    <w:basedOn w:val="1"/>
    <w:uiPriority w:val="0"/>
    <w:pPr>
      <w:spacing w:before="100" w:beforeAutospacing="1" w:after="100" w:afterAutospacing="1"/>
    </w:pPr>
    <w:rPr>
      <w:rFonts w:ascii="宋体" w:hAnsi="宋体" w:cs="宋体"/>
      <w:color w:val="FF0000"/>
      <w:sz w:val="16"/>
      <w:szCs w:val="16"/>
    </w:rPr>
  </w:style>
  <w:style w:type="paragraph" w:customStyle="1" w:styleId="411">
    <w:name w:val="pa-4"/>
    <w:basedOn w:val="1"/>
    <w:uiPriority w:val="0"/>
    <w:pPr>
      <w:spacing w:line="360" w:lineRule="atLeast"/>
      <w:jc w:val="center"/>
    </w:pPr>
    <w:rPr>
      <w:rFonts w:ascii="宋体" w:hAnsi="宋体" w:cs="宋体"/>
      <w:sz w:val="24"/>
      <w:szCs w:val="24"/>
    </w:rPr>
  </w:style>
  <w:style w:type="paragraph" w:customStyle="1" w:styleId="412">
    <w:name w:val="xl39"/>
    <w:basedOn w:val="1"/>
    <w:uiPriority w:val="0"/>
    <w:pPr>
      <w:pBdr>
        <w:left w:val="single" w:color="auto" w:sz="4" w:space="0"/>
        <w:right w:val="single" w:color="auto" w:sz="4" w:space="0"/>
      </w:pBdr>
      <w:spacing w:before="100" w:beforeAutospacing="1" w:after="100" w:afterAutospacing="1"/>
      <w:jc w:val="center"/>
      <w:textAlignment w:val="center"/>
    </w:pPr>
    <w:rPr>
      <w:rFonts w:ascii="Arial Unicode MS" w:hAnsi="Arial Unicode MS" w:eastAsia="Times New Roman" w:cs="Arial Unicode MS"/>
      <w:sz w:val="20"/>
    </w:rPr>
  </w:style>
  <w:style w:type="paragraph" w:customStyle="1" w:styleId="413">
    <w:name w:val="pa-80"/>
    <w:basedOn w:val="1"/>
    <w:uiPriority w:val="0"/>
    <w:pPr>
      <w:spacing w:line="360" w:lineRule="atLeast"/>
      <w:jc w:val="both"/>
    </w:pPr>
    <w:rPr>
      <w:rFonts w:ascii="宋体" w:hAnsi="宋体" w:cs="宋体"/>
      <w:sz w:val="24"/>
      <w:szCs w:val="24"/>
    </w:rPr>
  </w:style>
  <w:style w:type="paragraph" w:customStyle="1" w:styleId="414">
    <w:name w:val="pa-0"/>
    <w:basedOn w:val="1"/>
    <w:uiPriority w:val="0"/>
    <w:pPr>
      <w:spacing w:line="520" w:lineRule="atLeast"/>
      <w:jc w:val="center"/>
    </w:pPr>
    <w:rPr>
      <w:rFonts w:ascii="宋体" w:hAnsi="宋体" w:cs="宋体"/>
      <w:sz w:val="24"/>
      <w:szCs w:val="24"/>
    </w:rPr>
  </w:style>
  <w:style w:type="paragraph" w:customStyle="1" w:styleId="415">
    <w:name w:val="pa-112"/>
    <w:basedOn w:val="1"/>
    <w:uiPriority w:val="0"/>
    <w:pPr>
      <w:spacing w:line="280" w:lineRule="atLeast"/>
      <w:jc w:val="both"/>
    </w:pPr>
    <w:rPr>
      <w:rFonts w:ascii="宋体" w:hAnsi="宋体" w:cs="宋体"/>
      <w:sz w:val="24"/>
      <w:szCs w:val="24"/>
    </w:rPr>
  </w:style>
  <w:style w:type="paragraph" w:customStyle="1" w:styleId="416">
    <w:name w:val="正文 A"/>
    <w:uiPriority w:val="0"/>
    <w:pPr>
      <w:widowControl w:val="0"/>
      <w:jc w:val="both"/>
    </w:pPr>
    <w:rPr>
      <w:rFonts w:ascii="Arial Unicode MS" w:hAnsi="Arial Unicode MS" w:eastAsia="Times New Roman" w:cs="Arial Unicode MS"/>
      <w:color w:val="000000"/>
      <w:kern w:val="2"/>
      <w:sz w:val="21"/>
      <w:szCs w:val="21"/>
      <w:u w:val="none" w:color="000000"/>
      <w:lang w:val="en-US" w:eastAsia="zh-CN" w:bidi="ar-SA"/>
    </w:rPr>
  </w:style>
  <w:style w:type="paragraph" w:customStyle="1" w:styleId="417">
    <w:name w:val="xl66"/>
    <w:basedOn w:val="1"/>
    <w:uiPriority w:val="0"/>
    <w:pPr>
      <w:spacing w:before="100" w:beforeAutospacing="1" w:after="100" w:afterAutospacing="1"/>
      <w:jc w:val="center"/>
      <w:textAlignment w:val="top"/>
    </w:pPr>
    <w:rPr>
      <w:rFonts w:ascii="宋体" w:hAnsi="宋体" w:cs="宋体"/>
      <w:sz w:val="20"/>
    </w:rPr>
  </w:style>
  <w:style w:type="paragraph" w:customStyle="1" w:styleId="418">
    <w:name w:val="ca-23"/>
    <w:basedOn w:val="1"/>
    <w:uiPriority w:val="0"/>
    <w:rPr>
      <w:rFonts w:ascii="Calibri" w:hAnsi="Calibri"/>
      <w:szCs w:val="21"/>
    </w:rPr>
  </w:style>
  <w:style w:type="paragraph" w:customStyle="1" w:styleId="419">
    <w:name w:val="中等深浅网格 1 - 强调文字颜色 21"/>
    <w:basedOn w:val="1"/>
    <w:qFormat/>
    <w:uiPriority w:val="34"/>
    <w:pPr>
      <w:ind w:firstLine="420" w:firstLineChars="200"/>
    </w:pPr>
  </w:style>
  <w:style w:type="paragraph" w:customStyle="1" w:styleId="420">
    <w:name w:val="纯文本1"/>
    <w:basedOn w:val="1"/>
    <w:qFormat/>
    <w:uiPriority w:val="0"/>
    <w:pPr>
      <w:widowControl w:val="0"/>
      <w:adjustRightInd w:val="0"/>
      <w:jc w:val="both"/>
      <w:textAlignment w:val="baseline"/>
    </w:pPr>
    <w:rPr>
      <w:rFonts w:ascii="宋体" w:hAnsi="Courier New" w:eastAsia="楷体_GB2312"/>
      <w:kern w:val="2"/>
      <w:sz w:val="26"/>
    </w:rPr>
  </w:style>
  <w:style w:type="paragraph" w:customStyle="1" w:styleId="421">
    <w:name w:val="xl95"/>
    <w:basedOn w:val="1"/>
    <w:uiPriority w:val="0"/>
    <w:pPr>
      <w:pBdr>
        <w:left w:val="single" w:color="auto" w:sz="4" w:space="0"/>
        <w:bottom w:val="single" w:color="auto" w:sz="4" w:space="0"/>
        <w:right w:val="single" w:color="auto" w:sz="4" w:space="0"/>
      </w:pBdr>
      <w:spacing w:before="100" w:beforeAutospacing="1" w:after="100" w:afterAutospacing="1"/>
      <w:textAlignment w:val="center"/>
    </w:pPr>
    <w:rPr>
      <w:rFonts w:ascii="宋体" w:hAnsi="宋体" w:cs="宋体"/>
      <w:sz w:val="20"/>
    </w:rPr>
  </w:style>
  <w:style w:type="paragraph" w:customStyle="1" w:styleId="422">
    <w:name w:val="ca-15"/>
    <w:basedOn w:val="1"/>
    <w:uiPriority w:val="0"/>
    <w:rPr>
      <w:rFonts w:ascii="宋体" w:hAnsi="宋体" w:cs="宋体"/>
      <w:caps/>
      <w:color w:val="000000"/>
      <w:sz w:val="24"/>
      <w:szCs w:val="24"/>
    </w:rPr>
  </w:style>
  <w:style w:type="paragraph" w:customStyle="1" w:styleId="423">
    <w:name w:val="xl100"/>
    <w:basedOn w:val="1"/>
    <w:uiPriority w:val="0"/>
    <w:pPr>
      <w:spacing w:before="100" w:beforeAutospacing="1" w:after="100" w:afterAutospacing="1"/>
      <w:textAlignment w:val="center"/>
    </w:pPr>
    <w:rPr>
      <w:rFonts w:ascii="宋体" w:hAnsi="宋体" w:cs="宋体"/>
      <w:sz w:val="16"/>
      <w:szCs w:val="16"/>
    </w:rPr>
  </w:style>
  <w:style w:type="paragraph" w:customStyle="1" w:styleId="424">
    <w:name w:val="pa-122"/>
    <w:basedOn w:val="1"/>
    <w:uiPriority w:val="0"/>
    <w:pPr>
      <w:spacing w:line="360" w:lineRule="atLeast"/>
      <w:jc w:val="center"/>
    </w:pPr>
    <w:rPr>
      <w:rFonts w:ascii="宋体" w:hAnsi="宋体" w:cs="宋体"/>
      <w:sz w:val="24"/>
      <w:szCs w:val="24"/>
    </w:rPr>
  </w:style>
  <w:style w:type="paragraph" w:customStyle="1" w:styleId="425">
    <w:name w:val="标题6"/>
    <w:basedOn w:val="1"/>
    <w:next w:val="3"/>
    <w:uiPriority w:val="0"/>
    <w:pPr>
      <w:snapToGrid w:val="0"/>
      <w:spacing w:before="156" w:beforeLines="50" w:after="156" w:afterLines="50" w:line="520" w:lineRule="atLeast"/>
      <w:ind w:firstLine="200" w:firstLineChars="200"/>
      <w:jc w:val="both"/>
    </w:pPr>
    <w:rPr>
      <w:rFonts w:ascii="Calibri" w:hAnsi="Calibri" w:cs="Arial"/>
      <w:b/>
      <w:kern w:val="2"/>
      <w:sz w:val="24"/>
      <w:szCs w:val="24"/>
    </w:rPr>
  </w:style>
  <w:style w:type="paragraph" w:customStyle="1" w:styleId="426">
    <w:name w:val="彩色底纹 - 强调文字颜色 11"/>
    <w:unhideWhenUsed/>
    <w:uiPriority w:val="71"/>
    <w:rPr>
      <w:sz w:val="21"/>
      <w:lang w:val="en-US" w:eastAsia="zh-CN" w:bidi="ar-SA"/>
    </w:rPr>
  </w:style>
  <w:style w:type="paragraph" w:styleId="427">
    <w:name w:val=""/>
    <w:basedOn w:val="3"/>
    <w:next w:val="1"/>
    <w:qFormat/>
    <w:uiPriority w:val="0"/>
    <w:pPr>
      <w:widowControl/>
      <w:tabs>
        <w:tab w:val="clear" w:pos="840"/>
      </w:tabs>
      <w:adjustRightInd/>
      <w:snapToGrid/>
      <w:spacing w:before="480" w:line="276" w:lineRule="auto"/>
      <w:jc w:val="left"/>
      <w:outlineLvl w:val="9"/>
    </w:pPr>
    <w:rPr>
      <w:rFonts w:ascii="Cambria" w:hAnsi="Cambria"/>
      <w:bCs/>
      <w:color w:val="365F91"/>
      <w:kern w:val="0"/>
      <w:sz w:val="28"/>
      <w:szCs w:val="28"/>
    </w:rPr>
  </w:style>
  <w:style w:type="paragraph" w:customStyle="1" w:styleId="428">
    <w:name w:val="xl35"/>
    <w:basedOn w:val="1"/>
    <w:uiPriority w:val="0"/>
    <w:pPr>
      <w:pBdr>
        <w:left w:val="single" w:color="auto" w:sz="4" w:space="0"/>
        <w:bottom w:val="single" w:color="auto" w:sz="4" w:space="0"/>
        <w:right w:val="single" w:color="auto" w:sz="4" w:space="0"/>
      </w:pBdr>
      <w:spacing w:before="100" w:beforeLines="0" w:beforeAutospacing="1" w:after="100" w:afterLines="0" w:afterAutospacing="1"/>
      <w:jc w:val="both"/>
      <w:textAlignment w:val="center"/>
    </w:pPr>
    <w:rPr>
      <w:rFonts w:ascii="Arial Unicode MS" w:hAnsi="Arial Unicode MS" w:eastAsia="Arial Unicode MS"/>
      <w:sz w:val="24"/>
      <w:szCs w:val="24"/>
    </w:rPr>
  </w:style>
  <w:style w:type="paragraph" w:customStyle="1" w:styleId="429">
    <w:name w:val="ca-53"/>
    <w:basedOn w:val="1"/>
    <w:uiPriority w:val="0"/>
    <w:rPr>
      <w:rFonts w:ascii="Calibri" w:hAnsi="Calibri"/>
      <w:b/>
      <w:bCs/>
      <w:spacing w:val="-20"/>
      <w:sz w:val="36"/>
      <w:szCs w:val="36"/>
    </w:rPr>
  </w:style>
  <w:style w:type="paragraph" w:customStyle="1" w:styleId="430">
    <w:name w:val="xl64"/>
    <w:basedOn w:val="1"/>
    <w:uiPriority w:val="0"/>
    <w:pPr>
      <w:shd w:val="clear" w:color="000000" w:fill="00FFFF"/>
      <w:spacing w:before="100" w:beforeAutospacing="1" w:after="100" w:afterAutospacing="1"/>
    </w:pPr>
    <w:rPr>
      <w:rFonts w:ascii="宋体" w:hAnsi="宋体" w:cs="宋体"/>
      <w:sz w:val="24"/>
      <w:szCs w:val="24"/>
    </w:rPr>
  </w:style>
  <w:style w:type="paragraph" w:customStyle="1" w:styleId="431">
    <w:name w:val="Char Char Char Char Char Char1 Char Char Char Char Char Char Char Char Char Char Char Char Char1 Char Char Char1"/>
    <w:basedOn w:val="1"/>
    <w:uiPriority w:val="0"/>
    <w:pPr>
      <w:widowControl w:val="0"/>
      <w:jc w:val="both"/>
    </w:pPr>
    <w:rPr>
      <w:rFonts w:ascii="Calibri" w:hAnsi="Calibri"/>
      <w:b/>
      <w:bCs/>
      <w:kern w:val="2"/>
      <w:sz w:val="36"/>
      <w:szCs w:val="32"/>
    </w:rPr>
  </w:style>
  <w:style w:type="paragraph" w:customStyle="1" w:styleId="432">
    <w:name w:val="pa-142"/>
    <w:basedOn w:val="1"/>
    <w:uiPriority w:val="0"/>
    <w:pPr>
      <w:spacing w:line="320" w:lineRule="atLeast"/>
      <w:ind w:firstLine="280"/>
      <w:jc w:val="right"/>
    </w:pPr>
    <w:rPr>
      <w:rFonts w:ascii="宋体" w:hAnsi="宋体" w:cs="宋体"/>
      <w:sz w:val="24"/>
      <w:szCs w:val="24"/>
    </w:rPr>
  </w:style>
  <w:style w:type="paragraph" w:customStyle="1" w:styleId="433">
    <w:name w:val="样式 标题 3 + 红色"/>
    <w:basedOn w:val="5"/>
    <w:uiPriority w:val="0"/>
    <w:pPr>
      <w:widowControl w:val="0"/>
      <w:spacing w:before="120" w:after="120" w:line="700" w:lineRule="exact"/>
    </w:pPr>
    <w:rPr>
      <w:rFonts w:ascii="宋体" w:hAnsi="宋体"/>
      <w:color w:val="FF0000"/>
      <w:spacing w:val="10"/>
      <w:kern w:val="24"/>
      <w:sz w:val="28"/>
    </w:rPr>
  </w:style>
  <w:style w:type="paragraph" w:customStyle="1" w:styleId="434">
    <w:name w:val="xl74"/>
    <w:basedOn w:val="1"/>
    <w:uiPriority w:val="0"/>
    <w:pPr>
      <w:pBdr>
        <w:top w:val="single" w:color="auto" w:sz="4" w:space="0"/>
        <w:bottom w:val="single" w:color="auto" w:sz="4" w:space="0"/>
        <w:right w:val="single" w:color="auto" w:sz="4" w:space="0"/>
      </w:pBdr>
      <w:spacing w:before="100" w:beforeAutospacing="1" w:after="100" w:afterAutospacing="1"/>
      <w:jc w:val="center"/>
    </w:pPr>
    <w:rPr>
      <w:rFonts w:ascii="宋体" w:hAnsi="宋体" w:cs="宋体"/>
      <w:sz w:val="20"/>
    </w:rPr>
  </w:style>
  <w:style w:type="paragraph" w:customStyle="1" w:styleId="435">
    <w:name w:val="pa-19"/>
    <w:basedOn w:val="1"/>
    <w:uiPriority w:val="0"/>
    <w:pPr>
      <w:spacing w:line="240" w:lineRule="atLeast"/>
      <w:ind w:firstLine="20"/>
    </w:pPr>
    <w:rPr>
      <w:rFonts w:ascii="宋体" w:hAnsi="宋体" w:cs="宋体"/>
      <w:sz w:val="24"/>
      <w:szCs w:val="24"/>
    </w:rPr>
  </w:style>
  <w:style w:type="paragraph" w:customStyle="1" w:styleId="436">
    <w:name w:val="pa-18"/>
    <w:basedOn w:val="1"/>
    <w:uiPriority w:val="0"/>
    <w:pPr>
      <w:spacing w:line="240" w:lineRule="atLeast"/>
      <w:ind w:firstLine="20"/>
      <w:jc w:val="both"/>
    </w:pPr>
    <w:rPr>
      <w:rFonts w:ascii="宋体" w:hAnsi="宋体" w:cs="宋体"/>
      <w:sz w:val="24"/>
      <w:szCs w:val="24"/>
    </w:rPr>
  </w:style>
  <w:style w:type="paragraph" w:customStyle="1" w:styleId="437">
    <w:name w:val="pa-28"/>
    <w:basedOn w:val="1"/>
    <w:uiPriority w:val="0"/>
    <w:pPr>
      <w:spacing w:line="360" w:lineRule="atLeast"/>
      <w:ind w:firstLine="420"/>
    </w:pPr>
    <w:rPr>
      <w:rFonts w:ascii="宋体" w:hAnsi="宋体" w:cs="宋体"/>
      <w:sz w:val="24"/>
      <w:szCs w:val="24"/>
    </w:rPr>
  </w:style>
  <w:style w:type="paragraph" w:customStyle="1" w:styleId="438">
    <w:name w:val="ca-16"/>
    <w:basedOn w:val="1"/>
    <w:uiPriority w:val="0"/>
    <w:rPr>
      <w:rFonts w:ascii="宋体" w:hAnsi="宋体" w:cs="宋体"/>
      <w:sz w:val="24"/>
      <w:szCs w:val="24"/>
    </w:rPr>
  </w:style>
  <w:style w:type="paragraph" w:customStyle="1" w:styleId="439">
    <w:name w:val="Char2 Char Char Char Char Char Char"/>
    <w:basedOn w:val="1"/>
    <w:uiPriority w:val="0"/>
    <w:pPr>
      <w:widowControl w:val="0"/>
      <w:autoSpaceDE w:val="0"/>
      <w:autoSpaceDN w:val="0"/>
      <w:adjustRightInd w:val="0"/>
      <w:snapToGrid w:val="0"/>
      <w:spacing w:line="500" w:lineRule="exact"/>
      <w:ind w:firstLine="562" w:firstLineChars="200"/>
      <w:jc w:val="center"/>
    </w:pPr>
    <w:rPr>
      <w:rFonts w:ascii="Calibri" w:hAnsi="Calibri" w:eastAsia="仿宋_GB2312"/>
      <w:b/>
      <w:color w:val="000000"/>
      <w:kern w:val="2"/>
      <w:sz w:val="28"/>
      <w:szCs w:val="28"/>
    </w:rPr>
  </w:style>
  <w:style w:type="paragraph" w:customStyle="1" w:styleId="440">
    <w:name w:val="pa-98"/>
    <w:basedOn w:val="1"/>
    <w:uiPriority w:val="0"/>
    <w:pPr>
      <w:spacing w:line="720" w:lineRule="atLeast"/>
      <w:ind w:firstLine="480"/>
      <w:jc w:val="both"/>
    </w:pPr>
    <w:rPr>
      <w:rFonts w:ascii="宋体" w:hAnsi="宋体" w:cs="宋体"/>
      <w:sz w:val="24"/>
      <w:szCs w:val="24"/>
    </w:rPr>
  </w:style>
  <w:style w:type="paragraph" w:customStyle="1" w:styleId="441">
    <w:name w:val="列出段落2"/>
    <w:basedOn w:val="1"/>
    <w:qFormat/>
    <w:uiPriority w:val="0"/>
    <w:pPr>
      <w:widowControl w:val="0"/>
      <w:spacing w:before="100" w:beforeAutospacing="1" w:after="100" w:afterAutospacing="1"/>
      <w:ind w:left="720"/>
      <w:jc w:val="both"/>
    </w:pPr>
    <w:rPr>
      <w:rFonts w:ascii="Calibri" w:hAnsi="Calibri"/>
      <w:color w:val="000000"/>
      <w:kern w:val="2"/>
      <w:szCs w:val="21"/>
    </w:rPr>
  </w:style>
  <w:style w:type="paragraph" w:customStyle="1" w:styleId="442">
    <w:name w:val="pa-47"/>
    <w:basedOn w:val="1"/>
    <w:uiPriority w:val="0"/>
    <w:pPr>
      <w:spacing w:line="280" w:lineRule="atLeast"/>
      <w:ind w:firstLine="280"/>
      <w:jc w:val="center"/>
    </w:pPr>
    <w:rPr>
      <w:rFonts w:ascii="宋体" w:hAnsi="宋体" w:cs="宋体"/>
      <w:sz w:val="24"/>
      <w:szCs w:val="24"/>
    </w:rPr>
  </w:style>
  <w:style w:type="paragraph" w:customStyle="1" w:styleId="443">
    <w:name w:val="xl96"/>
    <w:basedOn w:val="1"/>
    <w:uiPriority w:val="0"/>
    <w:pPr>
      <w:pBdr>
        <w:top w:val="single" w:color="auto" w:sz="4" w:space="0"/>
        <w:left w:val="single" w:color="auto" w:sz="4" w:space="0"/>
        <w:bottom w:val="single" w:color="auto" w:sz="4" w:space="0"/>
        <w:right w:val="single" w:color="auto" w:sz="4" w:space="0"/>
      </w:pBdr>
      <w:spacing w:before="100" w:beforeAutospacing="1" w:after="100" w:afterAutospacing="1"/>
      <w:textAlignment w:val="center"/>
    </w:pPr>
    <w:rPr>
      <w:rFonts w:ascii="宋体" w:hAnsi="宋体" w:cs="宋体"/>
      <w:sz w:val="16"/>
      <w:szCs w:val="16"/>
    </w:rPr>
  </w:style>
  <w:style w:type="paragraph" w:customStyle="1" w:styleId="444">
    <w:name w:val="小节"/>
    <w:basedOn w:val="5"/>
    <w:uiPriority w:val="0"/>
    <w:pPr>
      <w:widowControl w:val="0"/>
      <w:spacing w:before="200" w:after="200" w:line="560" w:lineRule="exact"/>
    </w:pPr>
    <w:rPr>
      <w:rFonts w:ascii="宋体" w:hAnsi="宋体"/>
      <w:bCs w:val="0"/>
      <w:color w:val="000000"/>
      <w:spacing w:val="10"/>
      <w:kern w:val="24"/>
      <w:sz w:val="28"/>
    </w:rPr>
  </w:style>
  <w:style w:type="paragraph" w:customStyle="1" w:styleId="445">
    <w:name w:val="Char Char1 Char1"/>
    <w:basedOn w:val="1"/>
    <w:uiPriority w:val="0"/>
    <w:pPr>
      <w:widowControl w:val="0"/>
      <w:jc w:val="both"/>
    </w:pPr>
    <w:rPr>
      <w:rFonts w:ascii="Calibri" w:hAnsi="Calibri"/>
      <w:kern w:val="2"/>
      <w:szCs w:val="24"/>
    </w:rPr>
  </w:style>
  <w:style w:type="paragraph" w:customStyle="1" w:styleId="446">
    <w:name w:val="样式4"/>
    <w:basedOn w:val="5"/>
    <w:uiPriority w:val="0"/>
    <w:pPr>
      <w:widowControl w:val="0"/>
      <w:spacing w:line="415" w:lineRule="auto"/>
      <w:ind w:left="720" w:hanging="720"/>
      <w:jc w:val="both"/>
    </w:pPr>
    <w:rPr>
      <w:rFonts w:ascii="Calibri" w:hAnsi="Calibri" w:eastAsia="Times New Roman"/>
      <w:kern w:val="2"/>
    </w:rPr>
  </w:style>
  <w:style w:type="paragraph" w:customStyle="1" w:styleId="447">
    <w:name w:val="td-2"/>
    <w:basedOn w:val="1"/>
    <w:uiPriority w:val="0"/>
    <w:pPr>
      <w:pBdr>
        <w:left w:val="single" w:color="000000" w:sz="6" w:space="4"/>
        <w:bottom w:val="single" w:color="000000" w:sz="6" w:space="0"/>
        <w:right w:val="single" w:color="000000" w:sz="6" w:space="0"/>
      </w:pBdr>
    </w:pPr>
    <w:rPr>
      <w:rFonts w:ascii="宋体" w:hAnsi="宋体" w:cs="宋体"/>
      <w:sz w:val="24"/>
      <w:szCs w:val="24"/>
    </w:rPr>
  </w:style>
  <w:style w:type="paragraph" w:customStyle="1" w:styleId="448">
    <w:name w:val="样式 样式 标题 3 + (符号) 宋体 四号 加粗 黑色 段前: 0 磅 段后: 0 磅 行距: 固定值 22 磅 + 段前:..."/>
    <w:basedOn w:val="1"/>
    <w:uiPriority w:val="0"/>
    <w:pPr>
      <w:keepNext/>
      <w:keepLines/>
      <w:widowControl w:val="0"/>
      <w:tabs>
        <w:tab w:val="left" w:pos="1275"/>
      </w:tabs>
      <w:spacing w:before="156" w:beforeLines="50" w:after="156" w:afterLines="50" w:line="580" w:lineRule="exact"/>
      <w:outlineLvl w:val="2"/>
    </w:pPr>
    <w:rPr>
      <w:rFonts w:ascii="宋体" w:hAnsi="宋体"/>
      <w:b/>
      <w:bCs/>
      <w:color w:val="000000"/>
      <w:kern w:val="24"/>
      <w:sz w:val="28"/>
    </w:rPr>
  </w:style>
  <w:style w:type="paragraph" w:customStyle="1" w:styleId="449">
    <w:name w:val="pa-34"/>
    <w:basedOn w:val="1"/>
    <w:uiPriority w:val="0"/>
    <w:pPr>
      <w:spacing w:line="360" w:lineRule="atLeast"/>
      <w:ind w:firstLine="460"/>
      <w:jc w:val="both"/>
    </w:pPr>
    <w:rPr>
      <w:rFonts w:ascii="宋体" w:hAnsi="宋体" w:cs="宋体"/>
      <w:sz w:val="24"/>
      <w:szCs w:val="24"/>
    </w:rPr>
  </w:style>
  <w:style w:type="paragraph" w:customStyle="1" w:styleId="450">
    <w:name w:val="样式 标题 3 + 段后: 0 磅"/>
    <w:basedOn w:val="5"/>
    <w:uiPriority w:val="0"/>
    <w:pPr>
      <w:widowControl w:val="0"/>
      <w:spacing w:after="0" w:line="360" w:lineRule="auto"/>
    </w:pPr>
    <w:rPr>
      <w:rFonts w:ascii="宋体" w:hAnsi="Arial" w:cs="宋体"/>
      <w:bCs w:val="0"/>
      <w:spacing w:val="14"/>
      <w:kern w:val="24"/>
      <w:sz w:val="28"/>
      <w:szCs w:val="20"/>
    </w:rPr>
  </w:style>
  <w:style w:type="paragraph" w:customStyle="1" w:styleId="451">
    <w:name w:val="Char Char Char Char Char Char Char Char Char Char Char Char Char Char Char Char Char Char Char Char Char Char Char Char Char Char Char Char Char Char Char Char Char"/>
    <w:basedOn w:val="1"/>
    <w:uiPriority w:val="0"/>
    <w:pPr>
      <w:spacing w:after="160" w:line="240" w:lineRule="exact"/>
    </w:pPr>
    <w:rPr>
      <w:rFonts w:ascii="Verdana" w:hAnsi="Verdana" w:eastAsia="仿宋_GB2312"/>
      <w:sz w:val="24"/>
      <w:lang w:eastAsia="en-US"/>
    </w:rPr>
  </w:style>
  <w:style w:type="paragraph" w:customStyle="1" w:styleId="452">
    <w:name w:val="内文正文"/>
    <w:uiPriority w:val="0"/>
    <w:pPr>
      <w:autoSpaceDE w:val="0"/>
      <w:autoSpaceDN w:val="0"/>
      <w:spacing w:line="400" w:lineRule="exact"/>
      <w:ind w:firstLine="200" w:firstLineChars="200"/>
      <w:jc w:val="both"/>
      <w:textAlignment w:val="bottom"/>
    </w:pPr>
    <w:rPr>
      <w:rFonts w:ascii="宋体" w:hAnsi="???|CS?o｡ﾀ?"/>
      <w:sz w:val="21"/>
      <w:szCs w:val="28"/>
      <w:lang w:val="en-US" w:eastAsia="zh-CN" w:bidi="ar-SA"/>
    </w:rPr>
  </w:style>
  <w:style w:type="paragraph" w:customStyle="1" w:styleId="453">
    <w:name w:val="pa-139"/>
    <w:basedOn w:val="1"/>
    <w:uiPriority w:val="0"/>
    <w:pPr>
      <w:spacing w:line="320" w:lineRule="atLeast"/>
      <w:ind w:firstLine="280"/>
      <w:jc w:val="both"/>
    </w:pPr>
    <w:rPr>
      <w:rFonts w:ascii="宋体" w:hAnsi="宋体" w:cs="宋体"/>
      <w:sz w:val="24"/>
      <w:szCs w:val="24"/>
    </w:rPr>
  </w:style>
  <w:style w:type="paragraph" w:customStyle="1" w:styleId="454">
    <w:name w:val="pa-11"/>
    <w:basedOn w:val="1"/>
    <w:uiPriority w:val="0"/>
    <w:pPr>
      <w:spacing w:line="280" w:lineRule="atLeast"/>
      <w:jc w:val="both"/>
    </w:pPr>
    <w:rPr>
      <w:rFonts w:ascii="宋体" w:hAnsi="宋体" w:cs="宋体"/>
      <w:sz w:val="24"/>
      <w:szCs w:val="24"/>
    </w:rPr>
  </w:style>
  <w:style w:type="paragraph" w:customStyle="1" w:styleId="455">
    <w:name w:val="pa-119"/>
    <w:basedOn w:val="1"/>
    <w:uiPriority w:val="0"/>
    <w:pPr>
      <w:spacing w:line="420" w:lineRule="atLeast"/>
      <w:jc w:val="center"/>
    </w:pPr>
    <w:rPr>
      <w:rFonts w:ascii="宋体" w:hAnsi="宋体" w:cs="宋体"/>
      <w:sz w:val="24"/>
      <w:szCs w:val="24"/>
    </w:rPr>
  </w:style>
  <w:style w:type="paragraph" w:customStyle="1" w:styleId="456">
    <w:name w:val="pa-84"/>
    <w:basedOn w:val="1"/>
    <w:uiPriority w:val="0"/>
    <w:pPr>
      <w:spacing w:line="480" w:lineRule="atLeast"/>
      <w:jc w:val="center"/>
    </w:pPr>
    <w:rPr>
      <w:rFonts w:ascii="宋体" w:hAnsi="宋体" w:cs="宋体"/>
      <w:sz w:val="24"/>
      <w:szCs w:val="24"/>
    </w:rPr>
  </w:style>
  <w:style w:type="paragraph" w:customStyle="1" w:styleId="457">
    <w:name w:val="pa-52"/>
    <w:basedOn w:val="1"/>
    <w:uiPriority w:val="0"/>
    <w:pPr>
      <w:spacing w:line="276" w:lineRule="atLeast"/>
    </w:pPr>
    <w:rPr>
      <w:rFonts w:ascii="宋体" w:hAnsi="宋体" w:cs="宋体"/>
      <w:sz w:val="24"/>
      <w:szCs w:val="24"/>
    </w:rPr>
  </w:style>
  <w:style w:type="paragraph" w:customStyle="1" w:styleId="458">
    <w:name w:val="样式 标题 4 + 非加粗"/>
    <w:basedOn w:val="6"/>
    <w:uiPriority w:val="0"/>
    <w:pPr>
      <w:numPr>
        <w:ilvl w:val="0"/>
        <w:numId w:val="0"/>
      </w:numPr>
      <w:tabs>
        <w:tab w:val="clear" w:pos="864"/>
      </w:tabs>
      <w:spacing w:before="120" w:after="120" w:line="377" w:lineRule="auto"/>
    </w:pPr>
    <w:rPr>
      <w:rFonts w:eastAsia="宋体"/>
      <w:bCs w:val="0"/>
      <w:spacing w:val="4"/>
      <w:sz w:val="24"/>
      <w:szCs w:val="24"/>
      <w:lang w:val="en-US"/>
    </w:rPr>
  </w:style>
  <w:style w:type="paragraph" w:customStyle="1" w:styleId="459">
    <w:name w:val="pa-116"/>
    <w:basedOn w:val="1"/>
    <w:uiPriority w:val="0"/>
    <w:pPr>
      <w:spacing w:line="480" w:lineRule="atLeast"/>
      <w:ind w:firstLine="200"/>
      <w:jc w:val="both"/>
    </w:pPr>
    <w:rPr>
      <w:rFonts w:ascii="宋体" w:hAnsi="宋体" w:cs="宋体"/>
      <w:sz w:val="24"/>
      <w:szCs w:val="24"/>
    </w:rPr>
  </w:style>
  <w:style w:type="paragraph" w:customStyle="1" w:styleId="460">
    <w:name w:val="明显引用2"/>
    <w:basedOn w:val="1"/>
    <w:next w:val="1"/>
    <w:uiPriority w:val="0"/>
    <w:pPr>
      <w:widowControl w:val="0"/>
      <w:pBdr>
        <w:bottom w:val="single" w:color="4F81BD" w:sz="4" w:space="4"/>
      </w:pBdr>
      <w:spacing w:before="200" w:after="280"/>
      <w:ind w:left="936" w:right="936"/>
      <w:jc w:val="both"/>
    </w:pPr>
    <w:rPr>
      <w:rFonts w:ascii="Calibri" w:hAnsi="Calibri"/>
      <w:b/>
      <w:i/>
      <w:color w:val="4F81BD"/>
      <w:kern w:val="2"/>
      <w:sz w:val="22"/>
    </w:rPr>
  </w:style>
  <w:style w:type="paragraph" w:customStyle="1" w:styleId="461">
    <w:name w:val="菲页1"/>
    <w:basedOn w:val="4"/>
    <w:uiPriority w:val="0"/>
    <w:pPr>
      <w:spacing w:line="413" w:lineRule="auto"/>
      <w:jc w:val="center"/>
    </w:pPr>
    <w:rPr>
      <w:rFonts w:ascii="黑体" w:hAnsi="宋体" w:eastAsia="黑体"/>
      <w:b/>
      <w:bCs w:val="0"/>
      <w:sz w:val="52"/>
      <w:szCs w:val="20"/>
    </w:rPr>
  </w:style>
  <w:style w:type="paragraph" w:customStyle="1" w:styleId="462">
    <w:name w:val="Char Char Char Char2"/>
    <w:basedOn w:val="1"/>
    <w:uiPriority w:val="0"/>
    <w:pPr>
      <w:spacing w:after="160" w:line="240" w:lineRule="exact"/>
    </w:pPr>
    <w:rPr>
      <w:rFonts w:ascii="Verdana" w:hAnsi="Verdana" w:eastAsia="仿宋_GB2312"/>
      <w:sz w:val="24"/>
      <w:lang w:eastAsia="en-US"/>
    </w:rPr>
  </w:style>
  <w:style w:type="paragraph" w:customStyle="1" w:styleId="463">
    <w:name w:val="pa-94"/>
    <w:basedOn w:val="1"/>
    <w:uiPriority w:val="0"/>
    <w:pPr>
      <w:spacing w:line="480" w:lineRule="atLeast"/>
    </w:pPr>
    <w:rPr>
      <w:rFonts w:ascii="宋体" w:hAnsi="宋体" w:cs="宋体"/>
      <w:sz w:val="24"/>
      <w:szCs w:val="24"/>
    </w:rPr>
  </w:style>
  <w:style w:type="paragraph" w:customStyle="1" w:styleId="464">
    <w:name w:val="pa-136"/>
    <w:basedOn w:val="1"/>
    <w:uiPriority w:val="0"/>
    <w:pPr>
      <w:spacing w:line="360" w:lineRule="atLeast"/>
      <w:ind w:firstLine="5640"/>
      <w:jc w:val="both"/>
    </w:pPr>
    <w:rPr>
      <w:rFonts w:ascii="宋体" w:hAnsi="宋体" w:cs="宋体"/>
      <w:sz w:val="24"/>
      <w:szCs w:val="24"/>
    </w:rPr>
  </w:style>
  <w:style w:type="paragraph" w:customStyle="1" w:styleId="465">
    <w:name w:val="pa-68"/>
    <w:basedOn w:val="1"/>
    <w:uiPriority w:val="0"/>
    <w:pPr>
      <w:spacing w:line="240" w:lineRule="atLeast"/>
      <w:ind w:firstLine="520"/>
      <w:jc w:val="both"/>
    </w:pPr>
    <w:rPr>
      <w:rFonts w:ascii="宋体" w:hAnsi="宋体" w:cs="宋体"/>
      <w:sz w:val="24"/>
      <w:szCs w:val="24"/>
    </w:rPr>
  </w:style>
  <w:style w:type="paragraph" w:customStyle="1" w:styleId="466">
    <w:name w:val="xl65"/>
    <w:basedOn w:val="1"/>
    <w:uiPriority w:val="0"/>
    <w:pPr>
      <w:spacing w:before="100" w:beforeAutospacing="1" w:after="100" w:afterAutospacing="1"/>
    </w:pPr>
    <w:rPr>
      <w:rFonts w:ascii="宋体" w:hAnsi="宋体" w:cs="宋体"/>
      <w:b/>
      <w:bCs/>
      <w:sz w:val="24"/>
      <w:szCs w:val="24"/>
    </w:rPr>
  </w:style>
  <w:style w:type="paragraph" w:customStyle="1" w:styleId="467">
    <w:name w:val="pa-130"/>
    <w:basedOn w:val="1"/>
    <w:uiPriority w:val="0"/>
    <w:pPr>
      <w:spacing w:line="300" w:lineRule="atLeast"/>
    </w:pPr>
    <w:rPr>
      <w:rFonts w:ascii="宋体" w:hAnsi="宋体" w:cs="宋体"/>
      <w:sz w:val="24"/>
      <w:szCs w:val="24"/>
    </w:rPr>
  </w:style>
  <w:style w:type="paragraph" w:customStyle="1" w:styleId="468">
    <w:name w:val="pa-41"/>
    <w:basedOn w:val="1"/>
    <w:uiPriority w:val="0"/>
    <w:pPr>
      <w:spacing w:line="280" w:lineRule="atLeast"/>
      <w:ind w:firstLine="420"/>
      <w:jc w:val="both"/>
    </w:pPr>
    <w:rPr>
      <w:rFonts w:ascii="宋体" w:hAnsi="宋体" w:cs="宋体"/>
      <w:sz w:val="24"/>
      <w:szCs w:val="24"/>
    </w:rPr>
  </w:style>
  <w:style w:type="paragraph" w:customStyle="1" w:styleId="469">
    <w:name w:val="pa-43"/>
    <w:basedOn w:val="1"/>
    <w:uiPriority w:val="0"/>
    <w:pPr>
      <w:spacing w:line="280" w:lineRule="atLeast"/>
      <w:jc w:val="center"/>
    </w:pPr>
    <w:rPr>
      <w:rFonts w:ascii="宋体" w:hAnsi="宋体" w:cs="宋体"/>
      <w:sz w:val="24"/>
      <w:szCs w:val="24"/>
    </w:rPr>
  </w:style>
  <w:style w:type="paragraph" w:customStyle="1" w:styleId="470">
    <w:name w:val="表内文字"/>
    <w:basedOn w:val="1"/>
    <w:uiPriority w:val="0"/>
    <w:pPr>
      <w:widowControl w:val="0"/>
      <w:spacing w:line="500" w:lineRule="atLeast"/>
      <w:jc w:val="center"/>
    </w:pPr>
    <w:rPr>
      <w:rFonts w:ascii="Arial" w:hAnsi="Arial" w:eastAsia="楷体_GB2312"/>
      <w:kern w:val="2"/>
      <w:sz w:val="28"/>
    </w:rPr>
  </w:style>
  <w:style w:type="paragraph" w:customStyle="1" w:styleId="471">
    <w:name w:val="pa-44"/>
    <w:basedOn w:val="1"/>
    <w:uiPriority w:val="0"/>
    <w:pPr>
      <w:spacing w:line="360" w:lineRule="atLeast"/>
      <w:ind w:firstLine="420"/>
    </w:pPr>
    <w:rPr>
      <w:rFonts w:ascii="宋体" w:hAnsi="宋体" w:cs="宋体"/>
      <w:sz w:val="24"/>
      <w:szCs w:val="24"/>
    </w:rPr>
  </w:style>
  <w:style w:type="paragraph" w:customStyle="1" w:styleId="472">
    <w:name w:val="TOC Heading1"/>
    <w:basedOn w:val="3"/>
    <w:next w:val="1"/>
    <w:uiPriority w:val="0"/>
    <w:pPr>
      <w:tabs>
        <w:tab w:val="clear" w:pos="840"/>
      </w:tabs>
      <w:adjustRightInd/>
      <w:snapToGrid/>
      <w:spacing w:before="340" w:after="330" w:line="576" w:lineRule="auto"/>
      <w:outlineLvl w:val="9"/>
    </w:pPr>
    <w:rPr>
      <w:rFonts w:ascii="Calibri" w:hAnsi="Calibri"/>
      <w:bCs/>
      <w:sz w:val="44"/>
      <w:szCs w:val="44"/>
    </w:rPr>
  </w:style>
  <w:style w:type="paragraph" w:customStyle="1" w:styleId="473">
    <w:name w:val="pa-82"/>
    <w:basedOn w:val="1"/>
    <w:uiPriority w:val="0"/>
    <w:pPr>
      <w:spacing w:line="480" w:lineRule="atLeast"/>
      <w:jc w:val="center"/>
    </w:pPr>
    <w:rPr>
      <w:rFonts w:ascii="宋体" w:hAnsi="宋体" w:cs="宋体"/>
      <w:sz w:val="24"/>
      <w:szCs w:val="24"/>
    </w:rPr>
  </w:style>
  <w:style w:type="paragraph" w:customStyle="1" w:styleId="474">
    <w:name w:val="xl85"/>
    <w:basedOn w:val="1"/>
    <w:uiPriority w:val="0"/>
    <w:pPr>
      <w:pBdr>
        <w:top w:val="single" w:color="auto" w:sz="4" w:space="0"/>
        <w:left w:val="single" w:color="auto" w:sz="4" w:space="0"/>
        <w:right w:val="single" w:color="auto" w:sz="4" w:space="0"/>
      </w:pBdr>
      <w:spacing w:before="100" w:beforeAutospacing="1" w:after="100" w:afterAutospacing="1"/>
      <w:jc w:val="center"/>
      <w:textAlignment w:val="top"/>
    </w:pPr>
    <w:rPr>
      <w:rFonts w:ascii="宋体" w:hAnsi="宋体" w:cs="宋体"/>
      <w:sz w:val="20"/>
    </w:rPr>
  </w:style>
  <w:style w:type="paragraph" w:customStyle="1" w:styleId="475">
    <w:name w:val=" Char Char Char Char Char Char Char Char Char Char Char Char Char Char"/>
    <w:basedOn w:val="1"/>
    <w:uiPriority w:val="0"/>
    <w:pPr>
      <w:spacing w:after="160" w:line="240" w:lineRule="exact"/>
    </w:pPr>
    <w:rPr>
      <w:rFonts w:ascii="Verdana" w:hAnsi="Verdana" w:cs="宋体"/>
      <w:b/>
      <w:sz w:val="20"/>
      <w:lang w:eastAsia="en-US"/>
    </w:rPr>
  </w:style>
  <w:style w:type="paragraph" w:customStyle="1" w:styleId="476">
    <w:name w:val="pa-137"/>
    <w:basedOn w:val="1"/>
    <w:uiPriority w:val="0"/>
    <w:pPr>
      <w:spacing w:line="480" w:lineRule="atLeast"/>
      <w:jc w:val="center"/>
    </w:pPr>
    <w:rPr>
      <w:rFonts w:ascii="宋体" w:hAnsi="宋体" w:cs="宋体"/>
      <w:sz w:val="24"/>
      <w:szCs w:val="24"/>
    </w:rPr>
  </w:style>
  <w:style w:type="paragraph" w:customStyle="1" w:styleId="477">
    <w:name w:val="ca-11"/>
    <w:basedOn w:val="1"/>
    <w:uiPriority w:val="0"/>
    <w:rPr>
      <w:rFonts w:ascii="Calibri" w:hAnsi="Calibri"/>
      <w:color w:val="000000"/>
      <w:sz w:val="30"/>
      <w:szCs w:val="30"/>
    </w:rPr>
  </w:style>
  <w:style w:type="paragraph" w:customStyle="1" w:styleId="478">
    <w:name w:val="td-5"/>
    <w:basedOn w:val="1"/>
    <w:uiPriority w:val="0"/>
    <w:pPr>
      <w:pBdr>
        <w:top w:val="single" w:color="000000" w:sz="12" w:space="0"/>
        <w:left w:val="single" w:color="000000" w:sz="4" w:space="4"/>
        <w:bottom w:val="single" w:color="000000" w:sz="4" w:space="0"/>
        <w:right w:val="single" w:color="000000" w:sz="4" w:space="0"/>
      </w:pBdr>
    </w:pPr>
    <w:rPr>
      <w:rFonts w:ascii="宋体" w:hAnsi="宋体" w:cs="宋体"/>
      <w:sz w:val="24"/>
      <w:szCs w:val="24"/>
    </w:rPr>
  </w:style>
  <w:style w:type="paragraph" w:customStyle="1" w:styleId="479">
    <w:name w:val="xl68"/>
    <w:basedOn w:val="1"/>
    <w:uiPriority w:val="0"/>
    <w:pPr>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s="宋体"/>
      <w:b/>
      <w:bCs/>
      <w:sz w:val="20"/>
    </w:rPr>
  </w:style>
  <w:style w:type="paragraph" w:customStyle="1" w:styleId="480">
    <w:name w:val="xl94"/>
    <w:basedOn w:val="1"/>
    <w:uiPriority w:val="0"/>
    <w:pPr>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jc w:val="center"/>
      <w:textAlignment w:val="center"/>
    </w:pPr>
    <w:rPr>
      <w:rFonts w:ascii="宋体" w:hAnsi="宋体" w:cs="宋体"/>
      <w:sz w:val="16"/>
      <w:szCs w:val="16"/>
    </w:rPr>
  </w:style>
  <w:style w:type="paragraph" w:customStyle="1" w:styleId="481">
    <w:name w:val="pa-120"/>
    <w:basedOn w:val="1"/>
    <w:uiPriority w:val="0"/>
    <w:pPr>
      <w:spacing w:line="280" w:lineRule="atLeast"/>
      <w:jc w:val="right"/>
    </w:pPr>
    <w:rPr>
      <w:rFonts w:ascii="宋体" w:hAnsi="宋体" w:cs="宋体"/>
      <w:sz w:val="24"/>
      <w:szCs w:val="24"/>
    </w:rPr>
  </w:style>
  <w:style w:type="paragraph" w:customStyle="1" w:styleId="482">
    <w:name w:val="缺省文本"/>
    <w:basedOn w:val="1"/>
    <w:uiPriority w:val="0"/>
    <w:pPr>
      <w:widowControl w:val="0"/>
      <w:autoSpaceDE w:val="0"/>
      <w:autoSpaceDN w:val="0"/>
      <w:adjustRightInd w:val="0"/>
    </w:pPr>
    <w:rPr>
      <w:rFonts w:ascii="Calibri" w:hAnsi="Calibri"/>
      <w:sz w:val="24"/>
      <w:szCs w:val="24"/>
    </w:rPr>
  </w:style>
  <w:style w:type="paragraph" w:customStyle="1" w:styleId="483">
    <w:name w:val="pa-91"/>
    <w:basedOn w:val="1"/>
    <w:uiPriority w:val="0"/>
    <w:pPr>
      <w:spacing w:line="360" w:lineRule="atLeast"/>
      <w:ind w:firstLine="4000"/>
    </w:pPr>
    <w:rPr>
      <w:rFonts w:ascii="宋体" w:hAnsi="宋体" w:cs="宋体"/>
      <w:sz w:val="24"/>
      <w:szCs w:val="24"/>
    </w:rPr>
  </w:style>
  <w:style w:type="paragraph" w:customStyle="1" w:styleId="484">
    <w:name w:val="ca-51"/>
    <w:basedOn w:val="1"/>
    <w:uiPriority w:val="0"/>
    <w:rPr>
      <w:rFonts w:ascii="Calibri" w:hAnsi="Calibri"/>
      <w:b/>
      <w:bCs/>
      <w:color w:val="000000"/>
      <w:spacing w:val="-20"/>
      <w:sz w:val="32"/>
      <w:szCs w:val="32"/>
    </w:rPr>
  </w:style>
  <w:style w:type="paragraph" w:customStyle="1" w:styleId="485">
    <w:name w:val="td-7"/>
    <w:basedOn w:val="1"/>
    <w:uiPriority w:val="0"/>
    <w:pPr>
      <w:pBdr>
        <w:top w:val="single" w:color="000000" w:sz="4" w:space="0"/>
        <w:left w:val="single" w:color="000000" w:sz="12" w:space="4"/>
        <w:bottom w:val="single" w:color="000000" w:sz="4" w:space="0"/>
        <w:right w:val="single" w:color="000000" w:sz="4" w:space="0"/>
      </w:pBdr>
    </w:pPr>
    <w:rPr>
      <w:rFonts w:ascii="宋体" w:hAnsi="宋体" w:cs="宋体"/>
      <w:sz w:val="24"/>
      <w:szCs w:val="24"/>
    </w:rPr>
  </w:style>
  <w:style w:type="paragraph" w:customStyle="1" w:styleId="486">
    <w:name w:val="样式 标题 3 + 段前: 7.8 磅"/>
    <w:basedOn w:val="5"/>
    <w:uiPriority w:val="0"/>
    <w:pPr>
      <w:keepNext w:val="0"/>
      <w:keepLines w:val="0"/>
      <w:widowControl w:val="0"/>
      <w:tabs>
        <w:tab w:val="left" w:pos="432"/>
      </w:tabs>
      <w:spacing w:before="156" w:after="0" w:line="360" w:lineRule="auto"/>
      <w:ind w:left="432" w:hanging="432"/>
      <w:jc w:val="both"/>
    </w:pPr>
    <w:rPr>
      <w:rFonts w:ascii="Calibri" w:hAnsi="Calibri" w:cs="宋体"/>
      <w:b w:val="0"/>
      <w:bCs w:val="0"/>
      <w:kern w:val="2"/>
      <w:sz w:val="24"/>
      <w:szCs w:val="20"/>
    </w:rPr>
  </w:style>
  <w:style w:type="paragraph" w:customStyle="1" w:styleId="487">
    <w:name w:val=" Char Char4"/>
    <w:basedOn w:val="1"/>
    <w:uiPriority w:val="0"/>
    <w:pPr>
      <w:widowControl w:val="0"/>
      <w:jc w:val="both"/>
    </w:pPr>
    <w:rPr>
      <w:rFonts w:ascii="Tahoma" w:hAnsi="Tahoma"/>
      <w:kern w:val="2"/>
      <w:sz w:val="24"/>
    </w:rPr>
  </w:style>
  <w:style w:type="paragraph" w:customStyle="1" w:styleId="488">
    <w:name w:val="pa-129"/>
    <w:basedOn w:val="1"/>
    <w:uiPriority w:val="0"/>
    <w:pPr>
      <w:spacing w:line="300" w:lineRule="atLeast"/>
      <w:jc w:val="both"/>
    </w:pPr>
    <w:rPr>
      <w:rFonts w:ascii="宋体" w:hAnsi="宋体" w:cs="宋体"/>
      <w:sz w:val="24"/>
      <w:szCs w:val="24"/>
    </w:rPr>
  </w:style>
  <w:style w:type="paragraph" w:customStyle="1" w:styleId="489">
    <w:name w:val="pa-60"/>
    <w:basedOn w:val="1"/>
    <w:uiPriority w:val="0"/>
    <w:pPr>
      <w:spacing w:line="360" w:lineRule="atLeast"/>
      <w:ind w:firstLine="560"/>
      <w:jc w:val="both"/>
    </w:pPr>
    <w:rPr>
      <w:rFonts w:ascii="宋体" w:hAnsi="宋体" w:cs="宋体"/>
      <w:sz w:val="24"/>
      <w:szCs w:val="24"/>
    </w:rPr>
  </w:style>
  <w:style w:type="paragraph" w:customStyle="1" w:styleId="490">
    <w:name w:val="xl63"/>
    <w:basedOn w:val="1"/>
    <w:uiPriority w:val="0"/>
    <w:pPr>
      <w:spacing w:before="100" w:beforeAutospacing="1" w:after="100" w:afterAutospacing="1"/>
      <w:jc w:val="center"/>
    </w:pPr>
    <w:rPr>
      <w:rFonts w:ascii="宋体" w:hAnsi="宋体" w:cs="宋体"/>
      <w:b/>
      <w:bCs/>
      <w:sz w:val="20"/>
    </w:rPr>
  </w:style>
  <w:style w:type="paragraph" w:customStyle="1" w:styleId="491">
    <w:name w:val="xl113"/>
    <w:basedOn w:val="1"/>
    <w:uiPriority w:val="0"/>
    <w:pPr>
      <w:pBdr>
        <w:bottom w:val="single" w:color="auto" w:sz="4" w:space="0"/>
      </w:pBdr>
      <w:shd w:val="clear" w:color="000000" w:fill="FFFFFF"/>
      <w:spacing w:before="100" w:beforeAutospacing="1" w:after="100" w:afterAutospacing="1"/>
      <w:jc w:val="center"/>
      <w:textAlignment w:val="center"/>
    </w:pPr>
    <w:rPr>
      <w:rFonts w:ascii="宋体" w:hAnsi="宋体" w:cs="宋体"/>
      <w:sz w:val="36"/>
      <w:szCs w:val="36"/>
    </w:rPr>
  </w:style>
  <w:style w:type="paragraph" w:customStyle="1" w:styleId="492">
    <w:name w:val="pa-38"/>
    <w:basedOn w:val="1"/>
    <w:uiPriority w:val="0"/>
    <w:pPr>
      <w:spacing w:line="360" w:lineRule="atLeast"/>
      <w:ind w:firstLine="520"/>
      <w:jc w:val="both"/>
    </w:pPr>
    <w:rPr>
      <w:rFonts w:ascii="宋体" w:hAnsi="宋体" w:cs="宋体"/>
      <w:sz w:val="24"/>
      <w:szCs w:val="24"/>
    </w:rPr>
  </w:style>
  <w:style w:type="paragraph" w:customStyle="1" w:styleId="493">
    <w:name w:val="pa-33"/>
    <w:basedOn w:val="1"/>
    <w:uiPriority w:val="0"/>
    <w:pPr>
      <w:spacing w:line="360" w:lineRule="atLeast"/>
      <w:ind w:firstLine="440"/>
      <w:jc w:val="both"/>
    </w:pPr>
    <w:rPr>
      <w:rFonts w:ascii="宋体" w:hAnsi="宋体" w:cs="宋体"/>
      <w:sz w:val="24"/>
      <w:szCs w:val="24"/>
    </w:rPr>
  </w:style>
  <w:style w:type="paragraph" w:customStyle="1" w:styleId="494">
    <w:name w:val="Date1"/>
    <w:basedOn w:val="1"/>
    <w:next w:val="1"/>
    <w:uiPriority w:val="0"/>
    <w:pPr>
      <w:widowControl w:val="0"/>
      <w:adjustRightInd w:val="0"/>
      <w:spacing w:line="360" w:lineRule="auto"/>
      <w:jc w:val="right"/>
      <w:textAlignment w:val="baseline"/>
    </w:pPr>
    <w:rPr>
      <w:rFonts w:ascii="Calibri" w:hAnsi="Calibri"/>
      <w:sz w:val="24"/>
    </w:rPr>
  </w:style>
  <w:style w:type="paragraph" w:customStyle="1" w:styleId="495">
    <w:name w:val="zbggmain"/>
    <w:basedOn w:val="1"/>
    <w:uiPriority w:val="0"/>
    <w:pPr>
      <w:spacing w:before="100" w:beforeAutospacing="1" w:after="100" w:afterAutospacing="1" w:line="360" w:lineRule="auto"/>
    </w:pPr>
    <w:rPr>
      <w:rFonts w:ascii="Calibri" w:hAnsi="Calibri"/>
      <w:color w:val="000000"/>
      <w:sz w:val="24"/>
      <w:szCs w:val="24"/>
    </w:rPr>
  </w:style>
  <w:style w:type="paragraph" w:customStyle="1" w:styleId="496">
    <w:name w:val="xl73"/>
    <w:basedOn w:val="1"/>
    <w:uiPriority w:val="0"/>
    <w:pPr>
      <w:pBdr>
        <w:top w:val="single" w:color="auto" w:sz="4" w:space="0"/>
        <w:left w:val="single" w:color="auto" w:sz="4" w:space="0"/>
        <w:bottom w:val="single" w:color="auto" w:sz="4" w:space="0"/>
        <w:right w:val="single" w:color="auto" w:sz="4" w:space="0"/>
      </w:pBdr>
      <w:spacing w:before="100" w:beforeAutospacing="1" w:after="100" w:afterAutospacing="1"/>
    </w:pPr>
    <w:rPr>
      <w:rFonts w:ascii="宋体" w:hAnsi="宋体" w:cs="宋体"/>
      <w:sz w:val="24"/>
      <w:szCs w:val="24"/>
    </w:rPr>
  </w:style>
  <w:style w:type="paragraph" w:customStyle="1" w:styleId="497">
    <w:name w:val="正文文本缩进1"/>
    <w:basedOn w:val="1"/>
    <w:uiPriority w:val="0"/>
    <w:pPr>
      <w:widowControl w:val="0"/>
      <w:spacing w:before="120" w:after="120" w:line="360" w:lineRule="auto"/>
      <w:ind w:left="420" w:leftChars="200"/>
      <w:jc w:val="both"/>
    </w:pPr>
    <w:rPr>
      <w:rFonts w:ascii="Calibri" w:hAnsi="Calibri"/>
      <w:kern w:val="2"/>
      <w:sz w:val="20"/>
    </w:rPr>
  </w:style>
  <w:style w:type="paragraph" w:customStyle="1" w:styleId="498">
    <w:name w:val="pa-100"/>
    <w:basedOn w:val="1"/>
    <w:uiPriority w:val="0"/>
    <w:pPr>
      <w:spacing w:line="300" w:lineRule="atLeast"/>
      <w:jc w:val="both"/>
    </w:pPr>
    <w:rPr>
      <w:rFonts w:ascii="宋体" w:hAnsi="宋体" w:cs="宋体"/>
      <w:sz w:val="24"/>
      <w:szCs w:val="24"/>
    </w:rPr>
  </w:style>
  <w:style w:type="paragraph" w:customStyle="1" w:styleId="499">
    <w:name w:val="投标标题 2"/>
    <w:basedOn w:val="16"/>
    <w:uiPriority w:val="0"/>
    <w:pPr>
      <w:framePr w:w="0" w:hRule="auto" w:hSpace="0" w:wrap="auto" w:vAnchor="margin" w:hAnchor="text" w:xAlign="left" w:yAlign="inline"/>
      <w:shd w:val="clear" w:color="auto" w:fill="auto"/>
      <w:tabs>
        <w:tab w:val="clear" w:pos="9000"/>
      </w:tabs>
      <w:ind w:firstLine="6290" w:firstLineChars="2282"/>
    </w:pPr>
    <w:rPr>
      <w:rFonts w:ascii="Times New Roman" w:hAnsi="Times New Roman" w:eastAsia="黑体"/>
      <w:bCs/>
      <w:color w:val="auto"/>
      <w:sz w:val="28"/>
    </w:rPr>
  </w:style>
  <w:style w:type="paragraph" w:customStyle="1" w:styleId="500">
    <w:name w:val="pa-96"/>
    <w:basedOn w:val="1"/>
    <w:uiPriority w:val="0"/>
    <w:pPr>
      <w:spacing w:line="480" w:lineRule="atLeast"/>
      <w:jc w:val="both"/>
    </w:pPr>
    <w:rPr>
      <w:rFonts w:ascii="宋体" w:hAnsi="宋体" w:cs="宋体"/>
      <w:sz w:val="24"/>
      <w:szCs w:val="24"/>
    </w:rPr>
  </w:style>
  <w:style w:type="paragraph" w:customStyle="1" w:styleId="501">
    <w:name w:val="xl25"/>
    <w:basedOn w:val="1"/>
    <w:uiPriority w:val="0"/>
    <w:pPr>
      <w:spacing w:before="100" w:beforeAutospacing="1" w:after="100" w:afterAutospacing="1"/>
      <w:jc w:val="center"/>
      <w:textAlignment w:val="center"/>
    </w:pPr>
    <w:rPr>
      <w:rFonts w:ascii="宋体" w:hAnsi="宋体"/>
      <w:sz w:val="24"/>
      <w:szCs w:val="24"/>
    </w:rPr>
  </w:style>
  <w:style w:type="paragraph" w:customStyle="1" w:styleId="502">
    <w:name w:val="Char Char Char Char Char Char Char Char"/>
    <w:basedOn w:val="17"/>
    <w:uiPriority w:val="0"/>
    <w:pPr>
      <w:widowControl w:val="0"/>
      <w:shd w:val="clear" w:color="auto" w:fill="000080"/>
      <w:jc w:val="both"/>
    </w:pPr>
    <w:rPr>
      <w:rFonts w:ascii="Tahoma" w:hAnsi="Tahoma" w:cs="Tahoma"/>
      <w:kern w:val="2"/>
      <w:sz w:val="24"/>
      <w:szCs w:val="24"/>
    </w:rPr>
  </w:style>
  <w:style w:type="paragraph" w:customStyle="1" w:styleId="503">
    <w:name w:val="标书标题4"/>
    <w:basedOn w:val="6"/>
    <w:uiPriority w:val="0"/>
    <w:pPr>
      <w:keepLines w:val="0"/>
      <w:numPr>
        <w:ilvl w:val="0"/>
        <w:numId w:val="0"/>
      </w:numPr>
      <w:tabs>
        <w:tab w:val="clear" w:pos="864"/>
      </w:tabs>
      <w:adjustRightInd w:val="0"/>
      <w:snapToGrid w:val="0"/>
      <w:spacing w:before="0" w:after="0" w:line="300" w:lineRule="auto"/>
    </w:pPr>
    <w:rPr>
      <w:rFonts w:ascii="Arial Narrow" w:hAnsi="Arial Narrow" w:eastAsia="仿宋_GB2312"/>
      <w:bCs w:val="0"/>
      <w:color w:val="000000"/>
      <w:kern w:val="0"/>
      <w:sz w:val="24"/>
      <w:szCs w:val="32"/>
      <w:lang w:val="en-US"/>
    </w:rPr>
  </w:style>
  <w:style w:type="paragraph" w:customStyle="1" w:styleId="504">
    <w:name w:val="pa-67"/>
    <w:basedOn w:val="1"/>
    <w:uiPriority w:val="0"/>
    <w:pPr>
      <w:spacing w:line="240" w:lineRule="atLeast"/>
      <w:ind w:firstLine="420"/>
    </w:pPr>
    <w:rPr>
      <w:rFonts w:ascii="宋体" w:hAnsi="宋体" w:cs="宋体"/>
      <w:sz w:val="24"/>
      <w:szCs w:val="24"/>
    </w:rPr>
  </w:style>
  <w:style w:type="paragraph" w:customStyle="1" w:styleId="505">
    <w:name w:val="ca-52"/>
    <w:basedOn w:val="1"/>
    <w:uiPriority w:val="0"/>
    <w:rPr>
      <w:rFonts w:ascii="宋体" w:hAnsi="宋体" w:cs="宋体"/>
      <w:b/>
      <w:bCs/>
      <w:spacing w:val="-20"/>
      <w:sz w:val="36"/>
      <w:szCs w:val="36"/>
    </w:rPr>
  </w:style>
  <w:style w:type="paragraph" w:customStyle="1" w:styleId="506">
    <w:name w:val="pa-92"/>
    <w:basedOn w:val="1"/>
    <w:uiPriority w:val="0"/>
    <w:pPr>
      <w:spacing w:line="480" w:lineRule="atLeast"/>
      <w:ind w:firstLine="480"/>
      <w:jc w:val="both"/>
    </w:pPr>
    <w:rPr>
      <w:rFonts w:ascii="宋体" w:hAnsi="宋体" w:cs="宋体"/>
      <w:sz w:val="24"/>
      <w:szCs w:val="24"/>
    </w:rPr>
  </w:style>
  <w:style w:type="paragraph" w:customStyle="1" w:styleId="507">
    <w:name w:val="Char Char Char Char Char Char Char"/>
    <w:basedOn w:val="1"/>
    <w:uiPriority w:val="0"/>
    <w:pPr>
      <w:widowControl w:val="0"/>
      <w:jc w:val="both"/>
    </w:pPr>
    <w:rPr>
      <w:rFonts w:ascii="Calibri" w:hAnsi="Calibri"/>
      <w:kern w:val="2"/>
      <w:szCs w:val="24"/>
    </w:rPr>
  </w:style>
  <w:style w:type="paragraph" w:customStyle="1" w:styleId="508">
    <w:name w:val="样式 标题 4 + 段后: 8.15 磅 行距: 1.5 倍行距"/>
    <w:basedOn w:val="6"/>
    <w:uiPriority w:val="0"/>
    <w:pPr>
      <w:numPr>
        <w:ilvl w:val="0"/>
        <w:numId w:val="0"/>
      </w:numPr>
      <w:tabs>
        <w:tab w:val="clear" w:pos="864"/>
      </w:tabs>
      <w:spacing w:after="163" w:line="360" w:lineRule="auto"/>
    </w:pPr>
    <w:rPr>
      <w:rFonts w:eastAsia="宋体" w:cs="宋体"/>
      <w:sz w:val="24"/>
      <w:szCs w:val="20"/>
      <w:lang w:val="en-US"/>
    </w:rPr>
  </w:style>
  <w:style w:type="paragraph" w:customStyle="1" w:styleId="509">
    <w:name w:val="pa-23"/>
    <w:basedOn w:val="1"/>
    <w:uiPriority w:val="0"/>
    <w:pPr>
      <w:spacing w:line="360" w:lineRule="atLeast"/>
      <w:ind w:firstLine="420"/>
      <w:jc w:val="both"/>
    </w:pPr>
    <w:rPr>
      <w:rFonts w:ascii="宋体" w:hAnsi="宋体" w:cs="宋体"/>
      <w:sz w:val="24"/>
      <w:szCs w:val="24"/>
    </w:rPr>
  </w:style>
  <w:style w:type="paragraph" w:customStyle="1" w:styleId="510">
    <w:name w:val="ca-21"/>
    <w:basedOn w:val="1"/>
    <w:uiPriority w:val="0"/>
    <w:rPr>
      <w:rFonts w:ascii="宋体" w:hAnsi="宋体" w:cs="宋体"/>
      <w:color w:val="000000"/>
      <w:szCs w:val="21"/>
    </w:rPr>
  </w:style>
  <w:style w:type="paragraph" w:customStyle="1" w:styleId="511">
    <w:name w:val="pa-117"/>
    <w:basedOn w:val="1"/>
    <w:uiPriority w:val="0"/>
    <w:pPr>
      <w:spacing w:line="360" w:lineRule="atLeast"/>
      <w:ind w:firstLine="3840"/>
      <w:jc w:val="both"/>
    </w:pPr>
    <w:rPr>
      <w:rFonts w:ascii="宋体" w:hAnsi="宋体" w:cs="宋体"/>
      <w:sz w:val="24"/>
      <w:szCs w:val="24"/>
    </w:rPr>
  </w:style>
  <w:style w:type="paragraph" w:customStyle="1" w:styleId="512">
    <w:name w:val="pa-78"/>
    <w:basedOn w:val="1"/>
    <w:uiPriority w:val="0"/>
    <w:pPr>
      <w:spacing w:line="340" w:lineRule="atLeast"/>
      <w:jc w:val="both"/>
    </w:pPr>
    <w:rPr>
      <w:rFonts w:ascii="宋体" w:hAnsi="宋体" w:cs="宋体"/>
      <w:sz w:val="24"/>
      <w:szCs w:val="24"/>
    </w:rPr>
  </w:style>
  <w:style w:type="paragraph" w:customStyle="1" w:styleId="513">
    <w:name w:val="样式2"/>
    <w:basedOn w:val="5"/>
    <w:uiPriority w:val="0"/>
    <w:pPr>
      <w:widowControl w:val="0"/>
      <w:spacing w:line="415" w:lineRule="auto"/>
      <w:ind w:left="720" w:hanging="720"/>
      <w:jc w:val="both"/>
    </w:pPr>
    <w:rPr>
      <w:rFonts w:ascii="Calibri" w:hAnsi="Calibri"/>
      <w:kern w:val="2"/>
    </w:rPr>
  </w:style>
  <w:style w:type="paragraph" w:customStyle="1" w:styleId="514">
    <w:name w:val="ca-26"/>
    <w:basedOn w:val="1"/>
    <w:uiPriority w:val="0"/>
    <w:rPr>
      <w:rFonts w:ascii="宋体" w:hAnsi="宋体" w:cs="宋体"/>
      <w:color w:val="002060"/>
      <w:szCs w:val="21"/>
    </w:rPr>
  </w:style>
  <w:style w:type="paragraph" w:customStyle="1" w:styleId="515">
    <w:name w:val="Char Char Char Char"/>
    <w:basedOn w:val="1"/>
    <w:uiPriority w:val="0"/>
    <w:pPr>
      <w:spacing w:after="160" w:line="240" w:lineRule="exact"/>
    </w:pPr>
    <w:rPr>
      <w:rFonts w:ascii="Verdana" w:hAnsi="Verdana" w:eastAsia="仿宋_GB2312"/>
      <w:sz w:val="24"/>
      <w:lang w:eastAsia="en-US"/>
    </w:rPr>
  </w:style>
  <w:style w:type="paragraph" w:customStyle="1" w:styleId="516">
    <w:name w:val="样式 正文缩进正文（首行缩进两字）特点ALT+Z表正文正文非缩进四号段1Normal Indent Char2...1"/>
    <w:basedOn w:val="4"/>
    <w:uiPriority w:val="0"/>
    <w:pPr>
      <w:widowControl w:val="0"/>
      <w:spacing w:before="1320" w:after="240" w:line="300" w:lineRule="auto"/>
      <w:jc w:val="center"/>
    </w:pPr>
    <w:rPr>
      <w:rFonts w:ascii="Arial" w:hAnsi="Arial" w:eastAsia="黑体"/>
      <w:bCs w:val="0"/>
      <w:kern w:val="2"/>
      <w:szCs w:val="20"/>
    </w:rPr>
  </w:style>
  <w:style w:type="paragraph" w:customStyle="1" w:styleId="517">
    <w:name w:val="ca-3"/>
    <w:basedOn w:val="1"/>
    <w:uiPriority w:val="0"/>
    <w:rPr>
      <w:rFonts w:ascii="Calibri" w:hAnsi="Calibri"/>
      <w:b/>
      <w:bCs/>
      <w:color w:val="000000"/>
      <w:spacing w:val="-20"/>
      <w:sz w:val="48"/>
      <w:szCs w:val="48"/>
    </w:rPr>
  </w:style>
  <w:style w:type="paragraph" w:customStyle="1" w:styleId="518">
    <w:name w:val="正文，首行缩进:"/>
    <w:basedOn w:val="1"/>
    <w:uiPriority w:val="0"/>
    <w:pPr>
      <w:widowControl w:val="0"/>
      <w:tabs>
        <w:tab w:val="left" w:pos="3376"/>
      </w:tabs>
      <w:spacing w:line="460" w:lineRule="exact"/>
      <w:ind w:firstLine="480" w:firstLineChars="200"/>
    </w:pPr>
    <w:rPr>
      <w:rFonts w:ascii="宋体" w:hAnsi="宋体" w:cs="宋体"/>
      <w:kern w:val="2"/>
      <w:sz w:val="24"/>
    </w:rPr>
  </w:style>
  <w:style w:type="paragraph" w:customStyle="1" w:styleId="519">
    <w:name w:val="引用2"/>
    <w:basedOn w:val="1"/>
    <w:next w:val="1"/>
    <w:uiPriority w:val="0"/>
    <w:pPr>
      <w:widowControl w:val="0"/>
      <w:jc w:val="both"/>
    </w:pPr>
    <w:rPr>
      <w:rFonts w:ascii="Calibri" w:hAnsi="Calibri"/>
      <w:i/>
      <w:color w:val="000000"/>
      <w:kern w:val="2"/>
      <w:sz w:val="22"/>
    </w:rPr>
  </w:style>
  <w:style w:type="paragraph" w:customStyle="1" w:styleId="520">
    <w:name w:val="样式 正文缩进正文（首行缩进两字）特点ALT+Z表正文正文非缩进四号段1Normal Indent Char2...4"/>
    <w:basedOn w:val="22"/>
    <w:uiPriority w:val="0"/>
    <w:pPr>
      <w:widowControl w:val="0"/>
      <w:spacing w:after="0"/>
      <w:ind w:left="0" w:leftChars="0" w:firstLine="570"/>
      <w:jc w:val="both"/>
    </w:pPr>
    <w:rPr>
      <w:kern w:val="2"/>
      <w:sz w:val="28"/>
    </w:rPr>
  </w:style>
  <w:style w:type="paragraph" w:customStyle="1" w:styleId="521">
    <w:name w:val="ca-25"/>
    <w:basedOn w:val="1"/>
    <w:uiPriority w:val="0"/>
    <w:rPr>
      <w:rFonts w:ascii="Calibri" w:hAnsi="Calibri"/>
      <w:szCs w:val="21"/>
    </w:rPr>
  </w:style>
  <w:style w:type="paragraph" w:customStyle="1" w:styleId="522">
    <w:name w:val="xl101"/>
    <w:basedOn w:val="1"/>
    <w:uiPriority w:val="0"/>
    <w:pPr>
      <w:pBdr>
        <w:top w:val="single" w:color="auto" w:sz="4" w:space="0"/>
        <w:left w:val="single" w:color="auto" w:sz="4" w:space="0"/>
        <w:bottom w:val="single" w:color="auto" w:sz="4" w:space="0"/>
        <w:right w:val="single" w:color="auto" w:sz="4" w:space="0"/>
      </w:pBdr>
      <w:spacing w:before="100" w:beforeAutospacing="1" w:after="100" w:afterAutospacing="1"/>
      <w:jc w:val="center"/>
      <w:textAlignment w:val="center"/>
    </w:pPr>
    <w:rPr>
      <w:rFonts w:ascii="宋体" w:hAnsi="宋体" w:cs="宋体"/>
      <w:color w:val="FF0000"/>
      <w:sz w:val="16"/>
      <w:szCs w:val="16"/>
    </w:rPr>
  </w:style>
  <w:style w:type="paragraph" w:customStyle="1" w:styleId="523">
    <w:name w:val="Char Char Char Char Char Char Char Char Char Char Char Char Char Char Char Char Char Char Char Char Char Char Char Char Char Char Char Char Char Char Char Char Char1"/>
    <w:basedOn w:val="1"/>
    <w:uiPriority w:val="0"/>
    <w:pPr>
      <w:spacing w:after="160" w:line="240" w:lineRule="exact"/>
    </w:pPr>
    <w:rPr>
      <w:rFonts w:ascii="Verdana" w:hAnsi="Verdana" w:eastAsia="仿宋_GB2312"/>
      <w:sz w:val="24"/>
      <w:lang w:eastAsia="en-US"/>
    </w:rPr>
  </w:style>
  <w:style w:type="paragraph" w:customStyle="1" w:styleId="524">
    <w:name w:val="xl105"/>
    <w:basedOn w:val="1"/>
    <w:uiPriority w:val="0"/>
    <w:pPr>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textAlignment w:val="center"/>
    </w:pPr>
    <w:rPr>
      <w:rFonts w:ascii="宋体" w:hAnsi="宋体" w:cs="宋体"/>
      <w:sz w:val="16"/>
      <w:szCs w:val="16"/>
    </w:rPr>
  </w:style>
  <w:style w:type="paragraph" w:customStyle="1" w:styleId="525">
    <w:name w:val="pa-127"/>
    <w:basedOn w:val="1"/>
    <w:uiPriority w:val="0"/>
    <w:pPr>
      <w:spacing w:line="480" w:lineRule="atLeast"/>
      <w:ind w:firstLine="960"/>
      <w:jc w:val="both"/>
    </w:pPr>
    <w:rPr>
      <w:rFonts w:ascii="宋体" w:hAnsi="宋体" w:cs="宋体"/>
      <w:sz w:val="24"/>
      <w:szCs w:val="24"/>
    </w:rPr>
  </w:style>
  <w:style w:type="paragraph" w:customStyle="1" w:styleId="526">
    <w:name w:val="pa-76"/>
    <w:basedOn w:val="1"/>
    <w:uiPriority w:val="0"/>
    <w:pPr>
      <w:spacing w:line="400" w:lineRule="atLeast"/>
    </w:pPr>
    <w:rPr>
      <w:rFonts w:ascii="宋体" w:hAnsi="宋体" w:cs="宋体"/>
      <w:sz w:val="24"/>
      <w:szCs w:val="24"/>
    </w:rPr>
  </w:style>
  <w:style w:type="paragraph" w:customStyle="1" w:styleId="527">
    <w:name w:val="flNote"/>
    <w:basedOn w:val="1"/>
    <w:uiPriority w:val="0"/>
    <w:pPr>
      <w:widowControl w:val="0"/>
      <w:adjustRightInd w:val="0"/>
      <w:spacing w:before="320" w:after="160" w:line="360" w:lineRule="atLeast"/>
      <w:jc w:val="center"/>
      <w:textAlignment w:val="baseline"/>
    </w:pPr>
    <w:rPr>
      <w:rFonts w:ascii="Arial" w:hAnsi="Calibri" w:eastAsia="黑体"/>
      <w:sz w:val="30"/>
    </w:rPr>
  </w:style>
  <w:style w:type="paragraph" w:customStyle="1" w:styleId="528">
    <w:name w:val="ca-33"/>
    <w:basedOn w:val="1"/>
    <w:uiPriority w:val="0"/>
    <w:rPr>
      <w:rFonts w:ascii="宋体" w:hAnsi="宋体" w:cs="宋体"/>
      <w:b/>
      <w:bCs/>
      <w:color w:val="002060"/>
      <w:spacing w:val="-20"/>
      <w:sz w:val="20"/>
    </w:rPr>
  </w:style>
  <w:style w:type="paragraph" w:customStyle="1" w:styleId="529">
    <w:name w:val="空半行"/>
    <w:basedOn w:val="1"/>
    <w:uiPriority w:val="0"/>
    <w:pPr>
      <w:widowControl w:val="0"/>
      <w:adjustRightInd w:val="0"/>
      <w:spacing w:line="120" w:lineRule="exact"/>
      <w:jc w:val="both"/>
      <w:textAlignment w:val="baseline"/>
    </w:pPr>
    <w:rPr>
      <w:rFonts w:ascii="Calibri" w:hAnsi="Calibri" w:eastAsia="仿宋_GB2312"/>
      <w:color w:val="FFFFFF"/>
      <w:sz w:val="30"/>
    </w:rPr>
  </w:style>
  <w:style w:type="paragraph" w:customStyle="1" w:styleId="530">
    <w:name w:val="xl104"/>
    <w:basedOn w:val="1"/>
    <w:uiPriority w:val="0"/>
    <w:pPr>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jc w:val="center"/>
      <w:textAlignment w:val="center"/>
    </w:pPr>
    <w:rPr>
      <w:rFonts w:ascii="宋体" w:hAnsi="宋体" w:cs="宋体"/>
      <w:color w:val="FF0000"/>
      <w:sz w:val="16"/>
      <w:szCs w:val="16"/>
    </w:rPr>
  </w:style>
  <w:style w:type="paragraph" w:customStyle="1" w:styleId="531">
    <w:name w:val="ca-2"/>
    <w:basedOn w:val="1"/>
    <w:uiPriority w:val="0"/>
    <w:rPr>
      <w:rFonts w:ascii="Calibri" w:hAnsi="Calibri"/>
      <w:color w:val="000000"/>
      <w:sz w:val="36"/>
      <w:szCs w:val="36"/>
    </w:rPr>
  </w:style>
  <w:style w:type="paragraph" w:customStyle="1" w:styleId="532">
    <w:name w:val="td-8"/>
    <w:basedOn w:val="1"/>
    <w:uiPriority w:val="0"/>
    <w:pPr>
      <w:pBdr>
        <w:top w:val="single" w:color="000000" w:sz="4" w:space="0"/>
        <w:left w:val="single" w:color="000000" w:sz="4" w:space="4"/>
        <w:bottom w:val="single" w:color="000000" w:sz="4" w:space="0"/>
        <w:right w:val="single" w:color="000000" w:sz="12" w:space="0"/>
      </w:pBdr>
    </w:pPr>
    <w:rPr>
      <w:rFonts w:ascii="宋体" w:hAnsi="宋体" w:cs="宋体"/>
      <w:sz w:val="24"/>
      <w:szCs w:val="24"/>
    </w:rPr>
  </w:style>
  <w:style w:type="paragraph" w:customStyle="1" w:styleId="533">
    <w:name w:val="ca-38"/>
    <w:basedOn w:val="1"/>
    <w:uiPriority w:val="0"/>
    <w:rPr>
      <w:rFonts w:ascii="Calibri" w:hAnsi="Calibri"/>
      <w:b/>
      <w:bCs/>
      <w:spacing w:val="-20"/>
      <w:szCs w:val="21"/>
    </w:rPr>
  </w:style>
  <w:style w:type="paragraph" w:customStyle="1" w:styleId="534">
    <w:name w:val="pa-37"/>
    <w:basedOn w:val="1"/>
    <w:uiPriority w:val="0"/>
    <w:pPr>
      <w:spacing w:line="360" w:lineRule="atLeast"/>
      <w:ind w:firstLine="300"/>
      <w:jc w:val="both"/>
    </w:pPr>
    <w:rPr>
      <w:rFonts w:ascii="宋体" w:hAnsi="宋体" w:cs="宋体"/>
      <w:sz w:val="24"/>
      <w:szCs w:val="24"/>
    </w:rPr>
  </w:style>
  <w:style w:type="paragraph" w:customStyle="1" w:styleId="535">
    <w:name w:val="ca-47"/>
    <w:basedOn w:val="1"/>
    <w:uiPriority w:val="0"/>
    <w:rPr>
      <w:rFonts w:ascii="宋体" w:hAnsi="宋体" w:cs="宋体"/>
      <w:b/>
      <w:bCs/>
      <w:color w:val="000000"/>
      <w:spacing w:val="-20"/>
      <w:sz w:val="24"/>
      <w:szCs w:val="24"/>
    </w:rPr>
  </w:style>
  <w:style w:type="paragraph" w:customStyle="1" w:styleId="536">
    <w:name w:val="xl70"/>
    <w:basedOn w:val="1"/>
    <w:uiPriority w:val="0"/>
    <w:pPr>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s="宋体"/>
      <w:sz w:val="20"/>
    </w:rPr>
  </w:style>
  <w:style w:type="paragraph" w:customStyle="1" w:styleId="537">
    <w:name w:val="ca-12"/>
    <w:basedOn w:val="1"/>
    <w:uiPriority w:val="0"/>
    <w:rPr>
      <w:rFonts w:ascii="Calibri" w:hAnsi="Calibri"/>
      <w:color w:val="000000"/>
      <w:sz w:val="32"/>
      <w:szCs w:val="32"/>
    </w:rPr>
  </w:style>
  <w:style w:type="paragraph" w:customStyle="1" w:styleId="538">
    <w:name w:val="Plain Text"/>
    <w:basedOn w:val="1"/>
    <w:uiPriority w:val="0"/>
    <w:pPr>
      <w:widowControl w:val="0"/>
      <w:spacing w:afterLines="50"/>
      <w:jc w:val="both"/>
    </w:pPr>
    <w:rPr>
      <w:rFonts w:ascii="宋体" w:hAnsi="Courier New"/>
      <w:kern w:val="2"/>
      <w:sz w:val="24"/>
    </w:rPr>
  </w:style>
  <w:style w:type="paragraph" w:customStyle="1" w:styleId="539">
    <w:name w:val="pa-53"/>
    <w:basedOn w:val="1"/>
    <w:uiPriority w:val="0"/>
    <w:pPr>
      <w:spacing w:line="280" w:lineRule="atLeast"/>
      <w:ind w:firstLine="100"/>
      <w:jc w:val="both"/>
    </w:pPr>
    <w:rPr>
      <w:rFonts w:ascii="宋体" w:hAnsi="宋体" w:cs="宋体"/>
      <w:sz w:val="24"/>
      <w:szCs w:val="24"/>
    </w:rPr>
  </w:style>
  <w:style w:type="paragraph" w:customStyle="1" w:styleId="540">
    <w:name w:val="样式 正文（首行缩进两字） + 宋体 首行缩进:  0 字符"/>
    <w:basedOn w:val="15"/>
    <w:uiPriority w:val="0"/>
    <w:pPr>
      <w:widowControl w:val="0"/>
      <w:spacing w:line="460" w:lineRule="exact"/>
      <w:ind w:firstLine="0"/>
      <w:jc w:val="both"/>
    </w:pPr>
    <w:rPr>
      <w:rFonts w:ascii="宋体" w:hAnsi="宋体" w:cs="宋体"/>
      <w:spacing w:val="6"/>
      <w:kern w:val="24"/>
      <w:sz w:val="24"/>
    </w:rPr>
  </w:style>
  <w:style w:type="paragraph" w:customStyle="1" w:styleId="541">
    <w:name w:val="ca-13"/>
    <w:basedOn w:val="1"/>
    <w:uiPriority w:val="0"/>
    <w:rPr>
      <w:rFonts w:ascii="宋体" w:hAnsi="宋体" w:cs="宋体"/>
      <w:color w:val="000000"/>
      <w:sz w:val="32"/>
      <w:szCs w:val="32"/>
    </w:rPr>
  </w:style>
  <w:style w:type="paragraph" w:customStyle="1" w:styleId="542">
    <w:name w:val="ca-46"/>
    <w:basedOn w:val="1"/>
    <w:uiPriority w:val="0"/>
    <w:rPr>
      <w:rFonts w:ascii="宋体" w:hAnsi="宋体" w:cs="宋体"/>
      <w:color w:val="000000"/>
      <w:spacing w:val="-20"/>
      <w:sz w:val="28"/>
      <w:szCs w:val="28"/>
    </w:rPr>
  </w:style>
  <w:style w:type="paragraph" w:customStyle="1" w:styleId="543">
    <w:name w:val="xl91"/>
    <w:basedOn w:val="1"/>
    <w:uiPriority w:val="0"/>
    <w:pPr>
      <w:pBdr>
        <w:top w:val="single" w:color="auto" w:sz="4" w:space="0"/>
        <w:left w:val="single" w:color="auto" w:sz="4" w:space="0"/>
        <w:bottom w:val="single" w:color="auto" w:sz="4" w:space="0"/>
        <w:right w:val="single" w:color="auto" w:sz="4" w:space="0"/>
      </w:pBdr>
      <w:spacing w:before="100" w:beforeAutospacing="1" w:after="100" w:afterAutospacing="1"/>
      <w:jc w:val="center"/>
      <w:textAlignment w:val="center"/>
    </w:pPr>
    <w:rPr>
      <w:rFonts w:ascii="微软雅黑" w:hAnsi="微软雅黑" w:eastAsia="微软雅黑" w:cs="宋体"/>
      <w:sz w:val="16"/>
      <w:szCs w:val="16"/>
    </w:rPr>
  </w:style>
  <w:style w:type="paragraph" w:customStyle="1" w:styleId="544">
    <w:name w:val="xl111"/>
    <w:basedOn w:val="1"/>
    <w:uiPriority w:val="0"/>
    <w:pPr>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jc w:val="center"/>
      <w:textAlignment w:val="center"/>
    </w:pPr>
    <w:rPr>
      <w:rFonts w:ascii="宋体" w:hAnsi="宋体" w:cs="宋体"/>
      <w:b/>
      <w:bCs/>
      <w:sz w:val="18"/>
      <w:szCs w:val="18"/>
    </w:rPr>
  </w:style>
  <w:style w:type="paragraph" w:customStyle="1" w:styleId="545">
    <w:name w:val="xl114"/>
    <w:basedOn w:val="1"/>
    <w:uiPriority w:val="0"/>
    <w:pPr>
      <w:shd w:val="clear" w:color="000000" w:fill="FFFFFF"/>
      <w:spacing w:before="100" w:beforeAutospacing="1" w:after="100" w:afterAutospacing="1"/>
      <w:jc w:val="center"/>
      <w:textAlignment w:val="center"/>
    </w:pPr>
    <w:rPr>
      <w:rFonts w:ascii="宋体" w:hAnsi="宋体" w:cs="宋体"/>
      <w:sz w:val="36"/>
      <w:szCs w:val="36"/>
    </w:rPr>
  </w:style>
  <w:style w:type="paragraph" w:customStyle="1" w:styleId="546">
    <w:name w:val="Char Char Char"/>
    <w:basedOn w:val="1"/>
    <w:uiPriority w:val="0"/>
    <w:pPr>
      <w:widowControl w:val="0"/>
      <w:jc w:val="both"/>
    </w:pPr>
    <w:rPr>
      <w:kern w:val="2"/>
    </w:rPr>
  </w:style>
  <w:style w:type="paragraph" w:customStyle="1" w:styleId="547">
    <w:name w:val="pa-74"/>
    <w:basedOn w:val="1"/>
    <w:uiPriority w:val="0"/>
    <w:pPr>
      <w:spacing w:line="360" w:lineRule="atLeast"/>
      <w:ind w:firstLine="640"/>
      <w:jc w:val="center"/>
    </w:pPr>
    <w:rPr>
      <w:rFonts w:ascii="宋体" w:hAnsi="宋体" w:cs="宋体"/>
      <w:sz w:val="24"/>
      <w:szCs w:val="24"/>
    </w:rPr>
  </w:style>
  <w:style w:type="paragraph" w:customStyle="1" w:styleId="548">
    <w:name w:val="p17"/>
    <w:basedOn w:val="1"/>
    <w:uiPriority w:val="0"/>
    <w:pPr>
      <w:jc w:val="both"/>
    </w:pPr>
    <w:rPr>
      <w:szCs w:val="21"/>
    </w:rPr>
  </w:style>
  <w:style w:type="paragraph" w:customStyle="1" w:styleId="549">
    <w:name w:val=" Char Char7 Char"/>
    <w:basedOn w:val="1"/>
    <w:uiPriority w:val="0"/>
    <w:pPr>
      <w:widowControl w:val="0"/>
      <w:tabs>
        <w:tab w:val="left" w:pos="425"/>
      </w:tabs>
      <w:ind w:left="420" w:leftChars="200" w:firstLine="270" w:firstLineChars="150"/>
      <w:jc w:val="both"/>
    </w:pPr>
    <w:rPr>
      <w:rFonts w:ascii="宋体" w:hAnsi="宋体" w:cs="Arial"/>
      <w:color w:val="5E5E5E"/>
      <w:szCs w:val="21"/>
    </w:rPr>
  </w:style>
  <w:style w:type="paragraph" w:customStyle="1" w:styleId="550">
    <w:name w:val="xl86"/>
    <w:basedOn w:val="1"/>
    <w:uiPriority w:val="0"/>
    <w:pPr>
      <w:pBdr>
        <w:left w:val="single" w:color="auto" w:sz="4" w:space="0"/>
        <w:right w:val="single" w:color="auto" w:sz="4" w:space="0"/>
      </w:pBdr>
      <w:spacing w:before="100" w:beforeAutospacing="1" w:after="100" w:afterAutospacing="1"/>
      <w:jc w:val="center"/>
      <w:textAlignment w:val="top"/>
    </w:pPr>
    <w:rPr>
      <w:rFonts w:ascii="宋体" w:hAnsi="宋体" w:cs="宋体"/>
      <w:sz w:val="20"/>
    </w:rPr>
  </w:style>
  <w:style w:type="paragraph" w:customStyle="1" w:styleId="551">
    <w:name w:val="pa-93"/>
    <w:basedOn w:val="1"/>
    <w:uiPriority w:val="0"/>
    <w:pPr>
      <w:spacing w:line="480" w:lineRule="atLeast"/>
      <w:ind w:firstLine="480"/>
    </w:pPr>
    <w:rPr>
      <w:rFonts w:ascii="宋体" w:hAnsi="宋体" w:cs="宋体"/>
      <w:sz w:val="24"/>
      <w:szCs w:val="24"/>
    </w:rPr>
  </w:style>
  <w:style w:type="paragraph" w:customStyle="1" w:styleId="552">
    <w:name w:val="*正文"/>
    <w:basedOn w:val="1"/>
    <w:qFormat/>
    <w:uiPriority w:val="0"/>
    <w:pPr>
      <w:spacing w:line="360" w:lineRule="auto"/>
      <w:ind w:firstLine="480" w:firstLineChars="200"/>
    </w:pPr>
    <w:rPr>
      <w:rFonts w:ascii="Calibri" w:hAnsi="Calibri" w:cs="仿宋_GB2312"/>
      <w:sz w:val="24"/>
    </w:rPr>
  </w:style>
  <w:style w:type="paragraph" w:customStyle="1" w:styleId="553">
    <w:name w:val="表格格式"/>
    <w:basedOn w:val="1"/>
    <w:uiPriority w:val="0"/>
    <w:pPr>
      <w:widowControl w:val="0"/>
      <w:spacing w:line="360" w:lineRule="exact"/>
      <w:ind w:left="-91"/>
    </w:pPr>
    <w:rPr>
      <w:rFonts w:ascii="宋体" w:hAnsi="Calibri"/>
      <w:sz w:val="24"/>
      <w:szCs w:val="11"/>
    </w:rPr>
  </w:style>
  <w:style w:type="paragraph" w:customStyle="1" w:styleId="554">
    <w:name w:val="pa-12"/>
    <w:basedOn w:val="1"/>
    <w:uiPriority w:val="0"/>
    <w:pPr>
      <w:spacing w:line="360" w:lineRule="atLeast"/>
      <w:jc w:val="both"/>
    </w:pPr>
    <w:rPr>
      <w:rFonts w:ascii="宋体" w:hAnsi="宋体" w:cs="宋体"/>
      <w:sz w:val="24"/>
      <w:szCs w:val="24"/>
    </w:rPr>
  </w:style>
  <w:style w:type="paragraph" w:customStyle="1" w:styleId="555">
    <w:name w:val="xl75"/>
    <w:basedOn w:val="1"/>
    <w:uiPriority w:val="0"/>
    <w:pPr>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jc w:val="center"/>
    </w:pPr>
    <w:rPr>
      <w:rFonts w:ascii="宋体" w:hAnsi="宋体" w:cs="宋体"/>
      <w:sz w:val="20"/>
    </w:rPr>
  </w:style>
  <w:style w:type="paragraph" w:customStyle="1" w:styleId="556">
    <w:name w:val="样式 正文文本"/>
    <w:basedOn w:val="1"/>
    <w:uiPriority w:val="0"/>
    <w:pPr>
      <w:widowControl w:val="0"/>
      <w:adjustRightInd w:val="0"/>
      <w:snapToGrid w:val="0"/>
      <w:spacing w:line="400" w:lineRule="exact"/>
      <w:ind w:firstLine="200" w:firstLineChars="200"/>
      <w:jc w:val="both"/>
    </w:pPr>
    <w:rPr>
      <w:rFonts w:ascii="Arial" w:hAnsi="Arial" w:cs="宋体"/>
      <w:color w:val="000000"/>
      <w:kern w:val="2"/>
    </w:rPr>
  </w:style>
  <w:style w:type="paragraph" w:customStyle="1" w:styleId="557">
    <w:name w:val="pa-106"/>
    <w:basedOn w:val="1"/>
    <w:uiPriority w:val="0"/>
    <w:pPr>
      <w:spacing w:line="720" w:lineRule="atLeast"/>
      <w:jc w:val="both"/>
    </w:pPr>
    <w:rPr>
      <w:rFonts w:ascii="宋体" w:hAnsi="宋体" w:cs="宋体"/>
      <w:sz w:val="24"/>
      <w:szCs w:val="24"/>
    </w:rPr>
  </w:style>
  <w:style w:type="paragraph" w:customStyle="1" w:styleId="558">
    <w:name w:val="pa-14"/>
    <w:basedOn w:val="1"/>
    <w:uiPriority w:val="0"/>
    <w:pPr>
      <w:spacing w:line="360" w:lineRule="atLeast"/>
    </w:pPr>
    <w:rPr>
      <w:rFonts w:ascii="宋体" w:hAnsi="宋体" w:cs="宋体"/>
      <w:sz w:val="24"/>
      <w:szCs w:val="24"/>
    </w:rPr>
  </w:style>
  <w:style w:type="paragraph" w:customStyle="1" w:styleId="559">
    <w:name w:val="xl78"/>
    <w:basedOn w:val="1"/>
    <w:uiPriority w:val="0"/>
    <w:pPr>
      <w:pBdr>
        <w:left w:val="single" w:color="auto" w:sz="4" w:space="0"/>
        <w:bottom w:val="single" w:color="auto" w:sz="4" w:space="0"/>
        <w:right w:val="single" w:color="auto" w:sz="4" w:space="0"/>
      </w:pBdr>
      <w:spacing w:before="100" w:beforeAutospacing="1" w:after="100" w:afterAutospacing="1"/>
      <w:jc w:val="center"/>
    </w:pPr>
    <w:rPr>
      <w:rFonts w:ascii="宋体" w:hAnsi="宋体" w:cs="宋体"/>
      <w:sz w:val="20"/>
    </w:rPr>
  </w:style>
  <w:style w:type="paragraph" w:customStyle="1" w:styleId="560">
    <w:name w:val="标书标题2"/>
    <w:basedOn w:val="4"/>
    <w:uiPriority w:val="0"/>
    <w:pPr>
      <w:keepLines w:val="0"/>
      <w:tabs>
        <w:tab w:val="left" w:pos="1140"/>
      </w:tabs>
      <w:adjustRightInd w:val="0"/>
      <w:snapToGrid w:val="0"/>
      <w:spacing w:beforeLines="50" w:after="60" w:line="300" w:lineRule="auto"/>
      <w:ind w:left="1140" w:hanging="720"/>
    </w:pPr>
    <w:rPr>
      <w:rFonts w:ascii="Arial Narrow" w:hAnsi="Arial Narrow" w:eastAsia="仿宋_GB2312"/>
      <w:bCs w:val="0"/>
      <w:sz w:val="28"/>
      <w:szCs w:val="20"/>
    </w:rPr>
  </w:style>
  <w:style w:type="paragraph" w:customStyle="1" w:styleId="561">
    <w:name w:val="样式 节 + 行距: 固定值 37 磅"/>
    <w:basedOn w:val="399"/>
    <w:uiPriority w:val="0"/>
    <w:pPr>
      <w:spacing w:before="120" w:after="120" w:line="660" w:lineRule="exact"/>
    </w:pPr>
    <w:rPr>
      <w:rFonts w:cs="宋体"/>
    </w:rPr>
  </w:style>
  <w:style w:type="paragraph" w:customStyle="1" w:styleId="562">
    <w:name w:val="Char Char Char Char Char Char Char Char Char Char Char Char Char Char Char Char Char Char Char Char Char Char Char Char Char Char Char Char Char Char Char Char Char2"/>
    <w:basedOn w:val="1"/>
    <w:uiPriority w:val="0"/>
    <w:pPr>
      <w:spacing w:after="160" w:line="240" w:lineRule="exact"/>
    </w:pPr>
    <w:rPr>
      <w:rFonts w:ascii="Verdana" w:hAnsi="Verdana" w:eastAsia="仿宋_GB2312"/>
      <w:sz w:val="24"/>
      <w:lang w:eastAsia="en-US"/>
    </w:rPr>
  </w:style>
  <w:style w:type="paragraph" w:customStyle="1" w:styleId="563">
    <w:name w:val="pa-81"/>
    <w:basedOn w:val="1"/>
    <w:uiPriority w:val="0"/>
    <w:pPr>
      <w:spacing w:line="360" w:lineRule="atLeast"/>
      <w:jc w:val="center"/>
    </w:pPr>
    <w:rPr>
      <w:rFonts w:ascii="宋体" w:hAnsi="宋体" w:cs="宋体"/>
      <w:sz w:val="24"/>
      <w:szCs w:val="24"/>
    </w:rPr>
  </w:style>
  <w:style w:type="paragraph" w:customStyle="1" w:styleId="564">
    <w:name w:val="样式 仿宋_GB2312 四号 首行缩进:  0.74 厘米"/>
    <w:basedOn w:val="1"/>
    <w:uiPriority w:val="0"/>
    <w:pPr>
      <w:widowControl w:val="0"/>
      <w:ind w:firstLine="420"/>
      <w:jc w:val="both"/>
    </w:pPr>
    <w:rPr>
      <w:rFonts w:ascii="仿宋_GB2312" w:hAnsi="Calibri" w:eastAsia="仿宋_GB2312" w:cs="宋体"/>
      <w:kern w:val="2"/>
      <w:sz w:val="28"/>
    </w:rPr>
  </w:style>
  <w:style w:type="paragraph" w:customStyle="1" w:styleId="565">
    <w:name w:val="ca-28"/>
    <w:basedOn w:val="1"/>
    <w:uiPriority w:val="0"/>
    <w:rPr>
      <w:rFonts w:ascii="宋体" w:hAnsi="宋体" w:cs="宋体"/>
      <w:color w:val="FF0000"/>
      <w:szCs w:val="21"/>
    </w:rPr>
  </w:style>
  <w:style w:type="paragraph" w:customStyle="1" w:styleId="566">
    <w:name w:val="ca-18"/>
    <w:basedOn w:val="1"/>
    <w:uiPriority w:val="0"/>
    <w:rPr>
      <w:rFonts w:ascii="宋体" w:hAnsi="宋体" w:cs="宋体"/>
      <w:color w:val="000000"/>
      <w:sz w:val="18"/>
      <w:szCs w:val="18"/>
    </w:rPr>
  </w:style>
  <w:style w:type="paragraph" w:customStyle="1" w:styleId="567">
    <w:name w:val="pa-3"/>
    <w:basedOn w:val="1"/>
    <w:uiPriority w:val="0"/>
    <w:pPr>
      <w:spacing w:line="520" w:lineRule="atLeast"/>
      <w:jc w:val="center"/>
    </w:pPr>
    <w:rPr>
      <w:rFonts w:ascii="宋体" w:hAnsi="宋体" w:cs="宋体"/>
      <w:sz w:val="24"/>
      <w:szCs w:val="24"/>
    </w:rPr>
  </w:style>
  <w:style w:type="paragraph" w:customStyle="1" w:styleId="568">
    <w:name w:val="pa-110"/>
    <w:basedOn w:val="1"/>
    <w:uiPriority w:val="0"/>
    <w:pPr>
      <w:spacing w:line="360" w:lineRule="atLeast"/>
      <w:jc w:val="center"/>
    </w:pPr>
    <w:rPr>
      <w:rFonts w:ascii="宋体" w:hAnsi="宋体" w:cs="宋体"/>
      <w:sz w:val="24"/>
      <w:szCs w:val="24"/>
    </w:rPr>
  </w:style>
  <w:style w:type="paragraph" w:customStyle="1" w:styleId="569">
    <w:name w:val="t1"/>
    <w:basedOn w:val="1"/>
    <w:uiPriority w:val="0"/>
    <w:pPr>
      <w:spacing w:line="280" w:lineRule="atLeast"/>
    </w:pPr>
    <w:rPr>
      <w:rFonts w:ascii="Calibri" w:hAnsi="Calibri"/>
      <w:sz w:val="24"/>
      <w:lang w:val="de-DE" w:eastAsia="de-DE"/>
    </w:rPr>
  </w:style>
  <w:style w:type="paragraph" w:customStyle="1" w:styleId="570">
    <w:name w:val="样式 正文（首行缩进两字） + 宋体 首行缩进:  2 字符"/>
    <w:basedOn w:val="15"/>
    <w:uiPriority w:val="0"/>
    <w:pPr>
      <w:widowControl w:val="0"/>
      <w:spacing w:line="460" w:lineRule="exact"/>
      <w:ind w:firstLine="503" w:firstLineChars="200"/>
      <w:jc w:val="both"/>
    </w:pPr>
    <w:rPr>
      <w:rFonts w:ascii="宋体" w:hAnsi="宋体" w:cs="宋体"/>
      <w:spacing w:val="6"/>
      <w:kern w:val="24"/>
      <w:sz w:val="24"/>
    </w:rPr>
  </w:style>
  <w:style w:type="paragraph" w:customStyle="1" w:styleId="571">
    <w:name w:val="Revision1"/>
    <w:uiPriority w:val="0"/>
    <w:rPr>
      <w:rFonts w:ascii="Calibri" w:hAnsi="Calibri"/>
      <w:kern w:val="2"/>
      <w:sz w:val="21"/>
      <w:szCs w:val="24"/>
      <w:lang w:val="en-US" w:eastAsia="zh-CN" w:bidi="ar-SA"/>
    </w:rPr>
  </w:style>
  <w:style w:type="paragraph" w:customStyle="1" w:styleId="572">
    <w:name w:val="表格"/>
    <w:basedOn w:val="1"/>
    <w:uiPriority w:val="0"/>
    <w:pPr>
      <w:widowControl w:val="0"/>
      <w:jc w:val="center"/>
      <w:textAlignment w:val="center"/>
    </w:pPr>
    <w:rPr>
      <w:rFonts w:ascii="华文细黑" w:hAnsi="华文细黑"/>
    </w:rPr>
  </w:style>
  <w:style w:type="paragraph" w:customStyle="1" w:styleId="573">
    <w:name w:val="xl107"/>
    <w:basedOn w:val="1"/>
    <w:uiPriority w:val="0"/>
    <w:pPr>
      <w:pBdr>
        <w:top w:val="single" w:color="auto" w:sz="4" w:space="0"/>
        <w:bottom w:val="single" w:color="auto" w:sz="4" w:space="0"/>
      </w:pBdr>
      <w:shd w:val="clear" w:color="000000" w:fill="92D050"/>
      <w:spacing w:before="100" w:beforeAutospacing="1" w:after="100" w:afterAutospacing="1"/>
      <w:jc w:val="center"/>
      <w:textAlignment w:val="center"/>
    </w:pPr>
    <w:rPr>
      <w:rFonts w:ascii="宋体" w:hAnsi="宋体" w:cs="宋体"/>
      <w:b/>
      <w:bCs/>
      <w:sz w:val="24"/>
      <w:szCs w:val="24"/>
    </w:rPr>
  </w:style>
  <w:style w:type="paragraph" w:customStyle="1" w:styleId="574">
    <w:name w:val="td-3"/>
    <w:basedOn w:val="1"/>
    <w:uiPriority w:val="0"/>
    <w:pPr>
      <w:pBdr>
        <w:top w:val="single" w:color="000000" w:sz="6" w:space="0"/>
        <w:left w:val="single" w:color="000000" w:sz="6" w:space="4"/>
        <w:right w:val="single" w:color="000000" w:sz="6" w:space="0"/>
      </w:pBdr>
    </w:pPr>
    <w:rPr>
      <w:rFonts w:ascii="宋体" w:hAnsi="宋体" w:cs="宋体"/>
      <w:sz w:val="24"/>
      <w:szCs w:val="24"/>
    </w:rPr>
  </w:style>
  <w:style w:type="paragraph" w:customStyle="1" w:styleId="575">
    <w:name w:val="pa-50"/>
    <w:basedOn w:val="1"/>
    <w:uiPriority w:val="0"/>
    <w:pPr>
      <w:spacing w:line="280" w:lineRule="atLeast"/>
      <w:ind w:hanging="200"/>
      <w:jc w:val="center"/>
    </w:pPr>
    <w:rPr>
      <w:rFonts w:ascii="宋体" w:hAnsi="宋体" w:cs="宋体"/>
      <w:sz w:val="24"/>
      <w:szCs w:val="24"/>
    </w:rPr>
  </w:style>
  <w:style w:type="paragraph" w:customStyle="1" w:styleId="576">
    <w:name w:val="ca-49"/>
    <w:basedOn w:val="1"/>
    <w:uiPriority w:val="0"/>
    <w:rPr>
      <w:rFonts w:ascii="宋体" w:hAnsi="宋体" w:cs="宋体"/>
      <w:sz w:val="32"/>
      <w:szCs w:val="32"/>
    </w:rPr>
  </w:style>
  <w:style w:type="paragraph" w:customStyle="1" w:styleId="577">
    <w:name w:val="样式 标题 3h3标题 3(节)H3l3CTsect1.2.3Heading 3 - old一level_3..."/>
    <w:basedOn w:val="5"/>
    <w:uiPriority w:val="0"/>
    <w:pPr>
      <w:widowControl w:val="0"/>
      <w:adjustRightInd w:val="0"/>
      <w:spacing w:line="360" w:lineRule="auto"/>
      <w:ind w:left="720" w:hanging="720"/>
    </w:pPr>
    <w:rPr>
      <w:rFonts w:ascii="宋体" w:hAnsi="Arial"/>
      <w:kern w:val="24"/>
      <w:sz w:val="24"/>
      <w:szCs w:val="20"/>
    </w:rPr>
  </w:style>
  <w:style w:type="paragraph" w:customStyle="1" w:styleId="578">
    <w:name w:val="No Spacing1"/>
    <w:uiPriority w:val="0"/>
    <w:pPr>
      <w:widowControl w:val="0"/>
      <w:jc w:val="both"/>
    </w:pPr>
    <w:rPr>
      <w:rFonts w:ascii="Calibri" w:hAnsi="Calibri"/>
      <w:kern w:val="2"/>
      <w:sz w:val="21"/>
      <w:szCs w:val="22"/>
      <w:lang w:val="en-US" w:eastAsia="zh-CN" w:bidi="ar-SA"/>
    </w:rPr>
  </w:style>
  <w:style w:type="paragraph" w:customStyle="1" w:styleId="579">
    <w:name w:val="样式1"/>
    <w:basedOn w:val="3"/>
    <w:uiPriority w:val="0"/>
    <w:pPr>
      <w:tabs>
        <w:tab w:val="clear" w:pos="840"/>
      </w:tabs>
      <w:adjustRightInd/>
      <w:snapToGrid/>
      <w:spacing w:before="340" w:after="330" w:line="576" w:lineRule="auto"/>
      <w:jc w:val="center"/>
    </w:pPr>
    <w:rPr>
      <w:rFonts w:ascii="Calibri" w:hAnsi="Calibri" w:eastAsia="黑体"/>
      <w:bCs/>
      <w:sz w:val="44"/>
      <w:szCs w:val="44"/>
    </w:rPr>
  </w:style>
  <w:style w:type="paragraph" w:customStyle="1" w:styleId="580">
    <w:name w:val="td-0"/>
    <w:basedOn w:val="1"/>
    <w:uiPriority w:val="0"/>
    <w:pPr>
      <w:pBdr>
        <w:top w:val="single" w:color="000000" w:sz="4" w:space="0"/>
        <w:left w:val="single" w:color="000000" w:sz="4" w:space="4"/>
        <w:bottom w:val="single" w:color="000000" w:sz="4" w:space="0"/>
        <w:right w:val="single" w:color="000000" w:sz="4" w:space="0"/>
      </w:pBdr>
    </w:pPr>
    <w:rPr>
      <w:rFonts w:ascii="宋体" w:hAnsi="宋体" w:cs="宋体"/>
      <w:sz w:val="24"/>
      <w:szCs w:val="24"/>
    </w:rPr>
  </w:style>
  <w:style w:type="paragraph" w:customStyle="1" w:styleId="581">
    <w:name w:val="6'"/>
    <w:basedOn w:val="1"/>
    <w:uiPriority w:val="0"/>
    <w:pPr>
      <w:widowControl w:val="0"/>
      <w:autoSpaceDE w:val="0"/>
      <w:autoSpaceDN w:val="0"/>
      <w:adjustRightInd w:val="0"/>
      <w:snapToGrid w:val="0"/>
      <w:spacing w:line="320" w:lineRule="exact"/>
      <w:jc w:val="center"/>
      <w:textAlignment w:val="baseline"/>
    </w:pPr>
    <w:rPr>
      <w:rFonts w:ascii="Calibri" w:hAnsi="Calibri"/>
      <w:spacing w:val="20"/>
      <w:kern w:val="28"/>
    </w:rPr>
  </w:style>
  <w:style w:type="paragraph" w:customStyle="1" w:styleId="582">
    <w:name w:val="ca-48"/>
    <w:basedOn w:val="1"/>
    <w:uiPriority w:val="0"/>
    <w:rPr>
      <w:rFonts w:ascii="宋体" w:hAnsi="宋体" w:cs="宋体"/>
      <w:color w:val="000000"/>
      <w:sz w:val="26"/>
      <w:szCs w:val="26"/>
    </w:rPr>
  </w:style>
  <w:style w:type="paragraph" w:customStyle="1" w:styleId="583">
    <w:name w:val="ca-27"/>
    <w:basedOn w:val="1"/>
    <w:uiPriority w:val="0"/>
    <w:rPr>
      <w:rFonts w:ascii="宋体" w:hAnsi="宋体" w:cs="宋体"/>
      <w:b/>
      <w:bCs/>
      <w:color w:val="002060"/>
      <w:spacing w:val="-20"/>
      <w:szCs w:val="21"/>
    </w:rPr>
  </w:style>
  <w:style w:type="paragraph" w:customStyle="1" w:styleId="584">
    <w:name w:val="ca-1"/>
    <w:basedOn w:val="1"/>
    <w:uiPriority w:val="0"/>
    <w:rPr>
      <w:rFonts w:ascii="宋体" w:hAnsi="宋体" w:cs="宋体"/>
      <w:color w:val="000000"/>
      <w:spacing w:val="40"/>
      <w:sz w:val="44"/>
      <w:szCs w:val="44"/>
    </w:rPr>
  </w:style>
  <w:style w:type="paragraph" w:customStyle="1" w:styleId="585">
    <w:name w:val="pa-89"/>
    <w:basedOn w:val="1"/>
    <w:uiPriority w:val="0"/>
    <w:pPr>
      <w:spacing w:line="320" w:lineRule="atLeast"/>
      <w:jc w:val="both"/>
    </w:pPr>
    <w:rPr>
      <w:rFonts w:ascii="宋体" w:hAnsi="宋体" w:cs="宋体"/>
      <w:sz w:val="24"/>
      <w:szCs w:val="24"/>
    </w:rPr>
  </w:style>
  <w:style w:type="paragraph" w:customStyle="1" w:styleId="586">
    <w:name w:val="pa-115"/>
    <w:basedOn w:val="1"/>
    <w:uiPriority w:val="0"/>
    <w:pPr>
      <w:spacing w:line="480" w:lineRule="atLeast"/>
      <w:jc w:val="both"/>
    </w:pPr>
    <w:rPr>
      <w:rFonts w:ascii="宋体" w:hAnsi="宋体" w:cs="宋体"/>
      <w:sz w:val="24"/>
      <w:szCs w:val="24"/>
    </w:rPr>
  </w:style>
  <w:style w:type="paragraph" w:customStyle="1" w:styleId="587">
    <w:name w:val="ca-44"/>
    <w:basedOn w:val="1"/>
    <w:uiPriority w:val="0"/>
    <w:rPr>
      <w:rFonts w:ascii="宋体" w:hAnsi="宋体" w:cs="宋体"/>
      <w:color w:val="000000"/>
      <w:sz w:val="52"/>
      <w:szCs w:val="52"/>
    </w:rPr>
  </w:style>
  <w:style w:type="paragraph" w:customStyle="1" w:styleId="588">
    <w:name w:val="pa-42"/>
    <w:basedOn w:val="1"/>
    <w:uiPriority w:val="0"/>
    <w:pPr>
      <w:spacing w:line="280" w:lineRule="atLeast"/>
      <w:ind w:firstLine="420"/>
    </w:pPr>
    <w:rPr>
      <w:rFonts w:ascii="宋体" w:hAnsi="宋体" w:cs="宋体"/>
      <w:sz w:val="24"/>
      <w:szCs w:val="24"/>
    </w:rPr>
  </w:style>
  <w:style w:type="paragraph" w:customStyle="1" w:styleId="589">
    <w:name w:val="样式 正文缩进正文（首行缩进两字）特点ALT+Z表正文正文非缩进四号段1Normal Indent Char2...2"/>
    <w:basedOn w:val="5"/>
    <w:uiPriority w:val="0"/>
    <w:pPr>
      <w:widowControl w:val="0"/>
      <w:spacing w:before="360" w:after="120" w:line="360" w:lineRule="auto"/>
      <w:jc w:val="center"/>
    </w:pPr>
    <w:rPr>
      <w:rFonts w:ascii="宋体" w:hAnsi="宋体"/>
      <w:bCs w:val="0"/>
      <w:kern w:val="2"/>
      <w:sz w:val="28"/>
      <w:szCs w:val="20"/>
    </w:rPr>
  </w:style>
  <w:style w:type="paragraph" w:customStyle="1" w:styleId="590">
    <w:name w:val="td-4"/>
    <w:basedOn w:val="1"/>
    <w:uiPriority w:val="0"/>
    <w:pPr>
      <w:pBdr>
        <w:top w:val="single" w:color="000000" w:sz="12" w:space="0"/>
        <w:left w:val="single" w:color="000000" w:sz="12" w:space="4"/>
        <w:bottom w:val="single" w:color="000000" w:sz="4" w:space="0"/>
        <w:right w:val="single" w:color="000000" w:sz="4" w:space="0"/>
      </w:pBdr>
    </w:pPr>
    <w:rPr>
      <w:rFonts w:ascii="宋体" w:hAnsi="宋体" w:cs="宋体"/>
      <w:sz w:val="24"/>
      <w:szCs w:val="24"/>
    </w:rPr>
  </w:style>
  <w:style w:type="paragraph" w:customStyle="1" w:styleId="591">
    <w:name w:val="菲页2"/>
    <w:basedOn w:val="5"/>
    <w:uiPriority w:val="0"/>
    <w:pPr>
      <w:tabs>
        <w:tab w:val="left" w:pos="1680"/>
      </w:tabs>
      <w:spacing w:before="120" w:after="120" w:line="360" w:lineRule="auto"/>
      <w:ind w:left="1680" w:hanging="420"/>
      <w:jc w:val="center"/>
    </w:pPr>
    <w:rPr>
      <w:rFonts w:ascii="黑体" w:hAnsi="宋体" w:eastAsia="黑体"/>
      <w:b w:val="0"/>
      <w:bCs w:val="0"/>
      <w:sz w:val="44"/>
      <w:szCs w:val="20"/>
    </w:rPr>
  </w:style>
  <w:style w:type="paragraph" w:customStyle="1" w:styleId="592">
    <w:name w:val="Char12"/>
    <w:basedOn w:val="1"/>
    <w:uiPriority w:val="0"/>
    <w:pPr>
      <w:widowControl w:val="0"/>
      <w:jc w:val="both"/>
    </w:pPr>
    <w:rPr>
      <w:rFonts w:ascii="仿宋_GB2312" w:hAnsi="Calibri" w:eastAsia="仿宋_GB2312"/>
      <w:b/>
      <w:kern w:val="2"/>
      <w:sz w:val="32"/>
      <w:szCs w:val="32"/>
    </w:rPr>
  </w:style>
  <w:style w:type="paragraph" w:customStyle="1" w:styleId="593">
    <w:name w:val="ca-19"/>
    <w:basedOn w:val="1"/>
    <w:uiPriority w:val="0"/>
    <w:rPr>
      <w:rFonts w:ascii="Calibri" w:hAnsi="Calibri"/>
      <w:sz w:val="18"/>
      <w:szCs w:val="18"/>
    </w:rPr>
  </w:style>
  <w:style w:type="paragraph" w:customStyle="1" w:styleId="594">
    <w:name w:val="ca-6"/>
    <w:basedOn w:val="1"/>
    <w:uiPriority w:val="0"/>
    <w:rPr>
      <w:rFonts w:ascii="宋体" w:hAnsi="宋体" w:cs="宋体"/>
      <w:color w:val="000000"/>
      <w:sz w:val="30"/>
      <w:szCs w:val="30"/>
    </w:rPr>
  </w:style>
  <w:style w:type="paragraph" w:customStyle="1" w:styleId="595">
    <w:name w:val="pa-51"/>
    <w:basedOn w:val="1"/>
    <w:uiPriority w:val="0"/>
    <w:pPr>
      <w:spacing w:line="276" w:lineRule="atLeast"/>
      <w:jc w:val="center"/>
    </w:pPr>
    <w:rPr>
      <w:rFonts w:ascii="宋体" w:hAnsi="宋体" w:cs="宋体"/>
      <w:sz w:val="24"/>
      <w:szCs w:val="24"/>
    </w:rPr>
  </w:style>
  <w:style w:type="paragraph" w:customStyle="1" w:styleId="596">
    <w:name w:val="默认段落字体 Para Char Char Char Char Char Char Char Char Char Char"/>
    <w:basedOn w:val="1"/>
    <w:uiPriority w:val="0"/>
    <w:pPr>
      <w:widowControl w:val="0"/>
      <w:jc w:val="both"/>
    </w:pPr>
    <w:rPr>
      <w:rFonts w:ascii="Calibri" w:hAnsi="Calibri"/>
      <w:kern w:val="2"/>
    </w:rPr>
  </w:style>
  <w:style w:type="paragraph" w:customStyle="1" w:styleId="597">
    <w:name w:val="pa-20"/>
    <w:basedOn w:val="1"/>
    <w:uiPriority w:val="0"/>
    <w:pPr>
      <w:spacing w:line="360" w:lineRule="atLeast"/>
    </w:pPr>
    <w:rPr>
      <w:rFonts w:ascii="宋体" w:hAnsi="宋体" w:cs="宋体"/>
      <w:sz w:val="24"/>
      <w:szCs w:val="24"/>
    </w:rPr>
  </w:style>
  <w:style w:type="paragraph" w:customStyle="1" w:styleId="598">
    <w:name w:val="xl90"/>
    <w:basedOn w:val="1"/>
    <w:uiPriority w:val="0"/>
    <w:pPr>
      <w:pBdr>
        <w:left w:val="single" w:color="auto" w:sz="4" w:space="0"/>
        <w:bottom w:val="single" w:color="auto" w:sz="4" w:space="0"/>
        <w:right w:val="single" w:color="auto" w:sz="4" w:space="0"/>
      </w:pBdr>
      <w:spacing w:before="100" w:beforeAutospacing="1" w:after="100" w:afterAutospacing="1"/>
      <w:jc w:val="center"/>
    </w:pPr>
    <w:rPr>
      <w:rFonts w:ascii="宋体" w:hAnsi="宋体" w:cs="宋体"/>
      <w:b/>
      <w:bCs/>
      <w:sz w:val="20"/>
    </w:rPr>
  </w:style>
  <w:style w:type="paragraph" w:customStyle="1" w:styleId="599">
    <w:name w:val="pa-16"/>
    <w:basedOn w:val="1"/>
    <w:uiPriority w:val="0"/>
    <w:pPr>
      <w:spacing w:line="240" w:lineRule="atLeast"/>
      <w:jc w:val="both"/>
    </w:pPr>
    <w:rPr>
      <w:rFonts w:ascii="宋体" w:hAnsi="宋体" w:cs="宋体"/>
      <w:sz w:val="24"/>
      <w:szCs w:val="24"/>
    </w:rPr>
  </w:style>
  <w:style w:type="paragraph" w:customStyle="1" w:styleId="600">
    <w:name w:val="ca-37"/>
    <w:basedOn w:val="1"/>
    <w:uiPriority w:val="0"/>
    <w:rPr>
      <w:rFonts w:ascii="宋体" w:hAnsi="宋体" w:cs="宋体"/>
      <w:color w:val="000000"/>
      <w:szCs w:val="21"/>
    </w:rPr>
  </w:style>
  <w:style w:type="paragraph" w:customStyle="1" w:styleId="601">
    <w:name w:val="pa-30"/>
    <w:basedOn w:val="1"/>
    <w:uiPriority w:val="0"/>
    <w:pPr>
      <w:spacing w:line="360" w:lineRule="atLeast"/>
      <w:ind w:firstLine="4100"/>
      <w:jc w:val="both"/>
    </w:pPr>
    <w:rPr>
      <w:rFonts w:ascii="宋体" w:hAnsi="宋体" w:cs="宋体"/>
      <w:sz w:val="24"/>
      <w:szCs w:val="24"/>
    </w:rPr>
  </w:style>
  <w:style w:type="paragraph" w:customStyle="1" w:styleId="602">
    <w:name w:val="ca-22"/>
    <w:basedOn w:val="1"/>
    <w:uiPriority w:val="0"/>
    <w:rPr>
      <w:rFonts w:ascii="宋体" w:hAnsi="宋体" w:cs="宋体"/>
      <w:szCs w:val="21"/>
    </w:rPr>
  </w:style>
  <w:style w:type="paragraph" w:customStyle="1" w:styleId="603">
    <w:name w:val="pa-73"/>
    <w:basedOn w:val="1"/>
    <w:uiPriority w:val="0"/>
    <w:pPr>
      <w:spacing w:line="360" w:lineRule="atLeast"/>
      <w:ind w:firstLine="640"/>
      <w:jc w:val="both"/>
    </w:pPr>
    <w:rPr>
      <w:rFonts w:ascii="宋体" w:hAnsi="宋体" w:cs="宋体"/>
      <w:sz w:val="24"/>
      <w:szCs w:val="24"/>
    </w:rPr>
  </w:style>
  <w:style w:type="paragraph" w:customStyle="1" w:styleId="604">
    <w:name w:val="pa-107"/>
    <w:basedOn w:val="1"/>
    <w:uiPriority w:val="0"/>
    <w:pPr>
      <w:spacing w:line="720" w:lineRule="atLeast"/>
      <w:ind w:firstLine="3000"/>
      <w:jc w:val="both"/>
    </w:pPr>
    <w:rPr>
      <w:rFonts w:ascii="宋体" w:hAnsi="宋体" w:cs="宋体"/>
      <w:sz w:val="24"/>
      <w:szCs w:val="24"/>
    </w:rPr>
  </w:style>
  <w:style w:type="paragraph" w:customStyle="1" w:styleId="605">
    <w:name w:val="ca-24"/>
    <w:basedOn w:val="1"/>
    <w:uiPriority w:val="0"/>
    <w:rPr>
      <w:rFonts w:ascii="宋体" w:hAnsi="宋体" w:cs="宋体"/>
      <w:sz w:val="24"/>
      <w:szCs w:val="24"/>
    </w:rPr>
  </w:style>
  <w:style w:type="paragraph" w:customStyle="1" w:styleId="606">
    <w:name w:val="样式 标题 3 + (中文) 黑体 小四 非加粗 段前: 7.8 磅 段后: 0 磅 行距: 固定值 20 磅"/>
    <w:basedOn w:val="5"/>
    <w:uiPriority w:val="0"/>
    <w:pPr>
      <w:widowControl w:val="0"/>
      <w:spacing w:before="0" w:after="0" w:line="400" w:lineRule="exact"/>
      <w:ind w:left="720" w:hanging="720"/>
      <w:jc w:val="both"/>
    </w:pPr>
    <w:rPr>
      <w:rFonts w:ascii="Calibri" w:hAnsi="Calibri" w:eastAsia="黑体" w:cs="宋体"/>
      <w:b w:val="0"/>
      <w:bCs w:val="0"/>
      <w:kern w:val="2"/>
      <w:sz w:val="24"/>
      <w:szCs w:val="20"/>
    </w:rPr>
  </w:style>
  <w:style w:type="paragraph" w:customStyle="1" w:styleId="607">
    <w:name w:val="pa-86"/>
    <w:basedOn w:val="1"/>
    <w:uiPriority w:val="0"/>
    <w:pPr>
      <w:spacing w:line="320" w:lineRule="atLeast"/>
      <w:ind w:firstLine="560"/>
      <w:jc w:val="both"/>
    </w:pPr>
    <w:rPr>
      <w:rFonts w:ascii="宋体" w:hAnsi="宋体" w:cs="宋体"/>
      <w:sz w:val="24"/>
      <w:szCs w:val="24"/>
    </w:rPr>
  </w:style>
  <w:style w:type="paragraph" w:customStyle="1" w:styleId="608">
    <w:name w:val="pa-133"/>
    <w:basedOn w:val="1"/>
    <w:uiPriority w:val="0"/>
    <w:pPr>
      <w:spacing w:line="280" w:lineRule="atLeast"/>
    </w:pPr>
    <w:rPr>
      <w:rFonts w:ascii="宋体" w:hAnsi="宋体" w:cs="宋体"/>
      <w:sz w:val="24"/>
      <w:szCs w:val="24"/>
    </w:rPr>
  </w:style>
  <w:style w:type="paragraph" w:customStyle="1" w:styleId="609">
    <w:name w:val="xl92"/>
    <w:basedOn w:val="1"/>
    <w:uiPriority w:val="0"/>
    <w:pPr>
      <w:pBdr>
        <w:top w:val="single" w:color="auto" w:sz="4" w:space="0"/>
        <w:left w:val="single" w:color="auto" w:sz="4" w:space="0"/>
        <w:bottom w:val="single" w:color="auto" w:sz="4" w:space="0"/>
        <w:right w:val="single" w:color="auto" w:sz="4" w:space="0"/>
      </w:pBdr>
      <w:spacing w:before="100" w:beforeAutospacing="1" w:after="100" w:afterAutospacing="1"/>
      <w:textAlignment w:val="center"/>
    </w:pPr>
    <w:rPr>
      <w:rFonts w:ascii="宋体" w:hAnsi="宋体" w:cs="宋体"/>
      <w:sz w:val="16"/>
      <w:szCs w:val="16"/>
    </w:rPr>
  </w:style>
  <w:style w:type="paragraph" w:customStyle="1" w:styleId="610">
    <w:name w:val="pa-26"/>
    <w:basedOn w:val="1"/>
    <w:uiPriority w:val="0"/>
    <w:pPr>
      <w:spacing w:line="276" w:lineRule="atLeast"/>
      <w:ind w:firstLine="720"/>
      <w:jc w:val="both"/>
    </w:pPr>
    <w:rPr>
      <w:rFonts w:ascii="宋体" w:hAnsi="宋体" w:cs="宋体"/>
      <w:sz w:val="24"/>
      <w:szCs w:val="24"/>
    </w:rPr>
  </w:style>
  <w:style w:type="paragraph" w:customStyle="1" w:styleId="611">
    <w:name w:val="xl87"/>
    <w:basedOn w:val="1"/>
    <w:uiPriority w:val="0"/>
    <w:pPr>
      <w:pBdr>
        <w:left w:val="single" w:color="auto" w:sz="4" w:space="0"/>
        <w:bottom w:val="single" w:color="auto" w:sz="4" w:space="0"/>
        <w:right w:val="single" w:color="auto" w:sz="4" w:space="0"/>
      </w:pBdr>
      <w:spacing w:before="100" w:beforeAutospacing="1" w:after="100" w:afterAutospacing="1"/>
      <w:jc w:val="center"/>
      <w:textAlignment w:val="top"/>
    </w:pPr>
    <w:rPr>
      <w:rFonts w:ascii="宋体" w:hAnsi="宋体" w:cs="宋体"/>
      <w:sz w:val="20"/>
    </w:rPr>
  </w:style>
  <w:style w:type="paragraph" w:customStyle="1" w:styleId="612">
    <w:name w:val="pa-87"/>
    <w:basedOn w:val="1"/>
    <w:uiPriority w:val="0"/>
    <w:pPr>
      <w:spacing w:line="320" w:lineRule="atLeast"/>
      <w:ind w:firstLine="560"/>
    </w:pPr>
    <w:rPr>
      <w:rFonts w:ascii="宋体" w:hAnsi="宋体" w:cs="宋体"/>
      <w:sz w:val="24"/>
      <w:szCs w:val="24"/>
    </w:rPr>
  </w:style>
  <w:style w:type="paragraph" w:customStyle="1" w:styleId="613">
    <w:name w:val="pa-134"/>
    <w:basedOn w:val="1"/>
    <w:uiPriority w:val="0"/>
    <w:pPr>
      <w:spacing w:line="360" w:lineRule="atLeast"/>
      <w:jc w:val="both"/>
    </w:pPr>
    <w:rPr>
      <w:rFonts w:ascii="宋体" w:hAnsi="宋体" w:cs="宋体"/>
      <w:sz w:val="24"/>
      <w:szCs w:val="24"/>
    </w:rPr>
  </w:style>
  <w:style w:type="paragraph" w:customStyle="1" w:styleId="614">
    <w:name w:val="xl71"/>
    <w:basedOn w:val="1"/>
    <w:uiPriority w:val="0"/>
    <w:pPr>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Arial" w:hAnsi="Arial" w:cs="Arial"/>
      <w:b/>
      <w:bCs/>
      <w:sz w:val="24"/>
      <w:szCs w:val="24"/>
    </w:rPr>
  </w:style>
  <w:style w:type="paragraph" w:customStyle="1" w:styleId="615">
    <w:name w:val=" Char Char Char Char Char Char Char"/>
    <w:basedOn w:val="1"/>
    <w:uiPriority w:val="0"/>
    <w:pPr>
      <w:widowControl w:val="0"/>
      <w:jc w:val="both"/>
    </w:pPr>
    <w:rPr>
      <w:rFonts w:ascii="仿宋_GB2312" w:eastAsia="仿宋_GB2312"/>
      <w:b/>
      <w:kern w:val="2"/>
      <w:sz w:val="32"/>
      <w:szCs w:val="32"/>
    </w:rPr>
  </w:style>
  <w:style w:type="paragraph" w:customStyle="1" w:styleId="616">
    <w:name w:val="ca-10"/>
    <w:basedOn w:val="1"/>
    <w:uiPriority w:val="0"/>
    <w:rPr>
      <w:rFonts w:ascii="Calibri" w:hAnsi="Calibri"/>
      <w:color w:val="000000"/>
      <w:sz w:val="52"/>
      <w:szCs w:val="52"/>
    </w:rPr>
  </w:style>
  <w:style w:type="paragraph" w:customStyle="1" w:styleId="617">
    <w:name w:val="pa-140"/>
    <w:basedOn w:val="1"/>
    <w:uiPriority w:val="0"/>
    <w:pPr>
      <w:spacing w:line="320" w:lineRule="atLeast"/>
      <w:ind w:firstLine="560"/>
      <w:jc w:val="both"/>
    </w:pPr>
    <w:rPr>
      <w:rFonts w:ascii="宋体" w:hAnsi="宋体" w:cs="宋体"/>
      <w:sz w:val="24"/>
      <w:szCs w:val="24"/>
    </w:rPr>
  </w:style>
  <w:style w:type="paragraph" w:customStyle="1" w:styleId="618">
    <w:name w:val="pa-111"/>
    <w:basedOn w:val="1"/>
    <w:uiPriority w:val="0"/>
    <w:pPr>
      <w:spacing w:line="280" w:lineRule="atLeast"/>
      <w:ind w:firstLine="480"/>
      <w:jc w:val="both"/>
    </w:pPr>
    <w:rPr>
      <w:rFonts w:ascii="宋体" w:hAnsi="宋体" w:cs="宋体"/>
      <w:sz w:val="24"/>
      <w:szCs w:val="24"/>
    </w:rPr>
  </w:style>
  <w:style w:type="paragraph" w:customStyle="1" w:styleId="619">
    <w:name w:val="xl109"/>
    <w:basedOn w:val="1"/>
    <w:uiPriority w:val="0"/>
    <w:pPr>
      <w:pBdr>
        <w:top w:val="single" w:color="auto" w:sz="4" w:space="0"/>
        <w:bottom w:val="single" w:color="auto" w:sz="4" w:space="0"/>
      </w:pBdr>
      <w:shd w:val="clear" w:color="000000" w:fill="C2E277"/>
      <w:spacing w:before="100" w:beforeAutospacing="1" w:after="100" w:afterAutospacing="1"/>
      <w:jc w:val="center"/>
      <w:textAlignment w:val="center"/>
    </w:pPr>
    <w:rPr>
      <w:rFonts w:ascii="宋体" w:hAnsi="宋体" w:cs="宋体"/>
      <w:b/>
      <w:bCs/>
      <w:sz w:val="24"/>
      <w:szCs w:val="24"/>
    </w:rPr>
  </w:style>
  <w:style w:type="paragraph" w:customStyle="1" w:styleId="620">
    <w:name w:val="pa-21"/>
    <w:basedOn w:val="1"/>
    <w:uiPriority w:val="0"/>
    <w:pPr>
      <w:spacing w:line="240" w:lineRule="atLeast"/>
      <w:ind w:firstLine="420"/>
      <w:jc w:val="both"/>
    </w:pPr>
    <w:rPr>
      <w:rFonts w:ascii="宋体" w:hAnsi="宋体" w:cs="宋体"/>
      <w:sz w:val="24"/>
      <w:szCs w:val="24"/>
    </w:rPr>
  </w:style>
  <w:style w:type="paragraph" w:customStyle="1" w:styleId="621">
    <w:name w:val="pa-109"/>
    <w:basedOn w:val="1"/>
    <w:uiPriority w:val="0"/>
    <w:pPr>
      <w:spacing w:line="280" w:lineRule="atLeast"/>
      <w:jc w:val="both"/>
    </w:pPr>
    <w:rPr>
      <w:rFonts w:ascii="宋体" w:hAnsi="宋体" w:cs="宋体"/>
      <w:sz w:val="24"/>
      <w:szCs w:val="24"/>
    </w:rPr>
  </w:style>
  <w:style w:type="paragraph" w:customStyle="1" w:styleId="622">
    <w:name w:val="xl93"/>
    <w:basedOn w:val="1"/>
    <w:uiPriority w:val="0"/>
    <w:pPr>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jc w:val="center"/>
      <w:textAlignment w:val="center"/>
    </w:pPr>
    <w:rPr>
      <w:rFonts w:ascii="宋体" w:hAnsi="宋体" w:cs="宋体"/>
      <w:sz w:val="16"/>
      <w:szCs w:val="16"/>
    </w:rPr>
  </w:style>
  <w:style w:type="paragraph" w:customStyle="1" w:styleId="623">
    <w:name w:val="pa-85"/>
    <w:basedOn w:val="1"/>
    <w:uiPriority w:val="0"/>
    <w:pPr>
      <w:spacing w:line="760" w:lineRule="atLeast"/>
      <w:jc w:val="center"/>
    </w:pPr>
    <w:rPr>
      <w:rFonts w:ascii="宋体" w:hAnsi="宋体" w:cs="宋体"/>
      <w:sz w:val="24"/>
      <w:szCs w:val="24"/>
    </w:rPr>
  </w:style>
  <w:style w:type="paragraph" w:customStyle="1" w:styleId="624">
    <w:name w:val="pa-75"/>
    <w:basedOn w:val="1"/>
    <w:uiPriority w:val="0"/>
    <w:pPr>
      <w:spacing w:line="300" w:lineRule="atLeast"/>
      <w:jc w:val="center"/>
    </w:pPr>
    <w:rPr>
      <w:rFonts w:ascii="宋体" w:hAnsi="宋体" w:cs="宋体"/>
      <w:sz w:val="24"/>
      <w:szCs w:val="24"/>
    </w:rPr>
  </w:style>
  <w:style w:type="paragraph" w:customStyle="1" w:styleId="625">
    <w:name w:val="xl79"/>
    <w:basedOn w:val="1"/>
    <w:uiPriority w:val="0"/>
    <w:pPr>
      <w:pBdr>
        <w:top w:val="single" w:color="auto" w:sz="4" w:space="0"/>
        <w:left w:val="single" w:color="auto" w:sz="4" w:space="0"/>
        <w:bottom w:val="single" w:color="auto" w:sz="4" w:space="0"/>
        <w:right w:val="single" w:color="auto" w:sz="4" w:space="0"/>
      </w:pBdr>
      <w:spacing w:before="100" w:beforeAutospacing="1" w:after="100" w:afterAutospacing="1"/>
      <w:jc w:val="center"/>
      <w:textAlignment w:val="top"/>
    </w:pPr>
    <w:rPr>
      <w:rFonts w:ascii="宋体" w:hAnsi="宋体" w:cs="宋体"/>
      <w:b/>
      <w:bCs/>
      <w:sz w:val="20"/>
    </w:rPr>
  </w:style>
  <w:style w:type="paragraph" w:customStyle="1" w:styleId="626">
    <w:name w:val="pa-113"/>
    <w:basedOn w:val="1"/>
    <w:uiPriority w:val="0"/>
    <w:pPr>
      <w:spacing w:line="360" w:lineRule="atLeast"/>
      <w:ind w:firstLine="2960"/>
      <w:jc w:val="both"/>
    </w:pPr>
    <w:rPr>
      <w:rFonts w:ascii="宋体" w:hAnsi="宋体" w:cs="宋体"/>
      <w:sz w:val="24"/>
      <w:szCs w:val="24"/>
    </w:rPr>
  </w:style>
  <w:style w:type="paragraph" w:customStyle="1" w:styleId="627">
    <w:name w:val="ca-50"/>
    <w:basedOn w:val="1"/>
    <w:uiPriority w:val="0"/>
    <w:rPr>
      <w:rFonts w:ascii="宋体" w:hAnsi="宋体" w:cs="宋体"/>
      <w:sz w:val="24"/>
      <w:szCs w:val="24"/>
    </w:rPr>
  </w:style>
  <w:style w:type="paragraph" w:customStyle="1" w:styleId="628">
    <w:name w:val="样式 标题 2 + Times New Roman 四号 非加粗 段前: 5 磅 段后: 0 磅 行距: 固定值 20..."/>
    <w:basedOn w:val="4"/>
    <w:uiPriority w:val="0"/>
    <w:pPr>
      <w:widowControl w:val="0"/>
      <w:spacing w:before="100" w:after="0" w:line="400" w:lineRule="exact"/>
      <w:jc w:val="both"/>
    </w:pPr>
    <w:rPr>
      <w:rFonts w:ascii="Times New Roman" w:hAnsi="Times New Roman" w:eastAsia="黑体" w:cs="宋体"/>
      <w:b/>
      <w:bCs w:val="0"/>
      <w:kern w:val="2"/>
      <w:sz w:val="28"/>
      <w:szCs w:val="20"/>
    </w:rPr>
  </w:style>
  <w:style w:type="paragraph" w:customStyle="1" w:styleId="629">
    <w:name w:val="xl72"/>
    <w:basedOn w:val="1"/>
    <w:uiPriority w:val="0"/>
    <w:pPr>
      <w:pBdr>
        <w:top w:val="single" w:color="auto" w:sz="4" w:space="0"/>
        <w:left w:val="single" w:color="auto" w:sz="4" w:space="0"/>
        <w:bottom w:val="single" w:color="auto" w:sz="4" w:space="0"/>
        <w:right w:val="single" w:color="auto" w:sz="4" w:space="0"/>
      </w:pBdr>
      <w:spacing w:before="100" w:beforeAutospacing="1" w:after="100" w:afterAutospacing="1"/>
    </w:pPr>
    <w:rPr>
      <w:rFonts w:ascii="宋体" w:hAnsi="宋体" w:cs="宋体"/>
      <w:sz w:val="20"/>
    </w:rPr>
  </w:style>
  <w:style w:type="paragraph" w:customStyle="1" w:styleId="630">
    <w:name w:val="pa-126"/>
    <w:basedOn w:val="1"/>
    <w:uiPriority w:val="0"/>
    <w:pPr>
      <w:spacing w:line="480" w:lineRule="atLeast"/>
      <w:ind w:firstLine="480"/>
      <w:jc w:val="both"/>
    </w:pPr>
    <w:rPr>
      <w:rFonts w:ascii="宋体" w:hAnsi="宋体" w:cs="宋体"/>
      <w:sz w:val="24"/>
      <w:szCs w:val="24"/>
    </w:rPr>
  </w:style>
  <w:style w:type="paragraph" w:customStyle="1" w:styleId="631">
    <w:name w:val="pa-32"/>
    <w:basedOn w:val="1"/>
    <w:uiPriority w:val="0"/>
    <w:pPr>
      <w:spacing w:line="360" w:lineRule="atLeast"/>
      <w:ind w:firstLine="520"/>
      <w:jc w:val="both"/>
    </w:pPr>
    <w:rPr>
      <w:rFonts w:ascii="宋体" w:hAnsi="宋体" w:cs="宋体"/>
      <w:sz w:val="24"/>
      <w:szCs w:val="24"/>
    </w:rPr>
  </w:style>
  <w:style w:type="paragraph" w:customStyle="1" w:styleId="632">
    <w:name w:val="td-6"/>
    <w:basedOn w:val="1"/>
    <w:uiPriority w:val="0"/>
    <w:pPr>
      <w:pBdr>
        <w:top w:val="single" w:color="000000" w:sz="12" w:space="0"/>
        <w:left w:val="single" w:color="000000" w:sz="4" w:space="4"/>
        <w:bottom w:val="single" w:color="000000" w:sz="4" w:space="0"/>
        <w:right w:val="single" w:color="000000" w:sz="12" w:space="0"/>
      </w:pBdr>
    </w:pPr>
    <w:rPr>
      <w:rFonts w:ascii="宋体" w:hAnsi="宋体" w:cs="宋体"/>
      <w:sz w:val="24"/>
      <w:szCs w:val="24"/>
    </w:rPr>
  </w:style>
  <w:style w:type="paragraph" w:customStyle="1" w:styleId="633">
    <w:name w:val="pa-17"/>
    <w:basedOn w:val="1"/>
    <w:uiPriority w:val="0"/>
    <w:pPr>
      <w:spacing w:line="240" w:lineRule="atLeast"/>
      <w:jc w:val="center"/>
    </w:pPr>
    <w:rPr>
      <w:rFonts w:ascii="宋体" w:hAnsi="宋体" w:cs="宋体"/>
      <w:sz w:val="24"/>
      <w:szCs w:val="24"/>
    </w:rPr>
  </w:style>
  <w:style w:type="paragraph" w:customStyle="1" w:styleId="634">
    <w:name w:val="Char Char Char Char Char Char Char1"/>
    <w:basedOn w:val="1"/>
    <w:uiPriority w:val="0"/>
    <w:pPr>
      <w:widowControl w:val="0"/>
      <w:jc w:val="both"/>
    </w:pPr>
    <w:rPr>
      <w:rFonts w:ascii="Calibri" w:hAnsi="Calibri"/>
      <w:kern w:val="2"/>
      <w:szCs w:val="24"/>
    </w:rPr>
  </w:style>
  <w:style w:type="paragraph" w:customStyle="1" w:styleId="635">
    <w:name w:val="xl103"/>
    <w:basedOn w:val="1"/>
    <w:uiPriority w:val="0"/>
    <w:pPr>
      <w:pBdr>
        <w:top w:val="single" w:color="auto" w:sz="4" w:space="0"/>
        <w:left w:val="single" w:color="auto" w:sz="4" w:space="0"/>
        <w:bottom w:val="single" w:color="auto" w:sz="4" w:space="0"/>
        <w:right w:val="single" w:color="auto" w:sz="4" w:space="0"/>
      </w:pBdr>
      <w:spacing w:before="100" w:beforeAutospacing="1" w:after="100" w:afterAutospacing="1"/>
      <w:jc w:val="center"/>
      <w:textAlignment w:val="center"/>
    </w:pPr>
    <w:rPr>
      <w:rFonts w:ascii="宋体" w:hAnsi="宋体" w:cs="宋体"/>
      <w:color w:val="FF0000"/>
      <w:sz w:val="16"/>
      <w:szCs w:val="16"/>
    </w:rPr>
  </w:style>
  <w:style w:type="paragraph" w:customStyle="1" w:styleId="636">
    <w:name w:val="pa-10"/>
    <w:basedOn w:val="1"/>
    <w:uiPriority w:val="0"/>
    <w:pPr>
      <w:spacing w:line="360" w:lineRule="atLeast"/>
      <w:ind w:firstLine="3220"/>
      <w:jc w:val="both"/>
    </w:pPr>
    <w:rPr>
      <w:rFonts w:ascii="宋体" w:hAnsi="宋体" w:cs="宋体"/>
      <w:sz w:val="24"/>
      <w:szCs w:val="24"/>
    </w:rPr>
  </w:style>
  <w:style w:type="paragraph" w:customStyle="1" w:styleId="637">
    <w:name w:val="默认段落字体 Para Char"/>
    <w:basedOn w:val="1"/>
    <w:uiPriority w:val="0"/>
    <w:pPr>
      <w:widowControl w:val="0"/>
      <w:tabs>
        <w:tab w:val="left" w:pos="432"/>
      </w:tabs>
      <w:ind w:left="840" w:hanging="420"/>
      <w:jc w:val="both"/>
    </w:pPr>
    <w:rPr>
      <w:rFonts w:ascii="Calibri" w:hAnsi="Calibri"/>
      <w:kern w:val="2"/>
      <w:szCs w:val="24"/>
    </w:rPr>
  </w:style>
  <w:style w:type="paragraph" w:customStyle="1" w:styleId="638">
    <w:name w:val="pa-65"/>
    <w:basedOn w:val="1"/>
    <w:uiPriority w:val="0"/>
    <w:pPr>
      <w:spacing w:line="360" w:lineRule="atLeast"/>
      <w:jc w:val="both"/>
    </w:pPr>
    <w:rPr>
      <w:rFonts w:ascii="宋体" w:hAnsi="宋体" w:cs="宋体"/>
      <w:sz w:val="24"/>
      <w:szCs w:val="24"/>
    </w:rPr>
  </w:style>
  <w:style w:type="paragraph" w:customStyle="1" w:styleId="639">
    <w:name w:val="pa-90"/>
    <w:basedOn w:val="1"/>
    <w:uiPriority w:val="0"/>
    <w:pPr>
      <w:spacing w:line="280" w:lineRule="atLeast"/>
      <w:jc w:val="both"/>
    </w:pPr>
    <w:rPr>
      <w:rFonts w:ascii="宋体" w:hAnsi="宋体" w:cs="宋体"/>
      <w:sz w:val="24"/>
      <w:szCs w:val="24"/>
    </w:rPr>
  </w:style>
  <w:style w:type="paragraph" w:customStyle="1" w:styleId="640">
    <w:name w:val="pa-138"/>
    <w:basedOn w:val="1"/>
    <w:uiPriority w:val="0"/>
    <w:pPr>
      <w:spacing w:line="480" w:lineRule="atLeast"/>
      <w:ind w:firstLine="960"/>
      <w:jc w:val="center"/>
    </w:pPr>
    <w:rPr>
      <w:rFonts w:ascii="宋体" w:hAnsi="宋体" w:cs="宋体"/>
      <w:sz w:val="24"/>
      <w:szCs w:val="24"/>
    </w:rPr>
  </w:style>
  <w:style w:type="paragraph" w:customStyle="1" w:styleId="641">
    <w:name w:val="ca-31"/>
    <w:basedOn w:val="1"/>
    <w:uiPriority w:val="0"/>
    <w:rPr>
      <w:rFonts w:ascii="??" w:hAnsi="??" w:cs="宋体"/>
      <w:color w:val="000000"/>
      <w:szCs w:val="21"/>
    </w:rPr>
  </w:style>
  <w:style w:type="paragraph" w:customStyle="1" w:styleId="642">
    <w:name w:val="pa-45"/>
    <w:basedOn w:val="1"/>
    <w:uiPriority w:val="0"/>
    <w:pPr>
      <w:spacing w:line="280" w:lineRule="atLeast"/>
      <w:ind w:firstLine="420"/>
      <w:jc w:val="both"/>
    </w:pPr>
    <w:rPr>
      <w:rFonts w:ascii="宋体" w:hAnsi="宋体" w:cs="宋体"/>
      <w:sz w:val="24"/>
      <w:szCs w:val="24"/>
    </w:rPr>
  </w:style>
  <w:style w:type="paragraph" w:customStyle="1" w:styleId="643">
    <w:name w:val="ca-39"/>
    <w:basedOn w:val="1"/>
    <w:uiPriority w:val="0"/>
    <w:rPr>
      <w:rFonts w:ascii="宋体" w:hAnsi="宋体" w:cs="宋体"/>
      <w:b/>
      <w:bCs/>
      <w:color w:val="000000"/>
      <w:spacing w:val="-20"/>
      <w:sz w:val="28"/>
      <w:szCs w:val="28"/>
    </w:rPr>
  </w:style>
  <w:style w:type="paragraph" w:customStyle="1" w:styleId="644">
    <w:name w:val="pa-61"/>
    <w:basedOn w:val="1"/>
    <w:uiPriority w:val="0"/>
    <w:pPr>
      <w:spacing w:line="240" w:lineRule="atLeast"/>
      <w:jc w:val="both"/>
    </w:pPr>
    <w:rPr>
      <w:rFonts w:ascii="宋体" w:hAnsi="宋体" w:cs="宋体"/>
      <w:sz w:val="24"/>
      <w:szCs w:val="24"/>
    </w:rPr>
  </w:style>
  <w:style w:type="paragraph" w:customStyle="1" w:styleId="645">
    <w:name w:val="pa-103"/>
    <w:basedOn w:val="1"/>
    <w:uiPriority w:val="0"/>
    <w:pPr>
      <w:spacing w:line="480" w:lineRule="atLeast"/>
      <w:ind w:firstLine="500"/>
    </w:pPr>
    <w:rPr>
      <w:rFonts w:ascii="宋体" w:hAnsi="宋体" w:cs="宋体"/>
      <w:sz w:val="24"/>
      <w:szCs w:val="24"/>
    </w:rPr>
  </w:style>
  <w:style w:type="paragraph" w:customStyle="1" w:styleId="646">
    <w:name w:val="xl110"/>
    <w:basedOn w:val="1"/>
    <w:uiPriority w:val="0"/>
    <w:pPr>
      <w:pBdr>
        <w:top w:val="single" w:color="auto" w:sz="4" w:space="0"/>
        <w:bottom w:val="single" w:color="auto" w:sz="4" w:space="0"/>
        <w:right w:val="single" w:color="auto" w:sz="4" w:space="0"/>
      </w:pBdr>
      <w:shd w:val="clear" w:color="000000" w:fill="C2E277"/>
      <w:spacing w:before="100" w:beforeAutospacing="1" w:after="100" w:afterAutospacing="1"/>
      <w:jc w:val="center"/>
      <w:textAlignment w:val="center"/>
    </w:pPr>
    <w:rPr>
      <w:rFonts w:ascii="宋体" w:hAnsi="宋体" w:cs="宋体"/>
      <w:b/>
      <w:bCs/>
      <w:sz w:val="24"/>
      <w:szCs w:val="24"/>
    </w:rPr>
  </w:style>
  <w:style w:type="paragraph" w:customStyle="1" w:styleId="647">
    <w:name w:val="pa-121"/>
    <w:basedOn w:val="1"/>
    <w:uiPriority w:val="0"/>
    <w:pPr>
      <w:spacing w:line="360" w:lineRule="atLeast"/>
      <w:jc w:val="center"/>
    </w:pPr>
    <w:rPr>
      <w:rFonts w:ascii="宋体" w:hAnsi="宋体" w:cs="宋体"/>
      <w:sz w:val="24"/>
      <w:szCs w:val="24"/>
    </w:rPr>
  </w:style>
  <w:style w:type="paragraph" w:customStyle="1" w:styleId="648">
    <w:name w:val="pa-141"/>
    <w:basedOn w:val="1"/>
    <w:uiPriority w:val="0"/>
    <w:pPr>
      <w:spacing w:line="320" w:lineRule="atLeast"/>
      <w:jc w:val="right"/>
    </w:pPr>
    <w:rPr>
      <w:rFonts w:ascii="宋体" w:hAnsi="宋体" w:cs="宋体"/>
      <w:sz w:val="24"/>
      <w:szCs w:val="24"/>
    </w:rPr>
  </w:style>
  <w:style w:type="paragraph" w:customStyle="1" w:styleId="649">
    <w:name w:val="正文文字格式"/>
    <w:basedOn w:val="1"/>
    <w:uiPriority w:val="0"/>
    <w:pPr>
      <w:widowControl w:val="0"/>
      <w:spacing w:line="460" w:lineRule="exact"/>
      <w:ind w:firstLine="505"/>
    </w:pPr>
    <w:rPr>
      <w:rFonts w:ascii="宋体" w:hAnsi="Calibri"/>
      <w:kern w:val="24"/>
      <w:sz w:val="24"/>
    </w:rPr>
  </w:style>
  <w:style w:type="paragraph" w:customStyle="1" w:styleId="650">
    <w:name w:val="Char1"/>
    <w:basedOn w:val="1"/>
    <w:uiPriority w:val="0"/>
    <w:pPr>
      <w:widowControl w:val="0"/>
      <w:jc w:val="both"/>
    </w:pPr>
    <w:rPr>
      <w:rFonts w:ascii="Calibri" w:hAnsi="Calibri"/>
      <w:kern w:val="2"/>
      <w:szCs w:val="24"/>
    </w:rPr>
  </w:style>
  <w:style w:type="paragraph" w:customStyle="1" w:styleId="651">
    <w:name w:val="p0"/>
    <w:basedOn w:val="1"/>
    <w:uiPriority w:val="0"/>
    <w:pPr>
      <w:jc w:val="both"/>
    </w:pPr>
    <w:rPr>
      <w:rFonts w:ascii="Calibri" w:hAnsi="Calibri" w:cs="宋体"/>
      <w:szCs w:val="21"/>
    </w:rPr>
  </w:style>
  <w:style w:type="paragraph" w:customStyle="1" w:styleId="652">
    <w:name w:val="正文缩进2格"/>
    <w:basedOn w:val="1"/>
    <w:qFormat/>
    <w:uiPriority w:val="0"/>
    <w:pPr>
      <w:spacing w:line="600" w:lineRule="exact"/>
      <w:ind w:firstLine="639" w:firstLineChars="206"/>
    </w:pPr>
    <w:rPr>
      <w:rFonts w:ascii="仿宋_GB2312" w:hAnsi="宋体" w:eastAsia="仿宋_GB2312"/>
      <w:sz w:val="31"/>
      <w:szCs w:val="28"/>
    </w:rPr>
  </w:style>
  <w:style w:type="paragraph" w:customStyle="1" w:styleId="653">
    <w:name w:val="pa-2"/>
    <w:basedOn w:val="1"/>
    <w:uiPriority w:val="0"/>
    <w:pPr>
      <w:spacing w:line="400" w:lineRule="atLeast"/>
      <w:jc w:val="center"/>
    </w:pPr>
    <w:rPr>
      <w:rFonts w:ascii="宋体" w:hAnsi="宋体" w:cs="宋体"/>
      <w:sz w:val="24"/>
      <w:szCs w:val="24"/>
    </w:rPr>
  </w:style>
  <w:style w:type="paragraph" w:customStyle="1" w:styleId="654">
    <w:name w:val="pa-101"/>
    <w:basedOn w:val="1"/>
    <w:uiPriority w:val="0"/>
    <w:pPr>
      <w:spacing w:line="360" w:lineRule="atLeast"/>
      <w:jc w:val="center"/>
    </w:pPr>
    <w:rPr>
      <w:rFonts w:ascii="宋体" w:hAnsi="宋体" w:cs="宋体"/>
      <w:sz w:val="24"/>
      <w:szCs w:val="24"/>
    </w:rPr>
  </w:style>
  <w:style w:type="paragraph" w:customStyle="1" w:styleId="655">
    <w:name w:val="pa-88"/>
    <w:basedOn w:val="1"/>
    <w:uiPriority w:val="0"/>
    <w:pPr>
      <w:spacing w:line="320" w:lineRule="atLeast"/>
      <w:ind w:firstLine="480"/>
      <w:jc w:val="both"/>
    </w:pPr>
    <w:rPr>
      <w:rFonts w:ascii="宋体" w:hAnsi="宋体" w:cs="宋体"/>
      <w:sz w:val="24"/>
      <w:szCs w:val="24"/>
    </w:rPr>
  </w:style>
  <w:style w:type="paragraph" w:customStyle="1" w:styleId="656">
    <w:name w:val="pa-13"/>
    <w:basedOn w:val="1"/>
    <w:uiPriority w:val="0"/>
    <w:pPr>
      <w:spacing w:line="360" w:lineRule="atLeast"/>
      <w:jc w:val="both"/>
    </w:pPr>
    <w:rPr>
      <w:rFonts w:ascii="宋体" w:hAnsi="宋体" w:cs="宋体"/>
      <w:sz w:val="24"/>
      <w:szCs w:val="24"/>
    </w:rPr>
  </w:style>
  <w:style w:type="paragraph" w:customStyle="1" w:styleId="657">
    <w:name w:val="xl98"/>
    <w:basedOn w:val="1"/>
    <w:uiPriority w:val="0"/>
    <w:pPr>
      <w:pBdr>
        <w:top w:val="single" w:color="auto" w:sz="4" w:space="0"/>
        <w:left w:val="single" w:color="auto" w:sz="4" w:space="0"/>
        <w:bottom w:val="single" w:color="auto" w:sz="4" w:space="0"/>
        <w:right w:val="single" w:color="auto" w:sz="4" w:space="0"/>
      </w:pBdr>
      <w:shd w:val="clear" w:color="000000" w:fill="C2E277"/>
      <w:spacing w:before="100" w:beforeAutospacing="1" w:after="100" w:afterAutospacing="1"/>
      <w:jc w:val="center"/>
      <w:textAlignment w:val="center"/>
    </w:pPr>
    <w:rPr>
      <w:rFonts w:ascii="宋体" w:hAnsi="宋体" w:cs="宋体"/>
      <w:b/>
      <w:bCs/>
      <w:sz w:val="24"/>
      <w:szCs w:val="24"/>
    </w:rPr>
  </w:style>
  <w:style w:type="paragraph" w:customStyle="1" w:styleId="658">
    <w:name w:val="样式 正文（首行缩进两字） + 宋体"/>
    <w:basedOn w:val="15"/>
    <w:uiPriority w:val="0"/>
    <w:pPr>
      <w:widowControl w:val="0"/>
      <w:spacing w:line="460" w:lineRule="exact"/>
      <w:ind w:firstLine="200" w:firstLineChars="200"/>
      <w:jc w:val="both"/>
    </w:pPr>
    <w:rPr>
      <w:rFonts w:ascii="宋体" w:hAnsi="宋体"/>
      <w:spacing w:val="6"/>
      <w:kern w:val="24"/>
      <w:sz w:val="24"/>
    </w:rPr>
  </w:style>
  <w:style w:type="paragraph" w:customStyle="1" w:styleId="659">
    <w:name w:val="pa-58"/>
    <w:basedOn w:val="1"/>
    <w:uiPriority w:val="0"/>
    <w:pPr>
      <w:spacing w:line="300" w:lineRule="atLeast"/>
      <w:ind w:firstLine="300"/>
      <w:jc w:val="both"/>
    </w:pPr>
    <w:rPr>
      <w:rFonts w:ascii="宋体" w:hAnsi="宋体" w:cs="宋体"/>
      <w:sz w:val="24"/>
      <w:szCs w:val="24"/>
    </w:rPr>
  </w:style>
  <w:style w:type="paragraph" w:customStyle="1" w:styleId="660">
    <w:name w:val="pa-29"/>
    <w:basedOn w:val="1"/>
    <w:uiPriority w:val="0"/>
    <w:pPr>
      <w:spacing w:line="360" w:lineRule="atLeast"/>
      <w:ind w:firstLine="2820"/>
      <w:jc w:val="both"/>
    </w:pPr>
    <w:rPr>
      <w:rFonts w:ascii="宋体" w:hAnsi="宋体" w:cs="宋体"/>
      <w:sz w:val="24"/>
      <w:szCs w:val="24"/>
    </w:rPr>
  </w:style>
  <w:style w:type="paragraph" w:customStyle="1" w:styleId="661">
    <w:name w:val="pa-48"/>
    <w:basedOn w:val="1"/>
    <w:uiPriority w:val="0"/>
    <w:pPr>
      <w:spacing w:line="280" w:lineRule="atLeast"/>
      <w:ind w:firstLine="440"/>
      <w:jc w:val="both"/>
    </w:pPr>
    <w:rPr>
      <w:rFonts w:ascii="宋体" w:hAnsi="宋体" w:cs="宋体"/>
      <w:sz w:val="24"/>
      <w:szCs w:val="24"/>
    </w:rPr>
  </w:style>
  <w:style w:type="paragraph" w:customStyle="1" w:styleId="662">
    <w:name w:val="样式3"/>
    <w:basedOn w:val="5"/>
    <w:uiPriority w:val="0"/>
    <w:pPr>
      <w:widowControl w:val="0"/>
      <w:spacing w:line="415" w:lineRule="auto"/>
      <w:jc w:val="both"/>
    </w:pPr>
    <w:rPr>
      <w:rFonts w:ascii="Calibri" w:hAnsi="Calibri" w:eastAsia="Times New Roman"/>
      <w:kern w:val="2"/>
    </w:rPr>
  </w:style>
  <w:style w:type="paragraph" w:customStyle="1" w:styleId="663">
    <w:name w:val="ca-34"/>
    <w:basedOn w:val="1"/>
    <w:uiPriority w:val="0"/>
    <w:rPr>
      <w:rFonts w:ascii="宋体" w:hAnsi="宋体" w:cs="宋体"/>
      <w:color w:val="000000"/>
      <w:sz w:val="20"/>
    </w:rPr>
  </w:style>
  <w:style w:type="paragraph" w:customStyle="1" w:styleId="664">
    <w:name w:val="ca-9"/>
    <w:basedOn w:val="1"/>
    <w:uiPriority w:val="0"/>
    <w:rPr>
      <w:rFonts w:ascii="楷体_GB2312" w:hAnsi="宋体" w:eastAsia="楷体_GB2312" w:cs="宋体"/>
      <w:color w:val="000000"/>
      <w:spacing w:val="20"/>
      <w:sz w:val="96"/>
      <w:szCs w:val="96"/>
    </w:rPr>
  </w:style>
  <w:style w:type="paragraph" w:customStyle="1" w:styleId="665">
    <w:name w:val="xl67"/>
    <w:basedOn w:val="1"/>
    <w:uiPriority w:val="0"/>
    <w:pPr>
      <w:spacing w:before="100" w:beforeAutospacing="1" w:after="100" w:afterAutospacing="1"/>
      <w:jc w:val="center"/>
    </w:pPr>
    <w:rPr>
      <w:rFonts w:ascii="宋体" w:hAnsi="宋体" w:cs="宋体"/>
      <w:sz w:val="20"/>
    </w:rPr>
  </w:style>
  <w:style w:type="paragraph" w:customStyle="1" w:styleId="666">
    <w:name w:val="pa-83"/>
    <w:basedOn w:val="1"/>
    <w:uiPriority w:val="0"/>
    <w:pPr>
      <w:spacing w:line="560" w:lineRule="atLeast"/>
      <w:jc w:val="center"/>
    </w:pPr>
    <w:rPr>
      <w:rFonts w:ascii="宋体" w:hAnsi="宋体" w:cs="宋体"/>
      <w:sz w:val="24"/>
      <w:szCs w:val="24"/>
    </w:rPr>
  </w:style>
  <w:style w:type="paragraph" w:customStyle="1" w:styleId="667">
    <w:name w:val="表头"/>
    <w:basedOn w:val="1"/>
    <w:uiPriority w:val="0"/>
    <w:pPr>
      <w:widowControl w:val="0"/>
      <w:spacing w:line="360" w:lineRule="auto"/>
      <w:jc w:val="center"/>
    </w:pPr>
    <w:rPr>
      <w:rFonts w:ascii="黑体" w:hAnsi="Calibri" w:eastAsia="黑体"/>
      <w:sz w:val="24"/>
    </w:rPr>
  </w:style>
  <w:style w:type="paragraph" w:customStyle="1" w:styleId="668">
    <w:name w:val="pa-1"/>
    <w:basedOn w:val="1"/>
    <w:uiPriority w:val="0"/>
    <w:pPr>
      <w:spacing w:line="480" w:lineRule="atLeast"/>
      <w:jc w:val="center"/>
    </w:pPr>
    <w:rPr>
      <w:rFonts w:ascii="宋体" w:hAnsi="宋体" w:cs="宋体"/>
      <w:sz w:val="24"/>
      <w:szCs w:val="24"/>
    </w:rPr>
  </w:style>
  <w:style w:type="paragraph" w:customStyle="1" w:styleId="669">
    <w:name w:val="pa-39"/>
    <w:basedOn w:val="1"/>
    <w:uiPriority w:val="0"/>
    <w:pPr>
      <w:spacing w:line="360" w:lineRule="atLeast"/>
      <w:jc w:val="center"/>
    </w:pPr>
    <w:rPr>
      <w:rFonts w:ascii="宋体" w:hAnsi="宋体" w:cs="宋体"/>
      <w:sz w:val="24"/>
      <w:szCs w:val="24"/>
    </w:rPr>
  </w:style>
  <w:style w:type="paragraph" w:customStyle="1" w:styleId="670">
    <w:name w:val="pa-5"/>
    <w:basedOn w:val="1"/>
    <w:uiPriority w:val="0"/>
    <w:pPr>
      <w:spacing w:line="1000" w:lineRule="atLeast"/>
      <w:jc w:val="center"/>
    </w:pPr>
    <w:rPr>
      <w:rFonts w:ascii="宋体" w:hAnsi="宋体" w:cs="宋体"/>
      <w:sz w:val="24"/>
      <w:szCs w:val="24"/>
    </w:rPr>
  </w:style>
  <w:style w:type="paragraph" w:customStyle="1" w:styleId="671">
    <w:name w:val="ca-4"/>
    <w:basedOn w:val="1"/>
    <w:uiPriority w:val="0"/>
    <w:rPr>
      <w:rFonts w:ascii="宋体" w:hAnsi="宋体" w:cs="宋体"/>
      <w:b/>
      <w:bCs/>
      <w:color w:val="000000"/>
      <w:spacing w:val="-20"/>
      <w:sz w:val="48"/>
      <w:szCs w:val="48"/>
    </w:rPr>
  </w:style>
  <w:style w:type="paragraph" w:customStyle="1" w:styleId="672">
    <w:name w:val="样式 标题 3h33rd level3l3CTLevel 3 Topic Headingsect1.2.3Hea..."/>
    <w:basedOn w:val="5"/>
    <w:uiPriority w:val="0"/>
    <w:pPr>
      <w:widowControl w:val="0"/>
      <w:adjustRightInd w:val="0"/>
      <w:spacing w:beforeLines="50" w:afterLines="50" w:line="240" w:lineRule="atLeast"/>
      <w:ind w:left="180" w:hanging="720"/>
      <w:textAlignment w:val="baseline"/>
    </w:pPr>
    <w:rPr>
      <w:rFonts w:ascii="宋体" w:hAnsi="宋体" w:cs="宋体"/>
      <w:sz w:val="24"/>
      <w:szCs w:val="20"/>
    </w:rPr>
  </w:style>
  <w:style w:type="paragraph" w:customStyle="1" w:styleId="673">
    <w:name w:val="ca-40"/>
    <w:basedOn w:val="1"/>
    <w:uiPriority w:val="0"/>
    <w:rPr>
      <w:rFonts w:ascii="Calibri" w:hAnsi="Calibri"/>
      <w:sz w:val="20"/>
    </w:rPr>
  </w:style>
  <w:style w:type="paragraph" w:customStyle="1" w:styleId="674">
    <w:name w:val="图"/>
    <w:basedOn w:val="1"/>
    <w:qFormat/>
    <w:uiPriority w:val="0"/>
    <w:pPr>
      <w:keepNext/>
      <w:widowControl w:val="0"/>
      <w:adjustRightInd w:val="0"/>
      <w:snapToGrid w:val="0"/>
      <w:spacing w:before="60" w:after="60" w:line="300" w:lineRule="auto"/>
      <w:jc w:val="center"/>
    </w:pPr>
    <w:rPr>
      <w:rFonts w:hint="eastAsia" w:ascii="Calibri" w:hAnsi="Calibri"/>
      <w:spacing w:val="20"/>
      <w:sz w:val="24"/>
    </w:rPr>
  </w:style>
  <w:style w:type="paragraph" w:customStyle="1" w:styleId="675">
    <w:name w:val="pa-102"/>
    <w:basedOn w:val="1"/>
    <w:uiPriority w:val="0"/>
    <w:pPr>
      <w:spacing w:line="300" w:lineRule="atLeast"/>
      <w:jc w:val="center"/>
    </w:pPr>
    <w:rPr>
      <w:rFonts w:ascii="宋体" w:hAnsi="宋体" w:cs="宋体"/>
      <w:sz w:val="24"/>
      <w:szCs w:val="24"/>
    </w:rPr>
  </w:style>
  <w:style w:type="paragraph" w:customStyle="1" w:styleId="676">
    <w:name w:val="1"/>
    <w:basedOn w:val="1"/>
    <w:next w:val="29"/>
    <w:uiPriority w:val="0"/>
    <w:pPr>
      <w:widowControl w:val="0"/>
      <w:jc w:val="both"/>
    </w:pPr>
    <w:rPr>
      <w:rFonts w:ascii="宋体" w:hAnsi="Courier New" w:cs="Courier New"/>
      <w:kern w:val="2"/>
      <w:szCs w:val="21"/>
    </w:rPr>
  </w:style>
  <w:style w:type="paragraph" w:customStyle="1" w:styleId="677">
    <w:name w:val="样式 样式 标题 3section:33l3Level 3 HeadH3heading 3h3Bold Headbh... + ... Char"/>
    <w:basedOn w:val="1"/>
    <w:uiPriority w:val="0"/>
    <w:pPr>
      <w:keepNext/>
      <w:keepLines/>
      <w:widowControl w:val="0"/>
      <w:spacing w:beforeLines="50" w:afterLines="50" w:line="360" w:lineRule="auto"/>
      <w:ind w:left="800" w:leftChars="400"/>
      <w:jc w:val="both"/>
      <w:outlineLvl w:val="2"/>
    </w:pPr>
    <w:rPr>
      <w:rFonts w:ascii="宋体" w:hAnsi="宋体" w:cs="宋体"/>
      <w:b/>
      <w:bCs/>
      <w:color w:val="FF0000"/>
      <w:kern w:val="2"/>
      <w:sz w:val="24"/>
      <w:szCs w:val="24"/>
    </w:rPr>
  </w:style>
  <w:style w:type="paragraph" w:customStyle="1" w:styleId="678">
    <w:name w:val="ca-0"/>
    <w:basedOn w:val="1"/>
    <w:uiPriority w:val="0"/>
    <w:rPr>
      <w:rFonts w:ascii="宋体" w:hAnsi="宋体" w:cs="宋体"/>
      <w:color w:val="000000"/>
      <w:sz w:val="48"/>
      <w:szCs w:val="48"/>
    </w:rPr>
  </w:style>
  <w:style w:type="paragraph" w:customStyle="1" w:styleId="679">
    <w:name w:val="[Normal]"/>
    <w:qFormat/>
    <w:uiPriority w:val="0"/>
    <w:rPr>
      <w:rFonts w:ascii="宋体" w:hAnsi="宋体"/>
      <w:sz w:val="24"/>
      <w:szCs w:val="22"/>
      <w:lang w:val="zh-CN" w:eastAsia="zh-CN" w:bidi="ar-SA"/>
    </w:rPr>
  </w:style>
  <w:style w:type="paragraph" w:customStyle="1" w:styleId="680">
    <w:name w:val="xl55"/>
    <w:basedOn w:val="1"/>
    <w:uiPriority w:val="0"/>
    <w:pPr>
      <w:spacing w:before="100" w:beforeAutospacing="1" w:after="100" w:afterAutospacing="1"/>
      <w:jc w:val="center"/>
      <w:textAlignment w:val="center"/>
    </w:pPr>
    <w:rPr>
      <w:rFonts w:ascii="Arial Unicode MS" w:hAnsi="Arial Unicode MS"/>
      <w:sz w:val="24"/>
      <w:szCs w:val="24"/>
    </w:rPr>
  </w:style>
  <w:style w:type="paragraph" w:customStyle="1" w:styleId="681">
    <w:name w:val="样式 样式 标题 4 + 非加粗 + (中文) 黑体 段前: 0 磅 段后: 0 磅 行距: 固定值 22 磅"/>
    <w:basedOn w:val="1"/>
    <w:uiPriority w:val="0"/>
    <w:pPr>
      <w:keepNext/>
      <w:keepLines/>
      <w:widowControl w:val="0"/>
      <w:spacing w:before="156" w:beforeLines="50" w:after="156" w:afterLines="50" w:line="500" w:lineRule="exact"/>
      <w:jc w:val="both"/>
      <w:outlineLvl w:val="3"/>
    </w:pPr>
    <w:rPr>
      <w:rFonts w:ascii="Arial" w:hAnsi="Arial" w:cs="宋体"/>
      <w:b/>
      <w:bCs/>
      <w:kern w:val="2"/>
      <w:sz w:val="24"/>
      <w:szCs w:val="24"/>
    </w:rPr>
  </w:style>
  <w:style w:type="paragraph" w:customStyle="1" w:styleId="682">
    <w:name w:val="xl102"/>
    <w:basedOn w:val="1"/>
    <w:uiPriority w:val="0"/>
    <w:pPr>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jc w:val="center"/>
      <w:textAlignment w:val="center"/>
    </w:pPr>
    <w:rPr>
      <w:rFonts w:ascii="宋体" w:hAnsi="宋体" w:cs="宋体"/>
      <w:color w:val="FF0000"/>
      <w:sz w:val="16"/>
      <w:szCs w:val="16"/>
    </w:rPr>
  </w:style>
  <w:style w:type="paragraph" w:customStyle="1" w:styleId="683">
    <w:name w:val="样式 标题 1 + 黑体 三号 非加粗 居中 段前: 6 磅 段后: 6 磅 行距: 固定值 20 磅"/>
    <w:basedOn w:val="3"/>
    <w:uiPriority w:val="0"/>
    <w:pPr>
      <w:tabs>
        <w:tab w:val="clear" w:pos="840"/>
      </w:tabs>
      <w:adjustRightInd/>
      <w:snapToGrid/>
      <w:spacing w:before="120" w:after="120" w:line="400" w:lineRule="exact"/>
      <w:jc w:val="center"/>
    </w:pPr>
    <w:rPr>
      <w:rFonts w:ascii="黑体" w:hAnsi="黑体" w:eastAsia="黑体" w:cs="宋体"/>
      <w:b w:val="0"/>
      <w:sz w:val="32"/>
    </w:rPr>
  </w:style>
  <w:style w:type="paragraph" w:customStyle="1" w:styleId="684">
    <w:name w:val="pa-59"/>
    <w:basedOn w:val="1"/>
    <w:uiPriority w:val="0"/>
    <w:pPr>
      <w:spacing w:line="360" w:lineRule="atLeast"/>
      <w:ind w:firstLine="200"/>
      <w:jc w:val="both"/>
    </w:pPr>
    <w:rPr>
      <w:rFonts w:ascii="宋体" w:hAnsi="宋体" w:cs="宋体"/>
      <w:sz w:val="24"/>
      <w:szCs w:val="24"/>
    </w:rPr>
  </w:style>
  <w:style w:type="paragraph" w:customStyle="1" w:styleId="685">
    <w:name w:val="pa-35"/>
    <w:basedOn w:val="1"/>
    <w:uiPriority w:val="0"/>
    <w:pPr>
      <w:spacing w:line="360" w:lineRule="atLeast"/>
    </w:pPr>
    <w:rPr>
      <w:rFonts w:ascii="宋体" w:hAnsi="宋体" w:cs="宋体"/>
      <w:sz w:val="24"/>
      <w:szCs w:val="24"/>
    </w:rPr>
  </w:style>
  <w:style w:type="paragraph" w:customStyle="1" w:styleId="686">
    <w:name w:val="af17cgridlangnp1033langf"/>
    <w:uiPriority w:val="0"/>
    <w:pPr>
      <w:widowControl w:val="0"/>
      <w:autoSpaceDE w:val="0"/>
      <w:autoSpaceDN w:val="0"/>
      <w:adjustRightInd w:val="0"/>
      <w:spacing w:before="156" w:line="360" w:lineRule="atLeast"/>
      <w:ind w:left="567" w:firstLine="510"/>
      <w:jc w:val="both"/>
    </w:pPr>
    <w:rPr>
      <w:rFonts w:ascii="Calibri" w:hAnsi="Calibri"/>
      <w:lang w:val="en-US" w:eastAsia="zh-CN" w:bidi="ar-SA"/>
    </w:rPr>
  </w:style>
  <w:style w:type="paragraph" w:customStyle="1" w:styleId="687">
    <w:name w:val="正文_17"/>
    <w:qFormat/>
    <w:uiPriority w:val="0"/>
    <w:pPr>
      <w:widowControl w:val="0"/>
      <w:jc w:val="both"/>
    </w:pPr>
    <w:rPr>
      <w:kern w:val="2"/>
      <w:sz w:val="21"/>
      <w:szCs w:val="24"/>
      <w:lang w:val="en-US" w:eastAsia="zh-CN" w:bidi="ar-SA"/>
    </w:rPr>
  </w:style>
  <w:style w:type="paragraph" w:customStyle="1" w:styleId="688">
    <w:name w:val="bt1bt1"/>
    <w:basedOn w:val="3"/>
    <w:uiPriority w:val="0"/>
    <w:pPr>
      <w:tabs>
        <w:tab w:val="clear" w:pos="840"/>
      </w:tabs>
      <w:adjustRightInd/>
      <w:snapToGrid/>
      <w:spacing w:before="340" w:after="330" w:line="240" w:lineRule="auto"/>
      <w:jc w:val="center"/>
    </w:pPr>
    <w:rPr>
      <w:rFonts w:ascii="黑体" w:hAnsi="Calibri" w:eastAsia="黑体"/>
      <w:b w:val="0"/>
      <w:bCs/>
      <w:sz w:val="36"/>
      <w:szCs w:val="36"/>
    </w:rPr>
  </w:style>
  <w:style w:type="paragraph" w:customStyle="1" w:styleId="689">
    <w:name w:val="pa-135"/>
    <w:basedOn w:val="1"/>
    <w:uiPriority w:val="0"/>
    <w:pPr>
      <w:spacing w:line="480" w:lineRule="atLeast"/>
      <w:ind w:firstLine="520"/>
      <w:jc w:val="both"/>
    </w:pPr>
    <w:rPr>
      <w:rFonts w:ascii="宋体" w:hAnsi="宋体" w:cs="宋体"/>
      <w:sz w:val="24"/>
      <w:szCs w:val="24"/>
    </w:rPr>
  </w:style>
  <w:style w:type="paragraph" w:customStyle="1" w:styleId="690">
    <w:name w:val="226_Chinese Text"/>
    <w:uiPriority w:val="0"/>
    <w:pPr>
      <w:spacing w:after="120" w:line="336" w:lineRule="auto"/>
      <w:jc w:val="both"/>
    </w:pPr>
    <w:rPr>
      <w:rFonts w:ascii="华文中宋" w:hAnsi="华文中宋" w:eastAsia="华文中宋"/>
      <w:lang w:val="en-GB" w:eastAsia="zh-CN" w:bidi="ar-SA"/>
    </w:rPr>
  </w:style>
  <w:style w:type="paragraph" w:customStyle="1" w:styleId="691">
    <w:name w:val="pa-24"/>
    <w:basedOn w:val="1"/>
    <w:uiPriority w:val="0"/>
    <w:pPr>
      <w:spacing w:line="360" w:lineRule="atLeast"/>
      <w:ind w:firstLine="480"/>
      <w:jc w:val="both"/>
    </w:pPr>
    <w:rPr>
      <w:rFonts w:ascii="宋体" w:hAnsi="宋体" w:cs="宋体"/>
      <w:sz w:val="24"/>
      <w:szCs w:val="24"/>
    </w:rPr>
  </w:style>
  <w:style w:type="paragraph" w:customStyle="1" w:styleId="692">
    <w:name w:val="正文_3"/>
    <w:qFormat/>
    <w:uiPriority w:val="0"/>
    <w:pPr>
      <w:widowControl w:val="0"/>
      <w:jc w:val="both"/>
    </w:pPr>
    <w:rPr>
      <w:rFonts w:ascii="Calibri" w:hAnsi="Calibri"/>
      <w:kern w:val="2"/>
      <w:sz w:val="21"/>
      <w:szCs w:val="22"/>
      <w:lang w:val="en-US" w:eastAsia="zh-CN" w:bidi="ar-SA"/>
    </w:rPr>
  </w:style>
  <w:style w:type="paragraph" w:customStyle="1" w:styleId="693">
    <w:name w:val="ca-41"/>
    <w:basedOn w:val="1"/>
    <w:uiPriority w:val="0"/>
    <w:rPr>
      <w:rFonts w:ascii="宋体" w:hAnsi="宋体" w:cs="宋体"/>
      <w:b/>
      <w:bCs/>
      <w:color w:val="000000"/>
      <w:spacing w:val="-20"/>
      <w:sz w:val="32"/>
      <w:szCs w:val="32"/>
    </w:rPr>
  </w:style>
  <w:style w:type="paragraph" w:customStyle="1" w:styleId="694">
    <w:name w:val="Char Char Char Char3"/>
    <w:basedOn w:val="1"/>
    <w:uiPriority w:val="0"/>
    <w:pPr>
      <w:spacing w:after="160" w:line="240" w:lineRule="exact"/>
    </w:pPr>
    <w:rPr>
      <w:rFonts w:ascii="Arial" w:hAnsi="Arial" w:cs="Verdana"/>
      <w:b/>
      <w:sz w:val="24"/>
      <w:lang w:eastAsia="en-US"/>
    </w:rPr>
  </w:style>
  <w:style w:type="paragraph" w:customStyle="1" w:styleId="695">
    <w:name w:val="pa-62"/>
    <w:basedOn w:val="1"/>
    <w:uiPriority w:val="0"/>
    <w:pPr>
      <w:spacing w:line="360" w:lineRule="atLeast"/>
      <w:ind w:firstLine="420"/>
      <w:jc w:val="both"/>
    </w:pPr>
    <w:rPr>
      <w:rFonts w:ascii="宋体" w:hAnsi="宋体" w:cs="宋体"/>
      <w:sz w:val="24"/>
      <w:szCs w:val="24"/>
    </w:rPr>
  </w:style>
  <w:style w:type="paragraph" w:customStyle="1" w:styleId="696">
    <w:name w:val="xl76"/>
    <w:basedOn w:val="1"/>
    <w:uiPriority w:val="0"/>
    <w:pPr>
      <w:pBdr>
        <w:top w:val="single" w:color="auto" w:sz="4" w:space="0"/>
        <w:left w:val="single" w:color="auto" w:sz="4" w:space="0"/>
        <w:right w:val="single" w:color="auto" w:sz="4" w:space="0"/>
      </w:pBdr>
      <w:spacing w:before="100" w:beforeAutospacing="1" w:after="100" w:afterAutospacing="1"/>
      <w:jc w:val="center"/>
    </w:pPr>
    <w:rPr>
      <w:rFonts w:ascii="宋体" w:hAnsi="宋体" w:cs="宋体"/>
      <w:sz w:val="20"/>
    </w:rPr>
  </w:style>
  <w:style w:type="paragraph" w:customStyle="1" w:styleId="697">
    <w:name w:val="Body Text Indent"/>
    <w:basedOn w:val="1"/>
    <w:uiPriority w:val="0"/>
    <w:pPr>
      <w:widowControl w:val="0"/>
      <w:spacing w:before="120" w:after="120" w:line="360" w:lineRule="auto"/>
      <w:ind w:left="420" w:leftChars="200"/>
      <w:jc w:val="both"/>
    </w:pPr>
    <w:rPr>
      <w:rFonts w:ascii="Calibri" w:hAnsi="Calibri"/>
      <w:kern w:val="2"/>
      <w:sz w:val="20"/>
    </w:rPr>
  </w:style>
  <w:style w:type="paragraph" w:customStyle="1" w:styleId="698">
    <w:name w:val="Char Char Char Char1"/>
    <w:basedOn w:val="1"/>
    <w:uiPriority w:val="0"/>
    <w:pPr>
      <w:widowControl w:val="0"/>
      <w:jc w:val="both"/>
    </w:pPr>
    <w:rPr>
      <w:rFonts w:ascii="Calibri" w:hAnsi="Calibri"/>
      <w:kern w:val="2"/>
      <w:szCs w:val="24"/>
    </w:rPr>
  </w:style>
  <w:style w:type="paragraph" w:customStyle="1" w:styleId="699">
    <w:name w:val="样式 正文（首行缩进两字） + 首行缩进:  2 字符"/>
    <w:basedOn w:val="15"/>
    <w:uiPriority w:val="0"/>
    <w:pPr>
      <w:widowControl w:val="0"/>
      <w:spacing w:line="460" w:lineRule="exact"/>
      <w:ind w:firstLine="536" w:firstLineChars="200"/>
      <w:jc w:val="both"/>
    </w:pPr>
    <w:rPr>
      <w:rFonts w:hAnsi="Calibri"/>
      <w:spacing w:val="6"/>
      <w:kern w:val="24"/>
      <w:sz w:val="24"/>
    </w:rPr>
  </w:style>
  <w:style w:type="paragraph" w:customStyle="1" w:styleId="700">
    <w:name w:val="标书标题3"/>
    <w:basedOn w:val="5"/>
    <w:uiPriority w:val="0"/>
    <w:pPr>
      <w:keepLines w:val="0"/>
      <w:adjustRightInd w:val="0"/>
      <w:snapToGrid w:val="0"/>
      <w:spacing w:before="120" w:after="60" w:line="300" w:lineRule="auto"/>
    </w:pPr>
    <w:rPr>
      <w:rFonts w:ascii="Arial Narrow" w:hAnsi="Arial Narrow" w:eastAsia="仿宋_GB2312"/>
      <w:b w:val="0"/>
      <w:bCs w:val="0"/>
      <w:color w:val="000000"/>
      <w:sz w:val="28"/>
    </w:rPr>
  </w:style>
  <w:style w:type="paragraph" w:customStyle="1" w:styleId="701">
    <w:name w:val="Char11"/>
    <w:basedOn w:val="1"/>
    <w:uiPriority w:val="0"/>
    <w:pPr>
      <w:widowControl w:val="0"/>
      <w:jc w:val="both"/>
    </w:pPr>
    <w:rPr>
      <w:rFonts w:ascii="Calibri" w:hAnsi="Calibri"/>
      <w:kern w:val="2"/>
    </w:rPr>
  </w:style>
  <w:style w:type="paragraph" w:customStyle="1" w:styleId="702">
    <w:name w:val="pa-64"/>
    <w:basedOn w:val="1"/>
    <w:uiPriority w:val="0"/>
    <w:pPr>
      <w:spacing w:line="360" w:lineRule="atLeast"/>
      <w:ind w:firstLine="560"/>
    </w:pPr>
    <w:rPr>
      <w:rFonts w:ascii="宋体" w:hAnsi="宋体" w:cs="宋体"/>
      <w:sz w:val="24"/>
      <w:szCs w:val="24"/>
    </w:rPr>
  </w:style>
  <w:style w:type="paragraph" w:customStyle="1" w:styleId="703">
    <w:name w:val="pa-70"/>
    <w:basedOn w:val="1"/>
    <w:uiPriority w:val="0"/>
    <w:pPr>
      <w:spacing w:line="360" w:lineRule="atLeast"/>
      <w:ind w:firstLine="420"/>
    </w:pPr>
    <w:rPr>
      <w:rFonts w:ascii="宋体" w:hAnsi="宋体" w:cs="宋体"/>
      <w:sz w:val="24"/>
      <w:szCs w:val="24"/>
    </w:rPr>
  </w:style>
  <w:style w:type="paragraph" w:customStyle="1" w:styleId="704">
    <w:name w:val="ca-8"/>
    <w:basedOn w:val="1"/>
    <w:uiPriority w:val="0"/>
    <w:rPr>
      <w:rFonts w:ascii="宋体" w:hAnsi="宋体" w:cs="宋体"/>
      <w:color w:val="000000"/>
      <w:sz w:val="28"/>
      <w:szCs w:val="28"/>
    </w:rPr>
  </w:style>
  <w:style w:type="paragraph" w:customStyle="1" w:styleId="705">
    <w:name w:val="pa-72"/>
    <w:basedOn w:val="1"/>
    <w:uiPriority w:val="0"/>
    <w:pPr>
      <w:spacing w:line="240" w:lineRule="atLeast"/>
      <w:ind w:firstLine="560"/>
      <w:jc w:val="both"/>
    </w:pPr>
    <w:rPr>
      <w:rFonts w:ascii="宋体" w:hAnsi="宋体" w:cs="宋体"/>
      <w:sz w:val="24"/>
      <w:szCs w:val="24"/>
    </w:rPr>
  </w:style>
  <w:style w:type="paragraph" w:customStyle="1" w:styleId="706">
    <w:name w:val="pa-128"/>
    <w:basedOn w:val="1"/>
    <w:uiPriority w:val="0"/>
    <w:pPr>
      <w:spacing w:line="360" w:lineRule="atLeast"/>
      <w:jc w:val="center"/>
    </w:pPr>
    <w:rPr>
      <w:rFonts w:ascii="宋体" w:hAnsi="宋体" w:cs="宋体"/>
      <w:sz w:val="24"/>
      <w:szCs w:val="24"/>
    </w:rPr>
  </w:style>
  <w:style w:type="paragraph" w:customStyle="1" w:styleId="707">
    <w:name w:val="xl89"/>
    <w:basedOn w:val="1"/>
    <w:uiPriority w:val="0"/>
    <w:pPr>
      <w:pBdr>
        <w:top w:val="single" w:color="auto" w:sz="4" w:space="0"/>
        <w:left w:val="single" w:color="auto" w:sz="4" w:space="0"/>
        <w:right w:val="single" w:color="auto" w:sz="4" w:space="0"/>
      </w:pBdr>
      <w:spacing w:before="100" w:beforeAutospacing="1" w:after="100" w:afterAutospacing="1"/>
      <w:jc w:val="center"/>
    </w:pPr>
    <w:rPr>
      <w:rFonts w:ascii="宋体" w:hAnsi="宋体" w:cs="宋体"/>
      <w:b/>
      <w:bCs/>
      <w:sz w:val="20"/>
    </w:rPr>
  </w:style>
  <w:style w:type="paragraph" w:customStyle="1" w:styleId="708">
    <w:name w:val="pa-95"/>
    <w:basedOn w:val="1"/>
    <w:uiPriority w:val="0"/>
    <w:pPr>
      <w:spacing w:line="440" w:lineRule="atLeast"/>
      <w:jc w:val="center"/>
    </w:pPr>
    <w:rPr>
      <w:rFonts w:ascii="宋体" w:hAnsi="宋体" w:cs="宋体"/>
      <w:sz w:val="24"/>
      <w:szCs w:val="24"/>
    </w:rPr>
  </w:style>
  <w:style w:type="paragraph" w:customStyle="1" w:styleId="709">
    <w:name w:val="Char"/>
    <w:basedOn w:val="1"/>
    <w:uiPriority w:val="0"/>
    <w:pPr>
      <w:widowControl w:val="0"/>
      <w:jc w:val="both"/>
    </w:pPr>
    <w:rPr>
      <w:rFonts w:ascii="Calibri" w:hAnsi="Calibri"/>
      <w:kern w:val="2"/>
      <w:szCs w:val="24"/>
    </w:rPr>
  </w:style>
  <w:style w:type="paragraph" w:customStyle="1" w:styleId="710">
    <w:name w:val="pa-108"/>
    <w:basedOn w:val="1"/>
    <w:uiPriority w:val="0"/>
    <w:pPr>
      <w:spacing w:line="280" w:lineRule="atLeast"/>
      <w:jc w:val="center"/>
    </w:pPr>
    <w:rPr>
      <w:rFonts w:ascii="宋体" w:hAnsi="宋体" w:cs="宋体"/>
      <w:sz w:val="24"/>
      <w:szCs w:val="24"/>
    </w:rPr>
  </w:style>
  <w:style w:type="paragraph" w:customStyle="1" w:styleId="711">
    <w:name w:val="xl83"/>
    <w:basedOn w:val="1"/>
    <w:uiPriority w:val="0"/>
    <w:pPr>
      <w:pBdr>
        <w:top w:val="single" w:color="auto" w:sz="4" w:space="0"/>
        <w:left w:val="single" w:color="auto" w:sz="4" w:space="0"/>
        <w:bottom w:val="single" w:color="auto" w:sz="4" w:space="0"/>
      </w:pBdr>
      <w:spacing w:before="100" w:beforeAutospacing="1" w:after="100" w:afterAutospacing="1"/>
      <w:jc w:val="center"/>
    </w:pPr>
    <w:rPr>
      <w:rFonts w:ascii="宋体" w:hAnsi="宋体" w:cs="宋体"/>
      <w:sz w:val="20"/>
    </w:rPr>
  </w:style>
  <w:style w:type="paragraph" w:customStyle="1" w:styleId="712">
    <w:name w:val="pa-131"/>
    <w:basedOn w:val="1"/>
    <w:uiPriority w:val="0"/>
    <w:pPr>
      <w:spacing w:line="280" w:lineRule="atLeast"/>
    </w:pPr>
    <w:rPr>
      <w:rFonts w:ascii="宋体" w:hAnsi="宋体" w:cs="宋体"/>
      <w:sz w:val="24"/>
      <w:szCs w:val="24"/>
    </w:rPr>
  </w:style>
  <w:style w:type="paragraph" w:customStyle="1" w:styleId="713">
    <w:name w:val="ca-7"/>
    <w:basedOn w:val="1"/>
    <w:uiPriority w:val="0"/>
    <w:rPr>
      <w:rFonts w:ascii="Calibri" w:hAnsi="Calibri"/>
      <w:color w:val="000000"/>
      <w:sz w:val="28"/>
      <w:szCs w:val="28"/>
    </w:rPr>
  </w:style>
  <w:style w:type="paragraph" w:customStyle="1" w:styleId="714">
    <w:name w:val="td-9"/>
    <w:basedOn w:val="1"/>
    <w:uiPriority w:val="0"/>
    <w:pPr>
      <w:pBdr>
        <w:top w:val="single" w:color="000000" w:sz="4" w:space="0"/>
        <w:left w:val="single" w:color="000000" w:sz="12" w:space="4"/>
        <w:bottom w:val="single" w:color="000000" w:sz="12" w:space="0"/>
        <w:right w:val="single" w:color="000000" w:sz="4" w:space="0"/>
      </w:pBdr>
    </w:pPr>
    <w:rPr>
      <w:rFonts w:ascii="宋体" w:hAnsi="宋体" w:cs="宋体"/>
      <w:sz w:val="24"/>
      <w:szCs w:val="24"/>
    </w:rPr>
  </w:style>
  <w:style w:type="paragraph" w:customStyle="1" w:styleId="715">
    <w:name w:val="ca-42"/>
    <w:basedOn w:val="1"/>
    <w:uiPriority w:val="0"/>
    <w:rPr>
      <w:rFonts w:ascii="宋体" w:hAnsi="宋体" w:cs="宋体"/>
      <w:color w:val="000000"/>
      <w:sz w:val="36"/>
      <w:szCs w:val="36"/>
    </w:rPr>
  </w:style>
  <w:style w:type="paragraph" w:customStyle="1" w:styleId="716">
    <w:name w:val="Char Char Char Char Char Char1"/>
    <w:basedOn w:val="1"/>
    <w:uiPriority w:val="0"/>
    <w:pPr>
      <w:spacing w:after="160" w:line="240" w:lineRule="exact"/>
    </w:pPr>
    <w:rPr>
      <w:rFonts w:ascii="Verdana" w:hAnsi="Verdana" w:eastAsia="仿宋_GB2312"/>
      <w:sz w:val="24"/>
      <w:lang w:eastAsia="en-US"/>
    </w:rPr>
  </w:style>
  <w:style w:type="paragraph" w:customStyle="1" w:styleId="717">
    <w:name w:val="pa-125"/>
    <w:basedOn w:val="1"/>
    <w:uiPriority w:val="0"/>
    <w:pPr>
      <w:spacing w:line="480" w:lineRule="atLeast"/>
      <w:ind w:firstLine="1080"/>
      <w:jc w:val="both"/>
    </w:pPr>
    <w:rPr>
      <w:rFonts w:ascii="宋体" w:hAnsi="宋体" w:cs="宋体"/>
      <w:sz w:val="24"/>
      <w:szCs w:val="24"/>
    </w:rPr>
  </w:style>
  <w:style w:type="paragraph" w:customStyle="1" w:styleId="718">
    <w:name w:val="font7"/>
    <w:basedOn w:val="1"/>
    <w:uiPriority w:val="0"/>
    <w:pPr>
      <w:spacing w:before="100" w:beforeAutospacing="1" w:after="100" w:afterAutospacing="1"/>
    </w:pPr>
    <w:rPr>
      <w:rFonts w:ascii="宋体" w:hAnsi="宋体" w:cs="宋体"/>
      <w:sz w:val="18"/>
      <w:szCs w:val="18"/>
    </w:rPr>
  </w:style>
  <w:style w:type="paragraph" w:customStyle="1" w:styleId="719">
    <w:name w:val="pa-132"/>
    <w:basedOn w:val="1"/>
    <w:uiPriority w:val="0"/>
    <w:pPr>
      <w:spacing w:line="360" w:lineRule="atLeast"/>
      <w:jc w:val="both"/>
    </w:pPr>
    <w:rPr>
      <w:rFonts w:ascii="宋体" w:hAnsi="宋体" w:cs="宋体"/>
      <w:sz w:val="24"/>
      <w:szCs w:val="24"/>
    </w:rPr>
  </w:style>
  <w:style w:type="paragraph" w:customStyle="1" w:styleId="720">
    <w:name w:val="List Paragraph1"/>
    <w:basedOn w:val="1"/>
    <w:uiPriority w:val="0"/>
    <w:pPr>
      <w:ind w:left="720"/>
      <w:contextualSpacing/>
    </w:pPr>
    <w:rPr>
      <w:rFonts w:ascii="Arial" w:hAnsi="Arial" w:eastAsia="黑体"/>
      <w:sz w:val="24"/>
      <w:szCs w:val="24"/>
      <w:lang w:eastAsia="en-US"/>
    </w:rPr>
  </w:style>
  <w:style w:type="paragraph" w:customStyle="1" w:styleId="721">
    <w:name w:val=" Char Char Char Char"/>
    <w:basedOn w:val="1"/>
    <w:uiPriority w:val="0"/>
    <w:pPr>
      <w:widowControl w:val="0"/>
      <w:jc w:val="both"/>
    </w:pPr>
    <w:rPr>
      <w:rFonts w:ascii="Calibri" w:hAnsi="Calibri"/>
      <w:kern w:val="2"/>
    </w:rPr>
  </w:style>
  <w:style w:type="paragraph" w:customStyle="1" w:styleId="722">
    <w:name w:val="目录文字"/>
    <w:basedOn w:val="1"/>
    <w:uiPriority w:val="0"/>
    <w:pPr>
      <w:spacing w:line="480" w:lineRule="auto"/>
    </w:pPr>
    <w:rPr>
      <w:rFonts w:ascii="宋体" w:hAnsi="宋体"/>
      <w:sz w:val="24"/>
    </w:rPr>
  </w:style>
  <w:style w:type="paragraph" w:customStyle="1" w:styleId="723">
    <w:name w:val="正文_0"/>
    <w:qFormat/>
    <w:uiPriority w:val="0"/>
    <w:pPr>
      <w:widowControl w:val="0"/>
      <w:jc w:val="both"/>
    </w:pPr>
    <w:rPr>
      <w:rFonts w:ascii="Calibri" w:hAnsi="Calibri"/>
      <w:kern w:val="2"/>
      <w:sz w:val="21"/>
      <w:szCs w:val="22"/>
      <w:lang w:val="en-US" w:eastAsia="zh-CN" w:bidi="ar-SA"/>
    </w:rPr>
  </w:style>
  <w:style w:type="paragraph" w:customStyle="1" w:styleId="724">
    <w:name w:val="pa-22"/>
    <w:basedOn w:val="1"/>
    <w:uiPriority w:val="0"/>
    <w:pPr>
      <w:spacing w:line="280" w:lineRule="atLeast"/>
      <w:ind w:firstLine="480"/>
      <w:jc w:val="both"/>
    </w:pPr>
    <w:rPr>
      <w:rFonts w:ascii="宋体" w:hAnsi="宋体" w:cs="宋体"/>
      <w:sz w:val="24"/>
      <w:szCs w:val="24"/>
    </w:rPr>
  </w:style>
  <w:style w:type="paragraph" w:customStyle="1" w:styleId="725">
    <w:name w:val="pa-123"/>
    <w:basedOn w:val="1"/>
    <w:uiPriority w:val="0"/>
    <w:pPr>
      <w:spacing w:line="360" w:lineRule="atLeast"/>
      <w:jc w:val="both"/>
    </w:pPr>
    <w:rPr>
      <w:rFonts w:ascii="宋体" w:hAnsi="宋体" w:cs="宋体"/>
      <w:sz w:val="24"/>
      <w:szCs w:val="24"/>
    </w:rPr>
  </w:style>
  <w:style w:type="paragraph" w:customStyle="1" w:styleId="726">
    <w:name w:val="msonormalcxspmiddle"/>
    <w:basedOn w:val="1"/>
    <w:uiPriority w:val="0"/>
    <w:pPr>
      <w:spacing w:before="100" w:beforeAutospacing="1" w:after="100" w:afterAutospacing="1"/>
    </w:pPr>
    <w:rPr>
      <w:rFonts w:ascii="宋体" w:hAnsi="宋体" w:cs="宋体"/>
      <w:sz w:val="24"/>
      <w:szCs w:val="24"/>
    </w:rPr>
  </w:style>
  <w:style w:type="paragraph" w:customStyle="1" w:styleId="727">
    <w:name w:val="style1"/>
    <w:basedOn w:val="1"/>
    <w:uiPriority w:val="0"/>
    <w:pPr>
      <w:spacing w:before="100" w:beforeAutospacing="1" w:after="100" w:afterAutospacing="1" w:line="432" w:lineRule="auto"/>
    </w:pPr>
    <w:rPr>
      <w:rFonts w:ascii="宋体" w:hAnsi="宋体" w:cs="宋体"/>
      <w:sz w:val="27"/>
      <w:szCs w:val="27"/>
    </w:rPr>
  </w:style>
  <w:style w:type="paragraph" w:customStyle="1" w:styleId="728">
    <w:name w:val="xl99"/>
    <w:basedOn w:val="1"/>
    <w:uiPriority w:val="0"/>
    <w:pPr>
      <w:pBdr>
        <w:top w:val="single" w:color="auto" w:sz="4" w:space="0"/>
        <w:left w:val="single" w:color="auto" w:sz="4" w:space="0"/>
        <w:bottom w:val="single" w:color="auto" w:sz="4" w:space="0"/>
        <w:right w:val="single" w:color="auto" w:sz="4" w:space="0"/>
      </w:pBdr>
      <w:spacing w:before="100" w:beforeAutospacing="1" w:after="100" w:afterAutospacing="1"/>
      <w:textAlignment w:val="center"/>
    </w:pPr>
    <w:rPr>
      <w:rFonts w:ascii="宋体" w:hAnsi="宋体" w:cs="宋体"/>
      <w:sz w:val="16"/>
      <w:szCs w:val="16"/>
    </w:rPr>
  </w:style>
  <w:style w:type="paragraph" w:customStyle="1" w:styleId="729">
    <w:name w:val="xl106"/>
    <w:basedOn w:val="1"/>
    <w:uiPriority w:val="0"/>
    <w:pPr>
      <w:pBdr>
        <w:top w:val="single" w:color="auto" w:sz="4" w:space="0"/>
        <w:left w:val="single" w:color="auto" w:sz="4" w:space="0"/>
        <w:bottom w:val="single" w:color="auto" w:sz="4" w:space="0"/>
      </w:pBdr>
      <w:shd w:val="clear" w:color="000000" w:fill="92D050"/>
      <w:spacing w:before="100" w:beforeAutospacing="1" w:after="100" w:afterAutospacing="1"/>
      <w:jc w:val="center"/>
      <w:textAlignment w:val="center"/>
    </w:pPr>
    <w:rPr>
      <w:rFonts w:ascii="宋体" w:hAnsi="宋体" w:cs="宋体"/>
      <w:b/>
      <w:bCs/>
      <w:sz w:val="24"/>
      <w:szCs w:val="24"/>
    </w:rPr>
  </w:style>
  <w:style w:type="paragraph" w:customStyle="1" w:styleId="730">
    <w:name w:val="List Paragraph"/>
    <w:basedOn w:val="1"/>
    <w:uiPriority w:val="0"/>
    <w:pPr>
      <w:widowControl w:val="0"/>
      <w:ind w:firstLine="420" w:firstLineChars="200"/>
      <w:jc w:val="both"/>
    </w:pPr>
    <w:rPr>
      <w:kern w:val="2"/>
    </w:rPr>
  </w:style>
  <w:style w:type="paragraph" w:customStyle="1" w:styleId="731">
    <w:name w:val="pa-7"/>
    <w:basedOn w:val="1"/>
    <w:uiPriority w:val="0"/>
    <w:pPr>
      <w:spacing w:line="400" w:lineRule="atLeast"/>
      <w:jc w:val="both"/>
    </w:pPr>
    <w:rPr>
      <w:rFonts w:ascii="宋体" w:hAnsi="宋体" w:cs="宋体"/>
      <w:sz w:val="24"/>
      <w:szCs w:val="24"/>
    </w:rPr>
  </w:style>
  <w:style w:type="paragraph" w:customStyle="1" w:styleId="732">
    <w:name w:val="样式 标题 2 + (中文) 黑体 四号 黑色"/>
    <w:basedOn w:val="4"/>
    <w:uiPriority w:val="0"/>
    <w:pPr>
      <w:widowControl w:val="0"/>
      <w:spacing w:line="520" w:lineRule="exact"/>
    </w:pPr>
    <w:rPr>
      <w:rFonts w:ascii="Arial" w:hAnsi="Arial" w:eastAsia="黑体"/>
      <w:color w:val="000000"/>
      <w:kern w:val="24"/>
      <w:sz w:val="28"/>
      <w:szCs w:val="20"/>
    </w:rPr>
  </w:style>
  <w:style w:type="paragraph" w:customStyle="1" w:styleId="733">
    <w:name w:val="pa-36"/>
    <w:basedOn w:val="1"/>
    <w:uiPriority w:val="0"/>
    <w:pPr>
      <w:spacing w:line="360" w:lineRule="atLeast"/>
      <w:ind w:firstLine="3100"/>
    </w:pPr>
    <w:rPr>
      <w:rFonts w:ascii="宋体" w:hAnsi="宋体" w:cs="宋体"/>
      <w:sz w:val="24"/>
      <w:szCs w:val="24"/>
    </w:rPr>
  </w:style>
  <w:style w:type="paragraph" w:customStyle="1" w:styleId="734">
    <w:name w:val="Char Char Char Char Char Char Char Char Char Char Char"/>
    <w:basedOn w:val="17"/>
    <w:uiPriority w:val="0"/>
    <w:pPr>
      <w:widowControl w:val="0"/>
      <w:shd w:val="clear" w:color="auto" w:fill="000080"/>
      <w:jc w:val="both"/>
    </w:pPr>
    <w:rPr>
      <w:rFonts w:ascii="Tahoma" w:hAnsi="Tahoma"/>
      <w:kern w:val="2"/>
      <w:sz w:val="24"/>
      <w:szCs w:val="24"/>
    </w:rPr>
  </w:style>
  <w:style w:type="character" w:styleId="735">
    <w:name w:val=""/>
    <w:unhideWhenUsed/>
    <w:uiPriority w:val="99"/>
    <w:rPr>
      <w:color w:val="605E5C"/>
      <w:shd w:val="clear" w:color="auto" w:fill="E1DFDD"/>
    </w:rPr>
  </w:style>
  <w:style w:type="paragraph" w:customStyle="1" w:styleId="736">
    <w:name w:val="CM11"/>
    <w:basedOn w:val="389"/>
    <w:next w:val="389"/>
    <w:unhideWhenUsed/>
    <w:qFormat/>
    <w:uiPriority w:val="99"/>
    <w:pPr>
      <w:spacing w:line="520" w:lineRule="atLeast"/>
    </w:pPr>
  </w:style>
  <w:style w:type="paragraph" w:customStyle="1" w:styleId="737">
    <w:name w:val="标4"/>
    <w:basedOn w:val="1"/>
    <w:qFormat/>
    <w:uiPriority w:val="0"/>
    <w:pPr>
      <w:adjustRightInd w:val="0"/>
      <w:spacing w:before="240" w:after="360" w:line="240" w:lineRule="exact"/>
      <w:outlineLvl w:val="3"/>
    </w:pPr>
    <w:rPr>
      <w:rFonts w:ascii="Arial" w:hAnsi="Arial" w:cs="Arial"/>
      <w:b/>
      <w:bCs/>
      <w:kern w:val="24"/>
    </w:rPr>
  </w:style>
</w:styles>
</file>

<file path=word/_rels/document.xml.rels><?xml version="1.0" encoding="UTF-8" standalone="yes"?><Relationships xmlns="http://schemas.openxmlformats.org/package/2006/relationships"><Relationship Id="rId1" Target="styles.xml" Type="http://schemas.openxmlformats.org/officeDocument/2006/relationships/styles"/><Relationship Id="rId10" Target="fontTable.xml" Type="http://schemas.openxmlformats.org/officeDocument/2006/relationships/fontTable"/><Relationship Id="rId2" Target="settings.xml" Type="http://schemas.openxmlformats.org/officeDocument/2006/relationships/settings"/><Relationship Id="rId3" Target="header1.xml" Type="http://schemas.openxmlformats.org/officeDocument/2006/relationships/header"/><Relationship Id="rId4" Target="footer1.xml" Type="http://schemas.openxmlformats.org/officeDocument/2006/relationships/footer"/><Relationship Id="rId5" Target="header2.xml" Type="http://schemas.openxmlformats.org/officeDocument/2006/relationships/header"/><Relationship Id="rId6" Target="footer2.xml" Type="http://schemas.openxmlformats.org/officeDocument/2006/relationships/footer"/><Relationship Id="rId7" Target="theme/theme1.xml" Type="http://schemas.openxmlformats.org/officeDocument/2006/relationships/theme"/><Relationship Id="rId8" Target="../customXml/item1.xml" Type="http://schemas.openxmlformats.org/officeDocument/2006/relationships/customXml"/><Relationship Id="rId9" Target="numbering.xml" Type="http://schemas.openxmlformats.org/officeDocument/2006/relationships/numbering"/></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Relationships xmlns="http://schemas.openxmlformats.org/package/2006/relationships"><Relationship Id="rId1" Target="itemProps1.xml" Type="http://schemas.openxmlformats.org/officeDocument/2006/relationships/customXmlProps"/></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Company>Microsoft</Company>
  <Pages>126</Pages>
  <Words>91370</Words>
  <Characters>97111</Characters>
  <Lines>187</Lines>
  <Paragraphs>52</Paragraphs>
  <TotalTime>0</TotalTime>
  <ScaleCrop>false</ScaleCrop>
  <LinksUpToDate>false</LinksUpToDate>
  <CharactersWithSpaces>102838</CharactersWithSpaces>
  <Application>WPS Office_12.1.0.16388_F1E327BC-269C-435d-A152-05C5408002CA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xsi="http://www.w3.org/2001/XMLSchema-instance">
  <dcterms:created xsi:type="dcterms:W3CDTF">2021-07-01T09:03:00Z</dcterms:created>
  <dc:creator>yll</dc:creator>
  <cp:lastModifiedBy>WPS_1701756769</cp:lastModifiedBy>
  <cp:lastPrinted>2022-07-08T06:40:41Z</cp:lastPrinted>
  <dcterms:modified xsi:type="dcterms:W3CDTF">2024-02-22T02:48:09Z</dcterms:modified>
  <cp:revision>3</cp:revision>
  <dc:title>瑞安市公共资源交易中心</dc:title>
</cp:coreProperties>
</file>

<file path=docProps/custom.xml><?xml version="1.0" encoding="utf-8"?>
<Properties xmlns="http://schemas.openxmlformats.org/officeDocument/2006/custom-properties" xmlns:vt="http://schemas.openxmlformats.org/officeDocument/2006/docPropsVTypes">
  <property fmtid="{D5CDD505-2E9C-101B-9397-08002B2CF9AE}" pid="2" name="项目编号">
    <vt:lpwstr>AAAAA</vt:lpwstr>
  </property>
  <property fmtid="{D5CDD505-2E9C-101B-9397-08002B2CF9AE}" pid="3" name="KSOProductBuildVer">
    <vt:lpwstr>2052-12.1.0.16388</vt:lpwstr>
  </property>
  <property fmtid="{D5CDD505-2E9C-101B-9397-08002B2CF9AE}" pid="4" name="ICV">
    <vt:lpwstr>EFE89D107C3445DE9B8E8BB41AE4BC5F_13</vt:lpwstr>
  </property>
</Properties>
</file>