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B88806">
      <w:pPr>
        <w:snapToGrid w:val="0"/>
        <w:spacing w:line="360" w:lineRule="auto"/>
        <w:jc w:val="center"/>
        <w:rPr>
          <w:rFonts w:hint="eastAsia" w:ascii="宋体" w:hAnsi="宋体"/>
          <w:b/>
          <w:color w:val="auto"/>
          <w:sz w:val="52"/>
          <w:szCs w:val="52"/>
          <w:highlight w:val="none"/>
          <w:lang w:eastAsia="zh-CN"/>
        </w:rPr>
      </w:pPr>
    </w:p>
    <w:p w14:paraId="21491F5B">
      <w:pPr>
        <w:snapToGrid w:val="0"/>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桐乡市人民法院</w:t>
      </w:r>
    </w:p>
    <w:p w14:paraId="544C982B">
      <w:pPr>
        <w:snapToGrid w:val="0"/>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崇福人民法庭审判法庭智慧化改造项目</w:t>
      </w:r>
    </w:p>
    <w:p w14:paraId="1F8D8274">
      <w:pPr>
        <w:snapToGrid w:val="0"/>
        <w:jc w:val="both"/>
        <w:rPr>
          <w:rFonts w:hint="eastAsia" w:ascii="宋体" w:hAnsi="宋体"/>
          <w:b/>
          <w:color w:val="auto"/>
          <w:sz w:val="52"/>
          <w:szCs w:val="52"/>
          <w:highlight w:val="none"/>
        </w:rPr>
      </w:pPr>
    </w:p>
    <w:p w14:paraId="5CCE884A">
      <w:pPr>
        <w:pStyle w:val="27"/>
        <w:ind w:left="1680" w:right="1680"/>
        <w:rPr>
          <w:rFonts w:hint="eastAsia"/>
          <w:color w:val="auto"/>
          <w:highlight w:val="none"/>
        </w:rPr>
      </w:pPr>
    </w:p>
    <w:p w14:paraId="0674F673">
      <w:pPr>
        <w:snapToGrid w:val="0"/>
        <w:jc w:val="center"/>
        <w:rPr>
          <w:rFonts w:hint="eastAsia" w:ascii="宋体" w:hAnsi="宋体"/>
          <w:b/>
          <w:color w:val="auto"/>
          <w:sz w:val="52"/>
          <w:szCs w:val="52"/>
          <w:highlight w:val="none"/>
        </w:rPr>
      </w:pPr>
    </w:p>
    <w:p w14:paraId="1EFA68E6">
      <w:pPr>
        <w:snapToGrid w:val="0"/>
        <w:jc w:val="center"/>
        <w:rPr>
          <w:rFonts w:hint="eastAsia" w:ascii="宋体" w:hAnsi="宋体"/>
          <w:b/>
          <w:color w:val="auto"/>
          <w:sz w:val="52"/>
          <w:szCs w:val="52"/>
          <w:highlight w:val="none"/>
        </w:rPr>
      </w:pPr>
      <w:r>
        <w:rPr>
          <w:rFonts w:hint="eastAsia" w:ascii="宋体" w:hAnsi="宋体"/>
          <w:b/>
          <w:color w:val="auto"/>
          <w:sz w:val="52"/>
          <w:szCs w:val="52"/>
          <w:highlight w:val="none"/>
        </w:rPr>
        <w:t>公开招标文件</w:t>
      </w:r>
    </w:p>
    <w:p w14:paraId="792FE0A1">
      <w:pPr>
        <w:snapToGrid w:val="0"/>
        <w:jc w:val="center"/>
        <w:rPr>
          <w:rFonts w:hint="eastAsia" w:ascii="宋体" w:hAnsi="宋体"/>
          <w:b/>
          <w:color w:val="auto"/>
          <w:sz w:val="52"/>
          <w:szCs w:val="52"/>
          <w:highlight w:val="none"/>
        </w:rPr>
      </w:pPr>
    </w:p>
    <w:p w14:paraId="3E28375B">
      <w:pPr>
        <w:snapToGrid w:val="0"/>
        <w:jc w:val="center"/>
        <w:rPr>
          <w:rFonts w:hint="eastAsia" w:ascii="宋体" w:hAnsi="宋体"/>
          <w:b/>
          <w:color w:val="auto"/>
          <w:sz w:val="52"/>
          <w:szCs w:val="52"/>
          <w:highlight w:val="none"/>
        </w:rPr>
      </w:pPr>
    </w:p>
    <w:p w14:paraId="6B0309BA">
      <w:pPr>
        <w:snapToGrid w:val="0"/>
        <w:jc w:val="center"/>
        <w:rPr>
          <w:rFonts w:hint="eastAsia" w:ascii="宋体" w:hAnsi="宋体"/>
          <w:b/>
          <w:color w:val="auto"/>
          <w:sz w:val="52"/>
          <w:szCs w:val="52"/>
          <w:highlight w:val="none"/>
        </w:rPr>
      </w:pPr>
    </w:p>
    <w:p w14:paraId="3E367BB4">
      <w:pPr>
        <w:jc w:val="center"/>
        <w:rPr>
          <w:rFonts w:hint="default" w:ascii="宋体" w:hAnsi="宋体" w:eastAsia="宋体"/>
          <w:color w:val="auto"/>
          <w:sz w:val="32"/>
          <w:szCs w:val="32"/>
          <w:highlight w:val="none"/>
          <w:lang w:val="en-US" w:eastAsia="zh-CN"/>
        </w:rPr>
      </w:pPr>
      <w:r>
        <w:rPr>
          <w:rFonts w:hint="eastAsia" w:ascii="宋体" w:hAnsi="宋体"/>
          <w:color w:val="auto"/>
          <w:sz w:val="32"/>
          <w:szCs w:val="32"/>
          <w:highlight w:val="none"/>
        </w:rPr>
        <w:t>项目编号：</w:t>
      </w:r>
      <w:r>
        <w:rPr>
          <w:rFonts w:hint="eastAsia" w:ascii="宋体" w:hAnsi="宋体"/>
          <w:color w:val="auto"/>
          <w:sz w:val="32"/>
          <w:szCs w:val="32"/>
          <w:highlight w:val="none"/>
          <w:lang w:eastAsia="zh-CN"/>
        </w:rPr>
        <w:t>QZZXC2025-</w:t>
      </w:r>
      <w:r>
        <w:rPr>
          <w:rFonts w:hint="eastAsia" w:ascii="宋体" w:hAnsi="宋体"/>
          <w:color w:val="auto"/>
          <w:sz w:val="32"/>
          <w:szCs w:val="32"/>
          <w:highlight w:val="none"/>
          <w:lang w:val="en-US" w:eastAsia="zh-CN"/>
        </w:rPr>
        <w:t>024</w:t>
      </w:r>
    </w:p>
    <w:p w14:paraId="3D76FCD9">
      <w:pPr>
        <w:jc w:val="center"/>
        <w:rPr>
          <w:rFonts w:hint="eastAsia" w:ascii="宋体" w:hAnsi="宋体"/>
          <w:color w:val="auto"/>
          <w:sz w:val="32"/>
          <w:szCs w:val="32"/>
          <w:highlight w:val="none"/>
        </w:rPr>
      </w:pPr>
    </w:p>
    <w:p w14:paraId="1FBBEED3">
      <w:pPr>
        <w:jc w:val="center"/>
        <w:rPr>
          <w:rFonts w:hint="eastAsia" w:ascii="宋体" w:hAnsi="宋体"/>
          <w:color w:val="auto"/>
          <w:sz w:val="32"/>
          <w:szCs w:val="32"/>
          <w:highlight w:val="none"/>
        </w:rPr>
      </w:pPr>
    </w:p>
    <w:p w14:paraId="1C8E4BBA">
      <w:pPr>
        <w:jc w:val="both"/>
        <w:rPr>
          <w:rFonts w:hint="eastAsia" w:ascii="宋体" w:hAnsi="宋体"/>
          <w:color w:val="auto"/>
          <w:sz w:val="32"/>
          <w:szCs w:val="32"/>
          <w:highlight w:val="none"/>
        </w:rPr>
      </w:pPr>
    </w:p>
    <w:p w14:paraId="30E5DAB2">
      <w:pPr>
        <w:jc w:val="both"/>
        <w:rPr>
          <w:rFonts w:hint="eastAsia" w:ascii="宋体" w:hAnsi="宋体"/>
          <w:color w:val="auto"/>
          <w:sz w:val="32"/>
          <w:szCs w:val="32"/>
          <w:highlight w:val="none"/>
        </w:rPr>
      </w:pPr>
    </w:p>
    <w:p w14:paraId="43062D8D">
      <w:pPr>
        <w:snapToGrid w:val="0"/>
        <w:spacing w:line="360" w:lineRule="auto"/>
        <w:jc w:val="center"/>
        <w:rPr>
          <w:rFonts w:hint="eastAsia" w:ascii="宋体" w:hAnsi="宋体" w:eastAsia="宋体" w:cs="Times New Roman"/>
          <w:b w:val="0"/>
          <w:bCs/>
          <w:color w:val="auto"/>
          <w:sz w:val="32"/>
          <w:szCs w:val="32"/>
          <w:highlight w:val="none"/>
        </w:rPr>
      </w:pPr>
      <w:bookmarkStart w:id="0" w:name="_Toc322352981"/>
      <w:bookmarkStart w:id="1" w:name="_Toc354401488"/>
      <w:bookmarkStart w:id="2" w:name="_Toc350256312"/>
      <w:r>
        <w:rPr>
          <w:rFonts w:hint="eastAsia" w:ascii="宋体" w:hAnsi="宋体" w:eastAsia="宋体" w:cs="Times New Roman"/>
          <w:b w:val="0"/>
          <w:bCs/>
          <w:color w:val="auto"/>
          <w:sz w:val="32"/>
          <w:szCs w:val="32"/>
          <w:highlight w:val="none"/>
        </w:rPr>
        <w:t>采购组织形式：分散采购</w:t>
      </w:r>
    </w:p>
    <w:p w14:paraId="4ADB975A">
      <w:pPr>
        <w:snapToGrid w:val="0"/>
        <w:spacing w:line="360" w:lineRule="auto"/>
        <w:jc w:val="center"/>
        <w:rPr>
          <w:rFonts w:hint="eastAsia" w:ascii="宋体" w:hAnsi="宋体" w:eastAsia="宋体" w:cs="Times New Roman"/>
          <w:b w:val="0"/>
          <w:bCs/>
          <w:color w:val="auto"/>
          <w:sz w:val="32"/>
          <w:szCs w:val="32"/>
          <w:highlight w:val="none"/>
          <w:lang w:eastAsia="zh-CN"/>
        </w:rPr>
      </w:pPr>
      <w:r>
        <w:rPr>
          <w:rFonts w:hint="eastAsia" w:ascii="宋体" w:hAnsi="宋体" w:eastAsia="宋体" w:cs="Times New Roman"/>
          <w:b w:val="0"/>
          <w:bCs/>
          <w:color w:val="auto"/>
          <w:sz w:val="32"/>
          <w:szCs w:val="32"/>
          <w:highlight w:val="none"/>
        </w:rPr>
        <w:t>采购单位：</w:t>
      </w:r>
      <w:r>
        <w:rPr>
          <w:rFonts w:hint="eastAsia" w:ascii="宋体" w:hAnsi="宋体" w:cs="Times New Roman"/>
          <w:b w:val="0"/>
          <w:bCs/>
          <w:color w:val="auto"/>
          <w:sz w:val="32"/>
          <w:szCs w:val="32"/>
          <w:highlight w:val="none"/>
          <w:lang w:eastAsia="zh-CN"/>
        </w:rPr>
        <w:t>桐乡市人民法院</w:t>
      </w:r>
    </w:p>
    <w:p w14:paraId="5F8A5E27">
      <w:pPr>
        <w:snapToGrid w:val="0"/>
        <w:spacing w:line="360" w:lineRule="auto"/>
        <w:jc w:val="center"/>
        <w:rPr>
          <w:rFonts w:hint="eastAsia" w:ascii="宋体" w:hAnsi="宋体" w:eastAsia="宋体" w:cs="Times New Roman"/>
          <w:b w:val="0"/>
          <w:bCs/>
          <w:color w:val="auto"/>
          <w:sz w:val="32"/>
          <w:szCs w:val="32"/>
          <w:highlight w:val="none"/>
        </w:rPr>
      </w:pPr>
      <w:r>
        <w:rPr>
          <w:rFonts w:hint="eastAsia" w:ascii="宋体" w:hAnsi="宋体" w:eastAsia="宋体" w:cs="Times New Roman"/>
          <w:b w:val="0"/>
          <w:bCs/>
          <w:color w:val="auto"/>
          <w:sz w:val="32"/>
          <w:szCs w:val="32"/>
          <w:highlight w:val="none"/>
        </w:rPr>
        <w:t>采购代理机构：浙江求真工程管理咨询有限公司</w:t>
      </w:r>
    </w:p>
    <w:p w14:paraId="0A143B04">
      <w:pPr>
        <w:snapToGrid w:val="0"/>
        <w:spacing w:line="360" w:lineRule="auto"/>
        <w:jc w:val="center"/>
        <w:rPr>
          <w:rFonts w:hint="eastAsia" w:ascii="宋体" w:hAnsi="宋体" w:eastAsia="宋体" w:cs="Times New Roman"/>
          <w:b w:val="0"/>
          <w:bCs/>
          <w:color w:val="auto"/>
          <w:sz w:val="32"/>
          <w:szCs w:val="32"/>
          <w:highlight w:val="none"/>
        </w:rPr>
      </w:pPr>
      <w:r>
        <w:rPr>
          <w:rFonts w:hint="eastAsia" w:ascii="宋体" w:hAnsi="宋体" w:eastAsia="宋体" w:cs="Times New Roman"/>
          <w:b w:val="0"/>
          <w:bCs/>
          <w:color w:val="auto"/>
          <w:sz w:val="32"/>
          <w:szCs w:val="32"/>
          <w:highlight w:val="none"/>
        </w:rPr>
        <w:t>202</w:t>
      </w:r>
      <w:r>
        <w:rPr>
          <w:rFonts w:hint="eastAsia" w:ascii="宋体" w:hAnsi="宋体" w:cs="Times New Roman"/>
          <w:b w:val="0"/>
          <w:bCs/>
          <w:color w:val="auto"/>
          <w:sz w:val="32"/>
          <w:szCs w:val="32"/>
          <w:highlight w:val="none"/>
          <w:lang w:val="en-US" w:eastAsia="zh-CN"/>
        </w:rPr>
        <w:t>5</w:t>
      </w:r>
      <w:r>
        <w:rPr>
          <w:rFonts w:hint="eastAsia" w:ascii="宋体" w:hAnsi="宋体" w:eastAsia="宋体" w:cs="Times New Roman"/>
          <w:b w:val="0"/>
          <w:bCs/>
          <w:color w:val="auto"/>
          <w:sz w:val="32"/>
          <w:szCs w:val="32"/>
          <w:highlight w:val="none"/>
        </w:rPr>
        <w:t>年</w:t>
      </w:r>
      <w:r>
        <w:rPr>
          <w:rFonts w:hint="eastAsia" w:ascii="宋体" w:hAnsi="宋体" w:cs="Times New Roman"/>
          <w:b w:val="0"/>
          <w:bCs/>
          <w:color w:val="auto"/>
          <w:sz w:val="32"/>
          <w:szCs w:val="32"/>
          <w:highlight w:val="none"/>
          <w:lang w:val="en-US" w:eastAsia="zh-CN"/>
        </w:rPr>
        <w:t>7</w:t>
      </w:r>
      <w:r>
        <w:rPr>
          <w:rFonts w:hint="eastAsia" w:ascii="宋体" w:hAnsi="宋体" w:eastAsia="宋体" w:cs="Times New Roman"/>
          <w:b w:val="0"/>
          <w:bCs/>
          <w:color w:val="auto"/>
          <w:sz w:val="32"/>
          <w:szCs w:val="32"/>
          <w:highlight w:val="none"/>
        </w:rPr>
        <w:t>月</w:t>
      </w:r>
      <w:r>
        <w:rPr>
          <w:rFonts w:hint="eastAsia" w:ascii="宋体" w:hAnsi="宋体" w:cs="Times New Roman"/>
          <w:b w:val="0"/>
          <w:bCs/>
          <w:color w:val="auto"/>
          <w:sz w:val="32"/>
          <w:szCs w:val="32"/>
          <w:highlight w:val="none"/>
          <w:lang w:val="en-US" w:eastAsia="zh-CN"/>
        </w:rPr>
        <w:t>8</w:t>
      </w:r>
      <w:r>
        <w:rPr>
          <w:rFonts w:hint="eastAsia" w:ascii="宋体" w:hAnsi="宋体" w:eastAsia="宋体" w:cs="Times New Roman"/>
          <w:b w:val="0"/>
          <w:bCs/>
          <w:color w:val="auto"/>
          <w:sz w:val="32"/>
          <w:szCs w:val="32"/>
          <w:highlight w:val="none"/>
        </w:rPr>
        <w:t>日</w:t>
      </w:r>
    </w:p>
    <w:p w14:paraId="1B992290">
      <w:pPr>
        <w:snapToGrid w:val="0"/>
        <w:jc w:val="center"/>
        <w:rPr>
          <w:rFonts w:hint="eastAsia" w:ascii="宋体" w:hAnsi="宋体" w:cs="宋体"/>
          <w:b/>
          <w:color w:val="auto"/>
          <w:sz w:val="32"/>
          <w:szCs w:val="32"/>
          <w:highlight w:val="none"/>
        </w:rPr>
      </w:pPr>
    </w:p>
    <w:p w14:paraId="3466EF3D">
      <w:pPr>
        <w:snapToGrid w:val="0"/>
        <w:jc w:val="center"/>
        <w:rPr>
          <w:rFonts w:hint="eastAsia" w:ascii="宋体" w:hAnsi="宋体" w:cs="宋体"/>
          <w:b/>
          <w:color w:val="auto"/>
          <w:sz w:val="32"/>
          <w:szCs w:val="32"/>
          <w:highlight w:val="none"/>
        </w:rPr>
      </w:pPr>
    </w:p>
    <w:p w14:paraId="7829B280">
      <w:pPr>
        <w:snapToGrid w:val="0"/>
        <w:jc w:val="center"/>
        <w:rPr>
          <w:rFonts w:hint="eastAsia" w:ascii="宋体" w:hAnsi="宋体" w:cs="宋体"/>
          <w:b/>
          <w:color w:val="auto"/>
          <w:sz w:val="32"/>
          <w:szCs w:val="32"/>
          <w:highlight w:val="none"/>
        </w:rPr>
      </w:pPr>
    </w:p>
    <w:p w14:paraId="296D34D8">
      <w:pPr>
        <w:snapToGrid w:val="0"/>
        <w:jc w:val="both"/>
        <w:rPr>
          <w:rFonts w:hint="eastAsia" w:ascii="宋体" w:hAnsi="宋体" w:cs="宋体"/>
          <w:b/>
          <w:color w:val="auto"/>
          <w:sz w:val="32"/>
          <w:szCs w:val="32"/>
          <w:highlight w:val="none"/>
        </w:rPr>
      </w:pPr>
    </w:p>
    <w:p w14:paraId="4B60445A">
      <w:pPr>
        <w:snapToGrid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目 录</w:t>
      </w:r>
    </w:p>
    <w:p w14:paraId="08CF9FAF">
      <w:pPr>
        <w:pStyle w:val="42"/>
        <w:tabs>
          <w:tab w:val="right" w:leader="dot" w:pos="9118"/>
        </w:tabs>
        <w:overflowPunct w:val="0"/>
        <w:snapToGrid w:val="0"/>
        <w:spacing w:line="240" w:lineRule="auto"/>
        <w:rPr>
          <w:rFonts w:hint="eastAsia" w:ascii="宋体" w:hAnsi="宋体" w:eastAsia="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"_Toc359856795"</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color w:val="auto"/>
          <w:sz w:val="28"/>
          <w:szCs w:val="28"/>
          <w:highlight w:val="none"/>
        </w:rPr>
        <w:t>第一章  招标公告</w:t>
      </w:r>
      <w:r>
        <w:rPr>
          <w:rFonts w:hint="eastAsia" w:ascii="宋体" w:hAnsi="宋体" w:eastAsia="宋体"/>
          <w:color w:val="auto"/>
          <w:sz w:val="28"/>
          <w:szCs w:val="28"/>
          <w:highlight w:val="none"/>
        </w:rPr>
        <w:fldChar w:fldCharType="end"/>
      </w:r>
    </w:p>
    <w:p w14:paraId="2110C369">
      <w:pPr>
        <w:pStyle w:val="42"/>
        <w:tabs>
          <w:tab w:val="right" w:leader="dot" w:pos="9118"/>
        </w:tabs>
        <w:overflowPunct w:val="0"/>
        <w:snapToGrid w:val="0"/>
        <w:spacing w:line="240" w:lineRule="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"_Toc359856796"</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color w:val="auto"/>
          <w:sz w:val="28"/>
          <w:szCs w:val="28"/>
          <w:highlight w:val="none"/>
        </w:rPr>
        <w:t>第二章  投标须知及说明</w:t>
      </w: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"_Toc359856797"</w:instrText>
      </w:r>
      <w:r>
        <w:rPr>
          <w:rFonts w:hint="eastAsia" w:ascii="宋体" w:hAnsi="宋体" w:eastAsia="宋体"/>
          <w:color w:val="auto"/>
          <w:sz w:val="28"/>
          <w:szCs w:val="28"/>
          <w:highlight w:val="none"/>
        </w:rPr>
        <w:fldChar w:fldCharType="separate"/>
      </w:r>
      <w:r>
        <w:rPr>
          <w:rFonts w:hint="eastAsia" w:ascii="宋体" w:hAnsi="宋体" w:eastAsia="宋体"/>
          <w:color w:val="auto"/>
          <w:sz w:val="28"/>
          <w:szCs w:val="28"/>
          <w:highlight w:val="none"/>
        </w:rPr>
        <w:fldChar w:fldCharType="end"/>
      </w:r>
    </w:p>
    <w:p w14:paraId="79018E30">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"_Toc359856798"</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一、 投标</w:t>
      </w:r>
      <w:bookmarkStart w:id="3" w:name="_Hlt40715619"/>
      <w:r>
        <w:rPr>
          <w:rStyle w:val="77"/>
          <w:rFonts w:hint="eastAsia" w:ascii="宋体" w:hAnsi="宋体" w:eastAsia="宋体"/>
          <w:color w:val="auto"/>
          <w:sz w:val="28"/>
          <w:szCs w:val="28"/>
          <w:highlight w:val="none"/>
        </w:rPr>
        <w:t>须</w:t>
      </w:r>
      <w:bookmarkEnd w:id="3"/>
      <w:r>
        <w:rPr>
          <w:rStyle w:val="77"/>
          <w:rFonts w:hint="eastAsia" w:ascii="宋体" w:hAnsi="宋体" w:eastAsia="宋体"/>
          <w:color w:val="auto"/>
          <w:sz w:val="28"/>
          <w:szCs w:val="28"/>
          <w:highlight w:val="none"/>
        </w:rPr>
        <w:t>知</w:t>
      </w:r>
      <w:r>
        <w:rPr>
          <w:rFonts w:hint="eastAsia" w:ascii="宋体" w:hAnsi="宋体" w:eastAsia="宋体"/>
          <w:color w:val="auto"/>
          <w:sz w:val="28"/>
          <w:szCs w:val="28"/>
          <w:highlight w:val="none"/>
        </w:rPr>
        <w:fldChar w:fldCharType="end"/>
      </w:r>
    </w:p>
    <w:p w14:paraId="286D4C88">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"_Toc359856799"</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二、 招标文</w:t>
      </w:r>
      <w:bookmarkStart w:id="4" w:name="_Hlt18920486"/>
      <w:r>
        <w:rPr>
          <w:rStyle w:val="77"/>
          <w:rFonts w:hint="eastAsia" w:ascii="宋体" w:hAnsi="宋体" w:eastAsia="宋体"/>
          <w:color w:val="auto"/>
          <w:sz w:val="28"/>
          <w:szCs w:val="28"/>
          <w:highlight w:val="none"/>
        </w:rPr>
        <w:t>件</w:t>
      </w:r>
      <w:bookmarkEnd w:id="4"/>
      <w:r>
        <w:rPr>
          <w:rStyle w:val="77"/>
          <w:rFonts w:hint="eastAsia" w:ascii="宋体" w:hAnsi="宋体" w:eastAsia="宋体"/>
          <w:color w:val="auto"/>
          <w:sz w:val="28"/>
          <w:szCs w:val="28"/>
          <w:highlight w:val="none"/>
        </w:rPr>
        <w:t>说明</w:t>
      </w:r>
      <w:r>
        <w:rPr>
          <w:rFonts w:hint="eastAsia" w:ascii="宋体" w:hAnsi="宋体" w:eastAsia="宋体"/>
          <w:color w:val="auto"/>
          <w:sz w:val="28"/>
          <w:szCs w:val="28"/>
          <w:highlight w:val="none"/>
        </w:rPr>
        <w:fldChar w:fldCharType="end"/>
      </w:r>
    </w:p>
    <w:p w14:paraId="6999501E">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"_Toc359856800"</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三、 投标文件的编制</w:t>
      </w:r>
      <w:r>
        <w:rPr>
          <w:rFonts w:hint="eastAsia" w:ascii="宋体" w:hAnsi="宋体" w:eastAsia="宋体"/>
          <w:color w:val="auto"/>
          <w:sz w:val="28"/>
          <w:szCs w:val="28"/>
          <w:highlight w:val="none"/>
        </w:rPr>
        <w:fldChar w:fldCharType="end"/>
      </w:r>
    </w:p>
    <w:p w14:paraId="3AA58EB0">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"_Toc359856801"</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四、 投标保证金</w:t>
      </w:r>
      <w:r>
        <w:rPr>
          <w:rFonts w:hint="eastAsia" w:ascii="宋体" w:hAnsi="宋体" w:eastAsia="宋体"/>
          <w:color w:val="auto"/>
          <w:sz w:val="28"/>
          <w:szCs w:val="28"/>
          <w:highlight w:val="none"/>
        </w:rPr>
        <w:fldChar w:fldCharType="end"/>
      </w:r>
    </w:p>
    <w:p w14:paraId="5F779328">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"_Toc359856802"</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五、 投标文件的签署及规定</w:t>
      </w:r>
      <w:r>
        <w:rPr>
          <w:rFonts w:hint="eastAsia" w:ascii="宋体" w:hAnsi="宋体" w:eastAsia="宋体"/>
          <w:color w:val="auto"/>
          <w:sz w:val="28"/>
          <w:szCs w:val="28"/>
          <w:highlight w:val="none"/>
        </w:rPr>
        <w:fldChar w:fldCharType="end"/>
      </w:r>
    </w:p>
    <w:p w14:paraId="6D2EFCF0">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"_Toc359856803"</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六、 投标文件的递交</w:t>
      </w:r>
      <w:r>
        <w:rPr>
          <w:rFonts w:hint="eastAsia" w:ascii="宋体" w:hAnsi="宋体" w:eastAsia="宋体"/>
          <w:color w:val="auto"/>
          <w:sz w:val="28"/>
          <w:szCs w:val="28"/>
          <w:highlight w:val="none"/>
        </w:rPr>
        <w:fldChar w:fldCharType="end"/>
      </w:r>
    </w:p>
    <w:p w14:paraId="6222617B">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"_Toc359856804"</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七、 投标无效的情形</w:t>
      </w:r>
      <w:r>
        <w:rPr>
          <w:rFonts w:hint="eastAsia" w:ascii="宋体" w:hAnsi="宋体" w:eastAsia="宋体"/>
          <w:color w:val="auto"/>
          <w:sz w:val="28"/>
          <w:szCs w:val="28"/>
          <w:highlight w:val="none"/>
        </w:rPr>
        <w:fldChar w:fldCharType="end"/>
      </w:r>
    </w:p>
    <w:p w14:paraId="2EB643F6">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"串通投标的情形" </w:instrText>
      </w:r>
      <w:r>
        <w:rPr>
          <w:rFonts w:hint="eastAsia" w:ascii="宋体" w:hAnsi="宋体" w:eastAsia="宋体"/>
          <w:color w:val="auto"/>
          <w:sz w:val="28"/>
          <w:szCs w:val="28"/>
          <w:highlight w:val="none"/>
        </w:rPr>
        <w:fldChar w:fldCharType="separate"/>
      </w: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"废标的情形" </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八、 废标</w:t>
      </w:r>
      <w:bookmarkStart w:id="5" w:name="_Hlt40713956"/>
      <w:r>
        <w:rPr>
          <w:rStyle w:val="77"/>
          <w:rFonts w:hint="eastAsia" w:ascii="宋体" w:hAnsi="宋体" w:eastAsia="宋体"/>
          <w:color w:val="auto"/>
          <w:sz w:val="28"/>
          <w:szCs w:val="28"/>
          <w:highlight w:val="none"/>
        </w:rPr>
        <w:t>的</w:t>
      </w:r>
      <w:bookmarkEnd w:id="5"/>
      <w:r>
        <w:rPr>
          <w:rStyle w:val="77"/>
          <w:rFonts w:hint="eastAsia" w:ascii="宋体" w:hAnsi="宋体" w:eastAsia="宋体"/>
          <w:color w:val="auto"/>
          <w:sz w:val="28"/>
          <w:szCs w:val="28"/>
          <w:highlight w:val="none"/>
        </w:rPr>
        <w:t>情形</w:t>
      </w:r>
      <w:r>
        <w:rPr>
          <w:rFonts w:hint="eastAsia" w:ascii="宋体" w:hAnsi="宋体" w:eastAsia="宋体"/>
          <w:color w:val="auto"/>
          <w:sz w:val="28"/>
          <w:szCs w:val="28"/>
          <w:highlight w:val="none"/>
        </w:rPr>
        <w:fldChar w:fldCharType="end"/>
      </w:r>
    </w:p>
    <w:p w14:paraId="600BBA3A">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"_Toc359856806"</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九、 开标和评标</w:t>
      </w:r>
      <w:r>
        <w:rPr>
          <w:rFonts w:hint="eastAsia" w:ascii="宋体" w:hAnsi="宋体" w:eastAsia="宋体"/>
          <w:color w:val="auto"/>
          <w:sz w:val="28"/>
          <w:szCs w:val="28"/>
          <w:highlight w:val="none"/>
        </w:rPr>
        <w:fldChar w:fldCharType="end"/>
      </w:r>
    </w:p>
    <w:p w14:paraId="1A5958DD">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"_Toc359856807"</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十、 授予合同</w:t>
      </w:r>
      <w:r>
        <w:rPr>
          <w:rFonts w:hint="eastAsia" w:ascii="宋体" w:hAnsi="宋体" w:eastAsia="宋体"/>
          <w:color w:val="auto"/>
          <w:sz w:val="28"/>
          <w:szCs w:val="28"/>
          <w:highlight w:val="none"/>
        </w:rPr>
        <w:fldChar w:fldCharType="end"/>
      </w:r>
    </w:p>
    <w:p w14:paraId="0C2B7446">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"质疑与投诉" </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十一、 质疑与投诉</w:t>
      </w:r>
    </w:p>
    <w:p w14:paraId="407B0859">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"法律责任" </w:instrText>
      </w:r>
      <w:r>
        <w:rPr>
          <w:rFonts w:hint="eastAsia" w:ascii="宋体" w:hAnsi="宋体" w:eastAsia="宋体"/>
          <w:color w:val="auto"/>
          <w:sz w:val="28"/>
          <w:szCs w:val="28"/>
          <w:highlight w:val="none"/>
        </w:rPr>
        <w:fldChar w:fldCharType="separate"/>
      </w: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"_Toc359856809"</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十二、 其</w:t>
      </w:r>
      <w:bookmarkStart w:id="6" w:name="_Hlt40081043"/>
      <w:r>
        <w:rPr>
          <w:rStyle w:val="77"/>
          <w:rFonts w:hint="eastAsia" w:ascii="宋体" w:hAnsi="宋体" w:eastAsia="宋体"/>
          <w:color w:val="auto"/>
          <w:sz w:val="28"/>
          <w:szCs w:val="28"/>
          <w:highlight w:val="none"/>
        </w:rPr>
        <w:t>他</w:t>
      </w:r>
      <w:bookmarkEnd w:id="6"/>
      <w:r>
        <w:rPr>
          <w:rFonts w:hint="eastAsia" w:ascii="宋体" w:hAnsi="宋体" w:eastAsia="宋体"/>
          <w:color w:val="auto"/>
          <w:sz w:val="28"/>
          <w:szCs w:val="28"/>
          <w:highlight w:val="none"/>
        </w:rPr>
        <w:fldChar w:fldCharType="end"/>
      </w:r>
    </w:p>
    <w:p w14:paraId="1CCC7815">
      <w:pPr>
        <w:pStyle w:val="42"/>
        <w:tabs>
          <w:tab w:val="right" w:leader="dot" w:pos="9118"/>
        </w:tabs>
        <w:overflowPunct w:val="0"/>
        <w:snapToGrid w:val="0"/>
        <w:spacing w:line="240" w:lineRule="auto"/>
        <w:rPr>
          <w:rFonts w:hint="eastAsia" w:ascii="宋体" w:hAnsi="宋体" w:eastAsia="宋体"/>
          <w:smallCaps/>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"_Toc359856810"</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color w:val="auto"/>
          <w:sz w:val="28"/>
          <w:szCs w:val="28"/>
          <w:highlight w:val="none"/>
        </w:rPr>
        <w:t>第三章  采购</w:t>
      </w:r>
      <w:bookmarkStart w:id="7" w:name="_Hlt40081097"/>
      <w:r>
        <w:rPr>
          <w:rStyle w:val="77"/>
          <w:rFonts w:hint="eastAsia" w:ascii="宋体" w:hAnsi="宋体" w:eastAsia="宋体" w:cs="宋体"/>
          <w:color w:val="auto"/>
          <w:sz w:val="28"/>
          <w:szCs w:val="28"/>
          <w:highlight w:val="none"/>
        </w:rPr>
        <w:t>内</w:t>
      </w:r>
      <w:bookmarkEnd w:id="7"/>
      <w:r>
        <w:rPr>
          <w:rStyle w:val="77"/>
          <w:rFonts w:hint="eastAsia" w:ascii="宋体" w:hAnsi="宋体" w:eastAsia="宋体" w:cs="宋体"/>
          <w:color w:val="auto"/>
          <w:sz w:val="28"/>
          <w:szCs w:val="28"/>
          <w:highlight w:val="none"/>
        </w:rPr>
        <w:t>容及要求</w:t>
      </w:r>
      <w:r>
        <w:rPr>
          <w:rFonts w:hint="eastAsia" w:ascii="宋体" w:hAnsi="宋体" w:eastAsia="宋体"/>
          <w:color w:val="auto"/>
          <w:sz w:val="28"/>
          <w:szCs w:val="28"/>
          <w:highlight w:val="none"/>
        </w:rPr>
        <w:fldChar w:fldCharType="end"/>
      </w:r>
    </w:p>
    <w:p w14:paraId="31F2CCE9">
      <w:pPr>
        <w:pStyle w:val="42"/>
        <w:tabs>
          <w:tab w:val="right" w:leader="dot" w:pos="9118"/>
        </w:tabs>
        <w:overflowPunct w:val="0"/>
        <w:snapToGrid w:val="0"/>
        <w:spacing w:line="240" w:lineRule="auto"/>
        <w:rPr>
          <w:rStyle w:val="77"/>
          <w:rFonts w:hint="eastAsia" w:ascii="宋体" w:hAnsi="宋体" w:eastAsia="宋体" w:cs="宋体"/>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"_Toc359856819"</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color w:val="auto"/>
          <w:sz w:val="28"/>
          <w:szCs w:val="28"/>
          <w:highlight w:val="none"/>
        </w:rPr>
        <w:t>第四章  有关格式参考范例</w:t>
      </w:r>
      <w:r>
        <w:rPr>
          <w:rFonts w:hint="eastAsia" w:ascii="宋体" w:hAnsi="宋体" w:eastAsia="宋体"/>
          <w:color w:val="auto"/>
          <w:sz w:val="28"/>
          <w:szCs w:val="28"/>
          <w:highlight w:val="none"/>
        </w:rPr>
        <w:fldChar w:fldCharType="end"/>
      </w:r>
    </w:p>
    <w:p w14:paraId="2BDAADC9">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"_Toc359856820"</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一、投标文件</w:t>
      </w:r>
      <w:bookmarkStart w:id="8" w:name="_Hlt40081086"/>
      <w:r>
        <w:rPr>
          <w:rStyle w:val="77"/>
          <w:rFonts w:hint="eastAsia" w:ascii="宋体" w:hAnsi="宋体" w:eastAsia="宋体"/>
          <w:color w:val="auto"/>
          <w:sz w:val="28"/>
          <w:szCs w:val="28"/>
          <w:highlight w:val="none"/>
        </w:rPr>
        <w:t>封</w:t>
      </w:r>
      <w:bookmarkEnd w:id="8"/>
      <w:r>
        <w:rPr>
          <w:rStyle w:val="77"/>
          <w:rFonts w:hint="eastAsia" w:ascii="宋体" w:hAnsi="宋体" w:eastAsia="宋体"/>
          <w:color w:val="auto"/>
          <w:sz w:val="28"/>
          <w:szCs w:val="28"/>
          <w:highlight w:val="none"/>
        </w:rPr>
        <w:t>面</w:t>
      </w:r>
      <w:r>
        <w:rPr>
          <w:rFonts w:hint="eastAsia" w:ascii="宋体" w:hAnsi="宋体" w:eastAsia="宋体"/>
          <w:color w:val="auto"/>
          <w:sz w:val="28"/>
          <w:szCs w:val="28"/>
          <w:highlight w:val="none"/>
        </w:rPr>
        <w:fldChar w:fldCharType="end"/>
      </w:r>
    </w:p>
    <w:p w14:paraId="422E9613">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"资格审查文件" </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二、资格文件</w:t>
      </w:r>
    </w:p>
    <w:p w14:paraId="6562638D">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 HYPERLINK  \l "技术资信文件格式" </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三、技术商务文件</w:t>
      </w:r>
    </w:p>
    <w:p w14:paraId="51570E7E">
      <w:pPr>
        <w:pStyle w:val="53"/>
        <w:tabs>
          <w:tab w:val="right" w:leader="dot" w:pos="9118"/>
        </w:tabs>
        <w:overflowPunct w:val="0"/>
        <w:snapToGrid w:val="0"/>
        <w:rPr>
          <w:rStyle w:val="77"/>
          <w:rFonts w:hint="eastAsia" w:ascii="宋体" w:hAnsi="宋体" w:eastAsia="宋体"/>
          <w:color w:val="auto"/>
          <w:sz w:val="28"/>
          <w:szCs w:val="28"/>
          <w:highlight w:val="none"/>
        </w:rPr>
      </w:pP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"报价文件格式"</w:instrText>
      </w:r>
      <w:r>
        <w:rPr>
          <w:rFonts w:hint="eastAsia" w:ascii="宋体" w:hAnsi="宋体" w:eastAsia="宋体"/>
          <w:color w:val="auto"/>
          <w:sz w:val="28"/>
          <w:szCs w:val="28"/>
          <w:highlight w:val="none"/>
        </w:rPr>
        <w:fldChar w:fldCharType="separate"/>
      </w:r>
      <w:r>
        <w:rPr>
          <w:rStyle w:val="77"/>
          <w:rFonts w:hint="eastAsia" w:ascii="宋体" w:hAnsi="宋体" w:eastAsia="宋体"/>
          <w:color w:val="auto"/>
          <w:sz w:val="28"/>
          <w:szCs w:val="28"/>
          <w:highlight w:val="none"/>
        </w:rPr>
        <w:t>四、报价文件</w:t>
      </w: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rPr>
        <w:fldChar w:fldCharType="begin"/>
      </w:r>
      <w:r>
        <w:rPr>
          <w:rStyle w:val="77"/>
          <w:rFonts w:hint="eastAsia" w:ascii="宋体" w:hAnsi="宋体" w:eastAsia="宋体"/>
          <w:color w:val="auto"/>
          <w:sz w:val="28"/>
          <w:szCs w:val="28"/>
          <w:highlight w:val="none"/>
        </w:rPr>
        <w:instrText xml:space="preserve">HYPERLINK  \l "其他文件格式"</w:instrText>
      </w:r>
      <w:r>
        <w:rPr>
          <w:rFonts w:hint="eastAsia" w:ascii="宋体" w:hAnsi="宋体" w:eastAsia="宋体"/>
          <w:color w:val="auto"/>
          <w:sz w:val="28"/>
          <w:szCs w:val="28"/>
          <w:highlight w:val="none"/>
        </w:rPr>
        <w:fldChar w:fldCharType="separate"/>
      </w:r>
    </w:p>
    <w:p w14:paraId="432D239F">
      <w:pPr>
        <w:pStyle w:val="42"/>
        <w:tabs>
          <w:tab w:val="right" w:leader="dot" w:pos="9118"/>
        </w:tabs>
        <w:overflowPunct w:val="0"/>
        <w:snapToGrid w:val="0"/>
        <w:spacing w:line="240" w:lineRule="auto"/>
        <w:rPr>
          <w:rStyle w:val="77"/>
          <w:rFonts w:hint="eastAsia" w:ascii="宋体" w:hAnsi="宋体" w:eastAsia="宋体" w:cs="宋体"/>
          <w:color w:val="auto"/>
          <w:sz w:val="28"/>
          <w:szCs w:val="28"/>
          <w:highlight w:val="none"/>
        </w:rPr>
      </w:pPr>
      <w:r>
        <w:rPr>
          <w:rFonts w:hint="eastAsia" w:ascii="宋体" w:hAnsi="宋体" w:eastAsia="宋体"/>
          <w:smallCaps/>
          <w:color w:val="auto"/>
          <w:sz w:val="28"/>
          <w:szCs w:val="28"/>
          <w:highlight w:val="none"/>
        </w:rPr>
        <w:fldChar w:fldCharType="end"/>
      </w:r>
      <w:r>
        <w:rPr>
          <w:rFonts w:hint="eastAsia" w:ascii="宋体" w:hAnsi="宋体" w:eastAsia="宋体" w:cs="宋体"/>
          <w:color w:val="auto"/>
          <w:sz w:val="28"/>
          <w:szCs w:val="28"/>
          <w:highlight w:val="none"/>
        </w:rPr>
        <w:fldChar w:fldCharType="begin"/>
      </w:r>
      <w:r>
        <w:rPr>
          <w:rStyle w:val="77"/>
          <w:rFonts w:hint="eastAsia" w:ascii="宋体" w:hAnsi="宋体" w:eastAsia="宋体" w:cs="宋体"/>
          <w:color w:val="auto"/>
          <w:sz w:val="28"/>
          <w:szCs w:val="28"/>
          <w:highlight w:val="none"/>
        </w:rPr>
        <w:instrText xml:space="preserve"> HYPERLINK  \l "评标办法及开标程序" </w:instrText>
      </w:r>
      <w:r>
        <w:rPr>
          <w:rFonts w:hint="eastAsia" w:ascii="宋体" w:hAnsi="宋体" w:eastAsia="宋体" w:cs="宋体"/>
          <w:color w:val="auto"/>
          <w:sz w:val="28"/>
          <w:szCs w:val="28"/>
          <w:highlight w:val="none"/>
        </w:rPr>
        <w:fldChar w:fldCharType="separate"/>
      </w:r>
      <w:r>
        <w:rPr>
          <w:rStyle w:val="77"/>
          <w:rFonts w:hint="eastAsia" w:ascii="宋体" w:hAnsi="宋体" w:eastAsia="宋体" w:cs="宋体"/>
          <w:color w:val="auto"/>
          <w:sz w:val="28"/>
          <w:szCs w:val="28"/>
          <w:highlight w:val="none"/>
        </w:rPr>
        <w:t>第五章  评标办法及开标程序</w:t>
      </w:r>
    </w:p>
    <w:p w14:paraId="77FF3531">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s="宋体"/>
          <w:smallCaps w:val="0"/>
          <w:color w:val="auto"/>
          <w:sz w:val="28"/>
          <w:szCs w:val="28"/>
          <w:highlight w:val="none"/>
        </w:rPr>
        <w:fldChar w:fldCharType="end"/>
      </w: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"_Toc359856825"</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bCs/>
          <w:color w:val="auto"/>
          <w:sz w:val="28"/>
          <w:szCs w:val="28"/>
          <w:highlight w:val="none"/>
          <w:lang w:val="zh-CN"/>
        </w:rPr>
        <w:t>一、评标委</w:t>
      </w:r>
      <w:bookmarkStart w:id="9" w:name="_Hlt40714037"/>
      <w:r>
        <w:rPr>
          <w:rStyle w:val="77"/>
          <w:rFonts w:hint="eastAsia" w:ascii="宋体" w:hAnsi="宋体" w:eastAsia="宋体" w:cs="宋体"/>
          <w:bCs/>
          <w:color w:val="auto"/>
          <w:sz w:val="28"/>
          <w:szCs w:val="28"/>
          <w:highlight w:val="none"/>
          <w:lang w:val="zh-CN"/>
        </w:rPr>
        <w:t>员</w:t>
      </w:r>
      <w:bookmarkEnd w:id="9"/>
      <w:bookmarkStart w:id="10" w:name="_Hlt40714029"/>
      <w:r>
        <w:rPr>
          <w:rStyle w:val="77"/>
          <w:rFonts w:hint="eastAsia" w:ascii="宋体" w:hAnsi="宋体" w:eastAsia="宋体" w:cs="宋体"/>
          <w:bCs/>
          <w:color w:val="auto"/>
          <w:sz w:val="28"/>
          <w:szCs w:val="28"/>
          <w:highlight w:val="none"/>
          <w:lang w:val="zh-CN"/>
        </w:rPr>
        <w:t>会</w:t>
      </w:r>
      <w:bookmarkEnd w:id="10"/>
      <w:r>
        <w:rPr>
          <w:rStyle w:val="77"/>
          <w:rFonts w:hint="eastAsia" w:ascii="宋体" w:hAnsi="宋体" w:eastAsia="宋体" w:cs="宋体"/>
          <w:bCs/>
          <w:color w:val="auto"/>
          <w:sz w:val="28"/>
          <w:szCs w:val="28"/>
          <w:highlight w:val="none"/>
          <w:lang w:val="zh-CN"/>
        </w:rPr>
        <w:t>的组成</w:t>
      </w:r>
      <w:r>
        <w:rPr>
          <w:rFonts w:hint="eastAsia" w:ascii="宋体" w:hAnsi="宋体" w:eastAsia="宋体"/>
          <w:color w:val="auto"/>
          <w:sz w:val="28"/>
          <w:szCs w:val="28"/>
          <w:highlight w:val="none"/>
        </w:rPr>
        <w:fldChar w:fldCharType="end"/>
      </w:r>
    </w:p>
    <w:p w14:paraId="6B71D413">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"_Toc359856826"</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bCs/>
          <w:color w:val="auto"/>
          <w:sz w:val="28"/>
          <w:szCs w:val="28"/>
          <w:highlight w:val="none"/>
          <w:lang w:val="zh-CN"/>
        </w:rPr>
        <w:t>二、评标原则</w:t>
      </w:r>
      <w:r>
        <w:rPr>
          <w:rFonts w:hint="eastAsia" w:ascii="宋体" w:hAnsi="宋体" w:eastAsia="宋体"/>
          <w:color w:val="auto"/>
          <w:sz w:val="28"/>
          <w:szCs w:val="28"/>
          <w:highlight w:val="none"/>
        </w:rPr>
        <w:fldChar w:fldCharType="end"/>
      </w:r>
    </w:p>
    <w:p w14:paraId="35D76109">
      <w:pPr>
        <w:pStyle w:val="53"/>
        <w:tabs>
          <w:tab w:val="right" w:leader="dot" w:pos="9118"/>
        </w:tabs>
        <w:overflowPunct w:val="0"/>
        <w:snapToGrid w:val="0"/>
        <w:rPr>
          <w:rFonts w:hint="eastAsia" w:ascii="宋体" w:hAnsi="宋体" w:eastAsia="宋体"/>
          <w:smallCaps w:val="0"/>
          <w:color w:val="auto"/>
          <w:sz w:val="28"/>
          <w:szCs w:val="28"/>
          <w:highlight w:val="none"/>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"_Toc359856827"</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bCs/>
          <w:color w:val="auto"/>
          <w:sz w:val="28"/>
          <w:szCs w:val="28"/>
          <w:highlight w:val="none"/>
          <w:lang w:val="zh-CN"/>
        </w:rPr>
        <w:t>三、注意事项</w:t>
      </w:r>
      <w:r>
        <w:rPr>
          <w:rFonts w:hint="eastAsia" w:ascii="宋体" w:hAnsi="宋体" w:eastAsia="宋体"/>
          <w:color w:val="auto"/>
          <w:sz w:val="28"/>
          <w:szCs w:val="28"/>
          <w:highlight w:val="none"/>
        </w:rPr>
        <w:fldChar w:fldCharType="end"/>
      </w:r>
    </w:p>
    <w:p w14:paraId="5C9A593C">
      <w:pPr>
        <w:pStyle w:val="53"/>
        <w:tabs>
          <w:tab w:val="right" w:leader="dot" w:pos="9118"/>
        </w:tabs>
        <w:overflowPunct w:val="0"/>
        <w:snapToGrid w:val="0"/>
        <w:rPr>
          <w:rFonts w:hint="eastAsia" w:ascii="宋体" w:hAnsi="宋体" w:eastAsia="宋体"/>
          <w:smallCaps w:val="0"/>
          <w:color w:val="auto"/>
          <w:sz w:val="28"/>
          <w:szCs w:val="28"/>
          <w:highlight w:val="none"/>
          <w:lang w:val="en-US" w:eastAsia="zh-CN"/>
        </w:rPr>
      </w:pPr>
      <w:r>
        <w:rPr>
          <w:rFonts w:hint="eastAsia" w:ascii="宋体" w:hAnsi="宋体" w:eastAsia="宋体"/>
          <w:color w:val="auto"/>
          <w:sz w:val="28"/>
          <w:szCs w:val="28"/>
          <w:highlight w:val="none"/>
        </w:rPr>
        <w:fldChar w:fldCharType="begin"/>
      </w:r>
      <w:r>
        <w:rPr>
          <w:rFonts w:hint="eastAsia" w:ascii="宋体" w:hAnsi="宋体" w:eastAsia="宋体"/>
          <w:color w:val="auto"/>
          <w:sz w:val="28"/>
          <w:szCs w:val="28"/>
          <w:highlight w:val="none"/>
        </w:rPr>
        <w:instrText xml:space="preserve">HYPERLINK \l "_Toc359856828"</w:instrText>
      </w:r>
      <w:r>
        <w:rPr>
          <w:rFonts w:hint="eastAsia" w:ascii="宋体" w:hAnsi="宋体" w:eastAsia="宋体"/>
          <w:color w:val="auto"/>
          <w:sz w:val="28"/>
          <w:szCs w:val="28"/>
          <w:highlight w:val="none"/>
        </w:rPr>
        <w:fldChar w:fldCharType="separate"/>
      </w:r>
      <w:r>
        <w:rPr>
          <w:rStyle w:val="77"/>
          <w:rFonts w:hint="eastAsia" w:ascii="宋体" w:hAnsi="宋体" w:eastAsia="宋体" w:cs="宋体"/>
          <w:bCs/>
          <w:color w:val="auto"/>
          <w:sz w:val="28"/>
          <w:szCs w:val="28"/>
          <w:highlight w:val="none"/>
          <w:lang w:val="zh-CN"/>
        </w:rPr>
        <w:t>四、评分标准</w:t>
      </w:r>
      <w:r>
        <w:rPr>
          <w:rFonts w:hint="eastAsia" w:ascii="宋体" w:hAnsi="宋体" w:eastAsia="宋体"/>
          <w:color w:val="auto"/>
          <w:sz w:val="28"/>
          <w:szCs w:val="28"/>
          <w:highlight w:val="none"/>
        </w:rPr>
        <w:fldChar w:fldCharType="end"/>
      </w:r>
      <w:r>
        <w:rPr>
          <w:rFonts w:hint="eastAsia" w:ascii="宋体" w:hAnsi="宋体" w:eastAsia="宋体"/>
          <w:color w:val="auto"/>
          <w:sz w:val="28"/>
          <w:szCs w:val="28"/>
          <w:highlight w:val="none"/>
          <w:lang w:val="en-US" w:eastAsia="zh-CN"/>
        </w:rPr>
        <w:t xml:space="preserve"> </w:t>
      </w:r>
    </w:p>
    <w:p w14:paraId="0D3EA91A">
      <w:pPr>
        <w:pStyle w:val="53"/>
        <w:tabs>
          <w:tab w:val="right" w:leader="dot" w:pos="9118"/>
        </w:tabs>
        <w:overflowPunct w:val="0"/>
        <w:snapToGrid w:val="0"/>
        <w:rPr>
          <w:rStyle w:val="77"/>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fldChar w:fldCharType="begin"/>
      </w:r>
      <w:r>
        <w:rPr>
          <w:rStyle w:val="77"/>
          <w:rFonts w:hint="eastAsia" w:ascii="宋体" w:hAnsi="宋体" w:eastAsia="宋体" w:cs="宋体"/>
          <w:bCs/>
          <w:color w:val="auto"/>
          <w:sz w:val="28"/>
          <w:szCs w:val="28"/>
          <w:highlight w:val="none"/>
          <w:lang w:val="zh-CN"/>
        </w:rPr>
        <w:instrText xml:space="preserve"> HYPERLINK  \l "开评标程序" </w:instrText>
      </w:r>
      <w:r>
        <w:rPr>
          <w:rFonts w:hint="eastAsia" w:ascii="宋体" w:hAnsi="宋体" w:eastAsia="宋体" w:cs="宋体"/>
          <w:bCs/>
          <w:color w:val="auto"/>
          <w:sz w:val="28"/>
          <w:szCs w:val="28"/>
          <w:highlight w:val="none"/>
          <w:lang w:val="zh-CN"/>
        </w:rPr>
        <w:fldChar w:fldCharType="separate"/>
      </w:r>
      <w:r>
        <w:rPr>
          <w:rStyle w:val="77"/>
          <w:rFonts w:hint="eastAsia" w:ascii="宋体" w:hAnsi="宋体" w:eastAsia="宋体" w:cs="宋体"/>
          <w:bCs/>
          <w:color w:val="auto"/>
          <w:sz w:val="28"/>
          <w:szCs w:val="28"/>
          <w:highlight w:val="none"/>
          <w:lang w:val="zh-CN"/>
        </w:rPr>
        <w:t>五、开评标程序</w:t>
      </w:r>
    </w:p>
    <w:p w14:paraId="399990D5">
      <w:pPr>
        <w:pStyle w:val="53"/>
        <w:tabs>
          <w:tab w:val="right" w:leader="dot" w:pos="9118"/>
        </w:tabs>
        <w:overflowPunct w:val="0"/>
        <w:snapToGrid w:val="0"/>
        <w:ind w:left="0"/>
        <w:rPr>
          <w:rStyle w:val="77"/>
          <w:rFonts w:ascii="宋体" w:hAnsi="宋体" w:eastAsia="宋体" w:cs="宋体"/>
          <w:bCs/>
          <w:color w:val="auto"/>
          <w:sz w:val="28"/>
          <w:szCs w:val="28"/>
          <w:highlight w:val="none"/>
        </w:rPr>
      </w:pPr>
      <w:r>
        <w:rPr>
          <w:rStyle w:val="77"/>
          <w:rFonts w:hint="eastAsia" w:ascii="宋体" w:hAnsi="宋体" w:eastAsia="宋体" w:cs="宋体"/>
          <w:bCs/>
          <w:color w:val="auto"/>
          <w:sz w:val="28"/>
          <w:szCs w:val="28"/>
          <w:highlight w:val="none"/>
        </w:rPr>
        <w:t>第六章、合同</w:t>
      </w:r>
    </w:p>
    <w:p w14:paraId="079CE5EB">
      <w:pPr>
        <w:overflowPunct w:val="0"/>
        <w:snapToGrid w:val="0"/>
        <w:ind w:firstLine="3000"/>
        <w:jc w:val="both"/>
        <w:outlineLvl w:val="0"/>
        <w:rPr>
          <w:rFonts w:hint="eastAsia" w:ascii="宋体" w:hAnsi="宋体" w:cs="宋体"/>
          <w:b/>
          <w:color w:val="auto"/>
          <w:sz w:val="32"/>
          <w:szCs w:val="32"/>
          <w:highlight w:val="none"/>
        </w:rPr>
      </w:pPr>
      <w:r>
        <w:rPr>
          <w:rFonts w:hint="eastAsia" w:ascii="宋体" w:hAnsi="宋体" w:cs="宋体"/>
          <w:bCs/>
          <w:smallCaps/>
          <w:color w:val="auto"/>
          <w:sz w:val="28"/>
          <w:szCs w:val="28"/>
          <w:highlight w:val="none"/>
          <w:lang w:val="zh-CN"/>
        </w:rPr>
        <w:fldChar w:fldCharType="end"/>
      </w:r>
      <w:r>
        <w:rPr>
          <w:rFonts w:hint="eastAsia" w:ascii="宋体" w:hAnsi="宋体" w:cs="宋体"/>
          <w:color w:val="auto"/>
          <w:sz w:val="28"/>
          <w:szCs w:val="28"/>
          <w:highlight w:val="none"/>
        </w:rPr>
        <w:fldChar w:fldCharType="end"/>
      </w:r>
      <w:bookmarkEnd w:id="0"/>
      <w:bookmarkEnd w:id="1"/>
      <w:bookmarkEnd w:id="2"/>
      <w:bookmarkStart w:id="11" w:name="_Toc354491895"/>
      <w:bookmarkStart w:id="12" w:name="_Toc359856795"/>
      <w:bookmarkStart w:id="13" w:name="_Toc356371429"/>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 xml:space="preserve">第一章  </w:t>
      </w:r>
      <w:bookmarkEnd w:id="11"/>
      <w:r>
        <w:rPr>
          <w:rFonts w:hint="eastAsia" w:ascii="宋体" w:hAnsi="宋体" w:cs="宋体"/>
          <w:b/>
          <w:color w:val="auto"/>
          <w:sz w:val="32"/>
          <w:szCs w:val="32"/>
          <w:highlight w:val="none"/>
        </w:rPr>
        <w:t>招标公告</w:t>
      </w:r>
      <w:bookmarkEnd w:id="12"/>
      <w:bookmarkEnd w:id="13"/>
    </w:p>
    <w:p w14:paraId="185AEC37">
      <w:pPr>
        <w:snapToGrid w:val="0"/>
        <w:jc w:val="center"/>
        <w:outlineLvl w:val="0"/>
        <w:rPr>
          <w:rFonts w:hint="eastAsia" w:ascii="宋体" w:hAnsi="宋体" w:cs="宋体"/>
          <w:b/>
          <w:color w:val="auto"/>
          <w:sz w:val="28"/>
          <w:szCs w:val="28"/>
          <w:highlight w:val="none"/>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14:paraId="1B84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noWrap w:val="0"/>
            <w:vAlign w:val="top"/>
          </w:tcPr>
          <w:p w14:paraId="7C64F8FF">
            <w:pPr>
              <w:widowControl w:val="0"/>
              <w:snapToGrid w:val="0"/>
              <w:spacing w:line="380" w:lineRule="exact"/>
              <w:ind w:firstLine="480" w:firstLineChars="200"/>
              <w:jc w:val="both"/>
              <w:rPr>
                <w:rFonts w:hint="eastAsia" w:ascii="宋体" w:hAnsi="宋体"/>
                <w:color w:val="auto"/>
                <w:highlight w:val="none"/>
              </w:rPr>
            </w:pPr>
            <w:r>
              <w:rPr>
                <w:rFonts w:hint="eastAsia" w:ascii="宋体" w:hAnsi="宋体"/>
                <w:color w:val="auto"/>
                <w:highlight w:val="none"/>
              </w:rPr>
              <w:t xml:space="preserve">项目概况     </w:t>
            </w:r>
          </w:p>
          <w:p w14:paraId="5002B1E1">
            <w:pPr>
              <w:widowControl w:val="0"/>
              <w:snapToGrid w:val="0"/>
              <w:spacing w:line="380" w:lineRule="exact"/>
              <w:ind w:firstLine="480" w:firstLineChars="200"/>
              <w:jc w:val="both"/>
              <w:rPr>
                <w:rFonts w:hint="eastAsia" w:ascii="宋体" w:hAnsi="宋体"/>
                <w:color w:val="auto"/>
                <w:highlight w:val="none"/>
              </w:rPr>
            </w:pPr>
            <w:r>
              <w:rPr>
                <w:rFonts w:hint="eastAsia" w:ascii="宋体" w:hAnsi="宋体"/>
                <w:color w:val="auto"/>
                <w:highlight w:val="none"/>
                <w:lang w:eastAsia="zh-CN"/>
              </w:rPr>
              <w:t>崇福人民法庭审判法庭智慧化改造项目</w:t>
            </w:r>
            <w:r>
              <w:rPr>
                <w:rFonts w:hint="eastAsia" w:ascii="宋体" w:hAnsi="宋体"/>
                <w:color w:val="auto"/>
                <w:highlight w:val="none"/>
              </w:rPr>
              <w:t>招标项目的潜在投标人应在“政采云”平台线上获取获取（下载）招标文件，并于202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28</w:t>
            </w:r>
            <w:r>
              <w:rPr>
                <w:rFonts w:hint="eastAsia" w:ascii="宋体" w:hAnsi="宋体"/>
                <w:color w:val="auto"/>
                <w:highlight w:val="none"/>
              </w:rPr>
              <w:t>日 14:00（北京时间）前递交（上传）投标文件。</w:t>
            </w:r>
          </w:p>
        </w:tc>
      </w:tr>
    </w:tbl>
    <w:p w14:paraId="65D04C71">
      <w:pPr>
        <w:snapToGrid w:val="0"/>
        <w:spacing w:line="380" w:lineRule="exact"/>
        <w:rPr>
          <w:rFonts w:hint="eastAsia" w:ascii="宋体" w:hAnsi="宋体"/>
          <w:color w:val="auto"/>
          <w:highlight w:val="none"/>
        </w:rPr>
      </w:pPr>
    </w:p>
    <w:p w14:paraId="33D4880A">
      <w:pPr>
        <w:snapToGrid w:val="0"/>
        <w:spacing w:line="380" w:lineRule="exact"/>
        <w:ind w:firstLine="241" w:firstLineChars="100"/>
        <w:rPr>
          <w:rFonts w:hint="eastAsia" w:ascii="宋体" w:hAnsi="宋体"/>
          <w:color w:val="auto"/>
          <w:highlight w:val="none"/>
        </w:rPr>
      </w:pPr>
      <w:r>
        <w:rPr>
          <w:rFonts w:hint="eastAsia" w:ascii="宋体" w:hAnsi="宋体"/>
          <w:b/>
          <w:bCs/>
          <w:color w:val="auto"/>
          <w:highlight w:val="none"/>
        </w:rPr>
        <w:t xml:space="preserve">一、项目基本情况 </w:t>
      </w:r>
      <w:r>
        <w:rPr>
          <w:rFonts w:hint="eastAsia" w:ascii="宋体" w:hAnsi="宋体"/>
          <w:color w:val="auto"/>
          <w:highlight w:val="none"/>
        </w:rPr>
        <w:t xml:space="preserve">    </w:t>
      </w:r>
    </w:p>
    <w:p w14:paraId="4D008DE8">
      <w:pPr>
        <w:snapToGrid w:val="0"/>
        <w:spacing w:line="380" w:lineRule="exact"/>
        <w:ind w:firstLine="480" w:firstLineChars="200"/>
        <w:rPr>
          <w:rFonts w:hint="default" w:ascii="宋体" w:hAnsi="宋体" w:eastAsia="宋体"/>
          <w:color w:val="auto"/>
          <w:highlight w:val="none"/>
          <w:lang w:val="en-US" w:eastAsia="zh-CN"/>
        </w:rPr>
      </w:pPr>
      <w:r>
        <w:rPr>
          <w:rFonts w:hint="eastAsia" w:ascii="宋体" w:hAnsi="宋体"/>
          <w:color w:val="auto"/>
          <w:highlight w:val="none"/>
        </w:rPr>
        <w:t>项目编号：</w:t>
      </w:r>
      <w:r>
        <w:rPr>
          <w:rFonts w:hint="eastAsia" w:ascii="宋体" w:hAnsi="宋体"/>
          <w:color w:val="auto"/>
          <w:highlight w:val="none"/>
          <w:lang w:eastAsia="zh-CN"/>
        </w:rPr>
        <w:t>QZZXC2025-</w:t>
      </w:r>
      <w:r>
        <w:rPr>
          <w:rFonts w:hint="eastAsia" w:ascii="宋体" w:hAnsi="宋体"/>
          <w:color w:val="auto"/>
          <w:highlight w:val="none"/>
          <w:lang w:val="en-US" w:eastAsia="zh-CN"/>
        </w:rPr>
        <w:t>024</w:t>
      </w:r>
    </w:p>
    <w:p w14:paraId="1EC37916">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lang w:eastAsia="zh-CN"/>
        </w:rPr>
        <w:t>崇福人民法庭审判法庭智慧化改造项目</w:t>
      </w:r>
    </w:p>
    <w:p w14:paraId="167C4968">
      <w:pPr>
        <w:snapToGrid w:val="0"/>
        <w:spacing w:line="380" w:lineRule="exact"/>
        <w:ind w:firstLine="480" w:firstLineChars="200"/>
        <w:rPr>
          <w:rFonts w:hint="default" w:ascii="宋体" w:hAnsi="宋体" w:eastAsia="宋体"/>
          <w:color w:val="auto"/>
          <w:highlight w:val="none"/>
          <w:lang w:val="en-US" w:eastAsia="zh-CN"/>
        </w:rPr>
      </w:pPr>
      <w:r>
        <w:rPr>
          <w:rFonts w:hint="eastAsia" w:ascii="宋体" w:hAnsi="宋体"/>
          <w:color w:val="auto"/>
          <w:highlight w:val="none"/>
        </w:rPr>
        <w:t>预算金额（元）：</w:t>
      </w:r>
      <w:r>
        <w:rPr>
          <w:rFonts w:hint="eastAsia" w:ascii="宋体" w:hAnsi="宋体"/>
          <w:color w:val="auto"/>
          <w:highlight w:val="none"/>
          <w:lang w:val="en-US" w:eastAsia="zh-CN"/>
        </w:rPr>
        <w:t>827000</w:t>
      </w:r>
    </w:p>
    <w:p w14:paraId="68E49E74">
      <w:pPr>
        <w:snapToGrid w:val="0"/>
        <w:spacing w:line="380" w:lineRule="exact"/>
        <w:ind w:firstLine="480" w:firstLineChars="200"/>
        <w:rPr>
          <w:rFonts w:hint="default" w:ascii="宋体" w:hAnsi="宋体" w:eastAsia="宋体"/>
          <w:color w:val="auto"/>
          <w:highlight w:val="none"/>
          <w:lang w:val="en-US" w:eastAsia="zh-CN"/>
        </w:rPr>
      </w:pPr>
      <w:r>
        <w:rPr>
          <w:rFonts w:hint="eastAsia" w:ascii="宋体" w:hAnsi="宋体"/>
          <w:color w:val="auto"/>
          <w:highlight w:val="none"/>
        </w:rPr>
        <w:t>最高限价（元）：</w:t>
      </w:r>
      <w:r>
        <w:rPr>
          <w:rFonts w:hint="eastAsia" w:ascii="宋体" w:hAnsi="宋体"/>
          <w:color w:val="auto"/>
          <w:highlight w:val="none"/>
          <w:lang w:val="en-US" w:eastAsia="zh-CN"/>
        </w:rPr>
        <w:t>827000</w:t>
      </w:r>
    </w:p>
    <w:p w14:paraId="1A12B404">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采购需求：</w:t>
      </w:r>
    </w:p>
    <w:p w14:paraId="3076FB88">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    </w:t>
      </w:r>
    </w:p>
    <w:p w14:paraId="7F90776A">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 xml:space="preserve">标项名称: </w:t>
      </w:r>
      <w:r>
        <w:rPr>
          <w:rFonts w:hint="eastAsia" w:ascii="宋体" w:hAnsi="宋体"/>
          <w:color w:val="auto"/>
          <w:highlight w:val="none"/>
          <w:lang w:eastAsia="zh-CN"/>
        </w:rPr>
        <w:t>崇福人民法庭审判法庭智慧化改造项目</w:t>
      </w:r>
      <w:r>
        <w:rPr>
          <w:rFonts w:hint="eastAsia" w:ascii="宋体" w:hAnsi="宋体"/>
          <w:color w:val="auto"/>
          <w:highlight w:val="none"/>
        </w:rPr>
        <w:t xml:space="preserve"> </w:t>
      </w:r>
    </w:p>
    <w:p w14:paraId="753BF5ED">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 xml:space="preserve">数量: 1  </w:t>
      </w:r>
    </w:p>
    <w:p w14:paraId="44A024D1">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预算金额（元）</w:t>
      </w:r>
      <w:r>
        <w:rPr>
          <w:rFonts w:hint="eastAsia" w:ascii="宋体" w:hAnsi="宋体"/>
          <w:color w:val="auto"/>
          <w:highlight w:val="none"/>
          <w:lang w:eastAsia="zh-CN"/>
        </w:rPr>
        <w:t>：</w:t>
      </w:r>
      <w:r>
        <w:rPr>
          <w:rFonts w:hint="eastAsia" w:ascii="宋体" w:hAnsi="宋体"/>
          <w:color w:val="auto"/>
          <w:highlight w:val="none"/>
          <w:lang w:val="en-US" w:eastAsia="zh-CN"/>
        </w:rPr>
        <w:t>827000</w:t>
      </w:r>
      <w:r>
        <w:rPr>
          <w:rFonts w:hint="eastAsia" w:ascii="宋体" w:hAnsi="宋体"/>
          <w:color w:val="auto"/>
          <w:highlight w:val="none"/>
        </w:rPr>
        <w:t>元</w:t>
      </w:r>
    </w:p>
    <w:p w14:paraId="6BF7955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简要规格描述或项目基本概况介绍、用途：</w:t>
      </w:r>
      <w:r>
        <w:rPr>
          <w:rFonts w:hint="eastAsia" w:ascii="宋体" w:hAnsi="宋体"/>
          <w:color w:val="auto"/>
          <w:highlight w:val="none"/>
          <w:lang w:val="en-US" w:eastAsia="zh-CN"/>
        </w:rPr>
        <w:t>审判法庭智慧化提升，详见采购需求</w:t>
      </w:r>
      <w:r>
        <w:rPr>
          <w:rFonts w:hint="eastAsia" w:ascii="宋体" w:hAnsi="宋体"/>
          <w:color w:val="auto"/>
          <w:highlight w:val="none"/>
        </w:rPr>
        <w:t xml:space="preserve">。 </w:t>
      </w:r>
    </w:p>
    <w:p w14:paraId="10F2088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 xml:space="preserve">备注： </w:t>
      </w:r>
    </w:p>
    <w:p w14:paraId="219D509A">
      <w:pPr>
        <w:rPr>
          <w:rFonts w:hint="eastAsia"/>
          <w:color w:val="auto"/>
          <w:highlight w:val="none"/>
        </w:rPr>
      </w:pPr>
    </w:p>
    <w:p w14:paraId="31BEED43">
      <w:pPr>
        <w:snapToGrid w:val="0"/>
        <w:spacing w:line="380" w:lineRule="exact"/>
        <w:ind w:left="240" w:leftChars="100" w:firstLine="240" w:firstLineChars="100"/>
        <w:rPr>
          <w:rFonts w:hint="eastAsia" w:ascii="宋体" w:hAnsi="宋体"/>
          <w:color w:val="auto"/>
          <w:highlight w:val="none"/>
        </w:rPr>
      </w:pPr>
      <w:r>
        <w:rPr>
          <w:rFonts w:hint="eastAsia" w:ascii="宋体" w:hAnsi="宋体"/>
          <w:color w:val="auto"/>
          <w:highlight w:val="none"/>
        </w:rPr>
        <w:t>合同履约期限：标项 1，服务期限：</w:t>
      </w:r>
      <w:r>
        <w:rPr>
          <w:rFonts w:hint="eastAsia" w:ascii="宋体" w:hAnsi="宋体"/>
          <w:color w:val="auto"/>
          <w:highlight w:val="none"/>
          <w:lang w:val="en-US" w:eastAsia="zh-CN"/>
        </w:rPr>
        <w:t>合同签订并</w:t>
      </w:r>
      <w:r>
        <w:rPr>
          <w:rFonts w:hint="eastAsia" w:ascii="宋体" w:hAnsi="宋体"/>
          <w:color w:val="auto"/>
          <w:highlight w:val="none"/>
        </w:rPr>
        <w:t>接到招标人通知后</w:t>
      </w:r>
      <w:r>
        <w:rPr>
          <w:rFonts w:hint="eastAsia" w:ascii="宋体" w:hAnsi="宋体"/>
          <w:color w:val="auto"/>
          <w:highlight w:val="none"/>
          <w:lang w:val="en-US" w:eastAsia="zh-CN"/>
        </w:rPr>
        <w:t>45</w:t>
      </w:r>
      <w:r>
        <w:rPr>
          <w:rFonts w:hint="eastAsia" w:ascii="宋体" w:hAnsi="宋体"/>
          <w:color w:val="auto"/>
          <w:highlight w:val="none"/>
        </w:rPr>
        <w:t>天内完成交货、安装(详见采购需求)。</w:t>
      </w:r>
    </w:p>
    <w:p w14:paraId="3EEE2616">
      <w:pPr>
        <w:snapToGrid w:val="0"/>
        <w:spacing w:line="380" w:lineRule="exact"/>
        <w:ind w:left="480" w:leftChars="200"/>
        <w:rPr>
          <w:rFonts w:hint="eastAsia" w:ascii="宋体" w:hAnsi="宋体"/>
          <w:color w:val="auto"/>
          <w:highlight w:val="none"/>
        </w:rPr>
      </w:pPr>
      <w:r>
        <w:rPr>
          <w:rFonts w:hint="eastAsia" w:ascii="宋体" w:hAnsi="宋体"/>
          <w:color w:val="auto"/>
          <w:highlight w:val="none"/>
        </w:rPr>
        <w:t>本项目（否）接受联合体投标。</w:t>
      </w:r>
    </w:p>
    <w:p w14:paraId="1E41BE30">
      <w:pPr>
        <w:snapToGrid w:val="0"/>
        <w:spacing w:line="380" w:lineRule="exact"/>
        <w:ind w:left="480" w:leftChars="200"/>
        <w:rPr>
          <w:rFonts w:hint="eastAsia" w:ascii="宋体" w:hAnsi="宋体"/>
          <w:color w:val="auto"/>
          <w:highlight w:val="none"/>
        </w:rPr>
      </w:pPr>
    </w:p>
    <w:p w14:paraId="2B83C5E1">
      <w:pPr>
        <w:snapToGrid w:val="0"/>
        <w:spacing w:line="380" w:lineRule="exact"/>
        <w:ind w:firstLine="241" w:firstLineChars="100"/>
        <w:rPr>
          <w:rFonts w:hint="eastAsia" w:ascii="宋体" w:hAnsi="宋体"/>
          <w:b/>
          <w:bCs/>
          <w:color w:val="auto"/>
          <w:highlight w:val="none"/>
        </w:rPr>
      </w:pPr>
      <w:r>
        <w:rPr>
          <w:rFonts w:hint="eastAsia" w:ascii="宋体" w:hAnsi="宋体"/>
          <w:b/>
          <w:bCs/>
          <w:color w:val="auto"/>
          <w:highlight w:val="none"/>
        </w:rPr>
        <w:t>二、申请人的资格要求：</w:t>
      </w:r>
    </w:p>
    <w:p w14:paraId="3493077A">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49E2E35">
      <w:pPr>
        <w:snapToGrid w:val="0"/>
        <w:spacing w:line="380" w:lineRule="exact"/>
        <w:ind w:firstLine="720" w:firstLineChars="300"/>
        <w:rPr>
          <w:rFonts w:hint="eastAsia" w:ascii="宋体" w:hAnsi="宋体" w:eastAsia="宋体"/>
          <w:color w:val="auto"/>
          <w:highlight w:val="none"/>
          <w:lang w:eastAsia="zh-CN"/>
        </w:rPr>
      </w:pPr>
      <w:r>
        <w:rPr>
          <w:rFonts w:hint="eastAsia" w:ascii="宋体" w:hAnsi="宋体"/>
          <w:color w:val="auto"/>
          <w:highlight w:val="none"/>
        </w:rPr>
        <w:t>2.落实政府采购政策需满足的资格要求：标项1：本项目仅面向中小微企业采购</w:t>
      </w:r>
      <w:r>
        <w:rPr>
          <w:rFonts w:hint="eastAsia" w:ascii="宋体" w:hAnsi="宋体"/>
          <w:color w:val="auto"/>
          <w:highlight w:val="none"/>
          <w:lang w:eastAsia="zh-CN"/>
        </w:rPr>
        <w:t>。</w:t>
      </w:r>
    </w:p>
    <w:p w14:paraId="135BC204">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3.本项目的特定资格要求：无 </w:t>
      </w:r>
    </w:p>
    <w:p w14:paraId="63D34A85">
      <w:pPr>
        <w:snapToGrid w:val="0"/>
        <w:spacing w:line="380" w:lineRule="exact"/>
        <w:ind w:firstLine="241" w:firstLineChars="100"/>
        <w:rPr>
          <w:rFonts w:hint="eastAsia" w:ascii="宋体" w:hAnsi="宋体"/>
          <w:color w:val="auto"/>
          <w:highlight w:val="none"/>
        </w:rPr>
      </w:pPr>
      <w:r>
        <w:rPr>
          <w:rFonts w:hint="eastAsia" w:ascii="宋体" w:hAnsi="宋体"/>
          <w:b/>
          <w:bCs/>
          <w:color w:val="auto"/>
          <w:highlight w:val="none"/>
        </w:rPr>
        <w:t>三、获取招标文件</w:t>
      </w:r>
      <w:r>
        <w:rPr>
          <w:rFonts w:hint="eastAsia" w:ascii="宋体" w:hAnsi="宋体"/>
          <w:color w:val="auto"/>
          <w:highlight w:val="none"/>
        </w:rPr>
        <w:t> </w:t>
      </w:r>
    </w:p>
    <w:p w14:paraId="39C8D870">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时间：/至202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28</w:t>
      </w:r>
      <w:r>
        <w:rPr>
          <w:rFonts w:hint="eastAsia" w:ascii="宋体" w:hAnsi="宋体"/>
          <w:color w:val="auto"/>
          <w:highlight w:val="none"/>
        </w:rPr>
        <w:t>日，每天上午00:00至12:00，下午12:00至23:59（北京时间，线上获取法定节假日均可，线下获取文件法定节假日除外）</w:t>
      </w:r>
    </w:p>
    <w:p w14:paraId="19EFD0A1">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地点（网址）：浙江政府采购网（http://zfcg.czt.zj.gov.cn/） </w:t>
      </w:r>
    </w:p>
    <w:p w14:paraId="66F57899">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方式：供应商登录政采云平台https://www.zcygov.cn/在线申请获取采购文件（进入“项目采购”应用，在获取采购文件菜单中选择项目，申请获取采购文件） </w:t>
      </w:r>
    </w:p>
    <w:p w14:paraId="037DA0DB">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售价（元）：0 </w:t>
      </w:r>
    </w:p>
    <w:p w14:paraId="1D60944A">
      <w:pPr>
        <w:snapToGrid w:val="0"/>
        <w:spacing w:line="380" w:lineRule="exact"/>
        <w:ind w:firstLine="241" w:firstLineChars="100"/>
        <w:rPr>
          <w:rFonts w:hint="eastAsia" w:ascii="宋体" w:hAnsi="宋体"/>
          <w:b/>
          <w:bCs/>
          <w:color w:val="auto"/>
          <w:highlight w:val="none"/>
        </w:rPr>
      </w:pPr>
      <w:r>
        <w:rPr>
          <w:rFonts w:hint="eastAsia" w:ascii="宋体" w:hAnsi="宋体"/>
          <w:b/>
          <w:bCs/>
          <w:color w:val="auto"/>
          <w:highlight w:val="none"/>
        </w:rPr>
        <w:t>四、提交投标文件截止时间、开标时间和地点</w:t>
      </w:r>
    </w:p>
    <w:p w14:paraId="0C4EE724">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提交投标文件截止时间：202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28</w:t>
      </w:r>
      <w:r>
        <w:rPr>
          <w:rFonts w:hint="eastAsia" w:ascii="宋体" w:hAnsi="宋体"/>
          <w:color w:val="auto"/>
          <w:highlight w:val="none"/>
        </w:rPr>
        <w:t>日14:00（北京时间）</w:t>
      </w:r>
    </w:p>
    <w:p w14:paraId="5015AE77">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投标地点（网址）：浙江政府采购网（http://zfcg.czt.zj.gov.cn/）在线投标响应</w:t>
      </w:r>
    </w:p>
    <w:p w14:paraId="7A952633">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开标时间：202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28</w:t>
      </w:r>
      <w:r>
        <w:rPr>
          <w:rFonts w:hint="eastAsia" w:ascii="宋体" w:hAnsi="宋体"/>
          <w:color w:val="auto"/>
          <w:highlight w:val="none"/>
        </w:rPr>
        <w:t>日 14:00 </w:t>
      </w:r>
    </w:p>
    <w:p w14:paraId="4CD7F88D">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开标地点（网址）：浙江求真工程管理咨询有限公司开标室（桐乡市梧桐街道振兴东路55号商会大厦B座10楼）  </w:t>
      </w:r>
    </w:p>
    <w:p w14:paraId="652C38EC">
      <w:pPr>
        <w:snapToGrid w:val="0"/>
        <w:spacing w:line="380" w:lineRule="exact"/>
        <w:ind w:firstLine="241" w:firstLineChars="100"/>
        <w:rPr>
          <w:rFonts w:hint="eastAsia" w:ascii="宋体" w:hAnsi="宋体"/>
          <w:b/>
          <w:bCs/>
          <w:color w:val="auto"/>
          <w:highlight w:val="none"/>
        </w:rPr>
      </w:pPr>
      <w:r>
        <w:rPr>
          <w:rFonts w:hint="eastAsia" w:ascii="宋体" w:hAnsi="宋体"/>
          <w:b/>
          <w:bCs/>
          <w:color w:val="auto"/>
          <w:highlight w:val="none"/>
        </w:rPr>
        <w:t>五、公告期限 </w:t>
      </w:r>
    </w:p>
    <w:p w14:paraId="294B6036">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自本公告发布之日起5个工作日。</w:t>
      </w:r>
    </w:p>
    <w:p w14:paraId="4F708275">
      <w:pPr>
        <w:snapToGrid w:val="0"/>
        <w:spacing w:line="380" w:lineRule="exact"/>
        <w:ind w:firstLine="241" w:firstLineChars="100"/>
        <w:rPr>
          <w:rFonts w:hint="eastAsia" w:ascii="宋体" w:hAnsi="宋体"/>
          <w:b/>
          <w:bCs/>
          <w:color w:val="auto"/>
          <w:highlight w:val="none"/>
        </w:rPr>
      </w:pPr>
      <w:r>
        <w:rPr>
          <w:rFonts w:hint="eastAsia" w:ascii="宋体" w:hAnsi="宋体"/>
          <w:b/>
          <w:bCs/>
          <w:color w:val="auto"/>
          <w:highlight w:val="none"/>
        </w:rPr>
        <w:t>六、其他补充事宜</w:t>
      </w:r>
    </w:p>
    <w:p w14:paraId="677A80C9">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34C723">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9E2DC3">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E85949">
      <w:pPr>
        <w:snapToGrid w:val="0"/>
        <w:spacing w:line="380" w:lineRule="exact"/>
        <w:ind w:firstLine="720" w:firstLineChars="300"/>
        <w:rPr>
          <w:rFonts w:hint="eastAsia" w:ascii="宋体" w:hAnsi="宋体"/>
          <w:color w:val="auto"/>
          <w:highlight w:val="none"/>
        </w:rPr>
      </w:pPr>
      <w:r>
        <w:rPr>
          <w:rFonts w:hint="eastAsia" w:ascii="宋体" w:hAnsi="宋体"/>
          <w:color w:val="auto"/>
          <w:highlight w:val="none"/>
        </w:rPr>
        <w:t>4.其他事项：投标人无需在开标当天到达开标现场，但投标人须在本项目开标时间后半小时内登录“政采云”平台完成电子投标文件的解密工作（路径：项目采购-开标评标）。</w:t>
      </w:r>
    </w:p>
    <w:p w14:paraId="258B5DAC">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为确保采购项目顺利实施，避免因解密失败导致投标人投标无效，投标人可在投标截止时间前将在“政采云”平台上最后生成的具备电子签章的备份电子标文件（以U盘为载体，投标人应当确保U盘能够打开运行并正常使用，U盘不返还）装袋密封后邮寄或直接送达至浙江求真工程管理咨询有限公司，密封袋上需注明投标人名称、项目名称，密封袋接缝处需加盖单位公章（送达地址：桐乡市梧桐街道振兴东路55号商会大厦B座10楼1001室，收件人：钟女士，联系电话：0573-88622772），邮寄公司统一采用EMS或顺丰，快递费用由投标供应商承担，如投标供应商选择快递费到付，代理机构将拒签并退回。在开标过程中出现解密失败情况，将以备份电子文件作为替代投标文件。如“政采云”平台上投标文件解密失败，同时投标人未按照规定时间及要求提供有效备份电子文件的，其投标无效。</w:t>
      </w:r>
    </w:p>
    <w:p w14:paraId="61DF37AC">
      <w:pPr>
        <w:snapToGrid w:val="0"/>
        <w:spacing w:line="380" w:lineRule="exact"/>
        <w:ind w:firstLine="482" w:firstLineChars="200"/>
        <w:rPr>
          <w:rFonts w:hint="eastAsia" w:ascii="宋体" w:hAnsi="宋体"/>
          <w:b/>
          <w:bCs/>
          <w:color w:val="auto"/>
          <w:highlight w:val="none"/>
        </w:rPr>
      </w:pPr>
      <w:r>
        <w:rPr>
          <w:rFonts w:hint="eastAsia" w:ascii="宋体" w:hAnsi="宋体"/>
          <w:b/>
          <w:bCs/>
          <w:color w:val="auto"/>
          <w:highlight w:val="none"/>
        </w:rPr>
        <w:t>七、对本次采购提出询问、质疑、投诉，请按以下方式联系</w:t>
      </w:r>
    </w:p>
    <w:p w14:paraId="16A1AF74">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1.采购人信息</w:t>
      </w:r>
    </w:p>
    <w:p w14:paraId="0354F770">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名称：</w:t>
      </w:r>
      <w:r>
        <w:rPr>
          <w:rFonts w:hint="eastAsia" w:ascii="宋体" w:hAnsi="宋体"/>
          <w:color w:val="auto"/>
          <w:highlight w:val="none"/>
          <w:lang w:eastAsia="zh-CN"/>
        </w:rPr>
        <w:t>桐乡市人民法院</w:t>
      </w:r>
      <w:r>
        <w:rPr>
          <w:rFonts w:hint="eastAsia" w:ascii="宋体" w:hAnsi="宋体"/>
          <w:color w:val="auto"/>
          <w:highlight w:val="none"/>
        </w:rPr>
        <w:t> </w:t>
      </w:r>
    </w:p>
    <w:p w14:paraId="65D631F3">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地址：桐乡市利民路1158号 </w:t>
      </w:r>
    </w:p>
    <w:p w14:paraId="011D5D5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传真：/</w:t>
      </w:r>
    </w:p>
    <w:p w14:paraId="0CE237F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项目联系人（询问）：</w:t>
      </w:r>
      <w:r>
        <w:rPr>
          <w:rFonts w:hint="eastAsia" w:ascii="宋体" w:hAnsi="宋体"/>
          <w:color w:val="auto"/>
          <w:highlight w:val="none"/>
          <w:lang w:val="en-US" w:eastAsia="zh-CN"/>
        </w:rPr>
        <w:t>李先生</w:t>
      </w:r>
      <w:r>
        <w:rPr>
          <w:rFonts w:hint="eastAsia" w:ascii="宋体" w:hAnsi="宋体"/>
          <w:color w:val="auto"/>
          <w:highlight w:val="none"/>
        </w:rPr>
        <w:t>  </w:t>
      </w:r>
    </w:p>
    <w:p w14:paraId="363A3DC6">
      <w:pPr>
        <w:snapToGrid w:val="0"/>
        <w:spacing w:line="380" w:lineRule="exact"/>
        <w:ind w:firstLine="480" w:firstLineChars="200"/>
        <w:rPr>
          <w:rFonts w:ascii="宋体" w:hAnsi="宋体"/>
          <w:color w:val="auto"/>
          <w:highlight w:val="none"/>
        </w:rPr>
      </w:pPr>
      <w:r>
        <w:rPr>
          <w:rFonts w:hint="eastAsia" w:ascii="宋体" w:hAnsi="宋体"/>
          <w:color w:val="auto"/>
          <w:highlight w:val="none"/>
        </w:rPr>
        <w:t>项目联系方式（询问）：0573-88370621</w:t>
      </w:r>
    </w:p>
    <w:p w14:paraId="5561637A">
      <w:pPr>
        <w:snapToGrid w:val="0"/>
        <w:spacing w:line="380" w:lineRule="exact"/>
        <w:ind w:firstLine="480" w:firstLineChars="200"/>
        <w:rPr>
          <w:rFonts w:hint="eastAsia" w:ascii="宋体" w:hAnsi="宋体" w:eastAsia="宋体"/>
          <w:color w:val="auto"/>
          <w:highlight w:val="none"/>
          <w:lang w:val="en-US" w:eastAsia="zh-CN"/>
        </w:rPr>
      </w:pPr>
      <w:r>
        <w:rPr>
          <w:rFonts w:hint="eastAsia" w:ascii="宋体" w:hAnsi="宋体"/>
          <w:color w:val="auto"/>
          <w:highlight w:val="none"/>
        </w:rPr>
        <w:t>质疑联系人：</w:t>
      </w:r>
      <w:r>
        <w:rPr>
          <w:rFonts w:hint="eastAsia" w:ascii="宋体" w:hAnsi="宋体"/>
          <w:color w:val="auto"/>
          <w:highlight w:val="none"/>
          <w:lang w:val="en-US" w:eastAsia="zh-CN"/>
        </w:rPr>
        <w:t>李先生</w:t>
      </w:r>
      <w:bookmarkStart w:id="76" w:name="_GoBack"/>
      <w:bookmarkEnd w:id="76"/>
    </w:p>
    <w:p w14:paraId="67E0D543">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质疑联系方式：18868317867</w:t>
      </w:r>
      <w:r>
        <w:rPr>
          <w:rFonts w:hint="eastAsia" w:ascii="宋体" w:hAnsi="宋体"/>
          <w:color w:val="auto"/>
          <w:highlight w:val="none"/>
        </w:rPr>
        <w:br w:type="textWrapping"/>
      </w:r>
      <w:r>
        <w:rPr>
          <w:rFonts w:hint="eastAsia" w:ascii="宋体" w:hAnsi="宋体"/>
          <w:color w:val="auto"/>
          <w:highlight w:val="none"/>
        </w:rPr>
        <w:t>   2.采购代理机构信息            </w:t>
      </w:r>
    </w:p>
    <w:p w14:paraId="7C55E1EF">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名称：浙江求真工程管理咨询有限公司             </w:t>
      </w:r>
    </w:p>
    <w:p w14:paraId="1BCDFFB7">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地址：桐乡市梧桐街道振兴东路55号商会大厦B座10楼</w:t>
      </w:r>
    </w:p>
    <w:p w14:paraId="3A9077D3">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传真：0573-88115102             </w:t>
      </w:r>
    </w:p>
    <w:p w14:paraId="19197B5E">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项目联系人（询问）：钟女士              </w:t>
      </w:r>
    </w:p>
    <w:p w14:paraId="238B4C82">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项目联系方式（询问）：0573-88622772 </w:t>
      </w:r>
    </w:p>
    <w:p w14:paraId="78155A09">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质疑联系人：</w:t>
      </w:r>
      <w:r>
        <w:rPr>
          <w:rFonts w:hint="eastAsia" w:ascii="宋体" w:hAnsi="宋体"/>
          <w:color w:val="auto"/>
          <w:highlight w:val="none"/>
          <w:lang w:val="en-US" w:eastAsia="zh-CN"/>
        </w:rPr>
        <w:t>吴先生</w:t>
      </w:r>
      <w:r>
        <w:rPr>
          <w:rFonts w:hint="eastAsia" w:ascii="宋体" w:hAnsi="宋体"/>
          <w:color w:val="auto"/>
          <w:highlight w:val="none"/>
        </w:rPr>
        <w:t>             </w:t>
      </w:r>
    </w:p>
    <w:p w14:paraId="4EA8C24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质疑联系方式：0573-8</w:t>
      </w:r>
      <w:r>
        <w:rPr>
          <w:rFonts w:hint="eastAsia" w:ascii="宋体" w:hAnsi="宋体"/>
          <w:color w:val="auto"/>
          <w:highlight w:val="none"/>
          <w:lang w:val="en-US" w:eastAsia="zh-CN"/>
        </w:rPr>
        <w:t>8622772</w:t>
      </w:r>
      <w:r>
        <w:rPr>
          <w:rFonts w:hint="eastAsia" w:ascii="宋体" w:hAnsi="宋体"/>
          <w:color w:val="auto"/>
          <w:highlight w:val="none"/>
        </w:rPr>
        <w:t xml:space="preserve"> 　　　　　　         </w:t>
      </w:r>
      <w:r>
        <w:rPr>
          <w:rFonts w:hint="eastAsia" w:ascii="宋体" w:hAnsi="宋体"/>
          <w:color w:val="auto"/>
          <w:highlight w:val="none"/>
        </w:rPr>
        <w:br w:type="textWrapping"/>
      </w:r>
      <w:r>
        <w:rPr>
          <w:rFonts w:hint="eastAsia" w:ascii="宋体" w:hAnsi="宋体"/>
          <w:color w:val="auto"/>
          <w:highlight w:val="none"/>
        </w:rPr>
        <w:t>   3.同级政府采购监督管理部门            </w:t>
      </w:r>
    </w:p>
    <w:p w14:paraId="5E3F7404">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名称：桐乡市财政局政府采购监管科             </w:t>
      </w:r>
    </w:p>
    <w:p w14:paraId="0CA10AFB">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地址：桐乡市茅盾西路2号             </w:t>
      </w:r>
    </w:p>
    <w:p w14:paraId="19D1C4C7">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传真：/             </w:t>
      </w:r>
    </w:p>
    <w:p w14:paraId="242A76B9">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联系人 ：沈先生             </w:t>
      </w:r>
    </w:p>
    <w:p w14:paraId="23ACB835">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监督投诉电话：0573-88022840            </w:t>
      </w:r>
    </w:p>
    <w:p w14:paraId="387661E7">
      <w:pPr>
        <w:snapToGrid w:val="0"/>
        <w:spacing w:line="380" w:lineRule="exact"/>
        <w:ind w:firstLine="480" w:firstLineChars="200"/>
        <w:rPr>
          <w:rFonts w:hint="eastAsia" w:ascii="宋体" w:hAnsi="宋体"/>
          <w:color w:val="auto"/>
          <w:highlight w:val="none"/>
        </w:rPr>
      </w:pPr>
    </w:p>
    <w:p w14:paraId="61D07869">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若对项目采购电子交易系统操作有疑问，可登录政采云（https://www.zcygov.cn/），点击右侧咨询小采，获取采小蜜智能服务管家帮助，或拨打政采云服务热线</w:t>
      </w:r>
      <w:r>
        <w:rPr>
          <w:rFonts w:hint="eastAsia" w:ascii="宋体" w:hAnsi="宋体"/>
          <w:color w:val="auto"/>
          <w:highlight w:val="none"/>
          <w:lang w:val="en-US" w:eastAsia="zh-CN"/>
        </w:rPr>
        <w:t>95763</w:t>
      </w:r>
      <w:r>
        <w:rPr>
          <w:rFonts w:hint="eastAsia" w:ascii="宋体" w:hAnsi="宋体"/>
          <w:color w:val="auto"/>
          <w:highlight w:val="none"/>
        </w:rPr>
        <w:t>获取热线服务帮助。       </w:t>
      </w:r>
    </w:p>
    <w:p w14:paraId="1CAAA58C">
      <w:pPr>
        <w:snapToGrid w:val="0"/>
        <w:spacing w:line="380" w:lineRule="exact"/>
        <w:ind w:firstLine="480" w:firstLineChars="200"/>
        <w:rPr>
          <w:rFonts w:hint="eastAsia" w:ascii="宋体" w:hAnsi="宋体"/>
          <w:color w:val="auto"/>
          <w:highlight w:val="none"/>
        </w:rPr>
      </w:pPr>
      <w:r>
        <w:rPr>
          <w:rFonts w:hint="eastAsia" w:ascii="宋体" w:hAnsi="宋体"/>
          <w:color w:val="auto"/>
          <w:highlight w:val="none"/>
        </w:rPr>
        <w:t>CA问题联系电话（人工）：汇信CA 400-888-4636；天谷CA 400-087-8198。</w:t>
      </w:r>
    </w:p>
    <w:p w14:paraId="48C299D3">
      <w:pPr>
        <w:tabs>
          <w:tab w:val="left" w:pos="0"/>
        </w:tabs>
        <w:autoSpaceDE w:val="0"/>
        <w:autoSpaceDN w:val="0"/>
        <w:adjustRightInd w:val="0"/>
        <w:snapToGrid w:val="0"/>
        <w:spacing w:line="380" w:lineRule="exact"/>
        <w:jc w:val="right"/>
        <w:rPr>
          <w:rFonts w:hint="eastAsia" w:ascii="宋体" w:hAnsi="宋体"/>
          <w:color w:val="auto"/>
          <w:highlight w:val="none"/>
          <w:lang w:eastAsia="zh-CN"/>
        </w:rPr>
      </w:pPr>
      <w:r>
        <w:rPr>
          <w:rFonts w:hint="eastAsia" w:ascii="宋体" w:hAnsi="宋体"/>
          <w:color w:val="auto"/>
          <w:highlight w:val="none"/>
          <w:lang w:eastAsia="zh-CN"/>
        </w:rPr>
        <w:t>桐乡市人民法院</w:t>
      </w:r>
    </w:p>
    <w:p w14:paraId="2874039B">
      <w:pPr>
        <w:tabs>
          <w:tab w:val="left" w:pos="0"/>
        </w:tabs>
        <w:autoSpaceDE w:val="0"/>
        <w:autoSpaceDN w:val="0"/>
        <w:adjustRightInd w:val="0"/>
        <w:snapToGrid w:val="0"/>
        <w:spacing w:line="380" w:lineRule="exact"/>
        <w:jc w:val="right"/>
        <w:rPr>
          <w:rFonts w:hint="eastAsia" w:ascii="宋体" w:hAnsi="宋体"/>
          <w:color w:val="auto"/>
          <w:highlight w:val="none"/>
        </w:rPr>
      </w:pPr>
      <w:r>
        <w:rPr>
          <w:rFonts w:hint="eastAsia" w:ascii="宋体" w:hAnsi="宋体"/>
          <w:color w:val="auto"/>
          <w:highlight w:val="none"/>
        </w:rPr>
        <w:t>浙江求真工程管理咨询有限公司</w:t>
      </w:r>
    </w:p>
    <w:p w14:paraId="4EBB58B0">
      <w:pPr>
        <w:snapToGrid w:val="0"/>
        <w:spacing w:line="380" w:lineRule="exact"/>
        <w:ind w:firstLine="360" w:firstLineChars="150"/>
        <w:jc w:val="right"/>
        <w:rPr>
          <w:rFonts w:hint="eastAsia" w:ascii="宋体" w:hAnsi="宋体"/>
          <w:color w:val="auto"/>
          <w:highlight w:val="none"/>
        </w:rPr>
      </w:pPr>
      <w:r>
        <w:rPr>
          <w:rFonts w:hint="eastAsia" w:ascii="宋体" w:hAnsi="宋体"/>
          <w:color w:val="auto"/>
          <w:highlight w:val="none"/>
        </w:rPr>
        <w:t xml:space="preserve">                                      20</w:t>
      </w:r>
      <w:r>
        <w:rPr>
          <w:rFonts w:hint="eastAsia" w:ascii="宋体" w:hAnsi="宋体"/>
          <w:color w:val="auto"/>
          <w:highlight w:val="none"/>
          <w:lang w:val="en-US" w:eastAsia="zh-CN"/>
        </w:rPr>
        <w:t>25</w:t>
      </w:r>
      <w:r>
        <w:rPr>
          <w:rFonts w:hint="eastAsia" w:ascii="宋体" w:hAnsi="宋体"/>
          <w:color w:val="auto"/>
          <w:highlight w:val="none"/>
        </w:rPr>
        <w:t>年</w:t>
      </w:r>
      <w:r>
        <w:rPr>
          <w:rFonts w:hint="eastAsia" w:ascii="宋体" w:hAnsi="宋体"/>
          <w:color w:val="auto"/>
          <w:highlight w:val="none"/>
          <w:lang w:val="en-US" w:eastAsia="zh-CN"/>
        </w:rPr>
        <w:t>7</w:t>
      </w:r>
      <w:r>
        <w:rPr>
          <w:rFonts w:hint="eastAsia" w:ascii="宋体" w:hAnsi="宋体"/>
          <w:color w:val="auto"/>
          <w:highlight w:val="none"/>
        </w:rPr>
        <w:t>月</w:t>
      </w:r>
      <w:r>
        <w:rPr>
          <w:rFonts w:hint="eastAsia" w:ascii="宋体" w:hAnsi="宋体"/>
          <w:color w:val="auto"/>
          <w:highlight w:val="none"/>
          <w:lang w:val="en-US" w:eastAsia="zh-CN"/>
        </w:rPr>
        <w:t>8</w:t>
      </w:r>
      <w:r>
        <w:rPr>
          <w:rFonts w:hint="eastAsia" w:ascii="宋体" w:hAnsi="宋体"/>
          <w:color w:val="auto"/>
          <w:highlight w:val="none"/>
        </w:rPr>
        <w:t>日</w:t>
      </w:r>
    </w:p>
    <w:p w14:paraId="622DEA54">
      <w:pPr>
        <w:pStyle w:val="3"/>
        <w:bidi w:val="0"/>
        <w:jc w:val="center"/>
        <w:rPr>
          <w:rFonts w:hint="eastAsia" w:ascii="宋体" w:hAnsi="宋体" w:cs="宋体"/>
          <w:b w:val="0"/>
          <w:color w:val="auto"/>
          <w:sz w:val="32"/>
          <w:szCs w:val="32"/>
          <w:highlight w:val="none"/>
        </w:rPr>
      </w:pPr>
      <w:r>
        <w:rPr>
          <w:rFonts w:hint="eastAsia" w:ascii="宋体" w:hAnsi="宋体"/>
          <w:color w:val="auto"/>
          <w:sz w:val="28"/>
          <w:szCs w:val="28"/>
          <w:highlight w:val="none"/>
        </w:rPr>
        <w:br w:type="page"/>
      </w:r>
      <w:bookmarkStart w:id="14" w:name="_Toc354491896"/>
      <w:bookmarkStart w:id="15" w:name="_Toc322352982"/>
      <w:bookmarkStart w:id="16" w:name="_Toc359856796"/>
      <w:bookmarkStart w:id="17" w:name="_Toc356371430"/>
      <w:r>
        <w:rPr>
          <w:rFonts w:hint="eastAsia" w:ascii="宋体" w:hAnsi="宋体" w:eastAsia="宋体" w:cs="宋体"/>
          <w:b/>
          <w:color w:val="auto"/>
          <w:sz w:val="32"/>
          <w:szCs w:val="32"/>
          <w:highlight w:val="none"/>
        </w:rPr>
        <w:t>第二章  投标</w:t>
      </w:r>
      <w:bookmarkEnd w:id="14"/>
      <w:bookmarkEnd w:id="15"/>
      <w:r>
        <w:rPr>
          <w:rFonts w:hint="eastAsia" w:ascii="宋体" w:hAnsi="宋体" w:eastAsia="宋体" w:cs="宋体"/>
          <w:b/>
          <w:color w:val="auto"/>
          <w:sz w:val="32"/>
          <w:szCs w:val="32"/>
          <w:highlight w:val="none"/>
        </w:rPr>
        <w:t>须知</w:t>
      </w:r>
      <w:bookmarkEnd w:id="16"/>
      <w:bookmarkEnd w:id="17"/>
      <w:r>
        <w:rPr>
          <w:rFonts w:hint="eastAsia" w:ascii="宋体" w:hAnsi="宋体" w:eastAsia="宋体" w:cs="宋体"/>
          <w:b/>
          <w:color w:val="auto"/>
          <w:sz w:val="32"/>
          <w:szCs w:val="32"/>
          <w:highlight w:val="none"/>
        </w:rPr>
        <w:t>及说明</w:t>
      </w:r>
    </w:p>
    <w:p w14:paraId="1D89D68D">
      <w:pPr>
        <w:numPr>
          <w:ilvl w:val="0"/>
          <w:numId w:val="13"/>
        </w:numPr>
        <w:snapToGrid w:val="0"/>
        <w:spacing w:line="400" w:lineRule="exact"/>
        <w:outlineLvl w:val="1"/>
        <w:rPr>
          <w:rFonts w:hint="eastAsia" w:ascii="宋体" w:hAnsi="宋体" w:cs="宋体"/>
          <w:b/>
          <w:color w:val="auto"/>
          <w:highlight w:val="none"/>
        </w:rPr>
      </w:pPr>
      <w:bookmarkStart w:id="18" w:name="_Toc356371433"/>
      <w:bookmarkStart w:id="19" w:name="_Toc359856798"/>
      <w:r>
        <w:rPr>
          <w:rFonts w:hint="eastAsia" w:ascii="宋体" w:hAnsi="宋体" w:cs="宋体"/>
          <w:b/>
          <w:color w:val="auto"/>
          <w:highlight w:val="none"/>
        </w:rPr>
        <w:t>投标须知</w:t>
      </w:r>
      <w:bookmarkEnd w:id="18"/>
      <w:bookmarkEnd w:id="19"/>
    </w:p>
    <w:p w14:paraId="1B064866">
      <w:pPr>
        <w:numPr>
          <w:ilvl w:val="1"/>
          <w:numId w:val="14"/>
        </w:numPr>
        <w:snapToGrid w:val="0"/>
        <w:spacing w:line="400" w:lineRule="exact"/>
        <w:rPr>
          <w:rFonts w:hint="eastAsia" w:ascii="宋体" w:hAnsi="宋体" w:cs="宋体"/>
          <w:b/>
          <w:color w:val="auto"/>
          <w:highlight w:val="none"/>
        </w:rPr>
      </w:pPr>
      <w:r>
        <w:rPr>
          <w:rFonts w:hint="eastAsia" w:ascii="宋体" w:hAnsi="宋体" w:cs="宋体"/>
          <w:color w:val="auto"/>
          <w:highlight w:val="none"/>
        </w:rPr>
        <w:t>适用范围</w:t>
      </w:r>
    </w:p>
    <w:p w14:paraId="3A26906F">
      <w:pPr>
        <w:tabs>
          <w:tab w:val="left" w:pos="0"/>
          <w:tab w:val="left" w:pos="900"/>
          <w:tab w:val="left" w:pos="7020"/>
          <w:tab w:val="left" w:pos="8460"/>
        </w:tabs>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本招标文件仅适用于本次采购项目的招标、投标、评标、定标、验收、合同履约、付款等行为。</w:t>
      </w:r>
    </w:p>
    <w:p w14:paraId="07EFC991">
      <w:pPr>
        <w:numPr>
          <w:ilvl w:val="1"/>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定义</w:t>
      </w:r>
    </w:p>
    <w:p w14:paraId="65FEAE86">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“采购代理机构”系指组织本次招标的浙江求真工程管理咨询有限公司。</w:t>
      </w:r>
    </w:p>
    <w:p w14:paraId="006D99A0">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“采购人”系指提出本次采购的采购委托单位。</w:t>
      </w:r>
    </w:p>
    <w:p w14:paraId="0ED9924F">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“投标人”系指向招标方提交投标文件的供应商。</w:t>
      </w:r>
    </w:p>
    <w:p w14:paraId="60240BCC">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“货物”系指投标人按招标文件规定向采购人提供的各类设备、软件、技术资料及使用手册等。</w:t>
      </w:r>
    </w:p>
    <w:p w14:paraId="60E110A1">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“服务”系指投标人按招标文件规定向采购人提供的安装、调试、技术协助、培训以及其他类似的义务。</w:t>
      </w:r>
    </w:p>
    <w:p w14:paraId="058AC527">
      <w:pPr>
        <w:numPr>
          <w:ilvl w:val="1"/>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投标费用</w:t>
      </w:r>
    </w:p>
    <w:p w14:paraId="24F498DB">
      <w:pPr>
        <w:tabs>
          <w:tab w:val="left" w:pos="0"/>
          <w:tab w:val="left" w:pos="900"/>
          <w:tab w:val="left" w:pos="7020"/>
          <w:tab w:val="left" w:pos="8460"/>
        </w:tabs>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不论投标结果如何，投标人均应自行承担所有与投标有关的全部费用。</w:t>
      </w:r>
    </w:p>
    <w:p w14:paraId="0CBEBB8B">
      <w:pPr>
        <w:numPr>
          <w:ilvl w:val="1"/>
          <w:numId w:val="14"/>
        </w:numPr>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转包、分包</w:t>
      </w:r>
    </w:p>
    <w:p w14:paraId="59BA9DC3">
      <w:pPr>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本项目不允许转包或分包（非主体部分分包经采购人同意的除外）。</w:t>
      </w:r>
    </w:p>
    <w:p w14:paraId="6E548D04">
      <w:pPr>
        <w:numPr>
          <w:ilvl w:val="1"/>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特别说明：</w:t>
      </w:r>
    </w:p>
    <w:p w14:paraId="2EBCF4F3">
      <w:pPr>
        <w:numPr>
          <w:ilvl w:val="2"/>
          <w:numId w:val="14"/>
        </w:numPr>
        <w:shd w:val="clear" w:color="auto" w:fill="FFFFFF"/>
        <w:snapToGrid w:val="0"/>
        <w:spacing w:line="400" w:lineRule="exact"/>
        <w:rPr>
          <w:rFonts w:hint="eastAsia" w:ascii="宋体" w:hAnsi="宋体" w:cs="宋体"/>
          <w:color w:val="auto"/>
          <w:highlight w:val="none"/>
        </w:rPr>
      </w:pPr>
      <w:r>
        <w:rPr>
          <w:rFonts w:hint="eastAsia" w:ascii="宋体" w:hAnsi="宋体" w:cs="宋体"/>
          <w:color w:val="auto"/>
          <w:highlight w:val="none"/>
        </w:rPr>
        <w:t>提供相同品牌产品且通过资格审查、符合性审查的不同投标人参加同一合同项下投标的，按一家投标人计算，评审后得分最高的同品牌投标人获得中标人推荐资格；评审得分相同时，以报价低者获得中标人推荐资格。</w:t>
      </w:r>
    </w:p>
    <w:p w14:paraId="58CA8D19">
      <w:pPr>
        <w:shd w:val="clear" w:color="auto" w:fill="FFFFFF"/>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非单一产品采购项目中，招标文件中将标注“核心产品”，多家投标人提供的核心产品品牌均相同的，按一家投标人认定（依照上款）。</w:t>
      </w:r>
    </w:p>
    <w:p w14:paraId="16B403A3">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投标人投标所使用的资质、信誉、荣誉、业绩与企业认证必须为投标人自身所拥有。</w:t>
      </w:r>
    </w:p>
    <w:p w14:paraId="716D9814">
      <w:pPr>
        <w:numPr>
          <w:ilvl w:val="2"/>
          <w:numId w:val="14"/>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投标人应仔细阅读招标文件的所有内容，按照招标文件的要求提交投标文件，并对所提供的全部资料的真实性承担法律责任。</w:t>
      </w:r>
    </w:p>
    <w:p w14:paraId="149CC3B1">
      <w:pPr>
        <w:numPr>
          <w:ilvl w:val="1"/>
          <w:numId w:val="14"/>
        </w:numPr>
        <w:snapToGrid w:val="0"/>
        <w:spacing w:line="400" w:lineRule="exact"/>
        <w:rPr>
          <w:rFonts w:hint="eastAsia" w:ascii="宋体" w:hAnsi="宋体" w:cs="宋体"/>
          <w:b/>
          <w:color w:val="auto"/>
          <w:highlight w:val="none"/>
        </w:rPr>
      </w:pPr>
      <w:r>
        <w:rPr>
          <w:rFonts w:hint="eastAsia" w:ascii="宋体" w:hAnsi="宋体" w:cs="宋体"/>
          <w:color w:val="auto"/>
          <w:highlight w:val="none"/>
        </w:rPr>
        <w:t>关于中小企业、监狱和戒毒企业和残疾人福利性单位参与政府采购活动的规定：</w:t>
      </w:r>
      <w:r>
        <w:rPr>
          <w:rFonts w:hint="eastAsia" w:ascii="宋体" w:hAnsi="宋体" w:cs="宋体"/>
          <w:b/>
          <w:color w:val="auto"/>
          <w:highlight w:val="none"/>
        </w:rPr>
        <w:t xml:space="preserve"> </w:t>
      </w:r>
    </w:p>
    <w:p w14:paraId="04F76107">
      <w:pPr>
        <w:numPr>
          <w:ilvl w:val="2"/>
          <w:numId w:val="14"/>
        </w:numPr>
        <w:shd w:val="clear" w:color="auto" w:fill="FFFFFF"/>
        <w:snapToGrid w:val="0"/>
        <w:spacing w:line="400" w:lineRule="exact"/>
        <w:rPr>
          <w:rFonts w:hint="eastAsia" w:ascii="宋体" w:hAnsi="宋体" w:cs="宋体"/>
          <w:color w:val="auto"/>
          <w:highlight w:val="none"/>
        </w:rPr>
      </w:pPr>
      <w:r>
        <w:rPr>
          <w:rFonts w:hint="eastAsia" w:ascii="宋体" w:hAnsi="宋体" w:cs="宋体"/>
          <w:color w:val="auto"/>
          <w:highlight w:val="none"/>
        </w:rPr>
        <w:t>涉及中小企业的，根据财库（2020）46号的相关规定执行。</w:t>
      </w:r>
    </w:p>
    <w:p w14:paraId="030D9A38">
      <w:pPr>
        <w:numPr>
          <w:ilvl w:val="2"/>
          <w:numId w:val="14"/>
        </w:numPr>
        <w:shd w:val="clear" w:color="auto" w:fill="FFFFFF"/>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投标人属监狱和戒毒企业的，根据财库〔2014〕68号）的相关规定执行。</w:t>
      </w:r>
    </w:p>
    <w:p w14:paraId="59F4CF97">
      <w:pPr>
        <w:numPr>
          <w:ilvl w:val="2"/>
          <w:numId w:val="14"/>
        </w:numPr>
        <w:shd w:val="clear" w:color="auto" w:fill="FFFFFF"/>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投标人属残疾人福利性单位的，根据财库[2017]141号的相关规定执行。</w:t>
      </w:r>
    </w:p>
    <w:p w14:paraId="2A43036D">
      <w:pPr>
        <w:numPr>
          <w:ilvl w:val="2"/>
          <w:numId w:val="14"/>
        </w:numPr>
        <w:shd w:val="clear" w:color="auto" w:fill="FFFFFF"/>
        <w:snapToGrid w:val="0"/>
        <w:spacing w:line="400" w:lineRule="exact"/>
        <w:rPr>
          <w:rFonts w:hint="eastAsia" w:ascii="宋体" w:hAnsi="宋体" w:cs="宋体"/>
          <w:color w:val="auto"/>
          <w:highlight w:val="none"/>
        </w:rPr>
      </w:pPr>
      <w:r>
        <w:rPr>
          <w:rFonts w:hint="eastAsia" w:ascii="宋体" w:hAnsi="宋体" w:cs="宋体"/>
          <w:color w:val="auto"/>
          <w:highlight w:val="none"/>
        </w:rPr>
        <w:t>中型、小型、微型企业参加投标时，应提供《中小企业声明函》（</w:t>
      </w:r>
      <w:r>
        <w:rPr>
          <w:rFonts w:hint="eastAsia" w:ascii="宋体" w:hAnsi="宋体" w:cs="宋体"/>
          <w:color w:val="auto"/>
          <w:highlight w:val="none"/>
          <w:lang w:val="en-US" w:eastAsia="zh-CN"/>
        </w:rPr>
        <w:t>货物</w:t>
      </w:r>
      <w:r>
        <w:rPr>
          <w:rFonts w:hint="eastAsia" w:ascii="宋体" w:hAnsi="宋体" w:cs="宋体"/>
          <w:color w:val="auto"/>
          <w:highlight w:val="none"/>
        </w:rPr>
        <w:t>）；监狱和戒毒企业参加投标时应提供由省级以上监狱管理局、戒毒管理局（含新疆生产建设兵团）出具的属于监狱企业的证明文件；</w:t>
      </w:r>
      <w:r>
        <w:rPr>
          <w:rFonts w:hint="eastAsia" w:ascii="宋体" w:hAnsi="宋体" w:cs="宋体"/>
          <w:bCs/>
          <w:color w:val="auto"/>
          <w:highlight w:val="none"/>
        </w:rPr>
        <w:t>残疾人福利性单位参加投标时应提供残疾人福利性单位声明函。</w:t>
      </w:r>
    </w:p>
    <w:p w14:paraId="1B49DDE9">
      <w:pPr>
        <w:numPr>
          <w:ilvl w:val="0"/>
          <w:numId w:val="13"/>
        </w:numPr>
        <w:snapToGrid w:val="0"/>
        <w:spacing w:line="400" w:lineRule="exact"/>
        <w:outlineLvl w:val="1"/>
        <w:rPr>
          <w:rFonts w:hint="eastAsia" w:ascii="宋体" w:hAnsi="宋体" w:cs="宋体"/>
          <w:b/>
          <w:color w:val="auto"/>
          <w:highlight w:val="none"/>
        </w:rPr>
      </w:pPr>
      <w:bookmarkStart w:id="20" w:name="_Toc359856799"/>
      <w:bookmarkStart w:id="21" w:name="_Toc356371434"/>
      <w:r>
        <w:rPr>
          <w:rFonts w:hint="eastAsia" w:ascii="宋体" w:hAnsi="宋体" w:cs="宋体"/>
          <w:b/>
          <w:color w:val="auto"/>
          <w:highlight w:val="none"/>
        </w:rPr>
        <w:t>招标文件说明</w:t>
      </w:r>
      <w:bookmarkEnd w:id="20"/>
      <w:bookmarkEnd w:id="21"/>
    </w:p>
    <w:p w14:paraId="19B753DA">
      <w:pPr>
        <w:numPr>
          <w:ilvl w:val="1"/>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招标文件的组成</w:t>
      </w:r>
    </w:p>
    <w:p w14:paraId="67B77ECE">
      <w:pPr>
        <w:numPr>
          <w:ilvl w:val="2"/>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招标公告；</w:t>
      </w:r>
    </w:p>
    <w:p w14:paraId="3C0E770A">
      <w:pPr>
        <w:numPr>
          <w:ilvl w:val="2"/>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投标须知前附表及投标须知；</w:t>
      </w:r>
    </w:p>
    <w:p w14:paraId="3937AE28">
      <w:pPr>
        <w:numPr>
          <w:ilvl w:val="2"/>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采购内容及要求；</w:t>
      </w:r>
    </w:p>
    <w:p w14:paraId="73FEB16A">
      <w:pPr>
        <w:numPr>
          <w:ilvl w:val="2"/>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有关格式范例；</w:t>
      </w:r>
    </w:p>
    <w:p w14:paraId="06E3E51D">
      <w:pPr>
        <w:numPr>
          <w:ilvl w:val="2"/>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评标办法及开评标程序。</w:t>
      </w:r>
    </w:p>
    <w:p w14:paraId="053CC7BB">
      <w:pPr>
        <w:numPr>
          <w:ilvl w:val="1"/>
          <w:numId w:val="15"/>
        </w:numPr>
        <w:snapToGrid w:val="0"/>
        <w:spacing w:line="400" w:lineRule="exact"/>
        <w:rPr>
          <w:rFonts w:hint="eastAsia" w:ascii="宋体" w:hAnsi="宋体" w:cs="宋体"/>
          <w:color w:val="auto"/>
          <w:highlight w:val="none"/>
        </w:rPr>
      </w:pPr>
      <w:r>
        <w:rPr>
          <w:rFonts w:hint="eastAsia" w:ascii="宋体" w:hAnsi="宋体" w:cs="宋体"/>
          <w:color w:val="auto"/>
          <w:highlight w:val="none"/>
        </w:rPr>
        <w:t>招标文件的澄清及修改：采购代理机构可按照相关程序对已发出的招标文件进行必要的澄清或修改，投标人应按照澄清及修改后的招标文件要求投标。</w:t>
      </w:r>
    </w:p>
    <w:p w14:paraId="31F01B48">
      <w:pPr>
        <w:numPr>
          <w:ilvl w:val="0"/>
          <w:numId w:val="13"/>
        </w:numPr>
        <w:snapToGrid w:val="0"/>
        <w:spacing w:line="400" w:lineRule="exact"/>
        <w:outlineLvl w:val="1"/>
        <w:rPr>
          <w:rFonts w:hint="eastAsia" w:ascii="宋体" w:hAnsi="宋体" w:cs="宋体"/>
          <w:b/>
          <w:color w:val="auto"/>
          <w:highlight w:val="none"/>
        </w:rPr>
      </w:pPr>
      <w:bookmarkStart w:id="22" w:name="_Toc359856800"/>
      <w:bookmarkStart w:id="23" w:name="_Toc356371435"/>
      <w:r>
        <w:rPr>
          <w:rFonts w:hint="eastAsia" w:ascii="宋体" w:hAnsi="宋体" w:cs="宋体"/>
          <w:b/>
          <w:color w:val="auto"/>
          <w:highlight w:val="none"/>
        </w:rPr>
        <w:t>投标文件的编制</w:t>
      </w:r>
      <w:bookmarkEnd w:id="22"/>
      <w:bookmarkEnd w:id="23"/>
    </w:p>
    <w:p w14:paraId="72D6067E">
      <w:pPr>
        <w:numPr>
          <w:ilvl w:val="1"/>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总体要求</w:t>
      </w:r>
    </w:p>
    <w:p w14:paraId="3BB12CA1">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投标人应仔细阅读招标文件的所有内容，按本文件的要求提供投标文件，并保证所提供的全部资料的真实性，以使其投标文件对招标文件作出实质性响应，否则，投标文件可能视为无效投标文件。</w:t>
      </w:r>
    </w:p>
    <w:p w14:paraId="7FD829BA">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投标文件及投标人与采购有关的来往通知，函件和文件均应使用中文。</w:t>
      </w:r>
    </w:p>
    <w:p w14:paraId="3D46D61D">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投标人请按本文件中提供的文件格式、内容和要求制作投标文件。</w:t>
      </w:r>
    </w:p>
    <w:p w14:paraId="197A6A76">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投标文件的形式和效力</w:t>
      </w:r>
    </w:p>
    <w:p w14:paraId="6BCC75C5">
      <w:pPr>
        <w:numPr>
          <w:ilvl w:val="3"/>
          <w:numId w:val="16"/>
        </w:numPr>
        <w:wordWrap w:val="0"/>
        <w:snapToGrid w:val="0"/>
        <w:spacing w:line="400" w:lineRule="exact"/>
        <w:rPr>
          <w:rFonts w:hint="eastAsia" w:ascii="宋体" w:hAnsi="宋体" w:cs="宋体"/>
          <w:color w:val="auto"/>
          <w:highlight w:val="none"/>
        </w:rPr>
      </w:pPr>
      <w:r>
        <w:rPr>
          <w:rFonts w:hint="eastAsia" w:ascii="宋体" w:hAnsi="宋体" w:cs="宋体"/>
          <w:b/>
          <w:color w:val="auto"/>
          <w:highlight w:val="none"/>
        </w:rPr>
        <w:t>投标文件要求为电子投标文件。电子投标文件</w:t>
      </w:r>
      <w:r>
        <w:rPr>
          <w:rFonts w:hint="eastAsia" w:ascii="宋体" w:hAnsi="宋体" w:cs="宋体"/>
          <w:b/>
          <w:bCs/>
          <w:color w:val="auto"/>
          <w:highlight w:val="none"/>
        </w:rPr>
        <w:t>按“政采云”平台“政府采购项目电子交易管理操作指南-供应商”（请投标供应商登录“政采云”平台政府采购电子卖场后，点击链接https://service.zcygov.cn/#/knowledges/CW1EtGwBFdiHxlNd6I3m/6IMVAG0BFdiHxlNdQ8Na以获取最新操作指南）</w:t>
      </w:r>
      <w:r>
        <w:rPr>
          <w:rFonts w:hint="eastAsia" w:ascii="宋体" w:hAnsi="宋体" w:cs="宋体"/>
          <w:b/>
          <w:color w:val="auto"/>
          <w:highlight w:val="none"/>
        </w:rPr>
        <w:t>及本招标文件要求制作、加密并递交；</w:t>
      </w:r>
    </w:p>
    <w:p w14:paraId="7367C160">
      <w:pPr>
        <w:numPr>
          <w:ilvl w:val="1"/>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投标文件的组成</w:t>
      </w:r>
    </w:p>
    <w:p w14:paraId="4431EBCB">
      <w:pPr>
        <w:tabs>
          <w:tab w:val="left" w:pos="0"/>
          <w:tab w:val="left" w:pos="900"/>
          <w:tab w:val="left" w:pos="7020"/>
          <w:tab w:val="left" w:pos="8460"/>
        </w:tabs>
        <w:snapToGrid w:val="0"/>
        <w:spacing w:line="400" w:lineRule="exact"/>
        <w:ind w:firstLine="480" w:firstLineChars="200"/>
        <w:rPr>
          <w:rFonts w:hint="eastAsia" w:ascii="宋体" w:hAnsi="宋体" w:cs="宋体"/>
          <w:b/>
          <w:color w:val="auto"/>
          <w:highlight w:val="none"/>
        </w:rPr>
      </w:pPr>
      <w:r>
        <w:rPr>
          <w:rFonts w:hint="eastAsia" w:ascii="宋体" w:hAnsi="宋体" w:cs="宋体"/>
          <w:color w:val="auto"/>
          <w:highlight w:val="none"/>
        </w:rPr>
        <w:t>投标文件分为【资格文件】、【技术商务文件】和【报价文件】三部分。</w:t>
      </w:r>
      <w:r>
        <w:rPr>
          <w:rFonts w:hint="eastAsia" w:ascii="宋体" w:hAnsi="宋体" w:cs="宋体"/>
          <w:b/>
          <w:color w:val="auto"/>
          <w:highlight w:val="none"/>
        </w:rPr>
        <w:t>电子投标文件中所须加盖公章部分均采用CA签章。</w:t>
      </w:r>
    </w:p>
    <w:p w14:paraId="0B683CDA">
      <w:pPr>
        <w:numPr>
          <w:ilvl w:val="2"/>
          <w:numId w:val="16"/>
        </w:numPr>
        <w:snapToGrid w:val="0"/>
        <w:spacing w:line="400" w:lineRule="exact"/>
        <w:rPr>
          <w:rFonts w:hint="eastAsia" w:ascii="宋体" w:hAnsi="宋体" w:cs="宋体"/>
          <w:b/>
          <w:color w:val="auto"/>
          <w:highlight w:val="none"/>
        </w:rPr>
      </w:pPr>
      <w:r>
        <w:rPr>
          <w:rFonts w:hint="eastAsia" w:ascii="宋体" w:hAnsi="宋体" w:cs="宋体"/>
          <w:b/>
          <w:color w:val="auto"/>
          <w:highlight w:val="none"/>
        </w:rPr>
        <w:t>【资格文件】包括（但不限于）下列部份</w:t>
      </w:r>
    </w:p>
    <w:p w14:paraId="59D64553">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投标函；</w:t>
      </w:r>
    </w:p>
    <w:p w14:paraId="576BB379">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有效的营业执照、税务登记证、组织机构代码、社保代码，或“三证合一”（“五证合一”）的营业执照复印件；</w:t>
      </w:r>
    </w:p>
    <w:p w14:paraId="39389D16">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分支机构参与投标的，须提供总公司（总机构）的《营业执照》复印件及总公司（总机构）的授权书（格式自拟）；</w:t>
      </w:r>
    </w:p>
    <w:p w14:paraId="469F5E86">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符合参加政府采购活动应当具备的一般条件的承诺函</w:t>
      </w:r>
      <w:r>
        <w:rPr>
          <w:rFonts w:hint="eastAsia" w:ascii="宋体" w:hAnsi="宋体" w:cs="宋体"/>
          <w:color w:val="auto"/>
          <w:highlight w:val="none"/>
          <w:lang w:eastAsia="zh-CN"/>
        </w:rPr>
        <w:t>；</w:t>
      </w:r>
    </w:p>
    <w:p w14:paraId="3940D82E">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法定代表人（负责人）授权委托书；</w:t>
      </w:r>
    </w:p>
    <w:p w14:paraId="5CCCB0C9">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《中小企业声明函》（符合中小企业相关政策的投标人提供）；</w:t>
      </w:r>
    </w:p>
    <w:p w14:paraId="04C4BB7F">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监狱和戒毒企业应提供由省级以上监狱管理局、戒毒管理局（含新疆生产建设兵团）出具的属于监狱企业的证明文件（如有）</w:t>
      </w:r>
      <w:r>
        <w:rPr>
          <w:rFonts w:hint="eastAsia" w:ascii="宋体" w:hAnsi="宋体" w:cs="宋体"/>
          <w:color w:val="auto"/>
          <w:highlight w:val="none"/>
          <w:lang w:eastAsia="zh-CN"/>
        </w:rPr>
        <w:t>；</w:t>
      </w:r>
    </w:p>
    <w:p w14:paraId="43092484">
      <w:pPr>
        <w:numPr>
          <w:ilvl w:val="3"/>
          <w:numId w:val="16"/>
        </w:numPr>
        <w:snapToGrid w:val="0"/>
        <w:spacing w:line="400" w:lineRule="exact"/>
        <w:rPr>
          <w:rFonts w:hint="eastAsia"/>
          <w:color w:val="auto"/>
          <w:highlight w:val="none"/>
        </w:rPr>
      </w:pPr>
      <w:r>
        <w:rPr>
          <w:rFonts w:hint="eastAsia" w:ascii="宋体" w:hAnsi="宋体" w:cs="宋体"/>
          <w:color w:val="auto"/>
          <w:highlight w:val="none"/>
        </w:rPr>
        <w:t>残疾人福利性单位应提供残疾人福利性单位声明函（如有）。</w:t>
      </w:r>
    </w:p>
    <w:p w14:paraId="2DDC51A8">
      <w:pPr>
        <w:numPr>
          <w:ilvl w:val="2"/>
          <w:numId w:val="16"/>
        </w:numPr>
        <w:snapToGrid w:val="0"/>
        <w:spacing w:line="400" w:lineRule="exact"/>
        <w:rPr>
          <w:rFonts w:hint="eastAsia" w:ascii="宋体" w:hAnsi="宋体" w:cs="宋体"/>
          <w:b/>
          <w:color w:val="auto"/>
          <w:highlight w:val="none"/>
        </w:rPr>
      </w:pPr>
      <w:r>
        <w:rPr>
          <w:rFonts w:hint="eastAsia" w:ascii="宋体" w:hAnsi="宋体" w:cs="宋体"/>
          <w:b/>
          <w:color w:val="auto"/>
          <w:highlight w:val="none"/>
        </w:rPr>
        <w:t>【技术商务文件】包括（但不限于）下列部份</w:t>
      </w:r>
    </w:p>
    <w:p w14:paraId="3F8EA23D">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投标文件目录；</w:t>
      </w:r>
    </w:p>
    <w:p w14:paraId="6C499A16">
      <w:pPr>
        <w:numPr>
          <w:ilvl w:val="3"/>
          <w:numId w:val="16"/>
        </w:numPr>
        <w:snapToGrid w:val="0"/>
        <w:spacing w:line="400" w:lineRule="exact"/>
        <w:rPr>
          <w:rFonts w:hint="eastAsia" w:ascii="宋体" w:hAnsi="宋体" w:cs="宋体"/>
          <w:color w:val="auto"/>
          <w:highlight w:val="none"/>
        </w:rPr>
      </w:pPr>
      <w:r>
        <w:rPr>
          <w:rFonts w:hint="eastAsia" w:ascii="宋体" w:hAnsi="宋体" w:eastAsia="宋体" w:cs="宋体"/>
          <w:color w:val="auto"/>
          <w:highlight w:val="none"/>
        </w:rPr>
        <w:t>财务报表复印件等反映财务经营情况材料（如有）</w:t>
      </w:r>
      <w:r>
        <w:rPr>
          <w:rFonts w:hint="eastAsia" w:ascii="宋体" w:hAnsi="宋体" w:cs="宋体"/>
          <w:color w:val="auto"/>
          <w:highlight w:val="none"/>
        </w:rPr>
        <w:t>；</w:t>
      </w:r>
    </w:p>
    <w:p w14:paraId="1F6FB73A">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相关部门出具的企业纳税情况和社保基金缴纳情况证明材料（如有）；</w:t>
      </w:r>
    </w:p>
    <w:p w14:paraId="09CD4074">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投标货物清单（品牌、型号、详细技术指标及数量等，清单内容必须包括所有所投货物）；</w:t>
      </w:r>
    </w:p>
    <w:p w14:paraId="3E677D73">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针对本项目的完整实施方案，包括供货期、安装调试方案等；</w:t>
      </w:r>
    </w:p>
    <w:p w14:paraId="6C3A82CE">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售后服务承诺书；</w:t>
      </w:r>
    </w:p>
    <w:p w14:paraId="00AA2C2F">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履行合同所需的专业技术能力的证明材料和案例；</w:t>
      </w:r>
    </w:p>
    <w:p w14:paraId="4BBCC11B">
      <w:pPr>
        <w:numPr>
          <w:ilvl w:val="3"/>
          <w:numId w:val="16"/>
        </w:numPr>
        <w:snapToGrid w:val="0"/>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投标人认为需要的其他技术商务资料（请参考评标办法中条款）。</w:t>
      </w:r>
    </w:p>
    <w:p w14:paraId="69476A81">
      <w:pPr>
        <w:numPr>
          <w:ilvl w:val="2"/>
          <w:numId w:val="16"/>
        </w:numPr>
        <w:snapToGrid w:val="0"/>
        <w:spacing w:line="400" w:lineRule="exact"/>
        <w:rPr>
          <w:rFonts w:hint="eastAsia" w:ascii="宋体" w:hAnsi="宋体" w:eastAsia="宋体" w:cs="宋体"/>
          <w:b/>
          <w:color w:val="auto"/>
          <w:highlight w:val="none"/>
        </w:rPr>
      </w:pPr>
      <w:r>
        <w:rPr>
          <w:rFonts w:hint="eastAsia" w:ascii="宋体" w:hAnsi="宋体" w:eastAsia="宋体" w:cs="宋体"/>
          <w:b/>
          <w:color w:val="auto"/>
          <w:highlight w:val="none"/>
        </w:rPr>
        <w:t>【报价文件】包括（但不限于）下列部份</w:t>
      </w:r>
    </w:p>
    <w:p w14:paraId="355F877D">
      <w:pPr>
        <w:numPr>
          <w:ilvl w:val="3"/>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 xml:space="preserve">开标一览表； </w:t>
      </w:r>
    </w:p>
    <w:p w14:paraId="3AF86CD1">
      <w:pPr>
        <w:numPr>
          <w:ilvl w:val="1"/>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 xml:space="preserve">投标文件内容填写说明 </w:t>
      </w:r>
    </w:p>
    <w:p w14:paraId="2B2714C1">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投标人应按照招标文件的要求编制完整的投标文件。投标文件请按照招标文件中的统一格式填写，电子投标文件</w:t>
      </w:r>
      <w:r>
        <w:rPr>
          <w:rFonts w:hint="eastAsia" w:ascii="宋体" w:hAnsi="宋体" w:cs="宋体"/>
          <w:bCs/>
          <w:color w:val="auto"/>
          <w:highlight w:val="none"/>
        </w:rPr>
        <w:t>按“政采云”平台“</w:t>
      </w:r>
      <w:r>
        <w:rPr>
          <w:rFonts w:hint="eastAsia" w:ascii="宋体" w:hAnsi="宋体" w:cs="宋体"/>
          <w:color w:val="auto"/>
          <w:highlight w:val="none"/>
        </w:rPr>
        <w:t>政府采购项目电子交易管理操作指南-供应商”</w:t>
      </w:r>
      <w:r>
        <w:rPr>
          <w:rFonts w:hint="eastAsia" w:ascii="宋体" w:hAnsi="宋体" w:cs="宋体"/>
          <w:bCs/>
          <w:color w:val="auto"/>
          <w:highlight w:val="none"/>
        </w:rPr>
        <w:t>（</w:t>
      </w:r>
      <w:r>
        <w:rPr>
          <w:rFonts w:hint="eastAsia" w:ascii="宋体" w:hAnsi="宋体" w:cs="宋体"/>
          <w:color w:val="auto"/>
          <w:highlight w:val="none"/>
        </w:rPr>
        <w:t>请投标供应商登录</w:t>
      </w:r>
      <w:r>
        <w:rPr>
          <w:rFonts w:hint="eastAsia" w:ascii="宋体" w:hAnsi="宋体" w:cs="宋体"/>
          <w:bCs/>
          <w:color w:val="auto"/>
          <w:highlight w:val="none"/>
        </w:rPr>
        <w:t>“政采云”</w:t>
      </w:r>
      <w:r>
        <w:rPr>
          <w:rFonts w:hint="eastAsia" w:ascii="宋体" w:hAnsi="宋体" w:cs="宋体"/>
          <w:color w:val="auto"/>
          <w:highlight w:val="none"/>
        </w:rPr>
        <w:t>平台政府采购电子卖场后，点击链接https://service.zcygov.cn/#/knowledges/CW1EtGwBFdiHxlNd6I3m/6IMVAG0BFdiHxlNdQ8Na以获取最新操作指南</w:t>
      </w:r>
      <w:r>
        <w:rPr>
          <w:rFonts w:hint="eastAsia" w:ascii="宋体" w:hAnsi="宋体" w:cs="宋体"/>
          <w:bCs/>
          <w:color w:val="auto"/>
          <w:highlight w:val="none"/>
        </w:rPr>
        <w:t>）</w:t>
      </w:r>
      <w:r>
        <w:rPr>
          <w:rFonts w:hint="eastAsia" w:ascii="宋体" w:hAnsi="宋体" w:cs="宋体"/>
          <w:color w:val="auto"/>
          <w:highlight w:val="none"/>
        </w:rPr>
        <w:t>及本招标文件要求制作、加密。</w:t>
      </w:r>
    </w:p>
    <w:p w14:paraId="1C14C5DD">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《开标一览表》应要求按格式填写、统一规范，不得自行增减内容。</w:t>
      </w:r>
    </w:p>
    <w:p w14:paraId="01CD3841">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投标文件应对招标文件中的内容做出实质性的和完整的响应，否则其投标将被拒绝。如果投标文件的内容资料不详，将可能会导致投标被拒绝。</w:t>
      </w:r>
    </w:p>
    <w:p w14:paraId="28D62EFD">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投标人应当在投标文件中予以特别说明，告知采购人可能影响采购项目实施或损害采购人利益的信息，否则，采购代理机构可以拒绝其投标文件。</w:t>
      </w:r>
    </w:p>
    <w:p w14:paraId="32198AFF">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投标文件不得涂改和增删，由于字迹模糊或表达不清引起的后果由投标人负责。</w:t>
      </w:r>
    </w:p>
    <w:p w14:paraId="33DEA218">
      <w:pPr>
        <w:numPr>
          <w:ilvl w:val="2"/>
          <w:numId w:val="16"/>
        </w:numPr>
        <w:snapToGrid w:val="0"/>
        <w:spacing w:line="400" w:lineRule="exact"/>
        <w:rPr>
          <w:rFonts w:hint="eastAsia" w:ascii="宋体" w:hAnsi="宋体" w:cs="宋体"/>
          <w:b/>
          <w:bCs/>
          <w:color w:val="auto"/>
          <w:highlight w:val="none"/>
        </w:rPr>
      </w:pPr>
      <w:r>
        <w:rPr>
          <w:rFonts w:hint="eastAsia" w:ascii="宋体" w:hAnsi="宋体" w:cs="宋体"/>
          <w:bCs/>
          <w:color w:val="auto"/>
          <w:highlight w:val="none"/>
        </w:rPr>
        <w:t>所投货物如与采购需求在规格、技术参数、性能、工艺、材料、质量等方面有偏离，请在《投标货物清单及偏离表》中注明。</w:t>
      </w:r>
    </w:p>
    <w:p w14:paraId="6E23136E">
      <w:pPr>
        <w:numPr>
          <w:ilvl w:val="1"/>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投标报价</w:t>
      </w:r>
    </w:p>
    <w:p w14:paraId="33292E29">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投标报价请按招标文件中相关附表格式填写。</w:t>
      </w:r>
    </w:p>
    <w:p w14:paraId="2D4C6080">
      <w:pPr>
        <w:numPr>
          <w:ilvl w:val="2"/>
          <w:numId w:val="16"/>
        </w:numPr>
        <w:snapToGrid w:val="0"/>
        <w:spacing w:line="400" w:lineRule="exact"/>
        <w:rPr>
          <w:rFonts w:hint="eastAsia" w:ascii="宋体" w:hAnsi="宋体" w:cs="宋体"/>
          <w:color w:val="auto"/>
          <w:highlight w:val="none"/>
        </w:rPr>
      </w:pPr>
      <w:r>
        <w:rPr>
          <w:rFonts w:hint="eastAsia" w:ascii="宋体" w:hAnsi="宋体"/>
          <w:color w:val="auto"/>
          <w:highlight w:val="none"/>
        </w:rPr>
        <w:t>报价中必须包含货物及零配件的购置安装、运输保险、装卸、培训辅导、质保期售后服务、全额含税发票、雇员费用、合同实施过程中的应预见和不可预见费用等</w:t>
      </w:r>
      <w:r>
        <w:rPr>
          <w:rFonts w:hint="eastAsia" w:ascii="宋体" w:hAnsi="宋体" w:cs="宋体"/>
          <w:color w:val="auto"/>
          <w:highlight w:val="none"/>
        </w:rPr>
        <w:t>。</w:t>
      </w:r>
    </w:p>
    <w:p w14:paraId="20BB9FF9">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投标文件只允许有一个报价，有选择的或有条件的报价将不予接受。</w:t>
      </w:r>
    </w:p>
    <w:p w14:paraId="710DD5AC">
      <w:pPr>
        <w:numPr>
          <w:ilvl w:val="1"/>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投标有效期</w:t>
      </w:r>
    </w:p>
    <w:p w14:paraId="4BF4417C">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投标文件从投标文件递交截止之日起，有效期为90天；</w:t>
      </w:r>
    </w:p>
    <w:p w14:paraId="13DFF6E7">
      <w:pPr>
        <w:numPr>
          <w:ilvl w:val="2"/>
          <w:numId w:val="16"/>
        </w:numPr>
        <w:snapToGrid w:val="0"/>
        <w:spacing w:line="400" w:lineRule="exact"/>
        <w:rPr>
          <w:rFonts w:hint="eastAsia" w:ascii="宋体" w:hAnsi="宋体" w:cs="宋体"/>
          <w:color w:val="auto"/>
          <w:highlight w:val="none"/>
        </w:rPr>
      </w:pPr>
      <w:r>
        <w:rPr>
          <w:rFonts w:hint="eastAsia" w:ascii="宋体" w:hAnsi="宋体" w:cs="宋体"/>
          <w:color w:val="auto"/>
          <w:highlight w:val="none"/>
        </w:rPr>
        <w:t>特殊情况下，在原投标文件有效期截止之前，采购代理机构可要求投标人同意延长投标文件有效期。这种要求与答复均应以书面形式提交。投标人可拒绝采购代理机构的这种要求。接受延长投标文件有效期的投标人将不会被要求和允许修正投标文件。</w:t>
      </w:r>
    </w:p>
    <w:p w14:paraId="5E012B1E">
      <w:pPr>
        <w:numPr>
          <w:ilvl w:val="0"/>
          <w:numId w:val="13"/>
        </w:numPr>
        <w:snapToGrid w:val="0"/>
        <w:spacing w:line="400" w:lineRule="exact"/>
        <w:outlineLvl w:val="1"/>
        <w:rPr>
          <w:rFonts w:hint="eastAsia" w:ascii="宋体" w:hAnsi="宋体" w:cs="宋体"/>
          <w:b/>
          <w:color w:val="auto"/>
          <w:highlight w:val="none"/>
        </w:rPr>
      </w:pPr>
      <w:bookmarkStart w:id="24" w:name="_Toc359856801"/>
      <w:bookmarkStart w:id="25" w:name="_Toc356371436"/>
      <w:r>
        <w:rPr>
          <w:rFonts w:hint="eastAsia" w:ascii="宋体" w:hAnsi="宋体" w:cs="宋体"/>
          <w:b/>
          <w:color w:val="auto"/>
          <w:highlight w:val="none"/>
        </w:rPr>
        <w:t>投标保证金</w:t>
      </w:r>
      <w:bookmarkEnd w:id="24"/>
      <w:bookmarkEnd w:id="25"/>
    </w:p>
    <w:p w14:paraId="60A4BFF8">
      <w:pPr>
        <w:snapToGrid w:val="0"/>
        <w:spacing w:line="400" w:lineRule="exact"/>
        <w:ind w:left="567"/>
        <w:rPr>
          <w:rFonts w:hint="eastAsia" w:ascii="宋体" w:hAnsi="宋体" w:cs="宋体"/>
          <w:color w:val="auto"/>
          <w:highlight w:val="none"/>
        </w:rPr>
      </w:pPr>
      <w:r>
        <w:rPr>
          <w:rFonts w:hint="eastAsia" w:ascii="宋体" w:hAnsi="宋体" w:cs="宋体"/>
          <w:color w:val="auto"/>
          <w:highlight w:val="none"/>
        </w:rPr>
        <w:t>14本项目不收取投标保证金</w:t>
      </w:r>
    </w:p>
    <w:p w14:paraId="05351BA9">
      <w:pPr>
        <w:numPr>
          <w:ilvl w:val="0"/>
          <w:numId w:val="13"/>
        </w:numPr>
        <w:snapToGrid w:val="0"/>
        <w:spacing w:line="400" w:lineRule="exact"/>
        <w:outlineLvl w:val="1"/>
        <w:rPr>
          <w:rFonts w:hint="eastAsia" w:ascii="宋体" w:hAnsi="宋体" w:cs="宋体"/>
          <w:b/>
          <w:color w:val="auto"/>
          <w:highlight w:val="none"/>
        </w:rPr>
      </w:pPr>
      <w:bookmarkStart w:id="26" w:name="_Toc359856802"/>
      <w:r>
        <w:rPr>
          <w:rFonts w:hint="eastAsia" w:ascii="宋体" w:hAnsi="宋体" w:cs="宋体"/>
          <w:b/>
          <w:color w:val="auto"/>
          <w:highlight w:val="none"/>
        </w:rPr>
        <w:t>投标文件的签署及规定</w:t>
      </w:r>
      <w:bookmarkEnd w:id="26"/>
    </w:p>
    <w:p w14:paraId="2CB15078">
      <w:pPr>
        <w:snapToGrid w:val="0"/>
        <w:spacing w:line="400" w:lineRule="exact"/>
        <w:ind w:left="7" w:leftChars="0" w:firstLine="559" w:firstLineChars="233"/>
        <w:rPr>
          <w:rFonts w:hint="eastAsia" w:ascii="宋体" w:hAnsi="宋体" w:eastAsia="宋体" w:cs="宋体"/>
          <w:color w:val="auto"/>
          <w:highlight w:val="none"/>
        </w:rPr>
      </w:pPr>
      <w:r>
        <w:rPr>
          <w:rFonts w:hint="eastAsia" w:ascii="宋体" w:hAnsi="宋体" w:eastAsia="宋体" w:cs="宋体"/>
          <w:color w:val="auto"/>
          <w:highlight w:val="none"/>
        </w:rPr>
        <w:t>15电子投标文件按“政采云”平台“政府采购项目电子交易管理操作指南-供应商”（请投标供应商登录“政采云”平台政府采购电子卖场后，点击链接https://service.zcygov.cn/#/knowledges/CW1EtGwBFdiHxlNd6I3m/6IMVAG0BFdiHxlNdQ8Na以获取最新操作指南）及本招标文件规定的格式和顺序编制电子投标文件并进行关联定位。</w:t>
      </w:r>
    </w:p>
    <w:p w14:paraId="277BB072">
      <w:pPr>
        <w:numPr>
          <w:ilvl w:val="0"/>
          <w:numId w:val="13"/>
        </w:numPr>
        <w:snapToGrid w:val="0"/>
        <w:spacing w:line="400" w:lineRule="exact"/>
        <w:outlineLvl w:val="1"/>
        <w:rPr>
          <w:rFonts w:hint="eastAsia" w:ascii="宋体" w:hAnsi="宋体" w:cs="宋体"/>
          <w:b/>
          <w:color w:val="auto"/>
          <w:highlight w:val="none"/>
        </w:rPr>
      </w:pPr>
      <w:bookmarkStart w:id="27" w:name="_Toc356371437"/>
      <w:bookmarkStart w:id="28" w:name="_Toc359856803"/>
      <w:r>
        <w:rPr>
          <w:rFonts w:hint="eastAsia" w:ascii="宋体" w:hAnsi="宋体" w:cs="宋体"/>
          <w:b/>
          <w:color w:val="auto"/>
          <w:highlight w:val="none"/>
        </w:rPr>
        <w:t>投标文件的递交</w:t>
      </w:r>
      <w:bookmarkEnd w:id="27"/>
      <w:bookmarkEnd w:id="28"/>
      <w:r>
        <w:rPr>
          <w:rFonts w:hint="eastAsia" w:ascii="宋体" w:hAnsi="宋体" w:cs="宋体"/>
          <w:b/>
          <w:color w:val="auto"/>
          <w:highlight w:val="none"/>
        </w:rPr>
        <w:t>、修改和撤销</w:t>
      </w:r>
    </w:p>
    <w:p w14:paraId="2FC52DC6">
      <w:pPr>
        <w:numPr>
          <w:ilvl w:val="1"/>
          <w:numId w:val="17"/>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投标文件的递交：投标人应当在投标截止时间前完成电子投标文件的传输递交，投标截止时间前未完成传输的，视为撤回投标文件。投标截止时间后送达的投标、响应文件，将被拒收。</w:t>
      </w:r>
    </w:p>
    <w:p w14:paraId="0286437E">
      <w:pPr>
        <w:numPr>
          <w:ilvl w:val="1"/>
          <w:numId w:val="17"/>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投标文件的修改和撤销：</w:t>
      </w:r>
    </w:p>
    <w:p w14:paraId="49FDB644">
      <w:pPr>
        <w:numPr>
          <w:ilvl w:val="2"/>
          <w:numId w:val="17"/>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投标人在递交投标文件后，可以修改或撤回其投标文件：递交投标文件截止时间之前补充或者修改电子投标文件的，应当先行撤回原文件，补充、修改后重新传输递交。</w:t>
      </w:r>
    </w:p>
    <w:p w14:paraId="4027E5FD">
      <w:pPr>
        <w:numPr>
          <w:ilvl w:val="2"/>
          <w:numId w:val="17"/>
        </w:numPr>
        <w:snapToGrid w:val="0"/>
        <w:spacing w:line="400" w:lineRule="exact"/>
        <w:rPr>
          <w:rFonts w:hint="eastAsia" w:ascii="宋体" w:hAnsi="宋体" w:cs="宋体"/>
          <w:color w:val="auto"/>
          <w:highlight w:val="none"/>
        </w:rPr>
      </w:pPr>
      <w:r>
        <w:rPr>
          <w:rFonts w:hint="eastAsia" w:ascii="宋体" w:hAnsi="宋体" w:cs="宋体"/>
          <w:color w:val="auto"/>
          <w:highlight w:val="none"/>
        </w:rPr>
        <w:t>在递交投标文件截止期之后，投标人不得对其投标文件做任何修改。</w:t>
      </w:r>
    </w:p>
    <w:p w14:paraId="16D439DD">
      <w:pPr>
        <w:numPr>
          <w:ilvl w:val="2"/>
          <w:numId w:val="17"/>
        </w:numPr>
        <w:snapToGrid w:val="0"/>
        <w:spacing w:line="400" w:lineRule="exact"/>
        <w:rPr>
          <w:rFonts w:hint="eastAsia" w:ascii="宋体" w:hAnsi="宋体" w:cs="宋体"/>
          <w:color w:val="auto"/>
          <w:highlight w:val="none"/>
        </w:rPr>
      </w:pPr>
      <w:r>
        <w:rPr>
          <w:rFonts w:hint="eastAsia" w:ascii="宋体" w:hAnsi="宋体" w:cs="宋体"/>
          <w:color w:val="auto"/>
          <w:highlight w:val="none"/>
        </w:rPr>
        <w:t>递交投标文件截止期后，投标人不得撤回其投标文件。</w:t>
      </w:r>
    </w:p>
    <w:p w14:paraId="1DA284BD">
      <w:pPr>
        <w:numPr>
          <w:ilvl w:val="2"/>
          <w:numId w:val="17"/>
        </w:numPr>
        <w:snapToGrid w:val="0"/>
        <w:spacing w:line="400" w:lineRule="exact"/>
        <w:rPr>
          <w:rFonts w:hint="eastAsia" w:ascii="宋体" w:hAnsi="宋体" w:cs="宋体"/>
          <w:b/>
          <w:color w:val="auto"/>
          <w:highlight w:val="none"/>
        </w:rPr>
      </w:pPr>
      <w:r>
        <w:rPr>
          <w:rFonts w:hint="eastAsia" w:ascii="宋体" w:hAnsi="宋体" w:cs="宋体"/>
          <w:color w:val="auto"/>
          <w:highlight w:val="none"/>
        </w:rPr>
        <w:t>实质上没有响应本文件要求的投标文件将被拒绝。投标人不得通过修正或撤销不合要求的偏离或保留从而使其投标文件成为实质上响应的文件。</w:t>
      </w:r>
    </w:p>
    <w:p w14:paraId="435DC788">
      <w:pPr>
        <w:numPr>
          <w:ilvl w:val="0"/>
          <w:numId w:val="13"/>
        </w:numPr>
        <w:snapToGrid w:val="0"/>
        <w:spacing w:line="400" w:lineRule="exact"/>
        <w:outlineLvl w:val="1"/>
        <w:rPr>
          <w:rFonts w:hint="eastAsia" w:ascii="宋体" w:hAnsi="宋体" w:cs="宋体"/>
          <w:b/>
          <w:color w:val="auto"/>
          <w:highlight w:val="none"/>
        </w:rPr>
      </w:pPr>
      <w:bookmarkStart w:id="29" w:name="_Toc356371439"/>
      <w:bookmarkStart w:id="30" w:name="_Toc359856806"/>
      <w:r>
        <w:rPr>
          <w:rFonts w:hint="eastAsia" w:ascii="宋体" w:hAnsi="宋体" w:cs="宋体"/>
          <w:b/>
          <w:color w:val="auto"/>
          <w:highlight w:val="none"/>
        </w:rPr>
        <w:t>开标</w:t>
      </w:r>
      <w:bookmarkEnd w:id="29"/>
      <w:r>
        <w:rPr>
          <w:rFonts w:hint="eastAsia" w:ascii="宋体" w:hAnsi="宋体" w:cs="宋体"/>
          <w:b/>
          <w:color w:val="auto"/>
          <w:highlight w:val="none"/>
        </w:rPr>
        <w:t>和评标</w:t>
      </w:r>
      <w:bookmarkEnd w:id="30"/>
    </w:p>
    <w:p w14:paraId="57C536E2">
      <w:pPr>
        <w:numPr>
          <w:ilvl w:val="1"/>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开标</w:t>
      </w:r>
    </w:p>
    <w:p w14:paraId="53C17549">
      <w:pPr>
        <w:numPr>
          <w:ilvl w:val="2"/>
          <w:numId w:val="18"/>
        </w:numPr>
        <w:snapToGrid w:val="0"/>
        <w:spacing w:line="400" w:lineRule="exact"/>
        <w:rPr>
          <w:rFonts w:hint="eastAsia" w:ascii="宋体" w:hAnsi="宋体" w:cs="宋体"/>
          <w:color w:val="auto"/>
          <w:highlight w:val="none"/>
        </w:rPr>
      </w:pPr>
      <w:r>
        <w:rPr>
          <w:rFonts w:hint="eastAsia" w:ascii="宋体" w:hAnsi="宋体" w:cs="宋体"/>
          <w:b/>
          <w:bCs/>
          <w:color w:val="auto"/>
          <w:highlight w:val="none"/>
        </w:rPr>
        <w:t>电子投标文件开标</w:t>
      </w:r>
    </w:p>
    <w:p w14:paraId="184FA70C">
      <w:pPr>
        <w:snapToGrid w:val="0"/>
        <w:spacing w:line="400" w:lineRule="exact"/>
        <w:ind w:firstLine="480" w:firstLineChars="200"/>
        <w:rPr>
          <w:rFonts w:hint="eastAsia" w:ascii="宋体" w:hAnsi="宋体" w:cs="宋体"/>
          <w:color w:val="auto"/>
          <w:highlight w:val="none"/>
        </w:rPr>
      </w:pPr>
      <w:r>
        <w:rPr>
          <w:rFonts w:hint="eastAsia" w:ascii="宋体" w:hAnsi="宋体" w:cs="宋体"/>
          <w:bCs/>
          <w:color w:val="auto"/>
          <w:highlight w:val="none"/>
        </w:rPr>
        <w:t>（1）投标截止时间后，</w:t>
      </w:r>
      <w:r>
        <w:rPr>
          <w:rFonts w:hint="eastAsia" w:ascii="宋体" w:hAnsi="宋体" w:cs="宋体"/>
          <w:color w:val="auto"/>
          <w:highlight w:val="none"/>
        </w:rPr>
        <w:t>投标人登录</w:t>
      </w:r>
      <w:r>
        <w:rPr>
          <w:rFonts w:hint="eastAsia" w:ascii="宋体" w:hAnsi="宋体" w:cs="宋体"/>
          <w:bCs/>
          <w:color w:val="auto"/>
          <w:highlight w:val="none"/>
        </w:rPr>
        <w:t>“政采云”</w:t>
      </w:r>
      <w:r>
        <w:rPr>
          <w:rFonts w:hint="eastAsia" w:ascii="宋体" w:hAnsi="宋体" w:cs="宋体"/>
          <w:color w:val="auto"/>
          <w:highlight w:val="none"/>
        </w:rPr>
        <w:t>平台，用“项目采购-开标评标”功能对电子投标文件进行在线解密。在线解密电子投标文件时间为开标时间起半个小时内。</w:t>
      </w:r>
    </w:p>
    <w:p w14:paraId="115373B3">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采购代理机构和采购人将根据采购货物的特点组建评标委员会,其成员由技术、经济等方面的专家和采购人代表组成。评标委员会对投标文件进行审查、询标、评议和推荐中标人。</w:t>
      </w:r>
    </w:p>
    <w:p w14:paraId="591715DA">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在评标期间,投标人应安排代表值守，以便参加电子询标。</w:t>
      </w:r>
    </w:p>
    <w:p w14:paraId="25C5C000">
      <w:pPr>
        <w:numPr>
          <w:ilvl w:val="1"/>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对投标文件的审查和响应性的确定</w:t>
      </w:r>
    </w:p>
    <w:p w14:paraId="61D673E7">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评标委员会将审查投标文件是否真实、完整,总体编排是否有序,文件签署是否正确,有无计算上的错误等。</w:t>
      </w:r>
    </w:p>
    <w:p w14:paraId="2EA37640">
      <w:pPr>
        <w:numPr>
          <w:ilvl w:val="2"/>
          <w:numId w:val="18"/>
        </w:numPr>
        <w:snapToGrid w:val="0"/>
        <w:spacing w:line="400" w:lineRule="exact"/>
        <w:rPr>
          <w:rFonts w:hint="eastAsia" w:ascii="宋体" w:hAnsi="宋体" w:cs="宋体"/>
          <w:bCs/>
          <w:color w:val="auto"/>
          <w:highlight w:val="none"/>
        </w:rPr>
      </w:pPr>
      <w:r>
        <w:rPr>
          <w:rFonts w:hint="eastAsia" w:ascii="宋体" w:hAnsi="宋体" w:cs="宋体"/>
          <w:color w:val="auto"/>
          <w:highlight w:val="none"/>
        </w:rPr>
        <w:t>算术错误应按以下方法更正:</w:t>
      </w:r>
      <w:r>
        <w:rPr>
          <w:rFonts w:hint="eastAsia" w:ascii="宋体" w:hAnsi="宋体" w:cs="宋体"/>
          <w:bCs/>
          <w:color w:val="auto"/>
          <w:highlight w:val="none"/>
        </w:rPr>
        <w:t xml:space="preserve"> </w:t>
      </w:r>
    </w:p>
    <w:p w14:paraId="678E2D6F">
      <w:pPr>
        <w:snapToGrid w:val="0"/>
        <w:spacing w:line="400" w:lineRule="exact"/>
        <w:ind w:firstLine="480" w:firstLineChars="200"/>
        <w:rPr>
          <w:rFonts w:hint="eastAsia" w:ascii="宋体" w:hAnsi="宋体" w:cs="宋体"/>
          <w:bCs/>
          <w:color w:val="auto"/>
          <w:highlight w:val="none"/>
        </w:rPr>
      </w:pPr>
      <w:r>
        <w:rPr>
          <w:rFonts w:hint="eastAsia" w:ascii="宋体" w:hAnsi="宋体" w:cs="宋体"/>
          <w:bCs/>
          <w:color w:val="auto"/>
          <w:highlight w:val="none"/>
        </w:rPr>
        <w:t>（1）投标文件的大写金额和小写金额不一致的，以大写金额为准；单价金额小数点或百分比有明显错位的，以开标一览表的总价为准，并修改单价；总价金额与按单价汇总金额不一致的，以单价金额计算结果为准；同时出现两种以上不一致的，按照以上顺序修正，修正后的报价经投标人应书面确认，投标人不予确认的，其投标无效。</w:t>
      </w:r>
    </w:p>
    <w:p w14:paraId="5870FE74">
      <w:pPr>
        <w:snapToGrid w:val="0"/>
        <w:spacing w:line="400" w:lineRule="exact"/>
        <w:ind w:firstLine="480" w:firstLineChars="200"/>
        <w:rPr>
          <w:rFonts w:hint="eastAsia" w:ascii="宋体" w:hAnsi="宋体" w:cs="宋体"/>
          <w:bCs/>
          <w:color w:val="auto"/>
          <w:highlight w:val="none"/>
        </w:rPr>
      </w:pPr>
      <w:r>
        <w:rPr>
          <w:rFonts w:hint="eastAsia" w:ascii="宋体" w:hAnsi="宋体" w:cs="宋体"/>
          <w:bCs/>
          <w:color w:val="auto"/>
          <w:highlight w:val="none"/>
        </w:rPr>
        <w:t>（2）电子投标流程中，客户端填写的报价与以pdf格式上传文件中的报价不一致的，应以Pdf格式上传文件中的报价为准。</w:t>
      </w:r>
    </w:p>
    <w:p w14:paraId="695443BE">
      <w:pPr>
        <w:numPr>
          <w:ilvl w:val="1"/>
          <w:numId w:val="18"/>
        </w:numPr>
        <w:snapToGrid w:val="0"/>
        <w:spacing w:line="400" w:lineRule="exact"/>
        <w:rPr>
          <w:rFonts w:hint="eastAsia" w:ascii="宋体" w:hAnsi="宋体" w:cs="宋体"/>
          <w:color w:val="auto"/>
          <w:highlight w:val="none"/>
        </w:rPr>
      </w:pPr>
      <w:r>
        <w:rPr>
          <w:rFonts w:hint="eastAsia" w:ascii="宋体" w:hAnsi="宋体" w:cs="宋体"/>
          <w:bCs/>
          <w:color w:val="auto"/>
          <w:highlight w:val="none"/>
        </w:rPr>
        <w:t>评标</w:t>
      </w:r>
    </w:p>
    <w:p w14:paraId="02B1FC42">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评标原则：根据符合采购需求、质量和服务等要求，综合评分确定中标人。</w:t>
      </w:r>
    </w:p>
    <w:p w14:paraId="3454211E">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投标文件的澄清：为有助于投标文件的审查、评价和比较，评标小组可以在“政采云”平台在线询标，要求投标人对同一份投标文件含义不明确或同类问题表述不一致的内容（招标文件其它地方有规定处理方法的除外）作必要的澄清或说明，投标人应通过“政采云”平台在线询标系统在询标规定的时间（一般为三十分钟）内作出澄清、说明或者补正，但不得超出投标文件的范围或改变投标文件的实质性内容。凡属于评标小组在评标中发现的算术错误并进行核实的修改不在此列。如果投标人代表未按评标委员会要求在“政采云”平台作出回复且无其他有效回复方式的，评标委员会可以视情处理。</w:t>
      </w:r>
    </w:p>
    <w:p w14:paraId="456F7FCD">
      <w:pPr>
        <w:numPr>
          <w:ilvl w:val="2"/>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评标报告：评标委员会完成评审后，向采购代理机构提交经各评标委员会成员签字的评审结果报告，并按评审办法推荐中标人。</w:t>
      </w:r>
    </w:p>
    <w:p w14:paraId="59F63F44">
      <w:pPr>
        <w:numPr>
          <w:ilvl w:val="1"/>
          <w:numId w:val="18"/>
        </w:numPr>
        <w:snapToGrid w:val="0"/>
        <w:spacing w:line="400" w:lineRule="exact"/>
        <w:rPr>
          <w:rFonts w:hint="eastAsia" w:ascii="宋体" w:hAnsi="宋体" w:cs="宋体"/>
          <w:color w:val="auto"/>
          <w:highlight w:val="none"/>
        </w:rPr>
      </w:pPr>
      <w:r>
        <w:rPr>
          <w:rFonts w:hint="eastAsia" w:ascii="宋体" w:hAnsi="宋体" w:cs="宋体"/>
          <w:color w:val="auto"/>
          <w:highlight w:val="none"/>
        </w:rPr>
        <w:t>保密</w:t>
      </w:r>
    </w:p>
    <w:p w14:paraId="755D4264">
      <w:pPr>
        <w:numPr>
          <w:ilvl w:val="2"/>
          <w:numId w:val="18"/>
        </w:numPr>
        <w:snapToGrid w:val="0"/>
        <w:spacing w:line="400" w:lineRule="exact"/>
        <w:rPr>
          <w:rFonts w:hint="eastAsia" w:ascii="宋体" w:hAnsi="宋体" w:cs="宋体"/>
          <w:color w:val="auto"/>
          <w:highlight w:val="none"/>
        </w:rPr>
      </w:pPr>
      <w:bookmarkStart w:id="31" w:name="_Toc356371440"/>
      <w:r>
        <w:rPr>
          <w:rFonts w:hint="eastAsia" w:ascii="宋体" w:hAnsi="宋体" w:cs="宋体"/>
          <w:bCs/>
          <w:color w:val="auto"/>
          <w:highlight w:val="none"/>
        </w:rPr>
        <w:t>开标后直到宣布授予中标人合同为止,凡属于审查、澄清、评估和比较投标的有关资料且与授予合同有关的信息都不得向任何投标人或与上述评标过程无关的人员透露。</w:t>
      </w:r>
    </w:p>
    <w:p w14:paraId="476CEA84">
      <w:pPr>
        <w:numPr>
          <w:ilvl w:val="2"/>
          <w:numId w:val="18"/>
        </w:numPr>
        <w:snapToGrid w:val="0"/>
        <w:spacing w:line="400" w:lineRule="exact"/>
        <w:rPr>
          <w:rFonts w:hint="eastAsia" w:ascii="宋体" w:hAnsi="宋体" w:cs="宋体"/>
          <w:bCs/>
          <w:color w:val="auto"/>
          <w:highlight w:val="none"/>
        </w:rPr>
      </w:pPr>
      <w:r>
        <w:rPr>
          <w:rFonts w:hint="eastAsia" w:ascii="宋体" w:hAnsi="宋体" w:cs="宋体"/>
          <w:bCs/>
          <w:color w:val="auto"/>
          <w:highlight w:val="none"/>
        </w:rPr>
        <w:t>投标人对评标、比较或授予合同决定的过程施加影响的企图和行为,都可能导致其投标被拒绝。</w:t>
      </w:r>
    </w:p>
    <w:p w14:paraId="5E6A4E76">
      <w:pPr>
        <w:numPr>
          <w:ilvl w:val="0"/>
          <w:numId w:val="13"/>
        </w:numPr>
        <w:snapToGrid w:val="0"/>
        <w:spacing w:line="400" w:lineRule="exact"/>
        <w:outlineLvl w:val="1"/>
        <w:rPr>
          <w:rFonts w:hint="eastAsia" w:ascii="宋体" w:hAnsi="宋体" w:cs="宋体"/>
          <w:b/>
          <w:color w:val="auto"/>
          <w:highlight w:val="none"/>
        </w:rPr>
      </w:pPr>
      <w:bookmarkStart w:id="32" w:name="_Toc356371438"/>
      <w:bookmarkStart w:id="33" w:name="_Toc359856804"/>
      <w:bookmarkStart w:id="34" w:name="_Toc359856807"/>
      <w:r>
        <w:rPr>
          <w:rFonts w:hint="eastAsia" w:ascii="宋体" w:hAnsi="宋体" w:cs="宋体"/>
          <w:b/>
          <w:color w:val="auto"/>
          <w:highlight w:val="none"/>
        </w:rPr>
        <w:t>投标无效的情形</w:t>
      </w:r>
      <w:bookmarkEnd w:id="32"/>
      <w:bookmarkEnd w:id="33"/>
    </w:p>
    <w:p w14:paraId="0DE6EA91">
      <w:pPr>
        <w:numPr>
          <w:ilvl w:val="1"/>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rPr>
        <w:t>如发生下列情况之一的，其投标视为无效：</w:t>
      </w:r>
    </w:p>
    <w:p w14:paraId="7DEE215E">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投标人不具备招标文件中规定的资格要求的；</w:t>
      </w:r>
    </w:p>
    <w:p w14:paraId="5E9DCD6C">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《法定代表人授权书》上无投标人盖章或无法定代表人签字或盖章的；</w:t>
      </w:r>
      <w:r>
        <w:rPr>
          <w:rFonts w:hint="eastAsia" w:ascii="宋体" w:hAnsi="宋体" w:cs="宋体"/>
          <w:color w:val="auto"/>
          <w:highlight w:val="none"/>
        </w:rPr>
        <w:t xml:space="preserve"> </w:t>
      </w:r>
    </w:p>
    <w:p w14:paraId="733F2187">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提供不确定的、有选择性的技术方案或有附加条件的技术方案的；</w:t>
      </w:r>
    </w:p>
    <w:p w14:paraId="51CF5A34">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提供不确定的，有选择性的报价或有附加条件的报价的；</w:t>
      </w:r>
    </w:p>
    <w:p w14:paraId="2FB1C529">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技术商务文件中出现报价文件或者其他能体现报价的描述；</w:t>
      </w:r>
    </w:p>
    <w:p w14:paraId="1AD59C6D">
      <w:pPr>
        <w:numPr>
          <w:ilvl w:val="2"/>
          <w:numId w:val="19"/>
        </w:numPr>
        <w:snapToGrid w:val="0"/>
        <w:spacing w:line="400" w:lineRule="exact"/>
        <w:rPr>
          <w:rFonts w:hint="eastAsia" w:ascii="宋体" w:hAnsi="宋体" w:cs="宋体"/>
          <w:color w:val="auto"/>
          <w:highlight w:val="none"/>
        </w:rPr>
      </w:pPr>
      <w:r>
        <w:rPr>
          <w:rFonts w:hint="eastAsia" w:ascii="宋体" w:hAnsi="宋体"/>
          <w:b/>
          <w:color w:val="auto"/>
          <w:highlight w:val="none"/>
        </w:rPr>
        <w:t>技术商务文件未按规定提供投标货物清单（含品牌、型号、数量等）</w:t>
      </w:r>
      <w:r>
        <w:rPr>
          <w:rFonts w:hint="eastAsia" w:ascii="宋体" w:hAnsi="宋体" w:cs="宋体"/>
          <w:b/>
          <w:color w:val="auto"/>
          <w:highlight w:val="none"/>
        </w:rPr>
        <w:t>；</w:t>
      </w:r>
    </w:p>
    <w:p w14:paraId="65C6A52C">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评标委员会认为投标人的报价明显低于其他通过符合性审查投标人的报价，有可能影响产品质量或者不能诚信履约的，要求其通过“政采云”平台在规定的时间内提供CA签章的材料，投标人不能证明其报价合理性的；</w:t>
      </w:r>
    </w:p>
    <w:p w14:paraId="418860F0">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报价超过招标文件中规定的预算控制价的；</w:t>
      </w:r>
    </w:p>
    <w:p w14:paraId="5B91971E">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采购人拟采购的产品属于政府强制采购的节能产品品目清单范围的，投标人未按招标文件要求提供国家确定的认证机构出具的、处于有效期之内的节能产品认证信息的；</w:t>
      </w:r>
    </w:p>
    <w:p w14:paraId="0A8EB400">
      <w:pPr>
        <w:numPr>
          <w:ilvl w:val="2"/>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rPr>
        <w:t>报价文件中的《投标（开标）一览表》填写不完整或字迹不能辨认或有漏项的；</w:t>
      </w:r>
    </w:p>
    <w:p w14:paraId="78015FD2">
      <w:pPr>
        <w:numPr>
          <w:ilvl w:val="2"/>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lang w:val="en-US" w:eastAsia="zh-CN"/>
        </w:rPr>
        <w:t>不同供应商的电子投标（响应）文件上传计算机的网卡MAC地址或硬盘序列号等硬件信息相同的；</w:t>
      </w:r>
    </w:p>
    <w:p w14:paraId="2B1A16DC">
      <w:pPr>
        <w:numPr>
          <w:ilvl w:val="2"/>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lang w:val="en-US" w:eastAsia="zh-CN"/>
        </w:rPr>
        <w:t>上传的电子投标（响应）文件若出现使用本项目其他投标（响应）供应商的数字证书加密的，或者加盖本项目其他投标（响应）供应商的电子印章的；</w:t>
      </w:r>
    </w:p>
    <w:p w14:paraId="6D3CA355">
      <w:pPr>
        <w:numPr>
          <w:ilvl w:val="2"/>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lang w:val="en-US" w:eastAsia="zh-CN"/>
        </w:rPr>
        <w:t>不同供应商的投标（响应）文件的内容存在</w:t>
      </w:r>
      <w:r>
        <w:rPr>
          <w:rFonts w:hint="eastAsia" w:ascii="宋体" w:hAnsi="宋体" w:cs="宋体"/>
          <w:b/>
          <w:color w:val="auto"/>
          <w:highlight w:val="none"/>
          <w:lang w:val="en-US" w:eastAsia="zh"/>
        </w:rPr>
        <w:t>3</w:t>
      </w:r>
      <w:r>
        <w:rPr>
          <w:rFonts w:hint="eastAsia" w:ascii="宋体" w:hAnsi="宋体" w:cs="宋体"/>
          <w:b/>
          <w:color w:val="auto"/>
          <w:highlight w:val="none"/>
          <w:lang w:val="en-US" w:eastAsia="zh-CN"/>
        </w:rPr>
        <w:t>处（含）以上错误一致的；</w:t>
      </w:r>
    </w:p>
    <w:p w14:paraId="023AA978">
      <w:pPr>
        <w:numPr>
          <w:ilvl w:val="2"/>
          <w:numId w:val="19"/>
        </w:numPr>
        <w:snapToGrid w:val="0"/>
        <w:spacing w:line="400" w:lineRule="exact"/>
        <w:rPr>
          <w:rFonts w:hint="eastAsia" w:ascii="宋体" w:hAnsi="宋体" w:cs="宋体"/>
          <w:b/>
          <w:color w:val="auto"/>
          <w:highlight w:val="none"/>
        </w:rPr>
      </w:pPr>
      <w:r>
        <w:rPr>
          <w:rFonts w:hint="eastAsia" w:ascii="宋体" w:hAnsi="宋体" w:cs="宋体"/>
          <w:b/>
          <w:color w:val="auto"/>
          <w:highlight w:val="none"/>
          <w:lang w:val="en-US" w:eastAsia="zh-CN"/>
        </w:rPr>
        <w:t>不同供应商联系人为同一人或不同联系人的联系电话一致的；</w:t>
      </w:r>
    </w:p>
    <w:p w14:paraId="4D2E9B34">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投标人提供虚假材料投标的（包括但不限于以下情节）；</w:t>
      </w:r>
    </w:p>
    <w:p w14:paraId="20D4BAA8">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投标人串通投标的；</w:t>
      </w:r>
    </w:p>
    <w:p w14:paraId="59340C5C">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电子投标文件未按规定要求提供电子签章的；</w:t>
      </w:r>
    </w:p>
    <w:p w14:paraId="006093CA">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评标委员会认定有重大偏差或实质性不响应招标文件要求的；</w:t>
      </w:r>
    </w:p>
    <w:p w14:paraId="704053C0">
      <w:pPr>
        <w:numPr>
          <w:ilvl w:val="2"/>
          <w:numId w:val="19"/>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其他违反法律、法规的情形。</w:t>
      </w:r>
    </w:p>
    <w:p w14:paraId="57255929">
      <w:pPr>
        <w:numPr>
          <w:ilvl w:val="0"/>
          <w:numId w:val="13"/>
        </w:numPr>
        <w:snapToGrid w:val="0"/>
        <w:spacing w:line="400" w:lineRule="exact"/>
        <w:outlineLvl w:val="1"/>
        <w:rPr>
          <w:rFonts w:hint="eastAsia" w:ascii="宋体" w:hAnsi="宋体" w:cs="宋体"/>
          <w:b/>
          <w:color w:val="auto"/>
          <w:highlight w:val="none"/>
        </w:rPr>
      </w:pPr>
      <w:bookmarkStart w:id="35" w:name="废标的情形"/>
      <w:bookmarkStart w:id="36" w:name="_Toc359592368"/>
      <w:bookmarkStart w:id="37" w:name="_Toc359856805"/>
      <w:r>
        <w:rPr>
          <w:rFonts w:hint="eastAsia" w:ascii="宋体" w:hAnsi="宋体" w:cs="宋体"/>
          <w:b/>
          <w:color w:val="auto"/>
          <w:highlight w:val="none"/>
        </w:rPr>
        <w:t>废标的情形</w:t>
      </w:r>
      <w:bookmarkEnd w:id="35"/>
      <w:bookmarkEnd w:id="36"/>
      <w:bookmarkEnd w:id="37"/>
    </w:p>
    <w:p w14:paraId="786ED282">
      <w:pPr>
        <w:numPr>
          <w:ilvl w:val="1"/>
          <w:numId w:val="19"/>
        </w:numPr>
        <w:snapToGrid w:val="0"/>
        <w:spacing w:line="40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采购中，出现下列情形之一的，应予废标，废标后，采购代理机构将废标理由通知所有投标人：</w:t>
      </w:r>
    </w:p>
    <w:p w14:paraId="25EFA6EA">
      <w:pPr>
        <w:numPr>
          <w:ilvl w:val="2"/>
          <w:numId w:val="19"/>
        </w:numPr>
        <w:snapToGrid w:val="0"/>
        <w:spacing w:line="40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符合专业条件的投标人或对招标文件作实质性响应的投标人不足三家的；</w:t>
      </w:r>
    </w:p>
    <w:p w14:paraId="066AAE53">
      <w:pPr>
        <w:numPr>
          <w:ilvl w:val="2"/>
          <w:numId w:val="19"/>
        </w:numPr>
        <w:snapToGrid w:val="0"/>
        <w:spacing w:line="40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出现影响采购公正的违法、违规行为的；</w:t>
      </w:r>
    </w:p>
    <w:p w14:paraId="133537DC">
      <w:pPr>
        <w:numPr>
          <w:ilvl w:val="2"/>
          <w:numId w:val="19"/>
        </w:numPr>
        <w:snapToGrid w:val="0"/>
        <w:spacing w:line="40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投标人的报价均超过了预算控制价，采购人不能支付的；</w:t>
      </w:r>
    </w:p>
    <w:p w14:paraId="64C3D175">
      <w:pPr>
        <w:numPr>
          <w:ilvl w:val="2"/>
          <w:numId w:val="19"/>
        </w:numPr>
        <w:snapToGrid w:val="0"/>
        <w:spacing w:line="400" w:lineRule="exact"/>
        <w:rPr>
          <w:rFonts w:hint="eastAsia" w:ascii="宋体" w:hAnsi="宋体" w:eastAsia="宋体" w:cs="宋体"/>
          <w:b w:val="0"/>
          <w:bCs/>
          <w:color w:val="auto"/>
          <w:highlight w:val="none"/>
        </w:rPr>
      </w:pPr>
      <w:r>
        <w:rPr>
          <w:rFonts w:hint="eastAsia" w:ascii="宋体" w:hAnsi="宋体" w:eastAsia="宋体" w:cs="宋体"/>
          <w:b w:val="0"/>
          <w:bCs/>
          <w:color w:val="auto"/>
          <w:highlight w:val="none"/>
        </w:rPr>
        <w:t>因重大变故，采购任务取消的。</w:t>
      </w:r>
    </w:p>
    <w:p w14:paraId="06DC28DF">
      <w:pPr>
        <w:numPr>
          <w:ilvl w:val="0"/>
          <w:numId w:val="13"/>
        </w:numPr>
        <w:snapToGrid w:val="0"/>
        <w:spacing w:line="400" w:lineRule="exact"/>
        <w:outlineLvl w:val="1"/>
        <w:rPr>
          <w:rFonts w:hint="eastAsia" w:ascii="宋体" w:hAnsi="宋体" w:cs="宋体"/>
          <w:b/>
          <w:color w:val="auto"/>
          <w:highlight w:val="none"/>
        </w:rPr>
      </w:pPr>
      <w:r>
        <w:rPr>
          <w:rFonts w:hint="eastAsia" w:ascii="宋体" w:hAnsi="宋体" w:cs="宋体"/>
          <w:b/>
          <w:color w:val="auto"/>
          <w:highlight w:val="none"/>
        </w:rPr>
        <w:t>授予合同</w:t>
      </w:r>
      <w:bookmarkEnd w:id="31"/>
      <w:bookmarkEnd w:id="34"/>
    </w:p>
    <w:p w14:paraId="2A0FD5A0">
      <w:pPr>
        <w:numPr>
          <w:ilvl w:val="1"/>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中标通知和合同授予</w:t>
      </w:r>
    </w:p>
    <w:p w14:paraId="14CBEC18">
      <w:pPr>
        <w:snapToGrid w:val="0"/>
        <w:spacing w:line="400" w:lineRule="exact"/>
        <w:ind w:firstLine="480" w:firstLineChars="200"/>
        <w:rPr>
          <w:rFonts w:hint="eastAsia" w:ascii="宋体" w:hAnsi="宋体" w:cs="宋体"/>
          <w:bCs/>
          <w:color w:val="auto"/>
          <w:highlight w:val="none"/>
        </w:rPr>
      </w:pPr>
      <w:r>
        <w:rPr>
          <w:rFonts w:hint="eastAsia" w:ascii="宋体" w:hAnsi="宋体" w:cs="宋体"/>
          <w:color w:val="auto"/>
          <w:highlight w:val="none"/>
        </w:rPr>
        <w:t>评审结果经采购人确定后，浙江求真工程管理咨询有限公司在中标人确定之日起2个工作日内通过 “政采云”平台发布采购结果公告，并同时签发中标通知书。</w:t>
      </w:r>
    </w:p>
    <w:p w14:paraId="0AD13E18">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《中标通知书》一经发出即发生法律效力。采购代理机构无义务向未中标人解释落选原因，不退回投标文件。《中标通知书》将作为签订合同的依据。</w:t>
      </w:r>
    </w:p>
    <w:p w14:paraId="15DB44E1">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中标人需在中标通知书发出之日起七个工作日内，邮寄送达浙江求真工程管理咨询有限公司与电子投标文件内容一致的纸质投标文件（含资格文件、技术商务文件、报价文件，请加封面，格式见附件）各一正一副，邮寄公司统一采用EMS或顺丰，快递费用由投标供应商承担。</w:t>
      </w:r>
    </w:p>
    <w:p w14:paraId="55E0BCF7">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邮寄地址为（桐乡市梧桐街道振兴东路55号商会大厦B座10楼1001室，收件人：钟女士，联系电话：0573-88622772）</w:t>
      </w:r>
    </w:p>
    <w:p w14:paraId="5EDB77C9">
      <w:pPr>
        <w:numPr>
          <w:ilvl w:val="2"/>
          <w:numId w:val="20"/>
        </w:numPr>
        <w:snapToGrid w:val="0"/>
        <w:spacing w:line="400" w:lineRule="exact"/>
        <w:rPr>
          <w:rFonts w:hint="eastAsia" w:ascii="宋体" w:hAnsi="宋体" w:cs="宋体"/>
          <w:b/>
          <w:color w:val="auto"/>
          <w:highlight w:val="none"/>
        </w:rPr>
      </w:pPr>
      <w:r>
        <w:rPr>
          <w:rFonts w:hint="eastAsia" w:ascii="宋体" w:hAnsi="宋体" w:cs="宋体"/>
          <w:b/>
          <w:color w:val="auto"/>
          <w:highlight w:val="none"/>
        </w:rPr>
        <w:t>本项目不设履约保证金。</w:t>
      </w:r>
    </w:p>
    <w:p w14:paraId="432D37BA">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签订合同：中标人应按《中标通知书》的要求与采购人在中标通知书发出后三十日内签订合同（建议在采购结果质疑期满后签订），并经浙江求真工程管理咨询有限公司鉴证后生效。在有合理证据证明中标人在投标过程中承诺的内容不能实质响应的，采购人有权拒签合同。</w:t>
      </w:r>
    </w:p>
    <w:p w14:paraId="57627A30">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招标文件、澄清文件、投标文件等，均为签订合同的依据。中标人接到中标通知书后在规定的时间内与采购人签订合同，并交浙江求真工程管理咨询有限公司鉴证。</w:t>
      </w:r>
    </w:p>
    <w:p w14:paraId="69F8EACE">
      <w:pPr>
        <w:numPr>
          <w:ilvl w:val="2"/>
          <w:numId w:val="20"/>
        </w:numPr>
        <w:snapToGrid w:val="0"/>
        <w:spacing w:line="400" w:lineRule="exact"/>
        <w:rPr>
          <w:rFonts w:hint="eastAsia" w:ascii="宋体" w:hAnsi="宋体" w:cs="宋体"/>
          <w:color w:val="auto"/>
          <w:highlight w:val="none"/>
        </w:rPr>
      </w:pPr>
      <w:r>
        <w:rPr>
          <w:rFonts w:hint="eastAsia" w:ascii="宋体" w:hAnsi="宋体" w:cs="宋体"/>
          <w:color w:val="auto"/>
          <w:highlight w:val="none"/>
        </w:rPr>
        <w:t>中标人不遵守投标文件的要约、承诺，擅自修改投标文件的内容或在接到中标通知书规定的时间内，借故拖延、拒签合同者，采购人将取消该投标人的中标资格。</w:t>
      </w:r>
    </w:p>
    <w:p w14:paraId="06595883">
      <w:pPr>
        <w:numPr>
          <w:ilvl w:val="0"/>
          <w:numId w:val="13"/>
        </w:numPr>
        <w:snapToGrid w:val="0"/>
        <w:spacing w:line="400" w:lineRule="exact"/>
        <w:outlineLvl w:val="1"/>
        <w:rPr>
          <w:rFonts w:hint="eastAsia" w:ascii="宋体" w:hAnsi="宋体" w:cs="宋体"/>
          <w:b/>
          <w:color w:val="auto"/>
          <w:highlight w:val="none"/>
        </w:rPr>
      </w:pPr>
      <w:bookmarkStart w:id="38" w:name="质疑与投诉"/>
      <w:bookmarkStart w:id="39" w:name="_Toc356371441"/>
      <w:bookmarkStart w:id="40" w:name="_Toc359856808"/>
      <w:r>
        <w:rPr>
          <w:rFonts w:hint="eastAsia" w:ascii="宋体" w:hAnsi="宋体" w:cs="宋体"/>
          <w:b/>
          <w:color w:val="auto"/>
          <w:highlight w:val="none"/>
        </w:rPr>
        <w:t>质疑与投诉</w:t>
      </w:r>
      <w:bookmarkEnd w:id="38"/>
    </w:p>
    <w:p w14:paraId="70F28BEA">
      <w:pPr>
        <w:snapToGrid w:val="0"/>
        <w:spacing w:line="400" w:lineRule="exact"/>
        <w:ind w:left="0" w:leftChars="0" w:firstLine="480" w:firstLine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根据《中华人民共和国政府采购法》、《中华人民共和国政府采购法实施条例》、《政府采购质疑和投诉办法》(财政部令第94号)，政府采购供应商可以依法提起质疑和投诉。</w:t>
      </w:r>
    </w:p>
    <w:p w14:paraId="3351573D">
      <w:pPr>
        <w:numPr>
          <w:ilvl w:val="1"/>
          <w:numId w:val="21"/>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供应商质疑</w:t>
      </w:r>
    </w:p>
    <w:p w14:paraId="72432E1D">
      <w:pPr>
        <w:numPr>
          <w:ilvl w:val="2"/>
          <w:numId w:val="21"/>
        </w:numPr>
        <w:snapToGrid w:val="0"/>
        <w:spacing w:line="400" w:lineRule="exact"/>
        <w:rPr>
          <w:rFonts w:hint="eastAsia" w:ascii="宋体" w:hAnsi="宋体" w:cs="宋体"/>
          <w:color w:val="auto"/>
          <w:highlight w:val="none"/>
        </w:rPr>
      </w:pPr>
      <w:r>
        <w:rPr>
          <w:rFonts w:hint="eastAsia" w:ascii="宋体" w:hAnsi="宋体" w:cs="宋体"/>
          <w:color w:val="auto"/>
          <w:highlight w:val="none"/>
        </w:rPr>
        <w:t>供应商认为招标文件、采购过程和中标、成交结果使自己的权益受到损害的，可以在知道或者应知其权益受到损害之日起七个工作日内，以书面形式向采购人或采购代理机构提出质疑。供应商应知其权益受到损害之日指：</w:t>
      </w:r>
    </w:p>
    <w:p w14:paraId="523C3841">
      <w:pPr>
        <w:snapToGrid w:val="0"/>
        <w:spacing w:line="400" w:lineRule="exact"/>
        <w:ind w:left="566" w:leftChars="236"/>
        <w:rPr>
          <w:rFonts w:hint="eastAsia" w:ascii="宋体" w:hAnsi="宋体" w:cs="宋体"/>
          <w:color w:val="auto"/>
          <w:highlight w:val="none"/>
        </w:rPr>
      </w:pPr>
      <w:r>
        <w:rPr>
          <w:rFonts w:hint="eastAsia" w:ascii="宋体" w:hAnsi="宋体" w:cs="宋体"/>
          <w:color w:val="auto"/>
          <w:highlight w:val="none"/>
        </w:rPr>
        <w:t>（1）对采购公告信息（含供应商资格条件）提出质疑的，质疑期限为自采购公告发布之日起；</w:t>
      </w:r>
    </w:p>
    <w:p w14:paraId="24159582">
      <w:pPr>
        <w:snapToGrid w:val="0"/>
        <w:spacing w:line="400" w:lineRule="exact"/>
        <w:ind w:left="566" w:leftChars="236"/>
        <w:rPr>
          <w:rFonts w:hint="eastAsia" w:ascii="宋体" w:hAnsi="宋体" w:cs="宋体"/>
          <w:color w:val="auto"/>
          <w:highlight w:val="none"/>
        </w:rPr>
      </w:pPr>
      <w:r>
        <w:rPr>
          <w:rFonts w:hint="eastAsia" w:ascii="宋体" w:hAnsi="宋体" w:cs="宋体"/>
          <w:color w:val="auto"/>
          <w:highlight w:val="none"/>
        </w:rPr>
        <w:t>（2）对采购文件提出质疑的，质疑期限为获取采购文件或者采购文件公告期限届满之日起；</w:t>
      </w:r>
    </w:p>
    <w:p w14:paraId="7B7948E6">
      <w:pPr>
        <w:snapToGrid w:val="0"/>
        <w:spacing w:line="400" w:lineRule="exact"/>
        <w:ind w:left="566" w:leftChars="236"/>
        <w:rPr>
          <w:rFonts w:hint="eastAsia" w:ascii="宋体" w:hAnsi="宋体" w:cs="宋体"/>
          <w:color w:val="auto"/>
          <w:highlight w:val="none"/>
        </w:rPr>
      </w:pPr>
      <w:r>
        <w:rPr>
          <w:rFonts w:hint="eastAsia" w:ascii="宋体" w:hAnsi="宋体" w:cs="宋体"/>
          <w:color w:val="auto"/>
          <w:highlight w:val="none"/>
        </w:rPr>
        <w:t>（3）对采购过程提出质疑的，为各采购程序环节结束之日起；</w:t>
      </w:r>
    </w:p>
    <w:p w14:paraId="45B3C278">
      <w:pPr>
        <w:snapToGrid w:val="0"/>
        <w:spacing w:line="400" w:lineRule="exact"/>
        <w:ind w:left="566" w:leftChars="236"/>
        <w:rPr>
          <w:rFonts w:hint="eastAsia" w:ascii="宋体" w:hAnsi="宋体" w:cs="宋体"/>
          <w:color w:val="auto"/>
          <w:highlight w:val="none"/>
        </w:rPr>
      </w:pPr>
      <w:r>
        <w:rPr>
          <w:rFonts w:hint="eastAsia" w:ascii="宋体" w:hAnsi="宋体" w:cs="宋体"/>
          <w:color w:val="auto"/>
          <w:highlight w:val="none"/>
        </w:rPr>
        <w:t>（4）对中标结果提出质疑的，为中标结果公告期限（为一个工作日）届满之日起。</w:t>
      </w:r>
    </w:p>
    <w:p w14:paraId="65CB75A6">
      <w:pPr>
        <w:numPr>
          <w:ilvl w:val="2"/>
          <w:numId w:val="21"/>
        </w:numPr>
        <w:snapToGrid w:val="0"/>
        <w:spacing w:line="400" w:lineRule="exact"/>
        <w:rPr>
          <w:rFonts w:hint="eastAsia" w:ascii="宋体" w:hAnsi="宋体" w:cs="宋体"/>
          <w:color w:val="auto"/>
          <w:highlight w:val="none"/>
        </w:rPr>
      </w:pPr>
      <w:r>
        <w:rPr>
          <w:rFonts w:hint="eastAsia" w:ascii="宋体" w:hAnsi="宋体" w:cs="宋体"/>
          <w:bCs/>
          <w:color w:val="auto"/>
          <w:highlight w:val="none"/>
        </w:rPr>
        <w:t>供应商质疑应当有明确的请求和必要的证明材料。供应商提交的质疑书需一式三份，由法定代表人</w:t>
      </w:r>
      <w:r>
        <w:rPr>
          <w:rFonts w:hint="eastAsia" w:ascii="宋体" w:hAnsi="宋体" w:cs="宋体"/>
          <w:color w:val="auto"/>
          <w:highlight w:val="none"/>
        </w:rPr>
        <w:t>（负责人）</w:t>
      </w:r>
      <w:r>
        <w:rPr>
          <w:rFonts w:hint="eastAsia" w:ascii="宋体" w:hAnsi="宋体" w:cs="宋体"/>
          <w:bCs/>
          <w:color w:val="auto"/>
          <w:highlight w:val="none"/>
        </w:rPr>
        <w:t>签字（或盖章）并加盖单位公章。质疑书格式范本详见浙江政府采购网办事指南。</w:t>
      </w:r>
    </w:p>
    <w:p w14:paraId="587681F8">
      <w:pPr>
        <w:numPr>
          <w:ilvl w:val="1"/>
          <w:numId w:val="22"/>
        </w:numPr>
        <w:snapToGrid w:val="0"/>
        <w:spacing w:line="400" w:lineRule="exact"/>
        <w:rPr>
          <w:rFonts w:hint="eastAsia" w:ascii="宋体" w:hAnsi="宋体" w:cs="宋体"/>
          <w:color w:val="auto"/>
          <w:highlight w:val="none"/>
        </w:rPr>
      </w:pPr>
      <w:r>
        <w:rPr>
          <w:rFonts w:hint="eastAsia" w:ascii="宋体" w:hAnsi="宋体" w:cs="宋体"/>
          <w:b/>
          <w:color w:val="auto"/>
          <w:highlight w:val="none"/>
        </w:rPr>
        <w:t>供应商投诉</w:t>
      </w:r>
    </w:p>
    <w:p w14:paraId="0455DAEF">
      <w:pPr>
        <w:snapToGrid w:val="0"/>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质疑供应商对采购人或采购代理机构的答复不满意，或者采购人或采购代理机构未在规定的时间内作出答复的，可以在答复期满后十五个工作日内向</w:t>
      </w:r>
      <w:r>
        <w:rPr>
          <w:rFonts w:hint="eastAsia" w:ascii="宋体" w:hAnsi="宋体" w:cs="宋体"/>
          <w:bCs/>
          <w:color w:val="auto"/>
          <w:highlight w:val="none"/>
        </w:rPr>
        <w:t>同级政府采购监督管理部门</w:t>
      </w:r>
      <w:r>
        <w:rPr>
          <w:rFonts w:hint="eastAsia" w:ascii="宋体" w:hAnsi="宋体" w:cs="宋体"/>
          <w:color w:val="auto"/>
          <w:highlight w:val="none"/>
        </w:rPr>
        <w:t>提出投诉。</w:t>
      </w:r>
    </w:p>
    <w:bookmarkEnd w:id="39"/>
    <w:bookmarkEnd w:id="40"/>
    <w:p w14:paraId="16DFF80E">
      <w:pPr>
        <w:numPr>
          <w:ilvl w:val="0"/>
          <w:numId w:val="13"/>
        </w:numPr>
        <w:snapToGrid w:val="0"/>
        <w:spacing w:line="400" w:lineRule="exact"/>
        <w:outlineLvl w:val="1"/>
        <w:rPr>
          <w:rFonts w:hint="eastAsia" w:ascii="宋体" w:hAnsi="宋体" w:cs="宋体"/>
          <w:b/>
          <w:color w:val="auto"/>
          <w:highlight w:val="none"/>
        </w:rPr>
      </w:pPr>
      <w:bookmarkStart w:id="41" w:name="_Toc356371442"/>
      <w:bookmarkStart w:id="42" w:name="_Toc359856809"/>
      <w:r>
        <w:rPr>
          <w:rFonts w:hint="eastAsia" w:ascii="宋体" w:hAnsi="宋体" w:cs="宋体"/>
          <w:b/>
          <w:color w:val="auto"/>
          <w:highlight w:val="none"/>
        </w:rPr>
        <w:t>其他</w:t>
      </w:r>
      <w:bookmarkEnd w:id="41"/>
      <w:bookmarkEnd w:id="42"/>
    </w:p>
    <w:p w14:paraId="046B6639">
      <w:pPr>
        <w:numPr>
          <w:ilvl w:val="1"/>
          <w:numId w:val="23"/>
        </w:numPr>
        <w:snapToGrid w:val="0"/>
        <w:spacing w:line="400" w:lineRule="exact"/>
        <w:rPr>
          <w:rFonts w:hint="eastAsia" w:ascii="宋体" w:hAnsi="宋体" w:cs="宋体"/>
          <w:color w:val="auto"/>
          <w:highlight w:val="none"/>
        </w:rPr>
        <w:sectPr>
          <w:headerReference r:id="rId3" w:type="default"/>
          <w:footerReference r:id="rId4" w:type="default"/>
          <w:pgSz w:w="11906" w:h="16838"/>
          <w:pgMar w:top="1389" w:right="1247" w:bottom="1389" w:left="1247" w:header="851" w:footer="992" w:gutter="0"/>
          <w:cols w:space="720" w:num="1"/>
          <w:docGrid w:linePitch="312" w:charSpace="0"/>
        </w:sectPr>
      </w:pPr>
      <w:r>
        <w:rPr>
          <w:rFonts w:hint="eastAsia" w:ascii="宋体" w:hAnsi="宋体" w:cs="宋体"/>
          <w:color w:val="auto"/>
          <w:highlight w:val="none"/>
        </w:rPr>
        <w:t>解释权：本招标文件是依据《中华人民共和国政府采购法》、《中华人民共和国政府采购法实施条例》（中华人民共和国国务院令第658号）、《政府采购货物和服务招标投标管理办法》（中华人民共和国财政部令第87号）及有关规定编制，解释权属采购代理机构。</w:t>
      </w:r>
    </w:p>
    <w:p w14:paraId="73EB1054">
      <w:pPr>
        <w:pStyle w:val="3"/>
        <w:numPr>
          <w:ilvl w:val="0"/>
          <w:numId w:val="24"/>
        </w:numPr>
        <w:bidi w:val="0"/>
        <w:jc w:val="center"/>
        <w:rPr>
          <w:rFonts w:hint="eastAsia"/>
          <w:color w:val="auto"/>
          <w:highlight w:val="none"/>
        </w:rPr>
      </w:pPr>
      <w:bookmarkStart w:id="43" w:name="_Toc322352983"/>
      <w:bookmarkStart w:id="44" w:name="_Toc354401531"/>
      <w:bookmarkStart w:id="45" w:name="_Toc359856810"/>
      <w:bookmarkStart w:id="46" w:name="_Toc350256314"/>
      <w:r>
        <w:rPr>
          <w:rFonts w:hint="eastAsia" w:ascii="宋体" w:hAnsi="宋体" w:eastAsia="宋体" w:cs="宋体"/>
          <w:color w:val="auto"/>
          <w:highlight w:val="none"/>
        </w:rPr>
        <w:t xml:space="preserve"> 采购内容及要求</w:t>
      </w:r>
      <w:bookmarkEnd w:id="43"/>
      <w:bookmarkEnd w:id="44"/>
      <w:bookmarkEnd w:id="45"/>
      <w:bookmarkEnd w:id="46"/>
      <w:bookmarkStart w:id="47" w:name="_Toc322352984"/>
      <w:bookmarkStart w:id="48" w:name="_Toc359856816"/>
      <w:bookmarkStart w:id="49" w:name="_Toc350256315"/>
      <w:bookmarkStart w:id="50" w:name="_Toc354401534"/>
    </w:p>
    <w:p w14:paraId="0AF7DD75">
      <w:pPr>
        <w:numPr>
          <w:ilvl w:val="0"/>
          <w:numId w:val="25"/>
        </w:numPr>
        <w:spacing w:line="40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采购清单</w:t>
      </w:r>
    </w:p>
    <w:tbl>
      <w:tblPr>
        <w:tblStyle w:val="63"/>
        <w:tblW w:w="959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2"/>
        <w:gridCol w:w="902"/>
        <w:gridCol w:w="6400"/>
        <w:gridCol w:w="804"/>
        <w:gridCol w:w="828"/>
      </w:tblGrid>
      <w:tr w14:paraId="1F20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03D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A0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设备名称</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FC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181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7B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14:paraId="7646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8B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F79C">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标准庭审主机</w:t>
            </w:r>
            <w:r>
              <w:rPr>
                <w:rFonts w:hint="eastAsia" w:ascii="宋体" w:hAnsi="宋体" w:eastAsia="宋体" w:cs="宋体"/>
                <w:i w:val="0"/>
                <w:iCs w:val="0"/>
                <w:color w:val="auto"/>
                <w:kern w:val="0"/>
                <w:sz w:val="22"/>
                <w:szCs w:val="22"/>
                <w:highlight w:val="none"/>
                <w:u w:val="none"/>
                <w:lang w:val="en-US" w:eastAsia="zh-CN" w:bidi="ar"/>
              </w:rPr>
              <w:t>（核心产品）</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9F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嵌入式操作系统、嵌入式架构</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标配4块4TB 硬盘；视频接入：支持8HDbaset接入，其中HDMI最高支持两路音频入（</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提供实物照片</w:t>
            </w:r>
            <w:r>
              <w:rPr>
                <w:rFonts w:hint="eastAsia" w:ascii="宋体" w:hAnsi="宋体" w:cs="宋体"/>
                <w:i w:val="0"/>
                <w:iCs w:val="0"/>
                <w:color w:val="auto"/>
                <w:kern w:val="0"/>
                <w:sz w:val="22"/>
                <w:szCs w:val="22"/>
                <w:highlight w:val="none"/>
                <w:u w:val="none"/>
                <w:lang w:val="en-US" w:eastAsia="zh-CN" w:bidi="ar"/>
              </w:rPr>
              <w:t>作证</w:t>
            </w:r>
            <w:r>
              <w:rPr>
                <w:rFonts w:hint="eastAsia" w:ascii="宋体" w:hAnsi="宋体" w:eastAsia="宋体" w:cs="宋体"/>
                <w:i w:val="0"/>
                <w:iCs w:val="0"/>
                <w:color w:val="auto"/>
                <w:kern w:val="0"/>
                <w:sz w:val="22"/>
                <w:szCs w:val="22"/>
                <w:highlight w:val="none"/>
                <w:u w:val="none"/>
                <w:lang w:val="en-US" w:eastAsia="zh-CN" w:bidi="ar"/>
              </w:rPr>
              <w:t>）；示证输入：支持8路HDMI示证输入，分辨率最大支持1080P@60fps，支持音频（</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提供实物照片</w:t>
            </w:r>
            <w:r>
              <w:rPr>
                <w:rFonts w:hint="eastAsia" w:ascii="宋体" w:hAnsi="宋体" w:cs="宋体"/>
                <w:i w:val="0"/>
                <w:iCs w:val="0"/>
                <w:color w:val="auto"/>
                <w:kern w:val="0"/>
                <w:sz w:val="22"/>
                <w:szCs w:val="22"/>
                <w:highlight w:val="none"/>
                <w:u w:val="none"/>
                <w:lang w:val="en-US" w:eastAsia="zh-CN" w:bidi="ar"/>
              </w:rPr>
              <w:t>作证</w:t>
            </w:r>
            <w:r>
              <w:rPr>
                <w:rFonts w:hint="eastAsia" w:ascii="宋体" w:hAnsi="宋体" w:eastAsia="宋体" w:cs="宋体"/>
                <w:i w:val="0"/>
                <w:iCs w:val="0"/>
                <w:color w:val="auto"/>
                <w:kern w:val="0"/>
                <w:sz w:val="22"/>
                <w:szCs w:val="22"/>
                <w:highlight w:val="none"/>
                <w:u w:val="none"/>
                <w:lang w:val="en-US" w:eastAsia="zh-CN" w:bidi="ar"/>
              </w:rPr>
              <w:t>）；示证输出：支持8路HDMI示证输出，，分辨率最大支持1080P@60fps，不支持音频；主机输出：支持2路HDMI，HDMI最大支持4K@30fps，可设置输出单/多画面；内置数字音频处理器，具有自适应回声反馈消除、自动降噪，可抑制啸叫，保证音量均衡、音质清晰；支持16路MIC音频输入，支持音量独立调节内置16路48V幻象供电，每路开关可独立控制；支持2路示证音频输入（配合VGA示证输入使用）；支持1路扩展音频输入；支持2路互联网终端盒子音频输入（与HDMI视频输入中的音频互斥）；支持3路混音输出（同源）和2路远程音频输出（同源）；内置7寸电容触摸屏，可实时视频预览，主机录像回放及光盘录像回放（</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提供实物照片</w:t>
            </w:r>
            <w:r>
              <w:rPr>
                <w:rFonts w:hint="eastAsia" w:ascii="宋体" w:hAnsi="宋体" w:cs="宋体"/>
                <w:i w:val="0"/>
                <w:iCs w:val="0"/>
                <w:color w:val="auto"/>
                <w:kern w:val="0"/>
                <w:sz w:val="22"/>
                <w:szCs w:val="22"/>
                <w:highlight w:val="none"/>
                <w:u w:val="none"/>
                <w:lang w:val="en-US" w:eastAsia="zh-CN" w:bidi="ar"/>
              </w:rPr>
              <w:t>作证</w:t>
            </w:r>
            <w:r>
              <w:rPr>
                <w:rFonts w:hint="eastAsia" w:ascii="宋体" w:hAnsi="宋体" w:eastAsia="宋体" w:cs="宋体"/>
                <w:i w:val="0"/>
                <w:iCs w:val="0"/>
                <w:color w:val="auto"/>
                <w:kern w:val="0"/>
                <w:sz w:val="22"/>
                <w:szCs w:val="22"/>
                <w:highlight w:val="none"/>
                <w:u w:val="none"/>
                <w:lang w:val="en-US" w:eastAsia="zh-CN" w:bidi="ar"/>
              </w:rPr>
              <w:t>）；感应式触摸按键支持录像、刻录、回放、消警及电源开关；硬盘前置，最大支持6块硬盘接入，可插拔更换（</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提供实物照片</w:t>
            </w:r>
            <w:r>
              <w:rPr>
                <w:rFonts w:hint="eastAsia" w:ascii="宋体" w:hAnsi="宋体" w:cs="宋体"/>
                <w:i w:val="0"/>
                <w:iCs w:val="0"/>
                <w:color w:val="auto"/>
                <w:kern w:val="0"/>
                <w:sz w:val="22"/>
                <w:szCs w:val="22"/>
                <w:highlight w:val="none"/>
                <w:u w:val="none"/>
                <w:lang w:val="en-US" w:eastAsia="zh-CN" w:bidi="ar"/>
              </w:rPr>
              <w:t>作证</w:t>
            </w:r>
            <w:r>
              <w:rPr>
                <w:rFonts w:hint="eastAsia" w:ascii="宋体" w:hAnsi="宋体" w:eastAsia="宋体" w:cs="宋体"/>
                <w:i w:val="0"/>
                <w:iCs w:val="0"/>
                <w:color w:val="auto"/>
                <w:kern w:val="0"/>
                <w:sz w:val="22"/>
                <w:szCs w:val="22"/>
                <w:highlight w:val="none"/>
                <w:u w:val="none"/>
                <w:lang w:val="en-US" w:eastAsia="zh-CN" w:bidi="ar"/>
              </w:rPr>
              <w:t>）；两个前置蓝光刻录光驱；两个USB2.0接口；主机可实现与浙江法院数字法庭统一管理平台对接,并与原高清庭审软件无缝兼容，实现同一软件平台统一管理，含实施服务费用。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E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7F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9C36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B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F0B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庭审席位摄像机</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EC33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1/2.8英寸4K像素CMOS；24倍光学变焦，16倍数字变倍</w:t>
            </w:r>
            <w:r>
              <w:rPr>
                <w:rFonts w:hint="eastAsia" w:ascii="宋体" w:hAnsi="宋体" w:cs="宋体"/>
                <w:i w:val="0"/>
                <w:iCs w:val="0"/>
                <w:color w:val="auto"/>
                <w:kern w:val="0"/>
                <w:sz w:val="22"/>
                <w:szCs w:val="22"/>
                <w:highlight w:val="none"/>
                <w:u w:val="none"/>
                <w:lang w:val="en-US" w:eastAsia="zh-CN" w:bidi="ar"/>
              </w:rPr>
              <w:t>及以上</w:t>
            </w:r>
            <w:r>
              <w:rPr>
                <w:rFonts w:hint="eastAsia" w:ascii="宋体" w:hAnsi="宋体" w:eastAsia="宋体" w:cs="宋体"/>
                <w:i w:val="0"/>
                <w:iCs w:val="0"/>
                <w:color w:val="auto"/>
                <w:kern w:val="0"/>
                <w:sz w:val="22"/>
                <w:szCs w:val="22"/>
                <w:highlight w:val="none"/>
                <w:u w:val="none"/>
                <w:lang w:val="en-US" w:eastAsia="zh-CN" w:bidi="ar"/>
              </w:rPr>
              <w:t>；支持H.265、H.264 HP/MP/BP、M-JPEG编码，支持S+超级码流；支持三码流同时输出,主码最大支持4K@30fps；随机配置256GB及以上容量存储卡；支持音频降噪、音频异常侦测功能；水平360°连续旋转，垂直转动角度-30°～90°；手动水平控制速度：0.1～300°/s；支持poe/DC12V两种供电方式；支持内置无源MIC；支持32路报警输入2路报警输出；支持1路音频输入和1路音频输出，支持AAC编码，48K采样率，高保真音频；支持</w:t>
            </w:r>
            <w:r>
              <w:rPr>
                <w:rFonts w:hint="eastAsia" w:ascii="宋体" w:hAnsi="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t>镜像翻转；支持智能分析，包括证人保护、绊线、周界、人脸检测、值岗检测和人数统计等功能；支持1路HDBaseT接口、1路网口、1路HDMI接口，根据现场实际情况，确定安装方式和支架类型，配置相应支架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C4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E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FEF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7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3BF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庭审席位摄像机二</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65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英寸800万像素CMOS，4倍光学变焦，16倍数字变倍，3颗高效能红外灯，红外距离30m，1颗白光灯，支持白光预警，内置mic，支持H.265、H.264HP/MP/BP、M-JPEG编码,支持S+265，支持三码流同时输出,主码流最大支持3840x2160@30fps，支持Onvif、GB/T28181、RTSP，支持3D定位功能，可实现点击跟踪和放大智能分析支持绊线、周界、人脸检测、值岗检测和人数统计等功能，支持图像畸变矫正,等级可调</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支持</w:t>
            </w:r>
            <w:r>
              <w:rPr>
                <w:rFonts w:hint="eastAsia" w:ascii="宋体" w:hAnsi="宋体" w:cs="宋体"/>
                <w:i w:val="0"/>
                <w:iCs w:val="0"/>
                <w:color w:val="auto"/>
                <w:kern w:val="0"/>
                <w:sz w:val="22"/>
                <w:szCs w:val="22"/>
                <w:highlight w:val="none"/>
                <w:u w:val="none"/>
                <w:lang w:val="en-US" w:eastAsia="zh-CN" w:bidi="ar"/>
              </w:rPr>
              <w:t>图像</w:t>
            </w:r>
            <w:r>
              <w:rPr>
                <w:rFonts w:hint="eastAsia" w:ascii="宋体" w:hAnsi="宋体" w:eastAsia="宋体" w:cs="宋体"/>
                <w:i w:val="0"/>
                <w:iCs w:val="0"/>
                <w:color w:val="auto"/>
                <w:kern w:val="0"/>
                <w:sz w:val="22"/>
                <w:szCs w:val="22"/>
                <w:highlight w:val="none"/>
                <w:u w:val="none"/>
                <w:lang w:val="en-US" w:eastAsia="zh-CN" w:bidi="ar"/>
              </w:rPr>
              <w:t>镜像翻转，支持音频降噪、音频异常侦测功能，开启低延时模式,HDBaseT输出视频延时≤50ms，水平350°连续旋转，垂直转动角度0°～90°，手动水平控制速度：0.1～60°/s，预置位精度0.2°，支持1个HDBaseT接口、1个10M/100M网口，支持1个RS485接口，支持对接温湿度屏，支持2路报警输入、1路报警输出，支持1路音频输入、1路音频输出，随机配置256GB及以上容量存储卡,支持断网续传，TVS 4000V，防雷、防浪涌、防突波，工作温度-10℃～55℃，支持POE+/DC12V两种供电方式,支持反向供电，峰值功率11.7W，根据现场实际情况，确定安装方式和支架类型，配置相应支架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E7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0B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1FC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4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A64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庭审席位摄像机三</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FB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英寸800万像素CMOS，24倍光学变焦,16倍数字变倍，支持H.265、H.264HP/MP/BP、M-JPEG编码,支持S+265，支持三码流同时输出,主码流最大支持3840x2160@30fps，支持Onvif、GB/T28181、RTSP，支持通过五向按键调节变倍聚焦，智能分析支持证人保护、绊线、周界、人脸检测、值岗检测和人数统计等功能，开启低延时模式,HDBaseT输出视频延时≤50ms，支持1个HDBaseT接口、1个10M/100M网口、1个HDMI接口，支持1个RS485接口,支持1路报警输入1路报警输出，支持1路音频输入和1路音频输出，随机配置256G及以上容量存储卡，支持断网续传，工作温度-10℃～55℃，支持POE/DC12V两种供电方式,支持反向供电峰值功率14W，根据现场实际情况，确定安装方式和支架类型，配置相应支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6A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5C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77A5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3D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网络数字音频处理器（核心产品）</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407A">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硬件要求：</w:t>
            </w:r>
          </w:p>
          <w:p w14:paraId="53FBFA62">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路平衡式话筒\线路输入，12路平衡式音频输出，采用凤凰插接口；自定义操作软件，让配置变更加灵活，可控制不同规格的DSP；提供终端用户作界面，实现多台设备参数相同集中控制，可通过本机的UDP、RS232、RS485控制第三方设备参数相同；拥有AFC(反馈抑制) AEC回声消除、ANS(噪声抑制)、AGC(自动増益)増益共享门限自动混音、闪避器等处理模块；每通道拥有独立的自适应反馈抑制，自动发现反馈点，并自动抑制；具有12 x 9矩阵；全功能矩阵混音，输入混音电平可调节；16组预设，每个预设独立工作</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12个GPIO可独立配置输入输出，配置输入时可用作独立ADC；支持通道贝、LINK和分组功能；支持R232＆UDP中控，UDP端口可自由设定，可查看控制软件代码；处理器芯片采用ADI 架构，不低于40bit DSP浮点运算引擎，提供自由配制软件架构；</w:t>
            </w:r>
          </w:p>
          <w:p w14:paraId="11E1B797">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多种控制方式，可通过网页、手机、平板、按键面板、触摸面板等方式管理。庭审语音识别系统要求：本次项目不另采购语音识别引擎，投标人所投产品需与浙江省高级人民法院智能语音识别服务平台对接。</w:t>
            </w:r>
          </w:p>
          <w:p w14:paraId="134649D6">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智能语音识别管理系统（1）管理模式：全院统一管理，支持对所有庭审状况进行监控，支持对当日转写案件、当日转写时长、当日转写字数等情况进行统计并展示；支持对累计转写案件数、累计转写时长、累计转写字数等情况进行统计并展示；支持从转写状态的维度查询并查看转写内容，包括转写中、已完成、暂停中等状态。（2）数据管理：智能语音识别管理系统能够支持部署在语音识别服务器中，实现数据集中管理，需支持各个法庭在其授权范围内随时调取庭审的语音和文字记录，并能够进行审计的功能。（3）更新方式：需实现统一更新，并具备智能庭审语音转写系统客户端软件的自动升级的功能。（4）系统扩展性：系统前端语音识别处理设备参数相同需支持轻便化部署，通过在单个法庭中添加单一设备参数相同即可支持8路的语音信号输入，同时针对具体智能庭审需求可实现平滑扩展。（5）大屏监控：需提供统一运行监控大屏服务，对所有法庭的语音识别的使用情况进行实施数据统计与展现。（6）通知消息模板：可展现未读、已读消息，支持平台消息的统一通知，并支持消息状态的已读、未读。（7）支持设置修改角色别名和添加一麦多角，即多个角色使用一个麦克风讲话识别。（8）庭审卷宗智能学习：需支持自动从本地指定目录下将文件资料上传至系统对应庭审案件中，进行庭前卷宗的自动学习，通过机器学习后，自动进行人名、地名等热词分词，用以提升个案的语音识别率。（9）系统需支持场地管理功能，支持新建、修改、删除等操作，新建场地需可设置场地所属类型、部门，针对不同场地类型可进行串音设置，通过防串音、Opus压缩等调节，降低串音，提高识别效果。（10）系统需支持对不同场景中采音设备参数相同进行管理，为便于管理与场地对应，需能够对设备参数相同名称、设备参数相同类型等进行设置，并支持设备参数相同启用、关闭功能，以便管理员手动操作设备参数相同是否启用。（11）系统需支持账号管理功能，账号新建时需可设置角色、绑定场地，实现不同用户归属不同场地，具备场地归属的用户方可使用场地内设备参数相同及系统功能。（12）系统需具备全过程留痕能力，需支持使用记录查询功能，支持按开始时间、结束时间及账号名称等进行查询，查询用户在系统中所操作记录。（13）系统支持从数字法庭管理平台一键启动打开语音识别。（14）庭审结束后语音识别笔录支持实时入卷到卷宗系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智能语音识别客户端（1）系统架构：客户端系统要求支持B/S架构，客户端所有功能均可在浏览器中实现，保证轻量化部署需求。数据要求保存在法院内网服务器中，与外网无任何数据交互。（2）庭审智能语音识别系统客户端：需能够同时支持采用 32/64bit 的 Windows 操作系统；能够实现导入本地标准化庭审模板、庭审信息自动获取、多角色语音区分识别转文字、庭审笔录智能修正、笔录智能笔录导出/打印/同步等功能。（3）并案管理(联审案件)：支持多个案件联审或合并开庭，支持书记员对多个案件合并开庭操作。（4）支持笔录在线编辑和服务端的自动备份，笔录转写、编辑后自动备份时间间隔应不超过3秒，支持当客户端电脑和硬盘出现无法恢复的故障时，能通过网页服务端一键恢复笔录。（5）支持一键导出庭审全过程音频，并支持分角色音频导出和完整音频导出。（6）识别编辑状态栏：需支持缩放，放大功能，支持对庭审状态的实时展现，包括庭审状态、热词情况、笔录字数、开庭时间等。（7）支持笔录编辑时鼠标右键快捷菜单，右键菜单至少包括：全选、清空文档、添加标记、按句回听、段落格式、前插入段落、后插入段落、添加泛热词、添加人名热词、地名热词。（8）场地选择：客户端软件应能支持书记员登录后灵活切换法庭，无需重新退出再登录。（9）今日案件\明日案件：支持今日、明日案件归集，支持今日案件\明日案件信息以图形化方式呈现提醒等，可更直观的面向书记员展示案件信息。</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10）支持为书记员提供更便捷的案件查看、检索和案件操作界面，检索条件应包括案件类型、关键字、庭审时间、案件状态、笔录字数范围等，若未选择检索条件，则默认显示属于该书记员在该法庭的全量案件信息，并支持针对不同案件状态进行不同的快捷操作，如：休庭案件应至少具备个案卷宗学习、角色设置、笔录下载等。（11）支持庭审模板管理功能：系统支持导入不同类型案件的庭审笔录模板，并支持模板参数化。（12）支持音频通道管理可以调整每个音频通道的角色，适应不同的庭审需求。（13）识别过程中，可以对识别形成的文字实时修改，支持跨行合并删除功能、多行编辑，并可高亮标记，以备后续修改。在对笔录进行订正时，每份笔录实现分段录音。（14）说话人麦克风控制：系统要求支持书记员能够在庭审过程中远程对各方说话人的麦克风设备参数相同进行操作，实现关闭或开启语音识别功能，所有操作都仅限在书记员电脑上完成。（15）需要支持对笔录标记的全部定位点进行可视化时间线展示，纵览高亮标记内容处在笔录中的位置，通过点击展示的定位点，可快速定位切换到对应笔录标记的位置，方便书记员快速查找需修改的笔录内容。（16）分栏设置：系统支持对庭审主页进行界面分栏设置，界面展示可分为一栏、二栏、三栏等模式。（17）换段设置：在笔录识别过程中，支持多种模式的换段设置，如不按短句换段、一句话换段、两句话换段、四句话换段、六句话换段、八句话换段等模式；同时在笔录修订过程中，支持删除中间段落时，系统判断上下两段文本为同一角色发言，则自动合并文本。</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86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C6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783A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71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D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法庭音频功放</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68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额定功率：2×200W/8Ω，2×300W/4Ω，1×600W/8Ω；频率响应：20Hz～20kHz +1,-3dB；输入灵敏度：0dBu（0.775V）；输入阻抗：平衡20kΩ，非平衡10kΩ；总谐波失真(1/10额定功率，1KHz)：≤0.1%；信噪比(A计权)：≥100dB；最大功率消耗：850W；电压适应范围：AC110-240V，50Hz/60Hz；具有IOT(物联)功能设计（</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提供操作软件截图</w:t>
            </w:r>
            <w:r>
              <w:rPr>
                <w:rFonts w:hint="eastAsia" w:ascii="宋体" w:hAnsi="宋体" w:cs="宋体"/>
                <w:i w:val="0"/>
                <w:iCs w:val="0"/>
                <w:color w:val="auto"/>
                <w:kern w:val="0"/>
                <w:sz w:val="22"/>
                <w:szCs w:val="22"/>
                <w:highlight w:val="none"/>
                <w:u w:val="none"/>
                <w:lang w:val="en-US" w:eastAsia="zh-CN" w:bidi="ar"/>
              </w:rPr>
              <w:t>加以佐证</w:t>
            </w:r>
            <w:r>
              <w:rPr>
                <w:rFonts w:hint="eastAsia" w:ascii="宋体" w:hAnsi="宋体" w:eastAsia="宋体" w:cs="宋体"/>
                <w:i w:val="0"/>
                <w:iCs w:val="0"/>
                <w:color w:val="auto"/>
                <w:kern w:val="0"/>
                <w:sz w:val="22"/>
                <w:szCs w:val="22"/>
                <w:highlight w:val="none"/>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35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F5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06A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A6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B5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法庭音箱</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04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额定阻抗：8Ω；额定功率：150W；最大功率：600W；特性灵敏度：93dB；连续声压级：115dB；最大声压级：121dB；额定频率范围：75～20000Hz；同轴扬声器：8"×1；覆盖角度（H×V）：0°×90°；输入接口：凤凰钳位电路接口×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33A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55B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12D0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8A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3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无线手持话筒</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A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1、采用金属机箱，散热及隔离谐波干扰极佳的专业质量。 2、RF高动态范围及第三代中频电路，大幅提升互不干扰的频道数及抗干扰特性。 3、预设群组，第1-4组预设16个互不干扰频率，第5－8预设24个互不干扰频率，第U组为用户自定义组，最多可提供2000频率供客户自定义选择使用。4、采用天线分集式接收及数字导音，杂音锁定双重静音控制，接收距离远，消除接收断音及不稳的缺失。 5、黑色金属面板，LED段码显示器，可同时显示群组、频率、电池电量、静音位准、电子音量等相关信息；LED灯柱显示RF/AF强度 。6、采用飞梭旋钮按键。7、天线接口采用50Ω/TNC，保持天线可靠连接的同时。并支持天线环路输出，支持8套同型产品射频级联。8、各频道可单独或混合输出，可切换两段输出的音量，具有MIC/LINE输出开关：LINE比MIC输出约大10dBu。9、天线座提供强波器偏压，可以连接天线系统，增加接收距离及稳定的接收效果。 10、100-240V,内置AC电源板。保持系统稳定，且支持AC电源环路输出。 （</w:t>
            </w:r>
            <w:r>
              <w:rPr>
                <w:rFonts w:hint="eastAsia" w:ascii="宋体" w:hAnsi="宋体" w:cs="宋体"/>
                <w:i w:val="0"/>
                <w:iCs w:val="0"/>
                <w:color w:val="auto"/>
                <w:kern w:val="0"/>
                <w:sz w:val="22"/>
                <w:szCs w:val="22"/>
                <w:highlight w:val="none"/>
                <w:u w:val="none"/>
                <w:lang w:val="en-US" w:eastAsia="zh-CN" w:bidi="ar"/>
              </w:rPr>
              <w:t>可</w:t>
            </w:r>
            <w:r>
              <w:rPr>
                <w:rFonts w:hint="eastAsia" w:ascii="宋体" w:hAnsi="宋体" w:eastAsia="宋体" w:cs="宋体"/>
                <w:i w:val="0"/>
                <w:iCs w:val="0"/>
                <w:color w:val="auto"/>
                <w:kern w:val="0"/>
                <w:sz w:val="22"/>
                <w:szCs w:val="22"/>
                <w:highlight w:val="none"/>
                <w:u w:val="none"/>
                <w:lang w:val="en-US" w:eastAsia="zh-CN" w:bidi="ar"/>
              </w:rPr>
              <w:t>提供接口图片</w:t>
            </w:r>
            <w:r>
              <w:rPr>
                <w:rFonts w:hint="eastAsia" w:ascii="宋体" w:hAnsi="宋体" w:cs="宋体"/>
                <w:i w:val="0"/>
                <w:iCs w:val="0"/>
                <w:color w:val="auto"/>
                <w:kern w:val="0"/>
                <w:sz w:val="22"/>
                <w:szCs w:val="22"/>
                <w:highlight w:val="none"/>
                <w:u w:val="none"/>
                <w:lang w:val="en-US" w:eastAsia="zh-CN" w:bidi="ar"/>
              </w:rPr>
              <w:t>加以佐证</w:t>
            </w:r>
            <w:r>
              <w:rPr>
                <w:rFonts w:hint="eastAsia" w:ascii="宋体" w:hAnsi="宋体" w:eastAsia="宋体" w:cs="宋体"/>
                <w:i w:val="0"/>
                <w:iCs w:val="0"/>
                <w:color w:val="auto"/>
                <w:kern w:val="0"/>
                <w:sz w:val="22"/>
                <w:szCs w:val="22"/>
                <w:highlight w:val="none"/>
                <w:u w:val="none"/>
                <w:lang w:val="en-US" w:eastAsia="zh-CN" w:bidi="ar"/>
              </w:rPr>
              <w:t>）载波频段: UHF530-690.000MHZ（常规：640.000MHZ-690.000MHZ）；单机频带宽度 :50 MHz ；单机频道数量：2000个；频率间隔：25KHz；音频灵敏度: -48±3dB；综合S/N比：&gt;100dB(A)；指向性频响曲线：300-2000Hz≤-8dB ；综合T.H.D. ：&lt;0.5%@1kHz；频率响应： 65Hz-15kHz ；天线：50Ω/TNC，支持天线环路输出。</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B4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FD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14:paraId="2EB5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3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D7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证人话筒</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1E1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具有高品质音频特性的短枪式话筒，外形小巧，长度仅 25 厘米；指向特性：枪型驻极体电容话筒；电源供应：外部供电（幻象 48）；输出连接头：内置式 TB3M 卡农公。配移动支架，立架高度1100-1700mm，横杆长度 500-800mm，最大承重 3Kg</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66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EE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r>
      <w:tr w14:paraId="1AA7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E1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2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高拍仪（信创版）</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04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usb高拍仪，用于庭审过程中举证使用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7F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F2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36E98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E09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87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网络转232转换器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8F2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网络转232转换器</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C3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6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966F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01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B0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法官显示器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E3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43.8英寸IPS显示器，32：9的屏幕比例，拥有120Hz刷新率，5ms响应时间，10.7亿色，HDR400，400nit高亮度，△E&lt;2，BU&amp;CU&gt;93%。标准模式下，高度还原MAC生态色彩，支持96%DCI-P3，99.9%SRGB，86%NTSC色域。通过TUV莱茵认证，可有效过滤蓝光。升降旋转底座，可多向调节内置双扬声器，组建立体声系统。高能C口，全功能Type-C接口，一屏双显，开启PBP屏幕一分为二</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7C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26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9F3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BF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F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开庭信息门口屏</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00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一体化设计。素材类型多样，包括图片、音频、视频、滚动字幕、 PDF 文档、网页、实时监控画面、叫号、弹图等。节目编排灵活，支持多种素材自由排版、分区显示；支持多种播放方式，按日、按周、轮播、自定义等。终端集中管理，支持终端统一远程管理和控制，定时开关机设置、一键开关机、显示亮度/音量定时调节、播放画面截图预览等；支持网络远程下发节目和无网络本地（U 盘）节目更新。分级管理权限，支持 5 级组织管理素材、节目、终端、用户等资源；支持创建自定义用户，精确分配多种用户的权限，多种权限模板可选。多重安全保障，素材、节目、日程三级审核，防误播误报，终端屏保密码功能，保障系统播出内容安全；数据存储、数据传输加密，防数据篡改；客户自行激活设置初始密码，保障密码安全。</w:t>
            </w:r>
            <w:r>
              <w:rPr>
                <w:rFonts w:hint="eastAsia" w:ascii="宋体" w:hAnsi="宋体" w:eastAsia="宋体" w:cs="宋体"/>
                <w:b/>
                <w:bCs/>
                <w:i w:val="0"/>
                <w:iCs w:val="0"/>
                <w:color w:val="auto"/>
                <w:kern w:val="0"/>
                <w:sz w:val="22"/>
                <w:szCs w:val="22"/>
                <w:highlight w:val="none"/>
                <w:u w:val="none"/>
                <w:lang w:val="en-US" w:eastAsia="zh-CN" w:bidi="ar"/>
              </w:rPr>
              <w:t>支持多个页面（至少支持32个组成，页面包括多个窗口至少支持16个，同一个页面中的窗口类型可以不一样），支持一个页面不同的窗口播放不同的素材同时可以添加时钟窗口（时钟的样式可选）、倒计时窗口，也可以添加节目单背景图。支持窗口大小/坐标自定义设置，支持窗口对齐，窗口自动吸附，支持节目窗口按实际尺寸显示和窗口尺寸显示；支持在线文本编辑；支持窗口锁定/解锁、窗口隐藏/显示 、窗口置顶/置底；支持实时预览节目制作效果，可视化显示。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支持联屏组对联屏下的所有终端进行统一控制，支持的联屏组控制操作包括开关机（休眠）、重启、停止播放开始播放、音量调节、停止插播、淸空播放内容、定时开关机、定时音量、ntp校时、亮度，在同一局域网内同一发布的内容，屏幕的播放进度都能够保持一致。</w:t>
            </w:r>
            <w:r>
              <w:rPr>
                <w:rFonts w:hint="eastAsia" w:ascii="宋体" w:hAnsi="宋体" w:eastAsia="宋体" w:cs="宋体"/>
                <w:i w:val="0"/>
                <w:iCs w:val="0"/>
                <w:color w:val="auto"/>
                <w:kern w:val="0"/>
                <w:sz w:val="22"/>
                <w:szCs w:val="22"/>
                <w:highlight w:val="none"/>
                <w:u w:val="none"/>
                <w:lang w:val="en-US" w:eastAsia="zh-CN" w:bidi="ar"/>
              </w:rPr>
              <w:t>CPU：Cortex-A17， 4 核，主频 1.6 GHz；操作系统：Android 8.1.0；内存：2 GB ；内置存储：16 GB；物理分辨率：1920 × 1080；音视频输入接口：AUDIO IN × 1；音视频输出接口：AUDIO OUT × 1，8Ω 2W喇叭 × 2 ；数据传输接口：USB 2.0 × 2, TF Card × 1；网络接口：LAN口 × 1，Wi-Fi × 1，蓝牙 × 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64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7C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676F3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EB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12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HDMI分配器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2A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 HDCP2.2 和 HDCP1.4 标准，视频分辨率达到 3840x2160@60Hz。4K一分四，输入接口 1×HDMI Type A(19 针母头)，输出接口 4×HDMI Type A(19 针母头)，</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E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1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01B5F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943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17</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8进8出高清矩阵</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A84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支持 HDCP2.2 和 HDCP1.4 标准，视频分辨率达到 3840x2160@60Hz，支持的音频格式达到 7.1 高清音频通道，支持智能 EDID 管理，支持前面板按键。支持信创电脑下操作维护控制，支持第三方编程控制，提供开放编程控制接口及函数，支持输入输出预案操作。HDMI 音频格式 PCM2.0/5.1/7.1CH, Dolby 5.1, DTS5.1, Dolby-TrueHD, DTS-HD 接口，输入接口 8×HDMI Type A(19 针母头)，1×TCP/IP 接收器（RJ-45，控制）输出接口 8×HDMI Type A(19 针母头)，8×Coax Audio（RCA）</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D2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44F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203CC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7D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03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时序电源控制器</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5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1、电源输出通道数：8路；2、单通道的最大电流为10A，总输入电流容量为38A；3、支持TCP/IP协议和串口协议控制；4. 可通过面板按钮进行ID设置；5. 可通过面板按键对输出端口单独或全部进行控制；6，可通过用网口、RS232接口控制组件对设备参数相同进行控制；7、每路可独立设定延时时间（由1秒到15小时）；</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E6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C2C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4478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CB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1D8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12V机架式电源</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7D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1U机架式，输入电压：190-240V AC @ 50-60Hz；输出电压：12V DC；输出电流：20A；输出分路：10分路每路2A。</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05B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54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5B30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4D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6E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人民法院在线服务互联网终端（核心产品）</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CD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eastAsia="宋体" w:cs="宋体"/>
                <w:i w:val="0"/>
                <w:iCs w:val="0"/>
                <w:color w:val="auto"/>
                <w:kern w:val="0"/>
                <w:sz w:val="22"/>
                <w:szCs w:val="22"/>
                <w:highlight w:val="none"/>
                <w:u w:val="none"/>
                <w:lang w:val="en-US" w:eastAsia="zh-CN" w:bidi="ar"/>
              </w:rPr>
              <w:t>视频编码协议：H.265、H.264、VP8、VP9；视频编解码能力：1080P/720P/360P等；网络传输协议：IPv6/IPv4、TCP/IP、HTTP/HTTPS2、音视输入接口：2xRCA、3.5mm、USB、蓝牙；音频输出接口：2xRCA、3.5mm、3xHDMI；视频输入接口：1x3G-SDI，2 xHDMI，同时并发两路视频输入；视频输出接口：3xHDMI；串口：2xRS232；网络：1000/100/10BASE-TX，WIFI 2.4G/2.5G；USB接口：4xUSB3.0；3、硬件规格；内存：8G DDR4；硬盘：256G</w:t>
            </w:r>
            <w:r>
              <w:rPr>
                <w:rFonts w:hint="eastAsia" w:ascii="宋体" w:hAnsi="宋体" w:cs="宋体"/>
                <w:i w:val="0"/>
                <w:iCs w:val="0"/>
                <w:color w:val="auto"/>
                <w:kern w:val="0"/>
                <w:sz w:val="22"/>
                <w:szCs w:val="22"/>
                <w:highlight w:val="none"/>
                <w:u w:val="none"/>
                <w:lang w:val="en-US" w:eastAsia="zh-CN" w:bidi="ar"/>
              </w:rPr>
              <w:t>及以上</w:t>
            </w:r>
            <w:r>
              <w:rPr>
                <w:rFonts w:hint="eastAsia" w:ascii="宋体" w:hAnsi="宋体" w:eastAsia="宋体" w:cs="宋体"/>
                <w:i w:val="0"/>
                <w:iCs w:val="0"/>
                <w:color w:val="auto"/>
                <w:kern w:val="0"/>
                <w:sz w:val="22"/>
                <w:szCs w:val="22"/>
                <w:highlight w:val="none"/>
                <w:u w:val="none"/>
                <w:lang w:val="en-US" w:eastAsia="zh-CN" w:bidi="ar"/>
              </w:rPr>
              <w:t>；包含 3 年运营服务费</w:t>
            </w:r>
            <w:r>
              <w:rPr>
                <w:rFonts w:hint="eastAsia" w:ascii="宋体" w:hAnsi="宋体" w:cs="宋体"/>
                <w:i w:val="0"/>
                <w:iCs w:val="0"/>
                <w:color w:val="auto"/>
                <w:kern w:val="0"/>
                <w:sz w:val="22"/>
                <w:szCs w:val="22"/>
                <w:highlight w:val="none"/>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F5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1E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0CEE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79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B8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信创版独立音频备份系统</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95C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与庭审主机同品牌；8路音频输入； 2路音频输出； 1路线性音频输入； 音频编码AAC，采样率不低于44.1kHz； 1个千兆网口；支持内置2T硬盘存储。1个eSATA接口和1个USB接口。</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57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38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14:paraId="523C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F3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64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高保真吸顶全向麦克风</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8E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拾音头: 固定式充电背板，永久极性电容拾音头；指向特性:全指向性/半心形单指向性；频率响应: 30~20,000 Hz；高通滤波: 80 Hz, 18 dB/octave；感度: -34 dB (19、9 mV) 以 1V 于 1 Pa；阻抗: 200 欧姆；最大输入声压级: 133 dB 声压, 1 kHz 于 1% THD；动态范围: 103dB, 1 kHz 于最高声压；讯噪比: 67 dB, 1 kHz 于 1Pa；幻象供电: 直流 11~52V DC, 耗电 3 mA</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8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A8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只</w:t>
            </w:r>
          </w:p>
        </w:tc>
      </w:tr>
      <w:tr w14:paraId="36C0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868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26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支架</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ADC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47寸LCD利旧，47寸三联屏，需定制安装支架并安装。</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5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A2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架</w:t>
            </w:r>
          </w:p>
        </w:tc>
      </w:tr>
      <w:tr w14:paraId="5C2F9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6"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FE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24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E7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辅材（定制）</w:t>
            </w:r>
          </w:p>
        </w:tc>
        <w:tc>
          <w:tcPr>
            <w:tcW w:w="6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C28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话筒音频线、音箱线、弱电设备电源线、4平方强电电源线、高清视频线、光纤HDMI线、地插、</w:t>
            </w:r>
            <w:r>
              <w:rPr>
                <w:rFonts w:hint="eastAsia" w:ascii="宋体" w:hAnsi="宋体" w:cs="宋体"/>
                <w:i w:val="0"/>
                <w:iCs w:val="0"/>
                <w:color w:val="auto"/>
                <w:kern w:val="0"/>
                <w:sz w:val="22"/>
                <w:szCs w:val="22"/>
                <w:highlight w:val="none"/>
                <w:u w:val="none"/>
                <w:lang w:val="en-US" w:eastAsia="zh-CN" w:bidi="ar"/>
              </w:rPr>
              <w:t>各类接头，机柜内理线架、各种标识</w:t>
            </w:r>
            <w:r>
              <w:rPr>
                <w:rFonts w:hint="eastAsia" w:ascii="宋体" w:hAnsi="宋体" w:eastAsia="宋体" w:cs="宋体"/>
                <w:i w:val="0"/>
                <w:iCs w:val="0"/>
                <w:color w:val="auto"/>
                <w:kern w:val="0"/>
                <w:sz w:val="22"/>
                <w:szCs w:val="22"/>
                <w:highlight w:val="none"/>
                <w:u w:val="none"/>
                <w:lang w:val="en-US" w:eastAsia="zh-CN" w:bidi="ar"/>
              </w:rPr>
              <w:t>等</w:t>
            </w:r>
            <w:r>
              <w:rPr>
                <w:rFonts w:hint="eastAsia" w:ascii="宋体" w:hAnsi="宋体" w:cs="宋体"/>
                <w:i w:val="0"/>
                <w:iCs w:val="0"/>
                <w:color w:val="auto"/>
                <w:kern w:val="0"/>
                <w:sz w:val="22"/>
                <w:szCs w:val="22"/>
                <w:highlight w:val="none"/>
                <w:u w:val="none"/>
                <w:lang w:val="en-US" w:eastAsia="zh-CN" w:bidi="ar"/>
              </w:rPr>
              <w:t>。</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7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3DA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批</w:t>
            </w:r>
          </w:p>
        </w:tc>
      </w:tr>
    </w:tbl>
    <w:p w14:paraId="4B337307">
      <w:pPr>
        <w:numPr>
          <w:ilvl w:val="0"/>
          <w:numId w:val="0"/>
        </w:numPr>
        <w:spacing w:line="400" w:lineRule="exact"/>
        <w:rPr>
          <w:rFonts w:hint="eastAsia" w:ascii="宋体" w:hAnsi="宋体" w:cs="宋体"/>
          <w:color w:val="auto"/>
          <w:highlight w:val="none"/>
          <w:lang w:val="en-US" w:eastAsia="zh-CN"/>
        </w:rPr>
      </w:pPr>
    </w:p>
    <w:p w14:paraId="6FD25288">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二、安装施工要求</w:t>
      </w:r>
    </w:p>
    <w:p w14:paraId="628EBD51">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因部分设备需要利旧使用安装调试，</w:t>
      </w:r>
      <w:r>
        <w:rPr>
          <w:rFonts w:hint="eastAsia" w:ascii="宋体" w:hAnsi="宋体" w:eastAsia="宋体" w:cs="宋体"/>
          <w:b w:val="0"/>
          <w:bCs w:val="0"/>
          <w:color w:val="auto"/>
          <w:sz w:val="24"/>
          <w:szCs w:val="24"/>
          <w:highlight w:val="none"/>
        </w:rPr>
        <w:t>供应商应自行现场勘察，并根据实际情况确定投标方案，如不到现场勘察或勘察不细或计算错误，产生的误报价格而发生变更的一切费用，由供应商自行负责。供应商需在中标后提供施工图纸及所要提供的产品清单，并经甲方确认签章后方可实施。在实际实施过程中出现的预计附件、配件、线缆不足等问题由中标方自行解决，甲方在需求不变的情况下不支付任何额外费用</w:t>
      </w:r>
      <w:r>
        <w:rPr>
          <w:rFonts w:hint="eastAsia" w:ascii="宋体" w:hAnsi="宋体" w:eastAsia="宋体" w:cs="宋体"/>
          <w:b w:val="0"/>
          <w:bCs w:val="0"/>
          <w:color w:val="auto"/>
          <w:sz w:val="24"/>
          <w:szCs w:val="24"/>
          <w:highlight w:val="none"/>
          <w:lang w:eastAsia="zh-CN"/>
        </w:rPr>
        <w:t>，所有施工符合强电、弱电施工规范</w:t>
      </w:r>
      <w:r>
        <w:rPr>
          <w:rFonts w:hint="eastAsia" w:ascii="宋体" w:hAnsi="宋体" w:eastAsia="宋体" w:cs="宋体"/>
          <w:b w:val="0"/>
          <w:bCs w:val="0"/>
          <w:color w:val="auto"/>
          <w:sz w:val="24"/>
          <w:szCs w:val="24"/>
          <w:highlight w:val="none"/>
        </w:rPr>
        <w:t>。</w:t>
      </w:r>
    </w:p>
    <w:p w14:paraId="11A1E1B3">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三、安装调试要求</w:t>
      </w:r>
    </w:p>
    <w:p w14:paraId="2874E6F2">
      <w:pPr>
        <w:pStyle w:val="15"/>
        <w:keepLines w:val="0"/>
        <w:pageBreakBefore w:val="0"/>
        <w:tabs>
          <w:tab w:val="left" w:pos="1140"/>
        </w:tabs>
        <w:kinsoku/>
        <w:wordWrap/>
        <w:overflowPunct/>
        <w:topLinePunct w:val="0"/>
        <w:autoSpaceDE/>
        <w:autoSpaceDN/>
        <w:bidi w:val="0"/>
        <w:spacing w:line="420" w:lineRule="exact"/>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完成本项目所有软硬件的安装调试工作，投标人可自行踏勘现场，充分了解项目实施条件和环境。1、投标人需承诺与法院现的数字法庭完全无缝对接，如需添加硬件，请在投标清单中添加硬件设备并说明配置用途，确保系统集成和功能完全整合，负责整个系统集成服务，将本次采购软硬件与原系统无缝对接集成。2、网络设备接入现有网络管理平台并在项目验收前做网络安全评测。3、项目实施时不得影响审判法庭正常庭审工作。</w:t>
      </w:r>
    </w:p>
    <w:p w14:paraId="4E9DCD16">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四、维保要求</w:t>
      </w:r>
    </w:p>
    <w:p w14:paraId="18A8158B">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（1）本项目要求维保期三年（含本次招标所有设备），涉及软件版权授权的，提供永久版权授权。</w:t>
      </w:r>
    </w:p>
    <w:p w14:paraId="1E4D1083">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保期从工程竣工验收通过之日起计算。保修期内，由于系统设计、生产、工艺出现的问题，须免费负责及时处理，设备硬件和软件故障，免费维修，对不能修复的设备负责免费更换。如有投标货物原厂免费维保期或供应商另行承诺的免费维保期超过三年的，以原厂免费维保期或供应商另行承诺的免费维保期为准。</w:t>
      </w:r>
    </w:p>
    <w:p w14:paraId="4628F90E">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（2）服务方式</w:t>
      </w:r>
    </w:p>
    <w:p w14:paraId="4722FC80">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保修期内，能够提供7×24小时售后服务。</w:t>
      </w:r>
    </w:p>
    <w:p w14:paraId="460E2CAA">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有故障时，维修人员须及时赶到现场解除故障；不能修复的，用同类型设备替换，以保障系统正常运行。还需提供免费的软件功能升级、故障处理、性能调优、技术咨询、维护和现场巡检等服务，以及其他的技术支持工作。在维保期内，与质保和维修等相关的费用由中标人负责。</w:t>
      </w:r>
    </w:p>
    <w:p w14:paraId="7771F333">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出现故障后，中标供应商如未按上述要求进行响应，采购人可以采取必要的补救措施，由此产生的风险和费用将由中标供应商承担。</w:t>
      </w:r>
    </w:p>
    <w:p w14:paraId="1EBD5333">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（3）维保期外的服务保障</w:t>
      </w:r>
    </w:p>
    <w:p w14:paraId="384DCCD5">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维保期结束后，中标人仍需提供与保修期内相同质量的售后服务，只收零件成本费。</w:t>
      </w:r>
    </w:p>
    <w:p w14:paraId="0801B646">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免费提供电话支持、远程在线支持、技术咨询服务；</w:t>
      </w:r>
    </w:p>
    <w:p w14:paraId="57943881">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多层次、全方位的技术业务咨询；</w:t>
      </w:r>
    </w:p>
    <w:p w14:paraId="27D53BE4">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系统软、硬件设备付费更换和维修；</w:t>
      </w:r>
    </w:p>
    <w:p w14:paraId="785D4052">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五、履约期限</w:t>
      </w:r>
    </w:p>
    <w:p w14:paraId="2C59330C">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本项目工期要求，合同签订后</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日历天内完工（设备安装到位，功能实现，具备验收条件）。</w:t>
      </w:r>
    </w:p>
    <w:p w14:paraId="78AEC3D2">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实施计划需分阶段进行，在各阶段都提交相应的细化工作计划，经采购人认可后进行下阶段工作，确保人力、物力的定量投入，定期提交项目进展情况报告。</w:t>
      </w:r>
    </w:p>
    <w:p w14:paraId="08018868">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验收合格条件：</w:t>
      </w:r>
    </w:p>
    <w:p w14:paraId="62A99603">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运行结果及使用效果符合招标要求及国家相关标准；在进行测试和验收运行过程中发生的故障和发现的问题已被排除，并得到采购人的认可；所有合同中规定的设备、备品备件和资料都已提交并得到确认</w:t>
      </w:r>
    </w:p>
    <w:p w14:paraId="2787FF29">
      <w:pPr>
        <w:pStyle w:val="15"/>
        <w:keepLines w:val="0"/>
        <w:pageBreakBefore w:val="0"/>
        <w:tabs>
          <w:tab w:val="left" w:pos="1140"/>
        </w:tabs>
        <w:kinsoku/>
        <w:wordWrap/>
        <w:overflowPunct/>
        <w:topLinePunct w:val="0"/>
        <w:autoSpaceDE/>
        <w:autoSpaceDN/>
        <w:bidi w:val="0"/>
        <w:spacing w:line="420" w:lineRule="exact"/>
        <w:ind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、招标代理费：</w:t>
      </w:r>
    </w:p>
    <w:p w14:paraId="12D47489">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根据相关标准，领取中标通知书时，中标人向浙江求真工程管理咨询有限公司一次性付清代理费</w:t>
      </w:r>
      <w:r>
        <w:rPr>
          <w:rFonts w:hint="eastAsia" w:hAnsi="宋体" w:cs="宋体"/>
          <w:b w:val="0"/>
          <w:bCs w:val="0"/>
          <w:color w:val="auto"/>
          <w:sz w:val="24"/>
          <w:szCs w:val="24"/>
          <w:highlight w:val="none"/>
          <w:lang w:val="en-US" w:eastAsia="zh-CN"/>
        </w:rPr>
        <w:t>8000元</w:t>
      </w:r>
      <w:r>
        <w:rPr>
          <w:rFonts w:hint="eastAsia" w:ascii="宋体" w:hAnsi="宋体" w:eastAsia="宋体" w:cs="宋体"/>
          <w:b w:val="0"/>
          <w:bCs w:val="0"/>
          <w:color w:val="auto"/>
          <w:sz w:val="24"/>
          <w:szCs w:val="24"/>
          <w:highlight w:val="none"/>
        </w:rPr>
        <w:t>。</w:t>
      </w:r>
    </w:p>
    <w:p w14:paraId="1C65E74B">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帐户名称：浙江求真工程管理咨询有限公司</w:t>
      </w:r>
    </w:p>
    <w:p w14:paraId="6854738F">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开户银行：嘉兴银行桐乡支行</w:t>
      </w:r>
    </w:p>
    <w:p w14:paraId="12B24BC8">
      <w:pPr>
        <w:pStyle w:val="15"/>
        <w:keepLines w:val="0"/>
        <w:pageBreakBefore w:val="0"/>
        <w:tabs>
          <w:tab w:val="left" w:pos="1140"/>
        </w:tabs>
        <w:kinsoku/>
        <w:wordWrap/>
        <w:overflowPunct/>
        <w:topLinePunct w:val="0"/>
        <w:autoSpaceDE/>
        <w:autoSpaceDN/>
        <w:bidi w:val="0"/>
        <w:spacing w:line="420" w:lineRule="exact"/>
        <w:ind w:firstLine="480" w:firstLineChars="200"/>
        <w:rPr>
          <w:rFonts w:hint="eastAsia" w:ascii="宋体" w:hAnsi="宋体" w:eastAsia="宋体" w:cs="宋体"/>
          <w:b w:val="0"/>
          <w:bCs w:val="0"/>
          <w:color w:val="auto"/>
          <w:sz w:val="24"/>
          <w:szCs w:val="24"/>
          <w:highlight w:val="none"/>
        </w:rPr>
        <w:sectPr>
          <w:pgSz w:w="11906" w:h="16838"/>
          <w:pgMar w:top="1389" w:right="1247" w:bottom="1389" w:left="1247" w:header="851" w:footer="992" w:gutter="0"/>
          <w:cols w:space="720" w:num="1"/>
          <w:docGrid w:linePitch="312" w:charSpace="0"/>
        </w:sectPr>
      </w:pPr>
      <w:r>
        <w:rPr>
          <w:rFonts w:hint="eastAsia" w:ascii="宋体" w:hAnsi="宋体" w:eastAsia="宋体" w:cs="宋体"/>
          <w:b w:val="0"/>
          <w:bCs w:val="0"/>
          <w:color w:val="auto"/>
          <w:sz w:val="24"/>
          <w:szCs w:val="24"/>
          <w:highlight w:val="none"/>
        </w:rPr>
        <w:t>帐号：903101201900032156</w:t>
      </w:r>
    </w:p>
    <w:p w14:paraId="61706958">
      <w:pPr>
        <w:pStyle w:val="3"/>
        <w:bidi w:val="0"/>
        <w:jc w:val="center"/>
        <w:rPr>
          <w:rFonts w:hint="eastAsia"/>
          <w:color w:val="auto"/>
          <w:highlight w:val="none"/>
        </w:rPr>
      </w:pPr>
      <w:r>
        <w:rPr>
          <w:rFonts w:hint="eastAsia"/>
          <w:color w:val="auto"/>
          <w:highlight w:val="none"/>
        </w:rPr>
        <w:t xml:space="preserve">第四章  </w:t>
      </w:r>
      <w:bookmarkEnd w:id="47"/>
      <w:bookmarkEnd w:id="48"/>
      <w:bookmarkEnd w:id="49"/>
      <w:bookmarkEnd w:id="50"/>
      <w:bookmarkStart w:id="51" w:name="_Toc356371458"/>
      <w:bookmarkStart w:id="52" w:name="_Toc354491899"/>
      <w:bookmarkStart w:id="53" w:name="_Toc359856819"/>
      <w:bookmarkStart w:id="54" w:name="_Toc322352985"/>
      <w:r>
        <w:rPr>
          <w:rFonts w:hint="eastAsia"/>
          <w:color w:val="auto"/>
          <w:highlight w:val="none"/>
        </w:rPr>
        <w:t>有关格式参考范例</w:t>
      </w:r>
      <w:bookmarkEnd w:id="51"/>
      <w:bookmarkEnd w:id="52"/>
      <w:bookmarkEnd w:id="53"/>
      <w:bookmarkEnd w:id="54"/>
    </w:p>
    <w:p w14:paraId="47F293C9">
      <w:pPr>
        <w:bidi w:val="0"/>
        <w:jc w:val="center"/>
        <w:rPr>
          <w:rFonts w:hint="eastAsia"/>
          <w:b/>
          <w:bCs/>
          <w:color w:val="auto"/>
          <w:sz w:val="32"/>
          <w:szCs w:val="32"/>
          <w:highlight w:val="none"/>
        </w:rPr>
      </w:pPr>
      <w:bookmarkStart w:id="55" w:name="_Toc359856820"/>
      <w:r>
        <w:rPr>
          <w:rFonts w:hint="eastAsia"/>
          <w:b/>
          <w:bCs/>
          <w:color w:val="auto"/>
          <w:sz w:val="32"/>
          <w:szCs w:val="32"/>
          <w:highlight w:val="none"/>
        </w:rPr>
        <w:t>一、 投标文件封面</w:t>
      </w:r>
      <w:bookmarkEnd w:id="55"/>
    </w:p>
    <w:p w14:paraId="324A7DFB">
      <w:pPr>
        <w:snapToGrid w:val="0"/>
        <w:ind w:left="2057" w:leftChars="857"/>
        <w:jc w:val="right"/>
        <w:rPr>
          <w:rFonts w:hint="eastAsia" w:ascii="宋体" w:hAnsi="宋体"/>
          <w:color w:val="auto"/>
          <w:sz w:val="32"/>
          <w:szCs w:val="32"/>
          <w:highlight w:val="none"/>
        </w:rPr>
      </w:pPr>
    </w:p>
    <w:p w14:paraId="1BD04CFC">
      <w:pPr>
        <w:snapToGrid w:val="0"/>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14:paraId="0604BBF9">
      <w:pPr>
        <w:snapToGrid w:val="0"/>
        <w:rPr>
          <w:rFonts w:hint="eastAsia" w:ascii="宋体" w:hAnsi="宋体"/>
          <w:color w:val="auto"/>
          <w:sz w:val="28"/>
          <w:szCs w:val="28"/>
          <w:highlight w:val="none"/>
        </w:rPr>
      </w:pPr>
    </w:p>
    <w:p w14:paraId="23DB1A56">
      <w:pPr>
        <w:snapToGrid w:val="0"/>
        <w:rPr>
          <w:rFonts w:hint="eastAsia" w:ascii="宋体" w:hAnsi="宋体"/>
          <w:color w:val="auto"/>
          <w:sz w:val="28"/>
          <w:szCs w:val="28"/>
          <w:highlight w:val="none"/>
        </w:rPr>
      </w:pPr>
    </w:p>
    <w:p w14:paraId="066A11FE">
      <w:pPr>
        <w:tabs>
          <w:tab w:val="left" w:pos="6693"/>
        </w:tabs>
        <w:snapToGrid w:val="0"/>
        <w:rPr>
          <w:rFonts w:hint="eastAsia" w:ascii="宋体" w:hAnsi="宋体"/>
          <w:color w:val="auto"/>
          <w:sz w:val="28"/>
          <w:szCs w:val="28"/>
          <w:highlight w:val="none"/>
        </w:rPr>
      </w:pPr>
      <w:r>
        <w:rPr>
          <w:rFonts w:hint="eastAsia" w:ascii="宋体" w:hAnsi="宋体"/>
          <w:color w:val="auto"/>
          <w:sz w:val="28"/>
          <w:szCs w:val="28"/>
          <w:highlight w:val="none"/>
        </w:rPr>
        <w:tab/>
      </w:r>
    </w:p>
    <w:p w14:paraId="66BA6F9D">
      <w:pPr>
        <w:snapToGrid w:val="0"/>
        <w:rPr>
          <w:rFonts w:hint="eastAsia" w:ascii="宋体" w:hAnsi="宋体"/>
          <w:color w:val="auto"/>
          <w:sz w:val="28"/>
          <w:szCs w:val="28"/>
          <w:highlight w:val="none"/>
        </w:rPr>
      </w:pPr>
    </w:p>
    <w:p w14:paraId="6C89148E">
      <w:pPr>
        <w:snapToGrid w:val="0"/>
        <w:rPr>
          <w:rFonts w:hint="eastAsia" w:ascii="宋体" w:hAnsi="宋体"/>
          <w:color w:val="auto"/>
          <w:sz w:val="28"/>
          <w:szCs w:val="28"/>
          <w:highlight w:val="none"/>
        </w:rPr>
      </w:pPr>
    </w:p>
    <w:p w14:paraId="53E54C45">
      <w:pPr>
        <w:snapToGrid w:val="0"/>
        <w:ind w:firstLine="3251" w:firstLineChars="739"/>
        <w:rPr>
          <w:rFonts w:hint="eastAsia" w:ascii="宋体" w:hAnsi="宋体"/>
          <w:color w:val="auto"/>
          <w:sz w:val="44"/>
          <w:szCs w:val="44"/>
          <w:highlight w:val="none"/>
        </w:rPr>
      </w:pPr>
      <w:r>
        <w:rPr>
          <w:rFonts w:hint="eastAsia" w:ascii="宋体" w:hAnsi="宋体"/>
          <w:color w:val="auto"/>
          <w:sz w:val="44"/>
          <w:szCs w:val="44"/>
          <w:highlight w:val="none"/>
        </w:rPr>
        <w:t>资格文件</w:t>
      </w:r>
    </w:p>
    <w:p w14:paraId="617AD6CE">
      <w:pPr>
        <w:snapToGrid w:val="0"/>
        <w:jc w:val="center"/>
        <w:rPr>
          <w:rFonts w:hint="eastAsia" w:ascii="宋体" w:hAnsi="宋体"/>
          <w:color w:val="auto"/>
          <w:sz w:val="44"/>
          <w:szCs w:val="44"/>
          <w:highlight w:val="none"/>
        </w:rPr>
      </w:pPr>
      <w:bookmarkStart w:id="56" w:name="_Toc357410801"/>
      <w:r>
        <w:rPr>
          <w:rFonts w:hint="eastAsia" w:ascii="宋体" w:hAnsi="宋体"/>
          <w:color w:val="auto"/>
          <w:sz w:val="44"/>
          <w:szCs w:val="44"/>
          <w:highlight w:val="none"/>
        </w:rPr>
        <w:t>（技术商务文件、报价文件）</w:t>
      </w:r>
      <w:bookmarkEnd w:id="56"/>
    </w:p>
    <w:p w14:paraId="339DA27C">
      <w:pPr>
        <w:snapToGrid w:val="0"/>
        <w:ind w:firstLine="1962" w:firstLineChars="698"/>
        <w:rPr>
          <w:rFonts w:hint="eastAsia" w:ascii="宋体" w:hAnsi="宋体"/>
          <w:b/>
          <w:color w:val="auto"/>
          <w:sz w:val="28"/>
          <w:szCs w:val="28"/>
          <w:highlight w:val="none"/>
        </w:rPr>
      </w:pPr>
    </w:p>
    <w:p w14:paraId="6ABD7635">
      <w:pPr>
        <w:snapToGrid w:val="0"/>
        <w:ind w:firstLine="1962" w:firstLineChars="698"/>
        <w:rPr>
          <w:rFonts w:hint="eastAsia" w:ascii="宋体" w:hAnsi="宋体"/>
          <w:b/>
          <w:color w:val="auto"/>
          <w:sz w:val="28"/>
          <w:szCs w:val="28"/>
          <w:highlight w:val="none"/>
        </w:rPr>
      </w:pPr>
    </w:p>
    <w:p w14:paraId="68C180A0">
      <w:pPr>
        <w:snapToGrid w:val="0"/>
        <w:ind w:firstLine="1962" w:firstLineChars="698"/>
        <w:rPr>
          <w:rFonts w:hint="eastAsia" w:ascii="宋体" w:hAnsi="宋体"/>
          <w:b/>
          <w:color w:val="auto"/>
          <w:sz w:val="28"/>
          <w:szCs w:val="28"/>
          <w:highlight w:val="none"/>
        </w:rPr>
      </w:pPr>
    </w:p>
    <w:p w14:paraId="020038B3">
      <w:pPr>
        <w:snapToGrid w:val="0"/>
        <w:ind w:firstLine="1962" w:firstLineChars="698"/>
        <w:rPr>
          <w:rFonts w:hint="eastAsia" w:ascii="宋体" w:hAnsi="宋体"/>
          <w:b/>
          <w:color w:val="auto"/>
          <w:sz w:val="28"/>
          <w:szCs w:val="28"/>
          <w:highlight w:val="none"/>
        </w:rPr>
      </w:pPr>
    </w:p>
    <w:p w14:paraId="1F4F289F">
      <w:pPr>
        <w:snapToGrid w:val="0"/>
        <w:ind w:firstLine="1962" w:firstLineChars="698"/>
        <w:rPr>
          <w:rFonts w:hint="eastAsia" w:ascii="宋体" w:hAnsi="宋体"/>
          <w:b/>
          <w:color w:val="auto"/>
          <w:sz w:val="28"/>
          <w:szCs w:val="28"/>
          <w:highlight w:val="none"/>
        </w:rPr>
      </w:pPr>
    </w:p>
    <w:p w14:paraId="06829E49">
      <w:pPr>
        <w:snapToGrid w:val="0"/>
        <w:ind w:firstLine="1962" w:firstLineChars="698"/>
        <w:rPr>
          <w:rFonts w:hint="eastAsia" w:ascii="宋体" w:hAnsi="宋体"/>
          <w:b/>
          <w:color w:val="auto"/>
          <w:sz w:val="28"/>
          <w:szCs w:val="28"/>
          <w:highlight w:val="none"/>
        </w:rPr>
      </w:pPr>
    </w:p>
    <w:p w14:paraId="5CABD0F0">
      <w:pPr>
        <w:snapToGrid w:val="0"/>
        <w:ind w:firstLine="1962" w:firstLineChars="698"/>
        <w:rPr>
          <w:rFonts w:hint="eastAsia" w:ascii="宋体" w:hAnsi="宋体"/>
          <w:b/>
          <w:color w:val="auto"/>
          <w:sz w:val="28"/>
          <w:szCs w:val="28"/>
          <w:highlight w:val="none"/>
        </w:rPr>
      </w:pPr>
    </w:p>
    <w:p w14:paraId="7C35DB35">
      <w:pPr>
        <w:snapToGrid w:val="0"/>
        <w:ind w:firstLine="1962" w:firstLineChars="698"/>
        <w:rPr>
          <w:rFonts w:hint="eastAsia" w:ascii="宋体" w:hAnsi="宋体"/>
          <w:b/>
          <w:color w:val="auto"/>
          <w:sz w:val="28"/>
          <w:szCs w:val="28"/>
          <w:highlight w:val="none"/>
        </w:rPr>
      </w:pPr>
    </w:p>
    <w:p w14:paraId="66F6F8E9">
      <w:pPr>
        <w:snapToGrid w:val="0"/>
        <w:rPr>
          <w:rFonts w:hint="eastAsia" w:ascii="宋体" w:hAnsi="宋体"/>
          <w:color w:val="auto"/>
          <w:sz w:val="28"/>
          <w:szCs w:val="28"/>
          <w:highlight w:val="none"/>
          <w:u w:val="single"/>
        </w:rPr>
      </w:pPr>
      <w:bookmarkStart w:id="57" w:name="_Toc357410802"/>
      <w:r>
        <w:rPr>
          <w:rFonts w:hint="eastAsia" w:ascii="宋体" w:hAnsi="宋体"/>
          <w:color w:val="auto"/>
          <w:sz w:val="28"/>
          <w:szCs w:val="28"/>
          <w:highlight w:val="none"/>
        </w:rPr>
        <w:t>项目名称：</w:t>
      </w:r>
      <w:bookmarkEnd w:id="57"/>
      <w:r>
        <w:rPr>
          <w:rFonts w:hint="eastAsia" w:ascii="宋体" w:hAnsi="宋体"/>
          <w:color w:val="auto"/>
          <w:sz w:val="28"/>
          <w:szCs w:val="28"/>
          <w:highlight w:val="none"/>
          <w:u w:val="single"/>
        </w:rPr>
        <w:t xml:space="preserve">                    </w:t>
      </w:r>
    </w:p>
    <w:p w14:paraId="3B16BD84">
      <w:pPr>
        <w:snapToGrid w:val="0"/>
        <w:rPr>
          <w:rFonts w:hint="eastAsia" w:ascii="宋体" w:hAnsi="宋体"/>
          <w:color w:val="auto"/>
          <w:sz w:val="28"/>
          <w:szCs w:val="28"/>
          <w:highlight w:val="none"/>
          <w:u w:val="single"/>
        </w:rPr>
      </w:pPr>
      <w:bookmarkStart w:id="58" w:name="_Toc357410803"/>
      <w:r>
        <w:rPr>
          <w:rFonts w:hint="eastAsia" w:ascii="宋体" w:hAnsi="宋体"/>
          <w:color w:val="auto"/>
          <w:sz w:val="28"/>
          <w:szCs w:val="28"/>
          <w:highlight w:val="none"/>
        </w:rPr>
        <w:t>项目编号：</w:t>
      </w:r>
      <w:bookmarkEnd w:id="58"/>
      <w:r>
        <w:rPr>
          <w:rFonts w:hint="eastAsia" w:ascii="宋体" w:hAnsi="宋体"/>
          <w:color w:val="auto"/>
          <w:sz w:val="28"/>
          <w:szCs w:val="28"/>
          <w:highlight w:val="none"/>
          <w:u w:val="single"/>
        </w:rPr>
        <w:t xml:space="preserve">                    </w:t>
      </w:r>
    </w:p>
    <w:p w14:paraId="09EB5346">
      <w:pPr>
        <w:snapToGrid w:val="0"/>
        <w:rPr>
          <w:rFonts w:hint="eastAsia" w:ascii="宋体" w:hAnsi="宋体"/>
          <w:color w:val="auto"/>
          <w:sz w:val="28"/>
          <w:szCs w:val="28"/>
          <w:highlight w:val="none"/>
        </w:rPr>
      </w:pPr>
      <w:bookmarkStart w:id="59" w:name="_Toc357410804"/>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（盖单位公章）</w:t>
      </w:r>
      <w:bookmarkEnd w:id="59"/>
    </w:p>
    <w:p w14:paraId="4F954160">
      <w:pPr>
        <w:snapToGrid w:val="0"/>
        <w:rPr>
          <w:rFonts w:hint="eastAsia" w:ascii="宋体" w:hAnsi="宋体"/>
          <w:color w:val="auto"/>
          <w:sz w:val="28"/>
          <w:szCs w:val="28"/>
          <w:highlight w:val="none"/>
        </w:rPr>
      </w:pPr>
      <w:bookmarkStart w:id="60" w:name="_Toc357410805"/>
      <w:r>
        <w:rPr>
          <w:rFonts w:hint="eastAsia" w:ascii="宋体" w:hAnsi="宋体"/>
          <w:color w:val="auto"/>
          <w:sz w:val="28"/>
          <w:szCs w:val="28"/>
          <w:highlight w:val="none"/>
        </w:rPr>
        <w:t>日期：</w:t>
      </w:r>
      <w:bookmarkEnd w:id="60"/>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日        </w:t>
      </w:r>
    </w:p>
    <w:p w14:paraId="3DF7BA03">
      <w:pPr>
        <w:bidi w:val="0"/>
        <w:jc w:val="center"/>
        <w:rPr>
          <w:rStyle w:val="86"/>
          <w:rFonts w:hint="eastAsia" w:ascii="宋体" w:hAnsi="宋体"/>
          <w:i w:val="0"/>
          <w:color w:val="auto"/>
          <w:sz w:val="24"/>
          <w:szCs w:val="24"/>
          <w:highlight w:val="none"/>
        </w:rPr>
      </w:pPr>
      <w:bookmarkStart w:id="61" w:name="_Toc359856821"/>
      <w:r>
        <w:rPr>
          <w:rFonts w:hint="eastAsia" w:ascii="宋体" w:hAnsi="宋体"/>
          <w:color w:val="auto"/>
          <w:sz w:val="28"/>
          <w:szCs w:val="28"/>
          <w:highlight w:val="none"/>
        </w:rPr>
        <w:br w:type="page"/>
      </w:r>
      <w:r>
        <w:rPr>
          <w:rStyle w:val="86"/>
          <w:rFonts w:hint="eastAsia" w:ascii="宋体" w:hAnsi="宋体"/>
          <w:i w:val="0"/>
          <w:color w:val="auto"/>
          <w:sz w:val="24"/>
          <w:szCs w:val="24"/>
          <w:highlight w:val="none"/>
        </w:rPr>
        <w:t>二、</w:t>
      </w:r>
      <w:bookmarkStart w:id="62" w:name="资格审查文件"/>
      <w:r>
        <w:rPr>
          <w:rStyle w:val="86"/>
          <w:rFonts w:hint="eastAsia" w:ascii="宋体" w:hAnsi="宋体"/>
          <w:i w:val="0"/>
          <w:color w:val="auto"/>
          <w:sz w:val="24"/>
          <w:szCs w:val="24"/>
          <w:highlight w:val="none"/>
        </w:rPr>
        <w:t>资格文件</w:t>
      </w:r>
      <w:bookmarkEnd w:id="61"/>
      <w:bookmarkEnd w:id="62"/>
      <w:r>
        <w:rPr>
          <w:rStyle w:val="86"/>
          <w:rFonts w:hint="eastAsia" w:ascii="宋体" w:hAnsi="宋体"/>
          <w:i w:val="0"/>
          <w:color w:val="auto"/>
          <w:sz w:val="24"/>
          <w:szCs w:val="24"/>
          <w:highlight w:val="none"/>
        </w:rPr>
        <w:t>参考格式</w:t>
      </w:r>
    </w:p>
    <w:p w14:paraId="0E692010">
      <w:pPr>
        <w:snapToGrid w:val="0"/>
        <w:jc w:val="center"/>
        <w:rPr>
          <w:rStyle w:val="86"/>
          <w:rFonts w:hint="eastAsia" w:ascii="宋体" w:hAnsi="宋体"/>
          <w:b w:val="0"/>
          <w:i w:val="0"/>
          <w:color w:val="auto"/>
          <w:sz w:val="24"/>
          <w:szCs w:val="24"/>
          <w:highlight w:val="none"/>
        </w:rPr>
      </w:pPr>
    </w:p>
    <w:p w14:paraId="4AD4710A">
      <w:pPr>
        <w:snapToGrid w:val="0"/>
        <w:jc w:val="center"/>
        <w:rPr>
          <w:rStyle w:val="86"/>
          <w:rFonts w:hint="eastAsia" w:ascii="宋体" w:hAnsi="宋体"/>
          <w:b w:val="0"/>
          <w:i w:val="0"/>
          <w:color w:val="auto"/>
          <w:sz w:val="24"/>
          <w:szCs w:val="24"/>
          <w:highlight w:val="none"/>
        </w:rPr>
      </w:pPr>
      <w:r>
        <w:rPr>
          <w:rStyle w:val="86"/>
          <w:rFonts w:hint="eastAsia" w:ascii="宋体" w:hAnsi="宋体"/>
          <w:b w:val="0"/>
          <w:i w:val="0"/>
          <w:color w:val="auto"/>
          <w:sz w:val="24"/>
          <w:szCs w:val="24"/>
          <w:highlight w:val="none"/>
        </w:rPr>
        <w:t>1 投标函</w:t>
      </w:r>
    </w:p>
    <w:p w14:paraId="6A10C5B4">
      <w:pPr>
        <w:snapToGrid w:val="0"/>
        <w:ind w:firstLine="3920"/>
        <w:rPr>
          <w:rFonts w:hint="eastAsia" w:ascii="宋体" w:hAnsi="宋体"/>
          <w:color w:val="auto"/>
          <w:highlight w:val="none"/>
        </w:rPr>
      </w:pPr>
    </w:p>
    <w:p w14:paraId="4E11FC91">
      <w:pPr>
        <w:snapToGrid w:val="0"/>
        <w:spacing w:line="360" w:lineRule="auto"/>
        <w:rPr>
          <w:rFonts w:hint="eastAsia" w:ascii="宋体" w:hAnsi="宋体"/>
          <w:color w:val="auto"/>
          <w:highlight w:val="none"/>
        </w:rPr>
      </w:pPr>
      <w:r>
        <w:rPr>
          <w:rFonts w:hint="eastAsia" w:ascii="宋体" w:hAnsi="宋体"/>
          <w:color w:val="auto"/>
          <w:highlight w:val="none"/>
        </w:rPr>
        <w:t xml:space="preserve">致： </w:t>
      </w:r>
      <w:r>
        <w:rPr>
          <w:rFonts w:hint="eastAsia" w:ascii="宋体" w:hAnsi="宋体"/>
          <w:color w:val="auto"/>
          <w:highlight w:val="none"/>
          <w:u w:val="single"/>
          <w:lang w:eastAsia="zh-CN"/>
        </w:rPr>
        <w:t>桐乡市人民法院</w:t>
      </w:r>
      <w:r>
        <w:rPr>
          <w:rFonts w:hint="eastAsia" w:ascii="宋体" w:hAnsi="宋体"/>
          <w:color w:val="auto"/>
          <w:highlight w:val="none"/>
        </w:rPr>
        <w:t>：</w:t>
      </w:r>
    </w:p>
    <w:p w14:paraId="6A316D02">
      <w:pPr>
        <w:snapToGrid w:val="0"/>
        <w:spacing w:line="360" w:lineRule="auto"/>
        <w:ind w:firstLine="480"/>
        <w:rPr>
          <w:rFonts w:hint="eastAsia" w:ascii="宋体" w:hAnsi="宋体"/>
          <w:color w:val="auto"/>
          <w:highlight w:val="none"/>
        </w:rPr>
      </w:pPr>
      <w:r>
        <w:rPr>
          <w:rFonts w:hint="eastAsia" w:ascii="宋体" w:hAnsi="宋体"/>
          <w:color w:val="auto"/>
          <w:highlight w:val="none"/>
        </w:rPr>
        <w:t>根据贵方</w:t>
      </w:r>
      <w:r>
        <w:rPr>
          <w:rFonts w:hint="eastAsia" w:ascii="宋体" w:hAnsi="宋体"/>
          <w:color w:val="auto"/>
          <w:highlight w:val="none"/>
          <w:u w:val="single"/>
        </w:rPr>
        <w:t xml:space="preserve">                                 </w:t>
      </w:r>
      <w:r>
        <w:rPr>
          <w:rFonts w:hint="eastAsia" w:ascii="宋体" w:hAnsi="宋体"/>
          <w:color w:val="auto"/>
          <w:highlight w:val="none"/>
        </w:rPr>
        <w:t>项目的招标公告（项目编号：</w:t>
      </w:r>
      <w:r>
        <w:rPr>
          <w:rFonts w:hint="eastAsia" w:ascii="宋体" w:hAnsi="宋体"/>
          <w:color w:val="auto"/>
          <w:highlight w:val="none"/>
          <w:u w:val="single"/>
        </w:rPr>
        <w:t xml:space="preserve">             </w:t>
      </w:r>
      <w:r>
        <w:rPr>
          <w:rFonts w:hint="eastAsia" w:ascii="宋体" w:hAnsi="宋体"/>
          <w:color w:val="auto"/>
          <w:highlight w:val="none"/>
        </w:rPr>
        <w:t xml:space="preserve">），本人经正式授权并代表投标人 </w:t>
      </w:r>
      <w:r>
        <w:rPr>
          <w:rFonts w:hint="eastAsia" w:ascii="宋体" w:hAnsi="宋体"/>
          <w:color w:val="auto"/>
          <w:highlight w:val="none"/>
          <w:u w:val="single"/>
        </w:rPr>
        <w:t xml:space="preserve">                          </w:t>
      </w:r>
      <w:r>
        <w:rPr>
          <w:rFonts w:hint="eastAsia" w:ascii="宋体" w:hAnsi="宋体"/>
          <w:color w:val="auto"/>
          <w:highlight w:val="none"/>
        </w:rPr>
        <w:t>（投标人名称）提交资格文件、技术商务文件、报价文件。</w:t>
      </w:r>
    </w:p>
    <w:p w14:paraId="250D210E">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据此函，签字代表宣布同意如下：</w:t>
      </w:r>
    </w:p>
    <w:p w14:paraId="6AE66804">
      <w:pPr>
        <w:pStyle w:val="32"/>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1.我方向贵方提交的投标文件、资料都是准确的和真实的。</w:t>
      </w:r>
    </w:p>
    <w:p w14:paraId="78C6475E">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2.我方已详细审查招标文件及其修改（如有），以及有关参考资料和附件，并已经了解我方对于招标文件、采购过程、采购结果有依法进行询问、质疑、投诉的权利及相关渠道和要求。</w:t>
      </w:r>
    </w:p>
    <w:p w14:paraId="01685D5E">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3. 我方在投标之前已经与贵方进行了沟通，完全理解并接受招标文件的各项规定和要求，对招标文件的合理性、合法性无异议。</w:t>
      </w:r>
    </w:p>
    <w:p w14:paraId="1C19C2A9">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 xml:space="preserve">4.本项目投标有效期自开标之日起 </w:t>
      </w:r>
      <w:r>
        <w:rPr>
          <w:rFonts w:hint="eastAsia" w:ascii="宋体" w:hAnsi="宋体"/>
          <w:color w:val="auto"/>
          <w:highlight w:val="none"/>
          <w:u w:val="single"/>
        </w:rPr>
        <w:t>90</w:t>
      </w:r>
      <w:r>
        <w:rPr>
          <w:rFonts w:hint="eastAsia" w:ascii="宋体" w:hAnsi="宋体"/>
          <w:color w:val="auto"/>
          <w:highlight w:val="none"/>
        </w:rPr>
        <w:t>日。</w:t>
      </w:r>
    </w:p>
    <w:p w14:paraId="5D7A9B4C">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5.如中标，我方将按招标文件、投标文件及政府采购法律、法规的规定履行合同责任和义务。</w:t>
      </w:r>
    </w:p>
    <w:p w14:paraId="167CA184">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6.我方同意按照贵方要求提供与投标有关的数据或资料。</w:t>
      </w:r>
    </w:p>
    <w:p w14:paraId="46F716DE">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7.</w:t>
      </w:r>
      <w:r>
        <w:rPr>
          <w:rFonts w:hint="eastAsia" w:ascii="宋体" w:hAnsi="宋体"/>
          <w:b/>
          <w:color w:val="auto"/>
          <w:highlight w:val="none"/>
        </w:rPr>
        <w:t>我方参与本项目前三年内的经营活动中没有重大违法记录。</w:t>
      </w:r>
    </w:p>
    <w:p w14:paraId="63589969">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8.与本项目投标有关的一切正式往来信函请寄：</w:t>
      </w:r>
    </w:p>
    <w:p w14:paraId="6F38E99F">
      <w:pPr>
        <w:snapToGrid w:val="0"/>
        <w:spacing w:line="360" w:lineRule="auto"/>
        <w:rPr>
          <w:rFonts w:hint="eastAsia"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p>
    <w:p w14:paraId="24D67ED8">
      <w:pPr>
        <w:snapToGrid w:val="0"/>
        <w:spacing w:line="360" w:lineRule="auto"/>
        <w:rPr>
          <w:rFonts w:hint="eastAsia" w:ascii="宋体" w:hAnsi="宋体"/>
          <w:color w:val="auto"/>
          <w:highlight w:val="none"/>
        </w:rPr>
      </w:pPr>
      <w:r>
        <w:rPr>
          <w:rFonts w:hint="eastAsia" w:ascii="宋体" w:hAnsi="宋体"/>
          <w:color w:val="auto"/>
          <w:highlight w:val="none"/>
        </w:rPr>
        <w:t>邮编：</w:t>
      </w:r>
      <w:r>
        <w:rPr>
          <w:rFonts w:hint="eastAsia" w:ascii="宋体" w:hAnsi="宋体"/>
          <w:color w:val="auto"/>
          <w:highlight w:val="none"/>
          <w:u w:val="single"/>
        </w:rPr>
        <w:t xml:space="preserve">             </w:t>
      </w:r>
    </w:p>
    <w:p w14:paraId="1A84D22F">
      <w:pPr>
        <w:snapToGrid w:val="0"/>
        <w:spacing w:line="360" w:lineRule="auto"/>
        <w:rPr>
          <w:rFonts w:hint="eastAsia" w:ascii="宋体" w:hAnsi="宋体"/>
          <w:color w:val="auto"/>
          <w:highlight w:val="none"/>
          <w:u w:val="single"/>
        </w:rPr>
      </w:pPr>
      <w:r>
        <w:rPr>
          <w:rFonts w:hint="eastAsia" w:ascii="宋体" w:hAnsi="宋体"/>
          <w:color w:val="auto"/>
          <w:highlight w:val="none"/>
        </w:rPr>
        <w:t>电话：</w:t>
      </w:r>
      <w:r>
        <w:rPr>
          <w:rFonts w:hint="eastAsia" w:ascii="宋体" w:hAnsi="宋体"/>
          <w:color w:val="auto"/>
          <w:highlight w:val="none"/>
          <w:u w:val="single"/>
        </w:rPr>
        <w:t xml:space="preserve">             </w:t>
      </w:r>
    </w:p>
    <w:p w14:paraId="0A29365C">
      <w:pPr>
        <w:snapToGrid w:val="0"/>
        <w:spacing w:line="360" w:lineRule="auto"/>
        <w:rPr>
          <w:rFonts w:hint="eastAsia" w:ascii="宋体" w:hAnsi="宋体"/>
          <w:color w:val="auto"/>
          <w:highlight w:val="none"/>
        </w:rPr>
      </w:pPr>
      <w:r>
        <w:rPr>
          <w:rFonts w:hint="eastAsia" w:ascii="宋体" w:hAnsi="宋体"/>
          <w:color w:val="auto"/>
          <w:highlight w:val="none"/>
        </w:rPr>
        <w:t>传真：</w:t>
      </w:r>
      <w:r>
        <w:rPr>
          <w:rFonts w:hint="eastAsia" w:ascii="宋体" w:hAnsi="宋体"/>
          <w:color w:val="auto"/>
          <w:highlight w:val="none"/>
          <w:u w:val="single"/>
        </w:rPr>
        <w:t xml:space="preserve">             </w:t>
      </w:r>
    </w:p>
    <w:p w14:paraId="20FF838C">
      <w:pPr>
        <w:snapToGrid w:val="0"/>
        <w:spacing w:line="360" w:lineRule="auto"/>
        <w:rPr>
          <w:rFonts w:hint="eastAsia" w:ascii="宋体" w:hAnsi="宋体"/>
          <w:color w:val="auto"/>
          <w:highlight w:val="none"/>
        </w:rPr>
      </w:pPr>
      <w:r>
        <w:rPr>
          <w:rFonts w:hint="eastAsia" w:ascii="宋体" w:hAnsi="宋体"/>
          <w:color w:val="auto"/>
          <w:highlight w:val="none"/>
        </w:rPr>
        <w:t>开户银行：</w:t>
      </w:r>
      <w:r>
        <w:rPr>
          <w:rFonts w:hint="eastAsia" w:ascii="宋体" w:hAnsi="宋体"/>
          <w:color w:val="auto"/>
          <w:highlight w:val="none"/>
          <w:u w:val="single"/>
        </w:rPr>
        <w:t xml:space="preserve">                    </w:t>
      </w:r>
    </w:p>
    <w:p w14:paraId="2EEA2F30">
      <w:pPr>
        <w:snapToGrid w:val="0"/>
        <w:spacing w:line="360" w:lineRule="auto"/>
        <w:rPr>
          <w:rFonts w:hint="eastAsia" w:ascii="宋体" w:hAnsi="宋体"/>
          <w:color w:val="auto"/>
          <w:highlight w:val="none"/>
        </w:rPr>
      </w:pPr>
      <w:r>
        <w:rPr>
          <w:rFonts w:hint="eastAsia" w:ascii="宋体" w:hAnsi="宋体"/>
          <w:color w:val="auto"/>
          <w:highlight w:val="none"/>
        </w:rPr>
        <w:t>银行帐号：</w:t>
      </w:r>
      <w:r>
        <w:rPr>
          <w:rFonts w:hint="eastAsia" w:ascii="宋体" w:hAnsi="宋体"/>
          <w:color w:val="auto"/>
          <w:highlight w:val="none"/>
          <w:u w:val="single"/>
        </w:rPr>
        <w:t xml:space="preserve">                    </w:t>
      </w:r>
    </w:p>
    <w:p w14:paraId="3A838F23">
      <w:pPr>
        <w:snapToGrid w:val="0"/>
        <w:spacing w:line="360" w:lineRule="auto"/>
        <w:rPr>
          <w:rFonts w:hint="eastAsia" w:ascii="宋体" w:hAnsi="宋体"/>
          <w:color w:val="auto"/>
          <w:highlight w:val="none"/>
        </w:rPr>
      </w:pPr>
    </w:p>
    <w:p w14:paraId="74B46CE3">
      <w:pPr>
        <w:snapToGrid w:val="0"/>
        <w:spacing w:line="360" w:lineRule="auto"/>
        <w:rPr>
          <w:rFonts w:hint="eastAsia" w:ascii="宋体" w:hAnsi="宋体"/>
          <w:color w:val="auto"/>
          <w:highlight w:val="none"/>
        </w:rPr>
      </w:pPr>
    </w:p>
    <w:p w14:paraId="3FB6660E">
      <w:pPr>
        <w:snapToGrid w:val="0"/>
        <w:spacing w:line="360" w:lineRule="auto"/>
        <w:rPr>
          <w:rFonts w:hint="eastAsia" w:ascii="宋体" w:hAnsi="宋体"/>
          <w:color w:val="auto"/>
          <w:highlight w:val="none"/>
        </w:rPr>
      </w:pPr>
      <w:r>
        <w:rPr>
          <w:rFonts w:hint="eastAsia" w:ascii="宋体" w:hAnsi="宋体"/>
          <w:color w:val="auto"/>
          <w:highlight w:val="none"/>
        </w:rPr>
        <w:t>投标人（盖章）：</w:t>
      </w:r>
    </w:p>
    <w:p w14:paraId="6677EC72">
      <w:pPr>
        <w:snapToGrid w:val="0"/>
        <w:spacing w:line="360" w:lineRule="auto"/>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1D55B0D">
      <w:pPr>
        <w:snapToGrid w:val="0"/>
        <w:ind w:firstLine="480" w:firstLineChars="200"/>
        <w:rPr>
          <w:rFonts w:hint="eastAsia" w:ascii="宋体" w:hAnsi="宋体"/>
          <w:color w:val="auto"/>
          <w:highlight w:val="none"/>
        </w:rPr>
        <w:sectPr>
          <w:pgSz w:w="11906" w:h="16838"/>
          <w:pgMar w:top="1389" w:right="1247" w:bottom="1389" w:left="1247" w:header="851" w:footer="992" w:gutter="0"/>
          <w:cols w:space="720" w:num="1"/>
          <w:docGrid w:linePitch="312" w:charSpace="0"/>
        </w:sectPr>
      </w:pPr>
    </w:p>
    <w:p w14:paraId="2D9B605F">
      <w:pPr>
        <w:snapToGrid w:val="0"/>
        <w:jc w:val="center"/>
        <w:rPr>
          <w:rFonts w:hint="eastAsia" w:ascii="宋体" w:hAnsi="宋体"/>
          <w:b/>
          <w:color w:val="auto"/>
          <w:highlight w:val="none"/>
        </w:rPr>
      </w:pPr>
      <w:r>
        <w:rPr>
          <w:rFonts w:hint="eastAsia" w:ascii="宋体" w:hAnsi="宋体"/>
          <w:b/>
          <w:color w:val="auto"/>
          <w:highlight w:val="none"/>
        </w:rPr>
        <w:t>2 法定代表人（负责人）授权书</w:t>
      </w:r>
    </w:p>
    <w:p w14:paraId="33A11EE2">
      <w:pPr>
        <w:snapToGrid w:val="0"/>
        <w:jc w:val="center"/>
        <w:rPr>
          <w:rFonts w:hint="eastAsia" w:ascii="宋体" w:hAnsi="宋体"/>
          <w:color w:val="auto"/>
          <w:highlight w:val="none"/>
        </w:rPr>
      </w:pPr>
    </w:p>
    <w:p w14:paraId="4DD632F4">
      <w:pPr>
        <w:snapToGrid w:val="0"/>
        <w:spacing w:line="360" w:lineRule="auto"/>
        <w:rPr>
          <w:rFonts w:ascii="宋体" w:hAnsi="宋体"/>
          <w:b/>
          <w:bCs/>
          <w:color w:val="auto"/>
          <w:highlight w:val="none"/>
        </w:rPr>
      </w:pPr>
      <w:r>
        <w:rPr>
          <w:rFonts w:hint="eastAsia" w:ascii="宋体" w:hAnsi="宋体"/>
          <w:bCs/>
          <w:color w:val="auto"/>
          <w:highlight w:val="none"/>
        </w:rPr>
        <w:t>致</w:t>
      </w:r>
      <w:r>
        <w:rPr>
          <w:rFonts w:hint="eastAsia" w:ascii="宋体" w:hAnsi="宋体"/>
          <w:color w:val="auto"/>
          <w:highlight w:val="none"/>
          <w:u w:val="single"/>
          <w:lang w:eastAsia="zh-CN"/>
        </w:rPr>
        <w:t>桐乡市人民法院</w:t>
      </w:r>
      <w:r>
        <w:rPr>
          <w:rFonts w:hint="eastAsia" w:ascii="宋体" w:hAnsi="宋体"/>
          <w:color w:val="auto"/>
          <w:highlight w:val="none"/>
        </w:rPr>
        <w:t>：</w:t>
      </w:r>
    </w:p>
    <w:p w14:paraId="088A4B2F">
      <w:pPr>
        <w:snapToGrid w:val="0"/>
        <w:spacing w:line="360" w:lineRule="auto"/>
        <w:ind w:firstLine="720" w:firstLineChars="300"/>
        <w:rPr>
          <w:rFonts w:ascii="宋体" w:hAnsi="宋体"/>
          <w:color w:val="auto"/>
          <w:highlight w:val="none"/>
        </w:rPr>
      </w:pPr>
      <w:r>
        <w:rPr>
          <w:rFonts w:hint="eastAsia" w:ascii="宋体" w:hAnsi="宋体"/>
          <w:color w:val="auto"/>
          <w:highlight w:val="none"/>
        </w:rPr>
        <w:t>我</w:t>
      </w:r>
      <w:r>
        <w:rPr>
          <w:rFonts w:hint="eastAsia" w:ascii="宋体" w:hAnsi="宋体"/>
          <w:color w:val="auto"/>
          <w:highlight w:val="none"/>
          <w:u w:val="single"/>
        </w:rPr>
        <w:t xml:space="preserve">         </w:t>
      </w:r>
      <w:r>
        <w:rPr>
          <w:rFonts w:hint="eastAsia" w:ascii="宋体" w:hAnsi="宋体"/>
          <w:color w:val="auto"/>
          <w:highlight w:val="none"/>
        </w:rPr>
        <w:t>（姓名）系</w:t>
      </w:r>
      <w:r>
        <w:rPr>
          <w:rFonts w:hint="eastAsia" w:ascii="宋体" w:hAnsi="宋体"/>
          <w:color w:val="auto"/>
          <w:highlight w:val="none"/>
          <w:u w:val="single"/>
        </w:rPr>
        <w:t xml:space="preserve">                       </w:t>
      </w:r>
      <w:r>
        <w:rPr>
          <w:rFonts w:hint="eastAsia" w:ascii="宋体" w:hAnsi="宋体"/>
          <w:color w:val="auto"/>
          <w:highlight w:val="none"/>
        </w:rPr>
        <w:t>（供应商名称）的法定代表人，现授权委托</w:t>
      </w:r>
      <w:r>
        <w:rPr>
          <w:rFonts w:hint="eastAsia" w:ascii="宋体" w:hAnsi="宋体"/>
          <w:color w:val="auto"/>
          <w:highlight w:val="none"/>
          <w:u w:val="single"/>
        </w:rPr>
        <w:t xml:space="preserve">         </w:t>
      </w:r>
      <w:r>
        <w:rPr>
          <w:rFonts w:hint="eastAsia" w:ascii="宋体" w:hAnsi="宋体"/>
          <w:color w:val="auto"/>
          <w:highlight w:val="none"/>
        </w:rPr>
        <w:t>（姓名）以我方的名义参加</w:t>
      </w:r>
      <w:r>
        <w:rPr>
          <w:rFonts w:hint="eastAsia" w:ascii="宋体" w:hAnsi="宋体"/>
          <w:color w:val="auto"/>
          <w:highlight w:val="none"/>
          <w:u w:val="single"/>
        </w:rPr>
        <w:t xml:space="preserve">          （项目名称）</w:t>
      </w:r>
      <w:r>
        <w:rPr>
          <w:rFonts w:hint="eastAsia" w:ascii="宋体" w:hAnsi="宋体"/>
          <w:color w:val="auto"/>
          <w:highlight w:val="none"/>
        </w:rPr>
        <w:t>，</w:t>
      </w:r>
      <w:r>
        <w:rPr>
          <w:rFonts w:hint="eastAsia" w:ascii="宋体" w:hAnsi="宋体"/>
          <w:color w:val="auto"/>
          <w:highlight w:val="none"/>
          <w:u w:val="single"/>
        </w:rPr>
        <w:t xml:space="preserve">          （项目编号）</w:t>
      </w:r>
      <w:r>
        <w:rPr>
          <w:rFonts w:hint="eastAsia" w:ascii="宋体" w:hAnsi="宋体"/>
          <w:color w:val="auto"/>
          <w:highlight w:val="none"/>
        </w:rPr>
        <w:t>的采购活动，并代表我方全权办理针对上述项目的开标、评标、签约等相关具体事务和签署相关文件。</w:t>
      </w:r>
    </w:p>
    <w:p w14:paraId="57355D20">
      <w:pPr>
        <w:snapToGrid w:val="0"/>
        <w:spacing w:line="360" w:lineRule="auto"/>
        <w:rPr>
          <w:rFonts w:ascii="宋体" w:hAnsi="宋体"/>
          <w:color w:val="auto"/>
          <w:highlight w:val="none"/>
        </w:rPr>
      </w:pPr>
      <w:r>
        <w:rPr>
          <w:rFonts w:hint="eastAsia" w:ascii="宋体" w:hAnsi="宋体"/>
          <w:color w:val="auto"/>
          <w:highlight w:val="none"/>
        </w:rPr>
        <w:t xml:space="preserve">    我方对被授权人的签字事项负全部责任。</w:t>
      </w:r>
    </w:p>
    <w:p w14:paraId="7FC7DF74">
      <w:pPr>
        <w:snapToGrid w:val="0"/>
        <w:spacing w:line="360" w:lineRule="auto"/>
        <w:ind w:firstLine="480"/>
        <w:rPr>
          <w:rFonts w:ascii="宋体" w:hAnsi="宋体"/>
          <w:color w:val="auto"/>
          <w:highlight w:val="none"/>
        </w:rPr>
      </w:pPr>
      <w:r>
        <w:rPr>
          <w:rFonts w:hint="eastAsia" w:ascii="宋体" w:hAnsi="宋体"/>
          <w:color w:val="auto"/>
          <w:highlight w:val="none"/>
          <w:u w:val="single"/>
        </w:rPr>
        <w:t>在撤销授权的书面通知以前，本授权书一直有效。</w:t>
      </w:r>
      <w:r>
        <w:rPr>
          <w:rFonts w:hint="eastAsia" w:ascii="宋体" w:hAnsi="宋体"/>
          <w:color w:val="auto"/>
          <w:highlight w:val="none"/>
        </w:rPr>
        <w:t>被授权人在授权书有效期内签署的所有文件不因授权的撤销而失效。</w:t>
      </w:r>
    </w:p>
    <w:p w14:paraId="4822648F">
      <w:pPr>
        <w:snapToGrid w:val="0"/>
        <w:spacing w:line="360" w:lineRule="auto"/>
        <w:ind w:firstLine="480"/>
        <w:rPr>
          <w:rFonts w:ascii="宋体" w:hAnsi="宋体"/>
          <w:color w:val="auto"/>
          <w:highlight w:val="none"/>
        </w:rPr>
      </w:pPr>
      <w:r>
        <w:rPr>
          <w:rFonts w:hint="eastAsia" w:ascii="宋体" w:hAnsi="宋体"/>
          <w:color w:val="auto"/>
          <w:highlight w:val="none"/>
        </w:rPr>
        <w:t>被授权人无转委托权，特此委托。</w:t>
      </w:r>
    </w:p>
    <w:p w14:paraId="2A95DC9A">
      <w:pPr>
        <w:snapToGrid w:val="0"/>
        <w:spacing w:line="360" w:lineRule="auto"/>
        <w:rPr>
          <w:rFonts w:hint="eastAsia" w:ascii="宋体" w:hAnsi="宋体"/>
          <w:color w:val="auto"/>
          <w:highlight w:val="none"/>
        </w:rPr>
      </w:pPr>
    </w:p>
    <w:p w14:paraId="5ED719D7">
      <w:pPr>
        <w:snapToGrid w:val="0"/>
        <w:spacing w:line="360" w:lineRule="auto"/>
        <w:rPr>
          <w:rFonts w:ascii="宋体" w:hAnsi="宋体"/>
          <w:color w:val="auto"/>
          <w:highlight w:val="none"/>
        </w:rPr>
      </w:pPr>
      <w:r>
        <w:rPr>
          <w:rFonts w:hint="eastAsia" w:ascii="宋体" w:hAnsi="宋体"/>
          <w:color w:val="auto"/>
          <w:highlight w:val="none"/>
        </w:rPr>
        <w:t>投标人公章：</w:t>
      </w:r>
    </w:p>
    <w:p w14:paraId="62167CF4">
      <w:pPr>
        <w:snapToGrid w:val="0"/>
        <w:spacing w:line="360" w:lineRule="auto"/>
        <w:rPr>
          <w:rFonts w:ascii="宋体" w:hAnsi="宋体"/>
          <w:color w:val="auto"/>
          <w:highlight w:val="none"/>
        </w:rPr>
      </w:pPr>
    </w:p>
    <w:p w14:paraId="4794E35C">
      <w:pPr>
        <w:snapToGrid w:val="0"/>
        <w:spacing w:line="360" w:lineRule="auto"/>
        <w:rPr>
          <w:rFonts w:ascii="宋体" w:hAnsi="宋体"/>
          <w:color w:val="auto"/>
          <w:highlight w:val="none"/>
          <w:u w:val="single"/>
        </w:rPr>
      </w:pPr>
      <w:r>
        <w:rPr>
          <w:rFonts w:hint="eastAsia" w:ascii="宋体" w:hAnsi="宋体"/>
          <w:color w:val="auto"/>
          <w:highlight w:val="none"/>
        </w:rPr>
        <w:t>法定代表人</w:t>
      </w:r>
      <w:r>
        <w:rPr>
          <w:rFonts w:hint="eastAsia" w:ascii="宋体" w:hAnsi="宋体"/>
          <w:b/>
          <w:color w:val="auto"/>
          <w:highlight w:val="none"/>
        </w:rPr>
        <w:t>签字或盖章</w:t>
      </w:r>
      <w:r>
        <w:rPr>
          <w:rFonts w:hint="eastAsia" w:ascii="宋体" w:hAnsi="宋体"/>
          <w:color w:val="auto"/>
          <w:highlight w:val="none"/>
        </w:rPr>
        <w:t>：</w:t>
      </w:r>
      <w:r>
        <w:rPr>
          <w:rFonts w:hint="eastAsia" w:ascii="宋体" w:hAnsi="宋体"/>
          <w:color w:val="auto"/>
          <w:highlight w:val="none"/>
          <w:u w:val="single"/>
        </w:rPr>
        <w:t xml:space="preserve">               </w:t>
      </w:r>
    </w:p>
    <w:p w14:paraId="39E5A477">
      <w:pPr>
        <w:snapToGrid w:val="0"/>
        <w:spacing w:line="360" w:lineRule="auto"/>
        <w:rPr>
          <w:rFonts w:ascii="宋体" w:hAnsi="宋体"/>
          <w:color w:val="auto"/>
          <w:highlight w:val="none"/>
          <w:u w:val="single"/>
        </w:rPr>
      </w:pPr>
    </w:p>
    <w:p w14:paraId="20B3E962">
      <w:pPr>
        <w:snapToGrid w:val="0"/>
        <w:spacing w:line="360" w:lineRule="auto"/>
        <w:rPr>
          <w:rFonts w:ascii="宋体" w:hAnsi="宋体"/>
          <w:color w:val="auto"/>
          <w:highlight w:val="none"/>
        </w:rPr>
      </w:pPr>
      <w:r>
        <w:rPr>
          <w:rFonts w:hint="eastAsia" w:ascii="宋体" w:hAnsi="宋体"/>
          <w:color w:val="auto"/>
          <w:highlight w:val="none"/>
        </w:rPr>
        <w:t xml:space="preserve">附：法定代表人身份证（正反面）      </w:t>
      </w:r>
    </w:p>
    <w:p w14:paraId="06944EB4">
      <w:pPr>
        <w:snapToGrid w:val="0"/>
        <w:spacing w:line="360" w:lineRule="auto"/>
        <w:rPr>
          <w:rFonts w:hint="eastAsia" w:ascii="宋体" w:hAnsi="宋体"/>
          <w:color w:val="auto"/>
          <w:highlight w:val="none"/>
        </w:rPr>
      </w:pPr>
    </w:p>
    <w:p w14:paraId="7C1C554D">
      <w:pPr>
        <w:snapToGrid w:val="0"/>
        <w:spacing w:line="360" w:lineRule="auto"/>
        <w:rPr>
          <w:rFonts w:hint="eastAsia" w:ascii="宋体" w:hAnsi="宋体"/>
          <w:color w:val="auto"/>
          <w:highlight w:val="none"/>
        </w:rPr>
      </w:pPr>
    </w:p>
    <w:p w14:paraId="21009E0A">
      <w:pPr>
        <w:snapToGrid w:val="0"/>
        <w:spacing w:line="360" w:lineRule="auto"/>
        <w:rPr>
          <w:rFonts w:ascii="宋体" w:hAnsi="宋体"/>
          <w:color w:val="auto"/>
          <w:highlight w:val="none"/>
        </w:rPr>
      </w:pPr>
      <w:r>
        <w:rPr>
          <w:rFonts w:hint="eastAsia" w:ascii="宋体" w:hAnsi="宋体"/>
          <w:color w:val="auto"/>
          <w:highlight w:val="none"/>
        </w:rPr>
        <w:t>被授权人(代表)姓名：</w:t>
      </w:r>
      <w:r>
        <w:rPr>
          <w:rFonts w:hint="eastAsia" w:ascii="宋体" w:hAnsi="宋体"/>
          <w:color w:val="auto"/>
          <w:highlight w:val="none"/>
          <w:u w:val="single"/>
        </w:rPr>
        <w:t xml:space="preserve">                </w:t>
      </w:r>
    </w:p>
    <w:p w14:paraId="638F40A0">
      <w:pPr>
        <w:snapToGrid w:val="0"/>
        <w:spacing w:line="360" w:lineRule="auto"/>
        <w:rPr>
          <w:rFonts w:hint="eastAsia" w:ascii="宋体" w:hAnsi="宋体"/>
          <w:color w:val="auto"/>
          <w:highlight w:val="none"/>
        </w:rPr>
      </w:pPr>
    </w:p>
    <w:p w14:paraId="5202622C">
      <w:pPr>
        <w:snapToGrid w:val="0"/>
        <w:spacing w:line="360" w:lineRule="auto"/>
        <w:rPr>
          <w:rFonts w:ascii="宋体" w:hAnsi="宋体"/>
          <w:color w:val="auto"/>
          <w:highlight w:val="none"/>
        </w:rPr>
      </w:pPr>
      <w:r>
        <w:rPr>
          <w:rFonts w:hint="eastAsia" w:ascii="宋体" w:hAnsi="宋体"/>
          <w:color w:val="auto"/>
          <w:highlight w:val="none"/>
        </w:rPr>
        <w:t>职务：</w:t>
      </w:r>
      <w:r>
        <w:rPr>
          <w:rFonts w:hint="eastAsia" w:ascii="宋体" w:hAnsi="宋体"/>
          <w:color w:val="auto"/>
          <w:highlight w:val="none"/>
          <w:u w:val="single"/>
        </w:rPr>
        <w:t xml:space="preserve">                        </w:t>
      </w:r>
    </w:p>
    <w:p w14:paraId="3A0CC0AB">
      <w:pPr>
        <w:snapToGrid w:val="0"/>
        <w:spacing w:line="360" w:lineRule="auto"/>
        <w:rPr>
          <w:rFonts w:hint="eastAsia" w:ascii="宋体" w:hAnsi="宋体"/>
          <w:color w:val="auto"/>
          <w:highlight w:val="none"/>
        </w:rPr>
      </w:pPr>
    </w:p>
    <w:p w14:paraId="31D11FEA">
      <w:pPr>
        <w:snapToGrid w:val="0"/>
        <w:spacing w:line="360" w:lineRule="auto"/>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p>
    <w:p w14:paraId="3E655682">
      <w:pPr>
        <w:snapToGrid w:val="0"/>
        <w:spacing w:line="360" w:lineRule="auto"/>
        <w:rPr>
          <w:rFonts w:hint="eastAsia" w:ascii="宋体" w:hAnsi="宋体"/>
          <w:color w:val="auto"/>
          <w:highlight w:val="none"/>
        </w:rPr>
      </w:pPr>
    </w:p>
    <w:p w14:paraId="26A34974">
      <w:pPr>
        <w:snapToGrid w:val="0"/>
        <w:spacing w:line="360" w:lineRule="auto"/>
        <w:rPr>
          <w:rFonts w:ascii="宋体" w:hAnsi="宋体"/>
          <w:color w:val="auto"/>
          <w:highlight w:val="none"/>
        </w:rPr>
      </w:pPr>
      <w:r>
        <w:rPr>
          <w:rFonts w:hint="eastAsia" w:ascii="宋体" w:hAnsi="宋体"/>
          <w:color w:val="auto"/>
          <w:highlight w:val="none"/>
        </w:rPr>
        <w:t>附：被授权人身份证（正反面）</w:t>
      </w:r>
    </w:p>
    <w:p w14:paraId="50EC045E">
      <w:pPr>
        <w:snapToGrid w:val="0"/>
        <w:spacing w:line="360" w:lineRule="auto"/>
        <w:rPr>
          <w:rFonts w:ascii="宋体" w:hAnsi="宋体"/>
          <w:color w:val="auto"/>
          <w:highlight w:val="none"/>
        </w:rPr>
      </w:pPr>
    </w:p>
    <w:p w14:paraId="255FD28A">
      <w:pPr>
        <w:snapToGrid w:val="0"/>
        <w:spacing w:line="360" w:lineRule="auto"/>
        <w:rPr>
          <w:rFonts w:ascii="宋体" w:hAnsi="宋体"/>
          <w:color w:val="auto"/>
          <w:highlight w:val="none"/>
        </w:rPr>
      </w:pPr>
    </w:p>
    <w:p w14:paraId="7FC259D7">
      <w:pPr>
        <w:snapToGrid w:val="0"/>
        <w:spacing w:line="360" w:lineRule="auto"/>
        <w:jc w:val="right"/>
        <w:rPr>
          <w:rFonts w:ascii="宋体" w:hAnsi="宋体"/>
          <w:color w:val="auto"/>
          <w:highlight w:val="none"/>
        </w:rPr>
      </w:pPr>
      <w:r>
        <w:rPr>
          <w:rFonts w:hint="eastAsia" w:ascii="宋体" w:hAnsi="宋体"/>
          <w:color w:val="auto"/>
          <w:highlight w:val="none"/>
        </w:rPr>
        <w:t xml:space="preserve">                                        年    月    日</w:t>
      </w:r>
    </w:p>
    <w:p w14:paraId="19FB9D2A">
      <w:pPr>
        <w:snapToGrid w:val="0"/>
        <w:jc w:val="both"/>
        <w:rPr>
          <w:rFonts w:hint="eastAsia" w:ascii="宋体" w:hAnsi="宋体"/>
          <w:color w:val="auto"/>
          <w:highlight w:val="none"/>
        </w:rPr>
      </w:pPr>
      <w:r>
        <w:rPr>
          <w:rFonts w:hint="eastAsia" w:ascii="宋体" w:hAnsi="宋体"/>
          <w:color w:val="auto"/>
          <w:highlight w:val="none"/>
        </w:rPr>
        <w:br w:type="page"/>
      </w:r>
      <w:bookmarkStart w:id="63" w:name="_Toc359856824"/>
      <w:bookmarkStart w:id="64" w:name="_Toc350256317"/>
      <w:bookmarkStart w:id="65" w:name="_Toc316887628"/>
      <w:bookmarkStart w:id="66" w:name="_Toc322352986"/>
      <w:bookmarkStart w:id="67" w:name="_Toc354401539"/>
    </w:p>
    <w:p w14:paraId="66A7EF96">
      <w:pPr>
        <w:snapToGrid w:val="0"/>
        <w:ind w:right="480"/>
        <w:jc w:val="center"/>
        <w:rPr>
          <w:rFonts w:hint="eastAsia" w:ascii="宋体" w:hAnsi="宋体" w:cs="仿宋_GB2312"/>
          <w:color w:val="auto"/>
          <w:sz w:val="24"/>
          <w:szCs w:val="24"/>
          <w:highlight w:val="none"/>
        </w:rPr>
      </w:pPr>
      <w:r>
        <w:rPr>
          <w:rFonts w:hint="eastAsia" w:ascii="宋体" w:hAnsi="宋体"/>
          <w:bCs/>
          <w:color w:val="auto"/>
          <w:sz w:val="24"/>
          <w:szCs w:val="24"/>
          <w:highlight w:val="none"/>
          <w:lang w:val="en-US" w:eastAsia="zh-CN"/>
        </w:rPr>
        <w:t>3、</w:t>
      </w:r>
      <w:r>
        <w:rPr>
          <w:rFonts w:ascii="宋体" w:hAnsi="宋体" w:cs="仿宋_GB2312"/>
          <w:color w:val="auto"/>
          <w:sz w:val="24"/>
          <w:szCs w:val="24"/>
          <w:highlight w:val="none"/>
        </w:rPr>
        <w:t>符合参加政府采购活动应当具备的一般条件的承诺函</w:t>
      </w:r>
    </w:p>
    <w:p w14:paraId="15A5A52A">
      <w:pPr>
        <w:snapToGrid w:val="0"/>
        <w:ind w:right="480"/>
        <w:jc w:val="center"/>
        <w:rPr>
          <w:rFonts w:hint="eastAsia" w:ascii="宋体" w:hAnsi="宋体" w:eastAsia="宋体" w:cs="宋体"/>
          <w:b/>
          <w:color w:val="auto"/>
          <w:sz w:val="24"/>
          <w:szCs w:val="24"/>
          <w:highlight w:val="none"/>
        </w:rPr>
      </w:pPr>
    </w:p>
    <w:p w14:paraId="0A956AA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olor w:val="auto"/>
          <w:highlight w:val="none"/>
          <w:u w:val="single"/>
          <w:lang w:eastAsia="zh-CN"/>
        </w:rPr>
        <w:t>桐乡市人民法院</w:t>
      </w:r>
      <w:r>
        <w:rPr>
          <w:rFonts w:hint="eastAsia" w:ascii="宋体" w:hAnsi="宋体" w:eastAsia="宋体" w:cs="宋体"/>
          <w:color w:val="auto"/>
          <w:sz w:val="24"/>
          <w:szCs w:val="24"/>
          <w:highlight w:val="none"/>
        </w:rPr>
        <w:t>：</w:t>
      </w:r>
    </w:p>
    <w:p w14:paraId="2598EC68">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）政府采购活动，郑重承诺：</w:t>
      </w:r>
    </w:p>
    <w:p w14:paraId="03012D35">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1A2EA65A">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F7043B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55B57FA9">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B3C7F8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BCE027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3CE8D3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D0995B0">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5D7DD9E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2879C5B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0619CCA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23AA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hint="eastAsia" w:ascii="宋体" w:hAnsi="宋体" w:eastAsia="宋体" w:cs="宋体"/>
          <w:color w:val="auto"/>
          <w:sz w:val="24"/>
          <w:szCs w:val="24"/>
          <w:highlight w:val="none"/>
        </w:rPr>
      </w:pPr>
    </w:p>
    <w:p w14:paraId="4EA2E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hint="eastAsia" w:ascii="宋体" w:hAnsi="宋体" w:eastAsia="宋体" w:cs="宋体"/>
          <w:color w:val="auto"/>
          <w:sz w:val="24"/>
          <w:szCs w:val="24"/>
          <w:highlight w:val="none"/>
        </w:rPr>
      </w:pPr>
    </w:p>
    <w:p w14:paraId="44F37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rPr>
          <w:rFonts w:hint="eastAsia" w:ascii="宋体" w:hAnsi="宋体" w:eastAsia="宋体" w:cs="宋体"/>
          <w:color w:val="auto"/>
          <w:sz w:val="24"/>
          <w:szCs w:val="24"/>
          <w:highlight w:val="none"/>
        </w:rPr>
      </w:pPr>
    </w:p>
    <w:p w14:paraId="3494A9C0">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投标人（盖章）：</w:t>
      </w:r>
    </w:p>
    <w:p w14:paraId="2AF32044">
      <w:pPr>
        <w:snapToGrid w:val="0"/>
        <w:rPr>
          <w:rFonts w:hint="eastAsia" w:ascii="宋体" w:hAnsi="宋体" w:eastAsia="宋体" w:cs="宋体"/>
          <w:color w:val="auto"/>
          <w:sz w:val="24"/>
          <w:szCs w:val="24"/>
          <w:highlight w:val="none"/>
        </w:rPr>
      </w:pPr>
    </w:p>
    <w:p w14:paraId="2CA41293">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DDE0B8">
      <w:pPr>
        <w:snapToGrid w:val="0"/>
        <w:jc w:val="center"/>
        <w:rPr>
          <w:rFonts w:hint="eastAsia" w:ascii="宋体" w:hAnsi="宋体"/>
          <w:color w:val="auto"/>
          <w:highlight w:val="none"/>
        </w:rPr>
      </w:pPr>
    </w:p>
    <w:p w14:paraId="6CB630B4">
      <w:pPr>
        <w:snapToGrid w:val="0"/>
        <w:jc w:val="center"/>
        <w:rPr>
          <w:rFonts w:hint="eastAsia" w:ascii="宋体" w:hAnsi="宋体"/>
          <w:color w:val="auto"/>
          <w:highlight w:val="none"/>
        </w:rPr>
      </w:pPr>
    </w:p>
    <w:p w14:paraId="667F6E75">
      <w:pPr>
        <w:snapToGrid w:val="0"/>
        <w:jc w:val="center"/>
        <w:rPr>
          <w:rFonts w:hint="eastAsia" w:ascii="宋体" w:hAnsi="宋体"/>
          <w:color w:val="auto"/>
          <w:highlight w:val="none"/>
        </w:rPr>
      </w:pPr>
    </w:p>
    <w:p w14:paraId="0458441D">
      <w:pPr>
        <w:snapToGrid w:val="0"/>
        <w:jc w:val="center"/>
        <w:rPr>
          <w:rFonts w:hint="eastAsia" w:ascii="宋体" w:hAnsi="宋体"/>
          <w:color w:val="auto"/>
          <w:highlight w:val="none"/>
        </w:rPr>
      </w:pPr>
    </w:p>
    <w:p w14:paraId="6801681D">
      <w:pPr>
        <w:snapToGrid w:val="0"/>
        <w:jc w:val="center"/>
        <w:rPr>
          <w:rFonts w:hint="eastAsia" w:ascii="宋体" w:hAnsi="宋体"/>
          <w:color w:val="auto"/>
          <w:highlight w:val="none"/>
        </w:rPr>
      </w:pPr>
    </w:p>
    <w:p w14:paraId="2750C9A2">
      <w:pPr>
        <w:snapToGrid w:val="0"/>
        <w:jc w:val="center"/>
        <w:rPr>
          <w:rFonts w:hint="eastAsia" w:ascii="宋体" w:hAnsi="宋体"/>
          <w:color w:val="auto"/>
          <w:highlight w:val="none"/>
        </w:rPr>
      </w:pPr>
    </w:p>
    <w:p w14:paraId="72FF95E2">
      <w:pPr>
        <w:snapToGrid w:val="0"/>
        <w:jc w:val="center"/>
        <w:rPr>
          <w:rFonts w:hint="eastAsia" w:ascii="宋体" w:hAnsi="宋体"/>
          <w:color w:val="auto"/>
          <w:highlight w:val="none"/>
        </w:rPr>
      </w:pPr>
    </w:p>
    <w:p w14:paraId="29C39121">
      <w:pPr>
        <w:snapToGrid w:val="0"/>
        <w:jc w:val="center"/>
        <w:rPr>
          <w:rFonts w:hint="eastAsia" w:ascii="宋体" w:hAnsi="宋体"/>
          <w:color w:val="auto"/>
          <w:highlight w:val="none"/>
        </w:rPr>
      </w:pPr>
    </w:p>
    <w:p w14:paraId="4114668B">
      <w:pPr>
        <w:snapToGrid w:val="0"/>
        <w:jc w:val="center"/>
        <w:rPr>
          <w:rFonts w:hint="eastAsia" w:ascii="宋体" w:hAnsi="宋体"/>
          <w:color w:val="auto"/>
          <w:sz w:val="28"/>
          <w:szCs w:val="28"/>
          <w:highlight w:val="none"/>
        </w:rPr>
      </w:pPr>
      <w:r>
        <w:rPr>
          <w:rFonts w:hint="eastAsia" w:ascii="宋体" w:hAnsi="宋体"/>
          <w:color w:val="auto"/>
          <w:highlight w:val="none"/>
          <w:lang w:val="en-US" w:eastAsia="zh-CN"/>
        </w:rPr>
        <w:t>4</w:t>
      </w:r>
      <w:r>
        <w:rPr>
          <w:rFonts w:hint="eastAsia" w:ascii="宋体" w:hAnsi="宋体"/>
          <w:color w:val="auto"/>
          <w:highlight w:val="none"/>
        </w:rPr>
        <w:t>、</w:t>
      </w:r>
      <w:r>
        <w:rPr>
          <w:rFonts w:hint="eastAsia" w:ascii="宋体" w:hAnsi="宋体"/>
          <w:color w:val="auto"/>
          <w:sz w:val="28"/>
          <w:szCs w:val="28"/>
          <w:highlight w:val="none"/>
        </w:rPr>
        <w:t>中小企业声明函（货物）</w:t>
      </w:r>
    </w:p>
    <w:p w14:paraId="2F82F8D2">
      <w:pPr>
        <w:rPr>
          <w:rFonts w:hint="eastAsia"/>
          <w:color w:val="auto"/>
          <w:highlight w:val="none"/>
        </w:rPr>
      </w:pPr>
    </w:p>
    <w:p w14:paraId="13560C54">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lang w:bidi="ar"/>
        </w:rPr>
        <w:t>本公司（联合体）郑重声明，根据《政府采购促进中小企业发展管理办法》（财库﹝2020﹞46 号）的规定，本公司 （联合体）参加</w:t>
      </w:r>
      <w:r>
        <w:rPr>
          <w:rFonts w:hint="eastAsia" w:ascii="宋体" w:hAnsi="宋体" w:cs="宋体"/>
          <w:color w:val="auto"/>
          <w:highlight w:val="none"/>
          <w:u w:val="single"/>
          <w:lang w:bidi="ar"/>
        </w:rPr>
        <w:t>（单位名称）</w:t>
      </w:r>
      <w:r>
        <w:rPr>
          <w:rFonts w:hint="eastAsia" w:ascii="宋体" w:hAnsi="宋体" w:cs="宋体"/>
          <w:color w:val="auto"/>
          <w:highlight w:val="none"/>
          <w:lang w:bidi="ar"/>
        </w:rPr>
        <w:t>的</w:t>
      </w:r>
      <w:r>
        <w:rPr>
          <w:rFonts w:hint="eastAsia" w:ascii="宋体" w:hAnsi="宋体" w:cs="宋体"/>
          <w:color w:val="auto"/>
          <w:highlight w:val="none"/>
          <w:u w:val="single"/>
          <w:lang w:bidi="ar"/>
        </w:rPr>
        <w:t>（项目名称）</w:t>
      </w:r>
      <w:r>
        <w:rPr>
          <w:rFonts w:hint="eastAsia" w:ascii="宋体" w:hAnsi="宋体" w:cs="宋体"/>
          <w:color w:val="auto"/>
          <w:highlight w:val="none"/>
          <w:lang w:bidi="ar"/>
        </w:rPr>
        <w:t xml:space="preserve">采购活动，提供的货物全部由符合政策要求的中小企业制造。相关企业（含联合体中的中小企业、签订分包意向协议的中小企业） 的具体情况如下： </w:t>
      </w:r>
    </w:p>
    <w:p w14:paraId="4D44E9EB">
      <w:pPr>
        <w:spacing w:line="440" w:lineRule="exact"/>
        <w:rPr>
          <w:rFonts w:hint="eastAsia" w:ascii="宋体" w:hAnsi="宋体" w:cs="宋体"/>
          <w:color w:val="auto"/>
          <w:highlight w:val="none"/>
        </w:rPr>
      </w:pPr>
      <w:r>
        <w:rPr>
          <w:rFonts w:hint="eastAsia" w:ascii="宋体" w:hAnsi="宋体" w:cs="宋体"/>
          <w:color w:val="auto"/>
          <w:highlight w:val="none"/>
          <w:lang w:bidi="ar"/>
        </w:rPr>
        <w:t>1.</w:t>
      </w:r>
      <w:r>
        <w:rPr>
          <w:rFonts w:hint="eastAsia" w:ascii="宋体" w:hAnsi="宋体" w:cs="宋体"/>
          <w:color w:val="auto"/>
          <w:highlight w:val="none"/>
          <w:u w:val="single"/>
          <w:lang w:bidi="ar"/>
        </w:rPr>
        <w:t xml:space="preserve"> （标的名称） </w:t>
      </w:r>
      <w:r>
        <w:rPr>
          <w:rFonts w:hint="eastAsia" w:ascii="宋体" w:hAnsi="宋体" w:cs="宋体"/>
          <w:color w:val="auto"/>
          <w:highlight w:val="none"/>
          <w:lang w:bidi="ar"/>
        </w:rPr>
        <w:t>，属于</w:t>
      </w:r>
      <w:r>
        <w:rPr>
          <w:rFonts w:hint="eastAsia" w:ascii="宋体" w:hAnsi="宋体" w:cs="宋体"/>
          <w:color w:val="auto"/>
          <w:highlight w:val="none"/>
          <w:u w:val="single"/>
          <w:lang w:bidi="ar"/>
        </w:rPr>
        <w:t xml:space="preserve">（采购文件中明确的所属行业） </w:t>
      </w:r>
      <w:r>
        <w:rPr>
          <w:rFonts w:hint="eastAsia" w:ascii="宋体" w:hAnsi="宋体" w:cs="宋体"/>
          <w:color w:val="auto"/>
          <w:highlight w:val="none"/>
          <w:lang w:bidi="ar"/>
        </w:rPr>
        <w:t>行业；制造商为</w:t>
      </w:r>
      <w:r>
        <w:rPr>
          <w:rFonts w:hint="eastAsia" w:ascii="宋体" w:hAnsi="宋体" w:cs="宋体"/>
          <w:color w:val="auto"/>
          <w:highlight w:val="none"/>
          <w:u w:val="single"/>
          <w:lang w:bidi="ar"/>
        </w:rPr>
        <w:t>（企业名称）</w:t>
      </w:r>
      <w:r>
        <w:rPr>
          <w:rFonts w:hint="eastAsia" w:ascii="宋体" w:hAnsi="宋体" w:cs="宋体"/>
          <w:color w:val="auto"/>
          <w:highlight w:val="none"/>
          <w:lang w:bidi="ar"/>
        </w:rPr>
        <w:t>，从业人员</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人，营业收入为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万元，资产总额为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万元，属于</w:t>
      </w:r>
      <w:r>
        <w:rPr>
          <w:rFonts w:hint="eastAsia" w:ascii="宋体" w:hAnsi="宋体" w:cs="宋体"/>
          <w:color w:val="auto"/>
          <w:highlight w:val="none"/>
          <w:u w:val="single"/>
          <w:lang w:bidi="ar"/>
        </w:rPr>
        <w:t>（中型企业、小 型企业、微型企业）</w:t>
      </w:r>
      <w:r>
        <w:rPr>
          <w:rFonts w:hint="eastAsia" w:ascii="宋体" w:hAnsi="宋体" w:cs="宋体"/>
          <w:color w:val="auto"/>
          <w:highlight w:val="none"/>
          <w:lang w:bidi="ar"/>
        </w:rPr>
        <w:t xml:space="preserve">； </w:t>
      </w:r>
    </w:p>
    <w:p w14:paraId="4C5A37D1">
      <w:pPr>
        <w:spacing w:line="440" w:lineRule="exact"/>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ascii="宋体" w:hAnsi="宋体" w:cs="宋体"/>
          <w:color w:val="auto"/>
          <w:highlight w:val="none"/>
          <w:u w:val="single"/>
          <w:lang w:bidi="ar"/>
        </w:rPr>
        <w:t xml:space="preserve">（标的名称） </w:t>
      </w:r>
      <w:r>
        <w:rPr>
          <w:rFonts w:hint="eastAsia" w:ascii="宋体" w:hAnsi="宋体" w:cs="宋体"/>
          <w:color w:val="auto"/>
          <w:highlight w:val="none"/>
          <w:lang w:bidi="ar"/>
        </w:rPr>
        <w:t>，属于</w:t>
      </w:r>
      <w:r>
        <w:rPr>
          <w:rFonts w:hint="eastAsia" w:ascii="宋体" w:hAnsi="宋体" w:cs="宋体"/>
          <w:color w:val="auto"/>
          <w:highlight w:val="none"/>
          <w:u w:val="single"/>
          <w:lang w:bidi="ar"/>
        </w:rPr>
        <w:t>（采购文件中明确的所属行业）</w:t>
      </w:r>
      <w:r>
        <w:rPr>
          <w:rFonts w:hint="eastAsia" w:ascii="宋体" w:hAnsi="宋体" w:cs="宋体"/>
          <w:color w:val="auto"/>
          <w:highlight w:val="none"/>
          <w:lang w:bidi="ar"/>
        </w:rPr>
        <w:t>行业；制造商为</w:t>
      </w:r>
      <w:r>
        <w:rPr>
          <w:rFonts w:hint="eastAsia" w:ascii="宋体" w:hAnsi="宋体" w:cs="宋体"/>
          <w:color w:val="auto"/>
          <w:highlight w:val="none"/>
          <w:u w:val="single"/>
          <w:lang w:bidi="ar"/>
        </w:rPr>
        <w:t>（企业名称）</w:t>
      </w:r>
      <w:r>
        <w:rPr>
          <w:rFonts w:hint="eastAsia" w:ascii="宋体" w:hAnsi="宋体" w:cs="宋体"/>
          <w:color w:val="auto"/>
          <w:highlight w:val="none"/>
          <w:lang w:bidi="ar"/>
        </w:rPr>
        <w:t>，从业人员</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人，营业收入为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万元，资产总额为</w:t>
      </w:r>
      <w:r>
        <w:rPr>
          <w:rFonts w:hint="eastAsia" w:ascii="宋体" w:hAnsi="宋体" w:cs="宋体"/>
          <w:color w:val="auto"/>
          <w:highlight w:val="none"/>
          <w:u w:val="single"/>
          <w:lang w:bidi="ar"/>
        </w:rPr>
        <w:t xml:space="preserve">   </w:t>
      </w:r>
      <w:r>
        <w:rPr>
          <w:rFonts w:hint="eastAsia" w:ascii="宋体" w:hAnsi="宋体" w:cs="宋体"/>
          <w:color w:val="auto"/>
          <w:highlight w:val="none"/>
          <w:lang w:bidi="ar"/>
        </w:rPr>
        <w:t>万元，属于</w:t>
      </w:r>
      <w:r>
        <w:rPr>
          <w:rFonts w:hint="eastAsia" w:ascii="宋体" w:hAnsi="宋体" w:cs="宋体"/>
          <w:color w:val="auto"/>
          <w:highlight w:val="none"/>
          <w:u w:val="single"/>
          <w:lang w:bidi="ar"/>
        </w:rPr>
        <w:t>（中型企业、小型企业、微型企业）</w:t>
      </w:r>
      <w:r>
        <w:rPr>
          <w:rFonts w:hint="eastAsia" w:ascii="宋体" w:hAnsi="宋体" w:cs="宋体"/>
          <w:color w:val="auto"/>
          <w:highlight w:val="none"/>
          <w:lang w:bidi="ar"/>
        </w:rPr>
        <w:t xml:space="preserve">； </w:t>
      </w:r>
    </w:p>
    <w:p w14:paraId="0F6AFE2C">
      <w:pPr>
        <w:spacing w:line="440" w:lineRule="exact"/>
        <w:rPr>
          <w:rFonts w:hint="eastAsia" w:ascii="宋体" w:hAnsi="宋体" w:cs="宋体"/>
          <w:color w:val="auto"/>
          <w:highlight w:val="none"/>
        </w:rPr>
      </w:pPr>
      <w:r>
        <w:rPr>
          <w:rFonts w:hint="eastAsia" w:ascii="宋体" w:hAnsi="宋体" w:cs="宋体"/>
          <w:color w:val="auto"/>
          <w:highlight w:val="none"/>
          <w:lang w:bidi="ar"/>
        </w:rPr>
        <w:t>……</w:t>
      </w:r>
    </w:p>
    <w:p w14:paraId="25AEFF08">
      <w:pPr>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lang w:bidi="ar"/>
        </w:rPr>
        <w:t>以上企业，不属于大企业的分支机构，不存在控股股东为大企业的情形，也不存在与大企业的负责人为同一人的情形。</w:t>
      </w:r>
    </w:p>
    <w:p w14:paraId="5F6FB3F8">
      <w:pPr>
        <w:spacing w:line="440" w:lineRule="exact"/>
        <w:rPr>
          <w:rFonts w:hint="eastAsia" w:ascii="宋体" w:hAnsi="宋体" w:cs="宋体"/>
          <w:color w:val="auto"/>
          <w:highlight w:val="none"/>
        </w:rPr>
      </w:pPr>
      <w:r>
        <w:rPr>
          <w:rFonts w:hint="eastAsia" w:ascii="宋体" w:hAnsi="宋体" w:cs="宋体"/>
          <w:color w:val="auto"/>
          <w:highlight w:val="none"/>
          <w:lang w:bidi="ar"/>
        </w:rPr>
        <w:t xml:space="preserve">本企业对上述声明内容的真实性负责。如有虚假，将依法承担相应责任。 </w:t>
      </w:r>
    </w:p>
    <w:p w14:paraId="72B2240C">
      <w:pPr>
        <w:spacing w:line="440" w:lineRule="exact"/>
        <w:ind w:firstLine="480" w:firstLineChars="200"/>
        <w:rPr>
          <w:rFonts w:hint="eastAsia" w:ascii="宋体" w:hAnsi="宋体" w:cs="宋体"/>
          <w:color w:val="auto"/>
          <w:highlight w:val="none"/>
          <w:lang w:bidi="ar"/>
        </w:rPr>
      </w:pPr>
    </w:p>
    <w:p w14:paraId="4487DA4C">
      <w:pPr>
        <w:spacing w:line="440" w:lineRule="exact"/>
        <w:ind w:firstLine="3840" w:firstLineChars="1600"/>
        <w:jc w:val="both"/>
        <w:rPr>
          <w:rFonts w:hint="eastAsia" w:ascii="宋体" w:hAnsi="宋体" w:cs="宋体"/>
          <w:color w:val="auto"/>
          <w:highlight w:val="none"/>
          <w:lang w:bidi="ar"/>
        </w:rPr>
      </w:pPr>
      <w:r>
        <w:rPr>
          <w:rFonts w:hint="eastAsia" w:ascii="宋体" w:hAnsi="宋体" w:cs="宋体"/>
          <w:color w:val="auto"/>
          <w:highlight w:val="none"/>
          <w:lang w:bidi="ar"/>
        </w:rPr>
        <w:t xml:space="preserve">企业名称（盖章）： </w:t>
      </w:r>
    </w:p>
    <w:p w14:paraId="5849D5A4">
      <w:pPr>
        <w:spacing w:line="440" w:lineRule="exact"/>
        <w:ind w:firstLine="5040" w:firstLineChars="2100"/>
        <w:jc w:val="both"/>
        <w:rPr>
          <w:rFonts w:hint="eastAsia" w:ascii="宋体" w:hAnsi="宋体" w:cs="宋体"/>
          <w:color w:val="auto"/>
          <w:highlight w:val="none"/>
          <w:lang w:bidi="ar"/>
        </w:rPr>
      </w:pPr>
      <w:r>
        <w:rPr>
          <w:rFonts w:hint="eastAsia" w:ascii="宋体" w:hAnsi="宋体" w:cs="宋体"/>
          <w:color w:val="auto"/>
          <w:highlight w:val="none"/>
          <w:lang w:bidi="ar"/>
        </w:rPr>
        <w:t xml:space="preserve"> 日 期： </w:t>
      </w:r>
    </w:p>
    <w:p w14:paraId="4B150F65">
      <w:pPr>
        <w:spacing w:line="440" w:lineRule="exact"/>
        <w:ind w:firstLine="5040" w:firstLineChars="2100"/>
        <w:jc w:val="both"/>
        <w:rPr>
          <w:rFonts w:hint="eastAsia" w:ascii="宋体" w:hAnsi="宋体" w:cs="宋体"/>
          <w:color w:val="auto"/>
          <w:highlight w:val="none"/>
          <w:lang w:bidi="ar"/>
        </w:rPr>
      </w:pPr>
    </w:p>
    <w:p w14:paraId="2CD07C1B">
      <w:pPr>
        <w:spacing w:line="440" w:lineRule="exact"/>
        <w:ind w:firstLine="5040" w:firstLineChars="2100"/>
        <w:jc w:val="both"/>
        <w:rPr>
          <w:rFonts w:hint="eastAsia" w:ascii="宋体" w:hAnsi="宋体" w:cs="宋体"/>
          <w:color w:val="auto"/>
          <w:highlight w:val="none"/>
          <w:lang w:bidi="ar"/>
        </w:rPr>
      </w:pPr>
    </w:p>
    <w:p w14:paraId="4AE4EFEF">
      <w:pPr>
        <w:pStyle w:val="261"/>
        <w:snapToGrid w:val="0"/>
        <w:spacing w:line="240" w:lineRule="auto"/>
        <w:ind w:firstLine="0" w:firstLineChars="0"/>
        <w:rPr>
          <w:rFonts w:hint="eastAsia" w:ascii="宋体" w:eastAsia="宋体" w:cs="宋体"/>
          <w:color w:val="auto"/>
          <w:sz w:val="24"/>
          <w:szCs w:val="24"/>
          <w:highlight w:val="none"/>
          <w:lang w:bidi="ar"/>
        </w:rPr>
      </w:pPr>
      <w:r>
        <w:rPr>
          <w:rFonts w:hint="eastAsia" w:ascii="宋体" w:eastAsia="宋体" w:cs="宋体"/>
          <w:color w:val="auto"/>
          <w:sz w:val="24"/>
          <w:szCs w:val="24"/>
          <w:highlight w:val="none"/>
          <w:lang w:bidi="ar"/>
        </w:rPr>
        <w:t>1从业人员、营业收入、资产总额填报上一年度数据，无上一年度数据的新成立企业可不填报。</w:t>
      </w:r>
    </w:p>
    <w:p w14:paraId="774A6C90">
      <w:pPr>
        <w:pStyle w:val="261"/>
        <w:snapToGrid w:val="0"/>
        <w:spacing w:line="360" w:lineRule="auto"/>
        <w:ind w:firstLine="0" w:firstLineChars="0"/>
        <w:rPr>
          <w:rFonts w:hint="eastAsia" w:ascii="宋体" w:eastAsia="宋体" w:cs="宋体"/>
          <w:color w:val="auto"/>
          <w:sz w:val="24"/>
          <w:szCs w:val="24"/>
          <w:highlight w:val="none"/>
          <w:u w:val="single"/>
          <w:lang w:bidi="ar"/>
        </w:rPr>
      </w:pPr>
      <w:r>
        <w:rPr>
          <w:rFonts w:hint="eastAsia" w:ascii="宋体" w:eastAsia="宋体" w:cs="宋体"/>
          <w:color w:val="auto"/>
          <w:sz w:val="24"/>
          <w:szCs w:val="24"/>
          <w:highlight w:val="none"/>
          <w:lang w:bidi="ar"/>
        </w:rPr>
        <w:t>2本项目对应的中小企业划分标准所属行业为：</w:t>
      </w:r>
      <w:r>
        <w:rPr>
          <w:rFonts w:hint="eastAsia" w:ascii="宋体" w:eastAsia="宋体" w:cs="宋体"/>
          <w:color w:val="auto"/>
          <w:sz w:val="24"/>
          <w:szCs w:val="24"/>
          <w:highlight w:val="none"/>
          <w:u w:val="single"/>
          <w:lang w:bidi="ar"/>
        </w:rPr>
        <w:t>制造业。</w:t>
      </w:r>
    </w:p>
    <w:p w14:paraId="392A999E">
      <w:pPr>
        <w:pStyle w:val="261"/>
        <w:snapToGrid w:val="0"/>
        <w:spacing w:line="360" w:lineRule="auto"/>
        <w:ind w:firstLine="0" w:firstLineChars="0"/>
        <w:rPr>
          <w:rFonts w:hint="eastAsia" w:ascii="宋体" w:eastAsia="宋体" w:cs="宋体"/>
          <w:color w:val="auto"/>
          <w:sz w:val="24"/>
          <w:szCs w:val="24"/>
          <w:highlight w:val="none"/>
          <w:lang w:eastAsia="zh-CN" w:bidi="ar"/>
        </w:rPr>
      </w:pPr>
      <w:r>
        <w:rPr>
          <w:rFonts w:hint="eastAsia" w:ascii="宋体" w:eastAsia="宋体" w:cs="宋体"/>
          <w:color w:val="auto"/>
          <w:sz w:val="24"/>
          <w:szCs w:val="24"/>
          <w:highlight w:val="none"/>
          <w:lang w:val="en-US" w:eastAsia="zh-CN" w:bidi="ar"/>
        </w:rPr>
        <w:t>工业（制造业）</w:t>
      </w:r>
      <w:r>
        <w:rPr>
          <w:rFonts w:hint="eastAsia" w:ascii="宋体" w:eastAsia="宋体" w:cs="宋体"/>
          <w:color w:val="auto"/>
          <w:sz w:val="24"/>
          <w:szCs w:val="24"/>
          <w:highlight w:val="none"/>
          <w:lang w:bidi="ar"/>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eastAsia="宋体" w:cs="宋体"/>
          <w:color w:val="auto"/>
          <w:sz w:val="24"/>
          <w:szCs w:val="24"/>
          <w:highlight w:val="none"/>
          <w:lang w:eastAsia="zh-CN" w:bidi="ar"/>
        </w:rPr>
        <w:t>。</w:t>
      </w:r>
    </w:p>
    <w:p w14:paraId="65B159D0">
      <w:pPr>
        <w:pStyle w:val="261"/>
        <w:snapToGrid w:val="0"/>
        <w:spacing w:line="240" w:lineRule="auto"/>
        <w:ind w:firstLine="0" w:firstLineChars="0"/>
        <w:rPr>
          <w:rFonts w:hint="eastAsia" w:ascii="宋体" w:eastAsia="宋体"/>
          <w:b/>
          <w:bCs/>
          <w:color w:val="auto"/>
          <w:sz w:val="24"/>
          <w:szCs w:val="24"/>
          <w:highlight w:val="none"/>
        </w:rPr>
      </w:pPr>
    </w:p>
    <w:p w14:paraId="3383B863">
      <w:pPr>
        <w:pStyle w:val="261"/>
        <w:snapToGrid w:val="0"/>
        <w:spacing w:line="240" w:lineRule="auto"/>
        <w:ind w:firstLine="0" w:firstLineChars="0"/>
        <w:rPr>
          <w:rFonts w:hint="eastAsia" w:ascii="宋体" w:eastAsia="宋体"/>
          <w:b/>
          <w:bCs/>
          <w:color w:val="auto"/>
          <w:sz w:val="24"/>
          <w:szCs w:val="24"/>
          <w:highlight w:val="none"/>
        </w:rPr>
      </w:pPr>
    </w:p>
    <w:p w14:paraId="44FDF269">
      <w:pPr>
        <w:pStyle w:val="261"/>
        <w:snapToGrid w:val="0"/>
        <w:spacing w:line="240" w:lineRule="auto"/>
        <w:ind w:firstLine="0" w:firstLineChars="0"/>
        <w:rPr>
          <w:rFonts w:hint="eastAsia" w:ascii="宋体" w:eastAsia="宋体"/>
          <w:b/>
          <w:bCs/>
          <w:color w:val="auto"/>
          <w:sz w:val="24"/>
          <w:szCs w:val="24"/>
          <w:highlight w:val="none"/>
        </w:rPr>
      </w:pPr>
    </w:p>
    <w:p w14:paraId="49DDE022">
      <w:pPr>
        <w:pStyle w:val="261"/>
        <w:snapToGrid w:val="0"/>
        <w:spacing w:line="240" w:lineRule="auto"/>
        <w:ind w:firstLine="0" w:firstLineChars="0"/>
        <w:rPr>
          <w:rFonts w:hint="eastAsia" w:ascii="宋体" w:eastAsia="宋体"/>
          <w:b/>
          <w:bCs/>
          <w:color w:val="auto"/>
          <w:sz w:val="24"/>
          <w:szCs w:val="24"/>
          <w:highlight w:val="none"/>
        </w:rPr>
      </w:pPr>
    </w:p>
    <w:p w14:paraId="2FC0DF77">
      <w:pPr>
        <w:pStyle w:val="261"/>
        <w:snapToGrid w:val="0"/>
        <w:spacing w:line="240" w:lineRule="auto"/>
        <w:ind w:firstLine="0" w:firstLineChars="0"/>
        <w:rPr>
          <w:rFonts w:hint="eastAsia" w:ascii="宋体" w:eastAsia="宋体"/>
          <w:b/>
          <w:bCs/>
          <w:color w:val="auto"/>
          <w:sz w:val="24"/>
          <w:szCs w:val="24"/>
          <w:highlight w:val="none"/>
        </w:rPr>
      </w:pPr>
    </w:p>
    <w:p w14:paraId="4ED5F3EB">
      <w:pPr>
        <w:pStyle w:val="261"/>
        <w:snapToGrid w:val="0"/>
        <w:spacing w:line="240" w:lineRule="auto"/>
        <w:ind w:firstLine="0" w:firstLineChars="0"/>
        <w:rPr>
          <w:rFonts w:hint="eastAsia" w:ascii="宋体" w:eastAsia="宋体"/>
          <w:b/>
          <w:bCs/>
          <w:color w:val="auto"/>
          <w:sz w:val="24"/>
          <w:szCs w:val="24"/>
          <w:highlight w:val="none"/>
        </w:rPr>
      </w:pPr>
    </w:p>
    <w:p w14:paraId="2B4E4556">
      <w:pPr>
        <w:snapToGrid w:val="0"/>
        <w:jc w:val="cente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、监狱和戒毒企业证明材料</w:t>
      </w:r>
    </w:p>
    <w:p w14:paraId="526928AC">
      <w:pPr>
        <w:pStyle w:val="380"/>
        <w:snapToGrid w:val="0"/>
        <w:jc w:val="center"/>
        <w:rPr>
          <w:rFonts w:hint="eastAsia" w:ascii="宋体" w:hAnsi="宋体"/>
          <w:b/>
          <w:color w:val="auto"/>
          <w:sz w:val="24"/>
          <w:highlight w:val="none"/>
          <w:lang w:val="en-GB"/>
        </w:rPr>
      </w:pPr>
    </w:p>
    <w:p w14:paraId="4F0144BB">
      <w:pPr>
        <w:snapToGrid w:val="0"/>
        <w:ind w:firstLine="480" w:firstLineChars="200"/>
        <w:rPr>
          <w:rFonts w:hint="eastAsia" w:ascii="宋体" w:hAnsi="宋体"/>
          <w:color w:val="auto"/>
          <w:highlight w:val="none"/>
        </w:rPr>
      </w:pPr>
      <w:r>
        <w:rPr>
          <w:rFonts w:hint="eastAsia" w:ascii="宋体" w:hAnsi="宋体"/>
          <w:color w:val="auto"/>
          <w:highlight w:val="none"/>
        </w:rPr>
        <w:t>监狱和戒毒企业参加投标时应提供由省级以上监狱管理局、戒毒管理局（含新疆生产建设兵团）出具的属于监狱企业的证明文件。</w:t>
      </w:r>
    </w:p>
    <w:p w14:paraId="3F140BE9">
      <w:pPr>
        <w:snapToGrid w:val="0"/>
        <w:ind w:firstLine="480" w:firstLineChars="200"/>
        <w:rPr>
          <w:rFonts w:hint="eastAsia" w:ascii="宋体" w:hAnsi="宋体"/>
          <w:color w:val="auto"/>
          <w:highlight w:val="none"/>
        </w:rPr>
      </w:pPr>
    </w:p>
    <w:p w14:paraId="64E48657">
      <w:pPr>
        <w:snapToGrid w:val="0"/>
        <w:ind w:firstLine="480" w:firstLineChars="200"/>
        <w:rPr>
          <w:rFonts w:hint="eastAsia" w:ascii="宋体" w:hAnsi="宋体"/>
          <w:color w:val="auto"/>
          <w:highlight w:val="none"/>
        </w:rPr>
      </w:pPr>
    </w:p>
    <w:p w14:paraId="3DE9A8A5">
      <w:pPr>
        <w:snapToGrid w:val="0"/>
        <w:ind w:firstLine="480" w:firstLineChars="200"/>
        <w:rPr>
          <w:rFonts w:hint="eastAsia" w:ascii="宋体" w:hAnsi="宋体"/>
          <w:color w:val="auto"/>
          <w:highlight w:val="none"/>
        </w:rPr>
      </w:pPr>
    </w:p>
    <w:p w14:paraId="6A4F9D6F">
      <w:pPr>
        <w:snapToGrid w:val="0"/>
        <w:ind w:firstLine="480" w:firstLineChars="200"/>
        <w:rPr>
          <w:rFonts w:hint="eastAsia" w:ascii="宋体" w:hAnsi="宋体"/>
          <w:color w:val="auto"/>
          <w:highlight w:val="none"/>
        </w:rPr>
      </w:pPr>
    </w:p>
    <w:p w14:paraId="692943C4">
      <w:pPr>
        <w:snapToGrid w:val="0"/>
        <w:ind w:firstLine="480" w:firstLineChars="200"/>
        <w:rPr>
          <w:rFonts w:hint="eastAsia" w:ascii="宋体" w:hAnsi="宋体"/>
          <w:color w:val="auto"/>
          <w:highlight w:val="none"/>
        </w:rPr>
      </w:pPr>
    </w:p>
    <w:p w14:paraId="09BA8E76">
      <w:pPr>
        <w:snapToGrid w:val="0"/>
        <w:ind w:firstLine="480" w:firstLineChars="200"/>
        <w:rPr>
          <w:rFonts w:hint="eastAsia" w:ascii="宋体" w:hAnsi="宋体"/>
          <w:color w:val="auto"/>
          <w:highlight w:val="none"/>
        </w:rPr>
      </w:pPr>
    </w:p>
    <w:p w14:paraId="13483C3E">
      <w:pPr>
        <w:snapToGrid w:val="0"/>
        <w:ind w:firstLine="480" w:firstLineChars="200"/>
        <w:rPr>
          <w:rFonts w:hint="eastAsia" w:ascii="宋体" w:hAnsi="宋体"/>
          <w:color w:val="auto"/>
          <w:highlight w:val="none"/>
        </w:rPr>
      </w:pPr>
    </w:p>
    <w:p w14:paraId="39E3D781">
      <w:pPr>
        <w:snapToGrid w:val="0"/>
        <w:ind w:firstLine="480" w:firstLineChars="200"/>
        <w:rPr>
          <w:rFonts w:hint="eastAsia" w:ascii="宋体" w:hAnsi="宋体"/>
          <w:color w:val="auto"/>
          <w:highlight w:val="none"/>
        </w:rPr>
      </w:pPr>
    </w:p>
    <w:p w14:paraId="30C8575E">
      <w:pPr>
        <w:snapToGrid w:val="0"/>
        <w:ind w:firstLine="480" w:firstLineChars="200"/>
        <w:rPr>
          <w:rFonts w:hint="eastAsia" w:ascii="宋体" w:hAnsi="宋体"/>
          <w:color w:val="auto"/>
          <w:highlight w:val="none"/>
        </w:rPr>
      </w:pPr>
    </w:p>
    <w:p w14:paraId="4FFE680D">
      <w:pPr>
        <w:snapToGrid w:val="0"/>
        <w:ind w:firstLine="480" w:firstLineChars="200"/>
        <w:rPr>
          <w:rFonts w:hint="eastAsia" w:ascii="宋体" w:hAnsi="宋体"/>
          <w:color w:val="auto"/>
          <w:highlight w:val="none"/>
        </w:rPr>
      </w:pPr>
    </w:p>
    <w:p w14:paraId="47FFD806">
      <w:pPr>
        <w:snapToGrid w:val="0"/>
        <w:jc w:val="center"/>
        <w:rPr>
          <w:rFonts w:hint="eastAsia" w:ascii="宋体" w:hAnsi="宋体"/>
          <w:b/>
          <w:color w:val="auto"/>
          <w:spacing w:val="6"/>
          <w:highlight w:val="none"/>
        </w:rPr>
      </w:pPr>
    </w:p>
    <w:p w14:paraId="2DFE77D9">
      <w:pPr>
        <w:snapToGrid w:val="0"/>
        <w:jc w:val="center"/>
        <w:rPr>
          <w:rFonts w:hint="eastAsia" w:ascii="宋体" w:hAnsi="宋体"/>
          <w:color w:val="auto"/>
          <w:highlight w:val="none"/>
        </w:rPr>
      </w:pPr>
      <w:r>
        <w:rPr>
          <w:rFonts w:hint="eastAsia" w:ascii="宋体" w:hAnsi="宋体"/>
          <w:color w:val="auto"/>
          <w:highlight w:val="none"/>
          <w:lang w:val="en-US" w:eastAsia="zh-CN"/>
        </w:rPr>
        <w:t>6</w:t>
      </w:r>
      <w:r>
        <w:rPr>
          <w:rFonts w:hint="eastAsia" w:ascii="宋体" w:hAnsi="宋体"/>
          <w:color w:val="auto"/>
          <w:highlight w:val="none"/>
        </w:rPr>
        <w:t>、残疾人福利性单位声明函</w:t>
      </w:r>
    </w:p>
    <w:p w14:paraId="22788063">
      <w:pPr>
        <w:snapToGrid w:val="0"/>
        <w:rPr>
          <w:rFonts w:hint="eastAsia" w:ascii="宋体" w:hAnsi="宋体"/>
          <w:b/>
          <w:color w:val="auto"/>
          <w:spacing w:val="6"/>
          <w:highlight w:val="none"/>
        </w:rPr>
      </w:pPr>
    </w:p>
    <w:p w14:paraId="3ABD7F32">
      <w:pPr>
        <w:snapToGrid w:val="0"/>
        <w:ind w:firstLine="480" w:firstLineChars="200"/>
        <w:rPr>
          <w:rFonts w:hint="eastAsia" w:ascii="宋体" w:hAnsi="宋体"/>
          <w:color w:val="auto"/>
          <w:highlight w:val="none"/>
        </w:rPr>
      </w:pPr>
      <w:r>
        <w:rPr>
          <w:rFonts w:hint="eastAsia" w:ascii="宋体" w:hAnsi="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932528">
      <w:pPr>
        <w:snapToGrid w:val="0"/>
        <w:ind w:firstLine="480" w:firstLineChars="200"/>
        <w:rPr>
          <w:rFonts w:hint="eastAsia" w:ascii="宋体" w:hAnsi="宋体"/>
          <w:color w:val="auto"/>
          <w:highlight w:val="none"/>
        </w:rPr>
      </w:pPr>
      <w:r>
        <w:rPr>
          <w:rFonts w:hint="eastAsia" w:ascii="宋体" w:hAnsi="宋体"/>
          <w:color w:val="auto"/>
          <w:highlight w:val="none"/>
        </w:rPr>
        <w:t>本单位对上述声明的真实性负责。如有虚假，将依法承担相应责任。</w:t>
      </w:r>
    </w:p>
    <w:p w14:paraId="1B7135D1">
      <w:pPr>
        <w:snapToGrid w:val="0"/>
        <w:rPr>
          <w:rFonts w:hint="eastAsia" w:ascii="宋体" w:hAnsi="宋体"/>
          <w:color w:val="auto"/>
          <w:highlight w:val="none"/>
        </w:rPr>
      </w:pPr>
    </w:p>
    <w:p w14:paraId="243888DE">
      <w:pPr>
        <w:snapToGrid w:val="0"/>
        <w:rPr>
          <w:rFonts w:hint="eastAsia" w:ascii="宋体" w:hAnsi="宋体"/>
          <w:color w:val="auto"/>
          <w:highlight w:val="none"/>
        </w:rPr>
      </w:pPr>
    </w:p>
    <w:p w14:paraId="54E7BBD2">
      <w:pPr>
        <w:snapToGrid w:val="0"/>
        <w:rPr>
          <w:rFonts w:ascii="宋体" w:hAnsi="宋体"/>
          <w:color w:val="auto"/>
          <w:highlight w:val="none"/>
        </w:rPr>
      </w:pPr>
      <w:r>
        <w:rPr>
          <w:rFonts w:hint="eastAsia" w:ascii="宋体" w:hAnsi="宋体"/>
          <w:color w:val="auto"/>
          <w:highlight w:val="none"/>
        </w:rPr>
        <w:t>投标人（盖章）：</w:t>
      </w:r>
    </w:p>
    <w:p w14:paraId="468104E5">
      <w:pPr>
        <w:snapToGrid w:val="0"/>
        <w:rPr>
          <w:rFonts w:hint="eastAsia" w:ascii="宋体" w:hAnsi="宋体"/>
          <w:color w:val="auto"/>
          <w:highlight w:val="none"/>
        </w:rPr>
      </w:pPr>
    </w:p>
    <w:p w14:paraId="5929CB7F">
      <w:pPr>
        <w:snapToGrid w:val="0"/>
        <w:rPr>
          <w:rFonts w:hint="eastAsia" w:ascii="宋体" w:hAnsi="宋体"/>
          <w:color w:val="auto"/>
          <w:highlight w:val="none"/>
        </w:rPr>
      </w:pPr>
    </w:p>
    <w:p w14:paraId="65EFC23D">
      <w:pPr>
        <w:bidi w:val="0"/>
        <w:rPr>
          <w:rFonts w:hint="eastAsia"/>
          <w:color w:val="auto"/>
          <w:highlight w:val="none"/>
        </w:rPr>
      </w:pPr>
      <w:r>
        <w:rPr>
          <w:rFonts w:hint="eastAsia"/>
          <w:color w:val="auto"/>
          <w:highlight w:val="none"/>
        </w:rPr>
        <w:t>日  期：     年     月     日</w:t>
      </w:r>
    </w:p>
    <w:p w14:paraId="0E5D5F27">
      <w:pPr>
        <w:pStyle w:val="15"/>
        <w:rPr>
          <w:rFonts w:hint="eastAsia"/>
          <w:color w:val="auto"/>
          <w:highlight w:val="none"/>
        </w:rPr>
      </w:pPr>
    </w:p>
    <w:p w14:paraId="43D9F062">
      <w:pPr>
        <w:snapToGrid w:val="0"/>
        <w:jc w:val="center"/>
        <w:rPr>
          <w:rFonts w:hint="eastAsia" w:ascii="宋体" w:hAnsi="宋体"/>
          <w:color w:val="auto"/>
          <w:highlight w:val="none"/>
        </w:rPr>
      </w:pPr>
    </w:p>
    <w:p w14:paraId="16F0D0B9">
      <w:pPr>
        <w:snapToGrid w:val="0"/>
        <w:jc w:val="center"/>
        <w:rPr>
          <w:rStyle w:val="86"/>
          <w:rFonts w:hint="eastAsia" w:ascii="宋体" w:hAnsi="宋体"/>
          <w:i w:val="0"/>
          <w:color w:val="auto"/>
          <w:sz w:val="24"/>
          <w:szCs w:val="24"/>
          <w:highlight w:val="none"/>
        </w:rPr>
      </w:pPr>
    </w:p>
    <w:p w14:paraId="18A70409">
      <w:pPr>
        <w:rPr>
          <w:rStyle w:val="86"/>
          <w:rFonts w:hint="eastAsia" w:ascii="宋体" w:hAnsi="宋体"/>
          <w:i w:val="0"/>
          <w:color w:val="auto"/>
          <w:sz w:val="24"/>
          <w:szCs w:val="24"/>
          <w:highlight w:val="none"/>
        </w:rPr>
      </w:pPr>
      <w:r>
        <w:rPr>
          <w:rStyle w:val="86"/>
          <w:rFonts w:hint="eastAsia" w:ascii="宋体" w:hAnsi="宋体"/>
          <w:i w:val="0"/>
          <w:color w:val="auto"/>
          <w:sz w:val="24"/>
          <w:szCs w:val="24"/>
          <w:highlight w:val="none"/>
        </w:rPr>
        <w:br w:type="page"/>
      </w:r>
    </w:p>
    <w:p w14:paraId="331D70A8">
      <w:pPr>
        <w:snapToGrid w:val="0"/>
        <w:jc w:val="center"/>
        <w:rPr>
          <w:rFonts w:hint="eastAsia" w:ascii="宋体" w:hAnsi="宋体"/>
          <w:b/>
          <w:bCs/>
          <w:iCs/>
          <w:color w:val="auto"/>
          <w:highlight w:val="none"/>
        </w:rPr>
      </w:pPr>
      <w:r>
        <w:rPr>
          <w:rStyle w:val="86"/>
          <w:rFonts w:hint="eastAsia" w:ascii="宋体" w:hAnsi="宋体"/>
          <w:i w:val="0"/>
          <w:color w:val="auto"/>
          <w:sz w:val="24"/>
          <w:szCs w:val="24"/>
          <w:highlight w:val="none"/>
        </w:rPr>
        <w:t>三、</w:t>
      </w:r>
      <w:bookmarkStart w:id="68" w:name="技术资信文件格式"/>
      <w:r>
        <w:rPr>
          <w:rStyle w:val="86"/>
          <w:rFonts w:hint="eastAsia" w:ascii="宋体" w:hAnsi="宋体"/>
          <w:i w:val="0"/>
          <w:color w:val="auto"/>
          <w:sz w:val="24"/>
          <w:szCs w:val="24"/>
          <w:highlight w:val="none"/>
        </w:rPr>
        <w:t>技术商务文件参考格式</w:t>
      </w:r>
      <w:bookmarkEnd w:id="68"/>
    </w:p>
    <w:p w14:paraId="773F3B8C">
      <w:pPr>
        <w:pStyle w:val="261"/>
        <w:snapToGrid w:val="0"/>
        <w:spacing w:line="360" w:lineRule="auto"/>
        <w:ind w:firstLine="0" w:firstLineChars="0"/>
        <w:jc w:val="center"/>
        <w:rPr>
          <w:rFonts w:hint="eastAsia" w:ascii="宋体" w:eastAsia="宋体" w:cs="宋体"/>
          <w:color w:val="auto"/>
          <w:sz w:val="24"/>
          <w:szCs w:val="24"/>
          <w:highlight w:val="none"/>
        </w:rPr>
      </w:pPr>
      <w:r>
        <w:rPr>
          <w:rFonts w:hint="eastAsia" w:ascii="宋体" w:eastAsia="宋体" w:cs="宋体"/>
          <w:color w:val="auto"/>
          <w:sz w:val="24"/>
          <w:szCs w:val="24"/>
          <w:highlight w:val="none"/>
        </w:rPr>
        <w:t>1服务承诺书（投标人可自行编写）</w:t>
      </w:r>
    </w:p>
    <w:p w14:paraId="749E2DDB">
      <w:pPr>
        <w:tabs>
          <w:tab w:val="left" w:pos="525"/>
        </w:tabs>
        <w:spacing w:line="360" w:lineRule="auto"/>
        <w:ind w:firstLine="482" w:firstLineChars="200"/>
        <w:rPr>
          <w:rFonts w:hint="eastAsia"/>
          <w:b/>
          <w:bCs/>
          <w:i/>
          <w:color w:val="auto"/>
          <w:highlight w:val="none"/>
        </w:rPr>
      </w:pPr>
    </w:p>
    <w:p w14:paraId="3BEA87AD">
      <w:pPr>
        <w:tabs>
          <w:tab w:val="left" w:pos="525"/>
        </w:tabs>
        <w:spacing w:line="360" w:lineRule="auto"/>
        <w:ind w:firstLine="482" w:firstLineChars="200"/>
        <w:rPr>
          <w:rFonts w:hint="eastAsia"/>
          <w:b/>
          <w:bCs/>
          <w:i/>
          <w:color w:val="auto"/>
          <w:highlight w:val="none"/>
        </w:rPr>
      </w:pPr>
    </w:p>
    <w:p w14:paraId="69DADE49">
      <w:pPr>
        <w:tabs>
          <w:tab w:val="left" w:pos="525"/>
        </w:tabs>
        <w:spacing w:line="360" w:lineRule="auto"/>
        <w:ind w:firstLine="480" w:firstLineChars="200"/>
        <w:rPr>
          <w:rFonts w:hint="eastAsia" w:ascii="宋体" w:hAnsi="宋体"/>
          <w:color w:val="auto"/>
          <w:highlight w:val="none"/>
        </w:rPr>
      </w:pPr>
      <w:r>
        <w:rPr>
          <w:rFonts w:hint="eastAsia" w:ascii="宋体" w:hAnsi="宋体"/>
          <w:color w:val="auto"/>
          <w:highlight w:val="none"/>
        </w:rPr>
        <w:t>1、我公司承诺，一旦我方中标，我们将根据招标文件的规定，提供不低于招标文件要求的服务和相关规定。</w:t>
      </w:r>
    </w:p>
    <w:p w14:paraId="054C865A">
      <w:pPr>
        <w:tabs>
          <w:tab w:val="left" w:pos="525"/>
        </w:tabs>
        <w:spacing w:line="360" w:lineRule="auto"/>
        <w:ind w:firstLine="480" w:firstLineChars="200"/>
        <w:rPr>
          <w:rFonts w:hint="eastAsia" w:ascii="宋体" w:hAnsi="宋体"/>
          <w:color w:val="auto"/>
          <w:highlight w:val="none"/>
        </w:rPr>
      </w:pPr>
      <w:r>
        <w:rPr>
          <w:rFonts w:hint="eastAsia" w:ascii="宋体" w:hAnsi="宋体"/>
          <w:color w:val="auto"/>
          <w:highlight w:val="none"/>
        </w:rPr>
        <w:t>2、其他服务承诺：</w:t>
      </w:r>
    </w:p>
    <w:p w14:paraId="10D4B90C">
      <w:pPr>
        <w:snapToGrid w:val="0"/>
        <w:spacing w:line="360" w:lineRule="auto"/>
        <w:rPr>
          <w:rFonts w:hint="eastAsia"/>
          <w:b/>
          <w:bCs/>
          <w:i/>
          <w:color w:val="auto"/>
          <w:highlight w:val="none"/>
        </w:rPr>
      </w:pPr>
    </w:p>
    <w:p w14:paraId="49D4E997">
      <w:pPr>
        <w:snapToGrid w:val="0"/>
        <w:spacing w:line="360" w:lineRule="auto"/>
        <w:rPr>
          <w:rFonts w:hint="eastAsia"/>
          <w:b/>
          <w:bCs/>
          <w:i/>
          <w:color w:val="auto"/>
          <w:highlight w:val="none"/>
        </w:rPr>
      </w:pPr>
    </w:p>
    <w:p w14:paraId="4E5171A7">
      <w:pPr>
        <w:snapToGrid w:val="0"/>
        <w:spacing w:line="360" w:lineRule="auto"/>
        <w:rPr>
          <w:rFonts w:hint="eastAsia"/>
          <w:b/>
          <w:bCs/>
          <w:i/>
          <w:color w:val="auto"/>
          <w:highlight w:val="none"/>
        </w:rPr>
      </w:pPr>
    </w:p>
    <w:p w14:paraId="0594004F">
      <w:pPr>
        <w:snapToGrid w:val="0"/>
        <w:spacing w:line="360" w:lineRule="auto"/>
        <w:rPr>
          <w:rFonts w:hint="eastAsia" w:ascii="宋体" w:hAnsi="宋体"/>
          <w:color w:val="auto"/>
          <w:highlight w:val="none"/>
        </w:rPr>
      </w:pPr>
      <w:r>
        <w:rPr>
          <w:rFonts w:hint="eastAsia" w:ascii="宋体" w:hAnsi="宋体"/>
          <w:color w:val="auto"/>
          <w:highlight w:val="none"/>
        </w:rPr>
        <w:t>投标人（盖章）：</w:t>
      </w:r>
    </w:p>
    <w:p w14:paraId="6CF5F40D">
      <w:pPr>
        <w:snapToGrid w:val="0"/>
        <w:spacing w:line="360" w:lineRule="auto"/>
        <w:rPr>
          <w:rFonts w:hint="eastAsia" w:ascii="宋体" w:hAnsi="宋体"/>
          <w:color w:val="auto"/>
          <w:highlight w:val="none"/>
        </w:rPr>
      </w:pPr>
    </w:p>
    <w:p w14:paraId="5270175C">
      <w:pPr>
        <w:snapToGrid w:val="0"/>
        <w:spacing w:line="360" w:lineRule="auto"/>
        <w:rPr>
          <w:rFonts w:hint="eastAsia" w:ascii="宋体" w:hAnsi="宋体"/>
          <w:color w:val="auto"/>
          <w:highlight w:val="none"/>
        </w:rPr>
      </w:pPr>
      <w:r>
        <w:rPr>
          <w:rFonts w:hint="eastAsia" w:ascii="宋体" w:hAnsi="宋体"/>
          <w:color w:val="auto"/>
          <w:highlight w:val="none"/>
        </w:rPr>
        <w:t xml:space="preserve">                                   </w:t>
      </w:r>
    </w:p>
    <w:p w14:paraId="1D4BF474">
      <w:pPr>
        <w:autoSpaceDE w:val="0"/>
        <w:autoSpaceDN w:val="0"/>
        <w:adjustRightInd w:val="0"/>
        <w:snapToGrid w:val="0"/>
        <w:spacing w:line="360" w:lineRule="auto"/>
        <w:rPr>
          <w:rFonts w:hint="eastAsia"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2D7120FA">
      <w:pPr>
        <w:pStyle w:val="261"/>
        <w:snapToGrid w:val="0"/>
        <w:spacing w:line="240" w:lineRule="auto"/>
        <w:ind w:firstLine="0" w:firstLineChars="0"/>
        <w:rPr>
          <w:rFonts w:hint="eastAsia" w:ascii="宋体" w:eastAsia="宋体"/>
          <w:color w:val="auto"/>
          <w:sz w:val="24"/>
          <w:szCs w:val="24"/>
          <w:highlight w:val="none"/>
        </w:rPr>
      </w:pPr>
    </w:p>
    <w:p w14:paraId="4600EA8B">
      <w:pPr>
        <w:pStyle w:val="261"/>
        <w:snapToGrid w:val="0"/>
        <w:spacing w:line="240" w:lineRule="auto"/>
        <w:ind w:firstLine="0" w:firstLineChars="0"/>
        <w:rPr>
          <w:rFonts w:hint="eastAsia" w:ascii="宋体" w:eastAsia="宋体"/>
          <w:color w:val="auto"/>
          <w:sz w:val="24"/>
          <w:szCs w:val="24"/>
          <w:highlight w:val="none"/>
        </w:rPr>
      </w:pPr>
      <w:r>
        <w:rPr>
          <w:rFonts w:hint="eastAsia" w:ascii="宋体" w:eastAsia="宋体"/>
          <w:color w:val="auto"/>
          <w:sz w:val="24"/>
          <w:szCs w:val="24"/>
          <w:highlight w:val="none"/>
        </w:rPr>
        <w:t xml:space="preserve"> </w:t>
      </w:r>
    </w:p>
    <w:p w14:paraId="673A1F8E">
      <w:pPr>
        <w:pStyle w:val="261"/>
        <w:snapToGrid w:val="0"/>
        <w:spacing w:line="240" w:lineRule="auto"/>
        <w:ind w:firstLine="0" w:firstLineChars="0"/>
        <w:rPr>
          <w:rFonts w:hint="eastAsia" w:ascii="宋体" w:eastAsia="宋体"/>
          <w:color w:val="auto"/>
          <w:sz w:val="24"/>
          <w:szCs w:val="24"/>
          <w:highlight w:val="none"/>
        </w:rPr>
      </w:pPr>
    </w:p>
    <w:p w14:paraId="203E65B5">
      <w:pPr>
        <w:pStyle w:val="261"/>
        <w:snapToGrid w:val="0"/>
        <w:spacing w:line="240" w:lineRule="auto"/>
        <w:ind w:firstLine="0" w:firstLineChars="0"/>
        <w:rPr>
          <w:rFonts w:hint="eastAsia" w:ascii="宋体" w:eastAsia="宋体"/>
          <w:color w:val="auto"/>
          <w:sz w:val="24"/>
          <w:szCs w:val="24"/>
          <w:highlight w:val="none"/>
        </w:rPr>
      </w:pPr>
    </w:p>
    <w:p w14:paraId="5385E3C5">
      <w:pPr>
        <w:pStyle w:val="261"/>
        <w:snapToGrid w:val="0"/>
        <w:spacing w:line="240" w:lineRule="auto"/>
        <w:ind w:firstLine="0" w:firstLineChars="0"/>
        <w:rPr>
          <w:rFonts w:hint="eastAsia" w:ascii="宋体" w:eastAsia="宋体"/>
          <w:color w:val="auto"/>
          <w:sz w:val="24"/>
          <w:szCs w:val="24"/>
          <w:highlight w:val="none"/>
        </w:rPr>
      </w:pPr>
    </w:p>
    <w:p w14:paraId="6B14F43B">
      <w:pPr>
        <w:pStyle w:val="261"/>
        <w:snapToGrid w:val="0"/>
        <w:spacing w:line="240" w:lineRule="auto"/>
        <w:ind w:firstLine="0" w:firstLineChars="0"/>
        <w:rPr>
          <w:rFonts w:hint="eastAsia" w:ascii="宋体" w:eastAsia="宋体"/>
          <w:color w:val="auto"/>
          <w:sz w:val="24"/>
          <w:szCs w:val="24"/>
          <w:highlight w:val="none"/>
        </w:rPr>
      </w:pPr>
    </w:p>
    <w:p w14:paraId="713A2CAA">
      <w:pPr>
        <w:pStyle w:val="261"/>
        <w:snapToGrid w:val="0"/>
        <w:spacing w:line="240" w:lineRule="auto"/>
        <w:ind w:firstLine="0" w:firstLineChars="0"/>
        <w:rPr>
          <w:rFonts w:ascii="宋体" w:eastAsia="宋体"/>
          <w:color w:val="auto"/>
          <w:sz w:val="24"/>
          <w:szCs w:val="24"/>
          <w:highlight w:val="none"/>
        </w:rPr>
        <w:sectPr>
          <w:pgSz w:w="11906" w:h="16838"/>
          <w:pgMar w:top="1389" w:right="1247" w:bottom="1389" w:left="1247" w:header="851" w:footer="992" w:gutter="283"/>
          <w:cols w:space="720" w:num="1"/>
          <w:docGrid w:linePitch="326" w:charSpace="0"/>
        </w:sectPr>
      </w:pPr>
    </w:p>
    <w:p w14:paraId="2CAEBC28">
      <w:pPr>
        <w:pStyle w:val="261"/>
        <w:snapToGrid w:val="0"/>
        <w:spacing w:line="240" w:lineRule="auto"/>
        <w:ind w:firstLine="0" w:firstLineChars="0"/>
        <w:jc w:val="center"/>
        <w:rPr>
          <w:rFonts w:hint="eastAsia" w:ascii="宋体" w:eastAsia="宋体"/>
          <w:color w:val="auto"/>
          <w:sz w:val="28"/>
          <w:highlight w:val="none"/>
        </w:rPr>
      </w:pPr>
      <w:r>
        <w:rPr>
          <w:rFonts w:hint="eastAsia" w:ascii="宋体" w:eastAsia="宋体" w:cs="宋体"/>
          <w:color w:val="auto"/>
          <w:sz w:val="28"/>
          <w:highlight w:val="none"/>
        </w:rPr>
        <w:t>2投标货物清单及偏离表</w:t>
      </w:r>
    </w:p>
    <w:p w14:paraId="594CE2D7">
      <w:pPr>
        <w:pStyle w:val="261"/>
        <w:snapToGrid w:val="0"/>
        <w:spacing w:line="240" w:lineRule="auto"/>
        <w:ind w:firstLine="0" w:firstLineChars="0"/>
        <w:rPr>
          <w:rFonts w:hint="eastAsia" w:ascii="宋体" w:eastAsia="宋体"/>
          <w:color w:val="auto"/>
          <w:sz w:val="28"/>
          <w:highlight w:val="none"/>
        </w:rPr>
      </w:pPr>
    </w:p>
    <w:tbl>
      <w:tblPr>
        <w:tblStyle w:val="63"/>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11"/>
        <w:gridCol w:w="713"/>
        <w:gridCol w:w="848"/>
        <w:gridCol w:w="850"/>
        <w:gridCol w:w="708"/>
        <w:gridCol w:w="994"/>
        <w:gridCol w:w="994"/>
        <w:gridCol w:w="1560"/>
        <w:gridCol w:w="990"/>
      </w:tblGrid>
      <w:tr w14:paraId="129B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noWrap w:val="0"/>
            <w:vAlign w:val="center"/>
          </w:tcPr>
          <w:p w14:paraId="42F4B3C1">
            <w:pPr>
              <w:snapToGrid w:val="0"/>
              <w:jc w:val="both"/>
              <w:rPr>
                <w:rFonts w:hint="eastAsia" w:ascii="宋体" w:hAnsi="宋体"/>
                <w:color w:val="auto"/>
                <w:highlight w:val="none"/>
              </w:rPr>
            </w:pPr>
            <w:r>
              <w:rPr>
                <w:rFonts w:hint="eastAsia" w:ascii="宋体" w:hAnsi="宋体"/>
                <w:color w:val="auto"/>
                <w:highlight w:val="none"/>
              </w:rPr>
              <w:t>序号</w:t>
            </w:r>
          </w:p>
        </w:tc>
        <w:tc>
          <w:tcPr>
            <w:tcW w:w="692" w:type="pct"/>
            <w:noWrap w:val="0"/>
            <w:vAlign w:val="center"/>
          </w:tcPr>
          <w:p w14:paraId="5C491610">
            <w:pPr>
              <w:snapToGrid w:val="0"/>
              <w:jc w:val="both"/>
              <w:rPr>
                <w:rFonts w:hint="eastAsia" w:ascii="宋体" w:hAnsi="宋体"/>
                <w:color w:val="auto"/>
                <w:highlight w:val="none"/>
              </w:rPr>
            </w:pPr>
            <w:r>
              <w:rPr>
                <w:rFonts w:hint="eastAsia" w:ascii="宋体" w:hAnsi="宋体"/>
                <w:color w:val="auto"/>
                <w:highlight w:val="none"/>
              </w:rPr>
              <w:t>设备名称</w:t>
            </w:r>
          </w:p>
        </w:tc>
        <w:tc>
          <w:tcPr>
            <w:tcW w:w="376" w:type="pct"/>
            <w:noWrap w:val="0"/>
            <w:vAlign w:val="center"/>
          </w:tcPr>
          <w:p w14:paraId="77894081">
            <w:pPr>
              <w:snapToGrid w:val="0"/>
              <w:jc w:val="both"/>
              <w:rPr>
                <w:rFonts w:hint="eastAsia" w:ascii="宋体" w:hAnsi="宋体"/>
                <w:color w:val="auto"/>
                <w:highlight w:val="none"/>
              </w:rPr>
            </w:pPr>
            <w:r>
              <w:rPr>
                <w:rFonts w:hint="eastAsia" w:ascii="宋体" w:hAnsi="宋体"/>
                <w:color w:val="auto"/>
                <w:highlight w:val="none"/>
              </w:rPr>
              <w:t>品牌</w:t>
            </w:r>
          </w:p>
        </w:tc>
        <w:tc>
          <w:tcPr>
            <w:tcW w:w="448" w:type="pct"/>
            <w:noWrap w:val="0"/>
            <w:vAlign w:val="center"/>
          </w:tcPr>
          <w:p w14:paraId="17B4F0A9">
            <w:pPr>
              <w:snapToGrid w:val="0"/>
              <w:jc w:val="center"/>
              <w:rPr>
                <w:rFonts w:hint="eastAsia" w:ascii="宋体" w:hAnsi="宋体"/>
                <w:color w:val="auto"/>
                <w:highlight w:val="none"/>
              </w:rPr>
            </w:pPr>
            <w:r>
              <w:rPr>
                <w:rFonts w:hint="eastAsia" w:ascii="宋体" w:hAnsi="宋体"/>
                <w:color w:val="auto"/>
                <w:highlight w:val="none"/>
                <w:lang w:val="en-US" w:eastAsia="zh-CN"/>
              </w:rPr>
              <w:t>规格</w:t>
            </w:r>
            <w:r>
              <w:rPr>
                <w:rFonts w:hint="eastAsia" w:ascii="宋体" w:hAnsi="宋体"/>
                <w:color w:val="auto"/>
                <w:highlight w:val="none"/>
              </w:rPr>
              <w:t>型号</w:t>
            </w:r>
          </w:p>
        </w:tc>
        <w:tc>
          <w:tcPr>
            <w:tcW w:w="449" w:type="pct"/>
            <w:noWrap w:val="0"/>
            <w:vAlign w:val="center"/>
          </w:tcPr>
          <w:p w14:paraId="2B99BE2E">
            <w:pPr>
              <w:snapToGrid w:val="0"/>
              <w:jc w:val="both"/>
              <w:rPr>
                <w:rFonts w:hint="eastAsia" w:ascii="宋体" w:hAnsi="宋体"/>
                <w:color w:val="auto"/>
                <w:highlight w:val="none"/>
              </w:rPr>
            </w:pPr>
            <w:r>
              <w:rPr>
                <w:rFonts w:hint="eastAsia" w:ascii="宋体" w:hAnsi="宋体"/>
                <w:color w:val="auto"/>
                <w:highlight w:val="none"/>
              </w:rPr>
              <w:t>数量</w:t>
            </w:r>
          </w:p>
        </w:tc>
        <w:tc>
          <w:tcPr>
            <w:tcW w:w="374" w:type="pct"/>
            <w:noWrap w:val="0"/>
            <w:vAlign w:val="center"/>
          </w:tcPr>
          <w:p w14:paraId="2D7AE227">
            <w:pPr>
              <w:snapToGrid w:val="0"/>
              <w:jc w:val="both"/>
              <w:rPr>
                <w:rFonts w:hint="eastAsia" w:ascii="宋体" w:hAnsi="宋体"/>
                <w:color w:val="auto"/>
                <w:highlight w:val="none"/>
              </w:rPr>
            </w:pPr>
            <w:r>
              <w:rPr>
                <w:rFonts w:hint="eastAsia" w:ascii="宋体" w:hAnsi="宋体"/>
                <w:color w:val="auto"/>
                <w:highlight w:val="none"/>
              </w:rPr>
              <w:t>单位</w:t>
            </w:r>
          </w:p>
        </w:tc>
        <w:tc>
          <w:tcPr>
            <w:tcW w:w="525" w:type="pct"/>
            <w:noWrap w:val="0"/>
            <w:vAlign w:val="bottom"/>
          </w:tcPr>
          <w:p w14:paraId="1A8E26AA">
            <w:pPr>
              <w:snapToGrid w:val="0"/>
              <w:jc w:val="both"/>
              <w:rPr>
                <w:rFonts w:hint="eastAsia" w:ascii="宋体" w:hAnsi="宋体"/>
                <w:color w:val="auto"/>
                <w:highlight w:val="none"/>
              </w:rPr>
            </w:pPr>
            <w:r>
              <w:rPr>
                <w:rFonts w:hint="eastAsia" w:ascii="宋体" w:hAnsi="宋体"/>
                <w:color w:val="auto"/>
                <w:highlight w:val="none"/>
              </w:rPr>
              <w:t>招标要求</w:t>
            </w:r>
          </w:p>
        </w:tc>
        <w:tc>
          <w:tcPr>
            <w:tcW w:w="525" w:type="pct"/>
            <w:noWrap w:val="0"/>
            <w:vAlign w:val="bottom"/>
          </w:tcPr>
          <w:p w14:paraId="1291F9E3">
            <w:pPr>
              <w:snapToGrid w:val="0"/>
              <w:jc w:val="both"/>
              <w:rPr>
                <w:rFonts w:hint="eastAsia" w:ascii="宋体" w:hAnsi="宋体"/>
                <w:color w:val="auto"/>
                <w:highlight w:val="none"/>
              </w:rPr>
            </w:pPr>
            <w:r>
              <w:rPr>
                <w:rFonts w:hint="eastAsia" w:ascii="宋体" w:hAnsi="宋体"/>
                <w:color w:val="auto"/>
                <w:highlight w:val="none"/>
              </w:rPr>
              <w:t>投标响应</w:t>
            </w:r>
          </w:p>
        </w:tc>
        <w:tc>
          <w:tcPr>
            <w:tcW w:w="824" w:type="pct"/>
            <w:noWrap w:val="0"/>
            <w:vAlign w:val="center"/>
          </w:tcPr>
          <w:p w14:paraId="5088CA1A">
            <w:pPr>
              <w:snapToGrid w:val="0"/>
              <w:jc w:val="both"/>
              <w:rPr>
                <w:rFonts w:hint="eastAsia" w:ascii="宋体" w:hAnsi="宋体"/>
                <w:color w:val="auto"/>
                <w:highlight w:val="none"/>
              </w:rPr>
            </w:pPr>
            <w:r>
              <w:rPr>
                <w:rFonts w:hint="eastAsia" w:ascii="宋体" w:hAnsi="宋体"/>
                <w:color w:val="auto"/>
                <w:highlight w:val="none"/>
              </w:rPr>
              <w:t>正/负偏离</w:t>
            </w:r>
          </w:p>
        </w:tc>
        <w:tc>
          <w:tcPr>
            <w:tcW w:w="523" w:type="pct"/>
            <w:noWrap w:val="0"/>
            <w:vAlign w:val="center"/>
          </w:tcPr>
          <w:p w14:paraId="3C4E5D78">
            <w:pPr>
              <w:snapToGrid w:val="0"/>
              <w:jc w:val="both"/>
              <w:rPr>
                <w:rFonts w:hint="eastAsia" w:ascii="宋体" w:hAnsi="宋体"/>
                <w:color w:val="auto"/>
                <w:highlight w:val="none"/>
              </w:rPr>
            </w:pPr>
            <w:r>
              <w:rPr>
                <w:rFonts w:hint="eastAsia" w:ascii="宋体" w:hAnsi="宋体"/>
                <w:color w:val="auto"/>
                <w:highlight w:val="none"/>
              </w:rPr>
              <w:t>偏离说明</w:t>
            </w:r>
          </w:p>
        </w:tc>
      </w:tr>
      <w:tr w14:paraId="31F3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noWrap w:val="0"/>
            <w:vAlign w:val="center"/>
          </w:tcPr>
          <w:p w14:paraId="5810C9CC">
            <w:pPr>
              <w:snapToGrid w:val="0"/>
              <w:jc w:val="both"/>
              <w:rPr>
                <w:rFonts w:hint="eastAsia" w:ascii="宋体" w:hAnsi="宋体"/>
                <w:color w:val="auto"/>
                <w:highlight w:val="none"/>
              </w:rPr>
            </w:pPr>
          </w:p>
        </w:tc>
        <w:tc>
          <w:tcPr>
            <w:tcW w:w="692" w:type="pct"/>
            <w:noWrap w:val="0"/>
            <w:vAlign w:val="center"/>
          </w:tcPr>
          <w:p w14:paraId="4A12F7CD">
            <w:pPr>
              <w:snapToGrid w:val="0"/>
              <w:jc w:val="both"/>
              <w:rPr>
                <w:rFonts w:hint="eastAsia" w:ascii="宋体" w:hAnsi="宋体"/>
                <w:color w:val="auto"/>
                <w:highlight w:val="none"/>
              </w:rPr>
            </w:pPr>
          </w:p>
        </w:tc>
        <w:tc>
          <w:tcPr>
            <w:tcW w:w="376" w:type="pct"/>
            <w:noWrap w:val="0"/>
            <w:vAlign w:val="center"/>
          </w:tcPr>
          <w:p w14:paraId="0F0B33A4">
            <w:pPr>
              <w:snapToGrid w:val="0"/>
              <w:jc w:val="both"/>
              <w:rPr>
                <w:rFonts w:hint="eastAsia" w:ascii="宋体" w:hAnsi="宋体"/>
                <w:color w:val="auto"/>
                <w:highlight w:val="none"/>
              </w:rPr>
            </w:pPr>
          </w:p>
        </w:tc>
        <w:tc>
          <w:tcPr>
            <w:tcW w:w="448" w:type="pct"/>
            <w:noWrap w:val="0"/>
            <w:vAlign w:val="center"/>
          </w:tcPr>
          <w:p w14:paraId="53F04F5E">
            <w:pPr>
              <w:snapToGrid w:val="0"/>
              <w:jc w:val="both"/>
              <w:rPr>
                <w:rFonts w:hint="eastAsia" w:ascii="宋体" w:hAnsi="宋体"/>
                <w:color w:val="auto"/>
                <w:highlight w:val="none"/>
              </w:rPr>
            </w:pPr>
          </w:p>
        </w:tc>
        <w:tc>
          <w:tcPr>
            <w:tcW w:w="449" w:type="pct"/>
            <w:noWrap w:val="0"/>
            <w:vAlign w:val="center"/>
          </w:tcPr>
          <w:p w14:paraId="1EFA8E5B">
            <w:pPr>
              <w:snapToGrid w:val="0"/>
              <w:jc w:val="both"/>
              <w:rPr>
                <w:rFonts w:hint="eastAsia" w:ascii="宋体" w:hAnsi="宋体"/>
                <w:color w:val="auto"/>
                <w:highlight w:val="none"/>
              </w:rPr>
            </w:pPr>
          </w:p>
        </w:tc>
        <w:tc>
          <w:tcPr>
            <w:tcW w:w="374" w:type="pct"/>
            <w:noWrap w:val="0"/>
            <w:vAlign w:val="center"/>
          </w:tcPr>
          <w:p w14:paraId="22D7343A">
            <w:pPr>
              <w:snapToGrid w:val="0"/>
              <w:jc w:val="both"/>
              <w:rPr>
                <w:rFonts w:hint="eastAsia" w:ascii="宋体" w:hAnsi="宋体"/>
                <w:color w:val="auto"/>
                <w:highlight w:val="none"/>
              </w:rPr>
            </w:pPr>
          </w:p>
        </w:tc>
        <w:tc>
          <w:tcPr>
            <w:tcW w:w="525" w:type="pct"/>
            <w:noWrap w:val="0"/>
            <w:vAlign w:val="bottom"/>
          </w:tcPr>
          <w:p w14:paraId="02E5C69F">
            <w:pPr>
              <w:pStyle w:val="32"/>
              <w:snapToGrid w:val="0"/>
              <w:jc w:val="center"/>
              <w:rPr>
                <w:rFonts w:hint="eastAsia" w:hAnsi="宋体"/>
                <w:color w:val="auto"/>
                <w:sz w:val="28"/>
                <w:highlight w:val="none"/>
              </w:rPr>
            </w:pPr>
          </w:p>
        </w:tc>
        <w:tc>
          <w:tcPr>
            <w:tcW w:w="525" w:type="pct"/>
            <w:noWrap w:val="0"/>
            <w:vAlign w:val="bottom"/>
          </w:tcPr>
          <w:p w14:paraId="08ECA322">
            <w:pPr>
              <w:pStyle w:val="32"/>
              <w:snapToGrid w:val="0"/>
              <w:jc w:val="center"/>
              <w:rPr>
                <w:rFonts w:hint="eastAsia" w:hAnsi="宋体"/>
                <w:color w:val="auto"/>
                <w:sz w:val="28"/>
                <w:highlight w:val="none"/>
              </w:rPr>
            </w:pPr>
          </w:p>
        </w:tc>
        <w:tc>
          <w:tcPr>
            <w:tcW w:w="824" w:type="pct"/>
            <w:noWrap w:val="0"/>
            <w:vAlign w:val="center"/>
          </w:tcPr>
          <w:p w14:paraId="026DD00F">
            <w:pPr>
              <w:snapToGrid w:val="0"/>
              <w:jc w:val="center"/>
              <w:rPr>
                <w:rFonts w:hint="eastAsia" w:ascii="宋体" w:hAnsi="宋体"/>
                <w:color w:val="auto"/>
                <w:sz w:val="28"/>
                <w:szCs w:val="28"/>
                <w:highlight w:val="none"/>
              </w:rPr>
            </w:pPr>
          </w:p>
        </w:tc>
        <w:tc>
          <w:tcPr>
            <w:tcW w:w="523" w:type="pct"/>
            <w:noWrap w:val="0"/>
            <w:vAlign w:val="center"/>
          </w:tcPr>
          <w:p w14:paraId="7B7DB4A4">
            <w:pPr>
              <w:snapToGrid w:val="0"/>
              <w:jc w:val="center"/>
              <w:rPr>
                <w:rFonts w:hint="eastAsia" w:ascii="宋体" w:hAnsi="宋体"/>
                <w:color w:val="auto"/>
                <w:sz w:val="28"/>
                <w:szCs w:val="28"/>
                <w:highlight w:val="none"/>
              </w:rPr>
            </w:pPr>
          </w:p>
        </w:tc>
      </w:tr>
      <w:tr w14:paraId="3D9E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noWrap w:val="0"/>
            <w:vAlign w:val="center"/>
          </w:tcPr>
          <w:p w14:paraId="3467AC6E">
            <w:pPr>
              <w:snapToGrid w:val="0"/>
              <w:jc w:val="both"/>
              <w:rPr>
                <w:rFonts w:hint="eastAsia" w:ascii="宋体" w:hAnsi="宋体"/>
                <w:color w:val="auto"/>
                <w:highlight w:val="none"/>
              </w:rPr>
            </w:pPr>
          </w:p>
        </w:tc>
        <w:tc>
          <w:tcPr>
            <w:tcW w:w="692" w:type="pct"/>
            <w:noWrap w:val="0"/>
            <w:vAlign w:val="center"/>
          </w:tcPr>
          <w:p w14:paraId="5B29AEDA">
            <w:pPr>
              <w:snapToGrid w:val="0"/>
              <w:jc w:val="both"/>
              <w:rPr>
                <w:rFonts w:hint="eastAsia" w:ascii="宋体" w:hAnsi="宋体"/>
                <w:color w:val="auto"/>
                <w:highlight w:val="none"/>
              </w:rPr>
            </w:pPr>
          </w:p>
        </w:tc>
        <w:tc>
          <w:tcPr>
            <w:tcW w:w="376" w:type="pct"/>
            <w:noWrap w:val="0"/>
            <w:vAlign w:val="center"/>
          </w:tcPr>
          <w:p w14:paraId="4C81D93B">
            <w:pPr>
              <w:snapToGrid w:val="0"/>
              <w:jc w:val="both"/>
              <w:rPr>
                <w:rFonts w:hint="eastAsia" w:ascii="宋体" w:hAnsi="宋体"/>
                <w:color w:val="auto"/>
                <w:highlight w:val="none"/>
              </w:rPr>
            </w:pPr>
          </w:p>
        </w:tc>
        <w:tc>
          <w:tcPr>
            <w:tcW w:w="448" w:type="pct"/>
            <w:noWrap w:val="0"/>
            <w:vAlign w:val="center"/>
          </w:tcPr>
          <w:p w14:paraId="5C5EBF3F">
            <w:pPr>
              <w:snapToGrid w:val="0"/>
              <w:jc w:val="both"/>
              <w:rPr>
                <w:rFonts w:hint="eastAsia" w:ascii="宋体" w:hAnsi="宋体"/>
                <w:color w:val="auto"/>
                <w:highlight w:val="none"/>
              </w:rPr>
            </w:pPr>
          </w:p>
        </w:tc>
        <w:tc>
          <w:tcPr>
            <w:tcW w:w="449" w:type="pct"/>
            <w:noWrap w:val="0"/>
            <w:vAlign w:val="center"/>
          </w:tcPr>
          <w:p w14:paraId="53D52F45">
            <w:pPr>
              <w:snapToGrid w:val="0"/>
              <w:jc w:val="both"/>
              <w:rPr>
                <w:rFonts w:hint="eastAsia" w:ascii="宋体" w:hAnsi="宋体"/>
                <w:color w:val="auto"/>
                <w:highlight w:val="none"/>
              </w:rPr>
            </w:pPr>
          </w:p>
        </w:tc>
        <w:tc>
          <w:tcPr>
            <w:tcW w:w="374" w:type="pct"/>
            <w:noWrap w:val="0"/>
            <w:vAlign w:val="center"/>
          </w:tcPr>
          <w:p w14:paraId="46AE9279">
            <w:pPr>
              <w:snapToGrid w:val="0"/>
              <w:jc w:val="both"/>
              <w:rPr>
                <w:rFonts w:hint="eastAsia" w:ascii="宋体" w:hAnsi="宋体"/>
                <w:color w:val="auto"/>
                <w:highlight w:val="none"/>
              </w:rPr>
            </w:pPr>
          </w:p>
        </w:tc>
        <w:tc>
          <w:tcPr>
            <w:tcW w:w="525" w:type="pct"/>
            <w:noWrap w:val="0"/>
            <w:vAlign w:val="bottom"/>
          </w:tcPr>
          <w:p w14:paraId="44942E85">
            <w:pPr>
              <w:pStyle w:val="32"/>
              <w:snapToGrid w:val="0"/>
              <w:jc w:val="center"/>
              <w:rPr>
                <w:rFonts w:hint="eastAsia" w:hAnsi="宋体"/>
                <w:color w:val="auto"/>
                <w:sz w:val="28"/>
                <w:highlight w:val="none"/>
              </w:rPr>
            </w:pPr>
          </w:p>
        </w:tc>
        <w:tc>
          <w:tcPr>
            <w:tcW w:w="525" w:type="pct"/>
            <w:noWrap w:val="0"/>
            <w:vAlign w:val="bottom"/>
          </w:tcPr>
          <w:p w14:paraId="1ECE39E0">
            <w:pPr>
              <w:pStyle w:val="32"/>
              <w:snapToGrid w:val="0"/>
              <w:jc w:val="center"/>
              <w:rPr>
                <w:rFonts w:hint="eastAsia" w:hAnsi="宋体"/>
                <w:color w:val="auto"/>
                <w:sz w:val="28"/>
                <w:highlight w:val="none"/>
              </w:rPr>
            </w:pPr>
          </w:p>
        </w:tc>
        <w:tc>
          <w:tcPr>
            <w:tcW w:w="824" w:type="pct"/>
            <w:noWrap w:val="0"/>
            <w:vAlign w:val="center"/>
          </w:tcPr>
          <w:p w14:paraId="69FF8CCB">
            <w:pPr>
              <w:snapToGrid w:val="0"/>
              <w:jc w:val="center"/>
              <w:rPr>
                <w:rFonts w:hint="eastAsia" w:ascii="宋体" w:hAnsi="宋体"/>
                <w:color w:val="auto"/>
                <w:sz w:val="28"/>
                <w:szCs w:val="28"/>
                <w:highlight w:val="none"/>
              </w:rPr>
            </w:pPr>
          </w:p>
        </w:tc>
        <w:tc>
          <w:tcPr>
            <w:tcW w:w="523" w:type="pct"/>
            <w:noWrap w:val="0"/>
            <w:vAlign w:val="center"/>
          </w:tcPr>
          <w:p w14:paraId="02262E24">
            <w:pPr>
              <w:snapToGrid w:val="0"/>
              <w:jc w:val="center"/>
              <w:rPr>
                <w:rFonts w:hint="eastAsia" w:ascii="宋体" w:hAnsi="宋体"/>
                <w:color w:val="auto"/>
                <w:sz w:val="28"/>
                <w:szCs w:val="28"/>
                <w:highlight w:val="none"/>
              </w:rPr>
            </w:pPr>
          </w:p>
        </w:tc>
      </w:tr>
      <w:tr w14:paraId="7ED4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 w:type="pct"/>
            <w:noWrap w:val="0"/>
            <w:vAlign w:val="center"/>
          </w:tcPr>
          <w:p w14:paraId="56AB26DA">
            <w:pPr>
              <w:snapToGrid w:val="0"/>
              <w:jc w:val="both"/>
              <w:rPr>
                <w:rFonts w:hint="eastAsia" w:ascii="宋体" w:hAnsi="宋体"/>
                <w:color w:val="auto"/>
                <w:highlight w:val="none"/>
              </w:rPr>
            </w:pPr>
          </w:p>
        </w:tc>
        <w:tc>
          <w:tcPr>
            <w:tcW w:w="692" w:type="pct"/>
            <w:noWrap w:val="0"/>
            <w:vAlign w:val="center"/>
          </w:tcPr>
          <w:p w14:paraId="30E5D742">
            <w:pPr>
              <w:snapToGrid w:val="0"/>
              <w:jc w:val="both"/>
              <w:rPr>
                <w:rFonts w:hint="eastAsia" w:ascii="宋体" w:hAnsi="宋体"/>
                <w:color w:val="auto"/>
                <w:highlight w:val="none"/>
              </w:rPr>
            </w:pPr>
          </w:p>
        </w:tc>
        <w:tc>
          <w:tcPr>
            <w:tcW w:w="376" w:type="pct"/>
            <w:noWrap w:val="0"/>
            <w:vAlign w:val="center"/>
          </w:tcPr>
          <w:p w14:paraId="4C26E300">
            <w:pPr>
              <w:snapToGrid w:val="0"/>
              <w:jc w:val="both"/>
              <w:rPr>
                <w:rFonts w:hint="eastAsia" w:ascii="宋体" w:hAnsi="宋体"/>
                <w:color w:val="auto"/>
                <w:highlight w:val="none"/>
              </w:rPr>
            </w:pPr>
          </w:p>
        </w:tc>
        <w:tc>
          <w:tcPr>
            <w:tcW w:w="448" w:type="pct"/>
            <w:noWrap w:val="0"/>
            <w:vAlign w:val="center"/>
          </w:tcPr>
          <w:p w14:paraId="3488C80D">
            <w:pPr>
              <w:snapToGrid w:val="0"/>
              <w:jc w:val="both"/>
              <w:rPr>
                <w:rFonts w:hint="eastAsia" w:ascii="宋体" w:hAnsi="宋体"/>
                <w:color w:val="auto"/>
                <w:highlight w:val="none"/>
              </w:rPr>
            </w:pPr>
          </w:p>
        </w:tc>
        <w:tc>
          <w:tcPr>
            <w:tcW w:w="449" w:type="pct"/>
            <w:noWrap w:val="0"/>
            <w:vAlign w:val="center"/>
          </w:tcPr>
          <w:p w14:paraId="2A924845">
            <w:pPr>
              <w:snapToGrid w:val="0"/>
              <w:jc w:val="both"/>
              <w:rPr>
                <w:rFonts w:hint="eastAsia" w:ascii="宋体" w:hAnsi="宋体"/>
                <w:color w:val="auto"/>
                <w:highlight w:val="none"/>
              </w:rPr>
            </w:pPr>
          </w:p>
        </w:tc>
        <w:tc>
          <w:tcPr>
            <w:tcW w:w="374" w:type="pct"/>
            <w:noWrap w:val="0"/>
            <w:vAlign w:val="center"/>
          </w:tcPr>
          <w:p w14:paraId="28DE9F9A">
            <w:pPr>
              <w:snapToGrid w:val="0"/>
              <w:jc w:val="both"/>
              <w:rPr>
                <w:rFonts w:hint="eastAsia" w:ascii="宋体" w:hAnsi="宋体"/>
                <w:color w:val="auto"/>
                <w:highlight w:val="none"/>
              </w:rPr>
            </w:pPr>
          </w:p>
        </w:tc>
        <w:tc>
          <w:tcPr>
            <w:tcW w:w="525" w:type="pct"/>
            <w:noWrap w:val="0"/>
            <w:vAlign w:val="bottom"/>
          </w:tcPr>
          <w:p w14:paraId="4E82CB1F">
            <w:pPr>
              <w:pStyle w:val="32"/>
              <w:snapToGrid w:val="0"/>
              <w:jc w:val="center"/>
              <w:rPr>
                <w:rFonts w:hint="eastAsia" w:hAnsi="宋体"/>
                <w:color w:val="auto"/>
                <w:sz w:val="28"/>
                <w:highlight w:val="none"/>
              </w:rPr>
            </w:pPr>
          </w:p>
        </w:tc>
        <w:tc>
          <w:tcPr>
            <w:tcW w:w="525" w:type="pct"/>
            <w:noWrap w:val="0"/>
            <w:vAlign w:val="bottom"/>
          </w:tcPr>
          <w:p w14:paraId="2CF88C3A">
            <w:pPr>
              <w:pStyle w:val="32"/>
              <w:snapToGrid w:val="0"/>
              <w:jc w:val="center"/>
              <w:rPr>
                <w:rFonts w:hint="eastAsia" w:hAnsi="宋体"/>
                <w:color w:val="auto"/>
                <w:sz w:val="28"/>
                <w:highlight w:val="none"/>
              </w:rPr>
            </w:pPr>
          </w:p>
        </w:tc>
        <w:tc>
          <w:tcPr>
            <w:tcW w:w="824" w:type="pct"/>
            <w:noWrap w:val="0"/>
            <w:vAlign w:val="center"/>
          </w:tcPr>
          <w:p w14:paraId="5D1389FB">
            <w:pPr>
              <w:snapToGrid w:val="0"/>
              <w:jc w:val="center"/>
              <w:rPr>
                <w:rFonts w:hint="eastAsia" w:ascii="宋体" w:hAnsi="宋体"/>
                <w:color w:val="auto"/>
                <w:sz w:val="28"/>
                <w:szCs w:val="28"/>
                <w:highlight w:val="none"/>
              </w:rPr>
            </w:pPr>
          </w:p>
        </w:tc>
        <w:tc>
          <w:tcPr>
            <w:tcW w:w="523" w:type="pct"/>
            <w:noWrap w:val="0"/>
            <w:vAlign w:val="center"/>
          </w:tcPr>
          <w:p w14:paraId="7111EF32">
            <w:pPr>
              <w:snapToGrid w:val="0"/>
              <w:jc w:val="center"/>
              <w:rPr>
                <w:rFonts w:hint="eastAsia" w:ascii="宋体" w:hAnsi="宋体"/>
                <w:color w:val="auto"/>
                <w:sz w:val="28"/>
                <w:szCs w:val="28"/>
                <w:highlight w:val="none"/>
              </w:rPr>
            </w:pPr>
          </w:p>
        </w:tc>
      </w:tr>
    </w:tbl>
    <w:p w14:paraId="0351B4CA">
      <w:pPr>
        <w:pStyle w:val="261"/>
        <w:snapToGrid w:val="0"/>
        <w:spacing w:line="240" w:lineRule="auto"/>
        <w:ind w:firstLine="0" w:firstLineChars="0"/>
        <w:rPr>
          <w:rFonts w:hint="eastAsia" w:ascii="宋体" w:eastAsia="宋体"/>
          <w:color w:val="auto"/>
          <w:sz w:val="28"/>
          <w:highlight w:val="none"/>
        </w:rPr>
      </w:pPr>
    </w:p>
    <w:p w14:paraId="49D76EB6">
      <w:pPr>
        <w:pStyle w:val="261"/>
        <w:snapToGrid w:val="0"/>
        <w:spacing w:line="240" w:lineRule="auto"/>
        <w:ind w:firstLine="0" w:firstLineChars="0"/>
        <w:rPr>
          <w:rFonts w:hint="eastAsia" w:ascii="宋体" w:eastAsia="宋体"/>
          <w:color w:val="auto"/>
          <w:sz w:val="28"/>
          <w:highlight w:val="none"/>
        </w:rPr>
      </w:pPr>
    </w:p>
    <w:p w14:paraId="7823B4CF">
      <w:pPr>
        <w:pStyle w:val="261"/>
        <w:snapToGrid w:val="0"/>
        <w:spacing w:line="240" w:lineRule="auto"/>
        <w:ind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rPr>
        <w:t>注：</w:t>
      </w:r>
    </w:p>
    <w:p w14:paraId="7040F1B7">
      <w:pPr>
        <w:pStyle w:val="261"/>
        <w:snapToGrid w:val="0"/>
        <w:spacing w:line="240" w:lineRule="auto"/>
        <w:ind w:firstLine="0" w:firstLineChars="0"/>
        <w:rPr>
          <w:rFonts w:hint="eastAsia" w:ascii="宋体" w:eastAsia="宋体" w:cs="宋体"/>
          <w:color w:val="auto"/>
          <w:sz w:val="24"/>
          <w:szCs w:val="24"/>
          <w:highlight w:val="none"/>
        </w:rPr>
      </w:pPr>
      <w:r>
        <w:rPr>
          <w:rFonts w:hint="eastAsia" w:ascii="宋体" w:eastAsia="宋体" w:cs="宋体"/>
          <w:color w:val="auto"/>
          <w:sz w:val="24"/>
          <w:szCs w:val="24"/>
          <w:highlight w:val="none"/>
          <w:lang w:val="en-US" w:eastAsia="zh-CN"/>
        </w:rPr>
        <w:t>1.</w:t>
      </w:r>
      <w:r>
        <w:rPr>
          <w:rFonts w:hint="eastAsia" w:ascii="宋体" w:eastAsia="宋体" w:cs="宋体"/>
          <w:color w:val="auto"/>
          <w:sz w:val="24"/>
          <w:szCs w:val="24"/>
          <w:highlight w:val="none"/>
        </w:rPr>
        <w:t>投标人递交的技术规格书中与招标文件的技术规格书中的要求有不同时，请逐条列在技术偏离表中并作出“正偏离/负偏离”。</w:t>
      </w:r>
    </w:p>
    <w:p w14:paraId="2BB4EF97">
      <w:pPr>
        <w:pStyle w:val="261"/>
        <w:snapToGrid w:val="0"/>
        <w:spacing w:line="240" w:lineRule="auto"/>
        <w:ind w:firstLine="0" w:firstLineChars="0"/>
        <w:rPr>
          <w:rFonts w:hint="default"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2.除采购清单中注明“定制”或“服务”外，其余投标产品均应注明投标品牌/规格型号。“国产”、“定制”等不确定性表述视为未提供品牌、型号。</w:t>
      </w:r>
    </w:p>
    <w:p w14:paraId="62A81462">
      <w:pPr>
        <w:pStyle w:val="261"/>
        <w:snapToGrid w:val="0"/>
        <w:spacing w:line="240" w:lineRule="auto"/>
        <w:ind w:firstLine="0" w:firstLineChars="0"/>
        <w:rPr>
          <w:rFonts w:hint="eastAsia" w:ascii="宋体" w:eastAsia="宋体" w:cs="宋体"/>
          <w:color w:val="auto"/>
          <w:sz w:val="24"/>
          <w:szCs w:val="24"/>
          <w:highlight w:val="none"/>
        </w:rPr>
      </w:pPr>
    </w:p>
    <w:p w14:paraId="1935A405">
      <w:pPr>
        <w:pStyle w:val="261"/>
        <w:snapToGrid w:val="0"/>
        <w:spacing w:line="240" w:lineRule="auto"/>
        <w:ind w:firstLine="0" w:firstLineChars="0"/>
        <w:rPr>
          <w:rFonts w:hint="eastAsia" w:ascii="宋体" w:eastAsia="宋体" w:cs="宋体"/>
          <w:color w:val="auto"/>
          <w:sz w:val="24"/>
          <w:szCs w:val="24"/>
          <w:highlight w:val="none"/>
        </w:rPr>
      </w:pPr>
    </w:p>
    <w:p w14:paraId="269A17E0">
      <w:pPr>
        <w:adjustRightInd w:val="0"/>
        <w:snapToGrid w:val="0"/>
        <w:ind w:left="482" w:hanging="482"/>
        <w:rPr>
          <w:rFonts w:hint="eastAsia" w:ascii="宋体" w:hAnsi="宋体" w:eastAsia="宋体" w:cs="宋体"/>
          <w:color w:val="auto"/>
          <w:highlight w:val="none"/>
        </w:rPr>
      </w:pPr>
      <w:r>
        <w:rPr>
          <w:rFonts w:hint="eastAsia" w:ascii="宋体" w:hAnsi="宋体" w:eastAsia="宋体" w:cs="宋体"/>
          <w:color w:val="auto"/>
          <w:highlight w:val="none"/>
        </w:rPr>
        <w:t>投标人（盖章）：</w:t>
      </w:r>
    </w:p>
    <w:p w14:paraId="1983ABD3">
      <w:pPr>
        <w:pStyle w:val="261"/>
        <w:snapToGrid w:val="0"/>
        <w:spacing w:line="240" w:lineRule="auto"/>
        <w:ind w:firstLine="0" w:firstLineChars="0"/>
        <w:rPr>
          <w:rFonts w:hint="eastAsia" w:ascii="宋体" w:hAnsi="宋体" w:eastAsia="宋体" w:cs="宋体"/>
          <w:color w:val="auto"/>
          <w:sz w:val="28"/>
          <w:highlight w:val="none"/>
        </w:rPr>
      </w:pPr>
      <w:r>
        <w:rPr>
          <w:rFonts w:hint="eastAsia" w:ascii="宋体" w:hAnsi="宋体" w:eastAsia="宋体" w:cs="宋体"/>
          <w:color w:val="auto"/>
          <w:sz w:val="24"/>
          <w:szCs w:val="24"/>
          <w:highlight w:val="none"/>
        </w:rPr>
        <w:t xml:space="preserve">日  </w:t>
      </w:r>
      <w:bookmarkStart w:id="69" w:name="_Toc359856823"/>
      <w:r>
        <w:rPr>
          <w:rFonts w:hint="eastAsia" w:ascii="宋体" w:hAnsi="宋体" w:eastAsia="宋体" w:cs="宋体"/>
          <w:color w:val="auto"/>
          <w:sz w:val="24"/>
          <w:szCs w:val="24"/>
          <w:highlight w:val="none"/>
        </w:rPr>
        <w:t>期</w:t>
      </w:r>
      <w:bookmarkEnd w:id="69"/>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A97988C">
      <w:pPr>
        <w:pStyle w:val="261"/>
        <w:snapToGrid w:val="0"/>
        <w:spacing w:line="240" w:lineRule="auto"/>
        <w:ind w:firstLine="0" w:firstLineChars="0"/>
        <w:rPr>
          <w:rFonts w:hint="eastAsia" w:ascii="宋体" w:eastAsia="宋体"/>
          <w:color w:val="auto"/>
          <w:sz w:val="30"/>
          <w:szCs w:val="30"/>
          <w:highlight w:val="none"/>
        </w:rPr>
      </w:pPr>
    </w:p>
    <w:p w14:paraId="30B412E5">
      <w:pPr>
        <w:pStyle w:val="261"/>
        <w:snapToGrid w:val="0"/>
        <w:spacing w:line="240" w:lineRule="auto"/>
        <w:ind w:firstLine="0" w:firstLineChars="0"/>
        <w:rPr>
          <w:rFonts w:hint="eastAsia" w:ascii="宋体" w:eastAsia="宋体"/>
          <w:color w:val="auto"/>
          <w:sz w:val="24"/>
          <w:szCs w:val="24"/>
          <w:highlight w:val="none"/>
        </w:rPr>
      </w:pPr>
    </w:p>
    <w:p w14:paraId="04D55CA6">
      <w:pPr>
        <w:pStyle w:val="261"/>
        <w:snapToGrid w:val="0"/>
        <w:spacing w:line="240" w:lineRule="auto"/>
        <w:ind w:firstLine="0" w:firstLineChars="0"/>
        <w:rPr>
          <w:rFonts w:hint="eastAsia" w:ascii="宋体" w:eastAsia="宋体"/>
          <w:color w:val="auto"/>
          <w:sz w:val="24"/>
          <w:szCs w:val="24"/>
          <w:highlight w:val="none"/>
        </w:rPr>
      </w:pPr>
    </w:p>
    <w:p w14:paraId="2849605A">
      <w:pPr>
        <w:pStyle w:val="261"/>
        <w:snapToGrid w:val="0"/>
        <w:spacing w:line="240" w:lineRule="auto"/>
        <w:ind w:firstLine="0" w:firstLineChars="0"/>
        <w:rPr>
          <w:rFonts w:hint="eastAsia" w:ascii="宋体" w:eastAsia="宋体"/>
          <w:color w:val="auto"/>
          <w:sz w:val="24"/>
          <w:szCs w:val="24"/>
          <w:highlight w:val="none"/>
        </w:rPr>
      </w:pPr>
    </w:p>
    <w:p w14:paraId="5C05CFFF">
      <w:pPr>
        <w:pStyle w:val="261"/>
        <w:snapToGrid w:val="0"/>
        <w:spacing w:line="240" w:lineRule="auto"/>
        <w:ind w:firstLine="0" w:firstLineChars="0"/>
        <w:rPr>
          <w:rFonts w:hint="eastAsia" w:ascii="宋体" w:eastAsia="宋体"/>
          <w:color w:val="auto"/>
          <w:sz w:val="24"/>
          <w:szCs w:val="24"/>
          <w:highlight w:val="none"/>
        </w:rPr>
      </w:pPr>
    </w:p>
    <w:p w14:paraId="076E766D">
      <w:pPr>
        <w:pStyle w:val="261"/>
        <w:snapToGrid w:val="0"/>
        <w:spacing w:line="240" w:lineRule="auto"/>
        <w:ind w:firstLine="0" w:firstLineChars="0"/>
        <w:rPr>
          <w:rFonts w:hint="eastAsia" w:ascii="宋体" w:eastAsia="宋体"/>
          <w:color w:val="auto"/>
          <w:sz w:val="24"/>
          <w:szCs w:val="24"/>
          <w:highlight w:val="none"/>
        </w:rPr>
      </w:pPr>
    </w:p>
    <w:p w14:paraId="4290B736">
      <w:pPr>
        <w:pStyle w:val="261"/>
        <w:snapToGrid w:val="0"/>
        <w:spacing w:line="240" w:lineRule="auto"/>
        <w:ind w:firstLine="0" w:firstLineChars="0"/>
        <w:rPr>
          <w:rFonts w:hint="eastAsia" w:ascii="宋体" w:eastAsia="宋体"/>
          <w:color w:val="auto"/>
          <w:sz w:val="24"/>
          <w:szCs w:val="24"/>
          <w:highlight w:val="none"/>
        </w:rPr>
      </w:pPr>
    </w:p>
    <w:p w14:paraId="7C1793BE">
      <w:pPr>
        <w:pStyle w:val="261"/>
        <w:snapToGrid w:val="0"/>
        <w:spacing w:line="240" w:lineRule="auto"/>
        <w:ind w:firstLine="0" w:firstLineChars="0"/>
        <w:rPr>
          <w:rFonts w:hint="eastAsia" w:ascii="宋体" w:eastAsia="宋体"/>
          <w:color w:val="auto"/>
          <w:sz w:val="24"/>
          <w:szCs w:val="24"/>
          <w:highlight w:val="none"/>
        </w:rPr>
      </w:pPr>
    </w:p>
    <w:p w14:paraId="7A6BCB4A">
      <w:pPr>
        <w:pStyle w:val="261"/>
        <w:snapToGrid w:val="0"/>
        <w:spacing w:line="240" w:lineRule="auto"/>
        <w:ind w:firstLine="0" w:firstLineChars="0"/>
        <w:rPr>
          <w:rFonts w:hint="eastAsia" w:ascii="宋体" w:eastAsia="宋体"/>
          <w:color w:val="auto"/>
          <w:sz w:val="24"/>
          <w:szCs w:val="24"/>
          <w:highlight w:val="none"/>
        </w:rPr>
      </w:pPr>
    </w:p>
    <w:p w14:paraId="5D9A8B2E">
      <w:pPr>
        <w:pStyle w:val="261"/>
        <w:snapToGrid w:val="0"/>
        <w:spacing w:line="240" w:lineRule="auto"/>
        <w:ind w:firstLine="0" w:firstLineChars="0"/>
        <w:rPr>
          <w:rFonts w:hint="eastAsia" w:ascii="宋体" w:eastAsia="宋体"/>
          <w:color w:val="auto"/>
          <w:sz w:val="24"/>
          <w:szCs w:val="24"/>
          <w:highlight w:val="none"/>
        </w:rPr>
      </w:pPr>
    </w:p>
    <w:p w14:paraId="2ECF3D6B">
      <w:pPr>
        <w:pStyle w:val="261"/>
        <w:snapToGrid w:val="0"/>
        <w:spacing w:line="240" w:lineRule="auto"/>
        <w:ind w:firstLine="0" w:firstLineChars="0"/>
        <w:rPr>
          <w:rFonts w:hint="eastAsia" w:ascii="宋体" w:eastAsia="宋体"/>
          <w:color w:val="auto"/>
          <w:sz w:val="24"/>
          <w:szCs w:val="24"/>
          <w:highlight w:val="none"/>
        </w:rPr>
      </w:pPr>
    </w:p>
    <w:p w14:paraId="073086BA">
      <w:pPr>
        <w:pStyle w:val="261"/>
        <w:snapToGrid w:val="0"/>
        <w:spacing w:line="240" w:lineRule="auto"/>
        <w:ind w:firstLine="0" w:firstLineChars="0"/>
        <w:rPr>
          <w:rFonts w:hint="eastAsia" w:ascii="宋体" w:eastAsia="宋体"/>
          <w:color w:val="auto"/>
          <w:sz w:val="24"/>
          <w:szCs w:val="24"/>
          <w:highlight w:val="none"/>
        </w:rPr>
      </w:pPr>
    </w:p>
    <w:p w14:paraId="34A4986C">
      <w:pPr>
        <w:pStyle w:val="261"/>
        <w:snapToGrid w:val="0"/>
        <w:spacing w:line="240" w:lineRule="auto"/>
        <w:ind w:firstLine="0" w:firstLineChars="0"/>
        <w:rPr>
          <w:rFonts w:hint="eastAsia" w:ascii="宋体" w:eastAsia="宋体"/>
          <w:color w:val="auto"/>
          <w:sz w:val="24"/>
          <w:szCs w:val="24"/>
          <w:highlight w:val="none"/>
        </w:rPr>
      </w:pPr>
    </w:p>
    <w:p w14:paraId="53CC197E">
      <w:pPr>
        <w:pStyle w:val="261"/>
        <w:snapToGrid w:val="0"/>
        <w:spacing w:line="240" w:lineRule="auto"/>
        <w:ind w:firstLine="0" w:firstLineChars="0"/>
        <w:rPr>
          <w:rFonts w:hint="eastAsia" w:ascii="宋体" w:eastAsia="宋体"/>
          <w:color w:val="auto"/>
          <w:sz w:val="24"/>
          <w:szCs w:val="24"/>
          <w:highlight w:val="none"/>
        </w:rPr>
      </w:pPr>
    </w:p>
    <w:p w14:paraId="218CD56E">
      <w:pPr>
        <w:pStyle w:val="261"/>
        <w:snapToGrid w:val="0"/>
        <w:spacing w:line="240" w:lineRule="auto"/>
        <w:ind w:firstLine="0" w:firstLineChars="0"/>
        <w:rPr>
          <w:rFonts w:hint="eastAsia" w:ascii="宋体" w:eastAsia="宋体"/>
          <w:color w:val="auto"/>
          <w:sz w:val="24"/>
          <w:szCs w:val="24"/>
          <w:highlight w:val="none"/>
        </w:rPr>
      </w:pPr>
    </w:p>
    <w:p w14:paraId="38F5EB5E">
      <w:pPr>
        <w:pStyle w:val="261"/>
        <w:snapToGrid w:val="0"/>
        <w:spacing w:line="240" w:lineRule="auto"/>
        <w:ind w:firstLine="0" w:firstLineChars="0"/>
        <w:rPr>
          <w:rFonts w:hint="eastAsia" w:ascii="宋体" w:eastAsia="宋体"/>
          <w:color w:val="auto"/>
          <w:sz w:val="24"/>
          <w:szCs w:val="24"/>
          <w:highlight w:val="none"/>
        </w:rPr>
      </w:pPr>
    </w:p>
    <w:p w14:paraId="1028606F">
      <w:pPr>
        <w:pStyle w:val="261"/>
        <w:snapToGrid w:val="0"/>
        <w:spacing w:line="240" w:lineRule="auto"/>
        <w:ind w:firstLine="0" w:firstLineChars="0"/>
        <w:rPr>
          <w:rFonts w:hint="eastAsia" w:ascii="宋体" w:eastAsia="宋体"/>
          <w:color w:val="auto"/>
          <w:sz w:val="24"/>
          <w:szCs w:val="24"/>
          <w:highlight w:val="none"/>
        </w:rPr>
      </w:pPr>
    </w:p>
    <w:p w14:paraId="1FB89E66">
      <w:pPr>
        <w:pStyle w:val="261"/>
        <w:snapToGrid w:val="0"/>
        <w:spacing w:line="240" w:lineRule="auto"/>
        <w:ind w:firstLine="0" w:firstLineChars="0"/>
        <w:rPr>
          <w:rFonts w:hint="eastAsia" w:ascii="宋体" w:eastAsia="宋体"/>
          <w:color w:val="auto"/>
          <w:sz w:val="24"/>
          <w:szCs w:val="24"/>
          <w:highlight w:val="none"/>
        </w:rPr>
      </w:pPr>
    </w:p>
    <w:p w14:paraId="2A276C13">
      <w:pPr>
        <w:pStyle w:val="261"/>
        <w:snapToGrid w:val="0"/>
        <w:spacing w:line="240" w:lineRule="auto"/>
        <w:ind w:firstLine="0" w:firstLineChars="0"/>
        <w:rPr>
          <w:rFonts w:hint="eastAsia" w:ascii="宋体" w:eastAsia="宋体"/>
          <w:color w:val="auto"/>
          <w:sz w:val="24"/>
          <w:szCs w:val="24"/>
          <w:highlight w:val="none"/>
        </w:rPr>
      </w:pPr>
    </w:p>
    <w:p w14:paraId="70AB9F74">
      <w:pPr>
        <w:pStyle w:val="261"/>
        <w:snapToGrid w:val="0"/>
        <w:spacing w:line="240" w:lineRule="auto"/>
        <w:ind w:firstLine="0" w:firstLineChars="0"/>
        <w:rPr>
          <w:rFonts w:hint="eastAsia" w:ascii="宋体" w:eastAsia="宋体"/>
          <w:color w:val="auto"/>
          <w:sz w:val="24"/>
          <w:szCs w:val="24"/>
          <w:highlight w:val="none"/>
        </w:rPr>
      </w:pPr>
    </w:p>
    <w:p w14:paraId="21E9D921">
      <w:pPr>
        <w:pStyle w:val="261"/>
        <w:snapToGrid w:val="0"/>
        <w:spacing w:line="240" w:lineRule="auto"/>
        <w:ind w:firstLine="0" w:firstLineChars="0"/>
        <w:rPr>
          <w:rFonts w:hint="eastAsia" w:ascii="宋体" w:eastAsia="宋体"/>
          <w:color w:val="auto"/>
          <w:sz w:val="24"/>
          <w:szCs w:val="24"/>
          <w:highlight w:val="none"/>
        </w:rPr>
      </w:pPr>
    </w:p>
    <w:p w14:paraId="6DD6050B">
      <w:pPr>
        <w:pStyle w:val="261"/>
        <w:snapToGrid w:val="0"/>
        <w:spacing w:line="240" w:lineRule="auto"/>
        <w:ind w:firstLine="0" w:firstLineChars="0"/>
        <w:rPr>
          <w:rFonts w:hint="eastAsia" w:ascii="宋体" w:eastAsia="宋体"/>
          <w:color w:val="auto"/>
          <w:sz w:val="24"/>
          <w:szCs w:val="24"/>
          <w:highlight w:val="none"/>
        </w:rPr>
      </w:pPr>
    </w:p>
    <w:p w14:paraId="701EC699">
      <w:pPr>
        <w:pStyle w:val="261"/>
        <w:snapToGrid w:val="0"/>
        <w:spacing w:line="240" w:lineRule="auto"/>
        <w:ind w:firstLine="0" w:firstLineChars="0"/>
        <w:rPr>
          <w:rFonts w:hint="eastAsia" w:ascii="宋体" w:eastAsia="宋体"/>
          <w:color w:val="auto"/>
          <w:sz w:val="24"/>
          <w:szCs w:val="24"/>
          <w:highlight w:val="none"/>
        </w:rPr>
      </w:pPr>
    </w:p>
    <w:p w14:paraId="3EA37547">
      <w:pPr>
        <w:pStyle w:val="261"/>
        <w:snapToGrid w:val="0"/>
        <w:spacing w:line="240" w:lineRule="auto"/>
        <w:ind w:firstLine="0" w:firstLineChars="0"/>
        <w:rPr>
          <w:rFonts w:hint="eastAsia" w:ascii="宋体" w:eastAsia="宋体"/>
          <w:color w:val="auto"/>
          <w:sz w:val="24"/>
          <w:szCs w:val="24"/>
          <w:highlight w:val="none"/>
        </w:rPr>
      </w:pPr>
    </w:p>
    <w:p w14:paraId="53A2CCCD">
      <w:pPr>
        <w:pStyle w:val="261"/>
        <w:snapToGrid w:val="0"/>
        <w:spacing w:line="240" w:lineRule="auto"/>
        <w:ind w:firstLine="0" w:firstLineChars="0"/>
        <w:rPr>
          <w:rFonts w:hint="eastAsia" w:ascii="宋体" w:eastAsia="宋体"/>
          <w:color w:val="auto"/>
          <w:sz w:val="24"/>
          <w:szCs w:val="24"/>
          <w:highlight w:val="none"/>
        </w:rPr>
      </w:pPr>
    </w:p>
    <w:p w14:paraId="1EEB6E79">
      <w:pPr>
        <w:pStyle w:val="261"/>
        <w:snapToGrid w:val="0"/>
        <w:spacing w:line="240" w:lineRule="auto"/>
        <w:ind w:firstLine="0" w:firstLineChars="0"/>
        <w:rPr>
          <w:rFonts w:hint="eastAsia" w:ascii="宋体" w:eastAsia="宋体"/>
          <w:color w:val="auto"/>
          <w:sz w:val="24"/>
          <w:szCs w:val="24"/>
          <w:highlight w:val="none"/>
        </w:rPr>
      </w:pPr>
    </w:p>
    <w:p w14:paraId="5A481FCB">
      <w:pPr>
        <w:bidi w:val="0"/>
        <w:jc w:val="center"/>
        <w:rPr>
          <w:rFonts w:hint="eastAsia"/>
          <w:color w:val="auto"/>
          <w:highlight w:val="none"/>
        </w:rPr>
      </w:pPr>
      <w:r>
        <w:rPr>
          <w:rFonts w:hint="eastAsia"/>
          <w:color w:val="auto"/>
          <w:highlight w:val="none"/>
        </w:rPr>
        <w:t>四、报价文件参考格式</w:t>
      </w:r>
    </w:p>
    <w:p w14:paraId="33D423DC">
      <w:pPr>
        <w:snapToGrid w:val="0"/>
        <w:jc w:val="center"/>
        <w:rPr>
          <w:rFonts w:hint="eastAsia" w:ascii="宋体" w:hAnsi="宋体"/>
          <w:color w:val="auto"/>
          <w:highlight w:val="none"/>
        </w:rPr>
      </w:pPr>
    </w:p>
    <w:p w14:paraId="4FA42464">
      <w:pPr>
        <w:snapToGrid w:val="0"/>
        <w:jc w:val="center"/>
        <w:rPr>
          <w:rFonts w:hint="eastAsia" w:ascii="宋体" w:hAnsi="宋体"/>
          <w:color w:val="auto"/>
          <w:highlight w:val="none"/>
        </w:rPr>
      </w:pPr>
      <w:r>
        <w:rPr>
          <w:rFonts w:hint="eastAsia" w:ascii="宋体" w:hAnsi="宋体"/>
          <w:color w:val="auto"/>
          <w:highlight w:val="none"/>
        </w:rPr>
        <w:t>1 开标一览表</w:t>
      </w:r>
    </w:p>
    <w:p w14:paraId="6BF70EDE">
      <w:pPr>
        <w:pStyle w:val="380"/>
        <w:snapToGrid w:val="0"/>
        <w:jc w:val="center"/>
        <w:rPr>
          <w:rFonts w:hint="eastAsia" w:ascii="宋体" w:hAnsi="宋体"/>
          <w:bCs/>
          <w:color w:val="auto"/>
          <w:sz w:val="24"/>
          <w:highlight w:val="none"/>
        </w:rPr>
      </w:pPr>
      <w:r>
        <w:rPr>
          <w:rFonts w:hint="eastAsia" w:ascii="宋体" w:hAnsi="宋体"/>
          <w:bCs/>
          <w:color w:val="auto"/>
          <w:sz w:val="24"/>
          <w:highlight w:val="none"/>
        </w:rPr>
        <w:t>（由投标人根据招标货物（服务）清单自行填写完整）</w:t>
      </w:r>
    </w:p>
    <w:p w14:paraId="702C894A">
      <w:pPr>
        <w:snapToGrid w:val="0"/>
        <w:rPr>
          <w:rFonts w:ascii="宋体" w:hAnsi="宋体"/>
          <w:bCs/>
          <w:color w:val="auto"/>
          <w:highlight w:val="none"/>
        </w:rPr>
      </w:pPr>
    </w:p>
    <w:tbl>
      <w:tblPr>
        <w:tblStyle w:val="63"/>
        <w:tblW w:w="5637" w:type="pct"/>
        <w:jc w:val="center"/>
        <w:tblLayout w:type="fixed"/>
        <w:tblCellMar>
          <w:top w:w="0" w:type="dxa"/>
          <w:left w:w="108" w:type="dxa"/>
          <w:bottom w:w="0" w:type="dxa"/>
          <w:right w:w="108" w:type="dxa"/>
        </w:tblCellMar>
      </w:tblPr>
      <w:tblGrid>
        <w:gridCol w:w="498"/>
        <w:gridCol w:w="1648"/>
        <w:gridCol w:w="1424"/>
        <w:gridCol w:w="1424"/>
        <w:gridCol w:w="1424"/>
        <w:gridCol w:w="1424"/>
        <w:gridCol w:w="1008"/>
        <w:gridCol w:w="1054"/>
        <w:gridCol w:w="632"/>
      </w:tblGrid>
      <w:tr w14:paraId="769505AC">
        <w:tblPrEx>
          <w:tblCellMar>
            <w:top w:w="0" w:type="dxa"/>
            <w:left w:w="108" w:type="dxa"/>
            <w:bottom w:w="0" w:type="dxa"/>
            <w:right w:w="108" w:type="dxa"/>
          </w:tblCellMar>
        </w:tblPrEx>
        <w:trPr>
          <w:trHeight w:val="710"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14:paraId="5DF9291E">
            <w:pPr>
              <w:pStyle w:val="380"/>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2" w:type="pct"/>
            <w:tcBorders>
              <w:top w:val="single" w:color="auto" w:sz="4" w:space="0"/>
              <w:left w:val="single" w:color="auto" w:sz="4" w:space="0"/>
              <w:bottom w:val="single" w:color="auto" w:sz="4" w:space="0"/>
              <w:right w:val="single" w:color="auto" w:sz="4" w:space="0"/>
            </w:tcBorders>
            <w:noWrap/>
            <w:vAlign w:val="center"/>
          </w:tcPr>
          <w:p w14:paraId="6104BA27">
            <w:pPr>
              <w:pStyle w:val="380"/>
              <w:ind w:firstLine="360" w:firstLineChars="150"/>
              <w:rPr>
                <w:rFonts w:hint="eastAsia" w:ascii="宋体" w:hAnsi="宋体" w:cs="宋体"/>
                <w:color w:val="auto"/>
                <w:sz w:val="24"/>
                <w:highlight w:val="none"/>
              </w:rPr>
            </w:pPr>
            <w:r>
              <w:rPr>
                <w:rFonts w:hint="eastAsia" w:ascii="宋体" w:hAnsi="宋体" w:cs="宋体"/>
                <w:color w:val="auto"/>
                <w:sz w:val="24"/>
                <w:highlight w:val="none"/>
              </w:rPr>
              <w:t>名称</w:t>
            </w:r>
          </w:p>
        </w:tc>
        <w:tc>
          <w:tcPr>
            <w:tcW w:w="675" w:type="pct"/>
            <w:tcBorders>
              <w:top w:val="single" w:color="auto" w:sz="4" w:space="0"/>
              <w:left w:val="nil"/>
              <w:bottom w:val="single" w:color="auto" w:sz="4" w:space="0"/>
              <w:right w:val="single" w:color="auto" w:sz="4" w:space="0"/>
            </w:tcBorders>
            <w:noWrap w:val="0"/>
            <w:vAlign w:val="center"/>
          </w:tcPr>
          <w:p w14:paraId="3F7B7542">
            <w:pPr>
              <w:pStyle w:val="38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品牌</w:t>
            </w:r>
          </w:p>
        </w:tc>
        <w:tc>
          <w:tcPr>
            <w:tcW w:w="675" w:type="pct"/>
            <w:tcBorders>
              <w:top w:val="single" w:color="auto" w:sz="4" w:space="0"/>
              <w:left w:val="nil"/>
              <w:bottom w:val="single" w:color="auto" w:sz="4" w:space="0"/>
              <w:right w:val="single" w:color="auto" w:sz="4" w:space="0"/>
            </w:tcBorders>
            <w:noWrap w:val="0"/>
            <w:vAlign w:val="center"/>
          </w:tcPr>
          <w:p w14:paraId="585C6F37">
            <w:pPr>
              <w:pStyle w:val="38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规格型号</w:t>
            </w:r>
          </w:p>
        </w:tc>
        <w:tc>
          <w:tcPr>
            <w:tcW w:w="675" w:type="pct"/>
            <w:tcBorders>
              <w:top w:val="single" w:color="auto" w:sz="4" w:space="0"/>
              <w:left w:val="nil"/>
              <w:bottom w:val="single" w:color="auto" w:sz="4" w:space="0"/>
              <w:right w:val="single" w:color="auto" w:sz="4" w:space="0"/>
            </w:tcBorders>
            <w:noWrap w:val="0"/>
            <w:vAlign w:val="center"/>
          </w:tcPr>
          <w:p w14:paraId="661665A7">
            <w:pPr>
              <w:pStyle w:val="380"/>
              <w:jc w:val="center"/>
              <w:rPr>
                <w:rFonts w:ascii="宋体" w:hAnsi="宋体" w:cs="宋体"/>
                <w:color w:val="auto"/>
                <w:sz w:val="24"/>
                <w:highlight w:val="none"/>
              </w:rPr>
            </w:pPr>
            <w:r>
              <w:rPr>
                <w:rFonts w:hint="eastAsia" w:ascii="宋体" w:hAnsi="宋体" w:cs="宋体"/>
                <w:color w:val="auto"/>
                <w:sz w:val="24"/>
                <w:highlight w:val="none"/>
              </w:rPr>
              <w:t>详细参数</w:t>
            </w:r>
          </w:p>
        </w:tc>
        <w:tc>
          <w:tcPr>
            <w:tcW w:w="675" w:type="pct"/>
            <w:tcBorders>
              <w:top w:val="single" w:color="auto" w:sz="4" w:space="0"/>
              <w:left w:val="nil"/>
              <w:bottom w:val="single" w:color="auto" w:sz="4" w:space="0"/>
              <w:right w:val="single" w:color="auto" w:sz="4" w:space="0"/>
            </w:tcBorders>
            <w:noWrap w:val="0"/>
            <w:vAlign w:val="center"/>
          </w:tcPr>
          <w:p w14:paraId="2F031197">
            <w:pPr>
              <w:pStyle w:val="38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478" w:type="pct"/>
            <w:tcBorders>
              <w:top w:val="single" w:color="auto" w:sz="4" w:space="0"/>
              <w:left w:val="nil"/>
              <w:bottom w:val="single" w:color="auto" w:sz="4" w:space="0"/>
              <w:right w:val="single" w:color="auto" w:sz="4" w:space="0"/>
            </w:tcBorders>
            <w:noWrap w:val="0"/>
            <w:vAlign w:val="center"/>
          </w:tcPr>
          <w:p w14:paraId="77326B72">
            <w:pPr>
              <w:pStyle w:val="380"/>
              <w:jc w:val="center"/>
              <w:rPr>
                <w:rFonts w:hint="eastAsia" w:ascii="宋体" w:hAnsi="宋体" w:cs="宋体"/>
                <w:color w:val="auto"/>
                <w:sz w:val="24"/>
                <w:highlight w:val="none"/>
              </w:rPr>
            </w:pPr>
            <w:r>
              <w:rPr>
                <w:rFonts w:hint="eastAsia" w:ascii="宋体" w:hAnsi="宋体" w:cs="宋体"/>
                <w:color w:val="auto"/>
                <w:sz w:val="24"/>
                <w:highlight w:val="none"/>
              </w:rPr>
              <w:t>单价（元）</w:t>
            </w:r>
          </w:p>
        </w:tc>
        <w:tc>
          <w:tcPr>
            <w:tcW w:w="500" w:type="pct"/>
            <w:tcBorders>
              <w:top w:val="single" w:color="auto" w:sz="4" w:space="0"/>
              <w:left w:val="nil"/>
              <w:bottom w:val="single" w:color="auto" w:sz="4" w:space="0"/>
              <w:right w:val="single" w:color="auto" w:sz="4" w:space="0"/>
            </w:tcBorders>
            <w:noWrap w:val="0"/>
            <w:vAlign w:val="center"/>
          </w:tcPr>
          <w:p w14:paraId="1C3D066D">
            <w:pPr>
              <w:pStyle w:val="380"/>
              <w:jc w:val="center"/>
              <w:rPr>
                <w:rFonts w:hint="eastAsia" w:ascii="宋体" w:hAnsi="宋体" w:cs="宋体"/>
                <w:color w:val="auto"/>
                <w:sz w:val="24"/>
                <w:highlight w:val="none"/>
              </w:rPr>
            </w:pPr>
            <w:r>
              <w:rPr>
                <w:rFonts w:hint="eastAsia" w:ascii="宋体" w:hAnsi="宋体" w:cs="宋体"/>
                <w:color w:val="auto"/>
                <w:sz w:val="24"/>
                <w:highlight w:val="none"/>
              </w:rPr>
              <w:t>合价（元）</w:t>
            </w:r>
          </w:p>
        </w:tc>
        <w:tc>
          <w:tcPr>
            <w:tcW w:w="299" w:type="pct"/>
            <w:tcBorders>
              <w:top w:val="single" w:color="auto" w:sz="4" w:space="0"/>
              <w:left w:val="nil"/>
              <w:bottom w:val="single" w:color="auto" w:sz="4" w:space="0"/>
              <w:right w:val="single" w:color="auto" w:sz="4" w:space="0"/>
            </w:tcBorders>
            <w:noWrap w:val="0"/>
            <w:vAlign w:val="center"/>
          </w:tcPr>
          <w:p w14:paraId="4F693B2D">
            <w:pPr>
              <w:pStyle w:val="380"/>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3F8671C">
        <w:tblPrEx>
          <w:tblCellMar>
            <w:top w:w="0" w:type="dxa"/>
            <w:left w:w="108" w:type="dxa"/>
            <w:bottom w:w="0" w:type="dxa"/>
            <w:right w:w="108" w:type="dxa"/>
          </w:tblCellMar>
        </w:tblPrEx>
        <w:trPr>
          <w:trHeight w:val="879"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14:paraId="7B0680BD">
            <w:pPr>
              <w:pStyle w:val="380"/>
              <w:jc w:val="center"/>
              <w:rPr>
                <w:rFonts w:ascii="宋体" w:hAnsi="宋体" w:cs="宋体"/>
                <w:color w:val="auto"/>
                <w:sz w:val="24"/>
                <w:highlight w:val="none"/>
              </w:rPr>
            </w:pPr>
            <w:r>
              <w:rPr>
                <w:rFonts w:hint="eastAsia" w:ascii="宋体" w:hAnsi="宋体" w:cs="宋体"/>
                <w:color w:val="auto"/>
                <w:sz w:val="24"/>
                <w:highlight w:val="none"/>
              </w:rPr>
              <w:t>1</w:t>
            </w:r>
          </w:p>
        </w:tc>
        <w:tc>
          <w:tcPr>
            <w:tcW w:w="782" w:type="pct"/>
            <w:tcBorders>
              <w:top w:val="single" w:color="auto" w:sz="4" w:space="0"/>
              <w:left w:val="single" w:color="auto" w:sz="4" w:space="0"/>
              <w:bottom w:val="single" w:color="auto" w:sz="4" w:space="0"/>
              <w:right w:val="single" w:color="auto" w:sz="4" w:space="0"/>
            </w:tcBorders>
            <w:noWrap/>
            <w:vAlign w:val="center"/>
          </w:tcPr>
          <w:p w14:paraId="1E6D1CBA">
            <w:pPr>
              <w:pStyle w:val="380"/>
              <w:jc w:val="center"/>
              <w:rPr>
                <w:rFonts w:hint="eastAsia" w:ascii="宋体" w:hAnsi="宋体" w:cs="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129B4E1">
            <w:pPr>
              <w:pStyle w:val="380"/>
              <w:jc w:val="center"/>
              <w:rPr>
                <w:rFonts w:hint="eastAsia" w:ascii="宋体" w:hAnsi="宋体" w:cs="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16838B83">
            <w:pPr>
              <w:pStyle w:val="380"/>
              <w:jc w:val="center"/>
              <w:rPr>
                <w:rFonts w:hint="eastAsia" w:ascii="宋体" w:hAnsi="宋体" w:cs="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5AD85987">
            <w:pPr>
              <w:pStyle w:val="380"/>
              <w:jc w:val="center"/>
              <w:rPr>
                <w:rFonts w:hint="eastAsia" w:ascii="宋体" w:hAnsi="宋体" w:cs="宋体"/>
                <w:color w:val="auto"/>
                <w:sz w:val="24"/>
                <w:highlight w:val="none"/>
              </w:rPr>
            </w:pPr>
          </w:p>
        </w:tc>
        <w:tc>
          <w:tcPr>
            <w:tcW w:w="675" w:type="pct"/>
            <w:tcBorders>
              <w:top w:val="single" w:color="auto" w:sz="4" w:space="0"/>
              <w:left w:val="single" w:color="auto" w:sz="4" w:space="0"/>
              <w:bottom w:val="single" w:color="auto" w:sz="4" w:space="0"/>
              <w:right w:val="single" w:color="auto" w:sz="4" w:space="0"/>
            </w:tcBorders>
            <w:noWrap w:val="0"/>
            <w:vAlign w:val="center"/>
          </w:tcPr>
          <w:p w14:paraId="3B5734A5">
            <w:pPr>
              <w:pStyle w:val="380"/>
              <w:jc w:val="center"/>
              <w:rPr>
                <w:rFonts w:hint="eastAsia" w:ascii="宋体" w:hAnsi="宋体" w:cs="宋体"/>
                <w:color w:val="auto"/>
                <w:sz w:val="24"/>
                <w:highlight w:val="none"/>
              </w:rPr>
            </w:pPr>
          </w:p>
        </w:tc>
        <w:tc>
          <w:tcPr>
            <w:tcW w:w="478" w:type="pct"/>
            <w:tcBorders>
              <w:top w:val="single" w:color="auto" w:sz="4" w:space="0"/>
              <w:left w:val="single" w:color="auto" w:sz="4" w:space="0"/>
              <w:bottom w:val="single" w:color="auto" w:sz="4" w:space="0"/>
              <w:right w:val="single" w:color="auto" w:sz="4" w:space="0"/>
            </w:tcBorders>
            <w:noWrap/>
            <w:vAlign w:val="center"/>
          </w:tcPr>
          <w:p w14:paraId="78202A3C">
            <w:pPr>
              <w:pStyle w:val="380"/>
              <w:rPr>
                <w:rFonts w:hint="eastAsia" w:ascii="宋体" w:hAnsi="宋体" w:cs="宋体"/>
                <w:color w:val="auto"/>
                <w:sz w:val="24"/>
                <w:highlight w:val="none"/>
              </w:rPr>
            </w:pPr>
          </w:p>
        </w:tc>
        <w:tc>
          <w:tcPr>
            <w:tcW w:w="500" w:type="pct"/>
            <w:tcBorders>
              <w:top w:val="single" w:color="auto" w:sz="4" w:space="0"/>
              <w:left w:val="single" w:color="auto" w:sz="4" w:space="0"/>
              <w:bottom w:val="single" w:color="auto" w:sz="4" w:space="0"/>
              <w:right w:val="single" w:color="auto" w:sz="4" w:space="0"/>
            </w:tcBorders>
            <w:noWrap/>
            <w:vAlign w:val="center"/>
          </w:tcPr>
          <w:p w14:paraId="5470065E">
            <w:pPr>
              <w:pStyle w:val="380"/>
              <w:rPr>
                <w:rFonts w:hint="eastAsia" w:ascii="宋体" w:hAnsi="宋体" w:cs="宋体"/>
                <w:color w:val="auto"/>
                <w:sz w:val="24"/>
                <w:highlight w:val="none"/>
              </w:rPr>
            </w:pPr>
          </w:p>
        </w:tc>
        <w:tc>
          <w:tcPr>
            <w:tcW w:w="299" w:type="pct"/>
            <w:tcBorders>
              <w:top w:val="single" w:color="auto" w:sz="4" w:space="0"/>
              <w:left w:val="single" w:color="auto" w:sz="4" w:space="0"/>
              <w:bottom w:val="single" w:color="auto" w:sz="4" w:space="0"/>
              <w:right w:val="single" w:color="auto" w:sz="4" w:space="0"/>
            </w:tcBorders>
            <w:noWrap/>
            <w:vAlign w:val="center"/>
          </w:tcPr>
          <w:p w14:paraId="1684AD86">
            <w:pPr>
              <w:pStyle w:val="380"/>
              <w:rPr>
                <w:rFonts w:hint="eastAsia" w:ascii="宋体" w:hAnsi="宋体" w:cs="宋体"/>
                <w:color w:val="auto"/>
                <w:sz w:val="24"/>
                <w:highlight w:val="none"/>
              </w:rPr>
            </w:pPr>
          </w:p>
        </w:tc>
      </w:tr>
      <w:tr w14:paraId="4418D45C">
        <w:tblPrEx>
          <w:tblCellMar>
            <w:top w:w="0" w:type="dxa"/>
            <w:left w:w="108" w:type="dxa"/>
            <w:bottom w:w="0" w:type="dxa"/>
            <w:right w:w="108" w:type="dxa"/>
          </w:tblCellMar>
        </w:tblPrEx>
        <w:trPr>
          <w:trHeight w:val="896" w:hRule="atLeast"/>
          <w:jc w:val="center"/>
        </w:trPr>
        <w:tc>
          <w:tcPr>
            <w:tcW w:w="236" w:type="pct"/>
            <w:tcBorders>
              <w:top w:val="single" w:color="auto" w:sz="4" w:space="0"/>
              <w:left w:val="single" w:color="auto" w:sz="4" w:space="0"/>
              <w:bottom w:val="single" w:color="auto" w:sz="4" w:space="0"/>
              <w:right w:val="single" w:color="auto" w:sz="4" w:space="0"/>
            </w:tcBorders>
            <w:noWrap/>
            <w:vAlign w:val="center"/>
          </w:tcPr>
          <w:p w14:paraId="741CC5B0">
            <w:pPr>
              <w:pStyle w:val="38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782" w:type="pct"/>
            <w:tcBorders>
              <w:top w:val="single" w:color="auto" w:sz="4" w:space="0"/>
              <w:left w:val="single" w:color="auto" w:sz="4" w:space="0"/>
              <w:bottom w:val="single" w:color="auto" w:sz="4" w:space="0"/>
              <w:right w:val="single" w:color="auto" w:sz="4" w:space="0"/>
            </w:tcBorders>
            <w:noWrap/>
            <w:vAlign w:val="center"/>
          </w:tcPr>
          <w:p w14:paraId="2EAB52B9">
            <w:pPr>
              <w:pStyle w:val="38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38E7647C">
            <w:pPr>
              <w:pStyle w:val="380"/>
              <w:jc w:val="center"/>
              <w:rPr>
                <w:rFonts w:ascii="宋体" w:hAnsi="宋体" w:cs="宋体"/>
                <w:color w:val="auto"/>
                <w:sz w:val="24"/>
                <w:highlight w:val="none"/>
              </w:rPr>
            </w:pPr>
            <w:r>
              <w:rPr>
                <w:rFonts w:hint="eastAsia" w:ascii="宋体" w:hAnsi="宋体" w:cs="宋体"/>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D08DD29">
            <w:pPr>
              <w:pStyle w:val="380"/>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2892AADB">
            <w:pPr>
              <w:pStyle w:val="380"/>
              <w:jc w:val="center"/>
              <w:rPr>
                <w:rFonts w:ascii="宋体" w:hAnsi="宋体" w:cs="宋体"/>
                <w:color w:val="auto"/>
                <w:sz w:val="24"/>
                <w:highlight w:val="none"/>
              </w:rPr>
            </w:pPr>
            <w:r>
              <w:rPr>
                <w:rFonts w:hint="eastAsia" w:ascii="宋体" w:hAnsi="宋体" w:cs="宋体"/>
                <w:color w:val="auto"/>
                <w:sz w:val="24"/>
                <w:highlight w:val="none"/>
              </w:rPr>
              <w:t>…</w:t>
            </w:r>
          </w:p>
        </w:tc>
        <w:tc>
          <w:tcPr>
            <w:tcW w:w="675" w:type="pct"/>
            <w:tcBorders>
              <w:top w:val="single" w:color="auto" w:sz="4" w:space="0"/>
              <w:left w:val="single" w:color="auto" w:sz="4" w:space="0"/>
              <w:bottom w:val="single" w:color="auto" w:sz="4" w:space="0"/>
              <w:right w:val="single" w:color="auto" w:sz="4" w:space="0"/>
            </w:tcBorders>
            <w:noWrap w:val="0"/>
            <w:vAlign w:val="center"/>
          </w:tcPr>
          <w:p w14:paraId="5689C0DD">
            <w:pPr>
              <w:pStyle w:val="380"/>
              <w:jc w:val="center"/>
              <w:rPr>
                <w:rFonts w:ascii="宋体" w:hAnsi="宋体" w:cs="宋体"/>
                <w:color w:val="auto"/>
                <w:sz w:val="24"/>
                <w:highlight w:val="none"/>
              </w:rPr>
            </w:pPr>
            <w:r>
              <w:rPr>
                <w:rFonts w:hint="eastAsia" w:ascii="宋体" w:hAnsi="宋体" w:cs="宋体"/>
                <w:color w:val="auto"/>
                <w:sz w:val="24"/>
                <w:highlight w:val="none"/>
              </w:rPr>
              <w:t>…</w:t>
            </w:r>
          </w:p>
        </w:tc>
        <w:tc>
          <w:tcPr>
            <w:tcW w:w="478" w:type="pct"/>
            <w:tcBorders>
              <w:top w:val="single" w:color="auto" w:sz="4" w:space="0"/>
              <w:left w:val="single" w:color="auto" w:sz="4" w:space="0"/>
              <w:bottom w:val="single" w:color="auto" w:sz="4" w:space="0"/>
              <w:right w:val="single" w:color="auto" w:sz="4" w:space="0"/>
            </w:tcBorders>
            <w:noWrap/>
            <w:vAlign w:val="center"/>
          </w:tcPr>
          <w:p w14:paraId="4AC6B582">
            <w:pPr>
              <w:pStyle w:val="380"/>
              <w:rPr>
                <w:rFonts w:hint="eastAsia" w:ascii="宋体" w:hAnsi="宋体" w:cs="宋体"/>
                <w:color w:val="auto"/>
                <w:sz w:val="24"/>
                <w:highlight w:val="none"/>
              </w:rPr>
            </w:pPr>
            <w:r>
              <w:rPr>
                <w:rFonts w:hint="eastAsia" w:ascii="宋体" w:hAnsi="宋体" w:cs="宋体"/>
                <w:color w:val="auto"/>
                <w:sz w:val="24"/>
                <w:highlight w:val="none"/>
              </w:rPr>
              <w:t>…</w:t>
            </w:r>
          </w:p>
        </w:tc>
        <w:tc>
          <w:tcPr>
            <w:tcW w:w="500" w:type="pct"/>
            <w:tcBorders>
              <w:top w:val="single" w:color="auto" w:sz="4" w:space="0"/>
              <w:left w:val="single" w:color="auto" w:sz="4" w:space="0"/>
              <w:bottom w:val="single" w:color="auto" w:sz="4" w:space="0"/>
              <w:right w:val="single" w:color="auto" w:sz="4" w:space="0"/>
            </w:tcBorders>
            <w:noWrap/>
            <w:vAlign w:val="center"/>
          </w:tcPr>
          <w:p w14:paraId="1F54715A">
            <w:pPr>
              <w:pStyle w:val="380"/>
              <w:rPr>
                <w:rFonts w:hint="eastAsia" w:ascii="宋体" w:hAnsi="宋体" w:cs="宋体"/>
                <w:color w:val="auto"/>
                <w:sz w:val="24"/>
                <w:highlight w:val="none"/>
              </w:rPr>
            </w:pPr>
            <w:r>
              <w:rPr>
                <w:rFonts w:hint="eastAsia" w:ascii="宋体" w:hAnsi="宋体" w:cs="宋体"/>
                <w:color w:val="auto"/>
                <w:sz w:val="24"/>
                <w:highlight w:val="none"/>
              </w:rPr>
              <w:t>…</w:t>
            </w:r>
          </w:p>
        </w:tc>
        <w:tc>
          <w:tcPr>
            <w:tcW w:w="299" w:type="pct"/>
            <w:tcBorders>
              <w:top w:val="single" w:color="auto" w:sz="4" w:space="0"/>
              <w:left w:val="single" w:color="auto" w:sz="4" w:space="0"/>
              <w:bottom w:val="single" w:color="auto" w:sz="4" w:space="0"/>
              <w:right w:val="single" w:color="auto" w:sz="4" w:space="0"/>
            </w:tcBorders>
            <w:noWrap/>
            <w:vAlign w:val="center"/>
          </w:tcPr>
          <w:p w14:paraId="093CCC37">
            <w:pPr>
              <w:pStyle w:val="380"/>
              <w:rPr>
                <w:rFonts w:hint="eastAsia" w:ascii="宋体" w:hAnsi="宋体" w:cs="宋体"/>
                <w:color w:val="auto"/>
                <w:sz w:val="24"/>
                <w:highlight w:val="none"/>
              </w:rPr>
            </w:pPr>
          </w:p>
        </w:tc>
      </w:tr>
      <w:tr w14:paraId="6456D073">
        <w:tblPrEx>
          <w:tblCellMar>
            <w:top w:w="0" w:type="dxa"/>
            <w:left w:w="108" w:type="dxa"/>
            <w:bottom w:w="0" w:type="dxa"/>
            <w:right w:w="108" w:type="dxa"/>
          </w:tblCellMar>
        </w:tblPrEx>
        <w:trPr>
          <w:trHeight w:val="615" w:hRule="atLeast"/>
          <w:jc w:val="center"/>
        </w:trPr>
        <w:tc>
          <w:tcPr>
            <w:tcW w:w="4199" w:type="pct"/>
            <w:gridSpan w:val="7"/>
            <w:tcBorders>
              <w:top w:val="single" w:color="auto" w:sz="4" w:space="0"/>
              <w:left w:val="single" w:color="auto" w:sz="4" w:space="0"/>
              <w:bottom w:val="single" w:color="auto" w:sz="4" w:space="0"/>
              <w:right w:val="single" w:color="auto" w:sz="4" w:space="0"/>
            </w:tcBorders>
            <w:noWrap/>
            <w:vAlign w:val="center"/>
          </w:tcPr>
          <w:p w14:paraId="575C4311">
            <w:pPr>
              <w:pStyle w:val="380"/>
              <w:rPr>
                <w:rFonts w:hint="eastAsia" w:ascii="宋体" w:hAnsi="宋体" w:cs="宋体"/>
                <w:color w:val="auto"/>
                <w:sz w:val="24"/>
                <w:highlight w:val="none"/>
              </w:rPr>
            </w:pPr>
            <w:r>
              <w:rPr>
                <w:rFonts w:hint="eastAsia" w:ascii="宋体" w:hAnsi="宋体" w:cs="宋体"/>
                <w:color w:val="auto"/>
                <w:sz w:val="24"/>
                <w:highlight w:val="none"/>
              </w:rPr>
              <w:t>合计（元）</w:t>
            </w:r>
          </w:p>
        </w:tc>
        <w:tc>
          <w:tcPr>
            <w:tcW w:w="500" w:type="pct"/>
            <w:tcBorders>
              <w:top w:val="single" w:color="auto" w:sz="4" w:space="0"/>
              <w:left w:val="single" w:color="auto" w:sz="4" w:space="0"/>
              <w:bottom w:val="single" w:color="auto" w:sz="4" w:space="0"/>
              <w:right w:val="single" w:color="auto" w:sz="4" w:space="0"/>
            </w:tcBorders>
            <w:noWrap/>
            <w:vAlign w:val="center"/>
          </w:tcPr>
          <w:p w14:paraId="4F984B25">
            <w:pPr>
              <w:pStyle w:val="380"/>
              <w:rPr>
                <w:rFonts w:hint="eastAsia" w:ascii="宋体" w:hAnsi="宋体" w:cs="宋体"/>
                <w:color w:val="auto"/>
                <w:sz w:val="24"/>
                <w:highlight w:val="none"/>
              </w:rPr>
            </w:pPr>
          </w:p>
        </w:tc>
        <w:tc>
          <w:tcPr>
            <w:tcW w:w="299" w:type="pct"/>
            <w:tcBorders>
              <w:top w:val="single" w:color="auto" w:sz="4" w:space="0"/>
              <w:left w:val="single" w:color="auto" w:sz="4" w:space="0"/>
              <w:bottom w:val="single" w:color="auto" w:sz="4" w:space="0"/>
              <w:right w:val="single" w:color="auto" w:sz="4" w:space="0"/>
            </w:tcBorders>
            <w:noWrap/>
            <w:vAlign w:val="center"/>
          </w:tcPr>
          <w:p w14:paraId="60699A2D">
            <w:pPr>
              <w:pStyle w:val="380"/>
              <w:rPr>
                <w:rFonts w:hint="eastAsia" w:ascii="宋体" w:hAnsi="宋体" w:cs="宋体"/>
                <w:color w:val="auto"/>
                <w:sz w:val="24"/>
                <w:highlight w:val="none"/>
              </w:rPr>
            </w:pPr>
          </w:p>
        </w:tc>
      </w:tr>
    </w:tbl>
    <w:p w14:paraId="68FE5826">
      <w:pPr>
        <w:pStyle w:val="42"/>
        <w:rPr>
          <w:color w:val="auto"/>
          <w:highlight w:val="none"/>
        </w:rPr>
      </w:pPr>
    </w:p>
    <w:p w14:paraId="125DD56F">
      <w:pPr>
        <w:pStyle w:val="380"/>
        <w:snapToGrid w:val="0"/>
        <w:spacing w:line="360" w:lineRule="auto"/>
        <w:jc w:val="left"/>
        <w:rPr>
          <w:rFonts w:hint="eastAsia" w:ascii="宋体" w:hAnsi="宋体"/>
          <w:bCs/>
          <w:color w:val="auto"/>
          <w:sz w:val="24"/>
          <w:highlight w:val="none"/>
        </w:rPr>
      </w:pPr>
      <w:r>
        <w:rPr>
          <w:rFonts w:hint="eastAsia" w:ascii="宋体" w:hAnsi="宋体"/>
          <w:bCs/>
          <w:color w:val="auto"/>
          <w:sz w:val="24"/>
          <w:highlight w:val="none"/>
        </w:rPr>
        <w:t>注：1、投标总报价必须包含完成项目所需的税金等一切费用。</w:t>
      </w:r>
    </w:p>
    <w:p w14:paraId="4AC3C876">
      <w:pPr>
        <w:pStyle w:val="380"/>
        <w:snapToGrid w:val="0"/>
        <w:spacing w:line="360" w:lineRule="auto"/>
        <w:ind w:firstLine="480" w:firstLineChars="200"/>
        <w:jc w:val="left"/>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2、除采购清单中“辅材”可不提供品牌、规格型号外，其余投标设备均应注明品牌、规格型号。</w:t>
      </w:r>
    </w:p>
    <w:p w14:paraId="115E242B">
      <w:pPr>
        <w:pStyle w:val="380"/>
        <w:snapToGrid w:val="0"/>
        <w:spacing w:line="360" w:lineRule="auto"/>
        <w:jc w:val="left"/>
        <w:rPr>
          <w:rFonts w:hint="eastAsia" w:ascii="宋体" w:hAnsi="宋体"/>
          <w:color w:val="auto"/>
          <w:sz w:val="24"/>
          <w:highlight w:val="none"/>
        </w:rPr>
      </w:pPr>
      <w:r>
        <w:rPr>
          <w:rFonts w:hint="eastAsia" w:ascii="宋体" w:hAnsi="宋体"/>
          <w:bCs/>
          <w:color w:val="auto"/>
          <w:sz w:val="24"/>
          <w:highlight w:val="none"/>
        </w:rPr>
        <w:t>投标总报价：</w:t>
      </w:r>
      <w:r>
        <w:rPr>
          <w:rFonts w:hint="eastAsia" w:ascii="宋体" w:hAnsi="宋体"/>
          <w:color w:val="auto"/>
          <w:sz w:val="24"/>
          <w:highlight w:val="none"/>
          <w:u w:val="single"/>
        </w:rPr>
        <w:t xml:space="preserve">（小写）                          </w:t>
      </w:r>
      <w:r>
        <w:rPr>
          <w:rFonts w:hint="eastAsia" w:ascii="宋体" w:hAnsi="宋体"/>
          <w:color w:val="auto"/>
          <w:sz w:val="24"/>
          <w:highlight w:val="none"/>
        </w:rPr>
        <w:t>元整</w:t>
      </w:r>
    </w:p>
    <w:p w14:paraId="12158C97">
      <w:pPr>
        <w:snapToGrid w:val="0"/>
        <w:spacing w:line="360" w:lineRule="auto"/>
        <w:rPr>
          <w:rFonts w:hint="eastAsia" w:ascii="宋体" w:hAnsi="宋体"/>
          <w:bCs/>
          <w:color w:val="auto"/>
          <w:highlight w:val="none"/>
        </w:rPr>
      </w:pPr>
    </w:p>
    <w:p w14:paraId="6241DEE1">
      <w:pPr>
        <w:snapToGrid w:val="0"/>
        <w:spacing w:line="360" w:lineRule="auto"/>
        <w:ind w:firstLine="1440" w:firstLineChars="600"/>
        <w:rPr>
          <w:rFonts w:hint="eastAsia" w:ascii="宋体" w:hAnsi="宋体"/>
          <w:bCs/>
          <w:color w:val="auto"/>
          <w:highlight w:val="none"/>
        </w:rPr>
      </w:pPr>
      <w:r>
        <w:rPr>
          <w:rFonts w:hint="eastAsia" w:ascii="宋体" w:hAnsi="宋体"/>
          <w:bCs/>
          <w:color w:val="auto"/>
          <w:highlight w:val="none"/>
          <w:u w:val="single"/>
        </w:rPr>
        <w:t xml:space="preserve">（大写)                          </w:t>
      </w:r>
      <w:r>
        <w:rPr>
          <w:rFonts w:hint="eastAsia" w:ascii="宋体" w:hAnsi="宋体"/>
          <w:bCs/>
          <w:color w:val="auto"/>
          <w:highlight w:val="none"/>
        </w:rPr>
        <w:t xml:space="preserve">元整 </w:t>
      </w:r>
    </w:p>
    <w:p w14:paraId="7E5A55A4">
      <w:pPr>
        <w:snapToGrid w:val="0"/>
        <w:spacing w:line="360" w:lineRule="auto"/>
        <w:ind w:firstLine="1320" w:firstLineChars="550"/>
        <w:rPr>
          <w:rFonts w:hint="eastAsia" w:ascii="宋体" w:hAnsi="宋体"/>
          <w:bCs/>
          <w:color w:val="auto"/>
          <w:highlight w:val="none"/>
        </w:rPr>
      </w:pPr>
    </w:p>
    <w:p w14:paraId="5928748A">
      <w:pPr>
        <w:snapToGrid w:val="0"/>
        <w:spacing w:line="360" w:lineRule="auto"/>
        <w:ind w:firstLine="1320" w:firstLineChars="550"/>
        <w:rPr>
          <w:rFonts w:ascii="宋体" w:hAnsi="宋体"/>
          <w:bCs/>
          <w:color w:val="auto"/>
          <w:highlight w:val="none"/>
        </w:rPr>
      </w:pPr>
    </w:p>
    <w:p w14:paraId="45C77935">
      <w:pPr>
        <w:snapToGrid w:val="0"/>
        <w:spacing w:line="360" w:lineRule="auto"/>
        <w:rPr>
          <w:rFonts w:ascii="宋体" w:hAnsi="宋体"/>
          <w:color w:val="auto"/>
          <w:highlight w:val="none"/>
        </w:rPr>
      </w:pPr>
      <w:r>
        <w:rPr>
          <w:rFonts w:hint="eastAsia" w:ascii="宋体" w:hAnsi="宋体"/>
          <w:color w:val="auto"/>
          <w:highlight w:val="none"/>
        </w:rPr>
        <w:t>投标人（盖章）：</w:t>
      </w:r>
    </w:p>
    <w:p w14:paraId="4499C065">
      <w:pPr>
        <w:snapToGrid w:val="0"/>
        <w:spacing w:line="360" w:lineRule="auto"/>
        <w:rPr>
          <w:rFonts w:hint="eastAsia" w:ascii="宋体" w:hAnsi="宋体"/>
          <w:color w:val="auto"/>
          <w:highlight w:val="none"/>
        </w:rPr>
      </w:pPr>
    </w:p>
    <w:p w14:paraId="58BC5464">
      <w:pPr>
        <w:snapToGrid w:val="0"/>
        <w:spacing w:line="360" w:lineRule="auto"/>
        <w:rPr>
          <w:rFonts w:hint="eastAsia" w:ascii="宋体" w:hAnsi="宋体"/>
          <w:color w:val="auto"/>
          <w:highlight w:val="none"/>
        </w:rPr>
      </w:pPr>
    </w:p>
    <w:p w14:paraId="6C9368C4">
      <w:pPr>
        <w:snapToGrid w:val="0"/>
        <w:spacing w:line="360" w:lineRule="auto"/>
        <w:rPr>
          <w:rFonts w:hint="eastAsia"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70F3B777">
      <w:pPr>
        <w:pStyle w:val="15"/>
        <w:rPr>
          <w:rFonts w:hint="eastAsia" w:ascii="宋体" w:hAnsi="宋体"/>
          <w:color w:val="auto"/>
          <w:highlight w:val="none"/>
        </w:rPr>
      </w:pPr>
    </w:p>
    <w:p w14:paraId="41ECEFB8">
      <w:pPr>
        <w:rPr>
          <w:rFonts w:hint="eastAsia" w:ascii="宋体" w:hAnsi="宋体"/>
          <w:color w:val="auto"/>
          <w:highlight w:val="none"/>
        </w:rPr>
      </w:pPr>
    </w:p>
    <w:p w14:paraId="71BD1037">
      <w:pPr>
        <w:pStyle w:val="15"/>
        <w:rPr>
          <w:rFonts w:hint="eastAsia" w:ascii="宋体" w:hAnsi="宋体"/>
          <w:color w:val="auto"/>
          <w:highlight w:val="none"/>
        </w:rPr>
      </w:pPr>
    </w:p>
    <w:p w14:paraId="3B929559">
      <w:pPr>
        <w:rPr>
          <w:rFonts w:hint="eastAsia" w:ascii="宋体" w:hAnsi="宋体"/>
          <w:color w:val="auto"/>
          <w:highlight w:val="none"/>
        </w:rPr>
      </w:pPr>
    </w:p>
    <w:p w14:paraId="74783822">
      <w:pPr>
        <w:pStyle w:val="15"/>
        <w:rPr>
          <w:rFonts w:hint="eastAsia" w:ascii="宋体" w:hAnsi="宋体"/>
          <w:color w:val="auto"/>
          <w:highlight w:val="none"/>
        </w:rPr>
      </w:pPr>
    </w:p>
    <w:p w14:paraId="5EDB9A22">
      <w:pPr>
        <w:rPr>
          <w:rFonts w:hint="eastAsia"/>
          <w:color w:val="auto"/>
          <w:highlight w:val="none"/>
        </w:rPr>
      </w:pPr>
    </w:p>
    <w:p w14:paraId="626F8812">
      <w:pPr>
        <w:rPr>
          <w:rFonts w:hint="eastAsia"/>
          <w:color w:val="auto"/>
          <w:highlight w:val="none"/>
        </w:rPr>
      </w:pPr>
    </w:p>
    <w:p w14:paraId="72080552">
      <w:pPr>
        <w:rPr>
          <w:rFonts w:hint="eastAsia"/>
          <w:color w:val="auto"/>
          <w:highlight w:val="none"/>
        </w:rPr>
      </w:pPr>
    </w:p>
    <w:p w14:paraId="54FFFD4C">
      <w:pPr>
        <w:snapToGrid w:val="0"/>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第五章  </w:t>
      </w:r>
      <w:bookmarkStart w:id="70" w:name="评标办法及开标程序"/>
      <w:r>
        <w:rPr>
          <w:rFonts w:hint="eastAsia" w:ascii="宋体" w:hAnsi="宋体" w:cs="宋体"/>
          <w:b/>
          <w:color w:val="auto"/>
          <w:sz w:val="32"/>
          <w:szCs w:val="32"/>
          <w:highlight w:val="none"/>
        </w:rPr>
        <w:t>评标办法及开标程序</w:t>
      </w:r>
      <w:bookmarkEnd w:id="63"/>
      <w:bookmarkEnd w:id="64"/>
      <w:bookmarkEnd w:id="65"/>
      <w:bookmarkEnd w:id="66"/>
      <w:bookmarkEnd w:id="67"/>
      <w:bookmarkEnd w:id="70"/>
    </w:p>
    <w:p w14:paraId="0150DE39">
      <w:pPr>
        <w:autoSpaceDE w:val="0"/>
        <w:autoSpaceDN w:val="0"/>
        <w:adjustRightInd w:val="0"/>
        <w:snapToGrid w:val="0"/>
        <w:jc w:val="center"/>
        <w:outlineLvl w:val="0"/>
        <w:rPr>
          <w:rFonts w:hint="eastAsia" w:ascii="宋体" w:hAnsi="宋体"/>
          <w:b/>
          <w:bCs/>
          <w:color w:val="auto"/>
          <w:highlight w:val="none"/>
        </w:rPr>
      </w:pPr>
    </w:p>
    <w:p w14:paraId="5FA6414D">
      <w:pPr>
        <w:autoSpaceDE w:val="0"/>
        <w:autoSpaceDN w:val="0"/>
        <w:adjustRightInd w:val="0"/>
        <w:snapToGrid w:val="0"/>
        <w:spacing w:line="360" w:lineRule="auto"/>
        <w:ind w:left="425"/>
        <w:outlineLvl w:val="1"/>
        <w:rPr>
          <w:rFonts w:hint="eastAsia" w:ascii="宋体" w:hAnsi="宋体" w:cs="宋体"/>
          <w:b/>
          <w:bCs/>
          <w:color w:val="auto"/>
          <w:highlight w:val="none"/>
          <w:lang w:val="zh-CN"/>
        </w:rPr>
      </w:pPr>
      <w:bookmarkStart w:id="71" w:name="_Toc359856825"/>
      <w:r>
        <w:rPr>
          <w:rFonts w:hint="eastAsia" w:ascii="宋体" w:hAnsi="宋体" w:cs="宋体"/>
          <w:b/>
          <w:bCs/>
          <w:color w:val="auto"/>
          <w:highlight w:val="none"/>
          <w:lang w:val="zh-CN"/>
        </w:rPr>
        <w:t>一、评标委员会的组成</w:t>
      </w:r>
      <w:bookmarkEnd w:id="71"/>
    </w:p>
    <w:p w14:paraId="4551E4C0">
      <w:pPr>
        <w:autoSpaceDE w:val="0"/>
        <w:autoSpaceDN w:val="0"/>
        <w:adjustRightInd w:val="0"/>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1. 采购代理机构将根据招标项目的特点组建评标委员会，其成员由采购人的代表和有关技术、经济等方面的专家组成。成员人数为5人，其中技术、经济等方面的专家不少于成员总数的三分之二。评审专家由招标人依法组建，采购人代表由采购单位推荐，代表采购单位负责对项目评审质量和结果的审查，但不得担任评标委员会负责人。</w:t>
      </w:r>
    </w:p>
    <w:p w14:paraId="38EE6257">
      <w:pPr>
        <w:autoSpaceDE w:val="0"/>
        <w:autoSpaceDN w:val="0"/>
        <w:adjustRightInd w:val="0"/>
        <w:snapToGrid w:val="0"/>
        <w:spacing w:line="360" w:lineRule="auto"/>
        <w:ind w:left="425"/>
        <w:outlineLvl w:val="1"/>
        <w:rPr>
          <w:rFonts w:hint="eastAsia" w:ascii="宋体" w:hAnsi="宋体" w:cs="宋体"/>
          <w:b/>
          <w:bCs/>
          <w:color w:val="auto"/>
          <w:highlight w:val="none"/>
          <w:lang w:val="zh-CN"/>
        </w:rPr>
      </w:pPr>
      <w:bookmarkStart w:id="72" w:name="_Toc359856826"/>
      <w:r>
        <w:rPr>
          <w:rFonts w:hint="eastAsia" w:ascii="宋体" w:hAnsi="宋体" w:cs="宋体"/>
          <w:b/>
          <w:bCs/>
          <w:color w:val="auto"/>
          <w:highlight w:val="none"/>
          <w:lang w:val="zh-CN"/>
        </w:rPr>
        <w:t>二、评标原则</w:t>
      </w:r>
      <w:bookmarkEnd w:id="72"/>
    </w:p>
    <w:p w14:paraId="525EB76B">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2. 投标人得分由技术商务分和报价分合计组成,满分为100分。</w:t>
      </w:r>
    </w:p>
    <w:p w14:paraId="3B94D593">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3.</w:t>
      </w:r>
      <w:r>
        <w:rPr>
          <w:rFonts w:hint="eastAsia" w:ascii="宋体" w:hAnsi="宋体"/>
          <w:b/>
          <w:color w:val="auto"/>
          <w:highlight w:val="none"/>
        </w:rPr>
        <w:t xml:space="preserve"> 本项目采用综合评分法，在有效投标范围内以总得分最高者为本项目中标人。</w:t>
      </w:r>
      <w:r>
        <w:rPr>
          <w:rFonts w:hint="eastAsia" w:ascii="宋体" w:hAnsi="宋体"/>
          <w:color w:val="auto"/>
          <w:highlight w:val="none"/>
        </w:rPr>
        <w:t>总得分相同的，按照报价由低到高的顺序推荐。总得分且报价相同的，按照技术商务得分由高到低顺序推荐。</w:t>
      </w:r>
    </w:p>
    <w:p w14:paraId="71488FD4">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4.评标委员会根据招标文件和投标文件，结合技术商务评分细则对各投标人的技术商务部分进行评审，产生技术商务分。评标委员会各成员所评分值的算术平均值即为各投标人的技术商务分值（计算时四舍五入保留二位小数）。</w:t>
      </w:r>
    </w:p>
    <w:p w14:paraId="116C0F32">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5.评审结果经采购人确定后，浙江求真工程管理咨询有限公司在中标人确定之日起2个工作日内通过 “政采云”平台发布采购结果公告，并按期签发中标通知书。</w:t>
      </w:r>
    </w:p>
    <w:p w14:paraId="041576D3">
      <w:pPr>
        <w:numPr>
          <w:ilvl w:val="0"/>
          <w:numId w:val="26"/>
        </w:numPr>
        <w:autoSpaceDE w:val="0"/>
        <w:autoSpaceDN w:val="0"/>
        <w:adjustRightInd w:val="0"/>
        <w:snapToGrid w:val="0"/>
        <w:spacing w:line="360" w:lineRule="auto"/>
        <w:outlineLvl w:val="1"/>
        <w:rPr>
          <w:rFonts w:hint="eastAsia" w:ascii="宋体" w:hAnsi="宋体" w:cs="宋体"/>
          <w:b/>
          <w:bCs/>
          <w:color w:val="auto"/>
          <w:highlight w:val="none"/>
          <w:lang w:val="zh-CN"/>
        </w:rPr>
      </w:pPr>
      <w:bookmarkStart w:id="73" w:name="_Toc359856827"/>
      <w:r>
        <w:rPr>
          <w:rFonts w:hint="eastAsia" w:ascii="宋体" w:hAnsi="宋体" w:cs="宋体"/>
          <w:b/>
          <w:bCs/>
          <w:color w:val="auto"/>
          <w:highlight w:val="none"/>
          <w:lang w:val="zh-CN"/>
        </w:rPr>
        <w:t>注意事项</w:t>
      </w:r>
      <w:bookmarkEnd w:id="73"/>
    </w:p>
    <w:p w14:paraId="55184A49">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6．评标委员会在评审过程中提出的询标内容将通过“政采云”平台在线询标系统发至相关投标人，投标人需通过“政采云”平台在线询标系统在询标规定的时间内作出澄清、说明或者补正，投标人未按询标规定的时间内在“政采云”平台在线询标系统作出回复且无其他有效回复方式的，评标委员会可以视情处理。</w:t>
      </w:r>
    </w:p>
    <w:p w14:paraId="6EB4829E">
      <w:pPr>
        <w:snapToGrid w:val="0"/>
        <w:spacing w:line="360" w:lineRule="auto"/>
        <w:ind w:firstLine="480" w:firstLineChars="200"/>
        <w:rPr>
          <w:rFonts w:hint="eastAsia" w:ascii="宋体" w:hAnsi="宋体"/>
          <w:color w:val="auto"/>
          <w:highlight w:val="none"/>
        </w:rPr>
      </w:pPr>
      <w:r>
        <w:rPr>
          <w:rFonts w:hint="eastAsia" w:ascii="宋体" w:hAnsi="宋体"/>
          <w:color w:val="auto"/>
          <w:highlight w:val="none"/>
        </w:rPr>
        <w:t>7. 评审时评标委员会认为投标人的报价明显低于其他通过符合性审查投标人的报价，有可能影响产品质量或者不能诚信履约的，要求其通过“政采云”平台在规定的时间内提供CA签章的材料，投标人不能证明其报价合理性的，评标委员会应当将其作为无效投标处理。</w:t>
      </w:r>
    </w:p>
    <w:p w14:paraId="0BD500B1">
      <w:pPr>
        <w:autoSpaceDE w:val="0"/>
        <w:autoSpaceDN w:val="0"/>
        <w:adjustRightInd w:val="0"/>
        <w:snapToGrid w:val="0"/>
        <w:ind w:left="425"/>
        <w:outlineLvl w:val="1"/>
        <w:rPr>
          <w:rFonts w:hint="eastAsia" w:ascii="宋体" w:hAnsi="宋体" w:cs="宋体"/>
          <w:b/>
          <w:bCs/>
          <w:color w:val="auto"/>
          <w:highlight w:val="none"/>
          <w:lang w:val="zh-CN"/>
        </w:rPr>
      </w:pPr>
      <w:bookmarkStart w:id="74" w:name="_Toc359856828"/>
    </w:p>
    <w:p w14:paraId="19C7AEF9">
      <w:pPr>
        <w:autoSpaceDE w:val="0"/>
        <w:autoSpaceDN w:val="0"/>
        <w:adjustRightInd w:val="0"/>
        <w:snapToGrid w:val="0"/>
        <w:ind w:left="425"/>
        <w:outlineLvl w:val="1"/>
        <w:rPr>
          <w:rFonts w:hint="eastAsia" w:ascii="宋体" w:hAnsi="宋体" w:cs="宋体"/>
          <w:b/>
          <w:bCs/>
          <w:color w:val="auto"/>
          <w:highlight w:val="none"/>
          <w:lang w:val="zh-CN"/>
        </w:rPr>
      </w:pPr>
      <w:r>
        <w:rPr>
          <w:rFonts w:hint="eastAsia" w:ascii="宋体" w:hAnsi="宋体" w:cs="宋体"/>
          <w:b/>
          <w:bCs/>
          <w:color w:val="auto"/>
          <w:highlight w:val="none"/>
          <w:lang w:val="zh-CN"/>
        </w:rPr>
        <w:t>四、评分标准</w:t>
      </w:r>
      <w:bookmarkEnd w:id="74"/>
    </w:p>
    <w:tbl>
      <w:tblPr>
        <w:tblStyle w:val="63"/>
        <w:tblpPr w:leftFromText="180" w:rightFromText="180" w:vertAnchor="text" w:horzAnchor="page" w:tblpX="1425" w:tblpY="486"/>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85"/>
        <w:gridCol w:w="6078"/>
        <w:gridCol w:w="897"/>
      </w:tblGrid>
      <w:tr w14:paraId="2660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239" w:type="dxa"/>
            <w:shd w:val="clear" w:color="auto" w:fill="A6A6A6"/>
            <w:noWrap w:val="0"/>
            <w:vAlign w:val="center"/>
          </w:tcPr>
          <w:p w14:paraId="6EE9089F">
            <w:pPr>
              <w:spacing w:line="380" w:lineRule="exact"/>
              <w:jc w:val="center"/>
              <w:rPr>
                <w:rFonts w:hint="eastAsia" w:ascii="宋体" w:hAnsi="宋体"/>
                <w:color w:val="auto"/>
                <w:highlight w:val="none"/>
              </w:rPr>
            </w:pPr>
            <w:r>
              <w:rPr>
                <w:rFonts w:hint="eastAsia" w:ascii="宋体" w:hAnsi="宋体"/>
                <w:color w:val="auto"/>
                <w:highlight w:val="none"/>
              </w:rPr>
              <w:t>评分</w:t>
            </w:r>
          </w:p>
          <w:p w14:paraId="007D9CFC">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内容</w:t>
            </w:r>
          </w:p>
        </w:tc>
        <w:tc>
          <w:tcPr>
            <w:tcW w:w="1385" w:type="dxa"/>
            <w:shd w:val="clear" w:color="auto" w:fill="A6A6A6"/>
            <w:noWrap w:val="0"/>
            <w:vAlign w:val="center"/>
          </w:tcPr>
          <w:p w14:paraId="24029E22">
            <w:pPr>
              <w:autoSpaceDE w:val="0"/>
              <w:autoSpaceDN w:val="0"/>
              <w:adjustRightInd w:val="0"/>
              <w:spacing w:line="380" w:lineRule="exact"/>
              <w:ind w:firstLine="120" w:firstLineChars="50"/>
              <w:jc w:val="center"/>
              <w:rPr>
                <w:rFonts w:hint="eastAsia" w:ascii="宋体" w:hAnsi="宋体"/>
                <w:color w:val="auto"/>
                <w:highlight w:val="none"/>
              </w:rPr>
            </w:pPr>
            <w:r>
              <w:rPr>
                <w:rFonts w:hint="eastAsia" w:ascii="宋体" w:hAnsi="宋体"/>
                <w:color w:val="auto"/>
                <w:highlight w:val="none"/>
              </w:rPr>
              <w:t>细则</w:t>
            </w:r>
          </w:p>
        </w:tc>
        <w:tc>
          <w:tcPr>
            <w:tcW w:w="6078" w:type="dxa"/>
            <w:shd w:val="clear" w:color="auto" w:fill="A6A6A6"/>
            <w:noWrap w:val="0"/>
            <w:vAlign w:val="center"/>
          </w:tcPr>
          <w:p w14:paraId="4B581A44">
            <w:pPr>
              <w:autoSpaceDE w:val="0"/>
              <w:autoSpaceDN w:val="0"/>
              <w:adjustRightInd w:val="0"/>
              <w:spacing w:line="380" w:lineRule="exact"/>
              <w:jc w:val="center"/>
              <w:rPr>
                <w:rFonts w:hint="eastAsia" w:ascii="宋体" w:hAnsi="宋体"/>
                <w:color w:val="auto"/>
                <w:highlight w:val="none"/>
              </w:rPr>
            </w:pPr>
            <w:r>
              <w:rPr>
                <w:rFonts w:hint="eastAsia" w:ascii="宋体" w:hAnsi="宋体"/>
                <w:color w:val="auto"/>
                <w:highlight w:val="none"/>
              </w:rPr>
              <w:t>细则内容</w:t>
            </w:r>
          </w:p>
        </w:tc>
        <w:tc>
          <w:tcPr>
            <w:tcW w:w="897" w:type="dxa"/>
            <w:shd w:val="clear" w:color="auto" w:fill="A6A6A6"/>
            <w:noWrap w:val="0"/>
            <w:vAlign w:val="center"/>
          </w:tcPr>
          <w:p w14:paraId="4B93FB12">
            <w:pPr>
              <w:autoSpaceDE w:val="0"/>
              <w:autoSpaceDN w:val="0"/>
              <w:adjustRightInd w:val="0"/>
              <w:spacing w:line="380" w:lineRule="exact"/>
              <w:ind w:left="-108" w:leftChars="-45" w:right="-139" w:rightChars="-58"/>
              <w:jc w:val="center"/>
              <w:rPr>
                <w:rFonts w:hint="eastAsia" w:ascii="宋体" w:hAnsi="宋体"/>
                <w:color w:val="auto"/>
                <w:highlight w:val="none"/>
              </w:rPr>
            </w:pPr>
            <w:r>
              <w:rPr>
                <w:rFonts w:hint="eastAsia" w:ascii="宋体" w:hAnsi="宋体"/>
                <w:color w:val="auto"/>
                <w:highlight w:val="none"/>
              </w:rPr>
              <w:t>分值</w:t>
            </w:r>
          </w:p>
        </w:tc>
      </w:tr>
      <w:tr w14:paraId="2887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39" w:type="dxa"/>
            <w:noWrap w:val="0"/>
            <w:vAlign w:val="center"/>
          </w:tcPr>
          <w:p w14:paraId="435D0A79">
            <w:pPr>
              <w:autoSpaceDE w:val="0"/>
              <w:autoSpaceDN w:val="0"/>
              <w:adjustRightInd w:val="0"/>
              <w:spacing w:line="380" w:lineRule="exact"/>
              <w:jc w:val="center"/>
              <w:rPr>
                <w:rFonts w:hint="eastAsia" w:ascii="宋体" w:hAnsi="宋体"/>
                <w:color w:val="auto"/>
                <w:sz w:val="22"/>
                <w:szCs w:val="22"/>
                <w:highlight w:val="none"/>
              </w:rPr>
            </w:pPr>
            <w:r>
              <w:rPr>
                <w:rFonts w:hint="eastAsia" w:ascii="宋体" w:hAnsi="宋体"/>
                <w:color w:val="auto"/>
                <w:sz w:val="22"/>
                <w:szCs w:val="22"/>
                <w:highlight w:val="none"/>
              </w:rPr>
              <w:t>投标报价</w:t>
            </w:r>
            <w:r>
              <w:rPr>
                <w:rFonts w:hint="eastAsia" w:ascii="宋体" w:hAnsi="宋体"/>
                <w:color w:val="auto"/>
                <w:sz w:val="22"/>
                <w:szCs w:val="22"/>
                <w:highlight w:val="none"/>
                <w:lang w:val="en-US" w:eastAsia="zh-CN"/>
              </w:rPr>
              <w:t>3</w:t>
            </w:r>
            <w:r>
              <w:rPr>
                <w:rFonts w:hint="eastAsia" w:ascii="宋体" w:hAnsi="宋体"/>
                <w:color w:val="auto"/>
                <w:sz w:val="22"/>
                <w:szCs w:val="22"/>
                <w:highlight w:val="none"/>
              </w:rPr>
              <w:t>0分</w:t>
            </w:r>
          </w:p>
        </w:tc>
        <w:tc>
          <w:tcPr>
            <w:tcW w:w="1385" w:type="dxa"/>
            <w:noWrap w:val="0"/>
            <w:vAlign w:val="center"/>
          </w:tcPr>
          <w:p w14:paraId="7576EA46">
            <w:pPr>
              <w:autoSpaceDE w:val="0"/>
              <w:autoSpaceDN w:val="0"/>
              <w:adjustRightInd w:val="0"/>
              <w:spacing w:line="380" w:lineRule="exact"/>
              <w:ind w:firstLine="110" w:firstLineChars="50"/>
              <w:jc w:val="center"/>
              <w:rPr>
                <w:rFonts w:hint="eastAsia" w:ascii="宋体" w:hAnsi="宋体"/>
                <w:color w:val="auto"/>
                <w:sz w:val="22"/>
                <w:szCs w:val="22"/>
                <w:highlight w:val="none"/>
              </w:rPr>
            </w:pPr>
            <w:r>
              <w:rPr>
                <w:rFonts w:hint="eastAsia" w:ascii="宋体" w:hAnsi="宋体"/>
                <w:color w:val="auto"/>
                <w:sz w:val="22"/>
                <w:szCs w:val="22"/>
                <w:highlight w:val="none"/>
              </w:rPr>
              <w:t>报价</w:t>
            </w:r>
          </w:p>
        </w:tc>
        <w:tc>
          <w:tcPr>
            <w:tcW w:w="6078" w:type="dxa"/>
            <w:noWrap w:val="0"/>
            <w:vAlign w:val="center"/>
          </w:tcPr>
          <w:p w14:paraId="2C34A3CA">
            <w:pPr>
              <w:snapToGrid w:val="0"/>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基准价为满足评标要求且投标价格最低的投标报价，投标报价得分=(基准价／投标报价)×</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，四舍五入，保留两位小数。报价高于预算价（最高限价）的，为无效投标文件。</w:t>
            </w:r>
          </w:p>
        </w:tc>
        <w:tc>
          <w:tcPr>
            <w:tcW w:w="897" w:type="dxa"/>
            <w:noWrap w:val="0"/>
            <w:vAlign w:val="center"/>
          </w:tcPr>
          <w:p w14:paraId="3BAA7EF9">
            <w:pPr>
              <w:autoSpaceDE w:val="0"/>
              <w:autoSpaceDN w:val="0"/>
              <w:adjustRightInd w:val="0"/>
              <w:snapToGrid w:val="0"/>
              <w:spacing w:line="380" w:lineRule="exact"/>
              <w:ind w:left="-108" w:leftChars="-45" w:right="-139" w:rightChars="-58"/>
              <w:jc w:val="center"/>
              <w:rPr>
                <w:rFonts w:hint="eastAsia" w:ascii="宋体" w:hAnsi="宋体"/>
                <w:color w:val="auto"/>
                <w:sz w:val="22"/>
                <w:szCs w:val="22"/>
                <w:highlight w:val="none"/>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30</w:t>
            </w:r>
            <w:r>
              <w:rPr>
                <w:rFonts w:hint="eastAsia" w:ascii="宋体" w:hAnsi="宋体"/>
                <w:color w:val="auto"/>
                <w:sz w:val="22"/>
                <w:szCs w:val="22"/>
                <w:highlight w:val="none"/>
              </w:rPr>
              <w:t>分</w:t>
            </w:r>
          </w:p>
        </w:tc>
      </w:tr>
      <w:tr w14:paraId="53AB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239" w:type="dxa"/>
            <w:vMerge w:val="restart"/>
            <w:noWrap w:val="0"/>
            <w:vAlign w:val="center"/>
          </w:tcPr>
          <w:p w14:paraId="2D729433">
            <w:pPr>
              <w:autoSpaceDE w:val="0"/>
              <w:autoSpaceDN w:val="0"/>
              <w:adjustRightInd w:val="0"/>
              <w:spacing w:line="380" w:lineRule="exact"/>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技术商务70分</w:t>
            </w:r>
          </w:p>
        </w:tc>
        <w:tc>
          <w:tcPr>
            <w:tcW w:w="1385" w:type="dxa"/>
            <w:noWrap w:val="0"/>
            <w:vAlign w:val="center"/>
          </w:tcPr>
          <w:p w14:paraId="3C1AB517">
            <w:pPr>
              <w:autoSpaceDE w:val="0"/>
              <w:autoSpaceDN w:val="0"/>
              <w:adjustRightInd w:val="0"/>
              <w:spacing w:line="38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业绩</w:t>
            </w:r>
          </w:p>
        </w:tc>
        <w:tc>
          <w:tcPr>
            <w:tcW w:w="6078" w:type="dxa"/>
            <w:noWrap w:val="0"/>
            <w:vAlign w:val="center"/>
          </w:tcPr>
          <w:p w14:paraId="7F0E395B">
            <w:pPr>
              <w:snapToGrid w:val="0"/>
              <w:spacing w:line="36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20</w:t>
            </w:r>
            <w:r>
              <w:rPr>
                <w:rFonts w:hint="eastAsia" w:ascii="宋体" w:hAnsi="宋体" w:eastAsia="宋体" w:cs="Times New Roman"/>
                <w:color w:val="auto"/>
                <w:sz w:val="22"/>
                <w:szCs w:val="22"/>
                <w:highlight w:val="none"/>
                <w:lang w:val="en-US" w:eastAsia="zh-CN"/>
              </w:rPr>
              <w:t>2</w:t>
            </w:r>
            <w:r>
              <w:rPr>
                <w:rFonts w:hint="default" w:ascii="宋体" w:hAnsi="宋体" w:cs="Times New Roman"/>
                <w:color w:val="auto"/>
                <w:sz w:val="22"/>
                <w:szCs w:val="22"/>
                <w:highlight w:val="none"/>
                <w:lang w:eastAsia="zh-CN"/>
              </w:rPr>
              <w:t>2</w:t>
            </w:r>
            <w:r>
              <w:rPr>
                <w:rFonts w:hint="eastAsia" w:ascii="宋体" w:hAnsi="宋体" w:eastAsia="宋体" w:cs="Times New Roman"/>
                <w:color w:val="auto"/>
                <w:sz w:val="22"/>
                <w:szCs w:val="22"/>
                <w:highlight w:val="none"/>
              </w:rPr>
              <w:t>年1月（以合同签订时间为准）以来类似项目业绩情况（</w:t>
            </w:r>
            <w:r>
              <w:rPr>
                <w:rFonts w:hint="eastAsia" w:ascii="宋体" w:hAnsi="宋体" w:eastAsia="宋体" w:cs="Times New Roman"/>
                <w:color w:val="auto"/>
                <w:sz w:val="22"/>
                <w:szCs w:val="22"/>
                <w:highlight w:val="none"/>
                <w:lang w:val="en-US" w:eastAsia="zh-CN"/>
              </w:rPr>
              <w:t>提供</w:t>
            </w:r>
            <w:r>
              <w:rPr>
                <w:rFonts w:hint="eastAsia" w:ascii="宋体" w:hAnsi="宋体" w:eastAsia="宋体" w:cs="Times New Roman"/>
                <w:color w:val="auto"/>
                <w:sz w:val="22"/>
                <w:szCs w:val="22"/>
                <w:highlight w:val="none"/>
              </w:rPr>
              <w:t>合同复印件和验收材料</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lang w:val="en-US" w:eastAsia="zh-CN"/>
              </w:rPr>
              <w:t>缺一不可</w:t>
            </w:r>
            <w:r>
              <w:rPr>
                <w:rFonts w:hint="eastAsia" w:ascii="宋体" w:hAnsi="宋体" w:eastAsia="宋体" w:cs="Times New Roman"/>
                <w:color w:val="auto"/>
                <w:sz w:val="22"/>
                <w:szCs w:val="22"/>
                <w:highlight w:val="none"/>
              </w:rPr>
              <w:t>）,每个得1分</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lang w:val="en-US" w:eastAsia="zh-CN"/>
              </w:rPr>
              <w:t>本项最高得3分</w:t>
            </w:r>
            <w:r>
              <w:rPr>
                <w:rFonts w:hint="eastAsia" w:ascii="宋体" w:hAnsi="宋体" w:eastAsia="宋体" w:cs="Times New Roman"/>
                <w:color w:val="auto"/>
                <w:sz w:val="22"/>
                <w:szCs w:val="22"/>
                <w:highlight w:val="none"/>
              </w:rPr>
              <w:t>。</w:t>
            </w:r>
          </w:p>
        </w:tc>
        <w:tc>
          <w:tcPr>
            <w:tcW w:w="897" w:type="dxa"/>
            <w:noWrap w:val="0"/>
            <w:vAlign w:val="center"/>
          </w:tcPr>
          <w:p w14:paraId="65D6BFDD">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7604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239" w:type="dxa"/>
            <w:vMerge w:val="continue"/>
            <w:noWrap w:val="0"/>
            <w:vAlign w:val="center"/>
          </w:tcPr>
          <w:p w14:paraId="208B7A1A">
            <w:pPr>
              <w:autoSpaceDE w:val="0"/>
              <w:autoSpaceDN w:val="0"/>
              <w:adjustRightInd w:val="0"/>
              <w:spacing w:line="380" w:lineRule="exact"/>
              <w:jc w:val="center"/>
              <w:rPr>
                <w:rFonts w:hint="eastAsia" w:ascii="宋体" w:hAnsi="宋体"/>
                <w:color w:val="auto"/>
                <w:highlight w:val="none"/>
              </w:rPr>
            </w:pPr>
          </w:p>
        </w:tc>
        <w:tc>
          <w:tcPr>
            <w:tcW w:w="1385" w:type="dxa"/>
            <w:vMerge w:val="restart"/>
            <w:noWrap w:val="0"/>
            <w:vAlign w:val="center"/>
          </w:tcPr>
          <w:p w14:paraId="5C73A9B1">
            <w:pPr>
              <w:autoSpaceDE w:val="0"/>
              <w:autoSpaceDN w:val="0"/>
              <w:adjustRightInd w:val="0"/>
              <w:spacing w:line="380" w:lineRule="exact"/>
              <w:jc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投标人总体设计方案</w:t>
            </w:r>
          </w:p>
        </w:tc>
        <w:tc>
          <w:tcPr>
            <w:tcW w:w="6078" w:type="dxa"/>
            <w:noWrap w:val="0"/>
            <w:vAlign w:val="center"/>
          </w:tcPr>
          <w:p w14:paraId="303FE404">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投标人对项目总体理解程度，针对本项目的详细技术方案。</w:t>
            </w:r>
          </w:p>
          <w:p w14:paraId="79E06ABD">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整</w:t>
            </w:r>
            <w:r>
              <w:rPr>
                <w:rFonts w:hint="eastAsia" w:ascii="宋体" w:hAnsi="宋体" w:eastAsia="宋体" w:cs="Times New Roman"/>
                <w:color w:val="auto"/>
                <w:sz w:val="22"/>
                <w:szCs w:val="22"/>
                <w:highlight w:val="none"/>
              </w:rPr>
              <w:t>体方案完整且符合本项目采购需求，得</w:t>
            </w:r>
            <w:r>
              <w:rPr>
                <w:rFonts w:hint="eastAsia" w:ascii="宋体" w:hAnsi="宋体" w:eastAsia="宋体" w:cs="Times New Roman"/>
                <w:color w:val="auto"/>
                <w:sz w:val="22"/>
                <w:szCs w:val="22"/>
                <w:highlight w:val="none"/>
                <w:lang w:val="en-US" w:eastAsia="zh-CN"/>
              </w:rPr>
              <w:t>4-5</w:t>
            </w:r>
            <w:r>
              <w:rPr>
                <w:rFonts w:hint="eastAsia" w:ascii="宋体" w:hAnsi="宋体" w:eastAsia="宋体" w:cs="Times New Roman"/>
                <w:color w:val="auto"/>
                <w:sz w:val="22"/>
                <w:szCs w:val="22"/>
                <w:highlight w:val="none"/>
              </w:rPr>
              <w:t>分；</w:t>
            </w:r>
          </w:p>
          <w:p w14:paraId="000C5A9E">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整体方案比较合理的，但阐述详细的，得</w:t>
            </w:r>
            <w:r>
              <w:rPr>
                <w:rFonts w:hint="eastAsia" w:ascii="宋体" w:hAnsi="宋体" w:eastAsia="宋体" w:cs="Times New Roman"/>
                <w:color w:val="auto"/>
                <w:sz w:val="22"/>
                <w:szCs w:val="22"/>
                <w:highlight w:val="none"/>
                <w:lang w:val="en-US" w:eastAsia="zh-CN"/>
              </w:rPr>
              <w:t>2-4</w:t>
            </w:r>
            <w:r>
              <w:rPr>
                <w:rFonts w:hint="eastAsia" w:ascii="宋体" w:hAnsi="宋体" w:eastAsia="宋体" w:cs="Times New Roman"/>
                <w:color w:val="auto"/>
                <w:sz w:val="22"/>
                <w:szCs w:val="22"/>
                <w:highlight w:val="none"/>
              </w:rPr>
              <w:t>分；</w:t>
            </w:r>
          </w:p>
          <w:p w14:paraId="01350B63">
            <w:pPr>
              <w:snapToGrid w:val="0"/>
              <w:spacing w:line="360" w:lineRule="exact"/>
              <w:rPr>
                <w:rFonts w:hint="default"/>
                <w:color w:val="auto"/>
                <w:highlight w:val="none"/>
                <w:lang w:val="en-US" w:eastAsia="zh-CN"/>
              </w:rPr>
            </w:pPr>
            <w:r>
              <w:rPr>
                <w:rFonts w:hint="eastAsia" w:ascii="宋体" w:hAnsi="宋体" w:eastAsia="宋体" w:cs="Times New Roman"/>
                <w:color w:val="auto"/>
                <w:sz w:val="22"/>
                <w:szCs w:val="22"/>
                <w:highlight w:val="none"/>
              </w:rPr>
              <w:t>整体方案比较合理的，但阐述不详细的，得</w:t>
            </w:r>
            <w:r>
              <w:rPr>
                <w:rFonts w:hint="eastAsia" w:ascii="宋体" w:hAnsi="宋体" w:eastAsia="宋体" w:cs="Times New Roman"/>
                <w:color w:val="auto"/>
                <w:sz w:val="22"/>
                <w:szCs w:val="22"/>
                <w:highlight w:val="none"/>
                <w:lang w:val="en-US" w:eastAsia="zh-CN"/>
              </w:rPr>
              <w:t>0</w:t>
            </w:r>
            <w:r>
              <w:rPr>
                <w:rFonts w:hint="eastAsia" w:ascii="宋体" w:hAnsi="宋体" w:eastAsia="宋体" w:cs="Times New Roman"/>
                <w:color w:val="auto"/>
                <w:sz w:val="22"/>
                <w:szCs w:val="22"/>
                <w:highlight w:val="none"/>
              </w:rPr>
              <w:t>-2分。</w:t>
            </w:r>
          </w:p>
        </w:tc>
        <w:tc>
          <w:tcPr>
            <w:tcW w:w="897" w:type="dxa"/>
            <w:noWrap w:val="0"/>
            <w:vAlign w:val="center"/>
          </w:tcPr>
          <w:p w14:paraId="6EF22D5A">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5</w:t>
            </w:r>
          </w:p>
        </w:tc>
      </w:tr>
      <w:tr w14:paraId="4999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9" w:type="dxa"/>
            <w:vMerge w:val="continue"/>
            <w:noWrap w:val="0"/>
            <w:vAlign w:val="center"/>
          </w:tcPr>
          <w:p w14:paraId="4B808594">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211AE70E">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rPr>
            </w:pPr>
          </w:p>
        </w:tc>
        <w:tc>
          <w:tcPr>
            <w:tcW w:w="6078" w:type="dxa"/>
            <w:noWrap w:val="0"/>
            <w:vAlign w:val="center"/>
          </w:tcPr>
          <w:p w14:paraId="6103E190">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高清庭审主机：提供与原高清数字法庭系统厂家对接方案及承诺的，得2分。</w:t>
            </w:r>
          </w:p>
        </w:tc>
        <w:tc>
          <w:tcPr>
            <w:tcW w:w="897" w:type="dxa"/>
            <w:noWrap w:val="0"/>
            <w:vAlign w:val="center"/>
          </w:tcPr>
          <w:p w14:paraId="177256D0">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32B5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9" w:type="dxa"/>
            <w:vMerge w:val="continue"/>
            <w:noWrap w:val="0"/>
            <w:vAlign w:val="center"/>
          </w:tcPr>
          <w:p w14:paraId="68C839BA">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09603C2A">
            <w:pPr>
              <w:autoSpaceDE w:val="0"/>
              <w:autoSpaceDN w:val="0"/>
              <w:adjustRightInd w:val="0"/>
              <w:spacing w:line="380" w:lineRule="exact"/>
              <w:ind w:firstLine="110" w:firstLineChars="50"/>
              <w:jc w:val="center"/>
              <w:rPr>
                <w:rFonts w:hint="default" w:ascii="宋体" w:hAnsi="宋体" w:eastAsia="宋体" w:cs="Times New Roman"/>
                <w:color w:val="auto"/>
                <w:sz w:val="22"/>
                <w:szCs w:val="22"/>
                <w:highlight w:val="none"/>
                <w:lang w:val="en-US" w:eastAsia="zh-CN"/>
              </w:rPr>
            </w:pPr>
          </w:p>
        </w:tc>
        <w:tc>
          <w:tcPr>
            <w:tcW w:w="6078" w:type="dxa"/>
            <w:noWrap w:val="0"/>
            <w:vAlign w:val="center"/>
          </w:tcPr>
          <w:p w14:paraId="28E00498">
            <w:pPr>
              <w:snapToGrid w:val="0"/>
              <w:spacing w:line="36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网络数字音频处理器：投标人提供与浙江省高级人民法院智能语音识别服务平台对接的承诺函得2分。</w:t>
            </w:r>
          </w:p>
        </w:tc>
        <w:tc>
          <w:tcPr>
            <w:tcW w:w="897" w:type="dxa"/>
            <w:noWrap w:val="0"/>
            <w:vAlign w:val="center"/>
          </w:tcPr>
          <w:p w14:paraId="52349B76">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419E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39" w:type="dxa"/>
            <w:vMerge w:val="continue"/>
            <w:noWrap w:val="0"/>
            <w:vAlign w:val="center"/>
          </w:tcPr>
          <w:p w14:paraId="50BA75C0">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75C68FB4">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2BA9FA31">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高清视讯互联主机：提供最高院人民服务在线系统对接承诺函得2分。</w:t>
            </w:r>
          </w:p>
        </w:tc>
        <w:tc>
          <w:tcPr>
            <w:tcW w:w="897" w:type="dxa"/>
            <w:noWrap w:val="0"/>
            <w:vAlign w:val="center"/>
          </w:tcPr>
          <w:p w14:paraId="21BB7EC8">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6980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9" w:type="dxa"/>
            <w:vMerge w:val="continue"/>
            <w:noWrap w:val="0"/>
            <w:vAlign w:val="center"/>
          </w:tcPr>
          <w:p w14:paraId="7A5E3240">
            <w:pPr>
              <w:autoSpaceDE w:val="0"/>
              <w:autoSpaceDN w:val="0"/>
              <w:adjustRightInd w:val="0"/>
              <w:spacing w:line="380" w:lineRule="exact"/>
              <w:jc w:val="center"/>
              <w:rPr>
                <w:rFonts w:hint="eastAsia" w:ascii="宋体" w:hAnsi="宋体"/>
                <w:color w:val="auto"/>
                <w:highlight w:val="none"/>
              </w:rPr>
            </w:pPr>
          </w:p>
        </w:tc>
        <w:tc>
          <w:tcPr>
            <w:tcW w:w="1385" w:type="dxa"/>
            <w:vMerge w:val="restart"/>
            <w:noWrap w:val="0"/>
            <w:vAlign w:val="center"/>
          </w:tcPr>
          <w:p w14:paraId="7341DBF1">
            <w:pPr>
              <w:autoSpaceDE w:val="0"/>
              <w:autoSpaceDN w:val="0"/>
              <w:adjustRightInd w:val="0"/>
              <w:spacing w:line="38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实施方案</w:t>
            </w:r>
          </w:p>
        </w:tc>
        <w:tc>
          <w:tcPr>
            <w:tcW w:w="6078" w:type="dxa"/>
            <w:noWrap w:val="0"/>
            <w:vAlign w:val="center"/>
          </w:tcPr>
          <w:p w14:paraId="56AF4EE5">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zh-CN"/>
              </w:rPr>
              <w:t>项目实施方案中供货组织措施、质量保证措施、安全管理措施、施工方案、工期、安装调试等情况</w:t>
            </w:r>
            <w:r>
              <w:rPr>
                <w:rFonts w:hint="eastAsia" w:ascii="宋体" w:hAnsi="宋体" w:eastAsia="宋体" w:cs="Times New Roman"/>
                <w:color w:val="auto"/>
                <w:sz w:val="22"/>
                <w:szCs w:val="22"/>
                <w:highlight w:val="none"/>
              </w:rPr>
              <w:t>方案措施打分。</w:t>
            </w:r>
          </w:p>
          <w:p w14:paraId="1F6B0225">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方案完善、符合实际且有针对性、清晰可行得</w:t>
            </w:r>
            <w:r>
              <w:rPr>
                <w:rFonts w:hint="eastAsia" w:ascii="宋体" w:hAnsi="宋体" w:cs="Times New Roman"/>
                <w:color w:val="auto"/>
                <w:sz w:val="22"/>
                <w:szCs w:val="22"/>
                <w:highlight w:val="none"/>
                <w:lang w:val="en-US" w:eastAsia="zh-CN"/>
              </w:rPr>
              <w:t>3-4</w:t>
            </w:r>
            <w:r>
              <w:rPr>
                <w:rFonts w:hint="eastAsia" w:ascii="宋体" w:hAnsi="宋体" w:eastAsia="宋体" w:cs="Times New Roman"/>
                <w:color w:val="auto"/>
                <w:sz w:val="22"/>
                <w:szCs w:val="22"/>
                <w:highlight w:val="none"/>
              </w:rPr>
              <w:t>分；</w:t>
            </w:r>
          </w:p>
          <w:p w14:paraId="5B70AC3E">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方案较为合理、基本清晰得2-</w:t>
            </w:r>
            <w:r>
              <w:rPr>
                <w:rFonts w:hint="eastAsia" w:ascii="宋体" w:hAnsi="宋体" w:cs="Times New Roman"/>
                <w:color w:val="auto"/>
                <w:sz w:val="22"/>
                <w:szCs w:val="22"/>
                <w:highlight w:val="none"/>
                <w:lang w:val="en-US" w:eastAsia="zh-CN"/>
              </w:rPr>
              <w:t>3</w:t>
            </w:r>
            <w:r>
              <w:rPr>
                <w:rFonts w:hint="eastAsia" w:ascii="宋体" w:hAnsi="宋体" w:eastAsia="宋体" w:cs="Times New Roman"/>
                <w:color w:val="auto"/>
                <w:sz w:val="22"/>
                <w:szCs w:val="22"/>
                <w:highlight w:val="none"/>
              </w:rPr>
              <w:t>分；</w:t>
            </w:r>
          </w:p>
          <w:p w14:paraId="233CA455">
            <w:pPr>
              <w:snapToGrid w:val="0"/>
              <w:spacing w:line="36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方案不合理、一般的得0-2分。</w:t>
            </w:r>
            <w:r>
              <w:rPr>
                <w:rFonts w:hint="eastAsia" w:ascii="宋体" w:hAnsi="宋体" w:cs="Times New Roman"/>
                <w:color w:val="auto"/>
                <w:sz w:val="22"/>
                <w:szCs w:val="22"/>
                <w:highlight w:val="none"/>
                <w:lang w:val="en-US" w:eastAsia="zh-CN"/>
              </w:rPr>
              <w:t>未提供的得0分。</w:t>
            </w:r>
          </w:p>
        </w:tc>
        <w:tc>
          <w:tcPr>
            <w:tcW w:w="897" w:type="dxa"/>
            <w:noWrap w:val="0"/>
            <w:vAlign w:val="center"/>
          </w:tcPr>
          <w:p w14:paraId="34736A41">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0-4</w:t>
            </w:r>
          </w:p>
        </w:tc>
      </w:tr>
      <w:tr w14:paraId="3B67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9" w:type="dxa"/>
            <w:vMerge w:val="continue"/>
            <w:noWrap w:val="0"/>
            <w:vAlign w:val="center"/>
          </w:tcPr>
          <w:p w14:paraId="46EF79BE">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7D0E40C8">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444985DD">
            <w:pPr>
              <w:snapToGrid w:val="0"/>
              <w:spacing w:line="36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投标人针对本项目合理化建议。</w:t>
            </w:r>
          </w:p>
          <w:p w14:paraId="3FC4B44B">
            <w:pPr>
              <w:snapToGrid w:val="0"/>
              <w:spacing w:line="360" w:lineRule="exact"/>
              <w:rPr>
                <w:rFonts w:hint="default"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建议有针对性、有效的得1-2分；建议一般，无针对性效果的得0-1分。</w:t>
            </w:r>
          </w:p>
        </w:tc>
        <w:tc>
          <w:tcPr>
            <w:tcW w:w="897" w:type="dxa"/>
            <w:noWrap w:val="0"/>
            <w:vAlign w:val="center"/>
          </w:tcPr>
          <w:p w14:paraId="64A6F9CC">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1592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39" w:type="dxa"/>
            <w:vMerge w:val="continue"/>
            <w:noWrap w:val="0"/>
            <w:vAlign w:val="center"/>
          </w:tcPr>
          <w:p w14:paraId="1B1F180C">
            <w:pPr>
              <w:autoSpaceDE w:val="0"/>
              <w:autoSpaceDN w:val="0"/>
              <w:adjustRightInd w:val="0"/>
              <w:spacing w:line="380" w:lineRule="exact"/>
              <w:jc w:val="center"/>
              <w:rPr>
                <w:rFonts w:hint="eastAsia" w:ascii="宋体" w:hAnsi="宋体"/>
                <w:color w:val="auto"/>
                <w:highlight w:val="none"/>
              </w:rPr>
            </w:pPr>
          </w:p>
        </w:tc>
        <w:tc>
          <w:tcPr>
            <w:tcW w:w="1385" w:type="dxa"/>
            <w:vMerge w:val="restart"/>
            <w:noWrap w:val="0"/>
            <w:vAlign w:val="center"/>
          </w:tcPr>
          <w:p w14:paraId="088DDEC8">
            <w:pPr>
              <w:autoSpaceDE w:val="0"/>
              <w:autoSpaceDN w:val="0"/>
              <w:adjustRightInd w:val="0"/>
              <w:spacing w:line="38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投标货物品牌选型情况</w:t>
            </w:r>
          </w:p>
        </w:tc>
        <w:tc>
          <w:tcPr>
            <w:tcW w:w="6078" w:type="dxa"/>
            <w:noWrap w:val="0"/>
            <w:vAlign w:val="center"/>
          </w:tcPr>
          <w:p w14:paraId="37B39AD1">
            <w:pPr>
              <w:snapToGrid w:val="0"/>
              <w:jc w:val="left"/>
              <w:rPr>
                <w:rFonts w:hint="default"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所投标准庭审主机和庭审席位摄像机</w:t>
            </w:r>
            <w:r>
              <w:rPr>
                <w:rFonts w:hint="eastAsia" w:ascii="宋体" w:hAnsi="宋体" w:eastAsia="宋体" w:cs="Times New Roman"/>
                <w:color w:val="auto"/>
                <w:sz w:val="22"/>
                <w:szCs w:val="22"/>
                <w:highlight w:val="none"/>
                <w:lang w:val="en-US" w:eastAsia="zh-CN"/>
              </w:rPr>
              <w:t>产品获得的行业评选、权威机构认证、市场准入等类似证书证明材料，可以反映该产品在同类产品中具有良好声誉、技术和质量等方面的优越性的。</w:t>
            </w:r>
          </w:p>
          <w:p w14:paraId="5008E83C">
            <w:pPr>
              <w:snapToGrid w:val="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性能较好、设备综合性能满足采购需求的得2-3分；</w:t>
            </w:r>
          </w:p>
          <w:p w14:paraId="605E7A49">
            <w:pPr>
              <w:snapToGrid w:val="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性能良好、设备综合性能一般、基本满足的得1-2分；</w:t>
            </w:r>
          </w:p>
          <w:p w14:paraId="43A1DE85">
            <w:pPr>
              <w:snapToGrid w:val="0"/>
              <w:jc w:val="lef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性能差、不太适合，得0-1分；</w:t>
            </w:r>
          </w:p>
          <w:p w14:paraId="53E023C4">
            <w:pPr>
              <w:snapToGrid w:val="0"/>
              <w:jc w:val="lef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lang w:val="en-US" w:eastAsia="zh-CN"/>
              </w:rPr>
              <w:t>性能明显缺陷或未提供的不得分。</w:t>
            </w:r>
          </w:p>
        </w:tc>
        <w:tc>
          <w:tcPr>
            <w:tcW w:w="897" w:type="dxa"/>
            <w:noWrap w:val="0"/>
            <w:vAlign w:val="center"/>
          </w:tcPr>
          <w:p w14:paraId="609EA2B6">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061F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39" w:type="dxa"/>
            <w:vMerge w:val="continue"/>
            <w:noWrap w:val="0"/>
            <w:vAlign w:val="center"/>
          </w:tcPr>
          <w:p w14:paraId="202B4C26">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26B074E5">
            <w:pPr>
              <w:autoSpaceDE w:val="0"/>
              <w:autoSpaceDN w:val="0"/>
              <w:adjustRightInd w:val="0"/>
              <w:spacing w:line="380" w:lineRule="exact"/>
              <w:ind w:firstLine="110" w:firstLineChars="50"/>
              <w:jc w:val="center"/>
              <w:rPr>
                <w:rFonts w:hint="default" w:ascii="宋体" w:hAnsi="宋体" w:eastAsia="宋体" w:cs="Times New Roman"/>
                <w:color w:val="auto"/>
                <w:sz w:val="22"/>
                <w:szCs w:val="22"/>
                <w:highlight w:val="none"/>
                <w:lang w:val="en-US" w:eastAsia="zh-CN"/>
              </w:rPr>
            </w:pPr>
          </w:p>
        </w:tc>
        <w:tc>
          <w:tcPr>
            <w:tcW w:w="6078" w:type="dxa"/>
            <w:noWrap w:val="0"/>
            <w:vAlign w:val="center"/>
          </w:tcPr>
          <w:p w14:paraId="59031491">
            <w:pPr>
              <w:snapToGrid w:val="0"/>
              <w:spacing w:line="360" w:lineRule="exact"/>
              <w:rPr>
                <w:rFonts w:hint="eastAsia" w:ascii="宋体" w:hAnsi="宋体" w:eastAsia="宋体" w:cs="Times New Roman"/>
                <w:color w:val="auto"/>
                <w:sz w:val="22"/>
                <w:szCs w:val="22"/>
                <w:highlight w:val="none"/>
                <w:lang w:eastAsia="zh-CN"/>
              </w:rPr>
            </w:pPr>
            <w:r>
              <w:rPr>
                <w:rFonts w:hint="eastAsia" w:ascii="宋体" w:hAnsi="宋体" w:cs="Times New Roman"/>
                <w:color w:val="auto"/>
                <w:sz w:val="22"/>
                <w:szCs w:val="22"/>
                <w:highlight w:val="none"/>
                <w:lang w:val="en-US" w:eastAsia="zh-CN"/>
              </w:rPr>
              <w:t>所投</w:t>
            </w:r>
            <w:r>
              <w:rPr>
                <w:rFonts w:hint="eastAsia" w:ascii="宋体" w:hAnsi="宋体" w:eastAsia="宋体" w:cs="Times New Roman"/>
                <w:color w:val="auto"/>
                <w:sz w:val="22"/>
                <w:szCs w:val="22"/>
                <w:highlight w:val="none"/>
                <w:lang w:eastAsia="zh-CN"/>
              </w:rPr>
              <w:t>网络数字音频处理器产品获得的行业评选、权威机构认证、市场准入等类似证书证明材料，可以反映该产品在同类产品中具有良好声誉、技术和质量等方面的优越性的。</w:t>
            </w:r>
          </w:p>
          <w:p w14:paraId="1F3DE5C0">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性能较好、设备综合性能满足采购需求的得2-3分；</w:t>
            </w:r>
          </w:p>
          <w:p w14:paraId="2AC5F2BC">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性能良好、设备综合性能一般、基本满足的得1-2分；</w:t>
            </w:r>
          </w:p>
          <w:p w14:paraId="2D19EB0D">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性能差、不太适合，得0-1分；</w:t>
            </w:r>
          </w:p>
          <w:p w14:paraId="04213ABB">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性能明显缺陷或未提供的不得分。</w:t>
            </w:r>
          </w:p>
        </w:tc>
        <w:tc>
          <w:tcPr>
            <w:tcW w:w="897" w:type="dxa"/>
            <w:noWrap w:val="0"/>
            <w:vAlign w:val="center"/>
          </w:tcPr>
          <w:p w14:paraId="1D007B55">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5B6E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39" w:type="dxa"/>
            <w:vMerge w:val="continue"/>
            <w:noWrap w:val="0"/>
            <w:vAlign w:val="center"/>
          </w:tcPr>
          <w:p w14:paraId="099971D0">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1F7E7867">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71D21408">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所投人民法院在线服务互联网终端产品获得的行业评选、权威机构认证、市场准入等类似证书证明材料，可以反映该产品在同类产品中具有良好声誉、技术和质量等方面的优越性的。</w:t>
            </w:r>
          </w:p>
          <w:p w14:paraId="3CA305A5">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性能较好、设备综合性能满足采购需求的得2-3分；</w:t>
            </w:r>
          </w:p>
          <w:p w14:paraId="551376F4">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性能良好、设备综合性能一般、基本满足的得1-2分；</w:t>
            </w:r>
          </w:p>
          <w:p w14:paraId="4C6EF15F">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性能差、不太适合，得0-1分；</w:t>
            </w:r>
          </w:p>
          <w:p w14:paraId="5E827342">
            <w:pPr>
              <w:snapToGrid w:val="0"/>
              <w:spacing w:line="360" w:lineRule="exact"/>
              <w:rPr>
                <w:rFonts w:hint="default"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性能明显缺陷或未提供的不得分。</w:t>
            </w:r>
          </w:p>
        </w:tc>
        <w:tc>
          <w:tcPr>
            <w:tcW w:w="897" w:type="dxa"/>
            <w:noWrap w:val="0"/>
            <w:vAlign w:val="center"/>
          </w:tcPr>
          <w:p w14:paraId="31F042FB">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7DAD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239" w:type="dxa"/>
            <w:vMerge w:val="continue"/>
            <w:noWrap w:val="0"/>
            <w:vAlign w:val="center"/>
          </w:tcPr>
          <w:p w14:paraId="05D18054">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1D82A966">
            <w:pPr>
              <w:autoSpaceDE w:val="0"/>
              <w:autoSpaceDN w:val="0"/>
              <w:adjustRightInd w:val="0"/>
              <w:spacing w:line="380" w:lineRule="exact"/>
              <w:ind w:firstLine="110" w:firstLineChars="50"/>
              <w:jc w:val="center"/>
              <w:rPr>
                <w:rFonts w:hint="default" w:ascii="宋体" w:hAnsi="宋体" w:eastAsia="宋体" w:cs="Times New Roman"/>
                <w:color w:val="auto"/>
                <w:sz w:val="22"/>
                <w:szCs w:val="22"/>
                <w:highlight w:val="none"/>
                <w:lang w:val="en-US" w:eastAsia="zh-CN"/>
              </w:rPr>
            </w:pPr>
          </w:p>
        </w:tc>
        <w:tc>
          <w:tcPr>
            <w:tcW w:w="6078" w:type="dxa"/>
            <w:noWrap w:val="0"/>
            <w:vAlign w:val="center"/>
          </w:tcPr>
          <w:p w14:paraId="4ECBCE3B">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eastAsia="zh-CN"/>
              </w:rPr>
              <w:t>其余</w:t>
            </w:r>
            <w:r>
              <w:rPr>
                <w:rFonts w:hint="eastAsia" w:ascii="宋体" w:hAnsi="宋体" w:cs="Times New Roman"/>
                <w:color w:val="auto"/>
                <w:sz w:val="22"/>
                <w:szCs w:val="22"/>
                <w:highlight w:val="none"/>
                <w:lang w:val="en-US" w:eastAsia="zh-CN"/>
              </w:rPr>
              <w:t>所投</w:t>
            </w:r>
            <w:r>
              <w:rPr>
                <w:rFonts w:hint="eastAsia" w:ascii="宋体" w:hAnsi="宋体" w:eastAsia="宋体" w:cs="Times New Roman"/>
                <w:color w:val="auto"/>
                <w:sz w:val="22"/>
                <w:szCs w:val="22"/>
                <w:highlight w:val="none"/>
                <w:lang w:eastAsia="zh-CN"/>
              </w:rPr>
              <w:t>设备</w:t>
            </w:r>
            <w:r>
              <w:rPr>
                <w:rFonts w:hint="eastAsia" w:ascii="宋体" w:hAnsi="宋体" w:cs="Times New Roman"/>
                <w:color w:val="auto"/>
                <w:sz w:val="22"/>
                <w:szCs w:val="22"/>
                <w:highlight w:val="none"/>
                <w:lang w:val="en-US" w:eastAsia="zh-CN"/>
              </w:rPr>
              <w:t>产品获得的行业评选、权威机构认证、市场准入等类似证书证明材料，可以反映该产品在同类产品中具有良好声誉、技术和质量等方面的优越性的。</w:t>
            </w:r>
          </w:p>
          <w:p w14:paraId="74AEA63B">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性能较好、设备综合性能满足采购需求的得1-2分；</w:t>
            </w:r>
          </w:p>
          <w:p w14:paraId="0B8E7C9B">
            <w:pPr>
              <w:snapToGrid w:val="0"/>
              <w:spacing w:line="360" w:lineRule="exact"/>
              <w:rPr>
                <w:rFonts w:hint="eastAsia" w:ascii="宋体" w:hAnsi="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设备综合性能一般、基本满足的得0-2分；</w:t>
            </w:r>
          </w:p>
          <w:p w14:paraId="6511E734">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性能明显缺陷或未提供的不得分。</w:t>
            </w:r>
          </w:p>
        </w:tc>
        <w:tc>
          <w:tcPr>
            <w:tcW w:w="897" w:type="dxa"/>
            <w:noWrap w:val="0"/>
            <w:vAlign w:val="center"/>
          </w:tcPr>
          <w:p w14:paraId="05053F5A">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6B5A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39" w:type="dxa"/>
            <w:vMerge w:val="continue"/>
            <w:noWrap w:val="0"/>
            <w:vAlign w:val="center"/>
          </w:tcPr>
          <w:p w14:paraId="2AACB366">
            <w:pPr>
              <w:autoSpaceDE w:val="0"/>
              <w:autoSpaceDN w:val="0"/>
              <w:adjustRightInd w:val="0"/>
              <w:spacing w:line="380" w:lineRule="exact"/>
              <w:jc w:val="center"/>
              <w:rPr>
                <w:rFonts w:hint="eastAsia" w:ascii="宋体" w:hAnsi="宋体"/>
                <w:color w:val="auto"/>
                <w:highlight w:val="none"/>
              </w:rPr>
            </w:pPr>
          </w:p>
        </w:tc>
        <w:tc>
          <w:tcPr>
            <w:tcW w:w="1385" w:type="dxa"/>
            <w:vMerge w:val="restart"/>
            <w:noWrap w:val="0"/>
            <w:vAlign w:val="center"/>
          </w:tcPr>
          <w:p w14:paraId="47C32370">
            <w:pPr>
              <w:autoSpaceDE w:val="0"/>
              <w:autoSpaceDN w:val="0"/>
              <w:adjustRightInd w:val="0"/>
              <w:spacing w:line="38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投标货物技术指标响应情况</w:t>
            </w:r>
          </w:p>
        </w:tc>
        <w:tc>
          <w:tcPr>
            <w:tcW w:w="6078" w:type="dxa"/>
            <w:noWrap w:val="0"/>
            <w:vAlign w:val="center"/>
          </w:tcPr>
          <w:p w14:paraId="185FEBED">
            <w:pPr>
              <w:snapToGrid w:val="0"/>
              <w:spacing w:line="360" w:lineRule="exact"/>
              <w:rPr>
                <w:rFonts w:hint="eastAsia" w:ascii="宋体" w:hAnsi="宋体" w:eastAsia="宋体" w:cs="Times New Roman"/>
                <w:color w:val="auto"/>
                <w:sz w:val="22"/>
                <w:szCs w:val="22"/>
                <w:highlight w:val="none"/>
                <w:lang w:val="zh-CN"/>
              </w:rPr>
            </w:pPr>
            <w:r>
              <w:rPr>
                <w:rFonts w:hint="eastAsia" w:ascii="宋体" w:hAnsi="宋体" w:eastAsia="宋体" w:cs="Times New Roman"/>
                <w:color w:val="auto"/>
                <w:sz w:val="22"/>
                <w:szCs w:val="22"/>
                <w:highlight w:val="none"/>
                <w:lang w:eastAsia="zh-CN"/>
              </w:rPr>
              <w:t>标准庭审主机和庭审席位摄像机</w:t>
            </w:r>
            <w:r>
              <w:rPr>
                <w:rFonts w:hint="eastAsia" w:ascii="宋体" w:hAnsi="宋体" w:cs="Times New Roman"/>
                <w:color w:val="auto"/>
                <w:sz w:val="22"/>
                <w:szCs w:val="22"/>
                <w:highlight w:val="none"/>
                <w:lang w:val="en-US" w:eastAsia="zh-CN"/>
              </w:rPr>
              <w:t>的</w:t>
            </w:r>
            <w:r>
              <w:rPr>
                <w:rFonts w:hint="eastAsia" w:ascii="宋体" w:hAnsi="宋体" w:eastAsia="宋体" w:cs="Times New Roman"/>
                <w:color w:val="auto"/>
                <w:sz w:val="22"/>
                <w:szCs w:val="22"/>
                <w:highlight w:val="none"/>
                <w:lang w:val="zh-CN"/>
              </w:rPr>
              <w:t>技术指标参数的响应程度，由评委打分。每有一个负偏离扣0.</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zh-CN"/>
              </w:rPr>
              <w:t>分，扣完为止。</w:t>
            </w:r>
          </w:p>
          <w:p w14:paraId="2BBDACC1">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注：根据投标人提供的投标货物清单及偏离表等证明材料进行打分。</w:t>
            </w:r>
          </w:p>
        </w:tc>
        <w:tc>
          <w:tcPr>
            <w:tcW w:w="897" w:type="dxa"/>
            <w:noWrap w:val="0"/>
            <w:vAlign w:val="center"/>
          </w:tcPr>
          <w:p w14:paraId="6A80A566">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0-4</w:t>
            </w:r>
          </w:p>
        </w:tc>
      </w:tr>
      <w:tr w14:paraId="2DEA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7AEE470B">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3DDB731C">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46088651">
            <w:pPr>
              <w:snapToGrid w:val="0"/>
              <w:spacing w:line="360" w:lineRule="exact"/>
              <w:rPr>
                <w:rFonts w:hint="eastAsia" w:ascii="宋体" w:hAnsi="宋体" w:eastAsia="宋体" w:cs="Times New Roman"/>
                <w:color w:val="auto"/>
                <w:sz w:val="22"/>
                <w:szCs w:val="22"/>
                <w:highlight w:val="none"/>
                <w:lang w:val="zh-CN"/>
              </w:rPr>
            </w:pPr>
            <w:r>
              <w:rPr>
                <w:rFonts w:hint="eastAsia" w:ascii="宋体" w:hAnsi="宋体" w:eastAsia="宋体" w:cs="Times New Roman"/>
                <w:color w:val="auto"/>
                <w:sz w:val="22"/>
                <w:szCs w:val="22"/>
                <w:highlight w:val="none"/>
                <w:lang w:eastAsia="zh-CN"/>
              </w:rPr>
              <w:t>网络数字音频处理器</w:t>
            </w:r>
            <w:r>
              <w:rPr>
                <w:rFonts w:hint="eastAsia" w:ascii="宋体" w:hAnsi="宋体" w:eastAsia="宋体" w:cs="Times New Roman"/>
                <w:color w:val="auto"/>
                <w:sz w:val="22"/>
                <w:szCs w:val="22"/>
                <w:highlight w:val="none"/>
                <w:lang w:val="en-US" w:eastAsia="zh-CN"/>
              </w:rPr>
              <w:t>的</w:t>
            </w:r>
            <w:r>
              <w:rPr>
                <w:rFonts w:hint="eastAsia" w:ascii="宋体" w:hAnsi="宋体" w:eastAsia="宋体" w:cs="Times New Roman"/>
                <w:color w:val="auto"/>
                <w:sz w:val="22"/>
                <w:szCs w:val="22"/>
                <w:highlight w:val="none"/>
                <w:lang w:val="zh-CN"/>
              </w:rPr>
              <w:t>技术指标参数的响应程度，由评委打分。每有一个负偏离扣0.</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zh-CN"/>
              </w:rPr>
              <w:t>分，扣完为止。</w:t>
            </w:r>
          </w:p>
          <w:p w14:paraId="5E4612E0">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注：根据投标人提供的投标货物清单及偏离表等证明材料进行打分。</w:t>
            </w:r>
          </w:p>
        </w:tc>
        <w:tc>
          <w:tcPr>
            <w:tcW w:w="897" w:type="dxa"/>
            <w:noWrap w:val="0"/>
            <w:vAlign w:val="center"/>
          </w:tcPr>
          <w:p w14:paraId="16324C50">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0-4</w:t>
            </w:r>
          </w:p>
        </w:tc>
      </w:tr>
      <w:tr w14:paraId="6E6B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4E7258FA">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3ADDA00A">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4B8AF95E">
            <w:pPr>
              <w:snapToGrid w:val="0"/>
              <w:spacing w:line="360" w:lineRule="exact"/>
              <w:rPr>
                <w:rFonts w:hint="eastAsia" w:ascii="宋体" w:hAnsi="宋体" w:eastAsia="宋体" w:cs="Times New Roman"/>
                <w:color w:val="auto"/>
                <w:sz w:val="22"/>
                <w:szCs w:val="22"/>
                <w:highlight w:val="none"/>
                <w:lang w:val="zh-CN"/>
              </w:rPr>
            </w:pPr>
            <w:r>
              <w:rPr>
                <w:rFonts w:hint="eastAsia" w:ascii="宋体" w:hAnsi="宋体" w:eastAsia="宋体" w:cs="Times New Roman"/>
                <w:color w:val="auto"/>
                <w:sz w:val="22"/>
                <w:szCs w:val="22"/>
                <w:highlight w:val="none"/>
              </w:rPr>
              <w:t>高清视讯互联主机</w:t>
            </w:r>
            <w:r>
              <w:rPr>
                <w:rFonts w:hint="eastAsia" w:ascii="宋体" w:hAnsi="宋体" w:eastAsia="宋体" w:cs="Times New Roman"/>
                <w:color w:val="auto"/>
                <w:sz w:val="22"/>
                <w:szCs w:val="22"/>
                <w:highlight w:val="none"/>
                <w:lang w:val="en-US" w:eastAsia="zh-CN"/>
              </w:rPr>
              <w:t>的</w:t>
            </w:r>
            <w:r>
              <w:rPr>
                <w:rFonts w:hint="eastAsia" w:ascii="宋体" w:hAnsi="宋体" w:eastAsia="宋体" w:cs="Times New Roman"/>
                <w:color w:val="auto"/>
                <w:sz w:val="22"/>
                <w:szCs w:val="22"/>
                <w:highlight w:val="none"/>
                <w:lang w:val="zh-CN"/>
              </w:rPr>
              <w:t>技术指标参数的响应程度，由评委打分。每有一个负偏离扣0.</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zh-CN"/>
              </w:rPr>
              <w:t>分，扣完为止。</w:t>
            </w:r>
          </w:p>
          <w:p w14:paraId="160937AF">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注：根据投标人提供的投标货物清单及偏离表等证明材料进行打分。</w:t>
            </w:r>
          </w:p>
        </w:tc>
        <w:tc>
          <w:tcPr>
            <w:tcW w:w="897" w:type="dxa"/>
            <w:noWrap w:val="0"/>
            <w:vAlign w:val="center"/>
          </w:tcPr>
          <w:p w14:paraId="57B65D17">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0-4</w:t>
            </w:r>
          </w:p>
        </w:tc>
      </w:tr>
      <w:tr w14:paraId="7778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44EFCB3E">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25EF9AFB">
            <w:pPr>
              <w:autoSpaceDE w:val="0"/>
              <w:autoSpaceDN w:val="0"/>
              <w:adjustRightInd w:val="0"/>
              <w:spacing w:line="380" w:lineRule="exact"/>
              <w:ind w:firstLine="110" w:firstLineChars="50"/>
              <w:jc w:val="center"/>
              <w:rPr>
                <w:rFonts w:hint="eastAsia" w:ascii="宋体" w:hAnsi="宋体" w:eastAsia="宋体" w:cs="Times New Roman"/>
                <w:color w:val="auto"/>
                <w:sz w:val="22"/>
                <w:szCs w:val="22"/>
                <w:highlight w:val="none"/>
                <w:lang w:val="en-US" w:eastAsia="zh-CN"/>
              </w:rPr>
            </w:pPr>
          </w:p>
        </w:tc>
        <w:tc>
          <w:tcPr>
            <w:tcW w:w="6078" w:type="dxa"/>
            <w:noWrap w:val="0"/>
            <w:vAlign w:val="center"/>
          </w:tcPr>
          <w:p w14:paraId="321A35EB">
            <w:pPr>
              <w:snapToGrid w:val="0"/>
              <w:spacing w:line="360" w:lineRule="exact"/>
              <w:rPr>
                <w:rFonts w:hint="eastAsia" w:ascii="宋体" w:hAnsi="宋体" w:eastAsia="宋体" w:cs="Times New Roman"/>
                <w:color w:val="auto"/>
                <w:sz w:val="22"/>
                <w:szCs w:val="22"/>
                <w:highlight w:val="none"/>
                <w:lang w:val="zh-CN"/>
              </w:rPr>
            </w:pPr>
            <w:r>
              <w:rPr>
                <w:rFonts w:hint="eastAsia" w:ascii="宋体" w:hAnsi="宋体" w:eastAsia="宋体" w:cs="Times New Roman"/>
                <w:color w:val="auto"/>
                <w:sz w:val="22"/>
                <w:szCs w:val="22"/>
                <w:highlight w:val="none"/>
                <w:lang w:val="zh-CN"/>
              </w:rPr>
              <w:t>其余设备的技术指标参数的响应程度，由评委打分。每有一个负偏离扣0.2分，扣完为止。</w:t>
            </w:r>
          </w:p>
          <w:p w14:paraId="728403E3">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zh-CN"/>
              </w:rPr>
              <w:t>注：根据投标人提供的投标货物清单及偏离表等证明材料进行打分。</w:t>
            </w:r>
          </w:p>
        </w:tc>
        <w:tc>
          <w:tcPr>
            <w:tcW w:w="897" w:type="dxa"/>
            <w:noWrap w:val="0"/>
            <w:vAlign w:val="center"/>
          </w:tcPr>
          <w:p w14:paraId="7E6C8F27">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8</w:t>
            </w:r>
          </w:p>
        </w:tc>
      </w:tr>
      <w:tr w14:paraId="23FE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restart"/>
            <w:noWrap w:val="0"/>
            <w:vAlign w:val="center"/>
          </w:tcPr>
          <w:p w14:paraId="0C565D81">
            <w:pPr>
              <w:autoSpaceDE w:val="0"/>
              <w:autoSpaceDN w:val="0"/>
              <w:adjustRightInd w:val="0"/>
              <w:spacing w:line="380" w:lineRule="exact"/>
              <w:jc w:val="center"/>
              <w:rPr>
                <w:rFonts w:hint="eastAsia" w:ascii="宋体" w:hAnsi="宋体"/>
                <w:color w:val="auto"/>
                <w:highlight w:val="none"/>
              </w:rPr>
            </w:pPr>
          </w:p>
        </w:tc>
        <w:tc>
          <w:tcPr>
            <w:tcW w:w="1385" w:type="dxa"/>
            <w:vMerge w:val="restart"/>
            <w:noWrap w:val="0"/>
            <w:vAlign w:val="center"/>
          </w:tcPr>
          <w:p w14:paraId="6244690A">
            <w:pPr>
              <w:autoSpaceDE w:val="0"/>
              <w:autoSpaceDN w:val="0"/>
              <w:adjustRightInd w:val="0"/>
              <w:spacing w:line="38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人员配备情况</w:t>
            </w:r>
          </w:p>
        </w:tc>
        <w:tc>
          <w:tcPr>
            <w:tcW w:w="6078" w:type="dxa"/>
            <w:noWrap w:val="0"/>
            <w:vAlign w:val="center"/>
          </w:tcPr>
          <w:p w14:paraId="48CB64BB">
            <w:pPr>
              <w:snapToGrid w:val="0"/>
              <w:spacing w:line="360" w:lineRule="exac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lang w:eastAsia="zh-CN"/>
              </w:rPr>
              <w:t>拟派</w:t>
            </w:r>
            <w:r>
              <w:rPr>
                <w:rFonts w:hint="eastAsia" w:ascii="宋体" w:hAnsi="宋体" w:eastAsia="宋体" w:cs="Times New Roman"/>
                <w:color w:val="auto"/>
                <w:sz w:val="22"/>
                <w:szCs w:val="22"/>
                <w:highlight w:val="none"/>
              </w:rPr>
              <w:t>项目经理（项目负责人）</w:t>
            </w:r>
            <w:r>
              <w:rPr>
                <w:rFonts w:hint="eastAsia" w:ascii="宋体" w:hAnsi="宋体" w:eastAsia="宋体" w:cs="Times New Roman"/>
                <w:color w:val="auto"/>
                <w:sz w:val="22"/>
                <w:szCs w:val="22"/>
                <w:highlight w:val="none"/>
                <w:lang w:eastAsia="zh-CN"/>
              </w:rPr>
              <w:t>综合素质能力</w:t>
            </w:r>
            <w:r>
              <w:rPr>
                <w:rFonts w:hint="eastAsia" w:ascii="宋体" w:hAnsi="宋体" w:cs="Times New Roman"/>
                <w:color w:val="auto"/>
                <w:sz w:val="22"/>
                <w:szCs w:val="22"/>
                <w:highlight w:val="none"/>
                <w:lang w:eastAsia="zh-CN"/>
              </w:rPr>
              <w:t>。</w:t>
            </w:r>
          </w:p>
          <w:p w14:paraId="4447D18C">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人员经验足、专业资质等级高的得2-</w:t>
            </w:r>
            <w:r>
              <w:rPr>
                <w:rFonts w:hint="eastAsia" w:ascii="宋体" w:hAnsi="宋体" w:cs="Times New Roman"/>
                <w:color w:val="auto"/>
                <w:sz w:val="22"/>
                <w:szCs w:val="22"/>
                <w:highlight w:val="none"/>
                <w:lang w:val="en-US" w:eastAsia="zh-CN"/>
              </w:rPr>
              <w:t>4</w:t>
            </w:r>
            <w:r>
              <w:rPr>
                <w:rFonts w:hint="eastAsia" w:ascii="宋体" w:hAnsi="宋体" w:eastAsia="宋体" w:cs="Times New Roman"/>
                <w:color w:val="auto"/>
                <w:sz w:val="22"/>
                <w:szCs w:val="22"/>
                <w:highlight w:val="none"/>
                <w:lang w:val="en-US" w:eastAsia="zh-CN"/>
              </w:rPr>
              <w:t>分；</w:t>
            </w:r>
          </w:p>
          <w:p w14:paraId="33664681">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人员经验、资质一般的得1-2分；</w:t>
            </w:r>
          </w:p>
          <w:p w14:paraId="79D4FF31">
            <w:pPr>
              <w:snapToGrid w:val="0"/>
              <w:spacing w:line="360" w:lineRule="exact"/>
              <w:rPr>
                <w:rFonts w:hint="default"/>
                <w:color w:val="auto"/>
                <w:highlight w:val="none"/>
                <w:lang w:val="en-US" w:eastAsia="zh-CN"/>
              </w:rPr>
            </w:pPr>
            <w:r>
              <w:rPr>
                <w:rFonts w:hint="eastAsia" w:ascii="宋体" w:hAnsi="宋体" w:eastAsia="宋体" w:cs="Times New Roman"/>
                <w:color w:val="auto"/>
                <w:sz w:val="22"/>
                <w:szCs w:val="22"/>
                <w:highlight w:val="none"/>
                <w:lang w:val="en-US" w:eastAsia="zh-CN"/>
              </w:rPr>
              <w:t>人员无经验、无相关资质的得0分。</w:t>
            </w:r>
          </w:p>
        </w:tc>
        <w:tc>
          <w:tcPr>
            <w:tcW w:w="897" w:type="dxa"/>
            <w:noWrap w:val="0"/>
            <w:vAlign w:val="center"/>
          </w:tcPr>
          <w:p w14:paraId="24DCADD4">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4</w:t>
            </w:r>
          </w:p>
        </w:tc>
      </w:tr>
      <w:tr w14:paraId="03C6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1E034371">
            <w:pPr>
              <w:autoSpaceDE w:val="0"/>
              <w:autoSpaceDN w:val="0"/>
              <w:adjustRightInd w:val="0"/>
              <w:spacing w:line="380" w:lineRule="exact"/>
              <w:jc w:val="center"/>
              <w:rPr>
                <w:rFonts w:hint="eastAsia" w:ascii="宋体" w:hAnsi="宋体"/>
                <w:color w:val="auto"/>
                <w:highlight w:val="none"/>
              </w:rPr>
            </w:pPr>
          </w:p>
        </w:tc>
        <w:tc>
          <w:tcPr>
            <w:tcW w:w="1385" w:type="dxa"/>
            <w:vMerge w:val="continue"/>
            <w:noWrap w:val="0"/>
            <w:vAlign w:val="center"/>
          </w:tcPr>
          <w:p w14:paraId="18B0D9AC">
            <w:pPr>
              <w:autoSpaceDE w:val="0"/>
              <w:autoSpaceDN w:val="0"/>
              <w:adjustRightInd w:val="0"/>
              <w:spacing w:line="380" w:lineRule="exact"/>
              <w:ind w:firstLine="110" w:firstLineChars="50"/>
              <w:jc w:val="center"/>
              <w:rPr>
                <w:rFonts w:hint="default" w:ascii="宋体" w:hAnsi="宋体" w:eastAsia="宋体" w:cs="Times New Roman"/>
                <w:color w:val="auto"/>
                <w:sz w:val="22"/>
                <w:szCs w:val="22"/>
                <w:highlight w:val="none"/>
                <w:lang w:val="en-US" w:eastAsia="zh-CN"/>
              </w:rPr>
            </w:pPr>
          </w:p>
        </w:tc>
        <w:tc>
          <w:tcPr>
            <w:tcW w:w="6078" w:type="dxa"/>
            <w:noWrap w:val="0"/>
            <w:vAlign w:val="center"/>
          </w:tcPr>
          <w:p w14:paraId="77AB6EAE">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eastAsia="zh-CN"/>
              </w:rPr>
              <w:t>拟派</w:t>
            </w:r>
            <w:r>
              <w:rPr>
                <w:rFonts w:hint="eastAsia" w:ascii="宋体" w:hAnsi="宋体" w:eastAsia="宋体" w:cs="Times New Roman"/>
                <w:color w:val="auto"/>
                <w:sz w:val="22"/>
                <w:szCs w:val="22"/>
                <w:highlight w:val="none"/>
              </w:rPr>
              <w:t>技术团队</w:t>
            </w:r>
            <w:r>
              <w:rPr>
                <w:rFonts w:hint="eastAsia" w:ascii="宋体" w:hAnsi="宋体" w:eastAsia="宋体" w:cs="Times New Roman"/>
                <w:color w:val="auto"/>
                <w:sz w:val="22"/>
                <w:szCs w:val="22"/>
                <w:highlight w:val="none"/>
                <w:lang w:eastAsia="zh-CN"/>
              </w:rPr>
              <w:t>中其他</w:t>
            </w:r>
            <w:r>
              <w:rPr>
                <w:rFonts w:hint="eastAsia" w:ascii="宋体" w:hAnsi="宋体" w:eastAsia="宋体" w:cs="Times New Roman"/>
                <w:color w:val="auto"/>
                <w:sz w:val="22"/>
                <w:szCs w:val="22"/>
                <w:highlight w:val="none"/>
              </w:rPr>
              <w:t>人员实力</w:t>
            </w:r>
            <w:r>
              <w:rPr>
                <w:rFonts w:hint="eastAsia" w:ascii="宋体" w:hAnsi="宋体" w:cs="Times New Roman"/>
                <w:color w:val="auto"/>
                <w:sz w:val="22"/>
                <w:szCs w:val="22"/>
                <w:highlight w:val="none"/>
                <w:lang w:val="en-US" w:eastAsia="zh-CN"/>
              </w:rPr>
              <w:t>情况</w:t>
            </w:r>
            <w:r>
              <w:rPr>
                <w:rFonts w:hint="eastAsia" w:ascii="宋体" w:hAnsi="宋体" w:eastAsia="宋体" w:cs="Times New Roman"/>
                <w:color w:val="auto"/>
                <w:sz w:val="22"/>
                <w:szCs w:val="22"/>
                <w:highlight w:val="none"/>
                <w:lang w:val="en-US" w:eastAsia="zh-CN"/>
              </w:rPr>
              <w:t>。</w:t>
            </w:r>
          </w:p>
          <w:p w14:paraId="16A23364">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cs="Times New Roman"/>
                <w:color w:val="auto"/>
                <w:sz w:val="22"/>
                <w:szCs w:val="22"/>
                <w:highlight w:val="none"/>
                <w:lang w:val="en-US" w:eastAsia="zh-CN"/>
              </w:rPr>
              <w:t>小组成员综合素质</w:t>
            </w:r>
            <w:r>
              <w:rPr>
                <w:rFonts w:hint="eastAsia" w:ascii="宋体" w:hAnsi="宋体" w:eastAsia="宋体" w:cs="Times New Roman"/>
                <w:color w:val="auto"/>
                <w:sz w:val="22"/>
                <w:szCs w:val="22"/>
                <w:highlight w:val="none"/>
                <w:lang w:val="en-US" w:eastAsia="zh-CN"/>
              </w:rPr>
              <w:t>强、经验丰富、人员配备合理的得2-3分；</w:t>
            </w:r>
          </w:p>
          <w:p w14:paraId="3A642BE2">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小组成员经验，资质一般，配备较为合理的得1-2分；</w:t>
            </w:r>
          </w:p>
          <w:p w14:paraId="5B4F17C8">
            <w:pPr>
              <w:snapToGrid w:val="0"/>
              <w:spacing w:line="360" w:lineRule="exact"/>
              <w:rPr>
                <w:rFonts w:hint="default"/>
                <w:color w:val="auto"/>
                <w:highlight w:val="none"/>
                <w:lang w:val="en-US" w:eastAsia="zh-CN"/>
              </w:rPr>
            </w:pPr>
            <w:r>
              <w:rPr>
                <w:rFonts w:hint="eastAsia" w:ascii="宋体" w:hAnsi="宋体" w:eastAsia="宋体" w:cs="Times New Roman"/>
                <w:color w:val="auto"/>
                <w:sz w:val="22"/>
                <w:szCs w:val="22"/>
                <w:highlight w:val="none"/>
                <w:lang w:val="en-US" w:eastAsia="zh-CN"/>
              </w:rPr>
              <w:t>人员无经验，无相关资质，配备不合理的得0分。</w:t>
            </w:r>
          </w:p>
        </w:tc>
        <w:tc>
          <w:tcPr>
            <w:tcW w:w="897" w:type="dxa"/>
            <w:noWrap w:val="0"/>
            <w:vAlign w:val="center"/>
          </w:tcPr>
          <w:p w14:paraId="6FC34273">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4112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6C39D7AF">
            <w:pPr>
              <w:autoSpaceDE w:val="0"/>
              <w:autoSpaceDN w:val="0"/>
              <w:adjustRightInd w:val="0"/>
              <w:spacing w:line="380" w:lineRule="exact"/>
              <w:jc w:val="center"/>
              <w:rPr>
                <w:rFonts w:hint="eastAsia" w:ascii="宋体" w:hAnsi="宋体"/>
                <w:color w:val="auto"/>
                <w:highlight w:val="none"/>
              </w:rPr>
            </w:pPr>
          </w:p>
        </w:tc>
        <w:tc>
          <w:tcPr>
            <w:tcW w:w="1385" w:type="dxa"/>
            <w:noWrap w:val="0"/>
            <w:vAlign w:val="center"/>
          </w:tcPr>
          <w:p w14:paraId="37CB03F3">
            <w:pPr>
              <w:autoSpaceDE w:val="0"/>
              <w:autoSpaceDN w:val="0"/>
              <w:adjustRightInd w:val="0"/>
              <w:spacing w:line="38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运维方案</w:t>
            </w:r>
          </w:p>
        </w:tc>
        <w:tc>
          <w:tcPr>
            <w:tcW w:w="6078" w:type="dxa"/>
            <w:noWrap w:val="0"/>
            <w:vAlign w:val="center"/>
          </w:tcPr>
          <w:p w14:paraId="53F4363E">
            <w:pPr>
              <w:snapToGrid w:val="0"/>
              <w:spacing w:line="360" w:lineRule="exact"/>
              <w:rPr>
                <w:rFonts w:hint="eastAsia" w:ascii="宋体" w:hAnsi="宋体" w:eastAsia="宋体" w:cs="Times New Roman"/>
                <w:color w:val="auto"/>
                <w:sz w:val="22"/>
                <w:szCs w:val="22"/>
                <w:highlight w:val="none"/>
                <w:lang w:val="zh-CN"/>
              </w:rPr>
            </w:pPr>
            <w:r>
              <w:rPr>
                <w:rFonts w:hint="eastAsia" w:ascii="宋体" w:hAnsi="宋体" w:eastAsia="宋体" w:cs="Times New Roman"/>
                <w:color w:val="auto"/>
                <w:sz w:val="22"/>
                <w:szCs w:val="22"/>
                <w:highlight w:val="none"/>
              </w:rPr>
              <w:t>根据对本项目的后续维护管理措施，</w:t>
            </w:r>
            <w:r>
              <w:rPr>
                <w:rFonts w:hint="eastAsia" w:ascii="宋体" w:hAnsi="宋体" w:eastAsia="宋体" w:cs="Times New Roman"/>
                <w:color w:val="auto"/>
                <w:sz w:val="22"/>
                <w:szCs w:val="22"/>
                <w:highlight w:val="none"/>
                <w:lang w:val="zh-CN"/>
              </w:rPr>
              <w:t>日常维护维修方案。</w:t>
            </w:r>
          </w:p>
          <w:p w14:paraId="16FB9329">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方案</w:t>
            </w:r>
            <w:r>
              <w:rPr>
                <w:rFonts w:hint="eastAsia" w:ascii="宋体" w:hAnsi="宋体" w:eastAsia="宋体" w:cs="Times New Roman"/>
                <w:color w:val="auto"/>
                <w:sz w:val="22"/>
                <w:szCs w:val="22"/>
                <w:highlight w:val="none"/>
                <w:lang w:val="zh-CN"/>
              </w:rPr>
              <w:t>全面、合理，计划详细完善</w:t>
            </w:r>
            <w:r>
              <w:rPr>
                <w:rFonts w:hint="eastAsia" w:ascii="宋体" w:hAnsi="宋体" w:eastAsia="宋体" w:cs="Times New Roman"/>
                <w:color w:val="auto"/>
                <w:sz w:val="22"/>
                <w:szCs w:val="22"/>
                <w:highlight w:val="none"/>
                <w:lang w:val="en-US" w:eastAsia="zh-CN"/>
              </w:rPr>
              <w:t>得2-</w:t>
            </w:r>
            <w:r>
              <w:rPr>
                <w:rFonts w:hint="eastAsia" w:ascii="宋体" w:hAnsi="宋体" w:cs="Times New Roman"/>
                <w:color w:val="auto"/>
                <w:sz w:val="22"/>
                <w:szCs w:val="22"/>
                <w:highlight w:val="none"/>
                <w:lang w:val="en-US" w:eastAsia="zh-CN"/>
              </w:rPr>
              <w:t>4</w:t>
            </w:r>
            <w:r>
              <w:rPr>
                <w:rFonts w:hint="eastAsia" w:ascii="宋体" w:hAnsi="宋体" w:eastAsia="宋体" w:cs="Times New Roman"/>
                <w:color w:val="auto"/>
                <w:sz w:val="22"/>
                <w:szCs w:val="22"/>
                <w:highlight w:val="none"/>
                <w:lang w:val="en-US" w:eastAsia="zh-CN"/>
              </w:rPr>
              <w:t>分；</w:t>
            </w:r>
          </w:p>
          <w:p w14:paraId="5C4F4E98">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方案一般，</w:t>
            </w:r>
            <w:r>
              <w:rPr>
                <w:rFonts w:hint="eastAsia" w:ascii="宋体" w:hAnsi="宋体" w:eastAsia="宋体" w:cs="Times New Roman"/>
                <w:color w:val="auto"/>
                <w:sz w:val="22"/>
                <w:szCs w:val="22"/>
                <w:highlight w:val="none"/>
                <w:lang w:val="zh-CN"/>
              </w:rPr>
              <w:t>计划</w:t>
            </w:r>
            <w:r>
              <w:rPr>
                <w:rFonts w:hint="eastAsia" w:ascii="宋体" w:hAnsi="宋体" w:eastAsia="宋体" w:cs="Times New Roman"/>
                <w:color w:val="auto"/>
                <w:sz w:val="22"/>
                <w:szCs w:val="22"/>
                <w:highlight w:val="none"/>
                <w:lang w:val="en-US" w:eastAsia="zh-CN"/>
              </w:rPr>
              <w:t>较为</w:t>
            </w:r>
            <w:r>
              <w:rPr>
                <w:rFonts w:hint="eastAsia" w:ascii="宋体" w:hAnsi="宋体" w:eastAsia="宋体" w:cs="Times New Roman"/>
                <w:color w:val="auto"/>
                <w:sz w:val="22"/>
                <w:szCs w:val="22"/>
                <w:highlight w:val="none"/>
                <w:lang w:val="zh-CN"/>
              </w:rPr>
              <w:t>详细</w:t>
            </w:r>
            <w:r>
              <w:rPr>
                <w:rFonts w:hint="eastAsia" w:ascii="宋体" w:hAnsi="宋体" w:eastAsia="宋体" w:cs="Times New Roman"/>
                <w:color w:val="auto"/>
                <w:sz w:val="22"/>
                <w:szCs w:val="22"/>
                <w:highlight w:val="none"/>
                <w:lang w:val="en-US" w:eastAsia="zh-CN"/>
              </w:rPr>
              <w:t>得1-2分；</w:t>
            </w:r>
          </w:p>
          <w:p w14:paraId="22F14805">
            <w:pPr>
              <w:snapToGrid w:val="0"/>
              <w:spacing w:line="360" w:lineRule="exact"/>
              <w:rPr>
                <w:rFonts w:hint="eastAsia"/>
                <w:color w:val="auto"/>
                <w:highlight w:val="none"/>
                <w:lang w:val="en-US" w:eastAsia="zh-CN"/>
              </w:rPr>
            </w:pPr>
            <w:r>
              <w:rPr>
                <w:rFonts w:hint="eastAsia" w:ascii="宋体" w:hAnsi="宋体" w:eastAsia="宋体" w:cs="Times New Roman"/>
                <w:color w:val="auto"/>
                <w:sz w:val="22"/>
                <w:szCs w:val="22"/>
                <w:highlight w:val="none"/>
                <w:lang w:val="en-US" w:eastAsia="zh-CN"/>
              </w:rPr>
              <w:t>方案不合理且不可行得0分。</w:t>
            </w:r>
          </w:p>
        </w:tc>
        <w:tc>
          <w:tcPr>
            <w:tcW w:w="897" w:type="dxa"/>
            <w:noWrap w:val="0"/>
            <w:vAlign w:val="center"/>
          </w:tcPr>
          <w:p w14:paraId="57101805">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4</w:t>
            </w:r>
          </w:p>
        </w:tc>
      </w:tr>
      <w:tr w14:paraId="2362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7B479497">
            <w:pPr>
              <w:autoSpaceDE w:val="0"/>
              <w:autoSpaceDN w:val="0"/>
              <w:adjustRightInd w:val="0"/>
              <w:spacing w:line="380" w:lineRule="exact"/>
              <w:jc w:val="center"/>
              <w:rPr>
                <w:rFonts w:hint="eastAsia" w:ascii="宋体" w:hAnsi="宋体"/>
                <w:color w:val="auto"/>
                <w:highlight w:val="none"/>
              </w:rPr>
            </w:pPr>
          </w:p>
        </w:tc>
        <w:tc>
          <w:tcPr>
            <w:tcW w:w="1385" w:type="dxa"/>
            <w:noWrap w:val="0"/>
            <w:vAlign w:val="center"/>
          </w:tcPr>
          <w:p w14:paraId="6B91BB37">
            <w:pPr>
              <w:autoSpaceDE w:val="0"/>
              <w:autoSpaceDN w:val="0"/>
              <w:adjustRightInd w:val="0"/>
              <w:spacing w:line="38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售后服务</w:t>
            </w:r>
          </w:p>
        </w:tc>
        <w:tc>
          <w:tcPr>
            <w:tcW w:w="6078" w:type="dxa"/>
            <w:noWrap w:val="0"/>
            <w:vAlign w:val="center"/>
          </w:tcPr>
          <w:p w14:paraId="11472BF2">
            <w:pPr>
              <w:snapToGrid w:val="0"/>
              <w:spacing w:line="360" w:lineRule="exact"/>
              <w:rPr>
                <w:rFonts w:hint="eastAsia" w:ascii="宋体" w:hAnsi="宋体" w:cs="Times New Roman"/>
                <w:color w:val="auto"/>
                <w:sz w:val="22"/>
                <w:szCs w:val="22"/>
                <w:highlight w:val="none"/>
                <w:lang w:eastAsia="zh-CN"/>
              </w:rPr>
            </w:pPr>
            <w:r>
              <w:rPr>
                <w:rFonts w:hint="eastAsia" w:ascii="宋体" w:hAnsi="宋体" w:eastAsia="宋体" w:cs="Times New Roman"/>
                <w:color w:val="auto"/>
                <w:sz w:val="22"/>
                <w:szCs w:val="22"/>
                <w:highlight w:val="none"/>
              </w:rPr>
              <w:t>根据厂商及投标人的</w:t>
            </w:r>
            <w:r>
              <w:rPr>
                <w:rFonts w:hint="eastAsia" w:ascii="宋体" w:hAnsi="宋体" w:eastAsia="宋体" w:cs="Times New Roman"/>
                <w:color w:val="auto"/>
                <w:sz w:val="22"/>
                <w:szCs w:val="22"/>
                <w:highlight w:val="none"/>
                <w:lang w:val="en-US" w:eastAsia="zh-CN"/>
              </w:rPr>
              <w:t>售后</w:t>
            </w:r>
            <w:r>
              <w:rPr>
                <w:rFonts w:hint="eastAsia" w:ascii="宋体" w:hAnsi="宋体" w:eastAsia="宋体" w:cs="Times New Roman"/>
                <w:color w:val="auto"/>
                <w:sz w:val="22"/>
                <w:szCs w:val="22"/>
                <w:highlight w:val="none"/>
              </w:rPr>
              <w:t>服务情况、售后服务响应时间、售后服务保证措施、售后服务体系、质保期外的售后服务承诺等</w:t>
            </w:r>
            <w:r>
              <w:rPr>
                <w:rFonts w:hint="eastAsia" w:ascii="宋体" w:hAnsi="宋体" w:cs="Times New Roman"/>
                <w:color w:val="auto"/>
                <w:sz w:val="22"/>
                <w:szCs w:val="22"/>
                <w:highlight w:val="none"/>
                <w:lang w:eastAsia="zh-CN"/>
              </w:rPr>
              <w:t>。</w:t>
            </w:r>
          </w:p>
          <w:p w14:paraId="7669252D">
            <w:pPr>
              <w:snapToGrid w:val="0"/>
              <w:spacing w:line="360" w:lineRule="exac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服务方案内容清晰、完整、合理的，可操作性强的服务承诺保障措施完善</w:t>
            </w:r>
            <w:r>
              <w:rPr>
                <w:rFonts w:hint="eastAsia" w:ascii="宋体" w:hAnsi="宋体" w:eastAsia="宋体" w:cs="Times New Roman"/>
                <w:color w:val="auto"/>
                <w:sz w:val="22"/>
                <w:szCs w:val="22"/>
                <w:highlight w:val="none"/>
                <w:lang w:val="en-US" w:eastAsia="zh-CN"/>
              </w:rPr>
              <w:t>的</w:t>
            </w:r>
            <w:r>
              <w:rPr>
                <w:rFonts w:hint="eastAsia" w:ascii="宋体" w:hAnsi="宋体" w:eastAsia="宋体" w:cs="Times New Roman"/>
                <w:color w:val="auto"/>
                <w:sz w:val="22"/>
                <w:szCs w:val="22"/>
                <w:highlight w:val="none"/>
              </w:rPr>
              <w:t>得</w:t>
            </w:r>
            <w:r>
              <w:rPr>
                <w:rFonts w:hint="eastAsia" w:ascii="宋体" w:hAnsi="宋体" w:eastAsia="宋体" w:cs="Times New Roman"/>
                <w:color w:val="auto"/>
                <w:sz w:val="22"/>
                <w:szCs w:val="22"/>
                <w:highlight w:val="none"/>
                <w:lang w:val="en-US" w:eastAsia="zh-CN"/>
              </w:rPr>
              <w:t>2-3</w:t>
            </w:r>
            <w:r>
              <w:rPr>
                <w:rFonts w:hint="eastAsia" w:ascii="宋体" w:hAnsi="宋体" w:eastAsia="宋体" w:cs="Times New Roman"/>
                <w:color w:val="auto"/>
                <w:sz w:val="22"/>
                <w:szCs w:val="22"/>
                <w:highlight w:val="none"/>
              </w:rPr>
              <w:t>分</w:t>
            </w:r>
            <w:r>
              <w:rPr>
                <w:rFonts w:hint="eastAsia" w:ascii="宋体" w:hAnsi="宋体" w:eastAsia="宋体" w:cs="Times New Roman"/>
                <w:color w:val="auto"/>
                <w:sz w:val="22"/>
                <w:szCs w:val="22"/>
                <w:highlight w:val="none"/>
                <w:lang w:eastAsia="zh-CN"/>
              </w:rPr>
              <w:t>；</w:t>
            </w:r>
          </w:p>
          <w:p w14:paraId="697B16F5">
            <w:pPr>
              <w:snapToGrid w:val="0"/>
              <w:spacing w:line="360" w:lineRule="exact"/>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服务方案内容一般，服务承诺保障有缺陷，基本满足项目实际需求的得</w:t>
            </w:r>
            <w:r>
              <w:rPr>
                <w:rFonts w:hint="eastAsia" w:ascii="宋体" w:hAnsi="宋体" w:eastAsia="宋体" w:cs="Times New Roman"/>
                <w:color w:val="auto"/>
                <w:sz w:val="22"/>
                <w:szCs w:val="22"/>
                <w:highlight w:val="none"/>
                <w:lang w:val="en-US" w:eastAsia="zh-CN"/>
              </w:rPr>
              <w:t>1-2</w:t>
            </w:r>
            <w:r>
              <w:rPr>
                <w:rFonts w:hint="eastAsia" w:ascii="宋体" w:hAnsi="宋体" w:eastAsia="宋体" w:cs="Times New Roman"/>
                <w:color w:val="auto"/>
                <w:sz w:val="22"/>
                <w:szCs w:val="22"/>
                <w:highlight w:val="none"/>
              </w:rPr>
              <w:t>分</w:t>
            </w:r>
            <w:r>
              <w:rPr>
                <w:rFonts w:hint="eastAsia" w:ascii="宋体" w:hAnsi="宋体" w:eastAsia="宋体" w:cs="Times New Roman"/>
                <w:color w:val="auto"/>
                <w:sz w:val="22"/>
                <w:szCs w:val="22"/>
                <w:highlight w:val="none"/>
                <w:lang w:eastAsia="zh-CN"/>
              </w:rPr>
              <w:t>；</w:t>
            </w:r>
          </w:p>
          <w:p w14:paraId="2B739581">
            <w:pPr>
              <w:snapToGrid w:val="0"/>
              <w:spacing w:line="360" w:lineRule="exact"/>
              <w:rPr>
                <w:rFonts w:hint="eastAsia"/>
                <w:color w:val="auto"/>
                <w:highlight w:val="none"/>
                <w:lang w:val="en-US" w:eastAsia="zh-CN"/>
              </w:rPr>
            </w:pPr>
            <w:r>
              <w:rPr>
                <w:rFonts w:hint="eastAsia" w:ascii="宋体" w:hAnsi="宋体" w:eastAsia="宋体" w:cs="Times New Roman"/>
                <w:color w:val="auto"/>
                <w:sz w:val="22"/>
                <w:szCs w:val="22"/>
                <w:highlight w:val="none"/>
              </w:rPr>
              <w:t>服务方案内容简陋、缺失的得</w:t>
            </w:r>
            <w:r>
              <w:rPr>
                <w:rFonts w:hint="eastAsia" w:ascii="宋体" w:hAnsi="宋体" w:eastAsia="宋体" w:cs="Times New Roman"/>
                <w:color w:val="auto"/>
                <w:sz w:val="22"/>
                <w:szCs w:val="22"/>
                <w:highlight w:val="none"/>
                <w:lang w:val="en-US" w:eastAsia="zh-CN"/>
              </w:rPr>
              <w:t>0-1</w:t>
            </w:r>
            <w:r>
              <w:rPr>
                <w:rFonts w:hint="eastAsia" w:ascii="宋体" w:hAnsi="宋体" w:eastAsia="宋体" w:cs="Times New Roman"/>
                <w:color w:val="auto"/>
                <w:sz w:val="22"/>
                <w:szCs w:val="22"/>
                <w:highlight w:val="none"/>
              </w:rPr>
              <w:t>分</w:t>
            </w:r>
            <w:r>
              <w:rPr>
                <w:rFonts w:hint="eastAsia" w:ascii="宋体" w:hAnsi="宋体" w:eastAsia="宋体" w:cs="Times New Roman"/>
                <w:color w:val="auto"/>
                <w:sz w:val="22"/>
                <w:szCs w:val="22"/>
                <w:highlight w:val="none"/>
                <w:lang w:eastAsia="zh-CN"/>
              </w:rPr>
              <w:t>；</w:t>
            </w:r>
            <w:r>
              <w:rPr>
                <w:rFonts w:hint="eastAsia" w:ascii="宋体" w:hAnsi="宋体" w:eastAsia="宋体" w:cs="Times New Roman"/>
                <w:color w:val="auto"/>
                <w:sz w:val="22"/>
                <w:szCs w:val="22"/>
                <w:highlight w:val="none"/>
              </w:rPr>
              <w:t>未提及此项不得分。</w:t>
            </w:r>
          </w:p>
        </w:tc>
        <w:tc>
          <w:tcPr>
            <w:tcW w:w="897" w:type="dxa"/>
            <w:noWrap w:val="0"/>
            <w:vAlign w:val="center"/>
          </w:tcPr>
          <w:p w14:paraId="71B1AC66">
            <w:pPr>
              <w:autoSpaceDE w:val="0"/>
              <w:autoSpaceDN w:val="0"/>
              <w:adjustRightInd w:val="0"/>
              <w:snapToGrid w:val="0"/>
              <w:spacing w:line="380" w:lineRule="exact"/>
              <w:ind w:left="-108" w:leftChars="-45" w:right="-139" w:rightChars="-58"/>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0-3</w:t>
            </w:r>
          </w:p>
        </w:tc>
      </w:tr>
      <w:tr w14:paraId="191A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5CB0373B">
            <w:pPr>
              <w:autoSpaceDE w:val="0"/>
              <w:autoSpaceDN w:val="0"/>
              <w:adjustRightInd w:val="0"/>
              <w:spacing w:line="380" w:lineRule="exact"/>
              <w:jc w:val="center"/>
              <w:rPr>
                <w:rFonts w:hint="eastAsia" w:ascii="宋体" w:hAnsi="宋体"/>
                <w:color w:val="auto"/>
                <w:highlight w:val="none"/>
              </w:rPr>
            </w:pPr>
          </w:p>
        </w:tc>
        <w:tc>
          <w:tcPr>
            <w:tcW w:w="1385" w:type="dxa"/>
            <w:noWrap w:val="0"/>
            <w:vAlign w:val="center"/>
          </w:tcPr>
          <w:p w14:paraId="61966F9F">
            <w:pPr>
              <w:autoSpaceDE w:val="0"/>
              <w:autoSpaceDN w:val="0"/>
              <w:adjustRightInd w:val="0"/>
              <w:spacing w:line="38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eastAsia="zh-CN"/>
              </w:rPr>
              <w:t>质保期</w:t>
            </w:r>
          </w:p>
        </w:tc>
        <w:tc>
          <w:tcPr>
            <w:tcW w:w="6078" w:type="dxa"/>
            <w:noWrap w:val="0"/>
            <w:vAlign w:val="center"/>
          </w:tcPr>
          <w:p w14:paraId="730D2DD8">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eastAsia="zh-CN"/>
              </w:rPr>
              <w:t>质保期超过三年，质保期</w:t>
            </w:r>
            <w:r>
              <w:rPr>
                <w:rFonts w:hint="eastAsia" w:ascii="宋体" w:hAnsi="宋体" w:eastAsia="宋体" w:cs="Times New Roman"/>
                <w:color w:val="auto"/>
                <w:sz w:val="22"/>
                <w:szCs w:val="22"/>
                <w:highlight w:val="none"/>
                <w:lang w:val="en-US" w:eastAsia="zh-CN"/>
              </w:rPr>
              <w:t>每</w:t>
            </w:r>
            <w:r>
              <w:rPr>
                <w:rFonts w:hint="eastAsia" w:ascii="宋体" w:hAnsi="宋体" w:eastAsia="宋体" w:cs="Times New Roman"/>
                <w:color w:val="auto"/>
                <w:sz w:val="22"/>
                <w:szCs w:val="22"/>
                <w:highlight w:val="none"/>
                <w:lang w:eastAsia="zh-CN"/>
              </w:rPr>
              <w:t>延长</w:t>
            </w:r>
            <w:r>
              <w:rPr>
                <w:rFonts w:hint="eastAsia" w:ascii="宋体" w:hAnsi="宋体" w:eastAsia="宋体" w:cs="Times New Roman"/>
                <w:color w:val="auto"/>
                <w:sz w:val="22"/>
                <w:szCs w:val="22"/>
                <w:highlight w:val="none"/>
                <w:lang w:val="en-US" w:eastAsia="zh-CN"/>
              </w:rPr>
              <w:t>6个月</w:t>
            </w:r>
            <w:r>
              <w:rPr>
                <w:rFonts w:hint="eastAsia" w:ascii="宋体" w:hAnsi="宋体" w:eastAsia="宋体" w:cs="Times New Roman"/>
                <w:color w:val="auto"/>
                <w:sz w:val="22"/>
                <w:szCs w:val="22"/>
                <w:highlight w:val="none"/>
                <w:lang w:eastAsia="zh-CN"/>
              </w:rPr>
              <w:t>加</w:t>
            </w:r>
            <w:r>
              <w:rPr>
                <w:rFonts w:hint="eastAsia" w:ascii="宋体" w:hAnsi="宋体" w:eastAsia="宋体" w:cs="Times New Roman"/>
                <w:color w:val="auto"/>
                <w:sz w:val="22"/>
                <w:szCs w:val="22"/>
                <w:highlight w:val="none"/>
                <w:lang w:val="en-US" w:eastAsia="zh-CN"/>
              </w:rPr>
              <w:t>0.5分，</w:t>
            </w:r>
            <w:r>
              <w:rPr>
                <w:rFonts w:hint="eastAsia" w:ascii="宋体" w:hAnsi="宋体" w:eastAsia="宋体" w:cs="Times New Roman"/>
                <w:color w:val="auto"/>
                <w:sz w:val="22"/>
                <w:szCs w:val="22"/>
                <w:highlight w:val="none"/>
                <w:lang w:eastAsia="zh-CN"/>
              </w:rPr>
              <w:t>延长</w:t>
            </w:r>
            <w:r>
              <w:rPr>
                <w:rFonts w:hint="eastAsia" w:ascii="宋体" w:hAnsi="宋体" w:eastAsia="宋体" w:cs="Times New Roman"/>
                <w:color w:val="auto"/>
                <w:sz w:val="22"/>
                <w:szCs w:val="22"/>
                <w:highlight w:val="none"/>
                <w:lang w:val="en-US" w:eastAsia="zh-CN"/>
              </w:rPr>
              <w:t>1年得1分，</w:t>
            </w:r>
            <w:r>
              <w:rPr>
                <w:rFonts w:hint="eastAsia" w:ascii="宋体" w:hAnsi="宋体" w:eastAsia="宋体" w:cs="Times New Roman"/>
                <w:color w:val="auto"/>
                <w:sz w:val="22"/>
                <w:szCs w:val="22"/>
                <w:highlight w:val="none"/>
                <w:lang w:eastAsia="zh-CN"/>
              </w:rPr>
              <w:t>延长</w:t>
            </w:r>
            <w:r>
              <w:rPr>
                <w:rFonts w:hint="eastAsia" w:ascii="宋体" w:hAnsi="宋体" w:eastAsia="宋体" w:cs="Times New Roman"/>
                <w:color w:val="auto"/>
                <w:sz w:val="22"/>
                <w:szCs w:val="22"/>
                <w:highlight w:val="none"/>
                <w:lang w:val="en-US" w:eastAsia="zh-CN"/>
              </w:rPr>
              <w:t>1年半得1.5，延长2年以上，得2分。</w:t>
            </w:r>
          </w:p>
        </w:tc>
        <w:tc>
          <w:tcPr>
            <w:tcW w:w="897" w:type="dxa"/>
            <w:noWrap w:val="0"/>
            <w:vAlign w:val="center"/>
          </w:tcPr>
          <w:p w14:paraId="531E1FC9">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0-2</w:t>
            </w:r>
          </w:p>
        </w:tc>
      </w:tr>
      <w:tr w14:paraId="1496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39" w:type="dxa"/>
            <w:vMerge w:val="continue"/>
            <w:noWrap w:val="0"/>
            <w:vAlign w:val="center"/>
          </w:tcPr>
          <w:p w14:paraId="3343247F">
            <w:pPr>
              <w:autoSpaceDE w:val="0"/>
              <w:autoSpaceDN w:val="0"/>
              <w:adjustRightInd w:val="0"/>
              <w:spacing w:line="380" w:lineRule="exact"/>
              <w:jc w:val="center"/>
              <w:rPr>
                <w:rFonts w:hint="eastAsia" w:ascii="宋体" w:hAnsi="宋体"/>
                <w:color w:val="auto"/>
                <w:highlight w:val="none"/>
              </w:rPr>
            </w:pPr>
          </w:p>
        </w:tc>
        <w:tc>
          <w:tcPr>
            <w:tcW w:w="1385" w:type="dxa"/>
            <w:noWrap w:val="0"/>
            <w:vAlign w:val="center"/>
          </w:tcPr>
          <w:p w14:paraId="6DE40981">
            <w:pPr>
              <w:autoSpaceDE w:val="0"/>
              <w:autoSpaceDN w:val="0"/>
              <w:adjustRightInd w:val="0"/>
              <w:spacing w:line="38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其他优惠承诺</w:t>
            </w:r>
          </w:p>
        </w:tc>
        <w:tc>
          <w:tcPr>
            <w:tcW w:w="6078" w:type="dxa"/>
            <w:noWrap w:val="0"/>
            <w:vAlign w:val="center"/>
          </w:tcPr>
          <w:p w14:paraId="7E6D9AF9">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根据投标人提供的其他优惠和服务承诺打分</w:t>
            </w:r>
          </w:p>
          <w:p w14:paraId="6256D5C0">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其他优惠和服务贴合项目实际，可操作性强的得</w:t>
            </w:r>
            <w:r>
              <w:rPr>
                <w:rFonts w:hint="eastAsia" w:ascii="宋体" w:hAnsi="宋体" w:cs="Times New Roman"/>
                <w:color w:val="auto"/>
                <w:sz w:val="22"/>
                <w:szCs w:val="22"/>
                <w:highlight w:val="none"/>
                <w:lang w:val="en-US" w:eastAsia="zh-CN"/>
              </w:rPr>
              <w:t>2-3</w:t>
            </w:r>
            <w:r>
              <w:rPr>
                <w:rFonts w:hint="eastAsia" w:ascii="宋体" w:hAnsi="宋体" w:eastAsia="宋体" w:cs="Times New Roman"/>
                <w:color w:val="auto"/>
                <w:sz w:val="22"/>
                <w:szCs w:val="22"/>
                <w:highlight w:val="none"/>
                <w:lang w:val="en-US" w:eastAsia="zh-CN"/>
              </w:rPr>
              <w:t>分；</w:t>
            </w:r>
          </w:p>
          <w:p w14:paraId="54A620B2">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其他优惠和服务基本贴合项目实际，可操作性较好的得</w:t>
            </w:r>
            <w:r>
              <w:rPr>
                <w:rFonts w:hint="eastAsia" w:ascii="宋体" w:hAnsi="宋体" w:cs="Times New Roman"/>
                <w:color w:val="auto"/>
                <w:sz w:val="22"/>
                <w:szCs w:val="22"/>
                <w:highlight w:val="none"/>
                <w:lang w:val="en-US" w:eastAsia="zh-CN"/>
              </w:rPr>
              <w:t>1-2</w:t>
            </w:r>
            <w:r>
              <w:rPr>
                <w:rFonts w:hint="eastAsia" w:ascii="宋体" w:hAnsi="宋体" w:eastAsia="宋体" w:cs="Times New Roman"/>
                <w:color w:val="auto"/>
                <w:sz w:val="22"/>
                <w:szCs w:val="22"/>
                <w:highlight w:val="none"/>
                <w:lang w:val="en-US" w:eastAsia="zh-CN"/>
              </w:rPr>
              <w:t>分；</w:t>
            </w:r>
          </w:p>
          <w:p w14:paraId="67F63306">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其他优惠和服务未贴合项目实际，可操作性差强的得0-</w:t>
            </w:r>
            <w:r>
              <w:rPr>
                <w:rFonts w:hint="eastAsia" w:ascii="宋体" w:hAnsi="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lang w:val="en-US" w:eastAsia="zh-CN"/>
              </w:rPr>
              <w:t>分；</w:t>
            </w:r>
          </w:p>
          <w:p w14:paraId="4C27618D">
            <w:pPr>
              <w:snapToGrid w:val="0"/>
              <w:spacing w:line="36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未提供不得分。</w:t>
            </w:r>
          </w:p>
        </w:tc>
        <w:tc>
          <w:tcPr>
            <w:tcW w:w="897" w:type="dxa"/>
            <w:noWrap w:val="0"/>
            <w:vAlign w:val="center"/>
          </w:tcPr>
          <w:p w14:paraId="2DED24E1">
            <w:pPr>
              <w:autoSpaceDE w:val="0"/>
              <w:autoSpaceDN w:val="0"/>
              <w:adjustRightInd w:val="0"/>
              <w:snapToGrid w:val="0"/>
              <w:spacing w:line="380" w:lineRule="exact"/>
              <w:ind w:left="-108" w:leftChars="-45" w:right="-139" w:rightChars="-58"/>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3</w:t>
            </w:r>
          </w:p>
        </w:tc>
      </w:tr>
    </w:tbl>
    <w:p w14:paraId="0FFA7788">
      <w:pPr>
        <w:autoSpaceDE w:val="0"/>
        <w:autoSpaceDN w:val="0"/>
        <w:adjustRightInd w:val="0"/>
        <w:snapToGrid w:val="0"/>
        <w:spacing w:line="360" w:lineRule="auto"/>
        <w:ind w:left="425"/>
        <w:outlineLvl w:val="1"/>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五、</w:t>
      </w:r>
      <w:bookmarkStart w:id="75" w:name="开评标程序"/>
      <w:r>
        <w:rPr>
          <w:rFonts w:hint="eastAsia" w:ascii="宋体" w:hAnsi="宋体" w:eastAsia="宋体" w:cs="宋体"/>
          <w:b/>
          <w:bCs/>
          <w:color w:val="auto"/>
          <w:highlight w:val="none"/>
          <w:lang w:val="zh-CN"/>
        </w:rPr>
        <w:t>开评标程序</w:t>
      </w:r>
      <w:bookmarkEnd w:id="75"/>
    </w:p>
    <w:p w14:paraId="06CFB220">
      <w:pPr>
        <w:pStyle w:val="32"/>
        <w:snapToGrid w:val="0"/>
        <w:spacing w:line="360" w:lineRule="auto"/>
        <w:ind w:firstLine="470" w:firstLineChars="196"/>
        <w:rPr>
          <w:rFonts w:hint="eastAsia" w:hAnsi="宋体"/>
          <w:bCs/>
          <w:color w:val="auto"/>
          <w:sz w:val="24"/>
          <w:szCs w:val="24"/>
          <w:highlight w:val="none"/>
        </w:rPr>
      </w:pPr>
      <w:r>
        <w:rPr>
          <w:rFonts w:hint="eastAsia" w:hAnsi="宋体"/>
          <w:bCs/>
          <w:color w:val="auto"/>
          <w:sz w:val="24"/>
          <w:szCs w:val="24"/>
          <w:highlight w:val="none"/>
        </w:rPr>
        <w:t>8.电子投标开标及评审程序</w:t>
      </w:r>
    </w:p>
    <w:p w14:paraId="4808EE8D">
      <w:pPr>
        <w:snapToGrid w:val="0"/>
        <w:spacing w:line="360" w:lineRule="auto"/>
        <w:ind w:firstLine="480" w:firstLineChars="200"/>
        <w:rPr>
          <w:rFonts w:hint="eastAsia" w:ascii="宋体" w:hAnsi="宋体" w:cs="Arial"/>
          <w:color w:val="auto"/>
          <w:highlight w:val="none"/>
        </w:rPr>
      </w:pPr>
      <w:r>
        <w:rPr>
          <w:rFonts w:hint="eastAsia" w:ascii="宋体" w:hAnsi="宋体"/>
          <w:bCs/>
          <w:color w:val="auto"/>
          <w:highlight w:val="none"/>
        </w:rPr>
        <w:t>（1）投标截止时间后，</w:t>
      </w:r>
      <w:r>
        <w:rPr>
          <w:rFonts w:hint="eastAsia" w:ascii="宋体" w:hAnsi="宋体" w:cs="Arial"/>
          <w:color w:val="auto"/>
          <w:highlight w:val="none"/>
        </w:rPr>
        <w:t>投标人</w:t>
      </w:r>
      <w:r>
        <w:rPr>
          <w:rFonts w:hint="eastAsia" w:ascii="宋体" w:hAnsi="宋体" w:cs="Arial"/>
          <w:color w:val="auto"/>
          <w:highlight w:val="none"/>
          <w:lang w:val="en-US" w:eastAsia="zh-CN"/>
        </w:rPr>
        <w:t xml:space="preserve"> </w:t>
      </w:r>
      <w:r>
        <w:rPr>
          <w:rFonts w:hint="eastAsia" w:ascii="宋体" w:hAnsi="宋体" w:cs="Arial"/>
          <w:color w:val="auto"/>
          <w:highlight w:val="none"/>
        </w:rPr>
        <w:t>登录</w:t>
      </w:r>
      <w:r>
        <w:rPr>
          <w:rFonts w:hint="eastAsia" w:ascii="宋体" w:hAnsi="宋体"/>
          <w:bCs/>
          <w:color w:val="auto"/>
          <w:highlight w:val="none"/>
        </w:rPr>
        <w:t>“政采云”</w:t>
      </w:r>
      <w:r>
        <w:rPr>
          <w:rFonts w:hint="eastAsia" w:ascii="宋体" w:hAnsi="宋体" w:cs="Arial"/>
          <w:color w:val="auto"/>
          <w:highlight w:val="none"/>
        </w:rPr>
        <w:t>平台，用“项目采购-开标评标”功能对电子投标文件进行在线解密。在线解密电子投标文件时间为开标时间起半个小时内。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14:paraId="64407775">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（2）由采购人代表对资格文件进行审核，评标委员会对技术商务文件进行评审；</w:t>
      </w:r>
    </w:p>
    <w:p w14:paraId="5DC2EA72">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（3）在系统上公开资格审查和技术商务评审结果及无效（废）投标情形；</w:t>
      </w:r>
    </w:p>
    <w:p w14:paraId="4FAEF42E">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（4）在系统上公开各投标人的投标报价；</w:t>
      </w:r>
    </w:p>
    <w:p w14:paraId="136B8FA9">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（5）评标委员会对报价文件进行评审，核准投标报价及计算报价分后，汇总技术商务分、报价分；</w:t>
      </w:r>
    </w:p>
    <w:p w14:paraId="73803F42">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（6）在系统上公布评审结果，根据总分排序确定中标人。</w:t>
      </w:r>
    </w:p>
    <w:p w14:paraId="5521D197">
      <w:pPr>
        <w:snapToGrid w:val="0"/>
        <w:spacing w:line="360" w:lineRule="auto"/>
        <w:ind w:firstLine="480" w:firstLineChars="200"/>
        <w:rPr>
          <w:rFonts w:hint="eastAsia" w:ascii="宋体" w:hAnsi="宋体"/>
          <w:bCs/>
          <w:color w:val="auto"/>
          <w:highlight w:val="none"/>
        </w:rPr>
      </w:pPr>
      <w:r>
        <w:rPr>
          <w:rFonts w:hint="eastAsia" w:ascii="宋体" w:hAnsi="宋体"/>
          <w:bCs/>
          <w:color w:val="auto"/>
          <w:highlight w:val="none"/>
        </w:rPr>
        <w:t>特别说明：政采云公司如对电子化开标及评审程序有调整的，按调整后的程序操作。</w:t>
      </w:r>
    </w:p>
    <w:p w14:paraId="573DED74">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44C8CDAA">
      <w:pPr>
        <w:snapToGrid w:val="0"/>
        <w:jc w:val="left"/>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第六章</w:t>
      </w:r>
    </w:p>
    <w:p w14:paraId="73F9DB3A">
      <w:pPr>
        <w:snapToGrid w:val="0"/>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桐 乡 市 政 府 采 购 合 同 </w:t>
      </w:r>
    </w:p>
    <w:p w14:paraId="29E31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highlight w:val="none"/>
        </w:rPr>
      </w:pPr>
      <w:r>
        <w:rPr>
          <w:rFonts w:hint="eastAsia" w:ascii="宋体" w:hAnsi="宋体" w:cs="Arial"/>
          <w:b/>
          <w:color w:val="auto"/>
          <w:highlight w:val="none"/>
        </w:rPr>
        <w:t>一、通用必备条款部分</w:t>
      </w:r>
    </w:p>
    <w:p w14:paraId="0B7EC3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合同（项目）编号：</w:t>
      </w:r>
    </w:p>
    <w:p w14:paraId="677F76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政府采购计划（预算）确认号：</w:t>
      </w:r>
    </w:p>
    <w:p w14:paraId="0C5A20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采购人（以下称甲方）：</w:t>
      </w:r>
    </w:p>
    <w:p w14:paraId="5BA5CB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供应商（以下称乙方）：</w:t>
      </w:r>
    </w:p>
    <w:p w14:paraId="229037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采购代理机构：</w:t>
      </w:r>
    </w:p>
    <w:p w14:paraId="6F8134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采购方式：</w:t>
      </w:r>
    </w:p>
    <w:p w14:paraId="7FE269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highlight w:val="none"/>
        </w:rPr>
      </w:pPr>
    </w:p>
    <w:p w14:paraId="53A2C4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480" w:firstLineChars="200"/>
        <w:rPr>
          <w:rFonts w:hint="eastAsia" w:ascii="宋体" w:hAnsi="宋体" w:cs="Arial"/>
          <w:color w:val="auto"/>
          <w:highlight w:val="none"/>
        </w:rPr>
      </w:pPr>
      <w:r>
        <w:rPr>
          <w:rFonts w:hint="eastAsia" w:ascii="宋体" w:hAnsi="宋体" w:cs="Arial"/>
          <w:color w:val="auto"/>
          <w:highlight w:val="none"/>
        </w:rPr>
        <w:t>根据《中华人民共和国政府采购法》、《中华人民共和国民法典》等法律法规的规定，甲乙双方按照_________________________项目采购结果签订本合同。</w:t>
      </w:r>
    </w:p>
    <w:p w14:paraId="2660D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第一条 合同组成</w:t>
      </w:r>
    </w:p>
    <w:p w14:paraId="6108C9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本次政府采购活动的相关文件为本合同的组成部分，这些文件包括但不限于：</w:t>
      </w:r>
    </w:p>
    <w:p w14:paraId="018A8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（1）本合同文本；</w:t>
      </w:r>
    </w:p>
    <w:p w14:paraId="4192F8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（2）采购文件与采购响应文件；</w:t>
      </w:r>
    </w:p>
    <w:p w14:paraId="59AFAE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（3）中标或成交通知书；</w:t>
      </w:r>
    </w:p>
    <w:p w14:paraId="47A340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组成本合同的所有文件必须为书面形式。政府采购合同备案时，须提供以上（1）、（3）两项，如由社会中介机构代理，须提供代理协议，合同如有变更的，须提供变更协议。</w:t>
      </w:r>
    </w:p>
    <w:p w14:paraId="6DDB7D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第二条 合同标的</w:t>
      </w:r>
    </w:p>
    <w:p w14:paraId="72D8F7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本次采购的__________________________________________________________。</w:t>
      </w:r>
    </w:p>
    <w:p w14:paraId="4F2E12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第三条 合同价款</w:t>
      </w:r>
    </w:p>
    <w:p w14:paraId="44BC3D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1、本合同项下货物总价款为（大写）_________人民币，分项价款在“投标报价表”中明确。</w:t>
      </w:r>
    </w:p>
    <w:p w14:paraId="2F01D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2、本合同总价款含所有税费。</w:t>
      </w:r>
    </w:p>
    <w:p w14:paraId="14E3E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3、本合同付款方式为以下第_________项：</w:t>
      </w:r>
    </w:p>
    <w:p w14:paraId="01859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（1）本合同项下的采购资金系甲方自行支付，付款程序为___</w:t>
      </w:r>
      <w:r>
        <w:rPr>
          <w:rFonts w:hint="eastAsia" w:ascii="宋体" w:hAnsi="宋体" w:cs="Arial"/>
          <w:color w:val="auto"/>
          <w:highlight w:val="none"/>
          <w:u w:val="single"/>
        </w:rPr>
        <w:t xml:space="preserve"> </w:t>
      </w:r>
      <w:r>
        <w:rPr>
          <w:rFonts w:hint="eastAsia" w:ascii="宋体" w:hAnsi="宋体" w:cs="Arial"/>
          <w:color w:val="auto"/>
          <w:highlight w:val="none"/>
        </w:rPr>
        <w:t>__；</w:t>
      </w:r>
    </w:p>
    <w:p w14:paraId="358BD5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（2）本合同项下的采购资金须财政直接支付，付款程序为_________；</w:t>
      </w:r>
    </w:p>
    <w:p w14:paraId="32C805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（3）其他方式：</w:t>
      </w:r>
    </w:p>
    <w:p w14:paraId="26219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4、本合同项下的采购资金付款进度按招投标文件规定，未规定时按以下第_________项支付：</w:t>
      </w:r>
    </w:p>
    <w:p w14:paraId="1C1DAE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（1）一次性付款：乙方合同履行达到_________（条件）时，一次性付款；</w:t>
      </w:r>
    </w:p>
    <w:p w14:paraId="4015A1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（2）分期付款：_________时支付_________；_________时支付_________；_________时支付_________；</w:t>
      </w:r>
    </w:p>
    <w:p w14:paraId="512562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若收取了履约保证金，则不应重复设置尾款支付条件。</w:t>
      </w:r>
    </w:p>
    <w:p w14:paraId="7477F1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第四条 履约保证金</w:t>
      </w:r>
    </w:p>
    <w:p w14:paraId="5EF7B4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color w:val="auto"/>
          <w:highlight w:val="none"/>
        </w:rPr>
        <w:t>按以下第_________项处理：</w:t>
      </w:r>
    </w:p>
    <w:p w14:paraId="117B9E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1、本项目设置履约保证金，乙方应于_________（时间）向甲方提交履约保证金_________元（不得高于本合同金额的1%）。履约保证金在_________（时间）退还乙方。</w:t>
      </w:r>
    </w:p>
    <w:p w14:paraId="10937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color w:val="auto"/>
          <w:highlight w:val="none"/>
        </w:rPr>
        <w:t>2、本项目不设置履约保证金</w:t>
      </w:r>
    </w:p>
    <w:p w14:paraId="0CA5E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第五条 合同的变更和终止</w:t>
      </w:r>
    </w:p>
    <w:p w14:paraId="67C06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除《政府采购法》第49条、第50条第二款规定的情形外，本合同一经签订，甲乙双方不得擅自终止合同或对合同实质性条款进行变更。确有特殊情况的，须经同级财政部门批准。</w:t>
      </w:r>
    </w:p>
    <w:p w14:paraId="4ABAFE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第六条 合同的转让与分包</w:t>
      </w:r>
    </w:p>
    <w:p w14:paraId="4F67E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乙方不得擅自部分或全部转让其应履行的合同义务。乙方分包的，应经过甲方书面同意。</w:t>
      </w:r>
    </w:p>
    <w:p w14:paraId="206C9C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b/>
          <w:color w:val="auto"/>
          <w:highlight w:val="none"/>
        </w:rPr>
      </w:pPr>
      <w:r>
        <w:rPr>
          <w:rFonts w:hint="eastAsia" w:ascii="宋体" w:hAnsi="宋体" w:cs="Arial"/>
          <w:b/>
          <w:color w:val="auto"/>
          <w:highlight w:val="none"/>
        </w:rPr>
        <w:t>第七条 争议的解决</w:t>
      </w:r>
    </w:p>
    <w:p w14:paraId="336723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1、因履行本合同引起的或与本合同有关的争议，甲、乙双方应首先通过友好协商解决，如果协商不能解决争议，则采取以下第_________种方式解决争议：</w:t>
      </w:r>
    </w:p>
    <w:p w14:paraId="723FA8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（1）向甲方所在地有管辖权的人民法院提起诉讼；</w:t>
      </w:r>
    </w:p>
    <w:p w14:paraId="2AD4A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color w:val="auto"/>
          <w:highlight w:val="none"/>
        </w:rPr>
        <w:t>（2）向_________仲裁委员申请仲裁。</w:t>
      </w:r>
    </w:p>
    <w:p w14:paraId="4BA06B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hint="eastAsia" w:ascii="宋体" w:hAnsi="宋体" w:cs="Arial"/>
          <w:color w:val="auto"/>
          <w:highlight w:val="none"/>
        </w:rPr>
      </w:pPr>
      <w:r>
        <w:rPr>
          <w:rFonts w:hint="eastAsia" w:ascii="宋体" w:hAnsi="宋体" w:cs="Arial"/>
          <w:b/>
          <w:color w:val="auto"/>
          <w:highlight w:val="none"/>
        </w:rPr>
        <w:t xml:space="preserve">第八条 </w:t>
      </w:r>
      <w:r>
        <w:rPr>
          <w:rFonts w:hint="eastAsia" w:ascii="宋体" w:hAnsi="宋体" w:cs="Arial"/>
          <w:b/>
          <w:color w:val="auto"/>
          <w:highlight w:val="none"/>
        </w:rPr>
        <w:fldChar w:fldCharType="begin"/>
      </w:r>
      <w:r>
        <w:rPr>
          <w:rFonts w:hint="eastAsia" w:ascii="宋体" w:hAnsi="宋体" w:cs="Arial"/>
          <w:b/>
          <w:color w:val="auto"/>
          <w:highlight w:val="none"/>
        </w:rPr>
        <w:instrText xml:space="preserve"> HYPERLINK "http://www.86exp.com/hetong/" </w:instrText>
      </w:r>
      <w:r>
        <w:rPr>
          <w:rFonts w:hint="eastAsia" w:ascii="宋体" w:hAnsi="宋体" w:cs="Arial"/>
          <w:b/>
          <w:color w:val="auto"/>
          <w:highlight w:val="none"/>
        </w:rPr>
        <w:fldChar w:fldCharType="separate"/>
      </w:r>
      <w:r>
        <w:rPr>
          <w:rStyle w:val="77"/>
          <w:rFonts w:hint="eastAsia" w:ascii="宋体" w:hAnsi="宋体" w:cs="Arial"/>
          <w:b/>
          <w:color w:val="auto"/>
          <w:highlight w:val="none"/>
        </w:rPr>
        <w:t>合同</w:t>
      </w:r>
      <w:r>
        <w:rPr>
          <w:rFonts w:hint="eastAsia" w:ascii="宋体" w:hAnsi="宋体" w:cs="Arial"/>
          <w:b/>
          <w:color w:val="auto"/>
          <w:highlight w:val="none"/>
        </w:rPr>
        <w:fldChar w:fldCharType="end"/>
      </w:r>
      <w:r>
        <w:rPr>
          <w:rFonts w:hint="eastAsia" w:ascii="宋体" w:hAnsi="宋体" w:cs="Arial"/>
          <w:b/>
          <w:color w:val="auto"/>
          <w:highlight w:val="none"/>
        </w:rPr>
        <w:t>生效及其他</w:t>
      </w:r>
      <w:r>
        <w:rPr>
          <w:rFonts w:hint="eastAsia" w:ascii="宋体" w:hAnsi="宋体" w:cs="Arial"/>
          <w:color w:val="auto"/>
          <w:highlight w:val="none"/>
        </w:rPr>
        <w:br w:type="textWrapping"/>
      </w:r>
      <w:r>
        <w:rPr>
          <w:rFonts w:hint="eastAsia" w:ascii="宋体" w:hAnsi="宋体" w:cs="Arial"/>
          <w:color w:val="auto"/>
          <w:highlight w:val="none"/>
        </w:rPr>
        <w:t>1、合同经甲、乙双方代表签章并经浙江求真工程管理咨询有限公司鉴证后即行生效。</w:t>
      </w:r>
      <w:r>
        <w:rPr>
          <w:rFonts w:hint="eastAsia" w:ascii="宋体" w:hAnsi="宋体" w:cs="Arial"/>
          <w:color w:val="auto"/>
          <w:highlight w:val="none"/>
        </w:rPr>
        <w:br w:type="textWrapping"/>
      </w:r>
      <w:r>
        <w:rPr>
          <w:rFonts w:hint="eastAsia" w:ascii="宋体" w:hAnsi="宋体" w:cs="Arial"/>
          <w:color w:val="auto"/>
          <w:highlight w:val="none"/>
        </w:rPr>
        <w:t>2、本</w:t>
      </w:r>
      <w:r>
        <w:rPr>
          <w:rFonts w:hint="eastAsia" w:ascii="宋体" w:hAnsi="宋体" w:cs="Arial"/>
          <w:color w:val="auto"/>
          <w:highlight w:val="none"/>
        </w:rPr>
        <w:fldChar w:fldCharType="begin"/>
      </w:r>
      <w:r>
        <w:rPr>
          <w:rFonts w:hint="eastAsia" w:ascii="宋体" w:hAnsi="宋体" w:cs="Arial"/>
          <w:color w:val="auto"/>
          <w:highlight w:val="none"/>
        </w:rPr>
        <w:instrText xml:space="preserve"> HYPERLINK "http://www.86exp.com/hetong/" </w:instrText>
      </w:r>
      <w:r>
        <w:rPr>
          <w:rFonts w:hint="eastAsia" w:ascii="宋体" w:hAnsi="宋体" w:cs="Arial"/>
          <w:color w:val="auto"/>
          <w:highlight w:val="none"/>
        </w:rPr>
        <w:fldChar w:fldCharType="separate"/>
      </w:r>
      <w:r>
        <w:rPr>
          <w:rStyle w:val="77"/>
          <w:rFonts w:hint="eastAsia" w:ascii="宋体" w:hAnsi="宋体" w:cs="Arial"/>
          <w:color w:val="auto"/>
          <w:highlight w:val="none"/>
        </w:rPr>
        <w:t>合同</w:t>
      </w:r>
      <w:r>
        <w:rPr>
          <w:rFonts w:hint="eastAsia" w:ascii="宋体" w:hAnsi="宋体" w:cs="Arial"/>
          <w:color w:val="auto"/>
          <w:highlight w:val="none"/>
        </w:rPr>
        <w:fldChar w:fldCharType="end"/>
      </w:r>
      <w:r>
        <w:rPr>
          <w:rFonts w:hint="eastAsia" w:ascii="宋体" w:hAnsi="宋体" w:cs="Arial"/>
          <w:color w:val="auto"/>
          <w:highlight w:val="none"/>
        </w:rPr>
        <w:t>一式四份，甲乙双方各执一份，一份交浙江求真工程管理咨询有限公司存档，一份报送桐乡市财政局政府采购监管科备案。</w:t>
      </w:r>
      <w:r>
        <w:rPr>
          <w:rFonts w:hint="eastAsia" w:ascii="宋体" w:hAnsi="宋体" w:cs="Arial"/>
          <w:color w:val="auto"/>
          <w:highlight w:val="none"/>
        </w:rPr>
        <w:br w:type="textWrapping"/>
      </w:r>
      <w:r>
        <w:rPr>
          <w:rFonts w:hint="eastAsia" w:ascii="宋体" w:hAnsi="宋体" w:cs="Arial"/>
          <w:color w:val="auto"/>
          <w:highlight w:val="none"/>
        </w:rPr>
        <w:t>3、本</w:t>
      </w:r>
      <w:r>
        <w:rPr>
          <w:rFonts w:hint="eastAsia" w:ascii="宋体" w:hAnsi="宋体" w:cs="Arial"/>
          <w:color w:val="auto"/>
          <w:highlight w:val="none"/>
        </w:rPr>
        <w:fldChar w:fldCharType="begin"/>
      </w:r>
      <w:r>
        <w:rPr>
          <w:rFonts w:hint="eastAsia" w:ascii="宋体" w:hAnsi="宋体" w:cs="Arial"/>
          <w:color w:val="auto"/>
          <w:highlight w:val="none"/>
        </w:rPr>
        <w:instrText xml:space="preserve"> HYPERLINK "http://www.86exp.com/hetong/" </w:instrText>
      </w:r>
      <w:r>
        <w:rPr>
          <w:rFonts w:hint="eastAsia" w:ascii="宋体" w:hAnsi="宋体" w:cs="Arial"/>
          <w:color w:val="auto"/>
          <w:highlight w:val="none"/>
        </w:rPr>
        <w:fldChar w:fldCharType="separate"/>
      </w:r>
      <w:r>
        <w:rPr>
          <w:rStyle w:val="77"/>
          <w:rFonts w:hint="eastAsia" w:ascii="宋体" w:hAnsi="宋体" w:cs="Arial"/>
          <w:color w:val="auto"/>
          <w:highlight w:val="none"/>
        </w:rPr>
        <w:t>合同</w:t>
      </w:r>
      <w:r>
        <w:rPr>
          <w:rFonts w:hint="eastAsia" w:ascii="宋体" w:hAnsi="宋体" w:cs="Arial"/>
          <w:color w:val="auto"/>
          <w:highlight w:val="none"/>
        </w:rPr>
        <w:fldChar w:fldCharType="end"/>
      </w:r>
      <w:r>
        <w:rPr>
          <w:rFonts w:hint="eastAsia" w:ascii="宋体" w:hAnsi="宋体" w:cs="Arial"/>
          <w:color w:val="auto"/>
          <w:highlight w:val="none"/>
        </w:rPr>
        <w:t>应按照中华人民共和国的现行法律进行解释。</w:t>
      </w:r>
    </w:p>
    <w:p w14:paraId="7B4AE5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highlight w:val="none"/>
        </w:rPr>
      </w:pPr>
    </w:p>
    <w:p w14:paraId="2C039C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hint="eastAsia" w:ascii="宋体" w:hAnsi="宋体" w:cs="Arial"/>
          <w:b/>
          <w:color w:val="auto"/>
          <w:highlight w:val="none"/>
        </w:rPr>
      </w:pPr>
      <w:r>
        <w:rPr>
          <w:rFonts w:hint="eastAsia" w:ascii="宋体" w:hAnsi="宋体" w:cs="Arial"/>
          <w:b/>
          <w:color w:val="auto"/>
          <w:highlight w:val="none"/>
        </w:rPr>
        <w:t>二、特殊专用条款部分</w:t>
      </w:r>
    </w:p>
    <w:p w14:paraId="0DC3C282">
      <w:pPr>
        <w:adjustRightInd w:val="0"/>
        <w:snapToGrid w:val="0"/>
        <w:rPr>
          <w:rFonts w:hint="eastAsia" w:ascii="宋体" w:hAnsi="宋体" w:cs="Arial"/>
          <w:color w:val="auto"/>
          <w:highlight w:val="none"/>
        </w:rPr>
      </w:pPr>
      <w:r>
        <w:rPr>
          <w:rFonts w:hint="eastAsia" w:ascii="宋体" w:hAnsi="宋体" w:cs="Arial"/>
          <w:color w:val="auto"/>
          <w:highlight w:val="none"/>
        </w:rPr>
        <w:t>1、</w:t>
      </w:r>
      <w:r>
        <w:rPr>
          <w:rFonts w:hint="eastAsia" w:ascii="宋体" w:hAnsi="宋体" w:cs="Arial"/>
          <w:color w:val="auto"/>
          <w:highlight w:val="none"/>
          <w:u w:val="single"/>
        </w:rPr>
        <w:t xml:space="preserve">                                          </w:t>
      </w:r>
    </w:p>
    <w:p w14:paraId="22530B41">
      <w:pPr>
        <w:adjustRightInd w:val="0"/>
        <w:snapToGrid w:val="0"/>
        <w:rPr>
          <w:rFonts w:hint="eastAsia" w:ascii="宋体" w:hAnsi="宋体" w:cs="Tahoma"/>
          <w:bCs/>
          <w:color w:val="auto"/>
          <w:highlight w:val="none"/>
        </w:rPr>
      </w:pPr>
      <w:r>
        <w:rPr>
          <w:rFonts w:hint="eastAsia" w:ascii="宋体" w:hAnsi="宋体" w:cs="Tahoma"/>
          <w:bCs/>
          <w:color w:val="auto"/>
          <w:highlight w:val="none"/>
        </w:rPr>
        <w:t>2、</w:t>
      </w:r>
      <w:r>
        <w:rPr>
          <w:rFonts w:hint="eastAsia" w:ascii="宋体" w:hAnsi="宋体" w:cs="Tahoma"/>
          <w:bCs/>
          <w:color w:val="auto"/>
          <w:highlight w:val="none"/>
          <w:u w:val="single"/>
        </w:rPr>
        <w:t xml:space="preserve">                                            </w:t>
      </w:r>
      <w:r>
        <w:rPr>
          <w:rFonts w:hint="eastAsia" w:ascii="宋体" w:hAnsi="宋体" w:cs="Tahoma"/>
          <w:bCs/>
          <w:color w:val="auto"/>
          <w:highlight w:val="none"/>
        </w:rPr>
        <w:t xml:space="preserve"> </w:t>
      </w:r>
    </w:p>
    <w:p w14:paraId="27205B8F">
      <w:pPr>
        <w:adjustRightInd w:val="0"/>
        <w:snapToGrid w:val="0"/>
        <w:rPr>
          <w:rFonts w:hint="eastAsia" w:ascii="宋体" w:hAnsi="宋体" w:cs="Tahoma"/>
          <w:bCs/>
          <w:color w:val="auto"/>
          <w:highlight w:val="none"/>
        </w:rPr>
      </w:pPr>
    </w:p>
    <w:p w14:paraId="22733D74">
      <w:pPr>
        <w:adjustRightInd w:val="0"/>
        <w:snapToGrid w:val="0"/>
        <w:rPr>
          <w:rFonts w:hint="eastAsia" w:ascii="宋体" w:hAnsi="宋体" w:cs="Tahoma"/>
          <w:bCs/>
          <w:color w:val="auto"/>
          <w:highlight w:val="none"/>
        </w:rPr>
      </w:pPr>
    </w:p>
    <w:p w14:paraId="1DF45E9E">
      <w:pPr>
        <w:adjustRightInd w:val="0"/>
        <w:snapToGrid w:val="0"/>
        <w:rPr>
          <w:rFonts w:hint="eastAsia" w:ascii="宋体" w:hAnsi="宋体" w:cs="Tahoma"/>
          <w:bCs/>
          <w:color w:val="auto"/>
          <w:highlight w:val="none"/>
        </w:rPr>
      </w:pPr>
    </w:p>
    <w:p w14:paraId="2B287382">
      <w:pPr>
        <w:adjustRightInd w:val="0"/>
        <w:snapToGrid w:val="0"/>
        <w:rPr>
          <w:rFonts w:hint="eastAsia" w:ascii="宋体" w:hAnsi="宋体" w:cs="Tahoma"/>
          <w:bCs/>
          <w:color w:val="auto"/>
          <w:highlight w:val="none"/>
        </w:rPr>
      </w:pPr>
    </w:p>
    <w:p w14:paraId="5C42E0C6">
      <w:pPr>
        <w:adjustRightInd w:val="0"/>
        <w:snapToGrid w:val="0"/>
        <w:rPr>
          <w:rFonts w:hint="eastAsia" w:ascii="宋体" w:hAnsi="宋体" w:cs="Tahoma"/>
          <w:bCs/>
          <w:color w:val="auto"/>
          <w:highlight w:val="none"/>
        </w:rPr>
      </w:pPr>
      <w:r>
        <w:rPr>
          <w:rFonts w:hint="eastAsia" w:ascii="宋体" w:hAnsi="宋体" w:cs="Tahoma"/>
          <w:bCs/>
          <w:color w:val="auto"/>
          <w:highlight w:val="none"/>
        </w:rPr>
        <w:fldChar w:fldCharType="begin"/>
      </w:r>
      <w:r>
        <w:rPr>
          <w:rFonts w:hint="eastAsia" w:ascii="宋体" w:hAnsi="宋体" w:cs="Tahoma"/>
          <w:bCs/>
          <w:color w:val="auto"/>
          <w:highlight w:val="none"/>
        </w:rPr>
        <w:instrText xml:space="preserve"> HYPERLINK "http://www.86exp.com/hetong/" </w:instrText>
      </w:r>
      <w:r>
        <w:rPr>
          <w:rFonts w:hint="eastAsia" w:ascii="宋体" w:hAnsi="宋体" w:cs="Tahoma"/>
          <w:bCs/>
          <w:color w:val="auto"/>
          <w:highlight w:val="none"/>
        </w:rPr>
        <w:fldChar w:fldCharType="separate"/>
      </w:r>
      <w:r>
        <w:rPr>
          <w:rStyle w:val="77"/>
          <w:rFonts w:hint="eastAsia" w:ascii="宋体" w:hAnsi="宋体" w:cs="Tahoma"/>
          <w:bCs/>
          <w:color w:val="auto"/>
          <w:highlight w:val="none"/>
        </w:rPr>
        <w:t>甲方</w:t>
      </w:r>
      <w:r>
        <w:rPr>
          <w:rFonts w:hint="eastAsia" w:ascii="宋体" w:hAnsi="宋体" w:cs="Tahoma"/>
          <w:bCs/>
          <w:color w:val="auto"/>
          <w:highlight w:val="none"/>
        </w:rPr>
        <w:fldChar w:fldCharType="end"/>
      </w:r>
      <w:r>
        <w:rPr>
          <w:rFonts w:hint="eastAsia" w:ascii="宋体" w:hAnsi="宋体" w:cs="Tahoma"/>
          <w:bCs/>
          <w:color w:val="auto"/>
          <w:highlight w:val="none"/>
        </w:rPr>
        <w:t xml:space="preserve">（采购人）：（盖章）              </w:t>
      </w:r>
      <w:r>
        <w:rPr>
          <w:rFonts w:hint="eastAsia" w:ascii="宋体" w:hAnsi="宋体" w:cs="Tahoma"/>
          <w:bCs/>
          <w:color w:val="auto"/>
          <w:highlight w:val="none"/>
        </w:rPr>
        <w:br w:type="textWrapping"/>
      </w:r>
      <w:r>
        <w:rPr>
          <w:rFonts w:hint="eastAsia" w:ascii="宋体" w:hAnsi="宋体" w:cs="Tahoma"/>
          <w:bCs/>
          <w:color w:val="auto"/>
          <w:highlight w:val="none"/>
        </w:rPr>
        <w:t>法定（授权）代表：</w:t>
      </w:r>
      <w:r>
        <w:rPr>
          <w:rFonts w:hint="eastAsia" w:ascii="宋体" w:hAnsi="宋体" w:cs="宋体"/>
          <w:bCs/>
          <w:color w:val="auto"/>
          <w:highlight w:val="none"/>
        </w:rPr>
        <w:t xml:space="preserve">            </w:t>
      </w:r>
      <w:r>
        <w:rPr>
          <w:rFonts w:hint="eastAsia" w:ascii="宋体" w:hAnsi="宋体" w:cs="Tahoma"/>
          <w:bCs/>
          <w:color w:val="auto"/>
          <w:highlight w:val="none"/>
        </w:rPr>
        <w:br w:type="textWrapping"/>
      </w:r>
      <w:r>
        <w:rPr>
          <w:rFonts w:hint="eastAsia" w:ascii="宋体" w:hAnsi="宋体" w:cs="Tahoma"/>
          <w:bCs/>
          <w:color w:val="auto"/>
          <w:highlight w:val="none"/>
        </w:rPr>
        <w:t xml:space="preserve">电话：                  </w:t>
      </w:r>
    </w:p>
    <w:p w14:paraId="101809DF">
      <w:pPr>
        <w:adjustRightInd w:val="0"/>
        <w:snapToGrid w:val="0"/>
        <w:rPr>
          <w:rFonts w:hint="eastAsia" w:ascii="宋体" w:hAnsi="宋体" w:cs="Tahoma"/>
          <w:bCs/>
          <w:color w:val="auto"/>
          <w:highlight w:val="none"/>
        </w:rPr>
      </w:pPr>
      <w:r>
        <w:rPr>
          <w:rFonts w:hint="eastAsia" w:ascii="宋体" w:hAnsi="宋体" w:cs="Tahoma"/>
          <w:bCs/>
          <w:color w:val="auto"/>
          <w:highlight w:val="none"/>
        </w:rPr>
        <w:t xml:space="preserve">单位地址：         </w:t>
      </w:r>
      <w:r>
        <w:rPr>
          <w:rFonts w:hint="eastAsia" w:ascii="宋体" w:hAnsi="宋体" w:cs="Tahoma"/>
          <w:bCs/>
          <w:color w:val="auto"/>
          <w:highlight w:val="none"/>
        </w:rPr>
        <w:br w:type="textWrapping"/>
      </w:r>
    </w:p>
    <w:p w14:paraId="3BE6DDF2">
      <w:pPr>
        <w:adjustRightInd w:val="0"/>
        <w:snapToGrid w:val="0"/>
        <w:rPr>
          <w:rFonts w:hint="eastAsia" w:ascii="宋体" w:hAnsi="宋体" w:cs="Tahoma"/>
          <w:bCs/>
          <w:color w:val="auto"/>
          <w:highlight w:val="none"/>
        </w:rPr>
      </w:pPr>
      <w:r>
        <w:rPr>
          <w:rFonts w:hint="eastAsia" w:ascii="宋体" w:hAnsi="宋体" w:cs="Tahoma"/>
          <w:bCs/>
          <w:color w:val="auto"/>
          <w:highlight w:val="none"/>
        </w:rPr>
        <w:fldChar w:fldCharType="begin"/>
      </w:r>
      <w:r>
        <w:rPr>
          <w:rFonts w:hint="eastAsia" w:ascii="宋体" w:hAnsi="宋体" w:cs="Tahoma"/>
          <w:bCs/>
          <w:color w:val="auto"/>
          <w:highlight w:val="none"/>
        </w:rPr>
        <w:instrText xml:space="preserve"> HYPERLINK "http://www.86exp.com/hetong/" </w:instrText>
      </w:r>
      <w:r>
        <w:rPr>
          <w:rFonts w:hint="eastAsia" w:ascii="宋体" w:hAnsi="宋体" w:cs="Tahoma"/>
          <w:bCs/>
          <w:color w:val="auto"/>
          <w:highlight w:val="none"/>
        </w:rPr>
        <w:fldChar w:fldCharType="separate"/>
      </w:r>
      <w:r>
        <w:rPr>
          <w:rStyle w:val="77"/>
          <w:rFonts w:hint="eastAsia" w:ascii="宋体" w:hAnsi="宋体" w:cs="Tahoma"/>
          <w:bCs/>
          <w:color w:val="auto"/>
          <w:highlight w:val="none"/>
        </w:rPr>
        <w:t>乙方</w:t>
      </w:r>
      <w:r>
        <w:rPr>
          <w:rFonts w:hint="eastAsia" w:ascii="宋体" w:hAnsi="宋体" w:cs="Tahoma"/>
          <w:bCs/>
          <w:color w:val="auto"/>
          <w:highlight w:val="none"/>
        </w:rPr>
        <w:fldChar w:fldCharType="end"/>
      </w:r>
      <w:r>
        <w:rPr>
          <w:rFonts w:hint="eastAsia" w:ascii="宋体" w:hAnsi="宋体" w:cs="Tahoma"/>
          <w:bCs/>
          <w:color w:val="auto"/>
          <w:highlight w:val="none"/>
        </w:rPr>
        <w:t>（供应商）：（盖章）</w:t>
      </w:r>
    </w:p>
    <w:p w14:paraId="58E8E0B0">
      <w:pPr>
        <w:adjustRightInd w:val="0"/>
        <w:snapToGrid w:val="0"/>
        <w:rPr>
          <w:rFonts w:hint="eastAsia" w:ascii="宋体" w:hAnsi="宋体" w:cs="Tahoma"/>
          <w:bCs/>
          <w:color w:val="auto"/>
          <w:highlight w:val="none"/>
        </w:rPr>
      </w:pPr>
      <w:r>
        <w:rPr>
          <w:rFonts w:hint="eastAsia" w:ascii="宋体" w:hAnsi="宋体" w:cs="Tahoma"/>
          <w:bCs/>
          <w:color w:val="auto"/>
          <w:highlight w:val="none"/>
        </w:rPr>
        <w:t>法定（授权）代表：</w:t>
      </w:r>
    </w:p>
    <w:p w14:paraId="2305860C">
      <w:pPr>
        <w:adjustRightInd w:val="0"/>
        <w:snapToGrid w:val="0"/>
        <w:rPr>
          <w:rFonts w:hint="eastAsia" w:ascii="宋体" w:hAnsi="宋体" w:cs="Tahoma"/>
          <w:bCs/>
          <w:color w:val="auto"/>
          <w:highlight w:val="none"/>
        </w:rPr>
      </w:pPr>
      <w:r>
        <w:rPr>
          <w:rFonts w:hint="eastAsia" w:ascii="宋体" w:hAnsi="宋体" w:cs="Tahoma"/>
          <w:bCs/>
          <w:color w:val="auto"/>
          <w:highlight w:val="none"/>
        </w:rPr>
        <w:t>电话：</w:t>
      </w:r>
    </w:p>
    <w:p w14:paraId="60B10C1B">
      <w:pPr>
        <w:adjustRightInd w:val="0"/>
        <w:snapToGrid w:val="0"/>
        <w:rPr>
          <w:rFonts w:hint="eastAsia" w:ascii="宋体" w:hAnsi="宋体" w:cs="Tahoma"/>
          <w:bCs/>
          <w:color w:val="auto"/>
          <w:highlight w:val="none"/>
        </w:rPr>
      </w:pPr>
      <w:r>
        <w:rPr>
          <w:rFonts w:hint="eastAsia" w:ascii="宋体" w:hAnsi="宋体" w:cs="Tahoma"/>
          <w:bCs/>
          <w:color w:val="auto"/>
          <w:highlight w:val="none"/>
        </w:rPr>
        <w:t>单位地址：</w:t>
      </w:r>
      <w:r>
        <w:rPr>
          <w:rFonts w:hint="eastAsia" w:ascii="宋体" w:hAnsi="宋体" w:cs="Tahoma"/>
          <w:bCs/>
          <w:color w:val="auto"/>
          <w:highlight w:val="none"/>
        </w:rPr>
        <w:br w:type="textWrapping"/>
      </w:r>
    </w:p>
    <w:p w14:paraId="356993A0">
      <w:pPr>
        <w:adjustRightInd w:val="0"/>
        <w:snapToGrid w:val="0"/>
        <w:rPr>
          <w:rFonts w:hint="eastAsia" w:ascii="宋体" w:hAnsi="宋体" w:cs="Tahoma"/>
          <w:bCs/>
          <w:color w:val="auto"/>
          <w:highlight w:val="none"/>
        </w:rPr>
      </w:pPr>
      <w:r>
        <w:rPr>
          <w:rFonts w:hint="eastAsia" w:ascii="宋体" w:hAnsi="宋体"/>
          <w:bCs/>
          <w:color w:val="auto"/>
          <w:highlight w:val="none"/>
        </w:rPr>
        <w:t>鉴证方（招标代理机构）：</w:t>
      </w:r>
      <w:r>
        <w:rPr>
          <w:rFonts w:hint="eastAsia" w:ascii="宋体" w:hAnsi="宋体" w:cs="Tahoma"/>
          <w:bCs/>
          <w:color w:val="auto"/>
          <w:highlight w:val="none"/>
        </w:rPr>
        <w:t>（盖章）</w:t>
      </w:r>
    </w:p>
    <w:p w14:paraId="280A9505">
      <w:pPr>
        <w:adjustRightInd w:val="0"/>
        <w:snapToGrid w:val="0"/>
        <w:rPr>
          <w:rFonts w:hint="eastAsia" w:ascii="宋体" w:hAnsi="宋体" w:cs="Tahoma"/>
          <w:bCs/>
          <w:color w:val="auto"/>
          <w:highlight w:val="none"/>
        </w:rPr>
      </w:pPr>
      <w:r>
        <w:rPr>
          <w:rFonts w:hint="eastAsia" w:ascii="宋体" w:hAnsi="宋体" w:cs="Tahoma"/>
          <w:bCs/>
          <w:color w:val="auto"/>
          <w:highlight w:val="none"/>
        </w:rPr>
        <w:t>经办人：</w:t>
      </w:r>
    </w:p>
    <w:p w14:paraId="69E4DB91">
      <w:pPr>
        <w:adjustRightInd w:val="0"/>
        <w:snapToGrid w:val="0"/>
        <w:rPr>
          <w:rFonts w:hint="eastAsia" w:ascii="宋体" w:hAnsi="宋体" w:cs="Tahoma"/>
          <w:bCs/>
          <w:color w:val="auto"/>
          <w:highlight w:val="none"/>
        </w:rPr>
      </w:pPr>
      <w:r>
        <w:rPr>
          <w:rFonts w:hint="eastAsia" w:ascii="宋体" w:hAnsi="宋体" w:cs="Tahoma"/>
          <w:bCs/>
          <w:color w:val="auto"/>
          <w:highlight w:val="none"/>
        </w:rPr>
        <w:t>电话：</w:t>
      </w:r>
    </w:p>
    <w:p w14:paraId="03EB04EB">
      <w:pPr>
        <w:adjustRightInd w:val="0"/>
        <w:snapToGrid w:val="0"/>
        <w:rPr>
          <w:rFonts w:hint="eastAsia" w:ascii="宋体" w:hAnsi="宋体" w:cs="Tahoma"/>
          <w:bCs/>
          <w:color w:val="auto"/>
          <w:highlight w:val="none"/>
        </w:rPr>
      </w:pPr>
    </w:p>
    <w:p w14:paraId="5DC21A53">
      <w:pPr>
        <w:adjustRightInd w:val="0"/>
        <w:snapToGrid w:val="0"/>
        <w:rPr>
          <w:rFonts w:hint="eastAsia" w:ascii="宋体" w:hAnsi="宋体" w:cs="Tahoma"/>
          <w:bCs/>
          <w:color w:val="auto"/>
          <w:highlight w:val="none"/>
        </w:rPr>
      </w:pPr>
      <w:r>
        <w:rPr>
          <w:rFonts w:hint="eastAsia" w:ascii="宋体" w:hAnsi="宋体" w:cs="Tahoma"/>
          <w:bCs/>
          <w:color w:val="auto"/>
          <w:highlight w:val="none"/>
        </w:rPr>
        <w:t xml:space="preserve">签约日期：      年    月  </w:t>
      </w:r>
      <w:r>
        <w:rPr>
          <w:rFonts w:hint="eastAsia" w:ascii="宋体" w:hAnsi="宋体" w:cs="MingLiU_HKSCS"/>
          <w:bCs/>
          <w:color w:val="auto"/>
          <w:highlight w:val="none"/>
        </w:rPr>
        <w:t xml:space="preserve"> </w:t>
      </w:r>
      <w:r>
        <w:rPr>
          <w:rFonts w:hint="eastAsia" w:ascii="宋体" w:hAnsi="宋体" w:cs="楷体_GB2312"/>
          <w:bCs/>
          <w:color w:val="auto"/>
          <w:highlight w:val="none"/>
        </w:rPr>
        <w:t>日</w:t>
      </w:r>
    </w:p>
    <w:p w14:paraId="420C3FDA">
      <w:pPr>
        <w:rPr>
          <w:rFonts w:hint="eastAsia"/>
          <w:color w:val="auto"/>
          <w:highlight w:val="none"/>
        </w:rPr>
      </w:pPr>
      <w:r>
        <w:rPr>
          <w:rFonts w:hint="eastAsia" w:ascii="宋体" w:hAnsi="宋体"/>
          <w:bCs/>
          <w:color w:val="auto"/>
          <w:highlight w:val="none"/>
        </w:rPr>
        <w:t>签约地点：</w:t>
      </w:r>
    </w:p>
    <w:p w14:paraId="2B180720">
      <w:pPr>
        <w:autoSpaceDE w:val="0"/>
        <w:autoSpaceDN w:val="0"/>
        <w:adjustRightInd w:val="0"/>
        <w:snapToGrid w:val="0"/>
        <w:ind w:firstLine="560" w:firstLineChars="200"/>
        <w:rPr>
          <w:rFonts w:hint="eastAsia" w:ascii="宋体" w:hAnsi="宋体"/>
          <w:color w:val="auto"/>
          <w:sz w:val="28"/>
          <w:szCs w:val="28"/>
          <w:highlight w:val="none"/>
        </w:rPr>
      </w:pPr>
    </w:p>
    <w:p w14:paraId="484F5112">
      <w:pPr>
        <w:pStyle w:val="27"/>
        <w:ind w:left="1680" w:right="1680"/>
        <w:rPr>
          <w:rFonts w:hint="eastAsia" w:ascii="宋体" w:hAnsi="宋体"/>
          <w:color w:val="auto"/>
          <w:sz w:val="28"/>
          <w:szCs w:val="28"/>
          <w:highlight w:val="none"/>
        </w:rPr>
      </w:pPr>
    </w:p>
    <w:p w14:paraId="57CEB16C">
      <w:pPr>
        <w:pStyle w:val="27"/>
        <w:ind w:left="1680" w:right="1680"/>
        <w:rPr>
          <w:rFonts w:hint="eastAsia" w:ascii="宋体" w:hAnsi="宋体"/>
          <w:color w:val="auto"/>
          <w:sz w:val="28"/>
          <w:szCs w:val="28"/>
          <w:highlight w:val="none"/>
        </w:rPr>
      </w:pPr>
    </w:p>
    <w:p w14:paraId="0264BB60">
      <w:pPr>
        <w:pStyle w:val="27"/>
        <w:ind w:left="1680" w:right="1680"/>
        <w:rPr>
          <w:rFonts w:hint="eastAsia" w:ascii="宋体" w:hAnsi="宋体"/>
          <w:color w:val="auto"/>
          <w:sz w:val="28"/>
          <w:szCs w:val="28"/>
          <w:highlight w:val="none"/>
        </w:rPr>
      </w:pPr>
    </w:p>
    <w:sectPr>
      <w:headerReference r:id="rId6" w:type="first"/>
      <w:footerReference r:id="rId8" w:type="first"/>
      <w:headerReference r:id="rId5" w:type="even"/>
      <w:footerReference r:id="rId7" w:type="even"/>
      <w:pgSz w:w="11906" w:h="16838"/>
      <w:pgMar w:top="1389" w:right="1247" w:bottom="1389" w:left="1247" w:header="851" w:footer="992" w:gutter="28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Univers">
    <w:altName w:val="Segoe Print"/>
    <w:panose1 w:val="020B0603020202030204"/>
    <w:charset w:val="00"/>
    <w:family w:val="swiss"/>
    <w:pitch w:val="default"/>
    <w:sig w:usb0="00000000" w:usb1="00000000" w:usb2="00000000" w:usb3="00000000" w:csb0="00000093" w:csb1="00000000"/>
  </w:font>
  <w:font w:name="Garamond">
    <w:panose1 w:val="02020404030301010803"/>
    <w:charset w:val="00"/>
    <w:family w:val="roman"/>
    <w:pitch w:val="default"/>
    <w:sig w:usb0="00000287" w:usb1="00000000" w:usb2="00000000" w:usb3="00000000" w:csb0="0000009F" w:csb1="DFD70000"/>
  </w:font>
  <w:font w:name="FuturaA Bk BT">
    <w:altName w:val="Arial"/>
    <w:panose1 w:val="020B0502020204020303"/>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6BEAD">
    <w:pPr>
      <w:pStyle w:val="39"/>
      <w:jc w:val="center"/>
      <w:rPr>
        <w:rStyle w:val="70"/>
      </w:rPr>
    </w:pPr>
    <w:r>
      <w:rPr>
        <w:rFonts w:hint="eastAsia"/>
      </w:rPr>
      <w:t>第</w:t>
    </w:r>
    <w:r>
      <w:fldChar w:fldCharType="begin"/>
    </w:r>
    <w:r>
      <w:rPr>
        <w:rStyle w:val="70"/>
      </w:rPr>
      <w:instrText xml:space="preserve"> PAGE </w:instrText>
    </w:r>
    <w:r>
      <w:fldChar w:fldCharType="separate"/>
    </w:r>
    <w:r>
      <w:rPr>
        <w:rStyle w:val="70"/>
      </w:rPr>
      <w:t>19</w:t>
    </w:r>
    <w:r>
      <w:fldChar w:fldCharType="end"/>
    </w:r>
    <w:r>
      <w:rPr>
        <w:rStyle w:val="70"/>
        <w:rFonts w:hint="eastAsia"/>
      </w:rPr>
      <w:t>页 共</w:t>
    </w:r>
    <w:r>
      <w:fldChar w:fldCharType="begin"/>
    </w:r>
    <w:r>
      <w:rPr>
        <w:rStyle w:val="70"/>
      </w:rPr>
      <w:instrText xml:space="preserve"> NUMPAGES </w:instrText>
    </w:r>
    <w:r>
      <w:fldChar w:fldCharType="separate"/>
    </w:r>
    <w:r>
      <w:rPr>
        <w:rStyle w:val="70"/>
      </w:rPr>
      <w:t>32</w:t>
    </w:r>
    <w:r>
      <w:fldChar w:fldCharType="end"/>
    </w:r>
    <w:r>
      <w:rPr>
        <w:rStyle w:val="70"/>
        <w:rFonts w:hint="eastAsia"/>
      </w:rPr>
      <w:t>页</w:t>
    </w:r>
  </w:p>
  <w:p w14:paraId="3B59CD86">
    <w:pPr>
      <w:pStyle w:val="39"/>
      <w:pBdr>
        <w:top w:val="single" w:color="auto" w:sz="4" w:space="1"/>
      </w:pBdr>
      <w:tabs>
        <w:tab w:val="center" w:pos="4564"/>
      </w:tabs>
    </w:pPr>
    <w:r>
      <w:tab/>
    </w:r>
    <w:r>
      <w:rPr>
        <w:rFonts w:hint="eastAsia"/>
      </w:rPr>
      <w:t xml:space="preserve"> 浙江求真工程管理咨询有限公司                                 电话：0573-88622772 传真：0573-88115102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E98F">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A3BA">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09CD1">
    <w:pPr>
      <w:pStyle w:val="41"/>
      <w:pBdr>
        <w:bottom w:val="none" w:color="auto" w:sz="0" w:space="0"/>
      </w:pBdr>
      <w:rPr>
        <w:u w:val="single"/>
      </w:rPr>
    </w:pPr>
    <w:r>
      <w:rPr>
        <w:rFonts w:hint="eastAsia"/>
        <w:u w:val="single"/>
      </w:rPr>
      <w:t>桐乡市政府采购招标文件</w:t>
    </w:r>
    <w:r>
      <w:rPr>
        <w:u w:val="single"/>
      </w:rPr>
      <w:t xml:space="preserve">  </w:t>
    </w:r>
    <w:r>
      <w:rPr>
        <w:rFonts w:hint="eastAsia"/>
        <w:u w:val="single"/>
      </w:rPr>
      <w:t xml:space="preserve">                                               项目编号：</w:t>
    </w:r>
    <w:r>
      <w:rPr>
        <w:rFonts w:hint="eastAsia"/>
        <w:u w:val="single"/>
        <w:lang w:eastAsia="zh-CN"/>
      </w:rPr>
      <w:t>QZZXC2025-</w:t>
    </w:r>
    <w:r>
      <w:rPr>
        <w:rFonts w:hint="eastAsia"/>
        <w:u w:val="single"/>
        <w:lang w:val="en-US" w:eastAsia="zh-CN"/>
      </w:rPr>
      <w:t>024</w:t>
    </w:r>
    <w:r>
      <w:rPr>
        <w:rFonts w:hint="eastAsia"/>
        <w:u w:val="single"/>
      </w:rPr>
      <w:t xml:space="preserve"> </w:t>
    </w:r>
  </w:p>
  <w:p w14:paraId="2068E8A3">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E6A1">
    <w:pPr>
      <w:pStyle w:val="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DD07">
    <w:pPr>
      <w:pStyle w:val="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5786F"/>
    <w:multiLevelType w:val="singleLevel"/>
    <w:tmpl w:val="D4F5786F"/>
    <w:lvl w:ilvl="0" w:tentative="0">
      <w:start w:val="1"/>
      <w:numFmt w:val="chineseCounting"/>
      <w:suff w:val="nothing"/>
      <w:lvlText w:val="%1、"/>
      <w:lvlJc w:val="left"/>
      <w:rPr>
        <w:rFonts w:hint="eastAsia"/>
      </w:rPr>
    </w:lvl>
  </w:abstractNum>
  <w:abstractNum w:abstractNumId="1">
    <w:nsid w:val="EA72DD9E"/>
    <w:multiLevelType w:val="singleLevel"/>
    <w:tmpl w:val="EA72DD9E"/>
    <w:lvl w:ilvl="0" w:tentative="0">
      <w:start w:val="3"/>
      <w:numFmt w:val="chineseCounting"/>
      <w:suff w:val="space"/>
      <w:lvlText w:val="第%1章"/>
      <w:lvlJc w:val="left"/>
      <w:rPr>
        <w:rFonts w:hint="eastAsia"/>
      </w:rPr>
    </w:lvl>
  </w:abstractNum>
  <w:abstractNum w:abstractNumId="2">
    <w:nsid w:val="FFFFFF7E"/>
    <w:multiLevelType w:val="singleLevel"/>
    <w:tmpl w:val="FFFFFF7E"/>
    <w:lvl w:ilvl="0" w:tentative="0">
      <w:start w:val="1"/>
      <w:numFmt w:val="decimal"/>
      <w:pStyle w:val="25"/>
      <w:lvlText w:val="%1."/>
      <w:lvlJc w:val="left"/>
      <w:pPr>
        <w:tabs>
          <w:tab w:val="left" w:pos="1200"/>
        </w:tabs>
        <w:ind w:left="1200" w:hanging="360"/>
      </w:pPr>
    </w:lvl>
  </w:abstractNum>
  <w:abstractNum w:abstractNumId="3">
    <w:nsid w:val="0000000A"/>
    <w:multiLevelType w:val="multilevel"/>
    <w:tmpl w:val="0000000A"/>
    <w:lvl w:ilvl="0" w:tentative="0">
      <w:start w:val="1"/>
      <w:numFmt w:val="none"/>
      <w:pStyle w:val="383"/>
      <w:suff w:val="nothing"/>
      <w:lvlText w:val="%1"/>
      <w:lvlJc w:val="left"/>
      <w:pPr>
        <w:ind w:left="0" w:firstLine="0"/>
      </w:pPr>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firstLine="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4">
    <w:nsid w:val="0000000B"/>
    <w:multiLevelType w:val="multilevel"/>
    <w:tmpl w:val="0000000B"/>
    <w:lvl w:ilvl="0" w:tentative="0">
      <w:start w:val="1"/>
      <w:numFmt w:val="bullet"/>
      <w:pStyle w:val="1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0E"/>
    <w:multiLevelType w:val="multilevel"/>
    <w:tmpl w:val="0000000E"/>
    <w:lvl w:ilvl="0" w:tentative="0">
      <w:start w:val="1"/>
      <w:numFmt w:val="decimal"/>
      <w:pStyle w:val="170"/>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1" w:tentative="0">
      <w:start w:val="1"/>
      <w:numFmt w:val="lowerLetter"/>
      <w:lvlText w:val="%2)"/>
      <w:lvlJc w:val="left"/>
      <w:pPr>
        <w:ind w:left="840" w:hanging="420"/>
      </w:pPr>
    </w:lvl>
    <w:lvl w:ilvl="2" w:tentative="0">
      <w:start w:val="1"/>
      <w:numFmt w:val="lowerRoman"/>
      <w:pStyle w:val="38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5"/>
    <w:multiLevelType w:val="singleLevel"/>
    <w:tmpl w:val="00000015"/>
    <w:lvl w:ilvl="0" w:tentative="0">
      <w:start w:val="1"/>
      <w:numFmt w:val="decimal"/>
      <w:pStyle w:val="355"/>
      <w:lvlText w:val="%1．"/>
      <w:lvlJc w:val="left"/>
      <w:pPr>
        <w:tabs>
          <w:tab w:val="left" w:pos="360"/>
        </w:tabs>
        <w:ind w:left="245" w:hanging="245"/>
      </w:pPr>
      <w:rPr>
        <w:rFonts w:ascii="Times New Roman" w:hAnsi="Times New Roman" w:eastAsia="Times New Roman" w:cs="Times New Roman"/>
      </w:rPr>
    </w:lvl>
  </w:abstractNum>
  <w:abstractNum w:abstractNumId="7">
    <w:nsid w:val="00000016"/>
    <w:multiLevelType w:val="multilevel"/>
    <w:tmpl w:val="00000016"/>
    <w:lvl w:ilvl="0" w:tentative="0">
      <w:start w:val="1"/>
      <w:numFmt w:val="decimal"/>
      <w:pStyle w:val="270"/>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18"/>
    <w:multiLevelType w:val="multilevel"/>
    <w:tmpl w:val="00000018"/>
    <w:lvl w:ilvl="0" w:tentative="0">
      <w:start w:val="1"/>
      <w:numFmt w:val="bullet"/>
      <w:pStyle w:val="35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A"/>
    <w:multiLevelType w:val="multilevel"/>
    <w:tmpl w:val="0000001A"/>
    <w:lvl w:ilvl="0" w:tentative="0">
      <w:start w:val="1"/>
      <w:numFmt w:val="decimal"/>
      <w:pStyle w:val="241"/>
      <w:lvlText w:val="%1."/>
      <w:lvlJc w:val="left"/>
      <w:pPr>
        <w:tabs>
          <w:tab w:val="left" w:pos="720"/>
        </w:tabs>
        <w:ind w:left="720" w:hanging="720"/>
      </w:pPr>
      <w:rPr>
        <w:rFonts w:hint="default"/>
      </w:rPr>
    </w:lvl>
    <w:lvl w:ilvl="1" w:tentative="0">
      <w:start w:val="1"/>
      <w:numFmt w:val="decimal"/>
      <w:pStyle w:val="189"/>
      <w:lvlText w:val="%2."/>
      <w:lvlJc w:val="left"/>
      <w:pPr>
        <w:tabs>
          <w:tab w:val="left" w:pos="720"/>
        </w:tabs>
        <w:ind w:left="720" w:hanging="720"/>
      </w:pPr>
      <w:rPr>
        <w:rFonts w:hint="default" w:ascii="Arial (W1)" w:hAnsi="Arial (W1)"/>
        <w:b/>
        <w:i w:val="0"/>
        <w:sz w:val="28"/>
      </w:rPr>
    </w:lvl>
    <w:lvl w:ilvl="2" w:tentative="0">
      <w:start w:val="1"/>
      <w:numFmt w:val="decimal"/>
      <w:pStyle w:val="165"/>
      <w:lvlText w:val="%1.%3."/>
      <w:lvlJc w:val="left"/>
      <w:pPr>
        <w:tabs>
          <w:tab w:val="left" w:pos="720"/>
        </w:tabs>
        <w:ind w:left="720" w:hanging="720"/>
      </w:pPr>
      <w:rPr>
        <w:rFonts w:hint="default"/>
      </w:rPr>
    </w:lvl>
    <w:lvl w:ilvl="3" w:tentative="0">
      <w:start w:val="1"/>
      <w:numFmt w:val="decimal"/>
      <w:pStyle w:val="365"/>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0">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381"/>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35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55"/>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DE6819"/>
    <w:multiLevelType w:val="multilevel"/>
    <w:tmpl w:val="08DE6819"/>
    <w:lvl w:ilvl="0" w:tentative="0">
      <w:start w:val="9"/>
      <w:numFmt w:val="chineseCountingThousand"/>
      <w:suff w:val="space"/>
      <w:lvlText w:val="%1、"/>
      <w:lvlJc w:val="left"/>
      <w:pPr>
        <w:ind w:left="425" w:firstLine="142"/>
      </w:pPr>
      <w:rPr>
        <w:rFonts w:hint="eastAsia"/>
      </w:rPr>
    </w:lvl>
    <w:lvl w:ilvl="1" w:tentative="0">
      <w:start w:val="2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AA728CC"/>
    <w:multiLevelType w:val="multilevel"/>
    <w:tmpl w:val="1AA728CC"/>
    <w:lvl w:ilvl="0" w:tentative="0">
      <w:start w:val="1"/>
      <w:numFmt w:val="lowerLetter"/>
      <w:lvlText w:val="%1)"/>
      <w:lvlJc w:val="left"/>
      <w:pPr>
        <w:ind w:left="420" w:hanging="420"/>
      </w:pPr>
    </w:lvl>
    <w:lvl w:ilvl="1" w:tentative="0">
      <w:start w:val="1"/>
      <w:numFmt w:val="lowerLetter"/>
      <w:pStyle w:val="272"/>
      <w:lvlText w:val="%2)"/>
      <w:lvlJc w:val="left"/>
      <w:pPr>
        <w:ind w:left="840" w:hanging="420"/>
      </w:pPr>
    </w:lvl>
    <w:lvl w:ilvl="2" w:tentative="0">
      <w:start w:val="1"/>
      <w:numFmt w:val="lowerRoman"/>
      <w:pStyle w:val="384"/>
      <w:lvlText w:val="%3."/>
      <w:lvlJc w:val="right"/>
      <w:pPr>
        <w:ind w:left="1260" w:hanging="420"/>
      </w:pPr>
    </w:lvl>
    <w:lvl w:ilvl="3" w:tentative="0">
      <w:start w:val="1"/>
      <w:numFmt w:val="decimal"/>
      <w:pStyle w:val="325"/>
      <w:lvlText w:val="%4."/>
      <w:lvlJc w:val="left"/>
      <w:pPr>
        <w:ind w:left="1680" w:hanging="420"/>
      </w:pPr>
    </w:lvl>
    <w:lvl w:ilvl="4" w:tentative="0">
      <w:start w:val="1"/>
      <w:numFmt w:val="lowerLetter"/>
      <w:pStyle w:val="287"/>
      <w:lvlText w:val="%5)"/>
      <w:lvlJc w:val="left"/>
      <w:pPr>
        <w:ind w:left="2100" w:hanging="420"/>
      </w:pPr>
    </w:lvl>
    <w:lvl w:ilvl="5" w:tentative="0">
      <w:start w:val="1"/>
      <w:numFmt w:val="lowerRoman"/>
      <w:pStyle w:val="321"/>
      <w:lvlText w:val="%6."/>
      <w:lvlJc w:val="right"/>
      <w:pPr>
        <w:ind w:left="2520" w:hanging="420"/>
      </w:pPr>
    </w:lvl>
    <w:lvl w:ilvl="6" w:tentative="0">
      <w:start w:val="1"/>
      <w:numFmt w:val="decimal"/>
      <w:pStyle w:val="311"/>
      <w:lvlText w:val="%7."/>
      <w:lvlJc w:val="left"/>
      <w:pPr>
        <w:ind w:left="2940" w:hanging="420"/>
      </w:pPr>
    </w:lvl>
    <w:lvl w:ilvl="7" w:tentative="0">
      <w:start w:val="1"/>
      <w:numFmt w:val="lowerLetter"/>
      <w:pStyle w:val="290"/>
      <w:lvlText w:val="%8)"/>
      <w:lvlJc w:val="left"/>
      <w:pPr>
        <w:ind w:left="3360" w:hanging="420"/>
      </w:pPr>
    </w:lvl>
    <w:lvl w:ilvl="8" w:tentative="0">
      <w:start w:val="1"/>
      <w:numFmt w:val="lowerRoman"/>
      <w:pStyle w:val="305"/>
      <w:lvlText w:val="%9."/>
      <w:lvlJc w:val="right"/>
      <w:pPr>
        <w:ind w:left="3780" w:hanging="420"/>
      </w:pPr>
    </w:lvl>
  </w:abstractNum>
  <w:abstractNum w:abstractNumId="15">
    <w:nsid w:val="1CB876BB"/>
    <w:multiLevelType w:val="multilevel"/>
    <w:tmpl w:val="1CB876BB"/>
    <w:lvl w:ilvl="0" w:tentative="0">
      <w:start w:val="6"/>
      <w:numFmt w:val="chineseCountingThousand"/>
      <w:suff w:val="space"/>
      <w:lvlText w:val="%1"/>
      <w:lvlJc w:val="left"/>
      <w:pPr>
        <w:ind w:left="425" w:firstLine="142"/>
      </w:pPr>
      <w:rPr>
        <w:rFonts w:hint="eastAsia"/>
      </w:rPr>
    </w:lvl>
    <w:lvl w:ilvl="1" w:tentative="0">
      <w:start w:val="2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1D9C1ADA"/>
    <w:multiLevelType w:val="multilevel"/>
    <w:tmpl w:val="1D9C1ADA"/>
    <w:lvl w:ilvl="0" w:tentative="0">
      <w:start w:val="13"/>
      <w:numFmt w:val="chineseCountingThousand"/>
      <w:suff w:val="space"/>
      <w:lvlText w:val="%1、"/>
      <w:lvlJc w:val="left"/>
      <w:pPr>
        <w:ind w:left="425" w:firstLine="142"/>
      </w:pPr>
      <w:rPr>
        <w:rFonts w:hint="eastAsia"/>
      </w:rPr>
    </w:lvl>
    <w:lvl w:ilvl="1" w:tentative="0">
      <w:start w:val="2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sz w:val="28"/>
        <w:szCs w:val="28"/>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1F4131A0"/>
    <w:multiLevelType w:val="multilevel"/>
    <w:tmpl w:val="1F4131A0"/>
    <w:lvl w:ilvl="0" w:tentative="0">
      <w:start w:val="1"/>
      <w:numFmt w:val="decimal"/>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1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9"/>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37D65536"/>
    <w:multiLevelType w:val="multilevel"/>
    <w:tmpl w:val="37D65536"/>
    <w:lvl w:ilvl="0" w:tentative="0">
      <w:start w:val="9"/>
      <w:numFmt w:val="chineseCountingThousand"/>
      <w:suff w:val="space"/>
      <w:lvlText w:val="%1、"/>
      <w:lvlJc w:val="left"/>
      <w:pPr>
        <w:ind w:left="425" w:firstLine="142"/>
      </w:pPr>
      <w:rPr>
        <w:rFonts w:hint="eastAsia"/>
      </w:rPr>
    </w:lvl>
    <w:lvl w:ilvl="1" w:tentative="0">
      <w:start w:val="26"/>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1"/>
        <w:szCs w:val="21"/>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41301765"/>
    <w:multiLevelType w:val="multilevel"/>
    <w:tmpl w:val="41301765"/>
    <w:lvl w:ilvl="0" w:tentative="0">
      <w:start w:val="3"/>
      <w:numFmt w:val="japaneseCounting"/>
      <w:lvlText w:val="%1、"/>
      <w:lvlJc w:val="left"/>
      <w:pPr>
        <w:ind w:left="1145" w:hanging="7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2">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7"/>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4AEC76F3"/>
    <w:multiLevelType w:val="multilevel"/>
    <w:tmpl w:val="4AEC76F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15C03AC"/>
    <w:multiLevelType w:val="multilevel"/>
    <w:tmpl w:val="515C03AC"/>
    <w:lvl w:ilvl="0" w:tentative="0">
      <w:start w:val="27"/>
      <w:numFmt w:val="chineseCountingThousand"/>
      <w:suff w:val="space"/>
      <w:lvlText w:val="%1、"/>
      <w:lvlJc w:val="left"/>
      <w:pPr>
        <w:ind w:left="425" w:firstLine="142"/>
      </w:pPr>
      <w:rPr>
        <w:rFonts w:hint="eastAsia"/>
      </w:rPr>
    </w:lvl>
    <w:lvl w:ilvl="1" w:tentative="0">
      <w:start w:val="18"/>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4"/>
        <w:szCs w:val="24"/>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770F4738"/>
    <w:multiLevelType w:val="multilevel"/>
    <w:tmpl w:val="770F4738"/>
    <w:lvl w:ilvl="0" w:tentative="0">
      <w:start w:val="27"/>
      <w:numFmt w:val="chineseCountingThousand"/>
      <w:suff w:val="space"/>
      <w:lvlText w:val="%1、"/>
      <w:lvlJc w:val="left"/>
      <w:pPr>
        <w:ind w:left="425" w:firstLine="142"/>
      </w:pPr>
      <w:rPr>
        <w:rFonts w:hint="eastAsia"/>
      </w:rPr>
    </w:lvl>
    <w:lvl w:ilvl="1" w:tentative="0">
      <w:start w:val="25"/>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default"/>
        <w:sz w:val="24"/>
        <w:szCs w:val="24"/>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2"/>
  </w:num>
  <w:num w:numId="3">
    <w:abstractNumId w:val="9"/>
  </w:num>
  <w:num w:numId="4">
    <w:abstractNumId w:val="5"/>
  </w:num>
  <w:num w:numId="5">
    <w:abstractNumId w:val="12"/>
  </w:num>
  <w:num w:numId="6">
    <w:abstractNumId w:val="7"/>
  </w:num>
  <w:num w:numId="7">
    <w:abstractNumId w:val="14"/>
  </w:num>
  <w:num w:numId="8">
    <w:abstractNumId w:val="8"/>
  </w:num>
  <w:num w:numId="9">
    <w:abstractNumId w:val="6"/>
  </w:num>
  <w:num w:numId="10">
    <w:abstractNumId w:val="11"/>
  </w:num>
  <w:num w:numId="11">
    <w:abstractNumId w:val="10"/>
  </w:num>
  <w:num w:numId="12">
    <w:abstractNumId w:val="3"/>
  </w:num>
  <w:num w:numId="13">
    <w:abstractNumId w:val="23"/>
  </w:num>
  <w:num w:numId="14">
    <w:abstractNumId w:val="17"/>
  </w:num>
  <w:num w:numId="15">
    <w:abstractNumId w:val="22"/>
  </w:num>
  <w:num w:numId="16">
    <w:abstractNumId w:val="19"/>
  </w:num>
  <w:num w:numId="17">
    <w:abstractNumId w:val="18"/>
  </w:num>
  <w:num w:numId="18">
    <w:abstractNumId w:val="24"/>
  </w:num>
  <w:num w:numId="19">
    <w:abstractNumId w:val="15"/>
  </w:num>
  <w:num w:numId="20">
    <w:abstractNumId w:val="25"/>
  </w:num>
  <w:num w:numId="21">
    <w:abstractNumId w:val="20"/>
  </w:num>
  <w:num w:numId="22">
    <w:abstractNumId w:val="16"/>
  </w:num>
  <w:num w:numId="23">
    <w:abstractNumId w:val="13"/>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WY0MjY1YzRiZDM4ZTJjNmUyZTg1YTVhMmI5YTkifQ=="/>
  </w:docVars>
  <w:rsids>
    <w:rsidRoot w:val="00172A27"/>
    <w:rsid w:val="00000D3F"/>
    <w:rsid w:val="00001368"/>
    <w:rsid w:val="000019B9"/>
    <w:rsid w:val="00003887"/>
    <w:rsid w:val="00003DCF"/>
    <w:rsid w:val="00004008"/>
    <w:rsid w:val="0000457C"/>
    <w:rsid w:val="00004A1C"/>
    <w:rsid w:val="00004EA4"/>
    <w:rsid w:val="000054AD"/>
    <w:rsid w:val="00005531"/>
    <w:rsid w:val="00005D4A"/>
    <w:rsid w:val="00005FA2"/>
    <w:rsid w:val="00006169"/>
    <w:rsid w:val="00006B4E"/>
    <w:rsid w:val="00006DDD"/>
    <w:rsid w:val="00007410"/>
    <w:rsid w:val="00007860"/>
    <w:rsid w:val="00010879"/>
    <w:rsid w:val="00010D30"/>
    <w:rsid w:val="00011304"/>
    <w:rsid w:val="0001143F"/>
    <w:rsid w:val="0001144A"/>
    <w:rsid w:val="0001144F"/>
    <w:rsid w:val="00011513"/>
    <w:rsid w:val="00012E6D"/>
    <w:rsid w:val="000135E3"/>
    <w:rsid w:val="000141D1"/>
    <w:rsid w:val="000144DC"/>
    <w:rsid w:val="00016FE2"/>
    <w:rsid w:val="0002128C"/>
    <w:rsid w:val="0002186A"/>
    <w:rsid w:val="000227A9"/>
    <w:rsid w:val="000232D0"/>
    <w:rsid w:val="00024BCF"/>
    <w:rsid w:val="000252FD"/>
    <w:rsid w:val="0002609E"/>
    <w:rsid w:val="00027D47"/>
    <w:rsid w:val="00027EBE"/>
    <w:rsid w:val="000300A6"/>
    <w:rsid w:val="000305AD"/>
    <w:rsid w:val="00031D7C"/>
    <w:rsid w:val="00032662"/>
    <w:rsid w:val="0003300E"/>
    <w:rsid w:val="00033C97"/>
    <w:rsid w:val="0003452C"/>
    <w:rsid w:val="00034868"/>
    <w:rsid w:val="00035C08"/>
    <w:rsid w:val="00035C9C"/>
    <w:rsid w:val="00036B7E"/>
    <w:rsid w:val="0003776A"/>
    <w:rsid w:val="00037782"/>
    <w:rsid w:val="00040A06"/>
    <w:rsid w:val="00040E34"/>
    <w:rsid w:val="00041ABD"/>
    <w:rsid w:val="00042BDC"/>
    <w:rsid w:val="00044EFC"/>
    <w:rsid w:val="00045B72"/>
    <w:rsid w:val="00045E9D"/>
    <w:rsid w:val="0004606F"/>
    <w:rsid w:val="000462AB"/>
    <w:rsid w:val="00046646"/>
    <w:rsid w:val="00046CC7"/>
    <w:rsid w:val="0004706F"/>
    <w:rsid w:val="00051168"/>
    <w:rsid w:val="00051872"/>
    <w:rsid w:val="000523C3"/>
    <w:rsid w:val="0005274F"/>
    <w:rsid w:val="00052825"/>
    <w:rsid w:val="00052ED3"/>
    <w:rsid w:val="000533EF"/>
    <w:rsid w:val="00053570"/>
    <w:rsid w:val="0005400A"/>
    <w:rsid w:val="000552F1"/>
    <w:rsid w:val="000564E5"/>
    <w:rsid w:val="0005682D"/>
    <w:rsid w:val="0005708D"/>
    <w:rsid w:val="00060105"/>
    <w:rsid w:val="0006021D"/>
    <w:rsid w:val="00060C3E"/>
    <w:rsid w:val="000611BF"/>
    <w:rsid w:val="0006128F"/>
    <w:rsid w:val="00061329"/>
    <w:rsid w:val="000629CB"/>
    <w:rsid w:val="000633DD"/>
    <w:rsid w:val="00063CA0"/>
    <w:rsid w:val="00063FDB"/>
    <w:rsid w:val="000643EB"/>
    <w:rsid w:val="00064C8C"/>
    <w:rsid w:val="0006566F"/>
    <w:rsid w:val="000662D5"/>
    <w:rsid w:val="00066F33"/>
    <w:rsid w:val="00071707"/>
    <w:rsid w:val="00071829"/>
    <w:rsid w:val="000720A2"/>
    <w:rsid w:val="00073011"/>
    <w:rsid w:val="00073189"/>
    <w:rsid w:val="00073511"/>
    <w:rsid w:val="0007419F"/>
    <w:rsid w:val="0007441F"/>
    <w:rsid w:val="000747D9"/>
    <w:rsid w:val="00075C0A"/>
    <w:rsid w:val="00080346"/>
    <w:rsid w:val="000805B2"/>
    <w:rsid w:val="00080609"/>
    <w:rsid w:val="000808D4"/>
    <w:rsid w:val="000813FA"/>
    <w:rsid w:val="00081C40"/>
    <w:rsid w:val="00082DFD"/>
    <w:rsid w:val="00082ECF"/>
    <w:rsid w:val="000832CB"/>
    <w:rsid w:val="00083823"/>
    <w:rsid w:val="0008440C"/>
    <w:rsid w:val="000844D5"/>
    <w:rsid w:val="00086EC0"/>
    <w:rsid w:val="00087119"/>
    <w:rsid w:val="0009020B"/>
    <w:rsid w:val="0009031B"/>
    <w:rsid w:val="00090E64"/>
    <w:rsid w:val="00092744"/>
    <w:rsid w:val="000927BA"/>
    <w:rsid w:val="00092B61"/>
    <w:rsid w:val="000930E1"/>
    <w:rsid w:val="00093407"/>
    <w:rsid w:val="0009345D"/>
    <w:rsid w:val="00093559"/>
    <w:rsid w:val="00093AB1"/>
    <w:rsid w:val="000954B3"/>
    <w:rsid w:val="00095EA6"/>
    <w:rsid w:val="00096AD3"/>
    <w:rsid w:val="000A03AF"/>
    <w:rsid w:val="000A0A3A"/>
    <w:rsid w:val="000A0B2B"/>
    <w:rsid w:val="000A1A2A"/>
    <w:rsid w:val="000A2B29"/>
    <w:rsid w:val="000A2C0B"/>
    <w:rsid w:val="000A2CF3"/>
    <w:rsid w:val="000A33C9"/>
    <w:rsid w:val="000A403E"/>
    <w:rsid w:val="000A4CF0"/>
    <w:rsid w:val="000A52D1"/>
    <w:rsid w:val="000A5789"/>
    <w:rsid w:val="000A5F39"/>
    <w:rsid w:val="000A6922"/>
    <w:rsid w:val="000A69EF"/>
    <w:rsid w:val="000A6ECD"/>
    <w:rsid w:val="000A7298"/>
    <w:rsid w:val="000A7EA9"/>
    <w:rsid w:val="000B012E"/>
    <w:rsid w:val="000B0802"/>
    <w:rsid w:val="000B083C"/>
    <w:rsid w:val="000B118B"/>
    <w:rsid w:val="000B198C"/>
    <w:rsid w:val="000B1CBE"/>
    <w:rsid w:val="000B238C"/>
    <w:rsid w:val="000B2E81"/>
    <w:rsid w:val="000B596F"/>
    <w:rsid w:val="000B5EB6"/>
    <w:rsid w:val="000B63D7"/>
    <w:rsid w:val="000B65FD"/>
    <w:rsid w:val="000B70E4"/>
    <w:rsid w:val="000B797B"/>
    <w:rsid w:val="000B7C70"/>
    <w:rsid w:val="000C0902"/>
    <w:rsid w:val="000C169E"/>
    <w:rsid w:val="000C32CC"/>
    <w:rsid w:val="000C3372"/>
    <w:rsid w:val="000C4B43"/>
    <w:rsid w:val="000C4EC4"/>
    <w:rsid w:val="000C65ED"/>
    <w:rsid w:val="000C68CB"/>
    <w:rsid w:val="000C69BF"/>
    <w:rsid w:val="000C6E4A"/>
    <w:rsid w:val="000C77F0"/>
    <w:rsid w:val="000C7F0D"/>
    <w:rsid w:val="000D03A1"/>
    <w:rsid w:val="000D0627"/>
    <w:rsid w:val="000D07C3"/>
    <w:rsid w:val="000D1A74"/>
    <w:rsid w:val="000D28D5"/>
    <w:rsid w:val="000D3366"/>
    <w:rsid w:val="000D4B1F"/>
    <w:rsid w:val="000D4DA7"/>
    <w:rsid w:val="000D55DC"/>
    <w:rsid w:val="000D57E2"/>
    <w:rsid w:val="000D6D60"/>
    <w:rsid w:val="000D72E2"/>
    <w:rsid w:val="000E0310"/>
    <w:rsid w:val="000E12CA"/>
    <w:rsid w:val="000E1CFF"/>
    <w:rsid w:val="000E46AD"/>
    <w:rsid w:val="000E476E"/>
    <w:rsid w:val="000E4F61"/>
    <w:rsid w:val="000E5497"/>
    <w:rsid w:val="000E61C3"/>
    <w:rsid w:val="000E7DCE"/>
    <w:rsid w:val="000E7E59"/>
    <w:rsid w:val="000E7EF6"/>
    <w:rsid w:val="000F038E"/>
    <w:rsid w:val="000F055F"/>
    <w:rsid w:val="000F1C8B"/>
    <w:rsid w:val="000F2651"/>
    <w:rsid w:val="000F27C9"/>
    <w:rsid w:val="000F326C"/>
    <w:rsid w:val="000F3830"/>
    <w:rsid w:val="000F3AED"/>
    <w:rsid w:val="000F3D25"/>
    <w:rsid w:val="000F441D"/>
    <w:rsid w:val="000F4825"/>
    <w:rsid w:val="000F6BE1"/>
    <w:rsid w:val="000F6F5E"/>
    <w:rsid w:val="0010006B"/>
    <w:rsid w:val="0010038C"/>
    <w:rsid w:val="00101030"/>
    <w:rsid w:val="00101124"/>
    <w:rsid w:val="001011F6"/>
    <w:rsid w:val="00101D2C"/>
    <w:rsid w:val="00102C76"/>
    <w:rsid w:val="00102D4D"/>
    <w:rsid w:val="0010334F"/>
    <w:rsid w:val="00103527"/>
    <w:rsid w:val="00103EF4"/>
    <w:rsid w:val="00105E2B"/>
    <w:rsid w:val="00105E66"/>
    <w:rsid w:val="00105EE8"/>
    <w:rsid w:val="001076D4"/>
    <w:rsid w:val="00107FF8"/>
    <w:rsid w:val="00110345"/>
    <w:rsid w:val="00110D74"/>
    <w:rsid w:val="001128A5"/>
    <w:rsid w:val="0011354F"/>
    <w:rsid w:val="001148E5"/>
    <w:rsid w:val="00114D60"/>
    <w:rsid w:val="00116AF1"/>
    <w:rsid w:val="00117C63"/>
    <w:rsid w:val="00120B7A"/>
    <w:rsid w:val="00120EA3"/>
    <w:rsid w:val="00121DC7"/>
    <w:rsid w:val="00121F62"/>
    <w:rsid w:val="00122756"/>
    <w:rsid w:val="00122D07"/>
    <w:rsid w:val="00122E14"/>
    <w:rsid w:val="00123C25"/>
    <w:rsid w:val="001241FA"/>
    <w:rsid w:val="001243E3"/>
    <w:rsid w:val="00124508"/>
    <w:rsid w:val="001247E0"/>
    <w:rsid w:val="00124A87"/>
    <w:rsid w:val="00124E1B"/>
    <w:rsid w:val="00124F19"/>
    <w:rsid w:val="001257EE"/>
    <w:rsid w:val="00125A04"/>
    <w:rsid w:val="00126B21"/>
    <w:rsid w:val="00126E7A"/>
    <w:rsid w:val="00126F46"/>
    <w:rsid w:val="001273DF"/>
    <w:rsid w:val="00127A65"/>
    <w:rsid w:val="00127D33"/>
    <w:rsid w:val="00130C8C"/>
    <w:rsid w:val="00132201"/>
    <w:rsid w:val="00132831"/>
    <w:rsid w:val="001329BD"/>
    <w:rsid w:val="00133229"/>
    <w:rsid w:val="001348CE"/>
    <w:rsid w:val="0013516A"/>
    <w:rsid w:val="0013518A"/>
    <w:rsid w:val="0013737F"/>
    <w:rsid w:val="00137BCB"/>
    <w:rsid w:val="001400CA"/>
    <w:rsid w:val="00140178"/>
    <w:rsid w:val="00140995"/>
    <w:rsid w:val="001410D2"/>
    <w:rsid w:val="00141659"/>
    <w:rsid w:val="001439A4"/>
    <w:rsid w:val="00143D8A"/>
    <w:rsid w:val="001445BC"/>
    <w:rsid w:val="0014479B"/>
    <w:rsid w:val="00144DB5"/>
    <w:rsid w:val="00144F35"/>
    <w:rsid w:val="00145340"/>
    <w:rsid w:val="00145418"/>
    <w:rsid w:val="0014601A"/>
    <w:rsid w:val="001467F5"/>
    <w:rsid w:val="00146B32"/>
    <w:rsid w:val="00146C03"/>
    <w:rsid w:val="00147610"/>
    <w:rsid w:val="00147709"/>
    <w:rsid w:val="00147DAB"/>
    <w:rsid w:val="00150907"/>
    <w:rsid w:val="00151E87"/>
    <w:rsid w:val="00151F90"/>
    <w:rsid w:val="00152ED7"/>
    <w:rsid w:val="00153329"/>
    <w:rsid w:val="00153A81"/>
    <w:rsid w:val="00153EB5"/>
    <w:rsid w:val="00154E23"/>
    <w:rsid w:val="001559E8"/>
    <w:rsid w:val="00155A2E"/>
    <w:rsid w:val="00155D37"/>
    <w:rsid w:val="00156C42"/>
    <w:rsid w:val="001574C8"/>
    <w:rsid w:val="00157E2C"/>
    <w:rsid w:val="00160B10"/>
    <w:rsid w:val="00160DB6"/>
    <w:rsid w:val="00160F51"/>
    <w:rsid w:val="00161135"/>
    <w:rsid w:val="00161146"/>
    <w:rsid w:val="00162D87"/>
    <w:rsid w:val="00163244"/>
    <w:rsid w:val="001632A0"/>
    <w:rsid w:val="00163388"/>
    <w:rsid w:val="00165063"/>
    <w:rsid w:val="001650B8"/>
    <w:rsid w:val="001669B5"/>
    <w:rsid w:val="00167310"/>
    <w:rsid w:val="00170980"/>
    <w:rsid w:val="00170F02"/>
    <w:rsid w:val="001712BD"/>
    <w:rsid w:val="00171CB5"/>
    <w:rsid w:val="001722EF"/>
    <w:rsid w:val="00172A27"/>
    <w:rsid w:val="00172AC6"/>
    <w:rsid w:val="001736A4"/>
    <w:rsid w:val="00173C6F"/>
    <w:rsid w:val="00173E25"/>
    <w:rsid w:val="001742C5"/>
    <w:rsid w:val="00174CBE"/>
    <w:rsid w:val="0017550E"/>
    <w:rsid w:val="00176468"/>
    <w:rsid w:val="001765DF"/>
    <w:rsid w:val="00176BD0"/>
    <w:rsid w:val="00177414"/>
    <w:rsid w:val="0017789C"/>
    <w:rsid w:val="00180851"/>
    <w:rsid w:val="00180BBE"/>
    <w:rsid w:val="00181833"/>
    <w:rsid w:val="0018246D"/>
    <w:rsid w:val="00182D88"/>
    <w:rsid w:val="001848C9"/>
    <w:rsid w:val="001869E8"/>
    <w:rsid w:val="00190AFA"/>
    <w:rsid w:val="0019105B"/>
    <w:rsid w:val="00191176"/>
    <w:rsid w:val="00192C40"/>
    <w:rsid w:val="00193769"/>
    <w:rsid w:val="001938CC"/>
    <w:rsid w:val="00194C7B"/>
    <w:rsid w:val="00194D7C"/>
    <w:rsid w:val="001950A5"/>
    <w:rsid w:val="00195701"/>
    <w:rsid w:val="00196998"/>
    <w:rsid w:val="00196D14"/>
    <w:rsid w:val="00196E10"/>
    <w:rsid w:val="00196EB8"/>
    <w:rsid w:val="001978F2"/>
    <w:rsid w:val="00197BCA"/>
    <w:rsid w:val="00197BE6"/>
    <w:rsid w:val="00197D3F"/>
    <w:rsid w:val="001A0FF0"/>
    <w:rsid w:val="001A10CE"/>
    <w:rsid w:val="001A2E25"/>
    <w:rsid w:val="001A396A"/>
    <w:rsid w:val="001A49FB"/>
    <w:rsid w:val="001A5B84"/>
    <w:rsid w:val="001A6292"/>
    <w:rsid w:val="001A646C"/>
    <w:rsid w:val="001A6ACA"/>
    <w:rsid w:val="001A7339"/>
    <w:rsid w:val="001A7C7F"/>
    <w:rsid w:val="001A7E0F"/>
    <w:rsid w:val="001B14AE"/>
    <w:rsid w:val="001B2375"/>
    <w:rsid w:val="001B2D1C"/>
    <w:rsid w:val="001B3623"/>
    <w:rsid w:val="001B3F56"/>
    <w:rsid w:val="001B48C9"/>
    <w:rsid w:val="001B5253"/>
    <w:rsid w:val="001B5634"/>
    <w:rsid w:val="001B7105"/>
    <w:rsid w:val="001B7422"/>
    <w:rsid w:val="001C0F13"/>
    <w:rsid w:val="001C114E"/>
    <w:rsid w:val="001C39A6"/>
    <w:rsid w:val="001C48A1"/>
    <w:rsid w:val="001C5365"/>
    <w:rsid w:val="001C6217"/>
    <w:rsid w:val="001C6CE5"/>
    <w:rsid w:val="001C74D0"/>
    <w:rsid w:val="001C76E3"/>
    <w:rsid w:val="001C7931"/>
    <w:rsid w:val="001D1340"/>
    <w:rsid w:val="001D1E25"/>
    <w:rsid w:val="001D2438"/>
    <w:rsid w:val="001D24DC"/>
    <w:rsid w:val="001D2AF5"/>
    <w:rsid w:val="001D3557"/>
    <w:rsid w:val="001D3EA5"/>
    <w:rsid w:val="001D420C"/>
    <w:rsid w:val="001D4215"/>
    <w:rsid w:val="001D4F84"/>
    <w:rsid w:val="001D5E76"/>
    <w:rsid w:val="001D678F"/>
    <w:rsid w:val="001E03CA"/>
    <w:rsid w:val="001E104C"/>
    <w:rsid w:val="001E192B"/>
    <w:rsid w:val="001E1DA7"/>
    <w:rsid w:val="001E2AC8"/>
    <w:rsid w:val="001E336A"/>
    <w:rsid w:val="001E413D"/>
    <w:rsid w:val="001E671D"/>
    <w:rsid w:val="001E6DEA"/>
    <w:rsid w:val="001E6FAA"/>
    <w:rsid w:val="001E7257"/>
    <w:rsid w:val="001F10F5"/>
    <w:rsid w:val="001F2338"/>
    <w:rsid w:val="001F2B7D"/>
    <w:rsid w:val="001F36B3"/>
    <w:rsid w:val="001F3915"/>
    <w:rsid w:val="001F549F"/>
    <w:rsid w:val="001F5D25"/>
    <w:rsid w:val="001F7D7F"/>
    <w:rsid w:val="001F7E5F"/>
    <w:rsid w:val="00200B91"/>
    <w:rsid w:val="002015C6"/>
    <w:rsid w:val="00201A25"/>
    <w:rsid w:val="002024D4"/>
    <w:rsid w:val="0020367B"/>
    <w:rsid w:val="00203AC4"/>
    <w:rsid w:val="00203FAA"/>
    <w:rsid w:val="0020439D"/>
    <w:rsid w:val="00204AF9"/>
    <w:rsid w:val="00205458"/>
    <w:rsid w:val="00206B54"/>
    <w:rsid w:val="002103C8"/>
    <w:rsid w:val="00210450"/>
    <w:rsid w:val="002120F8"/>
    <w:rsid w:val="002121CB"/>
    <w:rsid w:val="0021267F"/>
    <w:rsid w:val="00212DF8"/>
    <w:rsid w:val="00212F49"/>
    <w:rsid w:val="00213B47"/>
    <w:rsid w:val="00214DD1"/>
    <w:rsid w:val="00214FB5"/>
    <w:rsid w:val="00215982"/>
    <w:rsid w:val="00215EFE"/>
    <w:rsid w:val="0021696E"/>
    <w:rsid w:val="0021767C"/>
    <w:rsid w:val="00220410"/>
    <w:rsid w:val="00220826"/>
    <w:rsid w:val="002220B0"/>
    <w:rsid w:val="0022232C"/>
    <w:rsid w:val="002226BA"/>
    <w:rsid w:val="00224393"/>
    <w:rsid w:val="0022563D"/>
    <w:rsid w:val="00226AE7"/>
    <w:rsid w:val="002272D2"/>
    <w:rsid w:val="002276AE"/>
    <w:rsid w:val="00227A3B"/>
    <w:rsid w:val="00227FBD"/>
    <w:rsid w:val="00230697"/>
    <w:rsid w:val="00230C9D"/>
    <w:rsid w:val="00231E10"/>
    <w:rsid w:val="00233A18"/>
    <w:rsid w:val="00234573"/>
    <w:rsid w:val="002346E6"/>
    <w:rsid w:val="00234D43"/>
    <w:rsid w:val="00236124"/>
    <w:rsid w:val="002374D5"/>
    <w:rsid w:val="002406B1"/>
    <w:rsid w:val="00240942"/>
    <w:rsid w:val="00240DB5"/>
    <w:rsid w:val="00240E80"/>
    <w:rsid w:val="002416AD"/>
    <w:rsid w:val="00242741"/>
    <w:rsid w:val="00242798"/>
    <w:rsid w:val="0024301D"/>
    <w:rsid w:val="00243EF9"/>
    <w:rsid w:val="00244DA9"/>
    <w:rsid w:val="002456F9"/>
    <w:rsid w:val="00245ECC"/>
    <w:rsid w:val="00246D09"/>
    <w:rsid w:val="00247559"/>
    <w:rsid w:val="0025036F"/>
    <w:rsid w:val="00250A73"/>
    <w:rsid w:val="00250C76"/>
    <w:rsid w:val="00250DCC"/>
    <w:rsid w:val="00251A7C"/>
    <w:rsid w:val="002526A6"/>
    <w:rsid w:val="002543E1"/>
    <w:rsid w:val="00254CDB"/>
    <w:rsid w:val="00255204"/>
    <w:rsid w:val="00256CD1"/>
    <w:rsid w:val="002574BC"/>
    <w:rsid w:val="00257A8A"/>
    <w:rsid w:val="00260B9D"/>
    <w:rsid w:val="002627B4"/>
    <w:rsid w:val="0026303D"/>
    <w:rsid w:val="002631A2"/>
    <w:rsid w:val="002638F2"/>
    <w:rsid w:val="0026396C"/>
    <w:rsid w:val="002641DB"/>
    <w:rsid w:val="0026443F"/>
    <w:rsid w:val="0026458E"/>
    <w:rsid w:val="002648E7"/>
    <w:rsid w:val="00264CF3"/>
    <w:rsid w:val="00265C1B"/>
    <w:rsid w:val="00265E0D"/>
    <w:rsid w:val="00265E3A"/>
    <w:rsid w:val="00266441"/>
    <w:rsid w:val="0027001B"/>
    <w:rsid w:val="00270061"/>
    <w:rsid w:val="0027018D"/>
    <w:rsid w:val="00271BEF"/>
    <w:rsid w:val="0027275F"/>
    <w:rsid w:val="002736F3"/>
    <w:rsid w:val="00273D8B"/>
    <w:rsid w:val="002749CC"/>
    <w:rsid w:val="00275B8F"/>
    <w:rsid w:val="00276597"/>
    <w:rsid w:val="00276865"/>
    <w:rsid w:val="00276E0D"/>
    <w:rsid w:val="00277845"/>
    <w:rsid w:val="00277A29"/>
    <w:rsid w:val="002821F0"/>
    <w:rsid w:val="002822CE"/>
    <w:rsid w:val="0028290C"/>
    <w:rsid w:val="00284A17"/>
    <w:rsid w:val="00286199"/>
    <w:rsid w:val="00286886"/>
    <w:rsid w:val="00286F22"/>
    <w:rsid w:val="002904EA"/>
    <w:rsid w:val="0029097C"/>
    <w:rsid w:val="00290EFF"/>
    <w:rsid w:val="0029199D"/>
    <w:rsid w:val="00292586"/>
    <w:rsid w:val="00294A0E"/>
    <w:rsid w:val="00294AE2"/>
    <w:rsid w:val="00296EC7"/>
    <w:rsid w:val="00296F06"/>
    <w:rsid w:val="00297364"/>
    <w:rsid w:val="002A0415"/>
    <w:rsid w:val="002A06FB"/>
    <w:rsid w:val="002A2AD4"/>
    <w:rsid w:val="002A34F4"/>
    <w:rsid w:val="002A3D3F"/>
    <w:rsid w:val="002A52D2"/>
    <w:rsid w:val="002A5D19"/>
    <w:rsid w:val="002B08DA"/>
    <w:rsid w:val="002B19B9"/>
    <w:rsid w:val="002B1B2F"/>
    <w:rsid w:val="002B2419"/>
    <w:rsid w:val="002B2730"/>
    <w:rsid w:val="002B318B"/>
    <w:rsid w:val="002B3450"/>
    <w:rsid w:val="002B4036"/>
    <w:rsid w:val="002B5B4F"/>
    <w:rsid w:val="002B5EC4"/>
    <w:rsid w:val="002B61AF"/>
    <w:rsid w:val="002C0BF6"/>
    <w:rsid w:val="002C1F7E"/>
    <w:rsid w:val="002C22EC"/>
    <w:rsid w:val="002C26CE"/>
    <w:rsid w:val="002C2AA3"/>
    <w:rsid w:val="002C2B78"/>
    <w:rsid w:val="002C321C"/>
    <w:rsid w:val="002C35A2"/>
    <w:rsid w:val="002C3959"/>
    <w:rsid w:val="002C3DCA"/>
    <w:rsid w:val="002C4265"/>
    <w:rsid w:val="002C493A"/>
    <w:rsid w:val="002C4C5C"/>
    <w:rsid w:val="002C5AC3"/>
    <w:rsid w:val="002C76EA"/>
    <w:rsid w:val="002C772E"/>
    <w:rsid w:val="002D0794"/>
    <w:rsid w:val="002D0D06"/>
    <w:rsid w:val="002D0D26"/>
    <w:rsid w:val="002D1A52"/>
    <w:rsid w:val="002D1D6A"/>
    <w:rsid w:val="002D2407"/>
    <w:rsid w:val="002D3CBC"/>
    <w:rsid w:val="002D4199"/>
    <w:rsid w:val="002D4C9B"/>
    <w:rsid w:val="002D50CE"/>
    <w:rsid w:val="002D517B"/>
    <w:rsid w:val="002D5774"/>
    <w:rsid w:val="002D6153"/>
    <w:rsid w:val="002D6492"/>
    <w:rsid w:val="002D64AB"/>
    <w:rsid w:val="002D68CE"/>
    <w:rsid w:val="002D690D"/>
    <w:rsid w:val="002D716D"/>
    <w:rsid w:val="002E1BB3"/>
    <w:rsid w:val="002E27B4"/>
    <w:rsid w:val="002E2A8C"/>
    <w:rsid w:val="002E334D"/>
    <w:rsid w:val="002E4DB0"/>
    <w:rsid w:val="002E5563"/>
    <w:rsid w:val="002E5BBB"/>
    <w:rsid w:val="002E650E"/>
    <w:rsid w:val="002E6F83"/>
    <w:rsid w:val="002E76CA"/>
    <w:rsid w:val="002F0489"/>
    <w:rsid w:val="002F286E"/>
    <w:rsid w:val="002F2AEA"/>
    <w:rsid w:val="002F36F9"/>
    <w:rsid w:val="002F3DCE"/>
    <w:rsid w:val="002F4218"/>
    <w:rsid w:val="002F425B"/>
    <w:rsid w:val="002F435F"/>
    <w:rsid w:val="002F497F"/>
    <w:rsid w:val="002F55C3"/>
    <w:rsid w:val="00301400"/>
    <w:rsid w:val="00302494"/>
    <w:rsid w:val="00303165"/>
    <w:rsid w:val="00303B8A"/>
    <w:rsid w:val="00304C4F"/>
    <w:rsid w:val="00304DAB"/>
    <w:rsid w:val="00304E2D"/>
    <w:rsid w:val="0030604E"/>
    <w:rsid w:val="00306149"/>
    <w:rsid w:val="003069EF"/>
    <w:rsid w:val="00306A53"/>
    <w:rsid w:val="003074BE"/>
    <w:rsid w:val="00307C81"/>
    <w:rsid w:val="00311E49"/>
    <w:rsid w:val="00311E60"/>
    <w:rsid w:val="00314260"/>
    <w:rsid w:val="00314E11"/>
    <w:rsid w:val="003151CC"/>
    <w:rsid w:val="003156B6"/>
    <w:rsid w:val="00315FF6"/>
    <w:rsid w:val="003163D1"/>
    <w:rsid w:val="00316674"/>
    <w:rsid w:val="00317207"/>
    <w:rsid w:val="00320631"/>
    <w:rsid w:val="00320758"/>
    <w:rsid w:val="003210AE"/>
    <w:rsid w:val="0032256A"/>
    <w:rsid w:val="00324D93"/>
    <w:rsid w:val="003259B2"/>
    <w:rsid w:val="0032662E"/>
    <w:rsid w:val="003267B1"/>
    <w:rsid w:val="0032684B"/>
    <w:rsid w:val="00326DE3"/>
    <w:rsid w:val="003274D7"/>
    <w:rsid w:val="00330D3E"/>
    <w:rsid w:val="00331906"/>
    <w:rsid w:val="003323DC"/>
    <w:rsid w:val="003342F1"/>
    <w:rsid w:val="00335AB2"/>
    <w:rsid w:val="00335BA2"/>
    <w:rsid w:val="00336357"/>
    <w:rsid w:val="00336404"/>
    <w:rsid w:val="0033646D"/>
    <w:rsid w:val="0033649B"/>
    <w:rsid w:val="003366AD"/>
    <w:rsid w:val="00337297"/>
    <w:rsid w:val="00337851"/>
    <w:rsid w:val="0034020D"/>
    <w:rsid w:val="00340820"/>
    <w:rsid w:val="00341CA2"/>
    <w:rsid w:val="00341E35"/>
    <w:rsid w:val="00342CBB"/>
    <w:rsid w:val="003434B3"/>
    <w:rsid w:val="00343F24"/>
    <w:rsid w:val="00344151"/>
    <w:rsid w:val="003448BE"/>
    <w:rsid w:val="00344B7A"/>
    <w:rsid w:val="0034597A"/>
    <w:rsid w:val="0034637F"/>
    <w:rsid w:val="00346614"/>
    <w:rsid w:val="00346A1F"/>
    <w:rsid w:val="00346CE9"/>
    <w:rsid w:val="00347BF9"/>
    <w:rsid w:val="00347C43"/>
    <w:rsid w:val="0035188E"/>
    <w:rsid w:val="003518D9"/>
    <w:rsid w:val="00351B64"/>
    <w:rsid w:val="00351E0F"/>
    <w:rsid w:val="00351FE2"/>
    <w:rsid w:val="00353755"/>
    <w:rsid w:val="00354624"/>
    <w:rsid w:val="003550F1"/>
    <w:rsid w:val="003565B6"/>
    <w:rsid w:val="00356F8E"/>
    <w:rsid w:val="0035713C"/>
    <w:rsid w:val="0035763B"/>
    <w:rsid w:val="00360149"/>
    <w:rsid w:val="00360A5B"/>
    <w:rsid w:val="00361D75"/>
    <w:rsid w:val="00362CBB"/>
    <w:rsid w:val="00363332"/>
    <w:rsid w:val="00364B87"/>
    <w:rsid w:val="003655FC"/>
    <w:rsid w:val="00366A37"/>
    <w:rsid w:val="00370EE3"/>
    <w:rsid w:val="00371B75"/>
    <w:rsid w:val="0037468D"/>
    <w:rsid w:val="00375582"/>
    <w:rsid w:val="003760A6"/>
    <w:rsid w:val="00376283"/>
    <w:rsid w:val="003764C1"/>
    <w:rsid w:val="00380052"/>
    <w:rsid w:val="003803E1"/>
    <w:rsid w:val="00380C99"/>
    <w:rsid w:val="00380DC5"/>
    <w:rsid w:val="00381A4A"/>
    <w:rsid w:val="00382178"/>
    <w:rsid w:val="00382293"/>
    <w:rsid w:val="003854BA"/>
    <w:rsid w:val="00385574"/>
    <w:rsid w:val="003872A5"/>
    <w:rsid w:val="00387602"/>
    <w:rsid w:val="00387BCA"/>
    <w:rsid w:val="00390810"/>
    <w:rsid w:val="00391716"/>
    <w:rsid w:val="00392968"/>
    <w:rsid w:val="00392D12"/>
    <w:rsid w:val="00393017"/>
    <w:rsid w:val="003939F6"/>
    <w:rsid w:val="00394131"/>
    <w:rsid w:val="003944CE"/>
    <w:rsid w:val="00394E81"/>
    <w:rsid w:val="003960A0"/>
    <w:rsid w:val="00396AE9"/>
    <w:rsid w:val="00396CD1"/>
    <w:rsid w:val="00396F26"/>
    <w:rsid w:val="0039726C"/>
    <w:rsid w:val="003A04A6"/>
    <w:rsid w:val="003A06CC"/>
    <w:rsid w:val="003A0E97"/>
    <w:rsid w:val="003A1063"/>
    <w:rsid w:val="003A168F"/>
    <w:rsid w:val="003A1F42"/>
    <w:rsid w:val="003A209C"/>
    <w:rsid w:val="003A2DBD"/>
    <w:rsid w:val="003A34C2"/>
    <w:rsid w:val="003A3CAA"/>
    <w:rsid w:val="003A6996"/>
    <w:rsid w:val="003A6CE6"/>
    <w:rsid w:val="003A70BD"/>
    <w:rsid w:val="003B09FA"/>
    <w:rsid w:val="003B0F79"/>
    <w:rsid w:val="003B149B"/>
    <w:rsid w:val="003B1846"/>
    <w:rsid w:val="003B1B30"/>
    <w:rsid w:val="003B20EA"/>
    <w:rsid w:val="003B2458"/>
    <w:rsid w:val="003B2FE1"/>
    <w:rsid w:val="003B36BC"/>
    <w:rsid w:val="003B3B75"/>
    <w:rsid w:val="003B4027"/>
    <w:rsid w:val="003B4973"/>
    <w:rsid w:val="003B4FE1"/>
    <w:rsid w:val="003B64BF"/>
    <w:rsid w:val="003B6688"/>
    <w:rsid w:val="003B66C3"/>
    <w:rsid w:val="003B6BE9"/>
    <w:rsid w:val="003C0B48"/>
    <w:rsid w:val="003C0BBB"/>
    <w:rsid w:val="003C173F"/>
    <w:rsid w:val="003C3CF5"/>
    <w:rsid w:val="003C5E55"/>
    <w:rsid w:val="003C5F2A"/>
    <w:rsid w:val="003C629F"/>
    <w:rsid w:val="003C642D"/>
    <w:rsid w:val="003C682E"/>
    <w:rsid w:val="003C6E56"/>
    <w:rsid w:val="003C73E6"/>
    <w:rsid w:val="003C74F0"/>
    <w:rsid w:val="003C75EA"/>
    <w:rsid w:val="003C7CB7"/>
    <w:rsid w:val="003D10EC"/>
    <w:rsid w:val="003D177A"/>
    <w:rsid w:val="003D1A43"/>
    <w:rsid w:val="003D1DDC"/>
    <w:rsid w:val="003D2104"/>
    <w:rsid w:val="003D2D9E"/>
    <w:rsid w:val="003D3A87"/>
    <w:rsid w:val="003D4A13"/>
    <w:rsid w:val="003D680B"/>
    <w:rsid w:val="003D6AAE"/>
    <w:rsid w:val="003D702F"/>
    <w:rsid w:val="003E04E3"/>
    <w:rsid w:val="003E0BEE"/>
    <w:rsid w:val="003E1435"/>
    <w:rsid w:val="003E15DE"/>
    <w:rsid w:val="003E19E2"/>
    <w:rsid w:val="003E568D"/>
    <w:rsid w:val="003E56E5"/>
    <w:rsid w:val="003E6112"/>
    <w:rsid w:val="003E61B4"/>
    <w:rsid w:val="003E67A2"/>
    <w:rsid w:val="003E6F6E"/>
    <w:rsid w:val="003E795F"/>
    <w:rsid w:val="003E7E98"/>
    <w:rsid w:val="003F13A0"/>
    <w:rsid w:val="003F14F8"/>
    <w:rsid w:val="003F1540"/>
    <w:rsid w:val="003F21BE"/>
    <w:rsid w:val="003F22A9"/>
    <w:rsid w:val="003F287F"/>
    <w:rsid w:val="003F3011"/>
    <w:rsid w:val="003F3483"/>
    <w:rsid w:val="003F395C"/>
    <w:rsid w:val="003F3A15"/>
    <w:rsid w:val="003F3E63"/>
    <w:rsid w:val="003F53B2"/>
    <w:rsid w:val="003F5437"/>
    <w:rsid w:val="003F59C3"/>
    <w:rsid w:val="003F5C04"/>
    <w:rsid w:val="003F6989"/>
    <w:rsid w:val="003F7595"/>
    <w:rsid w:val="0040059C"/>
    <w:rsid w:val="004008C6"/>
    <w:rsid w:val="00400B00"/>
    <w:rsid w:val="00400F14"/>
    <w:rsid w:val="0040114C"/>
    <w:rsid w:val="004012FE"/>
    <w:rsid w:val="00401573"/>
    <w:rsid w:val="004018C6"/>
    <w:rsid w:val="00401B15"/>
    <w:rsid w:val="00401B5B"/>
    <w:rsid w:val="00403465"/>
    <w:rsid w:val="00403852"/>
    <w:rsid w:val="00404BC3"/>
    <w:rsid w:val="00404E6C"/>
    <w:rsid w:val="00405A5C"/>
    <w:rsid w:val="004062FB"/>
    <w:rsid w:val="00407462"/>
    <w:rsid w:val="00407814"/>
    <w:rsid w:val="00407A46"/>
    <w:rsid w:val="0041026B"/>
    <w:rsid w:val="004104BB"/>
    <w:rsid w:val="00410E7A"/>
    <w:rsid w:val="0041149D"/>
    <w:rsid w:val="00413879"/>
    <w:rsid w:val="004138E3"/>
    <w:rsid w:val="00414158"/>
    <w:rsid w:val="004143CB"/>
    <w:rsid w:val="00414440"/>
    <w:rsid w:val="00414EDF"/>
    <w:rsid w:val="004150B5"/>
    <w:rsid w:val="00415216"/>
    <w:rsid w:val="00415730"/>
    <w:rsid w:val="00417192"/>
    <w:rsid w:val="00417F46"/>
    <w:rsid w:val="00420230"/>
    <w:rsid w:val="00420910"/>
    <w:rsid w:val="00420E8C"/>
    <w:rsid w:val="00421A89"/>
    <w:rsid w:val="00421EF3"/>
    <w:rsid w:val="004220F0"/>
    <w:rsid w:val="00423390"/>
    <w:rsid w:val="00423B7A"/>
    <w:rsid w:val="00424484"/>
    <w:rsid w:val="00424BCB"/>
    <w:rsid w:val="00424DB5"/>
    <w:rsid w:val="00424EFE"/>
    <w:rsid w:val="004252AC"/>
    <w:rsid w:val="004259D7"/>
    <w:rsid w:val="00425A63"/>
    <w:rsid w:val="00427143"/>
    <w:rsid w:val="004272B0"/>
    <w:rsid w:val="00427EBA"/>
    <w:rsid w:val="00430175"/>
    <w:rsid w:val="0043028A"/>
    <w:rsid w:val="00430F90"/>
    <w:rsid w:val="00431369"/>
    <w:rsid w:val="00431871"/>
    <w:rsid w:val="00431DB1"/>
    <w:rsid w:val="00432DBF"/>
    <w:rsid w:val="00432E84"/>
    <w:rsid w:val="00433838"/>
    <w:rsid w:val="00434941"/>
    <w:rsid w:val="004350D7"/>
    <w:rsid w:val="00436576"/>
    <w:rsid w:val="004366DC"/>
    <w:rsid w:val="00436971"/>
    <w:rsid w:val="00436E52"/>
    <w:rsid w:val="004370F1"/>
    <w:rsid w:val="00437AA3"/>
    <w:rsid w:val="00440502"/>
    <w:rsid w:val="00440736"/>
    <w:rsid w:val="00440FE1"/>
    <w:rsid w:val="00441134"/>
    <w:rsid w:val="0044317D"/>
    <w:rsid w:val="00444723"/>
    <w:rsid w:val="0044483F"/>
    <w:rsid w:val="0044497B"/>
    <w:rsid w:val="00444AC8"/>
    <w:rsid w:val="00444FC0"/>
    <w:rsid w:val="004450C6"/>
    <w:rsid w:val="00445205"/>
    <w:rsid w:val="00445252"/>
    <w:rsid w:val="00445949"/>
    <w:rsid w:val="00445A2E"/>
    <w:rsid w:val="00445CE6"/>
    <w:rsid w:val="004473AB"/>
    <w:rsid w:val="00447DCA"/>
    <w:rsid w:val="00447EC1"/>
    <w:rsid w:val="0045003C"/>
    <w:rsid w:val="0045107E"/>
    <w:rsid w:val="004512F1"/>
    <w:rsid w:val="0045179E"/>
    <w:rsid w:val="00454CBD"/>
    <w:rsid w:val="00454FDA"/>
    <w:rsid w:val="004573C1"/>
    <w:rsid w:val="004573DA"/>
    <w:rsid w:val="00461324"/>
    <w:rsid w:val="004616DB"/>
    <w:rsid w:val="00462394"/>
    <w:rsid w:val="004626A6"/>
    <w:rsid w:val="00463870"/>
    <w:rsid w:val="00463958"/>
    <w:rsid w:val="00463B8D"/>
    <w:rsid w:val="00463D24"/>
    <w:rsid w:val="004653D7"/>
    <w:rsid w:val="0046584B"/>
    <w:rsid w:val="00466DBD"/>
    <w:rsid w:val="00470B22"/>
    <w:rsid w:val="00470F85"/>
    <w:rsid w:val="004711A8"/>
    <w:rsid w:val="004713F7"/>
    <w:rsid w:val="00471D94"/>
    <w:rsid w:val="00471E40"/>
    <w:rsid w:val="00472B19"/>
    <w:rsid w:val="00472F89"/>
    <w:rsid w:val="004735F6"/>
    <w:rsid w:val="0047431C"/>
    <w:rsid w:val="0047489C"/>
    <w:rsid w:val="00474E03"/>
    <w:rsid w:val="004763D1"/>
    <w:rsid w:val="00476490"/>
    <w:rsid w:val="00476823"/>
    <w:rsid w:val="004771EE"/>
    <w:rsid w:val="004775F5"/>
    <w:rsid w:val="00477745"/>
    <w:rsid w:val="0048187E"/>
    <w:rsid w:val="00481954"/>
    <w:rsid w:val="00481F1C"/>
    <w:rsid w:val="004829E4"/>
    <w:rsid w:val="004832AB"/>
    <w:rsid w:val="004837EA"/>
    <w:rsid w:val="004838BE"/>
    <w:rsid w:val="0048528A"/>
    <w:rsid w:val="0048622C"/>
    <w:rsid w:val="00486840"/>
    <w:rsid w:val="00486895"/>
    <w:rsid w:val="004868AE"/>
    <w:rsid w:val="00486CFF"/>
    <w:rsid w:val="00486D37"/>
    <w:rsid w:val="00487242"/>
    <w:rsid w:val="00487E2A"/>
    <w:rsid w:val="004918AF"/>
    <w:rsid w:val="00491AF4"/>
    <w:rsid w:val="004920FE"/>
    <w:rsid w:val="004926E0"/>
    <w:rsid w:val="00492F6C"/>
    <w:rsid w:val="0049455E"/>
    <w:rsid w:val="0049490A"/>
    <w:rsid w:val="00494C23"/>
    <w:rsid w:val="00495104"/>
    <w:rsid w:val="0049624A"/>
    <w:rsid w:val="00496E8A"/>
    <w:rsid w:val="004A1047"/>
    <w:rsid w:val="004A1079"/>
    <w:rsid w:val="004A289B"/>
    <w:rsid w:val="004A31D3"/>
    <w:rsid w:val="004A3BB8"/>
    <w:rsid w:val="004A4060"/>
    <w:rsid w:val="004A4462"/>
    <w:rsid w:val="004A4650"/>
    <w:rsid w:val="004A471E"/>
    <w:rsid w:val="004A4877"/>
    <w:rsid w:val="004A4AC6"/>
    <w:rsid w:val="004A5849"/>
    <w:rsid w:val="004A5E5D"/>
    <w:rsid w:val="004A63B1"/>
    <w:rsid w:val="004A769F"/>
    <w:rsid w:val="004A792A"/>
    <w:rsid w:val="004B09B9"/>
    <w:rsid w:val="004B0D0A"/>
    <w:rsid w:val="004B1C43"/>
    <w:rsid w:val="004B20DA"/>
    <w:rsid w:val="004B218D"/>
    <w:rsid w:val="004B24BF"/>
    <w:rsid w:val="004B3C56"/>
    <w:rsid w:val="004B3F08"/>
    <w:rsid w:val="004B45D4"/>
    <w:rsid w:val="004B4C6B"/>
    <w:rsid w:val="004B51AB"/>
    <w:rsid w:val="004B6FA7"/>
    <w:rsid w:val="004C11D5"/>
    <w:rsid w:val="004C1570"/>
    <w:rsid w:val="004C1B81"/>
    <w:rsid w:val="004C2587"/>
    <w:rsid w:val="004C2D3D"/>
    <w:rsid w:val="004C3054"/>
    <w:rsid w:val="004C32CA"/>
    <w:rsid w:val="004C3385"/>
    <w:rsid w:val="004C33F8"/>
    <w:rsid w:val="004C3970"/>
    <w:rsid w:val="004C3F61"/>
    <w:rsid w:val="004C417A"/>
    <w:rsid w:val="004C46EA"/>
    <w:rsid w:val="004C4EB0"/>
    <w:rsid w:val="004C50EB"/>
    <w:rsid w:val="004C5146"/>
    <w:rsid w:val="004C5413"/>
    <w:rsid w:val="004C6F97"/>
    <w:rsid w:val="004C7251"/>
    <w:rsid w:val="004C753A"/>
    <w:rsid w:val="004C7B36"/>
    <w:rsid w:val="004C7F6C"/>
    <w:rsid w:val="004C7FB8"/>
    <w:rsid w:val="004D02A8"/>
    <w:rsid w:val="004D056A"/>
    <w:rsid w:val="004D0840"/>
    <w:rsid w:val="004D1BE6"/>
    <w:rsid w:val="004D240C"/>
    <w:rsid w:val="004D27F7"/>
    <w:rsid w:val="004D2CF5"/>
    <w:rsid w:val="004D3350"/>
    <w:rsid w:val="004D372F"/>
    <w:rsid w:val="004D386D"/>
    <w:rsid w:val="004D3897"/>
    <w:rsid w:val="004D3D00"/>
    <w:rsid w:val="004D5071"/>
    <w:rsid w:val="004D645B"/>
    <w:rsid w:val="004D6D99"/>
    <w:rsid w:val="004D78B1"/>
    <w:rsid w:val="004E0DAB"/>
    <w:rsid w:val="004E106F"/>
    <w:rsid w:val="004E1262"/>
    <w:rsid w:val="004E1752"/>
    <w:rsid w:val="004E2997"/>
    <w:rsid w:val="004E3DA9"/>
    <w:rsid w:val="004E43C0"/>
    <w:rsid w:val="004E4448"/>
    <w:rsid w:val="004E49A0"/>
    <w:rsid w:val="004E4C97"/>
    <w:rsid w:val="004E4E02"/>
    <w:rsid w:val="004E59BC"/>
    <w:rsid w:val="004E6214"/>
    <w:rsid w:val="004E626F"/>
    <w:rsid w:val="004E6F38"/>
    <w:rsid w:val="004E7E48"/>
    <w:rsid w:val="004F0318"/>
    <w:rsid w:val="004F04DE"/>
    <w:rsid w:val="004F0844"/>
    <w:rsid w:val="004F2355"/>
    <w:rsid w:val="004F2CBF"/>
    <w:rsid w:val="004F36C4"/>
    <w:rsid w:val="004F5021"/>
    <w:rsid w:val="004F53E8"/>
    <w:rsid w:val="004F5AEF"/>
    <w:rsid w:val="004F621A"/>
    <w:rsid w:val="004F65E3"/>
    <w:rsid w:val="00502692"/>
    <w:rsid w:val="005031C2"/>
    <w:rsid w:val="00503407"/>
    <w:rsid w:val="00503575"/>
    <w:rsid w:val="00503907"/>
    <w:rsid w:val="00503F22"/>
    <w:rsid w:val="0050405D"/>
    <w:rsid w:val="0050426C"/>
    <w:rsid w:val="00504671"/>
    <w:rsid w:val="00504B14"/>
    <w:rsid w:val="00505AF7"/>
    <w:rsid w:val="00507194"/>
    <w:rsid w:val="00507222"/>
    <w:rsid w:val="00507945"/>
    <w:rsid w:val="00510212"/>
    <w:rsid w:val="00510240"/>
    <w:rsid w:val="00510AF8"/>
    <w:rsid w:val="00510BA5"/>
    <w:rsid w:val="00512204"/>
    <w:rsid w:val="00512269"/>
    <w:rsid w:val="005125DF"/>
    <w:rsid w:val="005156E3"/>
    <w:rsid w:val="00517361"/>
    <w:rsid w:val="005202D6"/>
    <w:rsid w:val="005204DC"/>
    <w:rsid w:val="0052178A"/>
    <w:rsid w:val="0052180B"/>
    <w:rsid w:val="00521C90"/>
    <w:rsid w:val="00521E3D"/>
    <w:rsid w:val="005223FD"/>
    <w:rsid w:val="0052308B"/>
    <w:rsid w:val="00523334"/>
    <w:rsid w:val="0052371C"/>
    <w:rsid w:val="00523D21"/>
    <w:rsid w:val="005255E4"/>
    <w:rsid w:val="00525AF5"/>
    <w:rsid w:val="00530B23"/>
    <w:rsid w:val="00530D02"/>
    <w:rsid w:val="00531868"/>
    <w:rsid w:val="00531D78"/>
    <w:rsid w:val="0053208C"/>
    <w:rsid w:val="00532298"/>
    <w:rsid w:val="00533480"/>
    <w:rsid w:val="00534504"/>
    <w:rsid w:val="00534C54"/>
    <w:rsid w:val="00534ED3"/>
    <w:rsid w:val="005351BE"/>
    <w:rsid w:val="00535260"/>
    <w:rsid w:val="00535323"/>
    <w:rsid w:val="005358AC"/>
    <w:rsid w:val="00535CBE"/>
    <w:rsid w:val="00536431"/>
    <w:rsid w:val="00536B06"/>
    <w:rsid w:val="00537166"/>
    <w:rsid w:val="005378E3"/>
    <w:rsid w:val="00537FF5"/>
    <w:rsid w:val="00540734"/>
    <w:rsid w:val="00540CCB"/>
    <w:rsid w:val="00541F81"/>
    <w:rsid w:val="005426F8"/>
    <w:rsid w:val="0054275B"/>
    <w:rsid w:val="00542C37"/>
    <w:rsid w:val="00542CBD"/>
    <w:rsid w:val="005434FA"/>
    <w:rsid w:val="00544175"/>
    <w:rsid w:val="005441EF"/>
    <w:rsid w:val="00544B84"/>
    <w:rsid w:val="00544D61"/>
    <w:rsid w:val="0054510A"/>
    <w:rsid w:val="00546146"/>
    <w:rsid w:val="00547FE8"/>
    <w:rsid w:val="0055039F"/>
    <w:rsid w:val="005506D7"/>
    <w:rsid w:val="00551310"/>
    <w:rsid w:val="0055150A"/>
    <w:rsid w:val="0055186B"/>
    <w:rsid w:val="0055189C"/>
    <w:rsid w:val="00552183"/>
    <w:rsid w:val="00552362"/>
    <w:rsid w:val="0055295F"/>
    <w:rsid w:val="00553E74"/>
    <w:rsid w:val="00554AC9"/>
    <w:rsid w:val="00554DA7"/>
    <w:rsid w:val="005551FF"/>
    <w:rsid w:val="005555A1"/>
    <w:rsid w:val="005555C7"/>
    <w:rsid w:val="00555606"/>
    <w:rsid w:val="00556209"/>
    <w:rsid w:val="00556263"/>
    <w:rsid w:val="005562EE"/>
    <w:rsid w:val="00556B99"/>
    <w:rsid w:val="00557BE5"/>
    <w:rsid w:val="00560782"/>
    <w:rsid w:val="00561178"/>
    <w:rsid w:val="005618E7"/>
    <w:rsid w:val="00561AEA"/>
    <w:rsid w:val="005620A4"/>
    <w:rsid w:val="0056255F"/>
    <w:rsid w:val="00562BEF"/>
    <w:rsid w:val="00564340"/>
    <w:rsid w:val="005657B4"/>
    <w:rsid w:val="005657C0"/>
    <w:rsid w:val="0056696E"/>
    <w:rsid w:val="00566AE0"/>
    <w:rsid w:val="00566ED9"/>
    <w:rsid w:val="0056757F"/>
    <w:rsid w:val="0056777D"/>
    <w:rsid w:val="00567E04"/>
    <w:rsid w:val="005701E6"/>
    <w:rsid w:val="00570A35"/>
    <w:rsid w:val="00571F4A"/>
    <w:rsid w:val="00572579"/>
    <w:rsid w:val="0057281D"/>
    <w:rsid w:val="00572EF1"/>
    <w:rsid w:val="00573726"/>
    <w:rsid w:val="0057376D"/>
    <w:rsid w:val="00574D45"/>
    <w:rsid w:val="00574E5F"/>
    <w:rsid w:val="00575A72"/>
    <w:rsid w:val="00576092"/>
    <w:rsid w:val="00576F88"/>
    <w:rsid w:val="00580C77"/>
    <w:rsid w:val="00580E94"/>
    <w:rsid w:val="00580F24"/>
    <w:rsid w:val="00581D39"/>
    <w:rsid w:val="00582B1B"/>
    <w:rsid w:val="00582BA8"/>
    <w:rsid w:val="005840BF"/>
    <w:rsid w:val="00584D63"/>
    <w:rsid w:val="00585685"/>
    <w:rsid w:val="005864F8"/>
    <w:rsid w:val="0058699C"/>
    <w:rsid w:val="00586C31"/>
    <w:rsid w:val="00587C08"/>
    <w:rsid w:val="005901FB"/>
    <w:rsid w:val="005918C1"/>
    <w:rsid w:val="00592508"/>
    <w:rsid w:val="00592E74"/>
    <w:rsid w:val="005936E2"/>
    <w:rsid w:val="0059379B"/>
    <w:rsid w:val="0059405A"/>
    <w:rsid w:val="0059540B"/>
    <w:rsid w:val="00595427"/>
    <w:rsid w:val="005955C0"/>
    <w:rsid w:val="00595A91"/>
    <w:rsid w:val="0059632D"/>
    <w:rsid w:val="0059694E"/>
    <w:rsid w:val="005972FB"/>
    <w:rsid w:val="005A06AB"/>
    <w:rsid w:val="005A0C9C"/>
    <w:rsid w:val="005A10EB"/>
    <w:rsid w:val="005A1986"/>
    <w:rsid w:val="005A1B45"/>
    <w:rsid w:val="005A2C4C"/>
    <w:rsid w:val="005A3E0B"/>
    <w:rsid w:val="005A59F3"/>
    <w:rsid w:val="005A60CE"/>
    <w:rsid w:val="005A6357"/>
    <w:rsid w:val="005A6E8A"/>
    <w:rsid w:val="005A71F6"/>
    <w:rsid w:val="005A74A5"/>
    <w:rsid w:val="005B0207"/>
    <w:rsid w:val="005B0D87"/>
    <w:rsid w:val="005B1300"/>
    <w:rsid w:val="005B1665"/>
    <w:rsid w:val="005B48E4"/>
    <w:rsid w:val="005B4AC8"/>
    <w:rsid w:val="005B4E24"/>
    <w:rsid w:val="005B5A3E"/>
    <w:rsid w:val="005B6A22"/>
    <w:rsid w:val="005B6EF9"/>
    <w:rsid w:val="005B71C6"/>
    <w:rsid w:val="005B7A1C"/>
    <w:rsid w:val="005B7AD2"/>
    <w:rsid w:val="005C0A5F"/>
    <w:rsid w:val="005C185C"/>
    <w:rsid w:val="005C1CE8"/>
    <w:rsid w:val="005C2391"/>
    <w:rsid w:val="005C28D0"/>
    <w:rsid w:val="005C2F7F"/>
    <w:rsid w:val="005C548C"/>
    <w:rsid w:val="005C6B18"/>
    <w:rsid w:val="005D0329"/>
    <w:rsid w:val="005D0839"/>
    <w:rsid w:val="005D133B"/>
    <w:rsid w:val="005D16A6"/>
    <w:rsid w:val="005D1E14"/>
    <w:rsid w:val="005D263B"/>
    <w:rsid w:val="005D26C5"/>
    <w:rsid w:val="005D26CE"/>
    <w:rsid w:val="005D2B5A"/>
    <w:rsid w:val="005D2C6B"/>
    <w:rsid w:val="005D354F"/>
    <w:rsid w:val="005D3CE5"/>
    <w:rsid w:val="005D6A7D"/>
    <w:rsid w:val="005D7961"/>
    <w:rsid w:val="005E05A1"/>
    <w:rsid w:val="005E13D4"/>
    <w:rsid w:val="005E1DB4"/>
    <w:rsid w:val="005E22BF"/>
    <w:rsid w:val="005E2C35"/>
    <w:rsid w:val="005E2FC6"/>
    <w:rsid w:val="005E3337"/>
    <w:rsid w:val="005E3B93"/>
    <w:rsid w:val="005E4B9B"/>
    <w:rsid w:val="005E4DA7"/>
    <w:rsid w:val="005E4E49"/>
    <w:rsid w:val="005E53AA"/>
    <w:rsid w:val="005E5C91"/>
    <w:rsid w:val="005E6A83"/>
    <w:rsid w:val="005E72DE"/>
    <w:rsid w:val="005F0CA1"/>
    <w:rsid w:val="005F199D"/>
    <w:rsid w:val="005F20E2"/>
    <w:rsid w:val="005F233E"/>
    <w:rsid w:val="005F26EA"/>
    <w:rsid w:val="005F27C0"/>
    <w:rsid w:val="005F320C"/>
    <w:rsid w:val="005F3288"/>
    <w:rsid w:val="005F377C"/>
    <w:rsid w:val="005F3BF5"/>
    <w:rsid w:val="005F3D8C"/>
    <w:rsid w:val="005F3DA1"/>
    <w:rsid w:val="005F5DBE"/>
    <w:rsid w:val="005F60DA"/>
    <w:rsid w:val="005F6C00"/>
    <w:rsid w:val="005F6E63"/>
    <w:rsid w:val="005F7A95"/>
    <w:rsid w:val="00600031"/>
    <w:rsid w:val="006004FE"/>
    <w:rsid w:val="006014A3"/>
    <w:rsid w:val="00601F53"/>
    <w:rsid w:val="0060260B"/>
    <w:rsid w:val="00603989"/>
    <w:rsid w:val="006045CD"/>
    <w:rsid w:val="00604B8C"/>
    <w:rsid w:val="00604DED"/>
    <w:rsid w:val="00605925"/>
    <w:rsid w:val="00605C49"/>
    <w:rsid w:val="0060603A"/>
    <w:rsid w:val="00606179"/>
    <w:rsid w:val="0061057D"/>
    <w:rsid w:val="00611164"/>
    <w:rsid w:val="006114E8"/>
    <w:rsid w:val="00613A79"/>
    <w:rsid w:val="0061593E"/>
    <w:rsid w:val="00617473"/>
    <w:rsid w:val="006174DF"/>
    <w:rsid w:val="00620102"/>
    <w:rsid w:val="00620D28"/>
    <w:rsid w:val="006210D3"/>
    <w:rsid w:val="0062116A"/>
    <w:rsid w:val="00621A04"/>
    <w:rsid w:val="00622083"/>
    <w:rsid w:val="0062341C"/>
    <w:rsid w:val="00624190"/>
    <w:rsid w:val="0062485B"/>
    <w:rsid w:val="00624E37"/>
    <w:rsid w:val="00624F8F"/>
    <w:rsid w:val="00625483"/>
    <w:rsid w:val="006258FF"/>
    <w:rsid w:val="00626076"/>
    <w:rsid w:val="00626A7C"/>
    <w:rsid w:val="00626DAA"/>
    <w:rsid w:val="00630AF1"/>
    <w:rsid w:val="006313B5"/>
    <w:rsid w:val="00631CA5"/>
    <w:rsid w:val="006328E4"/>
    <w:rsid w:val="00635793"/>
    <w:rsid w:val="006370C1"/>
    <w:rsid w:val="006371FD"/>
    <w:rsid w:val="00640002"/>
    <w:rsid w:val="006407B1"/>
    <w:rsid w:val="00640943"/>
    <w:rsid w:val="0064210C"/>
    <w:rsid w:val="00642BCE"/>
    <w:rsid w:val="00644168"/>
    <w:rsid w:val="00644773"/>
    <w:rsid w:val="00644B8F"/>
    <w:rsid w:val="00646554"/>
    <w:rsid w:val="006473D5"/>
    <w:rsid w:val="00647EBD"/>
    <w:rsid w:val="00647F78"/>
    <w:rsid w:val="0065069F"/>
    <w:rsid w:val="0065094B"/>
    <w:rsid w:val="006521E3"/>
    <w:rsid w:val="0065268F"/>
    <w:rsid w:val="0065309F"/>
    <w:rsid w:val="006530C8"/>
    <w:rsid w:val="0065350D"/>
    <w:rsid w:val="006537AC"/>
    <w:rsid w:val="00653886"/>
    <w:rsid w:val="00654609"/>
    <w:rsid w:val="006553D4"/>
    <w:rsid w:val="006556FD"/>
    <w:rsid w:val="00655893"/>
    <w:rsid w:val="00655C16"/>
    <w:rsid w:val="0066169E"/>
    <w:rsid w:val="00662666"/>
    <w:rsid w:val="00662D0A"/>
    <w:rsid w:val="006633DD"/>
    <w:rsid w:val="0066358D"/>
    <w:rsid w:val="00663E97"/>
    <w:rsid w:val="00664DA8"/>
    <w:rsid w:val="006651AE"/>
    <w:rsid w:val="00665D69"/>
    <w:rsid w:val="006665A3"/>
    <w:rsid w:val="00666B3F"/>
    <w:rsid w:val="00666D86"/>
    <w:rsid w:val="00667599"/>
    <w:rsid w:val="00667EA6"/>
    <w:rsid w:val="00672F6F"/>
    <w:rsid w:val="0067456C"/>
    <w:rsid w:val="00674590"/>
    <w:rsid w:val="00674A9A"/>
    <w:rsid w:val="00674D53"/>
    <w:rsid w:val="00674F3A"/>
    <w:rsid w:val="006752A4"/>
    <w:rsid w:val="00675BBA"/>
    <w:rsid w:val="00675D30"/>
    <w:rsid w:val="006769D6"/>
    <w:rsid w:val="00676E85"/>
    <w:rsid w:val="00677352"/>
    <w:rsid w:val="0067761A"/>
    <w:rsid w:val="00680AA9"/>
    <w:rsid w:val="00680BE0"/>
    <w:rsid w:val="00680F0F"/>
    <w:rsid w:val="0068124E"/>
    <w:rsid w:val="00681FC2"/>
    <w:rsid w:val="00682BEF"/>
    <w:rsid w:val="00683143"/>
    <w:rsid w:val="006836D0"/>
    <w:rsid w:val="00684309"/>
    <w:rsid w:val="00684A39"/>
    <w:rsid w:val="00684D09"/>
    <w:rsid w:val="00685BF2"/>
    <w:rsid w:val="0068777F"/>
    <w:rsid w:val="006878C9"/>
    <w:rsid w:val="006908BC"/>
    <w:rsid w:val="006939FE"/>
    <w:rsid w:val="00693F10"/>
    <w:rsid w:val="0069562A"/>
    <w:rsid w:val="00695D5C"/>
    <w:rsid w:val="00696700"/>
    <w:rsid w:val="00696F89"/>
    <w:rsid w:val="006972B0"/>
    <w:rsid w:val="00697A36"/>
    <w:rsid w:val="00697D9E"/>
    <w:rsid w:val="006A0AFE"/>
    <w:rsid w:val="006A119A"/>
    <w:rsid w:val="006A1850"/>
    <w:rsid w:val="006A1C41"/>
    <w:rsid w:val="006A293A"/>
    <w:rsid w:val="006A2BC4"/>
    <w:rsid w:val="006A4298"/>
    <w:rsid w:val="006A5122"/>
    <w:rsid w:val="006A51D4"/>
    <w:rsid w:val="006A548E"/>
    <w:rsid w:val="006A561C"/>
    <w:rsid w:val="006A5702"/>
    <w:rsid w:val="006B05A6"/>
    <w:rsid w:val="006B2383"/>
    <w:rsid w:val="006B2580"/>
    <w:rsid w:val="006B2B75"/>
    <w:rsid w:val="006B457E"/>
    <w:rsid w:val="006B5301"/>
    <w:rsid w:val="006B5AFC"/>
    <w:rsid w:val="006B72D7"/>
    <w:rsid w:val="006B782C"/>
    <w:rsid w:val="006B7D23"/>
    <w:rsid w:val="006C05C6"/>
    <w:rsid w:val="006C06EA"/>
    <w:rsid w:val="006C0A30"/>
    <w:rsid w:val="006C0E31"/>
    <w:rsid w:val="006C153E"/>
    <w:rsid w:val="006C20A7"/>
    <w:rsid w:val="006C29DC"/>
    <w:rsid w:val="006C2F47"/>
    <w:rsid w:val="006C36EB"/>
    <w:rsid w:val="006C3E97"/>
    <w:rsid w:val="006C4A90"/>
    <w:rsid w:val="006C4BA4"/>
    <w:rsid w:val="006C4C19"/>
    <w:rsid w:val="006C64D3"/>
    <w:rsid w:val="006D023B"/>
    <w:rsid w:val="006D090E"/>
    <w:rsid w:val="006D0D97"/>
    <w:rsid w:val="006D1A7F"/>
    <w:rsid w:val="006D207C"/>
    <w:rsid w:val="006D325A"/>
    <w:rsid w:val="006D32E3"/>
    <w:rsid w:val="006D4A2C"/>
    <w:rsid w:val="006D51EE"/>
    <w:rsid w:val="006D579E"/>
    <w:rsid w:val="006D5A67"/>
    <w:rsid w:val="006D5FE1"/>
    <w:rsid w:val="006D642A"/>
    <w:rsid w:val="006D795F"/>
    <w:rsid w:val="006D7BBD"/>
    <w:rsid w:val="006E184C"/>
    <w:rsid w:val="006E1860"/>
    <w:rsid w:val="006E2849"/>
    <w:rsid w:val="006E37AA"/>
    <w:rsid w:val="006E391F"/>
    <w:rsid w:val="006E4663"/>
    <w:rsid w:val="006E4EA2"/>
    <w:rsid w:val="006E5217"/>
    <w:rsid w:val="006E524C"/>
    <w:rsid w:val="006E53D0"/>
    <w:rsid w:val="006E6725"/>
    <w:rsid w:val="006E693E"/>
    <w:rsid w:val="006F04D4"/>
    <w:rsid w:val="006F10D9"/>
    <w:rsid w:val="006F1BC1"/>
    <w:rsid w:val="006F240C"/>
    <w:rsid w:val="006F2649"/>
    <w:rsid w:val="006F2CB0"/>
    <w:rsid w:val="006F3630"/>
    <w:rsid w:val="006F38AC"/>
    <w:rsid w:val="006F498A"/>
    <w:rsid w:val="006F5448"/>
    <w:rsid w:val="006F6E68"/>
    <w:rsid w:val="006F73D4"/>
    <w:rsid w:val="006F7A51"/>
    <w:rsid w:val="00700607"/>
    <w:rsid w:val="00700BAD"/>
    <w:rsid w:val="00701AE0"/>
    <w:rsid w:val="00702714"/>
    <w:rsid w:val="00703344"/>
    <w:rsid w:val="007034B0"/>
    <w:rsid w:val="007036EA"/>
    <w:rsid w:val="00703933"/>
    <w:rsid w:val="00703CC1"/>
    <w:rsid w:val="00704574"/>
    <w:rsid w:val="007047C3"/>
    <w:rsid w:val="00705CFB"/>
    <w:rsid w:val="007062A8"/>
    <w:rsid w:val="007069F3"/>
    <w:rsid w:val="00706C65"/>
    <w:rsid w:val="00710A83"/>
    <w:rsid w:val="00711814"/>
    <w:rsid w:val="0071212C"/>
    <w:rsid w:val="00713305"/>
    <w:rsid w:val="007133A5"/>
    <w:rsid w:val="00713571"/>
    <w:rsid w:val="00714738"/>
    <w:rsid w:val="007168B6"/>
    <w:rsid w:val="007168ED"/>
    <w:rsid w:val="007179D0"/>
    <w:rsid w:val="00720354"/>
    <w:rsid w:val="007204A5"/>
    <w:rsid w:val="00720A42"/>
    <w:rsid w:val="0072152D"/>
    <w:rsid w:val="00721DD5"/>
    <w:rsid w:val="0072255B"/>
    <w:rsid w:val="0072279C"/>
    <w:rsid w:val="00723F4B"/>
    <w:rsid w:val="007251C2"/>
    <w:rsid w:val="00731D1D"/>
    <w:rsid w:val="0073237A"/>
    <w:rsid w:val="00732480"/>
    <w:rsid w:val="00732A40"/>
    <w:rsid w:val="00732BA8"/>
    <w:rsid w:val="00732BB4"/>
    <w:rsid w:val="00733943"/>
    <w:rsid w:val="00733DB0"/>
    <w:rsid w:val="007357AF"/>
    <w:rsid w:val="00735BE4"/>
    <w:rsid w:val="007365A2"/>
    <w:rsid w:val="0073675E"/>
    <w:rsid w:val="00737904"/>
    <w:rsid w:val="00737B15"/>
    <w:rsid w:val="00737E23"/>
    <w:rsid w:val="007407C4"/>
    <w:rsid w:val="007415EA"/>
    <w:rsid w:val="00741850"/>
    <w:rsid w:val="00741C59"/>
    <w:rsid w:val="00741FF1"/>
    <w:rsid w:val="00742625"/>
    <w:rsid w:val="007435C2"/>
    <w:rsid w:val="00743E8C"/>
    <w:rsid w:val="00743F16"/>
    <w:rsid w:val="0074466D"/>
    <w:rsid w:val="00744CEA"/>
    <w:rsid w:val="00745881"/>
    <w:rsid w:val="00747B72"/>
    <w:rsid w:val="00750134"/>
    <w:rsid w:val="0075088B"/>
    <w:rsid w:val="007518B2"/>
    <w:rsid w:val="00752149"/>
    <w:rsid w:val="00752661"/>
    <w:rsid w:val="00753958"/>
    <w:rsid w:val="00754D22"/>
    <w:rsid w:val="007559EA"/>
    <w:rsid w:val="00755B17"/>
    <w:rsid w:val="00755D2B"/>
    <w:rsid w:val="00756390"/>
    <w:rsid w:val="00756427"/>
    <w:rsid w:val="00756AD7"/>
    <w:rsid w:val="00757A8C"/>
    <w:rsid w:val="00761978"/>
    <w:rsid w:val="00763BF5"/>
    <w:rsid w:val="007641F4"/>
    <w:rsid w:val="0076426D"/>
    <w:rsid w:val="007645F0"/>
    <w:rsid w:val="00764C62"/>
    <w:rsid w:val="00765022"/>
    <w:rsid w:val="007657AC"/>
    <w:rsid w:val="00765C3C"/>
    <w:rsid w:val="0076749F"/>
    <w:rsid w:val="00767DB5"/>
    <w:rsid w:val="00767E3A"/>
    <w:rsid w:val="00772613"/>
    <w:rsid w:val="0077423A"/>
    <w:rsid w:val="0077432E"/>
    <w:rsid w:val="00774609"/>
    <w:rsid w:val="0077533E"/>
    <w:rsid w:val="007755F2"/>
    <w:rsid w:val="0077699D"/>
    <w:rsid w:val="007817CD"/>
    <w:rsid w:val="00781F92"/>
    <w:rsid w:val="00781FD1"/>
    <w:rsid w:val="0078332B"/>
    <w:rsid w:val="00783F9B"/>
    <w:rsid w:val="0078638B"/>
    <w:rsid w:val="00786B8E"/>
    <w:rsid w:val="00787335"/>
    <w:rsid w:val="00790C07"/>
    <w:rsid w:val="00790C4B"/>
    <w:rsid w:val="00791AD5"/>
    <w:rsid w:val="00791E4C"/>
    <w:rsid w:val="00791FA7"/>
    <w:rsid w:val="00792A8F"/>
    <w:rsid w:val="00792FB6"/>
    <w:rsid w:val="007931C4"/>
    <w:rsid w:val="007937AE"/>
    <w:rsid w:val="007944FA"/>
    <w:rsid w:val="0079592B"/>
    <w:rsid w:val="00795957"/>
    <w:rsid w:val="00796CAA"/>
    <w:rsid w:val="00796FE9"/>
    <w:rsid w:val="007970DA"/>
    <w:rsid w:val="00797A43"/>
    <w:rsid w:val="007A03AD"/>
    <w:rsid w:val="007A15D0"/>
    <w:rsid w:val="007A211C"/>
    <w:rsid w:val="007A24C0"/>
    <w:rsid w:val="007A2AD1"/>
    <w:rsid w:val="007A2CEE"/>
    <w:rsid w:val="007A30DC"/>
    <w:rsid w:val="007A3BF6"/>
    <w:rsid w:val="007A465B"/>
    <w:rsid w:val="007A49A7"/>
    <w:rsid w:val="007A5BCB"/>
    <w:rsid w:val="007A6608"/>
    <w:rsid w:val="007A719A"/>
    <w:rsid w:val="007A7BDE"/>
    <w:rsid w:val="007B06B8"/>
    <w:rsid w:val="007B0CAA"/>
    <w:rsid w:val="007B3918"/>
    <w:rsid w:val="007B3B06"/>
    <w:rsid w:val="007B4B7C"/>
    <w:rsid w:val="007B518B"/>
    <w:rsid w:val="007B5BE8"/>
    <w:rsid w:val="007B71EE"/>
    <w:rsid w:val="007B7705"/>
    <w:rsid w:val="007C04E9"/>
    <w:rsid w:val="007C097F"/>
    <w:rsid w:val="007C14F7"/>
    <w:rsid w:val="007C1770"/>
    <w:rsid w:val="007C1F95"/>
    <w:rsid w:val="007C2047"/>
    <w:rsid w:val="007C25FC"/>
    <w:rsid w:val="007C29E9"/>
    <w:rsid w:val="007C3DB7"/>
    <w:rsid w:val="007C4AD1"/>
    <w:rsid w:val="007C55EE"/>
    <w:rsid w:val="007C5D1C"/>
    <w:rsid w:val="007C5DDD"/>
    <w:rsid w:val="007C61E1"/>
    <w:rsid w:val="007C63A4"/>
    <w:rsid w:val="007C6517"/>
    <w:rsid w:val="007C6A4A"/>
    <w:rsid w:val="007C6C12"/>
    <w:rsid w:val="007C7327"/>
    <w:rsid w:val="007C75DB"/>
    <w:rsid w:val="007D0B35"/>
    <w:rsid w:val="007D1398"/>
    <w:rsid w:val="007D1531"/>
    <w:rsid w:val="007D1F33"/>
    <w:rsid w:val="007D2A66"/>
    <w:rsid w:val="007D3BB1"/>
    <w:rsid w:val="007D3C3F"/>
    <w:rsid w:val="007D400B"/>
    <w:rsid w:val="007D4AB8"/>
    <w:rsid w:val="007D609F"/>
    <w:rsid w:val="007D636D"/>
    <w:rsid w:val="007D674D"/>
    <w:rsid w:val="007D6AD2"/>
    <w:rsid w:val="007D6BF9"/>
    <w:rsid w:val="007D709F"/>
    <w:rsid w:val="007E077C"/>
    <w:rsid w:val="007E14F9"/>
    <w:rsid w:val="007E15D4"/>
    <w:rsid w:val="007E1755"/>
    <w:rsid w:val="007E184C"/>
    <w:rsid w:val="007E2130"/>
    <w:rsid w:val="007E3312"/>
    <w:rsid w:val="007E3654"/>
    <w:rsid w:val="007E75FA"/>
    <w:rsid w:val="007E7D40"/>
    <w:rsid w:val="007F0232"/>
    <w:rsid w:val="007F066F"/>
    <w:rsid w:val="007F355A"/>
    <w:rsid w:val="007F35AA"/>
    <w:rsid w:val="007F39C2"/>
    <w:rsid w:val="007F5A30"/>
    <w:rsid w:val="007F5EA8"/>
    <w:rsid w:val="007F6413"/>
    <w:rsid w:val="008000B1"/>
    <w:rsid w:val="008016F8"/>
    <w:rsid w:val="008017AA"/>
    <w:rsid w:val="00802B62"/>
    <w:rsid w:val="0080304B"/>
    <w:rsid w:val="00803C9E"/>
    <w:rsid w:val="008044D4"/>
    <w:rsid w:val="008047CE"/>
    <w:rsid w:val="008048D9"/>
    <w:rsid w:val="00804CFF"/>
    <w:rsid w:val="008050D8"/>
    <w:rsid w:val="0080747D"/>
    <w:rsid w:val="00810902"/>
    <w:rsid w:val="008118AF"/>
    <w:rsid w:val="00811B5E"/>
    <w:rsid w:val="00811BD9"/>
    <w:rsid w:val="00811D91"/>
    <w:rsid w:val="008122F7"/>
    <w:rsid w:val="0081230E"/>
    <w:rsid w:val="00812D0E"/>
    <w:rsid w:val="00813AB4"/>
    <w:rsid w:val="00814659"/>
    <w:rsid w:val="00814D6F"/>
    <w:rsid w:val="0081584E"/>
    <w:rsid w:val="008159EB"/>
    <w:rsid w:val="008165BC"/>
    <w:rsid w:val="0081749D"/>
    <w:rsid w:val="00817FE3"/>
    <w:rsid w:val="00821439"/>
    <w:rsid w:val="0082162A"/>
    <w:rsid w:val="00821C53"/>
    <w:rsid w:val="00822FE5"/>
    <w:rsid w:val="00823598"/>
    <w:rsid w:val="00823B3B"/>
    <w:rsid w:val="00823BED"/>
    <w:rsid w:val="00823EED"/>
    <w:rsid w:val="00824152"/>
    <w:rsid w:val="00824156"/>
    <w:rsid w:val="008251E6"/>
    <w:rsid w:val="008257D6"/>
    <w:rsid w:val="008306AE"/>
    <w:rsid w:val="00830827"/>
    <w:rsid w:val="0083152F"/>
    <w:rsid w:val="008318C4"/>
    <w:rsid w:val="008318EE"/>
    <w:rsid w:val="00832951"/>
    <w:rsid w:val="00833592"/>
    <w:rsid w:val="00833CD0"/>
    <w:rsid w:val="00833FBB"/>
    <w:rsid w:val="00834427"/>
    <w:rsid w:val="008346E2"/>
    <w:rsid w:val="00834AEC"/>
    <w:rsid w:val="008350C0"/>
    <w:rsid w:val="00835571"/>
    <w:rsid w:val="00836649"/>
    <w:rsid w:val="00836996"/>
    <w:rsid w:val="00837275"/>
    <w:rsid w:val="00841004"/>
    <w:rsid w:val="008412C2"/>
    <w:rsid w:val="008412D6"/>
    <w:rsid w:val="008412D7"/>
    <w:rsid w:val="00841E3A"/>
    <w:rsid w:val="00841F1D"/>
    <w:rsid w:val="00842775"/>
    <w:rsid w:val="008442B7"/>
    <w:rsid w:val="00844A00"/>
    <w:rsid w:val="00844CB4"/>
    <w:rsid w:val="00845174"/>
    <w:rsid w:val="00845636"/>
    <w:rsid w:val="00846874"/>
    <w:rsid w:val="0085018C"/>
    <w:rsid w:val="008508EC"/>
    <w:rsid w:val="00850C3B"/>
    <w:rsid w:val="00850DF4"/>
    <w:rsid w:val="008516EA"/>
    <w:rsid w:val="00852292"/>
    <w:rsid w:val="00852432"/>
    <w:rsid w:val="008526D1"/>
    <w:rsid w:val="00853085"/>
    <w:rsid w:val="00853568"/>
    <w:rsid w:val="00855012"/>
    <w:rsid w:val="00855302"/>
    <w:rsid w:val="00856F02"/>
    <w:rsid w:val="0086035C"/>
    <w:rsid w:val="00860373"/>
    <w:rsid w:val="00860967"/>
    <w:rsid w:val="008624FA"/>
    <w:rsid w:val="0086389E"/>
    <w:rsid w:val="008669E8"/>
    <w:rsid w:val="00866AD4"/>
    <w:rsid w:val="00866C7B"/>
    <w:rsid w:val="00867967"/>
    <w:rsid w:val="00867C0A"/>
    <w:rsid w:val="008708ED"/>
    <w:rsid w:val="00870C62"/>
    <w:rsid w:val="00870C74"/>
    <w:rsid w:val="008712C4"/>
    <w:rsid w:val="00871704"/>
    <w:rsid w:val="0087189A"/>
    <w:rsid w:val="008725E1"/>
    <w:rsid w:val="00872601"/>
    <w:rsid w:val="0087411E"/>
    <w:rsid w:val="0087415B"/>
    <w:rsid w:val="00874F47"/>
    <w:rsid w:val="008750DB"/>
    <w:rsid w:val="00875271"/>
    <w:rsid w:val="00875A6D"/>
    <w:rsid w:val="00876654"/>
    <w:rsid w:val="00877345"/>
    <w:rsid w:val="0087782B"/>
    <w:rsid w:val="00881920"/>
    <w:rsid w:val="00882452"/>
    <w:rsid w:val="0088329D"/>
    <w:rsid w:val="0088361C"/>
    <w:rsid w:val="0088389A"/>
    <w:rsid w:val="00887F85"/>
    <w:rsid w:val="0089052D"/>
    <w:rsid w:val="008906E6"/>
    <w:rsid w:val="00890D52"/>
    <w:rsid w:val="00890F77"/>
    <w:rsid w:val="008915C9"/>
    <w:rsid w:val="00892B35"/>
    <w:rsid w:val="0089318F"/>
    <w:rsid w:val="00893E84"/>
    <w:rsid w:val="0089616A"/>
    <w:rsid w:val="0089628E"/>
    <w:rsid w:val="00896F4E"/>
    <w:rsid w:val="00897597"/>
    <w:rsid w:val="008A0B50"/>
    <w:rsid w:val="008A1ECC"/>
    <w:rsid w:val="008A20C1"/>
    <w:rsid w:val="008A287C"/>
    <w:rsid w:val="008A4072"/>
    <w:rsid w:val="008A41C3"/>
    <w:rsid w:val="008A560A"/>
    <w:rsid w:val="008A61F2"/>
    <w:rsid w:val="008A74B5"/>
    <w:rsid w:val="008A7B13"/>
    <w:rsid w:val="008B0B98"/>
    <w:rsid w:val="008B186E"/>
    <w:rsid w:val="008B2523"/>
    <w:rsid w:val="008B3B3F"/>
    <w:rsid w:val="008B441C"/>
    <w:rsid w:val="008B4AA9"/>
    <w:rsid w:val="008B5D70"/>
    <w:rsid w:val="008B5E51"/>
    <w:rsid w:val="008B60B9"/>
    <w:rsid w:val="008B64CC"/>
    <w:rsid w:val="008B68A6"/>
    <w:rsid w:val="008C1325"/>
    <w:rsid w:val="008C1791"/>
    <w:rsid w:val="008C3B02"/>
    <w:rsid w:val="008C3C1B"/>
    <w:rsid w:val="008C3C80"/>
    <w:rsid w:val="008C58F9"/>
    <w:rsid w:val="008C6CAE"/>
    <w:rsid w:val="008C7316"/>
    <w:rsid w:val="008C7B1D"/>
    <w:rsid w:val="008C7D3E"/>
    <w:rsid w:val="008D0711"/>
    <w:rsid w:val="008D0C66"/>
    <w:rsid w:val="008D0C84"/>
    <w:rsid w:val="008D0EAA"/>
    <w:rsid w:val="008D0F3E"/>
    <w:rsid w:val="008D16FD"/>
    <w:rsid w:val="008D221C"/>
    <w:rsid w:val="008D26CE"/>
    <w:rsid w:val="008D3328"/>
    <w:rsid w:val="008D52BE"/>
    <w:rsid w:val="008D71D0"/>
    <w:rsid w:val="008D7F62"/>
    <w:rsid w:val="008E00BC"/>
    <w:rsid w:val="008E07AD"/>
    <w:rsid w:val="008E0D61"/>
    <w:rsid w:val="008E13AD"/>
    <w:rsid w:val="008E433B"/>
    <w:rsid w:val="008E435A"/>
    <w:rsid w:val="008E57A9"/>
    <w:rsid w:val="008E624F"/>
    <w:rsid w:val="008E6BEC"/>
    <w:rsid w:val="008E6CA9"/>
    <w:rsid w:val="008E6D76"/>
    <w:rsid w:val="008E7168"/>
    <w:rsid w:val="008E7CBF"/>
    <w:rsid w:val="008F0197"/>
    <w:rsid w:val="008F0617"/>
    <w:rsid w:val="008F0807"/>
    <w:rsid w:val="008F2742"/>
    <w:rsid w:val="008F299F"/>
    <w:rsid w:val="008F372F"/>
    <w:rsid w:val="008F4BA3"/>
    <w:rsid w:val="008F4E6D"/>
    <w:rsid w:val="008F556E"/>
    <w:rsid w:val="008F6DAF"/>
    <w:rsid w:val="008F6EDD"/>
    <w:rsid w:val="008F7123"/>
    <w:rsid w:val="008F74C6"/>
    <w:rsid w:val="008F769E"/>
    <w:rsid w:val="008F7FBD"/>
    <w:rsid w:val="0090073E"/>
    <w:rsid w:val="00901E4E"/>
    <w:rsid w:val="00904271"/>
    <w:rsid w:val="009043B6"/>
    <w:rsid w:val="00904742"/>
    <w:rsid w:val="00904815"/>
    <w:rsid w:val="0090497E"/>
    <w:rsid w:val="009050A2"/>
    <w:rsid w:val="00907FA7"/>
    <w:rsid w:val="00910B78"/>
    <w:rsid w:val="00911C72"/>
    <w:rsid w:val="00911D6F"/>
    <w:rsid w:val="00912793"/>
    <w:rsid w:val="009127FB"/>
    <w:rsid w:val="00913FC2"/>
    <w:rsid w:val="00914528"/>
    <w:rsid w:val="009146A1"/>
    <w:rsid w:val="0091474B"/>
    <w:rsid w:val="0091610A"/>
    <w:rsid w:val="009166F6"/>
    <w:rsid w:val="00916D24"/>
    <w:rsid w:val="00916F02"/>
    <w:rsid w:val="009172C8"/>
    <w:rsid w:val="009204BD"/>
    <w:rsid w:val="00920BDD"/>
    <w:rsid w:val="00920C1F"/>
    <w:rsid w:val="00922064"/>
    <w:rsid w:val="00922BC5"/>
    <w:rsid w:val="00922E2C"/>
    <w:rsid w:val="00922F50"/>
    <w:rsid w:val="009234FD"/>
    <w:rsid w:val="00923FB2"/>
    <w:rsid w:val="009250C3"/>
    <w:rsid w:val="00926892"/>
    <w:rsid w:val="00926D14"/>
    <w:rsid w:val="00927A89"/>
    <w:rsid w:val="00931D9B"/>
    <w:rsid w:val="00932374"/>
    <w:rsid w:val="0093284C"/>
    <w:rsid w:val="00934005"/>
    <w:rsid w:val="00934718"/>
    <w:rsid w:val="00935E0E"/>
    <w:rsid w:val="009360B3"/>
    <w:rsid w:val="0093670A"/>
    <w:rsid w:val="009403BA"/>
    <w:rsid w:val="009415AF"/>
    <w:rsid w:val="009421BB"/>
    <w:rsid w:val="009427C7"/>
    <w:rsid w:val="00943076"/>
    <w:rsid w:val="00945649"/>
    <w:rsid w:val="0094584F"/>
    <w:rsid w:val="00945979"/>
    <w:rsid w:val="00945B65"/>
    <w:rsid w:val="00946128"/>
    <w:rsid w:val="00946A1B"/>
    <w:rsid w:val="009473CD"/>
    <w:rsid w:val="00947F6C"/>
    <w:rsid w:val="00950857"/>
    <w:rsid w:val="00950C52"/>
    <w:rsid w:val="00950DC6"/>
    <w:rsid w:val="00951856"/>
    <w:rsid w:val="00951ABA"/>
    <w:rsid w:val="00951F8A"/>
    <w:rsid w:val="0095228E"/>
    <w:rsid w:val="0095281D"/>
    <w:rsid w:val="00954339"/>
    <w:rsid w:val="00954861"/>
    <w:rsid w:val="0095489B"/>
    <w:rsid w:val="00954947"/>
    <w:rsid w:val="00954D82"/>
    <w:rsid w:val="00955062"/>
    <w:rsid w:val="009555A6"/>
    <w:rsid w:val="00955816"/>
    <w:rsid w:val="00956422"/>
    <w:rsid w:val="00957245"/>
    <w:rsid w:val="0095747F"/>
    <w:rsid w:val="00957A7D"/>
    <w:rsid w:val="00957DC1"/>
    <w:rsid w:val="00957E1E"/>
    <w:rsid w:val="009601AD"/>
    <w:rsid w:val="0096023B"/>
    <w:rsid w:val="00961391"/>
    <w:rsid w:val="00962324"/>
    <w:rsid w:val="009631A3"/>
    <w:rsid w:val="00964029"/>
    <w:rsid w:val="0096410E"/>
    <w:rsid w:val="00965308"/>
    <w:rsid w:val="0096554C"/>
    <w:rsid w:val="009656CA"/>
    <w:rsid w:val="00965BEB"/>
    <w:rsid w:val="009668FC"/>
    <w:rsid w:val="009673E0"/>
    <w:rsid w:val="00967794"/>
    <w:rsid w:val="00967AB5"/>
    <w:rsid w:val="00967C1D"/>
    <w:rsid w:val="00967E89"/>
    <w:rsid w:val="00970229"/>
    <w:rsid w:val="009703E8"/>
    <w:rsid w:val="00970F1C"/>
    <w:rsid w:val="00971D5C"/>
    <w:rsid w:val="0097251D"/>
    <w:rsid w:val="00972629"/>
    <w:rsid w:val="00972F0C"/>
    <w:rsid w:val="00973629"/>
    <w:rsid w:val="00973887"/>
    <w:rsid w:val="00973EA8"/>
    <w:rsid w:val="009745B6"/>
    <w:rsid w:val="009745B9"/>
    <w:rsid w:val="00974C2C"/>
    <w:rsid w:val="00975108"/>
    <w:rsid w:val="00975B61"/>
    <w:rsid w:val="00977270"/>
    <w:rsid w:val="00980521"/>
    <w:rsid w:val="00980EF3"/>
    <w:rsid w:val="00980F85"/>
    <w:rsid w:val="0098243B"/>
    <w:rsid w:val="00982536"/>
    <w:rsid w:val="00985626"/>
    <w:rsid w:val="009861A1"/>
    <w:rsid w:val="009861AB"/>
    <w:rsid w:val="00986E67"/>
    <w:rsid w:val="00986F03"/>
    <w:rsid w:val="00987A03"/>
    <w:rsid w:val="00990D5F"/>
    <w:rsid w:val="009913CD"/>
    <w:rsid w:val="009915AF"/>
    <w:rsid w:val="00991E13"/>
    <w:rsid w:val="00993121"/>
    <w:rsid w:val="0099352B"/>
    <w:rsid w:val="00994E63"/>
    <w:rsid w:val="00995F9A"/>
    <w:rsid w:val="00997534"/>
    <w:rsid w:val="0099756B"/>
    <w:rsid w:val="0099758F"/>
    <w:rsid w:val="00997708"/>
    <w:rsid w:val="009A10EA"/>
    <w:rsid w:val="009A254E"/>
    <w:rsid w:val="009A2768"/>
    <w:rsid w:val="009A2ED8"/>
    <w:rsid w:val="009A324C"/>
    <w:rsid w:val="009A3691"/>
    <w:rsid w:val="009A3A21"/>
    <w:rsid w:val="009A49E6"/>
    <w:rsid w:val="009A53BC"/>
    <w:rsid w:val="009A58A0"/>
    <w:rsid w:val="009A5F97"/>
    <w:rsid w:val="009A7CE3"/>
    <w:rsid w:val="009B0D0E"/>
    <w:rsid w:val="009B11DC"/>
    <w:rsid w:val="009B3725"/>
    <w:rsid w:val="009B48C1"/>
    <w:rsid w:val="009B518F"/>
    <w:rsid w:val="009B52CE"/>
    <w:rsid w:val="009B554E"/>
    <w:rsid w:val="009B5894"/>
    <w:rsid w:val="009B594D"/>
    <w:rsid w:val="009B618B"/>
    <w:rsid w:val="009B65B9"/>
    <w:rsid w:val="009B6C6B"/>
    <w:rsid w:val="009B79D6"/>
    <w:rsid w:val="009B7D10"/>
    <w:rsid w:val="009C06CA"/>
    <w:rsid w:val="009C1024"/>
    <w:rsid w:val="009C1127"/>
    <w:rsid w:val="009C13CC"/>
    <w:rsid w:val="009C1B6D"/>
    <w:rsid w:val="009C284A"/>
    <w:rsid w:val="009C3172"/>
    <w:rsid w:val="009C37C1"/>
    <w:rsid w:val="009C3D3D"/>
    <w:rsid w:val="009C4D9E"/>
    <w:rsid w:val="009C53EA"/>
    <w:rsid w:val="009C587C"/>
    <w:rsid w:val="009C66AA"/>
    <w:rsid w:val="009C74FC"/>
    <w:rsid w:val="009C76A4"/>
    <w:rsid w:val="009D06AB"/>
    <w:rsid w:val="009D1258"/>
    <w:rsid w:val="009D1366"/>
    <w:rsid w:val="009D1DF6"/>
    <w:rsid w:val="009D1FAC"/>
    <w:rsid w:val="009D2520"/>
    <w:rsid w:val="009D37B8"/>
    <w:rsid w:val="009D3968"/>
    <w:rsid w:val="009D3F55"/>
    <w:rsid w:val="009D4FC9"/>
    <w:rsid w:val="009D55AE"/>
    <w:rsid w:val="009D587B"/>
    <w:rsid w:val="009D5C11"/>
    <w:rsid w:val="009D65DA"/>
    <w:rsid w:val="009D6FA6"/>
    <w:rsid w:val="009D6FB5"/>
    <w:rsid w:val="009D71AE"/>
    <w:rsid w:val="009D750F"/>
    <w:rsid w:val="009D7D5A"/>
    <w:rsid w:val="009E072F"/>
    <w:rsid w:val="009E07E3"/>
    <w:rsid w:val="009E0F9E"/>
    <w:rsid w:val="009E14A9"/>
    <w:rsid w:val="009E1CA6"/>
    <w:rsid w:val="009E1E44"/>
    <w:rsid w:val="009E2007"/>
    <w:rsid w:val="009E44CF"/>
    <w:rsid w:val="009E479E"/>
    <w:rsid w:val="009E5DF3"/>
    <w:rsid w:val="009E6B1C"/>
    <w:rsid w:val="009E6E18"/>
    <w:rsid w:val="009F02B6"/>
    <w:rsid w:val="009F064F"/>
    <w:rsid w:val="009F1D19"/>
    <w:rsid w:val="009F294A"/>
    <w:rsid w:val="009F313D"/>
    <w:rsid w:val="009F327C"/>
    <w:rsid w:val="009F3F49"/>
    <w:rsid w:val="009F4FDC"/>
    <w:rsid w:val="009F5A47"/>
    <w:rsid w:val="009F601B"/>
    <w:rsid w:val="009F6614"/>
    <w:rsid w:val="009F75F9"/>
    <w:rsid w:val="009F7FB4"/>
    <w:rsid w:val="00A0000A"/>
    <w:rsid w:val="00A00DDD"/>
    <w:rsid w:val="00A00E82"/>
    <w:rsid w:val="00A011DF"/>
    <w:rsid w:val="00A0149C"/>
    <w:rsid w:val="00A0167C"/>
    <w:rsid w:val="00A0249B"/>
    <w:rsid w:val="00A025F9"/>
    <w:rsid w:val="00A02B3F"/>
    <w:rsid w:val="00A02C63"/>
    <w:rsid w:val="00A03570"/>
    <w:rsid w:val="00A03580"/>
    <w:rsid w:val="00A03EFB"/>
    <w:rsid w:val="00A045CD"/>
    <w:rsid w:val="00A04BC0"/>
    <w:rsid w:val="00A05272"/>
    <w:rsid w:val="00A06010"/>
    <w:rsid w:val="00A105B4"/>
    <w:rsid w:val="00A10944"/>
    <w:rsid w:val="00A111A8"/>
    <w:rsid w:val="00A11546"/>
    <w:rsid w:val="00A11C68"/>
    <w:rsid w:val="00A1272B"/>
    <w:rsid w:val="00A128B5"/>
    <w:rsid w:val="00A1322E"/>
    <w:rsid w:val="00A13BAB"/>
    <w:rsid w:val="00A140D0"/>
    <w:rsid w:val="00A150C2"/>
    <w:rsid w:val="00A15519"/>
    <w:rsid w:val="00A1626F"/>
    <w:rsid w:val="00A164C0"/>
    <w:rsid w:val="00A1650C"/>
    <w:rsid w:val="00A172EE"/>
    <w:rsid w:val="00A17C3F"/>
    <w:rsid w:val="00A202E1"/>
    <w:rsid w:val="00A20359"/>
    <w:rsid w:val="00A20A36"/>
    <w:rsid w:val="00A234E2"/>
    <w:rsid w:val="00A237B5"/>
    <w:rsid w:val="00A2463E"/>
    <w:rsid w:val="00A24716"/>
    <w:rsid w:val="00A25163"/>
    <w:rsid w:val="00A25949"/>
    <w:rsid w:val="00A26186"/>
    <w:rsid w:val="00A2730E"/>
    <w:rsid w:val="00A27532"/>
    <w:rsid w:val="00A30409"/>
    <w:rsid w:val="00A30699"/>
    <w:rsid w:val="00A3156B"/>
    <w:rsid w:val="00A31C17"/>
    <w:rsid w:val="00A32B9D"/>
    <w:rsid w:val="00A32C22"/>
    <w:rsid w:val="00A32CF2"/>
    <w:rsid w:val="00A33168"/>
    <w:rsid w:val="00A34675"/>
    <w:rsid w:val="00A347C4"/>
    <w:rsid w:val="00A349AC"/>
    <w:rsid w:val="00A35F50"/>
    <w:rsid w:val="00A35FF5"/>
    <w:rsid w:val="00A370C4"/>
    <w:rsid w:val="00A408E7"/>
    <w:rsid w:val="00A42505"/>
    <w:rsid w:val="00A43E5B"/>
    <w:rsid w:val="00A44FFE"/>
    <w:rsid w:val="00A466CE"/>
    <w:rsid w:val="00A46979"/>
    <w:rsid w:val="00A46A5D"/>
    <w:rsid w:val="00A46DDC"/>
    <w:rsid w:val="00A47562"/>
    <w:rsid w:val="00A50072"/>
    <w:rsid w:val="00A507D9"/>
    <w:rsid w:val="00A50A25"/>
    <w:rsid w:val="00A510BE"/>
    <w:rsid w:val="00A53E79"/>
    <w:rsid w:val="00A540E3"/>
    <w:rsid w:val="00A547A5"/>
    <w:rsid w:val="00A54D48"/>
    <w:rsid w:val="00A54DAF"/>
    <w:rsid w:val="00A5572F"/>
    <w:rsid w:val="00A56177"/>
    <w:rsid w:val="00A56267"/>
    <w:rsid w:val="00A57027"/>
    <w:rsid w:val="00A5737B"/>
    <w:rsid w:val="00A57498"/>
    <w:rsid w:val="00A57A95"/>
    <w:rsid w:val="00A6013E"/>
    <w:rsid w:val="00A6037B"/>
    <w:rsid w:val="00A60696"/>
    <w:rsid w:val="00A61D6E"/>
    <w:rsid w:val="00A6242C"/>
    <w:rsid w:val="00A62CB1"/>
    <w:rsid w:val="00A62F09"/>
    <w:rsid w:val="00A63382"/>
    <w:rsid w:val="00A6345F"/>
    <w:rsid w:val="00A63B0B"/>
    <w:rsid w:val="00A64362"/>
    <w:rsid w:val="00A668C9"/>
    <w:rsid w:val="00A675E1"/>
    <w:rsid w:val="00A67BFF"/>
    <w:rsid w:val="00A711FF"/>
    <w:rsid w:val="00A71E64"/>
    <w:rsid w:val="00A71E8C"/>
    <w:rsid w:val="00A72675"/>
    <w:rsid w:val="00A73B34"/>
    <w:rsid w:val="00A74A0D"/>
    <w:rsid w:val="00A74E36"/>
    <w:rsid w:val="00A752B0"/>
    <w:rsid w:val="00A75F7A"/>
    <w:rsid w:val="00A763E9"/>
    <w:rsid w:val="00A771D7"/>
    <w:rsid w:val="00A779D0"/>
    <w:rsid w:val="00A77D52"/>
    <w:rsid w:val="00A80A17"/>
    <w:rsid w:val="00A80DBE"/>
    <w:rsid w:val="00A822EE"/>
    <w:rsid w:val="00A841EF"/>
    <w:rsid w:val="00A8497C"/>
    <w:rsid w:val="00A85E1C"/>
    <w:rsid w:val="00A86762"/>
    <w:rsid w:val="00A90125"/>
    <w:rsid w:val="00A902D2"/>
    <w:rsid w:val="00A90E30"/>
    <w:rsid w:val="00A92490"/>
    <w:rsid w:val="00A92896"/>
    <w:rsid w:val="00A92ACE"/>
    <w:rsid w:val="00A9309A"/>
    <w:rsid w:val="00A93BF8"/>
    <w:rsid w:val="00A941B8"/>
    <w:rsid w:val="00A945FD"/>
    <w:rsid w:val="00A95399"/>
    <w:rsid w:val="00A95890"/>
    <w:rsid w:val="00A965A1"/>
    <w:rsid w:val="00A9725E"/>
    <w:rsid w:val="00A97B05"/>
    <w:rsid w:val="00A97BB8"/>
    <w:rsid w:val="00A97F6D"/>
    <w:rsid w:val="00AA04A4"/>
    <w:rsid w:val="00AA08FD"/>
    <w:rsid w:val="00AA3479"/>
    <w:rsid w:val="00AA3638"/>
    <w:rsid w:val="00AA3893"/>
    <w:rsid w:val="00AA39A9"/>
    <w:rsid w:val="00AA45FB"/>
    <w:rsid w:val="00AA54A4"/>
    <w:rsid w:val="00AA570B"/>
    <w:rsid w:val="00AA5F7D"/>
    <w:rsid w:val="00AA622A"/>
    <w:rsid w:val="00AA6AA1"/>
    <w:rsid w:val="00AA72BD"/>
    <w:rsid w:val="00AA7A22"/>
    <w:rsid w:val="00AB01FD"/>
    <w:rsid w:val="00AB0AD5"/>
    <w:rsid w:val="00AB0EBD"/>
    <w:rsid w:val="00AB3AE9"/>
    <w:rsid w:val="00AB3C75"/>
    <w:rsid w:val="00AB44CA"/>
    <w:rsid w:val="00AB4F10"/>
    <w:rsid w:val="00AB51D5"/>
    <w:rsid w:val="00AB5CFE"/>
    <w:rsid w:val="00AB7A94"/>
    <w:rsid w:val="00AC02DB"/>
    <w:rsid w:val="00AC058B"/>
    <w:rsid w:val="00AC1750"/>
    <w:rsid w:val="00AC2A06"/>
    <w:rsid w:val="00AC2E24"/>
    <w:rsid w:val="00AC303E"/>
    <w:rsid w:val="00AC3840"/>
    <w:rsid w:val="00AC38BB"/>
    <w:rsid w:val="00AC4144"/>
    <w:rsid w:val="00AC5544"/>
    <w:rsid w:val="00AC56E7"/>
    <w:rsid w:val="00AC6CE9"/>
    <w:rsid w:val="00AC7345"/>
    <w:rsid w:val="00AC7365"/>
    <w:rsid w:val="00AC7B56"/>
    <w:rsid w:val="00AD06C6"/>
    <w:rsid w:val="00AD082A"/>
    <w:rsid w:val="00AD0932"/>
    <w:rsid w:val="00AD1C5D"/>
    <w:rsid w:val="00AD274E"/>
    <w:rsid w:val="00AD2808"/>
    <w:rsid w:val="00AD291E"/>
    <w:rsid w:val="00AD2CBF"/>
    <w:rsid w:val="00AD3A89"/>
    <w:rsid w:val="00AD3E0D"/>
    <w:rsid w:val="00AD555C"/>
    <w:rsid w:val="00AD5F4C"/>
    <w:rsid w:val="00AD7298"/>
    <w:rsid w:val="00AD76BB"/>
    <w:rsid w:val="00AE0888"/>
    <w:rsid w:val="00AE0D90"/>
    <w:rsid w:val="00AE1145"/>
    <w:rsid w:val="00AE21E7"/>
    <w:rsid w:val="00AE40F9"/>
    <w:rsid w:val="00AE4DBA"/>
    <w:rsid w:val="00AE5C76"/>
    <w:rsid w:val="00AE76AF"/>
    <w:rsid w:val="00AF01D8"/>
    <w:rsid w:val="00AF15D6"/>
    <w:rsid w:val="00AF1C34"/>
    <w:rsid w:val="00AF1C88"/>
    <w:rsid w:val="00AF20F9"/>
    <w:rsid w:val="00AF226E"/>
    <w:rsid w:val="00AF3185"/>
    <w:rsid w:val="00AF3439"/>
    <w:rsid w:val="00AF3F19"/>
    <w:rsid w:val="00AF43E5"/>
    <w:rsid w:val="00AF5029"/>
    <w:rsid w:val="00AF6522"/>
    <w:rsid w:val="00AF6FAB"/>
    <w:rsid w:val="00AF7107"/>
    <w:rsid w:val="00AF7277"/>
    <w:rsid w:val="00AF76F4"/>
    <w:rsid w:val="00AF7D5A"/>
    <w:rsid w:val="00B00078"/>
    <w:rsid w:val="00B001D0"/>
    <w:rsid w:val="00B0037A"/>
    <w:rsid w:val="00B010EE"/>
    <w:rsid w:val="00B0128F"/>
    <w:rsid w:val="00B0152F"/>
    <w:rsid w:val="00B0154B"/>
    <w:rsid w:val="00B0168D"/>
    <w:rsid w:val="00B019BA"/>
    <w:rsid w:val="00B01ED9"/>
    <w:rsid w:val="00B032CC"/>
    <w:rsid w:val="00B041EF"/>
    <w:rsid w:val="00B04593"/>
    <w:rsid w:val="00B04C89"/>
    <w:rsid w:val="00B05208"/>
    <w:rsid w:val="00B053D1"/>
    <w:rsid w:val="00B053EC"/>
    <w:rsid w:val="00B0675E"/>
    <w:rsid w:val="00B07539"/>
    <w:rsid w:val="00B07B82"/>
    <w:rsid w:val="00B105EE"/>
    <w:rsid w:val="00B10C7B"/>
    <w:rsid w:val="00B10F85"/>
    <w:rsid w:val="00B12DE7"/>
    <w:rsid w:val="00B13671"/>
    <w:rsid w:val="00B137ED"/>
    <w:rsid w:val="00B14025"/>
    <w:rsid w:val="00B1461B"/>
    <w:rsid w:val="00B147D8"/>
    <w:rsid w:val="00B156EE"/>
    <w:rsid w:val="00B15946"/>
    <w:rsid w:val="00B20535"/>
    <w:rsid w:val="00B2062F"/>
    <w:rsid w:val="00B2144F"/>
    <w:rsid w:val="00B21EB2"/>
    <w:rsid w:val="00B220D9"/>
    <w:rsid w:val="00B22251"/>
    <w:rsid w:val="00B2232F"/>
    <w:rsid w:val="00B22987"/>
    <w:rsid w:val="00B22CE5"/>
    <w:rsid w:val="00B22FE8"/>
    <w:rsid w:val="00B244A6"/>
    <w:rsid w:val="00B245B2"/>
    <w:rsid w:val="00B253A9"/>
    <w:rsid w:val="00B25E8D"/>
    <w:rsid w:val="00B30E91"/>
    <w:rsid w:val="00B31794"/>
    <w:rsid w:val="00B31989"/>
    <w:rsid w:val="00B31BCE"/>
    <w:rsid w:val="00B3269F"/>
    <w:rsid w:val="00B33164"/>
    <w:rsid w:val="00B33244"/>
    <w:rsid w:val="00B33639"/>
    <w:rsid w:val="00B3385F"/>
    <w:rsid w:val="00B34E34"/>
    <w:rsid w:val="00B35079"/>
    <w:rsid w:val="00B35792"/>
    <w:rsid w:val="00B35A27"/>
    <w:rsid w:val="00B35D95"/>
    <w:rsid w:val="00B35E2D"/>
    <w:rsid w:val="00B3603D"/>
    <w:rsid w:val="00B36290"/>
    <w:rsid w:val="00B37A8C"/>
    <w:rsid w:val="00B40387"/>
    <w:rsid w:val="00B405B3"/>
    <w:rsid w:val="00B41AD8"/>
    <w:rsid w:val="00B41AF7"/>
    <w:rsid w:val="00B41FD3"/>
    <w:rsid w:val="00B423F0"/>
    <w:rsid w:val="00B42877"/>
    <w:rsid w:val="00B429A3"/>
    <w:rsid w:val="00B43731"/>
    <w:rsid w:val="00B44567"/>
    <w:rsid w:val="00B44AFA"/>
    <w:rsid w:val="00B45322"/>
    <w:rsid w:val="00B46394"/>
    <w:rsid w:val="00B468E0"/>
    <w:rsid w:val="00B47F51"/>
    <w:rsid w:val="00B50117"/>
    <w:rsid w:val="00B508D2"/>
    <w:rsid w:val="00B5132E"/>
    <w:rsid w:val="00B5138F"/>
    <w:rsid w:val="00B514A7"/>
    <w:rsid w:val="00B516C2"/>
    <w:rsid w:val="00B51941"/>
    <w:rsid w:val="00B52F88"/>
    <w:rsid w:val="00B53282"/>
    <w:rsid w:val="00B532AA"/>
    <w:rsid w:val="00B53D0F"/>
    <w:rsid w:val="00B540CC"/>
    <w:rsid w:val="00B546FC"/>
    <w:rsid w:val="00B567B2"/>
    <w:rsid w:val="00B569B4"/>
    <w:rsid w:val="00B56FD7"/>
    <w:rsid w:val="00B57385"/>
    <w:rsid w:val="00B57F14"/>
    <w:rsid w:val="00B6099E"/>
    <w:rsid w:val="00B60AF4"/>
    <w:rsid w:val="00B612BA"/>
    <w:rsid w:val="00B61605"/>
    <w:rsid w:val="00B629DF"/>
    <w:rsid w:val="00B62CA1"/>
    <w:rsid w:val="00B634BD"/>
    <w:rsid w:val="00B63885"/>
    <w:rsid w:val="00B63CB3"/>
    <w:rsid w:val="00B658F5"/>
    <w:rsid w:val="00B65D82"/>
    <w:rsid w:val="00B669DA"/>
    <w:rsid w:val="00B670A2"/>
    <w:rsid w:val="00B672EB"/>
    <w:rsid w:val="00B67CF6"/>
    <w:rsid w:val="00B707AD"/>
    <w:rsid w:val="00B70CED"/>
    <w:rsid w:val="00B70D0F"/>
    <w:rsid w:val="00B716CD"/>
    <w:rsid w:val="00B717BE"/>
    <w:rsid w:val="00B71C31"/>
    <w:rsid w:val="00B72D7C"/>
    <w:rsid w:val="00B72EE7"/>
    <w:rsid w:val="00B73634"/>
    <w:rsid w:val="00B7363F"/>
    <w:rsid w:val="00B73874"/>
    <w:rsid w:val="00B73BC9"/>
    <w:rsid w:val="00B74626"/>
    <w:rsid w:val="00B74D65"/>
    <w:rsid w:val="00B75AAE"/>
    <w:rsid w:val="00B75DE9"/>
    <w:rsid w:val="00B76807"/>
    <w:rsid w:val="00B76E10"/>
    <w:rsid w:val="00B77857"/>
    <w:rsid w:val="00B77F03"/>
    <w:rsid w:val="00B80A1B"/>
    <w:rsid w:val="00B80C7E"/>
    <w:rsid w:val="00B816D1"/>
    <w:rsid w:val="00B81C1A"/>
    <w:rsid w:val="00B83302"/>
    <w:rsid w:val="00B83B63"/>
    <w:rsid w:val="00B83C2E"/>
    <w:rsid w:val="00B84528"/>
    <w:rsid w:val="00B84A96"/>
    <w:rsid w:val="00B84BE9"/>
    <w:rsid w:val="00B85097"/>
    <w:rsid w:val="00B85677"/>
    <w:rsid w:val="00B85C3D"/>
    <w:rsid w:val="00B86B12"/>
    <w:rsid w:val="00B87126"/>
    <w:rsid w:val="00B91450"/>
    <w:rsid w:val="00B91CBD"/>
    <w:rsid w:val="00B91E78"/>
    <w:rsid w:val="00B92933"/>
    <w:rsid w:val="00B92EE8"/>
    <w:rsid w:val="00B94165"/>
    <w:rsid w:val="00B944C4"/>
    <w:rsid w:val="00B95242"/>
    <w:rsid w:val="00B958BF"/>
    <w:rsid w:val="00B963D1"/>
    <w:rsid w:val="00B967DA"/>
    <w:rsid w:val="00B97547"/>
    <w:rsid w:val="00BA0009"/>
    <w:rsid w:val="00BA1504"/>
    <w:rsid w:val="00BA21E2"/>
    <w:rsid w:val="00BA2205"/>
    <w:rsid w:val="00BA2A73"/>
    <w:rsid w:val="00BA35A8"/>
    <w:rsid w:val="00BA4F0A"/>
    <w:rsid w:val="00BA4F13"/>
    <w:rsid w:val="00BA515C"/>
    <w:rsid w:val="00BA51EA"/>
    <w:rsid w:val="00BA6B39"/>
    <w:rsid w:val="00BA74F6"/>
    <w:rsid w:val="00BA750F"/>
    <w:rsid w:val="00BA7D2B"/>
    <w:rsid w:val="00BB0A38"/>
    <w:rsid w:val="00BB184C"/>
    <w:rsid w:val="00BB25B0"/>
    <w:rsid w:val="00BB3409"/>
    <w:rsid w:val="00BB349E"/>
    <w:rsid w:val="00BB3874"/>
    <w:rsid w:val="00BB3C60"/>
    <w:rsid w:val="00BB4017"/>
    <w:rsid w:val="00BB4744"/>
    <w:rsid w:val="00BB58A2"/>
    <w:rsid w:val="00BB63E9"/>
    <w:rsid w:val="00BB6A81"/>
    <w:rsid w:val="00BC1465"/>
    <w:rsid w:val="00BC1B99"/>
    <w:rsid w:val="00BC407C"/>
    <w:rsid w:val="00BC4179"/>
    <w:rsid w:val="00BC476E"/>
    <w:rsid w:val="00BD030F"/>
    <w:rsid w:val="00BD0951"/>
    <w:rsid w:val="00BD1423"/>
    <w:rsid w:val="00BD1AD0"/>
    <w:rsid w:val="00BD2449"/>
    <w:rsid w:val="00BD24B4"/>
    <w:rsid w:val="00BD2FD3"/>
    <w:rsid w:val="00BD3ABA"/>
    <w:rsid w:val="00BD46FC"/>
    <w:rsid w:val="00BD549A"/>
    <w:rsid w:val="00BD5577"/>
    <w:rsid w:val="00BD5762"/>
    <w:rsid w:val="00BD5D12"/>
    <w:rsid w:val="00BD7A0F"/>
    <w:rsid w:val="00BE026E"/>
    <w:rsid w:val="00BE0569"/>
    <w:rsid w:val="00BE05D1"/>
    <w:rsid w:val="00BE0C7F"/>
    <w:rsid w:val="00BE0EA6"/>
    <w:rsid w:val="00BE1893"/>
    <w:rsid w:val="00BE2407"/>
    <w:rsid w:val="00BE28D0"/>
    <w:rsid w:val="00BE476F"/>
    <w:rsid w:val="00BE5394"/>
    <w:rsid w:val="00BE5416"/>
    <w:rsid w:val="00BE5578"/>
    <w:rsid w:val="00BE5B1D"/>
    <w:rsid w:val="00BE63B5"/>
    <w:rsid w:val="00BE6705"/>
    <w:rsid w:val="00BE672B"/>
    <w:rsid w:val="00BE7522"/>
    <w:rsid w:val="00BE7B05"/>
    <w:rsid w:val="00BF02D1"/>
    <w:rsid w:val="00BF05CE"/>
    <w:rsid w:val="00BF127E"/>
    <w:rsid w:val="00BF29A1"/>
    <w:rsid w:val="00BF29EC"/>
    <w:rsid w:val="00BF4333"/>
    <w:rsid w:val="00BF599F"/>
    <w:rsid w:val="00BF5CA9"/>
    <w:rsid w:val="00BF63CB"/>
    <w:rsid w:val="00BF6C09"/>
    <w:rsid w:val="00BF7149"/>
    <w:rsid w:val="00BF7B9B"/>
    <w:rsid w:val="00C00136"/>
    <w:rsid w:val="00C0167F"/>
    <w:rsid w:val="00C01EF7"/>
    <w:rsid w:val="00C023C9"/>
    <w:rsid w:val="00C024E0"/>
    <w:rsid w:val="00C0541E"/>
    <w:rsid w:val="00C054A7"/>
    <w:rsid w:val="00C0645F"/>
    <w:rsid w:val="00C07D82"/>
    <w:rsid w:val="00C110BD"/>
    <w:rsid w:val="00C1152B"/>
    <w:rsid w:val="00C119E5"/>
    <w:rsid w:val="00C11C0E"/>
    <w:rsid w:val="00C12ED8"/>
    <w:rsid w:val="00C13481"/>
    <w:rsid w:val="00C134D4"/>
    <w:rsid w:val="00C13810"/>
    <w:rsid w:val="00C148AD"/>
    <w:rsid w:val="00C14C03"/>
    <w:rsid w:val="00C14D07"/>
    <w:rsid w:val="00C15942"/>
    <w:rsid w:val="00C15DF6"/>
    <w:rsid w:val="00C15F49"/>
    <w:rsid w:val="00C164F1"/>
    <w:rsid w:val="00C1782E"/>
    <w:rsid w:val="00C202CC"/>
    <w:rsid w:val="00C20355"/>
    <w:rsid w:val="00C209B8"/>
    <w:rsid w:val="00C20A97"/>
    <w:rsid w:val="00C2259D"/>
    <w:rsid w:val="00C234FA"/>
    <w:rsid w:val="00C23A25"/>
    <w:rsid w:val="00C24829"/>
    <w:rsid w:val="00C24973"/>
    <w:rsid w:val="00C2555C"/>
    <w:rsid w:val="00C25660"/>
    <w:rsid w:val="00C26098"/>
    <w:rsid w:val="00C2643E"/>
    <w:rsid w:val="00C26DE9"/>
    <w:rsid w:val="00C27975"/>
    <w:rsid w:val="00C3007E"/>
    <w:rsid w:val="00C30C81"/>
    <w:rsid w:val="00C30DA3"/>
    <w:rsid w:val="00C30E90"/>
    <w:rsid w:val="00C31931"/>
    <w:rsid w:val="00C31E3D"/>
    <w:rsid w:val="00C3205A"/>
    <w:rsid w:val="00C3548E"/>
    <w:rsid w:val="00C361D1"/>
    <w:rsid w:val="00C37A4A"/>
    <w:rsid w:val="00C37ECE"/>
    <w:rsid w:val="00C408F4"/>
    <w:rsid w:val="00C40995"/>
    <w:rsid w:val="00C417C1"/>
    <w:rsid w:val="00C41BBB"/>
    <w:rsid w:val="00C42899"/>
    <w:rsid w:val="00C42B14"/>
    <w:rsid w:val="00C44433"/>
    <w:rsid w:val="00C450FF"/>
    <w:rsid w:val="00C45682"/>
    <w:rsid w:val="00C456D6"/>
    <w:rsid w:val="00C4735F"/>
    <w:rsid w:val="00C50349"/>
    <w:rsid w:val="00C50E1B"/>
    <w:rsid w:val="00C51077"/>
    <w:rsid w:val="00C510E2"/>
    <w:rsid w:val="00C51CA2"/>
    <w:rsid w:val="00C52B1D"/>
    <w:rsid w:val="00C5313B"/>
    <w:rsid w:val="00C53F0C"/>
    <w:rsid w:val="00C553C4"/>
    <w:rsid w:val="00C5600F"/>
    <w:rsid w:val="00C56052"/>
    <w:rsid w:val="00C56B44"/>
    <w:rsid w:val="00C57847"/>
    <w:rsid w:val="00C57C36"/>
    <w:rsid w:val="00C60085"/>
    <w:rsid w:val="00C606D3"/>
    <w:rsid w:val="00C60B53"/>
    <w:rsid w:val="00C60F42"/>
    <w:rsid w:val="00C610E5"/>
    <w:rsid w:val="00C61A14"/>
    <w:rsid w:val="00C621D8"/>
    <w:rsid w:val="00C62CE8"/>
    <w:rsid w:val="00C62D41"/>
    <w:rsid w:val="00C63268"/>
    <w:rsid w:val="00C64233"/>
    <w:rsid w:val="00C64717"/>
    <w:rsid w:val="00C665FE"/>
    <w:rsid w:val="00C66FA5"/>
    <w:rsid w:val="00C67795"/>
    <w:rsid w:val="00C67982"/>
    <w:rsid w:val="00C67CF1"/>
    <w:rsid w:val="00C67F66"/>
    <w:rsid w:val="00C714B3"/>
    <w:rsid w:val="00C716DC"/>
    <w:rsid w:val="00C72A50"/>
    <w:rsid w:val="00C735BC"/>
    <w:rsid w:val="00C73E81"/>
    <w:rsid w:val="00C758EC"/>
    <w:rsid w:val="00C76A9D"/>
    <w:rsid w:val="00C76DAC"/>
    <w:rsid w:val="00C77F2A"/>
    <w:rsid w:val="00C81C60"/>
    <w:rsid w:val="00C827B4"/>
    <w:rsid w:val="00C834D0"/>
    <w:rsid w:val="00C84AEF"/>
    <w:rsid w:val="00C851A5"/>
    <w:rsid w:val="00C90821"/>
    <w:rsid w:val="00C9127C"/>
    <w:rsid w:val="00C91BA2"/>
    <w:rsid w:val="00C92833"/>
    <w:rsid w:val="00C94350"/>
    <w:rsid w:val="00C9623C"/>
    <w:rsid w:val="00C96D6D"/>
    <w:rsid w:val="00C96E4C"/>
    <w:rsid w:val="00CA1932"/>
    <w:rsid w:val="00CA3272"/>
    <w:rsid w:val="00CA45A8"/>
    <w:rsid w:val="00CA4F91"/>
    <w:rsid w:val="00CA5110"/>
    <w:rsid w:val="00CA55C9"/>
    <w:rsid w:val="00CA5D37"/>
    <w:rsid w:val="00CA60D7"/>
    <w:rsid w:val="00CA6115"/>
    <w:rsid w:val="00CA612D"/>
    <w:rsid w:val="00CA62C6"/>
    <w:rsid w:val="00CA744E"/>
    <w:rsid w:val="00CA7861"/>
    <w:rsid w:val="00CB05EE"/>
    <w:rsid w:val="00CB0B32"/>
    <w:rsid w:val="00CB0BD3"/>
    <w:rsid w:val="00CB0C3F"/>
    <w:rsid w:val="00CB2E32"/>
    <w:rsid w:val="00CB4CDA"/>
    <w:rsid w:val="00CB514D"/>
    <w:rsid w:val="00CB531F"/>
    <w:rsid w:val="00CB6111"/>
    <w:rsid w:val="00CB6246"/>
    <w:rsid w:val="00CB6351"/>
    <w:rsid w:val="00CB6FC8"/>
    <w:rsid w:val="00CB746D"/>
    <w:rsid w:val="00CC12C4"/>
    <w:rsid w:val="00CC150D"/>
    <w:rsid w:val="00CC1C53"/>
    <w:rsid w:val="00CC1E8E"/>
    <w:rsid w:val="00CC22E7"/>
    <w:rsid w:val="00CC237B"/>
    <w:rsid w:val="00CC2983"/>
    <w:rsid w:val="00CC2B1C"/>
    <w:rsid w:val="00CC38FD"/>
    <w:rsid w:val="00CC3C2A"/>
    <w:rsid w:val="00CC3FC2"/>
    <w:rsid w:val="00CC46D1"/>
    <w:rsid w:val="00CC49DD"/>
    <w:rsid w:val="00CC50C7"/>
    <w:rsid w:val="00CC52E4"/>
    <w:rsid w:val="00CC5426"/>
    <w:rsid w:val="00CC5622"/>
    <w:rsid w:val="00CC5690"/>
    <w:rsid w:val="00CC7830"/>
    <w:rsid w:val="00CD11E7"/>
    <w:rsid w:val="00CD1452"/>
    <w:rsid w:val="00CD1672"/>
    <w:rsid w:val="00CD1C21"/>
    <w:rsid w:val="00CD3300"/>
    <w:rsid w:val="00CD33BA"/>
    <w:rsid w:val="00CD56E1"/>
    <w:rsid w:val="00CD6AE7"/>
    <w:rsid w:val="00CD7084"/>
    <w:rsid w:val="00CD78A6"/>
    <w:rsid w:val="00CE069C"/>
    <w:rsid w:val="00CE0B76"/>
    <w:rsid w:val="00CE16CA"/>
    <w:rsid w:val="00CE2729"/>
    <w:rsid w:val="00CE366C"/>
    <w:rsid w:val="00CE3AB7"/>
    <w:rsid w:val="00CE43E3"/>
    <w:rsid w:val="00CE56ED"/>
    <w:rsid w:val="00CE5704"/>
    <w:rsid w:val="00CE5868"/>
    <w:rsid w:val="00CE5D2C"/>
    <w:rsid w:val="00CE64F7"/>
    <w:rsid w:val="00CE695C"/>
    <w:rsid w:val="00CE7098"/>
    <w:rsid w:val="00CF1174"/>
    <w:rsid w:val="00CF1649"/>
    <w:rsid w:val="00CF205D"/>
    <w:rsid w:val="00CF2158"/>
    <w:rsid w:val="00CF2A31"/>
    <w:rsid w:val="00CF2A58"/>
    <w:rsid w:val="00CF2CD9"/>
    <w:rsid w:val="00CF3A32"/>
    <w:rsid w:val="00CF3D18"/>
    <w:rsid w:val="00CF45E8"/>
    <w:rsid w:val="00CF47FB"/>
    <w:rsid w:val="00CF54D5"/>
    <w:rsid w:val="00CF5B14"/>
    <w:rsid w:val="00CF7AE8"/>
    <w:rsid w:val="00D001BC"/>
    <w:rsid w:val="00D01AF5"/>
    <w:rsid w:val="00D02A5B"/>
    <w:rsid w:val="00D02BAE"/>
    <w:rsid w:val="00D02C41"/>
    <w:rsid w:val="00D02DB5"/>
    <w:rsid w:val="00D038DF"/>
    <w:rsid w:val="00D03F49"/>
    <w:rsid w:val="00D0461B"/>
    <w:rsid w:val="00D04DF7"/>
    <w:rsid w:val="00D04F2E"/>
    <w:rsid w:val="00D071F2"/>
    <w:rsid w:val="00D0731C"/>
    <w:rsid w:val="00D07732"/>
    <w:rsid w:val="00D07AC1"/>
    <w:rsid w:val="00D07BA2"/>
    <w:rsid w:val="00D102DF"/>
    <w:rsid w:val="00D111D5"/>
    <w:rsid w:val="00D11D06"/>
    <w:rsid w:val="00D12229"/>
    <w:rsid w:val="00D12BEF"/>
    <w:rsid w:val="00D12C45"/>
    <w:rsid w:val="00D12DF5"/>
    <w:rsid w:val="00D12EDC"/>
    <w:rsid w:val="00D13434"/>
    <w:rsid w:val="00D13649"/>
    <w:rsid w:val="00D13775"/>
    <w:rsid w:val="00D13A6C"/>
    <w:rsid w:val="00D15C05"/>
    <w:rsid w:val="00D15CF0"/>
    <w:rsid w:val="00D16BB4"/>
    <w:rsid w:val="00D17B8B"/>
    <w:rsid w:val="00D17CC4"/>
    <w:rsid w:val="00D17F68"/>
    <w:rsid w:val="00D20975"/>
    <w:rsid w:val="00D20D77"/>
    <w:rsid w:val="00D213D0"/>
    <w:rsid w:val="00D21A9A"/>
    <w:rsid w:val="00D2246F"/>
    <w:rsid w:val="00D25881"/>
    <w:rsid w:val="00D25A6D"/>
    <w:rsid w:val="00D25CCD"/>
    <w:rsid w:val="00D25F6E"/>
    <w:rsid w:val="00D25FAA"/>
    <w:rsid w:val="00D27053"/>
    <w:rsid w:val="00D278D5"/>
    <w:rsid w:val="00D27FF9"/>
    <w:rsid w:val="00D311C1"/>
    <w:rsid w:val="00D31910"/>
    <w:rsid w:val="00D32821"/>
    <w:rsid w:val="00D3371D"/>
    <w:rsid w:val="00D339EF"/>
    <w:rsid w:val="00D33BA5"/>
    <w:rsid w:val="00D35E5C"/>
    <w:rsid w:val="00D3620F"/>
    <w:rsid w:val="00D375D9"/>
    <w:rsid w:val="00D406FA"/>
    <w:rsid w:val="00D41DEE"/>
    <w:rsid w:val="00D42639"/>
    <w:rsid w:val="00D42D3C"/>
    <w:rsid w:val="00D4392F"/>
    <w:rsid w:val="00D43C6F"/>
    <w:rsid w:val="00D4443F"/>
    <w:rsid w:val="00D44C17"/>
    <w:rsid w:val="00D45226"/>
    <w:rsid w:val="00D45287"/>
    <w:rsid w:val="00D45380"/>
    <w:rsid w:val="00D45639"/>
    <w:rsid w:val="00D4668C"/>
    <w:rsid w:val="00D467C3"/>
    <w:rsid w:val="00D46967"/>
    <w:rsid w:val="00D46AC9"/>
    <w:rsid w:val="00D50B10"/>
    <w:rsid w:val="00D51C7F"/>
    <w:rsid w:val="00D52B44"/>
    <w:rsid w:val="00D52B87"/>
    <w:rsid w:val="00D52F16"/>
    <w:rsid w:val="00D54650"/>
    <w:rsid w:val="00D549C1"/>
    <w:rsid w:val="00D55991"/>
    <w:rsid w:val="00D57CD2"/>
    <w:rsid w:val="00D600F2"/>
    <w:rsid w:val="00D6075C"/>
    <w:rsid w:val="00D60868"/>
    <w:rsid w:val="00D608A5"/>
    <w:rsid w:val="00D63832"/>
    <w:rsid w:val="00D63AF4"/>
    <w:rsid w:val="00D64ACF"/>
    <w:rsid w:val="00D651BD"/>
    <w:rsid w:val="00D6539E"/>
    <w:rsid w:val="00D65746"/>
    <w:rsid w:val="00D65B82"/>
    <w:rsid w:val="00D66C18"/>
    <w:rsid w:val="00D66DC6"/>
    <w:rsid w:val="00D670C0"/>
    <w:rsid w:val="00D70490"/>
    <w:rsid w:val="00D705B1"/>
    <w:rsid w:val="00D706E7"/>
    <w:rsid w:val="00D71A85"/>
    <w:rsid w:val="00D71BE1"/>
    <w:rsid w:val="00D72081"/>
    <w:rsid w:val="00D720C5"/>
    <w:rsid w:val="00D72717"/>
    <w:rsid w:val="00D733BF"/>
    <w:rsid w:val="00D742BD"/>
    <w:rsid w:val="00D744D4"/>
    <w:rsid w:val="00D74743"/>
    <w:rsid w:val="00D74D1C"/>
    <w:rsid w:val="00D75823"/>
    <w:rsid w:val="00D75A49"/>
    <w:rsid w:val="00D75CAD"/>
    <w:rsid w:val="00D76180"/>
    <w:rsid w:val="00D764A5"/>
    <w:rsid w:val="00D77477"/>
    <w:rsid w:val="00D77BAE"/>
    <w:rsid w:val="00D80153"/>
    <w:rsid w:val="00D81086"/>
    <w:rsid w:val="00D82442"/>
    <w:rsid w:val="00D82A29"/>
    <w:rsid w:val="00D835E3"/>
    <w:rsid w:val="00D83B5A"/>
    <w:rsid w:val="00D85F37"/>
    <w:rsid w:val="00D867F5"/>
    <w:rsid w:val="00D87272"/>
    <w:rsid w:val="00D87B32"/>
    <w:rsid w:val="00D90546"/>
    <w:rsid w:val="00D90AE6"/>
    <w:rsid w:val="00D90CC4"/>
    <w:rsid w:val="00D911AF"/>
    <w:rsid w:val="00D9173E"/>
    <w:rsid w:val="00D91EA6"/>
    <w:rsid w:val="00D921E0"/>
    <w:rsid w:val="00D922D4"/>
    <w:rsid w:val="00D93627"/>
    <w:rsid w:val="00D93912"/>
    <w:rsid w:val="00D95EFE"/>
    <w:rsid w:val="00D971B0"/>
    <w:rsid w:val="00D973E0"/>
    <w:rsid w:val="00D975EB"/>
    <w:rsid w:val="00D976F9"/>
    <w:rsid w:val="00DA00BC"/>
    <w:rsid w:val="00DA09D5"/>
    <w:rsid w:val="00DA0ABE"/>
    <w:rsid w:val="00DA197E"/>
    <w:rsid w:val="00DA4169"/>
    <w:rsid w:val="00DA53CC"/>
    <w:rsid w:val="00DA547C"/>
    <w:rsid w:val="00DA5834"/>
    <w:rsid w:val="00DA5A2F"/>
    <w:rsid w:val="00DA5C8D"/>
    <w:rsid w:val="00DA6588"/>
    <w:rsid w:val="00DA66E9"/>
    <w:rsid w:val="00DA67DE"/>
    <w:rsid w:val="00DA6E1E"/>
    <w:rsid w:val="00DB0A00"/>
    <w:rsid w:val="00DB18F4"/>
    <w:rsid w:val="00DB297A"/>
    <w:rsid w:val="00DB30EB"/>
    <w:rsid w:val="00DB34F6"/>
    <w:rsid w:val="00DB39E8"/>
    <w:rsid w:val="00DB3A5C"/>
    <w:rsid w:val="00DB3FA8"/>
    <w:rsid w:val="00DB5BFA"/>
    <w:rsid w:val="00DB6BE7"/>
    <w:rsid w:val="00DB6E15"/>
    <w:rsid w:val="00DB6FA9"/>
    <w:rsid w:val="00DB7091"/>
    <w:rsid w:val="00DB7DC3"/>
    <w:rsid w:val="00DC0C1A"/>
    <w:rsid w:val="00DC1177"/>
    <w:rsid w:val="00DC12C3"/>
    <w:rsid w:val="00DC2106"/>
    <w:rsid w:val="00DC3990"/>
    <w:rsid w:val="00DC4B86"/>
    <w:rsid w:val="00DC4D44"/>
    <w:rsid w:val="00DC5F8A"/>
    <w:rsid w:val="00DC6A8E"/>
    <w:rsid w:val="00DC7F94"/>
    <w:rsid w:val="00DD019C"/>
    <w:rsid w:val="00DD02A6"/>
    <w:rsid w:val="00DD0FFC"/>
    <w:rsid w:val="00DD1C87"/>
    <w:rsid w:val="00DD2483"/>
    <w:rsid w:val="00DD34F8"/>
    <w:rsid w:val="00DD3FCE"/>
    <w:rsid w:val="00DD4135"/>
    <w:rsid w:val="00DD512C"/>
    <w:rsid w:val="00DD5491"/>
    <w:rsid w:val="00DD6037"/>
    <w:rsid w:val="00DD615D"/>
    <w:rsid w:val="00DD65D6"/>
    <w:rsid w:val="00DD6B8A"/>
    <w:rsid w:val="00DD7399"/>
    <w:rsid w:val="00DD7AC5"/>
    <w:rsid w:val="00DD7C18"/>
    <w:rsid w:val="00DE00E8"/>
    <w:rsid w:val="00DE1534"/>
    <w:rsid w:val="00DE191E"/>
    <w:rsid w:val="00DE3C58"/>
    <w:rsid w:val="00DE3DA5"/>
    <w:rsid w:val="00DE3E17"/>
    <w:rsid w:val="00DE6230"/>
    <w:rsid w:val="00DE6730"/>
    <w:rsid w:val="00DE675A"/>
    <w:rsid w:val="00DE7D0E"/>
    <w:rsid w:val="00DE7D37"/>
    <w:rsid w:val="00DF0055"/>
    <w:rsid w:val="00DF0200"/>
    <w:rsid w:val="00DF0B05"/>
    <w:rsid w:val="00DF0BF6"/>
    <w:rsid w:val="00DF0FC1"/>
    <w:rsid w:val="00DF16C2"/>
    <w:rsid w:val="00DF1B80"/>
    <w:rsid w:val="00DF1F11"/>
    <w:rsid w:val="00DF216C"/>
    <w:rsid w:val="00DF21BC"/>
    <w:rsid w:val="00DF2B71"/>
    <w:rsid w:val="00DF37CB"/>
    <w:rsid w:val="00DF636E"/>
    <w:rsid w:val="00E004CC"/>
    <w:rsid w:val="00E00598"/>
    <w:rsid w:val="00E01C76"/>
    <w:rsid w:val="00E01FB7"/>
    <w:rsid w:val="00E0272D"/>
    <w:rsid w:val="00E03604"/>
    <w:rsid w:val="00E04254"/>
    <w:rsid w:val="00E04DB3"/>
    <w:rsid w:val="00E05A48"/>
    <w:rsid w:val="00E06E80"/>
    <w:rsid w:val="00E073D6"/>
    <w:rsid w:val="00E10902"/>
    <w:rsid w:val="00E1174E"/>
    <w:rsid w:val="00E12825"/>
    <w:rsid w:val="00E13834"/>
    <w:rsid w:val="00E13BC4"/>
    <w:rsid w:val="00E13E8E"/>
    <w:rsid w:val="00E1446C"/>
    <w:rsid w:val="00E14820"/>
    <w:rsid w:val="00E15E80"/>
    <w:rsid w:val="00E165E4"/>
    <w:rsid w:val="00E171BA"/>
    <w:rsid w:val="00E171EA"/>
    <w:rsid w:val="00E17623"/>
    <w:rsid w:val="00E179A4"/>
    <w:rsid w:val="00E207BE"/>
    <w:rsid w:val="00E211D2"/>
    <w:rsid w:val="00E23437"/>
    <w:rsid w:val="00E246ED"/>
    <w:rsid w:val="00E249F5"/>
    <w:rsid w:val="00E24FE2"/>
    <w:rsid w:val="00E26A6D"/>
    <w:rsid w:val="00E26B0E"/>
    <w:rsid w:val="00E27098"/>
    <w:rsid w:val="00E30021"/>
    <w:rsid w:val="00E319AD"/>
    <w:rsid w:val="00E322C1"/>
    <w:rsid w:val="00E335CB"/>
    <w:rsid w:val="00E34228"/>
    <w:rsid w:val="00E35D8E"/>
    <w:rsid w:val="00E40312"/>
    <w:rsid w:val="00E408E6"/>
    <w:rsid w:val="00E41CA8"/>
    <w:rsid w:val="00E42270"/>
    <w:rsid w:val="00E42382"/>
    <w:rsid w:val="00E42932"/>
    <w:rsid w:val="00E44E53"/>
    <w:rsid w:val="00E4569D"/>
    <w:rsid w:val="00E46833"/>
    <w:rsid w:val="00E50599"/>
    <w:rsid w:val="00E5110A"/>
    <w:rsid w:val="00E51687"/>
    <w:rsid w:val="00E51C5B"/>
    <w:rsid w:val="00E51D3B"/>
    <w:rsid w:val="00E522E8"/>
    <w:rsid w:val="00E524FA"/>
    <w:rsid w:val="00E52C03"/>
    <w:rsid w:val="00E52C89"/>
    <w:rsid w:val="00E53230"/>
    <w:rsid w:val="00E5361E"/>
    <w:rsid w:val="00E53BF0"/>
    <w:rsid w:val="00E53CD0"/>
    <w:rsid w:val="00E545BD"/>
    <w:rsid w:val="00E5475E"/>
    <w:rsid w:val="00E54AA0"/>
    <w:rsid w:val="00E54F0E"/>
    <w:rsid w:val="00E54FC8"/>
    <w:rsid w:val="00E5648A"/>
    <w:rsid w:val="00E56E4C"/>
    <w:rsid w:val="00E5770F"/>
    <w:rsid w:val="00E578E0"/>
    <w:rsid w:val="00E57AFD"/>
    <w:rsid w:val="00E601D8"/>
    <w:rsid w:val="00E6022B"/>
    <w:rsid w:val="00E6078B"/>
    <w:rsid w:val="00E612EF"/>
    <w:rsid w:val="00E61B27"/>
    <w:rsid w:val="00E62133"/>
    <w:rsid w:val="00E62C57"/>
    <w:rsid w:val="00E62C7B"/>
    <w:rsid w:val="00E637FD"/>
    <w:rsid w:val="00E63968"/>
    <w:rsid w:val="00E63B2D"/>
    <w:rsid w:val="00E64021"/>
    <w:rsid w:val="00E64437"/>
    <w:rsid w:val="00E64B68"/>
    <w:rsid w:val="00E64D1A"/>
    <w:rsid w:val="00E64FFE"/>
    <w:rsid w:val="00E67E7E"/>
    <w:rsid w:val="00E67EE6"/>
    <w:rsid w:val="00E67EF4"/>
    <w:rsid w:val="00E7046A"/>
    <w:rsid w:val="00E70758"/>
    <w:rsid w:val="00E70F57"/>
    <w:rsid w:val="00E71A8D"/>
    <w:rsid w:val="00E7203B"/>
    <w:rsid w:val="00E724A3"/>
    <w:rsid w:val="00E73BCA"/>
    <w:rsid w:val="00E744F2"/>
    <w:rsid w:val="00E74932"/>
    <w:rsid w:val="00E749FD"/>
    <w:rsid w:val="00E74F86"/>
    <w:rsid w:val="00E755C4"/>
    <w:rsid w:val="00E757A2"/>
    <w:rsid w:val="00E75D8D"/>
    <w:rsid w:val="00E760A2"/>
    <w:rsid w:val="00E76617"/>
    <w:rsid w:val="00E76D4B"/>
    <w:rsid w:val="00E76EC1"/>
    <w:rsid w:val="00E773D4"/>
    <w:rsid w:val="00E773EA"/>
    <w:rsid w:val="00E776AD"/>
    <w:rsid w:val="00E77915"/>
    <w:rsid w:val="00E77FF3"/>
    <w:rsid w:val="00E800B2"/>
    <w:rsid w:val="00E80163"/>
    <w:rsid w:val="00E80540"/>
    <w:rsid w:val="00E81273"/>
    <w:rsid w:val="00E813AD"/>
    <w:rsid w:val="00E81F09"/>
    <w:rsid w:val="00E81F1A"/>
    <w:rsid w:val="00E83F1F"/>
    <w:rsid w:val="00E845C4"/>
    <w:rsid w:val="00E846E1"/>
    <w:rsid w:val="00E8613C"/>
    <w:rsid w:val="00E86409"/>
    <w:rsid w:val="00E86432"/>
    <w:rsid w:val="00E865CF"/>
    <w:rsid w:val="00E8691E"/>
    <w:rsid w:val="00E871F9"/>
    <w:rsid w:val="00E87C6F"/>
    <w:rsid w:val="00E90D8A"/>
    <w:rsid w:val="00E932F6"/>
    <w:rsid w:val="00E9363A"/>
    <w:rsid w:val="00E950B5"/>
    <w:rsid w:val="00E97C3B"/>
    <w:rsid w:val="00EA17CD"/>
    <w:rsid w:val="00EA3D83"/>
    <w:rsid w:val="00EA4069"/>
    <w:rsid w:val="00EA4636"/>
    <w:rsid w:val="00EA64CC"/>
    <w:rsid w:val="00EB0AED"/>
    <w:rsid w:val="00EB1333"/>
    <w:rsid w:val="00EB2F43"/>
    <w:rsid w:val="00EB3C27"/>
    <w:rsid w:val="00EB5790"/>
    <w:rsid w:val="00EB5A7D"/>
    <w:rsid w:val="00EB6BF4"/>
    <w:rsid w:val="00EB72B4"/>
    <w:rsid w:val="00EB74C7"/>
    <w:rsid w:val="00EB750A"/>
    <w:rsid w:val="00EB759B"/>
    <w:rsid w:val="00EC0034"/>
    <w:rsid w:val="00EC0299"/>
    <w:rsid w:val="00EC0529"/>
    <w:rsid w:val="00EC0EDF"/>
    <w:rsid w:val="00EC17DF"/>
    <w:rsid w:val="00EC1F24"/>
    <w:rsid w:val="00EC228A"/>
    <w:rsid w:val="00EC2624"/>
    <w:rsid w:val="00EC3979"/>
    <w:rsid w:val="00EC4F02"/>
    <w:rsid w:val="00EC5F96"/>
    <w:rsid w:val="00EC6500"/>
    <w:rsid w:val="00ED0984"/>
    <w:rsid w:val="00ED1066"/>
    <w:rsid w:val="00ED253D"/>
    <w:rsid w:val="00ED316F"/>
    <w:rsid w:val="00ED3307"/>
    <w:rsid w:val="00ED4DA9"/>
    <w:rsid w:val="00ED5613"/>
    <w:rsid w:val="00ED5A45"/>
    <w:rsid w:val="00ED660C"/>
    <w:rsid w:val="00ED7C6A"/>
    <w:rsid w:val="00EE0A14"/>
    <w:rsid w:val="00EE301D"/>
    <w:rsid w:val="00EE47AA"/>
    <w:rsid w:val="00EE4D89"/>
    <w:rsid w:val="00EE513C"/>
    <w:rsid w:val="00EE5CFC"/>
    <w:rsid w:val="00EE717F"/>
    <w:rsid w:val="00EE7888"/>
    <w:rsid w:val="00EF0399"/>
    <w:rsid w:val="00EF165C"/>
    <w:rsid w:val="00EF1D41"/>
    <w:rsid w:val="00EF241C"/>
    <w:rsid w:val="00EF2ACC"/>
    <w:rsid w:val="00EF42D8"/>
    <w:rsid w:val="00EF52D7"/>
    <w:rsid w:val="00EF68E3"/>
    <w:rsid w:val="00EF741C"/>
    <w:rsid w:val="00F0197F"/>
    <w:rsid w:val="00F01CE1"/>
    <w:rsid w:val="00F02F5C"/>
    <w:rsid w:val="00F036D0"/>
    <w:rsid w:val="00F03764"/>
    <w:rsid w:val="00F038AE"/>
    <w:rsid w:val="00F03FFD"/>
    <w:rsid w:val="00F040DD"/>
    <w:rsid w:val="00F04202"/>
    <w:rsid w:val="00F047DA"/>
    <w:rsid w:val="00F05374"/>
    <w:rsid w:val="00F062B5"/>
    <w:rsid w:val="00F0634B"/>
    <w:rsid w:val="00F06ED7"/>
    <w:rsid w:val="00F10040"/>
    <w:rsid w:val="00F1056A"/>
    <w:rsid w:val="00F108FD"/>
    <w:rsid w:val="00F116D4"/>
    <w:rsid w:val="00F13139"/>
    <w:rsid w:val="00F132CA"/>
    <w:rsid w:val="00F14BD7"/>
    <w:rsid w:val="00F154AA"/>
    <w:rsid w:val="00F15D1B"/>
    <w:rsid w:val="00F16407"/>
    <w:rsid w:val="00F1749F"/>
    <w:rsid w:val="00F2117B"/>
    <w:rsid w:val="00F21C6C"/>
    <w:rsid w:val="00F22522"/>
    <w:rsid w:val="00F2272D"/>
    <w:rsid w:val="00F233B1"/>
    <w:rsid w:val="00F2398B"/>
    <w:rsid w:val="00F23BFA"/>
    <w:rsid w:val="00F23C8A"/>
    <w:rsid w:val="00F24009"/>
    <w:rsid w:val="00F242BA"/>
    <w:rsid w:val="00F242C1"/>
    <w:rsid w:val="00F243E1"/>
    <w:rsid w:val="00F246ED"/>
    <w:rsid w:val="00F2472D"/>
    <w:rsid w:val="00F270EE"/>
    <w:rsid w:val="00F2733B"/>
    <w:rsid w:val="00F274A6"/>
    <w:rsid w:val="00F30014"/>
    <w:rsid w:val="00F301F6"/>
    <w:rsid w:val="00F31277"/>
    <w:rsid w:val="00F32813"/>
    <w:rsid w:val="00F32B40"/>
    <w:rsid w:val="00F3385F"/>
    <w:rsid w:val="00F3386F"/>
    <w:rsid w:val="00F344D5"/>
    <w:rsid w:val="00F347CA"/>
    <w:rsid w:val="00F35C34"/>
    <w:rsid w:val="00F35CD1"/>
    <w:rsid w:val="00F36C4F"/>
    <w:rsid w:val="00F37361"/>
    <w:rsid w:val="00F3743D"/>
    <w:rsid w:val="00F3785F"/>
    <w:rsid w:val="00F402E9"/>
    <w:rsid w:val="00F4072A"/>
    <w:rsid w:val="00F40F2D"/>
    <w:rsid w:val="00F40F50"/>
    <w:rsid w:val="00F415F2"/>
    <w:rsid w:val="00F41A96"/>
    <w:rsid w:val="00F41D0E"/>
    <w:rsid w:val="00F4224D"/>
    <w:rsid w:val="00F42EF8"/>
    <w:rsid w:val="00F44C8E"/>
    <w:rsid w:val="00F4625F"/>
    <w:rsid w:val="00F47530"/>
    <w:rsid w:val="00F47DB5"/>
    <w:rsid w:val="00F47FA4"/>
    <w:rsid w:val="00F525B7"/>
    <w:rsid w:val="00F53E0A"/>
    <w:rsid w:val="00F5416B"/>
    <w:rsid w:val="00F54D34"/>
    <w:rsid w:val="00F55586"/>
    <w:rsid w:val="00F55F73"/>
    <w:rsid w:val="00F56987"/>
    <w:rsid w:val="00F5789B"/>
    <w:rsid w:val="00F61F6B"/>
    <w:rsid w:val="00F62BB9"/>
    <w:rsid w:val="00F6327A"/>
    <w:rsid w:val="00F64EC9"/>
    <w:rsid w:val="00F658AD"/>
    <w:rsid w:val="00F6594A"/>
    <w:rsid w:val="00F65BC0"/>
    <w:rsid w:val="00F66C6B"/>
    <w:rsid w:val="00F67B9F"/>
    <w:rsid w:val="00F67E7A"/>
    <w:rsid w:val="00F7103B"/>
    <w:rsid w:val="00F72DE7"/>
    <w:rsid w:val="00F7348B"/>
    <w:rsid w:val="00F74D92"/>
    <w:rsid w:val="00F74FD1"/>
    <w:rsid w:val="00F7518B"/>
    <w:rsid w:val="00F7658A"/>
    <w:rsid w:val="00F76F08"/>
    <w:rsid w:val="00F7725D"/>
    <w:rsid w:val="00F77822"/>
    <w:rsid w:val="00F7799C"/>
    <w:rsid w:val="00F800AA"/>
    <w:rsid w:val="00F81200"/>
    <w:rsid w:val="00F82259"/>
    <w:rsid w:val="00F8241B"/>
    <w:rsid w:val="00F8313C"/>
    <w:rsid w:val="00F8399B"/>
    <w:rsid w:val="00F83B63"/>
    <w:rsid w:val="00F84343"/>
    <w:rsid w:val="00F858EF"/>
    <w:rsid w:val="00F85A67"/>
    <w:rsid w:val="00F85D2D"/>
    <w:rsid w:val="00F86571"/>
    <w:rsid w:val="00F86D6A"/>
    <w:rsid w:val="00F90897"/>
    <w:rsid w:val="00F90FB8"/>
    <w:rsid w:val="00F91257"/>
    <w:rsid w:val="00F912CB"/>
    <w:rsid w:val="00F91CFF"/>
    <w:rsid w:val="00F91E5F"/>
    <w:rsid w:val="00F93C56"/>
    <w:rsid w:val="00F9420E"/>
    <w:rsid w:val="00F94A06"/>
    <w:rsid w:val="00F94D5D"/>
    <w:rsid w:val="00F94EA7"/>
    <w:rsid w:val="00F95AAF"/>
    <w:rsid w:val="00F96592"/>
    <w:rsid w:val="00F96768"/>
    <w:rsid w:val="00F96C0A"/>
    <w:rsid w:val="00F96C0F"/>
    <w:rsid w:val="00F96CA8"/>
    <w:rsid w:val="00F97075"/>
    <w:rsid w:val="00F97388"/>
    <w:rsid w:val="00FA07FF"/>
    <w:rsid w:val="00FA0999"/>
    <w:rsid w:val="00FA1E95"/>
    <w:rsid w:val="00FA37B9"/>
    <w:rsid w:val="00FA37E4"/>
    <w:rsid w:val="00FA3D59"/>
    <w:rsid w:val="00FA4707"/>
    <w:rsid w:val="00FA4F10"/>
    <w:rsid w:val="00FA582C"/>
    <w:rsid w:val="00FA5B89"/>
    <w:rsid w:val="00FA5CEA"/>
    <w:rsid w:val="00FA6C63"/>
    <w:rsid w:val="00FA7DDA"/>
    <w:rsid w:val="00FA7F9E"/>
    <w:rsid w:val="00FB143C"/>
    <w:rsid w:val="00FB16D8"/>
    <w:rsid w:val="00FB17CB"/>
    <w:rsid w:val="00FB1D55"/>
    <w:rsid w:val="00FB2326"/>
    <w:rsid w:val="00FB2E16"/>
    <w:rsid w:val="00FB2E73"/>
    <w:rsid w:val="00FB313C"/>
    <w:rsid w:val="00FB324B"/>
    <w:rsid w:val="00FB373A"/>
    <w:rsid w:val="00FB50D0"/>
    <w:rsid w:val="00FB5F5E"/>
    <w:rsid w:val="00FB5FF4"/>
    <w:rsid w:val="00FC03B4"/>
    <w:rsid w:val="00FC174A"/>
    <w:rsid w:val="00FC3388"/>
    <w:rsid w:val="00FC3413"/>
    <w:rsid w:val="00FC4598"/>
    <w:rsid w:val="00FC4BFB"/>
    <w:rsid w:val="00FC624A"/>
    <w:rsid w:val="00FC631A"/>
    <w:rsid w:val="00FC6DD6"/>
    <w:rsid w:val="00FC6ED4"/>
    <w:rsid w:val="00FC71DD"/>
    <w:rsid w:val="00FC7635"/>
    <w:rsid w:val="00FD0B59"/>
    <w:rsid w:val="00FD1947"/>
    <w:rsid w:val="00FD1C54"/>
    <w:rsid w:val="00FD4D82"/>
    <w:rsid w:val="00FD633C"/>
    <w:rsid w:val="00FD65EB"/>
    <w:rsid w:val="00FD757B"/>
    <w:rsid w:val="00FD7FDD"/>
    <w:rsid w:val="00FE0B0D"/>
    <w:rsid w:val="00FE24DC"/>
    <w:rsid w:val="00FE33A6"/>
    <w:rsid w:val="00FE3774"/>
    <w:rsid w:val="00FE3A25"/>
    <w:rsid w:val="00FE3B46"/>
    <w:rsid w:val="00FE43E7"/>
    <w:rsid w:val="00FE4A99"/>
    <w:rsid w:val="00FE4B74"/>
    <w:rsid w:val="00FE4BFC"/>
    <w:rsid w:val="00FE583E"/>
    <w:rsid w:val="00FE58C2"/>
    <w:rsid w:val="00FE5A29"/>
    <w:rsid w:val="00FE5CC1"/>
    <w:rsid w:val="00FE5D9D"/>
    <w:rsid w:val="00FE7FE0"/>
    <w:rsid w:val="00FE7FFE"/>
    <w:rsid w:val="00FF08D7"/>
    <w:rsid w:val="00FF0D0B"/>
    <w:rsid w:val="00FF0F36"/>
    <w:rsid w:val="00FF1436"/>
    <w:rsid w:val="00FF14BC"/>
    <w:rsid w:val="00FF1A12"/>
    <w:rsid w:val="00FF43A7"/>
    <w:rsid w:val="00FF5B57"/>
    <w:rsid w:val="00FF5C54"/>
    <w:rsid w:val="00FF5F3B"/>
    <w:rsid w:val="00FF6DC8"/>
    <w:rsid w:val="00FF75B6"/>
    <w:rsid w:val="019361DA"/>
    <w:rsid w:val="01F925DF"/>
    <w:rsid w:val="0245001E"/>
    <w:rsid w:val="02A14D09"/>
    <w:rsid w:val="02CC4764"/>
    <w:rsid w:val="02DA018C"/>
    <w:rsid w:val="02FD2B9C"/>
    <w:rsid w:val="03125F14"/>
    <w:rsid w:val="032C5CCD"/>
    <w:rsid w:val="038D01F1"/>
    <w:rsid w:val="03CB4927"/>
    <w:rsid w:val="03EF3001"/>
    <w:rsid w:val="03FB485E"/>
    <w:rsid w:val="04622C83"/>
    <w:rsid w:val="04997E02"/>
    <w:rsid w:val="04A9762F"/>
    <w:rsid w:val="04FE63B4"/>
    <w:rsid w:val="055631C7"/>
    <w:rsid w:val="05A03D60"/>
    <w:rsid w:val="05A84BB9"/>
    <w:rsid w:val="05C168F8"/>
    <w:rsid w:val="06127BDB"/>
    <w:rsid w:val="063E33CB"/>
    <w:rsid w:val="064B11A5"/>
    <w:rsid w:val="06566E8A"/>
    <w:rsid w:val="06830571"/>
    <w:rsid w:val="06B51D99"/>
    <w:rsid w:val="06CE3DE6"/>
    <w:rsid w:val="06F4149D"/>
    <w:rsid w:val="070970E8"/>
    <w:rsid w:val="07481E68"/>
    <w:rsid w:val="075E40A2"/>
    <w:rsid w:val="077773E2"/>
    <w:rsid w:val="078363DF"/>
    <w:rsid w:val="07C25A05"/>
    <w:rsid w:val="08177328"/>
    <w:rsid w:val="081D67E2"/>
    <w:rsid w:val="082007BD"/>
    <w:rsid w:val="083F643E"/>
    <w:rsid w:val="085A52EC"/>
    <w:rsid w:val="0881527A"/>
    <w:rsid w:val="088C1F29"/>
    <w:rsid w:val="08D13141"/>
    <w:rsid w:val="08D73070"/>
    <w:rsid w:val="08DB19A4"/>
    <w:rsid w:val="092052C2"/>
    <w:rsid w:val="09346123"/>
    <w:rsid w:val="09414AC1"/>
    <w:rsid w:val="097652FC"/>
    <w:rsid w:val="098E046D"/>
    <w:rsid w:val="09F84DE8"/>
    <w:rsid w:val="0A072E0F"/>
    <w:rsid w:val="0A4B21BE"/>
    <w:rsid w:val="0A4D52CE"/>
    <w:rsid w:val="0A544DEA"/>
    <w:rsid w:val="0AC21C32"/>
    <w:rsid w:val="0ACD76E7"/>
    <w:rsid w:val="0B006AD5"/>
    <w:rsid w:val="0B1240EA"/>
    <w:rsid w:val="0B8E7D66"/>
    <w:rsid w:val="0B922C18"/>
    <w:rsid w:val="0BE818CF"/>
    <w:rsid w:val="0C015845"/>
    <w:rsid w:val="0C122B7C"/>
    <w:rsid w:val="0C3C787D"/>
    <w:rsid w:val="0C443DB8"/>
    <w:rsid w:val="0C877A0E"/>
    <w:rsid w:val="0C8E3E58"/>
    <w:rsid w:val="0D480A9C"/>
    <w:rsid w:val="0D50374C"/>
    <w:rsid w:val="0D7B7FEC"/>
    <w:rsid w:val="0DB66651"/>
    <w:rsid w:val="0DDF2A6B"/>
    <w:rsid w:val="0DF6398B"/>
    <w:rsid w:val="0E0B29BB"/>
    <w:rsid w:val="0EAD1661"/>
    <w:rsid w:val="0EC657B8"/>
    <w:rsid w:val="0ECC6630"/>
    <w:rsid w:val="0EF07214"/>
    <w:rsid w:val="0F1720CB"/>
    <w:rsid w:val="0FA7367E"/>
    <w:rsid w:val="0FAD37BD"/>
    <w:rsid w:val="0FD6424E"/>
    <w:rsid w:val="0FF04CB9"/>
    <w:rsid w:val="10913D19"/>
    <w:rsid w:val="10C45915"/>
    <w:rsid w:val="10DE3457"/>
    <w:rsid w:val="10E123A2"/>
    <w:rsid w:val="113D418F"/>
    <w:rsid w:val="118934A9"/>
    <w:rsid w:val="11980A50"/>
    <w:rsid w:val="126806B2"/>
    <w:rsid w:val="12CE0384"/>
    <w:rsid w:val="12E96AFF"/>
    <w:rsid w:val="13200FC4"/>
    <w:rsid w:val="132D4E16"/>
    <w:rsid w:val="134047B9"/>
    <w:rsid w:val="13421B62"/>
    <w:rsid w:val="13533346"/>
    <w:rsid w:val="13E23222"/>
    <w:rsid w:val="141A7D7E"/>
    <w:rsid w:val="143B7739"/>
    <w:rsid w:val="143F1CFF"/>
    <w:rsid w:val="144731A8"/>
    <w:rsid w:val="145E6E6F"/>
    <w:rsid w:val="148C3970"/>
    <w:rsid w:val="14913EC8"/>
    <w:rsid w:val="14E82DCD"/>
    <w:rsid w:val="15616EE5"/>
    <w:rsid w:val="15F80D2A"/>
    <w:rsid w:val="16125B21"/>
    <w:rsid w:val="1638549E"/>
    <w:rsid w:val="16431F7C"/>
    <w:rsid w:val="167D6310"/>
    <w:rsid w:val="16C16C33"/>
    <w:rsid w:val="16D11F3F"/>
    <w:rsid w:val="16EE48B3"/>
    <w:rsid w:val="16F50229"/>
    <w:rsid w:val="1761062A"/>
    <w:rsid w:val="17824C23"/>
    <w:rsid w:val="178E0C4A"/>
    <w:rsid w:val="17BD5C5B"/>
    <w:rsid w:val="17EC4792"/>
    <w:rsid w:val="17FE0021"/>
    <w:rsid w:val="17FF3042"/>
    <w:rsid w:val="1805023C"/>
    <w:rsid w:val="182A0606"/>
    <w:rsid w:val="18332099"/>
    <w:rsid w:val="18480DE6"/>
    <w:rsid w:val="18C27546"/>
    <w:rsid w:val="18C409EB"/>
    <w:rsid w:val="19067CE9"/>
    <w:rsid w:val="19153875"/>
    <w:rsid w:val="1930039A"/>
    <w:rsid w:val="193337BC"/>
    <w:rsid w:val="193C6D3C"/>
    <w:rsid w:val="1981715C"/>
    <w:rsid w:val="19B135F9"/>
    <w:rsid w:val="1A061039"/>
    <w:rsid w:val="1A0F4768"/>
    <w:rsid w:val="1A514E50"/>
    <w:rsid w:val="1A7016AA"/>
    <w:rsid w:val="1A884F96"/>
    <w:rsid w:val="1AB75038"/>
    <w:rsid w:val="1ABC669E"/>
    <w:rsid w:val="1AC90DBB"/>
    <w:rsid w:val="1B17505A"/>
    <w:rsid w:val="1B180E49"/>
    <w:rsid w:val="1B3A2F9D"/>
    <w:rsid w:val="1BB278DD"/>
    <w:rsid w:val="1BC44B83"/>
    <w:rsid w:val="1C17521F"/>
    <w:rsid w:val="1C3038F2"/>
    <w:rsid w:val="1C3109C5"/>
    <w:rsid w:val="1CD30764"/>
    <w:rsid w:val="1CE223EF"/>
    <w:rsid w:val="1D470EB1"/>
    <w:rsid w:val="1D553640"/>
    <w:rsid w:val="1DD737EE"/>
    <w:rsid w:val="1DF655C9"/>
    <w:rsid w:val="1E15355A"/>
    <w:rsid w:val="1E566D84"/>
    <w:rsid w:val="1E602DA6"/>
    <w:rsid w:val="1E741EA6"/>
    <w:rsid w:val="1EA45E63"/>
    <w:rsid w:val="1ECE699F"/>
    <w:rsid w:val="1EF7208F"/>
    <w:rsid w:val="1F372141"/>
    <w:rsid w:val="1F4E38D0"/>
    <w:rsid w:val="1F7725C5"/>
    <w:rsid w:val="1FF62195"/>
    <w:rsid w:val="20351E72"/>
    <w:rsid w:val="206A2F07"/>
    <w:rsid w:val="20BC242B"/>
    <w:rsid w:val="20C33BF6"/>
    <w:rsid w:val="211365D3"/>
    <w:rsid w:val="2123545C"/>
    <w:rsid w:val="21555156"/>
    <w:rsid w:val="21656845"/>
    <w:rsid w:val="217D46AD"/>
    <w:rsid w:val="21907D9E"/>
    <w:rsid w:val="21A62A33"/>
    <w:rsid w:val="21B75DC5"/>
    <w:rsid w:val="21DE0CE2"/>
    <w:rsid w:val="21F334B0"/>
    <w:rsid w:val="21F95942"/>
    <w:rsid w:val="22140793"/>
    <w:rsid w:val="224D3729"/>
    <w:rsid w:val="224D4D0E"/>
    <w:rsid w:val="2261502A"/>
    <w:rsid w:val="226E466D"/>
    <w:rsid w:val="22911676"/>
    <w:rsid w:val="22CE33D3"/>
    <w:rsid w:val="22EB41A1"/>
    <w:rsid w:val="22EE3B95"/>
    <w:rsid w:val="2305495A"/>
    <w:rsid w:val="233B50F2"/>
    <w:rsid w:val="23755907"/>
    <w:rsid w:val="239B5B1D"/>
    <w:rsid w:val="23E90E66"/>
    <w:rsid w:val="23EE41E8"/>
    <w:rsid w:val="240343A6"/>
    <w:rsid w:val="24836983"/>
    <w:rsid w:val="248D1250"/>
    <w:rsid w:val="24AD4CB8"/>
    <w:rsid w:val="24F353CE"/>
    <w:rsid w:val="24FE78B3"/>
    <w:rsid w:val="2513096A"/>
    <w:rsid w:val="25255F11"/>
    <w:rsid w:val="25361729"/>
    <w:rsid w:val="255708B7"/>
    <w:rsid w:val="2569088E"/>
    <w:rsid w:val="257037C3"/>
    <w:rsid w:val="257503B1"/>
    <w:rsid w:val="25A556D3"/>
    <w:rsid w:val="25C51470"/>
    <w:rsid w:val="25FC56B1"/>
    <w:rsid w:val="2642561E"/>
    <w:rsid w:val="26673DDB"/>
    <w:rsid w:val="2683689D"/>
    <w:rsid w:val="26914E82"/>
    <w:rsid w:val="26A57C84"/>
    <w:rsid w:val="26BC3644"/>
    <w:rsid w:val="26C24C65"/>
    <w:rsid w:val="26E24F50"/>
    <w:rsid w:val="27066DD1"/>
    <w:rsid w:val="271C640B"/>
    <w:rsid w:val="27285D81"/>
    <w:rsid w:val="27317E65"/>
    <w:rsid w:val="27992982"/>
    <w:rsid w:val="27CB7F20"/>
    <w:rsid w:val="27D520B8"/>
    <w:rsid w:val="27E873F2"/>
    <w:rsid w:val="28054895"/>
    <w:rsid w:val="28456613"/>
    <w:rsid w:val="286C3843"/>
    <w:rsid w:val="289463E4"/>
    <w:rsid w:val="29367EA1"/>
    <w:rsid w:val="2A073145"/>
    <w:rsid w:val="2A3E4125"/>
    <w:rsid w:val="2A675FDF"/>
    <w:rsid w:val="2ABC70A2"/>
    <w:rsid w:val="2AE16896"/>
    <w:rsid w:val="2B366980"/>
    <w:rsid w:val="2BEC7D23"/>
    <w:rsid w:val="2C31500B"/>
    <w:rsid w:val="2C6E6CED"/>
    <w:rsid w:val="2C7D1EA4"/>
    <w:rsid w:val="2CA458B3"/>
    <w:rsid w:val="2CF55A3F"/>
    <w:rsid w:val="2D0C338A"/>
    <w:rsid w:val="2D5B6892"/>
    <w:rsid w:val="2DA50630"/>
    <w:rsid w:val="2DAB1787"/>
    <w:rsid w:val="2DF846C7"/>
    <w:rsid w:val="2DFA5FA1"/>
    <w:rsid w:val="2E184FD3"/>
    <w:rsid w:val="2E82639C"/>
    <w:rsid w:val="2EDC6EB7"/>
    <w:rsid w:val="2F1062EC"/>
    <w:rsid w:val="2F155F25"/>
    <w:rsid w:val="2F2E2166"/>
    <w:rsid w:val="2F327ECD"/>
    <w:rsid w:val="2F653BA9"/>
    <w:rsid w:val="2F937E1B"/>
    <w:rsid w:val="2FD60AB8"/>
    <w:rsid w:val="2FFD34E4"/>
    <w:rsid w:val="30272B20"/>
    <w:rsid w:val="30281C88"/>
    <w:rsid w:val="302D729E"/>
    <w:rsid w:val="30654352"/>
    <w:rsid w:val="3065447F"/>
    <w:rsid w:val="30731155"/>
    <w:rsid w:val="320C2E9C"/>
    <w:rsid w:val="325213C6"/>
    <w:rsid w:val="325A1368"/>
    <w:rsid w:val="32673AB6"/>
    <w:rsid w:val="32A918E7"/>
    <w:rsid w:val="331370FD"/>
    <w:rsid w:val="3359111B"/>
    <w:rsid w:val="335D7E9A"/>
    <w:rsid w:val="336456CD"/>
    <w:rsid w:val="339A66C5"/>
    <w:rsid w:val="33AA4694"/>
    <w:rsid w:val="33AA7C60"/>
    <w:rsid w:val="33E04C8F"/>
    <w:rsid w:val="33FC76B3"/>
    <w:rsid w:val="3418005A"/>
    <w:rsid w:val="34426543"/>
    <w:rsid w:val="349117C4"/>
    <w:rsid w:val="34C3321F"/>
    <w:rsid w:val="35240091"/>
    <w:rsid w:val="35AA4C6A"/>
    <w:rsid w:val="35B03ABB"/>
    <w:rsid w:val="35DE6E6E"/>
    <w:rsid w:val="35E75D87"/>
    <w:rsid w:val="36214835"/>
    <w:rsid w:val="364629AE"/>
    <w:rsid w:val="3684230E"/>
    <w:rsid w:val="36D00E10"/>
    <w:rsid w:val="371D413E"/>
    <w:rsid w:val="372F45CF"/>
    <w:rsid w:val="376879A3"/>
    <w:rsid w:val="37713267"/>
    <w:rsid w:val="37A40867"/>
    <w:rsid w:val="37C519CA"/>
    <w:rsid w:val="38DA6350"/>
    <w:rsid w:val="38E61DB0"/>
    <w:rsid w:val="38F01D4D"/>
    <w:rsid w:val="392C27E9"/>
    <w:rsid w:val="39396D0E"/>
    <w:rsid w:val="393C23B1"/>
    <w:rsid w:val="39DA3108"/>
    <w:rsid w:val="39F71590"/>
    <w:rsid w:val="39FB6F42"/>
    <w:rsid w:val="3A1219DE"/>
    <w:rsid w:val="3A471D49"/>
    <w:rsid w:val="3ABC6651"/>
    <w:rsid w:val="3AC6436F"/>
    <w:rsid w:val="3B472B51"/>
    <w:rsid w:val="3B915AA7"/>
    <w:rsid w:val="3BA67BDA"/>
    <w:rsid w:val="3C263FD8"/>
    <w:rsid w:val="3C357C06"/>
    <w:rsid w:val="3C4D31A2"/>
    <w:rsid w:val="3C7A493E"/>
    <w:rsid w:val="3C8B7058"/>
    <w:rsid w:val="3CBC6299"/>
    <w:rsid w:val="3CD712AF"/>
    <w:rsid w:val="3D1028DD"/>
    <w:rsid w:val="3D164E1A"/>
    <w:rsid w:val="3D567BA1"/>
    <w:rsid w:val="3D6A0F96"/>
    <w:rsid w:val="3DE308EE"/>
    <w:rsid w:val="3DE37250"/>
    <w:rsid w:val="3DFD7CC2"/>
    <w:rsid w:val="3E265A58"/>
    <w:rsid w:val="3E6B2A67"/>
    <w:rsid w:val="3F0F5268"/>
    <w:rsid w:val="3F8254DB"/>
    <w:rsid w:val="3FA806EF"/>
    <w:rsid w:val="402F2E2C"/>
    <w:rsid w:val="40664495"/>
    <w:rsid w:val="409178E6"/>
    <w:rsid w:val="40B73CE0"/>
    <w:rsid w:val="40BE70F7"/>
    <w:rsid w:val="40C5268D"/>
    <w:rsid w:val="40EF4827"/>
    <w:rsid w:val="40F31156"/>
    <w:rsid w:val="4151103E"/>
    <w:rsid w:val="42366486"/>
    <w:rsid w:val="428B3D82"/>
    <w:rsid w:val="42A83A66"/>
    <w:rsid w:val="42EC6F8E"/>
    <w:rsid w:val="431043BE"/>
    <w:rsid w:val="43254290"/>
    <w:rsid w:val="43663D51"/>
    <w:rsid w:val="43754D8C"/>
    <w:rsid w:val="4385671F"/>
    <w:rsid w:val="43CF7EA9"/>
    <w:rsid w:val="44245E70"/>
    <w:rsid w:val="44414789"/>
    <w:rsid w:val="446941F0"/>
    <w:rsid w:val="4482019C"/>
    <w:rsid w:val="44A96E6E"/>
    <w:rsid w:val="44C02704"/>
    <w:rsid w:val="44C45FCB"/>
    <w:rsid w:val="44EE4DF6"/>
    <w:rsid w:val="450B0D96"/>
    <w:rsid w:val="4512745B"/>
    <w:rsid w:val="45350C77"/>
    <w:rsid w:val="45A33CF6"/>
    <w:rsid w:val="45B638F9"/>
    <w:rsid w:val="46354182"/>
    <w:rsid w:val="467E7BDD"/>
    <w:rsid w:val="46893028"/>
    <w:rsid w:val="469D60CF"/>
    <w:rsid w:val="469F5C11"/>
    <w:rsid w:val="46BA605B"/>
    <w:rsid w:val="47557CDE"/>
    <w:rsid w:val="47601FC8"/>
    <w:rsid w:val="47B864FE"/>
    <w:rsid w:val="47B873FB"/>
    <w:rsid w:val="47EC0946"/>
    <w:rsid w:val="480C74E8"/>
    <w:rsid w:val="48157C28"/>
    <w:rsid w:val="488340A3"/>
    <w:rsid w:val="489F7ACD"/>
    <w:rsid w:val="48CC6FE6"/>
    <w:rsid w:val="48DF1CFE"/>
    <w:rsid w:val="48E00EFA"/>
    <w:rsid w:val="490F48C5"/>
    <w:rsid w:val="497B3CED"/>
    <w:rsid w:val="49E560F0"/>
    <w:rsid w:val="49E61FDD"/>
    <w:rsid w:val="49E968B6"/>
    <w:rsid w:val="49FA5EEA"/>
    <w:rsid w:val="4A0F1084"/>
    <w:rsid w:val="4A3B0ADD"/>
    <w:rsid w:val="4A4313B0"/>
    <w:rsid w:val="4A4554B8"/>
    <w:rsid w:val="4A4C0CA0"/>
    <w:rsid w:val="4A54394D"/>
    <w:rsid w:val="4A5B6593"/>
    <w:rsid w:val="4ABD00BC"/>
    <w:rsid w:val="4AD81386"/>
    <w:rsid w:val="4AF63D76"/>
    <w:rsid w:val="4B063530"/>
    <w:rsid w:val="4B840262"/>
    <w:rsid w:val="4BB02E05"/>
    <w:rsid w:val="4C1970A6"/>
    <w:rsid w:val="4C9973DE"/>
    <w:rsid w:val="4CC4026A"/>
    <w:rsid w:val="4CDB187D"/>
    <w:rsid w:val="4CDB19D9"/>
    <w:rsid w:val="4CF85EF7"/>
    <w:rsid w:val="4D0A1810"/>
    <w:rsid w:val="4D451E79"/>
    <w:rsid w:val="4D6C217B"/>
    <w:rsid w:val="4D9A3D6D"/>
    <w:rsid w:val="4DB948E0"/>
    <w:rsid w:val="4E23390C"/>
    <w:rsid w:val="4E3153AC"/>
    <w:rsid w:val="4E425DA6"/>
    <w:rsid w:val="4E604FB7"/>
    <w:rsid w:val="4EA05CA0"/>
    <w:rsid w:val="4EA86138"/>
    <w:rsid w:val="4ED84543"/>
    <w:rsid w:val="4ED9236E"/>
    <w:rsid w:val="4F2C4CE3"/>
    <w:rsid w:val="4FC450D1"/>
    <w:rsid w:val="50414BBA"/>
    <w:rsid w:val="505D789E"/>
    <w:rsid w:val="50663DFB"/>
    <w:rsid w:val="50A7252B"/>
    <w:rsid w:val="50C335DB"/>
    <w:rsid w:val="50CD7C12"/>
    <w:rsid w:val="50FE57E0"/>
    <w:rsid w:val="512037F0"/>
    <w:rsid w:val="51426701"/>
    <w:rsid w:val="51501312"/>
    <w:rsid w:val="51870AAC"/>
    <w:rsid w:val="51C21FC2"/>
    <w:rsid w:val="51C83849"/>
    <w:rsid w:val="524B1ADA"/>
    <w:rsid w:val="5297132A"/>
    <w:rsid w:val="529A252C"/>
    <w:rsid w:val="53265BFD"/>
    <w:rsid w:val="532F103A"/>
    <w:rsid w:val="53715FFA"/>
    <w:rsid w:val="5376698C"/>
    <w:rsid w:val="53A8368D"/>
    <w:rsid w:val="53BE4267"/>
    <w:rsid w:val="54024631"/>
    <w:rsid w:val="54050ABD"/>
    <w:rsid w:val="544E75FE"/>
    <w:rsid w:val="54B75204"/>
    <w:rsid w:val="54E56DB4"/>
    <w:rsid w:val="54E57E4A"/>
    <w:rsid w:val="552B174F"/>
    <w:rsid w:val="554C1057"/>
    <w:rsid w:val="55774994"/>
    <w:rsid w:val="55B81234"/>
    <w:rsid w:val="55DF2C65"/>
    <w:rsid w:val="56994ACE"/>
    <w:rsid w:val="56A17F1A"/>
    <w:rsid w:val="56AA1C8B"/>
    <w:rsid w:val="56F877E2"/>
    <w:rsid w:val="570322E3"/>
    <w:rsid w:val="572D6A6F"/>
    <w:rsid w:val="5776041D"/>
    <w:rsid w:val="5780017C"/>
    <w:rsid w:val="57B572B3"/>
    <w:rsid w:val="580914D3"/>
    <w:rsid w:val="58350E23"/>
    <w:rsid w:val="584F561E"/>
    <w:rsid w:val="5889490B"/>
    <w:rsid w:val="589461CE"/>
    <w:rsid w:val="58D53CE7"/>
    <w:rsid w:val="58D87D2D"/>
    <w:rsid w:val="58E55665"/>
    <w:rsid w:val="59576FB6"/>
    <w:rsid w:val="599825F2"/>
    <w:rsid w:val="59AE79D5"/>
    <w:rsid w:val="59C507F4"/>
    <w:rsid w:val="59E7658C"/>
    <w:rsid w:val="5A1030D4"/>
    <w:rsid w:val="5A1F3AB0"/>
    <w:rsid w:val="5A2760A3"/>
    <w:rsid w:val="5A2B62DF"/>
    <w:rsid w:val="5A912133"/>
    <w:rsid w:val="5ABF4F1B"/>
    <w:rsid w:val="5B2205A4"/>
    <w:rsid w:val="5B4D66C3"/>
    <w:rsid w:val="5B940F85"/>
    <w:rsid w:val="5C111D1B"/>
    <w:rsid w:val="5C444223"/>
    <w:rsid w:val="5C567725"/>
    <w:rsid w:val="5CA90722"/>
    <w:rsid w:val="5CBD24BA"/>
    <w:rsid w:val="5CC04E72"/>
    <w:rsid w:val="5CFD778C"/>
    <w:rsid w:val="5D046454"/>
    <w:rsid w:val="5D232D7B"/>
    <w:rsid w:val="5D311D3C"/>
    <w:rsid w:val="5D6D3303"/>
    <w:rsid w:val="5D912C18"/>
    <w:rsid w:val="5DAC3351"/>
    <w:rsid w:val="5DCC7F73"/>
    <w:rsid w:val="5DCD746F"/>
    <w:rsid w:val="5E5F78BF"/>
    <w:rsid w:val="5E8237B3"/>
    <w:rsid w:val="5E883DC4"/>
    <w:rsid w:val="5EC77EF6"/>
    <w:rsid w:val="5ECC5D50"/>
    <w:rsid w:val="5ED25649"/>
    <w:rsid w:val="5F322F1C"/>
    <w:rsid w:val="5F3D09FC"/>
    <w:rsid w:val="5F4776A4"/>
    <w:rsid w:val="5F503DC4"/>
    <w:rsid w:val="5F6460BD"/>
    <w:rsid w:val="5F7A51CA"/>
    <w:rsid w:val="5FA850AE"/>
    <w:rsid w:val="601219E8"/>
    <w:rsid w:val="60285208"/>
    <w:rsid w:val="60A725D1"/>
    <w:rsid w:val="60D12860"/>
    <w:rsid w:val="610E5160"/>
    <w:rsid w:val="612254E4"/>
    <w:rsid w:val="61A624C6"/>
    <w:rsid w:val="61B63FF4"/>
    <w:rsid w:val="61B76597"/>
    <w:rsid w:val="61D96C58"/>
    <w:rsid w:val="62024B08"/>
    <w:rsid w:val="62182E4B"/>
    <w:rsid w:val="624A45A8"/>
    <w:rsid w:val="625F5138"/>
    <w:rsid w:val="62AE6E7B"/>
    <w:rsid w:val="631C3A98"/>
    <w:rsid w:val="637644DD"/>
    <w:rsid w:val="6393648F"/>
    <w:rsid w:val="63F70087"/>
    <w:rsid w:val="642D595E"/>
    <w:rsid w:val="64A424E9"/>
    <w:rsid w:val="64F746A5"/>
    <w:rsid w:val="652D0A45"/>
    <w:rsid w:val="654169EF"/>
    <w:rsid w:val="65615B4A"/>
    <w:rsid w:val="656F7DAF"/>
    <w:rsid w:val="65847779"/>
    <w:rsid w:val="65C01D61"/>
    <w:rsid w:val="65CB0B0F"/>
    <w:rsid w:val="65EE0E77"/>
    <w:rsid w:val="665A03C6"/>
    <w:rsid w:val="666845B1"/>
    <w:rsid w:val="667011F9"/>
    <w:rsid w:val="669870E6"/>
    <w:rsid w:val="66A00FD9"/>
    <w:rsid w:val="66E5373F"/>
    <w:rsid w:val="670D1ED3"/>
    <w:rsid w:val="67426F2D"/>
    <w:rsid w:val="67472418"/>
    <w:rsid w:val="6781166B"/>
    <w:rsid w:val="67963918"/>
    <w:rsid w:val="67AF6668"/>
    <w:rsid w:val="680F2EE0"/>
    <w:rsid w:val="684E61BC"/>
    <w:rsid w:val="6867448B"/>
    <w:rsid w:val="686E6BB6"/>
    <w:rsid w:val="6872624F"/>
    <w:rsid w:val="68817E16"/>
    <w:rsid w:val="68AB4C28"/>
    <w:rsid w:val="69203323"/>
    <w:rsid w:val="693301F1"/>
    <w:rsid w:val="693B1F82"/>
    <w:rsid w:val="695C6793"/>
    <w:rsid w:val="69764D01"/>
    <w:rsid w:val="697A64FC"/>
    <w:rsid w:val="698C6808"/>
    <w:rsid w:val="699314EA"/>
    <w:rsid w:val="699B1675"/>
    <w:rsid w:val="69A65890"/>
    <w:rsid w:val="69B2534A"/>
    <w:rsid w:val="6A3053E5"/>
    <w:rsid w:val="6A3E3148"/>
    <w:rsid w:val="6A861751"/>
    <w:rsid w:val="6A9F1A1E"/>
    <w:rsid w:val="6AA810F3"/>
    <w:rsid w:val="6AC50223"/>
    <w:rsid w:val="6ADF0C71"/>
    <w:rsid w:val="6B0074AE"/>
    <w:rsid w:val="6B193407"/>
    <w:rsid w:val="6B4373E9"/>
    <w:rsid w:val="6B6B7186"/>
    <w:rsid w:val="6B766D9B"/>
    <w:rsid w:val="6B853666"/>
    <w:rsid w:val="6B8E5A1D"/>
    <w:rsid w:val="6B901C61"/>
    <w:rsid w:val="6BA918F3"/>
    <w:rsid w:val="6BAB1D14"/>
    <w:rsid w:val="6BCF0C2E"/>
    <w:rsid w:val="6BE93687"/>
    <w:rsid w:val="6C4138A5"/>
    <w:rsid w:val="6C711AA0"/>
    <w:rsid w:val="6C7D5A61"/>
    <w:rsid w:val="6CB229DA"/>
    <w:rsid w:val="6CBE389E"/>
    <w:rsid w:val="6CFF1222"/>
    <w:rsid w:val="6D17599C"/>
    <w:rsid w:val="6D1E00BF"/>
    <w:rsid w:val="6D5621DA"/>
    <w:rsid w:val="6D6C576A"/>
    <w:rsid w:val="6D811BF6"/>
    <w:rsid w:val="6D864AB9"/>
    <w:rsid w:val="6D913D1E"/>
    <w:rsid w:val="6DAC1635"/>
    <w:rsid w:val="6E521328"/>
    <w:rsid w:val="6E855F02"/>
    <w:rsid w:val="6E91666F"/>
    <w:rsid w:val="6EAF0878"/>
    <w:rsid w:val="6EB837D6"/>
    <w:rsid w:val="6F540E87"/>
    <w:rsid w:val="6F6F162C"/>
    <w:rsid w:val="6F78394A"/>
    <w:rsid w:val="6FBB377E"/>
    <w:rsid w:val="700D7D54"/>
    <w:rsid w:val="70692FCD"/>
    <w:rsid w:val="709A216D"/>
    <w:rsid w:val="71050825"/>
    <w:rsid w:val="712B3DD2"/>
    <w:rsid w:val="71465B9C"/>
    <w:rsid w:val="7171042B"/>
    <w:rsid w:val="719370F7"/>
    <w:rsid w:val="71D46F9E"/>
    <w:rsid w:val="71F907B3"/>
    <w:rsid w:val="7235208F"/>
    <w:rsid w:val="7261345B"/>
    <w:rsid w:val="72752F3D"/>
    <w:rsid w:val="727D1D79"/>
    <w:rsid w:val="72A105C6"/>
    <w:rsid w:val="72BC0377"/>
    <w:rsid w:val="72BF19FC"/>
    <w:rsid w:val="72CB22E9"/>
    <w:rsid w:val="72D16360"/>
    <w:rsid w:val="72EB09F4"/>
    <w:rsid w:val="72FC3C1D"/>
    <w:rsid w:val="732A500F"/>
    <w:rsid w:val="735824F8"/>
    <w:rsid w:val="73850B7D"/>
    <w:rsid w:val="7390181C"/>
    <w:rsid w:val="73D634A1"/>
    <w:rsid w:val="74363F40"/>
    <w:rsid w:val="744832E5"/>
    <w:rsid w:val="74DC49EF"/>
    <w:rsid w:val="751E7C35"/>
    <w:rsid w:val="7520010B"/>
    <w:rsid w:val="752B3C4F"/>
    <w:rsid w:val="7532321A"/>
    <w:rsid w:val="75540554"/>
    <w:rsid w:val="757753B7"/>
    <w:rsid w:val="758E7EE1"/>
    <w:rsid w:val="75A60C51"/>
    <w:rsid w:val="75DD4A5B"/>
    <w:rsid w:val="75E434A7"/>
    <w:rsid w:val="75F25132"/>
    <w:rsid w:val="7614658F"/>
    <w:rsid w:val="763829FD"/>
    <w:rsid w:val="764F753B"/>
    <w:rsid w:val="76702AB6"/>
    <w:rsid w:val="76A52432"/>
    <w:rsid w:val="76EC030B"/>
    <w:rsid w:val="771A5DF6"/>
    <w:rsid w:val="77210010"/>
    <w:rsid w:val="7723683F"/>
    <w:rsid w:val="77794EF2"/>
    <w:rsid w:val="77846B1B"/>
    <w:rsid w:val="77C522E0"/>
    <w:rsid w:val="77DD221D"/>
    <w:rsid w:val="781F63BA"/>
    <w:rsid w:val="784E65E9"/>
    <w:rsid w:val="78623F86"/>
    <w:rsid w:val="786A0C1A"/>
    <w:rsid w:val="79375160"/>
    <w:rsid w:val="79416EB8"/>
    <w:rsid w:val="795637C4"/>
    <w:rsid w:val="79631000"/>
    <w:rsid w:val="79631AE8"/>
    <w:rsid w:val="79650701"/>
    <w:rsid w:val="797D172C"/>
    <w:rsid w:val="79872BA0"/>
    <w:rsid w:val="79B65310"/>
    <w:rsid w:val="79EA57FB"/>
    <w:rsid w:val="7A522482"/>
    <w:rsid w:val="7A626187"/>
    <w:rsid w:val="7A9121A0"/>
    <w:rsid w:val="7ADC43C9"/>
    <w:rsid w:val="7B073F40"/>
    <w:rsid w:val="7B614B03"/>
    <w:rsid w:val="7BA07DD1"/>
    <w:rsid w:val="7BDE1F7C"/>
    <w:rsid w:val="7BFB3DAC"/>
    <w:rsid w:val="7C156B31"/>
    <w:rsid w:val="7C1E76E7"/>
    <w:rsid w:val="7C2E5873"/>
    <w:rsid w:val="7C376F28"/>
    <w:rsid w:val="7C422497"/>
    <w:rsid w:val="7C505E4D"/>
    <w:rsid w:val="7C7D69FE"/>
    <w:rsid w:val="7C9B6740"/>
    <w:rsid w:val="7CA07B09"/>
    <w:rsid w:val="7CA854B9"/>
    <w:rsid w:val="7CC140A9"/>
    <w:rsid w:val="7CF2165E"/>
    <w:rsid w:val="7CFB66BA"/>
    <w:rsid w:val="7D250FF6"/>
    <w:rsid w:val="7D316AC6"/>
    <w:rsid w:val="7D5875A1"/>
    <w:rsid w:val="7D6C741B"/>
    <w:rsid w:val="7D761851"/>
    <w:rsid w:val="7DB639FC"/>
    <w:rsid w:val="7DE06CCB"/>
    <w:rsid w:val="7E036103"/>
    <w:rsid w:val="7E0A664D"/>
    <w:rsid w:val="7E5A4CCF"/>
    <w:rsid w:val="7E6D63D7"/>
    <w:rsid w:val="7E9417C7"/>
    <w:rsid w:val="7EB468A4"/>
    <w:rsid w:val="7EB62133"/>
    <w:rsid w:val="7EBC4FBD"/>
    <w:rsid w:val="7EED5B43"/>
    <w:rsid w:val="7F2F6F66"/>
    <w:rsid w:val="7FAF506A"/>
    <w:rsid w:val="7FBE20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5"/>
    <w:qFormat/>
    <w:uiPriority w:val="0"/>
    <w:pPr>
      <w:keepNext/>
      <w:spacing w:before="240" w:after="60"/>
      <w:outlineLvl w:val="0"/>
    </w:pPr>
    <w:rPr>
      <w:rFonts w:ascii="Cambria" w:hAnsi="Cambria"/>
      <w:b/>
      <w:bCs/>
      <w:kern w:val="32"/>
      <w:sz w:val="32"/>
      <w:szCs w:val="32"/>
    </w:rPr>
  </w:style>
  <w:style w:type="paragraph" w:styleId="4">
    <w:name w:val="heading 2"/>
    <w:basedOn w:val="1"/>
    <w:next w:val="1"/>
    <w:link w:val="86"/>
    <w:qFormat/>
    <w:uiPriority w:val="0"/>
    <w:pPr>
      <w:keepNext/>
      <w:spacing w:before="240" w:after="60"/>
      <w:outlineLvl w:val="1"/>
    </w:pPr>
    <w:rPr>
      <w:rFonts w:ascii="Cambria" w:hAnsi="Cambria"/>
      <w:b/>
      <w:bCs/>
      <w:i/>
      <w:iCs/>
      <w:sz w:val="28"/>
      <w:szCs w:val="28"/>
    </w:rPr>
  </w:style>
  <w:style w:type="paragraph" w:styleId="5">
    <w:name w:val="heading 3"/>
    <w:basedOn w:val="1"/>
    <w:next w:val="1"/>
    <w:link w:val="87"/>
    <w:qFormat/>
    <w:uiPriority w:val="0"/>
    <w:pPr>
      <w:keepNext/>
      <w:spacing w:before="240" w:after="60"/>
      <w:outlineLvl w:val="2"/>
    </w:pPr>
    <w:rPr>
      <w:rFonts w:ascii="Cambria" w:hAnsi="Cambria"/>
      <w:b/>
      <w:bCs/>
      <w:sz w:val="26"/>
      <w:szCs w:val="26"/>
    </w:rPr>
  </w:style>
  <w:style w:type="paragraph" w:styleId="6">
    <w:name w:val="heading 4"/>
    <w:basedOn w:val="1"/>
    <w:next w:val="1"/>
    <w:link w:val="88"/>
    <w:qFormat/>
    <w:uiPriority w:val="9"/>
    <w:pPr>
      <w:keepNext/>
      <w:spacing w:before="240" w:after="60"/>
      <w:outlineLvl w:val="3"/>
    </w:pPr>
    <w:rPr>
      <w:b/>
      <w:bCs/>
      <w:sz w:val="28"/>
      <w:szCs w:val="28"/>
    </w:rPr>
  </w:style>
  <w:style w:type="paragraph" w:styleId="7">
    <w:name w:val="heading 5"/>
    <w:basedOn w:val="1"/>
    <w:next w:val="1"/>
    <w:link w:val="89"/>
    <w:qFormat/>
    <w:uiPriority w:val="0"/>
    <w:pPr>
      <w:spacing w:before="240" w:after="60"/>
      <w:outlineLvl w:val="4"/>
    </w:pPr>
    <w:rPr>
      <w:b/>
      <w:bCs/>
      <w:i/>
      <w:iCs/>
      <w:sz w:val="26"/>
      <w:szCs w:val="26"/>
    </w:rPr>
  </w:style>
  <w:style w:type="paragraph" w:styleId="8">
    <w:name w:val="heading 6"/>
    <w:basedOn w:val="1"/>
    <w:next w:val="1"/>
    <w:link w:val="90"/>
    <w:qFormat/>
    <w:uiPriority w:val="9"/>
    <w:pPr>
      <w:spacing w:before="240" w:after="60"/>
      <w:outlineLvl w:val="5"/>
    </w:pPr>
    <w:rPr>
      <w:b/>
      <w:bCs/>
      <w:sz w:val="20"/>
      <w:szCs w:val="20"/>
    </w:rPr>
  </w:style>
  <w:style w:type="paragraph" w:styleId="9">
    <w:name w:val="heading 7"/>
    <w:basedOn w:val="1"/>
    <w:next w:val="1"/>
    <w:link w:val="91"/>
    <w:qFormat/>
    <w:uiPriority w:val="0"/>
    <w:pPr>
      <w:spacing w:before="240" w:after="60"/>
      <w:outlineLvl w:val="6"/>
    </w:pPr>
  </w:style>
  <w:style w:type="paragraph" w:styleId="10">
    <w:name w:val="heading 8"/>
    <w:basedOn w:val="1"/>
    <w:next w:val="1"/>
    <w:link w:val="92"/>
    <w:qFormat/>
    <w:uiPriority w:val="9"/>
    <w:pPr>
      <w:spacing w:before="240" w:after="60"/>
      <w:outlineLvl w:val="7"/>
    </w:pPr>
    <w:rPr>
      <w:i/>
      <w:iCs/>
    </w:rPr>
  </w:style>
  <w:style w:type="paragraph" w:styleId="11">
    <w:name w:val="heading 9"/>
    <w:basedOn w:val="1"/>
    <w:next w:val="1"/>
    <w:link w:val="93"/>
    <w:qFormat/>
    <w:uiPriority w:val="9"/>
    <w:pPr>
      <w:spacing w:before="240" w:after="60"/>
      <w:outlineLvl w:val="8"/>
    </w:pPr>
    <w:rPr>
      <w:rFonts w:ascii="Cambria" w:hAnsi="Cambria"/>
      <w:sz w:val="20"/>
      <w:szCs w:val="20"/>
    </w:rPr>
  </w:style>
  <w:style w:type="character" w:default="1" w:styleId="67">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link w:val="98"/>
    <w:qFormat/>
    <w:uiPriority w:val="0"/>
    <w:rPr>
      <w:rFonts w:eastAsia="黑体"/>
      <w:b/>
      <w:bCs/>
      <w:spacing w:val="20"/>
      <w:kern w:val="52"/>
      <w:sz w:val="56"/>
    </w:rPr>
  </w:style>
  <w:style w:type="paragraph" w:styleId="12">
    <w:name w:val="List 3"/>
    <w:basedOn w:val="1"/>
    <w:unhideWhenUsed/>
    <w:qFormat/>
    <w:uiPriority w:val="0"/>
    <w:pPr>
      <w:ind w:left="100" w:leftChars="400" w:hanging="200" w:hangingChars="200"/>
    </w:pPr>
  </w:style>
  <w:style w:type="paragraph" w:styleId="13">
    <w:name w:val="toc 7"/>
    <w:basedOn w:val="1"/>
    <w:next w:val="1"/>
    <w:qFormat/>
    <w:uiPriority w:val="0"/>
    <w:pPr>
      <w:ind w:left="1260"/>
    </w:pPr>
    <w:rPr>
      <w:rFonts w:ascii="仿宋_GB2312" w:eastAsia="仿宋_GB2312"/>
      <w:sz w:val="18"/>
      <w:szCs w:val="18"/>
    </w:rPr>
  </w:style>
  <w:style w:type="paragraph" w:styleId="14">
    <w:name w:val="index 8"/>
    <w:basedOn w:val="1"/>
    <w:next w:val="1"/>
    <w:qFormat/>
    <w:uiPriority w:val="0"/>
    <w:pPr>
      <w:ind w:left="1920" w:hanging="240"/>
    </w:pPr>
    <w:rPr>
      <w:rFonts w:ascii="仿宋_GB2312" w:eastAsia="仿宋_GB2312"/>
      <w:szCs w:val="28"/>
    </w:rPr>
  </w:style>
  <w:style w:type="paragraph" w:styleId="15">
    <w:name w:val="Normal Indent"/>
    <w:basedOn w:val="1"/>
    <w:next w:val="1"/>
    <w:link w:val="94"/>
    <w:qFormat/>
    <w:uiPriority w:val="0"/>
    <w:pPr>
      <w:adjustRightInd w:val="0"/>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pPr>
      <w:spacing w:after="480"/>
    </w:pPr>
    <w:rPr>
      <w:b/>
      <w:bCs/>
      <w:color w:val="4F81BD"/>
      <w:sz w:val="18"/>
      <w:szCs w:val="18"/>
      <w:lang w:eastAsia="en-US" w:bidi="en-US"/>
    </w:rPr>
  </w:style>
  <w:style w:type="paragraph" w:styleId="17">
    <w:name w:val="index 5"/>
    <w:basedOn w:val="1"/>
    <w:next w:val="1"/>
    <w:qFormat/>
    <w:uiPriority w:val="0"/>
    <w:pPr>
      <w:ind w:left="1200" w:hanging="240"/>
    </w:pPr>
    <w:rPr>
      <w:rFonts w:ascii="仿宋_GB2312" w:eastAsia="仿宋_GB2312"/>
      <w:szCs w:val="28"/>
    </w:rPr>
  </w:style>
  <w:style w:type="paragraph" w:styleId="18">
    <w:name w:val="List Bullet"/>
    <w:basedOn w:val="19"/>
    <w:qFormat/>
    <w:uiPriority w:val="0"/>
    <w:pPr>
      <w:numPr>
        <w:ilvl w:val="0"/>
        <w:numId w:val="1"/>
      </w:numPr>
      <w:tabs>
        <w:tab w:val="left" w:pos="840"/>
      </w:tabs>
      <w:spacing w:line="360" w:lineRule="auto"/>
      <w:ind w:right="720" w:firstLine="0" w:firstLineChars="0"/>
    </w:pPr>
    <w:rPr>
      <w:sz w:val="24"/>
      <w:szCs w:val="20"/>
    </w:rPr>
  </w:style>
  <w:style w:type="paragraph" w:styleId="19">
    <w:name w:val="List"/>
    <w:basedOn w:val="1"/>
    <w:qFormat/>
    <w:uiPriority w:val="0"/>
    <w:pPr>
      <w:ind w:left="200" w:hanging="200" w:hangingChars="200"/>
    </w:pPr>
    <w:rPr>
      <w:rFonts w:ascii="仿宋_GB2312" w:eastAsia="仿宋_GB2312"/>
      <w:sz w:val="28"/>
      <w:szCs w:val="28"/>
    </w:rPr>
  </w:style>
  <w:style w:type="paragraph" w:styleId="20">
    <w:name w:val="Document Map"/>
    <w:basedOn w:val="1"/>
    <w:link w:val="95"/>
    <w:qFormat/>
    <w:uiPriority w:val="0"/>
    <w:pPr>
      <w:shd w:val="clear" w:color="auto" w:fill="000080"/>
    </w:pPr>
    <w:rPr>
      <w:sz w:val="20"/>
      <w:shd w:val="clear" w:color="auto" w:fill="000080"/>
    </w:rPr>
  </w:style>
  <w:style w:type="paragraph" w:styleId="21">
    <w:name w:val="annotation text"/>
    <w:basedOn w:val="1"/>
    <w:link w:val="96"/>
    <w:unhideWhenUsed/>
    <w:qFormat/>
    <w:uiPriority w:val="0"/>
    <w:rPr>
      <w:rFonts w:ascii="仿宋_GB2312" w:eastAsia="仿宋_GB2312"/>
      <w:kern w:val="2"/>
      <w:sz w:val="28"/>
      <w:szCs w:val="28"/>
    </w:rPr>
  </w:style>
  <w:style w:type="paragraph" w:styleId="22">
    <w:name w:val="index 6"/>
    <w:basedOn w:val="1"/>
    <w:next w:val="1"/>
    <w:qFormat/>
    <w:uiPriority w:val="0"/>
    <w:pPr>
      <w:ind w:left="1440" w:hanging="240"/>
    </w:pPr>
    <w:rPr>
      <w:rFonts w:ascii="仿宋_GB2312" w:eastAsia="仿宋_GB2312"/>
      <w:szCs w:val="28"/>
    </w:rPr>
  </w:style>
  <w:style w:type="paragraph" w:styleId="23">
    <w:name w:val="Body Text 3"/>
    <w:basedOn w:val="1"/>
    <w:link w:val="97"/>
    <w:qFormat/>
    <w:uiPriority w:val="0"/>
    <w:rPr>
      <w:rFonts w:ascii="宋体" w:hAnsi="宋体"/>
      <w:b/>
      <w:bCs/>
      <w:kern w:val="2"/>
    </w:rPr>
  </w:style>
  <w:style w:type="paragraph" w:styleId="24">
    <w:name w:val="Body Text Indent"/>
    <w:basedOn w:val="1"/>
    <w:link w:val="99"/>
    <w:qFormat/>
    <w:uiPriority w:val="0"/>
    <w:pPr>
      <w:spacing w:line="360" w:lineRule="auto"/>
      <w:ind w:firstLine="435"/>
    </w:pPr>
    <w:rPr>
      <w:kern w:val="2"/>
      <w:sz w:val="28"/>
    </w:rPr>
  </w:style>
  <w:style w:type="paragraph" w:styleId="25">
    <w:name w:val="List Number 3"/>
    <w:basedOn w:val="1"/>
    <w:qFormat/>
    <w:uiPriority w:val="0"/>
    <w:pPr>
      <w:numPr>
        <w:ilvl w:val="0"/>
        <w:numId w:val="2"/>
      </w:numPr>
      <w:contextualSpacing/>
    </w:pPr>
    <w:rPr>
      <w:rFonts w:ascii="仿宋_GB2312" w:eastAsia="仿宋_GB2312"/>
      <w:sz w:val="28"/>
      <w:szCs w:val="28"/>
    </w:rPr>
  </w:style>
  <w:style w:type="paragraph" w:styleId="26">
    <w:name w:val="List 2"/>
    <w:basedOn w:val="19"/>
    <w:qFormat/>
    <w:uiPriority w:val="0"/>
    <w:pPr>
      <w:spacing w:after="120" w:line="400" w:lineRule="exact"/>
      <w:ind w:left="0" w:firstLine="0" w:firstLineChars="0"/>
    </w:pPr>
    <w:rPr>
      <w:sz w:val="24"/>
      <w:szCs w:val="20"/>
    </w:rPr>
  </w:style>
  <w:style w:type="paragraph" w:styleId="27">
    <w:name w:val="Block Text"/>
    <w:basedOn w:val="1"/>
    <w:unhideWhenUsed/>
    <w:qFormat/>
    <w:uiPriority w:val="99"/>
    <w:pPr>
      <w:spacing w:after="120"/>
      <w:ind w:left="1440" w:leftChars="700" w:right="1440" w:rightChars="700"/>
    </w:pPr>
  </w:style>
  <w:style w:type="paragraph" w:styleId="28">
    <w:name w:val="List Bullet 2"/>
    <w:basedOn w:val="1"/>
    <w:qFormat/>
    <w:uiPriority w:val="0"/>
    <w:pPr>
      <w:tabs>
        <w:tab w:val="left" w:pos="1440"/>
      </w:tabs>
      <w:ind w:left="1440" w:hanging="720"/>
    </w:pPr>
    <w:rPr>
      <w:rFonts w:ascii="Tahoma" w:hAnsi="Tahoma" w:eastAsia="仿宋_GB2312" w:cs="Tahoma"/>
      <w:szCs w:val="28"/>
      <w:lang w:val="en-US" w:eastAsia="en-US"/>
    </w:rPr>
  </w:style>
  <w:style w:type="paragraph" w:styleId="29">
    <w:name w:val="index 4"/>
    <w:basedOn w:val="1"/>
    <w:next w:val="1"/>
    <w:qFormat/>
    <w:uiPriority w:val="0"/>
    <w:pPr>
      <w:ind w:left="960" w:hanging="240"/>
    </w:pPr>
    <w:rPr>
      <w:rFonts w:ascii="仿宋_GB2312" w:eastAsia="仿宋_GB2312"/>
      <w:szCs w:val="28"/>
    </w:rPr>
  </w:style>
  <w:style w:type="paragraph" w:styleId="30">
    <w:name w:val="toc 5"/>
    <w:basedOn w:val="1"/>
    <w:next w:val="1"/>
    <w:qFormat/>
    <w:uiPriority w:val="0"/>
    <w:pPr>
      <w:ind w:left="840"/>
    </w:pPr>
    <w:rPr>
      <w:rFonts w:ascii="仿宋_GB2312" w:eastAsia="仿宋_GB2312"/>
      <w:sz w:val="18"/>
      <w:szCs w:val="18"/>
    </w:rPr>
  </w:style>
  <w:style w:type="paragraph" w:styleId="31">
    <w:name w:val="toc 3"/>
    <w:basedOn w:val="1"/>
    <w:next w:val="1"/>
    <w:qFormat/>
    <w:uiPriority w:val="0"/>
    <w:pPr>
      <w:ind w:left="420"/>
    </w:pPr>
    <w:rPr>
      <w:rFonts w:ascii="仿宋_GB2312" w:eastAsia="仿宋_GB2312"/>
      <w:i/>
      <w:iCs/>
      <w:sz w:val="20"/>
    </w:rPr>
  </w:style>
  <w:style w:type="paragraph" w:styleId="32">
    <w:name w:val="Plain Text"/>
    <w:basedOn w:val="1"/>
    <w:link w:val="100"/>
    <w:qFormat/>
    <w:uiPriority w:val="0"/>
    <w:rPr>
      <w:rFonts w:ascii="宋体" w:hAnsi="Courier New"/>
      <w:kern w:val="2"/>
      <w:sz w:val="21"/>
      <w:szCs w:val="20"/>
    </w:rPr>
  </w:style>
  <w:style w:type="paragraph" w:styleId="33">
    <w:name w:val="toc 8"/>
    <w:basedOn w:val="1"/>
    <w:next w:val="1"/>
    <w:qFormat/>
    <w:uiPriority w:val="0"/>
    <w:pPr>
      <w:ind w:left="1470"/>
    </w:pPr>
    <w:rPr>
      <w:rFonts w:ascii="仿宋_GB2312" w:eastAsia="仿宋_GB2312"/>
      <w:sz w:val="18"/>
      <w:szCs w:val="18"/>
    </w:rPr>
  </w:style>
  <w:style w:type="paragraph" w:styleId="34">
    <w:name w:val="index 3"/>
    <w:basedOn w:val="1"/>
    <w:next w:val="1"/>
    <w:qFormat/>
    <w:uiPriority w:val="0"/>
    <w:pPr>
      <w:ind w:left="720" w:hanging="240"/>
    </w:pPr>
    <w:rPr>
      <w:rFonts w:ascii="仿宋_GB2312" w:eastAsia="仿宋_GB2312"/>
      <w:szCs w:val="28"/>
    </w:rPr>
  </w:style>
  <w:style w:type="paragraph" w:styleId="35">
    <w:name w:val="Date"/>
    <w:basedOn w:val="1"/>
    <w:next w:val="1"/>
    <w:link w:val="101"/>
    <w:qFormat/>
    <w:uiPriority w:val="0"/>
    <w:pPr>
      <w:ind w:left="100" w:leftChars="2500"/>
    </w:pPr>
    <w:rPr>
      <w:kern w:val="2"/>
      <w:sz w:val="21"/>
      <w:szCs w:val="20"/>
    </w:rPr>
  </w:style>
  <w:style w:type="paragraph" w:styleId="36">
    <w:name w:val="Body Text Indent 2"/>
    <w:basedOn w:val="1"/>
    <w:link w:val="102"/>
    <w:qFormat/>
    <w:uiPriority w:val="0"/>
    <w:pPr>
      <w:spacing w:line="432" w:lineRule="auto"/>
      <w:ind w:firstLine="480" w:firstLineChars="200"/>
    </w:pPr>
    <w:rPr>
      <w:kern w:val="2"/>
      <w:szCs w:val="21"/>
    </w:rPr>
  </w:style>
  <w:style w:type="paragraph" w:styleId="37">
    <w:name w:val="endnote text"/>
    <w:basedOn w:val="1"/>
    <w:link w:val="103"/>
    <w:qFormat/>
    <w:uiPriority w:val="0"/>
    <w:pPr>
      <w:snapToGrid w:val="0"/>
    </w:pPr>
    <w:rPr>
      <w:rFonts w:ascii="仿宋_GB2312" w:eastAsia="仿宋_GB2312"/>
      <w:kern w:val="2"/>
      <w:sz w:val="28"/>
      <w:szCs w:val="28"/>
    </w:rPr>
  </w:style>
  <w:style w:type="paragraph" w:styleId="38">
    <w:name w:val="Balloon Text"/>
    <w:basedOn w:val="1"/>
    <w:link w:val="104"/>
    <w:semiHidden/>
    <w:qFormat/>
    <w:uiPriority w:val="99"/>
    <w:rPr>
      <w:kern w:val="2"/>
      <w:sz w:val="18"/>
      <w:szCs w:val="18"/>
    </w:rPr>
  </w:style>
  <w:style w:type="paragraph" w:styleId="39">
    <w:name w:val="footer"/>
    <w:basedOn w:val="1"/>
    <w:link w:val="105"/>
    <w:qFormat/>
    <w:uiPriority w:val="99"/>
    <w:pPr>
      <w:tabs>
        <w:tab w:val="center" w:pos="4153"/>
        <w:tab w:val="right" w:pos="8306"/>
      </w:tabs>
      <w:snapToGrid w:val="0"/>
    </w:pPr>
    <w:rPr>
      <w:kern w:val="2"/>
      <w:sz w:val="18"/>
      <w:szCs w:val="18"/>
    </w:rPr>
  </w:style>
  <w:style w:type="paragraph" w:styleId="40">
    <w:name w:val="envelope return"/>
    <w:basedOn w:val="1"/>
    <w:qFormat/>
    <w:uiPriority w:val="0"/>
    <w:pPr>
      <w:snapToGrid w:val="0"/>
    </w:pPr>
    <w:rPr>
      <w:rFonts w:ascii="Arial" w:hAnsi="Arial"/>
    </w:rPr>
  </w:style>
  <w:style w:type="paragraph" w:styleId="41">
    <w:name w:val="header"/>
    <w:basedOn w:val="1"/>
    <w:link w:val="10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szCs w:val="20"/>
    </w:rPr>
  </w:style>
  <w:style w:type="paragraph" w:styleId="42">
    <w:name w:val="toc 1"/>
    <w:basedOn w:val="1"/>
    <w:next w:val="1"/>
    <w:qFormat/>
    <w:uiPriority w:val="39"/>
    <w:pPr>
      <w:spacing w:line="360" w:lineRule="auto"/>
    </w:pPr>
    <w:rPr>
      <w:rFonts w:eastAsia="仿宋_GB2312"/>
      <w:sz w:val="32"/>
    </w:rPr>
  </w:style>
  <w:style w:type="paragraph" w:styleId="43">
    <w:name w:val="toc 4"/>
    <w:basedOn w:val="1"/>
    <w:next w:val="1"/>
    <w:qFormat/>
    <w:uiPriority w:val="0"/>
    <w:pPr>
      <w:ind w:left="630"/>
    </w:pPr>
    <w:rPr>
      <w:rFonts w:ascii="仿宋_GB2312" w:eastAsia="仿宋_GB2312"/>
      <w:sz w:val="18"/>
      <w:szCs w:val="18"/>
    </w:rPr>
  </w:style>
  <w:style w:type="paragraph" w:styleId="44">
    <w:name w:val="index heading"/>
    <w:basedOn w:val="1"/>
    <w:next w:val="45"/>
    <w:qFormat/>
    <w:uiPriority w:val="0"/>
    <w:rPr>
      <w:rFonts w:ascii="仿宋_GB2312" w:eastAsia="仿宋_GB2312"/>
      <w:szCs w:val="28"/>
    </w:rPr>
  </w:style>
  <w:style w:type="paragraph" w:styleId="45">
    <w:name w:val="index 1"/>
    <w:basedOn w:val="1"/>
    <w:next w:val="1"/>
    <w:qFormat/>
    <w:uiPriority w:val="0"/>
    <w:pPr>
      <w:spacing w:line="360" w:lineRule="auto"/>
      <w:ind w:left="240" w:hanging="240"/>
    </w:pPr>
    <w:rPr>
      <w:rFonts w:ascii="Arial" w:hAnsi="Arial" w:eastAsia="仿宋_GB2312" w:cs="Arial"/>
      <w:sz w:val="28"/>
      <w:szCs w:val="21"/>
    </w:rPr>
  </w:style>
  <w:style w:type="paragraph" w:styleId="46">
    <w:name w:val="Subtitle"/>
    <w:basedOn w:val="1"/>
    <w:next w:val="1"/>
    <w:link w:val="107"/>
    <w:qFormat/>
    <w:uiPriority w:val="11"/>
    <w:pPr>
      <w:spacing w:after="60"/>
      <w:jc w:val="center"/>
      <w:outlineLvl w:val="1"/>
    </w:pPr>
    <w:rPr>
      <w:rFonts w:ascii="Cambria" w:hAnsi="Cambria"/>
    </w:rPr>
  </w:style>
  <w:style w:type="paragraph" w:styleId="47">
    <w:name w:val="footnote text"/>
    <w:basedOn w:val="1"/>
    <w:link w:val="108"/>
    <w:qFormat/>
    <w:uiPriority w:val="0"/>
    <w:pPr>
      <w:snapToGrid w:val="0"/>
    </w:pPr>
    <w:rPr>
      <w:rFonts w:ascii="仿宋_GB2312" w:eastAsia="仿宋_GB2312"/>
      <w:kern w:val="2"/>
      <w:sz w:val="18"/>
      <w:szCs w:val="18"/>
    </w:rPr>
  </w:style>
  <w:style w:type="paragraph" w:styleId="48">
    <w:name w:val="toc 6"/>
    <w:basedOn w:val="1"/>
    <w:next w:val="1"/>
    <w:qFormat/>
    <w:uiPriority w:val="0"/>
    <w:pPr>
      <w:ind w:left="1050"/>
    </w:pPr>
    <w:rPr>
      <w:rFonts w:ascii="仿宋_GB2312" w:eastAsia="仿宋_GB2312"/>
      <w:sz w:val="18"/>
      <w:szCs w:val="18"/>
    </w:rPr>
  </w:style>
  <w:style w:type="paragraph" w:styleId="49">
    <w:name w:val="Body Text Indent 3"/>
    <w:basedOn w:val="1"/>
    <w:link w:val="109"/>
    <w:qFormat/>
    <w:uiPriority w:val="0"/>
    <w:pPr>
      <w:spacing w:line="540" w:lineRule="exact"/>
      <w:ind w:left="479" w:leftChars="228"/>
    </w:pPr>
    <w:rPr>
      <w:rFonts w:ascii="隶书" w:hAnsi="宋体" w:eastAsia="隶书"/>
      <w:kern w:val="2"/>
      <w:sz w:val="21"/>
    </w:rPr>
  </w:style>
  <w:style w:type="paragraph" w:styleId="50">
    <w:name w:val="index 7"/>
    <w:basedOn w:val="1"/>
    <w:next w:val="1"/>
    <w:qFormat/>
    <w:uiPriority w:val="0"/>
    <w:pPr>
      <w:ind w:left="1680" w:hanging="240"/>
    </w:pPr>
    <w:rPr>
      <w:rFonts w:ascii="仿宋_GB2312" w:eastAsia="仿宋_GB2312"/>
      <w:szCs w:val="28"/>
    </w:rPr>
  </w:style>
  <w:style w:type="paragraph" w:styleId="51">
    <w:name w:val="index 9"/>
    <w:basedOn w:val="1"/>
    <w:next w:val="1"/>
    <w:qFormat/>
    <w:uiPriority w:val="0"/>
    <w:pPr>
      <w:ind w:left="2160" w:hanging="240"/>
    </w:pPr>
    <w:rPr>
      <w:rFonts w:ascii="仿宋_GB2312" w:eastAsia="仿宋_GB2312"/>
      <w:szCs w:val="28"/>
    </w:rPr>
  </w:style>
  <w:style w:type="paragraph" w:styleId="52">
    <w:name w:val="table of figures"/>
    <w:basedOn w:val="1"/>
    <w:next w:val="1"/>
    <w:qFormat/>
    <w:uiPriority w:val="0"/>
    <w:pPr>
      <w:ind w:left="480" w:hanging="480"/>
    </w:pPr>
    <w:rPr>
      <w:rFonts w:ascii="仿宋_GB2312" w:eastAsia="仿宋_GB2312"/>
      <w:szCs w:val="28"/>
    </w:rPr>
  </w:style>
  <w:style w:type="paragraph" w:styleId="53">
    <w:name w:val="toc 2"/>
    <w:basedOn w:val="1"/>
    <w:next w:val="1"/>
    <w:qFormat/>
    <w:uiPriority w:val="39"/>
    <w:pPr>
      <w:ind w:left="210"/>
    </w:pPr>
    <w:rPr>
      <w:rFonts w:ascii="仿宋_GB2312" w:eastAsia="仿宋_GB2312"/>
      <w:smallCaps/>
      <w:sz w:val="20"/>
    </w:rPr>
  </w:style>
  <w:style w:type="paragraph" w:styleId="54">
    <w:name w:val="toc 9"/>
    <w:basedOn w:val="1"/>
    <w:next w:val="1"/>
    <w:qFormat/>
    <w:uiPriority w:val="0"/>
    <w:pPr>
      <w:ind w:left="1680"/>
    </w:pPr>
    <w:rPr>
      <w:rFonts w:ascii="仿宋_GB2312" w:eastAsia="仿宋_GB2312"/>
      <w:sz w:val="18"/>
      <w:szCs w:val="18"/>
    </w:rPr>
  </w:style>
  <w:style w:type="paragraph" w:styleId="55">
    <w:name w:val="Body Text 2"/>
    <w:basedOn w:val="1"/>
    <w:link w:val="110"/>
    <w:qFormat/>
    <w:uiPriority w:val="0"/>
    <w:pPr>
      <w:spacing w:line="360" w:lineRule="auto"/>
    </w:pPr>
    <w:rPr>
      <w:kern w:val="2"/>
    </w:rPr>
  </w:style>
  <w:style w:type="paragraph" w:styleId="56">
    <w:name w:val="HTML Preformatted"/>
    <w:basedOn w:val="1"/>
    <w:link w:val="1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57">
    <w:name w:val="Normal (Web)"/>
    <w:basedOn w:val="1"/>
    <w:qFormat/>
    <w:uiPriority w:val="99"/>
    <w:pPr>
      <w:spacing w:before="100" w:beforeAutospacing="1" w:after="100" w:afterAutospacing="1"/>
    </w:pPr>
    <w:rPr>
      <w:rFonts w:ascii="宋体" w:hAnsi="宋体"/>
    </w:rPr>
  </w:style>
  <w:style w:type="paragraph" w:styleId="58">
    <w:name w:val="index 2"/>
    <w:basedOn w:val="1"/>
    <w:next w:val="1"/>
    <w:qFormat/>
    <w:uiPriority w:val="0"/>
    <w:pPr>
      <w:ind w:left="480" w:hanging="240"/>
    </w:pPr>
    <w:rPr>
      <w:rFonts w:ascii="仿宋_GB2312" w:eastAsia="仿宋_GB2312"/>
      <w:szCs w:val="28"/>
    </w:rPr>
  </w:style>
  <w:style w:type="paragraph" w:styleId="59">
    <w:name w:val="Title"/>
    <w:basedOn w:val="1"/>
    <w:next w:val="1"/>
    <w:link w:val="112"/>
    <w:qFormat/>
    <w:uiPriority w:val="10"/>
    <w:pPr>
      <w:spacing w:before="240" w:after="60"/>
      <w:jc w:val="center"/>
      <w:outlineLvl w:val="0"/>
    </w:pPr>
    <w:rPr>
      <w:rFonts w:ascii="Cambria" w:hAnsi="Cambria"/>
      <w:b/>
      <w:bCs/>
      <w:kern w:val="28"/>
      <w:sz w:val="32"/>
      <w:szCs w:val="32"/>
    </w:rPr>
  </w:style>
  <w:style w:type="paragraph" w:styleId="60">
    <w:name w:val="annotation subject"/>
    <w:basedOn w:val="21"/>
    <w:next w:val="21"/>
    <w:link w:val="113"/>
    <w:qFormat/>
    <w:uiPriority w:val="0"/>
    <w:rPr>
      <w:rFonts w:ascii="Times New Roman" w:eastAsia="宋体"/>
      <w:b/>
      <w:bCs/>
      <w:sz w:val="21"/>
      <w:szCs w:val="24"/>
    </w:rPr>
  </w:style>
  <w:style w:type="paragraph" w:styleId="61">
    <w:name w:val="Body Text First Indent"/>
    <w:basedOn w:val="2"/>
    <w:next w:val="1"/>
    <w:link w:val="114"/>
    <w:qFormat/>
    <w:uiPriority w:val="99"/>
    <w:pPr>
      <w:adjustRightInd w:val="0"/>
      <w:spacing w:after="120" w:line="360" w:lineRule="auto"/>
      <w:ind w:firstLine="420"/>
      <w:textAlignment w:val="baseline"/>
    </w:pPr>
    <w:rPr>
      <w:rFonts w:ascii="Calibri" w:hAnsi="Calibri" w:eastAsia="楷体_GB2312"/>
      <w:b w:val="0"/>
      <w:bCs w:val="0"/>
      <w:spacing w:val="0"/>
      <w:kern w:val="0"/>
      <w:sz w:val="24"/>
      <w:szCs w:val="20"/>
    </w:rPr>
  </w:style>
  <w:style w:type="paragraph" w:styleId="62">
    <w:name w:val="Body Text First Indent 2"/>
    <w:basedOn w:val="24"/>
    <w:unhideWhenUsed/>
    <w:qFormat/>
    <w:uiPriority w:val="99"/>
    <w:pPr>
      <w:ind w:firstLine="420" w:firstLineChars="200"/>
    </w:p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Classic 1"/>
    <w:basedOn w:val="63"/>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8">
    <w:name w:val="Strong"/>
    <w:qFormat/>
    <w:uiPriority w:val="0"/>
    <w:rPr>
      <w:b/>
      <w:bCs/>
    </w:rPr>
  </w:style>
  <w:style w:type="character" w:styleId="69">
    <w:name w:val="endnote reference"/>
    <w:qFormat/>
    <w:uiPriority w:val="0"/>
    <w:rPr>
      <w:vertAlign w:val="superscript"/>
    </w:rPr>
  </w:style>
  <w:style w:type="character" w:styleId="70">
    <w:name w:val="page number"/>
    <w:qFormat/>
    <w:uiPriority w:val="0"/>
  </w:style>
  <w:style w:type="character" w:styleId="71">
    <w:name w:val="FollowedHyperlink"/>
    <w:qFormat/>
    <w:uiPriority w:val="99"/>
    <w:rPr>
      <w:color w:val="0088CC"/>
      <w:u w:val="none"/>
    </w:rPr>
  </w:style>
  <w:style w:type="character" w:styleId="72">
    <w:name w:val="Emphasis"/>
    <w:qFormat/>
    <w:uiPriority w:val="20"/>
    <w:rPr>
      <w:rFonts w:ascii="Calibri" w:hAnsi="Calibri"/>
      <w:b/>
      <w:i/>
      <w:iCs/>
    </w:rPr>
  </w:style>
  <w:style w:type="character" w:styleId="73">
    <w:name w:val="HTML Definition"/>
    <w:qFormat/>
    <w:uiPriority w:val="0"/>
  </w:style>
  <w:style w:type="character" w:styleId="74">
    <w:name w:val="HTML Typewriter"/>
    <w:qFormat/>
    <w:uiPriority w:val="0"/>
    <w:rPr>
      <w:rFonts w:ascii="monospace" w:hAnsi="monospace" w:eastAsia="monospace" w:cs="monospace"/>
      <w:sz w:val="20"/>
    </w:rPr>
  </w:style>
  <w:style w:type="character" w:styleId="75">
    <w:name w:val="HTML Acronym"/>
    <w:qFormat/>
    <w:uiPriority w:val="0"/>
  </w:style>
  <w:style w:type="character" w:styleId="76">
    <w:name w:val="HTML Variable"/>
    <w:qFormat/>
    <w:uiPriority w:val="0"/>
  </w:style>
  <w:style w:type="character" w:styleId="77">
    <w:name w:val="Hyperlink"/>
    <w:qFormat/>
    <w:uiPriority w:val="99"/>
    <w:rPr>
      <w:color w:val="0088CC"/>
      <w:u w:val="none"/>
    </w:rPr>
  </w:style>
  <w:style w:type="character" w:styleId="78">
    <w:name w:val="HTML Code"/>
    <w:qFormat/>
    <w:uiPriority w:val="0"/>
    <w:rPr>
      <w:rFonts w:hint="default" w:ascii="monospace" w:hAnsi="monospace" w:eastAsia="monospace" w:cs="monospace"/>
      <w:sz w:val="20"/>
    </w:rPr>
  </w:style>
  <w:style w:type="character" w:styleId="79">
    <w:name w:val="annotation reference"/>
    <w:qFormat/>
    <w:uiPriority w:val="0"/>
    <w:rPr>
      <w:sz w:val="21"/>
      <w:szCs w:val="21"/>
    </w:rPr>
  </w:style>
  <w:style w:type="character" w:styleId="80">
    <w:name w:val="HTML Cite"/>
    <w:qFormat/>
    <w:uiPriority w:val="0"/>
  </w:style>
  <w:style w:type="character" w:styleId="81">
    <w:name w:val="footnote reference"/>
    <w:qFormat/>
    <w:uiPriority w:val="0"/>
    <w:rPr>
      <w:vertAlign w:val="superscript"/>
    </w:rPr>
  </w:style>
  <w:style w:type="character" w:styleId="82">
    <w:name w:val="HTML Keyboard"/>
    <w:qFormat/>
    <w:uiPriority w:val="0"/>
    <w:rPr>
      <w:rFonts w:hint="default" w:ascii="monospace" w:hAnsi="monospace" w:eastAsia="monospace" w:cs="monospace"/>
      <w:sz w:val="20"/>
    </w:rPr>
  </w:style>
  <w:style w:type="character" w:styleId="83">
    <w:name w:val="HTML Sample"/>
    <w:qFormat/>
    <w:uiPriority w:val="0"/>
    <w:rPr>
      <w:rFonts w:hint="default" w:ascii="monospace" w:hAnsi="monospace" w:eastAsia="monospace" w:cs="monospace"/>
    </w:rPr>
  </w:style>
  <w:style w:type="paragraph" w:customStyle="1" w:styleId="84">
    <w:name w:val="Default"/>
    <w:next w:val="1"/>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85">
    <w:name w:val="标题 1 字符"/>
    <w:link w:val="3"/>
    <w:qFormat/>
    <w:uiPriority w:val="0"/>
    <w:rPr>
      <w:rFonts w:ascii="Cambria" w:hAnsi="Cambria" w:eastAsia="宋体"/>
      <w:b/>
      <w:bCs/>
      <w:kern w:val="32"/>
      <w:sz w:val="32"/>
      <w:szCs w:val="32"/>
    </w:rPr>
  </w:style>
  <w:style w:type="character" w:customStyle="1" w:styleId="86">
    <w:name w:val="标题 2 字符"/>
    <w:link w:val="4"/>
    <w:qFormat/>
    <w:uiPriority w:val="0"/>
    <w:rPr>
      <w:rFonts w:ascii="Cambria" w:hAnsi="Cambria" w:eastAsia="宋体"/>
      <w:b/>
      <w:bCs/>
      <w:i/>
      <w:iCs/>
      <w:sz w:val="28"/>
      <w:szCs w:val="28"/>
    </w:rPr>
  </w:style>
  <w:style w:type="character" w:customStyle="1" w:styleId="87">
    <w:name w:val="标题 3 字符"/>
    <w:link w:val="5"/>
    <w:qFormat/>
    <w:uiPriority w:val="0"/>
    <w:rPr>
      <w:rFonts w:ascii="Cambria" w:hAnsi="Cambria" w:eastAsia="宋体"/>
      <w:b/>
      <w:bCs/>
      <w:sz w:val="26"/>
      <w:szCs w:val="26"/>
    </w:rPr>
  </w:style>
  <w:style w:type="character" w:customStyle="1" w:styleId="88">
    <w:name w:val="标题 4 字符"/>
    <w:link w:val="6"/>
    <w:qFormat/>
    <w:uiPriority w:val="9"/>
    <w:rPr>
      <w:b/>
      <w:bCs/>
      <w:sz w:val="28"/>
      <w:szCs w:val="28"/>
    </w:rPr>
  </w:style>
  <w:style w:type="character" w:customStyle="1" w:styleId="89">
    <w:name w:val="标题 5 字符"/>
    <w:link w:val="7"/>
    <w:qFormat/>
    <w:uiPriority w:val="0"/>
    <w:rPr>
      <w:b/>
      <w:bCs/>
      <w:i/>
      <w:iCs/>
      <w:sz w:val="26"/>
      <w:szCs w:val="26"/>
    </w:rPr>
  </w:style>
  <w:style w:type="character" w:customStyle="1" w:styleId="90">
    <w:name w:val="标题 6 字符"/>
    <w:link w:val="8"/>
    <w:qFormat/>
    <w:uiPriority w:val="9"/>
    <w:rPr>
      <w:b/>
      <w:bCs/>
    </w:rPr>
  </w:style>
  <w:style w:type="character" w:customStyle="1" w:styleId="91">
    <w:name w:val="标题 7 字符"/>
    <w:link w:val="9"/>
    <w:qFormat/>
    <w:uiPriority w:val="0"/>
    <w:rPr>
      <w:sz w:val="24"/>
      <w:szCs w:val="24"/>
    </w:rPr>
  </w:style>
  <w:style w:type="character" w:customStyle="1" w:styleId="92">
    <w:name w:val="标题 8 字符"/>
    <w:link w:val="10"/>
    <w:qFormat/>
    <w:uiPriority w:val="9"/>
    <w:rPr>
      <w:i/>
      <w:iCs/>
      <w:sz w:val="24"/>
      <w:szCs w:val="24"/>
    </w:rPr>
  </w:style>
  <w:style w:type="character" w:customStyle="1" w:styleId="93">
    <w:name w:val="标题 9 字符"/>
    <w:link w:val="11"/>
    <w:qFormat/>
    <w:uiPriority w:val="9"/>
    <w:rPr>
      <w:rFonts w:ascii="Cambria" w:hAnsi="Cambria" w:eastAsia="宋体"/>
    </w:rPr>
  </w:style>
  <w:style w:type="character" w:customStyle="1" w:styleId="94">
    <w:name w:val="正文缩进 字符"/>
    <w:link w:val="15"/>
    <w:qFormat/>
    <w:uiPriority w:val="0"/>
    <w:rPr>
      <w:rFonts w:ascii="宋体" w:eastAsia="宋体"/>
      <w:snapToGrid w:val="0"/>
      <w:color w:val="000000"/>
      <w:kern w:val="28"/>
      <w:sz w:val="28"/>
      <w:lang w:val="en-US" w:eastAsia="zh-CN" w:bidi="ar-SA"/>
    </w:rPr>
  </w:style>
  <w:style w:type="character" w:customStyle="1" w:styleId="95">
    <w:name w:val="文档结构图 字符"/>
    <w:link w:val="20"/>
    <w:qFormat/>
    <w:uiPriority w:val="0"/>
    <w:rPr>
      <w:rFonts w:eastAsia="宋体"/>
      <w:szCs w:val="24"/>
      <w:shd w:val="clear" w:color="auto" w:fill="000080"/>
      <w:lang w:bidi="ar-SA"/>
    </w:rPr>
  </w:style>
  <w:style w:type="character" w:customStyle="1" w:styleId="96">
    <w:name w:val="批注文字 字符"/>
    <w:link w:val="21"/>
    <w:qFormat/>
    <w:uiPriority w:val="0"/>
    <w:rPr>
      <w:rFonts w:ascii="仿宋_GB2312" w:eastAsia="仿宋_GB2312"/>
      <w:kern w:val="2"/>
      <w:sz w:val="28"/>
      <w:szCs w:val="28"/>
      <w:lang w:val="en-US" w:eastAsia="zh-CN" w:bidi="ar-SA"/>
    </w:rPr>
  </w:style>
  <w:style w:type="character" w:customStyle="1" w:styleId="97">
    <w:name w:val="正文文本 3 字符"/>
    <w:link w:val="23"/>
    <w:qFormat/>
    <w:uiPriority w:val="0"/>
    <w:rPr>
      <w:rFonts w:ascii="宋体" w:hAnsi="宋体" w:eastAsia="宋体"/>
      <w:b/>
      <w:bCs/>
      <w:kern w:val="2"/>
      <w:sz w:val="24"/>
      <w:szCs w:val="24"/>
      <w:lang w:val="en-US" w:eastAsia="zh-CN" w:bidi="ar-SA"/>
    </w:rPr>
  </w:style>
  <w:style w:type="character" w:customStyle="1" w:styleId="98">
    <w:name w:val="正文文本 字符"/>
    <w:link w:val="2"/>
    <w:qFormat/>
    <w:uiPriority w:val="0"/>
    <w:rPr>
      <w:rFonts w:eastAsia="黑体"/>
      <w:b/>
      <w:bCs/>
      <w:spacing w:val="20"/>
      <w:kern w:val="52"/>
      <w:sz w:val="56"/>
      <w:szCs w:val="24"/>
      <w:lang w:val="en-US" w:eastAsia="zh-CN" w:bidi="ar-SA"/>
    </w:rPr>
  </w:style>
  <w:style w:type="character" w:customStyle="1" w:styleId="99">
    <w:name w:val="正文文本缩进 字符"/>
    <w:link w:val="24"/>
    <w:qFormat/>
    <w:uiPriority w:val="0"/>
    <w:rPr>
      <w:rFonts w:eastAsia="宋体"/>
      <w:kern w:val="2"/>
      <w:sz w:val="28"/>
      <w:szCs w:val="24"/>
      <w:lang w:val="en-US" w:eastAsia="zh-CN" w:bidi="ar-SA"/>
    </w:rPr>
  </w:style>
  <w:style w:type="character" w:customStyle="1" w:styleId="100">
    <w:name w:val="纯文本 字符"/>
    <w:link w:val="32"/>
    <w:qFormat/>
    <w:locked/>
    <w:uiPriority w:val="0"/>
    <w:rPr>
      <w:rFonts w:ascii="宋体" w:hAnsi="Courier New" w:eastAsia="宋体"/>
      <w:kern w:val="2"/>
      <w:sz w:val="21"/>
      <w:lang w:val="en-US" w:eastAsia="zh-CN" w:bidi="ar-SA"/>
    </w:rPr>
  </w:style>
  <w:style w:type="character" w:customStyle="1" w:styleId="101">
    <w:name w:val="日期 字符"/>
    <w:link w:val="35"/>
    <w:qFormat/>
    <w:uiPriority w:val="0"/>
    <w:rPr>
      <w:rFonts w:eastAsia="宋体"/>
      <w:kern w:val="2"/>
      <w:sz w:val="21"/>
      <w:lang w:val="en-US" w:eastAsia="zh-CN" w:bidi="ar-SA"/>
    </w:rPr>
  </w:style>
  <w:style w:type="character" w:customStyle="1" w:styleId="102">
    <w:name w:val="正文文本缩进 2 字符"/>
    <w:link w:val="36"/>
    <w:semiHidden/>
    <w:qFormat/>
    <w:uiPriority w:val="0"/>
    <w:rPr>
      <w:rFonts w:eastAsia="宋体"/>
      <w:kern w:val="2"/>
      <w:sz w:val="24"/>
      <w:szCs w:val="21"/>
      <w:lang w:val="en-US" w:eastAsia="zh-CN" w:bidi="ar-SA"/>
    </w:rPr>
  </w:style>
  <w:style w:type="character" w:customStyle="1" w:styleId="103">
    <w:name w:val="尾注文本 字符"/>
    <w:link w:val="37"/>
    <w:qFormat/>
    <w:uiPriority w:val="0"/>
    <w:rPr>
      <w:rFonts w:ascii="仿宋_GB2312" w:eastAsia="仿宋_GB2312"/>
      <w:kern w:val="2"/>
      <w:sz w:val="28"/>
      <w:szCs w:val="28"/>
      <w:lang w:val="en-US" w:eastAsia="zh-CN" w:bidi="ar-SA"/>
    </w:rPr>
  </w:style>
  <w:style w:type="character" w:customStyle="1" w:styleId="104">
    <w:name w:val="批注框文本 字符"/>
    <w:link w:val="38"/>
    <w:semiHidden/>
    <w:qFormat/>
    <w:uiPriority w:val="99"/>
    <w:rPr>
      <w:rFonts w:eastAsia="宋体"/>
      <w:kern w:val="2"/>
      <w:sz w:val="18"/>
      <w:szCs w:val="18"/>
      <w:lang w:val="en-US" w:eastAsia="zh-CN" w:bidi="ar-SA"/>
    </w:rPr>
  </w:style>
  <w:style w:type="character" w:customStyle="1" w:styleId="105">
    <w:name w:val="页脚 字符"/>
    <w:link w:val="39"/>
    <w:qFormat/>
    <w:uiPriority w:val="99"/>
    <w:rPr>
      <w:rFonts w:eastAsia="宋体"/>
      <w:kern w:val="2"/>
      <w:sz w:val="18"/>
      <w:szCs w:val="18"/>
      <w:lang w:val="en-US" w:eastAsia="zh-CN" w:bidi="ar-SA"/>
    </w:rPr>
  </w:style>
  <w:style w:type="character" w:customStyle="1" w:styleId="106">
    <w:name w:val="页眉 字符"/>
    <w:link w:val="41"/>
    <w:qFormat/>
    <w:uiPriority w:val="99"/>
    <w:rPr>
      <w:rFonts w:eastAsia="宋体"/>
      <w:kern w:val="2"/>
      <w:sz w:val="18"/>
      <w:lang w:val="en-US" w:eastAsia="zh-CN" w:bidi="ar-SA"/>
    </w:rPr>
  </w:style>
  <w:style w:type="character" w:customStyle="1" w:styleId="107">
    <w:name w:val="副标题 字符"/>
    <w:link w:val="46"/>
    <w:qFormat/>
    <w:uiPriority w:val="11"/>
    <w:rPr>
      <w:rFonts w:ascii="Cambria" w:hAnsi="Cambria" w:eastAsia="宋体"/>
      <w:sz w:val="24"/>
      <w:szCs w:val="24"/>
    </w:rPr>
  </w:style>
  <w:style w:type="character" w:customStyle="1" w:styleId="108">
    <w:name w:val="脚注文本 字符"/>
    <w:link w:val="47"/>
    <w:qFormat/>
    <w:uiPriority w:val="0"/>
    <w:rPr>
      <w:rFonts w:ascii="仿宋_GB2312" w:eastAsia="仿宋_GB2312"/>
      <w:kern w:val="2"/>
      <w:sz w:val="18"/>
      <w:szCs w:val="18"/>
      <w:lang w:val="en-US" w:eastAsia="zh-CN" w:bidi="ar-SA"/>
    </w:rPr>
  </w:style>
  <w:style w:type="character" w:customStyle="1" w:styleId="109">
    <w:name w:val="正文文本缩进 3 字符"/>
    <w:link w:val="49"/>
    <w:qFormat/>
    <w:uiPriority w:val="0"/>
    <w:rPr>
      <w:rFonts w:ascii="隶书" w:hAnsi="宋体" w:eastAsia="隶书"/>
      <w:kern w:val="2"/>
      <w:sz w:val="21"/>
      <w:szCs w:val="24"/>
      <w:lang w:val="en-US" w:eastAsia="zh-CN" w:bidi="ar-SA"/>
    </w:rPr>
  </w:style>
  <w:style w:type="character" w:customStyle="1" w:styleId="110">
    <w:name w:val="正文文本 2 字符"/>
    <w:link w:val="55"/>
    <w:qFormat/>
    <w:uiPriority w:val="0"/>
    <w:rPr>
      <w:rFonts w:eastAsia="宋体"/>
      <w:kern w:val="2"/>
      <w:sz w:val="24"/>
      <w:szCs w:val="24"/>
      <w:lang w:val="en-US" w:eastAsia="zh-CN" w:bidi="ar-SA"/>
    </w:rPr>
  </w:style>
  <w:style w:type="character" w:customStyle="1" w:styleId="111">
    <w:name w:val="HTML 预设格式 字符"/>
    <w:link w:val="56"/>
    <w:qFormat/>
    <w:uiPriority w:val="0"/>
    <w:rPr>
      <w:rFonts w:ascii="宋体" w:hAnsi="宋体" w:cs="宋体"/>
      <w:sz w:val="24"/>
      <w:szCs w:val="24"/>
    </w:rPr>
  </w:style>
  <w:style w:type="character" w:customStyle="1" w:styleId="112">
    <w:name w:val="标题 字符"/>
    <w:link w:val="59"/>
    <w:qFormat/>
    <w:uiPriority w:val="10"/>
    <w:rPr>
      <w:rFonts w:ascii="Cambria" w:hAnsi="Cambria" w:eastAsia="宋体"/>
      <w:b/>
      <w:bCs/>
      <w:kern w:val="28"/>
      <w:sz w:val="32"/>
      <w:szCs w:val="32"/>
    </w:rPr>
  </w:style>
  <w:style w:type="character" w:customStyle="1" w:styleId="113">
    <w:name w:val="批注主题 字符"/>
    <w:link w:val="60"/>
    <w:qFormat/>
    <w:uiPriority w:val="0"/>
    <w:rPr>
      <w:rFonts w:eastAsia="宋体"/>
      <w:b/>
      <w:bCs/>
      <w:kern w:val="2"/>
      <w:sz w:val="21"/>
      <w:szCs w:val="24"/>
      <w:lang w:val="en-US" w:eastAsia="zh-CN" w:bidi="ar-SA"/>
    </w:rPr>
  </w:style>
  <w:style w:type="character" w:customStyle="1" w:styleId="114">
    <w:name w:val="正文文本首行缩进 字符"/>
    <w:link w:val="61"/>
    <w:qFormat/>
    <w:uiPriority w:val="99"/>
    <w:rPr>
      <w:rFonts w:ascii="Calibri" w:hAnsi="Calibri" w:eastAsia="楷体_GB2312"/>
      <w:sz w:val="24"/>
      <w:lang w:bidi="ar-SA"/>
    </w:rPr>
  </w:style>
  <w:style w:type="paragraph" w:customStyle="1" w:styleId="115">
    <w:name w:val="_Style 1"/>
    <w:basedOn w:val="1"/>
    <w:qFormat/>
    <w:uiPriority w:val="34"/>
    <w:pPr>
      <w:ind w:firstLine="420" w:firstLineChars="200"/>
    </w:pPr>
    <w:rPr>
      <w:szCs w:val="22"/>
    </w:rPr>
  </w:style>
  <w:style w:type="character" w:customStyle="1" w:styleId="116">
    <w:name w:val="font01"/>
    <w:qFormat/>
    <w:uiPriority w:val="0"/>
    <w:rPr>
      <w:rFonts w:ascii="宋体" w:hAnsi="宋体" w:eastAsia="宋体" w:cs="宋体"/>
      <w:color w:val="000000"/>
      <w:sz w:val="24"/>
      <w:szCs w:val="24"/>
      <w:u w:val="none"/>
    </w:rPr>
  </w:style>
  <w:style w:type="character" w:customStyle="1" w:styleId="117">
    <w:name w:val="font31"/>
    <w:basedOn w:val="67"/>
    <w:qFormat/>
    <w:uiPriority w:val="0"/>
    <w:rPr>
      <w:rFonts w:hint="default" w:ascii="仿宋_GB2312" w:eastAsia="仿宋_GB2312" w:cs="仿宋_GB2312"/>
      <w:color w:val="FF0000"/>
      <w:sz w:val="24"/>
      <w:szCs w:val="24"/>
      <w:u w:val="none"/>
    </w:rPr>
  </w:style>
  <w:style w:type="character" w:customStyle="1" w:styleId="118">
    <w:name w:val="14normal1"/>
    <w:qFormat/>
    <w:uiPriority w:val="0"/>
    <w:rPr>
      <w:rFonts w:hint="default" w:ascii="ˎ̥" w:hAnsi="ˎ̥"/>
      <w:color w:val="000000"/>
      <w:sz w:val="21"/>
      <w:szCs w:val="21"/>
    </w:rPr>
  </w:style>
  <w:style w:type="character" w:customStyle="1" w:styleId="119">
    <w:name w:val="批注主题 Char1"/>
    <w:semiHidden/>
    <w:qFormat/>
    <w:uiPriority w:val="0"/>
    <w:rPr>
      <w:rFonts w:ascii="仿宋_GB2312" w:eastAsia="仿宋_GB2312"/>
      <w:b/>
      <w:bCs/>
      <w:kern w:val="2"/>
      <w:sz w:val="28"/>
      <w:szCs w:val="28"/>
      <w:lang w:val="en-US" w:eastAsia="zh-CN" w:bidi="ar-SA"/>
    </w:rPr>
  </w:style>
  <w:style w:type="character" w:customStyle="1" w:styleId="120">
    <w:name w:val="SANGFOR_6_正文 Char"/>
    <w:link w:val="121"/>
    <w:qFormat/>
    <w:uiPriority w:val="0"/>
    <w:rPr>
      <w:rFonts w:ascii="华文中宋" w:hAnsi="华文中宋" w:eastAsia="华文中宋"/>
      <w:color w:val="000000"/>
      <w:szCs w:val="24"/>
    </w:rPr>
  </w:style>
  <w:style w:type="paragraph" w:customStyle="1" w:styleId="121">
    <w:name w:val="SANGFOR_6_正文"/>
    <w:basedOn w:val="1"/>
    <w:link w:val="120"/>
    <w:qFormat/>
    <w:uiPriority w:val="0"/>
    <w:pPr>
      <w:widowControl w:val="0"/>
      <w:spacing w:line="360" w:lineRule="auto"/>
      <w:ind w:firstLine="210" w:firstLineChars="100"/>
      <w:jc w:val="both"/>
    </w:pPr>
    <w:rPr>
      <w:rFonts w:ascii="华文中宋" w:hAnsi="华文中宋" w:eastAsia="华文中宋"/>
      <w:color w:val="000000"/>
      <w:sz w:val="20"/>
    </w:rPr>
  </w:style>
  <w:style w:type="character" w:customStyle="1" w:styleId="122">
    <w:name w:val="日期 Char1"/>
    <w:semiHidden/>
    <w:qFormat/>
    <w:uiPriority w:val="0"/>
    <w:rPr>
      <w:rFonts w:ascii="仿宋_GB2312" w:hAnsi="Times New Roman" w:eastAsia="仿宋_GB2312" w:cs="Times New Roman"/>
      <w:sz w:val="28"/>
      <w:szCs w:val="28"/>
    </w:rPr>
  </w:style>
  <w:style w:type="character" w:customStyle="1" w:styleId="123">
    <w:name w:val="ca-10"/>
    <w:qFormat/>
    <w:uiPriority w:val="0"/>
  </w:style>
  <w:style w:type="character" w:customStyle="1" w:styleId="124">
    <w:name w:val="列表段落 字符"/>
    <w:link w:val="125"/>
    <w:qFormat/>
    <w:locked/>
    <w:uiPriority w:val="34"/>
    <w:rPr>
      <w:sz w:val="24"/>
      <w:szCs w:val="24"/>
    </w:rPr>
  </w:style>
  <w:style w:type="paragraph" w:styleId="125">
    <w:name w:val="List Paragraph"/>
    <w:basedOn w:val="1"/>
    <w:link w:val="124"/>
    <w:qFormat/>
    <w:uiPriority w:val="34"/>
    <w:pPr>
      <w:ind w:firstLine="420" w:firstLineChars="200"/>
    </w:pPr>
  </w:style>
  <w:style w:type="character" w:customStyle="1" w:styleId="126">
    <w:name w:val="EHPT Char1"/>
    <w:qFormat/>
    <w:uiPriority w:val="0"/>
    <w:rPr>
      <w:rFonts w:ascii="Calibri" w:hAnsi="Calibri" w:eastAsia="宋体"/>
      <w:kern w:val="2"/>
      <w:sz w:val="21"/>
      <w:szCs w:val="22"/>
      <w:lang w:val="en-US" w:eastAsia="zh-CN" w:bidi="ar-SA"/>
    </w:rPr>
  </w:style>
  <w:style w:type="character" w:customStyle="1" w:styleId="127">
    <w:name w:val="PI Char2"/>
    <w:qFormat/>
    <w:uiPriority w:val="0"/>
    <w:rPr>
      <w:rFonts w:ascii="仿宋_GB2312" w:eastAsia="仿宋_GB2312"/>
      <w:kern w:val="2"/>
      <w:sz w:val="28"/>
      <w:szCs w:val="28"/>
      <w:lang w:val="zh-CN" w:eastAsia="zh-CN" w:bidi="ar-SA"/>
    </w:rPr>
  </w:style>
  <w:style w:type="character" w:customStyle="1" w:styleId="128">
    <w:name w:val="正文文本缩进 Char1"/>
    <w:semiHidden/>
    <w:qFormat/>
    <w:uiPriority w:val="0"/>
    <w:rPr>
      <w:rFonts w:ascii="仿宋_GB2312" w:hAnsi="Times New Roman" w:eastAsia="仿宋_GB2312" w:cs="Times New Roman"/>
      <w:sz w:val="28"/>
      <w:szCs w:val="28"/>
    </w:rPr>
  </w:style>
  <w:style w:type="character" w:customStyle="1" w:styleId="129">
    <w:name w:val="text9"/>
    <w:qFormat/>
    <w:uiPriority w:val="0"/>
  </w:style>
  <w:style w:type="character" w:customStyle="1" w:styleId="130">
    <w:name w:val="正文-1 Char"/>
    <w:link w:val="131"/>
    <w:qFormat/>
    <w:uiPriority w:val="0"/>
    <w:rPr>
      <w:rFonts w:ascii="宋体" w:hAnsi="宋体"/>
      <w:sz w:val="21"/>
      <w:szCs w:val="21"/>
    </w:rPr>
  </w:style>
  <w:style w:type="paragraph" w:customStyle="1" w:styleId="131">
    <w:name w:val="正文-1"/>
    <w:basedOn w:val="1"/>
    <w:link w:val="130"/>
    <w:qFormat/>
    <w:uiPriority w:val="0"/>
    <w:pPr>
      <w:widowControl w:val="0"/>
      <w:autoSpaceDE w:val="0"/>
      <w:autoSpaceDN w:val="0"/>
      <w:adjustRightInd w:val="0"/>
      <w:spacing w:before="156" w:after="156" w:line="360" w:lineRule="auto"/>
      <w:ind w:firstLine="420" w:firstLineChars="200"/>
    </w:pPr>
    <w:rPr>
      <w:rFonts w:ascii="宋体" w:hAnsi="宋体"/>
      <w:sz w:val="21"/>
      <w:szCs w:val="21"/>
    </w:rPr>
  </w:style>
  <w:style w:type="character" w:customStyle="1" w:styleId="132">
    <w:name w:val="unnamed11"/>
    <w:qFormat/>
    <w:uiPriority w:val="0"/>
    <w:rPr>
      <w:sz w:val="18"/>
      <w:szCs w:val="18"/>
    </w:rPr>
  </w:style>
  <w:style w:type="character" w:customStyle="1" w:styleId="133">
    <w:name w:val="font51"/>
    <w:qFormat/>
    <w:uiPriority w:val="0"/>
    <w:rPr>
      <w:rFonts w:hint="default" w:ascii="仿宋_GB2312" w:eastAsia="仿宋_GB2312" w:cs="仿宋_GB2312"/>
      <w:color w:val="000000"/>
      <w:sz w:val="30"/>
      <w:szCs w:val="30"/>
      <w:u w:val="none"/>
    </w:rPr>
  </w:style>
  <w:style w:type="character" w:customStyle="1" w:styleId="134">
    <w:name w:val="EHPT Char"/>
    <w:qFormat/>
    <w:uiPriority w:val="0"/>
    <w:rPr>
      <w:rFonts w:ascii="Calibri" w:hAnsi="Calibri" w:eastAsia="宋体"/>
      <w:kern w:val="2"/>
      <w:sz w:val="21"/>
      <w:szCs w:val="22"/>
      <w:lang w:val="en-US" w:eastAsia="zh-CN" w:bidi="ar-SA"/>
    </w:rPr>
  </w:style>
  <w:style w:type="character" w:customStyle="1" w:styleId="135">
    <w:name w:val="ca-9"/>
    <w:qFormat/>
    <w:uiPriority w:val="0"/>
  </w:style>
  <w:style w:type="character" w:customStyle="1" w:styleId="136">
    <w:name w:val="浅色底纹 - 强调文字颜色 2 Char"/>
    <w:link w:val="137"/>
    <w:qFormat/>
    <w:uiPriority w:val="30"/>
    <w:rPr>
      <w:b/>
      <w:i/>
      <w:sz w:val="24"/>
    </w:rPr>
  </w:style>
  <w:style w:type="paragraph" w:customStyle="1" w:styleId="137">
    <w:name w:val="浅色底纹 - 强调文字颜色 21"/>
    <w:basedOn w:val="1"/>
    <w:next w:val="1"/>
    <w:link w:val="136"/>
    <w:qFormat/>
    <w:uiPriority w:val="30"/>
    <w:pPr>
      <w:ind w:left="720" w:right="720"/>
    </w:pPr>
    <w:rPr>
      <w:b/>
      <w:i/>
      <w:szCs w:val="20"/>
    </w:rPr>
  </w:style>
  <w:style w:type="character" w:customStyle="1" w:styleId="138">
    <w:name w:val="bulletintext1"/>
    <w:qFormat/>
    <w:uiPriority w:val="0"/>
    <w:rPr>
      <w:color w:val="000000"/>
      <w:sz w:val="18"/>
      <w:szCs w:val="18"/>
    </w:rPr>
  </w:style>
  <w:style w:type="character" w:customStyle="1" w:styleId="139">
    <w:name w:val="font41"/>
    <w:basedOn w:val="67"/>
    <w:qFormat/>
    <w:uiPriority w:val="0"/>
    <w:rPr>
      <w:rFonts w:hint="default" w:ascii="仿宋_GB2312" w:eastAsia="仿宋_GB2312" w:cs="仿宋_GB2312"/>
      <w:color w:val="000000"/>
      <w:sz w:val="24"/>
      <w:szCs w:val="24"/>
      <w:u w:val="none"/>
    </w:rPr>
  </w:style>
  <w:style w:type="character" w:customStyle="1" w:styleId="140">
    <w:name w:val="访问过的超链接1"/>
    <w:qFormat/>
    <w:uiPriority w:val="0"/>
    <w:rPr>
      <w:color w:val="800080"/>
      <w:u w:val="single"/>
    </w:rPr>
  </w:style>
  <w:style w:type="character" w:customStyle="1" w:styleId="141">
    <w:name w:val="font1"/>
    <w:qFormat/>
    <w:uiPriority w:val="0"/>
    <w:rPr>
      <w:color w:val="333333"/>
      <w:sz w:val="18"/>
      <w:szCs w:val="18"/>
      <w:u w:val="none"/>
    </w:rPr>
  </w:style>
  <w:style w:type="character" w:customStyle="1" w:styleId="142">
    <w:name w:val="fontstyle01"/>
    <w:qFormat/>
    <w:uiPriority w:val="0"/>
    <w:rPr>
      <w:rFonts w:hint="eastAsia" w:ascii="仿宋_GB2312" w:eastAsia="仿宋_GB2312"/>
      <w:color w:val="000000"/>
      <w:sz w:val="28"/>
      <w:szCs w:val="28"/>
    </w:rPr>
  </w:style>
  <w:style w:type="character" w:customStyle="1" w:styleId="143">
    <w:name w:val="H6 Char1"/>
    <w:qFormat/>
    <w:uiPriority w:val="0"/>
    <w:rPr>
      <w:rFonts w:ascii="Arial" w:hAnsi="Arial" w:eastAsia="宋体" w:cs="Times New Roman"/>
      <w:i/>
      <w:sz w:val="22"/>
      <w:szCs w:val="28"/>
    </w:rPr>
  </w:style>
  <w:style w:type="character" w:customStyle="1" w:styleId="144">
    <w:name w:val="普通文字 Char Char8"/>
    <w:qFormat/>
    <w:uiPriority w:val="0"/>
    <w:rPr>
      <w:rFonts w:ascii="宋体" w:hAnsi="Courier New" w:eastAsia="宋体"/>
    </w:rPr>
  </w:style>
  <w:style w:type="character" w:customStyle="1" w:styleId="145">
    <w:name w:val="Char Char18"/>
    <w:qFormat/>
    <w:uiPriority w:val="0"/>
    <w:rPr>
      <w:rFonts w:ascii="Cambria" w:hAnsi="Cambria" w:eastAsia="宋体" w:cs="Times New Roman"/>
      <w:i/>
      <w:iCs/>
      <w:color w:val="404040"/>
      <w:sz w:val="20"/>
      <w:szCs w:val="20"/>
    </w:rPr>
  </w:style>
  <w:style w:type="character" w:customStyle="1" w:styleId="146">
    <w:name w:val="apple-converted-space"/>
    <w:qFormat/>
    <w:uiPriority w:val="0"/>
  </w:style>
  <w:style w:type="character" w:customStyle="1" w:styleId="147">
    <w:name w:val="ca-3"/>
    <w:qFormat/>
    <w:uiPriority w:val="0"/>
  </w:style>
  <w:style w:type="character" w:customStyle="1" w:styleId="148">
    <w:name w:val="maincontenttable1"/>
    <w:qFormat/>
    <w:uiPriority w:val="0"/>
    <w:rPr>
      <w:sz w:val="18"/>
      <w:szCs w:val="18"/>
    </w:rPr>
  </w:style>
  <w:style w:type="character" w:customStyle="1" w:styleId="149">
    <w:name w:val="g1"/>
    <w:qFormat/>
    <w:uiPriority w:val="0"/>
    <w:rPr>
      <w:color w:val="008000"/>
    </w:rPr>
  </w:style>
  <w:style w:type="character" w:customStyle="1" w:styleId="150">
    <w:name w:val="段 Char Char"/>
    <w:link w:val="151"/>
    <w:qFormat/>
    <w:uiPriority w:val="0"/>
    <w:rPr>
      <w:rFonts w:ascii="宋体"/>
      <w:lang w:val="en-US" w:eastAsia="zh-CN" w:bidi="ar-SA"/>
    </w:rPr>
  </w:style>
  <w:style w:type="paragraph" w:customStyle="1" w:styleId="151">
    <w:name w:val="段"/>
    <w:next w:val="1"/>
    <w:link w:val="1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2">
    <w:name w:val="已访问的超链接1"/>
    <w:qFormat/>
    <w:uiPriority w:val="0"/>
    <w:rPr>
      <w:color w:val="800080"/>
      <w:u w:val="single"/>
    </w:rPr>
  </w:style>
  <w:style w:type="character" w:customStyle="1" w:styleId="153">
    <w:name w:val="*正文 Char"/>
    <w:link w:val="154"/>
    <w:qFormat/>
    <w:uiPriority w:val="0"/>
    <w:rPr>
      <w:rFonts w:ascii="宋体" w:hAnsi="宋体" w:eastAsia="宋体"/>
      <w:sz w:val="24"/>
      <w:szCs w:val="24"/>
    </w:rPr>
  </w:style>
  <w:style w:type="paragraph" w:customStyle="1" w:styleId="154">
    <w:name w:val="*正文"/>
    <w:basedOn w:val="1"/>
    <w:link w:val="153"/>
    <w:qFormat/>
    <w:uiPriority w:val="0"/>
    <w:pPr>
      <w:widowControl w:val="0"/>
      <w:autoSpaceDE w:val="0"/>
      <w:autoSpaceDN w:val="0"/>
      <w:adjustRightInd w:val="0"/>
      <w:spacing w:before="120" w:after="120" w:line="360" w:lineRule="auto"/>
      <w:ind w:firstLine="480" w:firstLineChars="200"/>
    </w:pPr>
    <w:rPr>
      <w:rFonts w:ascii="宋体" w:hAnsi="宋体"/>
    </w:rPr>
  </w:style>
  <w:style w:type="character" w:customStyle="1" w:styleId="155">
    <w:name w:val="Heading 2 Hidden Char2"/>
    <w:qFormat/>
    <w:uiPriority w:val="0"/>
    <w:rPr>
      <w:rFonts w:ascii="Cambria" w:hAnsi="Cambria" w:eastAsia="宋体" w:cs="Times New Roman"/>
      <w:b/>
      <w:bCs/>
      <w:color w:val="4F81BD"/>
      <w:sz w:val="26"/>
      <w:szCs w:val="26"/>
    </w:rPr>
  </w:style>
  <w:style w:type="character" w:customStyle="1" w:styleId="156">
    <w:name w:val="Heading 3 - old Char"/>
    <w:qFormat/>
    <w:uiPriority w:val="0"/>
    <w:rPr>
      <w:rFonts w:ascii="Calibri" w:hAnsi="Calibri"/>
      <w:b/>
      <w:bCs/>
      <w:kern w:val="2"/>
      <w:sz w:val="32"/>
      <w:szCs w:val="32"/>
    </w:rPr>
  </w:style>
  <w:style w:type="character" w:customStyle="1" w:styleId="157">
    <w:name w:val="bei2"/>
    <w:qFormat/>
    <w:uiPriority w:val="0"/>
  </w:style>
  <w:style w:type="character" w:customStyle="1" w:styleId="158">
    <w:name w:val="样式2 Char Char"/>
    <w:link w:val="159"/>
    <w:qFormat/>
    <w:uiPriority w:val="0"/>
    <w:rPr>
      <w:rFonts w:eastAsia="微软雅黑"/>
      <w:b/>
      <w:color w:val="FF6600"/>
      <w:sz w:val="24"/>
    </w:rPr>
  </w:style>
  <w:style w:type="paragraph" w:customStyle="1" w:styleId="159">
    <w:name w:val="样式2"/>
    <w:basedOn w:val="1"/>
    <w:link w:val="158"/>
    <w:qFormat/>
    <w:uiPriority w:val="0"/>
    <w:pPr>
      <w:widowControl w:val="0"/>
      <w:overflowPunct w:val="0"/>
      <w:autoSpaceDE w:val="0"/>
      <w:autoSpaceDN w:val="0"/>
      <w:adjustRightInd w:val="0"/>
      <w:spacing w:line="336" w:lineRule="auto"/>
    </w:pPr>
    <w:rPr>
      <w:rFonts w:eastAsia="微软雅黑"/>
      <w:b/>
      <w:color w:val="FF6600"/>
      <w:szCs w:val="20"/>
    </w:rPr>
  </w:style>
  <w:style w:type="character" w:customStyle="1" w:styleId="160">
    <w:name w:val="页脚 Char1"/>
    <w:semiHidden/>
    <w:qFormat/>
    <w:uiPriority w:val="0"/>
    <w:rPr>
      <w:rFonts w:ascii="仿宋_GB2312" w:hAnsi="Times New Roman" w:eastAsia="仿宋_GB2312" w:cs="Times New Roman"/>
      <w:sz w:val="18"/>
      <w:szCs w:val="18"/>
    </w:rPr>
  </w:style>
  <w:style w:type="character" w:customStyle="1" w:styleId="161">
    <w:name w:val="番茄花园"/>
    <w:qFormat/>
    <w:uiPriority w:val="0"/>
    <w:rPr>
      <w:rFonts w:ascii="Arial" w:hAnsi="Arial" w:eastAsia="宋体" w:cs="Arial"/>
      <w:color w:val="000080"/>
      <w:sz w:val="18"/>
      <w:szCs w:val="20"/>
    </w:rPr>
  </w:style>
  <w:style w:type="character" w:customStyle="1" w:styleId="162">
    <w:name w:val="表格 Char Char"/>
    <w:link w:val="163"/>
    <w:qFormat/>
    <w:uiPriority w:val="0"/>
    <w:rPr>
      <w:rFonts w:ascii="宋体" w:hAnsi="宋体"/>
      <w:lang w:bidi="ar-SA"/>
    </w:rPr>
  </w:style>
  <w:style w:type="paragraph" w:customStyle="1" w:styleId="163">
    <w:name w:val="表格"/>
    <w:basedOn w:val="1"/>
    <w:link w:val="162"/>
    <w:qFormat/>
    <w:uiPriority w:val="0"/>
    <w:pPr>
      <w:snapToGrid w:val="0"/>
      <w:ind w:firstLine="42" w:firstLineChars="21"/>
    </w:pPr>
    <w:rPr>
      <w:rFonts w:ascii="宋体" w:hAnsi="宋体"/>
      <w:sz w:val="20"/>
      <w:szCs w:val="20"/>
    </w:rPr>
  </w:style>
  <w:style w:type="character" w:customStyle="1" w:styleId="164">
    <w:name w:val="3级标题 Char"/>
    <w:link w:val="165"/>
    <w:qFormat/>
    <w:uiPriority w:val="0"/>
    <w:rPr>
      <w:rFonts w:ascii="黑体" w:hAnsi="黑体" w:eastAsia="黑体"/>
      <w:sz w:val="28"/>
      <w:szCs w:val="36"/>
      <w:lang w:eastAsia="en-US" w:bidi="en-US"/>
    </w:rPr>
  </w:style>
  <w:style w:type="paragraph" w:customStyle="1" w:styleId="165">
    <w:name w:val="3级标题"/>
    <w:basedOn w:val="125"/>
    <w:link w:val="164"/>
    <w:qFormat/>
    <w:uiPriority w:val="0"/>
    <w:pPr>
      <w:keepLines/>
      <w:widowControl w:val="0"/>
      <w:numPr>
        <w:ilvl w:val="2"/>
        <w:numId w:val="3"/>
      </w:numPr>
      <w:spacing w:before="120" w:after="120" w:line="360" w:lineRule="auto"/>
      <w:ind w:left="1146" w:firstLineChars="0"/>
      <w:contextualSpacing/>
      <w:outlineLvl w:val="2"/>
    </w:pPr>
    <w:rPr>
      <w:rFonts w:ascii="黑体" w:hAnsi="黑体" w:eastAsia="黑体"/>
      <w:sz w:val="28"/>
      <w:szCs w:val="36"/>
      <w:lang w:eastAsia="en-US" w:bidi="en-US"/>
    </w:rPr>
  </w:style>
  <w:style w:type="character" w:customStyle="1" w:styleId="166">
    <w:name w:val="普通文字 Char Char6"/>
    <w:qFormat/>
    <w:uiPriority w:val="0"/>
    <w:rPr>
      <w:rFonts w:ascii="宋体" w:hAnsi="Courier New" w:eastAsia="仿宋_GB2312" w:cs="Times New Roman"/>
      <w:kern w:val="0"/>
      <w:sz w:val="28"/>
      <w:szCs w:val="20"/>
    </w:rPr>
  </w:style>
  <w:style w:type="character" w:customStyle="1" w:styleId="167">
    <w:name w:val="bullet Char"/>
    <w:qFormat/>
    <w:uiPriority w:val="0"/>
    <w:rPr>
      <w:b/>
      <w:i/>
      <w:sz w:val="24"/>
    </w:rPr>
  </w:style>
  <w:style w:type="character" w:customStyle="1" w:styleId="168">
    <w:name w:val="不明显强调1"/>
    <w:qFormat/>
    <w:uiPriority w:val="19"/>
    <w:rPr>
      <w:i/>
      <w:color w:val="5A5A5A"/>
    </w:rPr>
  </w:style>
  <w:style w:type="character" w:customStyle="1" w:styleId="169">
    <w:name w:val="样式3 Char Char"/>
    <w:link w:val="170"/>
    <w:qFormat/>
    <w:uiPriority w:val="0"/>
    <w:rPr>
      <w:rFonts w:eastAsia="微软雅黑"/>
      <w:color w:val="808080"/>
      <w:lang w:val="zh-CN"/>
    </w:rPr>
  </w:style>
  <w:style w:type="paragraph" w:customStyle="1" w:styleId="170">
    <w:name w:val="样式3"/>
    <w:basedOn w:val="1"/>
    <w:link w:val="169"/>
    <w:qFormat/>
    <w:uiPriority w:val="0"/>
    <w:pPr>
      <w:widowControl w:val="0"/>
      <w:numPr>
        <w:ilvl w:val="0"/>
        <w:numId w:val="4"/>
      </w:numPr>
      <w:tabs>
        <w:tab w:val="left" w:pos="360"/>
        <w:tab w:val="left" w:pos="420"/>
      </w:tabs>
      <w:overflowPunct w:val="0"/>
      <w:autoSpaceDE w:val="0"/>
      <w:autoSpaceDN w:val="0"/>
      <w:adjustRightInd w:val="0"/>
      <w:spacing w:line="336" w:lineRule="auto"/>
      <w:ind w:right="210" w:rightChars="100"/>
    </w:pPr>
    <w:rPr>
      <w:rFonts w:eastAsia="微软雅黑"/>
      <w:color w:val="808080"/>
      <w:sz w:val="20"/>
      <w:szCs w:val="20"/>
      <w:lang w:val="zh-CN"/>
    </w:rPr>
  </w:style>
  <w:style w:type="character" w:customStyle="1" w:styleId="171">
    <w:name w:val="正文首行缩进 Char1"/>
    <w:semiHidden/>
    <w:qFormat/>
    <w:uiPriority w:val="0"/>
  </w:style>
  <w:style w:type="character" w:customStyle="1" w:styleId="172">
    <w:name w:val="正文文本 Char"/>
    <w:qFormat/>
    <w:uiPriority w:val="99"/>
    <w:rPr>
      <w:rFonts w:ascii="仿宋_GB2312" w:hAnsi="Times New Roman" w:eastAsia="仿宋_GB2312" w:cs="Times New Roman"/>
      <w:sz w:val="28"/>
      <w:szCs w:val="28"/>
    </w:rPr>
  </w:style>
  <w:style w:type="character" w:customStyle="1" w:styleId="173">
    <w:name w:val="标书正文 Char"/>
    <w:link w:val="174"/>
    <w:qFormat/>
    <w:uiPriority w:val="0"/>
    <w:rPr>
      <w:rFonts w:ascii="宋体" w:hAnsi="宋体"/>
      <w:color w:val="000000"/>
      <w:sz w:val="24"/>
      <w:szCs w:val="24"/>
    </w:rPr>
  </w:style>
  <w:style w:type="paragraph" w:customStyle="1" w:styleId="174">
    <w:name w:val="标书正文"/>
    <w:basedOn w:val="1"/>
    <w:link w:val="173"/>
    <w:qFormat/>
    <w:uiPriority w:val="0"/>
    <w:pPr>
      <w:spacing w:line="360" w:lineRule="auto"/>
      <w:ind w:firstLine="200" w:firstLineChars="200"/>
      <w:jc w:val="both"/>
    </w:pPr>
    <w:rPr>
      <w:rFonts w:ascii="宋体" w:hAnsi="宋体"/>
      <w:color w:val="000000"/>
    </w:rPr>
  </w:style>
  <w:style w:type="character" w:customStyle="1" w:styleId="175">
    <w:name w:val="批注文字 Char"/>
    <w:qFormat/>
    <w:uiPriority w:val="0"/>
    <w:rPr>
      <w:rFonts w:eastAsia="宋体"/>
      <w:kern w:val="2"/>
      <w:sz w:val="21"/>
      <w:szCs w:val="24"/>
      <w:lang w:val="en-US" w:eastAsia="zh-CN" w:bidi="ar-SA"/>
    </w:rPr>
  </w:style>
  <w:style w:type="character" w:customStyle="1" w:styleId="176">
    <w:name w:val="纯文本 Char1"/>
    <w:qFormat/>
    <w:uiPriority w:val="0"/>
    <w:rPr>
      <w:rFonts w:ascii="宋体" w:hAnsi="Courier New" w:eastAsia="宋体" w:cs="Courier New"/>
      <w:szCs w:val="21"/>
    </w:rPr>
  </w:style>
  <w:style w:type="character" w:customStyle="1" w:styleId="177">
    <w:name w:val="Char Char14"/>
    <w:qFormat/>
    <w:uiPriority w:val="0"/>
    <w:rPr>
      <w:rFonts w:ascii="宋体" w:hAnsi="Courier New" w:eastAsia="宋体"/>
      <w:sz w:val="21"/>
      <w:lang w:val="en-US" w:eastAsia="zh-CN" w:bidi="ar-SA"/>
    </w:rPr>
  </w:style>
  <w:style w:type="character" w:customStyle="1" w:styleId="178">
    <w:name w:val="普通文字 Char Char4"/>
    <w:qFormat/>
    <w:uiPriority w:val="0"/>
    <w:rPr>
      <w:rFonts w:ascii="宋体" w:hAnsi="Courier New" w:eastAsia="宋体"/>
      <w:sz w:val="21"/>
      <w:lang w:val="en-US" w:eastAsia="zh-CN" w:bidi="ar-SA"/>
    </w:rPr>
  </w:style>
  <w:style w:type="character" w:customStyle="1" w:styleId="179">
    <w:name w:val="正文文本 3 Char1"/>
    <w:semiHidden/>
    <w:qFormat/>
    <w:uiPriority w:val="0"/>
    <w:rPr>
      <w:rFonts w:ascii="仿宋_GB2312" w:hAnsi="Times New Roman" w:eastAsia="仿宋_GB2312" w:cs="Times New Roman"/>
      <w:sz w:val="16"/>
      <w:szCs w:val="16"/>
    </w:rPr>
  </w:style>
  <w:style w:type="character" w:customStyle="1" w:styleId="180">
    <w:name w:val="wenzi1"/>
    <w:qFormat/>
    <w:uiPriority w:val="0"/>
    <w:rPr>
      <w:rFonts w:ascii="Times New Roman" w:hAnsi="Times New Roman" w:eastAsia="宋体" w:cs="Times New Roman"/>
      <w:color w:val="000000"/>
      <w:sz w:val="18"/>
      <w:szCs w:val="18"/>
    </w:rPr>
  </w:style>
  <w:style w:type="character" w:customStyle="1" w:styleId="181">
    <w:name w:val="font11"/>
    <w:qFormat/>
    <w:uiPriority w:val="0"/>
    <w:rPr>
      <w:rFonts w:hint="eastAsia" w:ascii="楷体_GB2312" w:eastAsia="楷体_GB2312"/>
      <w:color w:val="000000"/>
      <w:sz w:val="21"/>
      <w:szCs w:val="21"/>
      <w:u w:val="none"/>
    </w:rPr>
  </w:style>
  <w:style w:type="character" w:customStyle="1" w:styleId="182">
    <w:name w:val="正文2 Char Char"/>
    <w:link w:val="183"/>
    <w:qFormat/>
    <w:uiPriority w:val="0"/>
    <w:rPr>
      <w:kern w:val="2"/>
      <w:sz w:val="24"/>
    </w:rPr>
  </w:style>
  <w:style w:type="paragraph" w:customStyle="1" w:styleId="183">
    <w:name w:val="正文2"/>
    <w:basedOn w:val="1"/>
    <w:link w:val="182"/>
    <w:qFormat/>
    <w:uiPriority w:val="0"/>
    <w:pPr>
      <w:adjustRightInd w:val="0"/>
      <w:spacing w:before="156" w:line="360" w:lineRule="auto"/>
      <w:ind w:firstLine="510" w:firstLineChars="200"/>
    </w:pPr>
    <w:rPr>
      <w:kern w:val="2"/>
      <w:szCs w:val="20"/>
    </w:rPr>
  </w:style>
  <w:style w:type="character" w:customStyle="1" w:styleId="184">
    <w:name w:val="正文文本 2 Char1"/>
    <w:semiHidden/>
    <w:qFormat/>
    <w:uiPriority w:val="0"/>
    <w:rPr>
      <w:rFonts w:ascii="仿宋_GB2312" w:hAnsi="Times New Roman" w:eastAsia="仿宋_GB2312" w:cs="Times New Roman"/>
      <w:sz w:val="28"/>
      <w:szCs w:val="28"/>
    </w:rPr>
  </w:style>
  <w:style w:type="character" w:customStyle="1" w:styleId="185">
    <w:name w:val="large1"/>
    <w:qFormat/>
    <w:uiPriority w:val="0"/>
    <w:rPr>
      <w:rFonts w:hint="eastAsia" w:ascii="宋体" w:hAnsi="宋体" w:eastAsia="宋体"/>
      <w:sz w:val="21"/>
      <w:szCs w:val="21"/>
    </w:rPr>
  </w:style>
  <w:style w:type="character" w:customStyle="1" w:styleId="186">
    <w:name w:val="不明显参考1"/>
    <w:qFormat/>
    <w:uiPriority w:val="31"/>
    <w:rPr>
      <w:sz w:val="24"/>
      <w:szCs w:val="24"/>
      <w:u w:val="single"/>
    </w:rPr>
  </w:style>
  <w:style w:type="character" w:customStyle="1" w:styleId="187">
    <w:name w:val="PI Char"/>
    <w:qFormat/>
    <w:uiPriority w:val="0"/>
    <w:rPr>
      <w:rFonts w:ascii="仿宋_GB2312" w:eastAsia="仿宋_GB2312"/>
      <w:kern w:val="2"/>
      <w:sz w:val="28"/>
      <w:szCs w:val="28"/>
      <w:lang w:val="zh-CN" w:eastAsia="zh-CN" w:bidi="ar-SA"/>
    </w:rPr>
  </w:style>
  <w:style w:type="character" w:customStyle="1" w:styleId="188">
    <w:name w:val="2级标题 Char"/>
    <w:link w:val="189"/>
    <w:qFormat/>
    <w:uiPriority w:val="0"/>
    <w:rPr>
      <w:rFonts w:ascii="黑体" w:hAnsi="黑体" w:eastAsia="黑体"/>
      <w:sz w:val="32"/>
      <w:szCs w:val="36"/>
      <w:lang w:eastAsia="en-US" w:bidi="en-US"/>
    </w:rPr>
  </w:style>
  <w:style w:type="paragraph" w:customStyle="1" w:styleId="189">
    <w:name w:val="2级标题"/>
    <w:basedOn w:val="125"/>
    <w:link w:val="188"/>
    <w:qFormat/>
    <w:uiPriority w:val="0"/>
    <w:pPr>
      <w:keepLines/>
      <w:widowControl w:val="0"/>
      <w:numPr>
        <w:ilvl w:val="1"/>
        <w:numId w:val="3"/>
      </w:numPr>
      <w:spacing w:before="240" w:after="120" w:line="360" w:lineRule="auto"/>
      <w:ind w:firstLineChars="0"/>
      <w:contextualSpacing/>
      <w:outlineLvl w:val="1"/>
    </w:pPr>
    <w:rPr>
      <w:rFonts w:ascii="黑体" w:hAnsi="黑体" w:eastAsia="黑体"/>
      <w:sz w:val="32"/>
      <w:szCs w:val="36"/>
      <w:lang w:eastAsia="en-US" w:bidi="en-US"/>
    </w:rPr>
  </w:style>
  <w:style w:type="character" w:customStyle="1" w:styleId="190">
    <w:name w:val="明显强调1"/>
    <w:qFormat/>
    <w:uiPriority w:val="21"/>
    <w:rPr>
      <w:b/>
      <w:i/>
      <w:sz w:val="24"/>
      <w:szCs w:val="24"/>
      <w:u w:val="single"/>
    </w:rPr>
  </w:style>
  <w:style w:type="character" w:customStyle="1" w:styleId="191">
    <w:name w:val="正文文本 Char1"/>
    <w:semiHidden/>
    <w:qFormat/>
    <w:uiPriority w:val="0"/>
    <w:rPr>
      <w:rFonts w:ascii="仿宋_GB2312" w:hAnsi="Times New Roman" w:eastAsia="仿宋_GB2312" w:cs="Times New Roman"/>
      <w:sz w:val="28"/>
      <w:szCs w:val="28"/>
    </w:rPr>
  </w:style>
  <w:style w:type="character" w:customStyle="1" w:styleId="192">
    <w:name w:val="文档结构图 Char1"/>
    <w:semiHidden/>
    <w:qFormat/>
    <w:uiPriority w:val="0"/>
    <w:rPr>
      <w:rFonts w:ascii="宋体" w:hAnsi="Times New Roman" w:eastAsia="宋体" w:cs="Times New Roman"/>
      <w:sz w:val="18"/>
      <w:szCs w:val="18"/>
    </w:rPr>
  </w:style>
  <w:style w:type="character" w:customStyle="1" w:styleId="193">
    <w:name w:val="标书正文格式 Char"/>
    <w:link w:val="194"/>
    <w:qFormat/>
    <w:uiPriority w:val="0"/>
    <w:rPr>
      <w:rFonts w:ascii="楷体_GB2312" w:eastAsia="楷体_GB2312"/>
      <w:color w:val="000000"/>
      <w:kern w:val="2"/>
      <w:sz w:val="24"/>
      <w:szCs w:val="24"/>
      <w:lang w:val="en-US" w:eastAsia="zh-CN" w:bidi="ar-SA"/>
    </w:rPr>
  </w:style>
  <w:style w:type="paragraph" w:customStyle="1" w:styleId="194">
    <w:name w:val="标书正文格式"/>
    <w:link w:val="193"/>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character" w:customStyle="1" w:styleId="195">
    <w:name w:val="EHPT Char3"/>
    <w:qFormat/>
    <w:uiPriority w:val="0"/>
    <w:rPr>
      <w:rFonts w:ascii="Calibri" w:hAnsi="Calibri" w:eastAsia="宋体"/>
    </w:rPr>
  </w:style>
  <w:style w:type="character" w:customStyle="1" w:styleId="196">
    <w:name w:val="明显参考1"/>
    <w:qFormat/>
    <w:uiPriority w:val="32"/>
    <w:rPr>
      <w:b/>
      <w:sz w:val="24"/>
      <w:u w:val="single"/>
    </w:rPr>
  </w:style>
  <w:style w:type="character" w:customStyle="1" w:styleId="197">
    <w:name w:val="h1 Char"/>
    <w:qFormat/>
    <w:uiPriority w:val="0"/>
    <w:rPr>
      <w:rFonts w:ascii="Calibri" w:hAnsi="Calibri"/>
      <w:b/>
      <w:bCs/>
      <w:kern w:val="44"/>
      <w:sz w:val="44"/>
      <w:szCs w:val="44"/>
    </w:rPr>
  </w:style>
  <w:style w:type="character" w:customStyle="1" w:styleId="198">
    <w:name w:val="彩色网格 - 强调文字颜色 1 Char"/>
    <w:link w:val="199"/>
    <w:qFormat/>
    <w:uiPriority w:val="29"/>
    <w:rPr>
      <w:i/>
      <w:sz w:val="24"/>
      <w:szCs w:val="24"/>
    </w:rPr>
  </w:style>
  <w:style w:type="paragraph" w:customStyle="1" w:styleId="199">
    <w:name w:val="彩色网格 - 强调文字颜色 11"/>
    <w:basedOn w:val="1"/>
    <w:next w:val="1"/>
    <w:link w:val="198"/>
    <w:qFormat/>
    <w:uiPriority w:val="29"/>
    <w:rPr>
      <w:i/>
    </w:rPr>
  </w:style>
  <w:style w:type="character" w:customStyle="1" w:styleId="200">
    <w:name w:val="正文文本缩进 3 Char1"/>
    <w:semiHidden/>
    <w:qFormat/>
    <w:uiPriority w:val="0"/>
    <w:rPr>
      <w:rFonts w:ascii="仿宋_GB2312" w:hAnsi="Times New Roman" w:eastAsia="仿宋_GB2312" w:cs="Times New Roman"/>
      <w:sz w:val="16"/>
      <w:szCs w:val="16"/>
    </w:rPr>
  </w:style>
  <w:style w:type="character" w:customStyle="1" w:styleId="201">
    <w:name w:val="EHPT Char2"/>
    <w:qFormat/>
    <w:uiPriority w:val="0"/>
    <w:rPr>
      <w:rFonts w:ascii="Calibri" w:hAnsi="Calibri"/>
      <w:kern w:val="2"/>
      <w:sz w:val="21"/>
      <w:szCs w:val="22"/>
    </w:rPr>
  </w:style>
  <w:style w:type="character" w:customStyle="1" w:styleId="202">
    <w:name w:val="标题 3 Char Char"/>
    <w:qFormat/>
    <w:uiPriority w:val="0"/>
    <w:rPr>
      <w:rFonts w:ascii="宋体" w:hAnsi="宋体" w:eastAsia="宋体"/>
      <w:color w:val="666666"/>
      <w:kern w:val="2"/>
      <w:sz w:val="28"/>
      <w:szCs w:val="28"/>
      <w:lang w:val="en-US" w:eastAsia="zh-CN" w:bidi="ar-SA"/>
    </w:rPr>
  </w:style>
  <w:style w:type="character" w:customStyle="1" w:styleId="203">
    <w:name w:val="Char Char19"/>
    <w:qFormat/>
    <w:uiPriority w:val="0"/>
    <w:rPr>
      <w:rFonts w:ascii="Cambria" w:hAnsi="Cambria" w:eastAsia="宋体" w:cs="Times New Roman"/>
      <w:color w:val="4F81BD"/>
      <w:sz w:val="20"/>
      <w:szCs w:val="20"/>
    </w:rPr>
  </w:style>
  <w:style w:type="character" w:customStyle="1" w:styleId="204">
    <w:name w:val="文字 Char"/>
    <w:link w:val="205"/>
    <w:qFormat/>
    <w:uiPriority w:val="0"/>
    <w:rPr>
      <w:rFonts w:ascii="宋体" w:hAnsi="宋体" w:eastAsia="宋体"/>
      <w:sz w:val="28"/>
      <w:lang w:bidi="ar-SA"/>
    </w:rPr>
  </w:style>
  <w:style w:type="paragraph" w:customStyle="1" w:styleId="205">
    <w:name w:val="文字"/>
    <w:basedOn w:val="1"/>
    <w:link w:val="204"/>
    <w:qFormat/>
    <w:uiPriority w:val="0"/>
    <w:pPr>
      <w:tabs>
        <w:tab w:val="left" w:pos="8520"/>
      </w:tabs>
      <w:spacing w:line="312" w:lineRule="auto"/>
      <w:ind w:right="-210" w:firstLine="556"/>
    </w:pPr>
    <w:rPr>
      <w:rFonts w:ascii="宋体" w:hAnsi="宋体"/>
      <w:sz w:val="28"/>
      <w:szCs w:val="20"/>
    </w:rPr>
  </w:style>
  <w:style w:type="character" w:customStyle="1" w:styleId="206">
    <w:name w:val="Heading 2 Hidden Char1"/>
    <w:qFormat/>
    <w:uiPriority w:val="0"/>
    <w:rPr>
      <w:rFonts w:ascii="Arial" w:hAnsi="Arial" w:eastAsia="黑体"/>
      <w:b/>
      <w:bCs/>
      <w:kern w:val="2"/>
      <w:sz w:val="32"/>
      <w:szCs w:val="32"/>
    </w:rPr>
  </w:style>
  <w:style w:type="character" w:customStyle="1" w:styleId="207">
    <w:name w:val="标题 Char1"/>
    <w:qFormat/>
    <w:uiPriority w:val="0"/>
    <w:rPr>
      <w:rFonts w:ascii="Cambria" w:hAnsi="Cambria" w:eastAsia="宋体" w:cs="Times New Roman"/>
      <w:b/>
      <w:bCs/>
      <w:sz w:val="32"/>
      <w:szCs w:val="32"/>
    </w:rPr>
  </w:style>
  <w:style w:type="character" w:customStyle="1" w:styleId="208">
    <w:name w:val="Char Char20"/>
    <w:qFormat/>
    <w:uiPriority w:val="0"/>
    <w:rPr>
      <w:rFonts w:ascii="Cambria" w:hAnsi="Cambria" w:eastAsia="宋体" w:cs="Times New Roman"/>
      <w:i/>
      <w:iCs/>
      <w:color w:val="404040"/>
    </w:rPr>
  </w:style>
  <w:style w:type="character" w:customStyle="1" w:styleId="209">
    <w:name w:val="标题 2 Char1"/>
    <w:qFormat/>
    <w:uiPriority w:val="0"/>
    <w:rPr>
      <w:rFonts w:ascii="Arial" w:hAnsi="Arial" w:eastAsia="黑体"/>
      <w:b/>
      <w:bCs/>
      <w:kern w:val="2"/>
      <w:sz w:val="32"/>
      <w:szCs w:val="32"/>
      <w:lang w:val="en-US" w:eastAsia="zh-CN" w:bidi="ar-SA"/>
    </w:rPr>
  </w:style>
  <w:style w:type="character" w:customStyle="1" w:styleId="210">
    <w:name w:val="PI Char3"/>
    <w:qFormat/>
    <w:uiPriority w:val="0"/>
    <w:rPr>
      <w:rFonts w:ascii="仿宋_GB2312" w:eastAsia="仿宋_GB2312"/>
      <w:kern w:val="2"/>
      <w:sz w:val="28"/>
      <w:szCs w:val="28"/>
      <w:lang w:val="zh-CN"/>
    </w:rPr>
  </w:style>
  <w:style w:type="character" w:customStyle="1" w:styleId="211">
    <w:name w:val="PI Char1"/>
    <w:qFormat/>
    <w:uiPriority w:val="0"/>
    <w:rPr>
      <w:rFonts w:ascii="仿宋_GB2312" w:eastAsia="仿宋_GB2312"/>
      <w:kern w:val="2"/>
      <w:sz w:val="28"/>
      <w:szCs w:val="28"/>
      <w:lang w:val="zh-CN" w:eastAsia="zh-CN" w:bidi="ar-SA"/>
    </w:rPr>
  </w:style>
  <w:style w:type="character" w:customStyle="1" w:styleId="212">
    <w:name w:val="www序号1) Char"/>
    <w:link w:val="213"/>
    <w:qFormat/>
    <w:uiPriority w:val="0"/>
    <w:rPr>
      <w:rFonts w:eastAsia="宋体"/>
      <w:sz w:val="24"/>
      <w:szCs w:val="24"/>
      <w:lang w:bidi="ar-SA"/>
    </w:rPr>
  </w:style>
  <w:style w:type="paragraph" w:customStyle="1" w:styleId="213">
    <w:name w:val="www序号1)"/>
    <w:basedOn w:val="1"/>
    <w:link w:val="212"/>
    <w:qFormat/>
    <w:uiPriority w:val="0"/>
    <w:pPr>
      <w:tabs>
        <w:tab w:val="left" w:pos="2160"/>
      </w:tabs>
      <w:ind w:left="2160" w:hanging="420"/>
    </w:pPr>
  </w:style>
  <w:style w:type="character" w:customStyle="1" w:styleId="214">
    <w:name w:val="Char Char"/>
    <w:qFormat/>
    <w:uiPriority w:val="0"/>
    <w:rPr>
      <w:rFonts w:ascii="宋体" w:hAnsi="宋体" w:eastAsia="宋体"/>
      <w:sz w:val="24"/>
      <w:szCs w:val="24"/>
      <w:lang w:val="en-US" w:eastAsia="zh-CN" w:bidi="ar-SA"/>
    </w:rPr>
  </w:style>
  <w:style w:type="character" w:customStyle="1" w:styleId="215">
    <w:name w:val="EmailStyle191"/>
    <w:semiHidden/>
    <w:qFormat/>
    <w:uiPriority w:val="0"/>
    <w:rPr>
      <w:rFonts w:ascii="Arial" w:hAnsi="Arial" w:eastAsia="宋体" w:cs="Arial"/>
      <w:color w:val="000080"/>
      <w:sz w:val="18"/>
      <w:szCs w:val="20"/>
    </w:rPr>
  </w:style>
  <w:style w:type="character" w:customStyle="1" w:styleId="216">
    <w:name w:val="H5 Char"/>
    <w:qFormat/>
    <w:uiPriority w:val="0"/>
    <w:rPr>
      <w:rFonts w:ascii="Arial" w:hAnsi="Arial"/>
      <w:sz w:val="22"/>
    </w:rPr>
  </w:style>
  <w:style w:type="character" w:customStyle="1" w:styleId="217">
    <w:name w:val="Char Char4"/>
    <w:qFormat/>
    <w:uiPriority w:val="0"/>
    <w:rPr>
      <w:rFonts w:ascii="仿宋_GB2312" w:eastAsia="仿宋_GB2312"/>
      <w:kern w:val="2"/>
      <w:sz w:val="28"/>
      <w:szCs w:val="28"/>
      <w:lang w:val="zh-CN" w:eastAsia="zh-CN" w:bidi="ar-SA"/>
    </w:rPr>
  </w:style>
  <w:style w:type="character" w:customStyle="1" w:styleId="218">
    <w:name w:val="书籍标题1"/>
    <w:qFormat/>
    <w:uiPriority w:val="33"/>
    <w:rPr>
      <w:rFonts w:ascii="Cambria" w:hAnsi="Cambria" w:eastAsia="宋体"/>
      <w:b/>
      <w:i/>
      <w:sz w:val="24"/>
      <w:szCs w:val="24"/>
    </w:rPr>
  </w:style>
  <w:style w:type="character" w:customStyle="1" w:styleId="219">
    <w:name w:val="font21"/>
    <w:qFormat/>
    <w:uiPriority w:val="99"/>
    <w:rPr>
      <w:rFonts w:hint="eastAsia" w:ascii="楷体_GB2312" w:eastAsia="楷体_GB2312"/>
      <w:color w:val="000000"/>
      <w:sz w:val="21"/>
      <w:szCs w:val="21"/>
      <w:u w:val="single"/>
    </w:rPr>
  </w:style>
  <w:style w:type="character" w:customStyle="1" w:styleId="220">
    <w:name w:val="EHPT Char4"/>
    <w:qFormat/>
    <w:uiPriority w:val="0"/>
    <w:rPr>
      <w:rFonts w:eastAsia="黑体"/>
      <w:b/>
      <w:bCs/>
      <w:spacing w:val="20"/>
      <w:kern w:val="52"/>
      <w:sz w:val="56"/>
      <w:szCs w:val="24"/>
      <w:lang w:val="en-US" w:eastAsia="zh-CN" w:bidi="ar-SA"/>
    </w:rPr>
  </w:style>
  <w:style w:type="character" w:customStyle="1" w:styleId="221">
    <w:name w:val="表正文 Char"/>
    <w:qFormat/>
    <w:uiPriority w:val="0"/>
    <w:rPr>
      <w:rFonts w:ascii="仿宋_GB2312" w:eastAsia="仿宋_GB2312"/>
      <w:kern w:val="2"/>
      <w:sz w:val="28"/>
    </w:rPr>
  </w:style>
  <w:style w:type="character" w:customStyle="1" w:styleId="222">
    <w:name w:val="text1"/>
    <w:qFormat/>
    <w:uiPriority w:val="0"/>
    <w:rPr>
      <w:rFonts w:hint="eastAsia" w:ascii="宋体" w:hAnsi="宋体" w:eastAsia="宋体"/>
      <w:color w:val="000099"/>
      <w:sz w:val="18"/>
      <w:szCs w:val="18"/>
    </w:rPr>
  </w:style>
  <w:style w:type="character" w:customStyle="1" w:styleId="223">
    <w:name w:val="style321"/>
    <w:qFormat/>
    <w:uiPriority w:val="0"/>
    <w:rPr>
      <w:b/>
      <w:bCs/>
      <w:color w:val="FF9900"/>
      <w:sz w:val="23"/>
      <w:szCs w:val="23"/>
    </w:rPr>
  </w:style>
  <w:style w:type="character" w:customStyle="1" w:styleId="224">
    <w:name w:val="正文文本缩进 Char"/>
    <w:qFormat/>
    <w:uiPriority w:val="99"/>
    <w:rPr>
      <w:rFonts w:ascii="仿宋_GB2312" w:hAnsi="Times New Roman" w:eastAsia="仿宋_GB2312" w:cs="Times New Roman"/>
      <w:sz w:val="28"/>
      <w:szCs w:val="28"/>
    </w:rPr>
  </w:style>
  <w:style w:type="paragraph" w:customStyle="1" w:styleId="225">
    <w:name w:val="xl3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8"/>
      <w:szCs w:val="18"/>
    </w:rPr>
  </w:style>
  <w:style w:type="paragraph" w:customStyle="1" w:styleId="226">
    <w:name w:val="小四缩进"/>
    <w:basedOn w:val="1"/>
    <w:qFormat/>
    <w:uiPriority w:val="0"/>
    <w:pPr>
      <w:spacing w:line="360" w:lineRule="auto"/>
      <w:ind w:firstLine="480" w:firstLineChars="200"/>
    </w:pPr>
  </w:style>
  <w:style w:type="paragraph" w:customStyle="1" w:styleId="227">
    <w:name w:val="标题2正文"/>
    <w:basedOn w:val="1"/>
    <w:qFormat/>
    <w:uiPriority w:val="0"/>
    <w:pPr>
      <w:snapToGrid w:val="0"/>
      <w:spacing w:line="360" w:lineRule="auto"/>
      <w:ind w:firstLine="480" w:firstLineChars="200"/>
    </w:pPr>
  </w:style>
  <w:style w:type="paragraph" w:customStyle="1" w:styleId="228">
    <w:name w:val="xl2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29">
    <w:name w:val="xl3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30">
    <w:name w:val="Char1 Char Char Char Char Char Char Char Char Char Char Char Char Char Char Char"/>
    <w:basedOn w:val="1"/>
    <w:qFormat/>
    <w:uiPriority w:val="0"/>
  </w:style>
  <w:style w:type="paragraph" w:customStyle="1" w:styleId="231">
    <w:name w:val="文档正文"/>
    <w:basedOn w:val="1"/>
    <w:qFormat/>
    <w:uiPriority w:val="0"/>
    <w:rPr>
      <w:rFonts w:ascii="Arial" w:hAnsi="Arial" w:eastAsia="仿宋_GB2312" w:cs="Arial"/>
      <w:bCs/>
      <w:szCs w:val="28"/>
    </w:rPr>
  </w:style>
  <w:style w:type="paragraph" w:customStyle="1" w:styleId="232">
    <w:name w:val="Char1 Char Char Char2"/>
    <w:basedOn w:val="1"/>
    <w:qFormat/>
    <w:uiPriority w:val="0"/>
    <w:pPr>
      <w:ind w:left="420" w:hanging="420"/>
    </w:pPr>
    <w:rPr>
      <w:rFonts w:ascii="仿宋_GB2312" w:eastAsia="仿宋_GB2312"/>
      <w:szCs w:val="28"/>
    </w:rPr>
  </w:style>
  <w:style w:type="paragraph" w:customStyle="1" w:styleId="233">
    <w:name w:val="xl2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34">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Cs w:val="44"/>
      <w:lang w:val="en-US" w:eastAsia="zh-CN"/>
    </w:rPr>
  </w:style>
  <w:style w:type="paragraph" w:customStyle="1" w:styleId="235">
    <w:name w:val="1.1 Header2"/>
    <w:basedOn w:val="1"/>
    <w:qFormat/>
    <w:uiPriority w:val="0"/>
    <w:rPr>
      <w:rFonts w:ascii="宋体" w:hAnsi="宋体" w:eastAsia="仿宋_GB2312"/>
      <w:color w:val="000000"/>
      <w:szCs w:val="21"/>
    </w:rPr>
  </w:style>
  <w:style w:type="paragraph" w:customStyle="1" w:styleId="236">
    <w:name w:val="xl3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3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rPr>
  </w:style>
  <w:style w:type="paragraph" w:customStyle="1" w:styleId="238">
    <w:name w:val="Body"/>
    <w:qFormat/>
    <w:uiPriority w:val="0"/>
    <w:pPr>
      <w:spacing w:before="130" w:after="130" w:line="260" w:lineRule="exact"/>
    </w:pPr>
    <w:rPr>
      <w:rFonts w:ascii="Univers" w:hAnsi="Univers" w:eastAsia="宋体" w:cs="Times New Roman"/>
      <w:color w:val="000000"/>
      <w:sz w:val="22"/>
      <w:szCs w:val="22"/>
      <w:lang w:val="en-US" w:eastAsia="en-US" w:bidi="ar-SA"/>
    </w:rPr>
  </w:style>
  <w:style w:type="paragraph" w:customStyle="1" w:styleId="239">
    <w:name w:val="xl273"/>
    <w:basedOn w:val="1"/>
    <w:qFormat/>
    <w:uiPriority w:val="0"/>
    <w:pPr>
      <w:spacing w:before="100" w:beforeAutospacing="1" w:after="100" w:afterAutospacing="1"/>
    </w:pPr>
    <w:rPr>
      <w:rFonts w:ascii="宋体" w:hAnsi="宋体" w:cs="宋体"/>
      <w:color w:val="0D0D0D"/>
      <w:sz w:val="20"/>
      <w:szCs w:val="20"/>
    </w:rPr>
  </w:style>
  <w:style w:type="paragraph" w:customStyle="1" w:styleId="240">
    <w:name w:val="RFI Heading 1st Level"/>
    <w:basedOn w:val="1"/>
    <w:qFormat/>
    <w:uiPriority w:val="0"/>
    <w:pPr>
      <w:spacing w:before="120" w:after="240"/>
    </w:pPr>
    <w:rPr>
      <w:rFonts w:ascii="Arial (W1)" w:hAnsi="Arial (W1)" w:eastAsia="仿宋_GB2312"/>
      <w:b/>
      <w:bCs/>
      <w:color w:val="0000FF"/>
      <w:sz w:val="32"/>
      <w:szCs w:val="28"/>
      <w:lang w:val="en-GB"/>
    </w:rPr>
  </w:style>
  <w:style w:type="paragraph" w:customStyle="1" w:styleId="241">
    <w:name w:val="项目"/>
    <w:basedOn w:val="2"/>
    <w:next w:val="2"/>
    <w:qFormat/>
    <w:uiPriority w:val="0"/>
    <w:pPr>
      <w:numPr>
        <w:ilvl w:val="0"/>
        <w:numId w:val="3"/>
      </w:numPr>
      <w:tabs>
        <w:tab w:val="left" w:pos="420"/>
      </w:tabs>
      <w:spacing w:line="360" w:lineRule="auto"/>
      <w:ind w:left="420"/>
    </w:pPr>
    <w:rPr>
      <w:rFonts w:eastAsia="宋体"/>
      <w:b w:val="0"/>
      <w:bCs w:val="0"/>
      <w:spacing w:val="0"/>
      <w:kern w:val="0"/>
      <w:sz w:val="24"/>
      <w:szCs w:val="20"/>
    </w:rPr>
  </w:style>
  <w:style w:type="paragraph" w:customStyle="1" w:styleId="242">
    <w:name w:val="xl2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3">
    <w:name w:val="xl32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244">
    <w:name w:val="p23"/>
    <w:basedOn w:val="1"/>
    <w:qFormat/>
    <w:uiPriority w:val="0"/>
    <w:pPr>
      <w:spacing w:before="100" w:beforeAutospacing="1" w:after="100" w:afterAutospacing="1"/>
    </w:pPr>
    <w:rPr>
      <w:rFonts w:ascii="宋体" w:hAnsi="宋体" w:cs="宋体"/>
    </w:rPr>
  </w:style>
  <w:style w:type="paragraph" w:customStyle="1" w:styleId="245">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46">
    <w:name w:val="xl2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47">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48">
    <w:name w:val="RFI List 1"/>
    <w:basedOn w:val="249"/>
    <w:qFormat/>
    <w:uiPriority w:val="0"/>
    <w:pPr>
      <w:tabs>
        <w:tab w:val="left" w:pos="360"/>
        <w:tab w:val="left" w:pos="720"/>
        <w:tab w:val="left" w:pos="1800"/>
      </w:tabs>
      <w:spacing w:before="240" w:after="160"/>
      <w:ind w:left="720" w:hanging="720"/>
      <w:outlineLvl w:val="0"/>
    </w:pPr>
    <w:rPr>
      <w:b/>
      <w:color w:val="auto"/>
    </w:rPr>
  </w:style>
  <w:style w:type="paragraph" w:customStyle="1" w:styleId="249">
    <w:name w:val="RFI Heading 3rd Level"/>
    <w:basedOn w:val="1"/>
    <w:qFormat/>
    <w:uiPriority w:val="0"/>
    <w:pPr>
      <w:tabs>
        <w:tab w:val="left" w:pos="720"/>
      </w:tabs>
      <w:ind w:left="420" w:hanging="420"/>
    </w:pPr>
    <w:rPr>
      <w:rFonts w:ascii="Arial (W1)" w:hAnsi="Arial (W1)" w:eastAsia="仿宋_GB2312"/>
      <w:color w:val="000000"/>
      <w:szCs w:val="28"/>
      <w:lang w:val="en-GB" w:eastAsia="en-US"/>
    </w:rPr>
  </w:style>
  <w:style w:type="paragraph" w:customStyle="1" w:styleId="250">
    <w:name w:val="xl3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51">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52">
    <w:name w:val="xl333"/>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53">
    <w:name w:val="标题 3.1"/>
    <w:basedOn w:val="5"/>
    <w:qFormat/>
    <w:uiPriority w:val="0"/>
    <w:pPr>
      <w:tabs>
        <w:tab w:val="left" w:pos="5614"/>
      </w:tabs>
      <w:spacing w:line="600" w:lineRule="exact"/>
    </w:pPr>
    <w:rPr>
      <w:rFonts w:ascii="仿宋_GB2312"/>
      <w:sz w:val="36"/>
    </w:rPr>
  </w:style>
  <w:style w:type="paragraph" w:customStyle="1" w:styleId="254">
    <w:name w:val="xl3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30"/>
      <w:szCs w:val="30"/>
    </w:rPr>
  </w:style>
  <w:style w:type="paragraph" w:customStyle="1" w:styleId="255">
    <w:name w:val="项目1"/>
    <w:basedOn w:val="15"/>
    <w:next w:val="15"/>
    <w:qFormat/>
    <w:uiPriority w:val="0"/>
    <w:pPr>
      <w:widowControl w:val="0"/>
      <w:numPr>
        <w:ilvl w:val="3"/>
        <w:numId w:val="5"/>
      </w:numPr>
      <w:adjustRightInd/>
      <w:snapToGrid/>
      <w:spacing w:beforeLines="50" w:afterLines="50" w:line="360" w:lineRule="auto"/>
      <w:ind w:left="-4" w:leftChars="-2" w:firstLine="468" w:firstLineChars="195"/>
    </w:pPr>
    <w:rPr>
      <w:rFonts w:hAnsi="宋体" w:eastAsia="仿宋_GB2312"/>
      <w:bCs/>
      <w:snapToGrid/>
      <w:color w:val="auto"/>
      <w:kern w:val="2"/>
      <w:sz w:val="24"/>
      <w:szCs w:val="24"/>
    </w:rPr>
  </w:style>
  <w:style w:type="paragraph" w:customStyle="1" w:styleId="256">
    <w:name w:val="xl3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57">
    <w:name w:val="Bullet 1"/>
    <w:basedOn w:val="1"/>
    <w:qFormat/>
    <w:uiPriority w:val="0"/>
    <w:rPr>
      <w:rFonts w:ascii="Tahoma" w:hAnsi="Tahoma" w:eastAsia="仿宋_GB2312" w:cs="Tahoma"/>
      <w:szCs w:val="28"/>
      <w:lang w:val="en-US" w:eastAsia="en-US"/>
    </w:rPr>
  </w:style>
  <w:style w:type="paragraph" w:customStyle="1" w:styleId="258">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59">
    <w:name w:val="xl33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60">
    <w:name w:val="xl3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26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62">
    <w:name w:val="Char Char Char Char Char Char Char Char1 Char2"/>
    <w:basedOn w:val="1"/>
    <w:qFormat/>
    <w:uiPriority w:val="0"/>
    <w:rPr>
      <w:rFonts w:ascii="仿宋_GB2312" w:eastAsia="仿宋_GB2312"/>
      <w:sz w:val="28"/>
    </w:rPr>
  </w:style>
  <w:style w:type="paragraph" w:customStyle="1" w:styleId="263">
    <w:name w:val="标题6"/>
    <w:basedOn w:val="1"/>
    <w:next w:val="3"/>
    <w:qFormat/>
    <w:uiPriority w:val="0"/>
    <w:pPr>
      <w:snapToGrid w:val="0"/>
      <w:spacing w:beforeLines="50" w:afterLines="50" w:line="520" w:lineRule="atLeast"/>
      <w:ind w:firstLine="200" w:firstLineChars="200"/>
    </w:pPr>
    <w:rPr>
      <w:rFonts w:cs="Arial"/>
      <w:b/>
    </w:rPr>
  </w:style>
  <w:style w:type="paragraph" w:customStyle="1" w:styleId="264">
    <w:name w:val="xl34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color w:val="0D0D0D"/>
      <w:sz w:val="20"/>
      <w:szCs w:val="20"/>
    </w:rPr>
  </w:style>
  <w:style w:type="paragraph" w:customStyle="1" w:styleId="265">
    <w:name w:val="xl26"/>
    <w:basedOn w:val="1"/>
    <w:qFormat/>
    <w:uiPriority w:val="0"/>
    <w:pPr>
      <w:spacing w:before="100" w:beforeAutospacing="1" w:after="100" w:afterAutospacing="1"/>
      <w:jc w:val="center"/>
    </w:pPr>
    <w:rPr>
      <w:rFonts w:hint="eastAsia" w:ascii="仿宋_GB2312" w:hAnsi="宋体" w:eastAsia="仿宋_GB2312"/>
      <w:szCs w:val="28"/>
    </w:rPr>
  </w:style>
  <w:style w:type="paragraph" w:customStyle="1" w:styleId="266">
    <w:name w:val="xl3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67">
    <w:name w:val="p0"/>
    <w:basedOn w:val="1"/>
    <w:qFormat/>
    <w:uiPriority w:val="0"/>
    <w:rPr>
      <w:rFonts w:ascii="仿宋_GB2312" w:hAnsi="宋体" w:eastAsia="仿宋_GB2312" w:cs="宋体"/>
      <w:sz w:val="28"/>
      <w:szCs w:val="28"/>
    </w:rPr>
  </w:style>
  <w:style w:type="paragraph" w:customStyle="1" w:styleId="268">
    <w:name w:val="font6"/>
    <w:basedOn w:val="1"/>
    <w:qFormat/>
    <w:uiPriority w:val="0"/>
    <w:pPr>
      <w:spacing w:before="100" w:beforeAutospacing="1" w:after="100" w:afterAutospacing="1"/>
    </w:pPr>
    <w:rPr>
      <w:rFonts w:ascii="宋体" w:hAnsi="宋体" w:cs="宋体"/>
      <w:sz w:val="18"/>
      <w:szCs w:val="18"/>
    </w:rPr>
  </w:style>
  <w:style w:type="paragraph" w:customStyle="1" w:styleId="269">
    <w:name w:val="列表内容"/>
    <w:basedOn w:val="1"/>
    <w:next w:val="1"/>
    <w:qFormat/>
    <w:uiPriority w:val="0"/>
    <w:pPr>
      <w:tabs>
        <w:tab w:val="left" w:pos="840"/>
      </w:tabs>
      <w:ind w:left="420" w:hanging="420"/>
    </w:pPr>
    <w:rPr>
      <w:rFonts w:ascii="仿宋_GB2312" w:eastAsia="仿宋_GB2312"/>
      <w:sz w:val="18"/>
      <w:szCs w:val="28"/>
    </w:rPr>
  </w:style>
  <w:style w:type="paragraph" w:customStyle="1" w:styleId="270">
    <w:name w:val="条目2"/>
    <w:basedOn w:val="32"/>
    <w:qFormat/>
    <w:uiPriority w:val="0"/>
    <w:pPr>
      <w:numPr>
        <w:ilvl w:val="0"/>
        <w:numId w:val="6"/>
      </w:numPr>
      <w:tabs>
        <w:tab w:val="left" w:pos="420"/>
      </w:tabs>
      <w:spacing w:line="360" w:lineRule="auto"/>
    </w:pPr>
    <w:rPr>
      <w:rFonts w:cs="Courier New"/>
      <w:color w:val="000000"/>
      <w:sz w:val="24"/>
      <w:szCs w:val="21"/>
    </w:rPr>
  </w:style>
  <w:style w:type="paragraph" w:customStyle="1" w:styleId="271">
    <w:name w:val="xl33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72">
    <w:name w:val="Head1"/>
    <w:qFormat/>
    <w:uiPriority w:val="0"/>
    <w:pPr>
      <w:numPr>
        <w:ilvl w:val="1"/>
        <w:numId w:val="7"/>
      </w:numPr>
      <w:pBdr>
        <w:top w:val="single" w:color="auto" w:sz="6" w:space="1"/>
      </w:pBdr>
      <w:tabs>
        <w:tab w:val="left" w:pos="576"/>
      </w:tabs>
      <w:spacing w:before="28" w:after="28"/>
      <w:outlineLvl w:val="1"/>
    </w:pPr>
    <w:rPr>
      <w:rFonts w:ascii="Arial" w:hAnsi="Arial" w:eastAsia="宋体" w:cs="Times New Roman"/>
      <w:b/>
      <w:sz w:val="22"/>
      <w:szCs w:val="22"/>
      <w:lang w:val="en-US" w:eastAsia="en-US" w:bidi="ar-SA"/>
    </w:rPr>
  </w:style>
  <w:style w:type="paragraph" w:customStyle="1" w:styleId="273">
    <w:name w:val="列出段落1"/>
    <w:basedOn w:val="1"/>
    <w:qFormat/>
    <w:uiPriority w:val="34"/>
    <w:pPr>
      <w:ind w:firstLine="420" w:firstLineChars="200"/>
    </w:pPr>
  </w:style>
  <w:style w:type="paragraph" w:customStyle="1" w:styleId="274">
    <w:name w:val="中等深浅网格 21"/>
    <w:basedOn w:val="1"/>
    <w:qFormat/>
    <w:uiPriority w:val="1"/>
    <w:rPr>
      <w:szCs w:val="32"/>
    </w:rPr>
  </w:style>
  <w:style w:type="paragraph" w:customStyle="1" w:styleId="275">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276">
    <w:name w:val="xl3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277">
    <w:name w:val="正文无缩进"/>
    <w:basedOn w:val="261"/>
    <w:qFormat/>
    <w:uiPriority w:val="0"/>
    <w:pPr>
      <w:ind w:firstLine="0" w:firstLineChars="0"/>
    </w:pPr>
  </w:style>
  <w:style w:type="paragraph" w:customStyle="1" w:styleId="278">
    <w:name w:val="xl32"/>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仿宋_GB2312"/>
      <w:sz w:val="22"/>
      <w:szCs w:val="22"/>
    </w:rPr>
  </w:style>
  <w:style w:type="paragraph" w:customStyle="1" w:styleId="279">
    <w:name w:val="xl3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80">
    <w:name w:val="xl32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281">
    <w:name w:val="方案正文-样式 小四 行距: 1.5 倍行距"/>
    <w:basedOn w:val="1"/>
    <w:qFormat/>
    <w:uiPriority w:val="0"/>
    <w:pPr>
      <w:spacing w:line="360" w:lineRule="auto"/>
      <w:ind w:firstLine="480" w:firstLineChars="200"/>
    </w:pPr>
    <w:rPr>
      <w:rFonts w:ascii="仿宋_GB2312" w:eastAsia="仿宋_GB2312"/>
      <w:szCs w:val="28"/>
    </w:rPr>
  </w:style>
  <w:style w:type="paragraph" w:customStyle="1" w:styleId="282">
    <w:name w:val="RFI Heading 4th Level"/>
    <w:basedOn w:val="249"/>
    <w:qFormat/>
    <w:uiPriority w:val="0"/>
    <w:pPr>
      <w:tabs>
        <w:tab w:val="left" w:pos="1152"/>
        <w:tab w:val="clear" w:pos="720"/>
      </w:tabs>
      <w:spacing w:before="240" w:after="160"/>
      <w:ind w:left="1152" w:hanging="1152"/>
      <w:jc w:val="both"/>
      <w:outlineLvl w:val="2"/>
    </w:pPr>
    <w:rPr>
      <w:rFonts w:eastAsia="Times New Roman"/>
      <w:bCs/>
      <w:color w:val="auto"/>
    </w:rPr>
  </w:style>
  <w:style w:type="paragraph" w:customStyle="1" w:styleId="283">
    <w:name w:val="xl2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84">
    <w:name w:val="xl3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285">
    <w:name w:val="PDGInstructions"/>
    <w:basedOn w:val="1"/>
    <w:qFormat/>
    <w:uiPriority w:val="0"/>
    <w:pPr>
      <w:spacing w:before="60" w:after="60"/>
      <w:ind w:right="360"/>
    </w:pPr>
    <w:rPr>
      <w:rFonts w:ascii="Garamond" w:hAnsi="Garamond"/>
      <w:color w:val="FF0000"/>
      <w:lang w:eastAsia="en-US"/>
    </w:rPr>
  </w:style>
  <w:style w:type="paragraph" w:customStyle="1" w:styleId="286">
    <w:name w:val="xl2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287">
    <w:name w:val="Level 2: 1."/>
    <w:qFormat/>
    <w:uiPriority w:val="0"/>
    <w:pPr>
      <w:numPr>
        <w:ilvl w:val="4"/>
        <w:numId w:val="7"/>
      </w:numPr>
      <w:tabs>
        <w:tab w:val="left" w:pos="720"/>
      </w:tabs>
      <w:spacing w:before="72" w:after="72"/>
      <w:jc w:val="both"/>
      <w:outlineLvl w:val="4"/>
    </w:pPr>
    <w:rPr>
      <w:rFonts w:ascii="Arial" w:hAnsi="Arial" w:eastAsia="宋体" w:cs="Times New Roman"/>
      <w:sz w:val="22"/>
      <w:szCs w:val="22"/>
      <w:lang w:val="en-US" w:eastAsia="en-US" w:bidi="ar-SA"/>
    </w:rPr>
  </w:style>
  <w:style w:type="paragraph" w:customStyle="1" w:styleId="288">
    <w:name w:val="RFI Heading 2nd Level"/>
    <w:basedOn w:val="1"/>
    <w:qFormat/>
    <w:uiPriority w:val="0"/>
    <w:pPr>
      <w:tabs>
        <w:tab w:val="left" w:pos="720"/>
      </w:tabs>
      <w:ind w:left="840" w:hanging="420"/>
    </w:pPr>
    <w:rPr>
      <w:rFonts w:ascii="Arial (W1)" w:hAnsi="Arial (W1)" w:eastAsia="仿宋_GB2312"/>
      <w:b/>
      <w:bCs/>
      <w:color w:val="0000FF"/>
      <w:sz w:val="28"/>
      <w:szCs w:val="28"/>
      <w:lang w:val="en-GB" w:eastAsia="en-US"/>
    </w:rPr>
  </w:style>
  <w:style w:type="paragraph" w:customStyle="1" w:styleId="289">
    <w:name w:val="xl2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290">
    <w:name w:val="Level 5: (1)"/>
    <w:basedOn w:val="1"/>
    <w:qFormat/>
    <w:uiPriority w:val="0"/>
    <w:pPr>
      <w:numPr>
        <w:ilvl w:val="7"/>
        <w:numId w:val="7"/>
      </w:numPr>
      <w:tabs>
        <w:tab w:val="left" w:pos="1800"/>
      </w:tabs>
      <w:spacing w:before="72" w:after="72"/>
      <w:outlineLvl w:val="7"/>
    </w:pPr>
    <w:rPr>
      <w:rFonts w:ascii="Arial" w:hAnsi="Arial" w:eastAsia="仿宋_GB2312"/>
      <w:sz w:val="20"/>
      <w:lang w:val="en-US" w:eastAsia="en-US"/>
    </w:rPr>
  </w:style>
  <w:style w:type="paragraph" w:customStyle="1" w:styleId="291">
    <w:name w:val="xl2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292">
    <w:name w:val="xl3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93">
    <w:name w:val="图"/>
    <w:basedOn w:val="1"/>
    <w:qFormat/>
    <w:uiPriority w:val="0"/>
    <w:pPr>
      <w:keepNext/>
      <w:adjustRightInd w:val="0"/>
      <w:spacing w:before="60" w:after="60" w:line="300" w:lineRule="auto"/>
      <w:jc w:val="center"/>
      <w:textAlignment w:val="center"/>
    </w:pPr>
    <w:rPr>
      <w:rFonts w:ascii="仿宋_GB2312" w:eastAsia="仿宋_GB2312"/>
      <w:snapToGrid w:val="0"/>
      <w:spacing w:val="20"/>
      <w:lang w:val="en-US" w:eastAsia="zh-CN"/>
    </w:rPr>
  </w:style>
  <w:style w:type="paragraph" w:customStyle="1" w:styleId="294">
    <w:name w:val="xl334"/>
    <w:basedOn w:val="1"/>
    <w:qFormat/>
    <w:uiPriority w:val="0"/>
    <w:pPr>
      <w:pBdr>
        <w:top w:val="single" w:color="auto" w:sz="4" w:space="0"/>
        <w:left w:val="single" w:color="auto" w:sz="4" w:space="0"/>
        <w:bottom w:val="single" w:color="auto" w:sz="4" w:space="0"/>
        <w:right w:val="single" w:color="auto" w:sz="4" w:space="0"/>
      </w:pBdr>
      <w:shd w:val="clear" w:color="000000" w:fill="8DB4E2"/>
      <w:spacing w:before="100" w:beforeAutospacing="1" w:after="100" w:afterAutospacing="1"/>
      <w:jc w:val="center"/>
    </w:pPr>
    <w:rPr>
      <w:rFonts w:ascii="宋体" w:hAnsi="宋体" w:cs="宋体"/>
      <w:b/>
      <w:bCs/>
      <w:color w:val="0D0D0D"/>
      <w:sz w:val="20"/>
      <w:szCs w:val="20"/>
    </w:rPr>
  </w:style>
  <w:style w:type="paragraph" w:customStyle="1" w:styleId="295">
    <w:name w:val="xl2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296">
    <w:name w:val="水印"/>
    <w:basedOn w:val="1"/>
    <w:qFormat/>
    <w:uiPriority w:val="0"/>
    <w:pPr>
      <w:adjustRightInd w:val="0"/>
      <w:spacing w:line="240" w:lineRule="atLeast"/>
      <w:textAlignment w:val="baseline"/>
    </w:pPr>
    <w:rPr>
      <w:rFonts w:ascii="仿宋_GB2312" w:eastAsia="仿宋_GB2312"/>
      <w:sz w:val="28"/>
    </w:rPr>
  </w:style>
  <w:style w:type="paragraph" w:customStyle="1" w:styleId="297">
    <w:name w:val="标题2正文 Char"/>
    <w:basedOn w:val="1"/>
    <w:qFormat/>
    <w:uiPriority w:val="0"/>
    <w:pPr>
      <w:snapToGrid w:val="0"/>
      <w:spacing w:line="360" w:lineRule="auto"/>
      <w:ind w:firstLine="480" w:firstLineChars="200"/>
    </w:pPr>
  </w:style>
  <w:style w:type="paragraph" w:customStyle="1" w:styleId="298">
    <w:name w:val="默认段落字体 Para Char"/>
    <w:basedOn w:val="1"/>
    <w:qFormat/>
    <w:uiPriority w:val="0"/>
    <w:pPr>
      <w:spacing w:line="360" w:lineRule="auto"/>
      <w:ind w:firstLine="200" w:firstLineChars="200"/>
    </w:pPr>
    <w:rPr>
      <w:rFonts w:ascii="宋体" w:hAnsi="宋体" w:eastAsia="仿宋_GB2312" w:cs="宋体"/>
      <w:szCs w:val="28"/>
    </w:rPr>
  </w:style>
  <w:style w:type="paragraph" w:customStyle="1" w:styleId="299">
    <w:name w:val="彩色列表 - 强调文字颜色 11"/>
    <w:basedOn w:val="1"/>
    <w:qFormat/>
    <w:uiPriority w:val="34"/>
    <w:pPr>
      <w:ind w:left="720"/>
      <w:contextualSpacing/>
    </w:pPr>
  </w:style>
  <w:style w:type="paragraph" w:customStyle="1" w:styleId="300">
    <w:name w:val="标题四正文"/>
    <w:basedOn w:val="1"/>
    <w:qFormat/>
    <w:uiPriority w:val="0"/>
    <w:pPr>
      <w:snapToGrid w:val="0"/>
      <w:spacing w:line="360" w:lineRule="auto"/>
      <w:ind w:firstLine="480" w:firstLineChars="200"/>
    </w:pPr>
    <w:rPr>
      <w:rFonts w:ascii="宋体" w:hAnsi="宋体"/>
    </w:rPr>
  </w:style>
  <w:style w:type="paragraph" w:customStyle="1" w:styleId="301">
    <w:name w:val="xl3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2">
    <w:name w:val="Normal 1.0"/>
    <w:basedOn w:val="1"/>
    <w:qFormat/>
    <w:uiPriority w:val="0"/>
    <w:pPr>
      <w:keepLines/>
      <w:spacing w:before="180" w:after="120"/>
      <w:ind w:left="1440"/>
    </w:pPr>
    <w:rPr>
      <w:rFonts w:ascii="仿宋_GB2312" w:eastAsia="仿宋_GB2312"/>
      <w:szCs w:val="28"/>
      <w:lang w:val="en-GB" w:eastAsia="en-US"/>
    </w:rPr>
  </w:style>
  <w:style w:type="paragraph" w:customStyle="1" w:styleId="303">
    <w:name w:val="xl349"/>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04">
    <w:name w:val="xl34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05">
    <w:name w:val="Level 6: (i)"/>
    <w:basedOn w:val="1"/>
    <w:qFormat/>
    <w:uiPriority w:val="0"/>
    <w:pPr>
      <w:numPr>
        <w:ilvl w:val="8"/>
        <w:numId w:val="7"/>
      </w:numPr>
      <w:tabs>
        <w:tab w:val="left" w:pos="2160"/>
      </w:tabs>
      <w:spacing w:before="72" w:after="72"/>
      <w:outlineLvl w:val="8"/>
    </w:pPr>
    <w:rPr>
      <w:rFonts w:ascii="Arial" w:hAnsi="Arial" w:eastAsia="仿宋_GB2312"/>
      <w:sz w:val="20"/>
      <w:lang w:val="en-US" w:eastAsia="en-US"/>
    </w:rPr>
  </w:style>
  <w:style w:type="paragraph" w:customStyle="1" w:styleId="306">
    <w:name w:val="正文（缩进）"/>
    <w:basedOn w:val="1"/>
    <w:qFormat/>
    <w:uiPriority w:val="0"/>
    <w:pPr>
      <w:spacing w:beforeLines="50" w:afterLines="50" w:line="360" w:lineRule="auto"/>
      <w:ind w:firstLine="480" w:firstLineChars="200"/>
    </w:pPr>
    <w:rPr>
      <w:rFonts w:ascii="仿宋_GB2312" w:eastAsia="仿宋_GB2312"/>
      <w:szCs w:val="28"/>
    </w:rPr>
  </w:style>
  <w:style w:type="paragraph" w:customStyle="1" w:styleId="307">
    <w:name w:val="xl2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08">
    <w:name w:val="样式 首行缩进:  0 字符"/>
    <w:basedOn w:val="1"/>
    <w:qFormat/>
    <w:uiPriority w:val="0"/>
    <w:pPr>
      <w:widowControl w:val="0"/>
      <w:spacing w:line="360" w:lineRule="auto"/>
      <w:ind w:firstLine="200" w:firstLineChars="200"/>
      <w:jc w:val="both"/>
    </w:pPr>
    <w:rPr>
      <w:rFonts w:ascii="Times New Roman" w:hAnsi="Times New Roman" w:cs="宋体"/>
      <w:kern w:val="2"/>
      <w:szCs w:val="20"/>
    </w:rPr>
  </w:style>
  <w:style w:type="paragraph" w:customStyle="1" w:styleId="309">
    <w:name w:val="Char12"/>
    <w:basedOn w:val="1"/>
    <w:qFormat/>
    <w:uiPriority w:val="0"/>
    <w:rPr>
      <w:rFonts w:ascii="Tahoma" w:hAnsi="Tahoma" w:eastAsia="仿宋_GB2312"/>
    </w:rPr>
  </w:style>
  <w:style w:type="paragraph" w:customStyle="1" w:styleId="310">
    <w:name w:val="Char Char1 Char Char"/>
    <w:basedOn w:val="1"/>
    <w:semiHidden/>
    <w:qFormat/>
    <w:uiPriority w:val="0"/>
    <w:rPr>
      <w:rFonts w:ascii="仿宋_GB2312" w:eastAsia="仿宋_GB2312"/>
      <w:sz w:val="28"/>
      <w:szCs w:val="28"/>
    </w:rPr>
  </w:style>
  <w:style w:type="paragraph" w:customStyle="1" w:styleId="311">
    <w:name w:val="Level 4: (i)"/>
    <w:basedOn w:val="1"/>
    <w:qFormat/>
    <w:uiPriority w:val="0"/>
    <w:pPr>
      <w:numPr>
        <w:ilvl w:val="6"/>
        <w:numId w:val="7"/>
      </w:numPr>
      <w:tabs>
        <w:tab w:val="left" w:pos="1440"/>
      </w:tabs>
      <w:spacing w:before="72" w:after="72"/>
      <w:outlineLvl w:val="6"/>
    </w:pPr>
    <w:rPr>
      <w:rFonts w:ascii="Arial" w:hAnsi="Arial" w:eastAsia="仿宋_GB2312"/>
      <w:sz w:val="20"/>
      <w:lang w:val="en-US" w:eastAsia="en-US"/>
    </w:rPr>
  </w:style>
  <w:style w:type="paragraph" w:styleId="312">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13">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314">
    <w:name w:val="xl30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sz w:val="20"/>
      <w:szCs w:val="20"/>
    </w:rPr>
  </w:style>
  <w:style w:type="paragraph" w:customStyle="1" w:styleId="315">
    <w:name w:val="RFI Bullet 1st Level"/>
    <w:basedOn w:val="1"/>
    <w:qFormat/>
    <w:uiPriority w:val="0"/>
    <w:pPr>
      <w:spacing w:before="60" w:after="60"/>
      <w:ind w:left="1440" w:hanging="360"/>
    </w:pPr>
    <w:rPr>
      <w:rFonts w:ascii="Arial (W1)" w:hAnsi="Arial (W1)" w:eastAsia="仿宋_GB2312"/>
      <w:szCs w:val="28"/>
      <w:lang w:val="en-GB" w:eastAsia="en-US"/>
    </w:rPr>
  </w:style>
  <w:style w:type="paragraph" w:customStyle="1" w:styleId="316">
    <w:name w:val="xl2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17">
    <w:name w:val="Char"/>
    <w:basedOn w:val="1"/>
    <w:qFormat/>
    <w:uiPriority w:val="0"/>
    <w:rPr>
      <w:rFonts w:ascii="仿宋_GB2312" w:eastAsia="仿宋_GB2312"/>
      <w:b/>
      <w:sz w:val="32"/>
      <w:szCs w:val="32"/>
    </w:rPr>
  </w:style>
  <w:style w:type="paragraph" w:customStyle="1" w:styleId="318">
    <w:name w:val="xl3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9">
    <w:name w:val="项目符号2"/>
    <w:basedOn w:val="1"/>
    <w:qFormat/>
    <w:uiPriority w:val="0"/>
    <w:pPr>
      <w:tabs>
        <w:tab w:val="left" w:pos="2591"/>
      </w:tabs>
      <w:snapToGrid w:val="0"/>
      <w:spacing w:line="300" w:lineRule="auto"/>
      <w:ind w:left="2155" w:hanging="284"/>
    </w:pPr>
    <w:rPr>
      <w:rFonts w:ascii="宋体" w:eastAsia="仿宋_GB2312"/>
    </w:rPr>
  </w:style>
  <w:style w:type="paragraph" w:customStyle="1" w:styleId="320">
    <w:name w:val="1 Char Char Char Char"/>
    <w:basedOn w:val="1"/>
    <w:qFormat/>
    <w:uiPriority w:val="0"/>
    <w:rPr>
      <w:rFonts w:ascii="Tahoma" w:hAnsi="Tahoma"/>
    </w:rPr>
  </w:style>
  <w:style w:type="paragraph" w:customStyle="1" w:styleId="321">
    <w:name w:val="Level 3: (a)"/>
    <w:basedOn w:val="1"/>
    <w:qFormat/>
    <w:uiPriority w:val="0"/>
    <w:pPr>
      <w:numPr>
        <w:ilvl w:val="5"/>
        <w:numId w:val="7"/>
      </w:numPr>
      <w:tabs>
        <w:tab w:val="left" w:pos="1080"/>
      </w:tabs>
      <w:spacing w:before="72" w:after="72"/>
      <w:outlineLvl w:val="5"/>
    </w:pPr>
    <w:rPr>
      <w:rFonts w:ascii="Arial" w:hAnsi="Arial" w:eastAsia="仿宋_GB2312"/>
      <w:sz w:val="20"/>
      <w:lang w:val="en-US" w:eastAsia="en-US"/>
    </w:rPr>
  </w:style>
  <w:style w:type="paragraph" w:customStyle="1" w:styleId="322">
    <w:name w:val="简单回函地址"/>
    <w:basedOn w:val="1"/>
    <w:qFormat/>
    <w:uiPriority w:val="0"/>
    <w:rPr>
      <w:rFonts w:ascii="宋体" w:hAnsi="宋体" w:eastAsia="仿宋_GB2312"/>
      <w:color w:val="000000"/>
      <w:sz w:val="28"/>
      <w:szCs w:val="21"/>
    </w:rPr>
  </w:style>
  <w:style w:type="paragraph" w:customStyle="1" w:styleId="323">
    <w:name w:val="Char Char Char Char Char Char Char Char Char Char"/>
    <w:basedOn w:val="1"/>
    <w:qFormat/>
    <w:uiPriority w:val="0"/>
    <w:rPr>
      <w:rFonts w:ascii="Tahoma" w:hAnsi="Tahoma"/>
    </w:rPr>
  </w:style>
  <w:style w:type="paragraph" w:customStyle="1" w:styleId="324">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325">
    <w:name w:val="Level 1: a."/>
    <w:qFormat/>
    <w:uiPriority w:val="0"/>
    <w:pPr>
      <w:numPr>
        <w:ilvl w:val="3"/>
        <w:numId w:val="7"/>
      </w:numPr>
      <w:tabs>
        <w:tab w:val="left" w:pos="360"/>
      </w:tabs>
      <w:spacing w:before="72" w:after="72"/>
      <w:jc w:val="both"/>
      <w:outlineLvl w:val="3"/>
    </w:pPr>
    <w:rPr>
      <w:rFonts w:ascii="Arial" w:hAnsi="Arial" w:eastAsia="宋体" w:cs="Times New Roman"/>
      <w:sz w:val="22"/>
      <w:szCs w:val="22"/>
      <w:lang w:val="en-US" w:eastAsia="en-US" w:bidi="ar-SA"/>
    </w:rPr>
  </w:style>
  <w:style w:type="paragraph" w:customStyle="1" w:styleId="326">
    <w:name w:val="标题 3.5"/>
    <w:basedOn w:val="5"/>
    <w:qFormat/>
    <w:uiPriority w:val="0"/>
    <w:pPr>
      <w:keepNext w:val="0"/>
      <w:spacing w:before="0" w:after="0" w:line="600" w:lineRule="exact"/>
      <w:outlineLvl w:val="9"/>
    </w:pPr>
    <w:rPr>
      <w:rFonts w:ascii="仿宋_GB2312" w:eastAsia="仿宋_GB2312"/>
      <w:b w:val="0"/>
      <w:bCs w:val="0"/>
      <w:sz w:val="31"/>
      <w:szCs w:val="24"/>
    </w:rPr>
  </w:style>
  <w:style w:type="paragraph" w:customStyle="1" w:styleId="327">
    <w:name w:val="xl2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28">
    <w:name w:val="Normal 0.51"/>
    <w:basedOn w:val="1"/>
    <w:qFormat/>
    <w:uiPriority w:val="0"/>
    <w:pPr>
      <w:keepNext/>
      <w:keepLines/>
      <w:spacing w:before="180" w:after="120"/>
      <w:ind w:left="720"/>
    </w:pPr>
    <w:rPr>
      <w:rFonts w:ascii="仿宋_GB2312" w:eastAsia="仿宋_GB2312"/>
      <w:lang w:val="en-GB" w:eastAsia="en-US"/>
    </w:rPr>
  </w:style>
  <w:style w:type="paragraph" w:customStyle="1" w:styleId="329">
    <w:name w:val="Style Left:  0.81&quot; First line:  0&quot; Line spacing:  1.5 lines Char"/>
    <w:basedOn w:val="1"/>
    <w:qFormat/>
    <w:uiPriority w:val="0"/>
    <w:pPr>
      <w:spacing w:line="360" w:lineRule="auto"/>
      <w:ind w:left="1152"/>
    </w:pPr>
    <w:rPr>
      <w:rFonts w:ascii="仿宋_GB2312" w:eastAsia="仿宋_GB2312"/>
      <w:lang w:eastAsia="en-US"/>
    </w:rPr>
  </w:style>
  <w:style w:type="paragraph" w:customStyle="1" w:styleId="330">
    <w:name w:val="BodyText"/>
    <w:basedOn w:val="1"/>
    <w:qFormat/>
    <w:uiPriority w:val="0"/>
    <w:pPr>
      <w:spacing w:after="120"/>
    </w:pPr>
    <w:rPr>
      <w:rFonts w:ascii="FuturaA Bk BT" w:hAnsi="FuturaA Bk BT" w:eastAsia="仿宋_GB2312"/>
      <w:sz w:val="20"/>
    </w:rPr>
  </w:style>
  <w:style w:type="paragraph" w:customStyle="1" w:styleId="331">
    <w:name w:val="日期右"/>
    <w:basedOn w:val="35"/>
    <w:qFormat/>
    <w:uiPriority w:val="0"/>
    <w:pPr>
      <w:spacing w:line="600" w:lineRule="exact"/>
      <w:ind w:left="0" w:leftChars="0"/>
      <w:jc w:val="right"/>
    </w:pPr>
    <w:rPr>
      <w:rFonts w:eastAsia="仿宋_GB2312"/>
      <w:sz w:val="31"/>
      <w:szCs w:val="24"/>
    </w:rPr>
  </w:style>
  <w:style w:type="paragraph" w:customStyle="1" w:styleId="332">
    <w:name w:val="正文缩进6格"/>
    <w:basedOn w:val="333"/>
    <w:qFormat/>
    <w:uiPriority w:val="0"/>
    <w:pPr>
      <w:ind w:left="1758" w:leftChars="854"/>
    </w:pPr>
  </w:style>
  <w:style w:type="paragraph" w:customStyle="1" w:styleId="333">
    <w:name w:val="正文缩进4格"/>
    <w:basedOn w:val="261"/>
    <w:qFormat/>
    <w:uiPriority w:val="0"/>
    <w:pPr>
      <w:ind w:left="651" w:leftChars="310" w:firstLine="608" w:firstLineChars="196"/>
    </w:pPr>
    <w:rPr>
      <w:color w:val="000000"/>
    </w:rPr>
  </w:style>
  <w:style w:type="paragraph" w:customStyle="1" w:styleId="334">
    <w:name w:val="Char1 Char Char Char Char Char Char"/>
    <w:basedOn w:val="1"/>
    <w:qFormat/>
    <w:uiPriority w:val="0"/>
    <w:pPr>
      <w:adjustRightInd w:val="0"/>
    </w:pPr>
    <w:rPr>
      <w:rFonts w:ascii="Tahoma" w:hAnsi="Tahoma"/>
    </w:rPr>
  </w:style>
  <w:style w:type="paragraph" w:customStyle="1" w:styleId="335">
    <w:name w:val="样式1"/>
    <w:basedOn w:val="4"/>
    <w:qFormat/>
    <w:uiPriority w:val="0"/>
    <w:pPr>
      <w:spacing w:line="415" w:lineRule="auto"/>
      <w:jc w:val="center"/>
    </w:pPr>
    <w:rPr>
      <w:rFonts w:ascii="宋体" w:hAnsi="宋体"/>
      <w:sz w:val="36"/>
      <w:szCs w:val="36"/>
    </w:rPr>
  </w:style>
  <w:style w:type="paragraph" w:customStyle="1" w:styleId="336">
    <w:name w:val="Char2"/>
    <w:basedOn w:val="1"/>
    <w:qFormat/>
    <w:uiPriority w:val="0"/>
    <w:rPr>
      <w:rFonts w:ascii="仿宋_GB2312" w:eastAsia="仿宋_GB2312"/>
      <w:b/>
      <w:sz w:val="32"/>
      <w:szCs w:val="32"/>
    </w:rPr>
  </w:style>
  <w:style w:type="paragraph" w:customStyle="1" w:styleId="337">
    <w:name w:val="xl3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38">
    <w:name w:val="font5"/>
    <w:basedOn w:val="1"/>
    <w:qFormat/>
    <w:uiPriority w:val="0"/>
    <w:pPr>
      <w:spacing w:before="100" w:beforeAutospacing="1" w:after="100" w:afterAutospacing="1"/>
    </w:pPr>
    <w:rPr>
      <w:rFonts w:ascii="宋体" w:hAnsi="宋体" w:cs="宋体"/>
      <w:sz w:val="18"/>
      <w:szCs w:val="18"/>
    </w:rPr>
  </w:style>
  <w:style w:type="paragraph" w:customStyle="1" w:styleId="339">
    <w:name w:val="xl3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340">
    <w:name w:val="Tabletext"/>
    <w:basedOn w:val="1"/>
    <w:qFormat/>
    <w:uiPriority w:val="0"/>
    <w:pPr>
      <w:keepLines/>
      <w:spacing w:after="120" w:line="240" w:lineRule="atLeast"/>
    </w:pPr>
    <w:rPr>
      <w:rFonts w:ascii="仿宋_GB2312" w:eastAsia="仿宋_GB2312"/>
      <w:lang w:eastAsia="en-US"/>
    </w:rPr>
  </w:style>
  <w:style w:type="paragraph" w:customStyle="1" w:styleId="341">
    <w:name w:val="xl313"/>
    <w:basedOn w:val="1"/>
    <w:qFormat/>
    <w:uiPriority w:val="0"/>
    <w:pPr>
      <w:spacing w:before="100" w:beforeAutospacing="1" w:after="100" w:afterAutospacing="1"/>
    </w:pPr>
    <w:rPr>
      <w:rFonts w:ascii="宋体" w:hAnsi="宋体" w:cs="宋体"/>
      <w:b/>
      <w:bCs/>
      <w:color w:val="0D0D0D"/>
      <w:sz w:val="20"/>
      <w:szCs w:val="20"/>
    </w:rPr>
  </w:style>
  <w:style w:type="paragraph" w:customStyle="1" w:styleId="342">
    <w:name w:val="xl32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43">
    <w:name w:val="xl2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44">
    <w:name w:val="Default Text:1"/>
    <w:basedOn w:val="1"/>
    <w:qFormat/>
    <w:uiPriority w:val="0"/>
    <w:rPr>
      <w:rFonts w:ascii="Tahoma" w:hAnsi="Tahoma" w:eastAsia="仿宋_GB2312" w:cs="Tahoma"/>
      <w:szCs w:val="28"/>
      <w:lang w:val="en-US" w:eastAsia="en-US"/>
    </w:rPr>
  </w:style>
  <w:style w:type="paragraph" w:customStyle="1" w:styleId="345">
    <w:name w:val="p18"/>
    <w:basedOn w:val="1"/>
    <w:qFormat/>
    <w:uiPriority w:val="0"/>
    <w:pPr>
      <w:spacing w:before="156" w:after="156" w:line="400" w:lineRule="atLeast"/>
    </w:pPr>
    <w:rPr>
      <w:rFonts w:ascii="宋体" w:hAnsi="宋体" w:cs="宋体"/>
    </w:rPr>
  </w:style>
  <w:style w:type="paragraph" w:customStyle="1" w:styleId="346">
    <w:name w:val="xl3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47">
    <w:name w:val="xl2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48">
    <w:name w:val="Default Text"/>
    <w:basedOn w:val="1"/>
    <w:qFormat/>
    <w:uiPriority w:val="0"/>
    <w:rPr>
      <w:rFonts w:ascii="Tahoma" w:hAnsi="Tahoma" w:eastAsia="仿宋_GB2312" w:cs="Tahoma"/>
      <w:szCs w:val="28"/>
      <w:lang w:val="en-US" w:eastAsia="en-US"/>
    </w:rPr>
  </w:style>
  <w:style w:type="paragraph" w:customStyle="1" w:styleId="349">
    <w:name w:val="Char11"/>
    <w:basedOn w:val="1"/>
    <w:qFormat/>
    <w:uiPriority w:val="0"/>
    <w:rPr>
      <w:rFonts w:ascii="Tahoma" w:hAnsi="Tahoma" w:eastAsia="仿宋_GB2312"/>
    </w:rPr>
  </w:style>
  <w:style w:type="paragraph" w:customStyle="1" w:styleId="350">
    <w:name w:val="Proposals body"/>
    <w:basedOn w:val="1"/>
    <w:next w:val="1"/>
    <w:qFormat/>
    <w:uiPriority w:val="0"/>
    <w:pPr>
      <w:spacing w:line="360" w:lineRule="auto"/>
    </w:pPr>
    <w:rPr>
      <w:rFonts w:ascii="宋体" w:eastAsia="仿宋_GB2312"/>
      <w:snapToGrid w:val="0"/>
      <w:color w:val="000000"/>
    </w:rPr>
  </w:style>
  <w:style w:type="paragraph" w:customStyle="1" w:styleId="351">
    <w:name w:val="Achievement"/>
    <w:basedOn w:val="2"/>
    <w:qFormat/>
    <w:uiPriority w:val="0"/>
    <w:pPr>
      <w:numPr>
        <w:ilvl w:val="0"/>
        <w:numId w:val="8"/>
      </w:numPr>
      <w:spacing w:after="60" w:line="220" w:lineRule="atLeast"/>
    </w:pPr>
    <w:rPr>
      <w:rFonts w:ascii="Arial" w:hAnsi="Arial" w:eastAsia="宋体"/>
      <w:b w:val="0"/>
      <w:bCs w:val="0"/>
      <w:spacing w:val="-5"/>
      <w:kern w:val="0"/>
      <w:sz w:val="20"/>
      <w:szCs w:val="20"/>
    </w:rPr>
  </w:style>
  <w:style w:type="paragraph" w:customStyle="1" w:styleId="352">
    <w:name w:val="xl34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color w:val="0D0D0D"/>
      <w:sz w:val="20"/>
      <w:szCs w:val="20"/>
    </w:rPr>
  </w:style>
  <w:style w:type="paragraph" w:customStyle="1" w:styleId="353">
    <w:name w:val="Char Char Char Char"/>
    <w:basedOn w:val="1"/>
    <w:qFormat/>
    <w:uiPriority w:val="0"/>
    <w:pPr>
      <w:spacing w:line="400" w:lineRule="exact"/>
      <w:jc w:val="center"/>
    </w:pPr>
    <w:rPr>
      <w:rFonts w:ascii="Verdana" w:hAnsi="Verdana" w:eastAsia="仿宋_GB2312"/>
      <w:sz w:val="28"/>
      <w:lang w:eastAsia="en-US"/>
    </w:rPr>
  </w:style>
  <w:style w:type="paragraph" w:customStyle="1" w:styleId="354">
    <w:name w:val="www正文"/>
    <w:basedOn w:val="1"/>
    <w:qFormat/>
    <w:uiPriority w:val="0"/>
    <w:pPr>
      <w:ind w:firstLine="480" w:firstLineChars="200"/>
    </w:pPr>
    <w:rPr>
      <w:rFonts w:ascii="仿宋_GB2312" w:eastAsia="仿宋_GB2312"/>
      <w:szCs w:val="28"/>
    </w:rPr>
  </w:style>
  <w:style w:type="paragraph" w:customStyle="1" w:styleId="355">
    <w:name w:val="RFI abc 1st Level"/>
    <w:basedOn w:val="1"/>
    <w:qFormat/>
    <w:uiPriority w:val="0"/>
    <w:pPr>
      <w:numPr>
        <w:ilvl w:val="0"/>
        <w:numId w:val="9"/>
      </w:numPr>
      <w:tabs>
        <w:tab w:val="left" w:pos="1440"/>
      </w:tabs>
      <w:ind w:left="1440"/>
    </w:pPr>
    <w:rPr>
      <w:rFonts w:ascii="Arial (W1)" w:hAnsi="Arial (W1)" w:eastAsia="仿宋_GB2312"/>
      <w:szCs w:val="28"/>
      <w:lang w:val="en-GB" w:eastAsia="en-US"/>
    </w:rPr>
  </w:style>
  <w:style w:type="paragraph" w:customStyle="1" w:styleId="356">
    <w:name w:val="xl269"/>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57">
    <w:name w:val="Style Heading 3 + 11 pt Line spacing:  1.5 lines"/>
    <w:basedOn w:val="5"/>
    <w:qFormat/>
    <w:uiPriority w:val="0"/>
    <w:pPr>
      <w:tabs>
        <w:tab w:val="left" w:pos="1260"/>
      </w:tabs>
      <w:spacing w:before="0" w:after="0" w:line="360" w:lineRule="auto"/>
      <w:ind w:left="236" w:leftChars="236"/>
    </w:pPr>
    <w:rPr>
      <w:rFonts w:ascii="仿宋_GB2312" w:eastAsia="黑体"/>
      <w:b w:val="0"/>
      <w:sz w:val="28"/>
      <w:szCs w:val="28"/>
    </w:rPr>
  </w:style>
  <w:style w:type="paragraph" w:customStyle="1" w:styleId="358">
    <w:name w:val="Content Bullet"/>
    <w:basedOn w:val="1"/>
    <w:qFormat/>
    <w:uiPriority w:val="0"/>
    <w:pPr>
      <w:tabs>
        <w:tab w:val="left" w:pos="420"/>
        <w:tab w:val="left" w:pos="696"/>
        <w:tab w:val="left" w:pos="3060"/>
        <w:tab w:val="left" w:pos="3600"/>
      </w:tabs>
      <w:spacing w:after="120"/>
      <w:ind w:left="720" w:hanging="720"/>
    </w:pPr>
    <w:rPr>
      <w:rFonts w:ascii="Book Antiqua" w:hAnsi="Book Antiqua" w:eastAsia="仿宋_GB2312"/>
      <w:sz w:val="22"/>
      <w:lang w:val="en-GB" w:eastAsia="en-US"/>
    </w:rPr>
  </w:style>
  <w:style w:type="paragraph" w:customStyle="1" w:styleId="359">
    <w:name w:val="1.1.1Head2"/>
    <w:qFormat/>
    <w:uiPriority w:val="0"/>
    <w:pPr>
      <w:numPr>
        <w:ilvl w:val="2"/>
        <w:numId w:val="10"/>
      </w:numPr>
      <w:tabs>
        <w:tab w:val="left" w:pos="2880"/>
      </w:tabs>
      <w:spacing w:before="28" w:after="28"/>
      <w:outlineLvl w:val="2"/>
    </w:pPr>
    <w:rPr>
      <w:rFonts w:ascii="Arial" w:hAnsi="Arial" w:eastAsia="宋体" w:cs="Times New Roman"/>
      <w:b/>
      <w:sz w:val="22"/>
      <w:szCs w:val="22"/>
      <w:lang w:val="en-US" w:eastAsia="en-US" w:bidi="ar-SA"/>
    </w:rPr>
  </w:style>
  <w:style w:type="paragraph" w:customStyle="1" w:styleId="360">
    <w:name w:val="xl27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361">
    <w:name w:val="RFI Heading 2nd Level Char"/>
    <w:basedOn w:val="1"/>
    <w:qFormat/>
    <w:uiPriority w:val="0"/>
    <w:pPr>
      <w:tabs>
        <w:tab w:val="left" w:pos="1152"/>
      </w:tabs>
      <w:spacing w:before="240" w:after="240"/>
      <w:ind w:left="1152" w:hanging="1152"/>
      <w:outlineLvl w:val="1"/>
    </w:pPr>
    <w:rPr>
      <w:rFonts w:ascii="Arial (W1)" w:hAnsi="Arial (W1)" w:eastAsia="Times New Roman"/>
      <w:b/>
      <w:bCs/>
      <w:color w:val="3366FF"/>
      <w:szCs w:val="28"/>
      <w:lang w:val="en-GB" w:eastAsia="en-US"/>
    </w:rPr>
  </w:style>
  <w:style w:type="paragraph" w:customStyle="1" w:styleId="362">
    <w:name w:val="xl33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63">
    <w:name w:val="Char21"/>
    <w:basedOn w:val="1"/>
    <w:qFormat/>
    <w:uiPriority w:val="0"/>
    <w:rPr>
      <w:rFonts w:ascii="仿宋_GB2312" w:hAnsi="Times New Roman" w:eastAsia="仿宋_GB2312"/>
      <w:sz w:val="28"/>
      <w:szCs w:val="28"/>
    </w:rPr>
  </w:style>
  <w:style w:type="paragraph" w:customStyle="1" w:styleId="364">
    <w:name w:val="Char Char Char Char Char Char Char Char1 Char"/>
    <w:basedOn w:val="1"/>
    <w:qFormat/>
    <w:uiPriority w:val="0"/>
    <w:rPr>
      <w:rFonts w:ascii="仿宋_GB2312" w:eastAsia="仿宋_GB2312"/>
      <w:sz w:val="28"/>
    </w:rPr>
  </w:style>
  <w:style w:type="paragraph" w:customStyle="1" w:styleId="365">
    <w:name w:val="4级标题"/>
    <w:basedOn w:val="125"/>
    <w:qFormat/>
    <w:uiPriority w:val="0"/>
    <w:pPr>
      <w:keepLines/>
      <w:widowControl w:val="0"/>
      <w:numPr>
        <w:ilvl w:val="3"/>
        <w:numId w:val="3"/>
      </w:numPr>
      <w:spacing w:line="360" w:lineRule="auto"/>
      <w:ind w:firstLineChars="0"/>
      <w:contextualSpacing/>
      <w:outlineLvl w:val="3"/>
    </w:pPr>
    <w:rPr>
      <w:rFonts w:ascii="黑体" w:hAnsi="黑体" w:eastAsia="黑体"/>
      <w:lang w:val="en-US" w:eastAsia="en-US" w:bidi="en-US"/>
    </w:rPr>
  </w:style>
  <w:style w:type="paragraph" w:customStyle="1" w:styleId="366">
    <w:name w:val="xl3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367">
    <w:name w:val="TOC 标题1"/>
    <w:basedOn w:val="3"/>
    <w:next w:val="1"/>
    <w:unhideWhenUsed/>
    <w:qFormat/>
    <w:uiPriority w:val="39"/>
    <w:pPr>
      <w:outlineLvl w:val="9"/>
    </w:pPr>
  </w:style>
  <w:style w:type="paragraph" w:customStyle="1" w:styleId="368">
    <w:name w:val="xl2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69">
    <w:name w:val="Char22"/>
    <w:basedOn w:val="1"/>
    <w:qFormat/>
    <w:uiPriority w:val="0"/>
    <w:rPr>
      <w:rFonts w:ascii="仿宋_GB2312" w:hAnsi="Times New Roman" w:eastAsia="仿宋_GB2312"/>
      <w:b/>
      <w:sz w:val="32"/>
      <w:szCs w:val="32"/>
    </w:rPr>
  </w:style>
  <w:style w:type="paragraph" w:customStyle="1" w:styleId="370">
    <w:name w:val="列出段落2"/>
    <w:basedOn w:val="1"/>
    <w:qFormat/>
    <w:uiPriority w:val="34"/>
    <w:pPr>
      <w:widowControl w:val="0"/>
      <w:ind w:firstLine="420"/>
      <w:jc w:val="both"/>
    </w:pPr>
    <w:rPr>
      <w:rFonts w:eastAsia="宋体" w:cs="Times New Roman"/>
      <w:kern w:val="2"/>
      <w:sz w:val="21"/>
      <w:szCs w:val="22"/>
    </w:rPr>
  </w:style>
  <w:style w:type="paragraph" w:customStyle="1" w:styleId="371">
    <w:name w:val="msonormal"/>
    <w:basedOn w:val="1"/>
    <w:qFormat/>
    <w:uiPriority w:val="0"/>
    <w:pPr>
      <w:spacing w:before="100" w:beforeAutospacing="1" w:after="100" w:afterAutospacing="1"/>
    </w:pPr>
    <w:rPr>
      <w:rFonts w:ascii="宋体" w:hAnsi="宋体" w:cs="宋体"/>
    </w:rPr>
  </w:style>
  <w:style w:type="paragraph" w:customStyle="1" w:styleId="372">
    <w:name w:val="xl2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73">
    <w:name w:val="xl2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74">
    <w:name w:val="RFI text from 3rd Level"/>
    <w:basedOn w:val="375"/>
    <w:qFormat/>
    <w:uiPriority w:val="0"/>
    <w:pPr>
      <w:tabs>
        <w:tab w:val="left" w:pos="360"/>
        <w:tab w:val="left" w:pos="720"/>
        <w:tab w:val="left" w:pos="1080"/>
      </w:tabs>
    </w:pPr>
    <w:rPr>
      <w:b w:val="0"/>
      <w:lang w:eastAsia="zh-CN"/>
    </w:rPr>
  </w:style>
  <w:style w:type="paragraph" w:customStyle="1" w:styleId="375">
    <w:name w:val="RFI text from 2nd Level"/>
    <w:basedOn w:val="249"/>
    <w:qFormat/>
    <w:uiPriority w:val="0"/>
    <w:pPr>
      <w:tabs>
        <w:tab w:val="left" w:pos="360"/>
      </w:tabs>
      <w:ind w:left="720"/>
    </w:pPr>
    <w:rPr>
      <w:b/>
      <w:bCs/>
      <w:color w:val="auto"/>
    </w:rPr>
  </w:style>
  <w:style w:type="paragraph" w:customStyle="1" w:styleId="376">
    <w:name w:val="xl2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7">
    <w:name w:val="xl2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78">
    <w:name w:val="xl3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79">
    <w:name w:val="xl33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8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1.1.1.1Heading3"/>
    <w:basedOn w:val="5"/>
    <w:qFormat/>
    <w:uiPriority w:val="0"/>
    <w:pPr>
      <w:numPr>
        <w:ilvl w:val="2"/>
        <w:numId w:val="11"/>
      </w:numPr>
      <w:tabs>
        <w:tab w:val="left" w:pos="2292"/>
        <w:tab w:val="clear" w:pos="2160"/>
      </w:tabs>
      <w:spacing w:before="120" w:after="120"/>
      <w:ind w:left="2292" w:leftChars="236" w:right="-156" w:hanging="420"/>
    </w:pPr>
    <w:rPr>
      <w:rFonts w:ascii="Arial" w:hAnsi="Arial" w:eastAsia="黑体" w:cs="Arial"/>
      <w:b w:val="0"/>
      <w:sz w:val="24"/>
      <w:szCs w:val="16"/>
    </w:rPr>
  </w:style>
  <w:style w:type="paragraph" w:customStyle="1" w:styleId="382">
    <w:name w:val="Style Heading 3 + Line spacing:  1.5 lines"/>
    <w:basedOn w:val="5"/>
    <w:qFormat/>
    <w:uiPriority w:val="0"/>
    <w:pPr>
      <w:numPr>
        <w:ilvl w:val="2"/>
        <w:numId w:val="4"/>
      </w:numPr>
      <w:tabs>
        <w:tab w:val="left" w:pos="1152"/>
        <w:tab w:val="left" w:pos="1680"/>
      </w:tabs>
      <w:spacing w:before="0" w:after="0" w:line="360" w:lineRule="auto"/>
      <w:ind w:left="236" w:leftChars="236"/>
    </w:pPr>
    <w:rPr>
      <w:rFonts w:ascii="仿宋_GB2312" w:eastAsia="黑体"/>
      <w:sz w:val="28"/>
      <w:szCs w:val="28"/>
    </w:rPr>
  </w:style>
  <w:style w:type="paragraph" w:customStyle="1" w:styleId="383">
    <w:name w:val="RFI List 2"/>
    <w:basedOn w:val="248"/>
    <w:qFormat/>
    <w:uiPriority w:val="0"/>
    <w:pPr>
      <w:numPr>
        <w:ilvl w:val="0"/>
        <w:numId w:val="12"/>
      </w:numPr>
      <w:tabs>
        <w:tab w:val="clear" w:pos="360"/>
        <w:tab w:val="clear" w:pos="1800"/>
      </w:tabs>
      <w:ind w:left="720" w:hanging="720"/>
    </w:pPr>
    <w:rPr>
      <w:rFonts w:eastAsia="Times New Roman"/>
      <w:b w:val="0"/>
      <w:bCs/>
    </w:rPr>
  </w:style>
  <w:style w:type="paragraph" w:customStyle="1" w:styleId="384">
    <w:name w:val="Head2"/>
    <w:qFormat/>
    <w:uiPriority w:val="0"/>
    <w:pPr>
      <w:numPr>
        <w:ilvl w:val="2"/>
        <w:numId w:val="7"/>
      </w:numPr>
      <w:tabs>
        <w:tab w:val="left" w:pos="576"/>
      </w:tabs>
      <w:spacing w:before="28" w:after="28"/>
      <w:outlineLvl w:val="2"/>
    </w:pPr>
    <w:rPr>
      <w:rFonts w:ascii="Arial" w:hAnsi="Arial" w:eastAsia="宋体" w:cs="Times New Roman"/>
      <w:b/>
      <w:sz w:val="22"/>
      <w:szCs w:val="22"/>
      <w:lang w:val="en-US" w:eastAsia="en-US" w:bidi="ar-SA"/>
    </w:rPr>
  </w:style>
  <w:style w:type="paragraph" w:customStyle="1" w:styleId="385">
    <w:name w:val="Char Char Char Char Char Char Char Char1 Char1"/>
    <w:basedOn w:val="1"/>
    <w:qFormat/>
    <w:uiPriority w:val="0"/>
    <w:rPr>
      <w:rFonts w:ascii="仿宋_GB2312" w:hAnsi="Times New Roman" w:eastAsia="仿宋_GB2312"/>
      <w:sz w:val="28"/>
    </w:rPr>
  </w:style>
  <w:style w:type="paragraph" w:customStyle="1" w:styleId="386">
    <w:name w:val="Reset levels"/>
    <w:basedOn w:val="1"/>
    <w:qFormat/>
    <w:uiPriority w:val="0"/>
    <w:pPr>
      <w:ind w:left="420" w:hanging="420"/>
    </w:pPr>
    <w:rPr>
      <w:rFonts w:ascii="Arial" w:hAnsi="Arial" w:eastAsia="仿宋_GB2312"/>
      <w:b/>
      <w:lang w:val="en-US" w:eastAsia="en-US"/>
    </w:rPr>
  </w:style>
  <w:style w:type="paragraph" w:customStyle="1" w:styleId="387">
    <w:name w:val="xl339"/>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88">
    <w:name w:val="Char1 Char Char Char"/>
    <w:basedOn w:val="1"/>
    <w:qFormat/>
    <w:uiPriority w:val="0"/>
    <w:pPr>
      <w:ind w:left="420" w:hanging="420"/>
    </w:pPr>
    <w:rPr>
      <w:rFonts w:ascii="仿宋_GB2312" w:eastAsia="仿宋_GB2312"/>
      <w:szCs w:val="28"/>
    </w:rPr>
  </w:style>
  <w:style w:type="paragraph" w:customStyle="1" w:styleId="389">
    <w:name w:val="xl30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20"/>
      <w:szCs w:val="20"/>
    </w:rPr>
  </w:style>
  <w:style w:type="paragraph" w:customStyle="1" w:styleId="390">
    <w:name w:val="xl2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0"/>
      <w:szCs w:val="20"/>
    </w:rPr>
  </w:style>
  <w:style w:type="paragraph" w:customStyle="1" w:styleId="391">
    <w:name w:val="批注框文本1"/>
    <w:basedOn w:val="1"/>
    <w:qFormat/>
    <w:uiPriority w:val="0"/>
    <w:pPr>
      <w:spacing w:before="120" w:line="360" w:lineRule="auto"/>
    </w:pPr>
    <w:rPr>
      <w:rFonts w:ascii="Tahoma" w:hAnsi="Tahoma" w:eastAsia="仿宋_GB2312" w:cs="Tahoma"/>
      <w:sz w:val="16"/>
      <w:szCs w:val="16"/>
      <w:lang w:val="en-GB" w:eastAsia="en-US"/>
    </w:rPr>
  </w:style>
  <w:style w:type="paragraph" w:customStyle="1" w:styleId="392">
    <w:name w:val="xl2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393">
    <w:name w:val="xl3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394">
    <w:name w:val="Char3"/>
    <w:basedOn w:val="1"/>
    <w:qFormat/>
    <w:uiPriority w:val="0"/>
    <w:rPr>
      <w:rFonts w:ascii="仿宋_GB2312" w:eastAsia="仿宋_GB2312"/>
      <w:sz w:val="28"/>
      <w:szCs w:val="28"/>
    </w:rPr>
  </w:style>
  <w:style w:type="paragraph" w:customStyle="1" w:styleId="395">
    <w:name w:val="xl27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96">
    <w:name w:val="xl2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397">
    <w:name w:val="xl2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398">
    <w:name w:val="正文段"/>
    <w:basedOn w:val="1"/>
    <w:qFormat/>
    <w:uiPriority w:val="0"/>
    <w:pPr>
      <w:snapToGrid w:val="0"/>
      <w:spacing w:afterLines="50"/>
      <w:ind w:firstLine="200" w:firstLineChars="200"/>
    </w:pPr>
  </w:style>
  <w:style w:type="paragraph" w:customStyle="1" w:styleId="399">
    <w:name w:val="xl2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0">
    <w:name w:val="xl2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D0D0D"/>
      <w:sz w:val="20"/>
      <w:szCs w:val="20"/>
    </w:rPr>
  </w:style>
  <w:style w:type="paragraph" w:customStyle="1" w:styleId="401">
    <w:name w:val="样式4"/>
    <w:basedOn w:val="1"/>
    <w:qFormat/>
    <w:uiPriority w:val="0"/>
    <w:pPr>
      <w:widowControl w:val="0"/>
      <w:tabs>
        <w:tab w:val="left" w:pos="420"/>
        <w:tab w:val="left" w:pos="720"/>
      </w:tabs>
      <w:overflowPunct w:val="0"/>
      <w:autoSpaceDE w:val="0"/>
      <w:autoSpaceDN w:val="0"/>
      <w:adjustRightInd w:val="0"/>
      <w:spacing w:line="336" w:lineRule="auto"/>
      <w:ind w:left="420" w:hanging="420"/>
    </w:pPr>
    <w:rPr>
      <w:rFonts w:eastAsia="微软雅黑"/>
      <w:color w:val="808080"/>
      <w:kern w:val="2"/>
      <w:sz w:val="21"/>
      <w:szCs w:val="21"/>
    </w:rPr>
  </w:style>
  <w:style w:type="paragraph" w:customStyle="1" w:styleId="402">
    <w:name w:val="xl2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3">
    <w:name w:val="xl3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404">
    <w:name w:val="xl320"/>
    <w:basedOn w:val="1"/>
    <w:qFormat/>
    <w:uiPriority w:val="0"/>
    <w:pPr>
      <w:spacing w:before="100" w:beforeAutospacing="1" w:after="100" w:afterAutospacing="1"/>
    </w:pPr>
    <w:rPr>
      <w:rFonts w:ascii="宋体" w:hAnsi="宋体" w:cs="宋体"/>
      <w:color w:val="0D0D0D"/>
      <w:sz w:val="20"/>
      <w:szCs w:val="20"/>
    </w:rPr>
  </w:style>
  <w:style w:type="paragraph" w:customStyle="1" w:styleId="405">
    <w:name w:val="规范正文"/>
    <w:basedOn w:val="1"/>
    <w:qFormat/>
    <w:uiPriority w:val="0"/>
    <w:pPr>
      <w:adjustRightInd w:val="0"/>
      <w:spacing w:line="360" w:lineRule="auto"/>
      <w:ind w:left="480"/>
      <w:textAlignment w:val="baseline"/>
    </w:pPr>
    <w:rPr>
      <w:rFonts w:ascii="仿宋_GB2312" w:eastAsia="仿宋_GB2312"/>
    </w:rPr>
  </w:style>
  <w:style w:type="paragraph" w:customStyle="1" w:styleId="406">
    <w:name w:val="正文（首行缩进2字符）"/>
    <w:basedOn w:val="1"/>
    <w:qFormat/>
    <w:uiPriority w:val="0"/>
    <w:pPr>
      <w:widowControl w:val="0"/>
      <w:ind w:left="420" w:firstLine="420"/>
      <w:jc w:val="both"/>
    </w:pPr>
    <w:rPr>
      <w:rFonts w:ascii="Calibri" w:hAnsi="Calibri" w:eastAsia="宋体" w:cs="Times New Roman"/>
      <w:kern w:val="2"/>
      <w:sz w:val="21"/>
      <w:szCs w:val="21"/>
    </w:rPr>
  </w:style>
  <w:style w:type="paragraph" w:customStyle="1" w:styleId="407">
    <w:name w:val="xl2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08">
    <w:name w:val="xl3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09">
    <w:name w:val="Char1 Char Char Char1"/>
    <w:basedOn w:val="1"/>
    <w:qFormat/>
    <w:uiPriority w:val="0"/>
    <w:pPr>
      <w:ind w:left="420" w:hanging="420"/>
    </w:pPr>
    <w:rPr>
      <w:rFonts w:ascii="仿宋_GB2312" w:hAnsi="Times New Roman" w:eastAsia="仿宋_GB2312"/>
      <w:szCs w:val="28"/>
    </w:rPr>
  </w:style>
  <w:style w:type="paragraph" w:customStyle="1" w:styleId="410">
    <w:name w:val="xl34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18"/>
      <w:szCs w:val="18"/>
    </w:rPr>
  </w:style>
  <w:style w:type="paragraph" w:customStyle="1" w:styleId="411">
    <w:name w:val="xl3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2">
    <w:name w:val="xl2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3">
    <w:name w:val="xl3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D0D0D"/>
      <w:sz w:val="20"/>
      <w:szCs w:val="20"/>
    </w:rPr>
  </w:style>
  <w:style w:type="paragraph" w:customStyle="1" w:styleId="414">
    <w:name w:val="正文文本 21"/>
    <w:basedOn w:val="1"/>
    <w:qFormat/>
    <w:uiPriority w:val="0"/>
    <w:pPr>
      <w:adjustRightInd w:val="0"/>
      <w:spacing w:line="300" w:lineRule="auto"/>
      <w:jc w:val="center"/>
    </w:pPr>
    <w:rPr>
      <w:rFonts w:hint="eastAsia" w:ascii="宋体" w:hAnsi="宋体"/>
    </w:rPr>
  </w:style>
  <w:style w:type="paragraph" w:customStyle="1" w:styleId="415">
    <w:name w:val="xl3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16">
    <w:name w:val="Table Text"/>
    <w:basedOn w:val="1"/>
    <w:qFormat/>
    <w:uiPriority w:val="0"/>
    <w:pPr>
      <w:spacing w:before="60" w:after="60"/>
    </w:pPr>
  </w:style>
  <w:style w:type="paragraph" w:customStyle="1" w:styleId="417">
    <w:name w:val="xl319"/>
    <w:basedOn w:val="1"/>
    <w:qFormat/>
    <w:uiPriority w:val="0"/>
    <w:pPr>
      <w:spacing w:before="100" w:beforeAutospacing="1" w:after="100" w:afterAutospacing="1"/>
      <w:jc w:val="center"/>
    </w:pPr>
    <w:rPr>
      <w:rFonts w:ascii="宋体" w:hAnsi="宋体" w:cs="宋体"/>
      <w:color w:val="0D0D0D"/>
      <w:sz w:val="20"/>
      <w:szCs w:val="20"/>
    </w:rPr>
  </w:style>
  <w:style w:type="paragraph" w:customStyle="1" w:styleId="418">
    <w:name w:val="Char1"/>
    <w:basedOn w:val="1"/>
    <w:qFormat/>
    <w:uiPriority w:val="0"/>
    <w:rPr>
      <w:rFonts w:ascii="仿宋_GB2312" w:eastAsia="仿宋_GB2312"/>
      <w:b/>
      <w:sz w:val="32"/>
      <w:szCs w:val="32"/>
    </w:rPr>
  </w:style>
  <w:style w:type="paragraph" w:customStyle="1" w:styleId="419">
    <w:name w:val="xl33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sz w:val="18"/>
      <w:szCs w:val="18"/>
    </w:rPr>
  </w:style>
  <w:style w:type="paragraph" w:customStyle="1" w:styleId="420">
    <w:name w:val="xl3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D0D0D"/>
      <w:sz w:val="20"/>
      <w:szCs w:val="20"/>
    </w:rPr>
  </w:style>
  <w:style w:type="paragraph" w:customStyle="1" w:styleId="421">
    <w:name w:val="xl48"/>
    <w:basedOn w:val="1"/>
    <w:qFormat/>
    <w:uiPriority w:val="0"/>
    <w:pPr>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szCs w:val="28"/>
    </w:rPr>
  </w:style>
  <w:style w:type="paragraph" w:customStyle="1" w:styleId="422">
    <w:name w:val="样式 样式1 + 加粗 行距: 固定值 20 磅"/>
    <w:basedOn w:val="335"/>
    <w:qFormat/>
    <w:uiPriority w:val="0"/>
    <w:pPr>
      <w:keepNext w:val="0"/>
      <w:adjustRightInd w:val="0"/>
      <w:spacing w:before="0" w:after="0" w:line="400" w:lineRule="exact"/>
      <w:jc w:val="both"/>
      <w:textAlignment w:val="baseline"/>
    </w:pPr>
    <w:rPr>
      <w:sz w:val="21"/>
      <w:szCs w:val="20"/>
    </w:rPr>
  </w:style>
  <w:style w:type="paragraph" w:customStyle="1" w:styleId="423">
    <w:name w:val="xl3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D0D0D"/>
      <w:sz w:val="20"/>
      <w:szCs w:val="20"/>
    </w:rPr>
  </w:style>
  <w:style w:type="paragraph" w:customStyle="1" w:styleId="424">
    <w:name w:val="kx"/>
    <w:basedOn w:val="1"/>
    <w:qFormat/>
    <w:uiPriority w:val="0"/>
    <w:pPr>
      <w:spacing w:before="100" w:beforeAutospacing="1" w:after="100" w:afterAutospacing="1"/>
    </w:pPr>
    <w:rPr>
      <w:rFonts w:ascii="宋体" w:hAnsi="宋体"/>
    </w:rPr>
  </w:style>
  <w:style w:type="paragraph" w:customStyle="1" w:styleId="425">
    <w:name w:val="标题3正文"/>
    <w:basedOn w:val="1"/>
    <w:qFormat/>
    <w:uiPriority w:val="0"/>
    <w:pPr>
      <w:snapToGrid w:val="0"/>
      <w:spacing w:line="360" w:lineRule="auto"/>
      <w:ind w:firstLine="480" w:firstLineChars="200"/>
    </w:pPr>
  </w:style>
  <w:style w:type="paragraph" w:customStyle="1" w:styleId="426">
    <w:name w:val="Style Body Text Indent 2 + 11 pt Line spacing:  1.5 lines"/>
    <w:basedOn w:val="36"/>
    <w:qFormat/>
    <w:uiPriority w:val="0"/>
    <w:pPr>
      <w:tabs>
        <w:tab w:val="left" w:pos="900"/>
      </w:tabs>
      <w:spacing w:line="360" w:lineRule="auto"/>
      <w:ind w:firstLine="0" w:firstLineChars="0"/>
    </w:pPr>
    <w:rPr>
      <w:rFonts w:ascii="宋体" w:hAnsi="宋体"/>
      <w:kern w:val="0"/>
      <w:sz w:val="22"/>
      <w:szCs w:val="20"/>
      <w:lang w:val="en-GB"/>
    </w:rPr>
  </w:style>
  <w:style w:type="paragraph" w:customStyle="1" w:styleId="427">
    <w:name w:val="xl2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D0D0D"/>
      <w:sz w:val="20"/>
      <w:szCs w:val="20"/>
    </w:rPr>
  </w:style>
  <w:style w:type="paragraph" w:customStyle="1" w:styleId="428">
    <w:name w:val="tabletextchar"/>
    <w:basedOn w:val="1"/>
    <w:qFormat/>
    <w:uiPriority w:val="0"/>
    <w:pPr>
      <w:spacing w:before="100" w:beforeAutospacing="1" w:after="100" w:afterAutospacing="1" w:line="240" w:lineRule="atLeast"/>
    </w:pPr>
    <w:rPr>
      <w:rFonts w:ascii="宋体" w:hAnsi="宋体" w:eastAsia="仿宋_GB2312" w:cs="宋体"/>
      <w:sz w:val="18"/>
      <w:szCs w:val="18"/>
    </w:rPr>
  </w:style>
  <w:style w:type="paragraph" w:customStyle="1" w:styleId="429">
    <w:name w:val="xl3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b/>
      <w:bCs/>
      <w:color w:val="0D0D0D"/>
      <w:sz w:val="20"/>
      <w:szCs w:val="20"/>
    </w:rPr>
  </w:style>
  <w:style w:type="paragraph" w:customStyle="1" w:styleId="430">
    <w:name w:val="xl3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D0D0D"/>
      <w:sz w:val="20"/>
      <w:szCs w:val="20"/>
    </w:rPr>
  </w:style>
  <w:style w:type="paragraph" w:customStyle="1" w:styleId="431">
    <w:name w:val="Char23"/>
    <w:basedOn w:val="1"/>
    <w:qFormat/>
    <w:uiPriority w:val="0"/>
    <w:rPr>
      <w:rFonts w:ascii="仿宋_GB2312" w:eastAsia="仿宋_GB2312"/>
      <w:b/>
      <w:sz w:val="32"/>
      <w:szCs w:val="32"/>
    </w:rPr>
  </w:style>
  <w:style w:type="paragraph" w:customStyle="1" w:styleId="432">
    <w:name w:val="_Style 5"/>
    <w:basedOn w:val="20"/>
    <w:qFormat/>
    <w:uiPriority w:val="0"/>
    <w:rPr>
      <w:rFonts w:ascii="Times New Roman" w:hAnsi="Times New Roman" w:eastAsia="宋体" w:cs="Times New Roman"/>
    </w:rPr>
  </w:style>
  <w:style w:type="paragraph" w:customStyle="1" w:styleId="433">
    <w:name w:val="正文 A"/>
    <w:basedOn w:val="1"/>
    <w:qFormat/>
    <w:uiPriority w:val="0"/>
    <w:pPr>
      <w:widowControl w:val="0"/>
      <w:jc w:val="both"/>
    </w:pPr>
    <w:rPr>
      <w:rFonts w:ascii="Arial Unicode MS" w:hAnsi="Arial Unicode MS" w:eastAsia="宋体" w:cs="Arial Unicode MS"/>
      <w:color w:val="000000"/>
      <w:kern w:val="2"/>
      <w:sz w:val="21"/>
      <w:szCs w:val="21"/>
      <w:u w:val="none" w:color="000000"/>
    </w:rPr>
  </w:style>
  <w:style w:type="paragraph" w:customStyle="1" w:styleId="434">
    <w:name w:val="List Paragraph1"/>
    <w:basedOn w:val="1"/>
    <w:qFormat/>
    <w:uiPriority w:val="0"/>
    <w:pPr>
      <w:ind w:firstLine="420" w:firstLineChars="200"/>
    </w:pPr>
    <w:rPr>
      <w:rFonts w:ascii="Times New Roman" w:hAnsi="Times New Roman" w:eastAsia="宋体" w:cs="Times New Roman"/>
    </w:rPr>
  </w:style>
  <w:style w:type="paragraph" w:customStyle="1" w:styleId="435">
    <w:name w:val="[Normal]"/>
    <w:qFormat/>
    <w:uiPriority w:val="0"/>
    <w:rPr>
      <w:rFonts w:ascii="宋体" w:hAnsi="宋体" w:eastAsia="等线" w:cs="Times New Roman"/>
      <w:sz w:val="24"/>
      <w:szCs w:val="22"/>
      <w:lang w:val="zh-CN" w:eastAsia="zh-CN" w:bidi="ar-SA"/>
    </w:rPr>
  </w:style>
  <w:style w:type="paragraph" w:customStyle="1" w:styleId="436">
    <w:name w:val=" Char"/>
    <w:basedOn w:val="1"/>
    <w:qFormat/>
    <w:uiPriority w:val="0"/>
    <w:rPr>
      <w:rFonts w:ascii="仿宋_GB2312" w:eastAsia="仿宋_GB2312"/>
      <w:b/>
      <w:sz w:val="32"/>
      <w:szCs w:val="32"/>
    </w:rPr>
  </w:style>
  <w:style w:type="paragraph" w:customStyle="1" w:styleId="437">
    <w:name w:val="Ê×ÐÐËõ½ø"/>
    <w:basedOn w:val="1"/>
    <w:qFormat/>
    <w:uiPriority w:val="0"/>
    <w:pPr>
      <w:widowControl/>
      <w:overflowPunct w:val="0"/>
      <w:autoSpaceDE w:val="0"/>
      <w:autoSpaceDN w:val="0"/>
      <w:adjustRightInd w:val="0"/>
      <w:textAlignment w:val="baseline"/>
    </w:pPr>
    <w:rPr>
      <w:kern w:val="0"/>
      <w:sz w:val="28"/>
      <w:szCs w:val="20"/>
    </w:rPr>
  </w:style>
  <w:style w:type="paragraph" w:customStyle="1" w:styleId="438">
    <w:name w:val="正"/>
    <w:qFormat/>
    <w:uiPriority w:val="0"/>
    <w:pPr>
      <w:widowControl w:val="0"/>
      <w:spacing w:line="360" w:lineRule="auto"/>
      <w:ind w:firstLine="480" w:firstLineChars="200"/>
      <w:contextualSpacing/>
      <w:jc w:val="both"/>
    </w:pPr>
    <w:rPr>
      <w:rFonts w:ascii="Times New Roman" w:hAnsi="Times New Roman" w:eastAsia="宋体" w:cs="Times New Roman"/>
      <w:sz w:val="24"/>
      <w:szCs w:val="24"/>
      <w:lang w:val="en-US" w:eastAsia="zh-CN" w:bidi="ar-SA"/>
    </w:rPr>
  </w:style>
  <w:style w:type="paragraph" w:customStyle="1" w:styleId="439">
    <w:name w:val="正文文本首行缩进 21"/>
    <w:basedOn w:val="1"/>
    <w:qFormat/>
    <w:uiPriority w:val="0"/>
    <w:pPr>
      <w:widowControl w:val="0"/>
      <w:spacing w:before="100" w:beforeAutospacing="1"/>
      <w:ind w:left="420" w:leftChars="200" w:firstLine="420" w:firstLineChars="200"/>
      <w:jc w:val="both"/>
    </w:pPr>
    <w:rPr>
      <w:rFonts w:ascii="Times New Roman" w:hAnsi="Times New Roman" w:cs="宋体"/>
      <w:color w:val="000000"/>
      <w:kern w:val="2"/>
      <w:sz w:val="21"/>
      <w:szCs w:val="21"/>
    </w:rPr>
  </w:style>
  <w:style w:type="paragraph" w:customStyle="1" w:styleId="440">
    <w:name w:val="表格文字"/>
    <w:basedOn w:val="441"/>
    <w:next w:val="2"/>
    <w:qFormat/>
    <w:uiPriority w:val="0"/>
    <w:pPr>
      <w:spacing w:line="420" w:lineRule="atLeast"/>
      <w:textAlignment w:val="baseline"/>
    </w:pPr>
  </w:style>
  <w:style w:type="paragraph" w:customStyle="1" w:styleId="441">
    <w:name w:val="表格文字（两侧对齐）"/>
    <w:basedOn w:val="1"/>
    <w:qFormat/>
    <w:uiPriority w:val="0"/>
    <w:pPr>
      <w:snapToGrid w:val="0"/>
    </w:pPr>
    <w:rPr>
      <w:sz w:val="20"/>
      <w:szCs w:val="24"/>
    </w:rPr>
  </w:style>
  <w:style w:type="paragraph" w:customStyle="1" w:styleId="442">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443">
    <w:name w:val="ces正文"/>
    <w:basedOn w:val="1"/>
    <w:qFormat/>
    <w:uiPriority w:val="0"/>
    <w:pPr>
      <w:spacing w:line="360" w:lineRule="auto"/>
      <w:ind w:firstLine="480" w:firstLineChars="200"/>
    </w:pPr>
    <w:rPr>
      <w:rFonts w:ascii="Calibri" w:hAnsi="Calibri"/>
      <w:kern w:val="0"/>
      <w:sz w:val="24"/>
    </w:rPr>
  </w:style>
  <w:style w:type="paragraph" w:customStyle="1" w:styleId="444">
    <w:name w:val="正文格式"/>
    <w:basedOn w:val="1"/>
    <w:qFormat/>
    <w:uiPriority w:val="0"/>
    <w:pPr>
      <w:keepNext w:val="0"/>
      <w:keepLines w:val="0"/>
      <w:widowControl/>
      <w:suppressLineNumbers w:val="0"/>
      <w:adjustRightInd w:val="0"/>
      <w:snapToGrid w:val="0"/>
      <w:spacing w:before="0" w:beforeAutospacing="0" w:after="0" w:afterAutospacing="0" w:line="400" w:lineRule="atLeast"/>
      <w:ind w:left="0" w:right="0" w:firstLine="482"/>
      <w:jc w:val="both"/>
    </w:pPr>
    <w:rPr>
      <w:rFonts w:hint="default" w:ascii="Times New Roman" w:hAnsi="Times New Roman" w:eastAsia="宋体" w:cs="Times New Roman"/>
      <w:kern w:val="0"/>
      <w:sz w:val="24"/>
      <w:szCs w:val="24"/>
      <w:lang w:val="en-US" w:eastAsia="zh-CN" w:bidi="ar"/>
    </w:rPr>
  </w:style>
  <w:style w:type="paragraph" w:customStyle="1" w:styleId="445">
    <w:name w:val="表 靠左"/>
    <w:basedOn w:val="446"/>
    <w:qFormat/>
    <w:uiPriority w:val="0"/>
    <w:pPr>
      <w:jc w:val="left"/>
    </w:pPr>
    <w:rPr>
      <w:szCs w:val="21"/>
    </w:rPr>
  </w:style>
  <w:style w:type="paragraph" w:customStyle="1" w:styleId="446">
    <w:name w:val="表"/>
    <w:basedOn w:val="1"/>
    <w:next w:val="1"/>
    <w:qFormat/>
    <w:uiPriority w:val="0"/>
    <w:pPr>
      <w:spacing w:line="240" w:lineRule="auto"/>
      <w:ind w:firstLine="0" w:firstLineChars="0"/>
      <w:jc w:val="center"/>
    </w:pPr>
  </w:style>
  <w:style w:type="table" w:customStyle="1" w:styleId="447">
    <w:name w:val="Table Normal"/>
    <w:unhideWhenUsed/>
    <w:qFormat/>
    <w:uiPriority w:val="0"/>
    <w:tblPr>
      <w:tblCellMar>
        <w:top w:w="0" w:type="dxa"/>
        <w:left w:w="0" w:type="dxa"/>
        <w:bottom w:w="0" w:type="dxa"/>
        <w:right w:w="0" w:type="dxa"/>
      </w:tblCellMar>
    </w:tblPr>
  </w:style>
  <w:style w:type="paragraph" w:customStyle="1" w:styleId="448">
    <w:name w:val="正文图表标题"/>
    <w:basedOn w:val="449"/>
    <w:qFormat/>
    <w:uiPriority w:val="0"/>
    <w:rPr>
      <w:rFonts w:hint="eastAsia"/>
      <w:b/>
      <w:bCs/>
      <w:color w:val="0099A7"/>
    </w:rPr>
  </w:style>
  <w:style w:type="paragraph" w:customStyle="1" w:styleId="449">
    <w:name w:val="正文图表"/>
    <w:basedOn w:val="1"/>
    <w:qFormat/>
    <w:uiPriority w:val="0"/>
    <w:pPr>
      <w:ind w:firstLine="0" w:firstLineChars="0"/>
      <w:jc w:val="center"/>
    </w:pPr>
    <w:rPr>
      <w:rFonts w:ascii="仿宋" w:hAnsi="仿宋" w:eastAsia="仿宋"/>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16963</Words>
  <Characters>18984</Characters>
  <Lines>159</Lines>
  <Paragraphs>44</Paragraphs>
  <TotalTime>11</TotalTime>
  <ScaleCrop>false</ScaleCrop>
  <LinksUpToDate>false</LinksUpToDate>
  <CharactersWithSpaces>19787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2020-05-08T02:01:00Z</dcterms:created>
  <dc:creator>W</dc:creator>
  <cp:lastModifiedBy>DELL</cp:lastModifiedBy>
  <cp:lastPrinted>2025-07-07T13:20:00Z</cp:lastPrinted>
  <dcterms:modified xsi:type="dcterms:W3CDTF">2025-07-08T09:06:53Z</dcterms:modified>
  <dc:title>政府采购招标文件</dc:title>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2D4EDCBB84D34384B74F18F337A7049E</vt:lpwstr>
  </property>
  <property fmtid="{D5CDD505-2E9C-101B-9397-08002B2CF9AE}" pid="4" name="KSOTemplateDocerSaveRecord">
    <vt:lpwstr>eyJoZGlkIjoiODZjZWY0MjY1YzRiZDM4ZTJjNmUyZTg1YTVhMmI5YTkiLCJ1c2VySWQiOiI0MzAyMDU0NDQifQ==</vt:lpwstr>
  </property>
</Properties>
</file>